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AD2" w:rsidRPr="00F514FB" w:rsidRDefault="00776AD2" w:rsidP="001E6867">
      <w:pPr>
        <w:widowControl/>
        <w:tabs>
          <w:tab w:val="center" w:pos="4680"/>
        </w:tabs>
        <w:suppressAutoHyphens/>
        <w:jc w:val="center"/>
        <w:rPr>
          <w:b/>
          <w:sz w:val="26"/>
          <w:szCs w:val="26"/>
        </w:rPr>
      </w:pPr>
      <w:r w:rsidRPr="00F514FB">
        <w:rPr>
          <w:b/>
          <w:sz w:val="26"/>
          <w:szCs w:val="26"/>
        </w:rPr>
        <w:t>PENNSYLVANIA</w:t>
      </w:r>
    </w:p>
    <w:p w:rsidR="00776AD2" w:rsidRPr="00F514FB" w:rsidRDefault="00776AD2" w:rsidP="001E6867">
      <w:pPr>
        <w:widowControl/>
        <w:tabs>
          <w:tab w:val="center" w:pos="4680"/>
        </w:tabs>
        <w:suppressAutoHyphens/>
        <w:jc w:val="center"/>
        <w:rPr>
          <w:sz w:val="26"/>
          <w:szCs w:val="26"/>
        </w:rPr>
      </w:pPr>
      <w:r w:rsidRPr="00F514FB">
        <w:rPr>
          <w:b/>
          <w:sz w:val="26"/>
          <w:szCs w:val="26"/>
        </w:rPr>
        <w:t>PUBLIC UTILITY COMMISSION</w:t>
      </w:r>
    </w:p>
    <w:p w:rsidR="00776AD2" w:rsidRPr="00F514FB" w:rsidRDefault="00776AD2" w:rsidP="001E6867">
      <w:pPr>
        <w:widowControl/>
        <w:tabs>
          <w:tab w:val="center" w:pos="4680"/>
        </w:tabs>
        <w:suppressAutoHyphens/>
        <w:jc w:val="center"/>
        <w:rPr>
          <w:sz w:val="26"/>
          <w:szCs w:val="26"/>
        </w:rPr>
      </w:pPr>
      <w:r w:rsidRPr="00F514FB">
        <w:rPr>
          <w:b/>
          <w:sz w:val="26"/>
          <w:szCs w:val="26"/>
        </w:rPr>
        <w:t>Harrisburg, PA 17105-3265</w:t>
      </w:r>
    </w:p>
    <w:p w:rsidR="00776AD2" w:rsidRPr="00F514FB" w:rsidRDefault="00776AD2" w:rsidP="001E6867">
      <w:pPr>
        <w:widowControl/>
        <w:tabs>
          <w:tab w:val="left" w:pos="-720"/>
        </w:tabs>
        <w:suppressAutoHyphens/>
        <w:rPr>
          <w:sz w:val="26"/>
          <w:szCs w:val="26"/>
        </w:rPr>
      </w:pPr>
    </w:p>
    <w:p w:rsidR="00776AD2" w:rsidRPr="00F514FB" w:rsidRDefault="00776AD2" w:rsidP="001E6867">
      <w:pPr>
        <w:widowControl/>
        <w:rPr>
          <w:sz w:val="26"/>
          <w:szCs w:val="26"/>
        </w:rPr>
      </w:pPr>
    </w:p>
    <w:tbl>
      <w:tblPr>
        <w:tblW w:w="0" w:type="auto"/>
        <w:tblLook w:val="04A0" w:firstRow="1" w:lastRow="0" w:firstColumn="1" w:lastColumn="0" w:noHBand="0" w:noVBand="1"/>
      </w:tblPr>
      <w:tblGrid>
        <w:gridCol w:w="5058"/>
        <w:gridCol w:w="4428"/>
      </w:tblGrid>
      <w:tr w:rsidR="00776AD2" w:rsidRPr="00F514FB" w:rsidTr="00F04BBF">
        <w:tc>
          <w:tcPr>
            <w:tcW w:w="5058" w:type="dxa"/>
            <w:shd w:val="clear" w:color="auto" w:fill="auto"/>
          </w:tcPr>
          <w:p w:rsidR="00776AD2" w:rsidRPr="00F04BBF" w:rsidRDefault="00776AD2" w:rsidP="001E6867">
            <w:pPr>
              <w:widowControl/>
              <w:rPr>
                <w:sz w:val="26"/>
                <w:szCs w:val="26"/>
              </w:rPr>
            </w:pPr>
          </w:p>
        </w:tc>
        <w:tc>
          <w:tcPr>
            <w:tcW w:w="4428" w:type="dxa"/>
            <w:shd w:val="clear" w:color="auto" w:fill="auto"/>
          </w:tcPr>
          <w:p w:rsidR="00776AD2" w:rsidRDefault="00F11171" w:rsidP="001E6867">
            <w:pPr>
              <w:widowControl/>
              <w:jc w:val="right"/>
              <w:rPr>
                <w:sz w:val="26"/>
                <w:szCs w:val="26"/>
              </w:rPr>
            </w:pPr>
            <w:r>
              <w:rPr>
                <w:sz w:val="26"/>
                <w:szCs w:val="26"/>
              </w:rPr>
              <w:t>Public Meeting held February 26, 2015</w:t>
            </w:r>
          </w:p>
          <w:p w:rsidR="00F11171" w:rsidRPr="00F04BBF" w:rsidRDefault="00F11171" w:rsidP="001E6867">
            <w:pPr>
              <w:widowControl/>
              <w:jc w:val="right"/>
              <w:rPr>
                <w:sz w:val="26"/>
                <w:szCs w:val="26"/>
              </w:rPr>
            </w:pPr>
          </w:p>
          <w:p w:rsidR="00776AD2" w:rsidRPr="00F04BBF" w:rsidRDefault="00776AD2" w:rsidP="001E6867">
            <w:pPr>
              <w:widowControl/>
              <w:jc w:val="right"/>
              <w:rPr>
                <w:sz w:val="26"/>
                <w:szCs w:val="26"/>
              </w:rPr>
            </w:pPr>
          </w:p>
        </w:tc>
      </w:tr>
      <w:tr w:rsidR="00776AD2" w:rsidRPr="00F514FB" w:rsidTr="00F04BBF">
        <w:tc>
          <w:tcPr>
            <w:tcW w:w="5058" w:type="dxa"/>
            <w:shd w:val="clear" w:color="auto" w:fill="auto"/>
          </w:tcPr>
          <w:p w:rsidR="00776AD2" w:rsidRPr="00F04BBF" w:rsidRDefault="00776AD2" w:rsidP="001E6867">
            <w:pPr>
              <w:widowControl/>
              <w:rPr>
                <w:sz w:val="26"/>
                <w:szCs w:val="26"/>
              </w:rPr>
            </w:pPr>
            <w:r w:rsidRPr="00F04BBF">
              <w:rPr>
                <w:sz w:val="26"/>
                <w:szCs w:val="26"/>
              </w:rPr>
              <w:t>Commissioners Present:</w:t>
            </w:r>
          </w:p>
          <w:p w:rsidR="00776AD2" w:rsidRPr="00F04BBF" w:rsidRDefault="00776AD2" w:rsidP="001E6867">
            <w:pPr>
              <w:widowControl/>
              <w:rPr>
                <w:sz w:val="26"/>
                <w:szCs w:val="26"/>
              </w:rPr>
            </w:pPr>
          </w:p>
          <w:p w:rsidR="00776AD2" w:rsidRPr="00F04BBF" w:rsidRDefault="00776AD2" w:rsidP="001E6867">
            <w:pPr>
              <w:widowControl/>
              <w:tabs>
                <w:tab w:val="left" w:pos="705"/>
              </w:tabs>
              <w:ind w:firstLine="720"/>
              <w:rPr>
                <w:sz w:val="26"/>
                <w:szCs w:val="26"/>
              </w:rPr>
            </w:pPr>
            <w:r w:rsidRPr="00F04BBF">
              <w:rPr>
                <w:sz w:val="26"/>
                <w:szCs w:val="26"/>
              </w:rPr>
              <w:t>Robert F. Powelson, Chairman</w:t>
            </w:r>
          </w:p>
          <w:p w:rsidR="00776AD2" w:rsidRPr="00F04BBF" w:rsidRDefault="00776AD2" w:rsidP="001E6867">
            <w:pPr>
              <w:widowControl/>
              <w:tabs>
                <w:tab w:val="left" w:pos="705"/>
              </w:tabs>
              <w:ind w:firstLine="720"/>
              <w:rPr>
                <w:sz w:val="26"/>
                <w:szCs w:val="26"/>
              </w:rPr>
            </w:pPr>
            <w:r w:rsidRPr="00F04BBF">
              <w:rPr>
                <w:sz w:val="26"/>
                <w:szCs w:val="26"/>
              </w:rPr>
              <w:t>John F. Coleman, Jr., Vice Chairman</w:t>
            </w:r>
          </w:p>
          <w:p w:rsidR="00776AD2" w:rsidRPr="00F04BBF" w:rsidRDefault="00776AD2" w:rsidP="001E6867">
            <w:pPr>
              <w:widowControl/>
              <w:tabs>
                <w:tab w:val="left" w:pos="705"/>
              </w:tabs>
              <w:ind w:firstLine="720"/>
              <w:rPr>
                <w:sz w:val="26"/>
                <w:szCs w:val="26"/>
              </w:rPr>
            </w:pPr>
            <w:r w:rsidRPr="00F04BBF">
              <w:rPr>
                <w:sz w:val="26"/>
                <w:szCs w:val="26"/>
              </w:rPr>
              <w:t>James H. Cawley</w:t>
            </w:r>
          </w:p>
          <w:p w:rsidR="00776AD2" w:rsidRDefault="00776AD2" w:rsidP="001E6867">
            <w:pPr>
              <w:widowControl/>
              <w:tabs>
                <w:tab w:val="left" w:pos="705"/>
              </w:tabs>
              <w:ind w:firstLine="720"/>
              <w:rPr>
                <w:sz w:val="26"/>
                <w:szCs w:val="26"/>
              </w:rPr>
            </w:pPr>
            <w:r w:rsidRPr="00F04BBF">
              <w:rPr>
                <w:sz w:val="26"/>
                <w:szCs w:val="26"/>
              </w:rPr>
              <w:t>Pamela A. Witmer</w:t>
            </w:r>
          </w:p>
          <w:p w:rsidR="005F20EF" w:rsidRPr="00F04BBF" w:rsidRDefault="005F20EF" w:rsidP="001E6867">
            <w:pPr>
              <w:widowControl/>
              <w:tabs>
                <w:tab w:val="left" w:pos="705"/>
              </w:tabs>
              <w:ind w:firstLine="720"/>
              <w:rPr>
                <w:sz w:val="26"/>
                <w:szCs w:val="26"/>
              </w:rPr>
            </w:pPr>
            <w:r>
              <w:rPr>
                <w:sz w:val="26"/>
                <w:szCs w:val="26"/>
              </w:rPr>
              <w:t>Gladys M. Brown</w:t>
            </w:r>
            <w:r w:rsidR="00502B93">
              <w:rPr>
                <w:sz w:val="26"/>
                <w:szCs w:val="26"/>
              </w:rPr>
              <w:t>, Statement</w:t>
            </w:r>
          </w:p>
          <w:p w:rsidR="00776AD2" w:rsidRPr="00F04BBF" w:rsidRDefault="00776AD2" w:rsidP="001E6867">
            <w:pPr>
              <w:widowControl/>
              <w:rPr>
                <w:sz w:val="26"/>
                <w:szCs w:val="26"/>
              </w:rPr>
            </w:pPr>
          </w:p>
          <w:p w:rsidR="00776AD2" w:rsidRPr="00F04BBF" w:rsidRDefault="00776AD2" w:rsidP="001E6867">
            <w:pPr>
              <w:widowControl/>
              <w:rPr>
                <w:sz w:val="26"/>
                <w:szCs w:val="26"/>
              </w:rPr>
            </w:pPr>
          </w:p>
        </w:tc>
        <w:tc>
          <w:tcPr>
            <w:tcW w:w="4428" w:type="dxa"/>
            <w:shd w:val="clear" w:color="auto" w:fill="auto"/>
          </w:tcPr>
          <w:p w:rsidR="00776AD2" w:rsidRPr="00F04BBF" w:rsidRDefault="00776AD2" w:rsidP="001E6867">
            <w:pPr>
              <w:widowControl/>
              <w:jc w:val="right"/>
              <w:rPr>
                <w:sz w:val="26"/>
                <w:szCs w:val="26"/>
              </w:rPr>
            </w:pPr>
          </w:p>
          <w:p w:rsidR="00776AD2" w:rsidRPr="00F04BBF" w:rsidRDefault="00776AD2" w:rsidP="001E6867">
            <w:pPr>
              <w:widowControl/>
              <w:jc w:val="right"/>
              <w:rPr>
                <w:sz w:val="26"/>
                <w:szCs w:val="26"/>
              </w:rPr>
            </w:pPr>
          </w:p>
        </w:tc>
      </w:tr>
      <w:tr w:rsidR="00776AD2" w:rsidRPr="00F514FB" w:rsidTr="00F04BBF">
        <w:tc>
          <w:tcPr>
            <w:tcW w:w="5058" w:type="dxa"/>
            <w:shd w:val="clear" w:color="auto" w:fill="auto"/>
          </w:tcPr>
          <w:p w:rsidR="007A1411" w:rsidRDefault="007A1411" w:rsidP="001E6867">
            <w:pPr>
              <w:widowControl/>
              <w:rPr>
                <w:sz w:val="26"/>
                <w:szCs w:val="26"/>
              </w:rPr>
            </w:pPr>
            <w:r>
              <w:rPr>
                <w:sz w:val="26"/>
                <w:szCs w:val="26"/>
              </w:rPr>
              <w:t>Petition of PECO Energy Company f</w:t>
            </w:r>
            <w:r w:rsidRPr="00737464">
              <w:rPr>
                <w:sz w:val="26"/>
                <w:szCs w:val="26"/>
              </w:rPr>
              <w:t>or</w:t>
            </w:r>
            <w:r>
              <w:rPr>
                <w:sz w:val="26"/>
                <w:szCs w:val="26"/>
              </w:rPr>
              <w:t xml:space="preserve"> Approval of its Default Service Program</w:t>
            </w:r>
          </w:p>
          <w:p w:rsidR="007A1411" w:rsidRDefault="007A1411" w:rsidP="001E6867">
            <w:pPr>
              <w:widowControl/>
              <w:rPr>
                <w:sz w:val="26"/>
                <w:szCs w:val="26"/>
              </w:rPr>
            </w:pPr>
            <w:r>
              <w:rPr>
                <w:sz w:val="26"/>
                <w:szCs w:val="26"/>
              </w:rPr>
              <w:t>for the period from June 1, 2015 through</w:t>
            </w:r>
          </w:p>
          <w:p w:rsidR="00776AD2" w:rsidRPr="00F04BBF" w:rsidRDefault="007A1411" w:rsidP="001E6867">
            <w:pPr>
              <w:widowControl/>
              <w:rPr>
                <w:sz w:val="26"/>
                <w:szCs w:val="26"/>
              </w:rPr>
            </w:pPr>
            <w:r>
              <w:rPr>
                <w:sz w:val="26"/>
                <w:szCs w:val="26"/>
              </w:rPr>
              <w:t>May 31, 2017</w:t>
            </w:r>
          </w:p>
        </w:tc>
        <w:tc>
          <w:tcPr>
            <w:tcW w:w="4428" w:type="dxa"/>
            <w:shd w:val="clear" w:color="auto" w:fill="auto"/>
          </w:tcPr>
          <w:p w:rsidR="00776AD2" w:rsidRPr="00F04BBF" w:rsidRDefault="007A1411" w:rsidP="001E6867">
            <w:pPr>
              <w:widowControl/>
              <w:jc w:val="right"/>
              <w:rPr>
                <w:sz w:val="26"/>
                <w:szCs w:val="26"/>
              </w:rPr>
            </w:pPr>
            <w:r>
              <w:rPr>
                <w:sz w:val="26"/>
                <w:szCs w:val="26"/>
              </w:rPr>
              <w:t>P-2014-2409362</w:t>
            </w:r>
          </w:p>
        </w:tc>
      </w:tr>
    </w:tbl>
    <w:p w:rsidR="00776AD2" w:rsidRPr="00F514FB" w:rsidRDefault="00776AD2" w:rsidP="001E6867">
      <w:pPr>
        <w:widowControl/>
        <w:rPr>
          <w:sz w:val="26"/>
          <w:szCs w:val="26"/>
        </w:rPr>
      </w:pPr>
    </w:p>
    <w:p w:rsidR="00776AD2" w:rsidRPr="00F514FB" w:rsidRDefault="00776AD2" w:rsidP="001E6867">
      <w:pPr>
        <w:widowControl/>
        <w:rPr>
          <w:sz w:val="26"/>
          <w:szCs w:val="26"/>
        </w:rPr>
      </w:pPr>
    </w:p>
    <w:p w:rsidR="00776AD2" w:rsidRPr="00F514FB" w:rsidRDefault="00776AD2" w:rsidP="001E6867">
      <w:pPr>
        <w:widowControl/>
        <w:jc w:val="center"/>
        <w:rPr>
          <w:b/>
          <w:sz w:val="26"/>
          <w:szCs w:val="26"/>
        </w:rPr>
      </w:pPr>
      <w:r w:rsidRPr="00F514FB">
        <w:rPr>
          <w:b/>
          <w:sz w:val="26"/>
          <w:szCs w:val="26"/>
        </w:rPr>
        <w:t xml:space="preserve">OPINION </w:t>
      </w:r>
      <w:smartTag w:uri="urn:schemas-microsoft-com:office:smarttags" w:element="stockticker">
        <w:r w:rsidRPr="00F514FB">
          <w:rPr>
            <w:b/>
            <w:sz w:val="26"/>
            <w:szCs w:val="26"/>
          </w:rPr>
          <w:t>AND</w:t>
        </w:r>
      </w:smartTag>
      <w:r w:rsidRPr="00F514FB">
        <w:rPr>
          <w:b/>
          <w:sz w:val="26"/>
          <w:szCs w:val="26"/>
        </w:rPr>
        <w:t xml:space="preserve"> ORDER</w:t>
      </w:r>
    </w:p>
    <w:p w:rsidR="00776AD2" w:rsidRPr="00F514FB" w:rsidRDefault="00776AD2" w:rsidP="001E6867">
      <w:pPr>
        <w:widowControl/>
        <w:jc w:val="center"/>
        <w:rPr>
          <w:b/>
          <w:sz w:val="26"/>
          <w:szCs w:val="26"/>
        </w:rPr>
      </w:pPr>
    </w:p>
    <w:p w:rsidR="00776AD2" w:rsidRPr="00F514FB" w:rsidRDefault="00776AD2" w:rsidP="001E6867">
      <w:pPr>
        <w:widowControl/>
        <w:jc w:val="center"/>
        <w:rPr>
          <w:b/>
          <w:sz w:val="26"/>
          <w:szCs w:val="26"/>
        </w:rPr>
      </w:pPr>
    </w:p>
    <w:p w:rsidR="00776AD2" w:rsidRPr="00F514FB" w:rsidRDefault="00776AD2" w:rsidP="001E6867">
      <w:pPr>
        <w:widowControl/>
        <w:rPr>
          <w:b/>
          <w:sz w:val="26"/>
          <w:szCs w:val="26"/>
        </w:rPr>
      </w:pPr>
      <w:r w:rsidRPr="00F514FB">
        <w:rPr>
          <w:b/>
          <w:sz w:val="26"/>
          <w:szCs w:val="26"/>
        </w:rPr>
        <w:t>BY THE COMMISSION:</w:t>
      </w:r>
    </w:p>
    <w:p w:rsidR="00776AD2" w:rsidRPr="00F514FB" w:rsidRDefault="00776AD2" w:rsidP="001E6867">
      <w:pPr>
        <w:widowControl/>
        <w:rPr>
          <w:sz w:val="26"/>
          <w:szCs w:val="26"/>
        </w:rPr>
      </w:pPr>
    </w:p>
    <w:p w:rsidR="00776AD2" w:rsidRPr="00F514FB" w:rsidRDefault="00776AD2" w:rsidP="001E6867">
      <w:pPr>
        <w:widowControl/>
        <w:rPr>
          <w:sz w:val="26"/>
          <w:szCs w:val="26"/>
        </w:rPr>
      </w:pPr>
    </w:p>
    <w:p w:rsidR="00606A56" w:rsidRDefault="000F1318" w:rsidP="001E6867">
      <w:pPr>
        <w:widowControl/>
        <w:tabs>
          <w:tab w:val="left" w:pos="-720"/>
        </w:tabs>
        <w:suppressAutoHyphens/>
        <w:spacing w:line="360" w:lineRule="auto"/>
        <w:ind w:firstLine="1440"/>
        <w:rPr>
          <w:sz w:val="26"/>
        </w:rPr>
      </w:pPr>
      <w:r w:rsidRPr="00027664">
        <w:rPr>
          <w:sz w:val="26"/>
        </w:rPr>
        <w:t xml:space="preserve">Before the </w:t>
      </w:r>
      <w:r w:rsidR="005C7928">
        <w:rPr>
          <w:sz w:val="26"/>
        </w:rPr>
        <w:t xml:space="preserve">Pennsylvania Public Utility </w:t>
      </w:r>
      <w:r w:rsidRPr="00027664">
        <w:rPr>
          <w:sz w:val="26"/>
        </w:rPr>
        <w:t xml:space="preserve">Commission </w:t>
      </w:r>
      <w:r w:rsidR="005C7928">
        <w:rPr>
          <w:sz w:val="26"/>
        </w:rPr>
        <w:t xml:space="preserve">(Commission) </w:t>
      </w:r>
      <w:r w:rsidRPr="00027664">
        <w:rPr>
          <w:sz w:val="26"/>
        </w:rPr>
        <w:t>for co</w:t>
      </w:r>
      <w:r w:rsidR="00893951">
        <w:rPr>
          <w:sz w:val="26"/>
        </w:rPr>
        <w:t>nsideration and disposition is the</w:t>
      </w:r>
      <w:r w:rsidRPr="00027664">
        <w:rPr>
          <w:sz w:val="26"/>
        </w:rPr>
        <w:t xml:space="preserve"> Petition for Reconsideration (Petition), filed by</w:t>
      </w:r>
      <w:r w:rsidR="00F248A4">
        <w:rPr>
          <w:sz w:val="26"/>
        </w:rPr>
        <w:t xml:space="preserve"> </w:t>
      </w:r>
      <w:r w:rsidR="007A1411">
        <w:rPr>
          <w:sz w:val="26"/>
        </w:rPr>
        <w:t>the Office of Small Business Advocate</w:t>
      </w:r>
      <w:r w:rsidR="00F34DAB">
        <w:rPr>
          <w:sz w:val="26"/>
        </w:rPr>
        <w:t xml:space="preserve"> (OSBA)</w:t>
      </w:r>
      <w:r w:rsidRPr="00027664">
        <w:rPr>
          <w:sz w:val="26"/>
          <w:szCs w:val="26"/>
        </w:rPr>
        <w:t>,</w:t>
      </w:r>
      <w:r w:rsidRPr="00027664">
        <w:rPr>
          <w:sz w:val="26"/>
        </w:rPr>
        <w:t xml:space="preserve"> on</w:t>
      </w:r>
      <w:r w:rsidR="003E22CB">
        <w:rPr>
          <w:sz w:val="26"/>
        </w:rPr>
        <w:t xml:space="preserve"> </w:t>
      </w:r>
      <w:r w:rsidR="007A1411">
        <w:rPr>
          <w:sz w:val="26"/>
        </w:rPr>
        <w:t>December 19, 2014</w:t>
      </w:r>
      <w:r w:rsidR="00AA548E">
        <w:rPr>
          <w:sz w:val="26"/>
        </w:rPr>
        <w:t>, seeking reconsideration of</w:t>
      </w:r>
      <w:r w:rsidR="000505E5">
        <w:rPr>
          <w:sz w:val="26"/>
        </w:rPr>
        <w:t xml:space="preserve"> </w:t>
      </w:r>
      <w:r w:rsidR="00483BFD">
        <w:rPr>
          <w:sz w:val="26"/>
        </w:rPr>
        <w:t>our</w:t>
      </w:r>
      <w:r w:rsidR="000505E5">
        <w:rPr>
          <w:sz w:val="26"/>
        </w:rPr>
        <w:t xml:space="preserve"> </w:t>
      </w:r>
      <w:r w:rsidRPr="00027664">
        <w:rPr>
          <w:sz w:val="26"/>
        </w:rPr>
        <w:t xml:space="preserve">Opinion and Order entered </w:t>
      </w:r>
      <w:r w:rsidR="007A1411">
        <w:rPr>
          <w:sz w:val="26"/>
        </w:rPr>
        <w:t>December 4, 2014</w:t>
      </w:r>
      <w:r w:rsidR="00F34DAB">
        <w:rPr>
          <w:sz w:val="26"/>
        </w:rPr>
        <w:t xml:space="preserve"> (</w:t>
      </w:r>
      <w:r w:rsidR="00F34DAB">
        <w:rPr>
          <w:i/>
          <w:sz w:val="26"/>
        </w:rPr>
        <w:t>December 2014 Order)</w:t>
      </w:r>
      <w:r w:rsidRPr="00027664">
        <w:rPr>
          <w:sz w:val="26"/>
        </w:rPr>
        <w:t>, relative to</w:t>
      </w:r>
      <w:r w:rsidR="002C44D7">
        <w:rPr>
          <w:sz w:val="26"/>
        </w:rPr>
        <w:t xml:space="preserve"> the above-captioned proceeding</w:t>
      </w:r>
      <w:r w:rsidRPr="00027664">
        <w:rPr>
          <w:sz w:val="26"/>
        </w:rPr>
        <w:t>.</w:t>
      </w:r>
      <w:r w:rsidR="00606A56">
        <w:rPr>
          <w:sz w:val="26"/>
        </w:rPr>
        <w:t xml:space="preserve">  Answers to the Petition were filed by PECO Energy Company (PECO) and the Retail Energy Supply Association (RESA) on December 29, 2014.</w:t>
      </w:r>
      <w:r w:rsidR="00F34DAB">
        <w:rPr>
          <w:sz w:val="26"/>
        </w:rPr>
        <w:t xml:space="preserve">  For the reasons stated below, we shall deny the Petition.</w:t>
      </w:r>
    </w:p>
    <w:p w:rsidR="00D82F2C" w:rsidRDefault="00D82F2C" w:rsidP="001E6867">
      <w:pPr>
        <w:widowControl/>
        <w:tabs>
          <w:tab w:val="left" w:pos="-720"/>
        </w:tabs>
        <w:suppressAutoHyphens/>
        <w:spacing w:line="360" w:lineRule="auto"/>
        <w:ind w:firstLine="1440"/>
        <w:rPr>
          <w:sz w:val="26"/>
        </w:rPr>
      </w:pPr>
    </w:p>
    <w:p w:rsidR="00606A56" w:rsidRDefault="00606A56" w:rsidP="001E6867">
      <w:pPr>
        <w:widowControl/>
        <w:tabs>
          <w:tab w:val="left" w:pos="-720"/>
        </w:tabs>
        <w:suppressAutoHyphens/>
        <w:spacing w:line="360" w:lineRule="auto"/>
        <w:ind w:firstLine="1440"/>
        <w:rPr>
          <w:sz w:val="26"/>
        </w:rPr>
      </w:pPr>
    </w:p>
    <w:p w:rsidR="00606A56" w:rsidRPr="00606A56" w:rsidRDefault="00606A56" w:rsidP="001E6867">
      <w:pPr>
        <w:pStyle w:val="Heading1"/>
        <w:keepLines w:val="0"/>
        <w:widowControl/>
        <w:spacing w:before="0" w:line="360" w:lineRule="auto"/>
        <w:jc w:val="center"/>
        <w:rPr>
          <w:rFonts w:ascii="Times New Roman" w:hAnsi="Times New Roman" w:cs="Times New Roman"/>
          <w:color w:val="auto"/>
          <w:sz w:val="26"/>
          <w:szCs w:val="26"/>
        </w:rPr>
      </w:pPr>
      <w:bookmarkStart w:id="0" w:name="_Toc385423060"/>
      <w:r w:rsidRPr="00606A56">
        <w:rPr>
          <w:rFonts w:ascii="Times New Roman" w:hAnsi="Times New Roman" w:cs="Times New Roman"/>
          <w:color w:val="auto"/>
          <w:sz w:val="26"/>
          <w:szCs w:val="26"/>
        </w:rPr>
        <w:lastRenderedPageBreak/>
        <w:t>History of the Proceeding</w:t>
      </w:r>
      <w:bookmarkEnd w:id="0"/>
    </w:p>
    <w:p w:rsidR="00606A56" w:rsidRDefault="00606A56" w:rsidP="001E6867">
      <w:pPr>
        <w:keepNext/>
        <w:widowControl/>
        <w:spacing w:line="360" w:lineRule="auto"/>
      </w:pPr>
    </w:p>
    <w:p w:rsidR="00606A56" w:rsidRPr="00335C54" w:rsidRDefault="00606A56" w:rsidP="001E6867">
      <w:pPr>
        <w:widowControl/>
        <w:spacing w:line="360" w:lineRule="auto"/>
        <w:ind w:firstLine="1440"/>
        <w:rPr>
          <w:sz w:val="26"/>
          <w:szCs w:val="26"/>
        </w:rPr>
      </w:pPr>
      <w:r w:rsidRPr="00335C54">
        <w:rPr>
          <w:sz w:val="26"/>
          <w:szCs w:val="26"/>
        </w:rPr>
        <w:t>On March 10,</w:t>
      </w:r>
      <w:r>
        <w:rPr>
          <w:sz w:val="26"/>
          <w:szCs w:val="26"/>
        </w:rPr>
        <w:t xml:space="preserve"> 2014, </w:t>
      </w:r>
      <w:r w:rsidRPr="00335C54">
        <w:rPr>
          <w:sz w:val="26"/>
          <w:szCs w:val="26"/>
        </w:rPr>
        <w:t xml:space="preserve">PECO </w:t>
      </w:r>
      <w:r>
        <w:rPr>
          <w:sz w:val="26"/>
          <w:szCs w:val="26"/>
        </w:rPr>
        <w:t xml:space="preserve">filed </w:t>
      </w:r>
      <w:r w:rsidR="000427ED" w:rsidRPr="000427ED">
        <w:rPr>
          <w:sz w:val="26"/>
          <w:szCs w:val="26"/>
        </w:rPr>
        <w:t xml:space="preserve">with the Commission </w:t>
      </w:r>
      <w:r>
        <w:rPr>
          <w:sz w:val="26"/>
          <w:szCs w:val="26"/>
        </w:rPr>
        <w:t>a P</w:t>
      </w:r>
      <w:r w:rsidRPr="00335C54">
        <w:rPr>
          <w:sz w:val="26"/>
          <w:szCs w:val="26"/>
        </w:rPr>
        <w:t xml:space="preserve">etition </w:t>
      </w:r>
      <w:r>
        <w:rPr>
          <w:sz w:val="26"/>
          <w:szCs w:val="26"/>
        </w:rPr>
        <w:t xml:space="preserve">for Approval of its </w:t>
      </w:r>
      <w:r w:rsidRPr="00335C54">
        <w:rPr>
          <w:sz w:val="26"/>
          <w:szCs w:val="26"/>
        </w:rPr>
        <w:t>Default Ser</w:t>
      </w:r>
      <w:r>
        <w:rPr>
          <w:sz w:val="26"/>
          <w:szCs w:val="26"/>
        </w:rPr>
        <w:t>vice Program (</w:t>
      </w:r>
      <w:r w:rsidRPr="00E90D24">
        <w:rPr>
          <w:sz w:val="26"/>
          <w:szCs w:val="26"/>
        </w:rPr>
        <w:t>DSP III</w:t>
      </w:r>
      <w:r w:rsidRPr="00335C54">
        <w:rPr>
          <w:sz w:val="26"/>
          <w:szCs w:val="26"/>
        </w:rPr>
        <w:t>)</w:t>
      </w:r>
      <w:r>
        <w:rPr>
          <w:sz w:val="26"/>
          <w:szCs w:val="26"/>
        </w:rPr>
        <w:t xml:space="preserve"> for the Period from June 1, 2015 through May 31, 2017.</w:t>
      </w:r>
      <w:r w:rsidRPr="00335C54">
        <w:rPr>
          <w:sz w:val="26"/>
          <w:szCs w:val="26"/>
        </w:rPr>
        <w:t xml:space="preserve">  </w:t>
      </w:r>
      <w:r>
        <w:rPr>
          <w:sz w:val="26"/>
          <w:szCs w:val="26"/>
        </w:rPr>
        <w:t xml:space="preserve">PECO </w:t>
      </w:r>
      <w:r w:rsidRPr="00335C54">
        <w:rPr>
          <w:sz w:val="26"/>
          <w:szCs w:val="26"/>
        </w:rPr>
        <w:t xml:space="preserve">noted that this </w:t>
      </w:r>
      <w:r>
        <w:rPr>
          <w:sz w:val="26"/>
          <w:szCs w:val="26"/>
        </w:rPr>
        <w:t>P</w:t>
      </w:r>
      <w:r w:rsidRPr="00335C54">
        <w:rPr>
          <w:sz w:val="26"/>
          <w:szCs w:val="26"/>
        </w:rPr>
        <w:t>etition w</w:t>
      </w:r>
      <w:r>
        <w:rPr>
          <w:sz w:val="26"/>
          <w:szCs w:val="26"/>
        </w:rPr>
        <w:t xml:space="preserve">as filed for the period </w:t>
      </w:r>
      <w:r w:rsidRPr="00335C54">
        <w:rPr>
          <w:sz w:val="26"/>
          <w:szCs w:val="26"/>
        </w:rPr>
        <w:t>following the expiration of its current default service progra</w:t>
      </w:r>
      <w:r>
        <w:rPr>
          <w:sz w:val="26"/>
          <w:szCs w:val="26"/>
        </w:rPr>
        <w:t>m (</w:t>
      </w:r>
      <w:r w:rsidRPr="00E90D24">
        <w:rPr>
          <w:sz w:val="26"/>
          <w:szCs w:val="26"/>
        </w:rPr>
        <w:t>DSP II</w:t>
      </w:r>
      <w:r w:rsidRPr="00335C54">
        <w:rPr>
          <w:sz w:val="26"/>
          <w:szCs w:val="26"/>
        </w:rPr>
        <w:t>), in accordance with the Electricity Generation Customer Choice and Competition Act, 66 Pa.</w:t>
      </w:r>
      <w:r>
        <w:rPr>
          <w:sz w:val="26"/>
          <w:szCs w:val="26"/>
        </w:rPr>
        <w:t xml:space="preserve"> </w:t>
      </w:r>
      <w:r w:rsidRPr="00335C54">
        <w:rPr>
          <w:sz w:val="26"/>
          <w:szCs w:val="26"/>
        </w:rPr>
        <w:t xml:space="preserve">C.S. § 2801 </w:t>
      </w:r>
      <w:r w:rsidRPr="00335C54">
        <w:rPr>
          <w:i/>
          <w:sz w:val="26"/>
          <w:szCs w:val="26"/>
        </w:rPr>
        <w:t>et seq</w:t>
      </w:r>
      <w:r>
        <w:rPr>
          <w:sz w:val="26"/>
          <w:szCs w:val="26"/>
        </w:rPr>
        <w:t>. (</w:t>
      </w:r>
      <w:r w:rsidRPr="00E90D24">
        <w:rPr>
          <w:sz w:val="26"/>
          <w:szCs w:val="26"/>
        </w:rPr>
        <w:t>Competition Act</w:t>
      </w:r>
      <w:r w:rsidRPr="00335C54">
        <w:rPr>
          <w:sz w:val="26"/>
          <w:szCs w:val="26"/>
        </w:rPr>
        <w:t>).  The Program set forth in PECO’s DSP III Petition is designed to satisfy its obligation to furnish adequate and reliable service to default service customers at the least cost over time by procuring a prudent mix of long-term, short-term and spot market generation supplies.  As explained in the DSP III Petition, PECO proposed to continue most of the existing pro</w:t>
      </w:r>
      <w:r>
        <w:rPr>
          <w:sz w:val="26"/>
          <w:szCs w:val="26"/>
        </w:rPr>
        <w:t xml:space="preserve">grams in </w:t>
      </w:r>
      <w:r w:rsidRPr="00335C54">
        <w:rPr>
          <w:sz w:val="26"/>
          <w:szCs w:val="26"/>
        </w:rPr>
        <w:t>DSP II as approved by the Commission.</w:t>
      </w:r>
      <w:r w:rsidRPr="00335C54">
        <w:rPr>
          <w:rStyle w:val="FootnoteReference"/>
          <w:sz w:val="26"/>
          <w:szCs w:val="26"/>
        </w:rPr>
        <w:footnoteReference w:id="1"/>
      </w:r>
      <w:r w:rsidRPr="00335C54">
        <w:rPr>
          <w:sz w:val="26"/>
          <w:szCs w:val="26"/>
        </w:rPr>
        <w:t xml:space="preserve">  </w:t>
      </w:r>
    </w:p>
    <w:p w:rsidR="00606A56" w:rsidRPr="00335C54" w:rsidRDefault="00606A56" w:rsidP="001E6867">
      <w:pPr>
        <w:pStyle w:val="NoSpacing"/>
        <w:spacing w:line="360" w:lineRule="auto"/>
        <w:rPr>
          <w:szCs w:val="26"/>
        </w:rPr>
      </w:pPr>
    </w:p>
    <w:p w:rsidR="00606A56" w:rsidRPr="00335C54" w:rsidRDefault="00606A56" w:rsidP="001E6867">
      <w:pPr>
        <w:pStyle w:val="OutlineL2"/>
        <w:numPr>
          <w:ilvl w:val="0"/>
          <w:numId w:val="0"/>
        </w:numPr>
        <w:tabs>
          <w:tab w:val="num" w:pos="0"/>
        </w:tabs>
        <w:spacing w:after="0" w:line="360" w:lineRule="auto"/>
        <w:rPr>
          <w:sz w:val="26"/>
          <w:szCs w:val="26"/>
        </w:rPr>
      </w:pPr>
      <w:r w:rsidRPr="00335C54">
        <w:rPr>
          <w:sz w:val="26"/>
          <w:szCs w:val="26"/>
        </w:rPr>
        <w:tab/>
      </w:r>
      <w:r w:rsidRPr="00335C54">
        <w:rPr>
          <w:sz w:val="26"/>
          <w:szCs w:val="26"/>
        </w:rPr>
        <w:tab/>
        <w:t>Petitions to Intervene were filed by the Coalition for Affordable Utility Services and Ener</w:t>
      </w:r>
      <w:r>
        <w:rPr>
          <w:sz w:val="26"/>
          <w:szCs w:val="26"/>
        </w:rPr>
        <w:t>gy Efficiency in Pennsylvania (CAUSE-PA</w:t>
      </w:r>
      <w:r w:rsidRPr="00335C54">
        <w:rPr>
          <w:sz w:val="26"/>
          <w:szCs w:val="26"/>
        </w:rPr>
        <w:t xml:space="preserve">), </w:t>
      </w:r>
      <w:r>
        <w:rPr>
          <w:sz w:val="26"/>
          <w:szCs w:val="26"/>
        </w:rPr>
        <w:t>Direct Energy Services, LLC (</w:t>
      </w:r>
      <w:r w:rsidRPr="00335C54">
        <w:rPr>
          <w:sz w:val="26"/>
          <w:szCs w:val="26"/>
        </w:rPr>
        <w:t xml:space="preserve">Direct Energy), </w:t>
      </w:r>
      <w:r>
        <w:rPr>
          <w:sz w:val="26"/>
          <w:szCs w:val="26"/>
        </w:rPr>
        <w:t>First Energy Solutions Corp (</w:t>
      </w:r>
      <w:r w:rsidRPr="00335C54">
        <w:rPr>
          <w:sz w:val="26"/>
          <w:szCs w:val="26"/>
        </w:rPr>
        <w:t xml:space="preserve">FES), </w:t>
      </w:r>
      <w:r>
        <w:rPr>
          <w:sz w:val="26"/>
          <w:szCs w:val="26"/>
        </w:rPr>
        <w:t>Interstate Gas Supply (IGS</w:t>
      </w:r>
      <w:r w:rsidRPr="00335C54">
        <w:rPr>
          <w:sz w:val="26"/>
          <w:szCs w:val="26"/>
        </w:rPr>
        <w:t>), Next Era</w:t>
      </w:r>
      <w:r>
        <w:rPr>
          <w:sz w:val="26"/>
          <w:szCs w:val="26"/>
        </w:rPr>
        <w:t xml:space="preserve"> Energy Power Marketing, LLC, (</w:t>
      </w:r>
      <w:r w:rsidRPr="00335C54">
        <w:rPr>
          <w:sz w:val="26"/>
          <w:szCs w:val="26"/>
        </w:rPr>
        <w:t>NEPM), Noble A</w:t>
      </w:r>
      <w:r>
        <w:rPr>
          <w:sz w:val="26"/>
          <w:szCs w:val="26"/>
        </w:rPr>
        <w:t>mericas Energy Solutions, LLC (</w:t>
      </w:r>
      <w:r w:rsidRPr="00335C54">
        <w:rPr>
          <w:sz w:val="26"/>
          <w:szCs w:val="26"/>
        </w:rPr>
        <w:t>Noble), th</w:t>
      </w:r>
      <w:r>
        <w:rPr>
          <w:sz w:val="26"/>
          <w:szCs w:val="26"/>
        </w:rPr>
        <w:t>e PECO Energy Suppliers Group (</w:t>
      </w:r>
      <w:r w:rsidRPr="00335C54">
        <w:rPr>
          <w:sz w:val="26"/>
          <w:szCs w:val="26"/>
        </w:rPr>
        <w:t>PE</w:t>
      </w:r>
      <w:r>
        <w:rPr>
          <w:sz w:val="26"/>
          <w:szCs w:val="26"/>
        </w:rPr>
        <w:t>SG</w:t>
      </w:r>
      <w:r w:rsidRPr="00335C54">
        <w:rPr>
          <w:sz w:val="26"/>
          <w:szCs w:val="26"/>
        </w:rPr>
        <w:t>), PAIEUG, and RESA.  The Off</w:t>
      </w:r>
      <w:r>
        <w:rPr>
          <w:sz w:val="26"/>
          <w:szCs w:val="26"/>
        </w:rPr>
        <w:t>ice of Consumer Advocate (OCA</w:t>
      </w:r>
      <w:r w:rsidRPr="00335C54">
        <w:rPr>
          <w:sz w:val="26"/>
          <w:szCs w:val="26"/>
        </w:rPr>
        <w:t>) filed a Notice of Intervention, Public Statement and Answer.  The</w:t>
      </w:r>
      <w:r>
        <w:rPr>
          <w:sz w:val="26"/>
          <w:szCs w:val="26"/>
        </w:rPr>
        <w:t xml:space="preserve"> OSBA</w:t>
      </w:r>
      <w:r w:rsidRPr="00335C54">
        <w:rPr>
          <w:sz w:val="26"/>
          <w:szCs w:val="26"/>
        </w:rPr>
        <w:t xml:space="preserve"> filed a Notice of Intervention, Answer, Verification, Public Statement and Notice of Appearance.  CAUSE-PA and PAIEUG also filed Answers to the DSP III Petition.  </w:t>
      </w:r>
    </w:p>
    <w:p w:rsidR="00606A56" w:rsidRPr="00335C54" w:rsidRDefault="00606A56" w:rsidP="001E6867">
      <w:pPr>
        <w:widowControl/>
        <w:rPr>
          <w:sz w:val="26"/>
          <w:szCs w:val="26"/>
        </w:rPr>
      </w:pPr>
    </w:p>
    <w:p w:rsidR="00606A56" w:rsidRPr="00335C54" w:rsidRDefault="00606A56" w:rsidP="001E6867">
      <w:pPr>
        <w:widowControl/>
        <w:spacing w:line="360" w:lineRule="auto"/>
        <w:rPr>
          <w:b/>
          <w:sz w:val="26"/>
          <w:szCs w:val="26"/>
        </w:rPr>
      </w:pPr>
      <w:r w:rsidRPr="00335C54">
        <w:rPr>
          <w:sz w:val="26"/>
          <w:szCs w:val="26"/>
        </w:rPr>
        <w:lastRenderedPageBreak/>
        <w:tab/>
      </w:r>
      <w:r w:rsidRPr="00335C54">
        <w:rPr>
          <w:sz w:val="26"/>
          <w:szCs w:val="26"/>
        </w:rPr>
        <w:tab/>
      </w:r>
      <w:bookmarkStart w:id="1" w:name="_Toc398805318"/>
      <w:r w:rsidRPr="00335C54">
        <w:rPr>
          <w:sz w:val="26"/>
          <w:szCs w:val="26"/>
        </w:rPr>
        <w:t xml:space="preserve">An evidentiary hearing was held in the Commission’s Philadelphia Regional Office on July 17, 2014.  </w:t>
      </w:r>
      <w:bookmarkEnd w:id="1"/>
      <w:r>
        <w:rPr>
          <w:sz w:val="26"/>
          <w:szCs w:val="26"/>
        </w:rPr>
        <w:t>The P</w:t>
      </w:r>
      <w:r w:rsidRPr="00CE28B5">
        <w:rPr>
          <w:sz w:val="26"/>
          <w:szCs w:val="26"/>
        </w:rPr>
        <w:t xml:space="preserve">arties submitted </w:t>
      </w:r>
      <w:r>
        <w:rPr>
          <w:sz w:val="26"/>
          <w:szCs w:val="26"/>
        </w:rPr>
        <w:t>direct, rebuttal and surrebuttal testimony</w:t>
      </w:r>
      <w:r w:rsidRPr="00CE28B5">
        <w:rPr>
          <w:sz w:val="26"/>
          <w:szCs w:val="26"/>
        </w:rPr>
        <w:t>,</w:t>
      </w:r>
      <w:r>
        <w:rPr>
          <w:sz w:val="26"/>
          <w:szCs w:val="26"/>
        </w:rPr>
        <w:t xml:space="preserve"> along with various exhibits,</w:t>
      </w:r>
      <w:r w:rsidRPr="00CE28B5">
        <w:rPr>
          <w:sz w:val="26"/>
          <w:szCs w:val="26"/>
        </w:rPr>
        <w:t xml:space="preserve"> all of whi</w:t>
      </w:r>
      <w:r>
        <w:rPr>
          <w:sz w:val="26"/>
          <w:szCs w:val="26"/>
        </w:rPr>
        <w:t xml:space="preserve">ch were admitted into the record.  </w:t>
      </w:r>
    </w:p>
    <w:p w:rsidR="00606A56" w:rsidRPr="00335C54" w:rsidRDefault="00606A56" w:rsidP="001E6867">
      <w:pPr>
        <w:pStyle w:val="OutlineL2"/>
        <w:numPr>
          <w:ilvl w:val="0"/>
          <w:numId w:val="0"/>
        </w:numPr>
        <w:tabs>
          <w:tab w:val="num" w:pos="0"/>
        </w:tabs>
        <w:spacing w:after="0" w:line="240" w:lineRule="auto"/>
        <w:rPr>
          <w:sz w:val="26"/>
          <w:szCs w:val="26"/>
        </w:rPr>
      </w:pPr>
    </w:p>
    <w:p w:rsidR="00606A56" w:rsidRPr="00335C54" w:rsidRDefault="00606A56" w:rsidP="001E6867">
      <w:pPr>
        <w:pStyle w:val="OutlineL2"/>
        <w:numPr>
          <w:ilvl w:val="0"/>
          <w:numId w:val="0"/>
        </w:numPr>
        <w:tabs>
          <w:tab w:val="num" w:pos="0"/>
        </w:tabs>
        <w:spacing w:after="0" w:line="360" w:lineRule="auto"/>
        <w:rPr>
          <w:sz w:val="26"/>
          <w:szCs w:val="26"/>
        </w:rPr>
      </w:pPr>
      <w:r w:rsidRPr="00335C54">
        <w:rPr>
          <w:sz w:val="26"/>
          <w:szCs w:val="26"/>
        </w:rPr>
        <w:tab/>
      </w:r>
      <w:r w:rsidRPr="00335C54">
        <w:rPr>
          <w:sz w:val="26"/>
          <w:szCs w:val="26"/>
        </w:rPr>
        <w:tab/>
      </w:r>
      <w:bookmarkStart w:id="2" w:name="_Toc398805319"/>
      <w:r>
        <w:rPr>
          <w:sz w:val="26"/>
          <w:szCs w:val="26"/>
        </w:rPr>
        <w:t>Main B</w:t>
      </w:r>
      <w:r w:rsidRPr="00335C54">
        <w:rPr>
          <w:sz w:val="26"/>
          <w:szCs w:val="26"/>
        </w:rPr>
        <w:t>riefs were f</w:t>
      </w:r>
      <w:r>
        <w:rPr>
          <w:sz w:val="26"/>
          <w:szCs w:val="26"/>
        </w:rPr>
        <w:t>iled by PECO, the OCA, the OSBA, NEPM</w:t>
      </w:r>
      <w:r w:rsidRPr="00335C54">
        <w:rPr>
          <w:sz w:val="26"/>
          <w:szCs w:val="26"/>
        </w:rPr>
        <w:t>, PAIEUG and RESA</w:t>
      </w:r>
      <w:r>
        <w:rPr>
          <w:sz w:val="26"/>
          <w:szCs w:val="26"/>
        </w:rPr>
        <w:t xml:space="preserve"> on August 5, 2014</w:t>
      </w:r>
      <w:r w:rsidRPr="00335C54">
        <w:rPr>
          <w:sz w:val="26"/>
          <w:szCs w:val="26"/>
        </w:rPr>
        <w:t>.</w:t>
      </w:r>
      <w:bookmarkEnd w:id="2"/>
      <w:r w:rsidRPr="00335C54">
        <w:rPr>
          <w:sz w:val="26"/>
          <w:szCs w:val="26"/>
        </w:rPr>
        <w:t xml:space="preserve"> </w:t>
      </w:r>
    </w:p>
    <w:p w:rsidR="00606A56" w:rsidRPr="00335C54" w:rsidRDefault="00606A56" w:rsidP="001E6867">
      <w:pPr>
        <w:pStyle w:val="OutlineL2"/>
        <w:numPr>
          <w:ilvl w:val="0"/>
          <w:numId w:val="0"/>
        </w:numPr>
        <w:spacing w:after="0" w:line="360" w:lineRule="auto"/>
        <w:rPr>
          <w:sz w:val="26"/>
          <w:szCs w:val="26"/>
        </w:rPr>
      </w:pPr>
    </w:p>
    <w:p w:rsidR="00606A56" w:rsidRPr="00335C54" w:rsidRDefault="00606A56" w:rsidP="001E6867">
      <w:pPr>
        <w:widowControl/>
        <w:spacing w:line="360" w:lineRule="auto"/>
        <w:rPr>
          <w:sz w:val="26"/>
          <w:szCs w:val="26"/>
        </w:rPr>
      </w:pPr>
      <w:r w:rsidRPr="00335C54">
        <w:rPr>
          <w:sz w:val="26"/>
          <w:szCs w:val="26"/>
        </w:rPr>
        <w:tab/>
      </w:r>
      <w:r w:rsidRPr="00335C54">
        <w:rPr>
          <w:sz w:val="26"/>
          <w:szCs w:val="26"/>
        </w:rPr>
        <w:tab/>
      </w:r>
      <w:bookmarkStart w:id="3" w:name="_Toc398805320"/>
      <w:r w:rsidRPr="00335C54">
        <w:rPr>
          <w:sz w:val="26"/>
          <w:szCs w:val="26"/>
        </w:rPr>
        <w:t>After the submis</w:t>
      </w:r>
      <w:r>
        <w:rPr>
          <w:sz w:val="26"/>
          <w:szCs w:val="26"/>
        </w:rPr>
        <w:t>sion of written testimony, the P</w:t>
      </w:r>
      <w:r w:rsidRPr="00335C54">
        <w:rPr>
          <w:sz w:val="26"/>
          <w:szCs w:val="26"/>
        </w:rPr>
        <w:t xml:space="preserve">arties engaged in discussions to try to achieve a settlement of some or all of the issues in this case.  </w:t>
      </w:r>
      <w:r>
        <w:rPr>
          <w:sz w:val="26"/>
          <w:szCs w:val="26"/>
        </w:rPr>
        <w:t>Eventually, a</w:t>
      </w:r>
      <w:r w:rsidRPr="00335C54">
        <w:rPr>
          <w:sz w:val="26"/>
          <w:szCs w:val="26"/>
        </w:rPr>
        <w:t xml:space="preserve">s a result of those negotiations, </w:t>
      </w:r>
      <w:r>
        <w:rPr>
          <w:sz w:val="26"/>
          <w:szCs w:val="26"/>
        </w:rPr>
        <w:t>a Joint Petition for Partial Settlement (Joint Petition) was submitted by PECO, the OCA, the OSBA, CAUSE-PA, NEPM and RESA (</w:t>
      </w:r>
      <w:r w:rsidRPr="00335C54">
        <w:rPr>
          <w:sz w:val="26"/>
          <w:szCs w:val="26"/>
        </w:rPr>
        <w:t>the Joint Petitioners</w:t>
      </w:r>
      <w:r>
        <w:rPr>
          <w:sz w:val="26"/>
          <w:szCs w:val="26"/>
        </w:rPr>
        <w:t xml:space="preserve">) on August 28, 2014. </w:t>
      </w:r>
      <w:r w:rsidRPr="00335C54">
        <w:rPr>
          <w:sz w:val="26"/>
          <w:szCs w:val="26"/>
        </w:rPr>
        <w:t xml:space="preserve"> Statements in Support of the Joint</w:t>
      </w:r>
      <w:r>
        <w:rPr>
          <w:sz w:val="26"/>
          <w:szCs w:val="26"/>
        </w:rPr>
        <w:t xml:space="preserve"> Petition</w:t>
      </w:r>
      <w:r w:rsidRPr="00335C54">
        <w:rPr>
          <w:sz w:val="26"/>
          <w:szCs w:val="26"/>
        </w:rPr>
        <w:t xml:space="preserve"> were filed by the signatory parties.</w:t>
      </w:r>
      <w:r>
        <w:rPr>
          <w:sz w:val="26"/>
          <w:szCs w:val="26"/>
        </w:rPr>
        <w:t xml:space="preserve">  Within </w:t>
      </w:r>
      <w:r w:rsidRPr="00335C54">
        <w:rPr>
          <w:sz w:val="26"/>
          <w:szCs w:val="26"/>
        </w:rPr>
        <w:t xml:space="preserve">the </w:t>
      </w:r>
      <w:r>
        <w:rPr>
          <w:sz w:val="26"/>
          <w:szCs w:val="26"/>
        </w:rPr>
        <w:t xml:space="preserve">Partial Settlement, the Joint Petitioners </w:t>
      </w:r>
      <w:r w:rsidRPr="00335C54">
        <w:rPr>
          <w:sz w:val="26"/>
          <w:szCs w:val="26"/>
        </w:rPr>
        <w:t>agree</w:t>
      </w:r>
      <w:r>
        <w:rPr>
          <w:sz w:val="26"/>
          <w:szCs w:val="26"/>
        </w:rPr>
        <w:t>d</w:t>
      </w:r>
      <w:r w:rsidRPr="00335C54">
        <w:rPr>
          <w:sz w:val="26"/>
          <w:szCs w:val="26"/>
        </w:rPr>
        <w:t xml:space="preserve"> to a revised default service program consistent with PECO’</w:t>
      </w:r>
      <w:r>
        <w:rPr>
          <w:sz w:val="26"/>
          <w:szCs w:val="26"/>
        </w:rPr>
        <w:t>s DSP III Petition (Revised DSP III</w:t>
      </w:r>
      <w:r w:rsidRPr="00335C54">
        <w:rPr>
          <w:sz w:val="26"/>
          <w:szCs w:val="26"/>
        </w:rPr>
        <w:t xml:space="preserve">).  The Joint Petitioners notified the </w:t>
      </w:r>
      <w:r>
        <w:rPr>
          <w:sz w:val="26"/>
          <w:szCs w:val="26"/>
        </w:rPr>
        <w:t>ALJ</w:t>
      </w:r>
      <w:r w:rsidRPr="00335C54">
        <w:rPr>
          <w:sz w:val="26"/>
          <w:szCs w:val="26"/>
        </w:rPr>
        <w:t xml:space="preserve"> of the Partial Settlement on August 18, 2014.  By O</w:t>
      </w:r>
      <w:r>
        <w:rPr>
          <w:sz w:val="26"/>
          <w:szCs w:val="26"/>
        </w:rPr>
        <w:t>rder dated August 19, 2014, the ALJ</w:t>
      </w:r>
      <w:r w:rsidRPr="00335C54">
        <w:rPr>
          <w:sz w:val="26"/>
          <w:szCs w:val="26"/>
        </w:rPr>
        <w:t xml:space="preserve"> revised the procedural sched</w:t>
      </w:r>
      <w:r>
        <w:rPr>
          <w:sz w:val="26"/>
          <w:szCs w:val="26"/>
        </w:rPr>
        <w:t xml:space="preserve">ule </w:t>
      </w:r>
      <w:r w:rsidRPr="00335C54">
        <w:rPr>
          <w:sz w:val="26"/>
          <w:szCs w:val="26"/>
        </w:rPr>
        <w:t>to defer the filing of Reply Briefs to address the two issues reserved for litigation until September 4, 2014.</w:t>
      </w:r>
      <w:bookmarkEnd w:id="3"/>
    </w:p>
    <w:p w:rsidR="00606A56" w:rsidRPr="00335C54" w:rsidRDefault="00606A56" w:rsidP="001E6867">
      <w:pPr>
        <w:widowControl/>
        <w:spacing w:line="360" w:lineRule="auto"/>
        <w:rPr>
          <w:sz w:val="26"/>
          <w:szCs w:val="26"/>
          <w:highlight w:val="yellow"/>
        </w:rPr>
      </w:pPr>
    </w:p>
    <w:p w:rsidR="00606A56" w:rsidRPr="00335C54" w:rsidRDefault="00606A56" w:rsidP="001E6867">
      <w:pPr>
        <w:widowControl/>
        <w:spacing w:line="360" w:lineRule="auto"/>
        <w:rPr>
          <w:sz w:val="26"/>
          <w:szCs w:val="26"/>
        </w:rPr>
      </w:pPr>
      <w:r w:rsidRPr="00335C54">
        <w:rPr>
          <w:sz w:val="26"/>
          <w:szCs w:val="26"/>
        </w:rPr>
        <w:tab/>
      </w:r>
      <w:r w:rsidRPr="00335C54">
        <w:rPr>
          <w:sz w:val="26"/>
          <w:szCs w:val="26"/>
        </w:rPr>
        <w:tab/>
        <w:t>PAIEUG filed a letter of o</w:t>
      </w:r>
      <w:r>
        <w:rPr>
          <w:sz w:val="26"/>
          <w:szCs w:val="26"/>
        </w:rPr>
        <w:t>pposition to the Joint Petition</w:t>
      </w:r>
      <w:r w:rsidRPr="00335C54">
        <w:rPr>
          <w:sz w:val="26"/>
          <w:szCs w:val="26"/>
        </w:rPr>
        <w:t>.  Noble and FES submitted letters of non-opposition to th</w:t>
      </w:r>
      <w:r>
        <w:rPr>
          <w:sz w:val="26"/>
          <w:szCs w:val="26"/>
        </w:rPr>
        <w:t>e Joint Petition</w:t>
      </w:r>
      <w:r w:rsidRPr="00335C54">
        <w:rPr>
          <w:sz w:val="26"/>
          <w:szCs w:val="26"/>
        </w:rPr>
        <w:t xml:space="preserve">.  In Noble’s letter it offered points to confirm its understanding of the Joint Petition and clarify its position on certain limited matters. </w:t>
      </w:r>
    </w:p>
    <w:p w:rsidR="00606A56" w:rsidRPr="00335C54" w:rsidRDefault="00606A56" w:rsidP="001E6867">
      <w:pPr>
        <w:widowControl/>
        <w:rPr>
          <w:sz w:val="26"/>
          <w:szCs w:val="26"/>
        </w:rPr>
      </w:pPr>
    </w:p>
    <w:p w:rsidR="00606A56" w:rsidRPr="00335C54" w:rsidRDefault="00606A56" w:rsidP="001E6867">
      <w:pPr>
        <w:widowControl/>
        <w:spacing w:line="360" w:lineRule="auto"/>
        <w:rPr>
          <w:sz w:val="26"/>
          <w:szCs w:val="26"/>
        </w:rPr>
      </w:pPr>
      <w:r w:rsidRPr="00335C54">
        <w:rPr>
          <w:sz w:val="26"/>
          <w:szCs w:val="26"/>
        </w:rPr>
        <w:tab/>
      </w:r>
      <w:r w:rsidRPr="00335C54">
        <w:rPr>
          <w:sz w:val="26"/>
          <w:szCs w:val="26"/>
        </w:rPr>
        <w:tab/>
      </w:r>
      <w:r>
        <w:rPr>
          <w:sz w:val="26"/>
          <w:szCs w:val="26"/>
        </w:rPr>
        <w:t xml:space="preserve">Reply Briefs were filed on </w:t>
      </w:r>
      <w:r w:rsidRPr="00335C54">
        <w:rPr>
          <w:sz w:val="26"/>
          <w:szCs w:val="26"/>
        </w:rPr>
        <w:t>September 4, 2014</w:t>
      </w:r>
      <w:r>
        <w:rPr>
          <w:sz w:val="26"/>
          <w:szCs w:val="26"/>
        </w:rPr>
        <w:t>, by</w:t>
      </w:r>
      <w:r w:rsidRPr="00335C54">
        <w:rPr>
          <w:sz w:val="26"/>
          <w:szCs w:val="26"/>
        </w:rPr>
        <w:t xml:space="preserve"> PECO, </w:t>
      </w:r>
      <w:r>
        <w:rPr>
          <w:sz w:val="26"/>
          <w:szCs w:val="26"/>
        </w:rPr>
        <w:t xml:space="preserve">the </w:t>
      </w:r>
      <w:r w:rsidRPr="00335C54">
        <w:rPr>
          <w:sz w:val="26"/>
          <w:szCs w:val="26"/>
        </w:rPr>
        <w:t xml:space="preserve">OSBA, PAIEUG and RESA.  </w:t>
      </w:r>
    </w:p>
    <w:p w:rsidR="00606A56" w:rsidRPr="00335C54" w:rsidRDefault="00606A56" w:rsidP="001E6867">
      <w:pPr>
        <w:widowControl/>
        <w:rPr>
          <w:sz w:val="26"/>
          <w:szCs w:val="26"/>
        </w:rPr>
      </w:pPr>
    </w:p>
    <w:p w:rsidR="00606A56" w:rsidRPr="00335C54" w:rsidRDefault="00606A56" w:rsidP="001E6867">
      <w:pPr>
        <w:pStyle w:val="OutlineL2"/>
        <w:numPr>
          <w:ilvl w:val="0"/>
          <w:numId w:val="0"/>
        </w:numPr>
        <w:tabs>
          <w:tab w:val="num" w:pos="0"/>
        </w:tabs>
        <w:spacing w:after="0" w:line="360" w:lineRule="auto"/>
        <w:rPr>
          <w:b/>
          <w:sz w:val="26"/>
          <w:szCs w:val="26"/>
        </w:rPr>
      </w:pPr>
      <w:r w:rsidRPr="00335C54">
        <w:rPr>
          <w:b/>
          <w:i/>
          <w:sz w:val="26"/>
          <w:szCs w:val="26"/>
        </w:rPr>
        <w:tab/>
      </w:r>
      <w:r w:rsidRPr="00335C54">
        <w:rPr>
          <w:b/>
          <w:i/>
          <w:sz w:val="26"/>
          <w:szCs w:val="26"/>
        </w:rPr>
        <w:tab/>
      </w:r>
      <w:bookmarkStart w:id="4" w:name="_Toc398805321"/>
      <w:r w:rsidRPr="00335C54">
        <w:rPr>
          <w:sz w:val="26"/>
          <w:szCs w:val="26"/>
        </w:rPr>
        <w:t>The record consists of a 153</w:t>
      </w:r>
      <w:r>
        <w:rPr>
          <w:sz w:val="26"/>
          <w:szCs w:val="26"/>
        </w:rPr>
        <w:t>-</w:t>
      </w:r>
      <w:r w:rsidRPr="00335C54">
        <w:rPr>
          <w:sz w:val="26"/>
          <w:szCs w:val="26"/>
        </w:rPr>
        <w:t>page transcript</w:t>
      </w:r>
      <w:r w:rsidRPr="00335C54">
        <w:rPr>
          <w:b/>
          <w:i/>
          <w:sz w:val="26"/>
          <w:szCs w:val="26"/>
        </w:rPr>
        <w:t xml:space="preserve">, </w:t>
      </w:r>
      <w:r w:rsidRPr="00335C54">
        <w:rPr>
          <w:sz w:val="26"/>
          <w:szCs w:val="26"/>
        </w:rPr>
        <w:t>PECO’s Petition with attachments, the s</w:t>
      </w:r>
      <w:r>
        <w:rPr>
          <w:sz w:val="26"/>
          <w:szCs w:val="26"/>
        </w:rPr>
        <w:t>tatements and exhibits of the P</w:t>
      </w:r>
      <w:r w:rsidRPr="00335C54">
        <w:rPr>
          <w:sz w:val="26"/>
          <w:szCs w:val="26"/>
        </w:rPr>
        <w:t>arties, the Joint Petition For Partial Settlement with attachments,</w:t>
      </w:r>
      <w:r w:rsidRPr="00335C54">
        <w:rPr>
          <w:b/>
          <w:i/>
          <w:sz w:val="26"/>
          <w:szCs w:val="26"/>
        </w:rPr>
        <w:t xml:space="preserve"> </w:t>
      </w:r>
      <w:r>
        <w:rPr>
          <w:sz w:val="26"/>
          <w:szCs w:val="26"/>
        </w:rPr>
        <w:t>the Main B</w:t>
      </w:r>
      <w:r w:rsidRPr="00335C54">
        <w:rPr>
          <w:sz w:val="26"/>
          <w:szCs w:val="26"/>
        </w:rPr>
        <w:t xml:space="preserve">riefs filed by </w:t>
      </w:r>
      <w:r>
        <w:rPr>
          <w:sz w:val="26"/>
          <w:szCs w:val="26"/>
        </w:rPr>
        <w:t xml:space="preserve">PECO, the OCA, the OSBA, </w:t>
      </w:r>
      <w:r>
        <w:rPr>
          <w:sz w:val="26"/>
          <w:szCs w:val="26"/>
        </w:rPr>
        <w:lastRenderedPageBreak/>
        <w:t>Noble, NEPM</w:t>
      </w:r>
      <w:r w:rsidRPr="00335C54">
        <w:rPr>
          <w:sz w:val="26"/>
          <w:szCs w:val="26"/>
        </w:rPr>
        <w:t>, PAIEUG and RESA, PAIEUG’s</w:t>
      </w:r>
      <w:r w:rsidRPr="00335C54">
        <w:rPr>
          <w:b/>
          <w:i/>
          <w:sz w:val="26"/>
          <w:szCs w:val="26"/>
        </w:rPr>
        <w:t xml:space="preserve"> </w:t>
      </w:r>
      <w:r w:rsidRPr="00335C54">
        <w:rPr>
          <w:sz w:val="26"/>
          <w:szCs w:val="26"/>
        </w:rPr>
        <w:t xml:space="preserve">letter opposing the settlement, letters from Noble and FES indicating that they did not </w:t>
      </w:r>
      <w:r>
        <w:rPr>
          <w:sz w:val="26"/>
          <w:szCs w:val="26"/>
        </w:rPr>
        <w:t>oppose the settlement, and the R</w:t>
      </w:r>
      <w:r w:rsidRPr="00335C54">
        <w:rPr>
          <w:sz w:val="26"/>
          <w:szCs w:val="26"/>
        </w:rPr>
        <w:t>eply</w:t>
      </w:r>
      <w:r w:rsidRPr="00335C54">
        <w:rPr>
          <w:b/>
          <w:i/>
          <w:sz w:val="26"/>
          <w:szCs w:val="26"/>
        </w:rPr>
        <w:t xml:space="preserve"> </w:t>
      </w:r>
      <w:r>
        <w:rPr>
          <w:sz w:val="26"/>
          <w:szCs w:val="26"/>
        </w:rPr>
        <w:t>B</w:t>
      </w:r>
      <w:r w:rsidRPr="00335C54">
        <w:rPr>
          <w:sz w:val="26"/>
          <w:szCs w:val="26"/>
        </w:rPr>
        <w:t xml:space="preserve">riefs filed by PECO, </w:t>
      </w:r>
      <w:r>
        <w:rPr>
          <w:sz w:val="26"/>
          <w:szCs w:val="26"/>
        </w:rPr>
        <w:t xml:space="preserve">the </w:t>
      </w:r>
      <w:r w:rsidRPr="00335C54">
        <w:rPr>
          <w:sz w:val="26"/>
          <w:szCs w:val="26"/>
        </w:rPr>
        <w:t>OSBA, PAIEUG and RESA</w:t>
      </w:r>
      <w:r w:rsidRPr="00335C54">
        <w:rPr>
          <w:i/>
          <w:sz w:val="26"/>
          <w:szCs w:val="26"/>
        </w:rPr>
        <w:t>.</w:t>
      </w:r>
      <w:bookmarkEnd w:id="4"/>
      <w:r w:rsidRPr="00335C54">
        <w:rPr>
          <w:sz w:val="26"/>
          <w:szCs w:val="26"/>
        </w:rPr>
        <w:t xml:space="preserve">  The record closed on September</w:t>
      </w:r>
      <w:r>
        <w:rPr>
          <w:sz w:val="26"/>
          <w:szCs w:val="26"/>
        </w:rPr>
        <w:t> </w:t>
      </w:r>
      <w:r w:rsidRPr="00335C54">
        <w:rPr>
          <w:sz w:val="26"/>
          <w:szCs w:val="26"/>
        </w:rPr>
        <w:t>4, 2014.</w:t>
      </w:r>
    </w:p>
    <w:p w:rsidR="00606A56" w:rsidRDefault="00606A56" w:rsidP="001E6867">
      <w:pPr>
        <w:widowControl/>
        <w:spacing w:line="360" w:lineRule="auto"/>
      </w:pPr>
    </w:p>
    <w:p w:rsidR="00606A56" w:rsidRDefault="00606A56" w:rsidP="001E6867">
      <w:pPr>
        <w:widowControl/>
        <w:spacing w:line="360" w:lineRule="auto"/>
        <w:rPr>
          <w:sz w:val="26"/>
          <w:szCs w:val="26"/>
        </w:rPr>
      </w:pPr>
      <w:r>
        <w:tab/>
      </w:r>
      <w:r w:rsidRPr="00CA34E9">
        <w:rPr>
          <w:sz w:val="26"/>
          <w:szCs w:val="26"/>
        </w:rPr>
        <w:tab/>
        <w:t>In a Recommended Decision issued on September 30, 2014, ALJ Fordham recommended</w:t>
      </w:r>
      <w:r>
        <w:rPr>
          <w:sz w:val="26"/>
          <w:szCs w:val="26"/>
        </w:rPr>
        <w:t xml:space="preserve">, </w:t>
      </w:r>
      <w:r>
        <w:rPr>
          <w:i/>
          <w:sz w:val="26"/>
          <w:szCs w:val="26"/>
        </w:rPr>
        <w:t xml:space="preserve">inter alia, </w:t>
      </w:r>
      <w:r>
        <w:rPr>
          <w:sz w:val="26"/>
          <w:szCs w:val="26"/>
        </w:rPr>
        <w:t>approval of the Joint Petition without modification, approval of PECO’s proposed procurement plan for the Company’s Medium Commercial Class, approval of PECO’s proposal regarding recovery of certain PJM Interconnection, L.L.C. (PJM) charges and approval of PAIEUG’s request to allow Large Commercial and Industrial (Large C&amp;I) customers to continue to remit transmission and transmission-related charges to their Electric Generation Suppliers (EGSs).  R.D. at 1.</w:t>
      </w:r>
    </w:p>
    <w:p w:rsidR="00606A56" w:rsidRDefault="00606A56" w:rsidP="001E6867">
      <w:pPr>
        <w:widowControl/>
        <w:rPr>
          <w:sz w:val="26"/>
          <w:szCs w:val="26"/>
        </w:rPr>
      </w:pPr>
    </w:p>
    <w:p w:rsidR="00606A56" w:rsidRDefault="00606A56" w:rsidP="001E6867">
      <w:pPr>
        <w:widowControl/>
        <w:spacing w:line="360" w:lineRule="auto"/>
        <w:rPr>
          <w:sz w:val="26"/>
          <w:szCs w:val="26"/>
        </w:rPr>
      </w:pPr>
      <w:r>
        <w:rPr>
          <w:sz w:val="26"/>
          <w:szCs w:val="26"/>
        </w:rPr>
        <w:tab/>
      </w:r>
      <w:r>
        <w:rPr>
          <w:sz w:val="26"/>
          <w:szCs w:val="26"/>
        </w:rPr>
        <w:tab/>
        <w:t>As noted, Exceptions were filed by PECO, RESA, the OSBA and PAIEUG on October 10, 2014.  On October 17, 2014, PECO, RESA and PAIEUG filed Replies to Exceptions.</w:t>
      </w:r>
    </w:p>
    <w:p w:rsidR="00D82F2C" w:rsidRDefault="00D82F2C" w:rsidP="001E6867">
      <w:pPr>
        <w:widowControl/>
        <w:spacing w:line="360" w:lineRule="auto"/>
        <w:rPr>
          <w:sz w:val="26"/>
          <w:szCs w:val="26"/>
        </w:rPr>
      </w:pPr>
    </w:p>
    <w:p w:rsidR="000427ED" w:rsidRDefault="00D82F2C" w:rsidP="001E6867">
      <w:pPr>
        <w:widowControl/>
        <w:spacing w:line="360" w:lineRule="auto"/>
        <w:rPr>
          <w:sz w:val="26"/>
          <w:szCs w:val="26"/>
        </w:rPr>
      </w:pPr>
      <w:r>
        <w:rPr>
          <w:sz w:val="26"/>
          <w:szCs w:val="26"/>
        </w:rPr>
        <w:tab/>
      </w:r>
      <w:r>
        <w:rPr>
          <w:sz w:val="26"/>
          <w:szCs w:val="26"/>
        </w:rPr>
        <w:tab/>
        <w:t xml:space="preserve">In our </w:t>
      </w:r>
      <w:r>
        <w:rPr>
          <w:i/>
          <w:sz w:val="26"/>
          <w:szCs w:val="26"/>
        </w:rPr>
        <w:t>December 2014 Order,</w:t>
      </w:r>
      <w:r>
        <w:rPr>
          <w:sz w:val="26"/>
          <w:szCs w:val="26"/>
        </w:rPr>
        <w:t xml:space="preserve"> we granted the Exceptions filed by PECO, granted</w:t>
      </w:r>
      <w:r w:rsidR="00483BFD">
        <w:rPr>
          <w:sz w:val="26"/>
          <w:szCs w:val="26"/>
        </w:rPr>
        <w:t>, in part,</w:t>
      </w:r>
      <w:r>
        <w:rPr>
          <w:sz w:val="26"/>
          <w:szCs w:val="26"/>
        </w:rPr>
        <w:t xml:space="preserve"> the Exceptions filed by RESA, and denied the Exceptions of the OSBA and PAIEUG.  Further, we adopted the Recommended Decision, i</w:t>
      </w:r>
      <w:r w:rsidR="00AB6128">
        <w:rPr>
          <w:sz w:val="26"/>
          <w:szCs w:val="26"/>
        </w:rPr>
        <w:t>n part, and approved the Joint Petition for P</w:t>
      </w:r>
      <w:r>
        <w:rPr>
          <w:sz w:val="26"/>
          <w:szCs w:val="26"/>
        </w:rPr>
        <w:t>artial Settlement</w:t>
      </w:r>
      <w:r w:rsidR="00AB6128">
        <w:rPr>
          <w:sz w:val="26"/>
          <w:szCs w:val="26"/>
        </w:rPr>
        <w:t>,</w:t>
      </w:r>
      <w:r>
        <w:rPr>
          <w:sz w:val="26"/>
          <w:szCs w:val="26"/>
        </w:rPr>
        <w:t xml:space="preserve"> without modification.</w:t>
      </w:r>
      <w:r w:rsidR="009A00F9">
        <w:rPr>
          <w:sz w:val="26"/>
          <w:szCs w:val="26"/>
        </w:rPr>
        <w:t xml:space="preserve">  As previously stated, the OSBA filed the instant Petition </w:t>
      </w:r>
      <w:r w:rsidR="00483BFD">
        <w:rPr>
          <w:sz w:val="26"/>
          <w:szCs w:val="26"/>
        </w:rPr>
        <w:t xml:space="preserve">seeking reconsideration of our </w:t>
      </w:r>
      <w:r w:rsidR="00483BFD" w:rsidRPr="00483BFD">
        <w:rPr>
          <w:i/>
          <w:sz w:val="26"/>
          <w:szCs w:val="26"/>
        </w:rPr>
        <w:t>December 2014 Order</w:t>
      </w:r>
      <w:r w:rsidR="00483BFD">
        <w:rPr>
          <w:sz w:val="26"/>
          <w:szCs w:val="26"/>
        </w:rPr>
        <w:t xml:space="preserve"> </w:t>
      </w:r>
      <w:r w:rsidR="009A00F9">
        <w:rPr>
          <w:sz w:val="26"/>
          <w:szCs w:val="26"/>
        </w:rPr>
        <w:t xml:space="preserve">on December 19, 2014.  By Order entered December 22, 2014, we granted the Petition, pending further review of, and consideration on, the merits.  On December 29, </w:t>
      </w:r>
      <w:r w:rsidR="000427ED">
        <w:rPr>
          <w:sz w:val="26"/>
          <w:szCs w:val="26"/>
        </w:rPr>
        <w:t xml:space="preserve">2014, </w:t>
      </w:r>
      <w:r w:rsidR="009A00F9">
        <w:rPr>
          <w:sz w:val="26"/>
          <w:szCs w:val="26"/>
        </w:rPr>
        <w:t>PECO and RESA filed Answers to the Petition.</w:t>
      </w:r>
    </w:p>
    <w:p w:rsidR="00D82F2C" w:rsidRPr="00D82F2C" w:rsidRDefault="00D82F2C" w:rsidP="001E6867">
      <w:pPr>
        <w:widowControl/>
        <w:spacing w:line="360" w:lineRule="auto"/>
        <w:rPr>
          <w:sz w:val="26"/>
          <w:szCs w:val="26"/>
        </w:rPr>
      </w:pPr>
      <w:r>
        <w:rPr>
          <w:sz w:val="26"/>
          <w:szCs w:val="26"/>
        </w:rPr>
        <w:t xml:space="preserve"> </w:t>
      </w:r>
    </w:p>
    <w:p w:rsidR="00470D9C" w:rsidRDefault="00470D9C" w:rsidP="001E6867">
      <w:pPr>
        <w:keepNext/>
        <w:keepLines/>
        <w:widowControl/>
        <w:spacing w:line="360" w:lineRule="auto"/>
        <w:jc w:val="center"/>
        <w:rPr>
          <w:b/>
          <w:sz w:val="26"/>
          <w:szCs w:val="26"/>
        </w:rPr>
      </w:pPr>
      <w:r>
        <w:rPr>
          <w:b/>
          <w:sz w:val="26"/>
          <w:szCs w:val="26"/>
        </w:rPr>
        <w:lastRenderedPageBreak/>
        <w:t>Discussion</w:t>
      </w:r>
    </w:p>
    <w:p w:rsidR="00656DAC" w:rsidRDefault="00656DAC" w:rsidP="001E6867">
      <w:pPr>
        <w:keepNext/>
        <w:keepLines/>
        <w:widowControl/>
        <w:spacing w:line="360" w:lineRule="auto"/>
        <w:jc w:val="center"/>
        <w:rPr>
          <w:b/>
          <w:sz w:val="26"/>
          <w:szCs w:val="26"/>
        </w:rPr>
      </w:pPr>
    </w:p>
    <w:p w:rsidR="00656DAC" w:rsidRPr="00116593" w:rsidRDefault="00656DAC" w:rsidP="001E6867">
      <w:pPr>
        <w:widowControl/>
        <w:suppressAutoHyphens/>
        <w:spacing w:line="360" w:lineRule="auto"/>
        <w:ind w:firstLine="1440"/>
        <w:rPr>
          <w:rFonts w:ascii="Times New (W1)" w:hAnsi="Times New (W1)"/>
          <w:sz w:val="26"/>
        </w:rPr>
      </w:pPr>
      <w:r w:rsidRPr="00116593">
        <w:rPr>
          <w:rFonts w:ascii="Times New (W1)" w:hAnsi="Times New (W1)"/>
          <w:sz w:val="26"/>
        </w:rPr>
        <w:t xml:space="preserve">Before addressing the Petition, we note that any issue not specifically discussed shall be deemed to have been duly considered and denied without further discussion.  The Commission is not required to consider expressly or at length each contention or argument raised by the parties.  </w:t>
      </w:r>
      <w:r w:rsidRPr="00116593">
        <w:rPr>
          <w:rFonts w:ascii="Times New (W1)" w:hAnsi="Times New (W1)"/>
          <w:i/>
          <w:sz w:val="26"/>
        </w:rPr>
        <w:t xml:space="preserve">Consolidated Rail Corp. v. Pennsylvania Public Utility Commission, </w:t>
      </w:r>
      <w:r w:rsidRPr="00116593">
        <w:rPr>
          <w:rFonts w:ascii="Times New (W1)" w:hAnsi="Times New (W1)"/>
          <w:sz w:val="26"/>
        </w:rPr>
        <w:t>625 A.2d 741 (Pa. Cmwlth. 1993).</w:t>
      </w:r>
    </w:p>
    <w:p w:rsidR="00E20081" w:rsidRDefault="00E20081" w:rsidP="001E6867">
      <w:pPr>
        <w:widowControl/>
        <w:suppressAutoHyphens/>
        <w:spacing w:line="360" w:lineRule="auto"/>
        <w:rPr>
          <w:color w:val="000000"/>
          <w:spacing w:val="-3"/>
          <w:sz w:val="26"/>
          <w:u w:color="000000"/>
        </w:rPr>
      </w:pPr>
    </w:p>
    <w:p w:rsidR="002D081C" w:rsidRDefault="00E20081" w:rsidP="001E6867">
      <w:pPr>
        <w:widowControl/>
        <w:suppressAutoHyphens/>
        <w:spacing w:line="360" w:lineRule="auto"/>
        <w:rPr>
          <w:color w:val="000000"/>
          <w:spacing w:val="-3"/>
          <w:sz w:val="26"/>
          <w:u w:color="000000"/>
        </w:rPr>
      </w:pPr>
      <w:r>
        <w:rPr>
          <w:b/>
          <w:i/>
          <w:color w:val="000000"/>
          <w:spacing w:val="-3"/>
          <w:sz w:val="26"/>
          <w:u w:color="000000"/>
        </w:rPr>
        <w:t>December 2014 Order</w:t>
      </w:r>
      <w:r w:rsidR="00656DAC" w:rsidRPr="00116593">
        <w:rPr>
          <w:color w:val="000000"/>
          <w:spacing w:val="-3"/>
          <w:sz w:val="26"/>
          <w:u w:color="000000"/>
        </w:rPr>
        <w:t xml:space="preserve"> </w:t>
      </w:r>
    </w:p>
    <w:p w:rsidR="00556C5F" w:rsidRDefault="00556C5F" w:rsidP="001E6867">
      <w:pPr>
        <w:widowControl/>
        <w:suppressAutoHyphens/>
        <w:spacing w:line="360" w:lineRule="auto"/>
        <w:rPr>
          <w:color w:val="000000"/>
          <w:spacing w:val="-3"/>
          <w:sz w:val="26"/>
          <w:u w:color="000000"/>
        </w:rPr>
      </w:pPr>
    </w:p>
    <w:p w:rsidR="007819E1" w:rsidRDefault="00556C5F" w:rsidP="001E6867">
      <w:pPr>
        <w:widowControl/>
        <w:suppressAutoHyphens/>
        <w:spacing w:line="360" w:lineRule="auto"/>
        <w:rPr>
          <w:color w:val="000000"/>
          <w:spacing w:val="-3"/>
          <w:sz w:val="26"/>
          <w:u w:color="000000"/>
        </w:rPr>
      </w:pPr>
      <w:r>
        <w:rPr>
          <w:color w:val="000000"/>
          <w:spacing w:val="-3"/>
          <w:sz w:val="26"/>
          <w:u w:color="000000"/>
        </w:rPr>
        <w:tab/>
      </w:r>
      <w:r>
        <w:rPr>
          <w:color w:val="000000"/>
          <w:spacing w:val="-3"/>
          <w:sz w:val="26"/>
          <w:u w:color="000000"/>
        </w:rPr>
        <w:tab/>
        <w:t xml:space="preserve">In our </w:t>
      </w:r>
      <w:r>
        <w:rPr>
          <w:i/>
          <w:color w:val="000000"/>
          <w:spacing w:val="-3"/>
          <w:sz w:val="26"/>
          <w:u w:color="000000"/>
        </w:rPr>
        <w:t xml:space="preserve">December 2014 Order, </w:t>
      </w:r>
      <w:r>
        <w:rPr>
          <w:color w:val="000000"/>
          <w:spacing w:val="-3"/>
          <w:sz w:val="26"/>
          <w:u w:color="000000"/>
        </w:rPr>
        <w:t xml:space="preserve">we </w:t>
      </w:r>
      <w:r w:rsidR="00D63ECC">
        <w:rPr>
          <w:color w:val="000000"/>
          <w:spacing w:val="-3"/>
          <w:sz w:val="26"/>
          <w:u w:color="000000"/>
        </w:rPr>
        <w:t xml:space="preserve">adopted the Joint Petition for Partial Settlement (Partial Settlement) submitted by the Parties in PECO’s DSP III proceeding covering all issues except for two:  Medium Commercial class procurement and the recovery of certain PJM charges.  Within the Partial Settlement, however, PECO </w:t>
      </w:r>
      <w:r w:rsidR="002675A3">
        <w:rPr>
          <w:color w:val="000000"/>
          <w:spacing w:val="-3"/>
          <w:sz w:val="26"/>
          <w:u w:color="000000"/>
        </w:rPr>
        <w:t xml:space="preserve">agreed to </w:t>
      </w:r>
      <w:r w:rsidR="00D63ECC">
        <w:rPr>
          <w:color w:val="000000"/>
          <w:spacing w:val="-3"/>
          <w:sz w:val="26"/>
          <w:u w:color="000000"/>
        </w:rPr>
        <w:t xml:space="preserve">support the implementation of hourly priced default service for Medium Commercial customers in litigation of that issue </w:t>
      </w:r>
      <w:r w:rsidR="00890622">
        <w:rPr>
          <w:color w:val="000000"/>
          <w:spacing w:val="-3"/>
          <w:sz w:val="26"/>
          <w:u w:color="000000"/>
        </w:rPr>
        <w:t xml:space="preserve">and </w:t>
      </w:r>
      <w:r w:rsidR="00D63ECC">
        <w:rPr>
          <w:color w:val="000000"/>
          <w:spacing w:val="-3"/>
          <w:sz w:val="26"/>
          <w:u w:color="000000"/>
        </w:rPr>
        <w:t xml:space="preserve">in accordance with various safeguards </w:t>
      </w:r>
      <w:r w:rsidR="00890622">
        <w:rPr>
          <w:color w:val="000000"/>
          <w:spacing w:val="-3"/>
          <w:sz w:val="26"/>
          <w:u w:color="000000"/>
        </w:rPr>
        <w:t xml:space="preserve">agreed to and </w:t>
      </w:r>
      <w:r w:rsidR="00D63ECC">
        <w:rPr>
          <w:color w:val="000000"/>
          <w:spacing w:val="-3"/>
          <w:sz w:val="26"/>
          <w:u w:color="000000"/>
        </w:rPr>
        <w:t xml:space="preserve">delineated in the Partial Settlement.  PECO agreed to use commercially reasonable efforts to implement and test billing and data management system changes necessary to implement hourly priced service for these customers as soon as reasonably possible but no later than June 1, 2016.  </w:t>
      </w:r>
      <w:r w:rsidR="00D63ECC">
        <w:rPr>
          <w:i/>
          <w:color w:val="000000"/>
          <w:spacing w:val="-3"/>
          <w:sz w:val="26"/>
          <w:u w:color="000000"/>
        </w:rPr>
        <w:t>See</w:t>
      </w:r>
      <w:r w:rsidR="00D63ECC">
        <w:rPr>
          <w:color w:val="000000"/>
          <w:spacing w:val="-3"/>
          <w:sz w:val="26"/>
          <w:u w:color="000000"/>
        </w:rPr>
        <w:t xml:space="preserve"> Partial Settlement at ¶ 26.  </w:t>
      </w:r>
      <w:r w:rsidR="007819E1">
        <w:rPr>
          <w:color w:val="000000"/>
          <w:spacing w:val="-3"/>
          <w:sz w:val="26"/>
          <w:u w:color="000000"/>
        </w:rPr>
        <w:t xml:space="preserve">PECO projected that all Medium </w:t>
      </w:r>
      <w:r w:rsidR="00890622">
        <w:rPr>
          <w:color w:val="000000"/>
          <w:spacing w:val="-3"/>
          <w:sz w:val="26"/>
          <w:u w:color="000000"/>
        </w:rPr>
        <w:t>C</w:t>
      </w:r>
      <w:r w:rsidR="007819E1">
        <w:rPr>
          <w:color w:val="000000"/>
          <w:spacing w:val="-3"/>
          <w:sz w:val="26"/>
          <w:u w:color="000000"/>
        </w:rPr>
        <w:t xml:space="preserve">ommercial customers would have interval meters by that time.  </w:t>
      </w:r>
      <w:r w:rsidR="00C0349C">
        <w:rPr>
          <w:color w:val="000000"/>
          <w:spacing w:val="-3"/>
          <w:sz w:val="26"/>
          <w:u w:color="000000"/>
        </w:rPr>
        <w:t xml:space="preserve">Various provisions were also included within the Partial Settlement to provide for status reports and contingency plans if it was determined that hourly pricing could not be implemented by the designated time.  </w:t>
      </w:r>
      <w:r w:rsidR="00C0349C">
        <w:rPr>
          <w:i/>
          <w:color w:val="000000"/>
          <w:spacing w:val="-3"/>
          <w:sz w:val="26"/>
          <w:u w:color="000000"/>
        </w:rPr>
        <w:t xml:space="preserve">See </w:t>
      </w:r>
      <w:r w:rsidR="00C0349C">
        <w:rPr>
          <w:color w:val="000000"/>
          <w:spacing w:val="-3"/>
          <w:sz w:val="26"/>
          <w:u w:color="000000"/>
        </w:rPr>
        <w:t xml:space="preserve">Partial Settlement at ¶¶ 26 (a) to (d).  </w:t>
      </w:r>
    </w:p>
    <w:p w:rsidR="007819E1" w:rsidRDefault="00C0349C" w:rsidP="001E6867">
      <w:pPr>
        <w:widowControl/>
        <w:suppressAutoHyphens/>
        <w:spacing w:line="360" w:lineRule="auto"/>
        <w:rPr>
          <w:color w:val="000000"/>
          <w:spacing w:val="-3"/>
          <w:sz w:val="26"/>
          <w:u w:color="000000"/>
        </w:rPr>
      </w:pPr>
      <w:r>
        <w:rPr>
          <w:color w:val="000000"/>
          <w:spacing w:val="-3"/>
          <w:sz w:val="26"/>
          <w:u w:color="000000"/>
        </w:rPr>
        <w:t xml:space="preserve"> </w:t>
      </w:r>
    </w:p>
    <w:p w:rsidR="00E20081" w:rsidRDefault="007819E1" w:rsidP="001E6867">
      <w:pPr>
        <w:widowControl/>
        <w:suppressAutoHyphens/>
        <w:spacing w:line="360" w:lineRule="auto"/>
        <w:rPr>
          <w:color w:val="000000"/>
          <w:spacing w:val="-3"/>
          <w:sz w:val="26"/>
          <w:u w:color="000000"/>
        </w:rPr>
      </w:pPr>
      <w:r>
        <w:rPr>
          <w:color w:val="000000"/>
          <w:spacing w:val="-3"/>
          <w:sz w:val="26"/>
          <w:u w:color="000000"/>
        </w:rPr>
        <w:tab/>
      </w:r>
      <w:r>
        <w:rPr>
          <w:color w:val="000000"/>
          <w:spacing w:val="-3"/>
          <w:sz w:val="26"/>
          <w:u w:color="000000"/>
        </w:rPr>
        <w:tab/>
        <w:t xml:space="preserve">In litigation of the Medium Commercial procurement issue, RESA supported the implementation of hourly-priced default service for Medium Commercial customers consistent with the process set forth in the Partial Settlement.  However, the OSBA recommended approval of PECO’s original proposal to procure default service supply for </w:t>
      </w:r>
      <w:r>
        <w:rPr>
          <w:color w:val="000000"/>
          <w:spacing w:val="-3"/>
          <w:sz w:val="26"/>
          <w:u w:color="000000"/>
        </w:rPr>
        <w:lastRenderedPageBreak/>
        <w:t>this customer class through six-month</w:t>
      </w:r>
      <w:r w:rsidR="00890622">
        <w:rPr>
          <w:color w:val="000000"/>
          <w:spacing w:val="-3"/>
          <w:sz w:val="26"/>
          <w:u w:color="000000"/>
        </w:rPr>
        <w:t>,</w:t>
      </w:r>
      <w:r>
        <w:rPr>
          <w:color w:val="000000"/>
          <w:spacing w:val="-3"/>
          <w:sz w:val="26"/>
          <w:u w:color="000000"/>
        </w:rPr>
        <w:t xml:space="preserve"> </w:t>
      </w:r>
      <w:r w:rsidR="00754B56">
        <w:rPr>
          <w:color w:val="000000"/>
          <w:spacing w:val="-3"/>
          <w:sz w:val="26"/>
          <w:u w:color="000000"/>
        </w:rPr>
        <w:t xml:space="preserve">fixed-price full requirements contracts.  In her Recommended Decision, the ALJ recommended that PECO be allowed to implement hourly-priced default service for Medium Commercial customers as outlined in the Joint Petition concluding that the OSBA’s concerns had been identified and addressed within the Partial Settlement. </w:t>
      </w:r>
      <w:r w:rsidR="00D63ECC">
        <w:rPr>
          <w:color w:val="000000"/>
          <w:spacing w:val="-3"/>
          <w:sz w:val="26"/>
          <w:u w:color="000000"/>
        </w:rPr>
        <w:t xml:space="preserve"> </w:t>
      </w:r>
      <w:r w:rsidR="00354133">
        <w:rPr>
          <w:color w:val="000000"/>
          <w:spacing w:val="-3"/>
          <w:sz w:val="26"/>
          <w:u w:color="000000"/>
        </w:rPr>
        <w:t xml:space="preserve">The OSBA filed extensive </w:t>
      </w:r>
      <w:r w:rsidR="002675A3">
        <w:rPr>
          <w:color w:val="000000"/>
          <w:spacing w:val="-3"/>
          <w:sz w:val="26"/>
          <w:u w:color="000000"/>
        </w:rPr>
        <w:t>E</w:t>
      </w:r>
      <w:r w:rsidR="00354133">
        <w:rPr>
          <w:color w:val="000000"/>
          <w:spacing w:val="-3"/>
          <w:sz w:val="26"/>
          <w:u w:color="000000"/>
        </w:rPr>
        <w:t xml:space="preserve">xceptions in response to the ALJ’s recommendation.  </w:t>
      </w:r>
      <w:r w:rsidR="00C27C7F">
        <w:rPr>
          <w:color w:val="000000"/>
          <w:spacing w:val="-3"/>
          <w:sz w:val="26"/>
          <w:u w:color="000000"/>
        </w:rPr>
        <w:t xml:space="preserve">In our </w:t>
      </w:r>
      <w:r w:rsidR="00C27C7F">
        <w:rPr>
          <w:i/>
          <w:color w:val="000000"/>
          <w:spacing w:val="-3"/>
          <w:sz w:val="26"/>
          <w:u w:color="000000"/>
        </w:rPr>
        <w:t>December 2014 Order</w:t>
      </w:r>
      <w:r w:rsidR="00C27C7F" w:rsidRPr="002675A3">
        <w:rPr>
          <w:color w:val="000000"/>
          <w:spacing w:val="-3"/>
          <w:sz w:val="26"/>
          <w:u w:color="000000"/>
        </w:rPr>
        <w:t>, a</w:t>
      </w:r>
      <w:r w:rsidR="00C27C7F">
        <w:rPr>
          <w:color w:val="000000"/>
          <w:spacing w:val="-3"/>
          <w:sz w:val="26"/>
          <w:u w:color="000000"/>
        </w:rPr>
        <w:t xml:space="preserve">fter consideration of </w:t>
      </w:r>
      <w:r w:rsidR="006755FF">
        <w:rPr>
          <w:color w:val="000000"/>
          <w:spacing w:val="-3"/>
          <w:sz w:val="26"/>
          <w:u w:color="000000"/>
        </w:rPr>
        <w:t>the evidence of record and the Partial S</w:t>
      </w:r>
      <w:r w:rsidR="00C27C7F">
        <w:rPr>
          <w:color w:val="000000"/>
          <w:spacing w:val="-3"/>
          <w:sz w:val="26"/>
          <w:u w:color="000000"/>
        </w:rPr>
        <w:t>ettlement, as well as the Exceptions and Replies thereto, we agree</w:t>
      </w:r>
      <w:r w:rsidR="00890622">
        <w:rPr>
          <w:color w:val="000000"/>
          <w:spacing w:val="-3"/>
          <w:sz w:val="26"/>
          <w:u w:color="000000"/>
        </w:rPr>
        <w:t>d</w:t>
      </w:r>
      <w:r w:rsidR="00C27C7F">
        <w:rPr>
          <w:color w:val="000000"/>
          <w:spacing w:val="-3"/>
          <w:sz w:val="26"/>
          <w:u w:color="000000"/>
        </w:rPr>
        <w:t xml:space="preserve"> with the ALJ that the concerns expressed by the OSBA </w:t>
      </w:r>
      <w:r w:rsidR="006755FF">
        <w:rPr>
          <w:color w:val="000000"/>
          <w:spacing w:val="-3"/>
          <w:sz w:val="26"/>
          <w:u w:color="000000"/>
        </w:rPr>
        <w:t xml:space="preserve">had been addressed within the Partial Settlement and that the Partial Settlement was consistent with the Commission pronouncements within </w:t>
      </w:r>
      <w:r w:rsidR="001F3744">
        <w:rPr>
          <w:sz w:val="26"/>
        </w:rPr>
        <w:t xml:space="preserve">our final order in </w:t>
      </w:r>
      <w:r w:rsidR="001F3744">
        <w:rPr>
          <w:i/>
          <w:sz w:val="26"/>
        </w:rPr>
        <w:t xml:space="preserve">Investigation of Pennsylvania’s Retail Electricity Market: End State of Default Service, </w:t>
      </w:r>
      <w:r w:rsidR="001F3744">
        <w:rPr>
          <w:sz w:val="26"/>
        </w:rPr>
        <w:t>Docket No. I-2011-2237952 (Order entered February 15, 2013)(</w:t>
      </w:r>
      <w:r w:rsidR="006755FF">
        <w:rPr>
          <w:i/>
          <w:color w:val="000000"/>
          <w:spacing w:val="-3"/>
          <w:sz w:val="26"/>
          <w:u w:color="000000"/>
        </w:rPr>
        <w:t xml:space="preserve">End State </w:t>
      </w:r>
      <w:r w:rsidR="006755FF" w:rsidRPr="006755FF">
        <w:rPr>
          <w:i/>
          <w:color w:val="000000"/>
          <w:spacing w:val="-3"/>
          <w:sz w:val="26"/>
          <w:u w:color="000000"/>
        </w:rPr>
        <w:t>Order</w:t>
      </w:r>
      <w:r w:rsidR="001F3744">
        <w:rPr>
          <w:color w:val="000000"/>
          <w:spacing w:val="-3"/>
          <w:sz w:val="26"/>
          <w:u w:color="000000"/>
        </w:rPr>
        <w:t>)</w:t>
      </w:r>
      <w:r w:rsidR="006755FF" w:rsidRPr="006755FF">
        <w:rPr>
          <w:i/>
          <w:color w:val="000000"/>
          <w:spacing w:val="-3"/>
          <w:sz w:val="26"/>
          <w:u w:color="000000"/>
        </w:rPr>
        <w:t>.</w:t>
      </w:r>
      <w:r w:rsidR="006755FF">
        <w:rPr>
          <w:color w:val="000000"/>
          <w:spacing w:val="-3"/>
          <w:sz w:val="26"/>
          <w:u w:color="000000"/>
        </w:rPr>
        <w:t xml:space="preserve">  </w:t>
      </w:r>
      <w:r w:rsidR="00517344">
        <w:rPr>
          <w:color w:val="000000"/>
          <w:spacing w:val="-3"/>
          <w:sz w:val="26"/>
          <w:u w:color="000000"/>
        </w:rPr>
        <w:t>As such, we denied the OSBA Exceptions.</w:t>
      </w:r>
      <w:r w:rsidR="006755FF">
        <w:rPr>
          <w:color w:val="000000"/>
          <w:spacing w:val="-3"/>
          <w:sz w:val="26"/>
          <w:u w:color="000000"/>
        </w:rPr>
        <w:t xml:space="preserve">  </w:t>
      </w:r>
      <w:r w:rsidR="00C27C7F" w:rsidRPr="006755FF">
        <w:rPr>
          <w:i/>
          <w:color w:val="000000"/>
          <w:spacing w:val="-3"/>
          <w:sz w:val="26"/>
          <w:u w:color="000000"/>
        </w:rPr>
        <w:t xml:space="preserve"> </w:t>
      </w:r>
    </w:p>
    <w:p w:rsidR="00E20081" w:rsidRDefault="00E20081" w:rsidP="001E6867">
      <w:pPr>
        <w:widowControl/>
        <w:suppressAutoHyphens/>
        <w:spacing w:line="360" w:lineRule="auto"/>
        <w:rPr>
          <w:color w:val="000000"/>
          <w:spacing w:val="-3"/>
          <w:sz w:val="26"/>
          <w:u w:color="000000"/>
        </w:rPr>
      </w:pPr>
    </w:p>
    <w:p w:rsidR="00E20081" w:rsidRDefault="00E20081" w:rsidP="001E6867">
      <w:pPr>
        <w:widowControl/>
        <w:suppressAutoHyphens/>
        <w:spacing w:line="360" w:lineRule="auto"/>
        <w:rPr>
          <w:b/>
          <w:color w:val="000000"/>
          <w:spacing w:val="-3"/>
          <w:sz w:val="26"/>
          <w:u w:color="000000"/>
        </w:rPr>
      </w:pPr>
      <w:r>
        <w:rPr>
          <w:b/>
          <w:color w:val="000000"/>
          <w:spacing w:val="-3"/>
          <w:sz w:val="26"/>
          <w:u w:color="000000"/>
        </w:rPr>
        <w:t>Petition and Answers</w:t>
      </w:r>
    </w:p>
    <w:p w:rsidR="00442A38" w:rsidRDefault="00442A38" w:rsidP="001E6867">
      <w:pPr>
        <w:widowControl/>
        <w:suppressAutoHyphens/>
        <w:spacing w:line="360" w:lineRule="auto"/>
        <w:rPr>
          <w:b/>
          <w:color w:val="000000"/>
          <w:spacing w:val="-3"/>
          <w:sz w:val="26"/>
          <w:u w:color="000000"/>
        </w:rPr>
      </w:pPr>
    </w:p>
    <w:p w:rsidR="00A3081D" w:rsidRDefault="00442A38" w:rsidP="001E6867">
      <w:pPr>
        <w:widowControl/>
        <w:suppressAutoHyphens/>
        <w:spacing w:line="360" w:lineRule="auto"/>
        <w:rPr>
          <w:sz w:val="26"/>
        </w:rPr>
      </w:pPr>
      <w:r>
        <w:rPr>
          <w:b/>
          <w:color w:val="000000"/>
          <w:spacing w:val="-3"/>
          <w:sz w:val="26"/>
          <w:u w:color="000000"/>
        </w:rPr>
        <w:tab/>
      </w:r>
      <w:r>
        <w:rPr>
          <w:b/>
          <w:color w:val="000000"/>
          <w:spacing w:val="-3"/>
          <w:sz w:val="26"/>
          <w:u w:color="000000"/>
        </w:rPr>
        <w:tab/>
      </w:r>
      <w:r>
        <w:rPr>
          <w:color w:val="000000"/>
          <w:spacing w:val="-3"/>
          <w:sz w:val="26"/>
          <w:u w:color="000000"/>
        </w:rPr>
        <w:t>In its Petition, the OSBA</w:t>
      </w:r>
      <w:r w:rsidR="00D74D55">
        <w:rPr>
          <w:color w:val="000000"/>
          <w:spacing w:val="-3"/>
          <w:sz w:val="26"/>
          <w:u w:color="000000"/>
        </w:rPr>
        <w:t xml:space="preserve"> </w:t>
      </w:r>
      <w:r w:rsidR="002F169A">
        <w:rPr>
          <w:color w:val="000000"/>
          <w:spacing w:val="-3"/>
          <w:sz w:val="26"/>
          <w:u w:color="000000"/>
        </w:rPr>
        <w:t xml:space="preserve">states that it seeks reconsideration of our determination in regard to hourly pricing for PECO’s Medium Commercial customers, </w:t>
      </w:r>
      <w:r w:rsidR="002F169A">
        <w:rPr>
          <w:i/>
          <w:color w:val="000000"/>
          <w:spacing w:val="-3"/>
          <w:sz w:val="26"/>
          <w:u w:color="000000"/>
        </w:rPr>
        <w:t>i.e.,</w:t>
      </w:r>
      <w:r w:rsidR="002F169A">
        <w:rPr>
          <w:color w:val="000000"/>
          <w:spacing w:val="-3"/>
          <w:sz w:val="26"/>
          <w:u w:color="000000"/>
        </w:rPr>
        <w:t xml:space="preserve"> those with peak demands greater than or equal to 100 kW, but less than 500 kW.  The OSBA avers that our </w:t>
      </w:r>
      <w:r w:rsidR="002F169A">
        <w:rPr>
          <w:i/>
          <w:sz w:val="26"/>
        </w:rPr>
        <w:t xml:space="preserve">December 2014 Order </w:t>
      </w:r>
      <w:r w:rsidR="002F169A">
        <w:rPr>
          <w:sz w:val="26"/>
        </w:rPr>
        <w:t xml:space="preserve">mandates hourly pricing for PECO’s Medium Commercial customers as part of PECO’s DSP III, consistent with </w:t>
      </w:r>
      <w:r w:rsidR="001F3744">
        <w:rPr>
          <w:sz w:val="26"/>
        </w:rPr>
        <w:t xml:space="preserve">the </w:t>
      </w:r>
      <w:r w:rsidR="002F169A">
        <w:rPr>
          <w:i/>
          <w:sz w:val="26"/>
        </w:rPr>
        <w:t>End State Order.</w:t>
      </w:r>
      <w:r w:rsidR="00AC65A5">
        <w:rPr>
          <w:sz w:val="26"/>
        </w:rPr>
        <w:t xml:space="preserve">  However, the OSBA maintains that achieving consistency with the </w:t>
      </w:r>
      <w:r w:rsidR="00AC65A5">
        <w:rPr>
          <w:i/>
          <w:sz w:val="26"/>
        </w:rPr>
        <w:t>End State Order</w:t>
      </w:r>
      <w:r w:rsidR="00AC65A5">
        <w:rPr>
          <w:sz w:val="26"/>
        </w:rPr>
        <w:t xml:space="preserve"> is not the appropriate objective.  According to the OSBA, achieving consistency with the statutes enacted by the legislature is the proper objective and that any discussion of default service procurement must begin with these statutory requirements.  </w:t>
      </w:r>
      <w:r w:rsidR="00771DBC">
        <w:rPr>
          <w:sz w:val="26"/>
        </w:rPr>
        <w:t xml:space="preserve">OSBA </w:t>
      </w:r>
      <w:r w:rsidR="00AC65A5">
        <w:rPr>
          <w:sz w:val="26"/>
        </w:rPr>
        <w:t>Petition at 4-5.</w:t>
      </w:r>
    </w:p>
    <w:p w:rsidR="00A3081D" w:rsidRDefault="00A3081D" w:rsidP="001E6867">
      <w:pPr>
        <w:widowControl/>
        <w:suppressAutoHyphens/>
        <w:spacing w:line="360" w:lineRule="auto"/>
        <w:rPr>
          <w:sz w:val="26"/>
        </w:rPr>
      </w:pPr>
    </w:p>
    <w:p w:rsidR="00E20081" w:rsidRDefault="008F10F8" w:rsidP="001E6867">
      <w:pPr>
        <w:widowControl/>
        <w:suppressAutoHyphens/>
        <w:spacing w:line="360" w:lineRule="auto"/>
        <w:rPr>
          <w:color w:val="000000"/>
          <w:spacing w:val="-3"/>
          <w:sz w:val="26"/>
          <w:u w:color="000000"/>
        </w:rPr>
      </w:pPr>
      <w:r>
        <w:rPr>
          <w:sz w:val="26"/>
        </w:rPr>
        <w:tab/>
      </w:r>
      <w:r>
        <w:rPr>
          <w:sz w:val="26"/>
        </w:rPr>
        <w:tab/>
        <w:t>Next, th</w:t>
      </w:r>
      <w:r w:rsidR="005B2D57">
        <w:rPr>
          <w:sz w:val="26"/>
        </w:rPr>
        <w:t>e OSBA refers to a Recommended D</w:t>
      </w:r>
      <w:r>
        <w:rPr>
          <w:sz w:val="26"/>
        </w:rPr>
        <w:t xml:space="preserve">ecision entered in </w:t>
      </w:r>
      <w:r w:rsidRPr="008F10F8">
        <w:rPr>
          <w:i/>
          <w:sz w:val="26"/>
        </w:rPr>
        <w:t>Petition of PPL Electric Utilities Corporation for Approval of a Default Service Progra</w:t>
      </w:r>
      <w:r w:rsidR="005B2D57">
        <w:rPr>
          <w:i/>
          <w:sz w:val="26"/>
        </w:rPr>
        <w:t>m and Procurement Plan for the P</w:t>
      </w:r>
      <w:r w:rsidRPr="008F10F8">
        <w:rPr>
          <w:i/>
          <w:sz w:val="26"/>
        </w:rPr>
        <w:t>eriod June 1, 2015 Through May 31, 2017</w:t>
      </w:r>
      <w:r w:rsidR="005B2D57">
        <w:rPr>
          <w:sz w:val="26"/>
        </w:rPr>
        <w:t xml:space="preserve">, Docket No. </w:t>
      </w:r>
      <w:r w:rsidR="005B2D57">
        <w:rPr>
          <w:sz w:val="26"/>
        </w:rPr>
        <w:lastRenderedPageBreak/>
        <w:t>P</w:t>
      </w:r>
      <w:r w:rsidR="00483BFD">
        <w:rPr>
          <w:sz w:val="26"/>
        </w:rPr>
        <w:noBreakHyphen/>
      </w:r>
      <w:r w:rsidR="005B2D57">
        <w:rPr>
          <w:sz w:val="26"/>
        </w:rPr>
        <w:t>2014-2417907 (</w:t>
      </w:r>
      <w:r w:rsidR="005B2D57">
        <w:rPr>
          <w:i/>
          <w:sz w:val="26"/>
        </w:rPr>
        <w:t>PPL RD).</w:t>
      </w:r>
      <w:r w:rsidR="005B2D57">
        <w:rPr>
          <w:sz w:val="26"/>
        </w:rPr>
        <w:t xml:space="preserve">  </w:t>
      </w:r>
      <w:r w:rsidR="00F15958">
        <w:rPr>
          <w:sz w:val="26"/>
        </w:rPr>
        <w:t xml:space="preserve">The OSBA asserts that the </w:t>
      </w:r>
      <w:r w:rsidR="00F15958">
        <w:rPr>
          <w:i/>
          <w:sz w:val="26"/>
        </w:rPr>
        <w:t>PPL RD</w:t>
      </w:r>
      <w:r w:rsidR="00890622">
        <w:rPr>
          <w:sz w:val="26"/>
        </w:rPr>
        <w:t xml:space="preserve">, </w:t>
      </w:r>
      <w:r w:rsidR="00A00F38">
        <w:rPr>
          <w:sz w:val="26"/>
        </w:rPr>
        <w:t xml:space="preserve">which was </w:t>
      </w:r>
      <w:r w:rsidR="00890622">
        <w:rPr>
          <w:sz w:val="26"/>
        </w:rPr>
        <w:t xml:space="preserve">issued on </w:t>
      </w:r>
      <w:r w:rsidR="00516E52">
        <w:rPr>
          <w:sz w:val="26"/>
        </w:rPr>
        <w:t>October 17</w:t>
      </w:r>
      <w:r w:rsidR="00890622">
        <w:rPr>
          <w:sz w:val="26"/>
        </w:rPr>
        <w:t>, 2014,</w:t>
      </w:r>
      <w:r w:rsidR="00483BFD">
        <w:rPr>
          <w:sz w:val="26"/>
        </w:rPr>
        <w:t xml:space="preserve"> </w:t>
      </w:r>
      <w:r w:rsidR="00F15958">
        <w:rPr>
          <w:sz w:val="26"/>
        </w:rPr>
        <w:t xml:space="preserve">analyzed the same issue </w:t>
      </w:r>
      <w:r w:rsidR="00483BFD">
        <w:rPr>
          <w:sz w:val="26"/>
        </w:rPr>
        <w:t xml:space="preserve">for which it is seeking </w:t>
      </w:r>
      <w:r w:rsidR="00F15958">
        <w:rPr>
          <w:sz w:val="26"/>
        </w:rPr>
        <w:t>reconsideration in the instant Petition</w:t>
      </w:r>
      <w:r w:rsidR="00A00F38">
        <w:rPr>
          <w:sz w:val="26"/>
        </w:rPr>
        <w:t xml:space="preserve">.  The OSBA submits that the instant Petition gives the Commission the opportunity to fully review the </w:t>
      </w:r>
      <w:r w:rsidR="00A00F38" w:rsidRPr="00A00F38">
        <w:rPr>
          <w:i/>
          <w:sz w:val="26"/>
        </w:rPr>
        <w:t>PPL RD</w:t>
      </w:r>
      <w:r w:rsidR="00A00F38">
        <w:rPr>
          <w:i/>
          <w:sz w:val="26"/>
        </w:rPr>
        <w:t>,</w:t>
      </w:r>
      <w:r w:rsidR="00A00F38">
        <w:rPr>
          <w:sz w:val="26"/>
        </w:rPr>
        <w:t xml:space="preserve"> which </w:t>
      </w:r>
      <w:r w:rsidR="00930FC8">
        <w:rPr>
          <w:sz w:val="26"/>
        </w:rPr>
        <w:t xml:space="preserve">addresses the </w:t>
      </w:r>
      <w:r w:rsidR="00A00F38">
        <w:rPr>
          <w:sz w:val="26"/>
        </w:rPr>
        <w:t xml:space="preserve">enforceability of the </w:t>
      </w:r>
      <w:r w:rsidR="00A00F38">
        <w:rPr>
          <w:i/>
          <w:sz w:val="26"/>
        </w:rPr>
        <w:t>End State Order’s</w:t>
      </w:r>
      <w:r w:rsidR="00A00F38">
        <w:rPr>
          <w:sz w:val="26"/>
        </w:rPr>
        <w:t xml:space="preserve"> directive with respect to hourly pricing for Medium Commercial customers</w:t>
      </w:r>
      <w:r w:rsidR="00930FC8">
        <w:rPr>
          <w:sz w:val="26"/>
        </w:rPr>
        <w:t xml:space="preserve"> that is not part of the Recommended Decision in this proceeding</w:t>
      </w:r>
      <w:r w:rsidR="00A00F38">
        <w:rPr>
          <w:sz w:val="26"/>
        </w:rPr>
        <w:t>.</w:t>
      </w:r>
      <w:r w:rsidR="00930FC8">
        <w:rPr>
          <w:sz w:val="26"/>
        </w:rPr>
        <w:t xml:space="preserve">  Additionally, t</w:t>
      </w:r>
      <w:r w:rsidR="00FC1C63">
        <w:rPr>
          <w:sz w:val="26"/>
        </w:rPr>
        <w:t xml:space="preserve">he OSBA claims that the </w:t>
      </w:r>
      <w:r w:rsidR="00FC1C63">
        <w:rPr>
          <w:i/>
          <w:sz w:val="26"/>
        </w:rPr>
        <w:t xml:space="preserve">PPL RD </w:t>
      </w:r>
      <w:r w:rsidR="00FC1C63">
        <w:rPr>
          <w:sz w:val="26"/>
        </w:rPr>
        <w:t xml:space="preserve">provides </w:t>
      </w:r>
      <w:r w:rsidR="00930FC8">
        <w:rPr>
          <w:sz w:val="26"/>
        </w:rPr>
        <w:t xml:space="preserve">a </w:t>
      </w:r>
      <w:r w:rsidR="00FC1C63">
        <w:rPr>
          <w:sz w:val="26"/>
        </w:rPr>
        <w:t>legal analys</w:t>
      </w:r>
      <w:r w:rsidR="00930FC8">
        <w:rPr>
          <w:sz w:val="26"/>
        </w:rPr>
        <w:t xml:space="preserve">is, which </w:t>
      </w:r>
      <w:r w:rsidR="00FC1C63">
        <w:rPr>
          <w:sz w:val="26"/>
        </w:rPr>
        <w:t xml:space="preserve">is lacking in </w:t>
      </w:r>
      <w:r w:rsidR="00930FC8">
        <w:rPr>
          <w:sz w:val="26"/>
        </w:rPr>
        <w:t xml:space="preserve">this proceeding’s </w:t>
      </w:r>
      <w:r w:rsidR="00FC1C63">
        <w:rPr>
          <w:sz w:val="26"/>
        </w:rPr>
        <w:t>Recommended Decision</w:t>
      </w:r>
      <w:r w:rsidR="00930FC8">
        <w:rPr>
          <w:sz w:val="26"/>
        </w:rPr>
        <w:t xml:space="preserve">, and which </w:t>
      </w:r>
      <w:r w:rsidR="00FC1C63">
        <w:rPr>
          <w:sz w:val="26"/>
        </w:rPr>
        <w:t xml:space="preserve">should be considered by the Commission.  </w:t>
      </w:r>
      <w:r w:rsidR="002C206A">
        <w:rPr>
          <w:sz w:val="26"/>
        </w:rPr>
        <w:t xml:space="preserve">According to the OSBA, the </w:t>
      </w:r>
      <w:r w:rsidR="002C206A" w:rsidRPr="002C206A">
        <w:rPr>
          <w:i/>
          <w:sz w:val="26"/>
        </w:rPr>
        <w:t>PPL RD</w:t>
      </w:r>
      <w:r w:rsidR="002C206A">
        <w:rPr>
          <w:i/>
          <w:sz w:val="26"/>
        </w:rPr>
        <w:t xml:space="preserve"> </w:t>
      </w:r>
      <w:r w:rsidR="00A62084">
        <w:rPr>
          <w:sz w:val="26"/>
        </w:rPr>
        <w:t xml:space="preserve">correctly acknowledged that the </w:t>
      </w:r>
      <w:r w:rsidR="00A62084">
        <w:rPr>
          <w:i/>
          <w:sz w:val="26"/>
        </w:rPr>
        <w:t xml:space="preserve">End State Order </w:t>
      </w:r>
      <w:r w:rsidR="00A62084">
        <w:rPr>
          <w:sz w:val="26"/>
        </w:rPr>
        <w:t xml:space="preserve">is not consistent with the Commission’s policy statement on electric generation supply procurement which promotes the “prudent mix” standard from the statute.  66 Pa. C.S. § </w:t>
      </w:r>
      <w:r w:rsidR="00A62084" w:rsidRPr="00A62084">
        <w:rPr>
          <w:color w:val="000000"/>
          <w:spacing w:val="-3"/>
          <w:sz w:val="26"/>
          <w:u w:color="000000"/>
        </w:rPr>
        <w:t>2807(e).</w:t>
      </w:r>
      <w:r w:rsidR="00771DBC">
        <w:rPr>
          <w:color w:val="000000"/>
          <w:spacing w:val="-3"/>
          <w:sz w:val="26"/>
          <w:u w:color="000000"/>
        </w:rPr>
        <w:t xml:space="preserve">  Furthermore, the OSBA asserts that in directing hourly pricing for PECO’s </w:t>
      </w:r>
      <w:r w:rsidR="00890622">
        <w:rPr>
          <w:color w:val="000000"/>
          <w:spacing w:val="-3"/>
          <w:sz w:val="26"/>
          <w:u w:color="000000"/>
        </w:rPr>
        <w:t>M</w:t>
      </w:r>
      <w:r w:rsidR="00771DBC">
        <w:rPr>
          <w:color w:val="000000"/>
          <w:spacing w:val="-3"/>
          <w:sz w:val="26"/>
          <w:u w:color="000000"/>
        </w:rPr>
        <w:t xml:space="preserve">edium Commercial customers, the Commission has ignored its own determination that it should pursue legislative changes to obtain the authority necessary to implement the proposals contained within the </w:t>
      </w:r>
      <w:r w:rsidR="00771DBC">
        <w:rPr>
          <w:i/>
          <w:color w:val="000000"/>
          <w:spacing w:val="-3"/>
          <w:sz w:val="26"/>
          <w:u w:color="000000"/>
        </w:rPr>
        <w:t xml:space="preserve">End State Order.  </w:t>
      </w:r>
      <w:r w:rsidR="00771DBC">
        <w:rPr>
          <w:color w:val="000000"/>
          <w:spacing w:val="-3"/>
          <w:sz w:val="26"/>
          <w:u w:color="000000"/>
        </w:rPr>
        <w:t>OSBA Petition at 5-7.</w:t>
      </w:r>
    </w:p>
    <w:p w:rsidR="009E4AE2" w:rsidRDefault="009E4AE2" w:rsidP="001E6867">
      <w:pPr>
        <w:widowControl/>
        <w:suppressAutoHyphens/>
        <w:spacing w:line="360" w:lineRule="auto"/>
        <w:rPr>
          <w:color w:val="000000"/>
          <w:spacing w:val="-3"/>
          <w:sz w:val="26"/>
          <w:u w:color="000000"/>
        </w:rPr>
      </w:pPr>
    </w:p>
    <w:p w:rsidR="009E4AE2" w:rsidRDefault="009E4AE2" w:rsidP="001E6867">
      <w:pPr>
        <w:widowControl/>
        <w:suppressAutoHyphens/>
        <w:spacing w:line="360" w:lineRule="auto"/>
        <w:rPr>
          <w:color w:val="000000"/>
          <w:spacing w:val="-3"/>
          <w:sz w:val="26"/>
          <w:u w:color="000000"/>
        </w:rPr>
      </w:pPr>
      <w:r>
        <w:rPr>
          <w:color w:val="000000"/>
          <w:spacing w:val="-3"/>
          <w:sz w:val="26"/>
          <w:u w:color="000000"/>
        </w:rPr>
        <w:tab/>
      </w:r>
      <w:r>
        <w:rPr>
          <w:color w:val="000000"/>
          <w:spacing w:val="-3"/>
          <w:sz w:val="26"/>
          <w:u w:color="000000"/>
        </w:rPr>
        <w:tab/>
        <w:t xml:space="preserve">The OSBA </w:t>
      </w:r>
      <w:r w:rsidR="00930FC8">
        <w:rPr>
          <w:color w:val="000000"/>
          <w:spacing w:val="-3"/>
          <w:sz w:val="26"/>
          <w:u w:color="000000"/>
        </w:rPr>
        <w:t xml:space="preserve">contends that </w:t>
      </w:r>
      <w:r>
        <w:rPr>
          <w:color w:val="000000"/>
          <w:spacing w:val="-3"/>
          <w:sz w:val="26"/>
          <w:u w:color="000000"/>
        </w:rPr>
        <w:t xml:space="preserve"> as an implementation order, the </w:t>
      </w:r>
      <w:r w:rsidRPr="00FF024E">
        <w:rPr>
          <w:i/>
          <w:color w:val="000000"/>
          <w:spacing w:val="-3"/>
          <w:sz w:val="26"/>
          <w:u w:color="000000"/>
        </w:rPr>
        <w:t>End State Order</w:t>
      </w:r>
      <w:r>
        <w:rPr>
          <w:color w:val="000000"/>
          <w:spacing w:val="-3"/>
          <w:sz w:val="26"/>
          <w:u w:color="000000"/>
        </w:rPr>
        <w:t xml:space="preserve"> is merely advisory and is not enforceable law as the statute is the binding authority.  Therefore, the OSBA opines that directing hourly pricing for PECO’s Medium Commercial customers solely on the basis of consistency with the </w:t>
      </w:r>
      <w:r>
        <w:rPr>
          <w:i/>
          <w:color w:val="000000"/>
          <w:spacing w:val="-3"/>
          <w:sz w:val="26"/>
          <w:u w:color="000000"/>
        </w:rPr>
        <w:t xml:space="preserve">End State </w:t>
      </w:r>
      <w:r w:rsidR="00A8757C">
        <w:rPr>
          <w:i/>
          <w:color w:val="000000"/>
          <w:spacing w:val="-3"/>
          <w:sz w:val="26"/>
          <w:u w:color="000000"/>
        </w:rPr>
        <w:t>Order</w:t>
      </w:r>
      <w:r w:rsidR="00A8757C">
        <w:rPr>
          <w:color w:val="000000"/>
          <w:spacing w:val="-3"/>
          <w:sz w:val="26"/>
          <w:u w:color="000000"/>
        </w:rPr>
        <w:t xml:space="preserve"> is</w:t>
      </w:r>
      <w:r>
        <w:rPr>
          <w:color w:val="000000"/>
          <w:spacing w:val="-3"/>
          <w:sz w:val="26"/>
          <w:u w:color="000000"/>
        </w:rPr>
        <w:t xml:space="preserve"> an error of law that must be reversed</w:t>
      </w:r>
      <w:r w:rsidR="00820BA5">
        <w:rPr>
          <w:color w:val="000000"/>
          <w:spacing w:val="-3"/>
          <w:sz w:val="26"/>
          <w:u w:color="000000"/>
        </w:rPr>
        <w:t xml:space="preserve">.  </w:t>
      </w:r>
      <w:r w:rsidR="00890622">
        <w:rPr>
          <w:color w:val="000000"/>
          <w:spacing w:val="-3"/>
          <w:sz w:val="26"/>
          <w:u w:color="000000"/>
        </w:rPr>
        <w:t>T</w:t>
      </w:r>
      <w:r w:rsidR="00820BA5">
        <w:rPr>
          <w:color w:val="000000"/>
          <w:spacing w:val="-3"/>
          <w:sz w:val="26"/>
          <w:u w:color="000000"/>
        </w:rPr>
        <w:t xml:space="preserve">he OSBA requests that the Commission reverse its decision that directs hourly priced default service for </w:t>
      </w:r>
      <w:r w:rsidR="00D91C50">
        <w:rPr>
          <w:color w:val="000000"/>
          <w:spacing w:val="-3"/>
          <w:sz w:val="26"/>
          <w:u w:color="000000"/>
        </w:rPr>
        <w:t>M</w:t>
      </w:r>
      <w:r w:rsidR="00820BA5">
        <w:rPr>
          <w:color w:val="000000"/>
          <w:spacing w:val="-3"/>
          <w:sz w:val="26"/>
          <w:u w:color="000000"/>
        </w:rPr>
        <w:t>edium Commercial customers and approve PECO’s original proposal to procure default service supply for these customers through six-month, fixed</w:t>
      </w:r>
      <w:r w:rsidR="00D91C50">
        <w:rPr>
          <w:color w:val="000000"/>
          <w:spacing w:val="-3"/>
          <w:sz w:val="26"/>
          <w:u w:color="000000"/>
        </w:rPr>
        <w:t>-</w:t>
      </w:r>
      <w:r w:rsidR="00820BA5">
        <w:rPr>
          <w:color w:val="000000"/>
          <w:spacing w:val="-3"/>
          <w:sz w:val="26"/>
          <w:u w:color="000000"/>
        </w:rPr>
        <w:t>price full requirements, load following contracts without overlap.  OSBA Petition at</w:t>
      </w:r>
      <w:r w:rsidR="00BB6802">
        <w:rPr>
          <w:color w:val="000000"/>
          <w:spacing w:val="-3"/>
          <w:sz w:val="26"/>
          <w:u w:color="000000"/>
        </w:rPr>
        <w:t> </w:t>
      </w:r>
      <w:r w:rsidR="00820BA5">
        <w:rPr>
          <w:color w:val="000000"/>
          <w:spacing w:val="-3"/>
          <w:sz w:val="26"/>
          <w:u w:color="000000"/>
        </w:rPr>
        <w:t>8-13.</w:t>
      </w:r>
    </w:p>
    <w:p w:rsidR="009605B9" w:rsidRDefault="009605B9" w:rsidP="001E6867">
      <w:pPr>
        <w:widowControl/>
        <w:suppressAutoHyphens/>
        <w:spacing w:line="360" w:lineRule="auto"/>
        <w:rPr>
          <w:color w:val="000000"/>
          <w:spacing w:val="-3"/>
          <w:sz w:val="26"/>
          <w:u w:color="000000"/>
        </w:rPr>
      </w:pPr>
    </w:p>
    <w:p w:rsidR="002A144D" w:rsidRDefault="009605B9" w:rsidP="001E6867">
      <w:pPr>
        <w:widowControl/>
        <w:suppressAutoHyphens/>
        <w:spacing w:line="360" w:lineRule="auto"/>
        <w:rPr>
          <w:sz w:val="26"/>
        </w:rPr>
      </w:pPr>
      <w:r>
        <w:rPr>
          <w:color w:val="000000"/>
          <w:spacing w:val="-3"/>
          <w:sz w:val="26"/>
          <w:u w:color="000000"/>
        </w:rPr>
        <w:tab/>
      </w:r>
      <w:r>
        <w:rPr>
          <w:color w:val="000000"/>
          <w:spacing w:val="-3"/>
          <w:sz w:val="26"/>
          <w:u w:color="000000"/>
        </w:rPr>
        <w:tab/>
        <w:t>PECO and RESA filed Answers in response to the OSBA Petition.</w:t>
      </w:r>
      <w:r w:rsidR="00CA50CF">
        <w:rPr>
          <w:color w:val="000000"/>
          <w:spacing w:val="-3"/>
          <w:sz w:val="26"/>
          <w:u w:color="000000"/>
        </w:rPr>
        <w:t xml:space="preserve">  In its Answer, </w:t>
      </w:r>
      <w:r w:rsidR="0098401B">
        <w:rPr>
          <w:color w:val="000000"/>
          <w:spacing w:val="-3"/>
          <w:sz w:val="26"/>
          <w:u w:color="000000"/>
        </w:rPr>
        <w:t xml:space="preserve">PECO explains that as part of its proposal, it requested a waiver, to the extent necessary, of the Commission’s direction in the </w:t>
      </w:r>
      <w:r w:rsidR="0098401B">
        <w:rPr>
          <w:i/>
          <w:color w:val="000000"/>
          <w:spacing w:val="-3"/>
          <w:sz w:val="26"/>
          <w:u w:color="000000"/>
        </w:rPr>
        <w:t>End State Order</w:t>
      </w:r>
      <w:r w:rsidR="0098401B">
        <w:rPr>
          <w:color w:val="000000"/>
          <w:spacing w:val="-3"/>
          <w:sz w:val="26"/>
          <w:u w:color="000000"/>
        </w:rPr>
        <w:t xml:space="preserve"> that customers with </w:t>
      </w:r>
      <w:r w:rsidR="0098401B">
        <w:rPr>
          <w:color w:val="000000"/>
          <w:spacing w:val="-3"/>
          <w:sz w:val="26"/>
          <w:u w:color="000000"/>
        </w:rPr>
        <w:lastRenderedPageBreak/>
        <w:t>interval meters and peak demands over 100 kW be moved to hourly-priced default service pricing during DSP III while the Company completed its advanced meter infrastructure deployment, including testing, implementation of back-office and other information technology systems and integration with PECO’s billing system.</w:t>
      </w:r>
      <w:r w:rsidR="00C46249">
        <w:rPr>
          <w:color w:val="000000"/>
          <w:spacing w:val="-3"/>
          <w:sz w:val="26"/>
          <w:u w:color="000000"/>
        </w:rPr>
        <w:t xml:space="preserve">  Per the </w:t>
      </w:r>
      <w:r w:rsidR="00D91C50">
        <w:rPr>
          <w:color w:val="000000"/>
          <w:spacing w:val="-3"/>
          <w:sz w:val="26"/>
          <w:u w:color="000000"/>
        </w:rPr>
        <w:t xml:space="preserve">Partial </w:t>
      </w:r>
      <w:r w:rsidR="00C46249">
        <w:rPr>
          <w:color w:val="000000"/>
          <w:spacing w:val="-3"/>
          <w:sz w:val="26"/>
          <w:u w:color="000000"/>
        </w:rPr>
        <w:t>Settlement, PECO states that it agreed to sup</w:t>
      </w:r>
      <w:r w:rsidR="002A144D">
        <w:rPr>
          <w:color w:val="000000"/>
          <w:spacing w:val="-3"/>
          <w:sz w:val="26"/>
          <w:u w:color="000000"/>
        </w:rPr>
        <w:t>port hourly-priced service for M</w:t>
      </w:r>
      <w:r w:rsidR="00C46249">
        <w:rPr>
          <w:color w:val="000000"/>
          <w:spacing w:val="-3"/>
          <w:sz w:val="26"/>
          <w:u w:color="000000"/>
        </w:rPr>
        <w:t xml:space="preserve">edium Commercial customers with interval meters (the Hourly Pricing Transition) and to use commercially reasonable efforts to implement the Hourly Pricing Transition, subject to certain conditions as listed </w:t>
      </w:r>
      <w:r w:rsidR="00D91C50">
        <w:rPr>
          <w:color w:val="000000"/>
          <w:spacing w:val="-3"/>
          <w:sz w:val="26"/>
          <w:u w:color="000000"/>
        </w:rPr>
        <w:t xml:space="preserve">on page 27 of </w:t>
      </w:r>
      <w:r w:rsidR="00C46249">
        <w:rPr>
          <w:color w:val="000000"/>
          <w:spacing w:val="-3"/>
          <w:sz w:val="26"/>
          <w:u w:color="000000"/>
        </w:rPr>
        <w:t xml:space="preserve">the </w:t>
      </w:r>
      <w:r w:rsidR="00C46249">
        <w:rPr>
          <w:i/>
          <w:sz w:val="26"/>
        </w:rPr>
        <w:t>December 2014 Order</w:t>
      </w:r>
      <w:r w:rsidR="00C46249">
        <w:rPr>
          <w:sz w:val="26"/>
        </w:rPr>
        <w:t xml:space="preserve">. </w:t>
      </w:r>
      <w:r w:rsidR="002A144D">
        <w:rPr>
          <w:sz w:val="26"/>
        </w:rPr>
        <w:t xml:space="preserve"> PECO explained that under the </w:t>
      </w:r>
      <w:r w:rsidR="00D91C50">
        <w:rPr>
          <w:sz w:val="26"/>
        </w:rPr>
        <w:t xml:space="preserve">Partial </w:t>
      </w:r>
      <w:r w:rsidR="00A8757C">
        <w:rPr>
          <w:sz w:val="26"/>
        </w:rPr>
        <w:t>Settlement</w:t>
      </w:r>
      <w:r w:rsidR="002A144D">
        <w:rPr>
          <w:sz w:val="26"/>
        </w:rPr>
        <w:t>, it committed to deploy and test the necessary systems changes to support an effective date of implementation for hourly-priced default service for the Medium Commercial class no later than December 1, 2016.  PECO Answer at 2-3.</w:t>
      </w:r>
    </w:p>
    <w:p w:rsidR="002A144D" w:rsidRDefault="002A144D" w:rsidP="001E6867">
      <w:pPr>
        <w:widowControl/>
        <w:suppressAutoHyphens/>
        <w:spacing w:line="360" w:lineRule="auto"/>
        <w:rPr>
          <w:sz w:val="26"/>
        </w:rPr>
      </w:pPr>
    </w:p>
    <w:p w:rsidR="009605B9" w:rsidRPr="00B24B3E" w:rsidRDefault="002A144D" w:rsidP="001E6867">
      <w:pPr>
        <w:widowControl/>
        <w:suppressAutoHyphens/>
        <w:spacing w:line="360" w:lineRule="auto"/>
        <w:rPr>
          <w:sz w:val="26"/>
        </w:rPr>
      </w:pPr>
      <w:r>
        <w:rPr>
          <w:sz w:val="26"/>
        </w:rPr>
        <w:tab/>
      </w:r>
      <w:r>
        <w:rPr>
          <w:sz w:val="26"/>
        </w:rPr>
        <w:tab/>
        <w:t xml:space="preserve">Next, PECO avers that the OSBA Petition does not meet the Commission’s well-established standards for petitions for reconsideration set forth in </w:t>
      </w:r>
      <w:r>
        <w:rPr>
          <w:i/>
          <w:sz w:val="26"/>
        </w:rPr>
        <w:t xml:space="preserve">Duick. </w:t>
      </w:r>
      <w:r w:rsidR="00C46249">
        <w:rPr>
          <w:sz w:val="26"/>
        </w:rPr>
        <w:t xml:space="preserve"> </w:t>
      </w:r>
      <w:r>
        <w:rPr>
          <w:sz w:val="26"/>
        </w:rPr>
        <w:t xml:space="preserve">PECO notes that none of the arguments set forth in the OSBA’s Petition are “new and novel,” and the OSBA does not suggest that they are.  According to PECO, the </w:t>
      </w:r>
      <w:r>
        <w:rPr>
          <w:i/>
          <w:sz w:val="26"/>
        </w:rPr>
        <w:t>December 2014 Order</w:t>
      </w:r>
      <w:r>
        <w:rPr>
          <w:sz w:val="26"/>
        </w:rPr>
        <w:t xml:space="preserve"> plainly demonstrates that the Commission considered each of the arguments the OSBA now makes in its Petition</w:t>
      </w:r>
      <w:r w:rsidR="007471F2">
        <w:rPr>
          <w:sz w:val="26"/>
        </w:rPr>
        <w:t xml:space="preserve"> and did not “overlook” these arguments.</w:t>
      </w:r>
      <w:r w:rsidR="00B24B3E">
        <w:rPr>
          <w:sz w:val="26"/>
        </w:rPr>
        <w:t xml:space="preserve">  PECO states that to the extent the OSBA is asserting that the Commission committed an “error of law” in not considering the substance of the OSBA’s argument and rather “solely” required consistency with the </w:t>
      </w:r>
      <w:r w:rsidR="00B24B3E">
        <w:rPr>
          <w:i/>
          <w:sz w:val="26"/>
        </w:rPr>
        <w:t xml:space="preserve">End State Order, </w:t>
      </w:r>
      <w:r w:rsidR="00B24B3E">
        <w:rPr>
          <w:sz w:val="26"/>
        </w:rPr>
        <w:t xml:space="preserve">it submits that the OSBA appears to be misinterpreting the Commission’s decision.  PECO explains that in ruling that the Company’s proposal was “consistent with the Commission’s pronouncements within the </w:t>
      </w:r>
      <w:r w:rsidR="00B24B3E">
        <w:rPr>
          <w:i/>
          <w:sz w:val="26"/>
        </w:rPr>
        <w:t>End State Order,</w:t>
      </w:r>
      <w:r w:rsidR="00B24B3E">
        <w:rPr>
          <w:sz w:val="26"/>
        </w:rPr>
        <w:t xml:space="preserve">” the Commission was not simply requiring “consistency” as a matter of form, but rather found that PECO’s proposal was consistent with the extensive consideration and findings made by the Commission in the </w:t>
      </w:r>
      <w:r w:rsidR="00B24B3E" w:rsidRPr="00B24B3E">
        <w:rPr>
          <w:i/>
          <w:sz w:val="26"/>
        </w:rPr>
        <w:t>End State Order</w:t>
      </w:r>
      <w:r w:rsidR="00B24B3E">
        <w:rPr>
          <w:i/>
          <w:sz w:val="26"/>
        </w:rPr>
        <w:t xml:space="preserve">.  </w:t>
      </w:r>
      <w:r w:rsidR="00B24B3E">
        <w:rPr>
          <w:sz w:val="26"/>
        </w:rPr>
        <w:t xml:space="preserve">According to PECO, such a conclusion does not constitute an error of law, and the OSBA offers no legal authority to suggest otherwise.  </w:t>
      </w:r>
      <w:r w:rsidR="00F02B8B">
        <w:rPr>
          <w:sz w:val="26"/>
        </w:rPr>
        <w:t>As such, PECO requests that the Commission deny the OSBA’s Petition.  PECO Answer at 4-5.</w:t>
      </w:r>
    </w:p>
    <w:p w:rsidR="007471F2" w:rsidRDefault="007471F2" w:rsidP="001E6867">
      <w:pPr>
        <w:widowControl/>
        <w:suppressAutoHyphens/>
        <w:spacing w:line="360" w:lineRule="auto"/>
        <w:rPr>
          <w:sz w:val="26"/>
        </w:rPr>
      </w:pPr>
    </w:p>
    <w:p w:rsidR="00253D29" w:rsidRDefault="002A144D" w:rsidP="001E6867">
      <w:pPr>
        <w:widowControl/>
        <w:suppressAutoHyphens/>
        <w:spacing w:line="360" w:lineRule="auto"/>
        <w:rPr>
          <w:sz w:val="26"/>
        </w:rPr>
      </w:pPr>
      <w:r>
        <w:rPr>
          <w:sz w:val="26"/>
        </w:rPr>
        <w:tab/>
      </w:r>
      <w:r>
        <w:rPr>
          <w:sz w:val="26"/>
        </w:rPr>
        <w:tab/>
        <w:t>In its Answer to OSBA’s P</w:t>
      </w:r>
      <w:r w:rsidR="00253D29">
        <w:rPr>
          <w:sz w:val="26"/>
        </w:rPr>
        <w:t xml:space="preserve">etition, RESA </w:t>
      </w:r>
      <w:r w:rsidR="008C46E3">
        <w:rPr>
          <w:sz w:val="26"/>
        </w:rPr>
        <w:t xml:space="preserve">recommends that the Commission deny </w:t>
      </w:r>
      <w:r w:rsidR="00D91C50">
        <w:rPr>
          <w:sz w:val="26"/>
        </w:rPr>
        <w:t>the Petition</w:t>
      </w:r>
      <w:r w:rsidR="008C46E3">
        <w:rPr>
          <w:sz w:val="26"/>
        </w:rPr>
        <w:t xml:space="preserve"> because the arguments set forth in the </w:t>
      </w:r>
      <w:r w:rsidR="00947814">
        <w:rPr>
          <w:sz w:val="26"/>
        </w:rPr>
        <w:t>P</w:t>
      </w:r>
      <w:r w:rsidR="008C46E3">
        <w:rPr>
          <w:sz w:val="26"/>
        </w:rPr>
        <w:t xml:space="preserve">etition do not meet the applicable legal standard for either reconsideration or rehearing.  RESA avers that </w:t>
      </w:r>
      <w:r w:rsidR="00947814">
        <w:rPr>
          <w:sz w:val="26"/>
        </w:rPr>
        <w:t xml:space="preserve">the </w:t>
      </w:r>
      <w:r w:rsidR="008C46E3">
        <w:rPr>
          <w:sz w:val="26"/>
        </w:rPr>
        <w:t xml:space="preserve">OSBA regurgitates </w:t>
      </w:r>
      <w:r w:rsidR="00D91C50">
        <w:rPr>
          <w:sz w:val="26"/>
        </w:rPr>
        <w:t xml:space="preserve">arguments </w:t>
      </w:r>
      <w:r w:rsidR="008C46E3">
        <w:rPr>
          <w:sz w:val="26"/>
        </w:rPr>
        <w:t xml:space="preserve">in support of its position </w:t>
      </w:r>
      <w:r w:rsidR="00D91C50">
        <w:rPr>
          <w:sz w:val="26"/>
        </w:rPr>
        <w:t xml:space="preserve">that </w:t>
      </w:r>
      <w:r w:rsidR="008C46E3">
        <w:rPr>
          <w:sz w:val="26"/>
        </w:rPr>
        <w:t xml:space="preserve">were clearly </w:t>
      </w:r>
      <w:r w:rsidR="00D91C50">
        <w:rPr>
          <w:sz w:val="26"/>
        </w:rPr>
        <w:t xml:space="preserve">and carefully </w:t>
      </w:r>
      <w:r w:rsidR="008C46E3">
        <w:rPr>
          <w:sz w:val="26"/>
        </w:rPr>
        <w:t xml:space="preserve">considered and rejected </w:t>
      </w:r>
      <w:r w:rsidR="00D91C50">
        <w:rPr>
          <w:sz w:val="26"/>
        </w:rPr>
        <w:t xml:space="preserve">by the Commission </w:t>
      </w:r>
      <w:r w:rsidR="008C46E3">
        <w:rPr>
          <w:sz w:val="26"/>
        </w:rPr>
        <w:t xml:space="preserve">in the </w:t>
      </w:r>
      <w:r w:rsidR="008C46E3">
        <w:rPr>
          <w:i/>
          <w:sz w:val="26"/>
        </w:rPr>
        <w:t>December 2014 Order</w:t>
      </w:r>
      <w:r w:rsidR="008C46E3">
        <w:rPr>
          <w:sz w:val="26"/>
        </w:rPr>
        <w:t>.  As such, RESA asserts that the OSBA’s attempt to claim that the Commission overlooked its arguments or did not give them due consideration is without merit.  RESA maintains that as a result, there is no credible basis upon which to grant OSBA’s Petition.  RESA Answer at 1-2.</w:t>
      </w:r>
    </w:p>
    <w:p w:rsidR="007423A9" w:rsidRDefault="007423A9" w:rsidP="001E6867">
      <w:pPr>
        <w:widowControl/>
        <w:suppressAutoHyphens/>
        <w:spacing w:line="360" w:lineRule="auto"/>
        <w:rPr>
          <w:sz w:val="26"/>
        </w:rPr>
      </w:pPr>
    </w:p>
    <w:p w:rsidR="007423A9" w:rsidRPr="00E90D24" w:rsidRDefault="007423A9" w:rsidP="001E6867">
      <w:pPr>
        <w:widowControl/>
        <w:suppressAutoHyphens/>
        <w:spacing w:line="360" w:lineRule="auto"/>
        <w:rPr>
          <w:color w:val="000000"/>
          <w:spacing w:val="-3"/>
          <w:sz w:val="26"/>
          <w:u w:color="000000"/>
        </w:rPr>
      </w:pPr>
      <w:r>
        <w:rPr>
          <w:sz w:val="26"/>
        </w:rPr>
        <w:tab/>
      </w:r>
      <w:r>
        <w:rPr>
          <w:sz w:val="26"/>
        </w:rPr>
        <w:tab/>
        <w:t xml:space="preserve">Next, RESA addresses the OSBA’s reference in its Petition to the Recommended Decision in the PPL default service proceeding.  RESA avers that the OSBA </w:t>
      </w:r>
      <w:r w:rsidR="00930FC8">
        <w:rPr>
          <w:sz w:val="26"/>
        </w:rPr>
        <w:t xml:space="preserve">apparently </w:t>
      </w:r>
      <w:r>
        <w:rPr>
          <w:sz w:val="26"/>
        </w:rPr>
        <w:t xml:space="preserve">believes that reconsideration is justified because the OSBA did not craft its legal arguments in the same way they were </w:t>
      </w:r>
      <w:r w:rsidR="00A8757C">
        <w:rPr>
          <w:sz w:val="26"/>
        </w:rPr>
        <w:t>proffered</w:t>
      </w:r>
      <w:r>
        <w:rPr>
          <w:sz w:val="26"/>
        </w:rPr>
        <w:t xml:space="preserve"> by ALJ Colwell in her </w:t>
      </w:r>
      <w:r w:rsidRPr="00E90D24">
        <w:rPr>
          <w:i/>
          <w:sz w:val="26"/>
        </w:rPr>
        <w:t>PPL RD.</w:t>
      </w:r>
      <w:r w:rsidR="00E90D24">
        <w:rPr>
          <w:i/>
          <w:sz w:val="26"/>
        </w:rPr>
        <w:t xml:space="preserve"> </w:t>
      </w:r>
      <w:r w:rsidR="00E90D24">
        <w:rPr>
          <w:sz w:val="26"/>
        </w:rPr>
        <w:t xml:space="preserve"> </w:t>
      </w:r>
      <w:r w:rsidR="00930FC8">
        <w:rPr>
          <w:sz w:val="26"/>
        </w:rPr>
        <w:t xml:space="preserve">Notwithstanding OSBA’s position, </w:t>
      </w:r>
      <w:r w:rsidR="00E90D24">
        <w:rPr>
          <w:sz w:val="26"/>
        </w:rPr>
        <w:t xml:space="preserve">RESA </w:t>
      </w:r>
      <w:r w:rsidR="002D3385">
        <w:rPr>
          <w:sz w:val="26"/>
        </w:rPr>
        <w:t xml:space="preserve">avers </w:t>
      </w:r>
      <w:r w:rsidR="00E90D24">
        <w:rPr>
          <w:sz w:val="26"/>
        </w:rPr>
        <w:t xml:space="preserve">that the essence of ALJ Colwell’s reasoning was that the Commission lacks statutory authority to approve hourly priced default service for </w:t>
      </w:r>
      <w:r w:rsidR="00D91C50">
        <w:rPr>
          <w:sz w:val="26"/>
        </w:rPr>
        <w:t>M</w:t>
      </w:r>
      <w:r w:rsidR="00E90D24">
        <w:rPr>
          <w:sz w:val="26"/>
        </w:rPr>
        <w:t xml:space="preserve">edium </w:t>
      </w:r>
      <w:r w:rsidR="00D91C50">
        <w:rPr>
          <w:sz w:val="26"/>
        </w:rPr>
        <w:t>C</w:t>
      </w:r>
      <w:r w:rsidR="00E90D24">
        <w:rPr>
          <w:sz w:val="26"/>
        </w:rPr>
        <w:t xml:space="preserve">ommercial customers.  According to RESA, this was the exact same argument made by the OSBA and rightly rejected by the Commission in the </w:t>
      </w:r>
      <w:r w:rsidR="00E90D24">
        <w:rPr>
          <w:i/>
          <w:sz w:val="26"/>
        </w:rPr>
        <w:t>December 2014 Order.</w:t>
      </w:r>
      <w:r w:rsidR="00E90D24">
        <w:rPr>
          <w:sz w:val="26"/>
        </w:rPr>
        <w:t xml:space="preserve">  RESA maintains that the fact that the OSBA is using the words of an ALJ in its </w:t>
      </w:r>
      <w:r w:rsidR="00D91C50">
        <w:rPr>
          <w:sz w:val="26"/>
        </w:rPr>
        <w:t>P</w:t>
      </w:r>
      <w:r w:rsidR="00E90D24">
        <w:rPr>
          <w:sz w:val="26"/>
        </w:rPr>
        <w:t xml:space="preserve">etition is meaningless and there is nothing about ALJ Colwell’s reasoning to justify reconsideration of the </w:t>
      </w:r>
      <w:r w:rsidR="00E90D24">
        <w:rPr>
          <w:i/>
          <w:sz w:val="26"/>
        </w:rPr>
        <w:t xml:space="preserve">December 2014 Order.  </w:t>
      </w:r>
      <w:r w:rsidR="00000DB6">
        <w:rPr>
          <w:sz w:val="26"/>
        </w:rPr>
        <w:t>Moreover, RESA states that ALJ Colwell’s legal reasoning is fundamentally flawed for a number of reasons and requests that the Commission deny the OSBA’s Petition.  RESA Answer at</w:t>
      </w:r>
      <w:r w:rsidR="002D3385">
        <w:rPr>
          <w:sz w:val="26"/>
        </w:rPr>
        <w:t> </w:t>
      </w:r>
      <w:r w:rsidR="00000DB6">
        <w:rPr>
          <w:sz w:val="26"/>
        </w:rPr>
        <w:t>3-4.</w:t>
      </w:r>
      <w:r w:rsidR="00E90D24">
        <w:rPr>
          <w:sz w:val="26"/>
        </w:rPr>
        <w:t xml:space="preserve"> </w:t>
      </w:r>
    </w:p>
    <w:p w:rsidR="00E20081" w:rsidRDefault="00E20081" w:rsidP="001E6867">
      <w:pPr>
        <w:widowControl/>
        <w:suppressAutoHyphens/>
        <w:spacing w:line="360" w:lineRule="auto"/>
        <w:rPr>
          <w:b/>
          <w:color w:val="000000"/>
          <w:spacing w:val="-3"/>
          <w:sz w:val="26"/>
          <w:u w:color="000000"/>
        </w:rPr>
      </w:pPr>
    </w:p>
    <w:p w:rsidR="00E20081" w:rsidRDefault="00E20081" w:rsidP="001E6867">
      <w:pPr>
        <w:keepNext/>
        <w:keepLines/>
        <w:widowControl/>
        <w:suppressAutoHyphens/>
        <w:spacing w:line="360" w:lineRule="auto"/>
        <w:jc w:val="center"/>
        <w:rPr>
          <w:b/>
          <w:color w:val="000000"/>
          <w:spacing w:val="-3"/>
          <w:sz w:val="26"/>
          <w:u w:color="000000"/>
        </w:rPr>
      </w:pPr>
      <w:r>
        <w:rPr>
          <w:b/>
          <w:color w:val="000000"/>
          <w:spacing w:val="-3"/>
          <w:sz w:val="26"/>
          <w:u w:color="000000"/>
        </w:rPr>
        <w:lastRenderedPageBreak/>
        <w:t>Disposition</w:t>
      </w:r>
    </w:p>
    <w:p w:rsidR="002D3385" w:rsidRDefault="002D3385" w:rsidP="001E6867">
      <w:pPr>
        <w:keepNext/>
        <w:keepLines/>
        <w:widowControl/>
        <w:spacing w:line="360" w:lineRule="auto"/>
        <w:ind w:firstLine="1440"/>
        <w:rPr>
          <w:sz w:val="26"/>
        </w:rPr>
      </w:pPr>
    </w:p>
    <w:p w:rsidR="002D3385" w:rsidRPr="00116593" w:rsidRDefault="002D3385" w:rsidP="001E6867">
      <w:pPr>
        <w:widowControl/>
        <w:spacing w:line="360" w:lineRule="auto"/>
        <w:ind w:firstLine="1440"/>
        <w:rPr>
          <w:sz w:val="26"/>
        </w:rPr>
      </w:pPr>
      <w:r w:rsidRPr="00116593">
        <w:rPr>
          <w:sz w:val="26"/>
        </w:rPr>
        <w:t xml:space="preserve">The </w:t>
      </w:r>
      <w:r>
        <w:rPr>
          <w:sz w:val="26"/>
        </w:rPr>
        <w:t xml:space="preserve">Public Utility </w:t>
      </w:r>
      <w:r w:rsidRPr="00116593">
        <w:rPr>
          <w:sz w:val="26"/>
        </w:rPr>
        <w:t xml:space="preserve">Code </w:t>
      </w:r>
      <w:r>
        <w:rPr>
          <w:sz w:val="26"/>
        </w:rPr>
        <w:t xml:space="preserve">(Code) </w:t>
      </w:r>
      <w:r w:rsidRPr="00116593">
        <w:rPr>
          <w:sz w:val="26"/>
        </w:rPr>
        <w:t>establishes a party’s right to seek relief following the issuance of our final decisions pursuant to Subsections 703(f) and (g), 66 Pa. C.S. §</w:t>
      </w:r>
      <w:r w:rsidRPr="000427ED">
        <w:rPr>
          <w:sz w:val="26"/>
        </w:rPr>
        <w:t>§</w:t>
      </w:r>
      <w:r w:rsidRPr="00116593">
        <w:rPr>
          <w:sz w:val="26"/>
        </w:rPr>
        <w:t xml:space="preserve"> 703(f) and (g), relating to rehearings, as well as the rescission and amendment of orders.  Such requests for relief must be consistent with Section 5.572 of our Regulations, 52 Pa. Code § 5.572, relating to petitions for relief following the issuance of a final decision.  </w:t>
      </w:r>
    </w:p>
    <w:p w:rsidR="002D3385" w:rsidRPr="00116593" w:rsidRDefault="002D3385" w:rsidP="001E6867">
      <w:pPr>
        <w:widowControl/>
        <w:spacing w:line="360" w:lineRule="auto"/>
        <w:rPr>
          <w:sz w:val="26"/>
        </w:rPr>
      </w:pPr>
    </w:p>
    <w:p w:rsidR="002D3385" w:rsidRPr="00116593" w:rsidRDefault="002D3385" w:rsidP="001E6867">
      <w:pPr>
        <w:widowControl/>
        <w:spacing w:line="360" w:lineRule="auto"/>
        <w:ind w:firstLine="1440"/>
        <w:rPr>
          <w:sz w:val="26"/>
        </w:rPr>
      </w:pPr>
      <w:r w:rsidRPr="00116593">
        <w:rPr>
          <w:sz w:val="26"/>
        </w:rPr>
        <w:t xml:space="preserve">The standards for granting a Petition for Reconsideration were set forth in </w:t>
      </w:r>
      <w:r w:rsidRPr="00116593">
        <w:rPr>
          <w:i/>
          <w:sz w:val="26"/>
        </w:rPr>
        <w:t>Duick v. Pennsylvania Gas and Water Company</w:t>
      </w:r>
      <w:r w:rsidRPr="00116593">
        <w:rPr>
          <w:sz w:val="26"/>
        </w:rPr>
        <w:t xml:space="preserve">, </w:t>
      </w:r>
      <w:r w:rsidRPr="00116593">
        <w:rPr>
          <w:sz w:val="26"/>
          <w:szCs w:val="24"/>
        </w:rPr>
        <w:t>56 Pa. P.U.C. 553</w:t>
      </w:r>
      <w:r w:rsidRPr="00116593">
        <w:rPr>
          <w:sz w:val="26"/>
        </w:rPr>
        <w:t xml:space="preserve"> (1982)</w:t>
      </w:r>
      <w:r>
        <w:rPr>
          <w:sz w:val="26"/>
        </w:rPr>
        <w:t>(</w:t>
      </w:r>
      <w:r>
        <w:rPr>
          <w:i/>
          <w:sz w:val="26"/>
        </w:rPr>
        <w:t>Duick</w:t>
      </w:r>
      <w:r>
        <w:rPr>
          <w:sz w:val="26"/>
        </w:rPr>
        <w:t>)</w:t>
      </w:r>
      <w:r w:rsidRPr="00116593">
        <w:rPr>
          <w:sz w:val="26"/>
        </w:rPr>
        <w:t xml:space="preserve">:  </w:t>
      </w:r>
    </w:p>
    <w:p w:rsidR="002D3385" w:rsidRPr="00116593" w:rsidRDefault="002D3385" w:rsidP="001E6867">
      <w:pPr>
        <w:widowControl/>
        <w:rPr>
          <w:sz w:val="26"/>
        </w:rPr>
      </w:pPr>
    </w:p>
    <w:p w:rsidR="002D3385" w:rsidRPr="00116593" w:rsidRDefault="002D3385" w:rsidP="001E6867">
      <w:pPr>
        <w:widowControl/>
        <w:ind w:left="1440" w:right="1440"/>
        <w:rPr>
          <w:sz w:val="26"/>
        </w:rPr>
      </w:pPr>
      <w:r w:rsidRPr="00116593">
        <w:rPr>
          <w:sz w:val="26"/>
        </w:rPr>
        <w:t xml:space="preserve">A Petition for Reconsideration, under the provisions of </w:t>
      </w:r>
    </w:p>
    <w:p w:rsidR="002D3385" w:rsidRPr="00116593" w:rsidRDefault="002D3385" w:rsidP="001E6867">
      <w:pPr>
        <w:widowControl/>
        <w:ind w:left="1440" w:right="1440"/>
        <w:rPr>
          <w:sz w:val="26"/>
        </w:rPr>
      </w:pPr>
      <w:r w:rsidRPr="00116593">
        <w:rPr>
          <w:sz w:val="26"/>
        </w:rPr>
        <w:t xml:space="preserve">66 Pa. C.S. § 703(g), may properly raise any matters designed to convince the Commission that it should exercise its discretion under this code section to rescind or amend a prior order in whole or in part.  </w:t>
      </w:r>
    </w:p>
    <w:p w:rsidR="002D3385" w:rsidRPr="00116593" w:rsidRDefault="002D3385" w:rsidP="001E6867">
      <w:pPr>
        <w:widowControl/>
        <w:ind w:left="1440" w:right="1440"/>
        <w:rPr>
          <w:sz w:val="26"/>
        </w:rPr>
      </w:pPr>
    </w:p>
    <w:p w:rsidR="002D3385" w:rsidRPr="00116593" w:rsidRDefault="002D3385" w:rsidP="001E6867">
      <w:pPr>
        <w:widowControl/>
        <w:ind w:left="1440" w:right="1440"/>
        <w:rPr>
          <w:sz w:val="26"/>
        </w:rPr>
      </w:pPr>
      <w:r w:rsidRPr="00116593">
        <w:rPr>
          <w:sz w:val="26"/>
        </w:rPr>
        <w:tab/>
        <w:t xml:space="preserve">In this regard we agree with the court in the </w:t>
      </w:r>
      <w:r w:rsidRPr="0087004F">
        <w:rPr>
          <w:i/>
          <w:sz w:val="26"/>
        </w:rPr>
        <w:t>Pennsyl</w:t>
      </w:r>
      <w:r w:rsidRPr="0087004F">
        <w:rPr>
          <w:i/>
          <w:sz w:val="26"/>
        </w:rPr>
        <w:softHyphen/>
        <w:t>vania Railroad Company</w:t>
      </w:r>
      <w:r w:rsidRPr="00116593">
        <w:rPr>
          <w:sz w:val="26"/>
        </w:rPr>
        <w:t xml:space="preserve"> case, wherein it was stated that:  </w:t>
      </w:r>
    </w:p>
    <w:p w:rsidR="002D3385" w:rsidRPr="00116593" w:rsidRDefault="002D3385" w:rsidP="001E6867">
      <w:pPr>
        <w:widowControl/>
        <w:ind w:left="2160" w:right="2160"/>
        <w:rPr>
          <w:sz w:val="26"/>
        </w:rPr>
      </w:pPr>
    </w:p>
    <w:p w:rsidR="002D3385" w:rsidRPr="00116593" w:rsidRDefault="002D3385" w:rsidP="001E6867">
      <w:pPr>
        <w:widowControl/>
        <w:tabs>
          <w:tab w:val="left" w:pos="-720"/>
        </w:tabs>
        <w:ind w:left="2160" w:right="2160"/>
        <w:rPr>
          <w:sz w:val="26"/>
        </w:rPr>
      </w:pPr>
      <w:r w:rsidRPr="00116593">
        <w:rPr>
          <w:sz w:val="26"/>
        </w:rPr>
        <w:tab/>
        <w:t>Parties . . . cannot be permitted by a second motion to review and reconsider, to raise the same questions which were specifically decided against them . . . what we expect to see raised in such petitions are new and novel arguments, not previously heard, or considera</w:t>
      </w:r>
      <w:r w:rsidRPr="00116593">
        <w:rPr>
          <w:sz w:val="26"/>
        </w:rPr>
        <w:softHyphen/>
        <w:t xml:space="preserve">tions which appear to have been overlooked by the Commission.  </w:t>
      </w:r>
    </w:p>
    <w:p w:rsidR="002D3385" w:rsidRPr="00116593" w:rsidRDefault="002D3385" w:rsidP="001E6867">
      <w:pPr>
        <w:widowControl/>
        <w:tabs>
          <w:tab w:val="left" w:pos="-720"/>
        </w:tabs>
        <w:spacing w:line="360" w:lineRule="auto"/>
        <w:ind w:left="2160" w:right="2160"/>
        <w:rPr>
          <w:sz w:val="26"/>
        </w:rPr>
      </w:pPr>
    </w:p>
    <w:p w:rsidR="002D3385" w:rsidRPr="00116593" w:rsidRDefault="002D3385" w:rsidP="001E6867">
      <w:pPr>
        <w:widowControl/>
        <w:spacing w:line="360" w:lineRule="auto"/>
        <w:rPr>
          <w:sz w:val="26"/>
          <w:szCs w:val="24"/>
        </w:rPr>
      </w:pPr>
      <w:r w:rsidRPr="00116593">
        <w:rPr>
          <w:i/>
          <w:sz w:val="26"/>
        </w:rPr>
        <w:t>Duick,</w:t>
      </w:r>
      <w:r w:rsidRPr="00116593">
        <w:rPr>
          <w:sz w:val="26"/>
        </w:rPr>
        <w:t xml:space="preserve"> </w:t>
      </w:r>
      <w:r w:rsidRPr="00116593">
        <w:rPr>
          <w:sz w:val="26"/>
          <w:szCs w:val="24"/>
        </w:rPr>
        <w:t xml:space="preserve">56 Pa. P.U.C. at 559 (quoting </w:t>
      </w:r>
      <w:r w:rsidRPr="00116593">
        <w:rPr>
          <w:i/>
          <w:sz w:val="26"/>
          <w:szCs w:val="24"/>
        </w:rPr>
        <w:t>Pennsylvania Railroad Co. v. Pennsylvania Public Service Commission</w:t>
      </w:r>
      <w:r w:rsidRPr="00116593">
        <w:rPr>
          <w:sz w:val="26"/>
          <w:szCs w:val="24"/>
        </w:rPr>
        <w:t xml:space="preserve">, 179 A. 850, 854 (Pa. Super. Ct. 1935)).  </w:t>
      </w:r>
    </w:p>
    <w:p w:rsidR="002D3385" w:rsidRPr="00116593" w:rsidRDefault="002D3385" w:rsidP="001E6867">
      <w:pPr>
        <w:widowControl/>
        <w:spacing w:line="360" w:lineRule="auto"/>
        <w:rPr>
          <w:sz w:val="26"/>
        </w:rPr>
      </w:pPr>
    </w:p>
    <w:p w:rsidR="002D3385" w:rsidRDefault="002D3385" w:rsidP="001E6867">
      <w:pPr>
        <w:widowControl/>
        <w:suppressAutoHyphens/>
        <w:spacing w:line="360" w:lineRule="auto"/>
        <w:rPr>
          <w:color w:val="000000"/>
          <w:spacing w:val="-3"/>
          <w:sz w:val="26"/>
          <w:u w:color="000000"/>
        </w:rPr>
      </w:pPr>
      <w:r w:rsidRPr="00116593">
        <w:rPr>
          <w:color w:val="000000"/>
          <w:spacing w:val="-3"/>
          <w:sz w:val="26"/>
          <w:u w:color="000000"/>
        </w:rPr>
        <w:tab/>
      </w:r>
      <w:r w:rsidRPr="00116593">
        <w:rPr>
          <w:color w:val="000000"/>
          <w:spacing w:val="-3"/>
          <w:sz w:val="26"/>
          <w:u w:color="000000"/>
        </w:rPr>
        <w:tab/>
        <w:t xml:space="preserve">Under the standards of </w:t>
      </w:r>
      <w:r w:rsidRPr="00116593">
        <w:rPr>
          <w:i/>
          <w:color w:val="000000"/>
          <w:spacing w:val="-3"/>
          <w:sz w:val="26"/>
          <w:u w:color="000000"/>
        </w:rPr>
        <w:t>Duick</w:t>
      </w:r>
      <w:r w:rsidRPr="00116593">
        <w:rPr>
          <w:color w:val="000000"/>
          <w:spacing w:val="-3"/>
          <w:sz w:val="26"/>
          <w:u w:color="000000"/>
        </w:rPr>
        <w:t xml:space="preserve">, a </w:t>
      </w:r>
      <w:r>
        <w:rPr>
          <w:color w:val="000000"/>
          <w:spacing w:val="-3"/>
          <w:sz w:val="26"/>
          <w:u w:color="000000"/>
        </w:rPr>
        <w:t>P</w:t>
      </w:r>
      <w:r w:rsidRPr="00116593">
        <w:rPr>
          <w:color w:val="000000"/>
          <w:spacing w:val="-3"/>
          <w:sz w:val="26"/>
          <w:u w:color="000000"/>
        </w:rPr>
        <w:t xml:space="preserve">etition for </w:t>
      </w:r>
      <w:r>
        <w:rPr>
          <w:color w:val="000000"/>
          <w:spacing w:val="-3"/>
          <w:sz w:val="26"/>
          <w:u w:color="000000"/>
        </w:rPr>
        <w:t>R</w:t>
      </w:r>
      <w:r w:rsidRPr="00116593">
        <w:rPr>
          <w:color w:val="000000"/>
          <w:spacing w:val="-3"/>
          <w:sz w:val="26"/>
          <w:u w:color="000000"/>
        </w:rPr>
        <w:t xml:space="preserve">econsideration may properly raise any matter designed to convince this Commission that we should exercise our </w:t>
      </w:r>
      <w:r w:rsidRPr="00116593">
        <w:rPr>
          <w:color w:val="000000"/>
          <w:spacing w:val="-3"/>
          <w:sz w:val="26"/>
          <w:u w:color="000000"/>
        </w:rPr>
        <w:lastRenderedPageBreak/>
        <w:t xml:space="preserve">discretion to amend or rescind a prior Order, in whole or in part.  Such petitions are likely to succeed only when they raise “new and novel arguments” not previously heard or considerations which appear to have been overlooked or not addressed by the Commission.  </w:t>
      </w:r>
      <w:r w:rsidRPr="00116593">
        <w:rPr>
          <w:i/>
          <w:color w:val="000000"/>
          <w:spacing w:val="-3"/>
          <w:sz w:val="26"/>
          <w:u w:color="000000"/>
        </w:rPr>
        <w:t>Duick</w:t>
      </w:r>
      <w:r w:rsidRPr="00116593">
        <w:rPr>
          <w:color w:val="000000"/>
          <w:spacing w:val="-3"/>
          <w:sz w:val="26"/>
          <w:u w:color="000000"/>
        </w:rPr>
        <w:t xml:space="preserve">, 56 Pa. P.U.C. at 559. </w:t>
      </w:r>
    </w:p>
    <w:p w:rsidR="002C44D7" w:rsidRDefault="002C44D7" w:rsidP="001E6867">
      <w:pPr>
        <w:widowControl/>
        <w:suppressAutoHyphens/>
        <w:spacing w:line="360" w:lineRule="auto"/>
        <w:rPr>
          <w:b/>
          <w:color w:val="000000"/>
          <w:spacing w:val="-3"/>
          <w:sz w:val="26"/>
          <w:u w:color="000000"/>
        </w:rPr>
      </w:pPr>
    </w:p>
    <w:p w:rsidR="002C44D7" w:rsidRDefault="002C44D7" w:rsidP="001E6867">
      <w:pPr>
        <w:widowControl/>
        <w:suppressAutoHyphens/>
        <w:spacing w:line="360" w:lineRule="auto"/>
        <w:rPr>
          <w:sz w:val="26"/>
        </w:rPr>
      </w:pPr>
      <w:r>
        <w:rPr>
          <w:b/>
          <w:color w:val="000000"/>
          <w:spacing w:val="-3"/>
          <w:sz w:val="26"/>
          <w:u w:color="000000"/>
        </w:rPr>
        <w:tab/>
      </w:r>
      <w:r>
        <w:rPr>
          <w:b/>
          <w:color w:val="000000"/>
          <w:spacing w:val="-3"/>
          <w:sz w:val="26"/>
          <w:u w:color="000000"/>
        </w:rPr>
        <w:tab/>
      </w:r>
      <w:r w:rsidR="00126116" w:rsidRPr="00126116">
        <w:rPr>
          <w:color w:val="000000"/>
          <w:spacing w:val="-3"/>
          <w:sz w:val="26"/>
          <w:u w:color="000000"/>
        </w:rPr>
        <w:t xml:space="preserve">Based </w:t>
      </w:r>
      <w:r w:rsidR="00126116">
        <w:rPr>
          <w:color w:val="000000"/>
          <w:spacing w:val="-3"/>
          <w:sz w:val="26"/>
          <w:u w:color="000000"/>
        </w:rPr>
        <w:t>o</w:t>
      </w:r>
      <w:r w:rsidRPr="00126116">
        <w:rPr>
          <w:color w:val="000000"/>
          <w:spacing w:val="-3"/>
          <w:sz w:val="26"/>
          <w:u w:color="000000"/>
        </w:rPr>
        <w:t>n</w:t>
      </w:r>
      <w:r>
        <w:rPr>
          <w:color w:val="000000"/>
          <w:spacing w:val="-3"/>
          <w:sz w:val="26"/>
          <w:u w:color="000000"/>
        </w:rPr>
        <w:t xml:space="preserve"> </w:t>
      </w:r>
      <w:r w:rsidR="00126116">
        <w:rPr>
          <w:color w:val="000000"/>
          <w:spacing w:val="-3"/>
          <w:sz w:val="26"/>
          <w:u w:color="000000"/>
        </w:rPr>
        <w:t xml:space="preserve">our </w:t>
      </w:r>
      <w:r>
        <w:rPr>
          <w:color w:val="000000"/>
          <w:spacing w:val="-3"/>
          <w:sz w:val="26"/>
          <w:u w:color="000000"/>
        </w:rPr>
        <w:t>review of the OSBA’s Petition</w:t>
      </w:r>
      <w:r w:rsidR="00126116">
        <w:rPr>
          <w:color w:val="000000"/>
          <w:spacing w:val="-3"/>
          <w:sz w:val="26"/>
          <w:u w:color="000000"/>
        </w:rPr>
        <w:t xml:space="preserve"> and the Answers thereto</w:t>
      </w:r>
      <w:r>
        <w:rPr>
          <w:color w:val="000000"/>
          <w:spacing w:val="-3"/>
          <w:sz w:val="26"/>
          <w:u w:color="000000"/>
        </w:rPr>
        <w:t xml:space="preserve">, and in light of the record as described in the proceeding, we find that the OSBA </w:t>
      </w:r>
      <w:r w:rsidR="006D35AA">
        <w:rPr>
          <w:color w:val="000000"/>
          <w:spacing w:val="-3"/>
          <w:sz w:val="26"/>
          <w:u w:color="000000"/>
        </w:rPr>
        <w:t xml:space="preserve">has failed to allege any “new or novel arguments” such as would persuade us to reverse, modify or amend our </w:t>
      </w:r>
      <w:r w:rsidR="006D35AA">
        <w:rPr>
          <w:i/>
          <w:sz w:val="26"/>
        </w:rPr>
        <w:t>December 2014 Order</w:t>
      </w:r>
      <w:r w:rsidR="00126116">
        <w:rPr>
          <w:sz w:val="26"/>
        </w:rPr>
        <w:t xml:space="preserve">. </w:t>
      </w:r>
      <w:r w:rsidR="002D3385">
        <w:rPr>
          <w:sz w:val="26"/>
        </w:rPr>
        <w:t xml:space="preserve"> </w:t>
      </w:r>
      <w:r w:rsidR="00126116">
        <w:rPr>
          <w:sz w:val="26"/>
        </w:rPr>
        <w:t xml:space="preserve">We conclude that the Petition does not meet the </w:t>
      </w:r>
      <w:r w:rsidR="002D3385">
        <w:rPr>
          <w:sz w:val="26"/>
        </w:rPr>
        <w:t xml:space="preserve">legal </w:t>
      </w:r>
      <w:r w:rsidR="00126116">
        <w:rPr>
          <w:sz w:val="26"/>
        </w:rPr>
        <w:t xml:space="preserve">standards for reconsideration established pursuant to </w:t>
      </w:r>
      <w:r w:rsidR="00126116">
        <w:rPr>
          <w:i/>
          <w:sz w:val="26"/>
        </w:rPr>
        <w:t>Duick</w:t>
      </w:r>
      <w:r w:rsidR="002D3385">
        <w:rPr>
          <w:sz w:val="26"/>
        </w:rPr>
        <w:t xml:space="preserve">, </w:t>
      </w:r>
      <w:r w:rsidR="002D3385">
        <w:rPr>
          <w:i/>
          <w:sz w:val="26"/>
        </w:rPr>
        <w:t>supra</w:t>
      </w:r>
      <w:r w:rsidR="00126116">
        <w:rPr>
          <w:i/>
          <w:sz w:val="26"/>
        </w:rPr>
        <w:t xml:space="preserve">.  </w:t>
      </w:r>
      <w:r w:rsidR="00126116">
        <w:rPr>
          <w:sz w:val="26"/>
        </w:rPr>
        <w:t>On this point, we agree</w:t>
      </w:r>
      <w:r w:rsidR="002D3385">
        <w:rPr>
          <w:sz w:val="26"/>
        </w:rPr>
        <w:t xml:space="preserve"> with </w:t>
      </w:r>
      <w:r w:rsidR="00126116">
        <w:rPr>
          <w:sz w:val="26"/>
        </w:rPr>
        <w:t>PECO and RESA that the OSBA’</w:t>
      </w:r>
      <w:r w:rsidR="00EA626D">
        <w:rPr>
          <w:sz w:val="26"/>
        </w:rPr>
        <w:t>s P</w:t>
      </w:r>
      <w:r w:rsidR="00126116">
        <w:rPr>
          <w:sz w:val="26"/>
        </w:rPr>
        <w:t xml:space="preserve">etition raises no new or novel arguments and raises no arguments that </w:t>
      </w:r>
      <w:r w:rsidR="002D3385">
        <w:rPr>
          <w:sz w:val="26"/>
        </w:rPr>
        <w:t xml:space="preserve">we </w:t>
      </w:r>
      <w:r w:rsidR="00126116">
        <w:rPr>
          <w:sz w:val="26"/>
        </w:rPr>
        <w:t xml:space="preserve">have not already considered and rejected.  Also, the Petition fails to raise any arguments that have been overlooked by the Commission.  </w:t>
      </w:r>
      <w:r w:rsidR="00202A27">
        <w:rPr>
          <w:sz w:val="26"/>
        </w:rPr>
        <w:t>We find that each of the arguments raised by the OSBA in its Petition were</w:t>
      </w:r>
      <w:r w:rsidR="00081B3E">
        <w:rPr>
          <w:sz w:val="26"/>
        </w:rPr>
        <w:t xml:space="preserve"> addressed, considered and rejected </w:t>
      </w:r>
      <w:r w:rsidR="00202A27">
        <w:rPr>
          <w:sz w:val="26"/>
        </w:rPr>
        <w:t xml:space="preserve">in our </w:t>
      </w:r>
      <w:r w:rsidR="00202A27">
        <w:rPr>
          <w:i/>
          <w:sz w:val="26"/>
        </w:rPr>
        <w:t xml:space="preserve">December 2014 Order. </w:t>
      </w:r>
      <w:r w:rsidR="00202A27">
        <w:rPr>
          <w:sz w:val="26"/>
        </w:rPr>
        <w:t xml:space="preserve"> </w:t>
      </w:r>
      <w:r w:rsidR="00081B3E">
        <w:rPr>
          <w:sz w:val="26"/>
        </w:rPr>
        <w:t xml:space="preserve">Furthermore, the OSBA’s reliance in its Petition on the </w:t>
      </w:r>
      <w:r w:rsidR="00081B3E">
        <w:rPr>
          <w:i/>
          <w:sz w:val="26"/>
        </w:rPr>
        <w:t xml:space="preserve">PPL RD </w:t>
      </w:r>
      <w:r w:rsidR="002D3385">
        <w:rPr>
          <w:sz w:val="26"/>
        </w:rPr>
        <w:t xml:space="preserve">as </w:t>
      </w:r>
      <w:r w:rsidR="00081B3E">
        <w:rPr>
          <w:sz w:val="26"/>
        </w:rPr>
        <w:t xml:space="preserve">support </w:t>
      </w:r>
      <w:r w:rsidR="002D3385">
        <w:rPr>
          <w:sz w:val="26"/>
        </w:rPr>
        <w:t xml:space="preserve">for </w:t>
      </w:r>
      <w:r w:rsidR="002D34E4">
        <w:rPr>
          <w:sz w:val="26"/>
        </w:rPr>
        <w:t xml:space="preserve">reconsideration in the instant case </w:t>
      </w:r>
      <w:r w:rsidR="00081B3E">
        <w:rPr>
          <w:sz w:val="26"/>
        </w:rPr>
        <w:t>is without merit</w:t>
      </w:r>
      <w:r w:rsidR="00BB6802">
        <w:rPr>
          <w:sz w:val="26"/>
        </w:rPr>
        <w:t xml:space="preserve"> especially in consideration of the fact that </w:t>
      </w:r>
      <w:r w:rsidR="001E6867">
        <w:rPr>
          <w:sz w:val="26"/>
        </w:rPr>
        <w:t xml:space="preserve">in that proceeding </w:t>
      </w:r>
      <w:r w:rsidR="00BB6802">
        <w:rPr>
          <w:sz w:val="26"/>
        </w:rPr>
        <w:t xml:space="preserve">we reversed the ALJ’s recommendation on this issue by </w:t>
      </w:r>
      <w:r w:rsidR="002D34E4">
        <w:rPr>
          <w:sz w:val="26"/>
        </w:rPr>
        <w:t>our Opinion and Order</w:t>
      </w:r>
      <w:r w:rsidR="00B677D6">
        <w:rPr>
          <w:sz w:val="26"/>
        </w:rPr>
        <w:t>,</w:t>
      </w:r>
      <w:r w:rsidR="002D34E4">
        <w:rPr>
          <w:sz w:val="26"/>
        </w:rPr>
        <w:t xml:space="preserve"> entered on January 15, 2015</w:t>
      </w:r>
      <w:r w:rsidR="001E6867">
        <w:rPr>
          <w:sz w:val="26"/>
        </w:rPr>
        <w:t>.</w:t>
      </w:r>
      <w:r w:rsidR="001E6867">
        <w:rPr>
          <w:rStyle w:val="FootnoteReference"/>
          <w:sz w:val="26"/>
        </w:rPr>
        <w:footnoteReference w:id="2"/>
      </w:r>
      <w:r w:rsidR="002D34E4">
        <w:rPr>
          <w:sz w:val="26"/>
        </w:rPr>
        <w:t xml:space="preserve">  </w:t>
      </w:r>
      <w:r w:rsidR="006D35AA">
        <w:rPr>
          <w:sz w:val="26"/>
        </w:rPr>
        <w:t xml:space="preserve">Accordingly, </w:t>
      </w:r>
      <w:r w:rsidR="00556C5F">
        <w:rPr>
          <w:sz w:val="26"/>
        </w:rPr>
        <w:t>we decline to reconsider our</w:t>
      </w:r>
      <w:r w:rsidR="00BB6802" w:rsidRPr="00BB6802">
        <w:rPr>
          <w:i/>
          <w:sz w:val="26"/>
        </w:rPr>
        <w:t xml:space="preserve"> </w:t>
      </w:r>
      <w:r w:rsidR="00BB6802">
        <w:rPr>
          <w:i/>
          <w:sz w:val="26"/>
        </w:rPr>
        <w:t>December 2014 Order</w:t>
      </w:r>
      <w:r w:rsidR="00556C5F">
        <w:rPr>
          <w:sz w:val="26"/>
        </w:rPr>
        <w:t xml:space="preserve"> and </w:t>
      </w:r>
      <w:r w:rsidR="001E6867">
        <w:rPr>
          <w:sz w:val="26"/>
        </w:rPr>
        <w:t xml:space="preserve">shall </w:t>
      </w:r>
      <w:r w:rsidR="00556C5F">
        <w:rPr>
          <w:sz w:val="26"/>
        </w:rPr>
        <w:t xml:space="preserve">deny </w:t>
      </w:r>
      <w:r w:rsidR="006D35AA">
        <w:rPr>
          <w:sz w:val="26"/>
        </w:rPr>
        <w:t>the OSBA’s Petition.</w:t>
      </w:r>
    </w:p>
    <w:p w:rsidR="001E6867" w:rsidRPr="006D35AA" w:rsidRDefault="001E6867" w:rsidP="001E6867">
      <w:pPr>
        <w:widowControl/>
        <w:suppressAutoHyphens/>
        <w:spacing w:line="360" w:lineRule="auto"/>
        <w:rPr>
          <w:color w:val="000000"/>
          <w:spacing w:val="-3"/>
          <w:sz w:val="26"/>
          <w:u w:color="000000"/>
        </w:rPr>
      </w:pPr>
    </w:p>
    <w:p w:rsidR="002D081C" w:rsidRPr="00E20081" w:rsidRDefault="00E20081" w:rsidP="001E6867">
      <w:pPr>
        <w:keepNext/>
        <w:widowControl/>
        <w:suppressAutoHyphens/>
        <w:spacing w:line="360" w:lineRule="auto"/>
        <w:jc w:val="center"/>
        <w:rPr>
          <w:b/>
          <w:color w:val="000000"/>
          <w:spacing w:val="-3"/>
          <w:sz w:val="26"/>
          <w:u w:color="000000"/>
        </w:rPr>
      </w:pPr>
      <w:r>
        <w:rPr>
          <w:b/>
          <w:color w:val="000000"/>
          <w:spacing w:val="-3"/>
          <w:sz w:val="26"/>
          <w:u w:color="000000"/>
        </w:rPr>
        <w:t>Conclusion</w:t>
      </w:r>
    </w:p>
    <w:p w:rsidR="000F1318" w:rsidRPr="00027664" w:rsidRDefault="000F1318" w:rsidP="001E6867">
      <w:pPr>
        <w:keepNext/>
        <w:widowControl/>
        <w:spacing w:line="360" w:lineRule="auto"/>
        <w:ind w:firstLine="1440"/>
        <w:rPr>
          <w:sz w:val="26"/>
          <w:szCs w:val="26"/>
        </w:rPr>
      </w:pPr>
    </w:p>
    <w:p w:rsidR="000F1318" w:rsidRPr="00027664" w:rsidRDefault="00470D9C" w:rsidP="001E6867">
      <w:pPr>
        <w:widowControl/>
        <w:spacing w:line="360" w:lineRule="auto"/>
        <w:ind w:firstLine="1440"/>
        <w:rPr>
          <w:sz w:val="26"/>
          <w:szCs w:val="26"/>
        </w:rPr>
      </w:pPr>
      <w:r>
        <w:rPr>
          <w:sz w:val="26"/>
        </w:rPr>
        <w:t>Based on the foregoing</w:t>
      </w:r>
      <w:r w:rsidR="00713A56">
        <w:rPr>
          <w:sz w:val="26"/>
        </w:rPr>
        <w:t xml:space="preserve"> discussion</w:t>
      </w:r>
      <w:r>
        <w:rPr>
          <w:sz w:val="26"/>
        </w:rPr>
        <w:t>, we shall deny the Petition for Reconsideration filed by the OSBA</w:t>
      </w:r>
      <w:r w:rsidR="00002CE4">
        <w:rPr>
          <w:sz w:val="26"/>
        </w:rPr>
        <w:t xml:space="preserve">; </w:t>
      </w:r>
      <w:r w:rsidR="000F1318" w:rsidRPr="00027664">
        <w:rPr>
          <w:b/>
          <w:sz w:val="26"/>
        </w:rPr>
        <w:t>THEREFORE,</w:t>
      </w:r>
    </w:p>
    <w:p w:rsidR="000F1318" w:rsidRPr="00027664" w:rsidRDefault="000F1318" w:rsidP="001E6867">
      <w:pPr>
        <w:widowControl/>
        <w:spacing w:line="360" w:lineRule="auto"/>
        <w:ind w:firstLine="1440"/>
        <w:rPr>
          <w:sz w:val="26"/>
          <w:szCs w:val="26"/>
        </w:rPr>
      </w:pPr>
    </w:p>
    <w:p w:rsidR="00470D9C" w:rsidRDefault="000F1318" w:rsidP="001E6867">
      <w:pPr>
        <w:keepNext/>
        <w:widowControl/>
        <w:spacing w:line="360" w:lineRule="auto"/>
        <w:ind w:firstLine="1440"/>
        <w:rPr>
          <w:sz w:val="26"/>
        </w:rPr>
      </w:pPr>
      <w:r w:rsidRPr="00027664">
        <w:rPr>
          <w:b/>
          <w:sz w:val="26"/>
          <w:szCs w:val="26"/>
        </w:rPr>
        <w:lastRenderedPageBreak/>
        <w:t>IT IS ORDERED:</w:t>
      </w:r>
      <w:r>
        <w:rPr>
          <w:sz w:val="26"/>
        </w:rPr>
        <w:t xml:space="preserve">  </w:t>
      </w:r>
    </w:p>
    <w:p w:rsidR="00470D9C" w:rsidRDefault="00470D9C" w:rsidP="001E6867">
      <w:pPr>
        <w:keepNext/>
        <w:widowControl/>
        <w:spacing w:line="360" w:lineRule="auto"/>
        <w:ind w:firstLine="1440"/>
        <w:rPr>
          <w:sz w:val="26"/>
        </w:rPr>
      </w:pPr>
    </w:p>
    <w:p w:rsidR="000F1318" w:rsidRDefault="00470D9C" w:rsidP="001E6867">
      <w:pPr>
        <w:widowControl/>
        <w:spacing w:line="360" w:lineRule="auto"/>
        <w:ind w:firstLine="1440"/>
        <w:rPr>
          <w:sz w:val="26"/>
          <w:szCs w:val="26"/>
        </w:rPr>
      </w:pPr>
      <w:r>
        <w:rPr>
          <w:sz w:val="26"/>
        </w:rPr>
        <w:t>1.</w:t>
      </w:r>
      <w:r>
        <w:rPr>
          <w:sz w:val="26"/>
        </w:rPr>
        <w:tab/>
      </w:r>
      <w:r w:rsidR="000F1318" w:rsidRPr="00027664">
        <w:rPr>
          <w:sz w:val="26"/>
          <w:szCs w:val="26"/>
        </w:rPr>
        <w:t>That the Petition for Reconsideration filed on</w:t>
      </w:r>
      <w:r w:rsidR="00641F38">
        <w:rPr>
          <w:sz w:val="26"/>
          <w:szCs w:val="26"/>
        </w:rPr>
        <w:t xml:space="preserve"> </w:t>
      </w:r>
      <w:r w:rsidR="00381E95">
        <w:rPr>
          <w:sz w:val="26"/>
          <w:szCs w:val="26"/>
        </w:rPr>
        <w:t>December 19, 2014</w:t>
      </w:r>
      <w:r w:rsidR="00214830">
        <w:rPr>
          <w:sz w:val="26"/>
          <w:szCs w:val="26"/>
        </w:rPr>
        <w:t xml:space="preserve">, </w:t>
      </w:r>
      <w:r w:rsidR="000F1318" w:rsidRPr="00027664">
        <w:rPr>
          <w:sz w:val="26"/>
          <w:szCs w:val="26"/>
        </w:rPr>
        <w:t>by</w:t>
      </w:r>
      <w:r w:rsidR="00214830">
        <w:rPr>
          <w:sz w:val="26"/>
          <w:szCs w:val="26"/>
        </w:rPr>
        <w:t xml:space="preserve"> </w:t>
      </w:r>
      <w:r w:rsidR="00381E95">
        <w:rPr>
          <w:sz w:val="26"/>
          <w:szCs w:val="26"/>
        </w:rPr>
        <w:t>the Office of Small Business Advocate</w:t>
      </w:r>
      <w:r>
        <w:rPr>
          <w:sz w:val="26"/>
          <w:szCs w:val="26"/>
        </w:rPr>
        <w:t xml:space="preserve">, </w:t>
      </w:r>
      <w:r w:rsidR="006D35AA">
        <w:rPr>
          <w:sz w:val="26"/>
          <w:szCs w:val="26"/>
        </w:rPr>
        <w:t xml:space="preserve">relative to the Opinion and Order entered herein on December 4, 2014, </w:t>
      </w:r>
      <w:r>
        <w:rPr>
          <w:sz w:val="26"/>
          <w:szCs w:val="26"/>
        </w:rPr>
        <w:t>is hereby denied</w:t>
      </w:r>
      <w:r w:rsidR="000F1318" w:rsidRPr="00027664">
        <w:rPr>
          <w:sz w:val="26"/>
          <w:szCs w:val="26"/>
        </w:rPr>
        <w:t xml:space="preserve">, </w:t>
      </w:r>
      <w:r>
        <w:rPr>
          <w:sz w:val="26"/>
          <w:szCs w:val="26"/>
        </w:rPr>
        <w:t>consistent with the discussion in the body of this Opinion and Order.</w:t>
      </w:r>
    </w:p>
    <w:p w:rsidR="00470D9C" w:rsidRDefault="00470D9C" w:rsidP="001E6867">
      <w:pPr>
        <w:widowControl/>
        <w:spacing w:line="360" w:lineRule="auto"/>
        <w:ind w:firstLine="1440"/>
        <w:rPr>
          <w:sz w:val="26"/>
          <w:szCs w:val="26"/>
        </w:rPr>
      </w:pPr>
    </w:p>
    <w:p w:rsidR="00470D9C" w:rsidRDefault="00470D9C" w:rsidP="001E6867">
      <w:pPr>
        <w:widowControl/>
        <w:spacing w:line="360" w:lineRule="auto"/>
        <w:ind w:firstLine="1440"/>
        <w:rPr>
          <w:sz w:val="26"/>
          <w:szCs w:val="26"/>
        </w:rPr>
      </w:pPr>
      <w:r>
        <w:rPr>
          <w:sz w:val="26"/>
          <w:szCs w:val="26"/>
        </w:rPr>
        <w:t>2.</w:t>
      </w:r>
      <w:r>
        <w:rPr>
          <w:sz w:val="26"/>
          <w:szCs w:val="26"/>
        </w:rPr>
        <w:tab/>
        <w:t>That the record in this proceeding be marked closed.</w:t>
      </w:r>
    </w:p>
    <w:p w:rsidR="00470D9C" w:rsidRPr="00027664" w:rsidRDefault="00470D9C" w:rsidP="001E6867">
      <w:pPr>
        <w:widowControl/>
        <w:spacing w:line="360" w:lineRule="auto"/>
        <w:ind w:firstLine="1440"/>
        <w:rPr>
          <w:b/>
          <w:sz w:val="26"/>
          <w:szCs w:val="26"/>
        </w:rPr>
      </w:pPr>
    </w:p>
    <w:p w:rsidR="000F1318" w:rsidRPr="00027664" w:rsidRDefault="000F1318" w:rsidP="001E6867">
      <w:pPr>
        <w:widowControl/>
        <w:rPr>
          <w:sz w:val="26"/>
          <w:szCs w:val="26"/>
        </w:rPr>
      </w:pPr>
    </w:p>
    <w:p w:rsidR="000F1318" w:rsidRPr="00027664" w:rsidRDefault="00AE01F6" w:rsidP="001E6867">
      <w:pPr>
        <w:widowControl/>
        <w:spacing w:line="360" w:lineRule="auto"/>
        <w:ind w:firstLine="5760"/>
        <w:rPr>
          <w:sz w:val="26"/>
          <w:szCs w:val="26"/>
        </w:rPr>
      </w:pPr>
      <w:bookmarkStart w:id="5" w:name="_GoBack"/>
      <w:r>
        <w:rPr>
          <w:noProof/>
        </w:rPr>
        <w:drawing>
          <wp:anchor distT="0" distB="0" distL="114300" distR="114300" simplePos="0" relativeHeight="251659264" behindDoc="1" locked="0" layoutInCell="1" allowOverlap="1" wp14:anchorId="26D1C011" wp14:editId="57C2183A">
            <wp:simplePos x="0" y="0"/>
            <wp:positionH relativeFrom="column">
              <wp:posOffset>3441700</wp:posOffset>
            </wp:positionH>
            <wp:positionV relativeFrom="paragraph">
              <wp:posOffset>94615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5"/>
      <w:r w:rsidR="000F1318" w:rsidRPr="00027664">
        <w:rPr>
          <w:b/>
          <w:sz w:val="26"/>
          <w:szCs w:val="26"/>
        </w:rPr>
        <w:t>BY THE COMMISSION,</w:t>
      </w:r>
    </w:p>
    <w:p w:rsidR="000F1318" w:rsidRPr="00027664" w:rsidRDefault="000F1318" w:rsidP="001E6867">
      <w:pPr>
        <w:widowControl/>
        <w:rPr>
          <w:sz w:val="26"/>
          <w:szCs w:val="26"/>
        </w:rPr>
      </w:pPr>
    </w:p>
    <w:p w:rsidR="000F1318" w:rsidRPr="00027664" w:rsidRDefault="000F1318" w:rsidP="001E6867">
      <w:pPr>
        <w:widowControl/>
        <w:rPr>
          <w:sz w:val="26"/>
          <w:szCs w:val="26"/>
        </w:rPr>
      </w:pPr>
    </w:p>
    <w:p w:rsidR="000F1318" w:rsidRDefault="000F1318" w:rsidP="001E6867">
      <w:pPr>
        <w:widowControl/>
        <w:rPr>
          <w:sz w:val="26"/>
          <w:szCs w:val="26"/>
        </w:rPr>
      </w:pPr>
    </w:p>
    <w:p w:rsidR="00600F6F" w:rsidRPr="00027664" w:rsidRDefault="00600F6F" w:rsidP="001E6867">
      <w:pPr>
        <w:widowControl/>
        <w:ind w:firstLine="5760"/>
        <w:rPr>
          <w:sz w:val="26"/>
          <w:szCs w:val="26"/>
        </w:rPr>
      </w:pPr>
      <w:r>
        <w:rPr>
          <w:sz w:val="26"/>
          <w:szCs w:val="26"/>
        </w:rPr>
        <w:t>Rosemary Chiavetta</w:t>
      </w:r>
    </w:p>
    <w:p w:rsidR="000F1318" w:rsidRPr="00027664" w:rsidRDefault="000F1318" w:rsidP="001E6867">
      <w:pPr>
        <w:widowControl/>
        <w:ind w:firstLine="5760"/>
        <w:rPr>
          <w:sz w:val="26"/>
          <w:szCs w:val="26"/>
        </w:rPr>
      </w:pPr>
      <w:r w:rsidRPr="00027664">
        <w:rPr>
          <w:sz w:val="26"/>
          <w:szCs w:val="26"/>
        </w:rPr>
        <w:t>Secretary</w:t>
      </w:r>
    </w:p>
    <w:p w:rsidR="000F1318" w:rsidRPr="00027664" w:rsidRDefault="000F1318" w:rsidP="001E6867">
      <w:pPr>
        <w:widowControl/>
        <w:rPr>
          <w:sz w:val="26"/>
          <w:szCs w:val="26"/>
        </w:rPr>
      </w:pPr>
    </w:p>
    <w:p w:rsidR="000F1318" w:rsidRPr="00027664" w:rsidRDefault="000F1318" w:rsidP="001E6867">
      <w:pPr>
        <w:widowControl/>
        <w:rPr>
          <w:sz w:val="26"/>
          <w:szCs w:val="26"/>
        </w:rPr>
      </w:pPr>
      <w:r w:rsidRPr="00027664">
        <w:rPr>
          <w:sz w:val="26"/>
          <w:szCs w:val="26"/>
        </w:rPr>
        <w:t>(SEAL)</w:t>
      </w:r>
    </w:p>
    <w:p w:rsidR="000F1318" w:rsidRPr="00027664" w:rsidRDefault="000F1318" w:rsidP="001E6867">
      <w:pPr>
        <w:widowControl/>
        <w:rPr>
          <w:sz w:val="26"/>
          <w:szCs w:val="26"/>
        </w:rPr>
      </w:pPr>
    </w:p>
    <w:p w:rsidR="000F1318" w:rsidRPr="00027664" w:rsidRDefault="00F248A4" w:rsidP="001E6867">
      <w:pPr>
        <w:widowControl/>
        <w:rPr>
          <w:sz w:val="26"/>
          <w:szCs w:val="26"/>
        </w:rPr>
      </w:pPr>
      <w:r>
        <w:rPr>
          <w:sz w:val="26"/>
          <w:szCs w:val="26"/>
        </w:rPr>
        <w:t>ORDER ADOPTED:</w:t>
      </w:r>
      <w:r w:rsidR="00470D9C">
        <w:rPr>
          <w:sz w:val="26"/>
          <w:szCs w:val="26"/>
        </w:rPr>
        <w:t xml:space="preserve">  February 26, 2015</w:t>
      </w:r>
    </w:p>
    <w:p w:rsidR="000F1318" w:rsidRPr="00027664" w:rsidRDefault="000F1318" w:rsidP="001E6867">
      <w:pPr>
        <w:widowControl/>
        <w:rPr>
          <w:sz w:val="26"/>
          <w:szCs w:val="26"/>
        </w:rPr>
      </w:pPr>
    </w:p>
    <w:p w:rsidR="000F1318" w:rsidRPr="00027664" w:rsidRDefault="000F1318" w:rsidP="001E6867">
      <w:pPr>
        <w:widowControl/>
        <w:rPr>
          <w:sz w:val="26"/>
          <w:szCs w:val="26"/>
        </w:rPr>
      </w:pPr>
      <w:r w:rsidRPr="00027664">
        <w:rPr>
          <w:sz w:val="26"/>
          <w:szCs w:val="26"/>
        </w:rPr>
        <w:t xml:space="preserve">ORDER ENTERED:  </w:t>
      </w:r>
      <w:r w:rsidR="00AE01F6">
        <w:rPr>
          <w:sz w:val="26"/>
          <w:szCs w:val="26"/>
        </w:rPr>
        <w:t>February 26, 2015</w:t>
      </w:r>
    </w:p>
    <w:p w:rsidR="000F1318" w:rsidRPr="00027664" w:rsidRDefault="000F1318" w:rsidP="001E6867">
      <w:pPr>
        <w:widowControl/>
        <w:tabs>
          <w:tab w:val="left" w:pos="-720"/>
        </w:tabs>
        <w:suppressAutoHyphens/>
        <w:spacing w:line="360" w:lineRule="auto"/>
        <w:rPr>
          <w:sz w:val="26"/>
        </w:rPr>
      </w:pPr>
    </w:p>
    <w:p w:rsidR="00F272E7" w:rsidRDefault="00F272E7" w:rsidP="001E6867">
      <w:pPr>
        <w:widowControl/>
        <w:jc w:val="center"/>
        <w:rPr>
          <w:b/>
          <w:sz w:val="26"/>
        </w:rPr>
      </w:pPr>
    </w:p>
    <w:sectPr w:rsidR="00F272E7" w:rsidSect="003742CF">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FD6" w:rsidRDefault="00531FD6">
      <w:r>
        <w:separator/>
      </w:r>
    </w:p>
  </w:endnote>
  <w:endnote w:type="continuationSeparator" w:id="0">
    <w:p w:rsidR="00531FD6" w:rsidRDefault="00531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variable"/>
    <w:sig w:usb0="00000003" w:usb1="00000000" w:usb2="00000000" w:usb3="00000000" w:csb0="00000001" w:csb1="00000000"/>
  </w:font>
  <w:font w:name="Times New (W1)">
    <w:altName w:val="Times New Roman"/>
    <w:charset w:val="00"/>
    <w:family w:val="roman"/>
    <w:pitch w:val="variable"/>
    <w:sig w:usb0="20003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A38" w:rsidRDefault="00442A38"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42A38" w:rsidRDefault="00442A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A38" w:rsidRPr="00C7667D" w:rsidRDefault="00442A38"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AE01F6">
      <w:rPr>
        <w:rStyle w:val="PageNumber"/>
        <w:noProof/>
        <w:sz w:val="26"/>
      </w:rPr>
      <w:t>12</w:t>
    </w:r>
    <w:r w:rsidRPr="00C7667D">
      <w:rPr>
        <w:rStyle w:val="PageNumber"/>
        <w:sz w:val="26"/>
      </w:rPr>
      <w:fldChar w:fldCharType="end"/>
    </w:r>
  </w:p>
  <w:p w:rsidR="00442A38" w:rsidRDefault="00442A38" w:rsidP="00C766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FD6" w:rsidRDefault="00531FD6">
      <w:r>
        <w:separator/>
      </w:r>
    </w:p>
  </w:footnote>
  <w:footnote w:type="continuationSeparator" w:id="0">
    <w:p w:rsidR="00531FD6" w:rsidRDefault="00531FD6">
      <w:r>
        <w:continuationSeparator/>
      </w:r>
    </w:p>
  </w:footnote>
  <w:footnote w:id="1">
    <w:p w:rsidR="00442A38" w:rsidRPr="00713A56" w:rsidRDefault="00442A38" w:rsidP="00606A56">
      <w:pPr>
        <w:pStyle w:val="FootnoteText"/>
        <w:ind w:firstLine="720"/>
        <w:rPr>
          <w:sz w:val="26"/>
          <w:szCs w:val="26"/>
        </w:rPr>
      </w:pPr>
      <w:r w:rsidRPr="00713A56">
        <w:rPr>
          <w:rStyle w:val="FootnoteReference"/>
          <w:sz w:val="26"/>
          <w:szCs w:val="26"/>
        </w:rPr>
        <w:footnoteRef/>
      </w:r>
      <w:r w:rsidRPr="00713A56">
        <w:rPr>
          <w:sz w:val="26"/>
          <w:szCs w:val="26"/>
        </w:rPr>
        <w:tab/>
        <w:t xml:space="preserve">On October 12, 2012, the Commission approved PECO’s DSP II with certain modifications and also directed PECO to submit new proposals for various elements of its proposed retail market enhancements.  </w:t>
      </w:r>
      <w:r w:rsidRPr="00713A56">
        <w:rPr>
          <w:i/>
          <w:sz w:val="26"/>
          <w:szCs w:val="26"/>
        </w:rPr>
        <w:t>See Petition of PECO Energy Co. for Approval of Its Default Service Program II</w:t>
      </w:r>
      <w:r w:rsidRPr="00713A56">
        <w:rPr>
          <w:sz w:val="26"/>
          <w:szCs w:val="26"/>
        </w:rPr>
        <w:t>, Docket No. P-2012-2283641 (Order entered October 12, 2012).  In response, PECO made a series of compliance filings (December 11, 2012</w:t>
      </w:r>
      <w:r w:rsidR="000427ED">
        <w:rPr>
          <w:sz w:val="26"/>
          <w:szCs w:val="26"/>
        </w:rPr>
        <w:t>,</w:t>
      </w:r>
      <w:r w:rsidRPr="00713A56">
        <w:rPr>
          <w:sz w:val="26"/>
          <w:szCs w:val="26"/>
        </w:rPr>
        <w:t xml:space="preserve"> February 28, 2013</w:t>
      </w:r>
      <w:r w:rsidR="000427ED">
        <w:rPr>
          <w:sz w:val="26"/>
          <w:szCs w:val="26"/>
        </w:rPr>
        <w:t>,</w:t>
      </w:r>
      <w:r w:rsidRPr="00713A56">
        <w:rPr>
          <w:sz w:val="26"/>
          <w:szCs w:val="26"/>
        </w:rPr>
        <w:t xml:space="preserve"> and April 15, 2013), which were approved by a Secretarial Letter issued January 25, 2013, an Order entered February 14, 2013, and an Order entered June 13, 2013, respectively (collectively </w:t>
      </w:r>
      <w:r w:rsidRPr="00064967">
        <w:rPr>
          <w:i/>
          <w:sz w:val="26"/>
          <w:szCs w:val="26"/>
        </w:rPr>
        <w:t>DSP II Orders</w:t>
      </w:r>
      <w:r w:rsidRPr="00713A56">
        <w:rPr>
          <w:sz w:val="26"/>
          <w:szCs w:val="26"/>
        </w:rPr>
        <w:t>).</w:t>
      </w:r>
    </w:p>
  </w:footnote>
  <w:footnote w:id="2">
    <w:p w:rsidR="001E6867" w:rsidRPr="001E6867" w:rsidRDefault="001E6867">
      <w:pPr>
        <w:pStyle w:val="FootnoteText"/>
        <w:rPr>
          <w:sz w:val="26"/>
          <w:szCs w:val="26"/>
        </w:rPr>
      </w:pPr>
      <w:r w:rsidRPr="001E6867">
        <w:rPr>
          <w:sz w:val="26"/>
          <w:szCs w:val="26"/>
        </w:rPr>
        <w:tab/>
      </w:r>
      <w:r w:rsidRPr="001E6867">
        <w:rPr>
          <w:rStyle w:val="FootnoteReference"/>
          <w:sz w:val="26"/>
          <w:szCs w:val="26"/>
        </w:rPr>
        <w:footnoteRef/>
      </w:r>
      <w:r w:rsidRPr="001E6867">
        <w:rPr>
          <w:sz w:val="26"/>
          <w:szCs w:val="26"/>
        </w:rPr>
        <w:t xml:space="preserve"> </w:t>
      </w:r>
      <w:r w:rsidRPr="001E6867">
        <w:rPr>
          <w:sz w:val="26"/>
          <w:szCs w:val="26"/>
        </w:rPr>
        <w:tab/>
      </w:r>
      <w:r w:rsidRPr="001E6867">
        <w:rPr>
          <w:i/>
          <w:sz w:val="26"/>
          <w:szCs w:val="26"/>
        </w:rPr>
        <w:t>Petition of PPL Electric Utilities Corporation for Approval of a Default Service Program and Procurement Plan for the Period June 1, 2015 Through May 31, 2017</w:t>
      </w:r>
      <w:r w:rsidRPr="001E6867">
        <w:rPr>
          <w:sz w:val="26"/>
          <w:szCs w:val="26"/>
        </w:rPr>
        <w:t>, Docket No. P</w:t>
      </w:r>
      <w:r w:rsidRPr="001E6867">
        <w:rPr>
          <w:sz w:val="26"/>
          <w:szCs w:val="26"/>
        </w:rPr>
        <w:noBreakHyphen/>
        <w:t>2014-2417907 (Order entered January 15, 2015).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B6B03D4"/>
    <w:multiLevelType w:val="multilevel"/>
    <w:tmpl w:val="A5240054"/>
    <w:name w:val="zzmpOutline||Outline|2|3|1|1|2|41||1|4|0||1|4|0||1|4|1||1|4|0||1|4|9||1|4|0||1|4|0||1|4|0||"/>
    <w:lvl w:ilvl="0">
      <w:start w:val="1"/>
      <w:numFmt w:val="upperRoman"/>
      <w:pStyle w:val="OutlineL1"/>
      <w:lvlText w:val="%1."/>
      <w:lvlJc w:val="left"/>
      <w:pPr>
        <w:tabs>
          <w:tab w:val="num" w:pos="720"/>
        </w:tabs>
        <w:ind w:left="0" w:firstLine="0"/>
      </w:pPr>
      <w:rPr>
        <w:rFonts w:ascii="Times New Roman" w:hAnsi="Times New Roman" w:cs="Times New Roman" w:hint="default"/>
        <w:b/>
        <w:i w:val="0"/>
        <w:caps/>
        <w:smallCaps w:val="0"/>
        <w:strike w:val="0"/>
        <w:dstrike w:val="0"/>
        <w:sz w:val="24"/>
        <w:u w:val="none"/>
        <w:effect w:val="none"/>
      </w:rPr>
    </w:lvl>
    <w:lvl w:ilvl="1">
      <w:start w:val="11"/>
      <w:numFmt w:val="decimal"/>
      <w:lvlRestart w:val="0"/>
      <w:pStyle w:val="OutlineL2"/>
      <w:lvlText w:val="%2."/>
      <w:lvlJc w:val="left"/>
      <w:pPr>
        <w:tabs>
          <w:tab w:val="num" w:pos="1800"/>
        </w:tabs>
        <w:ind w:left="360" w:firstLine="720"/>
      </w:pPr>
      <w:rPr>
        <w:rFonts w:ascii="Times New Roman" w:hAnsi="Times New Roman" w:cs="Times New Roman" w:hint="default"/>
        <w:b w:val="0"/>
        <w:i w:val="0"/>
        <w:caps w:val="0"/>
        <w:strike w:val="0"/>
        <w:dstrike w:val="0"/>
        <w:sz w:val="24"/>
        <w:u w:val="none"/>
        <w:effect w:val="none"/>
      </w:rPr>
    </w:lvl>
    <w:lvl w:ilvl="2">
      <w:start w:val="1"/>
      <w:numFmt w:val="upperLetter"/>
      <w:pStyle w:val="OutlineL3"/>
      <w:lvlText w:val="%3."/>
      <w:lvlJc w:val="left"/>
      <w:pPr>
        <w:tabs>
          <w:tab w:val="num" w:pos="2160"/>
        </w:tabs>
        <w:ind w:left="0" w:firstLine="1440"/>
      </w:pPr>
      <w:rPr>
        <w:rFonts w:ascii="Times New Roman" w:hAnsi="Times New Roman" w:cs="Times New Roman" w:hint="default"/>
        <w:b w:val="0"/>
        <w:i w:val="0"/>
        <w:caps w:val="0"/>
        <w:strike w:val="0"/>
        <w:dstrike w:val="0"/>
        <w:sz w:val="24"/>
        <w:u w:val="none"/>
        <w:effect w:val="none"/>
      </w:rPr>
    </w:lvl>
    <w:lvl w:ilvl="3">
      <w:start w:val="1"/>
      <w:numFmt w:val="decimal"/>
      <w:lvlRestart w:val="0"/>
      <w:pStyle w:val="OutlineL4"/>
      <w:lvlText w:val="(%4)"/>
      <w:lvlJc w:val="left"/>
      <w:pPr>
        <w:tabs>
          <w:tab w:val="num" w:pos="2880"/>
        </w:tabs>
        <w:ind w:left="0" w:firstLine="2160"/>
      </w:pPr>
      <w:rPr>
        <w:rFonts w:ascii="Times New Roman" w:hAnsi="Times New Roman" w:cs="Times New Roman" w:hint="default"/>
        <w:b w:val="0"/>
        <w:i w:val="0"/>
        <w:caps w:val="0"/>
        <w:strike w:val="0"/>
        <w:dstrike w:val="0"/>
        <w:sz w:val="24"/>
        <w:u w:val="none"/>
        <w:effect w:val="none"/>
      </w:rPr>
    </w:lvl>
    <w:lvl w:ilvl="4">
      <w:start w:val="1"/>
      <w:numFmt w:val="lowerLetter"/>
      <w:pStyle w:val="OutlineL5"/>
      <w:lvlText w:val="(%5)"/>
      <w:lvlJc w:val="left"/>
      <w:pPr>
        <w:tabs>
          <w:tab w:val="num" w:pos="3600"/>
        </w:tabs>
        <w:ind w:left="3600" w:hanging="720"/>
      </w:pPr>
      <w:rPr>
        <w:rFonts w:ascii="Times New Roman" w:hAnsi="Times New Roman" w:cs="Times New Roman" w:hint="default"/>
        <w:b w:val="0"/>
        <w:i w:val="0"/>
        <w:caps w:val="0"/>
        <w:strike w:val="0"/>
        <w:dstrike w:val="0"/>
        <w:sz w:val="24"/>
        <w:u w:val="none"/>
        <w:effect w:val="none"/>
      </w:rPr>
    </w:lvl>
    <w:lvl w:ilvl="5">
      <w:start w:val="1"/>
      <w:numFmt w:val="upperLetter"/>
      <w:lvlRestart w:val="0"/>
      <w:pStyle w:val="OutlineL6"/>
      <w:lvlText w:val="APPENDIX %6"/>
      <w:lvlJc w:val="left"/>
      <w:pPr>
        <w:tabs>
          <w:tab w:val="num" w:pos="2880"/>
        </w:tabs>
        <w:ind w:left="0" w:firstLine="0"/>
      </w:pPr>
      <w:rPr>
        <w:rFonts w:ascii="Times New Roman" w:hAnsi="Times New Roman" w:cs="Times New Roman" w:hint="default"/>
        <w:b/>
        <w:i w:val="0"/>
        <w:caps w:val="0"/>
        <w:strike w:val="0"/>
        <w:dstrike w:val="0"/>
        <w:sz w:val="24"/>
        <w:u w:val="none"/>
        <w:effect w:val="none"/>
      </w:rPr>
    </w:lvl>
    <w:lvl w:ilvl="6">
      <w:start w:val="1"/>
      <w:numFmt w:val="decimal"/>
      <w:pStyle w:val="OutlineL7"/>
      <w:lvlText w:val="(%7)"/>
      <w:lvlJc w:val="left"/>
      <w:pPr>
        <w:tabs>
          <w:tab w:val="num" w:pos="5040"/>
        </w:tabs>
        <w:ind w:left="0" w:firstLine="4320"/>
      </w:pPr>
      <w:rPr>
        <w:rFonts w:ascii="Times New Roman" w:hAnsi="Times New Roman" w:cs="Times New Roman" w:hint="default"/>
        <w:b w:val="0"/>
        <w:i w:val="0"/>
        <w:caps w:val="0"/>
        <w:strike w:val="0"/>
        <w:dstrike w:val="0"/>
        <w:sz w:val="24"/>
        <w:u w:val="none"/>
        <w:effect w:val="none"/>
      </w:rPr>
    </w:lvl>
    <w:lvl w:ilvl="7">
      <w:start w:val="1"/>
      <w:numFmt w:val="lowerRoman"/>
      <w:pStyle w:val="OutlineL8"/>
      <w:lvlText w:val="%8)"/>
      <w:lvlJc w:val="left"/>
      <w:pPr>
        <w:tabs>
          <w:tab w:val="num" w:pos="5760"/>
        </w:tabs>
        <w:ind w:left="0" w:firstLine="5040"/>
      </w:pPr>
      <w:rPr>
        <w:rFonts w:ascii="Times New Roman" w:hAnsi="Times New Roman" w:cs="Times New Roman" w:hint="default"/>
        <w:b w:val="0"/>
        <w:i w:val="0"/>
        <w:caps w:val="0"/>
        <w:strike w:val="0"/>
        <w:dstrike w:val="0"/>
        <w:sz w:val="24"/>
        <w:u w:val="none"/>
        <w:effect w:val="none"/>
      </w:rPr>
    </w:lvl>
    <w:lvl w:ilvl="8">
      <w:start w:val="1"/>
      <w:numFmt w:val="lowerLetter"/>
      <w:pStyle w:val="OutlineL9"/>
      <w:lvlText w:val="%9)"/>
      <w:lvlJc w:val="left"/>
      <w:pPr>
        <w:tabs>
          <w:tab w:val="num" w:pos="6480"/>
        </w:tabs>
        <w:ind w:left="0" w:firstLine="5760"/>
      </w:pPr>
      <w:rPr>
        <w:rFonts w:ascii="Times New Roman" w:hAnsi="Times New Roman" w:cs="Times New Roman" w:hint="default"/>
        <w:b w:val="0"/>
        <w:i w:val="0"/>
        <w:caps w:val="0"/>
        <w:strike w:val="0"/>
        <w:dstrike w:val="0"/>
        <w:sz w:val="24"/>
        <w:u w:val="none"/>
        <w:effect w:val="none"/>
      </w:rPr>
    </w:lvl>
  </w:abstractNum>
  <w:abstractNum w:abstractNumId="4">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5">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4"/>
  </w:num>
  <w:num w:numId="2">
    <w:abstractNumId w:val="1"/>
  </w:num>
  <w:num w:numId="3">
    <w:abstractNumId w:val="2"/>
  </w:num>
  <w:num w:numId="4">
    <w:abstractNumId w:val="6"/>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690"/>
    <w:rsid w:val="00000173"/>
    <w:rsid w:val="00000DB6"/>
    <w:rsid w:val="00002348"/>
    <w:rsid w:val="00002CE4"/>
    <w:rsid w:val="00002F2A"/>
    <w:rsid w:val="00002F49"/>
    <w:rsid w:val="000038D3"/>
    <w:rsid w:val="0000415E"/>
    <w:rsid w:val="00005EE1"/>
    <w:rsid w:val="00005F78"/>
    <w:rsid w:val="00007440"/>
    <w:rsid w:val="000074DC"/>
    <w:rsid w:val="00007597"/>
    <w:rsid w:val="00007888"/>
    <w:rsid w:val="0001099D"/>
    <w:rsid w:val="00012D0C"/>
    <w:rsid w:val="000138C9"/>
    <w:rsid w:val="00013FDE"/>
    <w:rsid w:val="000158F2"/>
    <w:rsid w:val="00015A01"/>
    <w:rsid w:val="00020552"/>
    <w:rsid w:val="00020E43"/>
    <w:rsid w:val="00022D45"/>
    <w:rsid w:val="00023536"/>
    <w:rsid w:val="0002355F"/>
    <w:rsid w:val="000310BE"/>
    <w:rsid w:val="000323A8"/>
    <w:rsid w:val="00033C9A"/>
    <w:rsid w:val="00034CD7"/>
    <w:rsid w:val="00036927"/>
    <w:rsid w:val="000369A9"/>
    <w:rsid w:val="000427ED"/>
    <w:rsid w:val="000438A2"/>
    <w:rsid w:val="00045A7A"/>
    <w:rsid w:val="000505E5"/>
    <w:rsid w:val="00051647"/>
    <w:rsid w:val="00053CED"/>
    <w:rsid w:val="000549A7"/>
    <w:rsid w:val="00056968"/>
    <w:rsid w:val="00057057"/>
    <w:rsid w:val="00057859"/>
    <w:rsid w:val="000601A2"/>
    <w:rsid w:val="000606AA"/>
    <w:rsid w:val="000610F9"/>
    <w:rsid w:val="00061850"/>
    <w:rsid w:val="000629CD"/>
    <w:rsid w:val="00063028"/>
    <w:rsid w:val="00064967"/>
    <w:rsid w:val="00065DB6"/>
    <w:rsid w:val="00067196"/>
    <w:rsid w:val="000673D1"/>
    <w:rsid w:val="00067A0D"/>
    <w:rsid w:val="00071064"/>
    <w:rsid w:val="00071A8A"/>
    <w:rsid w:val="00073870"/>
    <w:rsid w:val="00075210"/>
    <w:rsid w:val="00075F0C"/>
    <w:rsid w:val="00080CCC"/>
    <w:rsid w:val="00081B3E"/>
    <w:rsid w:val="0008328F"/>
    <w:rsid w:val="00084DB9"/>
    <w:rsid w:val="00086D0B"/>
    <w:rsid w:val="00087D18"/>
    <w:rsid w:val="0009007E"/>
    <w:rsid w:val="00090AF0"/>
    <w:rsid w:val="00091989"/>
    <w:rsid w:val="0009269E"/>
    <w:rsid w:val="00092ABD"/>
    <w:rsid w:val="000940CD"/>
    <w:rsid w:val="0009466E"/>
    <w:rsid w:val="0009476C"/>
    <w:rsid w:val="00094F3D"/>
    <w:rsid w:val="00096F18"/>
    <w:rsid w:val="0009781B"/>
    <w:rsid w:val="000A0D32"/>
    <w:rsid w:val="000A135D"/>
    <w:rsid w:val="000A1B73"/>
    <w:rsid w:val="000A1EF2"/>
    <w:rsid w:val="000A35F4"/>
    <w:rsid w:val="000A4770"/>
    <w:rsid w:val="000A748C"/>
    <w:rsid w:val="000A7DDC"/>
    <w:rsid w:val="000A7F96"/>
    <w:rsid w:val="000B2B80"/>
    <w:rsid w:val="000B465F"/>
    <w:rsid w:val="000B729D"/>
    <w:rsid w:val="000C0702"/>
    <w:rsid w:val="000C742F"/>
    <w:rsid w:val="000D03DD"/>
    <w:rsid w:val="000D2456"/>
    <w:rsid w:val="000D7483"/>
    <w:rsid w:val="000E3D4C"/>
    <w:rsid w:val="000E4BED"/>
    <w:rsid w:val="000E515B"/>
    <w:rsid w:val="000E570C"/>
    <w:rsid w:val="000E5BCD"/>
    <w:rsid w:val="000F1318"/>
    <w:rsid w:val="000F22DA"/>
    <w:rsid w:val="000F2540"/>
    <w:rsid w:val="000F35E6"/>
    <w:rsid w:val="000F3795"/>
    <w:rsid w:val="000F3896"/>
    <w:rsid w:val="000F38D4"/>
    <w:rsid w:val="000F4467"/>
    <w:rsid w:val="000F4F95"/>
    <w:rsid w:val="000F6D5A"/>
    <w:rsid w:val="0010013C"/>
    <w:rsid w:val="001006F0"/>
    <w:rsid w:val="00100BA6"/>
    <w:rsid w:val="00101745"/>
    <w:rsid w:val="00102D03"/>
    <w:rsid w:val="00105084"/>
    <w:rsid w:val="00105193"/>
    <w:rsid w:val="00106537"/>
    <w:rsid w:val="00106BE0"/>
    <w:rsid w:val="00111A44"/>
    <w:rsid w:val="0011423D"/>
    <w:rsid w:val="00114D80"/>
    <w:rsid w:val="001170DB"/>
    <w:rsid w:val="00117F07"/>
    <w:rsid w:val="00120FCD"/>
    <w:rsid w:val="00121111"/>
    <w:rsid w:val="00122941"/>
    <w:rsid w:val="00123375"/>
    <w:rsid w:val="00123802"/>
    <w:rsid w:val="0012456C"/>
    <w:rsid w:val="001260A0"/>
    <w:rsid w:val="00126116"/>
    <w:rsid w:val="0012697D"/>
    <w:rsid w:val="00131517"/>
    <w:rsid w:val="00131A77"/>
    <w:rsid w:val="00131B43"/>
    <w:rsid w:val="00132C3A"/>
    <w:rsid w:val="00133684"/>
    <w:rsid w:val="00134C35"/>
    <w:rsid w:val="00134D3A"/>
    <w:rsid w:val="00141760"/>
    <w:rsid w:val="001437B9"/>
    <w:rsid w:val="00150989"/>
    <w:rsid w:val="00151166"/>
    <w:rsid w:val="00153234"/>
    <w:rsid w:val="00153B73"/>
    <w:rsid w:val="0015662E"/>
    <w:rsid w:val="0015669F"/>
    <w:rsid w:val="00156BE1"/>
    <w:rsid w:val="0015798E"/>
    <w:rsid w:val="00157A84"/>
    <w:rsid w:val="0016005F"/>
    <w:rsid w:val="00160565"/>
    <w:rsid w:val="001606BC"/>
    <w:rsid w:val="00160B7C"/>
    <w:rsid w:val="001620E4"/>
    <w:rsid w:val="00162420"/>
    <w:rsid w:val="00163AA3"/>
    <w:rsid w:val="00165945"/>
    <w:rsid w:val="00167F11"/>
    <w:rsid w:val="00172C4A"/>
    <w:rsid w:val="001730AD"/>
    <w:rsid w:val="001738D5"/>
    <w:rsid w:val="00175B2F"/>
    <w:rsid w:val="00177A43"/>
    <w:rsid w:val="001827DB"/>
    <w:rsid w:val="00185B5E"/>
    <w:rsid w:val="00186183"/>
    <w:rsid w:val="00186887"/>
    <w:rsid w:val="00192EBC"/>
    <w:rsid w:val="00193D64"/>
    <w:rsid w:val="00196484"/>
    <w:rsid w:val="001967BB"/>
    <w:rsid w:val="00196BDC"/>
    <w:rsid w:val="00197F3D"/>
    <w:rsid w:val="001A29C7"/>
    <w:rsid w:val="001A4A0C"/>
    <w:rsid w:val="001A53C8"/>
    <w:rsid w:val="001A6370"/>
    <w:rsid w:val="001B1A49"/>
    <w:rsid w:val="001B4783"/>
    <w:rsid w:val="001B48DC"/>
    <w:rsid w:val="001B54B3"/>
    <w:rsid w:val="001B6B53"/>
    <w:rsid w:val="001B7E44"/>
    <w:rsid w:val="001C150A"/>
    <w:rsid w:val="001C167C"/>
    <w:rsid w:val="001C3135"/>
    <w:rsid w:val="001C53B1"/>
    <w:rsid w:val="001C730F"/>
    <w:rsid w:val="001C7C12"/>
    <w:rsid w:val="001D11B8"/>
    <w:rsid w:val="001D266F"/>
    <w:rsid w:val="001D2BAD"/>
    <w:rsid w:val="001D7EBD"/>
    <w:rsid w:val="001E05C6"/>
    <w:rsid w:val="001E2658"/>
    <w:rsid w:val="001E2CFB"/>
    <w:rsid w:val="001E342B"/>
    <w:rsid w:val="001E4C1C"/>
    <w:rsid w:val="001E51E9"/>
    <w:rsid w:val="001E5417"/>
    <w:rsid w:val="001E5511"/>
    <w:rsid w:val="001E6066"/>
    <w:rsid w:val="001E6867"/>
    <w:rsid w:val="001E73AB"/>
    <w:rsid w:val="001F0488"/>
    <w:rsid w:val="001F2321"/>
    <w:rsid w:val="001F2BD2"/>
    <w:rsid w:val="001F3744"/>
    <w:rsid w:val="001F4060"/>
    <w:rsid w:val="001F55D5"/>
    <w:rsid w:val="001F794B"/>
    <w:rsid w:val="001F7B55"/>
    <w:rsid w:val="002013B2"/>
    <w:rsid w:val="00201CF3"/>
    <w:rsid w:val="00201F63"/>
    <w:rsid w:val="00202A27"/>
    <w:rsid w:val="00205839"/>
    <w:rsid w:val="00206720"/>
    <w:rsid w:val="00206C74"/>
    <w:rsid w:val="00210B26"/>
    <w:rsid w:val="00211405"/>
    <w:rsid w:val="00211442"/>
    <w:rsid w:val="002115F3"/>
    <w:rsid w:val="00211B98"/>
    <w:rsid w:val="00213024"/>
    <w:rsid w:val="00213B95"/>
    <w:rsid w:val="00214830"/>
    <w:rsid w:val="002158D0"/>
    <w:rsid w:val="0021645F"/>
    <w:rsid w:val="00217C4E"/>
    <w:rsid w:val="00217E3D"/>
    <w:rsid w:val="00220CE0"/>
    <w:rsid w:val="00221C10"/>
    <w:rsid w:val="002234B5"/>
    <w:rsid w:val="002235CE"/>
    <w:rsid w:val="002242F7"/>
    <w:rsid w:val="00224B35"/>
    <w:rsid w:val="00225BD2"/>
    <w:rsid w:val="0022734C"/>
    <w:rsid w:val="00230396"/>
    <w:rsid w:val="00230BAB"/>
    <w:rsid w:val="00230CA8"/>
    <w:rsid w:val="00233E2F"/>
    <w:rsid w:val="0023535F"/>
    <w:rsid w:val="00237CB3"/>
    <w:rsid w:val="00241B87"/>
    <w:rsid w:val="00247BB1"/>
    <w:rsid w:val="00252D9D"/>
    <w:rsid w:val="00252E14"/>
    <w:rsid w:val="00253D29"/>
    <w:rsid w:val="00253F56"/>
    <w:rsid w:val="00253FD2"/>
    <w:rsid w:val="00255A6D"/>
    <w:rsid w:val="0025691E"/>
    <w:rsid w:val="00256A4C"/>
    <w:rsid w:val="00260041"/>
    <w:rsid w:val="00260547"/>
    <w:rsid w:val="00260A97"/>
    <w:rsid w:val="0026191C"/>
    <w:rsid w:val="00263EDB"/>
    <w:rsid w:val="00264ABB"/>
    <w:rsid w:val="00264FEB"/>
    <w:rsid w:val="00266827"/>
    <w:rsid w:val="002675A3"/>
    <w:rsid w:val="00274284"/>
    <w:rsid w:val="00274861"/>
    <w:rsid w:val="00275124"/>
    <w:rsid w:val="002751AE"/>
    <w:rsid w:val="002753CE"/>
    <w:rsid w:val="00277004"/>
    <w:rsid w:val="00281D3B"/>
    <w:rsid w:val="00282D52"/>
    <w:rsid w:val="002836FA"/>
    <w:rsid w:val="002838E3"/>
    <w:rsid w:val="00285550"/>
    <w:rsid w:val="00285919"/>
    <w:rsid w:val="0028615A"/>
    <w:rsid w:val="00286F7C"/>
    <w:rsid w:val="00287BE6"/>
    <w:rsid w:val="0029085A"/>
    <w:rsid w:val="002931D9"/>
    <w:rsid w:val="002958B5"/>
    <w:rsid w:val="00295962"/>
    <w:rsid w:val="00296612"/>
    <w:rsid w:val="00297C2E"/>
    <w:rsid w:val="002A144D"/>
    <w:rsid w:val="002A1C25"/>
    <w:rsid w:val="002A1E1B"/>
    <w:rsid w:val="002A2A68"/>
    <w:rsid w:val="002A3A6E"/>
    <w:rsid w:val="002A3AC8"/>
    <w:rsid w:val="002A4B76"/>
    <w:rsid w:val="002A53EA"/>
    <w:rsid w:val="002A5B9B"/>
    <w:rsid w:val="002A63DE"/>
    <w:rsid w:val="002A64E6"/>
    <w:rsid w:val="002A6C1F"/>
    <w:rsid w:val="002A6F9C"/>
    <w:rsid w:val="002A71F9"/>
    <w:rsid w:val="002A740E"/>
    <w:rsid w:val="002B3767"/>
    <w:rsid w:val="002B3979"/>
    <w:rsid w:val="002B4B0D"/>
    <w:rsid w:val="002B574E"/>
    <w:rsid w:val="002C0012"/>
    <w:rsid w:val="002C011D"/>
    <w:rsid w:val="002C19D9"/>
    <w:rsid w:val="002C206A"/>
    <w:rsid w:val="002C44D7"/>
    <w:rsid w:val="002C4BF6"/>
    <w:rsid w:val="002C5EE0"/>
    <w:rsid w:val="002C6BD7"/>
    <w:rsid w:val="002C6E17"/>
    <w:rsid w:val="002D081C"/>
    <w:rsid w:val="002D1465"/>
    <w:rsid w:val="002D1892"/>
    <w:rsid w:val="002D2D30"/>
    <w:rsid w:val="002D3385"/>
    <w:rsid w:val="002D34E4"/>
    <w:rsid w:val="002D43F8"/>
    <w:rsid w:val="002D5A50"/>
    <w:rsid w:val="002D5C5B"/>
    <w:rsid w:val="002D6210"/>
    <w:rsid w:val="002D650D"/>
    <w:rsid w:val="002E035D"/>
    <w:rsid w:val="002E0503"/>
    <w:rsid w:val="002E1177"/>
    <w:rsid w:val="002E16FC"/>
    <w:rsid w:val="002E5790"/>
    <w:rsid w:val="002E6E40"/>
    <w:rsid w:val="002E6EE9"/>
    <w:rsid w:val="002F0636"/>
    <w:rsid w:val="002F0ADE"/>
    <w:rsid w:val="002F0CED"/>
    <w:rsid w:val="002F169A"/>
    <w:rsid w:val="002F1870"/>
    <w:rsid w:val="002F2CEF"/>
    <w:rsid w:val="002F5424"/>
    <w:rsid w:val="002F5D1D"/>
    <w:rsid w:val="002F714D"/>
    <w:rsid w:val="00301039"/>
    <w:rsid w:val="00301857"/>
    <w:rsid w:val="00302000"/>
    <w:rsid w:val="00303C9B"/>
    <w:rsid w:val="00304ABF"/>
    <w:rsid w:val="00304E14"/>
    <w:rsid w:val="0030541E"/>
    <w:rsid w:val="0030758B"/>
    <w:rsid w:val="0031153E"/>
    <w:rsid w:val="00312E08"/>
    <w:rsid w:val="003143DF"/>
    <w:rsid w:val="003158CE"/>
    <w:rsid w:val="00316BFA"/>
    <w:rsid w:val="003177A0"/>
    <w:rsid w:val="003211A5"/>
    <w:rsid w:val="003218DD"/>
    <w:rsid w:val="00322A65"/>
    <w:rsid w:val="00324FDF"/>
    <w:rsid w:val="003255BF"/>
    <w:rsid w:val="00326A17"/>
    <w:rsid w:val="003336F9"/>
    <w:rsid w:val="00337DFD"/>
    <w:rsid w:val="00340C45"/>
    <w:rsid w:val="00343BD1"/>
    <w:rsid w:val="00345135"/>
    <w:rsid w:val="00350145"/>
    <w:rsid w:val="00353BD2"/>
    <w:rsid w:val="00353E07"/>
    <w:rsid w:val="00354133"/>
    <w:rsid w:val="003550FF"/>
    <w:rsid w:val="003551C4"/>
    <w:rsid w:val="0036013A"/>
    <w:rsid w:val="00360D84"/>
    <w:rsid w:val="0036428E"/>
    <w:rsid w:val="00364C2A"/>
    <w:rsid w:val="00365293"/>
    <w:rsid w:val="00366601"/>
    <w:rsid w:val="003669C8"/>
    <w:rsid w:val="00366C7B"/>
    <w:rsid w:val="00367C68"/>
    <w:rsid w:val="003704B1"/>
    <w:rsid w:val="003708CD"/>
    <w:rsid w:val="00373F74"/>
    <w:rsid w:val="003742CF"/>
    <w:rsid w:val="00374344"/>
    <w:rsid w:val="00375080"/>
    <w:rsid w:val="0037692B"/>
    <w:rsid w:val="003806A7"/>
    <w:rsid w:val="00380889"/>
    <w:rsid w:val="0038121C"/>
    <w:rsid w:val="003813B6"/>
    <w:rsid w:val="00381C7A"/>
    <w:rsid w:val="00381E95"/>
    <w:rsid w:val="00382A4B"/>
    <w:rsid w:val="00383539"/>
    <w:rsid w:val="00384D26"/>
    <w:rsid w:val="00385595"/>
    <w:rsid w:val="00390901"/>
    <w:rsid w:val="00390FB3"/>
    <w:rsid w:val="00394901"/>
    <w:rsid w:val="00396E0C"/>
    <w:rsid w:val="00397A8B"/>
    <w:rsid w:val="00397DE1"/>
    <w:rsid w:val="003A0289"/>
    <w:rsid w:val="003A05A4"/>
    <w:rsid w:val="003A1A53"/>
    <w:rsid w:val="003A1BF7"/>
    <w:rsid w:val="003A3888"/>
    <w:rsid w:val="003A4F76"/>
    <w:rsid w:val="003A50AE"/>
    <w:rsid w:val="003A5385"/>
    <w:rsid w:val="003A79A7"/>
    <w:rsid w:val="003B1460"/>
    <w:rsid w:val="003B2F86"/>
    <w:rsid w:val="003B3893"/>
    <w:rsid w:val="003B3CEA"/>
    <w:rsid w:val="003B55BA"/>
    <w:rsid w:val="003B561F"/>
    <w:rsid w:val="003B6A0D"/>
    <w:rsid w:val="003B6F63"/>
    <w:rsid w:val="003C042A"/>
    <w:rsid w:val="003C0DCF"/>
    <w:rsid w:val="003C0F72"/>
    <w:rsid w:val="003C135E"/>
    <w:rsid w:val="003C4355"/>
    <w:rsid w:val="003C5CBD"/>
    <w:rsid w:val="003C61AD"/>
    <w:rsid w:val="003D1299"/>
    <w:rsid w:val="003D234C"/>
    <w:rsid w:val="003D4436"/>
    <w:rsid w:val="003D4638"/>
    <w:rsid w:val="003D509A"/>
    <w:rsid w:val="003D7A8D"/>
    <w:rsid w:val="003E22CB"/>
    <w:rsid w:val="003E3836"/>
    <w:rsid w:val="003E6544"/>
    <w:rsid w:val="003E771C"/>
    <w:rsid w:val="003E784C"/>
    <w:rsid w:val="003F07AF"/>
    <w:rsid w:val="003F08B3"/>
    <w:rsid w:val="003F27D1"/>
    <w:rsid w:val="003F287E"/>
    <w:rsid w:val="003F7000"/>
    <w:rsid w:val="00400A85"/>
    <w:rsid w:val="004023F4"/>
    <w:rsid w:val="00402479"/>
    <w:rsid w:val="00404D47"/>
    <w:rsid w:val="00406562"/>
    <w:rsid w:val="0041052A"/>
    <w:rsid w:val="004113DE"/>
    <w:rsid w:val="00411CC6"/>
    <w:rsid w:val="00412DCF"/>
    <w:rsid w:val="004144EE"/>
    <w:rsid w:val="004146BE"/>
    <w:rsid w:val="00414855"/>
    <w:rsid w:val="00415460"/>
    <w:rsid w:val="00415483"/>
    <w:rsid w:val="004170E4"/>
    <w:rsid w:val="00417166"/>
    <w:rsid w:val="00420B2F"/>
    <w:rsid w:val="004214D7"/>
    <w:rsid w:val="004217F6"/>
    <w:rsid w:val="0042446A"/>
    <w:rsid w:val="00426B65"/>
    <w:rsid w:val="00433069"/>
    <w:rsid w:val="00433155"/>
    <w:rsid w:val="004337A1"/>
    <w:rsid w:val="00437F57"/>
    <w:rsid w:val="00442A38"/>
    <w:rsid w:val="00442A6D"/>
    <w:rsid w:val="00442CCD"/>
    <w:rsid w:val="00446BF2"/>
    <w:rsid w:val="0044738E"/>
    <w:rsid w:val="00450B3B"/>
    <w:rsid w:val="0045283E"/>
    <w:rsid w:val="0045374A"/>
    <w:rsid w:val="00455DFC"/>
    <w:rsid w:val="00456DED"/>
    <w:rsid w:val="00457051"/>
    <w:rsid w:val="0045711B"/>
    <w:rsid w:val="0045730E"/>
    <w:rsid w:val="004600FF"/>
    <w:rsid w:val="004635D2"/>
    <w:rsid w:val="00464917"/>
    <w:rsid w:val="00464C0F"/>
    <w:rsid w:val="00465BFC"/>
    <w:rsid w:val="00467C2D"/>
    <w:rsid w:val="00470B07"/>
    <w:rsid w:val="00470D9C"/>
    <w:rsid w:val="00471CE8"/>
    <w:rsid w:val="00472342"/>
    <w:rsid w:val="004724DE"/>
    <w:rsid w:val="0047373F"/>
    <w:rsid w:val="00473CA5"/>
    <w:rsid w:val="00475D26"/>
    <w:rsid w:val="00476668"/>
    <w:rsid w:val="00477723"/>
    <w:rsid w:val="00477A9D"/>
    <w:rsid w:val="00482FDC"/>
    <w:rsid w:val="00483BFD"/>
    <w:rsid w:val="00483C56"/>
    <w:rsid w:val="004840C2"/>
    <w:rsid w:val="004870D9"/>
    <w:rsid w:val="0048747D"/>
    <w:rsid w:val="004920D8"/>
    <w:rsid w:val="004938FA"/>
    <w:rsid w:val="00493EA2"/>
    <w:rsid w:val="004949D0"/>
    <w:rsid w:val="00496DAA"/>
    <w:rsid w:val="0049745E"/>
    <w:rsid w:val="0049771B"/>
    <w:rsid w:val="004A34D5"/>
    <w:rsid w:val="004A43F1"/>
    <w:rsid w:val="004A45DC"/>
    <w:rsid w:val="004A4D14"/>
    <w:rsid w:val="004A6496"/>
    <w:rsid w:val="004A6520"/>
    <w:rsid w:val="004A7831"/>
    <w:rsid w:val="004A7E33"/>
    <w:rsid w:val="004B2FCC"/>
    <w:rsid w:val="004B3A7B"/>
    <w:rsid w:val="004B3BCD"/>
    <w:rsid w:val="004B430B"/>
    <w:rsid w:val="004B5F0B"/>
    <w:rsid w:val="004C1F63"/>
    <w:rsid w:val="004C39DE"/>
    <w:rsid w:val="004C40E8"/>
    <w:rsid w:val="004C415B"/>
    <w:rsid w:val="004C4277"/>
    <w:rsid w:val="004C4F45"/>
    <w:rsid w:val="004C6AD8"/>
    <w:rsid w:val="004C749A"/>
    <w:rsid w:val="004D08F5"/>
    <w:rsid w:val="004D35E2"/>
    <w:rsid w:val="004D438D"/>
    <w:rsid w:val="004D5A16"/>
    <w:rsid w:val="004D5E02"/>
    <w:rsid w:val="004D5EB9"/>
    <w:rsid w:val="004D652F"/>
    <w:rsid w:val="004D667C"/>
    <w:rsid w:val="004D78EC"/>
    <w:rsid w:val="004E5323"/>
    <w:rsid w:val="004E58C3"/>
    <w:rsid w:val="004F2383"/>
    <w:rsid w:val="004F5854"/>
    <w:rsid w:val="004F59CD"/>
    <w:rsid w:val="004F7A65"/>
    <w:rsid w:val="00500B53"/>
    <w:rsid w:val="00501313"/>
    <w:rsid w:val="00502B93"/>
    <w:rsid w:val="00505654"/>
    <w:rsid w:val="00505BA0"/>
    <w:rsid w:val="00505E50"/>
    <w:rsid w:val="005121D5"/>
    <w:rsid w:val="005125C4"/>
    <w:rsid w:val="005129AA"/>
    <w:rsid w:val="00515F69"/>
    <w:rsid w:val="00516E52"/>
    <w:rsid w:val="00517344"/>
    <w:rsid w:val="005175D0"/>
    <w:rsid w:val="00517E17"/>
    <w:rsid w:val="005201D8"/>
    <w:rsid w:val="00520BBC"/>
    <w:rsid w:val="0052172B"/>
    <w:rsid w:val="005229E8"/>
    <w:rsid w:val="00523347"/>
    <w:rsid w:val="005233D3"/>
    <w:rsid w:val="00524EF6"/>
    <w:rsid w:val="005265A2"/>
    <w:rsid w:val="00530F5B"/>
    <w:rsid w:val="00531FD6"/>
    <w:rsid w:val="005321F4"/>
    <w:rsid w:val="005330CA"/>
    <w:rsid w:val="005332F5"/>
    <w:rsid w:val="00534A1D"/>
    <w:rsid w:val="00536217"/>
    <w:rsid w:val="00536591"/>
    <w:rsid w:val="005406D3"/>
    <w:rsid w:val="005417B5"/>
    <w:rsid w:val="005429B4"/>
    <w:rsid w:val="00542BE8"/>
    <w:rsid w:val="00543E4D"/>
    <w:rsid w:val="00544F99"/>
    <w:rsid w:val="005455AB"/>
    <w:rsid w:val="00545FB5"/>
    <w:rsid w:val="00552997"/>
    <w:rsid w:val="0055414F"/>
    <w:rsid w:val="00555069"/>
    <w:rsid w:val="00556C5F"/>
    <w:rsid w:val="005579ED"/>
    <w:rsid w:val="005579F7"/>
    <w:rsid w:val="005605A1"/>
    <w:rsid w:val="00560E96"/>
    <w:rsid w:val="0056119D"/>
    <w:rsid w:val="005621B2"/>
    <w:rsid w:val="005626BA"/>
    <w:rsid w:val="00562E63"/>
    <w:rsid w:val="00564E19"/>
    <w:rsid w:val="00567D40"/>
    <w:rsid w:val="005703A8"/>
    <w:rsid w:val="00574ED6"/>
    <w:rsid w:val="00575107"/>
    <w:rsid w:val="0057514C"/>
    <w:rsid w:val="0057789B"/>
    <w:rsid w:val="00577B05"/>
    <w:rsid w:val="005823D7"/>
    <w:rsid w:val="0058331B"/>
    <w:rsid w:val="00583807"/>
    <w:rsid w:val="00584BB2"/>
    <w:rsid w:val="0058529B"/>
    <w:rsid w:val="00592CAB"/>
    <w:rsid w:val="0059626E"/>
    <w:rsid w:val="005A08BE"/>
    <w:rsid w:val="005A0CF6"/>
    <w:rsid w:val="005A2D70"/>
    <w:rsid w:val="005A4358"/>
    <w:rsid w:val="005A4418"/>
    <w:rsid w:val="005A4D2D"/>
    <w:rsid w:val="005A6378"/>
    <w:rsid w:val="005A6DEC"/>
    <w:rsid w:val="005B01F2"/>
    <w:rsid w:val="005B1396"/>
    <w:rsid w:val="005B1F31"/>
    <w:rsid w:val="005B2D57"/>
    <w:rsid w:val="005B4DDD"/>
    <w:rsid w:val="005B5F54"/>
    <w:rsid w:val="005C1FAF"/>
    <w:rsid w:val="005C27AF"/>
    <w:rsid w:val="005C4A52"/>
    <w:rsid w:val="005C78FA"/>
    <w:rsid w:val="005C7928"/>
    <w:rsid w:val="005D14A8"/>
    <w:rsid w:val="005D14FC"/>
    <w:rsid w:val="005D18D2"/>
    <w:rsid w:val="005D2D5F"/>
    <w:rsid w:val="005D353A"/>
    <w:rsid w:val="005D3582"/>
    <w:rsid w:val="005D482A"/>
    <w:rsid w:val="005D60FF"/>
    <w:rsid w:val="005D73C6"/>
    <w:rsid w:val="005E0114"/>
    <w:rsid w:val="005E0DB4"/>
    <w:rsid w:val="005E2082"/>
    <w:rsid w:val="005E6F70"/>
    <w:rsid w:val="005F20EF"/>
    <w:rsid w:val="005F37D2"/>
    <w:rsid w:val="005F4E1B"/>
    <w:rsid w:val="005F5031"/>
    <w:rsid w:val="005F5398"/>
    <w:rsid w:val="005F6FFE"/>
    <w:rsid w:val="005F777A"/>
    <w:rsid w:val="005F7A1F"/>
    <w:rsid w:val="00600E98"/>
    <w:rsid w:val="00600F6F"/>
    <w:rsid w:val="0060108D"/>
    <w:rsid w:val="00601D83"/>
    <w:rsid w:val="0060382E"/>
    <w:rsid w:val="00604966"/>
    <w:rsid w:val="006049C5"/>
    <w:rsid w:val="006054D5"/>
    <w:rsid w:val="00605D8F"/>
    <w:rsid w:val="00605DED"/>
    <w:rsid w:val="00606A56"/>
    <w:rsid w:val="00607554"/>
    <w:rsid w:val="00610A49"/>
    <w:rsid w:val="006114D8"/>
    <w:rsid w:val="00613C23"/>
    <w:rsid w:val="0061418D"/>
    <w:rsid w:val="006158BA"/>
    <w:rsid w:val="006161D8"/>
    <w:rsid w:val="00616EA7"/>
    <w:rsid w:val="00617175"/>
    <w:rsid w:val="0061739E"/>
    <w:rsid w:val="006209DD"/>
    <w:rsid w:val="0062143F"/>
    <w:rsid w:val="00625036"/>
    <w:rsid w:val="00625C7F"/>
    <w:rsid w:val="006301EB"/>
    <w:rsid w:val="0063290C"/>
    <w:rsid w:val="00634133"/>
    <w:rsid w:val="0063425C"/>
    <w:rsid w:val="00634CD6"/>
    <w:rsid w:val="00635D6D"/>
    <w:rsid w:val="00636142"/>
    <w:rsid w:val="00636AAC"/>
    <w:rsid w:val="00637B98"/>
    <w:rsid w:val="006403CA"/>
    <w:rsid w:val="00640D08"/>
    <w:rsid w:val="00641F38"/>
    <w:rsid w:val="00642A8F"/>
    <w:rsid w:val="00643BA9"/>
    <w:rsid w:val="006464FE"/>
    <w:rsid w:val="00646EA4"/>
    <w:rsid w:val="0064745B"/>
    <w:rsid w:val="0065242B"/>
    <w:rsid w:val="00652638"/>
    <w:rsid w:val="006526C1"/>
    <w:rsid w:val="00652978"/>
    <w:rsid w:val="00656DAC"/>
    <w:rsid w:val="0065707C"/>
    <w:rsid w:val="00657623"/>
    <w:rsid w:val="00657E57"/>
    <w:rsid w:val="00660C81"/>
    <w:rsid w:val="00660EDC"/>
    <w:rsid w:val="006617A4"/>
    <w:rsid w:val="006632AC"/>
    <w:rsid w:val="006643E9"/>
    <w:rsid w:val="00664FE3"/>
    <w:rsid w:val="00667DA0"/>
    <w:rsid w:val="0067116A"/>
    <w:rsid w:val="00675032"/>
    <w:rsid w:val="006755FF"/>
    <w:rsid w:val="006757DB"/>
    <w:rsid w:val="00676B83"/>
    <w:rsid w:val="00677531"/>
    <w:rsid w:val="00677F26"/>
    <w:rsid w:val="006811E0"/>
    <w:rsid w:val="006812F2"/>
    <w:rsid w:val="006815AB"/>
    <w:rsid w:val="00681F8C"/>
    <w:rsid w:val="00682EFB"/>
    <w:rsid w:val="0068309C"/>
    <w:rsid w:val="0068393B"/>
    <w:rsid w:val="00685BC7"/>
    <w:rsid w:val="00685C47"/>
    <w:rsid w:val="00686D73"/>
    <w:rsid w:val="00686F6C"/>
    <w:rsid w:val="006873CB"/>
    <w:rsid w:val="006878D9"/>
    <w:rsid w:val="0069121A"/>
    <w:rsid w:val="00693AF4"/>
    <w:rsid w:val="00693B4A"/>
    <w:rsid w:val="00694612"/>
    <w:rsid w:val="006A0106"/>
    <w:rsid w:val="006A0550"/>
    <w:rsid w:val="006A0B82"/>
    <w:rsid w:val="006A15A1"/>
    <w:rsid w:val="006A29BE"/>
    <w:rsid w:val="006A41E2"/>
    <w:rsid w:val="006A5D48"/>
    <w:rsid w:val="006A780B"/>
    <w:rsid w:val="006A78FD"/>
    <w:rsid w:val="006B1632"/>
    <w:rsid w:val="006B2529"/>
    <w:rsid w:val="006B2CA4"/>
    <w:rsid w:val="006B2D7F"/>
    <w:rsid w:val="006B54BB"/>
    <w:rsid w:val="006B6994"/>
    <w:rsid w:val="006B6F21"/>
    <w:rsid w:val="006B7130"/>
    <w:rsid w:val="006C2A53"/>
    <w:rsid w:val="006C48BC"/>
    <w:rsid w:val="006C4B3A"/>
    <w:rsid w:val="006C5BFF"/>
    <w:rsid w:val="006C5DAF"/>
    <w:rsid w:val="006D16EE"/>
    <w:rsid w:val="006D1F59"/>
    <w:rsid w:val="006D1FA4"/>
    <w:rsid w:val="006D3169"/>
    <w:rsid w:val="006D35AA"/>
    <w:rsid w:val="006D3F69"/>
    <w:rsid w:val="006D44CC"/>
    <w:rsid w:val="006E05E8"/>
    <w:rsid w:val="006E0927"/>
    <w:rsid w:val="006E26F2"/>
    <w:rsid w:val="006E37C1"/>
    <w:rsid w:val="006E40D4"/>
    <w:rsid w:val="006E4730"/>
    <w:rsid w:val="006E7EAD"/>
    <w:rsid w:val="006F0316"/>
    <w:rsid w:val="006F1FC8"/>
    <w:rsid w:val="006F35C0"/>
    <w:rsid w:val="006F381F"/>
    <w:rsid w:val="006F3A31"/>
    <w:rsid w:val="006F3BFD"/>
    <w:rsid w:val="006F4482"/>
    <w:rsid w:val="006F57F7"/>
    <w:rsid w:val="006F611E"/>
    <w:rsid w:val="006F7821"/>
    <w:rsid w:val="0070000C"/>
    <w:rsid w:val="00702633"/>
    <w:rsid w:val="00702EF7"/>
    <w:rsid w:val="00707BC4"/>
    <w:rsid w:val="007104BC"/>
    <w:rsid w:val="00711101"/>
    <w:rsid w:val="00713260"/>
    <w:rsid w:val="00713A56"/>
    <w:rsid w:val="007143E1"/>
    <w:rsid w:val="00714B3B"/>
    <w:rsid w:val="00714CF1"/>
    <w:rsid w:val="00715EC5"/>
    <w:rsid w:val="007161EE"/>
    <w:rsid w:val="00717887"/>
    <w:rsid w:val="00717AA6"/>
    <w:rsid w:val="007202D3"/>
    <w:rsid w:val="0072098C"/>
    <w:rsid w:val="00722821"/>
    <w:rsid w:val="007228F5"/>
    <w:rsid w:val="00725DC7"/>
    <w:rsid w:val="00727214"/>
    <w:rsid w:val="007272EB"/>
    <w:rsid w:val="0073214E"/>
    <w:rsid w:val="00733B06"/>
    <w:rsid w:val="00734D57"/>
    <w:rsid w:val="0073522D"/>
    <w:rsid w:val="00737F05"/>
    <w:rsid w:val="007417DE"/>
    <w:rsid w:val="0074182D"/>
    <w:rsid w:val="007423A9"/>
    <w:rsid w:val="007446FC"/>
    <w:rsid w:val="00745184"/>
    <w:rsid w:val="00745908"/>
    <w:rsid w:val="00745A1C"/>
    <w:rsid w:val="007471F2"/>
    <w:rsid w:val="007477F4"/>
    <w:rsid w:val="00752F02"/>
    <w:rsid w:val="007538C7"/>
    <w:rsid w:val="00754B56"/>
    <w:rsid w:val="0075784D"/>
    <w:rsid w:val="00757B89"/>
    <w:rsid w:val="00757C4B"/>
    <w:rsid w:val="00760C68"/>
    <w:rsid w:val="007631E0"/>
    <w:rsid w:val="007655F8"/>
    <w:rsid w:val="00765FB5"/>
    <w:rsid w:val="0076670A"/>
    <w:rsid w:val="00766820"/>
    <w:rsid w:val="00767745"/>
    <w:rsid w:val="00771DBC"/>
    <w:rsid w:val="00772F48"/>
    <w:rsid w:val="007736BA"/>
    <w:rsid w:val="00774394"/>
    <w:rsid w:val="0077505E"/>
    <w:rsid w:val="00775F8A"/>
    <w:rsid w:val="00776AD2"/>
    <w:rsid w:val="007800E4"/>
    <w:rsid w:val="00780972"/>
    <w:rsid w:val="00780A9E"/>
    <w:rsid w:val="00780AA2"/>
    <w:rsid w:val="007819E1"/>
    <w:rsid w:val="00781A9D"/>
    <w:rsid w:val="00781E30"/>
    <w:rsid w:val="00783778"/>
    <w:rsid w:val="007840BB"/>
    <w:rsid w:val="00785E2E"/>
    <w:rsid w:val="00790164"/>
    <w:rsid w:val="007908C5"/>
    <w:rsid w:val="00791772"/>
    <w:rsid w:val="00794A1F"/>
    <w:rsid w:val="00795F22"/>
    <w:rsid w:val="007A1051"/>
    <w:rsid w:val="007A1411"/>
    <w:rsid w:val="007A20AD"/>
    <w:rsid w:val="007A2DD2"/>
    <w:rsid w:val="007A5539"/>
    <w:rsid w:val="007A5CB7"/>
    <w:rsid w:val="007A61EC"/>
    <w:rsid w:val="007A6548"/>
    <w:rsid w:val="007A6E7E"/>
    <w:rsid w:val="007A7415"/>
    <w:rsid w:val="007A7CE5"/>
    <w:rsid w:val="007B00E1"/>
    <w:rsid w:val="007B1211"/>
    <w:rsid w:val="007B187C"/>
    <w:rsid w:val="007B1ECA"/>
    <w:rsid w:val="007B220F"/>
    <w:rsid w:val="007B3B0E"/>
    <w:rsid w:val="007B3DF4"/>
    <w:rsid w:val="007B6B1E"/>
    <w:rsid w:val="007B7CC9"/>
    <w:rsid w:val="007C2AD4"/>
    <w:rsid w:val="007C2DD4"/>
    <w:rsid w:val="007C3B06"/>
    <w:rsid w:val="007C3E46"/>
    <w:rsid w:val="007C4F78"/>
    <w:rsid w:val="007C5024"/>
    <w:rsid w:val="007C5CBD"/>
    <w:rsid w:val="007C73B8"/>
    <w:rsid w:val="007D3420"/>
    <w:rsid w:val="007D3687"/>
    <w:rsid w:val="007D4EA3"/>
    <w:rsid w:val="007D5362"/>
    <w:rsid w:val="007E000F"/>
    <w:rsid w:val="007E1135"/>
    <w:rsid w:val="007E1D38"/>
    <w:rsid w:val="007E29CF"/>
    <w:rsid w:val="007E35D8"/>
    <w:rsid w:val="007E496A"/>
    <w:rsid w:val="007E6661"/>
    <w:rsid w:val="007E6721"/>
    <w:rsid w:val="007F2E32"/>
    <w:rsid w:val="007F3880"/>
    <w:rsid w:val="007F3B8C"/>
    <w:rsid w:val="007F421B"/>
    <w:rsid w:val="007F65B0"/>
    <w:rsid w:val="008005EC"/>
    <w:rsid w:val="00804D26"/>
    <w:rsid w:val="00807623"/>
    <w:rsid w:val="00807B53"/>
    <w:rsid w:val="00810D34"/>
    <w:rsid w:val="00811503"/>
    <w:rsid w:val="00812EEE"/>
    <w:rsid w:val="00812F41"/>
    <w:rsid w:val="00814E45"/>
    <w:rsid w:val="0081620E"/>
    <w:rsid w:val="0081658F"/>
    <w:rsid w:val="0081739B"/>
    <w:rsid w:val="008179CF"/>
    <w:rsid w:val="00817F37"/>
    <w:rsid w:val="00820BA5"/>
    <w:rsid w:val="00820CE5"/>
    <w:rsid w:val="00820E00"/>
    <w:rsid w:val="008213F1"/>
    <w:rsid w:val="00825D43"/>
    <w:rsid w:val="00830148"/>
    <w:rsid w:val="008316AD"/>
    <w:rsid w:val="00833286"/>
    <w:rsid w:val="0083378E"/>
    <w:rsid w:val="00833C7E"/>
    <w:rsid w:val="00834FD5"/>
    <w:rsid w:val="008363A2"/>
    <w:rsid w:val="00837125"/>
    <w:rsid w:val="008372A0"/>
    <w:rsid w:val="00841DAA"/>
    <w:rsid w:val="00842834"/>
    <w:rsid w:val="008445D4"/>
    <w:rsid w:val="008446F1"/>
    <w:rsid w:val="00846496"/>
    <w:rsid w:val="00846FF0"/>
    <w:rsid w:val="00847435"/>
    <w:rsid w:val="0085153E"/>
    <w:rsid w:val="008524D0"/>
    <w:rsid w:val="0085298A"/>
    <w:rsid w:val="00855458"/>
    <w:rsid w:val="0085728C"/>
    <w:rsid w:val="0086134D"/>
    <w:rsid w:val="00861FD7"/>
    <w:rsid w:val="00865057"/>
    <w:rsid w:val="00865472"/>
    <w:rsid w:val="0087080C"/>
    <w:rsid w:val="00870E37"/>
    <w:rsid w:val="00874671"/>
    <w:rsid w:val="0087635E"/>
    <w:rsid w:val="00876921"/>
    <w:rsid w:val="00876B68"/>
    <w:rsid w:val="0088013C"/>
    <w:rsid w:val="008821C7"/>
    <w:rsid w:val="0088286F"/>
    <w:rsid w:val="00883EAF"/>
    <w:rsid w:val="00884452"/>
    <w:rsid w:val="00885B91"/>
    <w:rsid w:val="008905D7"/>
    <w:rsid w:val="00890622"/>
    <w:rsid w:val="00890679"/>
    <w:rsid w:val="008926C3"/>
    <w:rsid w:val="00893951"/>
    <w:rsid w:val="00893FC1"/>
    <w:rsid w:val="008955C5"/>
    <w:rsid w:val="00895B87"/>
    <w:rsid w:val="00896511"/>
    <w:rsid w:val="008969FD"/>
    <w:rsid w:val="00897763"/>
    <w:rsid w:val="00897A5A"/>
    <w:rsid w:val="008A08D2"/>
    <w:rsid w:val="008A26A7"/>
    <w:rsid w:val="008A2E7B"/>
    <w:rsid w:val="008A35E6"/>
    <w:rsid w:val="008A3A4A"/>
    <w:rsid w:val="008A4B8E"/>
    <w:rsid w:val="008A5C8E"/>
    <w:rsid w:val="008B1C95"/>
    <w:rsid w:val="008B30B7"/>
    <w:rsid w:val="008B562E"/>
    <w:rsid w:val="008B5748"/>
    <w:rsid w:val="008B5B9D"/>
    <w:rsid w:val="008B6355"/>
    <w:rsid w:val="008B6A22"/>
    <w:rsid w:val="008B6B0E"/>
    <w:rsid w:val="008B6E1A"/>
    <w:rsid w:val="008C1B0A"/>
    <w:rsid w:val="008C2078"/>
    <w:rsid w:val="008C46E3"/>
    <w:rsid w:val="008C4D02"/>
    <w:rsid w:val="008C520E"/>
    <w:rsid w:val="008C5CA5"/>
    <w:rsid w:val="008C7368"/>
    <w:rsid w:val="008C73D6"/>
    <w:rsid w:val="008D0C62"/>
    <w:rsid w:val="008D2528"/>
    <w:rsid w:val="008D2CD6"/>
    <w:rsid w:val="008D39B0"/>
    <w:rsid w:val="008D462B"/>
    <w:rsid w:val="008D4939"/>
    <w:rsid w:val="008D4F0B"/>
    <w:rsid w:val="008E0465"/>
    <w:rsid w:val="008E1195"/>
    <w:rsid w:val="008E3AEA"/>
    <w:rsid w:val="008E3D60"/>
    <w:rsid w:val="008E6B68"/>
    <w:rsid w:val="008E7390"/>
    <w:rsid w:val="008E762D"/>
    <w:rsid w:val="008F000D"/>
    <w:rsid w:val="008F10F8"/>
    <w:rsid w:val="008F1F00"/>
    <w:rsid w:val="008F32A1"/>
    <w:rsid w:val="008F6E84"/>
    <w:rsid w:val="008F7EBB"/>
    <w:rsid w:val="0090056C"/>
    <w:rsid w:val="00900939"/>
    <w:rsid w:val="00900DF0"/>
    <w:rsid w:val="00903621"/>
    <w:rsid w:val="00905898"/>
    <w:rsid w:val="00907EE2"/>
    <w:rsid w:val="009113AE"/>
    <w:rsid w:val="00911F60"/>
    <w:rsid w:val="00914284"/>
    <w:rsid w:val="00914550"/>
    <w:rsid w:val="00914E36"/>
    <w:rsid w:val="00915300"/>
    <w:rsid w:val="009173B9"/>
    <w:rsid w:val="00917AE1"/>
    <w:rsid w:val="009202B1"/>
    <w:rsid w:val="0092042A"/>
    <w:rsid w:val="009216CA"/>
    <w:rsid w:val="00922808"/>
    <w:rsid w:val="00922934"/>
    <w:rsid w:val="00923CCF"/>
    <w:rsid w:val="009245CB"/>
    <w:rsid w:val="009259EF"/>
    <w:rsid w:val="00927725"/>
    <w:rsid w:val="00930782"/>
    <w:rsid w:val="00930FC8"/>
    <w:rsid w:val="00931452"/>
    <w:rsid w:val="009332EE"/>
    <w:rsid w:val="0093355A"/>
    <w:rsid w:val="009335BA"/>
    <w:rsid w:val="00934660"/>
    <w:rsid w:val="00934E21"/>
    <w:rsid w:val="00936B44"/>
    <w:rsid w:val="00936EC8"/>
    <w:rsid w:val="009416FE"/>
    <w:rsid w:val="009417E1"/>
    <w:rsid w:val="00942AE0"/>
    <w:rsid w:val="00945D12"/>
    <w:rsid w:val="00947814"/>
    <w:rsid w:val="00947F9D"/>
    <w:rsid w:val="00950381"/>
    <w:rsid w:val="00953C4E"/>
    <w:rsid w:val="009605B9"/>
    <w:rsid w:val="00962287"/>
    <w:rsid w:val="00962690"/>
    <w:rsid w:val="00971077"/>
    <w:rsid w:val="00971B25"/>
    <w:rsid w:val="00973FD3"/>
    <w:rsid w:val="00973FE6"/>
    <w:rsid w:val="009740C4"/>
    <w:rsid w:val="00976F69"/>
    <w:rsid w:val="00981F79"/>
    <w:rsid w:val="009825C9"/>
    <w:rsid w:val="0098401B"/>
    <w:rsid w:val="009850EF"/>
    <w:rsid w:val="00985278"/>
    <w:rsid w:val="009868FC"/>
    <w:rsid w:val="00990A70"/>
    <w:rsid w:val="00991558"/>
    <w:rsid w:val="00991A16"/>
    <w:rsid w:val="00992433"/>
    <w:rsid w:val="00992BE2"/>
    <w:rsid w:val="009941C2"/>
    <w:rsid w:val="0099562E"/>
    <w:rsid w:val="00996DDC"/>
    <w:rsid w:val="009A00F9"/>
    <w:rsid w:val="009A2E41"/>
    <w:rsid w:val="009A52C1"/>
    <w:rsid w:val="009A5EA7"/>
    <w:rsid w:val="009B455D"/>
    <w:rsid w:val="009B4E8F"/>
    <w:rsid w:val="009B7769"/>
    <w:rsid w:val="009C2436"/>
    <w:rsid w:val="009C441C"/>
    <w:rsid w:val="009D0462"/>
    <w:rsid w:val="009D12AD"/>
    <w:rsid w:val="009D242A"/>
    <w:rsid w:val="009D2975"/>
    <w:rsid w:val="009D2D67"/>
    <w:rsid w:val="009D2D8D"/>
    <w:rsid w:val="009D2FBA"/>
    <w:rsid w:val="009D351E"/>
    <w:rsid w:val="009D3629"/>
    <w:rsid w:val="009D3B9B"/>
    <w:rsid w:val="009D3D9D"/>
    <w:rsid w:val="009D4172"/>
    <w:rsid w:val="009D42C8"/>
    <w:rsid w:val="009D58D1"/>
    <w:rsid w:val="009D7565"/>
    <w:rsid w:val="009D7787"/>
    <w:rsid w:val="009D7D9C"/>
    <w:rsid w:val="009E02C9"/>
    <w:rsid w:val="009E121C"/>
    <w:rsid w:val="009E1B98"/>
    <w:rsid w:val="009E23CD"/>
    <w:rsid w:val="009E39DC"/>
    <w:rsid w:val="009E3E51"/>
    <w:rsid w:val="009E3FAC"/>
    <w:rsid w:val="009E4AE2"/>
    <w:rsid w:val="009E5378"/>
    <w:rsid w:val="009E56B4"/>
    <w:rsid w:val="009E6D68"/>
    <w:rsid w:val="009F029A"/>
    <w:rsid w:val="009F0DA4"/>
    <w:rsid w:val="009F28C9"/>
    <w:rsid w:val="009F43C3"/>
    <w:rsid w:val="009F4D28"/>
    <w:rsid w:val="009F4DC0"/>
    <w:rsid w:val="009F6110"/>
    <w:rsid w:val="009F615E"/>
    <w:rsid w:val="009F6933"/>
    <w:rsid w:val="009F7D43"/>
    <w:rsid w:val="00A00F38"/>
    <w:rsid w:val="00A012D0"/>
    <w:rsid w:val="00A02B9D"/>
    <w:rsid w:val="00A043FE"/>
    <w:rsid w:val="00A05803"/>
    <w:rsid w:val="00A05916"/>
    <w:rsid w:val="00A06E1B"/>
    <w:rsid w:val="00A0794D"/>
    <w:rsid w:val="00A16741"/>
    <w:rsid w:val="00A2114F"/>
    <w:rsid w:val="00A218A7"/>
    <w:rsid w:val="00A2216E"/>
    <w:rsid w:val="00A22A96"/>
    <w:rsid w:val="00A2370B"/>
    <w:rsid w:val="00A24782"/>
    <w:rsid w:val="00A25885"/>
    <w:rsid w:val="00A265F3"/>
    <w:rsid w:val="00A26CAA"/>
    <w:rsid w:val="00A26CCB"/>
    <w:rsid w:val="00A27AFB"/>
    <w:rsid w:val="00A3081D"/>
    <w:rsid w:val="00A31536"/>
    <w:rsid w:val="00A31956"/>
    <w:rsid w:val="00A33C0B"/>
    <w:rsid w:val="00A33DC9"/>
    <w:rsid w:val="00A33F77"/>
    <w:rsid w:val="00A35831"/>
    <w:rsid w:val="00A36E14"/>
    <w:rsid w:val="00A3743F"/>
    <w:rsid w:val="00A412EF"/>
    <w:rsid w:val="00A42EF2"/>
    <w:rsid w:val="00A44D84"/>
    <w:rsid w:val="00A45BD2"/>
    <w:rsid w:val="00A46F60"/>
    <w:rsid w:val="00A4716C"/>
    <w:rsid w:val="00A479EA"/>
    <w:rsid w:val="00A50436"/>
    <w:rsid w:val="00A5275D"/>
    <w:rsid w:val="00A52A12"/>
    <w:rsid w:val="00A52ED5"/>
    <w:rsid w:val="00A5372E"/>
    <w:rsid w:val="00A54194"/>
    <w:rsid w:val="00A54E6E"/>
    <w:rsid w:val="00A5515B"/>
    <w:rsid w:val="00A578D4"/>
    <w:rsid w:val="00A61015"/>
    <w:rsid w:val="00A61D6F"/>
    <w:rsid w:val="00A61D7A"/>
    <w:rsid w:val="00A62084"/>
    <w:rsid w:val="00A64735"/>
    <w:rsid w:val="00A64A5F"/>
    <w:rsid w:val="00A653BF"/>
    <w:rsid w:val="00A654E5"/>
    <w:rsid w:val="00A659E2"/>
    <w:rsid w:val="00A72F5E"/>
    <w:rsid w:val="00A7322E"/>
    <w:rsid w:val="00A73FFB"/>
    <w:rsid w:val="00A766F9"/>
    <w:rsid w:val="00A81E2E"/>
    <w:rsid w:val="00A8265A"/>
    <w:rsid w:val="00A83F16"/>
    <w:rsid w:val="00A84303"/>
    <w:rsid w:val="00A84D22"/>
    <w:rsid w:val="00A8510A"/>
    <w:rsid w:val="00A860D4"/>
    <w:rsid w:val="00A8651D"/>
    <w:rsid w:val="00A8757C"/>
    <w:rsid w:val="00A914C0"/>
    <w:rsid w:val="00A91BFE"/>
    <w:rsid w:val="00A92240"/>
    <w:rsid w:val="00A931DE"/>
    <w:rsid w:val="00A93D89"/>
    <w:rsid w:val="00A95A99"/>
    <w:rsid w:val="00A95EB3"/>
    <w:rsid w:val="00A964C1"/>
    <w:rsid w:val="00AA1034"/>
    <w:rsid w:val="00AA4A4A"/>
    <w:rsid w:val="00AA548E"/>
    <w:rsid w:val="00AA5C5A"/>
    <w:rsid w:val="00AA6178"/>
    <w:rsid w:val="00AB2251"/>
    <w:rsid w:val="00AB2C4F"/>
    <w:rsid w:val="00AB5F73"/>
    <w:rsid w:val="00AB6128"/>
    <w:rsid w:val="00AB6968"/>
    <w:rsid w:val="00AC014D"/>
    <w:rsid w:val="00AC409E"/>
    <w:rsid w:val="00AC43E5"/>
    <w:rsid w:val="00AC4FFA"/>
    <w:rsid w:val="00AC65A5"/>
    <w:rsid w:val="00AC7204"/>
    <w:rsid w:val="00AC7EA1"/>
    <w:rsid w:val="00AD07F3"/>
    <w:rsid w:val="00AD0B76"/>
    <w:rsid w:val="00AD12A0"/>
    <w:rsid w:val="00AD1F22"/>
    <w:rsid w:val="00AD3C01"/>
    <w:rsid w:val="00AD445A"/>
    <w:rsid w:val="00AD5E93"/>
    <w:rsid w:val="00AD6ADC"/>
    <w:rsid w:val="00AD7D0B"/>
    <w:rsid w:val="00AE01F6"/>
    <w:rsid w:val="00AE1258"/>
    <w:rsid w:val="00AE22A4"/>
    <w:rsid w:val="00AE32D0"/>
    <w:rsid w:val="00AE5BCC"/>
    <w:rsid w:val="00AE665F"/>
    <w:rsid w:val="00AE67D7"/>
    <w:rsid w:val="00AF03C9"/>
    <w:rsid w:val="00AF0428"/>
    <w:rsid w:val="00AF3BFA"/>
    <w:rsid w:val="00AF3E3E"/>
    <w:rsid w:val="00AF490E"/>
    <w:rsid w:val="00AF57F6"/>
    <w:rsid w:val="00AF629B"/>
    <w:rsid w:val="00B04D8B"/>
    <w:rsid w:val="00B068F4"/>
    <w:rsid w:val="00B075DE"/>
    <w:rsid w:val="00B07E37"/>
    <w:rsid w:val="00B11D1A"/>
    <w:rsid w:val="00B11E5B"/>
    <w:rsid w:val="00B12E10"/>
    <w:rsid w:val="00B146AF"/>
    <w:rsid w:val="00B210A2"/>
    <w:rsid w:val="00B216E3"/>
    <w:rsid w:val="00B217E8"/>
    <w:rsid w:val="00B23540"/>
    <w:rsid w:val="00B24B12"/>
    <w:rsid w:val="00B24B3E"/>
    <w:rsid w:val="00B258FE"/>
    <w:rsid w:val="00B26BB7"/>
    <w:rsid w:val="00B30888"/>
    <w:rsid w:val="00B3107C"/>
    <w:rsid w:val="00B32D74"/>
    <w:rsid w:val="00B35E0E"/>
    <w:rsid w:val="00B36C27"/>
    <w:rsid w:val="00B40231"/>
    <w:rsid w:val="00B41911"/>
    <w:rsid w:val="00B46787"/>
    <w:rsid w:val="00B501B5"/>
    <w:rsid w:val="00B508E9"/>
    <w:rsid w:val="00B50A32"/>
    <w:rsid w:val="00B51417"/>
    <w:rsid w:val="00B52B1B"/>
    <w:rsid w:val="00B531F1"/>
    <w:rsid w:val="00B54027"/>
    <w:rsid w:val="00B55F29"/>
    <w:rsid w:val="00B562F0"/>
    <w:rsid w:val="00B56E5D"/>
    <w:rsid w:val="00B60F8C"/>
    <w:rsid w:val="00B6365C"/>
    <w:rsid w:val="00B64146"/>
    <w:rsid w:val="00B677D6"/>
    <w:rsid w:val="00B70517"/>
    <w:rsid w:val="00B715C6"/>
    <w:rsid w:val="00B75272"/>
    <w:rsid w:val="00B75BB3"/>
    <w:rsid w:val="00B76878"/>
    <w:rsid w:val="00B76BFB"/>
    <w:rsid w:val="00B802C9"/>
    <w:rsid w:val="00B8045B"/>
    <w:rsid w:val="00B8210E"/>
    <w:rsid w:val="00B831D5"/>
    <w:rsid w:val="00B8325D"/>
    <w:rsid w:val="00B84B13"/>
    <w:rsid w:val="00B8546D"/>
    <w:rsid w:val="00B85E95"/>
    <w:rsid w:val="00B85EED"/>
    <w:rsid w:val="00B875C0"/>
    <w:rsid w:val="00B9185F"/>
    <w:rsid w:val="00B922CA"/>
    <w:rsid w:val="00B95925"/>
    <w:rsid w:val="00B96A3D"/>
    <w:rsid w:val="00BA24D2"/>
    <w:rsid w:val="00BA293F"/>
    <w:rsid w:val="00BA29F9"/>
    <w:rsid w:val="00BA3102"/>
    <w:rsid w:val="00BA3B2B"/>
    <w:rsid w:val="00BA4EA6"/>
    <w:rsid w:val="00BA657A"/>
    <w:rsid w:val="00BA698B"/>
    <w:rsid w:val="00BB0480"/>
    <w:rsid w:val="00BB0534"/>
    <w:rsid w:val="00BB0DB8"/>
    <w:rsid w:val="00BB0F8F"/>
    <w:rsid w:val="00BB13D7"/>
    <w:rsid w:val="00BB1979"/>
    <w:rsid w:val="00BB2C8C"/>
    <w:rsid w:val="00BB348E"/>
    <w:rsid w:val="00BB354F"/>
    <w:rsid w:val="00BB36A8"/>
    <w:rsid w:val="00BB4777"/>
    <w:rsid w:val="00BB4EEB"/>
    <w:rsid w:val="00BB5714"/>
    <w:rsid w:val="00BB5B0A"/>
    <w:rsid w:val="00BB6802"/>
    <w:rsid w:val="00BC06C3"/>
    <w:rsid w:val="00BC4B1E"/>
    <w:rsid w:val="00BC55DE"/>
    <w:rsid w:val="00BC5C7E"/>
    <w:rsid w:val="00BD0BDE"/>
    <w:rsid w:val="00BD1988"/>
    <w:rsid w:val="00BD4AA6"/>
    <w:rsid w:val="00BD4FD8"/>
    <w:rsid w:val="00BE17D6"/>
    <w:rsid w:val="00BE1981"/>
    <w:rsid w:val="00BE25C9"/>
    <w:rsid w:val="00BE37E1"/>
    <w:rsid w:val="00BE6BBF"/>
    <w:rsid w:val="00BE78A4"/>
    <w:rsid w:val="00BF1182"/>
    <w:rsid w:val="00BF2383"/>
    <w:rsid w:val="00BF4C43"/>
    <w:rsid w:val="00BF778F"/>
    <w:rsid w:val="00BF7D4A"/>
    <w:rsid w:val="00C017BF"/>
    <w:rsid w:val="00C02983"/>
    <w:rsid w:val="00C0349C"/>
    <w:rsid w:val="00C03981"/>
    <w:rsid w:val="00C04218"/>
    <w:rsid w:val="00C056A8"/>
    <w:rsid w:val="00C0680D"/>
    <w:rsid w:val="00C07042"/>
    <w:rsid w:val="00C0704F"/>
    <w:rsid w:val="00C07844"/>
    <w:rsid w:val="00C10C95"/>
    <w:rsid w:val="00C11B45"/>
    <w:rsid w:val="00C11E3E"/>
    <w:rsid w:val="00C14AB0"/>
    <w:rsid w:val="00C15225"/>
    <w:rsid w:val="00C15CEE"/>
    <w:rsid w:val="00C15E9D"/>
    <w:rsid w:val="00C167D1"/>
    <w:rsid w:val="00C17D3D"/>
    <w:rsid w:val="00C212AB"/>
    <w:rsid w:val="00C214F0"/>
    <w:rsid w:val="00C26422"/>
    <w:rsid w:val="00C26C7C"/>
    <w:rsid w:val="00C27C7F"/>
    <w:rsid w:val="00C3269F"/>
    <w:rsid w:val="00C3288D"/>
    <w:rsid w:val="00C32F22"/>
    <w:rsid w:val="00C342DB"/>
    <w:rsid w:val="00C40EF8"/>
    <w:rsid w:val="00C42785"/>
    <w:rsid w:val="00C45243"/>
    <w:rsid w:val="00C46249"/>
    <w:rsid w:val="00C4681F"/>
    <w:rsid w:val="00C52184"/>
    <w:rsid w:val="00C5255F"/>
    <w:rsid w:val="00C53234"/>
    <w:rsid w:val="00C53989"/>
    <w:rsid w:val="00C53E83"/>
    <w:rsid w:val="00C54F52"/>
    <w:rsid w:val="00C553B7"/>
    <w:rsid w:val="00C5798E"/>
    <w:rsid w:val="00C57D4A"/>
    <w:rsid w:val="00C60A09"/>
    <w:rsid w:val="00C65356"/>
    <w:rsid w:val="00C65A41"/>
    <w:rsid w:val="00C67C95"/>
    <w:rsid w:val="00C67EE6"/>
    <w:rsid w:val="00C70497"/>
    <w:rsid w:val="00C70D5A"/>
    <w:rsid w:val="00C71284"/>
    <w:rsid w:val="00C72121"/>
    <w:rsid w:val="00C72DC6"/>
    <w:rsid w:val="00C7307F"/>
    <w:rsid w:val="00C7375E"/>
    <w:rsid w:val="00C7463A"/>
    <w:rsid w:val="00C74CA2"/>
    <w:rsid w:val="00C756E0"/>
    <w:rsid w:val="00C7667D"/>
    <w:rsid w:val="00C77E8A"/>
    <w:rsid w:val="00C81F24"/>
    <w:rsid w:val="00C869F3"/>
    <w:rsid w:val="00C87B7D"/>
    <w:rsid w:val="00C91119"/>
    <w:rsid w:val="00C91249"/>
    <w:rsid w:val="00C9495E"/>
    <w:rsid w:val="00C94E7E"/>
    <w:rsid w:val="00C97C9B"/>
    <w:rsid w:val="00CA0008"/>
    <w:rsid w:val="00CA08AE"/>
    <w:rsid w:val="00CA0E3A"/>
    <w:rsid w:val="00CA12F4"/>
    <w:rsid w:val="00CA1C47"/>
    <w:rsid w:val="00CA3333"/>
    <w:rsid w:val="00CA50CF"/>
    <w:rsid w:val="00CA6A22"/>
    <w:rsid w:val="00CA6E12"/>
    <w:rsid w:val="00CB004D"/>
    <w:rsid w:val="00CB08D8"/>
    <w:rsid w:val="00CB0B66"/>
    <w:rsid w:val="00CB2902"/>
    <w:rsid w:val="00CB34CC"/>
    <w:rsid w:val="00CB42F2"/>
    <w:rsid w:val="00CB4618"/>
    <w:rsid w:val="00CC04CB"/>
    <w:rsid w:val="00CC14C4"/>
    <w:rsid w:val="00CC46CA"/>
    <w:rsid w:val="00CC4EAB"/>
    <w:rsid w:val="00CC5527"/>
    <w:rsid w:val="00CD1C68"/>
    <w:rsid w:val="00CD32A8"/>
    <w:rsid w:val="00CD5192"/>
    <w:rsid w:val="00CD682B"/>
    <w:rsid w:val="00CD7494"/>
    <w:rsid w:val="00CD754D"/>
    <w:rsid w:val="00CD7F80"/>
    <w:rsid w:val="00CE02AD"/>
    <w:rsid w:val="00CE053C"/>
    <w:rsid w:val="00CE080E"/>
    <w:rsid w:val="00CE10E3"/>
    <w:rsid w:val="00CE186F"/>
    <w:rsid w:val="00CE23AA"/>
    <w:rsid w:val="00CE2B42"/>
    <w:rsid w:val="00CE319B"/>
    <w:rsid w:val="00CE40E3"/>
    <w:rsid w:val="00CE4A86"/>
    <w:rsid w:val="00CE4CAE"/>
    <w:rsid w:val="00CE55DA"/>
    <w:rsid w:val="00CE69C0"/>
    <w:rsid w:val="00CF38F4"/>
    <w:rsid w:val="00CF44B5"/>
    <w:rsid w:val="00CF5879"/>
    <w:rsid w:val="00D00375"/>
    <w:rsid w:val="00D022DC"/>
    <w:rsid w:val="00D0253C"/>
    <w:rsid w:val="00D046C9"/>
    <w:rsid w:val="00D05183"/>
    <w:rsid w:val="00D05704"/>
    <w:rsid w:val="00D069F9"/>
    <w:rsid w:val="00D06BC9"/>
    <w:rsid w:val="00D12493"/>
    <w:rsid w:val="00D12C7A"/>
    <w:rsid w:val="00D14EF9"/>
    <w:rsid w:val="00D15416"/>
    <w:rsid w:val="00D2066E"/>
    <w:rsid w:val="00D20F4F"/>
    <w:rsid w:val="00D214F7"/>
    <w:rsid w:val="00D22C5B"/>
    <w:rsid w:val="00D23D51"/>
    <w:rsid w:val="00D250CE"/>
    <w:rsid w:val="00D276A4"/>
    <w:rsid w:val="00D30181"/>
    <w:rsid w:val="00D30B29"/>
    <w:rsid w:val="00D3464C"/>
    <w:rsid w:val="00D3501F"/>
    <w:rsid w:val="00D36224"/>
    <w:rsid w:val="00D3657A"/>
    <w:rsid w:val="00D41625"/>
    <w:rsid w:val="00D416AA"/>
    <w:rsid w:val="00D416F5"/>
    <w:rsid w:val="00D44111"/>
    <w:rsid w:val="00D444A1"/>
    <w:rsid w:val="00D4655A"/>
    <w:rsid w:val="00D46A93"/>
    <w:rsid w:val="00D50EE4"/>
    <w:rsid w:val="00D51945"/>
    <w:rsid w:val="00D522BB"/>
    <w:rsid w:val="00D53045"/>
    <w:rsid w:val="00D5474F"/>
    <w:rsid w:val="00D55056"/>
    <w:rsid w:val="00D5724D"/>
    <w:rsid w:val="00D61635"/>
    <w:rsid w:val="00D626A9"/>
    <w:rsid w:val="00D628C5"/>
    <w:rsid w:val="00D63DB5"/>
    <w:rsid w:val="00D63ECC"/>
    <w:rsid w:val="00D67132"/>
    <w:rsid w:val="00D7066E"/>
    <w:rsid w:val="00D7078F"/>
    <w:rsid w:val="00D72BC6"/>
    <w:rsid w:val="00D74447"/>
    <w:rsid w:val="00D74D55"/>
    <w:rsid w:val="00D75DD0"/>
    <w:rsid w:val="00D76EF3"/>
    <w:rsid w:val="00D77FB0"/>
    <w:rsid w:val="00D80DD7"/>
    <w:rsid w:val="00D82050"/>
    <w:rsid w:val="00D82F2C"/>
    <w:rsid w:val="00D838FD"/>
    <w:rsid w:val="00D83927"/>
    <w:rsid w:val="00D84E23"/>
    <w:rsid w:val="00D8588C"/>
    <w:rsid w:val="00D86245"/>
    <w:rsid w:val="00D87378"/>
    <w:rsid w:val="00D87CCB"/>
    <w:rsid w:val="00D9043F"/>
    <w:rsid w:val="00D91604"/>
    <w:rsid w:val="00D91C50"/>
    <w:rsid w:val="00D91C87"/>
    <w:rsid w:val="00D92E74"/>
    <w:rsid w:val="00D94CBE"/>
    <w:rsid w:val="00D9500F"/>
    <w:rsid w:val="00D9594F"/>
    <w:rsid w:val="00D97AB4"/>
    <w:rsid w:val="00DA3E5A"/>
    <w:rsid w:val="00DA3FEA"/>
    <w:rsid w:val="00DA5B39"/>
    <w:rsid w:val="00DA7199"/>
    <w:rsid w:val="00DB07BF"/>
    <w:rsid w:val="00DC0B04"/>
    <w:rsid w:val="00DC262C"/>
    <w:rsid w:val="00DC2DC4"/>
    <w:rsid w:val="00DC3D25"/>
    <w:rsid w:val="00DC4FD4"/>
    <w:rsid w:val="00DC5F21"/>
    <w:rsid w:val="00DC6174"/>
    <w:rsid w:val="00DC6E87"/>
    <w:rsid w:val="00DC72ED"/>
    <w:rsid w:val="00DC7506"/>
    <w:rsid w:val="00DD035E"/>
    <w:rsid w:val="00DD1C92"/>
    <w:rsid w:val="00DD461A"/>
    <w:rsid w:val="00DD58FD"/>
    <w:rsid w:val="00DD6697"/>
    <w:rsid w:val="00DD75E5"/>
    <w:rsid w:val="00DD7963"/>
    <w:rsid w:val="00DE04DD"/>
    <w:rsid w:val="00DE1E03"/>
    <w:rsid w:val="00DE252A"/>
    <w:rsid w:val="00DE49C0"/>
    <w:rsid w:val="00DE5402"/>
    <w:rsid w:val="00DE7564"/>
    <w:rsid w:val="00DE7AB3"/>
    <w:rsid w:val="00DE7F24"/>
    <w:rsid w:val="00DF0036"/>
    <w:rsid w:val="00DF013F"/>
    <w:rsid w:val="00DF0724"/>
    <w:rsid w:val="00DF1C9D"/>
    <w:rsid w:val="00DF4709"/>
    <w:rsid w:val="00DF5DEB"/>
    <w:rsid w:val="00DF7501"/>
    <w:rsid w:val="00DF788A"/>
    <w:rsid w:val="00E0081B"/>
    <w:rsid w:val="00E01BE5"/>
    <w:rsid w:val="00E01FDB"/>
    <w:rsid w:val="00E03674"/>
    <w:rsid w:val="00E04231"/>
    <w:rsid w:val="00E0486D"/>
    <w:rsid w:val="00E05419"/>
    <w:rsid w:val="00E05C7D"/>
    <w:rsid w:val="00E05EB1"/>
    <w:rsid w:val="00E064FC"/>
    <w:rsid w:val="00E10031"/>
    <w:rsid w:val="00E11E4F"/>
    <w:rsid w:val="00E12301"/>
    <w:rsid w:val="00E12B86"/>
    <w:rsid w:val="00E13CEA"/>
    <w:rsid w:val="00E14272"/>
    <w:rsid w:val="00E16CC8"/>
    <w:rsid w:val="00E20081"/>
    <w:rsid w:val="00E21838"/>
    <w:rsid w:val="00E21C8C"/>
    <w:rsid w:val="00E22360"/>
    <w:rsid w:val="00E23BB7"/>
    <w:rsid w:val="00E25274"/>
    <w:rsid w:val="00E2573D"/>
    <w:rsid w:val="00E266C1"/>
    <w:rsid w:val="00E26E0C"/>
    <w:rsid w:val="00E302B8"/>
    <w:rsid w:val="00E338C6"/>
    <w:rsid w:val="00E33FA7"/>
    <w:rsid w:val="00E34E03"/>
    <w:rsid w:val="00E36AE9"/>
    <w:rsid w:val="00E375EE"/>
    <w:rsid w:val="00E40018"/>
    <w:rsid w:val="00E40854"/>
    <w:rsid w:val="00E40F9B"/>
    <w:rsid w:val="00E412C8"/>
    <w:rsid w:val="00E41345"/>
    <w:rsid w:val="00E42464"/>
    <w:rsid w:val="00E42CB1"/>
    <w:rsid w:val="00E4428D"/>
    <w:rsid w:val="00E45397"/>
    <w:rsid w:val="00E46C3A"/>
    <w:rsid w:val="00E46CEC"/>
    <w:rsid w:val="00E47ACF"/>
    <w:rsid w:val="00E47FDD"/>
    <w:rsid w:val="00E5134F"/>
    <w:rsid w:val="00E522D2"/>
    <w:rsid w:val="00E538F0"/>
    <w:rsid w:val="00E53E02"/>
    <w:rsid w:val="00E5492C"/>
    <w:rsid w:val="00E549E2"/>
    <w:rsid w:val="00E54B68"/>
    <w:rsid w:val="00E55021"/>
    <w:rsid w:val="00E5535D"/>
    <w:rsid w:val="00E55595"/>
    <w:rsid w:val="00E57269"/>
    <w:rsid w:val="00E5737B"/>
    <w:rsid w:val="00E60082"/>
    <w:rsid w:val="00E6065B"/>
    <w:rsid w:val="00E606C0"/>
    <w:rsid w:val="00E626BD"/>
    <w:rsid w:val="00E627A0"/>
    <w:rsid w:val="00E66A5E"/>
    <w:rsid w:val="00E743CA"/>
    <w:rsid w:val="00E7534B"/>
    <w:rsid w:val="00E77401"/>
    <w:rsid w:val="00E80FAC"/>
    <w:rsid w:val="00E83822"/>
    <w:rsid w:val="00E8400B"/>
    <w:rsid w:val="00E84422"/>
    <w:rsid w:val="00E8461C"/>
    <w:rsid w:val="00E84665"/>
    <w:rsid w:val="00E84CC7"/>
    <w:rsid w:val="00E8564D"/>
    <w:rsid w:val="00E85DC4"/>
    <w:rsid w:val="00E86E77"/>
    <w:rsid w:val="00E907C3"/>
    <w:rsid w:val="00E90D24"/>
    <w:rsid w:val="00E9272A"/>
    <w:rsid w:val="00E94FED"/>
    <w:rsid w:val="00E952A1"/>
    <w:rsid w:val="00E95F0D"/>
    <w:rsid w:val="00E966E3"/>
    <w:rsid w:val="00E968B2"/>
    <w:rsid w:val="00E96FC9"/>
    <w:rsid w:val="00EA12AE"/>
    <w:rsid w:val="00EA1B47"/>
    <w:rsid w:val="00EA1C91"/>
    <w:rsid w:val="00EA4B71"/>
    <w:rsid w:val="00EA4EBA"/>
    <w:rsid w:val="00EA626D"/>
    <w:rsid w:val="00EA6567"/>
    <w:rsid w:val="00EA79E3"/>
    <w:rsid w:val="00EB24BD"/>
    <w:rsid w:val="00EB40AE"/>
    <w:rsid w:val="00EB51CF"/>
    <w:rsid w:val="00EC0156"/>
    <w:rsid w:val="00EC18D0"/>
    <w:rsid w:val="00EC4AB0"/>
    <w:rsid w:val="00EC56D6"/>
    <w:rsid w:val="00EC5EF0"/>
    <w:rsid w:val="00EC7841"/>
    <w:rsid w:val="00ED1ED0"/>
    <w:rsid w:val="00ED250C"/>
    <w:rsid w:val="00ED3C7F"/>
    <w:rsid w:val="00ED46F3"/>
    <w:rsid w:val="00ED76C6"/>
    <w:rsid w:val="00ED785A"/>
    <w:rsid w:val="00ED7D8E"/>
    <w:rsid w:val="00ED7F27"/>
    <w:rsid w:val="00EE7916"/>
    <w:rsid w:val="00EE7A1F"/>
    <w:rsid w:val="00EE7F74"/>
    <w:rsid w:val="00EF1579"/>
    <w:rsid w:val="00EF25C0"/>
    <w:rsid w:val="00EF311A"/>
    <w:rsid w:val="00EF41B6"/>
    <w:rsid w:val="00EF4A08"/>
    <w:rsid w:val="00EF56AC"/>
    <w:rsid w:val="00EF67D7"/>
    <w:rsid w:val="00EF70EB"/>
    <w:rsid w:val="00EF77F3"/>
    <w:rsid w:val="00F014A8"/>
    <w:rsid w:val="00F02B8B"/>
    <w:rsid w:val="00F02BCC"/>
    <w:rsid w:val="00F04BBF"/>
    <w:rsid w:val="00F05A99"/>
    <w:rsid w:val="00F05B65"/>
    <w:rsid w:val="00F07004"/>
    <w:rsid w:val="00F07424"/>
    <w:rsid w:val="00F079B7"/>
    <w:rsid w:val="00F10C02"/>
    <w:rsid w:val="00F10EEE"/>
    <w:rsid w:val="00F11171"/>
    <w:rsid w:val="00F147F9"/>
    <w:rsid w:val="00F15724"/>
    <w:rsid w:val="00F15958"/>
    <w:rsid w:val="00F15A5B"/>
    <w:rsid w:val="00F167D4"/>
    <w:rsid w:val="00F167EB"/>
    <w:rsid w:val="00F16A42"/>
    <w:rsid w:val="00F16E62"/>
    <w:rsid w:val="00F175F4"/>
    <w:rsid w:val="00F177E3"/>
    <w:rsid w:val="00F20CC9"/>
    <w:rsid w:val="00F2234E"/>
    <w:rsid w:val="00F22901"/>
    <w:rsid w:val="00F24356"/>
    <w:rsid w:val="00F248A4"/>
    <w:rsid w:val="00F25509"/>
    <w:rsid w:val="00F25E7F"/>
    <w:rsid w:val="00F25EDD"/>
    <w:rsid w:val="00F272E7"/>
    <w:rsid w:val="00F27BAE"/>
    <w:rsid w:val="00F312BE"/>
    <w:rsid w:val="00F313CD"/>
    <w:rsid w:val="00F32049"/>
    <w:rsid w:val="00F32B4B"/>
    <w:rsid w:val="00F332CF"/>
    <w:rsid w:val="00F34DAB"/>
    <w:rsid w:val="00F3684A"/>
    <w:rsid w:val="00F36ED1"/>
    <w:rsid w:val="00F378C1"/>
    <w:rsid w:val="00F408A7"/>
    <w:rsid w:val="00F409F0"/>
    <w:rsid w:val="00F43B25"/>
    <w:rsid w:val="00F4477B"/>
    <w:rsid w:val="00F50C10"/>
    <w:rsid w:val="00F52C7E"/>
    <w:rsid w:val="00F53844"/>
    <w:rsid w:val="00F5537D"/>
    <w:rsid w:val="00F55602"/>
    <w:rsid w:val="00F55C05"/>
    <w:rsid w:val="00F5729E"/>
    <w:rsid w:val="00F622E2"/>
    <w:rsid w:val="00F6311D"/>
    <w:rsid w:val="00F63B9D"/>
    <w:rsid w:val="00F64418"/>
    <w:rsid w:val="00F64FAE"/>
    <w:rsid w:val="00F65F60"/>
    <w:rsid w:val="00F67F35"/>
    <w:rsid w:val="00F7068C"/>
    <w:rsid w:val="00F72200"/>
    <w:rsid w:val="00F755DA"/>
    <w:rsid w:val="00F80010"/>
    <w:rsid w:val="00F805B1"/>
    <w:rsid w:val="00F814EE"/>
    <w:rsid w:val="00F8156C"/>
    <w:rsid w:val="00F8487F"/>
    <w:rsid w:val="00F86AFF"/>
    <w:rsid w:val="00F9099C"/>
    <w:rsid w:val="00F9223A"/>
    <w:rsid w:val="00F92E0D"/>
    <w:rsid w:val="00F93027"/>
    <w:rsid w:val="00F9451F"/>
    <w:rsid w:val="00F96208"/>
    <w:rsid w:val="00F9654A"/>
    <w:rsid w:val="00F979DB"/>
    <w:rsid w:val="00FA1E4A"/>
    <w:rsid w:val="00FA2770"/>
    <w:rsid w:val="00FA4180"/>
    <w:rsid w:val="00FA4F12"/>
    <w:rsid w:val="00FA5D6D"/>
    <w:rsid w:val="00FB0303"/>
    <w:rsid w:val="00FB0722"/>
    <w:rsid w:val="00FB434F"/>
    <w:rsid w:val="00FB4C38"/>
    <w:rsid w:val="00FB65AC"/>
    <w:rsid w:val="00FB7B78"/>
    <w:rsid w:val="00FC14C8"/>
    <w:rsid w:val="00FC196D"/>
    <w:rsid w:val="00FC1C63"/>
    <w:rsid w:val="00FC3DEB"/>
    <w:rsid w:val="00FC45C9"/>
    <w:rsid w:val="00FC4BD9"/>
    <w:rsid w:val="00FC4D9A"/>
    <w:rsid w:val="00FC50D2"/>
    <w:rsid w:val="00FC5243"/>
    <w:rsid w:val="00FC620D"/>
    <w:rsid w:val="00FC695B"/>
    <w:rsid w:val="00FC71E8"/>
    <w:rsid w:val="00FD0540"/>
    <w:rsid w:val="00FD1C3A"/>
    <w:rsid w:val="00FD2521"/>
    <w:rsid w:val="00FD2638"/>
    <w:rsid w:val="00FD2B91"/>
    <w:rsid w:val="00FD4FB3"/>
    <w:rsid w:val="00FD5776"/>
    <w:rsid w:val="00FD5BB3"/>
    <w:rsid w:val="00FE0C89"/>
    <w:rsid w:val="00FE3446"/>
    <w:rsid w:val="00FE4072"/>
    <w:rsid w:val="00FE4AD9"/>
    <w:rsid w:val="00FF024E"/>
    <w:rsid w:val="00FF0555"/>
    <w:rsid w:val="00FF1289"/>
    <w:rsid w:val="00FF4CF7"/>
    <w:rsid w:val="00FF4F7F"/>
    <w:rsid w:val="00FF66C1"/>
    <w:rsid w:val="00FF7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1">
    <w:name w:val="heading 1"/>
    <w:basedOn w:val="Normal"/>
    <w:next w:val="Normal"/>
    <w:link w:val="Heading1Char"/>
    <w:qFormat/>
    <w:rsid w:val="00606A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Footnote Text Char2"/>
    <w:basedOn w:val="Normal"/>
    <w:link w:val="FootnoteTextChar"/>
    <w:uiPriority w:val="99"/>
    <w:qFormat/>
    <w:rsid w:val="00022D45"/>
    <w:pPr>
      <w:widowControl/>
    </w:pPr>
  </w:style>
  <w:style w:type="character" w:styleId="FootnoteReference">
    <w:name w:val="footnote reference"/>
    <w:aliases w:val="footnote text,o,fr,Style 42,Style 13,Style 12,Style 28,(NECG) Footnote Reference,Style 11,Style 9,Style 16,Style 15,Style 17,Style 20,o1,fr1,o2,fr2,o3,fr3,Style 8,Style 7,Style 19"/>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customStyle="1" w:styleId="Heading1Char">
    <w:name w:val="Heading 1 Char"/>
    <w:basedOn w:val="DefaultParagraphFont"/>
    <w:link w:val="Heading1"/>
    <w:rsid w:val="00606A56"/>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99"/>
    <w:unhideWhenUsed/>
    <w:rsid w:val="00606A56"/>
    <w:pPr>
      <w:widowControl/>
      <w:spacing w:after="120" w:line="360" w:lineRule="auto"/>
    </w:pPr>
    <w:rPr>
      <w:rFonts w:ascii="CG Times" w:hAnsi="CG Times"/>
      <w:sz w:val="24"/>
    </w:rPr>
  </w:style>
  <w:style w:type="character" w:customStyle="1" w:styleId="BodyTextChar">
    <w:name w:val="Body Text Char"/>
    <w:basedOn w:val="DefaultParagraphFont"/>
    <w:link w:val="BodyText"/>
    <w:uiPriority w:val="99"/>
    <w:rsid w:val="00606A56"/>
    <w:rPr>
      <w:rFonts w:ascii="CG Times" w:hAnsi="CG Times"/>
      <w:sz w:val="24"/>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606A56"/>
  </w:style>
  <w:style w:type="paragraph" w:customStyle="1" w:styleId="OutlineL1">
    <w:name w:val="Outline_L1"/>
    <w:basedOn w:val="Normal"/>
    <w:next w:val="FootnoteText"/>
    <w:rsid w:val="00606A56"/>
    <w:pPr>
      <w:keepNext/>
      <w:widowControl/>
      <w:numPr>
        <w:numId w:val="7"/>
      </w:numPr>
      <w:spacing w:after="240"/>
      <w:jc w:val="center"/>
      <w:outlineLvl w:val="0"/>
    </w:pPr>
    <w:rPr>
      <w:rFonts w:ascii="Times New Roman Bold" w:hAnsi="Times New Roman Bold"/>
      <w:b/>
      <w:caps/>
      <w:sz w:val="24"/>
    </w:rPr>
  </w:style>
  <w:style w:type="paragraph" w:customStyle="1" w:styleId="OutlineL2">
    <w:name w:val="Outline_L2"/>
    <w:basedOn w:val="OutlineL1"/>
    <w:rsid w:val="00606A56"/>
    <w:pPr>
      <w:keepNext w:val="0"/>
      <w:numPr>
        <w:ilvl w:val="1"/>
      </w:numPr>
      <w:spacing w:line="480" w:lineRule="auto"/>
      <w:jc w:val="left"/>
      <w:outlineLvl w:val="1"/>
    </w:pPr>
    <w:rPr>
      <w:rFonts w:ascii="Times New Roman" w:hAnsi="Times New Roman"/>
      <w:b w:val="0"/>
      <w:caps w:val="0"/>
    </w:rPr>
  </w:style>
  <w:style w:type="paragraph" w:customStyle="1" w:styleId="OutlineL3">
    <w:name w:val="Outline_L3"/>
    <w:basedOn w:val="OutlineL2"/>
    <w:rsid w:val="00606A56"/>
    <w:pPr>
      <w:numPr>
        <w:ilvl w:val="2"/>
      </w:numPr>
      <w:spacing w:after="120"/>
      <w:outlineLvl w:val="2"/>
    </w:pPr>
  </w:style>
  <w:style w:type="paragraph" w:customStyle="1" w:styleId="OutlineL4">
    <w:name w:val="Outline_L4"/>
    <w:basedOn w:val="OutlineL3"/>
    <w:rsid w:val="00606A56"/>
    <w:pPr>
      <w:numPr>
        <w:ilvl w:val="3"/>
      </w:numPr>
      <w:outlineLvl w:val="3"/>
    </w:pPr>
  </w:style>
  <w:style w:type="paragraph" w:customStyle="1" w:styleId="OutlineL5">
    <w:name w:val="Outline_L5"/>
    <w:basedOn w:val="OutlineL4"/>
    <w:rsid w:val="00606A56"/>
    <w:pPr>
      <w:numPr>
        <w:ilvl w:val="4"/>
      </w:numPr>
      <w:spacing w:line="240" w:lineRule="auto"/>
      <w:outlineLvl w:val="4"/>
    </w:pPr>
  </w:style>
  <w:style w:type="paragraph" w:customStyle="1" w:styleId="OutlineL6">
    <w:name w:val="Outline_L6"/>
    <w:basedOn w:val="OutlineL5"/>
    <w:rsid w:val="00606A56"/>
    <w:pPr>
      <w:numPr>
        <w:ilvl w:val="5"/>
      </w:numPr>
      <w:spacing w:after="240"/>
      <w:outlineLvl w:val="5"/>
    </w:pPr>
    <w:rPr>
      <w:szCs w:val="24"/>
    </w:rPr>
  </w:style>
  <w:style w:type="paragraph" w:customStyle="1" w:styleId="OutlineL7">
    <w:name w:val="Outline_L7"/>
    <w:basedOn w:val="OutlineL6"/>
    <w:rsid w:val="00606A56"/>
    <w:pPr>
      <w:numPr>
        <w:ilvl w:val="6"/>
      </w:numPr>
      <w:outlineLvl w:val="6"/>
    </w:pPr>
    <w:rPr>
      <w:rFonts w:ascii="Times New Roman Bold" w:hAnsi="Times New Roman Bold"/>
      <w:b/>
    </w:rPr>
  </w:style>
  <w:style w:type="paragraph" w:customStyle="1" w:styleId="OutlineL8">
    <w:name w:val="Outline_L8"/>
    <w:basedOn w:val="OutlineL7"/>
    <w:rsid w:val="00606A56"/>
    <w:pPr>
      <w:numPr>
        <w:ilvl w:val="7"/>
      </w:numPr>
      <w:outlineLvl w:val="7"/>
    </w:pPr>
  </w:style>
  <w:style w:type="paragraph" w:customStyle="1" w:styleId="OutlineL9">
    <w:name w:val="Outline_L9"/>
    <w:basedOn w:val="OutlineL8"/>
    <w:rsid w:val="00606A56"/>
    <w:pPr>
      <w:numPr>
        <w:ilvl w:val="8"/>
      </w:numPr>
      <w:outlineLvl w:val="8"/>
    </w:pPr>
  </w:style>
  <w:style w:type="paragraph" w:styleId="NoSpacing">
    <w:name w:val="No Spacing"/>
    <w:uiPriority w:val="1"/>
    <w:qFormat/>
    <w:rsid w:val="00606A56"/>
    <w:rPr>
      <w:sz w:val="26"/>
    </w:rPr>
  </w:style>
  <w:style w:type="character" w:styleId="CommentReference">
    <w:name w:val="annotation reference"/>
    <w:basedOn w:val="DefaultParagraphFont"/>
    <w:rsid w:val="000427ED"/>
    <w:rPr>
      <w:sz w:val="16"/>
      <w:szCs w:val="16"/>
    </w:rPr>
  </w:style>
  <w:style w:type="paragraph" w:styleId="CommentText">
    <w:name w:val="annotation text"/>
    <w:basedOn w:val="Normal"/>
    <w:link w:val="CommentTextChar"/>
    <w:rsid w:val="000427ED"/>
  </w:style>
  <w:style w:type="character" w:customStyle="1" w:styleId="CommentTextChar">
    <w:name w:val="Comment Text Char"/>
    <w:basedOn w:val="DefaultParagraphFont"/>
    <w:link w:val="CommentText"/>
    <w:rsid w:val="000427ED"/>
  </w:style>
  <w:style w:type="paragraph" w:styleId="CommentSubject">
    <w:name w:val="annotation subject"/>
    <w:basedOn w:val="CommentText"/>
    <w:next w:val="CommentText"/>
    <w:link w:val="CommentSubjectChar"/>
    <w:rsid w:val="000427ED"/>
    <w:rPr>
      <w:b/>
      <w:bCs/>
    </w:rPr>
  </w:style>
  <w:style w:type="character" w:customStyle="1" w:styleId="CommentSubjectChar">
    <w:name w:val="Comment Subject Char"/>
    <w:basedOn w:val="CommentTextChar"/>
    <w:link w:val="CommentSubject"/>
    <w:rsid w:val="000427E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1">
    <w:name w:val="heading 1"/>
    <w:basedOn w:val="Normal"/>
    <w:next w:val="Normal"/>
    <w:link w:val="Heading1Char"/>
    <w:qFormat/>
    <w:rsid w:val="00606A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Footnote Text Char2"/>
    <w:basedOn w:val="Normal"/>
    <w:link w:val="FootnoteTextChar"/>
    <w:uiPriority w:val="99"/>
    <w:qFormat/>
    <w:rsid w:val="00022D45"/>
    <w:pPr>
      <w:widowControl/>
    </w:pPr>
  </w:style>
  <w:style w:type="character" w:styleId="FootnoteReference">
    <w:name w:val="footnote reference"/>
    <w:aliases w:val="footnote text,o,fr,Style 42,Style 13,Style 12,Style 28,(NECG) Footnote Reference,Style 11,Style 9,Style 16,Style 15,Style 17,Style 20,o1,fr1,o2,fr2,o3,fr3,Style 8,Style 7,Style 19"/>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customStyle="1" w:styleId="Heading1Char">
    <w:name w:val="Heading 1 Char"/>
    <w:basedOn w:val="DefaultParagraphFont"/>
    <w:link w:val="Heading1"/>
    <w:rsid w:val="00606A56"/>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99"/>
    <w:unhideWhenUsed/>
    <w:rsid w:val="00606A56"/>
    <w:pPr>
      <w:widowControl/>
      <w:spacing w:after="120" w:line="360" w:lineRule="auto"/>
    </w:pPr>
    <w:rPr>
      <w:rFonts w:ascii="CG Times" w:hAnsi="CG Times"/>
      <w:sz w:val="24"/>
    </w:rPr>
  </w:style>
  <w:style w:type="character" w:customStyle="1" w:styleId="BodyTextChar">
    <w:name w:val="Body Text Char"/>
    <w:basedOn w:val="DefaultParagraphFont"/>
    <w:link w:val="BodyText"/>
    <w:uiPriority w:val="99"/>
    <w:rsid w:val="00606A56"/>
    <w:rPr>
      <w:rFonts w:ascii="CG Times" w:hAnsi="CG Times"/>
      <w:sz w:val="24"/>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606A56"/>
  </w:style>
  <w:style w:type="paragraph" w:customStyle="1" w:styleId="OutlineL1">
    <w:name w:val="Outline_L1"/>
    <w:basedOn w:val="Normal"/>
    <w:next w:val="FootnoteText"/>
    <w:rsid w:val="00606A56"/>
    <w:pPr>
      <w:keepNext/>
      <w:widowControl/>
      <w:numPr>
        <w:numId w:val="7"/>
      </w:numPr>
      <w:spacing w:after="240"/>
      <w:jc w:val="center"/>
      <w:outlineLvl w:val="0"/>
    </w:pPr>
    <w:rPr>
      <w:rFonts w:ascii="Times New Roman Bold" w:hAnsi="Times New Roman Bold"/>
      <w:b/>
      <w:caps/>
      <w:sz w:val="24"/>
    </w:rPr>
  </w:style>
  <w:style w:type="paragraph" w:customStyle="1" w:styleId="OutlineL2">
    <w:name w:val="Outline_L2"/>
    <w:basedOn w:val="OutlineL1"/>
    <w:rsid w:val="00606A56"/>
    <w:pPr>
      <w:keepNext w:val="0"/>
      <w:numPr>
        <w:ilvl w:val="1"/>
      </w:numPr>
      <w:spacing w:line="480" w:lineRule="auto"/>
      <w:jc w:val="left"/>
      <w:outlineLvl w:val="1"/>
    </w:pPr>
    <w:rPr>
      <w:rFonts w:ascii="Times New Roman" w:hAnsi="Times New Roman"/>
      <w:b w:val="0"/>
      <w:caps w:val="0"/>
    </w:rPr>
  </w:style>
  <w:style w:type="paragraph" w:customStyle="1" w:styleId="OutlineL3">
    <w:name w:val="Outline_L3"/>
    <w:basedOn w:val="OutlineL2"/>
    <w:rsid w:val="00606A56"/>
    <w:pPr>
      <w:numPr>
        <w:ilvl w:val="2"/>
      </w:numPr>
      <w:spacing w:after="120"/>
      <w:outlineLvl w:val="2"/>
    </w:pPr>
  </w:style>
  <w:style w:type="paragraph" w:customStyle="1" w:styleId="OutlineL4">
    <w:name w:val="Outline_L4"/>
    <w:basedOn w:val="OutlineL3"/>
    <w:rsid w:val="00606A56"/>
    <w:pPr>
      <w:numPr>
        <w:ilvl w:val="3"/>
      </w:numPr>
      <w:outlineLvl w:val="3"/>
    </w:pPr>
  </w:style>
  <w:style w:type="paragraph" w:customStyle="1" w:styleId="OutlineL5">
    <w:name w:val="Outline_L5"/>
    <w:basedOn w:val="OutlineL4"/>
    <w:rsid w:val="00606A56"/>
    <w:pPr>
      <w:numPr>
        <w:ilvl w:val="4"/>
      </w:numPr>
      <w:spacing w:line="240" w:lineRule="auto"/>
      <w:outlineLvl w:val="4"/>
    </w:pPr>
  </w:style>
  <w:style w:type="paragraph" w:customStyle="1" w:styleId="OutlineL6">
    <w:name w:val="Outline_L6"/>
    <w:basedOn w:val="OutlineL5"/>
    <w:rsid w:val="00606A56"/>
    <w:pPr>
      <w:numPr>
        <w:ilvl w:val="5"/>
      </w:numPr>
      <w:spacing w:after="240"/>
      <w:outlineLvl w:val="5"/>
    </w:pPr>
    <w:rPr>
      <w:szCs w:val="24"/>
    </w:rPr>
  </w:style>
  <w:style w:type="paragraph" w:customStyle="1" w:styleId="OutlineL7">
    <w:name w:val="Outline_L7"/>
    <w:basedOn w:val="OutlineL6"/>
    <w:rsid w:val="00606A56"/>
    <w:pPr>
      <w:numPr>
        <w:ilvl w:val="6"/>
      </w:numPr>
      <w:outlineLvl w:val="6"/>
    </w:pPr>
    <w:rPr>
      <w:rFonts w:ascii="Times New Roman Bold" w:hAnsi="Times New Roman Bold"/>
      <w:b/>
    </w:rPr>
  </w:style>
  <w:style w:type="paragraph" w:customStyle="1" w:styleId="OutlineL8">
    <w:name w:val="Outline_L8"/>
    <w:basedOn w:val="OutlineL7"/>
    <w:rsid w:val="00606A56"/>
    <w:pPr>
      <w:numPr>
        <w:ilvl w:val="7"/>
      </w:numPr>
      <w:outlineLvl w:val="7"/>
    </w:pPr>
  </w:style>
  <w:style w:type="paragraph" w:customStyle="1" w:styleId="OutlineL9">
    <w:name w:val="Outline_L9"/>
    <w:basedOn w:val="OutlineL8"/>
    <w:rsid w:val="00606A56"/>
    <w:pPr>
      <w:numPr>
        <w:ilvl w:val="8"/>
      </w:numPr>
      <w:outlineLvl w:val="8"/>
    </w:pPr>
  </w:style>
  <w:style w:type="paragraph" w:styleId="NoSpacing">
    <w:name w:val="No Spacing"/>
    <w:uiPriority w:val="1"/>
    <w:qFormat/>
    <w:rsid w:val="00606A56"/>
    <w:rPr>
      <w:sz w:val="26"/>
    </w:rPr>
  </w:style>
  <w:style w:type="character" w:styleId="CommentReference">
    <w:name w:val="annotation reference"/>
    <w:basedOn w:val="DefaultParagraphFont"/>
    <w:rsid w:val="000427ED"/>
    <w:rPr>
      <w:sz w:val="16"/>
      <w:szCs w:val="16"/>
    </w:rPr>
  </w:style>
  <w:style w:type="paragraph" w:styleId="CommentText">
    <w:name w:val="annotation text"/>
    <w:basedOn w:val="Normal"/>
    <w:link w:val="CommentTextChar"/>
    <w:rsid w:val="000427ED"/>
  </w:style>
  <w:style w:type="character" w:customStyle="1" w:styleId="CommentTextChar">
    <w:name w:val="Comment Text Char"/>
    <w:basedOn w:val="DefaultParagraphFont"/>
    <w:link w:val="CommentText"/>
    <w:rsid w:val="000427ED"/>
  </w:style>
  <w:style w:type="paragraph" w:styleId="CommentSubject">
    <w:name w:val="annotation subject"/>
    <w:basedOn w:val="CommentText"/>
    <w:next w:val="CommentText"/>
    <w:link w:val="CommentSubjectChar"/>
    <w:rsid w:val="000427ED"/>
    <w:rPr>
      <w:b/>
      <w:bCs/>
    </w:rPr>
  </w:style>
  <w:style w:type="character" w:customStyle="1" w:styleId="CommentSubjectChar">
    <w:name w:val="Comment Subject Char"/>
    <w:basedOn w:val="CommentTextChar"/>
    <w:link w:val="CommentSubject"/>
    <w:rsid w:val="000427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EEE56-934F-4FB4-BF66-757932F64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2982</Words>
  <Characters>16998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19941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Farner, Joyce</cp:lastModifiedBy>
  <cp:revision>7</cp:revision>
  <cp:lastPrinted>2015-02-26T17:39:00Z</cp:lastPrinted>
  <dcterms:created xsi:type="dcterms:W3CDTF">2015-02-17T16:27:00Z</dcterms:created>
  <dcterms:modified xsi:type="dcterms:W3CDTF">2015-02-26T17:41:00Z</dcterms:modified>
</cp:coreProperties>
</file>