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97633735"/>
        <w:docPartObj>
          <w:docPartGallery w:val="Cover Pages"/>
          <w:docPartUnique/>
        </w:docPartObj>
      </w:sdtPr>
      <w:sdtEndPr/>
      <w:sdtContent>
        <w:p w:rsidR="00E12B7E" w:rsidRDefault="00360EF8" w:rsidP="00A83ABC">
          <w:r>
            <w:rPr>
              <w:noProof/>
            </w:rPr>
            <mc:AlternateContent>
              <mc:Choice Requires="wps">
                <w:drawing>
                  <wp:anchor distT="0" distB="0" distL="114300" distR="114300" simplePos="0" relativeHeight="251660288" behindDoc="0" locked="0" layoutInCell="1" allowOverlap="1" wp14:anchorId="5C77F512" wp14:editId="01019806">
                    <wp:simplePos x="0" y="0"/>
                    <wp:positionH relativeFrom="page">
                      <wp:posOffset>5706533</wp:posOffset>
                    </wp:positionH>
                    <wp:positionV relativeFrom="page">
                      <wp:posOffset>203199</wp:posOffset>
                    </wp:positionV>
                    <wp:extent cx="1875790" cy="7577667"/>
                    <wp:effectExtent l="0" t="0" r="5080" b="444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7577667"/>
                            </a:xfrm>
                            <a:prstGeom prst="rect">
                              <a:avLst/>
                            </a:prstGeom>
                            <a:gradFill>
                              <a:gsLst>
                                <a:gs pos="18000">
                                  <a:srgbClr val="448A99"/>
                                </a:gs>
                                <a:gs pos="51000">
                                  <a:srgbClr val="8AB0B4"/>
                                </a:gs>
                                <a:gs pos="100000">
                                  <a:schemeClr val="bg1"/>
                                </a:gs>
                                <a:gs pos="83000">
                                  <a:srgbClr val="AFCACD"/>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FDD" w:rsidRDefault="00042FDD">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id="Rectangle 48" o:spid="_x0000_s1026" style="position:absolute;left:0;text-align:left;margin-left:449.35pt;margin-top:16pt;width:147.7pt;height:596.65pt;z-index:251660288;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2W8wIAAI8GAAAOAAAAZHJzL2Uyb0RvYy54bWysVU1v2zAMvQ/YfxB0X21nSeMGdQo3RYYB&#10;wVq0HXpWZNkxJkuapMTOfv0oyXbTLthh2MWgRD5SfPzw9U3XcHRg2tRSZDi5iDFigsqiFlWGvz+v&#10;P6UYGUtEQbgULMNHZvDN8uOH61Yt2ETuJC+YRuBEmEWrMryzVi2iyNAda4i5kIoJUJZSN8TCUVdR&#10;oUkL3hseTeL4MmqlLpSWlBkDt3dBiZfef1kyau/L0jCLeIbhbdZ/tf9u3TdaXpNFpYna1bR/BvmH&#10;VzSkFhB0dHVHLEF7Xf/hqqmplkaW9oLKJpJlWVPmc4BskvhdNk87opjPBcgxaqTJ/D+39NvhQaO6&#10;yPAUKiVIAzV6BNaIqDhDcAcEtcoswO5JPWiXolEbSX8YUERvNO5gepuu1I2zhQRR59k+jmyzziIK&#10;l0k6n82voCgUdCDOLy/nLlxEFgNcaWO/MNkgJ2RYw8M8y+SwMTaYDiY9+cW65tzLBkyCgJQExpI0&#10;jmOPNrrarrhGBwJNMZ2m+dVVH7cyp4hZchaR5rfx7fQswgGGIK6D2RhmWyVnEennEXD6qny9yld3&#10;JwggpRoy4rVAUJ8Mz6YhHjKUcAY19P3sTDUZieDC5SSkIyZQ5m586UK1fN3skTNnx8UjK6EfoD6T&#10;QNbbPAilTNgkqHakYIHFmc87uPez6zL3pfQOnecS4o++ewfnfQc3vb2DMj/II7iv4t/AI8JHlsKO&#10;4KYWUp/LjENWfeRgP5AUqHEs2W7bgYkTt7I4wuBoGTaKUXRdQ49uiLEPRMMKgb6GtWjv4VNy2WZY&#10;9hJGO6l/nbt39jDZoMWohZWUYfNzTzTDiH8VvoMnaeqWmD9NZ/MJHPQb1fZUJfbNSkKLJ7CCFfWi&#10;A1g+iKWWzQvsz9zFBRURFKJnmFo9HFY2LEvYwJTluTeDzaWI3YgnRZ1zR7GbwufuhWjVj6qFKf8m&#10;hwVGFu8mNtg6pJD53sqy9uP8ymxPPmw930X9hnZr9fTsrV7/I8vfAAAA//8DAFBLAwQUAAYACAAA&#10;ACEAXoADiOIAAAAMAQAADwAAAGRycy9kb3ducmV2LnhtbEyPwUrDQBCG74LvsIzgRewmqdU0ZlOk&#10;oBZEoW3A6zYZk2B2NmR32/j2Tk96m2E+/vn+fDWZXhxxdJ0lBfEsAoFU2bqjRkG5f75NQTivqda9&#10;JVTwgw5WxeVFrrPanmiLx51vBIeQy7SC1vshk9JVLRrtZnZA4tuXHY32vI6NrEd94nDTyySK7qXR&#10;HfGHVg+4brH63gWjIKL3m0/arJu31xAWYU/l9uOlVOr6anp6BOFx8n8wnPVZHQp2OthAtRO9gnSZ&#10;PjCqYJ5wpzMQL+9iEAeekmQxB1nk8n+J4hcAAP//AwBQSwECLQAUAAYACAAAACEAtoM4kv4AAADh&#10;AQAAEwAAAAAAAAAAAAAAAAAAAAAAW0NvbnRlbnRfVHlwZXNdLnhtbFBLAQItABQABgAIAAAAIQA4&#10;/SH/1gAAAJQBAAALAAAAAAAAAAAAAAAAAC8BAABfcmVscy8ucmVsc1BLAQItABQABgAIAAAAIQCb&#10;G12W8wIAAI8GAAAOAAAAAAAAAAAAAAAAAC4CAABkcnMvZTJvRG9jLnhtbFBLAQItABQABgAIAAAA&#10;IQBegAOI4gAAAAwBAAAPAAAAAAAAAAAAAAAAAE0FAABkcnMvZG93bnJldi54bWxQSwUGAAAAAAQA&#10;BADzAAAAXAYAAAAA&#10;" fillcolor="#448a99" stroked="f" strokeweight="2pt">
                    <v:fill color2="white [3212]" colors="0 #448a99;11796f #448a99;33423f #8ab0b4;54395f #afcacd" focus="100%" type="gradient">
                      <o:fill v:ext="view" type="gradientUnscaled"/>
                    </v:fill>
                    <v:path arrowok="t"/>
                    <v:textbox inset="14.4pt,,14.4pt">
                      <w:txbxContent>
                        <w:p w:rsidR="0055442F" w:rsidRDefault="0055442F">
                          <w:pPr>
                            <w:pStyle w:val="Subtitle"/>
                            <w:rPr>
                              <w:color w:val="FFFFFF" w:themeColor="background1"/>
                            </w:rPr>
                          </w:pPr>
                        </w:p>
                      </w:txbxContent>
                    </v:textbox>
                    <w10:wrap anchorx="page" anchory="page"/>
                  </v:rect>
                </w:pict>
              </mc:Fallback>
            </mc:AlternateContent>
          </w:r>
          <w:r w:rsidR="00E12B7E">
            <w:rPr>
              <w:noProof/>
            </w:rPr>
            <mc:AlternateContent>
              <mc:Choice Requires="wps">
                <w:drawing>
                  <wp:anchor distT="0" distB="0" distL="114300" distR="114300" simplePos="0" relativeHeight="251659264" behindDoc="0" locked="0" layoutInCell="1" allowOverlap="1" wp14:anchorId="3531C18C" wp14:editId="50DAE782">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448A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FDD" w:rsidRDefault="00042FDD">
                                <w:pPr>
                                  <w:pStyle w:val="Title"/>
                                  <w:pBdr>
                                    <w:bottom w:val="none" w:sz="0" w:space="0" w:color="auto"/>
                                  </w:pBdr>
                                  <w:jc w:val="right"/>
                                  <w:rPr>
                                    <w:caps/>
                                    <w:color w:val="FFFFFF" w:themeColor="background1"/>
                                    <w:sz w:val="72"/>
                                    <w:szCs w:val="72"/>
                                  </w:rPr>
                                </w:pPr>
                                <w:bookmarkStart w:id="0" w:name="_GoBack"/>
                              </w:p>
                              <w:p w:rsidR="00042FDD" w:rsidRDefault="00042FDD">
                                <w:pPr>
                                  <w:spacing w:before="240"/>
                                  <w:ind w:left="720"/>
                                  <w:jc w:val="right"/>
                                  <w:rPr>
                                    <w:color w:val="FFFFFF" w:themeColor="background1"/>
                                  </w:rPr>
                                </w:pPr>
                              </w:p>
                              <w:bookmarkEnd w:id="0"/>
                              <w:p w:rsidR="00042FDD" w:rsidRDefault="00042FDD">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3QsQIAALYFAAAOAAAAZHJzL2Uyb0RvYy54bWysVEtv2zAMvg/YfxB0X52kTtsYdYqgRYcB&#10;QRu0HXpWZCk2JouapMTOfv0o+dHHih2G+SCY4sePD5G8vGprRQ7Cugp0TqcnE0qE5lBUepfT70+3&#10;Xy4ocZ7pginQIqdH4ejV8vOny8ZkYgYlqEJYgiTaZY3Jaem9yZLE8VLUzJ2AERqVEmzNPIp2lxSW&#10;Ncheq2Q2mZwlDdjCWODCOby96ZR0GfmlFNzfS+mEJyqnGJuPp43nNpzJ8pJlO8tMWfE+DPYPUdSs&#10;0uh0pLphnpG9rf6gqituwYH0JxzqBKSsuIg5YDbTybtsHktmRMwFi+PMWCb3/2j53WFjSVXkND2n&#10;RLMa3+gBq8b0TgmCd1igxrgMcY9mY0OKzqyB/3CoSN5oguB6TCttHbCYIGljtY9jtUXrCcfL+enZ&#10;6WyKj8JRtzibzy9QCKwsG8yNdf6rgJqEn5xaDCxWmR3WznfQARIjA1UVt5VSUbC77bWy5MDw6dP0&#10;YrVY9OzuNUzpANYQzDrGcBMz65KJafmjEgGn9IOQWC4MfxYjiY0qRj+Mc6H9tFOVrBCd+/kEv8F7&#10;aO1gETONhIFZov+RuycYkB3JwN1F2eODqYh9PhpP/hZYZzxaRM+g/WhcVxrsRwQKs+o9d/ihSF1p&#10;QpV8u21jK0VkuNlCccT2stDNnTP8tsKXXDPnN8zioOHr4/Lw93hIBU1Oof+jpAT766P7gMf+Ry0l&#10;DQ5uTt3PPbOCEvVN42TMztPTWRj1KC2maYqlJ/aNbhuldH4egHpfXwP2yBQ3leHxNxh4NfxKC/Uz&#10;rplVcIwqpjm6zyn3dhCufbdTcFFxsVpFGA64YX6tHw0P5KHUoVmf2mdmTd/RHofhDoY5Z9m7xu6w&#10;wVLDau9BVrHrX0rbPwIuh9hN/SIL2+e1HFEv63b5GwAA//8DAFBLAwQUAAYACAAAACEAwQLT9dsA&#10;AAAGAQAADwAAAGRycy9kb3ducmV2LnhtbEyPwU7DMBBE70j9B2uRuFGbqE2rEKeqEIhjS6l6duPF&#10;iRqvo9htA1/PwgUuI61mNPO2XI2+ExccYhtIw8NUgUCqg23Jadi/v9wvQcRkyJouEGr4xAiranJT&#10;msKGK73hZZec4BKKhdHQpNQXUsa6QW/iNPRI7H2EwZvE5+CkHcyVy30nM6Vy6U1LvNCYHp8arE+7&#10;s9fwutnWyh02ars4pWdyc//lsoPWd7fj+hFEwjH9heEHn9GhYqZjOJONotPAj6RfZW85m+Ugjhya&#10;ZyoHWZXyP371DQAA//8DAFBLAQItABQABgAIAAAAIQC2gziS/gAAAOEBAAATAAAAAAAAAAAAAAAA&#10;AAAAAABbQ29udGVudF9UeXBlc10ueG1sUEsBAi0AFAAGAAgAAAAhADj9If/WAAAAlAEAAAsAAAAA&#10;AAAAAAAAAAAALwEAAF9yZWxzLy5yZWxzUEsBAi0AFAAGAAgAAAAhAGrIXdCxAgAAtgUAAA4AAAAA&#10;AAAAAAAAAAAALgIAAGRycy9lMm9Eb2MueG1sUEsBAi0AFAAGAAgAAAAhAMEC0/XbAAAABgEAAA8A&#10;AAAAAAAAAAAAAAAACwUAAGRycy9kb3ducmV2LnhtbFBLBQYAAAAABAAEAPMAAAATBgAAAAA=&#10;" fillcolor="#448a99" stroked="f" strokeweight="2pt">
                    <v:path arrowok="t"/>
                    <v:textbox inset="21.6pt,1in,21.6pt">
                      <w:txbxContent>
                        <w:p w:rsidR="0055442F" w:rsidRDefault="0055442F">
                          <w:pPr>
                            <w:pStyle w:val="Title"/>
                            <w:pBdr>
                              <w:bottom w:val="none" w:sz="0" w:space="0" w:color="auto"/>
                            </w:pBdr>
                            <w:jc w:val="right"/>
                            <w:rPr>
                              <w:caps/>
                              <w:color w:val="FFFFFF" w:themeColor="background1"/>
                              <w:sz w:val="72"/>
                              <w:szCs w:val="72"/>
                            </w:rPr>
                          </w:pPr>
                        </w:p>
                        <w:p w:rsidR="0055442F" w:rsidRDefault="0055442F">
                          <w:pPr>
                            <w:spacing w:before="240"/>
                            <w:ind w:left="720"/>
                            <w:jc w:val="right"/>
                            <w:rPr>
                              <w:color w:val="FFFFFF" w:themeColor="background1"/>
                            </w:rPr>
                          </w:pPr>
                        </w:p>
                        <w:p w:rsidR="0055442F" w:rsidRDefault="0055442F">
                          <w:pPr>
                            <w:spacing w:before="240"/>
                            <w:ind w:left="1008"/>
                            <w:jc w:val="right"/>
                            <w:rPr>
                              <w:color w:val="FFFFFF" w:themeColor="background1"/>
                            </w:rPr>
                          </w:pPr>
                        </w:p>
                      </w:txbxContent>
                    </v:textbox>
                    <w10:wrap anchorx="page" anchory="page"/>
                  </v:rect>
                </w:pict>
              </mc:Fallback>
            </mc:AlternateContent>
          </w:r>
        </w:p>
        <w:p w:rsidR="00E12B7E" w:rsidRDefault="00E12B7E" w:rsidP="00A83ABC"/>
        <w:p w:rsidR="00E12B7E" w:rsidRDefault="006C7072" w:rsidP="00A83ABC">
          <w:r>
            <w:rPr>
              <w:noProof/>
            </w:rPr>
            <mc:AlternateContent>
              <mc:Choice Requires="wps">
                <w:drawing>
                  <wp:anchor distT="0" distB="0" distL="114300" distR="114300" simplePos="0" relativeHeight="251666432" behindDoc="0" locked="0" layoutInCell="1" allowOverlap="1" wp14:anchorId="78F04EC9" wp14:editId="360B7479">
                    <wp:simplePos x="0" y="0"/>
                    <wp:positionH relativeFrom="column">
                      <wp:posOffset>4794250</wp:posOffset>
                    </wp:positionH>
                    <wp:positionV relativeFrom="paragraph">
                      <wp:posOffset>6091767</wp:posOffset>
                    </wp:positionV>
                    <wp:extent cx="1875790" cy="4857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85775"/>
                            </a:xfrm>
                            <a:prstGeom prst="rect">
                              <a:avLst/>
                            </a:prstGeom>
                            <a:noFill/>
                            <a:ln w="9525">
                              <a:noFill/>
                              <a:miter lim="800000"/>
                              <a:headEnd/>
                              <a:tailEnd/>
                            </a:ln>
                          </wps:spPr>
                          <wps:txbx>
                            <w:txbxContent>
                              <w:p w:rsidR="00042FDD" w:rsidRPr="00677F73" w:rsidRDefault="00042FDD" w:rsidP="00A153EA">
                                <w:pPr>
                                  <w:spacing w:after="120"/>
                                  <w:jc w:val="center"/>
                                  <w:rPr>
                                    <w:rFonts w:ascii="Century Gothic" w:hAnsi="Century Gothic"/>
                                    <w:sz w:val="18"/>
                                    <w:szCs w:val="64"/>
                                  </w:rPr>
                                </w:pPr>
                                <w:r w:rsidRPr="00677F73">
                                  <w:rPr>
                                    <w:rFonts w:ascii="Century Gothic" w:hAnsi="Century Gothic"/>
                                    <w:sz w:val="18"/>
                                    <w:szCs w:val="64"/>
                                  </w:rPr>
                                  <w:t>Prepared by:</w:t>
                                </w:r>
                              </w:p>
                              <w:p w:rsidR="00042FDD" w:rsidRPr="00677F73" w:rsidRDefault="00042FDD" w:rsidP="00A153EA">
                                <w:pPr>
                                  <w:spacing w:after="120"/>
                                  <w:jc w:val="center"/>
                                  <w:rPr>
                                    <w:rFonts w:ascii="Century Gothic" w:hAnsi="Century Gothic"/>
                                    <w:b/>
                                    <w:sz w:val="20"/>
                                    <w:szCs w:val="64"/>
                                  </w:rPr>
                                </w:pPr>
                                <w:r w:rsidRPr="00677F73">
                                  <w:rPr>
                                    <w:rFonts w:ascii="Century Gothic" w:hAnsi="Century Gothic"/>
                                    <w:b/>
                                    <w:sz w:val="20"/>
                                    <w:szCs w:val="64"/>
                                  </w:rPr>
                                  <w:t>Statewide Evaluation Team</w:t>
                                </w:r>
                              </w:p>
                              <w:p w:rsidR="00042FDD" w:rsidRPr="00677F73" w:rsidRDefault="00042FDD" w:rsidP="00A153EA">
                                <w:pPr>
                                  <w:spacing w:after="120"/>
                                  <w:jc w:val="center"/>
                                  <w:rPr>
                                    <w:rFonts w:ascii="Century Gothic" w:hAnsi="Century Gothic"/>
                                    <w:szCs w:val="64"/>
                                  </w:rPr>
                                </w:pPr>
                              </w:p>
                              <w:p w:rsidR="00042FDD" w:rsidRPr="00677F73" w:rsidRDefault="00042FDD" w:rsidP="00A153EA">
                                <w:pPr>
                                  <w:spacing w:after="120"/>
                                  <w:jc w:val="center"/>
                                  <w:rPr>
                                    <w:rFonts w:ascii="Century Gothic" w:hAnsi="Century Gothic"/>
                                    <w:b/>
                                    <w:sz w:val="20"/>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77.5pt;margin-top:479.65pt;width:147.7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IbDAIAAPkDAAAOAAAAZHJzL2Uyb0RvYy54bWysU9tu2zAMfR+wfxD0vjgJ4iUx4hRduw4D&#10;ugvQ7gMYWY6FSaImKbGzrx8lp1mwvQ3zgyCa5CHPIbW5GYxmR+mDQlvz2WTKmbQCG2X3Nf/2/PBm&#10;xVmIYBvQaGXNTzLwm+3rV5veVXKOHepGekYgNlS9q3kXo6uKIohOGggTdNKSs0VvIJLp90XjoSd0&#10;o4v5dPq26NE3zqOQIdDf+9HJtxm/baWIX9o2yMh0zam3mE+fz106i+0Gqr0H1ylxbgP+oQsDylLR&#10;C9Q9RGAHr/6CMkp4DNjGiUBTYNsqITMHYjOb/sHmqQMnMxcSJ7iLTOH/wYrPx6+eqabmC84sGBrR&#10;sxwie4cDmyd1ehcqCnpyFBYH+k1TzkyDe0TxPTCLdx3Yvbz1HvtOQkPdzVJmcZU64oQEsus/YUNl&#10;4BAxAw2tN0k6EoMROk3pdJlMakWkkqtluVyTS5BvsSqXyzKXgOol2/kQP0g0LF1q7mnyGR2OjyGm&#10;bqB6CUnFLD4orfP0tWV9zdflvMwJVx6jIi2nVqbmq2n6xnVJJN/bJidHUHq8UwFtz6wT0ZFyHHZD&#10;lvci5g6bE8ngcdxFejt06dD/5KynPax5+HEALznTHy1JuZ4tFmlxs7Eol3My/LVnd+0BKwiq5pGz&#10;8XoX87KPlG9J8lZlNdJsxk7OLdN+ZZHObyEt8LWdo36/2O0vAAAA//8DAFBLAwQUAAYACAAAACEA&#10;yhs+bOAAAAANAQAADwAAAGRycy9kb3ducmV2LnhtbEyPzU7DMBCE70i8g7VI3KgNraEJ2VQIxBXU&#10;8iNxc+NtEhGvo9htwtvjnOA2qxnNflNsJteJEw2h9YxwvVAgiCtvW64R3t+er9YgQjRsTeeZEH4o&#10;wKY8PytMbv3IWzrtYi1SCYfcIDQx9rmUoWrImbDwPXHyDn5wJqZzqKUdzJjKXSdvlLqVzrScPjSm&#10;p8eGqu/d0SF8vBy+PlfqtX5yuh/9pCS7TCJeXkwP9yAiTfEvDDN+QocyMe39kW0QHcKd1mlLRMh0&#10;tgQxJ5RWKxD7WS31GmRZyP8ryl8AAAD//wMAUEsBAi0AFAAGAAgAAAAhALaDOJL+AAAA4QEAABMA&#10;AAAAAAAAAAAAAAAAAAAAAFtDb250ZW50X1R5cGVzXS54bWxQSwECLQAUAAYACAAAACEAOP0h/9YA&#10;AACUAQAACwAAAAAAAAAAAAAAAAAvAQAAX3JlbHMvLnJlbHNQSwECLQAUAAYACAAAACEAc/ASGwwC&#10;AAD5AwAADgAAAAAAAAAAAAAAAAAuAgAAZHJzL2Uyb0RvYy54bWxQSwECLQAUAAYACAAAACEAyhs+&#10;bOAAAAANAQAADwAAAAAAAAAAAAAAAABmBAAAZHJzL2Rvd25yZXYueG1sUEsFBgAAAAAEAAQA8wAA&#10;AHMFAAAAAA==&#10;" filled="f" stroked="f">
                    <v:textbox>
                      <w:txbxContent>
                        <w:p w:rsidR="0055442F" w:rsidRPr="00677F73" w:rsidRDefault="0055442F" w:rsidP="00A153EA">
                          <w:pPr>
                            <w:spacing w:after="120"/>
                            <w:jc w:val="center"/>
                            <w:rPr>
                              <w:rFonts w:ascii="Century Gothic" w:hAnsi="Century Gothic"/>
                              <w:sz w:val="18"/>
                              <w:szCs w:val="64"/>
                            </w:rPr>
                          </w:pPr>
                          <w:r w:rsidRPr="00677F73">
                            <w:rPr>
                              <w:rFonts w:ascii="Century Gothic" w:hAnsi="Century Gothic"/>
                              <w:sz w:val="18"/>
                              <w:szCs w:val="64"/>
                            </w:rPr>
                            <w:t>Prepared by:</w:t>
                          </w:r>
                        </w:p>
                        <w:p w:rsidR="0055442F" w:rsidRPr="00677F73" w:rsidRDefault="0055442F" w:rsidP="00A153EA">
                          <w:pPr>
                            <w:spacing w:after="120"/>
                            <w:jc w:val="center"/>
                            <w:rPr>
                              <w:rFonts w:ascii="Century Gothic" w:hAnsi="Century Gothic"/>
                              <w:b/>
                              <w:sz w:val="20"/>
                              <w:szCs w:val="64"/>
                            </w:rPr>
                          </w:pPr>
                          <w:r w:rsidRPr="00677F73">
                            <w:rPr>
                              <w:rFonts w:ascii="Century Gothic" w:hAnsi="Century Gothic"/>
                              <w:b/>
                              <w:sz w:val="20"/>
                              <w:szCs w:val="64"/>
                            </w:rPr>
                            <w:t>Statewide Evaluation Team</w:t>
                          </w:r>
                        </w:p>
                        <w:p w:rsidR="0055442F" w:rsidRPr="00677F73" w:rsidRDefault="0055442F" w:rsidP="00A153EA">
                          <w:pPr>
                            <w:spacing w:after="120"/>
                            <w:jc w:val="center"/>
                            <w:rPr>
                              <w:rFonts w:ascii="Century Gothic" w:hAnsi="Century Gothic"/>
                              <w:szCs w:val="64"/>
                            </w:rPr>
                          </w:pPr>
                        </w:p>
                        <w:p w:rsidR="0055442F" w:rsidRPr="00677F73" w:rsidRDefault="0055442F" w:rsidP="00A153EA">
                          <w:pPr>
                            <w:spacing w:after="120"/>
                            <w:jc w:val="center"/>
                            <w:rPr>
                              <w:rFonts w:ascii="Century Gothic" w:hAnsi="Century Gothic"/>
                              <w:b/>
                              <w:sz w:val="20"/>
                              <w:szCs w:val="64"/>
                            </w:rPr>
                          </w:pPr>
                        </w:p>
                      </w:txbxContent>
                    </v:textbox>
                  </v:shape>
                </w:pict>
              </mc:Fallback>
            </mc:AlternateContent>
          </w:r>
          <w:r>
            <w:rPr>
              <w:noProof/>
            </w:rPr>
            <w:drawing>
              <wp:anchor distT="0" distB="0" distL="114300" distR="114300" simplePos="0" relativeHeight="251672576" behindDoc="0" locked="0" layoutInCell="1" allowOverlap="1" wp14:anchorId="70801EBF" wp14:editId="7E286897">
                <wp:simplePos x="0" y="0"/>
                <wp:positionH relativeFrom="column">
                  <wp:posOffset>5058410</wp:posOffset>
                </wp:positionH>
                <wp:positionV relativeFrom="paragraph">
                  <wp:posOffset>7355205</wp:posOffset>
                </wp:positionV>
                <wp:extent cx="1241425" cy="288290"/>
                <wp:effectExtent l="0" t="0" r="0" b="0"/>
                <wp:wrapNone/>
                <wp:docPr id="1" name="Picture 1" descr="http://alamoridge.com/wp-content/uploads/2012/06/nexan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amoridge.com/wp-content/uploads/2012/06/nexant.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957" b="89827" l="140" r="100000">
                                      <a14:foregroundMark x1="15255" y1="41558" x2="15255" y2="41558"/>
                                      <a14:foregroundMark x1="3779" y1="47835" x2="3779" y2="47835"/>
                                      <a14:foregroundMark x1="26032" y1="46320" x2="26032" y2="46320"/>
                                      <a14:foregroundMark x1="64031" y1="47835" x2="64031" y2="47835"/>
                                      <a14:foregroundMark x1="76137" y1="47294" x2="76137" y2="47294"/>
                                      <a14:foregroundMark x1="93212" y1="45779" x2="93212" y2="45779"/>
                                    </a14:backgroundRemoval>
                                  </a14:imgEffect>
                                </a14:imgLayer>
                              </a14:imgProps>
                            </a:ext>
                            <a:ext uri="{28A0092B-C50C-407E-A947-70E740481C1C}">
                              <a14:useLocalDpi xmlns:a14="http://schemas.microsoft.com/office/drawing/2010/main" val="0"/>
                            </a:ext>
                          </a:extLst>
                        </a:blip>
                        <a:srcRect t="29616" b="34367"/>
                        <a:stretch/>
                      </pic:blipFill>
                      <pic:spPr bwMode="auto">
                        <a:xfrm>
                          <a:off x="0" y="0"/>
                          <a:ext cx="1241425"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F415593" wp14:editId="387CD7D2">
                <wp:simplePos x="0" y="0"/>
                <wp:positionH relativeFrom="column">
                  <wp:posOffset>4983480</wp:posOffset>
                </wp:positionH>
                <wp:positionV relativeFrom="paragraph">
                  <wp:posOffset>6764020</wp:posOffset>
                </wp:positionV>
                <wp:extent cx="1391285" cy="469900"/>
                <wp:effectExtent l="0" t="0" r="0" b="6350"/>
                <wp:wrapNone/>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128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8707107" wp14:editId="7CACD5EF">
                <wp:simplePos x="0" y="0"/>
                <wp:positionH relativeFrom="column">
                  <wp:posOffset>5091430</wp:posOffset>
                </wp:positionH>
                <wp:positionV relativeFrom="paragraph">
                  <wp:posOffset>7764780</wp:posOffset>
                </wp:positionV>
                <wp:extent cx="1176020" cy="185420"/>
                <wp:effectExtent l="0" t="0" r="5080" b="5080"/>
                <wp:wrapNone/>
                <wp:docPr id="8" name="Picture 8" descr="C:\Users\kaytie.ruditys\AppData\Local\Microsoft\Windows\Temporary Internet Files\Content.Outlook\ISX68XGE\ria_logomark high.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ytie.ruditys\AppData\Local\Microsoft\Windows\Temporary Internet Files\Content.Outlook\ISX68XGE\ria_logomark hig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020" cy="18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D981B1A" wp14:editId="1F546FDE">
                <wp:simplePos x="0" y="0"/>
                <wp:positionH relativeFrom="column">
                  <wp:posOffset>5422900</wp:posOffset>
                </wp:positionH>
                <wp:positionV relativeFrom="paragraph">
                  <wp:posOffset>8071485</wp:posOffset>
                </wp:positionV>
                <wp:extent cx="513080" cy="499110"/>
                <wp:effectExtent l="0" t="0" r="1270" b="0"/>
                <wp:wrapNone/>
                <wp:docPr id="35" name="Picture 34">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 cy="499110"/>
                        </a:xfrm>
                        <a:prstGeom prst="rect">
                          <a:avLst/>
                        </a:prstGeom>
                        <a:noFill/>
                      </pic:spPr>
                    </pic:pic>
                  </a:graphicData>
                </a:graphic>
                <wp14:sizeRelH relativeFrom="page">
                  <wp14:pctWidth>0</wp14:pctWidth>
                </wp14:sizeRelH>
                <wp14:sizeRelV relativeFrom="page">
                  <wp14:pctHeight>0</wp14:pctHeight>
                </wp14:sizeRelV>
              </wp:anchor>
            </w:drawing>
          </w:r>
          <w:r w:rsidR="00371188">
            <w:rPr>
              <w:noProof/>
            </w:rPr>
            <w:drawing>
              <wp:inline distT="0" distB="0" distL="0" distR="0" wp14:anchorId="05544CB4" wp14:editId="0E0F3996">
                <wp:extent cx="571500" cy="553720"/>
                <wp:effectExtent l="0" t="0" r="0" b="0"/>
                <wp:docPr id="2" name="Picture 2" descr="C:\Users\kaytie.ruditys\Desktop\Newsletter Stock Images\ap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ytie.ruditys\Desktop\Newsletter Stock Images\ape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53720"/>
                        </a:xfrm>
                        <a:prstGeom prst="rect">
                          <a:avLst/>
                        </a:prstGeom>
                        <a:noFill/>
                        <a:ln>
                          <a:noFill/>
                        </a:ln>
                      </pic:spPr>
                    </pic:pic>
                  </a:graphicData>
                </a:graphic>
              </wp:inline>
            </w:drawing>
          </w:r>
          <w:r w:rsidR="00E712A9">
            <w:rPr>
              <w:noProof/>
            </w:rPr>
            <mc:AlternateContent>
              <mc:Choice Requires="wps">
                <w:drawing>
                  <wp:anchor distT="0" distB="0" distL="114300" distR="114300" simplePos="0" relativeHeight="251664384" behindDoc="0" locked="0" layoutInCell="1" allowOverlap="1" wp14:anchorId="7920D8B3" wp14:editId="7C26477B">
                    <wp:simplePos x="0" y="0"/>
                    <wp:positionH relativeFrom="column">
                      <wp:posOffset>-638175</wp:posOffset>
                    </wp:positionH>
                    <wp:positionV relativeFrom="paragraph">
                      <wp:posOffset>2738755</wp:posOffset>
                    </wp:positionV>
                    <wp:extent cx="5172075" cy="2552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552700"/>
                            </a:xfrm>
                            <a:prstGeom prst="rect">
                              <a:avLst/>
                            </a:prstGeom>
                            <a:noFill/>
                            <a:ln w="9525">
                              <a:noFill/>
                              <a:miter lim="800000"/>
                              <a:headEnd/>
                              <a:tailEnd/>
                            </a:ln>
                          </wps:spPr>
                          <wps:txbx>
                            <w:txbxContent>
                              <w:p w:rsidR="00042FDD" w:rsidRPr="00360EF8" w:rsidRDefault="00042FDD" w:rsidP="00360EF8">
                                <w:pPr>
                                  <w:spacing w:after="120"/>
                                  <w:jc w:val="right"/>
                                  <w:rPr>
                                    <w:rFonts w:ascii="Century Gothic" w:hAnsi="Century Gothic"/>
                                    <w:color w:val="FFFFFF" w:themeColor="background1"/>
                                    <w:sz w:val="28"/>
                                    <w:szCs w:val="64"/>
                                  </w:rPr>
                                </w:pPr>
                                <w:r w:rsidRPr="00360EF8">
                                  <w:rPr>
                                    <w:rFonts w:ascii="Century Gothic" w:hAnsi="Century Gothic"/>
                                    <w:color w:val="FFFFFF" w:themeColor="background1"/>
                                    <w:sz w:val="28"/>
                                    <w:szCs w:val="64"/>
                                  </w:rPr>
                                  <w:t xml:space="preserve">Prepared for: </w:t>
                                </w:r>
                              </w:p>
                              <w:p w:rsidR="00042FDD" w:rsidRPr="00CF2BE5" w:rsidRDefault="00042FDD" w:rsidP="00360EF8">
                                <w:pPr>
                                  <w:spacing w:after="120"/>
                                  <w:jc w:val="right"/>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pPr>
                                <w:r w:rsidRPr="00CF2BE5">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t xml:space="preserve">Pennsylvania Public </w:t>
                                </w:r>
                                <w:r>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t>Utility</w:t>
                                </w:r>
                                <w:r w:rsidRPr="00CF2BE5">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t xml:space="preserve"> Commission</w:t>
                                </w:r>
                              </w:p>
                              <w:p w:rsidR="00042FDD" w:rsidRDefault="00042FDD" w:rsidP="00360EF8">
                                <w:pPr>
                                  <w:spacing w:after="120"/>
                                  <w:jc w:val="right"/>
                                  <w:rPr>
                                    <w:rFonts w:ascii="Century Gothic" w:hAnsi="Century Gothic"/>
                                    <w:color w:val="FFFFFF" w:themeColor="background1"/>
                                    <w:sz w:val="32"/>
                                    <w:szCs w:val="64"/>
                                  </w:rPr>
                                </w:pPr>
                              </w:p>
                              <w:p w:rsidR="00042FDD" w:rsidRPr="00682654" w:rsidRDefault="00042FDD" w:rsidP="00360EF8">
                                <w:pPr>
                                  <w:spacing w:after="120"/>
                                  <w:jc w:val="right"/>
                                  <w:rPr>
                                    <w:rFonts w:ascii="Century Gothic" w:hAnsi="Century Gothic"/>
                                    <w:color w:val="FFFFFF" w:themeColor="background1"/>
                                    <w:sz w:val="28"/>
                                    <w:szCs w:val="64"/>
                                  </w:rPr>
                                </w:pPr>
                                <w:r>
                                  <w:rPr>
                                    <w:rFonts w:ascii="Century Gothic" w:hAnsi="Century Gothic"/>
                                    <w:color w:val="FFFFFF" w:themeColor="background1"/>
                                    <w:sz w:val="28"/>
                                    <w:szCs w:val="64"/>
                                  </w:rPr>
                                  <w:t>Final</w:t>
                                </w:r>
                                <w:r w:rsidRPr="00682654">
                                  <w:rPr>
                                    <w:rFonts w:ascii="Century Gothic" w:hAnsi="Century Gothic"/>
                                    <w:color w:val="FFFFFF" w:themeColor="background1"/>
                                    <w:sz w:val="28"/>
                                    <w:szCs w:val="64"/>
                                  </w:rPr>
                                  <w:t xml:space="preserve"> Report</w:t>
                                </w:r>
                              </w:p>
                              <w:p w:rsidR="00042FDD" w:rsidRPr="00682654" w:rsidRDefault="00042FDD" w:rsidP="00360EF8">
                                <w:pPr>
                                  <w:spacing w:after="120"/>
                                  <w:jc w:val="right"/>
                                  <w:rPr>
                                    <w:rFonts w:ascii="Century Gothic" w:hAnsi="Century Gothic"/>
                                    <w:color w:val="FFFFFF" w:themeColor="background1"/>
                                    <w:sz w:val="28"/>
                                    <w:szCs w:val="64"/>
                                  </w:rPr>
                                </w:pPr>
                              </w:p>
                              <w:p w:rsidR="00042FDD" w:rsidRPr="00682654" w:rsidRDefault="00042FDD" w:rsidP="00360EF8">
                                <w:pPr>
                                  <w:spacing w:after="120"/>
                                  <w:jc w:val="right"/>
                                  <w:rPr>
                                    <w:rFonts w:ascii="Century Gothic" w:hAnsi="Century Gothic"/>
                                    <w:b/>
                                    <w:color w:val="FFFFFF" w:themeColor="background1"/>
                                    <w:sz w:val="28"/>
                                    <w:szCs w:val="64"/>
                                  </w:rPr>
                                </w:pPr>
                                <w:r>
                                  <w:rPr>
                                    <w:rFonts w:ascii="Century Gothic" w:hAnsi="Century Gothic"/>
                                    <w:b/>
                                    <w:color w:val="FFFFFF" w:themeColor="background1"/>
                                    <w:sz w:val="28"/>
                                    <w:szCs w:val="64"/>
                                  </w:rPr>
                                  <w:t>February 25, 2015</w:t>
                                </w:r>
                                <w:r w:rsidRPr="00682654">
                                  <w:rPr>
                                    <w:rFonts w:ascii="Century Gothic" w:hAnsi="Century Gothic"/>
                                    <w:b/>
                                    <w:color w:val="FFFFFF" w:themeColor="background1"/>
                                    <w:sz w:val="28"/>
                                    <w:szCs w:val="6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25pt;margin-top:215.65pt;width:407.2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lpDQIAAPoDAAAOAAAAZHJzL2Uyb0RvYy54bWysU9tuGyEQfa/Uf0C817veeutkZRylSVNV&#10;Si9S0g/ALOtFBYYC9q779R1Yx7Gat6g8IGBmzsw5M6yuRqPJXvqgwDI6n5WUSCugVXbL6M/Hu3cX&#10;lITIbcs1WMnoQQZ6tX77ZjW4RlbQg26lJwhiQzM4RvsYXVMUQfTS8DADJy0aO/CGR7z6bdF6PiC6&#10;0UVVlh+KAXzrPAgZAr7eTka6zvhdJ0X83nVBRqIZxdpi3n3eN2kv1ivebD13vRLHMvgrqjBcWUx6&#10;grrlkZOdVy+gjBIeAnRxJsAU0HVKyMwB2czLf9g89NzJzAXFCe4kU/h/sOLb/ocnqmX0PSWWG2zR&#10;oxwj+QgjqZI6gwsNOj04dIsjPmOXM9Pg7kH8CsTCTc/tVl57D0MveYvVzVNkcRY64YQEshm+Qotp&#10;+C5CBho7b5J0KAZBdOzS4dSZVIrAx3q+rMplTYlAW1XX1bLMvSt48xTufIifJRiSDox6bH2G5/v7&#10;EFM5vHlySdks3Cmtc/u1JQOjl3VV54Azi1ERp1Mrw+hFmdY0L4nlJ9vm4MiVns6YQNsj7cR04hzH&#10;zXjUF/2TJBtoD6iDh2kY8fPgoQf/h5IBB5HR8HvHvaREf7Go5eV8sUiTmy+LGnWgxJ9bNucWbgVC&#10;MRopmY43MU/7RPkaNe9UVuO5kmPJOGBZpONnSBN8fs9ez192/RcAAP//AwBQSwMEFAAGAAgAAAAh&#10;AExvkjfgAAAADAEAAA8AAABkcnMvZG93bnJldi54bWxMj8tOwzAQRfdI/IM1SOxaOziFEuJUCMQW&#10;1PKQ2LnxNImIx1HsNuHvGVawHM3RveeWm9n34oRj7AIZyJYKBFIdXEeNgbfXp8UaREyWnO0DoYFv&#10;jLCpzs9KW7gw0RZPu9QIDqFYWANtSkMhZaxb9DYuw4DEv0MYvU18jo10o5043PfySqlr6W1H3NDa&#10;AR9arL92R2/g/fnw+ZGrl+bRr4YpzEqSv5XGXF7M93cgEs7pD4ZffVaHip324Uguit7AIlNqxayB&#10;XGcaBCM3Wc7z9gbWWmuQVSn/j6h+AAAA//8DAFBLAQItABQABgAIAAAAIQC2gziS/gAAAOEBAAAT&#10;AAAAAAAAAAAAAAAAAAAAAABbQ29udGVudF9UeXBlc10ueG1sUEsBAi0AFAAGAAgAAAAhADj9If/W&#10;AAAAlAEAAAsAAAAAAAAAAAAAAAAALwEAAF9yZWxzLy5yZWxzUEsBAi0AFAAGAAgAAAAhAB42iWkN&#10;AgAA+gMAAA4AAAAAAAAAAAAAAAAALgIAAGRycy9lMm9Eb2MueG1sUEsBAi0AFAAGAAgAAAAhAExv&#10;kjfgAAAADAEAAA8AAAAAAAAAAAAAAAAAZwQAAGRycy9kb3ducmV2LnhtbFBLBQYAAAAABAAEAPMA&#10;AAB0BQAAAAA=&#10;" filled="f" stroked="f">
                    <v:textbox>
                      <w:txbxContent>
                        <w:p w:rsidR="0055442F" w:rsidRPr="00360EF8" w:rsidRDefault="0055442F" w:rsidP="00360EF8">
                          <w:pPr>
                            <w:spacing w:after="120"/>
                            <w:jc w:val="right"/>
                            <w:rPr>
                              <w:rFonts w:ascii="Century Gothic" w:hAnsi="Century Gothic"/>
                              <w:color w:val="FFFFFF" w:themeColor="background1"/>
                              <w:sz w:val="28"/>
                              <w:szCs w:val="64"/>
                            </w:rPr>
                          </w:pPr>
                          <w:r w:rsidRPr="00360EF8">
                            <w:rPr>
                              <w:rFonts w:ascii="Century Gothic" w:hAnsi="Century Gothic"/>
                              <w:color w:val="FFFFFF" w:themeColor="background1"/>
                              <w:sz w:val="28"/>
                              <w:szCs w:val="64"/>
                            </w:rPr>
                            <w:t xml:space="preserve">Prepared for: </w:t>
                          </w:r>
                        </w:p>
                        <w:p w:rsidR="0055442F" w:rsidRPr="00CF2BE5" w:rsidRDefault="0055442F" w:rsidP="00360EF8">
                          <w:pPr>
                            <w:spacing w:after="120"/>
                            <w:jc w:val="right"/>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pPr>
                          <w:r w:rsidRPr="00CF2BE5">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t xml:space="preserve">Pennsylvania Public </w:t>
                          </w:r>
                          <w:r>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t>Utility</w:t>
                          </w:r>
                          <w:r w:rsidRPr="00CF2BE5">
                            <w:rPr>
                              <w:rFonts w:ascii="Century Gothic" w:hAnsi="Century Gothic"/>
                              <w:b/>
                              <w:smallCaps/>
                              <w:color w:val="FFFFFF" w:themeColor="background1"/>
                              <w:sz w:val="36"/>
                              <w:szCs w:val="64"/>
                              <w14:shadow w14:blurRad="50800" w14:dist="38100" w14:dir="13500000" w14:sx="100000" w14:sy="100000" w14:kx="0" w14:ky="0" w14:algn="br">
                                <w14:srgbClr w14:val="000000">
                                  <w14:alpha w14:val="60000"/>
                                </w14:srgbClr>
                              </w14:shadow>
                            </w:rPr>
                            <w:t xml:space="preserve"> Commission</w:t>
                          </w:r>
                        </w:p>
                        <w:p w:rsidR="0055442F" w:rsidRDefault="0055442F" w:rsidP="00360EF8">
                          <w:pPr>
                            <w:spacing w:after="120"/>
                            <w:jc w:val="right"/>
                            <w:rPr>
                              <w:rFonts w:ascii="Century Gothic" w:hAnsi="Century Gothic"/>
                              <w:color w:val="FFFFFF" w:themeColor="background1"/>
                              <w:sz w:val="32"/>
                              <w:szCs w:val="64"/>
                            </w:rPr>
                          </w:pPr>
                        </w:p>
                        <w:p w:rsidR="0055442F" w:rsidRPr="00682654" w:rsidRDefault="0055442F" w:rsidP="00360EF8">
                          <w:pPr>
                            <w:spacing w:after="120"/>
                            <w:jc w:val="right"/>
                            <w:rPr>
                              <w:rFonts w:ascii="Century Gothic" w:hAnsi="Century Gothic"/>
                              <w:color w:val="FFFFFF" w:themeColor="background1"/>
                              <w:sz w:val="28"/>
                              <w:szCs w:val="64"/>
                            </w:rPr>
                          </w:pPr>
                          <w:r>
                            <w:rPr>
                              <w:rFonts w:ascii="Century Gothic" w:hAnsi="Century Gothic"/>
                              <w:color w:val="FFFFFF" w:themeColor="background1"/>
                              <w:sz w:val="28"/>
                              <w:szCs w:val="64"/>
                            </w:rPr>
                            <w:t>Final</w:t>
                          </w:r>
                          <w:r w:rsidRPr="00682654">
                            <w:rPr>
                              <w:rFonts w:ascii="Century Gothic" w:hAnsi="Century Gothic"/>
                              <w:color w:val="FFFFFF" w:themeColor="background1"/>
                              <w:sz w:val="28"/>
                              <w:szCs w:val="64"/>
                            </w:rPr>
                            <w:t xml:space="preserve"> Report</w:t>
                          </w:r>
                        </w:p>
                        <w:p w:rsidR="0055442F" w:rsidRPr="00682654" w:rsidRDefault="0055442F" w:rsidP="00360EF8">
                          <w:pPr>
                            <w:spacing w:after="120"/>
                            <w:jc w:val="right"/>
                            <w:rPr>
                              <w:rFonts w:ascii="Century Gothic" w:hAnsi="Century Gothic"/>
                              <w:color w:val="FFFFFF" w:themeColor="background1"/>
                              <w:sz w:val="28"/>
                              <w:szCs w:val="64"/>
                            </w:rPr>
                          </w:pPr>
                        </w:p>
                        <w:p w:rsidR="0055442F" w:rsidRPr="00682654" w:rsidRDefault="0055442F" w:rsidP="00360EF8">
                          <w:pPr>
                            <w:spacing w:after="120"/>
                            <w:jc w:val="right"/>
                            <w:rPr>
                              <w:rFonts w:ascii="Century Gothic" w:hAnsi="Century Gothic"/>
                              <w:b/>
                              <w:color w:val="FFFFFF" w:themeColor="background1"/>
                              <w:sz w:val="28"/>
                              <w:szCs w:val="64"/>
                            </w:rPr>
                          </w:pPr>
                          <w:r>
                            <w:rPr>
                              <w:rFonts w:ascii="Century Gothic" w:hAnsi="Century Gothic"/>
                              <w:b/>
                              <w:color w:val="FFFFFF" w:themeColor="background1"/>
                              <w:sz w:val="28"/>
                              <w:szCs w:val="64"/>
                            </w:rPr>
                            <w:t>February 25, 2015</w:t>
                          </w:r>
                          <w:r w:rsidRPr="00682654">
                            <w:rPr>
                              <w:rFonts w:ascii="Century Gothic" w:hAnsi="Century Gothic"/>
                              <w:b/>
                              <w:color w:val="FFFFFF" w:themeColor="background1"/>
                              <w:sz w:val="28"/>
                              <w:szCs w:val="64"/>
                            </w:rPr>
                            <w:t xml:space="preserve"> </w:t>
                          </w:r>
                        </w:p>
                      </w:txbxContent>
                    </v:textbox>
                  </v:shape>
                </w:pict>
              </mc:Fallback>
            </mc:AlternateContent>
          </w:r>
          <w:r w:rsidR="00E712A9">
            <w:rPr>
              <w:noProof/>
            </w:rPr>
            <mc:AlternateContent>
              <mc:Choice Requires="wps">
                <w:drawing>
                  <wp:anchor distT="0" distB="0" distL="114300" distR="114300" simplePos="0" relativeHeight="251662336" behindDoc="0" locked="0" layoutInCell="1" allowOverlap="1" wp14:anchorId="63912EA5" wp14:editId="53B75E9C">
                    <wp:simplePos x="0" y="0"/>
                    <wp:positionH relativeFrom="column">
                      <wp:posOffset>-638175</wp:posOffset>
                    </wp:positionH>
                    <wp:positionV relativeFrom="paragraph">
                      <wp:posOffset>1291158</wp:posOffset>
                    </wp:positionV>
                    <wp:extent cx="5172075" cy="1447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47800"/>
                            </a:xfrm>
                            <a:prstGeom prst="rect">
                              <a:avLst/>
                            </a:prstGeom>
                            <a:noFill/>
                            <a:ln w="9525">
                              <a:noFill/>
                              <a:miter lim="800000"/>
                              <a:headEnd/>
                              <a:tailEnd/>
                            </a:ln>
                          </wps:spPr>
                          <wps:txbx>
                            <w:txbxContent>
                              <w:p w:rsidR="00042FDD" w:rsidRPr="00CF2BE5" w:rsidRDefault="00042FDD" w:rsidP="00E12B7E">
                                <w:pPr>
                                  <w:jc w:val="right"/>
                                  <w:rPr>
                                    <w:rFonts w:ascii="Century Gothic" w:hAnsi="Century Gothic"/>
                                    <w:b/>
                                    <w:smallCaps/>
                                    <w:color w:val="FFFFFF" w:themeColor="background1"/>
                                    <w:sz w:val="64"/>
                                    <w:szCs w:val="64"/>
                                    <w14:shadow w14:blurRad="50800" w14:dist="38100" w14:dir="13500000" w14:sx="100000" w14:sy="100000" w14:kx="0" w14:ky="0" w14:algn="br">
                                      <w14:srgbClr w14:val="000000">
                                        <w14:alpha w14:val="60000"/>
                                      </w14:srgbClr>
                                    </w14:shadow>
                                  </w:rPr>
                                </w:pPr>
                                <w:r>
                                  <w:rPr>
                                    <w:rFonts w:ascii="Century Gothic" w:hAnsi="Century Gothic"/>
                                    <w:b/>
                                    <w:smallCaps/>
                                    <w:color w:val="FFFFFF" w:themeColor="background1"/>
                                    <w:sz w:val="64"/>
                                    <w:szCs w:val="64"/>
                                    <w14:shadow w14:blurRad="50800" w14:dist="38100" w14:dir="13500000" w14:sx="100000" w14:sy="100000" w14:kx="0" w14:ky="0" w14:algn="br">
                                      <w14:srgbClr w14:val="000000">
                                        <w14:alpha w14:val="60000"/>
                                      </w14:srgbClr>
                                    </w14:shadow>
                                  </w:rPr>
                                  <w:t>Demand Response</w:t>
                                </w:r>
                                <w:r w:rsidRPr="00CF2BE5">
                                  <w:rPr>
                                    <w:rFonts w:ascii="Century Gothic" w:hAnsi="Century Gothic"/>
                                    <w:b/>
                                    <w:smallCaps/>
                                    <w:color w:val="FFFFFF" w:themeColor="background1"/>
                                    <w:sz w:val="64"/>
                                    <w:szCs w:val="64"/>
                                    <w14:shadow w14:blurRad="50800" w14:dist="38100" w14:dir="13500000" w14:sx="100000" w14:sy="100000" w14:kx="0" w14:ky="0" w14:algn="br">
                                      <w14:srgbClr w14:val="000000">
                                        <w14:alpha w14:val="60000"/>
                                      </w14:srgbClr>
                                    </w14:shadow>
                                  </w:rPr>
                                  <w:t xml:space="preserve"> Potential Pennsylvania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0.25pt;margin-top:101.65pt;width:407.25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PNEAIAAPwDAAAOAAAAZHJzL2Uyb0RvYy54bWysU8tu2zAQvBfoPxC815Jdu04Ey0GaNEWB&#10;9AEk/YA1RVlESS5L0pbcr8+Ssl2jvRXVQSC53Nmd2eHqZjCa7aUPCm3Np5OSM2kFNspua/79+eHN&#10;FWchgm1Ao5U1P8jAb9avX616V8kZdqgb6RmB2FD1ruZdjK4qiiA6aSBM0ElLwRa9gUhbvy0aDz2h&#10;G13MyvJd0aNvnEchQ6DT+zHI1xm/baWIX9s2yMh0zam3mP8+/zfpX6xXUG09uE6JYxvwD10YUJaK&#10;nqHuIQLbefUXlFHCY8A2TgSaAttWCZk5EJtp+Qebpw6czFxInODOMoX/Byu+7L95ppqavy2XnFkw&#10;NKRnOUT2Hgc2S/r0LlR07cnRxTjQMc05cw3uEcWPwCzedWC38tZ77DsJDfU3TZnFReqIExLIpv+M&#10;DZWBXcQMNLTeJPFIDkboNKfDeTapFUGHi+lyVi4XnAmKTefz5VWZp1dAdUp3PsSPEg1Li5p7Gn6G&#10;h/1jiKkdqE5XUjWLD0rrbABtWV/z68VskRMuIkZF8qdWpuZUkL7RMYnlB9vk5AhKj2sqoO2RdmI6&#10;co7DZsgKz09qbrA5kA4eRzvS86FFh/4XZz1Zsebh5w685Ex/sqTlNdFN3s2b+YJ04MxfRjaXEbCC&#10;oGoeORuXdzH7faR8S5q3KquRhjN2cmyZLJZFOj6H5OHLfb71+9GuXwAAAP//AwBQSwMEFAAGAAgA&#10;AAAhAK4sPF7gAAAADAEAAA8AAABkcnMvZG93bnJldi54bWxMj8tOwzAQRfdI/IM1SOxaO03KI2RS&#10;IRBbUMtDYucm0yQiHkex24S/Z1jBcjRH955bbGbXqxONofOMkCwNKOLK1x03CG+vT4sbUCFarm3v&#10;mRC+KcCmPD8rbF77ibd02sVGSQiH3CK0MQ651qFqydmw9AOx/A5+dDbKOTa6Hu0k4a7XK2OutLMd&#10;S0NrB3poqfraHR3C+/Ph8yMzL82jWw+Tn41md6sRLy/m+ztQkeb4B8OvvqhDKU57f+Q6qB5hkRiz&#10;FhZhZdIUlCDXSSbz9ghZmqSgy0L/H1H+AAAA//8DAFBLAQItABQABgAIAAAAIQC2gziS/gAAAOEB&#10;AAATAAAAAAAAAAAAAAAAAAAAAABbQ29udGVudF9UeXBlc10ueG1sUEsBAi0AFAAGAAgAAAAhADj9&#10;If/WAAAAlAEAAAsAAAAAAAAAAAAAAAAALwEAAF9yZWxzLy5yZWxzUEsBAi0AFAAGAAgAAAAhANpd&#10;Y80QAgAA/AMAAA4AAAAAAAAAAAAAAAAALgIAAGRycy9lMm9Eb2MueG1sUEsBAi0AFAAGAAgAAAAh&#10;AK4sPF7gAAAADAEAAA8AAAAAAAAAAAAAAAAAagQAAGRycy9kb3ducmV2LnhtbFBLBQYAAAAABAAE&#10;APMAAAB3BQAAAAA=&#10;" filled="f" stroked="f">
                    <v:textbox>
                      <w:txbxContent>
                        <w:p w:rsidR="00C41816" w:rsidRPr="00CF2BE5" w:rsidRDefault="00C41816" w:rsidP="00E12B7E">
                          <w:pPr>
                            <w:jc w:val="right"/>
                            <w:rPr>
                              <w:rFonts w:ascii="Century Gothic" w:hAnsi="Century Gothic"/>
                              <w:b/>
                              <w:smallCaps/>
                              <w:color w:val="FFFFFF" w:themeColor="background1"/>
                              <w:sz w:val="64"/>
                              <w:szCs w:val="64"/>
                              <w14:shadow w14:blurRad="50800" w14:dist="38100" w14:dir="13500000" w14:sx="100000" w14:sy="100000" w14:kx="0" w14:ky="0" w14:algn="br">
                                <w14:srgbClr w14:val="000000">
                                  <w14:alpha w14:val="60000"/>
                                </w14:srgbClr>
                              </w14:shadow>
                            </w:rPr>
                          </w:pPr>
                          <w:r>
                            <w:rPr>
                              <w:rFonts w:ascii="Century Gothic" w:hAnsi="Century Gothic"/>
                              <w:b/>
                              <w:smallCaps/>
                              <w:color w:val="FFFFFF" w:themeColor="background1"/>
                              <w:sz w:val="64"/>
                              <w:szCs w:val="64"/>
                              <w14:shadow w14:blurRad="50800" w14:dist="38100" w14:dir="13500000" w14:sx="100000" w14:sy="100000" w14:kx="0" w14:ky="0" w14:algn="br">
                                <w14:srgbClr w14:val="000000">
                                  <w14:alpha w14:val="60000"/>
                                </w14:srgbClr>
                              </w14:shadow>
                            </w:rPr>
                            <w:t>Demand Response</w:t>
                          </w:r>
                          <w:r w:rsidRPr="00CF2BE5">
                            <w:rPr>
                              <w:rFonts w:ascii="Century Gothic" w:hAnsi="Century Gothic"/>
                              <w:b/>
                              <w:smallCaps/>
                              <w:color w:val="FFFFFF" w:themeColor="background1"/>
                              <w:sz w:val="64"/>
                              <w:szCs w:val="64"/>
                              <w14:shadow w14:blurRad="50800" w14:dist="38100" w14:dir="13500000" w14:sx="100000" w14:sy="100000" w14:kx="0" w14:ky="0" w14:algn="br">
                                <w14:srgbClr w14:val="000000">
                                  <w14:alpha w14:val="60000"/>
                                </w14:srgbClr>
                              </w14:shadow>
                            </w:rPr>
                            <w:t xml:space="preserve"> Potential Pennsylvania</w:t>
                          </w:r>
                        </w:p>
                      </w:txbxContent>
                    </v:textbox>
                  </v:shape>
                </w:pict>
              </mc:Fallback>
            </mc:AlternateContent>
          </w:r>
          <w:r w:rsidR="00E12B7E">
            <w:br w:type="page"/>
          </w:r>
        </w:p>
      </w:sdtContent>
    </w:sdt>
    <w:p w:rsidR="00403D74" w:rsidRDefault="00403D74" w:rsidP="00A83ABC">
      <w:pPr>
        <w:sectPr w:rsidR="00403D74" w:rsidSect="00427CE3">
          <w:pgSz w:w="12240" w:h="15840"/>
          <w:pgMar w:top="1440" w:right="1440" w:bottom="1440" w:left="1440" w:header="720" w:footer="720" w:gutter="0"/>
          <w:pgNumType w:start="0"/>
          <w:cols w:space="720"/>
          <w:titlePg/>
          <w:docGrid w:linePitch="360"/>
        </w:sectPr>
      </w:pPr>
    </w:p>
    <w:p w:rsidR="006E2124" w:rsidRDefault="006E2124" w:rsidP="00A83ABC"/>
    <w:p w:rsidR="006E2124" w:rsidRDefault="006E2124" w:rsidP="00A83ABC"/>
    <w:p w:rsidR="006E2124" w:rsidRDefault="006E2124" w:rsidP="00A83ABC"/>
    <w:p w:rsidR="006E2124" w:rsidRDefault="006E2124" w:rsidP="00A83ABC"/>
    <w:p w:rsidR="00347CBF" w:rsidRDefault="00347CBF" w:rsidP="00A83ABC">
      <w:pPr>
        <w:spacing w:after="240"/>
        <w:jc w:val="center"/>
        <w:rPr>
          <w:rFonts w:ascii="Century Gothic" w:hAnsi="Century Gothic"/>
          <w:b/>
          <w:smallCaps/>
          <w:sz w:val="72"/>
          <w:szCs w:val="64"/>
          <w14:shadow w14:blurRad="50800" w14:dist="38100" w14:dir="13500000" w14:sx="100000" w14:sy="100000" w14:kx="0" w14:ky="0" w14:algn="br">
            <w14:srgbClr w14:val="000000">
              <w14:alpha w14:val="60000"/>
            </w14:srgbClr>
          </w14:shadow>
        </w:rPr>
      </w:pPr>
    </w:p>
    <w:p w:rsidR="00287D16" w:rsidRPr="00347CBF" w:rsidRDefault="00037A03" w:rsidP="00A83ABC">
      <w:pPr>
        <w:spacing w:after="240"/>
        <w:jc w:val="center"/>
        <w:rPr>
          <w:rFonts w:ascii="Century Gothic" w:hAnsi="Century Gothic"/>
          <w:b/>
          <w:smallCaps/>
          <w:sz w:val="64"/>
          <w:szCs w:val="64"/>
          <w14:shadow w14:blurRad="50800" w14:dist="38100" w14:dir="13500000" w14:sx="100000" w14:sy="100000" w14:kx="0" w14:ky="0" w14:algn="br">
            <w14:srgbClr w14:val="000000">
              <w14:alpha w14:val="60000"/>
            </w14:srgbClr>
          </w14:shadow>
        </w:rPr>
      </w:pPr>
      <w:r>
        <w:rPr>
          <w:rFonts w:ascii="Century Gothic" w:hAnsi="Century Gothic"/>
          <w:b/>
          <w:smallCaps/>
          <w:sz w:val="64"/>
          <w:szCs w:val="64"/>
          <w14:shadow w14:blurRad="50800" w14:dist="38100" w14:dir="13500000" w14:sx="100000" w14:sy="100000" w14:kx="0" w14:ky="0" w14:algn="br">
            <w14:srgbClr w14:val="000000">
              <w14:alpha w14:val="60000"/>
            </w14:srgbClr>
          </w14:shadow>
        </w:rPr>
        <w:t>DR</w:t>
      </w:r>
      <w:r w:rsidR="00287D16" w:rsidRPr="00347CBF">
        <w:rPr>
          <w:rFonts w:ascii="Century Gothic" w:hAnsi="Century Gothic"/>
          <w:b/>
          <w:smallCaps/>
          <w:sz w:val="64"/>
          <w:szCs w:val="64"/>
          <w14:shadow w14:blurRad="50800" w14:dist="38100" w14:dir="13500000" w14:sx="100000" w14:sy="100000" w14:kx="0" w14:ky="0" w14:algn="br">
            <w14:srgbClr w14:val="000000">
              <w14:alpha w14:val="60000"/>
            </w14:srgbClr>
          </w14:shadow>
        </w:rPr>
        <w:t xml:space="preserve"> Potential </w:t>
      </w:r>
      <w:r w:rsidR="00347CBF" w:rsidRPr="00347CBF">
        <w:rPr>
          <w:rFonts w:ascii="Century Gothic" w:hAnsi="Century Gothic"/>
          <w:b/>
          <w:smallCaps/>
          <w:sz w:val="64"/>
          <w:szCs w:val="64"/>
          <w14:shadow w14:blurRad="50800" w14:dist="38100" w14:dir="13500000" w14:sx="100000" w14:sy="100000" w14:kx="0" w14:ky="0" w14:algn="br">
            <w14:srgbClr w14:val="000000">
              <w14:alpha w14:val="60000"/>
            </w14:srgbClr>
          </w14:shadow>
        </w:rPr>
        <w:t>Study Report for P</w:t>
      </w:r>
      <w:r w:rsidR="00287D16" w:rsidRPr="00347CBF">
        <w:rPr>
          <w:rFonts w:ascii="Century Gothic" w:hAnsi="Century Gothic"/>
          <w:b/>
          <w:smallCaps/>
          <w:sz w:val="64"/>
          <w:szCs w:val="64"/>
          <w14:shadow w14:blurRad="50800" w14:dist="38100" w14:dir="13500000" w14:sx="100000" w14:sy="100000" w14:kx="0" w14:ky="0" w14:algn="br">
            <w14:srgbClr w14:val="000000">
              <w14:alpha w14:val="60000"/>
            </w14:srgbClr>
          </w14:shadow>
        </w:rPr>
        <w:t>ennsylvania</w:t>
      </w:r>
    </w:p>
    <w:p w:rsidR="00287D16" w:rsidRPr="00BC75D9" w:rsidRDefault="00287D16" w:rsidP="00A83ABC">
      <w:pPr>
        <w:jc w:val="center"/>
        <w:rPr>
          <w:rFonts w:ascii="Century Gothic" w:hAnsi="Century Gothic"/>
          <w:sz w:val="36"/>
          <w:szCs w:val="50"/>
          <w14:shadow w14:blurRad="50800" w14:dist="38100" w14:dir="13500000" w14:sx="100000" w14:sy="100000" w14:kx="0" w14:ky="0" w14:algn="br">
            <w14:srgbClr w14:val="000000">
              <w14:alpha w14:val="60000"/>
            </w14:srgbClr>
          </w14:shadow>
        </w:rPr>
      </w:pPr>
    </w:p>
    <w:p w:rsidR="00287D16" w:rsidRPr="009672E9" w:rsidRDefault="00287D16" w:rsidP="00A83ABC">
      <w:pPr>
        <w:jc w:val="center"/>
        <w:rPr>
          <w:rFonts w:ascii="Century Gothic" w:hAnsi="Century Gothic"/>
          <w:szCs w:val="50"/>
          <w14:shadow w14:blurRad="50800" w14:dist="38100" w14:dir="13500000" w14:sx="100000" w14:sy="100000" w14:kx="0" w14:ky="0" w14:algn="br">
            <w14:srgbClr w14:val="000000">
              <w14:alpha w14:val="60000"/>
            </w14:srgbClr>
          </w14:shadow>
        </w:rPr>
      </w:pPr>
    </w:p>
    <w:p w:rsidR="00287D16" w:rsidRPr="00BC75D9" w:rsidRDefault="00287D16" w:rsidP="00A83ABC">
      <w:pPr>
        <w:jc w:val="center"/>
        <w:rPr>
          <w:rFonts w:ascii="Century Gothic" w:hAnsi="Century Gothic"/>
          <w:sz w:val="24"/>
          <w:szCs w:val="24"/>
        </w:rPr>
      </w:pPr>
      <w:r w:rsidRPr="00BC75D9">
        <w:rPr>
          <w:rFonts w:ascii="Century Gothic" w:hAnsi="Century Gothic"/>
          <w:sz w:val="24"/>
          <w:szCs w:val="24"/>
        </w:rPr>
        <w:t>Prepared for</w:t>
      </w:r>
      <w:r w:rsidR="00347CBF">
        <w:rPr>
          <w:rFonts w:ascii="Century Gothic" w:hAnsi="Century Gothic"/>
          <w:sz w:val="24"/>
          <w:szCs w:val="24"/>
        </w:rPr>
        <w:t>:</w:t>
      </w:r>
    </w:p>
    <w:p w:rsidR="006E2124" w:rsidRDefault="009672E9" w:rsidP="00A83ABC">
      <w:r>
        <w:rPr>
          <w:noProof/>
        </w:rPr>
        <w:drawing>
          <wp:anchor distT="0" distB="0" distL="114300" distR="114300" simplePos="0" relativeHeight="251682816" behindDoc="0" locked="0" layoutInCell="1" allowOverlap="1" wp14:anchorId="6BCBB33D" wp14:editId="00A81FD4">
            <wp:simplePos x="0" y="0"/>
            <wp:positionH relativeFrom="column">
              <wp:posOffset>1889760</wp:posOffset>
            </wp:positionH>
            <wp:positionV relativeFrom="paragraph">
              <wp:posOffset>104140</wp:posOffset>
            </wp:positionV>
            <wp:extent cx="2164080" cy="2164080"/>
            <wp:effectExtent l="0" t="0" r="7620" b="7620"/>
            <wp:wrapNone/>
            <wp:docPr id="37" name="Picture 37" descr="http://save814.com/images/Pennsylvania-Public-Utility-Commission.jp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1" name="Picture 11" descr="http://save814.com/images/Pennsylvania-Public-Utility-Commission.jpg"/>
                    <pic:cNvPicPr/>
                  </pic:nvPicPr>
                  <pic:blipFill>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124" w:rsidRDefault="006E2124" w:rsidP="00A83ABC"/>
    <w:p w:rsidR="006E2124" w:rsidRDefault="006E2124" w:rsidP="00A83ABC"/>
    <w:p w:rsidR="006E2124" w:rsidRDefault="006E2124" w:rsidP="00A83ABC"/>
    <w:p w:rsidR="006E2124" w:rsidRDefault="006E2124" w:rsidP="00A83ABC"/>
    <w:p w:rsidR="006E2124" w:rsidRDefault="006E2124" w:rsidP="00A83ABC"/>
    <w:p w:rsidR="00403D74" w:rsidRPr="00CF2BE5" w:rsidRDefault="00403D74" w:rsidP="00A83ABC"/>
    <w:p w:rsidR="00360EF8" w:rsidRDefault="00360EF8" w:rsidP="00A83ABC"/>
    <w:p w:rsidR="00287D16" w:rsidRDefault="00287D16" w:rsidP="00A83ABC"/>
    <w:p w:rsidR="009672E9" w:rsidRDefault="009672E9" w:rsidP="00A83ABC">
      <w:pPr>
        <w:spacing w:after="120"/>
        <w:jc w:val="center"/>
        <w:rPr>
          <w:rFonts w:ascii="Century Gothic" w:hAnsi="Century Gothic"/>
          <w:b/>
          <w:sz w:val="28"/>
          <w:szCs w:val="64"/>
          <w14:shadow w14:blurRad="50800" w14:dist="38100" w14:dir="13500000" w14:sx="100000" w14:sy="100000" w14:kx="0" w14:ky="0" w14:algn="br">
            <w14:srgbClr w14:val="000000">
              <w14:alpha w14:val="60000"/>
            </w14:srgbClr>
          </w14:shadow>
        </w:rPr>
      </w:pPr>
    </w:p>
    <w:p w:rsidR="009672E9" w:rsidRDefault="009672E9" w:rsidP="00A83ABC">
      <w:pPr>
        <w:spacing w:after="120"/>
        <w:jc w:val="center"/>
        <w:rPr>
          <w:rFonts w:ascii="Century Gothic" w:hAnsi="Century Gothic"/>
          <w:b/>
          <w:sz w:val="28"/>
          <w:szCs w:val="64"/>
          <w14:shadow w14:blurRad="50800" w14:dist="38100" w14:dir="13500000" w14:sx="100000" w14:sy="100000" w14:kx="0" w14:ky="0" w14:algn="br">
            <w14:srgbClr w14:val="000000">
              <w14:alpha w14:val="60000"/>
            </w14:srgbClr>
          </w14:shadow>
        </w:rPr>
      </w:pPr>
    </w:p>
    <w:p w:rsidR="006C7072" w:rsidRDefault="006C7072" w:rsidP="00A83ABC">
      <w:pPr>
        <w:spacing w:after="120"/>
        <w:jc w:val="center"/>
        <w:rPr>
          <w:rFonts w:ascii="Century Gothic" w:hAnsi="Century Gothic"/>
          <w:b/>
          <w:sz w:val="28"/>
          <w:szCs w:val="64"/>
          <w14:shadow w14:blurRad="50800" w14:dist="38100" w14:dir="13500000" w14:sx="100000" w14:sy="100000" w14:kx="0" w14:ky="0" w14:algn="br">
            <w14:srgbClr w14:val="000000">
              <w14:alpha w14:val="60000"/>
            </w14:srgbClr>
          </w14:shadow>
        </w:rPr>
      </w:pPr>
    </w:p>
    <w:p w:rsidR="00287D16" w:rsidRPr="00347CBF" w:rsidRDefault="00041E64" w:rsidP="00A83ABC">
      <w:pPr>
        <w:spacing w:after="120"/>
        <w:jc w:val="center"/>
        <w:rPr>
          <w:rFonts w:ascii="Century Gothic" w:hAnsi="Century Gothic"/>
          <w:b/>
          <w:sz w:val="24"/>
          <w:szCs w:val="64"/>
          <w14:shadow w14:blurRad="50800" w14:dist="38100" w14:dir="13500000" w14:sx="100000" w14:sy="100000" w14:kx="0" w14:ky="0" w14:algn="br">
            <w14:srgbClr w14:val="000000">
              <w14:alpha w14:val="60000"/>
            </w14:srgbClr>
          </w14:shadow>
        </w:rPr>
      </w:pPr>
      <w:r>
        <w:rPr>
          <w:rFonts w:ascii="Century Gothic" w:hAnsi="Century Gothic"/>
          <w:b/>
          <w:sz w:val="24"/>
          <w:szCs w:val="64"/>
          <w14:shadow w14:blurRad="50800" w14:dist="38100" w14:dir="13500000" w14:sx="100000" w14:sy="100000" w14:kx="0" w14:ky="0" w14:algn="br">
            <w14:srgbClr w14:val="000000">
              <w14:alpha w14:val="60000"/>
            </w14:srgbClr>
          </w14:shadow>
        </w:rPr>
        <w:t>February 25</w:t>
      </w:r>
      <w:r w:rsidR="00B30322">
        <w:rPr>
          <w:rFonts w:ascii="Century Gothic" w:hAnsi="Century Gothic"/>
          <w:b/>
          <w:sz w:val="24"/>
          <w:szCs w:val="64"/>
          <w14:shadow w14:blurRad="50800" w14:dist="38100" w14:dir="13500000" w14:sx="100000" w14:sy="100000" w14:kx="0" w14:ky="0" w14:algn="br">
            <w14:srgbClr w14:val="000000">
              <w14:alpha w14:val="60000"/>
            </w14:srgbClr>
          </w14:shadow>
        </w:rPr>
        <w:t>, 2015</w:t>
      </w:r>
    </w:p>
    <w:p w:rsidR="00287D16" w:rsidRDefault="00287D16" w:rsidP="00A83ABC">
      <w:pPr>
        <w:jc w:val="center"/>
        <w:rPr>
          <w:rFonts w:ascii="Century Gothic" w:hAnsi="Century Gothic"/>
          <w:sz w:val="24"/>
          <w:szCs w:val="24"/>
        </w:rPr>
      </w:pPr>
    </w:p>
    <w:p w:rsidR="00287D16" w:rsidRDefault="00287D16" w:rsidP="00A83ABC">
      <w:pPr>
        <w:jc w:val="center"/>
        <w:rPr>
          <w:rFonts w:ascii="Century Gothic" w:hAnsi="Century Gothic"/>
          <w:sz w:val="24"/>
          <w:szCs w:val="24"/>
        </w:rPr>
      </w:pPr>
    </w:p>
    <w:p w:rsidR="00287D16" w:rsidRDefault="00287D16" w:rsidP="00A83ABC">
      <w:pPr>
        <w:jc w:val="center"/>
        <w:rPr>
          <w:rFonts w:ascii="Century Gothic" w:hAnsi="Century Gothic"/>
          <w:sz w:val="24"/>
          <w:szCs w:val="24"/>
        </w:rPr>
      </w:pPr>
    </w:p>
    <w:p w:rsidR="00287D16" w:rsidRDefault="00287D16" w:rsidP="00A83ABC">
      <w:pPr>
        <w:jc w:val="center"/>
        <w:rPr>
          <w:rFonts w:ascii="Century Gothic" w:hAnsi="Century Gothic"/>
          <w:sz w:val="24"/>
          <w:szCs w:val="24"/>
        </w:rPr>
      </w:pPr>
    </w:p>
    <w:p w:rsidR="00287D16" w:rsidRPr="00BC75D9" w:rsidRDefault="00287D16" w:rsidP="00A83ABC">
      <w:pPr>
        <w:jc w:val="center"/>
        <w:rPr>
          <w:rFonts w:ascii="Century Gothic" w:hAnsi="Century Gothic"/>
          <w:sz w:val="24"/>
          <w:szCs w:val="24"/>
        </w:rPr>
      </w:pPr>
    </w:p>
    <w:p w:rsidR="00287D16" w:rsidRDefault="00287D16" w:rsidP="00A83ABC">
      <w:pPr>
        <w:spacing w:after="120"/>
        <w:jc w:val="center"/>
        <w:rPr>
          <w:rFonts w:ascii="Century Gothic" w:hAnsi="Century Gothic"/>
          <w:b/>
          <w:sz w:val="28"/>
          <w:szCs w:val="64"/>
          <w14:shadow w14:blurRad="50800" w14:dist="38100" w14:dir="13500000" w14:sx="100000" w14:sy="100000" w14:kx="0" w14:ky="0" w14:algn="br">
            <w14:srgbClr w14:val="000000">
              <w14:alpha w14:val="60000"/>
            </w14:srgbClr>
          </w14:shadow>
        </w:rPr>
      </w:pPr>
    </w:p>
    <w:p w:rsidR="00287D16" w:rsidRDefault="00287D16" w:rsidP="00A83ABC">
      <w:pPr>
        <w:spacing w:after="120"/>
        <w:jc w:val="center"/>
        <w:rPr>
          <w:rFonts w:ascii="Century Gothic" w:hAnsi="Century Gothic"/>
          <w:b/>
          <w:sz w:val="28"/>
          <w:szCs w:val="64"/>
          <w14:shadow w14:blurRad="50800" w14:dist="38100" w14:dir="13500000" w14:sx="100000" w14:sy="100000" w14:kx="0" w14:ky="0" w14:algn="br">
            <w14:srgbClr w14:val="000000">
              <w14:alpha w14:val="60000"/>
            </w14:srgbClr>
          </w14:shadow>
        </w:rPr>
      </w:pPr>
    </w:p>
    <w:p w:rsidR="00287D16" w:rsidRPr="00CF2BE5" w:rsidRDefault="00287D16" w:rsidP="00A83ABC">
      <w:pPr>
        <w:sectPr w:rsidR="00287D16" w:rsidRPr="00CF2BE5" w:rsidSect="005F7D14">
          <w:headerReference w:type="default" r:id="rId22"/>
          <w:footerReference w:type="default" r:id="rId23"/>
          <w:pgSz w:w="12240" w:h="15840"/>
          <w:pgMar w:top="1440" w:right="1440" w:bottom="1440" w:left="1440" w:header="720" w:footer="378" w:gutter="0"/>
          <w:pgNumType w:start="0"/>
          <w:cols w:space="720"/>
          <w:docGrid w:linePitch="360"/>
        </w:sectPr>
      </w:pPr>
    </w:p>
    <w:p w:rsidR="009D2C1F" w:rsidRPr="00D92988" w:rsidRDefault="009D2C1F" w:rsidP="00A83ABC">
      <w:pPr>
        <w:shd w:val="clear" w:color="auto" w:fill="448A99"/>
        <w:spacing w:after="120"/>
        <w:jc w:val="right"/>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pPr>
      <w:bookmarkStart w:id="1" w:name="_Toc407027417"/>
      <w:bookmarkStart w:id="2" w:name="_Toc407357011"/>
      <w:r>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lastRenderedPageBreak/>
        <w:t>Table of Contents</w:t>
      </w:r>
    </w:p>
    <w:p w:rsidR="00F30AE2" w:rsidRDefault="009D2C1F">
      <w:pPr>
        <w:pStyle w:val="TOC1"/>
        <w:rPr>
          <w:rFonts w:asciiTheme="minorHAnsi" w:eastAsiaTheme="minorEastAsia" w:hAnsiTheme="minorHAnsi"/>
          <w:b w:val="0"/>
          <w:smallCaps w:val="0"/>
          <w:noProof/>
        </w:rPr>
      </w:pPr>
      <w:r>
        <w:rPr>
          <w:sz w:val="28"/>
        </w:rPr>
        <w:fldChar w:fldCharType="begin"/>
      </w:r>
      <w:r>
        <w:rPr>
          <w:sz w:val="28"/>
        </w:rPr>
        <w:instrText xml:space="preserve"> TOC \o "1-3" \h \z \u </w:instrText>
      </w:r>
      <w:r>
        <w:rPr>
          <w:sz w:val="28"/>
        </w:rPr>
        <w:fldChar w:fldCharType="separate"/>
      </w:r>
      <w:hyperlink w:anchor="_Toc412628360" w:history="1">
        <w:r w:rsidR="00F30AE2" w:rsidRPr="00762A4E">
          <w:rPr>
            <w:rStyle w:val="Hyperlink"/>
            <w:rFonts w:ascii="Britannic Bold" w:hAnsi="Britannic Bold"/>
            <w:noProof/>
            <w14:scene3d>
              <w14:camera w14:prst="orthographicFront"/>
              <w14:lightRig w14:rig="threePt" w14:dir="t">
                <w14:rot w14:lat="0" w14:lon="0" w14:rev="0"/>
              </w14:lightRig>
            </w14:scene3d>
          </w:rPr>
          <w:t>1</w:t>
        </w:r>
        <w:r w:rsidR="00F30AE2" w:rsidRPr="00762A4E">
          <w:rPr>
            <w:rStyle w:val="Hyperlink"/>
            <w:noProof/>
          </w:rPr>
          <w:t xml:space="preserve"> Executive Summary</w:t>
        </w:r>
        <w:r w:rsidR="00F30AE2">
          <w:rPr>
            <w:noProof/>
            <w:webHidden/>
          </w:rPr>
          <w:tab/>
        </w:r>
        <w:r w:rsidR="00F30AE2">
          <w:rPr>
            <w:noProof/>
            <w:webHidden/>
          </w:rPr>
          <w:fldChar w:fldCharType="begin"/>
        </w:r>
        <w:r w:rsidR="00F30AE2">
          <w:rPr>
            <w:noProof/>
            <w:webHidden/>
          </w:rPr>
          <w:instrText xml:space="preserve"> PAGEREF _Toc412628360 \h </w:instrText>
        </w:r>
        <w:r w:rsidR="00F30AE2">
          <w:rPr>
            <w:noProof/>
            <w:webHidden/>
          </w:rPr>
        </w:r>
        <w:r w:rsidR="00F30AE2">
          <w:rPr>
            <w:noProof/>
            <w:webHidden/>
          </w:rPr>
          <w:fldChar w:fldCharType="separate"/>
        </w:r>
        <w:r w:rsidR="00803DBE">
          <w:rPr>
            <w:noProof/>
            <w:webHidden/>
          </w:rPr>
          <w:t>1</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1" w:history="1">
        <w:r w:rsidR="00F30AE2" w:rsidRPr="00762A4E">
          <w:rPr>
            <w:rStyle w:val="Hyperlink"/>
            <w:noProof/>
          </w:rPr>
          <w:t>1.1 Peak Load Consumption</w:t>
        </w:r>
        <w:r w:rsidR="00F30AE2">
          <w:rPr>
            <w:noProof/>
            <w:webHidden/>
          </w:rPr>
          <w:tab/>
        </w:r>
        <w:r w:rsidR="00F30AE2">
          <w:rPr>
            <w:noProof/>
            <w:webHidden/>
          </w:rPr>
          <w:fldChar w:fldCharType="begin"/>
        </w:r>
        <w:r w:rsidR="00F30AE2">
          <w:rPr>
            <w:noProof/>
            <w:webHidden/>
          </w:rPr>
          <w:instrText xml:space="preserve"> PAGEREF _Toc412628361 \h </w:instrText>
        </w:r>
        <w:r w:rsidR="00F30AE2">
          <w:rPr>
            <w:noProof/>
            <w:webHidden/>
          </w:rPr>
        </w:r>
        <w:r w:rsidR="00F30AE2">
          <w:rPr>
            <w:noProof/>
            <w:webHidden/>
          </w:rPr>
          <w:fldChar w:fldCharType="separate"/>
        </w:r>
        <w:r w:rsidR="00803DBE">
          <w:rPr>
            <w:noProof/>
            <w:webHidden/>
          </w:rPr>
          <w:t>2</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2" w:history="1">
        <w:r w:rsidR="00F30AE2" w:rsidRPr="00762A4E">
          <w:rPr>
            <w:rStyle w:val="Hyperlink"/>
            <w:noProof/>
          </w:rPr>
          <w:t>1.2 Economic Analysis</w:t>
        </w:r>
        <w:r w:rsidR="00F30AE2">
          <w:rPr>
            <w:noProof/>
            <w:webHidden/>
          </w:rPr>
          <w:tab/>
        </w:r>
        <w:r w:rsidR="00F30AE2">
          <w:rPr>
            <w:noProof/>
            <w:webHidden/>
          </w:rPr>
          <w:fldChar w:fldCharType="begin"/>
        </w:r>
        <w:r w:rsidR="00F30AE2">
          <w:rPr>
            <w:noProof/>
            <w:webHidden/>
          </w:rPr>
          <w:instrText xml:space="preserve"> PAGEREF _Toc412628362 \h </w:instrText>
        </w:r>
        <w:r w:rsidR="00F30AE2">
          <w:rPr>
            <w:noProof/>
            <w:webHidden/>
          </w:rPr>
        </w:r>
        <w:r w:rsidR="00F30AE2">
          <w:rPr>
            <w:noProof/>
            <w:webHidden/>
          </w:rPr>
          <w:fldChar w:fldCharType="separate"/>
        </w:r>
        <w:r w:rsidR="00803DBE">
          <w:rPr>
            <w:noProof/>
            <w:webHidden/>
          </w:rPr>
          <w:t>3</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3" w:history="1">
        <w:r w:rsidR="00F30AE2" w:rsidRPr="00762A4E">
          <w:rPr>
            <w:rStyle w:val="Hyperlink"/>
            <w:noProof/>
          </w:rPr>
          <w:t>1.3 DR Program Design</w:t>
        </w:r>
        <w:r w:rsidR="00F30AE2">
          <w:rPr>
            <w:noProof/>
            <w:webHidden/>
          </w:rPr>
          <w:tab/>
        </w:r>
        <w:r w:rsidR="00F30AE2">
          <w:rPr>
            <w:noProof/>
            <w:webHidden/>
          </w:rPr>
          <w:fldChar w:fldCharType="begin"/>
        </w:r>
        <w:r w:rsidR="00F30AE2">
          <w:rPr>
            <w:noProof/>
            <w:webHidden/>
          </w:rPr>
          <w:instrText xml:space="preserve"> PAGEREF _Toc412628363 \h </w:instrText>
        </w:r>
        <w:r w:rsidR="00F30AE2">
          <w:rPr>
            <w:noProof/>
            <w:webHidden/>
          </w:rPr>
        </w:r>
        <w:r w:rsidR="00F30AE2">
          <w:rPr>
            <w:noProof/>
            <w:webHidden/>
          </w:rPr>
          <w:fldChar w:fldCharType="separate"/>
        </w:r>
        <w:r w:rsidR="00803DBE">
          <w:rPr>
            <w:noProof/>
            <w:webHidden/>
          </w:rPr>
          <w:t>3</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4" w:history="1">
        <w:r w:rsidR="00F30AE2" w:rsidRPr="00762A4E">
          <w:rPr>
            <w:rStyle w:val="Hyperlink"/>
            <w:noProof/>
          </w:rPr>
          <w:t>1.4 Avoided Cost of Transmission and Distribution Capacity</w:t>
        </w:r>
        <w:r w:rsidR="00F30AE2">
          <w:rPr>
            <w:noProof/>
            <w:webHidden/>
          </w:rPr>
          <w:tab/>
        </w:r>
        <w:r w:rsidR="00F30AE2">
          <w:rPr>
            <w:noProof/>
            <w:webHidden/>
          </w:rPr>
          <w:fldChar w:fldCharType="begin"/>
        </w:r>
        <w:r w:rsidR="00F30AE2">
          <w:rPr>
            <w:noProof/>
            <w:webHidden/>
          </w:rPr>
          <w:instrText xml:space="preserve"> PAGEREF _Toc412628364 \h </w:instrText>
        </w:r>
        <w:r w:rsidR="00F30AE2">
          <w:rPr>
            <w:noProof/>
            <w:webHidden/>
          </w:rPr>
        </w:r>
        <w:r w:rsidR="00F30AE2">
          <w:rPr>
            <w:noProof/>
            <w:webHidden/>
          </w:rPr>
          <w:fldChar w:fldCharType="separate"/>
        </w:r>
        <w:r w:rsidR="00803DBE">
          <w:rPr>
            <w:noProof/>
            <w:webHidden/>
          </w:rPr>
          <w:t>4</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5" w:history="1">
        <w:r w:rsidR="00F30AE2" w:rsidRPr="00762A4E">
          <w:rPr>
            <w:rStyle w:val="Hyperlink"/>
            <w:noProof/>
          </w:rPr>
          <w:t>1.5 Residential DR Potential Methodology and Results</w:t>
        </w:r>
        <w:r w:rsidR="00F30AE2">
          <w:rPr>
            <w:noProof/>
            <w:webHidden/>
          </w:rPr>
          <w:tab/>
        </w:r>
        <w:r w:rsidR="00F30AE2">
          <w:rPr>
            <w:noProof/>
            <w:webHidden/>
          </w:rPr>
          <w:fldChar w:fldCharType="begin"/>
        </w:r>
        <w:r w:rsidR="00F30AE2">
          <w:rPr>
            <w:noProof/>
            <w:webHidden/>
          </w:rPr>
          <w:instrText xml:space="preserve"> PAGEREF _Toc412628365 \h </w:instrText>
        </w:r>
        <w:r w:rsidR="00F30AE2">
          <w:rPr>
            <w:noProof/>
            <w:webHidden/>
          </w:rPr>
        </w:r>
        <w:r w:rsidR="00F30AE2">
          <w:rPr>
            <w:noProof/>
            <w:webHidden/>
          </w:rPr>
          <w:fldChar w:fldCharType="separate"/>
        </w:r>
        <w:r w:rsidR="00803DBE">
          <w:rPr>
            <w:noProof/>
            <w:webHidden/>
          </w:rPr>
          <w:t>4</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6" w:history="1">
        <w:r w:rsidR="00F30AE2" w:rsidRPr="00762A4E">
          <w:rPr>
            <w:rStyle w:val="Hyperlink"/>
            <w:noProof/>
          </w:rPr>
          <w:t>1.6 Small and Medium Commercial Direct Load Control</w:t>
        </w:r>
        <w:r w:rsidR="00F30AE2">
          <w:rPr>
            <w:noProof/>
            <w:webHidden/>
          </w:rPr>
          <w:tab/>
        </w:r>
        <w:r w:rsidR="00F30AE2">
          <w:rPr>
            <w:noProof/>
            <w:webHidden/>
          </w:rPr>
          <w:fldChar w:fldCharType="begin"/>
        </w:r>
        <w:r w:rsidR="00F30AE2">
          <w:rPr>
            <w:noProof/>
            <w:webHidden/>
          </w:rPr>
          <w:instrText xml:space="preserve"> PAGEREF _Toc412628366 \h </w:instrText>
        </w:r>
        <w:r w:rsidR="00F30AE2">
          <w:rPr>
            <w:noProof/>
            <w:webHidden/>
          </w:rPr>
        </w:r>
        <w:r w:rsidR="00F30AE2">
          <w:rPr>
            <w:noProof/>
            <w:webHidden/>
          </w:rPr>
          <w:fldChar w:fldCharType="separate"/>
        </w:r>
        <w:r w:rsidR="00803DBE">
          <w:rPr>
            <w:noProof/>
            <w:webHidden/>
          </w:rPr>
          <w:t>7</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7" w:history="1">
        <w:r w:rsidR="00F30AE2" w:rsidRPr="00762A4E">
          <w:rPr>
            <w:rStyle w:val="Hyperlink"/>
            <w:noProof/>
          </w:rPr>
          <w:t>1.7 Large Commercial and Industrial</w:t>
        </w:r>
        <w:r w:rsidR="00F30AE2">
          <w:rPr>
            <w:noProof/>
            <w:webHidden/>
          </w:rPr>
          <w:tab/>
        </w:r>
        <w:r w:rsidR="00F30AE2">
          <w:rPr>
            <w:noProof/>
            <w:webHidden/>
          </w:rPr>
          <w:fldChar w:fldCharType="begin"/>
        </w:r>
        <w:r w:rsidR="00F30AE2">
          <w:rPr>
            <w:noProof/>
            <w:webHidden/>
          </w:rPr>
          <w:instrText xml:space="preserve"> PAGEREF _Toc412628367 \h </w:instrText>
        </w:r>
        <w:r w:rsidR="00F30AE2">
          <w:rPr>
            <w:noProof/>
            <w:webHidden/>
          </w:rPr>
        </w:r>
        <w:r w:rsidR="00F30AE2">
          <w:rPr>
            <w:noProof/>
            <w:webHidden/>
          </w:rPr>
          <w:fldChar w:fldCharType="separate"/>
        </w:r>
        <w:r w:rsidR="00803DBE">
          <w:rPr>
            <w:noProof/>
            <w:webHidden/>
          </w:rPr>
          <w:t>8</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8" w:history="1">
        <w:r w:rsidR="00F30AE2" w:rsidRPr="00762A4E">
          <w:rPr>
            <w:rStyle w:val="Hyperlink"/>
            <w:noProof/>
          </w:rPr>
          <w:t>1.8 Program Potential</w:t>
        </w:r>
        <w:r w:rsidR="00F30AE2">
          <w:rPr>
            <w:noProof/>
            <w:webHidden/>
          </w:rPr>
          <w:tab/>
        </w:r>
        <w:r w:rsidR="00F30AE2">
          <w:rPr>
            <w:noProof/>
            <w:webHidden/>
          </w:rPr>
          <w:fldChar w:fldCharType="begin"/>
        </w:r>
        <w:r w:rsidR="00F30AE2">
          <w:rPr>
            <w:noProof/>
            <w:webHidden/>
          </w:rPr>
          <w:instrText xml:space="preserve"> PAGEREF _Toc412628368 \h </w:instrText>
        </w:r>
        <w:r w:rsidR="00F30AE2">
          <w:rPr>
            <w:noProof/>
            <w:webHidden/>
          </w:rPr>
        </w:r>
        <w:r w:rsidR="00F30AE2">
          <w:rPr>
            <w:noProof/>
            <w:webHidden/>
          </w:rPr>
          <w:fldChar w:fldCharType="separate"/>
        </w:r>
        <w:r w:rsidR="00803DBE">
          <w:rPr>
            <w:noProof/>
            <w:webHidden/>
          </w:rPr>
          <w:t>11</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69" w:history="1">
        <w:r w:rsidR="00F30AE2" w:rsidRPr="00762A4E">
          <w:rPr>
            <w:rStyle w:val="Hyperlink"/>
            <w:noProof/>
          </w:rPr>
          <w:t>1.9 Organization of the Report</w:t>
        </w:r>
        <w:r w:rsidR="00F30AE2">
          <w:rPr>
            <w:noProof/>
            <w:webHidden/>
          </w:rPr>
          <w:tab/>
        </w:r>
        <w:r w:rsidR="00F30AE2">
          <w:rPr>
            <w:noProof/>
            <w:webHidden/>
          </w:rPr>
          <w:fldChar w:fldCharType="begin"/>
        </w:r>
        <w:r w:rsidR="00F30AE2">
          <w:rPr>
            <w:noProof/>
            <w:webHidden/>
          </w:rPr>
          <w:instrText xml:space="preserve"> PAGEREF _Toc412628369 \h </w:instrText>
        </w:r>
        <w:r w:rsidR="00F30AE2">
          <w:rPr>
            <w:noProof/>
            <w:webHidden/>
          </w:rPr>
        </w:r>
        <w:r w:rsidR="00F30AE2">
          <w:rPr>
            <w:noProof/>
            <w:webHidden/>
          </w:rPr>
          <w:fldChar w:fldCharType="separate"/>
        </w:r>
        <w:r w:rsidR="00803DBE">
          <w:rPr>
            <w:noProof/>
            <w:webHidden/>
          </w:rPr>
          <w:t>13</w:t>
        </w:r>
        <w:r w:rsidR="00F30AE2">
          <w:rPr>
            <w:noProof/>
            <w:webHidden/>
          </w:rPr>
          <w:fldChar w:fldCharType="end"/>
        </w:r>
      </w:hyperlink>
    </w:p>
    <w:p w:rsidR="00F30AE2" w:rsidRDefault="00E2011B">
      <w:pPr>
        <w:pStyle w:val="TOC1"/>
        <w:rPr>
          <w:rFonts w:asciiTheme="minorHAnsi" w:eastAsiaTheme="minorEastAsia" w:hAnsiTheme="minorHAnsi"/>
          <w:b w:val="0"/>
          <w:smallCaps w:val="0"/>
          <w:noProof/>
        </w:rPr>
      </w:pPr>
      <w:hyperlink w:anchor="_Toc412628370" w:history="1">
        <w:r w:rsidR="00F30AE2" w:rsidRPr="00762A4E">
          <w:rPr>
            <w:rStyle w:val="Hyperlink"/>
            <w:rFonts w:ascii="Britannic Bold" w:hAnsi="Britannic Bold"/>
            <w:noProof/>
            <w14:scene3d>
              <w14:camera w14:prst="orthographicFront"/>
              <w14:lightRig w14:rig="threePt" w14:dir="t">
                <w14:rot w14:lat="0" w14:lon="0" w14:rev="0"/>
              </w14:lightRig>
            </w14:scene3d>
          </w:rPr>
          <w:t>2</w:t>
        </w:r>
        <w:r w:rsidR="00F30AE2" w:rsidRPr="00762A4E">
          <w:rPr>
            <w:rStyle w:val="Hyperlink"/>
            <w:noProof/>
          </w:rPr>
          <w:t xml:space="preserve"> Analysis Approach</w:t>
        </w:r>
        <w:r w:rsidR="00F30AE2">
          <w:rPr>
            <w:noProof/>
            <w:webHidden/>
          </w:rPr>
          <w:tab/>
        </w:r>
        <w:r w:rsidR="00F30AE2">
          <w:rPr>
            <w:noProof/>
            <w:webHidden/>
          </w:rPr>
          <w:fldChar w:fldCharType="begin"/>
        </w:r>
        <w:r w:rsidR="00F30AE2">
          <w:rPr>
            <w:noProof/>
            <w:webHidden/>
          </w:rPr>
          <w:instrText xml:space="preserve"> PAGEREF _Toc412628370 \h </w:instrText>
        </w:r>
        <w:r w:rsidR="00F30AE2">
          <w:rPr>
            <w:noProof/>
            <w:webHidden/>
          </w:rPr>
        </w:r>
        <w:r w:rsidR="00F30AE2">
          <w:rPr>
            <w:noProof/>
            <w:webHidden/>
          </w:rPr>
          <w:fldChar w:fldCharType="separate"/>
        </w:r>
        <w:r w:rsidR="00803DBE">
          <w:rPr>
            <w:noProof/>
            <w:webHidden/>
          </w:rPr>
          <w:t>14</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71" w:history="1">
        <w:r w:rsidR="00F30AE2" w:rsidRPr="00762A4E">
          <w:rPr>
            <w:rStyle w:val="Hyperlink"/>
            <w:noProof/>
          </w:rPr>
          <w:t>2.1 Summary</w:t>
        </w:r>
        <w:r w:rsidR="00F30AE2">
          <w:rPr>
            <w:noProof/>
            <w:webHidden/>
          </w:rPr>
          <w:tab/>
        </w:r>
        <w:r w:rsidR="00F30AE2">
          <w:rPr>
            <w:noProof/>
            <w:webHidden/>
          </w:rPr>
          <w:fldChar w:fldCharType="begin"/>
        </w:r>
        <w:r w:rsidR="00F30AE2">
          <w:rPr>
            <w:noProof/>
            <w:webHidden/>
          </w:rPr>
          <w:instrText xml:space="preserve"> PAGEREF _Toc412628371 \h </w:instrText>
        </w:r>
        <w:r w:rsidR="00F30AE2">
          <w:rPr>
            <w:noProof/>
            <w:webHidden/>
          </w:rPr>
        </w:r>
        <w:r w:rsidR="00F30AE2">
          <w:rPr>
            <w:noProof/>
            <w:webHidden/>
          </w:rPr>
          <w:fldChar w:fldCharType="separate"/>
        </w:r>
        <w:r w:rsidR="00803DBE">
          <w:rPr>
            <w:noProof/>
            <w:webHidden/>
          </w:rPr>
          <w:t>14</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72" w:history="1">
        <w:r w:rsidR="00F30AE2" w:rsidRPr="00762A4E">
          <w:rPr>
            <w:rStyle w:val="Hyperlink"/>
            <w:noProof/>
          </w:rPr>
          <w:t>2.2 DR Overview</w:t>
        </w:r>
        <w:r w:rsidR="00F30AE2">
          <w:rPr>
            <w:noProof/>
            <w:webHidden/>
          </w:rPr>
          <w:tab/>
        </w:r>
        <w:r w:rsidR="00F30AE2">
          <w:rPr>
            <w:noProof/>
            <w:webHidden/>
          </w:rPr>
          <w:fldChar w:fldCharType="begin"/>
        </w:r>
        <w:r w:rsidR="00F30AE2">
          <w:rPr>
            <w:noProof/>
            <w:webHidden/>
          </w:rPr>
          <w:instrText xml:space="preserve"> PAGEREF _Toc412628372 \h </w:instrText>
        </w:r>
        <w:r w:rsidR="00F30AE2">
          <w:rPr>
            <w:noProof/>
            <w:webHidden/>
          </w:rPr>
        </w:r>
        <w:r w:rsidR="00F30AE2">
          <w:rPr>
            <w:noProof/>
            <w:webHidden/>
          </w:rPr>
          <w:fldChar w:fldCharType="separate"/>
        </w:r>
        <w:r w:rsidR="00803DBE">
          <w:rPr>
            <w:noProof/>
            <w:webHidden/>
          </w:rPr>
          <w:t>14</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73" w:history="1">
        <w:r w:rsidR="00F30AE2" w:rsidRPr="00762A4E">
          <w:rPr>
            <w:rStyle w:val="Hyperlink"/>
            <w:noProof/>
          </w:rPr>
          <w:t>2.3 Differences between Demand Response Potential and Energy Efficiency Potential</w:t>
        </w:r>
        <w:r w:rsidR="00F30AE2">
          <w:rPr>
            <w:noProof/>
            <w:webHidden/>
          </w:rPr>
          <w:tab/>
        </w:r>
        <w:r w:rsidR="00F30AE2">
          <w:rPr>
            <w:noProof/>
            <w:webHidden/>
          </w:rPr>
          <w:fldChar w:fldCharType="begin"/>
        </w:r>
        <w:r w:rsidR="00F30AE2">
          <w:rPr>
            <w:noProof/>
            <w:webHidden/>
          </w:rPr>
          <w:instrText xml:space="preserve"> PAGEREF _Toc412628373 \h </w:instrText>
        </w:r>
        <w:r w:rsidR="00F30AE2">
          <w:rPr>
            <w:noProof/>
            <w:webHidden/>
          </w:rPr>
        </w:r>
        <w:r w:rsidR="00F30AE2">
          <w:rPr>
            <w:noProof/>
            <w:webHidden/>
          </w:rPr>
          <w:fldChar w:fldCharType="separate"/>
        </w:r>
        <w:r w:rsidR="00803DBE">
          <w:rPr>
            <w:noProof/>
            <w:webHidden/>
          </w:rPr>
          <w:t>15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74" w:history="1">
        <w:r w:rsidR="00F30AE2" w:rsidRPr="00762A4E">
          <w:rPr>
            <w:rStyle w:val="Hyperlink"/>
            <w:rFonts w:cs="Arial"/>
            <w:noProof/>
            <w:snapToGrid w:val="0"/>
            <w:w w:val="0"/>
          </w:rPr>
          <w:t>2.3.1</w:t>
        </w:r>
        <w:r w:rsidR="00F30AE2">
          <w:rPr>
            <w:rFonts w:asciiTheme="minorHAnsi" w:eastAsiaTheme="minorEastAsia" w:hAnsiTheme="minorHAnsi"/>
            <w:i w:val="0"/>
            <w:noProof/>
            <w:sz w:val="22"/>
          </w:rPr>
          <w:tab/>
        </w:r>
        <w:r w:rsidR="00F30AE2" w:rsidRPr="00762A4E">
          <w:rPr>
            <w:rStyle w:val="Hyperlink"/>
            <w:noProof/>
          </w:rPr>
          <w:t>Technical Potential</w:t>
        </w:r>
        <w:r w:rsidR="00F30AE2">
          <w:rPr>
            <w:noProof/>
            <w:webHidden/>
          </w:rPr>
          <w:tab/>
        </w:r>
        <w:r w:rsidR="00F30AE2">
          <w:rPr>
            <w:noProof/>
            <w:webHidden/>
          </w:rPr>
          <w:fldChar w:fldCharType="begin"/>
        </w:r>
        <w:r w:rsidR="00F30AE2">
          <w:rPr>
            <w:noProof/>
            <w:webHidden/>
          </w:rPr>
          <w:instrText xml:space="preserve"> PAGEREF _Toc412628374 \h </w:instrText>
        </w:r>
        <w:r w:rsidR="00F30AE2">
          <w:rPr>
            <w:noProof/>
            <w:webHidden/>
          </w:rPr>
        </w:r>
        <w:r w:rsidR="00F30AE2">
          <w:rPr>
            <w:noProof/>
            <w:webHidden/>
          </w:rPr>
          <w:fldChar w:fldCharType="separate"/>
        </w:r>
        <w:r w:rsidR="00803DBE">
          <w:rPr>
            <w:noProof/>
            <w:webHidden/>
          </w:rPr>
          <w:t>15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75" w:history="1">
        <w:r w:rsidR="00F30AE2" w:rsidRPr="00762A4E">
          <w:rPr>
            <w:rStyle w:val="Hyperlink"/>
            <w:rFonts w:cs="Arial"/>
            <w:noProof/>
            <w:snapToGrid w:val="0"/>
            <w:w w:val="0"/>
          </w:rPr>
          <w:t>2.3.2</w:t>
        </w:r>
        <w:r w:rsidR="00F30AE2">
          <w:rPr>
            <w:rFonts w:asciiTheme="minorHAnsi" w:eastAsiaTheme="minorEastAsia" w:hAnsiTheme="minorHAnsi"/>
            <w:i w:val="0"/>
            <w:noProof/>
            <w:sz w:val="22"/>
          </w:rPr>
          <w:tab/>
        </w:r>
        <w:r w:rsidR="00F30AE2" w:rsidRPr="00762A4E">
          <w:rPr>
            <w:rStyle w:val="Hyperlink"/>
            <w:noProof/>
          </w:rPr>
          <w:t>Economic Potential</w:t>
        </w:r>
        <w:r w:rsidR="00F30AE2">
          <w:rPr>
            <w:noProof/>
            <w:webHidden/>
          </w:rPr>
          <w:tab/>
        </w:r>
        <w:r w:rsidR="00F30AE2">
          <w:rPr>
            <w:noProof/>
            <w:webHidden/>
          </w:rPr>
          <w:fldChar w:fldCharType="begin"/>
        </w:r>
        <w:r w:rsidR="00F30AE2">
          <w:rPr>
            <w:noProof/>
            <w:webHidden/>
          </w:rPr>
          <w:instrText xml:space="preserve"> PAGEREF _Toc412628375 \h </w:instrText>
        </w:r>
        <w:r w:rsidR="00F30AE2">
          <w:rPr>
            <w:noProof/>
            <w:webHidden/>
          </w:rPr>
        </w:r>
        <w:r w:rsidR="00F30AE2">
          <w:rPr>
            <w:noProof/>
            <w:webHidden/>
          </w:rPr>
          <w:fldChar w:fldCharType="separate"/>
        </w:r>
        <w:r w:rsidR="00803DBE">
          <w:rPr>
            <w:noProof/>
            <w:webHidden/>
          </w:rPr>
          <w:t>15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76" w:history="1">
        <w:r w:rsidR="00F30AE2" w:rsidRPr="00762A4E">
          <w:rPr>
            <w:rStyle w:val="Hyperlink"/>
            <w:rFonts w:cs="Arial"/>
            <w:noProof/>
            <w:snapToGrid w:val="0"/>
            <w:w w:val="0"/>
          </w:rPr>
          <w:t>2.3.3</w:t>
        </w:r>
        <w:r w:rsidR="00F30AE2">
          <w:rPr>
            <w:rFonts w:asciiTheme="minorHAnsi" w:eastAsiaTheme="minorEastAsia" w:hAnsiTheme="minorHAnsi"/>
            <w:i w:val="0"/>
            <w:noProof/>
            <w:sz w:val="22"/>
          </w:rPr>
          <w:tab/>
        </w:r>
        <w:r w:rsidR="00F30AE2" w:rsidRPr="00762A4E">
          <w:rPr>
            <w:rStyle w:val="Hyperlink"/>
            <w:noProof/>
          </w:rPr>
          <w:t>Achievable Potential</w:t>
        </w:r>
        <w:r w:rsidR="00F30AE2">
          <w:rPr>
            <w:noProof/>
            <w:webHidden/>
          </w:rPr>
          <w:tab/>
        </w:r>
        <w:r w:rsidR="00F30AE2">
          <w:rPr>
            <w:noProof/>
            <w:webHidden/>
          </w:rPr>
          <w:fldChar w:fldCharType="begin"/>
        </w:r>
        <w:r w:rsidR="00F30AE2">
          <w:rPr>
            <w:noProof/>
            <w:webHidden/>
          </w:rPr>
          <w:instrText xml:space="preserve"> PAGEREF _Toc412628376 \h </w:instrText>
        </w:r>
        <w:r w:rsidR="00F30AE2">
          <w:rPr>
            <w:noProof/>
            <w:webHidden/>
          </w:rPr>
        </w:r>
        <w:r w:rsidR="00F30AE2">
          <w:rPr>
            <w:noProof/>
            <w:webHidden/>
          </w:rPr>
          <w:fldChar w:fldCharType="separate"/>
        </w:r>
        <w:r w:rsidR="00803DBE">
          <w:rPr>
            <w:noProof/>
            <w:webHidden/>
          </w:rPr>
          <w:t>16</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77" w:history="1">
        <w:r w:rsidR="00F30AE2" w:rsidRPr="00762A4E">
          <w:rPr>
            <w:rStyle w:val="Hyperlink"/>
            <w:rFonts w:cs="Arial"/>
            <w:noProof/>
            <w:snapToGrid w:val="0"/>
            <w:w w:val="0"/>
          </w:rPr>
          <w:t>2.3.4</w:t>
        </w:r>
        <w:r w:rsidR="00F30AE2">
          <w:rPr>
            <w:rFonts w:asciiTheme="minorHAnsi" w:eastAsiaTheme="minorEastAsia" w:hAnsiTheme="minorHAnsi"/>
            <w:i w:val="0"/>
            <w:noProof/>
            <w:sz w:val="22"/>
          </w:rPr>
          <w:tab/>
        </w:r>
        <w:r w:rsidR="00F30AE2" w:rsidRPr="00762A4E">
          <w:rPr>
            <w:rStyle w:val="Hyperlink"/>
            <w:noProof/>
          </w:rPr>
          <w:t>Program Potential</w:t>
        </w:r>
        <w:r w:rsidR="00F30AE2">
          <w:rPr>
            <w:noProof/>
            <w:webHidden/>
          </w:rPr>
          <w:tab/>
        </w:r>
        <w:r w:rsidR="00F30AE2">
          <w:rPr>
            <w:noProof/>
            <w:webHidden/>
          </w:rPr>
          <w:fldChar w:fldCharType="begin"/>
        </w:r>
        <w:r w:rsidR="00F30AE2">
          <w:rPr>
            <w:noProof/>
            <w:webHidden/>
          </w:rPr>
          <w:instrText xml:space="preserve"> PAGEREF _Toc412628377 \h </w:instrText>
        </w:r>
        <w:r w:rsidR="00F30AE2">
          <w:rPr>
            <w:noProof/>
            <w:webHidden/>
          </w:rPr>
        </w:r>
        <w:r w:rsidR="00F30AE2">
          <w:rPr>
            <w:noProof/>
            <w:webHidden/>
          </w:rPr>
          <w:fldChar w:fldCharType="separate"/>
        </w:r>
        <w:r w:rsidR="00803DBE">
          <w:rPr>
            <w:noProof/>
            <w:webHidden/>
          </w:rPr>
          <w:t>16</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78" w:history="1">
        <w:r w:rsidR="00F30AE2" w:rsidRPr="00762A4E">
          <w:rPr>
            <w:rStyle w:val="Hyperlink"/>
            <w:noProof/>
          </w:rPr>
          <w:t>2.4 Peak Load Consumption</w:t>
        </w:r>
        <w:r w:rsidR="00F30AE2">
          <w:rPr>
            <w:noProof/>
            <w:webHidden/>
          </w:rPr>
          <w:tab/>
        </w:r>
        <w:r w:rsidR="00F30AE2">
          <w:rPr>
            <w:noProof/>
            <w:webHidden/>
          </w:rPr>
          <w:fldChar w:fldCharType="begin"/>
        </w:r>
        <w:r w:rsidR="00F30AE2">
          <w:rPr>
            <w:noProof/>
            <w:webHidden/>
          </w:rPr>
          <w:instrText xml:space="preserve"> PAGEREF _Toc412628378 \h </w:instrText>
        </w:r>
        <w:r w:rsidR="00F30AE2">
          <w:rPr>
            <w:noProof/>
            <w:webHidden/>
          </w:rPr>
        </w:r>
        <w:r w:rsidR="00F30AE2">
          <w:rPr>
            <w:noProof/>
            <w:webHidden/>
          </w:rPr>
          <w:fldChar w:fldCharType="separate"/>
        </w:r>
        <w:r w:rsidR="00803DBE">
          <w:rPr>
            <w:noProof/>
            <w:webHidden/>
          </w:rPr>
          <w:t>17</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79" w:history="1">
        <w:r w:rsidR="00F30AE2" w:rsidRPr="00762A4E">
          <w:rPr>
            <w:rStyle w:val="Hyperlink"/>
            <w:rFonts w:cs="Arial"/>
            <w:noProof/>
            <w:snapToGrid w:val="0"/>
            <w:w w:val="0"/>
          </w:rPr>
          <w:t>2.4.1</w:t>
        </w:r>
        <w:r w:rsidR="00F30AE2">
          <w:rPr>
            <w:rFonts w:asciiTheme="minorHAnsi" w:eastAsiaTheme="minorEastAsia" w:hAnsiTheme="minorHAnsi"/>
            <w:i w:val="0"/>
            <w:noProof/>
            <w:sz w:val="22"/>
          </w:rPr>
          <w:tab/>
        </w:r>
        <w:r w:rsidR="00F30AE2" w:rsidRPr="00762A4E">
          <w:rPr>
            <w:rStyle w:val="Hyperlink"/>
            <w:noProof/>
          </w:rPr>
          <w:t>Peak Load Consumption by Sector</w:t>
        </w:r>
        <w:r w:rsidR="00F30AE2">
          <w:rPr>
            <w:noProof/>
            <w:webHidden/>
          </w:rPr>
          <w:tab/>
        </w:r>
        <w:r w:rsidR="00F30AE2">
          <w:rPr>
            <w:noProof/>
            <w:webHidden/>
          </w:rPr>
          <w:fldChar w:fldCharType="begin"/>
        </w:r>
        <w:r w:rsidR="00F30AE2">
          <w:rPr>
            <w:noProof/>
            <w:webHidden/>
          </w:rPr>
          <w:instrText xml:space="preserve"> PAGEREF _Toc412628379 \h </w:instrText>
        </w:r>
        <w:r w:rsidR="00F30AE2">
          <w:rPr>
            <w:noProof/>
            <w:webHidden/>
          </w:rPr>
        </w:r>
        <w:r w:rsidR="00F30AE2">
          <w:rPr>
            <w:noProof/>
            <w:webHidden/>
          </w:rPr>
          <w:fldChar w:fldCharType="separate"/>
        </w:r>
        <w:r w:rsidR="00803DBE">
          <w:rPr>
            <w:noProof/>
            <w:webHidden/>
          </w:rPr>
          <w:t>18</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80" w:history="1">
        <w:r w:rsidR="00F30AE2" w:rsidRPr="00762A4E">
          <w:rPr>
            <w:rStyle w:val="Hyperlink"/>
            <w:rFonts w:cs="Arial"/>
            <w:noProof/>
            <w:snapToGrid w:val="0"/>
            <w:w w:val="0"/>
          </w:rPr>
          <w:t>2.4.2</w:t>
        </w:r>
        <w:r w:rsidR="00F30AE2">
          <w:rPr>
            <w:rFonts w:asciiTheme="minorHAnsi" w:eastAsiaTheme="minorEastAsia" w:hAnsiTheme="minorHAnsi"/>
            <w:i w:val="0"/>
            <w:noProof/>
            <w:sz w:val="22"/>
          </w:rPr>
          <w:tab/>
        </w:r>
        <w:r w:rsidR="00F30AE2" w:rsidRPr="00762A4E">
          <w:rPr>
            <w:rStyle w:val="Hyperlink"/>
            <w:noProof/>
          </w:rPr>
          <w:t>Peak Load Consumption by Commercial Segment</w:t>
        </w:r>
        <w:r w:rsidR="00F30AE2">
          <w:rPr>
            <w:noProof/>
            <w:webHidden/>
          </w:rPr>
          <w:tab/>
        </w:r>
        <w:r w:rsidR="00F30AE2">
          <w:rPr>
            <w:noProof/>
            <w:webHidden/>
          </w:rPr>
          <w:fldChar w:fldCharType="begin"/>
        </w:r>
        <w:r w:rsidR="00F30AE2">
          <w:rPr>
            <w:noProof/>
            <w:webHidden/>
          </w:rPr>
          <w:instrText xml:space="preserve"> PAGEREF _Toc412628380 \h </w:instrText>
        </w:r>
        <w:r w:rsidR="00F30AE2">
          <w:rPr>
            <w:noProof/>
            <w:webHidden/>
          </w:rPr>
        </w:r>
        <w:r w:rsidR="00F30AE2">
          <w:rPr>
            <w:noProof/>
            <w:webHidden/>
          </w:rPr>
          <w:fldChar w:fldCharType="separate"/>
        </w:r>
        <w:r w:rsidR="00803DBE">
          <w:rPr>
            <w:noProof/>
            <w:webHidden/>
          </w:rPr>
          <w:t>19</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81" w:history="1">
        <w:r w:rsidR="00F30AE2" w:rsidRPr="00762A4E">
          <w:rPr>
            <w:rStyle w:val="Hyperlink"/>
            <w:noProof/>
          </w:rPr>
          <w:t>2.5 Eligible Commercial and Industrial Accounts and Resource Categorization</w:t>
        </w:r>
        <w:r w:rsidR="00F30AE2">
          <w:rPr>
            <w:noProof/>
            <w:webHidden/>
          </w:rPr>
          <w:tab/>
        </w:r>
        <w:r w:rsidR="00F30AE2">
          <w:rPr>
            <w:noProof/>
            <w:webHidden/>
          </w:rPr>
          <w:fldChar w:fldCharType="begin"/>
        </w:r>
        <w:r w:rsidR="00F30AE2">
          <w:rPr>
            <w:noProof/>
            <w:webHidden/>
          </w:rPr>
          <w:instrText xml:space="preserve"> PAGEREF _Toc412628381 \h </w:instrText>
        </w:r>
        <w:r w:rsidR="00F30AE2">
          <w:rPr>
            <w:noProof/>
            <w:webHidden/>
          </w:rPr>
        </w:r>
        <w:r w:rsidR="00F30AE2">
          <w:rPr>
            <w:noProof/>
            <w:webHidden/>
          </w:rPr>
          <w:fldChar w:fldCharType="separate"/>
        </w:r>
        <w:r w:rsidR="00803DBE">
          <w:rPr>
            <w:noProof/>
            <w:webHidden/>
          </w:rPr>
          <w:t>20</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82" w:history="1">
        <w:r w:rsidR="00F30AE2" w:rsidRPr="00762A4E">
          <w:rPr>
            <w:rStyle w:val="Hyperlink"/>
            <w:noProof/>
          </w:rPr>
          <w:t>2.6 Economic Analysis</w:t>
        </w:r>
        <w:r w:rsidR="00F30AE2">
          <w:rPr>
            <w:noProof/>
            <w:webHidden/>
          </w:rPr>
          <w:tab/>
        </w:r>
        <w:r w:rsidR="00F30AE2">
          <w:rPr>
            <w:noProof/>
            <w:webHidden/>
          </w:rPr>
          <w:fldChar w:fldCharType="begin"/>
        </w:r>
        <w:r w:rsidR="00F30AE2">
          <w:rPr>
            <w:noProof/>
            <w:webHidden/>
          </w:rPr>
          <w:instrText xml:space="preserve"> PAGEREF _Toc412628382 \h </w:instrText>
        </w:r>
        <w:r w:rsidR="00F30AE2">
          <w:rPr>
            <w:noProof/>
            <w:webHidden/>
          </w:rPr>
        </w:r>
        <w:r w:rsidR="00F30AE2">
          <w:rPr>
            <w:noProof/>
            <w:webHidden/>
          </w:rPr>
          <w:fldChar w:fldCharType="separate"/>
        </w:r>
        <w:r w:rsidR="00803DBE">
          <w:rPr>
            <w:noProof/>
            <w:webHidden/>
          </w:rPr>
          <w:t>20</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83" w:history="1">
        <w:r w:rsidR="00F30AE2" w:rsidRPr="00762A4E">
          <w:rPr>
            <w:rStyle w:val="Hyperlink"/>
            <w:rFonts w:cs="Arial"/>
            <w:noProof/>
            <w:snapToGrid w:val="0"/>
            <w:w w:val="0"/>
          </w:rPr>
          <w:t>2.6.1</w:t>
        </w:r>
        <w:r w:rsidR="00F30AE2">
          <w:rPr>
            <w:rFonts w:asciiTheme="minorHAnsi" w:eastAsiaTheme="minorEastAsia" w:hAnsiTheme="minorHAnsi"/>
            <w:i w:val="0"/>
            <w:noProof/>
            <w:sz w:val="22"/>
          </w:rPr>
          <w:tab/>
        </w:r>
        <w:r w:rsidR="00F30AE2" w:rsidRPr="00762A4E">
          <w:rPr>
            <w:rStyle w:val="Hyperlink"/>
            <w:noProof/>
          </w:rPr>
          <w:t>Net Benefits as a Decision Criterion</w:t>
        </w:r>
        <w:r w:rsidR="00F30AE2">
          <w:rPr>
            <w:noProof/>
            <w:webHidden/>
          </w:rPr>
          <w:tab/>
        </w:r>
        <w:r w:rsidR="00F30AE2">
          <w:rPr>
            <w:noProof/>
            <w:webHidden/>
          </w:rPr>
          <w:fldChar w:fldCharType="begin"/>
        </w:r>
        <w:r w:rsidR="00F30AE2">
          <w:rPr>
            <w:noProof/>
            <w:webHidden/>
          </w:rPr>
          <w:instrText xml:space="preserve"> PAGEREF _Toc412628383 \h </w:instrText>
        </w:r>
        <w:r w:rsidR="00F30AE2">
          <w:rPr>
            <w:noProof/>
            <w:webHidden/>
          </w:rPr>
        </w:r>
        <w:r w:rsidR="00F30AE2">
          <w:rPr>
            <w:noProof/>
            <w:webHidden/>
          </w:rPr>
          <w:fldChar w:fldCharType="separate"/>
        </w:r>
        <w:r w:rsidR="00803DBE">
          <w:rPr>
            <w:noProof/>
            <w:webHidden/>
          </w:rPr>
          <w:t>21</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84" w:history="1">
        <w:r w:rsidR="00F30AE2" w:rsidRPr="00762A4E">
          <w:rPr>
            <w:rStyle w:val="Hyperlink"/>
            <w:rFonts w:cs="Arial"/>
            <w:noProof/>
            <w:snapToGrid w:val="0"/>
            <w:w w:val="0"/>
          </w:rPr>
          <w:t>2.6.2</w:t>
        </w:r>
        <w:r w:rsidR="00F30AE2">
          <w:rPr>
            <w:rFonts w:asciiTheme="minorHAnsi" w:eastAsiaTheme="minorEastAsia" w:hAnsiTheme="minorHAnsi"/>
            <w:i w:val="0"/>
            <w:noProof/>
            <w:sz w:val="22"/>
          </w:rPr>
          <w:tab/>
        </w:r>
        <w:r w:rsidR="00F30AE2" w:rsidRPr="00762A4E">
          <w:rPr>
            <w:rStyle w:val="Hyperlink"/>
            <w:noProof/>
          </w:rPr>
          <w:t>Avoided Generation Capacity Costs</w:t>
        </w:r>
        <w:r w:rsidR="00F30AE2">
          <w:rPr>
            <w:noProof/>
            <w:webHidden/>
          </w:rPr>
          <w:tab/>
        </w:r>
        <w:r w:rsidR="00F30AE2">
          <w:rPr>
            <w:noProof/>
            <w:webHidden/>
          </w:rPr>
          <w:fldChar w:fldCharType="begin"/>
        </w:r>
        <w:r w:rsidR="00F30AE2">
          <w:rPr>
            <w:noProof/>
            <w:webHidden/>
          </w:rPr>
          <w:instrText xml:space="preserve"> PAGEREF _Toc412628384 \h </w:instrText>
        </w:r>
        <w:r w:rsidR="00F30AE2">
          <w:rPr>
            <w:noProof/>
            <w:webHidden/>
          </w:rPr>
        </w:r>
        <w:r w:rsidR="00F30AE2">
          <w:rPr>
            <w:noProof/>
            <w:webHidden/>
          </w:rPr>
          <w:fldChar w:fldCharType="separate"/>
        </w:r>
        <w:r w:rsidR="00803DBE">
          <w:rPr>
            <w:noProof/>
            <w:webHidden/>
          </w:rPr>
          <w:t>23</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85" w:history="1">
        <w:r w:rsidR="00F30AE2" w:rsidRPr="00762A4E">
          <w:rPr>
            <w:rStyle w:val="Hyperlink"/>
            <w:rFonts w:cs="Arial"/>
            <w:noProof/>
            <w:snapToGrid w:val="0"/>
            <w:w w:val="0"/>
          </w:rPr>
          <w:t>2.6.3</w:t>
        </w:r>
        <w:r w:rsidR="00F30AE2">
          <w:rPr>
            <w:rFonts w:asciiTheme="minorHAnsi" w:eastAsiaTheme="minorEastAsia" w:hAnsiTheme="minorHAnsi"/>
            <w:i w:val="0"/>
            <w:noProof/>
            <w:sz w:val="22"/>
          </w:rPr>
          <w:tab/>
        </w:r>
        <w:r w:rsidR="00F30AE2" w:rsidRPr="00762A4E">
          <w:rPr>
            <w:rStyle w:val="Hyperlink"/>
            <w:noProof/>
          </w:rPr>
          <w:t>Program Costs</w:t>
        </w:r>
        <w:r w:rsidR="00F30AE2">
          <w:rPr>
            <w:noProof/>
            <w:webHidden/>
          </w:rPr>
          <w:tab/>
        </w:r>
        <w:r w:rsidR="00F30AE2">
          <w:rPr>
            <w:noProof/>
            <w:webHidden/>
          </w:rPr>
          <w:fldChar w:fldCharType="begin"/>
        </w:r>
        <w:r w:rsidR="00F30AE2">
          <w:rPr>
            <w:noProof/>
            <w:webHidden/>
          </w:rPr>
          <w:instrText xml:space="preserve"> PAGEREF _Toc412628385 \h </w:instrText>
        </w:r>
        <w:r w:rsidR="00F30AE2">
          <w:rPr>
            <w:noProof/>
            <w:webHidden/>
          </w:rPr>
        </w:r>
        <w:r w:rsidR="00F30AE2">
          <w:rPr>
            <w:noProof/>
            <w:webHidden/>
          </w:rPr>
          <w:fldChar w:fldCharType="separate"/>
        </w:r>
        <w:r w:rsidR="00803DBE">
          <w:rPr>
            <w:noProof/>
            <w:webHidden/>
          </w:rPr>
          <w:t>24</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86" w:history="1">
        <w:r w:rsidR="00F30AE2" w:rsidRPr="00762A4E">
          <w:rPr>
            <w:rStyle w:val="Hyperlink"/>
            <w:noProof/>
          </w:rPr>
          <w:t>2.7 DR Program Design</w:t>
        </w:r>
        <w:r w:rsidR="00F30AE2">
          <w:rPr>
            <w:noProof/>
            <w:webHidden/>
          </w:rPr>
          <w:tab/>
        </w:r>
        <w:r w:rsidR="00F30AE2">
          <w:rPr>
            <w:noProof/>
            <w:webHidden/>
          </w:rPr>
          <w:fldChar w:fldCharType="begin"/>
        </w:r>
        <w:r w:rsidR="00F30AE2">
          <w:rPr>
            <w:noProof/>
            <w:webHidden/>
          </w:rPr>
          <w:instrText xml:space="preserve"> PAGEREF _Toc412628386 \h </w:instrText>
        </w:r>
        <w:r w:rsidR="00F30AE2">
          <w:rPr>
            <w:noProof/>
            <w:webHidden/>
          </w:rPr>
        </w:r>
        <w:r w:rsidR="00F30AE2">
          <w:rPr>
            <w:noProof/>
            <w:webHidden/>
          </w:rPr>
          <w:fldChar w:fldCharType="separate"/>
        </w:r>
        <w:r w:rsidR="00803DBE">
          <w:rPr>
            <w:noProof/>
            <w:webHidden/>
          </w:rPr>
          <w:t>24</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87" w:history="1">
        <w:r w:rsidR="00F30AE2" w:rsidRPr="00762A4E">
          <w:rPr>
            <w:rStyle w:val="Hyperlink"/>
            <w:rFonts w:cs="Arial"/>
            <w:noProof/>
            <w:snapToGrid w:val="0"/>
            <w:w w:val="0"/>
          </w:rPr>
          <w:t>2.7.1</w:t>
        </w:r>
        <w:r w:rsidR="00F30AE2">
          <w:rPr>
            <w:rFonts w:asciiTheme="minorHAnsi" w:eastAsiaTheme="minorEastAsia" w:hAnsiTheme="minorHAnsi"/>
            <w:i w:val="0"/>
            <w:noProof/>
            <w:sz w:val="22"/>
          </w:rPr>
          <w:tab/>
        </w:r>
        <w:r w:rsidR="00F30AE2" w:rsidRPr="00762A4E">
          <w:rPr>
            <w:rStyle w:val="Hyperlink"/>
            <w:noProof/>
          </w:rPr>
          <w:t>Key Concepts</w:t>
        </w:r>
        <w:r w:rsidR="00F30AE2">
          <w:rPr>
            <w:noProof/>
            <w:webHidden/>
          </w:rPr>
          <w:tab/>
        </w:r>
        <w:r w:rsidR="00F30AE2">
          <w:rPr>
            <w:noProof/>
            <w:webHidden/>
          </w:rPr>
          <w:fldChar w:fldCharType="begin"/>
        </w:r>
        <w:r w:rsidR="00F30AE2">
          <w:rPr>
            <w:noProof/>
            <w:webHidden/>
          </w:rPr>
          <w:instrText xml:space="preserve"> PAGEREF _Toc412628387 \h </w:instrText>
        </w:r>
        <w:r w:rsidR="00F30AE2">
          <w:rPr>
            <w:noProof/>
            <w:webHidden/>
          </w:rPr>
        </w:r>
        <w:r w:rsidR="00F30AE2">
          <w:rPr>
            <w:noProof/>
            <w:webHidden/>
          </w:rPr>
          <w:fldChar w:fldCharType="separate"/>
        </w:r>
        <w:r w:rsidR="00803DBE">
          <w:rPr>
            <w:noProof/>
            <w:webHidden/>
          </w:rPr>
          <w:t>25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88" w:history="1">
        <w:r w:rsidR="00F30AE2" w:rsidRPr="00762A4E">
          <w:rPr>
            <w:rStyle w:val="Hyperlink"/>
            <w:rFonts w:cs="Arial"/>
            <w:noProof/>
            <w:snapToGrid w:val="0"/>
            <w:w w:val="0"/>
          </w:rPr>
          <w:t>2.7.2</w:t>
        </w:r>
        <w:r w:rsidR="00F30AE2">
          <w:rPr>
            <w:rFonts w:asciiTheme="minorHAnsi" w:eastAsiaTheme="minorEastAsia" w:hAnsiTheme="minorHAnsi"/>
            <w:i w:val="0"/>
            <w:noProof/>
            <w:sz w:val="22"/>
          </w:rPr>
          <w:tab/>
        </w:r>
        <w:r w:rsidR="00F30AE2" w:rsidRPr="00762A4E">
          <w:rPr>
            <w:rStyle w:val="Hyperlink"/>
            <w:noProof/>
          </w:rPr>
          <w:t>Methodology</w:t>
        </w:r>
        <w:r w:rsidR="00F30AE2">
          <w:rPr>
            <w:noProof/>
            <w:webHidden/>
          </w:rPr>
          <w:tab/>
        </w:r>
        <w:r w:rsidR="00F30AE2">
          <w:rPr>
            <w:noProof/>
            <w:webHidden/>
          </w:rPr>
          <w:fldChar w:fldCharType="begin"/>
        </w:r>
        <w:r w:rsidR="00F30AE2">
          <w:rPr>
            <w:noProof/>
            <w:webHidden/>
          </w:rPr>
          <w:instrText xml:space="preserve"> PAGEREF _Toc412628388 \h </w:instrText>
        </w:r>
        <w:r w:rsidR="00F30AE2">
          <w:rPr>
            <w:noProof/>
            <w:webHidden/>
          </w:rPr>
        </w:r>
        <w:r w:rsidR="00F30AE2">
          <w:rPr>
            <w:noProof/>
            <w:webHidden/>
          </w:rPr>
          <w:fldChar w:fldCharType="separate"/>
        </w:r>
        <w:r w:rsidR="00803DBE">
          <w:rPr>
            <w:noProof/>
            <w:webHidden/>
          </w:rPr>
          <w:t>26</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89" w:history="1">
        <w:r w:rsidR="00F30AE2" w:rsidRPr="00762A4E">
          <w:rPr>
            <w:rStyle w:val="Hyperlink"/>
            <w:rFonts w:cs="Arial"/>
            <w:noProof/>
            <w:snapToGrid w:val="0"/>
            <w:w w:val="0"/>
          </w:rPr>
          <w:t>2.7.3</w:t>
        </w:r>
        <w:r w:rsidR="00F30AE2">
          <w:rPr>
            <w:rFonts w:asciiTheme="minorHAnsi" w:eastAsiaTheme="minorEastAsia" w:hAnsiTheme="minorHAnsi"/>
            <w:i w:val="0"/>
            <w:noProof/>
            <w:sz w:val="22"/>
          </w:rPr>
          <w:tab/>
        </w:r>
        <w:r w:rsidR="00F30AE2" w:rsidRPr="00762A4E">
          <w:rPr>
            <w:rStyle w:val="Hyperlink"/>
            <w:noProof/>
          </w:rPr>
          <w:t>Results</w:t>
        </w:r>
        <w:r w:rsidR="00F30AE2">
          <w:rPr>
            <w:noProof/>
            <w:webHidden/>
          </w:rPr>
          <w:tab/>
        </w:r>
        <w:r w:rsidR="00F30AE2">
          <w:rPr>
            <w:noProof/>
            <w:webHidden/>
          </w:rPr>
          <w:fldChar w:fldCharType="begin"/>
        </w:r>
        <w:r w:rsidR="00F30AE2">
          <w:rPr>
            <w:noProof/>
            <w:webHidden/>
          </w:rPr>
          <w:instrText xml:space="preserve"> PAGEREF _Toc412628389 \h </w:instrText>
        </w:r>
        <w:r w:rsidR="00F30AE2">
          <w:rPr>
            <w:noProof/>
            <w:webHidden/>
          </w:rPr>
        </w:r>
        <w:r w:rsidR="00F30AE2">
          <w:rPr>
            <w:noProof/>
            <w:webHidden/>
          </w:rPr>
          <w:fldChar w:fldCharType="separate"/>
        </w:r>
        <w:r w:rsidR="00803DBE">
          <w:rPr>
            <w:noProof/>
            <w:webHidden/>
          </w:rPr>
          <w:t>26</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90" w:history="1">
        <w:r w:rsidR="00F30AE2" w:rsidRPr="00762A4E">
          <w:rPr>
            <w:rStyle w:val="Hyperlink"/>
            <w:rFonts w:cs="Arial"/>
            <w:noProof/>
            <w:snapToGrid w:val="0"/>
            <w:w w:val="0"/>
          </w:rPr>
          <w:t>2.7.4</w:t>
        </w:r>
        <w:r w:rsidR="00F30AE2">
          <w:rPr>
            <w:rFonts w:asciiTheme="minorHAnsi" w:eastAsiaTheme="minorEastAsia" w:hAnsiTheme="minorHAnsi"/>
            <w:i w:val="0"/>
            <w:noProof/>
            <w:sz w:val="22"/>
          </w:rPr>
          <w:tab/>
        </w:r>
        <w:r w:rsidR="00F30AE2" w:rsidRPr="00762A4E">
          <w:rPr>
            <w:rStyle w:val="Hyperlink"/>
            <w:noProof/>
          </w:rPr>
          <w:t>Conclusions</w:t>
        </w:r>
        <w:r w:rsidR="00F30AE2">
          <w:rPr>
            <w:noProof/>
            <w:webHidden/>
          </w:rPr>
          <w:tab/>
        </w:r>
        <w:r w:rsidR="00F30AE2">
          <w:rPr>
            <w:noProof/>
            <w:webHidden/>
          </w:rPr>
          <w:fldChar w:fldCharType="begin"/>
        </w:r>
        <w:r w:rsidR="00F30AE2">
          <w:rPr>
            <w:noProof/>
            <w:webHidden/>
          </w:rPr>
          <w:instrText xml:space="preserve"> PAGEREF _Toc412628390 \h </w:instrText>
        </w:r>
        <w:r w:rsidR="00F30AE2">
          <w:rPr>
            <w:noProof/>
            <w:webHidden/>
          </w:rPr>
        </w:r>
        <w:r w:rsidR="00F30AE2">
          <w:rPr>
            <w:noProof/>
            <w:webHidden/>
          </w:rPr>
          <w:fldChar w:fldCharType="separate"/>
        </w:r>
        <w:r w:rsidR="00803DBE">
          <w:rPr>
            <w:noProof/>
            <w:webHidden/>
          </w:rPr>
          <w:t>30</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91" w:history="1">
        <w:r w:rsidR="00F30AE2" w:rsidRPr="00762A4E">
          <w:rPr>
            <w:rStyle w:val="Hyperlink"/>
            <w:rFonts w:cs="Arial"/>
            <w:noProof/>
            <w:snapToGrid w:val="0"/>
            <w:w w:val="0"/>
          </w:rPr>
          <w:t>2.7.5</w:t>
        </w:r>
        <w:r w:rsidR="00F30AE2">
          <w:rPr>
            <w:rFonts w:asciiTheme="minorHAnsi" w:eastAsiaTheme="minorEastAsia" w:hAnsiTheme="minorHAnsi"/>
            <w:i w:val="0"/>
            <w:noProof/>
            <w:sz w:val="22"/>
          </w:rPr>
          <w:tab/>
        </w:r>
        <w:r w:rsidR="00F30AE2" w:rsidRPr="00762A4E">
          <w:rPr>
            <w:rStyle w:val="Hyperlink"/>
            <w:noProof/>
          </w:rPr>
          <w:t>Supplemental Findings</w:t>
        </w:r>
        <w:r w:rsidR="00F30AE2">
          <w:rPr>
            <w:noProof/>
            <w:webHidden/>
          </w:rPr>
          <w:tab/>
        </w:r>
        <w:r w:rsidR="00F30AE2">
          <w:rPr>
            <w:noProof/>
            <w:webHidden/>
          </w:rPr>
          <w:fldChar w:fldCharType="begin"/>
        </w:r>
        <w:r w:rsidR="00F30AE2">
          <w:rPr>
            <w:noProof/>
            <w:webHidden/>
          </w:rPr>
          <w:instrText xml:space="preserve"> PAGEREF _Toc412628391 \h </w:instrText>
        </w:r>
        <w:r w:rsidR="00F30AE2">
          <w:rPr>
            <w:noProof/>
            <w:webHidden/>
          </w:rPr>
        </w:r>
        <w:r w:rsidR="00F30AE2">
          <w:rPr>
            <w:noProof/>
            <w:webHidden/>
          </w:rPr>
          <w:fldChar w:fldCharType="separate"/>
        </w:r>
        <w:r w:rsidR="00803DBE">
          <w:rPr>
            <w:noProof/>
            <w:webHidden/>
          </w:rPr>
          <w:t>32</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92" w:history="1">
        <w:r w:rsidR="00F30AE2" w:rsidRPr="00762A4E">
          <w:rPr>
            <w:rStyle w:val="Hyperlink"/>
            <w:noProof/>
          </w:rPr>
          <w:t>2.8 Avoided Cost of Transmission and Distribution Capacity</w:t>
        </w:r>
        <w:r w:rsidR="00F30AE2">
          <w:rPr>
            <w:noProof/>
            <w:webHidden/>
          </w:rPr>
          <w:tab/>
        </w:r>
        <w:r w:rsidR="00F30AE2">
          <w:rPr>
            <w:noProof/>
            <w:webHidden/>
          </w:rPr>
          <w:fldChar w:fldCharType="begin"/>
        </w:r>
        <w:r w:rsidR="00F30AE2">
          <w:rPr>
            <w:noProof/>
            <w:webHidden/>
          </w:rPr>
          <w:instrText xml:space="preserve"> PAGEREF _Toc412628392 \h </w:instrText>
        </w:r>
        <w:r w:rsidR="00F30AE2">
          <w:rPr>
            <w:noProof/>
            <w:webHidden/>
          </w:rPr>
        </w:r>
        <w:r w:rsidR="00F30AE2">
          <w:rPr>
            <w:noProof/>
            <w:webHidden/>
          </w:rPr>
          <w:fldChar w:fldCharType="separate"/>
        </w:r>
        <w:r w:rsidR="00803DBE">
          <w:rPr>
            <w:noProof/>
            <w:webHidden/>
          </w:rPr>
          <w:t>34</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93" w:history="1">
        <w:r w:rsidR="00F30AE2" w:rsidRPr="00762A4E">
          <w:rPr>
            <w:rStyle w:val="Hyperlink"/>
            <w:rFonts w:cs="Arial"/>
            <w:noProof/>
            <w:snapToGrid w:val="0"/>
            <w:w w:val="0"/>
          </w:rPr>
          <w:t>2.8.1</w:t>
        </w:r>
        <w:r w:rsidR="00F30AE2">
          <w:rPr>
            <w:rFonts w:asciiTheme="minorHAnsi" w:eastAsiaTheme="minorEastAsia" w:hAnsiTheme="minorHAnsi"/>
            <w:i w:val="0"/>
            <w:noProof/>
            <w:sz w:val="22"/>
          </w:rPr>
          <w:tab/>
        </w:r>
        <w:r w:rsidR="00F30AE2" w:rsidRPr="00762A4E">
          <w:rPr>
            <w:rStyle w:val="Hyperlink"/>
            <w:noProof/>
          </w:rPr>
          <w:t>Summary of Recent Transmission and Distribution Avoided Cost Studies in Other Jurisdictions</w:t>
        </w:r>
        <w:r w:rsidR="00F30AE2">
          <w:rPr>
            <w:noProof/>
            <w:webHidden/>
          </w:rPr>
          <w:tab/>
        </w:r>
        <w:r w:rsidR="00F30AE2">
          <w:rPr>
            <w:noProof/>
            <w:webHidden/>
          </w:rPr>
          <w:fldChar w:fldCharType="begin"/>
        </w:r>
        <w:r w:rsidR="00F30AE2">
          <w:rPr>
            <w:noProof/>
            <w:webHidden/>
          </w:rPr>
          <w:instrText xml:space="preserve"> PAGEREF _Toc412628393 \h </w:instrText>
        </w:r>
        <w:r w:rsidR="00F30AE2">
          <w:rPr>
            <w:noProof/>
            <w:webHidden/>
          </w:rPr>
        </w:r>
        <w:r w:rsidR="00F30AE2">
          <w:rPr>
            <w:noProof/>
            <w:webHidden/>
          </w:rPr>
          <w:fldChar w:fldCharType="separate"/>
        </w:r>
        <w:r w:rsidR="00803DBE">
          <w:rPr>
            <w:noProof/>
            <w:webHidden/>
          </w:rPr>
          <w:t>34</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94" w:history="1">
        <w:r w:rsidR="00F30AE2" w:rsidRPr="00762A4E">
          <w:rPr>
            <w:rStyle w:val="Hyperlink"/>
            <w:rFonts w:cs="Arial"/>
            <w:noProof/>
            <w:snapToGrid w:val="0"/>
            <w:w w:val="0"/>
          </w:rPr>
          <w:t>2.8.2</w:t>
        </w:r>
        <w:r w:rsidR="00F30AE2">
          <w:rPr>
            <w:rFonts w:asciiTheme="minorHAnsi" w:eastAsiaTheme="minorEastAsia" w:hAnsiTheme="minorHAnsi"/>
            <w:i w:val="0"/>
            <w:noProof/>
            <w:sz w:val="22"/>
          </w:rPr>
          <w:tab/>
        </w:r>
        <w:r w:rsidR="00F30AE2" w:rsidRPr="00762A4E">
          <w:rPr>
            <w:rStyle w:val="Hyperlink"/>
            <w:noProof/>
          </w:rPr>
          <w:t>SWE Team Recommendation for Calculation Methodology for Transmission and Distribution Avoided Costs</w:t>
        </w:r>
        <w:r w:rsidR="00F30AE2">
          <w:rPr>
            <w:noProof/>
            <w:webHidden/>
          </w:rPr>
          <w:tab/>
        </w:r>
        <w:r w:rsidR="00F30AE2">
          <w:rPr>
            <w:noProof/>
            <w:webHidden/>
          </w:rPr>
          <w:fldChar w:fldCharType="begin"/>
        </w:r>
        <w:r w:rsidR="00F30AE2">
          <w:rPr>
            <w:noProof/>
            <w:webHidden/>
          </w:rPr>
          <w:instrText xml:space="preserve"> PAGEREF _Toc412628394 \h </w:instrText>
        </w:r>
        <w:r w:rsidR="00F30AE2">
          <w:rPr>
            <w:noProof/>
            <w:webHidden/>
          </w:rPr>
        </w:r>
        <w:r w:rsidR="00F30AE2">
          <w:rPr>
            <w:noProof/>
            <w:webHidden/>
          </w:rPr>
          <w:fldChar w:fldCharType="separate"/>
        </w:r>
        <w:r w:rsidR="00803DBE">
          <w:rPr>
            <w:noProof/>
            <w:webHidden/>
          </w:rPr>
          <w:t>38</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95" w:history="1">
        <w:r w:rsidR="00F30AE2" w:rsidRPr="00762A4E">
          <w:rPr>
            <w:rStyle w:val="Hyperlink"/>
            <w:rFonts w:cs="Arial"/>
            <w:noProof/>
            <w:snapToGrid w:val="0"/>
            <w:w w:val="0"/>
          </w:rPr>
          <w:t>2.8.3</w:t>
        </w:r>
        <w:r w:rsidR="00F30AE2">
          <w:rPr>
            <w:rFonts w:asciiTheme="minorHAnsi" w:eastAsiaTheme="minorEastAsia" w:hAnsiTheme="minorHAnsi"/>
            <w:i w:val="0"/>
            <w:noProof/>
            <w:sz w:val="22"/>
          </w:rPr>
          <w:tab/>
        </w:r>
        <w:r w:rsidR="00F30AE2" w:rsidRPr="00762A4E">
          <w:rPr>
            <w:rStyle w:val="Hyperlink"/>
            <w:noProof/>
          </w:rPr>
          <w:t>SWE Team T&amp;D Avoided Costs for Each Pennsylvania EDC</w:t>
        </w:r>
        <w:r w:rsidR="00F30AE2">
          <w:rPr>
            <w:noProof/>
            <w:webHidden/>
          </w:rPr>
          <w:tab/>
        </w:r>
        <w:r w:rsidR="00F30AE2">
          <w:rPr>
            <w:noProof/>
            <w:webHidden/>
          </w:rPr>
          <w:fldChar w:fldCharType="begin"/>
        </w:r>
        <w:r w:rsidR="00F30AE2">
          <w:rPr>
            <w:noProof/>
            <w:webHidden/>
          </w:rPr>
          <w:instrText xml:space="preserve"> PAGEREF _Toc412628395 \h </w:instrText>
        </w:r>
        <w:r w:rsidR="00F30AE2">
          <w:rPr>
            <w:noProof/>
            <w:webHidden/>
          </w:rPr>
        </w:r>
        <w:r w:rsidR="00F30AE2">
          <w:rPr>
            <w:noProof/>
            <w:webHidden/>
          </w:rPr>
          <w:fldChar w:fldCharType="separate"/>
        </w:r>
        <w:r w:rsidR="00803DBE">
          <w:rPr>
            <w:noProof/>
            <w:webHidden/>
          </w:rPr>
          <w:t>39</w:t>
        </w:r>
        <w:r w:rsidR="00F30AE2">
          <w:rPr>
            <w:noProof/>
            <w:webHidden/>
          </w:rPr>
          <w:fldChar w:fldCharType="end"/>
        </w:r>
      </w:hyperlink>
    </w:p>
    <w:p w:rsidR="00F30AE2" w:rsidRDefault="00E2011B">
      <w:pPr>
        <w:pStyle w:val="TOC1"/>
        <w:rPr>
          <w:rFonts w:asciiTheme="minorHAnsi" w:eastAsiaTheme="minorEastAsia" w:hAnsiTheme="minorHAnsi"/>
          <w:b w:val="0"/>
          <w:smallCaps w:val="0"/>
          <w:noProof/>
        </w:rPr>
      </w:pPr>
      <w:hyperlink w:anchor="_Toc412628396" w:history="1">
        <w:r w:rsidR="00F30AE2" w:rsidRPr="00762A4E">
          <w:rPr>
            <w:rStyle w:val="Hyperlink"/>
            <w:rFonts w:ascii="Britannic Bold" w:hAnsi="Britannic Bold"/>
            <w:noProof/>
            <w14:scene3d>
              <w14:camera w14:prst="orthographicFront"/>
              <w14:lightRig w14:rig="threePt" w14:dir="t">
                <w14:rot w14:lat="0" w14:lon="0" w14:rev="0"/>
              </w14:lightRig>
            </w14:scene3d>
          </w:rPr>
          <w:t>3</w:t>
        </w:r>
        <w:r w:rsidR="00F30AE2" w:rsidRPr="00762A4E">
          <w:rPr>
            <w:rStyle w:val="Hyperlink"/>
            <w:noProof/>
          </w:rPr>
          <w:t xml:space="preserve"> Characterization of Pennsylvania Service Areas &amp; Phase I/II Program Offerings</w:t>
        </w:r>
        <w:r w:rsidR="00F30AE2">
          <w:rPr>
            <w:noProof/>
            <w:webHidden/>
          </w:rPr>
          <w:tab/>
        </w:r>
        <w:r w:rsidR="00F30AE2">
          <w:rPr>
            <w:noProof/>
            <w:webHidden/>
          </w:rPr>
          <w:fldChar w:fldCharType="begin"/>
        </w:r>
        <w:r w:rsidR="00F30AE2">
          <w:rPr>
            <w:noProof/>
            <w:webHidden/>
          </w:rPr>
          <w:instrText xml:space="preserve"> PAGEREF _Toc412628396 \h </w:instrText>
        </w:r>
        <w:r w:rsidR="00F30AE2">
          <w:rPr>
            <w:noProof/>
            <w:webHidden/>
          </w:rPr>
        </w:r>
        <w:r w:rsidR="00F30AE2">
          <w:rPr>
            <w:noProof/>
            <w:webHidden/>
          </w:rPr>
          <w:fldChar w:fldCharType="separate"/>
        </w:r>
        <w:r w:rsidR="00803DBE">
          <w:rPr>
            <w:noProof/>
            <w:webHidden/>
          </w:rPr>
          <w:t>41</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97" w:history="1">
        <w:r w:rsidR="00F30AE2" w:rsidRPr="00762A4E">
          <w:rPr>
            <w:rStyle w:val="Hyperlink"/>
            <w:noProof/>
          </w:rPr>
          <w:t>3.1 EDC Areas</w:t>
        </w:r>
        <w:r w:rsidR="00F30AE2">
          <w:rPr>
            <w:noProof/>
            <w:webHidden/>
          </w:rPr>
          <w:tab/>
        </w:r>
        <w:r w:rsidR="00F30AE2">
          <w:rPr>
            <w:noProof/>
            <w:webHidden/>
          </w:rPr>
          <w:fldChar w:fldCharType="begin"/>
        </w:r>
        <w:r w:rsidR="00F30AE2">
          <w:rPr>
            <w:noProof/>
            <w:webHidden/>
          </w:rPr>
          <w:instrText xml:space="preserve"> PAGEREF _Toc412628397 \h </w:instrText>
        </w:r>
        <w:r w:rsidR="00F30AE2">
          <w:rPr>
            <w:noProof/>
            <w:webHidden/>
          </w:rPr>
        </w:r>
        <w:r w:rsidR="00F30AE2">
          <w:rPr>
            <w:noProof/>
            <w:webHidden/>
          </w:rPr>
          <w:fldChar w:fldCharType="separate"/>
        </w:r>
        <w:r w:rsidR="00803DBE">
          <w:rPr>
            <w:noProof/>
            <w:webHidden/>
          </w:rPr>
          <w:t>41</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398" w:history="1">
        <w:r w:rsidR="00F30AE2" w:rsidRPr="00762A4E">
          <w:rPr>
            <w:rStyle w:val="Hyperlink"/>
            <w:noProof/>
          </w:rPr>
          <w:t>3.2 Historical Load &amp; Statewide Load Forecast</w:t>
        </w:r>
        <w:r w:rsidR="00F30AE2">
          <w:rPr>
            <w:noProof/>
            <w:webHidden/>
          </w:rPr>
          <w:tab/>
        </w:r>
        <w:r w:rsidR="00F30AE2">
          <w:rPr>
            <w:noProof/>
            <w:webHidden/>
          </w:rPr>
          <w:fldChar w:fldCharType="begin"/>
        </w:r>
        <w:r w:rsidR="00F30AE2">
          <w:rPr>
            <w:noProof/>
            <w:webHidden/>
          </w:rPr>
          <w:instrText xml:space="preserve"> PAGEREF _Toc412628398 \h </w:instrText>
        </w:r>
        <w:r w:rsidR="00F30AE2">
          <w:rPr>
            <w:noProof/>
            <w:webHidden/>
          </w:rPr>
        </w:r>
        <w:r w:rsidR="00F30AE2">
          <w:rPr>
            <w:noProof/>
            <w:webHidden/>
          </w:rPr>
          <w:fldChar w:fldCharType="separate"/>
        </w:r>
        <w:r w:rsidR="00803DBE">
          <w:rPr>
            <w:noProof/>
            <w:webHidden/>
          </w:rPr>
          <w:t>42</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399" w:history="1">
        <w:r w:rsidR="00F30AE2" w:rsidRPr="00762A4E">
          <w:rPr>
            <w:rStyle w:val="Hyperlink"/>
            <w:rFonts w:cs="Arial"/>
            <w:noProof/>
            <w:snapToGrid w:val="0"/>
            <w:w w:val="0"/>
          </w:rPr>
          <w:t>3.2.1</w:t>
        </w:r>
        <w:r w:rsidR="00F30AE2">
          <w:rPr>
            <w:rFonts w:asciiTheme="minorHAnsi" w:eastAsiaTheme="minorEastAsia" w:hAnsiTheme="minorHAnsi"/>
            <w:i w:val="0"/>
            <w:noProof/>
            <w:sz w:val="22"/>
          </w:rPr>
          <w:tab/>
        </w:r>
        <w:r w:rsidR="00F30AE2" w:rsidRPr="00762A4E">
          <w:rPr>
            <w:rStyle w:val="Hyperlink"/>
            <w:noProof/>
          </w:rPr>
          <w:t>2012 Historical Load</w:t>
        </w:r>
        <w:r w:rsidR="00F30AE2">
          <w:rPr>
            <w:noProof/>
            <w:webHidden/>
          </w:rPr>
          <w:tab/>
        </w:r>
        <w:r w:rsidR="00F30AE2">
          <w:rPr>
            <w:noProof/>
            <w:webHidden/>
          </w:rPr>
          <w:fldChar w:fldCharType="begin"/>
        </w:r>
        <w:r w:rsidR="00F30AE2">
          <w:rPr>
            <w:noProof/>
            <w:webHidden/>
          </w:rPr>
          <w:instrText xml:space="preserve"> PAGEREF _Toc412628399 \h </w:instrText>
        </w:r>
        <w:r w:rsidR="00F30AE2">
          <w:rPr>
            <w:noProof/>
            <w:webHidden/>
          </w:rPr>
        </w:r>
        <w:r w:rsidR="00F30AE2">
          <w:rPr>
            <w:noProof/>
            <w:webHidden/>
          </w:rPr>
          <w:fldChar w:fldCharType="separate"/>
        </w:r>
        <w:r w:rsidR="00803DBE">
          <w:rPr>
            <w:noProof/>
            <w:webHidden/>
          </w:rPr>
          <w:t>42</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00" w:history="1">
        <w:r w:rsidR="00F30AE2" w:rsidRPr="00762A4E">
          <w:rPr>
            <w:rStyle w:val="Hyperlink"/>
            <w:rFonts w:cs="Arial"/>
            <w:noProof/>
            <w:snapToGrid w:val="0"/>
            <w:w w:val="0"/>
          </w:rPr>
          <w:t>3.2.2</w:t>
        </w:r>
        <w:r w:rsidR="00F30AE2">
          <w:rPr>
            <w:rFonts w:asciiTheme="minorHAnsi" w:eastAsiaTheme="minorEastAsia" w:hAnsiTheme="minorHAnsi"/>
            <w:i w:val="0"/>
            <w:noProof/>
            <w:sz w:val="22"/>
          </w:rPr>
          <w:tab/>
        </w:r>
        <w:r w:rsidR="00F30AE2" w:rsidRPr="00762A4E">
          <w:rPr>
            <w:rStyle w:val="Hyperlink"/>
            <w:noProof/>
          </w:rPr>
          <w:t>Statewide Load Forecast</w:t>
        </w:r>
        <w:r w:rsidR="00F30AE2">
          <w:rPr>
            <w:noProof/>
            <w:webHidden/>
          </w:rPr>
          <w:tab/>
        </w:r>
        <w:r w:rsidR="00F30AE2">
          <w:rPr>
            <w:noProof/>
            <w:webHidden/>
          </w:rPr>
          <w:fldChar w:fldCharType="begin"/>
        </w:r>
        <w:r w:rsidR="00F30AE2">
          <w:rPr>
            <w:noProof/>
            <w:webHidden/>
          </w:rPr>
          <w:instrText xml:space="preserve"> PAGEREF _Toc412628400 \h </w:instrText>
        </w:r>
        <w:r w:rsidR="00F30AE2">
          <w:rPr>
            <w:noProof/>
            <w:webHidden/>
          </w:rPr>
        </w:r>
        <w:r w:rsidR="00F30AE2">
          <w:rPr>
            <w:noProof/>
            <w:webHidden/>
          </w:rPr>
          <w:fldChar w:fldCharType="separate"/>
        </w:r>
        <w:r w:rsidR="00803DBE">
          <w:rPr>
            <w:noProof/>
            <w:webHidden/>
          </w:rPr>
          <w:t>42</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01" w:history="1">
        <w:r w:rsidR="00F30AE2" w:rsidRPr="00762A4E">
          <w:rPr>
            <w:rStyle w:val="Hyperlink"/>
            <w:noProof/>
          </w:rPr>
          <w:t>3.3 Phase I Program Data Review</w:t>
        </w:r>
        <w:r w:rsidR="00F30AE2">
          <w:rPr>
            <w:noProof/>
            <w:webHidden/>
          </w:rPr>
          <w:tab/>
        </w:r>
        <w:r w:rsidR="00F30AE2">
          <w:rPr>
            <w:noProof/>
            <w:webHidden/>
          </w:rPr>
          <w:fldChar w:fldCharType="begin"/>
        </w:r>
        <w:r w:rsidR="00F30AE2">
          <w:rPr>
            <w:noProof/>
            <w:webHidden/>
          </w:rPr>
          <w:instrText xml:space="preserve"> PAGEREF _Toc412628401 \h </w:instrText>
        </w:r>
        <w:r w:rsidR="00F30AE2">
          <w:rPr>
            <w:noProof/>
            <w:webHidden/>
          </w:rPr>
        </w:r>
        <w:r w:rsidR="00F30AE2">
          <w:rPr>
            <w:noProof/>
            <w:webHidden/>
          </w:rPr>
          <w:fldChar w:fldCharType="separate"/>
        </w:r>
        <w:r w:rsidR="00803DBE">
          <w:rPr>
            <w:noProof/>
            <w:webHidden/>
          </w:rPr>
          <w:t>43</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02" w:history="1">
        <w:r w:rsidR="00F30AE2" w:rsidRPr="00762A4E">
          <w:rPr>
            <w:rStyle w:val="Hyperlink"/>
            <w:rFonts w:cs="Arial"/>
            <w:noProof/>
            <w:snapToGrid w:val="0"/>
            <w:w w:val="0"/>
          </w:rPr>
          <w:t>3.3.1</w:t>
        </w:r>
        <w:r w:rsidR="00F30AE2">
          <w:rPr>
            <w:rFonts w:asciiTheme="minorHAnsi" w:eastAsiaTheme="minorEastAsia" w:hAnsiTheme="minorHAnsi"/>
            <w:i w:val="0"/>
            <w:noProof/>
            <w:sz w:val="22"/>
          </w:rPr>
          <w:tab/>
        </w:r>
        <w:r w:rsidR="00F30AE2" w:rsidRPr="00762A4E">
          <w:rPr>
            <w:rStyle w:val="Hyperlink"/>
            <w:noProof/>
          </w:rPr>
          <w:t>DR Program Savings</w:t>
        </w:r>
        <w:r w:rsidR="00F30AE2">
          <w:rPr>
            <w:noProof/>
            <w:webHidden/>
          </w:rPr>
          <w:tab/>
        </w:r>
        <w:r w:rsidR="00F30AE2">
          <w:rPr>
            <w:noProof/>
            <w:webHidden/>
          </w:rPr>
          <w:fldChar w:fldCharType="begin"/>
        </w:r>
        <w:r w:rsidR="00F30AE2">
          <w:rPr>
            <w:noProof/>
            <w:webHidden/>
          </w:rPr>
          <w:instrText xml:space="preserve"> PAGEREF _Toc412628402 \h </w:instrText>
        </w:r>
        <w:r w:rsidR="00F30AE2">
          <w:rPr>
            <w:noProof/>
            <w:webHidden/>
          </w:rPr>
        </w:r>
        <w:r w:rsidR="00F30AE2">
          <w:rPr>
            <w:noProof/>
            <w:webHidden/>
          </w:rPr>
          <w:fldChar w:fldCharType="separate"/>
        </w:r>
        <w:r w:rsidR="00803DBE">
          <w:rPr>
            <w:noProof/>
            <w:webHidden/>
          </w:rPr>
          <w:t>43</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03" w:history="1">
        <w:r w:rsidR="00F30AE2" w:rsidRPr="00762A4E">
          <w:rPr>
            <w:rStyle w:val="Hyperlink"/>
            <w:rFonts w:cs="Arial"/>
            <w:noProof/>
            <w:snapToGrid w:val="0"/>
            <w:w w:val="0"/>
          </w:rPr>
          <w:t>3.3.2</w:t>
        </w:r>
        <w:r w:rsidR="00F30AE2">
          <w:rPr>
            <w:rFonts w:asciiTheme="minorHAnsi" w:eastAsiaTheme="minorEastAsia" w:hAnsiTheme="minorHAnsi"/>
            <w:i w:val="0"/>
            <w:noProof/>
            <w:sz w:val="22"/>
          </w:rPr>
          <w:tab/>
        </w:r>
        <w:r w:rsidR="00F30AE2" w:rsidRPr="00762A4E">
          <w:rPr>
            <w:rStyle w:val="Hyperlink"/>
            <w:noProof/>
          </w:rPr>
          <w:t>Program Cost-Effectiveness</w:t>
        </w:r>
        <w:r w:rsidR="00F30AE2">
          <w:rPr>
            <w:noProof/>
            <w:webHidden/>
          </w:rPr>
          <w:tab/>
        </w:r>
        <w:r w:rsidR="00F30AE2">
          <w:rPr>
            <w:noProof/>
            <w:webHidden/>
          </w:rPr>
          <w:fldChar w:fldCharType="begin"/>
        </w:r>
        <w:r w:rsidR="00F30AE2">
          <w:rPr>
            <w:noProof/>
            <w:webHidden/>
          </w:rPr>
          <w:instrText xml:space="preserve"> PAGEREF _Toc412628403 \h </w:instrText>
        </w:r>
        <w:r w:rsidR="00F30AE2">
          <w:rPr>
            <w:noProof/>
            <w:webHidden/>
          </w:rPr>
        </w:r>
        <w:r w:rsidR="00F30AE2">
          <w:rPr>
            <w:noProof/>
            <w:webHidden/>
          </w:rPr>
          <w:fldChar w:fldCharType="separate"/>
        </w:r>
        <w:r w:rsidR="00803DBE">
          <w:rPr>
            <w:noProof/>
            <w:webHidden/>
          </w:rPr>
          <w:t>44</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04" w:history="1">
        <w:r w:rsidR="00F30AE2" w:rsidRPr="00762A4E">
          <w:rPr>
            <w:rStyle w:val="Hyperlink"/>
            <w:rFonts w:cs="Arial"/>
            <w:noProof/>
            <w:snapToGrid w:val="0"/>
            <w:w w:val="0"/>
          </w:rPr>
          <w:t>3.3.3</w:t>
        </w:r>
        <w:r w:rsidR="00F30AE2">
          <w:rPr>
            <w:rFonts w:asciiTheme="minorHAnsi" w:eastAsiaTheme="minorEastAsia" w:hAnsiTheme="minorHAnsi"/>
            <w:i w:val="0"/>
            <w:noProof/>
            <w:sz w:val="22"/>
          </w:rPr>
          <w:tab/>
        </w:r>
        <w:r w:rsidR="00F30AE2" w:rsidRPr="00762A4E">
          <w:rPr>
            <w:rStyle w:val="Hyperlink"/>
            <w:noProof/>
          </w:rPr>
          <w:t>Residential Load Control Performance</w:t>
        </w:r>
        <w:r w:rsidR="00F30AE2">
          <w:rPr>
            <w:noProof/>
            <w:webHidden/>
          </w:rPr>
          <w:tab/>
        </w:r>
        <w:r w:rsidR="00F30AE2">
          <w:rPr>
            <w:noProof/>
            <w:webHidden/>
          </w:rPr>
          <w:fldChar w:fldCharType="begin"/>
        </w:r>
        <w:r w:rsidR="00F30AE2">
          <w:rPr>
            <w:noProof/>
            <w:webHidden/>
          </w:rPr>
          <w:instrText xml:space="preserve"> PAGEREF _Toc412628404 \h </w:instrText>
        </w:r>
        <w:r w:rsidR="00F30AE2">
          <w:rPr>
            <w:noProof/>
            <w:webHidden/>
          </w:rPr>
        </w:r>
        <w:r w:rsidR="00F30AE2">
          <w:rPr>
            <w:noProof/>
            <w:webHidden/>
          </w:rPr>
          <w:fldChar w:fldCharType="separate"/>
        </w:r>
        <w:r w:rsidR="00803DBE">
          <w:rPr>
            <w:noProof/>
            <w:webHidden/>
          </w:rPr>
          <w:t>45</w:t>
        </w:r>
        <w:r w:rsidR="00F30AE2">
          <w:rPr>
            <w:noProof/>
            <w:webHidden/>
          </w:rPr>
          <w:fldChar w:fldCharType="end"/>
        </w:r>
      </w:hyperlink>
    </w:p>
    <w:p w:rsidR="00F30AE2" w:rsidRDefault="00E2011B">
      <w:pPr>
        <w:pStyle w:val="TOC1"/>
        <w:rPr>
          <w:rFonts w:asciiTheme="minorHAnsi" w:eastAsiaTheme="minorEastAsia" w:hAnsiTheme="minorHAnsi"/>
          <w:b w:val="0"/>
          <w:smallCaps w:val="0"/>
          <w:noProof/>
        </w:rPr>
      </w:pPr>
      <w:hyperlink w:anchor="_Toc412628405" w:history="1">
        <w:r w:rsidR="00F30AE2" w:rsidRPr="00762A4E">
          <w:rPr>
            <w:rStyle w:val="Hyperlink"/>
            <w:rFonts w:ascii="Britannic Bold" w:hAnsi="Britannic Bold"/>
            <w:noProof/>
            <w14:scene3d>
              <w14:camera w14:prst="orthographicFront"/>
              <w14:lightRig w14:rig="threePt" w14:dir="t">
                <w14:rot w14:lat="0" w14:lon="0" w14:rev="0"/>
              </w14:lightRig>
            </w14:scene3d>
          </w:rPr>
          <w:t>4</w:t>
        </w:r>
        <w:r w:rsidR="00F30AE2" w:rsidRPr="00762A4E">
          <w:rPr>
            <w:rStyle w:val="Hyperlink"/>
            <w:noProof/>
          </w:rPr>
          <w:t xml:space="preserve"> Residential DR Potential</w:t>
        </w:r>
        <w:r w:rsidR="00F30AE2">
          <w:rPr>
            <w:noProof/>
            <w:webHidden/>
          </w:rPr>
          <w:tab/>
        </w:r>
        <w:r w:rsidR="00F30AE2">
          <w:rPr>
            <w:noProof/>
            <w:webHidden/>
          </w:rPr>
          <w:fldChar w:fldCharType="begin"/>
        </w:r>
        <w:r w:rsidR="00F30AE2">
          <w:rPr>
            <w:noProof/>
            <w:webHidden/>
          </w:rPr>
          <w:instrText xml:space="preserve"> PAGEREF _Toc412628405 \h </w:instrText>
        </w:r>
        <w:r w:rsidR="00F30AE2">
          <w:rPr>
            <w:noProof/>
            <w:webHidden/>
          </w:rPr>
        </w:r>
        <w:r w:rsidR="00F30AE2">
          <w:rPr>
            <w:noProof/>
            <w:webHidden/>
          </w:rPr>
          <w:fldChar w:fldCharType="separate"/>
        </w:r>
        <w:r w:rsidR="00803DBE">
          <w:rPr>
            <w:noProof/>
            <w:webHidden/>
          </w:rPr>
          <w:t>55</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06" w:history="1">
        <w:r w:rsidR="00F30AE2" w:rsidRPr="00762A4E">
          <w:rPr>
            <w:rStyle w:val="Hyperlink"/>
            <w:noProof/>
          </w:rPr>
          <w:t>4.1 Summary</w:t>
        </w:r>
        <w:r w:rsidR="00F30AE2">
          <w:rPr>
            <w:noProof/>
            <w:webHidden/>
          </w:rPr>
          <w:tab/>
        </w:r>
        <w:r w:rsidR="00F30AE2">
          <w:rPr>
            <w:noProof/>
            <w:webHidden/>
          </w:rPr>
          <w:fldChar w:fldCharType="begin"/>
        </w:r>
        <w:r w:rsidR="00F30AE2">
          <w:rPr>
            <w:noProof/>
            <w:webHidden/>
          </w:rPr>
          <w:instrText xml:space="preserve"> PAGEREF _Toc412628406 \h </w:instrText>
        </w:r>
        <w:r w:rsidR="00F30AE2">
          <w:rPr>
            <w:noProof/>
            <w:webHidden/>
          </w:rPr>
        </w:r>
        <w:r w:rsidR="00F30AE2">
          <w:rPr>
            <w:noProof/>
            <w:webHidden/>
          </w:rPr>
          <w:fldChar w:fldCharType="separate"/>
        </w:r>
        <w:r w:rsidR="00803DBE">
          <w:rPr>
            <w:noProof/>
            <w:webHidden/>
          </w:rPr>
          <w:t>55</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07" w:history="1">
        <w:r w:rsidR="00F30AE2" w:rsidRPr="00762A4E">
          <w:rPr>
            <w:rStyle w:val="Hyperlink"/>
            <w:noProof/>
          </w:rPr>
          <w:t>4.2 Methodology</w:t>
        </w:r>
        <w:r w:rsidR="00F30AE2">
          <w:rPr>
            <w:noProof/>
            <w:webHidden/>
          </w:rPr>
          <w:tab/>
        </w:r>
        <w:r w:rsidR="00F30AE2">
          <w:rPr>
            <w:noProof/>
            <w:webHidden/>
          </w:rPr>
          <w:fldChar w:fldCharType="begin"/>
        </w:r>
        <w:r w:rsidR="00F30AE2">
          <w:rPr>
            <w:noProof/>
            <w:webHidden/>
          </w:rPr>
          <w:instrText xml:space="preserve"> PAGEREF _Toc412628407 \h </w:instrText>
        </w:r>
        <w:r w:rsidR="00F30AE2">
          <w:rPr>
            <w:noProof/>
            <w:webHidden/>
          </w:rPr>
        </w:r>
        <w:r w:rsidR="00F30AE2">
          <w:rPr>
            <w:noProof/>
            <w:webHidden/>
          </w:rPr>
          <w:fldChar w:fldCharType="separate"/>
        </w:r>
        <w:r w:rsidR="00803DBE">
          <w:rPr>
            <w:noProof/>
            <w:webHidden/>
          </w:rPr>
          <w:t>55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08" w:history="1">
        <w:r w:rsidR="00F30AE2" w:rsidRPr="00762A4E">
          <w:rPr>
            <w:rStyle w:val="Hyperlink"/>
            <w:rFonts w:cs="Arial"/>
            <w:noProof/>
            <w:snapToGrid w:val="0"/>
            <w:w w:val="0"/>
          </w:rPr>
          <w:t>4.2.1</w:t>
        </w:r>
        <w:r w:rsidR="00F30AE2">
          <w:rPr>
            <w:rFonts w:asciiTheme="minorHAnsi" w:eastAsiaTheme="minorEastAsia" w:hAnsiTheme="minorHAnsi"/>
            <w:i w:val="0"/>
            <w:noProof/>
            <w:sz w:val="22"/>
          </w:rPr>
          <w:tab/>
        </w:r>
        <w:r w:rsidR="00F30AE2" w:rsidRPr="00762A4E">
          <w:rPr>
            <w:rStyle w:val="Hyperlink"/>
            <w:noProof/>
          </w:rPr>
          <w:t>Participation Rates</w:t>
        </w:r>
        <w:r w:rsidR="00F30AE2">
          <w:rPr>
            <w:noProof/>
            <w:webHidden/>
          </w:rPr>
          <w:tab/>
        </w:r>
        <w:r w:rsidR="00F30AE2">
          <w:rPr>
            <w:noProof/>
            <w:webHidden/>
          </w:rPr>
          <w:fldChar w:fldCharType="begin"/>
        </w:r>
        <w:r w:rsidR="00F30AE2">
          <w:rPr>
            <w:noProof/>
            <w:webHidden/>
          </w:rPr>
          <w:instrText xml:space="preserve"> PAGEREF _Toc412628408 \h </w:instrText>
        </w:r>
        <w:r w:rsidR="00F30AE2">
          <w:rPr>
            <w:noProof/>
            <w:webHidden/>
          </w:rPr>
        </w:r>
        <w:r w:rsidR="00F30AE2">
          <w:rPr>
            <w:noProof/>
            <w:webHidden/>
          </w:rPr>
          <w:fldChar w:fldCharType="separate"/>
        </w:r>
        <w:r w:rsidR="00803DBE">
          <w:rPr>
            <w:noProof/>
            <w:webHidden/>
          </w:rPr>
          <w:t>55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09" w:history="1">
        <w:r w:rsidR="00F30AE2" w:rsidRPr="00762A4E">
          <w:rPr>
            <w:rStyle w:val="Hyperlink"/>
            <w:rFonts w:cs="Arial"/>
            <w:noProof/>
            <w:snapToGrid w:val="0"/>
            <w:w w:val="0"/>
          </w:rPr>
          <w:t>4.2.2</w:t>
        </w:r>
        <w:r w:rsidR="00F30AE2">
          <w:rPr>
            <w:rFonts w:asciiTheme="minorHAnsi" w:eastAsiaTheme="minorEastAsia" w:hAnsiTheme="minorHAnsi"/>
            <w:i w:val="0"/>
            <w:noProof/>
            <w:sz w:val="22"/>
          </w:rPr>
          <w:tab/>
        </w:r>
        <w:r w:rsidR="00F30AE2" w:rsidRPr="00762A4E">
          <w:rPr>
            <w:rStyle w:val="Hyperlink"/>
            <w:noProof/>
          </w:rPr>
          <w:t>Useful Lives and Failure Rates of Load Control Devices</w:t>
        </w:r>
        <w:r w:rsidR="00F30AE2">
          <w:rPr>
            <w:noProof/>
            <w:webHidden/>
          </w:rPr>
          <w:tab/>
        </w:r>
        <w:r w:rsidR="00F30AE2">
          <w:rPr>
            <w:noProof/>
            <w:webHidden/>
          </w:rPr>
          <w:fldChar w:fldCharType="begin"/>
        </w:r>
        <w:r w:rsidR="00F30AE2">
          <w:rPr>
            <w:noProof/>
            <w:webHidden/>
          </w:rPr>
          <w:instrText xml:space="preserve"> PAGEREF _Toc412628409 \h </w:instrText>
        </w:r>
        <w:r w:rsidR="00F30AE2">
          <w:rPr>
            <w:noProof/>
            <w:webHidden/>
          </w:rPr>
        </w:r>
        <w:r w:rsidR="00F30AE2">
          <w:rPr>
            <w:noProof/>
            <w:webHidden/>
          </w:rPr>
          <w:fldChar w:fldCharType="separate"/>
        </w:r>
        <w:r w:rsidR="00803DBE">
          <w:rPr>
            <w:noProof/>
            <w:webHidden/>
          </w:rPr>
          <w:t>59</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0" w:history="1">
        <w:r w:rsidR="00F30AE2" w:rsidRPr="00762A4E">
          <w:rPr>
            <w:rStyle w:val="Hyperlink"/>
            <w:rFonts w:cs="Arial"/>
            <w:noProof/>
            <w:snapToGrid w:val="0"/>
            <w:w w:val="0"/>
          </w:rPr>
          <w:t>4.2.3</w:t>
        </w:r>
        <w:r w:rsidR="00F30AE2">
          <w:rPr>
            <w:rFonts w:asciiTheme="minorHAnsi" w:eastAsiaTheme="minorEastAsia" w:hAnsiTheme="minorHAnsi"/>
            <w:i w:val="0"/>
            <w:noProof/>
            <w:sz w:val="22"/>
          </w:rPr>
          <w:tab/>
        </w:r>
        <w:r w:rsidR="00F30AE2" w:rsidRPr="00762A4E">
          <w:rPr>
            <w:rStyle w:val="Hyperlink"/>
            <w:noProof/>
          </w:rPr>
          <w:t>Load Control Events and Durations</w:t>
        </w:r>
        <w:r w:rsidR="00F30AE2">
          <w:rPr>
            <w:noProof/>
            <w:webHidden/>
          </w:rPr>
          <w:tab/>
        </w:r>
        <w:r w:rsidR="00F30AE2">
          <w:rPr>
            <w:noProof/>
            <w:webHidden/>
          </w:rPr>
          <w:fldChar w:fldCharType="begin"/>
        </w:r>
        <w:r w:rsidR="00F30AE2">
          <w:rPr>
            <w:noProof/>
            <w:webHidden/>
          </w:rPr>
          <w:instrText xml:space="preserve"> PAGEREF _Toc412628410 \h </w:instrText>
        </w:r>
        <w:r w:rsidR="00F30AE2">
          <w:rPr>
            <w:noProof/>
            <w:webHidden/>
          </w:rPr>
        </w:r>
        <w:r w:rsidR="00F30AE2">
          <w:rPr>
            <w:noProof/>
            <w:webHidden/>
          </w:rPr>
          <w:fldChar w:fldCharType="separate"/>
        </w:r>
        <w:r w:rsidR="00803DBE">
          <w:rPr>
            <w:noProof/>
            <w:webHidden/>
          </w:rPr>
          <w:t>59</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1" w:history="1">
        <w:r w:rsidR="00F30AE2" w:rsidRPr="00762A4E">
          <w:rPr>
            <w:rStyle w:val="Hyperlink"/>
            <w:rFonts w:cs="Arial"/>
            <w:noProof/>
            <w:snapToGrid w:val="0"/>
            <w:w w:val="0"/>
          </w:rPr>
          <w:t>4.2.4</w:t>
        </w:r>
        <w:r w:rsidR="00F30AE2">
          <w:rPr>
            <w:rFonts w:asciiTheme="minorHAnsi" w:eastAsiaTheme="minorEastAsia" w:hAnsiTheme="minorHAnsi"/>
            <w:i w:val="0"/>
            <w:noProof/>
            <w:sz w:val="22"/>
          </w:rPr>
          <w:tab/>
        </w:r>
        <w:r w:rsidR="00F30AE2" w:rsidRPr="00762A4E">
          <w:rPr>
            <w:rStyle w:val="Hyperlink"/>
            <w:noProof/>
          </w:rPr>
          <w:t>Peak Load Reductions per Unit Controlled</w:t>
        </w:r>
        <w:r w:rsidR="00F30AE2">
          <w:rPr>
            <w:noProof/>
            <w:webHidden/>
          </w:rPr>
          <w:tab/>
        </w:r>
        <w:r w:rsidR="00F30AE2">
          <w:rPr>
            <w:noProof/>
            <w:webHidden/>
          </w:rPr>
          <w:fldChar w:fldCharType="begin"/>
        </w:r>
        <w:r w:rsidR="00F30AE2">
          <w:rPr>
            <w:noProof/>
            <w:webHidden/>
          </w:rPr>
          <w:instrText xml:space="preserve"> PAGEREF _Toc412628411 \h </w:instrText>
        </w:r>
        <w:r w:rsidR="00F30AE2">
          <w:rPr>
            <w:noProof/>
            <w:webHidden/>
          </w:rPr>
        </w:r>
        <w:r w:rsidR="00F30AE2">
          <w:rPr>
            <w:noProof/>
            <w:webHidden/>
          </w:rPr>
          <w:fldChar w:fldCharType="separate"/>
        </w:r>
        <w:r w:rsidR="00803DBE">
          <w:rPr>
            <w:noProof/>
            <w:webHidden/>
          </w:rPr>
          <w:t>59</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2" w:history="1">
        <w:r w:rsidR="00F30AE2" w:rsidRPr="00762A4E">
          <w:rPr>
            <w:rStyle w:val="Hyperlink"/>
            <w:rFonts w:cs="Arial"/>
            <w:noProof/>
            <w:snapToGrid w:val="0"/>
            <w:w w:val="0"/>
          </w:rPr>
          <w:t>4.2.5</w:t>
        </w:r>
        <w:r w:rsidR="00F30AE2">
          <w:rPr>
            <w:rFonts w:asciiTheme="minorHAnsi" w:eastAsiaTheme="minorEastAsia" w:hAnsiTheme="minorHAnsi"/>
            <w:i w:val="0"/>
            <w:noProof/>
            <w:sz w:val="22"/>
          </w:rPr>
          <w:tab/>
        </w:r>
        <w:r w:rsidR="00F30AE2" w:rsidRPr="00762A4E">
          <w:rPr>
            <w:rStyle w:val="Hyperlink"/>
            <w:noProof/>
          </w:rPr>
          <w:t>Program Costs and Other Key Input Assumptions</w:t>
        </w:r>
        <w:r w:rsidR="00F30AE2">
          <w:rPr>
            <w:noProof/>
            <w:webHidden/>
          </w:rPr>
          <w:tab/>
        </w:r>
        <w:r w:rsidR="00F30AE2">
          <w:rPr>
            <w:noProof/>
            <w:webHidden/>
          </w:rPr>
          <w:fldChar w:fldCharType="begin"/>
        </w:r>
        <w:r w:rsidR="00F30AE2">
          <w:rPr>
            <w:noProof/>
            <w:webHidden/>
          </w:rPr>
          <w:instrText xml:space="preserve"> PAGEREF _Toc412628412 \h </w:instrText>
        </w:r>
        <w:r w:rsidR="00F30AE2">
          <w:rPr>
            <w:noProof/>
            <w:webHidden/>
          </w:rPr>
        </w:r>
        <w:r w:rsidR="00F30AE2">
          <w:rPr>
            <w:noProof/>
            <w:webHidden/>
          </w:rPr>
          <w:fldChar w:fldCharType="separate"/>
        </w:r>
        <w:r w:rsidR="00803DBE">
          <w:rPr>
            <w:noProof/>
            <w:webHidden/>
          </w:rPr>
          <w:t>59</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3" w:history="1">
        <w:r w:rsidR="00F30AE2" w:rsidRPr="00762A4E">
          <w:rPr>
            <w:rStyle w:val="Hyperlink"/>
            <w:rFonts w:cs="Arial"/>
            <w:noProof/>
            <w:snapToGrid w:val="0"/>
            <w:w w:val="0"/>
          </w:rPr>
          <w:t>4.2.6</w:t>
        </w:r>
        <w:r w:rsidR="00F30AE2">
          <w:rPr>
            <w:rFonts w:asciiTheme="minorHAnsi" w:eastAsiaTheme="minorEastAsia" w:hAnsiTheme="minorHAnsi"/>
            <w:i w:val="0"/>
            <w:noProof/>
            <w:sz w:val="22"/>
          </w:rPr>
          <w:tab/>
        </w:r>
        <w:r w:rsidR="00F30AE2" w:rsidRPr="00762A4E">
          <w:rPr>
            <w:rStyle w:val="Hyperlink"/>
            <w:noProof/>
          </w:rPr>
          <w:t>Budget Scenarios</w:t>
        </w:r>
        <w:r w:rsidR="00F30AE2">
          <w:rPr>
            <w:noProof/>
            <w:webHidden/>
          </w:rPr>
          <w:tab/>
        </w:r>
        <w:r w:rsidR="00F30AE2">
          <w:rPr>
            <w:noProof/>
            <w:webHidden/>
          </w:rPr>
          <w:fldChar w:fldCharType="begin"/>
        </w:r>
        <w:r w:rsidR="00F30AE2">
          <w:rPr>
            <w:noProof/>
            <w:webHidden/>
          </w:rPr>
          <w:instrText xml:space="preserve"> PAGEREF _Toc412628413 \h </w:instrText>
        </w:r>
        <w:r w:rsidR="00F30AE2">
          <w:rPr>
            <w:noProof/>
            <w:webHidden/>
          </w:rPr>
        </w:r>
        <w:r w:rsidR="00F30AE2">
          <w:rPr>
            <w:noProof/>
            <w:webHidden/>
          </w:rPr>
          <w:fldChar w:fldCharType="separate"/>
        </w:r>
        <w:r w:rsidR="00803DBE">
          <w:rPr>
            <w:noProof/>
            <w:webHidden/>
          </w:rPr>
          <w:t>62</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4" w:history="1">
        <w:r w:rsidR="00F30AE2" w:rsidRPr="00762A4E">
          <w:rPr>
            <w:rStyle w:val="Hyperlink"/>
            <w:rFonts w:cs="Arial"/>
            <w:noProof/>
            <w:snapToGrid w:val="0"/>
            <w:w w:val="0"/>
          </w:rPr>
          <w:t>4.2.7</w:t>
        </w:r>
        <w:r w:rsidR="00F30AE2">
          <w:rPr>
            <w:rFonts w:asciiTheme="minorHAnsi" w:eastAsiaTheme="minorEastAsia" w:hAnsiTheme="minorHAnsi"/>
            <w:i w:val="0"/>
            <w:noProof/>
            <w:sz w:val="22"/>
          </w:rPr>
          <w:tab/>
        </w:r>
        <w:r w:rsidR="00F30AE2" w:rsidRPr="00762A4E">
          <w:rPr>
            <w:rStyle w:val="Hyperlink"/>
            <w:noProof/>
          </w:rPr>
          <w:t>Cost-Effectiveness</w:t>
        </w:r>
        <w:r w:rsidR="00F30AE2">
          <w:rPr>
            <w:noProof/>
            <w:webHidden/>
          </w:rPr>
          <w:tab/>
        </w:r>
        <w:r w:rsidR="00F30AE2">
          <w:rPr>
            <w:noProof/>
            <w:webHidden/>
          </w:rPr>
          <w:fldChar w:fldCharType="begin"/>
        </w:r>
        <w:r w:rsidR="00F30AE2">
          <w:rPr>
            <w:noProof/>
            <w:webHidden/>
          </w:rPr>
          <w:instrText xml:space="preserve"> PAGEREF _Toc412628414 \h </w:instrText>
        </w:r>
        <w:r w:rsidR="00F30AE2">
          <w:rPr>
            <w:noProof/>
            <w:webHidden/>
          </w:rPr>
        </w:r>
        <w:r w:rsidR="00F30AE2">
          <w:rPr>
            <w:noProof/>
            <w:webHidden/>
          </w:rPr>
          <w:fldChar w:fldCharType="separate"/>
        </w:r>
        <w:r w:rsidR="00803DBE">
          <w:rPr>
            <w:noProof/>
            <w:webHidden/>
          </w:rPr>
          <w:t>62</w:t>
        </w:r>
        <w:r w:rsidR="00F30AE2">
          <w:rPr>
            <w:noProof/>
            <w:webHidden/>
          </w:rPr>
          <w:fldChar w:fldCharType="end"/>
        </w:r>
      </w:hyperlink>
    </w:p>
    <w:p w:rsidR="00F30AE2" w:rsidRDefault="00E2011B">
      <w:pPr>
        <w:pStyle w:val="TOC1"/>
        <w:rPr>
          <w:rFonts w:asciiTheme="minorHAnsi" w:eastAsiaTheme="minorEastAsia" w:hAnsiTheme="minorHAnsi"/>
          <w:b w:val="0"/>
          <w:smallCaps w:val="0"/>
          <w:noProof/>
        </w:rPr>
      </w:pPr>
      <w:hyperlink w:anchor="_Toc412628415" w:history="1">
        <w:r w:rsidR="00F30AE2" w:rsidRPr="00762A4E">
          <w:rPr>
            <w:rStyle w:val="Hyperlink"/>
            <w:rFonts w:ascii="Britannic Bold" w:hAnsi="Britannic Bold"/>
            <w:noProof/>
            <w14:scene3d>
              <w14:camera w14:prst="orthographicFront"/>
              <w14:lightRig w14:rig="threePt" w14:dir="t">
                <w14:rot w14:lat="0" w14:lon="0" w14:rev="0"/>
              </w14:lightRig>
            </w14:scene3d>
          </w:rPr>
          <w:t>5</w:t>
        </w:r>
        <w:r w:rsidR="00F30AE2" w:rsidRPr="00762A4E">
          <w:rPr>
            <w:rStyle w:val="Hyperlink"/>
            <w:noProof/>
          </w:rPr>
          <w:t xml:space="preserve"> Small and Medium Commercial Direct Load Control</w:t>
        </w:r>
        <w:r w:rsidR="00F30AE2">
          <w:rPr>
            <w:noProof/>
            <w:webHidden/>
          </w:rPr>
          <w:tab/>
        </w:r>
        <w:r w:rsidR="00F30AE2">
          <w:rPr>
            <w:noProof/>
            <w:webHidden/>
          </w:rPr>
          <w:fldChar w:fldCharType="begin"/>
        </w:r>
        <w:r w:rsidR="00F30AE2">
          <w:rPr>
            <w:noProof/>
            <w:webHidden/>
          </w:rPr>
          <w:instrText xml:space="preserve"> PAGEREF _Toc412628415 \h </w:instrText>
        </w:r>
        <w:r w:rsidR="00F30AE2">
          <w:rPr>
            <w:noProof/>
            <w:webHidden/>
          </w:rPr>
        </w:r>
        <w:r w:rsidR="00F30AE2">
          <w:rPr>
            <w:noProof/>
            <w:webHidden/>
          </w:rPr>
          <w:fldChar w:fldCharType="separate"/>
        </w:r>
        <w:r w:rsidR="00803DBE">
          <w:rPr>
            <w:noProof/>
            <w:webHidden/>
          </w:rPr>
          <w:t>65</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16" w:history="1">
        <w:r w:rsidR="00F30AE2" w:rsidRPr="00762A4E">
          <w:rPr>
            <w:rStyle w:val="Hyperlink"/>
            <w:noProof/>
          </w:rPr>
          <w:t>5.1 Methodology</w:t>
        </w:r>
        <w:r w:rsidR="00F30AE2">
          <w:rPr>
            <w:noProof/>
            <w:webHidden/>
          </w:rPr>
          <w:tab/>
        </w:r>
        <w:r w:rsidR="00F30AE2">
          <w:rPr>
            <w:noProof/>
            <w:webHidden/>
          </w:rPr>
          <w:fldChar w:fldCharType="begin"/>
        </w:r>
        <w:r w:rsidR="00F30AE2">
          <w:rPr>
            <w:noProof/>
            <w:webHidden/>
          </w:rPr>
          <w:instrText xml:space="preserve"> PAGEREF _Toc412628416 \h </w:instrText>
        </w:r>
        <w:r w:rsidR="00F30AE2">
          <w:rPr>
            <w:noProof/>
            <w:webHidden/>
          </w:rPr>
        </w:r>
        <w:r w:rsidR="00F30AE2">
          <w:rPr>
            <w:noProof/>
            <w:webHidden/>
          </w:rPr>
          <w:fldChar w:fldCharType="separate"/>
        </w:r>
        <w:r w:rsidR="00803DBE">
          <w:rPr>
            <w:noProof/>
            <w:webHidden/>
          </w:rPr>
          <w:t>65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7" w:history="1">
        <w:r w:rsidR="00F30AE2" w:rsidRPr="00762A4E">
          <w:rPr>
            <w:rStyle w:val="Hyperlink"/>
            <w:rFonts w:cs="Arial"/>
            <w:noProof/>
            <w:snapToGrid w:val="0"/>
            <w:w w:val="0"/>
          </w:rPr>
          <w:t>5.1.1</w:t>
        </w:r>
        <w:r w:rsidR="00F30AE2">
          <w:rPr>
            <w:rFonts w:asciiTheme="minorHAnsi" w:eastAsiaTheme="minorEastAsia" w:hAnsiTheme="minorHAnsi"/>
            <w:i w:val="0"/>
            <w:noProof/>
            <w:sz w:val="22"/>
          </w:rPr>
          <w:tab/>
        </w:r>
        <w:r w:rsidR="00F30AE2" w:rsidRPr="00762A4E">
          <w:rPr>
            <w:rStyle w:val="Hyperlink"/>
            <w:noProof/>
          </w:rPr>
          <w:t>PPL</w:t>
        </w:r>
        <w:r w:rsidR="00F30AE2">
          <w:rPr>
            <w:noProof/>
            <w:webHidden/>
          </w:rPr>
          <w:tab/>
        </w:r>
        <w:r w:rsidR="00F30AE2">
          <w:rPr>
            <w:noProof/>
            <w:webHidden/>
          </w:rPr>
          <w:fldChar w:fldCharType="begin"/>
        </w:r>
        <w:r w:rsidR="00F30AE2">
          <w:rPr>
            <w:noProof/>
            <w:webHidden/>
          </w:rPr>
          <w:instrText xml:space="preserve"> PAGEREF _Toc412628417 \h </w:instrText>
        </w:r>
        <w:r w:rsidR="00F30AE2">
          <w:rPr>
            <w:noProof/>
            <w:webHidden/>
          </w:rPr>
        </w:r>
        <w:r w:rsidR="00F30AE2">
          <w:rPr>
            <w:noProof/>
            <w:webHidden/>
          </w:rPr>
          <w:fldChar w:fldCharType="separate"/>
        </w:r>
        <w:r w:rsidR="00803DBE">
          <w:rPr>
            <w:noProof/>
            <w:webHidden/>
          </w:rPr>
          <w:t>65</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8" w:history="1">
        <w:r w:rsidR="00F30AE2" w:rsidRPr="00762A4E">
          <w:rPr>
            <w:rStyle w:val="Hyperlink"/>
            <w:rFonts w:cs="Arial"/>
            <w:noProof/>
            <w:snapToGrid w:val="0"/>
            <w:w w:val="0"/>
          </w:rPr>
          <w:t>5.1.2</w:t>
        </w:r>
        <w:r w:rsidR="00F30AE2">
          <w:rPr>
            <w:rFonts w:asciiTheme="minorHAnsi" w:eastAsiaTheme="minorEastAsia" w:hAnsiTheme="minorHAnsi"/>
            <w:i w:val="0"/>
            <w:noProof/>
            <w:sz w:val="22"/>
          </w:rPr>
          <w:tab/>
        </w:r>
        <w:r w:rsidR="00F30AE2" w:rsidRPr="00762A4E">
          <w:rPr>
            <w:rStyle w:val="Hyperlink"/>
            <w:noProof/>
          </w:rPr>
          <w:t>PECO and FirstEnergy</w:t>
        </w:r>
        <w:r w:rsidR="00F30AE2">
          <w:rPr>
            <w:noProof/>
            <w:webHidden/>
          </w:rPr>
          <w:tab/>
        </w:r>
        <w:r w:rsidR="00F30AE2">
          <w:rPr>
            <w:noProof/>
            <w:webHidden/>
          </w:rPr>
          <w:fldChar w:fldCharType="begin"/>
        </w:r>
        <w:r w:rsidR="00F30AE2">
          <w:rPr>
            <w:noProof/>
            <w:webHidden/>
          </w:rPr>
          <w:instrText xml:space="preserve"> PAGEREF _Toc412628418 \h </w:instrText>
        </w:r>
        <w:r w:rsidR="00F30AE2">
          <w:rPr>
            <w:noProof/>
            <w:webHidden/>
          </w:rPr>
        </w:r>
        <w:r w:rsidR="00F30AE2">
          <w:rPr>
            <w:noProof/>
            <w:webHidden/>
          </w:rPr>
          <w:fldChar w:fldCharType="separate"/>
        </w:r>
        <w:r w:rsidR="00803DBE">
          <w:rPr>
            <w:noProof/>
            <w:webHidden/>
          </w:rPr>
          <w:t>66</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19" w:history="1">
        <w:r w:rsidR="00F30AE2" w:rsidRPr="00762A4E">
          <w:rPr>
            <w:rStyle w:val="Hyperlink"/>
            <w:rFonts w:cs="Arial"/>
            <w:noProof/>
            <w:snapToGrid w:val="0"/>
            <w:w w:val="0"/>
          </w:rPr>
          <w:t>5.1.3</w:t>
        </w:r>
        <w:r w:rsidR="00F30AE2">
          <w:rPr>
            <w:rFonts w:asciiTheme="minorHAnsi" w:eastAsiaTheme="minorEastAsia" w:hAnsiTheme="minorHAnsi"/>
            <w:i w:val="0"/>
            <w:noProof/>
            <w:sz w:val="22"/>
          </w:rPr>
          <w:tab/>
        </w:r>
        <w:r w:rsidR="00F30AE2" w:rsidRPr="00762A4E">
          <w:rPr>
            <w:rStyle w:val="Hyperlink"/>
            <w:noProof/>
          </w:rPr>
          <w:t>Duquesne Light</w:t>
        </w:r>
        <w:r w:rsidR="00F30AE2">
          <w:rPr>
            <w:noProof/>
            <w:webHidden/>
          </w:rPr>
          <w:tab/>
        </w:r>
        <w:r w:rsidR="00F30AE2">
          <w:rPr>
            <w:noProof/>
            <w:webHidden/>
          </w:rPr>
          <w:fldChar w:fldCharType="begin"/>
        </w:r>
        <w:r w:rsidR="00F30AE2">
          <w:rPr>
            <w:noProof/>
            <w:webHidden/>
          </w:rPr>
          <w:instrText xml:space="preserve"> PAGEREF _Toc412628419 \h </w:instrText>
        </w:r>
        <w:r w:rsidR="00F30AE2">
          <w:rPr>
            <w:noProof/>
            <w:webHidden/>
          </w:rPr>
        </w:r>
        <w:r w:rsidR="00F30AE2">
          <w:rPr>
            <w:noProof/>
            <w:webHidden/>
          </w:rPr>
          <w:fldChar w:fldCharType="separate"/>
        </w:r>
        <w:r w:rsidR="00803DBE">
          <w:rPr>
            <w:noProof/>
            <w:webHidden/>
          </w:rPr>
          <w:t>67</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20" w:history="1">
        <w:r w:rsidR="00F30AE2" w:rsidRPr="00762A4E">
          <w:rPr>
            <w:rStyle w:val="Hyperlink"/>
            <w:rFonts w:cs="Arial"/>
            <w:noProof/>
            <w:snapToGrid w:val="0"/>
            <w:w w:val="0"/>
          </w:rPr>
          <w:t>5.1.4</w:t>
        </w:r>
        <w:r w:rsidR="00F30AE2">
          <w:rPr>
            <w:rFonts w:asciiTheme="minorHAnsi" w:eastAsiaTheme="minorEastAsia" w:hAnsiTheme="minorHAnsi"/>
            <w:i w:val="0"/>
            <w:noProof/>
            <w:sz w:val="22"/>
          </w:rPr>
          <w:tab/>
        </w:r>
        <w:r w:rsidR="00F30AE2" w:rsidRPr="00762A4E">
          <w:rPr>
            <w:rStyle w:val="Hyperlink"/>
            <w:noProof/>
          </w:rPr>
          <w:t>Size and Efficiency Assumptions</w:t>
        </w:r>
        <w:r w:rsidR="00F30AE2">
          <w:rPr>
            <w:noProof/>
            <w:webHidden/>
          </w:rPr>
          <w:tab/>
        </w:r>
        <w:r w:rsidR="00F30AE2">
          <w:rPr>
            <w:noProof/>
            <w:webHidden/>
          </w:rPr>
          <w:fldChar w:fldCharType="begin"/>
        </w:r>
        <w:r w:rsidR="00F30AE2">
          <w:rPr>
            <w:noProof/>
            <w:webHidden/>
          </w:rPr>
          <w:instrText xml:space="preserve"> PAGEREF _Toc412628420 \h </w:instrText>
        </w:r>
        <w:r w:rsidR="00F30AE2">
          <w:rPr>
            <w:noProof/>
            <w:webHidden/>
          </w:rPr>
        </w:r>
        <w:r w:rsidR="00F30AE2">
          <w:rPr>
            <w:noProof/>
            <w:webHidden/>
          </w:rPr>
          <w:fldChar w:fldCharType="separate"/>
        </w:r>
        <w:r w:rsidR="00803DBE">
          <w:rPr>
            <w:noProof/>
            <w:webHidden/>
          </w:rPr>
          <w:t>67</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21" w:history="1">
        <w:r w:rsidR="00F30AE2" w:rsidRPr="00762A4E">
          <w:rPr>
            <w:rStyle w:val="Hyperlink"/>
            <w:noProof/>
          </w:rPr>
          <w:t>5.2 DLC Benefits and Costs</w:t>
        </w:r>
        <w:r w:rsidR="00F30AE2">
          <w:rPr>
            <w:noProof/>
            <w:webHidden/>
          </w:rPr>
          <w:tab/>
        </w:r>
        <w:r w:rsidR="00F30AE2">
          <w:rPr>
            <w:noProof/>
            <w:webHidden/>
          </w:rPr>
          <w:fldChar w:fldCharType="begin"/>
        </w:r>
        <w:r w:rsidR="00F30AE2">
          <w:rPr>
            <w:noProof/>
            <w:webHidden/>
          </w:rPr>
          <w:instrText xml:space="preserve"> PAGEREF _Toc412628421 \h </w:instrText>
        </w:r>
        <w:r w:rsidR="00F30AE2">
          <w:rPr>
            <w:noProof/>
            <w:webHidden/>
          </w:rPr>
        </w:r>
        <w:r w:rsidR="00F30AE2">
          <w:rPr>
            <w:noProof/>
            <w:webHidden/>
          </w:rPr>
          <w:fldChar w:fldCharType="separate"/>
        </w:r>
        <w:r w:rsidR="00803DBE">
          <w:rPr>
            <w:noProof/>
            <w:webHidden/>
          </w:rPr>
          <w:t>68</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22" w:history="1">
        <w:r w:rsidR="00F30AE2" w:rsidRPr="00762A4E">
          <w:rPr>
            <w:rStyle w:val="Hyperlink"/>
            <w:noProof/>
          </w:rPr>
          <w:t>5.3 DLC Potential by EDC</w:t>
        </w:r>
        <w:r w:rsidR="00F30AE2">
          <w:rPr>
            <w:noProof/>
            <w:webHidden/>
          </w:rPr>
          <w:tab/>
        </w:r>
        <w:r w:rsidR="00F30AE2">
          <w:rPr>
            <w:noProof/>
            <w:webHidden/>
          </w:rPr>
          <w:fldChar w:fldCharType="begin"/>
        </w:r>
        <w:r w:rsidR="00F30AE2">
          <w:rPr>
            <w:noProof/>
            <w:webHidden/>
          </w:rPr>
          <w:instrText xml:space="preserve"> PAGEREF _Toc412628422 \h </w:instrText>
        </w:r>
        <w:r w:rsidR="00F30AE2">
          <w:rPr>
            <w:noProof/>
            <w:webHidden/>
          </w:rPr>
        </w:r>
        <w:r w:rsidR="00F30AE2">
          <w:rPr>
            <w:noProof/>
            <w:webHidden/>
          </w:rPr>
          <w:fldChar w:fldCharType="separate"/>
        </w:r>
        <w:r w:rsidR="00803DBE">
          <w:rPr>
            <w:noProof/>
            <w:webHidden/>
          </w:rPr>
          <w:t>70</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23" w:history="1">
        <w:r w:rsidR="00F30AE2" w:rsidRPr="00762A4E">
          <w:rPr>
            <w:rStyle w:val="Hyperlink"/>
            <w:noProof/>
          </w:rPr>
          <w:t>5.4 DLC Potential by Market Segment</w:t>
        </w:r>
        <w:r w:rsidR="00F30AE2">
          <w:rPr>
            <w:noProof/>
            <w:webHidden/>
          </w:rPr>
          <w:tab/>
        </w:r>
        <w:r w:rsidR="00F30AE2">
          <w:rPr>
            <w:noProof/>
            <w:webHidden/>
          </w:rPr>
          <w:fldChar w:fldCharType="begin"/>
        </w:r>
        <w:r w:rsidR="00F30AE2">
          <w:rPr>
            <w:noProof/>
            <w:webHidden/>
          </w:rPr>
          <w:instrText xml:space="preserve"> PAGEREF _Toc412628423 \h </w:instrText>
        </w:r>
        <w:r w:rsidR="00F30AE2">
          <w:rPr>
            <w:noProof/>
            <w:webHidden/>
          </w:rPr>
        </w:r>
        <w:r w:rsidR="00F30AE2">
          <w:rPr>
            <w:noProof/>
            <w:webHidden/>
          </w:rPr>
          <w:fldChar w:fldCharType="separate"/>
        </w:r>
        <w:r w:rsidR="00803DBE">
          <w:rPr>
            <w:noProof/>
            <w:webHidden/>
          </w:rPr>
          <w:t>71</w:t>
        </w:r>
        <w:r w:rsidR="00F30AE2">
          <w:rPr>
            <w:noProof/>
            <w:webHidden/>
          </w:rPr>
          <w:fldChar w:fldCharType="end"/>
        </w:r>
      </w:hyperlink>
    </w:p>
    <w:p w:rsidR="00F30AE2" w:rsidRDefault="00E2011B">
      <w:pPr>
        <w:pStyle w:val="TOC1"/>
        <w:rPr>
          <w:rFonts w:asciiTheme="minorHAnsi" w:eastAsiaTheme="minorEastAsia" w:hAnsiTheme="minorHAnsi"/>
          <w:b w:val="0"/>
          <w:smallCaps w:val="0"/>
          <w:noProof/>
        </w:rPr>
      </w:pPr>
      <w:hyperlink w:anchor="_Toc412628424" w:history="1">
        <w:r w:rsidR="00F30AE2" w:rsidRPr="00762A4E">
          <w:rPr>
            <w:rStyle w:val="Hyperlink"/>
            <w:rFonts w:ascii="Britannic Bold" w:hAnsi="Britannic Bold"/>
            <w:noProof/>
            <w14:scene3d>
              <w14:camera w14:prst="orthographicFront"/>
              <w14:lightRig w14:rig="threePt" w14:dir="t">
                <w14:rot w14:lat="0" w14:lon="0" w14:rev="0"/>
              </w14:lightRig>
            </w14:scene3d>
          </w:rPr>
          <w:t>6</w:t>
        </w:r>
        <w:r w:rsidR="00F30AE2" w:rsidRPr="00762A4E">
          <w:rPr>
            <w:rStyle w:val="Hyperlink"/>
            <w:noProof/>
          </w:rPr>
          <w:t xml:space="preserve"> Large Commercial and Industrial</w:t>
        </w:r>
        <w:r w:rsidR="00F30AE2">
          <w:rPr>
            <w:noProof/>
            <w:webHidden/>
          </w:rPr>
          <w:tab/>
        </w:r>
        <w:r w:rsidR="00F30AE2">
          <w:rPr>
            <w:noProof/>
            <w:webHidden/>
          </w:rPr>
          <w:fldChar w:fldCharType="begin"/>
        </w:r>
        <w:r w:rsidR="00F30AE2">
          <w:rPr>
            <w:noProof/>
            <w:webHidden/>
          </w:rPr>
          <w:instrText xml:space="preserve"> PAGEREF _Toc412628424 \h </w:instrText>
        </w:r>
        <w:r w:rsidR="00F30AE2">
          <w:rPr>
            <w:noProof/>
            <w:webHidden/>
          </w:rPr>
        </w:r>
        <w:r w:rsidR="00F30AE2">
          <w:rPr>
            <w:noProof/>
            <w:webHidden/>
          </w:rPr>
          <w:fldChar w:fldCharType="separate"/>
        </w:r>
        <w:r w:rsidR="00803DBE">
          <w:rPr>
            <w:noProof/>
            <w:webHidden/>
          </w:rPr>
          <w:t>73</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25" w:history="1">
        <w:r w:rsidR="00F30AE2" w:rsidRPr="00762A4E">
          <w:rPr>
            <w:rStyle w:val="Hyperlink"/>
            <w:noProof/>
          </w:rPr>
          <w:t>6.1 Methodology</w:t>
        </w:r>
        <w:r w:rsidR="00F30AE2">
          <w:rPr>
            <w:noProof/>
            <w:webHidden/>
          </w:rPr>
          <w:tab/>
        </w:r>
        <w:r w:rsidR="00F30AE2">
          <w:rPr>
            <w:noProof/>
            <w:webHidden/>
          </w:rPr>
          <w:fldChar w:fldCharType="begin"/>
        </w:r>
        <w:r w:rsidR="00F30AE2">
          <w:rPr>
            <w:noProof/>
            <w:webHidden/>
          </w:rPr>
          <w:instrText xml:space="preserve"> PAGEREF _Toc412628425 \h </w:instrText>
        </w:r>
        <w:r w:rsidR="00F30AE2">
          <w:rPr>
            <w:noProof/>
            <w:webHidden/>
          </w:rPr>
        </w:r>
        <w:r w:rsidR="00F30AE2">
          <w:rPr>
            <w:noProof/>
            <w:webHidden/>
          </w:rPr>
          <w:fldChar w:fldCharType="separate"/>
        </w:r>
        <w:r w:rsidR="00803DBE">
          <w:rPr>
            <w:noProof/>
            <w:webHidden/>
          </w:rPr>
          <w:t>73</w:t>
        </w:r>
        <w:r w:rsidR="00F30AE2">
          <w:rPr>
            <w:noProof/>
            <w:webHidden/>
          </w:rPr>
          <w:fldChar w:fldCharType="end"/>
        </w:r>
      </w:hyperlink>
    </w:p>
    <w:p w:rsidR="00F30AE2" w:rsidRDefault="00E2011B">
      <w:pPr>
        <w:pStyle w:val="TOC3"/>
        <w:rPr>
          <w:rFonts w:asciiTheme="minorHAnsi" w:eastAsiaTheme="minorEastAsia" w:hAnsiTheme="minorHAnsi"/>
          <w:i w:val="0"/>
          <w:noProof/>
          <w:sz w:val="22"/>
        </w:rPr>
      </w:pPr>
      <w:hyperlink w:anchor="_Toc412628426" w:history="1">
        <w:r w:rsidR="00F30AE2" w:rsidRPr="00762A4E">
          <w:rPr>
            <w:rStyle w:val="Hyperlink"/>
            <w:rFonts w:cs="Arial"/>
            <w:noProof/>
            <w:snapToGrid w:val="0"/>
            <w:w w:val="0"/>
          </w:rPr>
          <w:t>6.1.1</w:t>
        </w:r>
        <w:r w:rsidR="00F30AE2">
          <w:rPr>
            <w:rFonts w:asciiTheme="minorHAnsi" w:eastAsiaTheme="minorEastAsia" w:hAnsiTheme="minorHAnsi"/>
            <w:i w:val="0"/>
            <w:noProof/>
            <w:sz w:val="22"/>
          </w:rPr>
          <w:tab/>
        </w:r>
        <w:r w:rsidR="00F30AE2" w:rsidRPr="00762A4E">
          <w:rPr>
            <w:rStyle w:val="Hyperlink"/>
            <w:noProof/>
          </w:rPr>
          <w:t>Sample Calculation</w:t>
        </w:r>
        <w:r w:rsidR="00F30AE2">
          <w:rPr>
            <w:noProof/>
            <w:webHidden/>
          </w:rPr>
          <w:tab/>
        </w:r>
        <w:r w:rsidR="00F30AE2">
          <w:rPr>
            <w:noProof/>
            <w:webHidden/>
          </w:rPr>
          <w:fldChar w:fldCharType="begin"/>
        </w:r>
        <w:r w:rsidR="00F30AE2">
          <w:rPr>
            <w:noProof/>
            <w:webHidden/>
          </w:rPr>
          <w:instrText xml:space="preserve"> PAGEREF _Toc412628426 \h </w:instrText>
        </w:r>
        <w:r w:rsidR="00F30AE2">
          <w:rPr>
            <w:noProof/>
            <w:webHidden/>
          </w:rPr>
        </w:r>
        <w:r w:rsidR="00F30AE2">
          <w:rPr>
            <w:noProof/>
            <w:webHidden/>
          </w:rPr>
          <w:fldChar w:fldCharType="separate"/>
        </w:r>
        <w:r w:rsidR="00803DBE">
          <w:rPr>
            <w:noProof/>
            <w:webHidden/>
          </w:rPr>
          <w:t>77</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27" w:history="1">
        <w:r w:rsidR="00F30AE2" w:rsidRPr="00762A4E">
          <w:rPr>
            <w:rStyle w:val="Hyperlink"/>
            <w:noProof/>
          </w:rPr>
          <w:t>6.2 C&amp;I Benefits and Costs</w:t>
        </w:r>
        <w:r w:rsidR="00F30AE2">
          <w:rPr>
            <w:noProof/>
            <w:webHidden/>
          </w:rPr>
          <w:tab/>
        </w:r>
        <w:r w:rsidR="00F30AE2">
          <w:rPr>
            <w:noProof/>
            <w:webHidden/>
          </w:rPr>
          <w:fldChar w:fldCharType="begin"/>
        </w:r>
        <w:r w:rsidR="00F30AE2">
          <w:rPr>
            <w:noProof/>
            <w:webHidden/>
          </w:rPr>
          <w:instrText xml:space="preserve"> PAGEREF _Toc412628427 \h </w:instrText>
        </w:r>
        <w:r w:rsidR="00F30AE2">
          <w:rPr>
            <w:noProof/>
            <w:webHidden/>
          </w:rPr>
        </w:r>
        <w:r w:rsidR="00F30AE2">
          <w:rPr>
            <w:noProof/>
            <w:webHidden/>
          </w:rPr>
          <w:fldChar w:fldCharType="separate"/>
        </w:r>
        <w:r w:rsidR="00803DBE">
          <w:rPr>
            <w:noProof/>
            <w:webHidden/>
          </w:rPr>
          <w:t>78</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28" w:history="1">
        <w:r w:rsidR="00F30AE2" w:rsidRPr="00762A4E">
          <w:rPr>
            <w:rStyle w:val="Hyperlink"/>
            <w:noProof/>
          </w:rPr>
          <w:t>6.3 C&amp;I Potential by EDC</w:t>
        </w:r>
        <w:r w:rsidR="00F30AE2">
          <w:rPr>
            <w:noProof/>
            <w:webHidden/>
          </w:rPr>
          <w:tab/>
        </w:r>
        <w:r w:rsidR="00F30AE2">
          <w:rPr>
            <w:noProof/>
            <w:webHidden/>
          </w:rPr>
          <w:fldChar w:fldCharType="begin"/>
        </w:r>
        <w:r w:rsidR="00F30AE2">
          <w:rPr>
            <w:noProof/>
            <w:webHidden/>
          </w:rPr>
          <w:instrText xml:space="preserve"> PAGEREF _Toc412628428 \h </w:instrText>
        </w:r>
        <w:r w:rsidR="00F30AE2">
          <w:rPr>
            <w:noProof/>
            <w:webHidden/>
          </w:rPr>
        </w:r>
        <w:r w:rsidR="00F30AE2">
          <w:rPr>
            <w:noProof/>
            <w:webHidden/>
          </w:rPr>
          <w:fldChar w:fldCharType="separate"/>
        </w:r>
        <w:r w:rsidR="00803DBE">
          <w:rPr>
            <w:noProof/>
            <w:webHidden/>
          </w:rPr>
          <w:t>81</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29" w:history="1">
        <w:r w:rsidR="00F30AE2" w:rsidRPr="00762A4E">
          <w:rPr>
            <w:rStyle w:val="Hyperlink"/>
            <w:noProof/>
          </w:rPr>
          <w:t>6.4 C&amp;I Potential by Market Segment</w:t>
        </w:r>
        <w:r w:rsidR="00F30AE2">
          <w:rPr>
            <w:noProof/>
            <w:webHidden/>
          </w:rPr>
          <w:tab/>
        </w:r>
        <w:r w:rsidR="00F30AE2">
          <w:rPr>
            <w:noProof/>
            <w:webHidden/>
          </w:rPr>
          <w:fldChar w:fldCharType="begin"/>
        </w:r>
        <w:r w:rsidR="00F30AE2">
          <w:rPr>
            <w:noProof/>
            <w:webHidden/>
          </w:rPr>
          <w:instrText xml:space="preserve"> PAGEREF _Toc412628429 \h </w:instrText>
        </w:r>
        <w:r w:rsidR="00F30AE2">
          <w:rPr>
            <w:noProof/>
            <w:webHidden/>
          </w:rPr>
        </w:r>
        <w:r w:rsidR="00F30AE2">
          <w:rPr>
            <w:noProof/>
            <w:webHidden/>
          </w:rPr>
          <w:fldChar w:fldCharType="separate"/>
        </w:r>
        <w:r w:rsidR="00803DBE">
          <w:rPr>
            <w:noProof/>
            <w:webHidden/>
          </w:rPr>
          <w:t>84</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30" w:history="1">
        <w:r w:rsidR="00F30AE2" w:rsidRPr="00762A4E">
          <w:rPr>
            <w:rStyle w:val="Hyperlink"/>
            <w:noProof/>
          </w:rPr>
          <w:t>6.5 PJM Commitments</w:t>
        </w:r>
        <w:r w:rsidR="00F30AE2">
          <w:rPr>
            <w:noProof/>
            <w:webHidden/>
          </w:rPr>
          <w:tab/>
        </w:r>
        <w:r w:rsidR="00F30AE2">
          <w:rPr>
            <w:noProof/>
            <w:webHidden/>
          </w:rPr>
          <w:fldChar w:fldCharType="begin"/>
        </w:r>
        <w:r w:rsidR="00F30AE2">
          <w:rPr>
            <w:noProof/>
            <w:webHidden/>
          </w:rPr>
          <w:instrText xml:space="preserve"> PAGEREF _Toc412628430 \h </w:instrText>
        </w:r>
        <w:r w:rsidR="00F30AE2">
          <w:rPr>
            <w:noProof/>
            <w:webHidden/>
          </w:rPr>
        </w:r>
        <w:r w:rsidR="00F30AE2">
          <w:rPr>
            <w:noProof/>
            <w:webHidden/>
          </w:rPr>
          <w:fldChar w:fldCharType="separate"/>
        </w:r>
        <w:r w:rsidR="00803DBE">
          <w:rPr>
            <w:noProof/>
            <w:webHidden/>
          </w:rPr>
          <w:t>85</w:t>
        </w:r>
        <w:r w:rsidR="00F30AE2">
          <w:rPr>
            <w:noProof/>
            <w:webHidden/>
          </w:rPr>
          <w:fldChar w:fldCharType="end"/>
        </w:r>
      </w:hyperlink>
    </w:p>
    <w:p w:rsidR="00F30AE2" w:rsidRDefault="00E2011B">
      <w:pPr>
        <w:pStyle w:val="TOC1"/>
        <w:rPr>
          <w:rFonts w:asciiTheme="minorHAnsi" w:eastAsiaTheme="minorEastAsia" w:hAnsiTheme="minorHAnsi"/>
          <w:b w:val="0"/>
          <w:smallCaps w:val="0"/>
          <w:noProof/>
        </w:rPr>
      </w:pPr>
      <w:hyperlink w:anchor="_Toc412628431" w:history="1">
        <w:r w:rsidR="00F30AE2" w:rsidRPr="00762A4E">
          <w:rPr>
            <w:rStyle w:val="Hyperlink"/>
            <w:rFonts w:ascii="Britannic Bold" w:hAnsi="Britannic Bold"/>
            <w:noProof/>
            <w14:scene3d>
              <w14:camera w14:prst="orthographicFront"/>
              <w14:lightRig w14:rig="threePt" w14:dir="t">
                <w14:rot w14:lat="0" w14:lon="0" w14:rev="0"/>
              </w14:lightRig>
            </w14:scene3d>
          </w:rPr>
          <w:t>7</w:t>
        </w:r>
        <w:r w:rsidR="00F30AE2" w:rsidRPr="00762A4E">
          <w:rPr>
            <w:rStyle w:val="Hyperlink"/>
            <w:noProof/>
          </w:rPr>
          <w:t xml:space="preserve"> Program Potential Estimates</w:t>
        </w:r>
        <w:r w:rsidR="00F30AE2">
          <w:rPr>
            <w:noProof/>
            <w:webHidden/>
          </w:rPr>
          <w:tab/>
        </w:r>
        <w:r w:rsidR="00F30AE2">
          <w:rPr>
            <w:noProof/>
            <w:webHidden/>
          </w:rPr>
          <w:fldChar w:fldCharType="begin"/>
        </w:r>
        <w:r w:rsidR="00F30AE2">
          <w:rPr>
            <w:noProof/>
            <w:webHidden/>
          </w:rPr>
          <w:instrText xml:space="preserve"> PAGEREF _Toc412628431 \h </w:instrText>
        </w:r>
        <w:r w:rsidR="00F30AE2">
          <w:rPr>
            <w:noProof/>
            <w:webHidden/>
          </w:rPr>
        </w:r>
        <w:r w:rsidR="00F30AE2">
          <w:rPr>
            <w:noProof/>
            <w:webHidden/>
          </w:rPr>
          <w:fldChar w:fldCharType="separate"/>
        </w:r>
        <w:r w:rsidR="00803DBE">
          <w:rPr>
            <w:noProof/>
            <w:webHidden/>
          </w:rPr>
          <w:t>89</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32" w:history="1">
        <w:r w:rsidR="00F30AE2" w:rsidRPr="00762A4E">
          <w:rPr>
            <w:rStyle w:val="Hyperlink"/>
            <w:noProof/>
          </w:rPr>
          <w:t>7.1 DR Program Potential</w:t>
        </w:r>
        <w:r w:rsidR="00F30AE2">
          <w:rPr>
            <w:noProof/>
            <w:webHidden/>
          </w:rPr>
          <w:tab/>
        </w:r>
        <w:r w:rsidR="00F30AE2">
          <w:rPr>
            <w:noProof/>
            <w:webHidden/>
          </w:rPr>
          <w:fldChar w:fldCharType="begin"/>
        </w:r>
        <w:r w:rsidR="00F30AE2">
          <w:rPr>
            <w:noProof/>
            <w:webHidden/>
          </w:rPr>
          <w:instrText xml:space="preserve"> PAGEREF _Toc412628432 \h </w:instrText>
        </w:r>
        <w:r w:rsidR="00F30AE2">
          <w:rPr>
            <w:noProof/>
            <w:webHidden/>
          </w:rPr>
        </w:r>
        <w:r w:rsidR="00F30AE2">
          <w:rPr>
            <w:noProof/>
            <w:webHidden/>
          </w:rPr>
          <w:fldChar w:fldCharType="separate"/>
        </w:r>
        <w:r w:rsidR="00803DBE">
          <w:rPr>
            <w:noProof/>
            <w:webHidden/>
          </w:rPr>
          <w:t>89</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33" w:history="1">
        <w:r w:rsidR="00F30AE2" w:rsidRPr="00762A4E">
          <w:rPr>
            <w:rStyle w:val="Hyperlink"/>
            <w:noProof/>
          </w:rPr>
          <w:t>7.2 DR Program Potential Benefits and Costs</w:t>
        </w:r>
        <w:r w:rsidR="00F30AE2">
          <w:rPr>
            <w:noProof/>
            <w:webHidden/>
          </w:rPr>
          <w:tab/>
        </w:r>
        <w:r w:rsidR="00F30AE2">
          <w:rPr>
            <w:noProof/>
            <w:webHidden/>
          </w:rPr>
          <w:fldChar w:fldCharType="begin"/>
        </w:r>
        <w:r w:rsidR="00F30AE2">
          <w:rPr>
            <w:noProof/>
            <w:webHidden/>
          </w:rPr>
          <w:instrText xml:space="preserve"> PAGEREF _Toc412628433 \h </w:instrText>
        </w:r>
        <w:r w:rsidR="00F30AE2">
          <w:rPr>
            <w:noProof/>
            <w:webHidden/>
          </w:rPr>
        </w:r>
        <w:r w:rsidR="00F30AE2">
          <w:rPr>
            <w:noProof/>
            <w:webHidden/>
          </w:rPr>
          <w:fldChar w:fldCharType="separate"/>
        </w:r>
        <w:r w:rsidR="00803DBE">
          <w:rPr>
            <w:noProof/>
            <w:webHidden/>
          </w:rPr>
          <w:t>93</w:t>
        </w:r>
        <w:r w:rsidR="00F30AE2">
          <w:rPr>
            <w:noProof/>
            <w:webHidden/>
          </w:rPr>
          <w:fldChar w:fldCharType="end"/>
        </w:r>
      </w:hyperlink>
    </w:p>
    <w:p w:rsidR="00F30AE2" w:rsidRDefault="00E2011B">
      <w:pPr>
        <w:pStyle w:val="TOC2"/>
        <w:tabs>
          <w:tab w:val="right" w:leader="dot" w:pos="9350"/>
        </w:tabs>
        <w:rPr>
          <w:rFonts w:asciiTheme="minorHAnsi" w:eastAsiaTheme="minorEastAsia" w:hAnsiTheme="minorHAnsi"/>
          <w:noProof/>
          <w:sz w:val="22"/>
        </w:rPr>
      </w:pPr>
      <w:hyperlink w:anchor="_Toc412628434" w:history="1">
        <w:r w:rsidR="00F30AE2" w:rsidRPr="00762A4E">
          <w:rPr>
            <w:rStyle w:val="Hyperlink"/>
            <w:noProof/>
          </w:rPr>
          <w:t>7.3 Energy Efficiency and Demand Response Funding Scenarios</w:t>
        </w:r>
        <w:r w:rsidR="00F30AE2">
          <w:rPr>
            <w:noProof/>
            <w:webHidden/>
          </w:rPr>
          <w:tab/>
        </w:r>
        <w:r w:rsidR="00F30AE2">
          <w:rPr>
            <w:noProof/>
            <w:webHidden/>
          </w:rPr>
          <w:fldChar w:fldCharType="begin"/>
        </w:r>
        <w:r w:rsidR="00F30AE2">
          <w:rPr>
            <w:noProof/>
            <w:webHidden/>
          </w:rPr>
          <w:instrText xml:space="preserve"> PAGEREF _Toc412628434 \h </w:instrText>
        </w:r>
        <w:r w:rsidR="00F30AE2">
          <w:rPr>
            <w:noProof/>
            <w:webHidden/>
          </w:rPr>
        </w:r>
        <w:r w:rsidR="00F30AE2">
          <w:rPr>
            <w:noProof/>
            <w:webHidden/>
          </w:rPr>
          <w:fldChar w:fldCharType="separate"/>
        </w:r>
        <w:r w:rsidR="00803DBE">
          <w:rPr>
            <w:noProof/>
            <w:webHidden/>
          </w:rPr>
          <w:t>94</w:t>
        </w:r>
        <w:r w:rsidR="00F30AE2">
          <w:rPr>
            <w:noProof/>
            <w:webHidden/>
          </w:rPr>
          <w:fldChar w:fldCharType="end"/>
        </w:r>
      </w:hyperlink>
    </w:p>
    <w:p w:rsidR="009D2C1F" w:rsidRDefault="009D2C1F" w:rsidP="00A83ABC">
      <w:pPr>
        <w:rPr>
          <w:rFonts w:ascii="Century Gothic" w:hAnsi="Century Gothic"/>
          <w:b/>
          <w:smallCaps/>
          <w:sz w:val="28"/>
        </w:rPr>
      </w:pPr>
      <w:r>
        <w:rPr>
          <w:rFonts w:ascii="Century Gothic" w:hAnsi="Century Gothic"/>
          <w:b/>
          <w:smallCaps/>
          <w:sz w:val="28"/>
        </w:rPr>
        <w:fldChar w:fldCharType="end"/>
      </w:r>
    </w:p>
    <w:p w:rsidR="009D2C1F" w:rsidRDefault="009D2C1F" w:rsidP="00A83ABC">
      <w:pPr>
        <w:spacing w:after="200"/>
        <w:jc w:val="left"/>
        <w:rPr>
          <w:rFonts w:ascii="Century Gothic" w:hAnsi="Century Gothic"/>
          <w:b/>
          <w:bCs/>
          <w:smallCaps/>
          <w:color w:val="FFFFFF" w:themeColor="background1"/>
          <w:kern w:val="32"/>
          <w:sz w:val="30"/>
          <w:szCs w:val="30"/>
          <w14:shadow w14:blurRad="50800" w14:dist="38100" w14:dir="13500000" w14:sx="100000" w14:sy="100000" w14:kx="0" w14:ky="0" w14:algn="br">
            <w14:srgbClr w14:val="000000">
              <w14:alpha w14:val="60000"/>
            </w14:srgbClr>
          </w14:shadow>
        </w:rPr>
      </w:pPr>
      <w:r>
        <w:br w:type="page"/>
      </w:r>
    </w:p>
    <w:p w:rsidR="009D2C1F" w:rsidRDefault="009D2C1F" w:rsidP="00A83ABC">
      <w:pPr>
        <w:shd w:val="clear" w:color="auto" w:fill="448A99"/>
        <w:spacing w:after="120"/>
        <w:jc w:val="right"/>
      </w:pPr>
      <w:r>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lastRenderedPageBreak/>
        <w:t>List of Tables</w:t>
      </w:r>
    </w:p>
    <w:p w:rsidR="00F30AE2" w:rsidRDefault="009D2C1F">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412628435" w:history="1">
        <w:r w:rsidR="00F30AE2" w:rsidRPr="00FC0758">
          <w:rPr>
            <w:rStyle w:val="Hyperlink"/>
            <w:noProof/>
          </w:rPr>
          <w:t>Table 1</w:t>
        </w:r>
        <w:r w:rsidR="00F30AE2" w:rsidRPr="00FC0758">
          <w:rPr>
            <w:rStyle w:val="Hyperlink"/>
            <w:noProof/>
          </w:rPr>
          <w:noBreakHyphen/>
          <w:t>1: Annual DR Budget for Program Potential Scenarios</w:t>
        </w:r>
        <w:r w:rsidR="00F30AE2">
          <w:rPr>
            <w:noProof/>
            <w:webHidden/>
          </w:rPr>
          <w:tab/>
        </w:r>
        <w:r w:rsidR="00F30AE2">
          <w:rPr>
            <w:noProof/>
            <w:webHidden/>
          </w:rPr>
          <w:fldChar w:fldCharType="begin"/>
        </w:r>
        <w:r w:rsidR="00F30AE2">
          <w:rPr>
            <w:noProof/>
            <w:webHidden/>
          </w:rPr>
          <w:instrText xml:space="preserve"> PAGEREF _Toc412628435 \h </w:instrText>
        </w:r>
        <w:r w:rsidR="00F30AE2">
          <w:rPr>
            <w:noProof/>
            <w:webHidden/>
          </w:rPr>
        </w:r>
        <w:r w:rsidR="00F30AE2">
          <w:rPr>
            <w:noProof/>
            <w:webHidden/>
          </w:rPr>
          <w:fldChar w:fldCharType="separate"/>
        </w:r>
        <w:r w:rsidR="00803DBE">
          <w:rPr>
            <w:noProof/>
            <w:webHidden/>
          </w:rPr>
          <w:t>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36" w:history="1">
        <w:r w:rsidR="00F30AE2" w:rsidRPr="00FC0758">
          <w:rPr>
            <w:rStyle w:val="Hyperlink"/>
            <w:noProof/>
          </w:rPr>
          <w:t>Table 1</w:t>
        </w:r>
        <w:r w:rsidR="00F30AE2" w:rsidRPr="00FC0758">
          <w:rPr>
            <w:rStyle w:val="Hyperlink"/>
            <w:noProof/>
          </w:rPr>
          <w:noBreakHyphen/>
          <w:t>2: Disaggregated 2016 Summer Peak Load Forecast (Megawatts [MW])</w:t>
        </w:r>
        <w:r w:rsidR="00F30AE2">
          <w:rPr>
            <w:noProof/>
            <w:webHidden/>
          </w:rPr>
          <w:tab/>
        </w:r>
        <w:r w:rsidR="00F30AE2">
          <w:rPr>
            <w:noProof/>
            <w:webHidden/>
          </w:rPr>
          <w:fldChar w:fldCharType="begin"/>
        </w:r>
        <w:r w:rsidR="00F30AE2">
          <w:rPr>
            <w:noProof/>
            <w:webHidden/>
          </w:rPr>
          <w:instrText xml:space="preserve"> PAGEREF _Toc412628436 \h </w:instrText>
        </w:r>
        <w:r w:rsidR="00F30AE2">
          <w:rPr>
            <w:noProof/>
            <w:webHidden/>
          </w:rPr>
        </w:r>
        <w:r w:rsidR="00F30AE2">
          <w:rPr>
            <w:noProof/>
            <w:webHidden/>
          </w:rPr>
          <w:fldChar w:fldCharType="separate"/>
        </w:r>
        <w:r w:rsidR="00803DBE">
          <w:rPr>
            <w:noProof/>
            <w:webHidden/>
          </w:rPr>
          <w:t>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37" w:history="1">
        <w:r w:rsidR="00F30AE2" w:rsidRPr="00FC0758">
          <w:rPr>
            <w:rStyle w:val="Hyperlink"/>
            <w:noProof/>
          </w:rPr>
          <w:t>Table 1</w:t>
        </w:r>
        <w:r w:rsidR="00F30AE2" w:rsidRPr="00FC0758">
          <w:rPr>
            <w:rStyle w:val="Hyperlink"/>
            <w:noProof/>
          </w:rPr>
          <w:noBreakHyphen/>
          <w:t>3: Forecast of Average T&amp;D Avoided Costs ($ per kW/year) by EDC</w:t>
        </w:r>
        <w:r w:rsidR="00F30AE2">
          <w:rPr>
            <w:noProof/>
            <w:webHidden/>
          </w:rPr>
          <w:tab/>
        </w:r>
        <w:r w:rsidR="00F30AE2">
          <w:rPr>
            <w:noProof/>
            <w:webHidden/>
          </w:rPr>
          <w:fldChar w:fldCharType="begin"/>
        </w:r>
        <w:r w:rsidR="00F30AE2">
          <w:rPr>
            <w:noProof/>
            <w:webHidden/>
          </w:rPr>
          <w:instrText xml:space="preserve"> PAGEREF _Toc412628437 \h </w:instrText>
        </w:r>
        <w:r w:rsidR="00F30AE2">
          <w:rPr>
            <w:noProof/>
            <w:webHidden/>
          </w:rPr>
        </w:r>
        <w:r w:rsidR="00F30AE2">
          <w:rPr>
            <w:noProof/>
            <w:webHidden/>
          </w:rPr>
          <w:fldChar w:fldCharType="separate"/>
        </w:r>
        <w:r w:rsidR="00803DBE">
          <w:rPr>
            <w:noProof/>
            <w:webHidden/>
          </w:rPr>
          <w:t>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38" w:history="1">
        <w:r w:rsidR="00F30AE2" w:rsidRPr="00FC0758">
          <w:rPr>
            <w:rStyle w:val="Hyperlink"/>
            <w:noProof/>
          </w:rPr>
          <w:t>Table 1</w:t>
        </w:r>
        <w:r w:rsidR="00F30AE2" w:rsidRPr="00FC0758">
          <w:rPr>
            <w:rStyle w:val="Hyperlink"/>
            <w:noProof/>
          </w:rPr>
          <w:noBreakHyphen/>
          <w:t>4: Eligible Markets for Phase III Residential DR Programs for EDCs – Central A/C</w:t>
        </w:r>
        <w:r w:rsidR="00F30AE2">
          <w:rPr>
            <w:noProof/>
            <w:webHidden/>
          </w:rPr>
          <w:tab/>
        </w:r>
        <w:r w:rsidR="00F30AE2">
          <w:rPr>
            <w:noProof/>
            <w:webHidden/>
          </w:rPr>
          <w:fldChar w:fldCharType="begin"/>
        </w:r>
        <w:r w:rsidR="00F30AE2">
          <w:rPr>
            <w:noProof/>
            <w:webHidden/>
          </w:rPr>
          <w:instrText xml:space="preserve"> PAGEREF _Toc412628438 \h </w:instrText>
        </w:r>
        <w:r w:rsidR="00F30AE2">
          <w:rPr>
            <w:noProof/>
            <w:webHidden/>
          </w:rPr>
        </w:r>
        <w:r w:rsidR="00F30AE2">
          <w:rPr>
            <w:noProof/>
            <w:webHidden/>
          </w:rPr>
          <w:fldChar w:fldCharType="separate"/>
        </w:r>
        <w:r w:rsidR="00803DBE">
          <w:rPr>
            <w:noProof/>
            <w:webHidden/>
          </w:rPr>
          <w:t>5</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39" w:history="1">
        <w:r w:rsidR="00F30AE2" w:rsidRPr="00FC0758">
          <w:rPr>
            <w:rStyle w:val="Hyperlink"/>
            <w:noProof/>
          </w:rPr>
          <w:t>Table 1</w:t>
        </w:r>
        <w:r w:rsidR="00F30AE2" w:rsidRPr="00FC0758">
          <w:rPr>
            <w:rStyle w:val="Hyperlink"/>
            <w:noProof/>
          </w:rPr>
          <w:noBreakHyphen/>
          <w:t>5: Residential DLC Benefits and Costs - Central A/C Control Only</w:t>
        </w:r>
        <w:r w:rsidR="00F30AE2">
          <w:rPr>
            <w:noProof/>
            <w:webHidden/>
          </w:rPr>
          <w:tab/>
        </w:r>
        <w:r w:rsidR="00F30AE2">
          <w:rPr>
            <w:noProof/>
            <w:webHidden/>
          </w:rPr>
          <w:fldChar w:fldCharType="begin"/>
        </w:r>
        <w:r w:rsidR="00F30AE2">
          <w:rPr>
            <w:noProof/>
            <w:webHidden/>
          </w:rPr>
          <w:instrText xml:space="preserve"> PAGEREF _Toc412628439 \h </w:instrText>
        </w:r>
        <w:r w:rsidR="00F30AE2">
          <w:rPr>
            <w:noProof/>
            <w:webHidden/>
          </w:rPr>
        </w:r>
        <w:r w:rsidR="00F30AE2">
          <w:rPr>
            <w:noProof/>
            <w:webHidden/>
          </w:rPr>
          <w:fldChar w:fldCharType="separate"/>
        </w:r>
        <w:r w:rsidR="00803DBE">
          <w:rPr>
            <w:noProof/>
            <w:webHidden/>
          </w:rPr>
          <w:t>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0" w:history="1">
        <w:r w:rsidR="00F30AE2" w:rsidRPr="00FC0758">
          <w:rPr>
            <w:rStyle w:val="Hyperlink"/>
            <w:noProof/>
          </w:rPr>
          <w:t>Table 1</w:t>
        </w:r>
        <w:r w:rsidR="00F30AE2" w:rsidRPr="00FC0758">
          <w:rPr>
            <w:rStyle w:val="Hyperlink"/>
            <w:noProof/>
          </w:rPr>
          <w:noBreakHyphen/>
          <w:t>6: Residential DLC Benefits and Costs- Control of Central A/C, Electric Water Heaters, Window A/C and Swimming Pool Pumps</w:t>
        </w:r>
        <w:r w:rsidR="00F30AE2">
          <w:rPr>
            <w:noProof/>
            <w:webHidden/>
          </w:rPr>
          <w:tab/>
        </w:r>
        <w:r w:rsidR="00F30AE2">
          <w:rPr>
            <w:noProof/>
            <w:webHidden/>
          </w:rPr>
          <w:fldChar w:fldCharType="begin"/>
        </w:r>
        <w:r w:rsidR="00F30AE2">
          <w:rPr>
            <w:noProof/>
            <w:webHidden/>
          </w:rPr>
          <w:instrText xml:space="preserve"> PAGEREF _Toc412628440 \h </w:instrText>
        </w:r>
        <w:r w:rsidR="00F30AE2">
          <w:rPr>
            <w:noProof/>
            <w:webHidden/>
          </w:rPr>
        </w:r>
        <w:r w:rsidR="00F30AE2">
          <w:rPr>
            <w:noProof/>
            <w:webHidden/>
          </w:rPr>
          <w:fldChar w:fldCharType="separate"/>
        </w:r>
        <w:r w:rsidR="00803DBE">
          <w:rPr>
            <w:noProof/>
            <w:webHidden/>
          </w:rPr>
          <w:t>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1" w:history="1">
        <w:r w:rsidR="00F30AE2" w:rsidRPr="00FC0758">
          <w:rPr>
            <w:rStyle w:val="Hyperlink"/>
            <w:noProof/>
          </w:rPr>
          <w:t>Table 1</w:t>
        </w:r>
        <w:r w:rsidR="00F30AE2" w:rsidRPr="00FC0758">
          <w:rPr>
            <w:rStyle w:val="Hyperlink"/>
            <w:noProof/>
          </w:rPr>
          <w:noBreakHyphen/>
          <w:t>7: Small Commercial DLC Potential by EDC</w:t>
        </w:r>
        <w:r w:rsidR="00F30AE2">
          <w:rPr>
            <w:noProof/>
            <w:webHidden/>
          </w:rPr>
          <w:tab/>
        </w:r>
        <w:r w:rsidR="00F30AE2">
          <w:rPr>
            <w:noProof/>
            <w:webHidden/>
          </w:rPr>
          <w:fldChar w:fldCharType="begin"/>
        </w:r>
        <w:r w:rsidR="00F30AE2">
          <w:rPr>
            <w:noProof/>
            <w:webHidden/>
          </w:rPr>
          <w:instrText xml:space="preserve"> PAGEREF _Toc412628441 \h </w:instrText>
        </w:r>
        <w:r w:rsidR="00F30AE2">
          <w:rPr>
            <w:noProof/>
            <w:webHidden/>
          </w:rPr>
        </w:r>
        <w:r w:rsidR="00F30AE2">
          <w:rPr>
            <w:noProof/>
            <w:webHidden/>
          </w:rPr>
          <w:fldChar w:fldCharType="separate"/>
        </w:r>
        <w:r w:rsidR="00803DBE">
          <w:rPr>
            <w:noProof/>
            <w:webHidden/>
          </w:rPr>
          <w:t>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2" w:history="1">
        <w:r w:rsidR="00F30AE2" w:rsidRPr="00FC0758">
          <w:rPr>
            <w:rStyle w:val="Hyperlink"/>
            <w:noProof/>
          </w:rPr>
          <w:t>Table 1</w:t>
        </w:r>
        <w:r w:rsidR="00F30AE2" w:rsidRPr="00FC0758">
          <w:rPr>
            <w:rStyle w:val="Hyperlink"/>
            <w:noProof/>
          </w:rPr>
          <w:noBreakHyphen/>
          <w:t>8: Achievable Potential Estimates by EDC and DR Product Type (MW/year)</w:t>
        </w:r>
        <w:r w:rsidR="00F30AE2">
          <w:rPr>
            <w:noProof/>
            <w:webHidden/>
          </w:rPr>
          <w:tab/>
        </w:r>
        <w:r w:rsidR="00F30AE2">
          <w:rPr>
            <w:noProof/>
            <w:webHidden/>
          </w:rPr>
          <w:fldChar w:fldCharType="begin"/>
        </w:r>
        <w:r w:rsidR="00F30AE2">
          <w:rPr>
            <w:noProof/>
            <w:webHidden/>
          </w:rPr>
          <w:instrText xml:space="preserve"> PAGEREF _Toc412628442 \h </w:instrText>
        </w:r>
        <w:r w:rsidR="00F30AE2">
          <w:rPr>
            <w:noProof/>
            <w:webHidden/>
          </w:rPr>
        </w:r>
        <w:r w:rsidR="00F30AE2">
          <w:rPr>
            <w:noProof/>
            <w:webHidden/>
          </w:rPr>
          <w:fldChar w:fldCharType="separate"/>
        </w:r>
        <w:r w:rsidR="00803DBE">
          <w:rPr>
            <w:noProof/>
            <w:webHidden/>
          </w:rPr>
          <w:t>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3" w:history="1">
        <w:r w:rsidR="00F30AE2" w:rsidRPr="00FC0758">
          <w:rPr>
            <w:rStyle w:val="Hyperlink"/>
            <w:noProof/>
          </w:rPr>
          <w:t>Table 1</w:t>
        </w:r>
        <w:r w:rsidR="00F30AE2" w:rsidRPr="00FC0758">
          <w:rPr>
            <w:rStyle w:val="Hyperlink"/>
            <w:noProof/>
          </w:rPr>
          <w:noBreakHyphen/>
          <w:t>9: Day-Ahead MW Potential Net of Projected PJM Commitments</w:t>
        </w:r>
        <w:r w:rsidR="00F30AE2">
          <w:rPr>
            <w:noProof/>
            <w:webHidden/>
          </w:rPr>
          <w:tab/>
        </w:r>
        <w:r w:rsidR="00F30AE2">
          <w:rPr>
            <w:noProof/>
            <w:webHidden/>
          </w:rPr>
          <w:fldChar w:fldCharType="begin"/>
        </w:r>
        <w:r w:rsidR="00F30AE2">
          <w:rPr>
            <w:noProof/>
            <w:webHidden/>
          </w:rPr>
          <w:instrText xml:space="preserve"> PAGEREF _Toc412628443 \h </w:instrText>
        </w:r>
        <w:r w:rsidR="00F30AE2">
          <w:rPr>
            <w:noProof/>
            <w:webHidden/>
          </w:rPr>
        </w:r>
        <w:r w:rsidR="00F30AE2">
          <w:rPr>
            <w:noProof/>
            <w:webHidden/>
          </w:rPr>
          <w:fldChar w:fldCharType="separate"/>
        </w:r>
        <w:r w:rsidR="00803DBE">
          <w:rPr>
            <w:noProof/>
            <w:webHidden/>
          </w:rPr>
          <w:t>10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4" w:history="1">
        <w:r w:rsidR="00F30AE2" w:rsidRPr="00FC0758">
          <w:rPr>
            <w:rStyle w:val="Hyperlink"/>
            <w:noProof/>
          </w:rPr>
          <w:t>Table 1</w:t>
        </w:r>
        <w:r w:rsidR="00F30AE2" w:rsidRPr="00FC0758">
          <w:rPr>
            <w:rStyle w:val="Hyperlink"/>
            <w:noProof/>
          </w:rPr>
          <w:noBreakHyphen/>
          <w:t>10: Day-Ahead MW Potential Net of Current PJM Commitments</w:t>
        </w:r>
        <w:r w:rsidR="00F30AE2">
          <w:rPr>
            <w:noProof/>
            <w:webHidden/>
          </w:rPr>
          <w:tab/>
        </w:r>
        <w:r w:rsidR="00F30AE2">
          <w:rPr>
            <w:noProof/>
            <w:webHidden/>
          </w:rPr>
          <w:fldChar w:fldCharType="begin"/>
        </w:r>
        <w:r w:rsidR="00F30AE2">
          <w:rPr>
            <w:noProof/>
            <w:webHidden/>
          </w:rPr>
          <w:instrText xml:space="preserve"> PAGEREF _Toc412628444 \h </w:instrText>
        </w:r>
        <w:r w:rsidR="00F30AE2">
          <w:rPr>
            <w:noProof/>
            <w:webHidden/>
          </w:rPr>
        </w:r>
        <w:r w:rsidR="00F30AE2">
          <w:rPr>
            <w:noProof/>
            <w:webHidden/>
          </w:rPr>
          <w:fldChar w:fldCharType="separate"/>
        </w:r>
        <w:r w:rsidR="00803DBE">
          <w:rPr>
            <w:noProof/>
            <w:webHidden/>
          </w:rPr>
          <w:t>11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5" w:history="1">
        <w:r w:rsidR="00F30AE2" w:rsidRPr="00FC0758">
          <w:rPr>
            <w:rStyle w:val="Hyperlink"/>
            <w:noProof/>
          </w:rPr>
          <w:t>Table 1</w:t>
        </w:r>
        <w:r w:rsidR="00F30AE2" w:rsidRPr="00FC0758">
          <w:rPr>
            <w:rStyle w:val="Hyperlink"/>
            <w:noProof/>
          </w:rPr>
          <w:noBreakHyphen/>
          <w:t>11: TRC Costs and Benefits for EE and DR Funding Allocation Scenarios</w:t>
        </w:r>
        <w:r w:rsidR="00F30AE2">
          <w:rPr>
            <w:noProof/>
            <w:webHidden/>
          </w:rPr>
          <w:tab/>
        </w:r>
        <w:r w:rsidR="00F30AE2">
          <w:rPr>
            <w:noProof/>
            <w:webHidden/>
          </w:rPr>
          <w:fldChar w:fldCharType="begin"/>
        </w:r>
        <w:r w:rsidR="00F30AE2">
          <w:rPr>
            <w:noProof/>
            <w:webHidden/>
          </w:rPr>
          <w:instrText xml:space="preserve"> PAGEREF _Toc412628445 \h </w:instrText>
        </w:r>
        <w:r w:rsidR="00F30AE2">
          <w:rPr>
            <w:noProof/>
            <w:webHidden/>
          </w:rPr>
        </w:r>
        <w:r w:rsidR="00F30AE2">
          <w:rPr>
            <w:noProof/>
            <w:webHidden/>
          </w:rPr>
          <w:fldChar w:fldCharType="separate"/>
        </w:r>
        <w:r w:rsidR="00803DBE">
          <w:rPr>
            <w:noProof/>
            <w:webHidden/>
          </w:rPr>
          <w:t>12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6" w:history="1">
        <w:r w:rsidR="00F30AE2" w:rsidRPr="00FC0758">
          <w:rPr>
            <w:rStyle w:val="Hyperlink"/>
            <w:noProof/>
          </w:rPr>
          <w:t>Table 1</w:t>
        </w:r>
        <w:r w:rsidR="00F30AE2" w:rsidRPr="00FC0758">
          <w:rPr>
            <w:rStyle w:val="Hyperlink"/>
            <w:noProof/>
          </w:rPr>
          <w:noBreakHyphen/>
          <w:t>12: Statewide Energy and Demand Impacts for EE and DR Funding Allocation Scenarios</w:t>
        </w:r>
        <w:r w:rsidR="00F30AE2">
          <w:rPr>
            <w:noProof/>
            <w:webHidden/>
          </w:rPr>
          <w:tab/>
        </w:r>
        <w:r w:rsidR="00F30AE2">
          <w:rPr>
            <w:noProof/>
            <w:webHidden/>
          </w:rPr>
          <w:fldChar w:fldCharType="begin"/>
        </w:r>
        <w:r w:rsidR="00F30AE2">
          <w:rPr>
            <w:noProof/>
            <w:webHidden/>
          </w:rPr>
          <w:instrText xml:space="preserve"> PAGEREF _Toc412628446 \h </w:instrText>
        </w:r>
        <w:r w:rsidR="00F30AE2">
          <w:rPr>
            <w:noProof/>
            <w:webHidden/>
          </w:rPr>
        </w:r>
        <w:r w:rsidR="00F30AE2">
          <w:rPr>
            <w:noProof/>
            <w:webHidden/>
          </w:rPr>
          <w:fldChar w:fldCharType="separate"/>
        </w:r>
        <w:r w:rsidR="00803DBE">
          <w:rPr>
            <w:noProof/>
            <w:webHidden/>
          </w:rPr>
          <w:t>12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7" w:history="1">
        <w:r w:rsidR="00F30AE2" w:rsidRPr="00FC0758">
          <w:rPr>
            <w:rStyle w:val="Hyperlink"/>
            <w:noProof/>
          </w:rPr>
          <w:t>Table 2</w:t>
        </w:r>
        <w:r w:rsidR="00F30AE2" w:rsidRPr="00FC0758">
          <w:rPr>
            <w:rStyle w:val="Hyperlink"/>
            <w:noProof/>
          </w:rPr>
          <w:noBreakHyphen/>
          <w:t>1: Annual DR Budget for Program Potential Scenarios</w:t>
        </w:r>
        <w:r w:rsidR="00F30AE2">
          <w:rPr>
            <w:noProof/>
            <w:webHidden/>
          </w:rPr>
          <w:tab/>
        </w:r>
        <w:r w:rsidR="00F30AE2">
          <w:rPr>
            <w:noProof/>
            <w:webHidden/>
          </w:rPr>
          <w:fldChar w:fldCharType="begin"/>
        </w:r>
        <w:r w:rsidR="00F30AE2">
          <w:rPr>
            <w:noProof/>
            <w:webHidden/>
          </w:rPr>
          <w:instrText xml:space="preserve"> PAGEREF _Toc412628447 \h </w:instrText>
        </w:r>
        <w:r w:rsidR="00F30AE2">
          <w:rPr>
            <w:noProof/>
            <w:webHidden/>
          </w:rPr>
        </w:r>
        <w:r w:rsidR="00F30AE2">
          <w:rPr>
            <w:noProof/>
            <w:webHidden/>
          </w:rPr>
          <w:fldChar w:fldCharType="separate"/>
        </w:r>
        <w:r w:rsidR="00803DBE">
          <w:rPr>
            <w:noProof/>
            <w:webHidden/>
          </w:rPr>
          <w:t>17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8" w:history="1">
        <w:r w:rsidR="00F30AE2" w:rsidRPr="00FC0758">
          <w:rPr>
            <w:rStyle w:val="Hyperlink"/>
            <w:noProof/>
          </w:rPr>
          <w:t>Table 2</w:t>
        </w:r>
        <w:r w:rsidR="00F30AE2" w:rsidRPr="00FC0758">
          <w:rPr>
            <w:rStyle w:val="Hyperlink"/>
            <w:noProof/>
          </w:rPr>
          <w:noBreakHyphen/>
          <w:t>2: Disaggregated 2016 Summer Peak Load Forecast (MW)</w:t>
        </w:r>
        <w:r w:rsidR="00F30AE2">
          <w:rPr>
            <w:noProof/>
            <w:webHidden/>
          </w:rPr>
          <w:tab/>
        </w:r>
        <w:r w:rsidR="00F30AE2">
          <w:rPr>
            <w:noProof/>
            <w:webHidden/>
          </w:rPr>
          <w:fldChar w:fldCharType="begin"/>
        </w:r>
        <w:r w:rsidR="00F30AE2">
          <w:rPr>
            <w:noProof/>
            <w:webHidden/>
          </w:rPr>
          <w:instrText xml:space="preserve"> PAGEREF _Toc412628448 \h </w:instrText>
        </w:r>
        <w:r w:rsidR="00F30AE2">
          <w:rPr>
            <w:noProof/>
            <w:webHidden/>
          </w:rPr>
        </w:r>
        <w:r w:rsidR="00F30AE2">
          <w:rPr>
            <w:noProof/>
            <w:webHidden/>
          </w:rPr>
          <w:fldChar w:fldCharType="separate"/>
        </w:r>
        <w:r w:rsidR="00803DBE">
          <w:rPr>
            <w:noProof/>
            <w:webHidden/>
          </w:rPr>
          <w:t>18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49" w:history="1">
        <w:r w:rsidR="00F30AE2" w:rsidRPr="00FC0758">
          <w:rPr>
            <w:rStyle w:val="Hyperlink"/>
            <w:noProof/>
          </w:rPr>
          <w:t>Table 2</w:t>
        </w:r>
        <w:r w:rsidR="00F30AE2" w:rsidRPr="00FC0758">
          <w:rPr>
            <w:rStyle w:val="Hyperlink"/>
            <w:noProof/>
          </w:rPr>
          <w:noBreakHyphen/>
          <w:t>3: Assignment of Customers and Load to Non-Residential DR Programs</w:t>
        </w:r>
        <w:r w:rsidR="00F30AE2">
          <w:rPr>
            <w:noProof/>
            <w:webHidden/>
          </w:rPr>
          <w:tab/>
        </w:r>
        <w:r w:rsidR="00F30AE2">
          <w:rPr>
            <w:noProof/>
            <w:webHidden/>
          </w:rPr>
          <w:fldChar w:fldCharType="begin"/>
        </w:r>
        <w:r w:rsidR="00F30AE2">
          <w:rPr>
            <w:noProof/>
            <w:webHidden/>
          </w:rPr>
          <w:instrText xml:space="preserve"> PAGEREF _Toc412628449 \h </w:instrText>
        </w:r>
        <w:r w:rsidR="00F30AE2">
          <w:rPr>
            <w:noProof/>
            <w:webHidden/>
          </w:rPr>
        </w:r>
        <w:r w:rsidR="00F30AE2">
          <w:rPr>
            <w:noProof/>
            <w:webHidden/>
          </w:rPr>
          <w:fldChar w:fldCharType="separate"/>
        </w:r>
        <w:r w:rsidR="00803DBE">
          <w:rPr>
            <w:noProof/>
            <w:webHidden/>
          </w:rPr>
          <w:t>20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0" w:history="1">
        <w:r w:rsidR="00F30AE2" w:rsidRPr="00FC0758">
          <w:rPr>
            <w:rStyle w:val="Hyperlink"/>
            <w:noProof/>
          </w:rPr>
          <w:t>Table 2</w:t>
        </w:r>
        <w:r w:rsidR="00F30AE2" w:rsidRPr="00FC0758">
          <w:rPr>
            <w:rStyle w:val="Hyperlink"/>
            <w:noProof/>
          </w:rPr>
          <w:noBreakHyphen/>
          <w:t>4: Phase III Avoided Cost of Generation Capacity Values ($/kW/year)</w:t>
        </w:r>
        <w:r w:rsidR="00F30AE2">
          <w:rPr>
            <w:noProof/>
            <w:webHidden/>
          </w:rPr>
          <w:tab/>
        </w:r>
        <w:r w:rsidR="00F30AE2">
          <w:rPr>
            <w:noProof/>
            <w:webHidden/>
          </w:rPr>
          <w:fldChar w:fldCharType="begin"/>
        </w:r>
        <w:r w:rsidR="00F30AE2">
          <w:rPr>
            <w:noProof/>
            <w:webHidden/>
          </w:rPr>
          <w:instrText xml:space="preserve"> PAGEREF _Toc412628450 \h </w:instrText>
        </w:r>
        <w:r w:rsidR="00F30AE2">
          <w:rPr>
            <w:noProof/>
            <w:webHidden/>
          </w:rPr>
        </w:r>
        <w:r w:rsidR="00F30AE2">
          <w:rPr>
            <w:noProof/>
            <w:webHidden/>
          </w:rPr>
          <w:fldChar w:fldCharType="separate"/>
        </w:r>
        <w:r w:rsidR="00803DBE">
          <w:rPr>
            <w:noProof/>
            <w:webHidden/>
          </w:rPr>
          <w:t>23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1" w:history="1">
        <w:r w:rsidR="00F30AE2" w:rsidRPr="00FC0758">
          <w:rPr>
            <w:rStyle w:val="Hyperlink"/>
            <w:noProof/>
          </w:rPr>
          <w:t>Table 2</w:t>
        </w:r>
        <w:r w:rsidR="00F30AE2" w:rsidRPr="00FC0758">
          <w:rPr>
            <w:rStyle w:val="Hyperlink"/>
            <w:noProof/>
          </w:rPr>
          <w:noBreakHyphen/>
          <w:t>5: Simulation Parameters and Ranges</w:t>
        </w:r>
        <w:r w:rsidR="00F30AE2">
          <w:rPr>
            <w:noProof/>
            <w:webHidden/>
          </w:rPr>
          <w:tab/>
        </w:r>
        <w:r w:rsidR="00F30AE2">
          <w:rPr>
            <w:noProof/>
            <w:webHidden/>
          </w:rPr>
          <w:fldChar w:fldCharType="begin"/>
        </w:r>
        <w:r w:rsidR="00F30AE2">
          <w:rPr>
            <w:noProof/>
            <w:webHidden/>
          </w:rPr>
          <w:instrText xml:space="preserve"> PAGEREF _Toc412628451 \h </w:instrText>
        </w:r>
        <w:r w:rsidR="00F30AE2">
          <w:rPr>
            <w:noProof/>
            <w:webHidden/>
          </w:rPr>
        </w:r>
        <w:r w:rsidR="00F30AE2">
          <w:rPr>
            <w:noProof/>
            <w:webHidden/>
          </w:rPr>
          <w:fldChar w:fldCharType="separate"/>
        </w:r>
        <w:r w:rsidR="00803DBE">
          <w:rPr>
            <w:noProof/>
            <w:webHidden/>
          </w:rPr>
          <w:t>26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2" w:history="1">
        <w:r w:rsidR="00F30AE2" w:rsidRPr="00FC0758">
          <w:rPr>
            <w:rStyle w:val="Hyperlink"/>
            <w:noProof/>
          </w:rPr>
          <w:t>Table 2</w:t>
        </w:r>
        <w:r w:rsidR="00F30AE2" w:rsidRPr="00FC0758">
          <w:rPr>
            <w:rStyle w:val="Hyperlink"/>
            <w:noProof/>
          </w:rPr>
          <w:noBreakHyphen/>
          <w:t>6: Summary of Simulated Program Design Elements Illustrated In Figure 2</w:t>
        </w:r>
        <w:r w:rsidR="00F30AE2" w:rsidRPr="00FC0758">
          <w:rPr>
            <w:rStyle w:val="Hyperlink"/>
            <w:noProof/>
          </w:rPr>
          <w:noBreakHyphen/>
          <w:t>4</w:t>
        </w:r>
        <w:r w:rsidR="00F30AE2">
          <w:rPr>
            <w:noProof/>
            <w:webHidden/>
          </w:rPr>
          <w:tab/>
        </w:r>
        <w:r w:rsidR="00F30AE2">
          <w:rPr>
            <w:noProof/>
            <w:webHidden/>
          </w:rPr>
          <w:fldChar w:fldCharType="begin"/>
        </w:r>
        <w:r w:rsidR="00F30AE2">
          <w:rPr>
            <w:noProof/>
            <w:webHidden/>
          </w:rPr>
          <w:instrText xml:space="preserve"> PAGEREF _Toc412628452 \h </w:instrText>
        </w:r>
        <w:r w:rsidR="00F30AE2">
          <w:rPr>
            <w:noProof/>
            <w:webHidden/>
          </w:rPr>
        </w:r>
        <w:r w:rsidR="00F30AE2">
          <w:rPr>
            <w:noProof/>
            <w:webHidden/>
          </w:rPr>
          <w:fldChar w:fldCharType="separate"/>
        </w:r>
        <w:r w:rsidR="00803DBE">
          <w:rPr>
            <w:noProof/>
            <w:webHidden/>
          </w:rPr>
          <w:t>27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3" w:history="1">
        <w:r w:rsidR="00F30AE2" w:rsidRPr="00FC0758">
          <w:rPr>
            <w:rStyle w:val="Hyperlink"/>
            <w:noProof/>
          </w:rPr>
          <w:t>Table 2</w:t>
        </w:r>
        <w:r w:rsidR="00F30AE2" w:rsidRPr="00FC0758">
          <w:rPr>
            <w:rStyle w:val="Hyperlink"/>
            <w:noProof/>
          </w:rPr>
          <w:noBreakHyphen/>
          <w:t>7: Historic Event Calls by Dispatch Criterion (Assuming Max Events = 6)</w:t>
        </w:r>
        <w:r w:rsidR="00F30AE2">
          <w:rPr>
            <w:noProof/>
            <w:webHidden/>
          </w:rPr>
          <w:tab/>
        </w:r>
        <w:r w:rsidR="00F30AE2">
          <w:rPr>
            <w:noProof/>
            <w:webHidden/>
          </w:rPr>
          <w:fldChar w:fldCharType="begin"/>
        </w:r>
        <w:r w:rsidR="00F30AE2">
          <w:rPr>
            <w:noProof/>
            <w:webHidden/>
          </w:rPr>
          <w:instrText xml:space="preserve"> PAGEREF _Toc412628453 \h </w:instrText>
        </w:r>
        <w:r w:rsidR="00F30AE2">
          <w:rPr>
            <w:noProof/>
            <w:webHidden/>
          </w:rPr>
        </w:r>
        <w:r w:rsidR="00F30AE2">
          <w:rPr>
            <w:noProof/>
            <w:webHidden/>
          </w:rPr>
          <w:fldChar w:fldCharType="separate"/>
        </w:r>
        <w:r w:rsidR="00803DBE">
          <w:rPr>
            <w:noProof/>
            <w:webHidden/>
          </w:rPr>
          <w:t>29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4" w:history="1">
        <w:r w:rsidR="00F30AE2" w:rsidRPr="00FC0758">
          <w:rPr>
            <w:rStyle w:val="Hyperlink"/>
            <w:noProof/>
          </w:rPr>
          <w:t>Table 2</w:t>
        </w:r>
        <w:r w:rsidR="00F30AE2" w:rsidRPr="00FC0758">
          <w:rPr>
            <w:rStyle w:val="Hyperlink"/>
            <w:noProof/>
          </w:rPr>
          <w:noBreakHyphen/>
          <w:t>8: Truncated Simulation Results</w:t>
        </w:r>
        <w:r w:rsidR="00F30AE2">
          <w:rPr>
            <w:noProof/>
            <w:webHidden/>
          </w:rPr>
          <w:tab/>
        </w:r>
        <w:r w:rsidR="00F30AE2">
          <w:rPr>
            <w:noProof/>
            <w:webHidden/>
          </w:rPr>
          <w:fldChar w:fldCharType="begin"/>
        </w:r>
        <w:r w:rsidR="00F30AE2">
          <w:rPr>
            <w:noProof/>
            <w:webHidden/>
          </w:rPr>
          <w:instrText xml:space="preserve"> PAGEREF _Toc412628454 \h </w:instrText>
        </w:r>
        <w:r w:rsidR="00F30AE2">
          <w:rPr>
            <w:noProof/>
            <w:webHidden/>
          </w:rPr>
        </w:r>
        <w:r w:rsidR="00F30AE2">
          <w:rPr>
            <w:noProof/>
            <w:webHidden/>
          </w:rPr>
          <w:fldChar w:fldCharType="separate"/>
        </w:r>
        <w:r w:rsidR="00803DBE">
          <w:rPr>
            <w:noProof/>
            <w:webHidden/>
          </w:rPr>
          <w:t>31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5" w:history="1">
        <w:r w:rsidR="00F30AE2" w:rsidRPr="00FC0758">
          <w:rPr>
            <w:rStyle w:val="Hyperlink"/>
            <w:noProof/>
          </w:rPr>
          <w:t>Table 2</w:t>
        </w:r>
        <w:r w:rsidR="00F30AE2" w:rsidRPr="00FC0758">
          <w:rPr>
            <w:rStyle w:val="Hyperlink"/>
            <w:noProof/>
          </w:rPr>
          <w:noBreakHyphen/>
          <w:t>9: Simulated Number of 5CP Events Each Year for a Hypothetical Program Design</w:t>
        </w:r>
        <w:r w:rsidR="00F30AE2">
          <w:rPr>
            <w:noProof/>
            <w:webHidden/>
          </w:rPr>
          <w:tab/>
        </w:r>
        <w:r w:rsidR="00F30AE2">
          <w:rPr>
            <w:noProof/>
            <w:webHidden/>
          </w:rPr>
          <w:fldChar w:fldCharType="begin"/>
        </w:r>
        <w:r w:rsidR="00F30AE2">
          <w:rPr>
            <w:noProof/>
            <w:webHidden/>
          </w:rPr>
          <w:instrText xml:space="preserve"> PAGEREF _Toc412628455 \h </w:instrText>
        </w:r>
        <w:r w:rsidR="00F30AE2">
          <w:rPr>
            <w:noProof/>
            <w:webHidden/>
          </w:rPr>
        </w:r>
        <w:r w:rsidR="00F30AE2">
          <w:rPr>
            <w:noProof/>
            <w:webHidden/>
          </w:rPr>
          <w:fldChar w:fldCharType="separate"/>
        </w:r>
        <w:r w:rsidR="00803DBE">
          <w:rPr>
            <w:noProof/>
            <w:webHidden/>
          </w:rPr>
          <w:t>33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6" w:history="1">
        <w:r w:rsidR="00F30AE2" w:rsidRPr="00FC0758">
          <w:rPr>
            <w:rStyle w:val="Hyperlink"/>
            <w:noProof/>
          </w:rPr>
          <w:t>Table 2</w:t>
        </w:r>
        <w:r w:rsidR="00F30AE2" w:rsidRPr="00FC0758">
          <w:rPr>
            <w:rStyle w:val="Hyperlink"/>
            <w:noProof/>
          </w:rPr>
          <w:noBreakHyphen/>
          <w:t>10: Historical Count of 5CP Events, by Hour-Ending</w:t>
        </w:r>
        <w:r w:rsidR="00F30AE2">
          <w:rPr>
            <w:noProof/>
            <w:webHidden/>
          </w:rPr>
          <w:tab/>
        </w:r>
        <w:r w:rsidR="00F30AE2">
          <w:rPr>
            <w:noProof/>
            <w:webHidden/>
          </w:rPr>
          <w:fldChar w:fldCharType="begin"/>
        </w:r>
        <w:r w:rsidR="00F30AE2">
          <w:rPr>
            <w:noProof/>
            <w:webHidden/>
          </w:rPr>
          <w:instrText xml:space="preserve"> PAGEREF _Toc412628456 \h </w:instrText>
        </w:r>
        <w:r w:rsidR="00F30AE2">
          <w:rPr>
            <w:noProof/>
            <w:webHidden/>
          </w:rPr>
        </w:r>
        <w:r w:rsidR="00F30AE2">
          <w:rPr>
            <w:noProof/>
            <w:webHidden/>
          </w:rPr>
          <w:fldChar w:fldCharType="separate"/>
        </w:r>
        <w:r w:rsidR="00803DBE">
          <w:rPr>
            <w:noProof/>
            <w:webHidden/>
          </w:rPr>
          <w:t>34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7" w:history="1">
        <w:r w:rsidR="00F30AE2" w:rsidRPr="00FC0758">
          <w:rPr>
            <w:rStyle w:val="Hyperlink"/>
            <w:noProof/>
          </w:rPr>
          <w:t>Table 2</w:t>
        </w:r>
        <w:r w:rsidR="00F30AE2" w:rsidRPr="00FC0758">
          <w:rPr>
            <w:rStyle w:val="Hyperlink"/>
            <w:noProof/>
          </w:rPr>
          <w:noBreakHyphen/>
          <w:t>11: Number of Days Exceeding Dispatch Criteria Each Year</w:t>
        </w:r>
        <w:r w:rsidR="00F30AE2">
          <w:rPr>
            <w:noProof/>
            <w:webHidden/>
          </w:rPr>
          <w:tab/>
        </w:r>
        <w:r w:rsidR="00F30AE2">
          <w:rPr>
            <w:noProof/>
            <w:webHidden/>
          </w:rPr>
          <w:fldChar w:fldCharType="begin"/>
        </w:r>
        <w:r w:rsidR="00F30AE2">
          <w:rPr>
            <w:noProof/>
            <w:webHidden/>
          </w:rPr>
          <w:instrText xml:space="preserve"> PAGEREF _Toc412628457 \h </w:instrText>
        </w:r>
        <w:r w:rsidR="00F30AE2">
          <w:rPr>
            <w:noProof/>
            <w:webHidden/>
          </w:rPr>
        </w:r>
        <w:r w:rsidR="00F30AE2">
          <w:rPr>
            <w:noProof/>
            <w:webHidden/>
          </w:rPr>
          <w:fldChar w:fldCharType="separate"/>
        </w:r>
        <w:r w:rsidR="00803DBE">
          <w:rPr>
            <w:noProof/>
            <w:webHidden/>
          </w:rPr>
          <w:t>34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8" w:history="1">
        <w:r w:rsidR="00F30AE2" w:rsidRPr="00FC0758">
          <w:rPr>
            <w:rStyle w:val="Hyperlink"/>
            <w:noProof/>
          </w:rPr>
          <w:t>Table 2</w:t>
        </w:r>
        <w:r w:rsidR="00F30AE2" w:rsidRPr="00FC0758">
          <w:rPr>
            <w:rStyle w:val="Hyperlink"/>
            <w:noProof/>
          </w:rPr>
          <w:noBreakHyphen/>
          <w:t>13: T&amp;D Avoided Cost Studies Reviewed by the SWE Team</w:t>
        </w:r>
        <w:r w:rsidR="00F30AE2">
          <w:rPr>
            <w:noProof/>
            <w:webHidden/>
          </w:rPr>
          <w:tab/>
        </w:r>
        <w:r w:rsidR="00F30AE2">
          <w:rPr>
            <w:noProof/>
            <w:webHidden/>
          </w:rPr>
          <w:fldChar w:fldCharType="begin"/>
        </w:r>
        <w:r w:rsidR="00F30AE2">
          <w:rPr>
            <w:noProof/>
            <w:webHidden/>
          </w:rPr>
          <w:instrText xml:space="preserve"> PAGEREF _Toc412628458 \h </w:instrText>
        </w:r>
        <w:r w:rsidR="00F30AE2">
          <w:rPr>
            <w:noProof/>
            <w:webHidden/>
          </w:rPr>
        </w:r>
        <w:r w:rsidR="00F30AE2">
          <w:rPr>
            <w:noProof/>
            <w:webHidden/>
          </w:rPr>
          <w:fldChar w:fldCharType="separate"/>
        </w:r>
        <w:r w:rsidR="00803DBE">
          <w:rPr>
            <w:noProof/>
            <w:webHidden/>
          </w:rPr>
          <w:t>35</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59" w:history="1">
        <w:r w:rsidR="00F30AE2" w:rsidRPr="00FC0758">
          <w:rPr>
            <w:rStyle w:val="Hyperlink"/>
            <w:noProof/>
          </w:rPr>
          <w:t>Table 2</w:t>
        </w:r>
        <w:r w:rsidR="00F30AE2" w:rsidRPr="00FC0758">
          <w:rPr>
            <w:rStyle w:val="Hyperlink"/>
            <w:noProof/>
          </w:rPr>
          <w:noBreakHyphen/>
          <w:t xml:space="preserve">14: </w:t>
        </w:r>
        <w:r w:rsidR="00F30AE2" w:rsidRPr="00FC0758">
          <w:rPr>
            <w:rStyle w:val="Hyperlink"/>
            <w:rFonts w:ascii="Calibri" w:eastAsia="Times New Roman" w:hAnsi="Calibri" w:cs="Arial"/>
            <w:noProof/>
          </w:rPr>
          <w:t>Forecast of Average T&amp;D Avoided Costs ($per kW/Year) by EDC</w:t>
        </w:r>
        <w:r w:rsidR="00F30AE2">
          <w:rPr>
            <w:noProof/>
            <w:webHidden/>
          </w:rPr>
          <w:tab/>
        </w:r>
        <w:r w:rsidR="00F30AE2">
          <w:rPr>
            <w:noProof/>
            <w:webHidden/>
          </w:rPr>
          <w:fldChar w:fldCharType="begin"/>
        </w:r>
        <w:r w:rsidR="00F30AE2">
          <w:rPr>
            <w:noProof/>
            <w:webHidden/>
          </w:rPr>
          <w:instrText xml:space="preserve"> PAGEREF _Toc412628459 \h </w:instrText>
        </w:r>
        <w:r w:rsidR="00F30AE2">
          <w:rPr>
            <w:noProof/>
            <w:webHidden/>
          </w:rPr>
        </w:r>
        <w:r w:rsidR="00F30AE2">
          <w:rPr>
            <w:noProof/>
            <w:webHidden/>
          </w:rPr>
          <w:fldChar w:fldCharType="separate"/>
        </w:r>
        <w:r w:rsidR="00803DBE">
          <w:rPr>
            <w:noProof/>
            <w:webHidden/>
          </w:rPr>
          <w:t>39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0" w:history="1">
        <w:r w:rsidR="00F30AE2" w:rsidRPr="00FC0758">
          <w:rPr>
            <w:rStyle w:val="Hyperlink"/>
            <w:noProof/>
          </w:rPr>
          <w:t>Table 3</w:t>
        </w:r>
        <w:r w:rsidR="00F30AE2" w:rsidRPr="00FC0758">
          <w:rPr>
            <w:rStyle w:val="Hyperlink"/>
            <w:noProof/>
          </w:rPr>
          <w:noBreakHyphen/>
          <w:t>1: Sector-level Contribution to Summer Peak Load (MW) for each EDC in 2012</w:t>
        </w:r>
        <w:r w:rsidR="00F30AE2">
          <w:rPr>
            <w:noProof/>
            <w:webHidden/>
          </w:rPr>
          <w:tab/>
        </w:r>
        <w:r w:rsidR="00F30AE2">
          <w:rPr>
            <w:noProof/>
            <w:webHidden/>
          </w:rPr>
          <w:fldChar w:fldCharType="begin"/>
        </w:r>
        <w:r w:rsidR="00F30AE2">
          <w:rPr>
            <w:noProof/>
            <w:webHidden/>
          </w:rPr>
          <w:instrText xml:space="preserve"> PAGEREF _Toc412628460 \h </w:instrText>
        </w:r>
        <w:r w:rsidR="00F30AE2">
          <w:rPr>
            <w:noProof/>
            <w:webHidden/>
          </w:rPr>
        </w:r>
        <w:r w:rsidR="00F30AE2">
          <w:rPr>
            <w:noProof/>
            <w:webHidden/>
          </w:rPr>
          <w:fldChar w:fldCharType="separate"/>
        </w:r>
        <w:r w:rsidR="00803DBE">
          <w:rPr>
            <w:noProof/>
            <w:webHidden/>
          </w:rPr>
          <w:t>42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1" w:history="1">
        <w:r w:rsidR="00F30AE2" w:rsidRPr="00FC0758">
          <w:rPr>
            <w:rStyle w:val="Hyperlink"/>
            <w:noProof/>
          </w:rPr>
          <w:t>Table 3</w:t>
        </w:r>
        <w:r w:rsidR="00F30AE2" w:rsidRPr="00FC0758">
          <w:rPr>
            <w:rStyle w:val="Hyperlink"/>
            <w:noProof/>
          </w:rPr>
          <w:noBreakHyphen/>
          <w:t>2: Phase I Demand Reductions by EDC</w:t>
        </w:r>
        <w:r w:rsidR="00F30AE2">
          <w:rPr>
            <w:noProof/>
            <w:webHidden/>
          </w:rPr>
          <w:tab/>
        </w:r>
        <w:r w:rsidR="00F30AE2">
          <w:rPr>
            <w:noProof/>
            <w:webHidden/>
          </w:rPr>
          <w:fldChar w:fldCharType="begin"/>
        </w:r>
        <w:r w:rsidR="00F30AE2">
          <w:rPr>
            <w:noProof/>
            <w:webHidden/>
          </w:rPr>
          <w:instrText xml:space="preserve"> PAGEREF _Toc412628461 \h </w:instrText>
        </w:r>
        <w:r w:rsidR="00F30AE2">
          <w:rPr>
            <w:noProof/>
            <w:webHidden/>
          </w:rPr>
        </w:r>
        <w:r w:rsidR="00F30AE2">
          <w:rPr>
            <w:noProof/>
            <w:webHidden/>
          </w:rPr>
          <w:fldChar w:fldCharType="separate"/>
        </w:r>
        <w:r w:rsidR="00803DBE">
          <w:rPr>
            <w:noProof/>
            <w:webHidden/>
          </w:rPr>
          <w:t>44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2" w:history="1">
        <w:r w:rsidR="00F30AE2" w:rsidRPr="00FC0758">
          <w:rPr>
            <w:rStyle w:val="Hyperlink"/>
            <w:noProof/>
          </w:rPr>
          <w:t>Table 3</w:t>
        </w:r>
        <w:r w:rsidR="00F30AE2" w:rsidRPr="00FC0758">
          <w:rPr>
            <w:rStyle w:val="Hyperlink"/>
            <w:noProof/>
          </w:rPr>
          <w:noBreakHyphen/>
          <w:t>3: Act 129 DR Program TRC Ratios – Phase I</w:t>
        </w:r>
        <w:r w:rsidR="00F30AE2">
          <w:rPr>
            <w:noProof/>
            <w:webHidden/>
          </w:rPr>
          <w:tab/>
        </w:r>
        <w:r w:rsidR="00F30AE2">
          <w:rPr>
            <w:noProof/>
            <w:webHidden/>
          </w:rPr>
          <w:fldChar w:fldCharType="begin"/>
        </w:r>
        <w:r w:rsidR="00F30AE2">
          <w:rPr>
            <w:noProof/>
            <w:webHidden/>
          </w:rPr>
          <w:instrText xml:space="preserve"> PAGEREF _Toc412628462 \h </w:instrText>
        </w:r>
        <w:r w:rsidR="00F30AE2">
          <w:rPr>
            <w:noProof/>
            <w:webHidden/>
          </w:rPr>
        </w:r>
        <w:r w:rsidR="00F30AE2">
          <w:rPr>
            <w:noProof/>
            <w:webHidden/>
          </w:rPr>
          <w:fldChar w:fldCharType="separate"/>
        </w:r>
        <w:r w:rsidR="00803DBE">
          <w:rPr>
            <w:noProof/>
            <w:webHidden/>
          </w:rPr>
          <w:t>44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3" w:history="1">
        <w:r w:rsidR="00F30AE2" w:rsidRPr="00FC0758">
          <w:rPr>
            <w:rStyle w:val="Hyperlink"/>
            <w:noProof/>
          </w:rPr>
          <w:t>Table 3</w:t>
        </w:r>
        <w:r w:rsidR="00F30AE2" w:rsidRPr="00FC0758">
          <w:rPr>
            <w:rStyle w:val="Hyperlink"/>
            <w:noProof/>
          </w:rPr>
          <w:noBreakHyphen/>
          <w:t>4: Key Characteristics of Duquesne’s Phase I Residential A/C Cycling Program</w:t>
        </w:r>
        <w:r w:rsidR="00F30AE2">
          <w:rPr>
            <w:noProof/>
            <w:webHidden/>
          </w:rPr>
          <w:tab/>
        </w:r>
        <w:r w:rsidR="00F30AE2">
          <w:rPr>
            <w:noProof/>
            <w:webHidden/>
          </w:rPr>
          <w:fldChar w:fldCharType="begin"/>
        </w:r>
        <w:r w:rsidR="00F30AE2">
          <w:rPr>
            <w:noProof/>
            <w:webHidden/>
          </w:rPr>
          <w:instrText xml:space="preserve"> PAGEREF _Toc412628463 \h </w:instrText>
        </w:r>
        <w:r w:rsidR="00F30AE2">
          <w:rPr>
            <w:noProof/>
            <w:webHidden/>
          </w:rPr>
        </w:r>
        <w:r w:rsidR="00F30AE2">
          <w:rPr>
            <w:noProof/>
            <w:webHidden/>
          </w:rPr>
          <w:fldChar w:fldCharType="separate"/>
        </w:r>
        <w:r w:rsidR="00803DBE">
          <w:rPr>
            <w:noProof/>
            <w:webHidden/>
          </w:rPr>
          <w:t>46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4" w:history="1">
        <w:r w:rsidR="00F30AE2" w:rsidRPr="00FC0758">
          <w:rPr>
            <w:rStyle w:val="Hyperlink"/>
            <w:noProof/>
          </w:rPr>
          <w:t>Table 3</w:t>
        </w:r>
        <w:r w:rsidR="00F30AE2" w:rsidRPr="00FC0758">
          <w:rPr>
            <w:rStyle w:val="Hyperlink"/>
            <w:noProof/>
          </w:rPr>
          <w:noBreakHyphen/>
          <w:t>5: Key Characteristics of Met Ed’s Phase I Residential A/C Cycling Program - 2012</w:t>
        </w:r>
        <w:r w:rsidR="00F30AE2">
          <w:rPr>
            <w:noProof/>
            <w:webHidden/>
          </w:rPr>
          <w:tab/>
        </w:r>
        <w:r w:rsidR="00F30AE2">
          <w:rPr>
            <w:noProof/>
            <w:webHidden/>
          </w:rPr>
          <w:fldChar w:fldCharType="begin"/>
        </w:r>
        <w:r w:rsidR="00F30AE2">
          <w:rPr>
            <w:noProof/>
            <w:webHidden/>
          </w:rPr>
          <w:instrText xml:space="preserve"> PAGEREF _Toc412628464 \h </w:instrText>
        </w:r>
        <w:r w:rsidR="00F30AE2">
          <w:rPr>
            <w:noProof/>
            <w:webHidden/>
          </w:rPr>
        </w:r>
        <w:r w:rsidR="00F30AE2">
          <w:rPr>
            <w:noProof/>
            <w:webHidden/>
          </w:rPr>
          <w:fldChar w:fldCharType="separate"/>
        </w:r>
        <w:r w:rsidR="00803DBE">
          <w:rPr>
            <w:noProof/>
            <w:webHidden/>
          </w:rPr>
          <w:t>47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5" w:history="1">
        <w:r w:rsidR="00F30AE2" w:rsidRPr="00FC0758">
          <w:rPr>
            <w:rStyle w:val="Hyperlink"/>
            <w:noProof/>
          </w:rPr>
          <w:t>Table 3</w:t>
        </w:r>
        <w:r w:rsidR="00F30AE2" w:rsidRPr="00FC0758">
          <w:rPr>
            <w:rStyle w:val="Hyperlink"/>
            <w:noProof/>
          </w:rPr>
          <w:noBreakHyphen/>
          <w:t>6: Key Characteristics of Penelec’s Phase I Residential A/C Cycling Program - 2012</w:t>
        </w:r>
        <w:r w:rsidR="00F30AE2">
          <w:rPr>
            <w:noProof/>
            <w:webHidden/>
          </w:rPr>
          <w:tab/>
        </w:r>
        <w:r w:rsidR="00F30AE2">
          <w:rPr>
            <w:noProof/>
            <w:webHidden/>
          </w:rPr>
          <w:fldChar w:fldCharType="begin"/>
        </w:r>
        <w:r w:rsidR="00F30AE2">
          <w:rPr>
            <w:noProof/>
            <w:webHidden/>
          </w:rPr>
          <w:instrText xml:space="preserve"> PAGEREF _Toc412628465 \h </w:instrText>
        </w:r>
        <w:r w:rsidR="00F30AE2">
          <w:rPr>
            <w:noProof/>
            <w:webHidden/>
          </w:rPr>
        </w:r>
        <w:r w:rsidR="00F30AE2">
          <w:rPr>
            <w:noProof/>
            <w:webHidden/>
          </w:rPr>
          <w:fldChar w:fldCharType="separate"/>
        </w:r>
        <w:r w:rsidR="00803DBE">
          <w:rPr>
            <w:noProof/>
            <w:webHidden/>
          </w:rPr>
          <w:t>48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6" w:history="1">
        <w:r w:rsidR="00F30AE2" w:rsidRPr="00FC0758">
          <w:rPr>
            <w:rStyle w:val="Hyperlink"/>
            <w:noProof/>
          </w:rPr>
          <w:t>Table 3</w:t>
        </w:r>
        <w:r w:rsidR="00F30AE2" w:rsidRPr="00FC0758">
          <w:rPr>
            <w:rStyle w:val="Hyperlink"/>
            <w:noProof/>
          </w:rPr>
          <w:noBreakHyphen/>
          <w:t>7: Key Characteristics of Penn Power Phase I Residential A/C Cycling Program - 2012</w:t>
        </w:r>
        <w:r w:rsidR="00F30AE2">
          <w:rPr>
            <w:noProof/>
            <w:webHidden/>
          </w:rPr>
          <w:tab/>
        </w:r>
        <w:r w:rsidR="00F30AE2">
          <w:rPr>
            <w:noProof/>
            <w:webHidden/>
          </w:rPr>
          <w:fldChar w:fldCharType="begin"/>
        </w:r>
        <w:r w:rsidR="00F30AE2">
          <w:rPr>
            <w:noProof/>
            <w:webHidden/>
          </w:rPr>
          <w:instrText xml:space="preserve"> PAGEREF _Toc412628466 \h </w:instrText>
        </w:r>
        <w:r w:rsidR="00F30AE2">
          <w:rPr>
            <w:noProof/>
            <w:webHidden/>
          </w:rPr>
        </w:r>
        <w:r w:rsidR="00F30AE2">
          <w:rPr>
            <w:noProof/>
            <w:webHidden/>
          </w:rPr>
          <w:fldChar w:fldCharType="separate"/>
        </w:r>
        <w:r w:rsidR="00803DBE">
          <w:rPr>
            <w:noProof/>
            <w:webHidden/>
          </w:rPr>
          <w:t>50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7" w:history="1">
        <w:r w:rsidR="00F30AE2" w:rsidRPr="00FC0758">
          <w:rPr>
            <w:rStyle w:val="Hyperlink"/>
            <w:noProof/>
          </w:rPr>
          <w:t>Table 3</w:t>
        </w:r>
        <w:r w:rsidR="00F30AE2" w:rsidRPr="00FC0758">
          <w:rPr>
            <w:rStyle w:val="Hyperlink"/>
            <w:noProof/>
          </w:rPr>
          <w:noBreakHyphen/>
          <w:t>8: Key Characteristics of PECO’s Phase I Residential A/C Cycling Program</w:t>
        </w:r>
        <w:r w:rsidR="00F30AE2">
          <w:rPr>
            <w:noProof/>
            <w:webHidden/>
          </w:rPr>
          <w:tab/>
        </w:r>
        <w:r w:rsidR="00F30AE2">
          <w:rPr>
            <w:noProof/>
            <w:webHidden/>
          </w:rPr>
          <w:fldChar w:fldCharType="begin"/>
        </w:r>
        <w:r w:rsidR="00F30AE2">
          <w:rPr>
            <w:noProof/>
            <w:webHidden/>
          </w:rPr>
          <w:instrText xml:space="preserve"> PAGEREF _Toc412628467 \h </w:instrText>
        </w:r>
        <w:r w:rsidR="00F30AE2">
          <w:rPr>
            <w:noProof/>
            <w:webHidden/>
          </w:rPr>
        </w:r>
        <w:r w:rsidR="00F30AE2">
          <w:rPr>
            <w:noProof/>
            <w:webHidden/>
          </w:rPr>
          <w:fldChar w:fldCharType="separate"/>
        </w:r>
        <w:r w:rsidR="00803DBE">
          <w:rPr>
            <w:noProof/>
            <w:webHidden/>
          </w:rPr>
          <w:t>51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8" w:history="1">
        <w:r w:rsidR="00F30AE2" w:rsidRPr="00FC0758">
          <w:rPr>
            <w:rStyle w:val="Hyperlink"/>
            <w:noProof/>
          </w:rPr>
          <w:t>Table 3</w:t>
        </w:r>
        <w:r w:rsidR="00F30AE2" w:rsidRPr="00FC0758">
          <w:rPr>
            <w:rStyle w:val="Hyperlink"/>
            <w:noProof/>
          </w:rPr>
          <w:noBreakHyphen/>
          <w:t>9: Key Characteristics of PPL’s Phase I Residential A/C Cycling Program</w:t>
        </w:r>
        <w:r w:rsidR="00F30AE2">
          <w:rPr>
            <w:noProof/>
            <w:webHidden/>
          </w:rPr>
          <w:tab/>
        </w:r>
        <w:r w:rsidR="00F30AE2">
          <w:rPr>
            <w:noProof/>
            <w:webHidden/>
          </w:rPr>
          <w:fldChar w:fldCharType="begin"/>
        </w:r>
        <w:r w:rsidR="00F30AE2">
          <w:rPr>
            <w:noProof/>
            <w:webHidden/>
          </w:rPr>
          <w:instrText xml:space="preserve"> PAGEREF _Toc412628468 \h </w:instrText>
        </w:r>
        <w:r w:rsidR="00F30AE2">
          <w:rPr>
            <w:noProof/>
            <w:webHidden/>
          </w:rPr>
        </w:r>
        <w:r w:rsidR="00F30AE2">
          <w:rPr>
            <w:noProof/>
            <w:webHidden/>
          </w:rPr>
          <w:fldChar w:fldCharType="separate"/>
        </w:r>
        <w:r w:rsidR="00803DBE">
          <w:rPr>
            <w:noProof/>
            <w:webHidden/>
          </w:rPr>
          <w:t>54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69" w:history="1">
        <w:r w:rsidR="00F30AE2" w:rsidRPr="00FC0758">
          <w:rPr>
            <w:rStyle w:val="Hyperlink"/>
            <w:noProof/>
          </w:rPr>
          <w:t>Table 4</w:t>
        </w:r>
        <w:r w:rsidR="00F30AE2" w:rsidRPr="00FC0758">
          <w:rPr>
            <w:rStyle w:val="Hyperlink"/>
            <w:noProof/>
          </w:rPr>
          <w:noBreakHyphen/>
          <w:t>1: Actual Participation Rates Achieved by Electric Utility Residential Central A/C Load Control Programs in the US</w:t>
        </w:r>
        <w:r w:rsidR="00F30AE2">
          <w:rPr>
            <w:noProof/>
            <w:webHidden/>
          </w:rPr>
          <w:tab/>
        </w:r>
        <w:r w:rsidR="00F30AE2">
          <w:rPr>
            <w:noProof/>
            <w:webHidden/>
          </w:rPr>
          <w:fldChar w:fldCharType="begin"/>
        </w:r>
        <w:r w:rsidR="00F30AE2">
          <w:rPr>
            <w:noProof/>
            <w:webHidden/>
          </w:rPr>
          <w:instrText xml:space="preserve"> PAGEREF _Toc412628469 \h </w:instrText>
        </w:r>
        <w:r w:rsidR="00F30AE2">
          <w:rPr>
            <w:noProof/>
            <w:webHidden/>
          </w:rPr>
        </w:r>
        <w:r w:rsidR="00F30AE2">
          <w:rPr>
            <w:noProof/>
            <w:webHidden/>
          </w:rPr>
          <w:fldChar w:fldCharType="separate"/>
        </w:r>
        <w:r w:rsidR="00803DBE">
          <w:rPr>
            <w:noProof/>
            <w:webHidden/>
          </w:rPr>
          <w:t>56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0" w:history="1">
        <w:r w:rsidR="00F30AE2" w:rsidRPr="00FC0758">
          <w:rPr>
            <w:rStyle w:val="Hyperlink"/>
            <w:noProof/>
          </w:rPr>
          <w:t>Table 4</w:t>
        </w:r>
        <w:r w:rsidR="00F30AE2" w:rsidRPr="00FC0758">
          <w:rPr>
            <w:rStyle w:val="Hyperlink"/>
            <w:noProof/>
          </w:rPr>
          <w:noBreakHyphen/>
          <w:t>2: Eligible Markets for Phase III Residential DR Programs for EDCs – Central A/C</w:t>
        </w:r>
        <w:r w:rsidR="00F30AE2">
          <w:rPr>
            <w:noProof/>
            <w:webHidden/>
          </w:rPr>
          <w:tab/>
        </w:r>
        <w:r w:rsidR="00F30AE2">
          <w:rPr>
            <w:noProof/>
            <w:webHidden/>
          </w:rPr>
          <w:fldChar w:fldCharType="begin"/>
        </w:r>
        <w:r w:rsidR="00F30AE2">
          <w:rPr>
            <w:noProof/>
            <w:webHidden/>
          </w:rPr>
          <w:instrText xml:space="preserve"> PAGEREF _Toc412628470 \h </w:instrText>
        </w:r>
        <w:r w:rsidR="00F30AE2">
          <w:rPr>
            <w:noProof/>
            <w:webHidden/>
          </w:rPr>
        </w:r>
        <w:r w:rsidR="00F30AE2">
          <w:rPr>
            <w:noProof/>
            <w:webHidden/>
          </w:rPr>
          <w:fldChar w:fldCharType="separate"/>
        </w:r>
        <w:r w:rsidR="00803DBE">
          <w:rPr>
            <w:noProof/>
            <w:webHidden/>
          </w:rPr>
          <w:t>57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1" w:history="1">
        <w:r w:rsidR="00F30AE2" w:rsidRPr="00FC0758">
          <w:rPr>
            <w:rStyle w:val="Hyperlink"/>
            <w:noProof/>
          </w:rPr>
          <w:t>Table 4</w:t>
        </w:r>
        <w:r w:rsidR="00F30AE2" w:rsidRPr="00FC0758">
          <w:rPr>
            <w:rStyle w:val="Hyperlink"/>
            <w:noProof/>
          </w:rPr>
          <w:noBreakHyphen/>
          <w:t>3: Eligible Markets for Phase III Residential DR Demand Response Programs for EDCs – Electric Water Heaters</w:t>
        </w:r>
        <w:r w:rsidR="00F30AE2">
          <w:rPr>
            <w:noProof/>
            <w:webHidden/>
          </w:rPr>
          <w:tab/>
        </w:r>
        <w:r w:rsidR="00F30AE2">
          <w:rPr>
            <w:noProof/>
            <w:webHidden/>
          </w:rPr>
          <w:fldChar w:fldCharType="begin"/>
        </w:r>
        <w:r w:rsidR="00F30AE2">
          <w:rPr>
            <w:noProof/>
            <w:webHidden/>
          </w:rPr>
          <w:instrText xml:space="preserve"> PAGEREF _Toc412628471 \h </w:instrText>
        </w:r>
        <w:r w:rsidR="00F30AE2">
          <w:rPr>
            <w:noProof/>
            <w:webHidden/>
          </w:rPr>
        </w:r>
        <w:r w:rsidR="00F30AE2">
          <w:rPr>
            <w:noProof/>
            <w:webHidden/>
          </w:rPr>
          <w:fldChar w:fldCharType="separate"/>
        </w:r>
        <w:r w:rsidR="00803DBE">
          <w:rPr>
            <w:noProof/>
            <w:webHidden/>
          </w:rPr>
          <w:t>58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2" w:history="1">
        <w:r w:rsidR="00F30AE2" w:rsidRPr="00FC0758">
          <w:rPr>
            <w:rStyle w:val="Hyperlink"/>
            <w:noProof/>
          </w:rPr>
          <w:t>Table 4</w:t>
        </w:r>
        <w:r w:rsidR="00F30AE2" w:rsidRPr="00FC0758">
          <w:rPr>
            <w:rStyle w:val="Hyperlink"/>
            <w:noProof/>
          </w:rPr>
          <w:noBreakHyphen/>
          <w:t>4: Eligible Markets for Phase III Residential DR Programs for EDCs – Room A/C</w:t>
        </w:r>
        <w:r w:rsidR="00F30AE2">
          <w:rPr>
            <w:noProof/>
            <w:webHidden/>
          </w:rPr>
          <w:tab/>
        </w:r>
        <w:r w:rsidR="00F30AE2">
          <w:rPr>
            <w:noProof/>
            <w:webHidden/>
          </w:rPr>
          <w:fldChar w:fldCharType="begin"/>
        </w:r>
        <w:r w:rsidR="00F30AE2">
          <w:rPr>
            <w:noProof/>
            <w:webHidden/>
          </w:rPr>
          <w:instrText xml:space="preserve"> PAGEREF _Toc412628472 \h </w:instrText>
        </w:r>
        <w:r w:rsidR="00F30AE2">
          <w:rPr>
            <w:noProof/>
            <w:webHidden/>
          </w:rPr>
        </w:r>
        <w:r w:rsidR="00F30AE2">
          <w:rPr>
            <w:noProof/>
            <w:webHidden/>
          </w:rPr>
          <w:fldChar w:fldCharType="separate"/>
        </w:r>
        <w:r w:rsidR="00803DBE">
          <w:rPr>
            <w:noProof/>
            <w:webHidden/>
          </w:rPr>
          <w:t>58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3" w:history="1">
        <w:r w:rsidR="00F30AE2" w:rsidRPr="00FC0758">
          <w:rPr>
            <w:rStyle w:val="Hyperlink"/>
            <w:noProof/>
          </w:rPr>
          <w:t>Table 4</w:t>
        </w:r>
        <w:r w:rsidR="00F30AE2" w:rsidRPr="00FC0758">
          <w:rPr>
            <w:rStyle w:val="Hyperlink"/>
            <w:noProof/>
          </w:rPr>
          <w:noBreakHyphen/>
          <w:t>5: Eligible Markets for Phase III Residential DR Programs for EDCs – Swimming Pool Pumps</w:t>
        </w:r>
        <w:r w:rsidR="00F30AE2">
          <w:rPr>
            <w:noProof/>
            <w:webHidden/>
          </w:rPr>
          <w:tab/>
        </w:r>
        <w:r w:rsidR="00F30AE2">
          <w:rPr>
            <w:noProof/>
            <w:webHidden/>
          </w:rPr>
          <w:fldChar w:fldCharType="begin"/>
        </w:r>
        <w:r w:rsidR="00F30AE2">
          <w:rPr>
            <w:noProof/>
            <w:webHidden/>
          </w:rPr>
          <w:instrText xml:space="preserve"> PAGEREF _Toc412628473 \h </w:instrText>
        </w:r>
        <w:r w:rsidR="00F30AE2">
          <w:rPr>
            <w:noProof/>
            <w:webHidden/>
          </w:rPr>
        </w:r>
        <w:r w:rsidR="00F30AE2">
          <w:rPr>
            <w:noProof/>
            <w:webHidden/>
          </w:rPr>
          <w:fldChar w:fldCharType="separate"/>
        </w:r>
        <w:r w:rsidR="00803DBE">
          <w:rPr>
            <w:noProof/>
            <w:webHidden/>
          </w:rPr>
          <w:t>59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4" w:history="1">
        <w:r w:rsidR="00F30AE2" w:rsidRPr="00FC0758">
          <w:rPr>
            <w:rStyle w:val="Hyperlink"/>
            <w:noProof/>
          </w:rPr>
          <w:t>Table 4</w:t>
        </w:r>
        <w:r w:rsidR="00F30AE2" w:rsidRPr="00FC0758">
          <w:rPr>
            <w:rStyle w:val="Hyperlink"/>
            <w:noProof/>
          </w:rPr>
          <w:noBreakHyphen/>
          <w:t>6: Key Input Assumptions for Cost-Effectiveness and Potential Analysis for Phase III Residential DLC Programs</w:t>
        </w:r>
        <w:r w:rsidR="00F30AE2">
          <w:rPr>
            <w:noProof/>
            <w:webHidden/>
          </w:rPr>
          <w:tab/>
        </w:r>
        <w:r w:rsidR="00F30AE2">
          <w:rPr>
            <w:noProof/>
            <w:webHidden/>
          </w:rPr>
          <w:fldChar w:fldCharType="begin"/>
        </w:r>
        <w:r w:rsidR="00F30AE2">
          <w:rPr>
            <w:noProof/>
            <w:webHidden/>
          </w:rPr>
          <w:instrText xml:space="preserve"> PAGEREF _Toc412628474 \h </w:instrText>
        </w:r>
        <w:r w:rsidR="00F30AE2">
          <w:rPr>
            <w:noProof/>
            <w:webHidden/>
          </w:rPr>
        </w:r>
        <w:r w:rsidR="00F30AE2">
          <w:rPr>
            <w:noProof/>
            <w:webHidden/>
          </w:rPr>
          <w:fldChar w:fldCharType="separate"/>
        </w:r>
        <w:r w:rsidR="00803DBE">
          <w:rPr>
            <w:noProof/>
            <w:webHidden/>
          </w:rPr>
          <w:t>61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5" w:history="1">
        <w:r w:rsidR="00F30AE2" w:rsidRPr="00FC0758">
          <w:rPr>
            <w:rStyle w:val="Hyperlink"/>
            <w:noProof/>
          </w:rPr>
          <w:t>Table 4</w:t>
        </w:r>
        <w:r w:rsidR="00F30AE2" w:rsidRPr="00FC0758">
          <w:rPr>
            <w:rStyle w:val="Hyperlink"/>
            <w:noProof/>
          </w:rPr>
          <w:noBreakHyphen/>
          <w:t>7: Annual DR Budget for Program Potential Scenarios</w:t>
        </w:r>
        <w:r w:rsidR="00F30AE2">
          <w:rPr>
            <w:noProof/>
            <w:webHidden/>
          </w:rPr>
          <w:tab/>
        </w:r>
        <w:r w:rsidR="00F30AE2">
          <w:rPr>
            <w:noProof/>
            <w:webHidden/>
          </w:rPr>
          <w:fldChar w:fldCharType="begin"/>
        </w:r>
        <w:r w:rsidR="00F30AE2">
          <w:rPr>
            <w:noProof/>
            <w:webHidden/>
          </w:rPr>
          <w:instrText xml:space="preserve"> PAGEREF _Toc412628475 \h </w:instrText>
        </w:r>
        <w:r w:rsidR="00F30AE2">
          <w:rPr>
            <w:noProof/>
            <w:webHidden/>
          </w:rPr>
        </w:r>
        <w:r w:rsidR="00F30AE2">
          <w:rPr>
            <w:noProof/>
            <w:webHidden/>
          </w:rPr>
          <w:fldChar w:fldCharType="separate"/>
        </w:r>
        <w:r w:rsidR="00803DBE">
          <w:rPr>
            <w:noProof/>
            <w:webHidden/>
          </w:rPr>
          <w:t>62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6" w:history="1">
        <w:r w:rsidR="00F30AE2" w:rsidRPr="00FC0758">
          <w:rPr>
            <w:rStyle w:val="Hyperlink"/>
            <w:noProof/>
          </w:rPr>
          <w:t>Table 4</w:t>
        </w:r>
        <w:r w:rsidR="00F30AE2" w:rsidRPr="00FC0758">
          <w:rPr>
            <w:rStyle w:val="Hyperlink"/>
            <w:noProof/>
          </w:rPr>
          <w:noBreakHyphen/>
          <w:t>8: Residential DLC Benefits and Costs – Central A/C Control Only</w:t>
        </w:r>
        <w:r w:rsidR="00F30AE2">
          <w:rPr>
            <w:noProof/>
            <w:webHidden/>
          </w:rPr>
          <w:tab/>
        </w:r>
        <w:r w:rsidR="00F30AE2">
          <w:rPr>
            <w:noProof/>
            <w:webHidden/>
          </w:rPr>
          <w:fldChar w:fldCharType="begin"/>
        </w:r>
        <w:r w:rsidR="00F30AE2">
          <w:rPr>
            <w:noProof/>
            <w:webHidden/>
          </w:rPr>
          <w:instrText xml:space="preserve"> PAGEREF _Toc412628476 \h </w:instrText>
        </w:r>
        <w:r w:rsidR="00F30AE2">
          <w:rPr>
            <w:noProof/>
            <w:webHidden/>
          </w:rPr>
        </w:r>
        <w:r w:rsidR="00F30AE2">
          <w:rPr>
            <w:noProof/>
            <w:webHidden/>
          </w:rPr>
          <w:fldChar w:fldCharType="separate"/>
        </w:r>
        <w:r w:rsidR="00803DBE">
          <w:rPr>
            <w:noProof/>
            <w:webHidden/>
          </w:rPr>
          <w:t>63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7" w:history="1">
        <w:r w:rsidR="00F30AE2" w:rsidRPr="00FC0758">
          <w:rPr>
            <w:rStyle w:val="Hyperlink"/>
            <w:noProof/>
          </w:rPr>
          <w:t>Table 4</w:t>
        </w:r>
        <w:r w:rsidR="00F30AE2" w:rsidRPr="00FC0758">
          <w:rPr>
            <w:rStyle w:val="Hyperlink"/>
            <w:noProof/>
          </w:rPr>
          <w:noBreakHyphen/>
          <w:t>9: Residential DLC Benefits and Costs – Control of Central A/C, Electric Water Heaters, Room A/C, and Swimming Pool Pumps</w:t>
        </w:r>
        <w:r w:rsidR="00F30AE2">
          <w:rPr>
            <w:noProof/>
            <w:webHidden/>
          </w:rPr>
          <w:tab/>
        </w:r>
        <w:r w:rsidR="00F30AE2">
          <w:rPr>
            <w:noProof/>
            <w:webHidden/>
          </w:rPr>
          <w:fldChar w:fldCharType="begin"/>
        </w:r>
        <w:r w:rsidR="00F30AE2">
          <w:rPr>
            <w:noProof/>
            <w:webHidden/>
          </w:rPr>
          <w:instrText xml:space="preserve"> PAGEREF _Toc412628477 \h </w:instrText>
        </w:r>
        <w:r w:rsidR="00F30AE2">
          <w:rPr>
            <w:noProof/>
            <w:webHidden/>
          </w:rPr>
        </w:r>
        <w:r w:rsidR="00F30AE2">
          <w:rPr>
            <w:noProof/>
            <w:webHidden/>
          </w:rPr>
          <w:fldChar w:fldCharType="separate"/>
        </w:r>
        <w:r w:rsidR="00803DBE">
          <w:rPr>
            <w:noProof/>
            <w:webHidden/>
          </w:rPr>
          <w:t>63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8" w:history="1">
        <w:r w:rsidR="00F30AE2" w:rsidRPr="00FC0758">
          <w:rPr>
            <w:rStyle w:val="Hyperlink"/>
            <w:noProof/>
          </w:rPr>
          <w:t>Table 5</w:t>
        </w:r>
        <w:r w:rsidR="00F30AE2" w:rsidRPr="00FC0758">
          <w:rPr>
            <w:rStyle w:val="Hyperlink"/>
            <w:noProof/>
          </w:rPr>
          <w:noBreakHyphen/>
          <w:t>1: Estimation of DX Cooling Load During Peak Conditions</w:t>
        </w:r>
        <w:r w:rsidR="00F30AE2">
          <w:rPr>
            <w:noProof/>
            <w:webHidden/>
          </w:rPr>
          <w:tab/>
        </w:r>
        <w:r w:rsidR="00F30AE2">
          <w:rPr>
            <w:noProof/>
            <w:webHidden/>
          </w:rPr>
          <w:fldChar w:fldCharType="begin"/>
        </w:r>
        <w:r w:rsidR="00F30AE2">
          <w:rPr>
            <w:noProof/>
            <w:webHidden/>
          </w:rPr>
          <w:instrText xml:space="preserve"> PAGEREF _Toc412628478 \h </w:instrText>
        </w:r>
        <w:r w:rsidR="00F30AE2">
          <w:rPr>
            <w:noProof/>
            <w:webHidden/>
          </w:rPr>
        </w:r>
        <w:r w:rsidR="00F30AE2">
          <w:rPr>
            <w:noProof/>
            <w:webHidden/>
          </w:rPr>
          <w:fldChar w:fldCharType="separate"/>
        </w:r>
        <w:r w:rsidR="00803DBE">
          <w:rPr>
            <w:noProof/>
            <w:webHidden/>
          </w:rPr>
          <w:t>66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79" w:history="1">
        <w:r w:rsidR="00F30AE2" w:rsidRPr="00FC0758">
          <w:rPr>
            <w:rStyle w:val="Hyperlink"/>
            <w:noProof/>
          </w:rPr>
          <w:t>Table 5</w:t>
        </w:r>
        <w:r w:rsidR="00F30AE2" w:rsidRPr="00FC0758">
          <w:rPr>
            <w:rStyle w:val="Hyperlink"/>
            <w:noProof/>
          </w:rPr>
          <w:noBreakHyphen/>
          <w:t>2: Sample Calculation of AC Load Available for DLC</w:t>
        </w:r>
        <w:r w:rsidR="00F30AE2">
          <w:rPr>
            <w:noProof/>
            <w:webHidden/>
          </w:rPr>
          <w:tab/>
        </w:r>
        <w:r w:rsidR="00F30AE2">
          <w:rPr>
            <w:noProof/>
            <w:webHidden/>
          </w:rPr>
          <w:fldChar w:fldCharType="begin"/>
        </w:r>
        <w:r w:rsidR="00F30AE2">
          <w:rPr>
            <w:noProof/>
            <w:webHidden/>
          </w:rPr>
          <w:instrText xml:space="preserve"> PAGEREF _Toc412628479 \h </w:instrText>
        </w:r>
        <w:r w:rsidR="00F30AE2">
          <w:rPr>
            <w:noProof/>
            <w:webHidden/>
          </w:rPr>
        </w:r>
        <w:r w:rsidR="00F30AE2">
          <w:rPr>
            <w:noProof/>
            <w:webHidden/>
          </w:rPr>
          <w:fldChar w:fldCharType="separate"/>
        </w:r>
        <w:r w:rsidR="00803DBE">
          <w:rPr>
            <w:noProof/>
            <w:webHidden/>
          </w:rPr>
          <w:t>67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0" w:history="1">
        <w:r w:rsidR="00F30AE2" w:rsidRPr="00FC0758">
          <w:rPr>
            <w:rStyle w:val="Hyperlink"/>
            <w:noProof/>
          </w:rPr>
          <w:t>Table 5</w:t>
        </w:r>
        <w:r w:rsidR="00F30AE2" w:rsidRPr="00FC0758">
          <w:rPr>
            <w:rStyle w:val="Hyperlink"/>
            <w:noProof/>
          </w:rPr>
          <w:noBreakHyphen/>
          <w:t>3: Average Size and Efficiency of DX Cooling Equipment by Segment</w:t>
        </w:r>
        <w:r w:rsidR="00F30AE2">
          <w:rPr>
            <w:noProof/>
            <w:webHidden/>
          </w:rPr>
          <w:tab/>
        </w:r>
        <w:r w:rsidR="00F30AE2">
          <w:rPr>
            <w:noProof/>
            <w:webHidden/>
          </w:rPr>
          <w:fldChar w:fldCharType="begin"/>
        </w:r>
        <w:r w:rsidR="00F30AE2">
          <w:rPr>
            <w:noProof/>
            <w:webHidden/>
          </w:rPr>
          <w:instrText xml:space="preserve"> PAGEREF _Toc412628480 \h </w:instrText>
        </w:r>
        <w:r w:rsidR="00F30AE2">
          <w:rPr>
            <w:noProof/>
            <w:webHidden/>
          </w:rPr>
        </w:r>
        <w:r w:rsidR="00F30AE2">
          <w:rPr>
            <w:noProof/>
            <w:webHidden/>
          </w:rPr>
          <w:fldChar w:fldCharType="separate"/>
        </w:r>
        <w:r w:rsidR="00803DBE">
          <w:rPr>
            <w:noProof/>
            <w:webHidden/>
          </w:rPr>
          <w:t>68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1" w:history="1">
        <w:r w:rsidR="00F30AE2" w:rsidRPr="00FC0758">
          <w:rPr>
            <w:rStyle w:val="Hyperlink"/>
            <w:noProof/>
          </w:rPr>
          <w:t>Table 5</w:t>
        </w:r>
        <w:r w:rsidR="00F30AE2" w:rsidRPr="00FC0758">
          <w:rPr>
            <w:rStyle w:val="Hyperlink"/>
            <w:noProof/>
          </w:rPr>
          <w:noBreakHyphen/>
          <w:t>4: Modeling Assumptions for Commercial DLC</w:t>
        </w:r>
        <w:r w:rsidR="00F30AE2">
          <w:rPr>
            <w:noProof/>
            <w:webHidden/>
          </w:rPr>
          <w:tab/>
        </w:r>
        <w:r w:rsidR="00F30AE2">
          <w:rPr>
            <w:noProof/>
            <w:webHidden/>
          </w:rPr>
          <w:fldChar w:fldCharType="begin"/>
        </w:r>
        <w:r w:rsidR="00F30AE2">
          <w:rPr>
            <w:noProof/>
            <w:webHidden/>
          </w:rPr>
          <w:instrText xml:space="preserve"> PAGEREF _Toc412628481 \h </w:instrText>
        </w:r>
        <w:r w:rsidR="00F30AE2">
          <w:rPr>
            <w:noProof/>
            <w:webHidden/>
          </w:rPr>
        </w:r>
        <w:r w:rsidR="00F30AE2">
          <w:rPr>
            <w:noProof/>
            <w:webHidden/>
          </w:rPr>
          <w:fldChar w:fldCharType="separate"/>
        </w:r>
        <w:r w:rsidR="00803DBE">
          <w:rPr>
            <w:noProof/>
            <w:webHidden/>
          </w:rPr>
          <w:t>69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2" w:history="1">
        <w:r w:rsidR="00F30AE2" w:rsidRPr="00FC0758">
          <w:rPr>
            <w:rStyle w:val="Hyperlink"/>
            <w:noProof/>
          </w:rPr>
          <w:t>Table 5</w:t>
        </w:r>
        <w:r w:rsidR="00F30AE2" w:rsidRPr="00FC0758">
          <w:rPr>
            <w:rStyle w:val="Hyperlink"/>
            <w:noProof/>
          </w:rPr>
          <w:noBreakHyphen/>
          <w:t>5: Commercial DLC Cost Inputs</w:t>
        </w:r>
        <w:r w:rsidR="00F30AE2">
          <w:rPr>
            <w:noProof/>
            <w:webHidden/>
          </w:rPr>
          <w:tab/>
        </w:r>
        <w:r w:rsidR="00F30AE2">
          <w:rPr>
            <w:noProof/>
            <w:webHidden/>
          </w:rPr>
          <w:fldChar w:fldCharType="begin"/>
        </w:r>
        <w:r w:rsidR="00F30AE2">
          <w:rPr>
            <w:noProof/>
            <w:webHidden/>
          </w:rPr>
          <w:instrText xml:space="preserve"> PAGEREF _Toc412628482 \h </w:instrText>
        </w:r>
        <w:r w:rsidR="00F30AE2">
          <w:rPr>
            <w:noProof/>
            <w:webHidden/>
          </w:rPr>
        </w:r>
        <w:r w:rsidR="00F30AE2">
          <w:rPr>
            <w:noProof/>
            <w:webHidden/>
          </w:rPr>
          <w:fldChar w:fldCharType="separate"/>
        </w:r>
        <w:r w:rsidR="00803DBE">
          <w:rPr>
            <w:noProof/>
            <w:webHidden/>
          </w:rPr>
          <w:t>70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3" w:history="1">
        <w:r w:rsidR="00F30AE2" w:rsidRPr="00FC0758">
          <w:rPr>
            <w:rStyle w:val="Hyperlink"/>
            <w:noProof/>
          </w:rPr>
          <w:t>Table 5</w:t>
        </w:r>
        <w:r w:rsidR="00F30AE2" w:rsidRPr="00FC0758">
          <w:rPr>
            <w:rStyle w:val="Hyperlink"/>
            <w:noProof/>
          </w:rPr>
          <w:noBreakHyphen/>
          <w:t>6: Small and Medium Commercial DLC Potential by EDC</w:t>
        </w:r>
        <w:r w:rsidR="00F30AE2">
          <w:rPr>
            <w:noProof/>
            <w:webHidden/>
          </w:rPr>
          <w:tab/>
        </w:r>
        <w:r w:rsidR="00F30AE2">
          <w:rPr>
            <w:noProof/>
            <w:webHidden/>
          </w:rPr>
          <w:fldChar w:fldCharType="begin"/>
        </w:r>
        <w:r w:rsidR="00F30AE2">
          <w:rPr>
            <w:noProof/>
            <w:webHidden/>
          </w:rPr>
          <w:instrText xml:space="preserve"> PAGEREF _Toc412628483 \h </w:instrText>
        </w:r>
        <w:r w:rsidR="00F30AE2">
          <w:rPr>
            <w:noProof/>
            <w:webHidden/>
          </w:rPr>
        </w:r>
        <w:r w:rsidR="00F30AE2">
          <w:rPr>
            <w:noProof/>
            <w:webHidden/>
          </w:rPr>
          <w:fldChar w:fldCharType="separate"/>
        </w:r>
        <w:r w:rsidR="00803DBE">
          <w:rPr>
            <w:noProof/>
            <w:webHidden/>
          </w:rPr>
          <w:t>70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4" w:history="1">
        <w:r w:rsidR="00F30AE2" w:rsidRPr="00FC0758">
          <w:rPr>
            <w:rStyle w:val="Hyperlink"/>
            <w:noProof/>
          </w:rPr>
          <w:t>Table 6</w:t>
        </w:r>
        <w:r w:rsidR="00F30AE2" w:rsidRPr="00FC0758">
          <w:rPr>
            <w:rStyle w:val="Hyperlink"/>
            <w:noProof/>
          </w:rPr>
          <w:noBreakHyphen/>
          <w:t>1: California Non-Residential DR Programs</w:t>
        </w:r>
        <w:r w:rsidR="00F30AE2">
          <w:rPr>
            <w:noProof/>
            <w:webHidden/>
          </w:rPr>
          <w:tab/>
        </w:r>
        <w:r w:rsidR="00F30AE2">
          <w:rPr>
            <w:noProof/>
            <w:webHidden/>
          </w:rPr>
          <w:fldChar w:fldCharType="begin"/>
        </w:r>
        <w:r w:rsidR="00F30AE2">
          <w:rPr>
            <w:noProof/>
            <w:webHidden/>
          </w:rPr>
          <w:instrText xml:space="preserve"> PAGEREF _Toc412628484 \h </w:instrText>
        </w:r>
        <w:r w:rsidR="00F30AE2">
          <w:rPr>
            <w:noProof/>
            <w:webHidden/>
          </w:rPr>
        </w:r>
        <w:r w:rsidR="00F30AE2">
          <w:rPr>
            <w:noProof/>
            <w:webHidden/>
          </w:rPr>
          <w:fldChar w:fldCharType="separate"/>
        </w:r>
        <w:r w:rsidR="00803DBE">
          <w:rPr>
            <w:noProof/>
            <w:webHidden/>
          </w:rPr>
          <w:t>75</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5" w:history="1">
        <w:r w:rsidR="00F30AE2" w:rsidRPr="00FC0758">
          <w:rPr>
            <w:rStyle w:val="Hyperlink"/>
            <w:noProof/>
          </w:rPr>
          <w:t>Table 6</w:t>
        </w:r>
        <w:r w:rsidR="00F30AE2" w:rsidRPr="00FC0758">
          <w:rPr>
            <w:rStyle w:val="Hyperlink"/>
            <w:noProof/>
          </w:rPr>
          <w:noBreakHyphen/>
          <w:t>2: Elasticity of Supply Values by Customer Segment and DR Product</w:t>
        </w:r>
        <w:r w:rsidR="00F30AE2">
          <w:rPr>
            <w:noProof/>
            <w:webHidden/>
          </w:rPr>
          <w:tab/>
        </w:r>
        <w:r w:rsidR="00F30AE2">
          <w:rPr>
            <w:noProof/>
            <w:webHidden/>
          </w:rPr>
          <w:fldChar w:fldCharType="begin"/>
        </w:r>
        <w:r w:rsidR="00F30AE2">
          <w:rPr>
            <w:noProof/>
            <w:webHidden/>
          </w:rPr>
          <w:instrText xml:space="preserve"> PAGEREF _Toc412628485 \h </w:instrText>
        </w:r>
        <w:r w:rsidR="00F30AE2">
          <w:rPr>
            <w:noProof/>
            <w:webHidden/>
          </w:rPr>
        </w:r>
        <w:r w:rsidR="00F30AE2">
          <w:rPr>
            <w:noProof/>
            <w:webHidden/>
          </w:rPr>
          <w:fldChar w:fldCharType="separate"/>
        </w:r>
        <w:r w:rsidR="00803DBE">
          <w:rPr>
            <w:noProof/>
            <w:webHidden/>
          </w:rPr>
          <w:t>76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6" w:history="1">
        <w:r w:rsidR="00F30AE2" w:rsidRPr="00FC0758">
          <w:rPr>
            <w:rStyle w:val="Hyperlink"/>
            <w:noProof/>
          </w:rPr>
          <w:t>Table 6</w:t>
        </w:r>
        <w:r w:rsidR="00F30AE2" w:rsidRPr="00FC0758">
          <w:rPr>
            <w:rStyle w:val="Hyperlink"/>
            <w:noProof/>
          </w:rPr>
          <w:noBreakHyphen/>
          <w:t>3: Program Year 8 Incentive Payments by EDC</w:t>
        </w:r>
        <w:r w:rsidR="00F30AE2">
          <w:rPr>
            <w:noProof/>
            <w:webHidden/>
          </w:rPr>
          <w:tab/>
        </w:r>
        <w:r w:rsidR="00F30AE2">
          <w:rPr>
            <w:noProof/>
            <w:webHidden/>
          </w:rPr>
          <w:fldChar w:fldCharType="begin"/>
        </w:r>
        <w:r w:rsidR="00F30AE2">
          <w:rPr>
            <w:noProof/>
            <w:webHidden/>
          </w:rPr>
          <w:instrText xml:space="preserve"> PAGEREF _Toc412628486 \h </w:instrText>
        </w:r>
        <w:r w:rsidR="00F30AE2">
          <w:rPr>
            <w:noProof/>
            <w:webHidden/>
          </w:rPr>
        </w:r>
        <w:r w:rsidR="00F30AE2">
          <w:rPr>
            <w:noProof/>
            <w:webHidden/>
          </w:rPr>
          <w:fldChar w:fldCharType="separate"/>
        </w:r>
        <w:r w:rsidR="00803DBE">
          <w:rPr>
            <w:noProof/>
            <w:webHidden/>
          </w:rPr>
          <w:t>80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7" w:history="1">
        <w:r w:rsidR="00F30AE2" w:rsidRPr="00FC0758">
          <w:rPr>
            <w:rStyle w:val="Hyperlink"/>
            <w:noProof/>
          </w:rPr>
          <w:t>Table 6</w:t>
        </w:r>
        <w:r w:rsidR="00F30AE2" w:rsidRPr="00FC0758">
          <w:rPr>
            <w:rStyle w:val="Hyperlink"/>
            <w:noProof/>
          </w:rPr>
          <w:noBreakHyphen/>
          <w:t>4: Benefit Cost Assumptions in C&amp;I Load Curtailment Models</w:t>
        </w:r>
        <w:r w:rsidR="00F30AE2">
          <w:rPr>
            <w:noProof/>
            <w:webHidden/>
          </w:rPr>
          <w:tab/>
        </w:r>
        <w:r w:rsidR="00F30AE2">
          <w:rPr>
            <w:noProof/>
            <w:webHidden/>
          </w:rPr>
          <w:fldChar w:fldCharType="begin"/>
        </w:r>
        <w:r w:rsidR="00F30AE2">
          <w:rPr>
            <w:noProof/>
            <w:webHidden/>
          </w:rPr>
          <w:instrText xml:space="preserve"> PAGEREF _Toc412628487 \h </w:instrText>
        </w:r>
        <w:r w:rsidR="00F30AE2">
          <w:rPr>
            <w:noProof/>
            <w:webHidden/>
          </w:rPr>
        </w:r>
        <w:r w:rsidR="00F30AE2">
          <w:rPr>
            <w:noProof/>
            <w:webHidden/>
          </w:rPr>
          <w:fldChar w:fldCharType="separate"/>
        </w:r>
        <w:r w:rsidR="00803DBE">
          <w:rPr>
            <w:noProof/>
            <w:webHidden/>
          </w:rPr>
          <w:t>80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8" w:history="1">
        <w:r w:rsidR="00F30AE2" w:rsidRPr="00FC0758">
          <w:rPr>
            <w:rStyle w:val="Hyperlink"/>
            <w:noProof/>
          </w:rPr>
          <w:t>Table 6</w:t>
        </w:r>
        <w:r w:rsidR="00F30AE2" w:rsidRPr="00FC0758">
          <w:rPr>
            <w:rStyle w:val="Hyperlink"/>
            <w:noProof/>
          </w:rPr>
          <w:noBreakHyphen/>
          <w:t>5: Phase III Achievable Potential Estimates by EDC and DR Product Type (MW/year)</w:t>
        </w:r>
        <w:r w:rsidR="00F30AE2">
          <w:rPr>
            <w:noProof/>
            <w:webHidden/>
          </w:rPr>
          <w:tab/>
        </w:r>
        <w:r w:rsidR="00F30AE2">
          <w:rPr>
            <w:noProof/>
            <w:webHidden/>
          </w:rPr>
          <w:fldChar w:fldCharType="begin"/>
        </w:r>
        <w:r w:rsidR="00F30AE2">
          <w:rPr>
            <w:noProof/>
            <w:webHidden/>
          </w:rPr>
          <w:instrText xml:space="preserve"> PAGEREF _Toc412628488 \h </w:instrText>
        </w:r>
        <w:r w:rsidR="00F30AE2">
          <w:rPr>
            <w:noProof/>
            <w:webHidden/>
          </w:rPr>
        </w:r>
        <w:r w:rsidR="00F30AE2">
          <w:rPr>
            <w:noProof/>
            <w:webHidden/>
          </w:rPr>
          <w:fldChar w:fldCharType="separate"/>
        </w:r>
        <w:r w:rsidR="00803DBE">
          <w:rPr>
            <w:noProof/>
            <w:webHidden/>
          </w:rPr>
          <w:t>81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89" w:history="1">
        <w:r w:rsidR="00F30AE2" w:rsidRPr="00FC0758">
          <w:rPr>
            <w:rStyle w:val="Hyperlink"/>
            <w:noProof/>
          </w:rPr>
          <w:t>Table 6</w:t>
        </w:r>
        <w:r w:rsidR="00F30AE2" w:rsidRPr="00FC0758">
          <w:rPr>
            <w:rStyle w:val="Hyperlink"/>
            <w:noProof/>
          </w:rPr>
          <w:noBreakHyphen/>
          <w:t>6: Phase III TRC Ratios by EDC and DR Product Type</w:t>
        </w:r>
        <w:r w:rsidR="00F30AE2">
          <w:rPr>
            <w:noProof/>
            <w:webHidden/>
          </w:rPr>
          <w:tab/>
        </w:r>
        <w:r w:rsidR="00F30AE2">
          <w:rPr>
            <w:noProof/>
            <w:webHidden/>
          </w:rPr>
          <w:fldChar w:fldCharType="begin"/>
        </w:r>
        <w:r w:rsidR="00F30AE2">
          <w:rPr>
            <w:noProof/>
            <w:webHidden/>
          </w:rPr>
          <w:instrText xml:space="preserve"> PAGEREF _Toc412628489 \h </w:instrText>
        </w:r>
        <w:r w:rsidR="00F30AE2">
          <w:rPr>
            <w:noProof/>
            <w:webHidden/>
          </w:rPr>
        </w:r>
        <w:r w:rsidR="00F30AE2">
          <w:rPr>
            <w:noProof/>
            <w:webHidden/>
          </w:rPr>
          <w:fldChar w:fldCharType="separate"/>
        </w:r>
        <w:r w:rsidR="00803DBE">
          <w:rPr>
            <w:noProof/>
            <w:webHidden/>
          </w:rPr>
          <w:t>82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0" w:history="1">
        <w:r w:rsidR="00F30AE2" w:rsidRPr="00FC0758">
          <w:rPr>
            <w:rStyle w:val="Hyperlink"/>
            <w:noProof/>
          </w:rPr>
          <w:t>Table 6</w:t>
        </w:r>
        <w:r w:rsidR="00F30AE2" w:rsidRPr="00FC0758">
          <w:rPr>
            <w:rStyle w:val="Hyperlink"/>
            <w:noProof/>
          </w:rPr>
          <w:noBreakHyphen/>
          <w:t>7: DR Financials by EDC and Product</w:t>
        </w:r>
        <w:r w:rsidR="00F30AE2">
          <w:rPr>
            <w:noProof/>
            <w:webHidden/>
          </w:rPr>
          <w:tab/>
        </w:r>
        <w:r w:rsidR="00F30AE2">
          <w:rPr>
            <w:noProof/>
            <w:webHidden/>
          </w:rPr>
          <w:fldChar w:fldCharType="begin"/>
        </w:r>
        <w:r w:rsidR="00F30AE2">
          <w:rPr>
            <w:noProof/>
            <w:webHidden/>
          </w:rPr>
          <w:instrText xml:space="preserve"> PAGEREF _Toc412628490 \h </w:instrText>
        </w:r>
        <w:r w:rsidR="00F30AE2">
          <w:rPr>
            <w:noProof/>
            <w:webHidden/>
          </w:rPr>
        </w:r>
        <w:r w:rsidR="00F30AE2">
          <w:rPr>
            <w:noProof/>
            <w:webHidden/>
          </w:rPr>
          <w:fldChar w:fldCharType="separate"/>
        </w:r>
        <w:r w:rsidR="00803DBE">
          <w:rPr>
            <w:noProof/>
            <w:webHidden/>
          </w:rPr>
          <w:t>83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1" w:history="1">
        <w:r w:rsidR="00F30AE2" w:rsidRPr="00FC0758">
          <w:rPr>
            <w:rStyle w:val="Hyperlink"/>
            <w:noProof/>
          </w:rPr>
          <w:t>Table 6</w:t>
        </w:r>
        <w:r w:rsidR="00F30AE2" w:rsidRPr="00FC0758">
          <w:rPr>
            <w:rStyle w:val="Hyperlink"/>
            <w:noProof/>
          </w:rPr>
          <w:noBreakHyphen/>
          <w:t>8: Demand Resources Committed in PJM’s BRA by Delivery Year</w:t>
        </w:r>
        <w:r w:rsidR="00F30AE2">
          <w:rPr>
            <w:noProof/>
            <w:webHidden/>
          </w:rPr>
          <w:tab/>
        </w:r>
        <w:r w:rsidR="00F30AE2">
          <w:rPr>
            <w:noProof/>
            <w:webHidden/>
          </w:rPr>
          <w:fldChar w:fldCharType="begin"/>
        </w:r>
        <w:r w:rsidR="00F30AE2">
          <w:rPr>
            <w:noProof/>
            <w:webHidden/>
          </w:rPr>
          <w:instrText xml:space="preserve"> PAGEREF _Toc412628491 \h </w:instrText>
        </w:r>
        <w:r w:rsidR="00F30AE2">
          <w:rPr>
            <w:noProof/>
            <w:webHidden/>
          </w:rPr>
        </w:r>
        <w:r w:rsidR="00F30AE2">
          <w:rPr>
            <w:noProof/>
            <w:webHidden/>
          </w:rPr>
          <w:fldChar w:fldCharType="separate"/>
        </w:r>
        <w:r w:rsidR="00803DBE">
          <w:rPr>
            <w:noProof/>
            <w:webHidden/>
          </w:rPr>
          <w:t>86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2" w:history="1">
        <w:r w:rsidR="00F30AE2" w:rsidRPr="00FC0758">
          <w:rPr>
            <w:rStyle w:val="Hyperlink"/>
            <w:noProof/>
          </w:rPr>
          <w:t>Table 6</w:t>
        </w:r>
        <w:r w:rsidR="00F30AE2" w:rsidRPr="00FC0758">
          <w:rPr>
            <w:rStyle w:val="Hyperlink"/>
            <w:noProof/>
          </w:rPr>
          <w:noBreakHyphen/>
          <w:t>9: Day-Ahead MW Potential Net of Projected PJM Commitments</w:t>
        </w:r>
        <w:r w:rsidR="00F30AE2">
          <w:rPr>
            <w:noProof/>
            <w:webHidden/>
          </w:rPr>
          <w:tab/>
        </w:r>
        <w:r w:rsidR="00F30AE2">
          <w:rPr>
            <w:noProof/>
            <w:webHidden/>
          </w:rPr>
          <w:fldChar w:fldCharType="begin"/>
        </w:r>
        <w:r w:rsidR="00F30AE2">
          <w:rPr>
            <w:noProof/>
            <w:webHidden/>
          </w:rPr>
          <w:instrText xml:space="preserve"> PAGEREF _Toc412628492 \h </w:instrText>
        </w:r>
        <w:r w:rsidR="00F30AE2">
          <w:rPr>
            <w:noProof/>
            <w:webHidden/>
          </w:rPr>
        </w:r>
        <w:r w:rsidR="00F30AE2">
          <w:rPr>
            <w:noProof/>
            <w:webHidden/>
          </w:rPr>
          <w:fldChar w:fldCharType="separate"/>
        </w:r>
        <w:r w:rsidR="00803DBE">
          <w:rPr>
            <w:noProof/>
            <w:webHidden/>
          </w:rPr>
          <w:t>87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3" w:history="1">
        <w:r w:rsidR="00F30AE2" w:rsidRPr="00FC0758">
          <w:rPr>
            <w:rStyle w:val="Hyperlink"/>
            <w:noProof/>
          </w:rPr>
          <w:t>Table 6</w:t>
        </w:r>
        <w:r w:rsidR="00F30AE2" w:rsidRPr="00FC0758">
          <w:rPr>
            <w:rStyle w:val="Hyperlink"/>
            <w:noProof/>
          </w:rPr>
          <w:noBreakHyphen/>
          <w:t>10: Day-Ahead MW Potential Net of Current PJM Commitments</w:t>
        </w:r>
        <w:r w:rsidR="00F30AE2">
          <w:rPr>
            <w:noProof/>
            <w:webHidden/>
          </w:rPr>
          <w:tab/>
        </w:r>
        <w:r w:rsidR="00F30AE2">
          <w:rPr>
            <w:noProof/>
            <w:webHidden/>
          </w:rPr>
          <w:fldChar w:fldCharType="begin"/>
        </w:r>
        <w:r w:rsidR="00F30AE2">
          <w:rPr>
            <w:noProof/>
            <w:webHidden/>
          </w:rPr>
          <w:instrText xml:space="preserve"> PAGEREF _Toc412628493 \h </w:instrText>
        </w:r>
        <w:r w:rsidR="00F30AE2">
          <w:rPr>
            <w:noProof/>
            <w:webHidden/>
          </w:rPr>
        </w:r>
        <w:r w:rsidR="00F30AE2">
          <w:rPr>
            <w:noProof/>
            <w:webHidden/>
          </w:rPr>
          <w:fldChar w:fldCharType="separate"/>
        </w:r>
        <w:r w:rsidR="00803DBE">
          <w:rPr>
            <w:noProof/>
            <w:webHidden/>
          </w:rPr>
          <w:t>88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4" w:history="1">
        <w:r w:rsidR="00F30AE2" w:rsidRPr="00FC0758">
          <w:rPr>
            <w:rStyle w:val="Hyperlink"/>
            <w:noProof/>
          </w:rPr>
          <w:t>Table 7</w:t>
        </w:r>
        <w:r w:rsidR="00F30AE2" w:rsidRPr="00FC0758">
          <w:rPr>
            <w:rStyle w:val="Hyperlink"/>
            <w:noProof/>
          </w:rPr>
          <w:noBreakHyphen/>
          <w:t>1: Average Annual Phase III Load Curtailment Acquisition Costs</w:t>
        </w:r>
        <w:r w:rsidR="00F30AE2">
          <w:rPr>
            <w:noProof/>
            <w:webHidden/>
          </w:rPr>
          <w:tab/>
        </w:r>
        <w:r w:rsidR="00F30AE2">
          <w:rPr>
            <w:noProof/>
            <w:webHidden/>
          </w:rPr>
          <w:fldChar w:fldCharType="begin"/>
        </w:r>
        <w:r w:rsidR="00F30AE2">
          <w:rPr>
            <w:noProof/>
            <w:webHidden/>
          </w:rPr>
          <w:instrText xml:space="preserve"> PAGEREF _Toc412628494 \h </w:instrText>
        </w:r>
        <w:r w:rsidR="00F30AE2">
          <w:rPr>
            <w:noProof/>
            <w:webHidden/>
          </w:rPr>
        </w:r>
        <w:r w:rsidR="00F30AE2">
          <w:rPr>
            <w:noProof/>
            <w:webHidden/>
          </w:rPr>
          <w:fldChar w:fldCharType="separate"/>
        </w:r>
        <w:r w:rsidR="00803DBE">
          <w:rPr>
            <w:noProof/>
            <w:webHidden/>
          </w:rPr>
          <w:t>90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5" w:history="1">
        <w:r w:rsidR="00F30AE2" w:rsidRPr="00FC0758">
          <w:rPr>
            <w:rStyle w:val="Hyperlink"/>
            <w:noProof/>
          </w:rPr>
          <w:t>Table 7</w:t>
        </w:r>
        <w:r w:rsidR="00F30AE2" w:rsidRPr="00FC0758">
          <w:rPr>
            <w:rStyle w:val="Hyperlink"/>
            <w:noProof/>
          </w:rPr>
          <w:noBreakHyphen/>
          <w:t>2: PECO Acquisition Cost Calculation</w:t>
        </w:r>
        <w:r w:rsidR="00F30AE2">
          <w:rPr>
            <w:noProof/>
            <w:webHidden/>
          </w:rPr>
          <w:tab/>
        </w:r>
        <w:r w:rsidR="00F30AE2">
          <w:rPr>
            <w:noProof/>
            <w:webHidden/>
          </w:rPr>
          <w:fldChar w:fldCharType="begin"/>
        </w:r>
        <w:r w:rsidR="00F30AE2">
          <w:rPr>
            <w:noProof/>
            <w:webHidden/>
          </w:rPr>
          <w:instrText xml:space="preserve"> PAGEREF _Toc412628495 \h </w:instrText>
        </w:r>
        <w:r w:rsidR="00F30AE2">
          <w:rPr>
            <w:noProof/>
            <w:webHidden/>
          </w:rPr>
        </w:r>
        <w:r w:rsidR="00F30AE2">
          <w:rPr>
            <w:noProof/>
            <w:webHidden/>
          </w:rPr>
          <w:fldChar w:fldCharType="separate"/>
        </w:r>
        <w:r w:rsidR="00803DBE">
          <w:rPr>
            <w:noProof/>
            <w:webHidden/>
          </w:rPr>
          <w:t>90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6" w:history="1">
        <w:r w:rsidR="00F30AE2" w:rsidRPr="00FC0758">
          <w:rPr>
            <w:rStyle w:val="Hyperlink"/>
            <w:noProof/>
          </w:rPr>
          <w:t>Table 7</w:t>
        </w:r>
        <w:r w:rsidR="00F30AE2" w:rsidRPr="00FC0758">
          <w:rPr>
            <w:rStyle w:val="Hyperlink"/>
            <w:noProof/>
          </w:rPr>
          <w:noBreakHyphen/>
          <w:t>3: Phase III DR Program Potential – Net of Projected PJM Commitments</w:t>
        </w:r>
        <w:r w:rsidR="00F30AE2">
          <w:rPr>
            <w:noProof/>
            <w:webHidden/>
          </w:rPr>
          <w:tab/>
        </w:r>
        <w:r w:rsidR="00F30AE2">
          <w:rPr>
            <w:noProof/>
            <w:webHidden/>
          </w:rPr>
          <w:fldChar w:fldCharType="begin"/>
        </w:r>
        <w:r w:rsidR="00F30AE2">
          <w:rPr>
            <w:noProof/>
            <w:webHidden/>
          </w:rPr>
          <w:instrText xml:space="preserve"> PAGEREF _Toc412628496 \h </w:instrText>
        </w:r>
        <w:r w:rsidR="00F30AE2">
          <w:rPr>
            <w:noProof/>
            <w:webHidden/>
          </w:rPr>
        </w:r>
        <w:r w:rsidR="00F30AE2">
          <w:rPr>
            <w:noProof/>
            <w:webHidden/>
          </w:rPr>
          <w:fldChar w:fldCharType="separate"/>
        </w:r>
        <w:r w:rsidR="00803DBE">
          <w:rPr>
            <w:noProof/>
            <w:webHidden/>
          </w:rPr>
          <w:t>91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7" w:history="1">
        <w:r w:rsidR="00F30AE2" w:rsidRPr="00FC0758">
          <w:rPr>
            <w:rStyle w:val="Hyperlink"/>
            <w:noProof/>
          </w:rPr>
          <w:t>Table 7</w:t>
        </w:r>
        <w:r w:rsidR="00F30AE2" w:rsidRPr="00FC0758">
          <w:rPr>
            <w:rStyle w:val="Hyperlink"/>
            <w:noProof/>
          </w:rPr>
          <w:noBreakHyphen/>
          <w:t>4: Phase III DR Program Potential – Net of Only Current PJM Commitments</w:t>
        </w:r>
        <w:r w:rsidR="00F30AE2">
          <w:rPr>
            <w:noProof/>
            <w:webHidden/>
          </w:rPr>
          <w:tab/>
        </w:r>
        <w:r w:rsidR="00F30AE2">
          <w:rPr>
            <w:noProof/>
            <w:webHidden/>
          </w:rPr>
          <w:fldChar w:fldCharType="begin"/>
        </w:r>
        <w:r w:rsidR="00F30AE2">
          <w:rPr>
            <w:noProof/>
            <w:webHidden/>
          </w:rPr>
          <w:instrText xml:space="preserve"> PAGEREF _Toc412628497 \h </w:instrText>
        </w:r>
        <w:r w:rsidR="00F30AE2">
          <w:rPr>
            <w:noProof/>
            <w:webHidden/>
          </w:rPr>
        </w:r>
        <w:r w:rsidR="00F30AE2">
          <w:rPr>
            <w:noProof/>
            <w:webHidden/>
          </w:rPr>
          <w:fldChar w:fldCharType="separate"/>
        </w:r>
        <w:r w:rsidR="00803DBE">
          <w:rPr>
            <w:noProof/>
            <w:webHidden/>
          </w:rPr>
          <w:t>92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8" w:history="1">
        <w:r w:rsidR="00F30AE2" w:rsidRPr="00FC0758">
          <w:rPr>
            <w:rStyle w:val="Hyperlink"/>
            <w:noProof/>
          </w:rPr>
          <w:t>Table 7</w:t>
        </w:r>
        <w:r w:rsidR="00F30AE2" w:rsidRPr="00FC0758">
          <w:rPr>
            <w:rStyle w:val="Hyperlink"/>
            <w:noProof/>
          </w:rPr>
          <w:noBreakHyphen/>
          <w:t>5: TRC Costs and Benefits for DR Program Potential Scenarios</w:t>
        </w:r>
        <w:r w:rsidR="00F30AE2">
          <w:rPr>
            <w:noProof/>
            <w:webHidden/>
          </w:rPr>
          <w:tab/>
        </w:r>
        <w:r w:rsidR="00F30AE2">
          <w:rPr>
            <w:noProof/>
            <w:webHidden/>
          </w:rPr>
          <w:fldChar w:fldCharType="begin"/>
        </w:r>
        <w:r w:rsidR="00F30AE2">
          <w:rPr>
            <w:noProof/>
            <w:webHidden/>
          </w:rPr>
          <w:instrText xml:space="preserve"> PAGEREF _Toc412628498 \h </w:instrText>
        </w:r>
        <w:r w:rsidR="00F30AE2">
          <w:rPr>
            <w:noProof/>
            <w:webHidden/>
          </w:rPr>
        </w:r>
        <w:r w:rsidR="00F30AE2">
          <w:rPr>
            <w:noProof/>
            <w:webHidden/>
          </w:rPr>
          <w:fldChar w:fldCharType="separate"/>
        </w:r>
        <w:r w:rsidR="00803DBE">
          <w:rPr>
            <w:noProof/>
            <w:webHidden/>
          </w:rPr>
          <w:t>93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499" w:history="1">
        <w:r w:rsidR="00F30AE2" w:rsidRPr="00FC0758">
          <w:rPr>
            <w:rStyle w:val="Hyperlink"/>
            <w:noProof/>
          </w:rPr>
          <w:t>Table 7</w:t>
        </w:r>
        <w:r w:rsidR="00F30AE2" w:rsidRPr="00FC0758">
          <w:rPr>
            <w:rStyle w:val="Hyperlink"/>
            <w:noProof/>
          </w:rPr>
          <w:noBreakHyphen/>
          <w:t>6: TRC Costs and Benefits for Energy Efficiency and DR Funding Allocation Scenarios</w:t>
        </w:r>
        <w:r w:rsidR="00F30AE2">
          <w:rPr>
            <w:noProof/>
            <w:webHidden/>
          </w:rPr>
          <w:tab/>
        </w:r>
        <w:r w:rsidR="00F30AE2">
          <w:rPr>
            <w:noProof/>
            <w:webHidden/>
          </w:rPr>
          <w:fldChar w:fldCharType="begin"/>
        </w:r>
        <w:r w:rsidR="00F30AE2">
          <w:rPr>
            <w:noProof/>
            <w:webHidden/>
          </w:rPr>
          <w:instrText xml:space="preserve"> PAGEREF _Toc412628499 \h </w:instrText>
        </w:r>
        <w:r w:rsidR="00F30AE2">
          <w:rPr>
            <w:noProof/>
            <w:webHidden/>
          </w:rPr>
        </w:r>
        <w:r w:rsidR="00F30AE2">
          <w:rPr>
            <w:noProof/>
            <w:webHidden/>
          </w:rPr>
          <w:fldChar w:fldCharType="separate"/>
        </w:r>
        <w:r w:rsidR="00803DBE">
          <w:rPr>
            <w:noProof/>
            <w:webHidden/>
          </w:rPr>
          <w:t>94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0" w:history="1">
        <w:r w:rsidR="00F30AE2" w:rsidRPr="00FC0758">
          <w:rPr>
            <w:rStyle w:val="Hyperlink"/>
            <w:noProof/>
          </w:rPr>
          <w:t>Table 7</w:t>
        </w:r>
        <w:r w:rsidR="00F30AE2" w:rsidRPr="00FC0758">
          <w:rPr>
            <w:rStyle w:val="Hyperlink"/>
            <w:noProof/>
          </w:rPr>
          <w:noBreakHyphen/>
          <w:t>7: Energy and Demand Impacts for Energy Efficiency and DR Funding Allocation Scenarios</w:t>
        </w:r>
        <w:r w:rsidR="00F30AE2">
          <w:rPr>
            <w:noProof/>
            <w:webHidden/>
          </w:rPr>
          <w:tab/>
        </w:r>
        <w:r w:rsidR="00F30AE2">
          <w:rPr>
            <w:noProof/>
            <w:webHidden/>
          </w:rPr>
          <w:fldChar w:fldCharType="begin"/>
        </w:r>
        <w:r w:rsidR="00F30AE2">
          <w:rPr>
            <w:noProof/>
            <w:webHidden/>
          </w:rPr>
          <w:instrText xml:space="preserve"> PAGEREF _Toc412628500 \h </w:instrText>
        </w:r>
        <w:r w:rsidR="00F30AE2">
          <w:rPr>
            <w:noProof/>
            <w:webHidden/>
          </w:rPr>
        </w:r>
        <w:r w:rsidR="00F30AE2">
          <w:rPr>
            <w:noProof/>
            <w:webHidden/>
          </w:rPr>
          <w:fldChar w:fldCharType="separate"/>
        </w:r>
        <w:r w:rsidR="00803DBE">
          <w:rPr>
            <w:noProof/>
            <w:webHidden/>
          </w:rPr>
          <w:t>96</w:t>
        </w:r>
        <w:r w:rsidR="00F30AE2">
          <w:rPr>
            <w:noProof/>
            <w:webHidden/>
          </w:rPr>
          <w:fldChar w:fldCharType="end"/>
        </w:r>
      </w:hyperlink>
    </w:p>
    <w:p w:rsidR="007C4219" w:rsidRDefault="009D2C1F" w:rsidP="00A83ABC">
      <w:pPr>
        <w:rPr>
          <w:rFonts w:ascii="Century Gothic" w:hAnsi="Century Gothic"/>
          <w:sz w:val="18"/>
        </w:rPr>
      </w:pPr>
      <w:r>
        <w:rPr>
          <w:rFonts w:ascii="Century Gothic" w:hAnsi="Century Gothic"/>
          <w:sz w:val="18"/>
        </w:rPr>
        <w:fldChar w:fldCharType="end"/>
      </w:r>
    </w:p>
    <w:p w:rsidR="007C4219" w:rsidRDefault="007C4219" w:rsidP="00A83ABC">
      <w:r>
        <w:br w:type="page"/>
      </w:r>
    </w:p>
    <w:p w:rsidR="009D2C1F" w:rsidRDefault="009D2C1F" w:rsidP="00A83ABC">
      <w:pPr>
        <w:shd w:val="clear" w:color="auto" w:fill="448A99"/>
        <w:spacing w:after="120"/>
        <w:jc w:val="right"/>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pPr>
      <w:r>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lastRenderedPageBreak/>
        <w:t>List of Figures</w:t>
      </w:r>
    </w:p>
    <w:p w:rsidR="00F30AE2" w:rsidRDefault="009D2C1F">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12628501" w:history="1">
        <w:r w:rsidR="00F30AE2" w:rsidRPr="008B52F1">
          <w:rPr>
            <w:rStyle w:val="Hyperlink"/>
            <w:noProof/>
          </w:rPr>
          <w:t>Figure 1</w:t>
        </w:r>
        <w:r w:rsidR="00F30AE2" w:rsidRPr="008B52F1">
          <w:rPr>
            <w:rStyle w:val="Hyperlink"/>
            <w:noProof/>
          </w:rPr>
          <w:noBreakHyphen/>
          <w:t>1: PECO Day-Ahead DR Potential by Customer Segment as a Function of Incentive Payment</w:t>
        </w:r>
        <w:r w:rsidR="00F30AE2">
          <w:rPr>
            <w:noProof/>
            <w:webHidden/>
          </w:rPr>
          <w:tab/>
        </w:r>
        <w:r w:rsidR="00F30AE2">
          <w:rPr>
            <w:noProof/>
            <w:webHidden/>
          </w:rPr>
          <w:fldChar w:fldCharType="begin"/>
        </w:r>
        <w:r w:rsidR="00F30AE2">
          <w:rPr>
            <w:noProof/>
            <w:webHidden/>
          </w:rPr>
          <w:instrText xml:space="preserve"> PAGEREF _Toc412628501 \h </w:instrText>
        </w:r>
        <w:r w:rsidR="00F30AE2">
          <w:rPr>
            <w:noProof/>
            <w:webHidden/>
          </w:rPr>
        </w:r>
        <w:r w:rsidR="00F30AE2">
          <w:rPr>
            <w:noProof/>
            <w:webHidden/>
          </w:rPr>
          <w:fldChar w:fldCharType="separate"/>
        </w:r>
        <w:r w:rsidR="00803DBE">
          <w:rPr>
            <w:noProof/>
            <w:webHidden/>
          </w:rPr>
          <w:t>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2" w:history="1">
        <w:r w:rsidR="00F30AE2" w:rsidRPr="008B52F1">
          <w:rPr>
            <w:rStyle w:val="Hyperlink"/>
            <w:noProof/>
          </w:rPr>
          <w:t>Figure 2</w:t>
        </w:r>
        <w:r w:rsidR="00F30AE2" w:rsidRPr="008B52F1">
          <w:rPr>
            <w:rStyle w:val="Hyperlink"/>
            <w:noProof/>
          </w:rPr>
          <w:noBreakHyphen/>
          <w:t>1: Statewide Distribution of Summer Peak Load</w:t>
        </w:r>
        <w:r w:rsidR="00F30AE2">
          <w:rPr>
            <w:noProof/>
            <w:webHidden/>
          </w:rPr>
          <w:tab/>
        </w:r>
        <w:r w:rsidR="00F30AE2">
          <w:rPr>
            <w:noProof/>
            <w:webHidden/>
          </w:rPr>
          <w:fldChar w:fldCharType="begin"/>
        </w:r>
        <w:r w:rsidR="00F30AE2">
          <w:rPr>
            <w:noProof/>
            <w:webHidden/>
          </w:rPr>
          <w:instrText xml:space="preserve"> PAGEREF _Toc412628502 \h </w:instrText>
        </w:r>
        <w:r w:rsidR="00F30AE2">
          <w:rPr>
            <w:noProof/>
            <w:webHidden/>
          </w:rPr>
        </w:r>
        <w:r w:rsidR="00F30AE2">
          <w:rPr>
            <w:noProof/>
            <w:webHidden/>
          </w:rPr>
          <w:fldChar w:fldCharType="separate"/>
        </w:r>
        <w:r w:rsidR="00803DBE">
          <w:rPr>
            <w:noProof/>
            <w:webHidden/>
          </w:rPr>
          <w:t>19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3" w:history="1">
        <w:r w:rsidR="00F30AE2" w:rsidRPr="008B52F1">
          <w:rPr>
            <w:rStyle w:val="Hyperlink"/>
            <w:noProof/>
          </w:rPr>
          <w:t>Figure 2</w:t>
        </w:r>
        <w:r w:rsidR="00F30AE2" w:rsidRPr="008B52F1">
          <w:rPr>
            <w:rStyle w:val="Hyperlink"/>
            <w:noProof/>
          </w:rPr>
          <w:noBreakHyphen/>
          <w:t>2: Distribution of Summer Peak Load – Commercial</w:t>
        </w:r>
        <w:r w:rsidR="00F30AE2">
          <w:rPr>
            <w:noProof/>
            <w:webHidden/>
          </w:rPr>
          <w:tab/>
        </w:r>
        <w:r w:rsidR="00F30AE2">
          <w:rPr>
            <w:noProof/>
            <w:webHidden/>
          </w:rPr>
          <w:fldChar w:fldCharType="begin"/>
        </w:r>
        <w:r w:rsidR="00F30AE2">
          <w:rPr>
            <w:noProof/>
            <w:webHidden/>
          </w:rPr>
          <w:instrText xml:space="preserve"> PAGEREF _Toc412628503 \h </w:instrText>
        </w:r>
        <w:r w:rsidR="00F30AE2">
          <w:rPr>
            <w:noProof/>
            <w:webHidden/>
          </w:rPr>
        </w:r>
        <w:r w:rsidR="00F30AE2">
          <w:rPr>
            <w:noProof/>
            <w:webHidden/>
          </w:rPr>
          <w:fldChar w:fldCharType="separate"/>
        </w:r>
        <w:r w:rsidR="00803DBE">
          <w:rPr>
            <w:noProof/>
            <w:webHidden/>
          </w:rPr>
          <w:t>19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4" w:history="1">
        <w:r w:rsidR="00F30AE2" w:rsidRPr="008B52F1">
          <w:rPr>
            <w:rStyle w:val="Hyperlink"/>
            <w:noProof/>
          </w:rPr>
          <w:t>Figure 2</w:t>
        </w:r>
        <w:r w:rsidR="00F30AE2" w:rsidRPr="008B52F1">
          <w:rPr>
            <w:rStyle w:val="Hyperlink"/>
            <w:noProof/>
          </w:rPr>
          <w:noBreakHyphen/>
          <w:t>3: Relationship between Incentive Amount, TRC, and PVNB</w:t>
        </w:r>
        <w:r w:rsidR="00F30AE2">
          <w:rPr>
            <w:noProof/>
            <w:webHidden/>
          </w:rPr>
          <w:tab/>
        </w:r>
        <w:r w:rsidR="00F30AE2">
          <w:rPr>
            <w:noProof/>
            <w:webHidden/>
          </w:rPr>
          <w:fldChar w:fldCharType="begin"/>
        </w:r>
        <w:r w:rsidR="00F30AE2">
          <w:rPr>
            <w:noProof/>
            <w:webHidden/>
          </w:rPr>
          <w:instrText xml:space="preserve"> PAGEREF _Toc412628504 \h </w:instrText>
        </w:r>
        <w:r w:rsidR="00F30AE2">
          <w:rPr>
            <w:noProof/>
            <w:webHidden/>
          </w:rPr>
        </w:r>
        <w:r w:rsidR="00F30AE2">
          <w:rPr>
            <w:noProof/>
            <w:webHidden/>
          </w:rPr>
          <w:fldChar w:fldCharType="separate"/>
        </w:r>
        <w:r w:rsidR="00803DBE">
          <w:rPr>
            <w:noProof/>
            <w:webHidden/>
          </w:rPr>
          <w:t>22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5" w:history="1">
        <w:r w:rsidR="00F30AE2" w:rsidRPr="008B52F1">
          <w:rPr>
            <w:rStyle w:val="Hyperlink"/>
            <w:noProof/>
          </w:rPr>
          <w:t>Figure 2</w:t>
        </w:r>
        <w:r w:rsidR="00F30AE2" w:rsidRPr="008B52F1">
          <w:rPr>
            <w:rStyle w:val="Hyperlink"/>
            <w:noProof/>
          </w:rPr>
          <w:noBreakHyphen/>
          <w:t>4: Comparison of Program Design Variables</w:t>
        </w:r>
        <w:r w:rsidR="00F30AE2">
          <w:rPr>
            <w:noProof/>
            <w:webHidden/>
          </w:rPr>
          <w:tab/>
        </w:r>
        <w:r w:rsidR="00F30AE2">
          <w:rPr>
            <w:noProof/>
            <w:webHidden/>
          </w:rPr>
          <w:fldChar w:fldCharType="begin"/>
        </w:r>
        <w:r w:rsidR="00F30AE2">
          <w:rPr>
            <w:noProof/>
            <w:webHidden/>
          </w:rPr>
          <w:instrText xml:space="preserve"> PAGEREF _Toc412628505 \h </w:instrText>
        </w:r>
        <w:r w:rsidR="00F30AE2">
          <w:rPr>
            <w:noProof/>
            <w:webHidden/>
          </w:rPr>
        </w:r>
        <w:r w:rsidR="00F30AE2">
          <w:rPr>
            <w:noProof/>
            <w:webHidden/>
          </w:rPr>
          <w:fldChar w:fldCharType="separate"/>
        </w:r>
        <w:r w:rsidR="00803DBE">
          <w:rPr>
            <w:noProof/>
            <w:webHidden/>
          </w:rPr>
          <w:t>27</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6" w:history="1">
        <w:r w:rsidR="00F30AE2" w:rsidRPr="008B52F1">
          <w:rPr>
            <w:rStyle w:val="Hyperlink"/>
            <w:noProof/>
          </w:rPr>
          <w:t>Figure 2</w:t>
        </w:r>
        <w:r w:rsidR="00F30AE2" w:rsidRPr="008B52F1">
          <w:rPr>
            <w:rStyle w:val="Hyperlink"/>
            <w:noProof/>
          </w:rPr>
          <w:noBreakHyphen/>
          <w:t>5: Expected ELCC for a Range of Event Start Times</w:t>
        </w:r>
        <w:r w:rsidR="00F30AE2">
          <w:rPr>
            <w:noProof/>
            <w:webHidden/>
          </w:rPr>
          <w:tab/>
        </w:r>
        <w:r w:rsidR="00F30AE2">
          <w:rPr>
            <w:noProof/>
            <w:webHidden/>
          </w:rPr>
          <w:fldChar w:fldCharType="begin"/>
        </w:r>
        <w:r w:rsidR="00F30AE2">
          <w:rPr>
            <w:noProof/>
            <w:webHidden/>
          </w:rPr>
          <w:instrText xml:space="preserve"> PAGEREF _Toc412628506 \h </w:instrText>
        </w:r>
        <w:r w:rsidR="00F30AE2">
          <w:rPr>
            <w:noProof/>
            <w:webHidden/>
          </w:rPr>
        </w:r>
        <w:r w:rsidR="00F30AE2">
          <w:rPr>
            <w:noProof/>
            <w:webHidden/>
          </w:rPr>
          <w:fldChar w:fldCharType="separate"/>
        </w:r>
        <w:r w:rsidR="00803DBE">
          <w:rPr>
            <w:noProof/>
            <w:webHidden/>
          </w:rPr>
          <w:t>28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7" w:history="1">
        <w:r w:rsidR="00F30AE2" w:rsidRPr="008B52F1">
          <w:rPr>
            <w:rStyle w:val="Hyperlink"/>
            <w:noProof/>
          </w:rPr>
          <w:t>Figure 2</w:t>
        </w:r>
        <w:r w:rsidR="00F30AE2" w:rsidRPr="008B52F1">
          <w:rPr>
            <w:rStyle w:val="Hyperlink"/>
            <w:noProof/>
          </w:rPr>
          <w:noBreakHyphen/>
          <w:t>6: Comparison of Three Potential Program Designs, Each with No More Than 24 Total Event Hours</w:t>
        </w:r>
        <w:r w:rsidR="00F30AE2">
          <w:rPr>
            <w:noProof/>
            <w:webHidden/>
          </w:rPr>
          <w:tab/>
        </w:r>
        <w:r w:rsidR="00F30AE2">
          <w:rPr>
            <w:noProof/>
            <w:webHidden/>
          </w:rPr>
          <w:fldChar w:fldCharType="begin"/>
        </w:r>
        <w:r w:rsidR="00F30AE2">
          <w:rPr>
            <w:noProof/>
            <w:webHidden/>
          </w:rPr>
          <w:instrText xml:space="preserve"> PAGEREF _Toc412628507 \h </w:instrText>
        </w:r>
        <w:r w:rsidR="00F30AE2">
          <w:rPr>
            <w:noProof/>
            <w:webHidden/>
          </w:rPr>
        </w:r>
        <w:r w:rsidR="00F30AE2">
          <w:rPr>
            <w:noProof/>
            <w:webHidden/>
          </w:rPr>
          <w:fldChar w:fldCharType="separate"/>
        </w:r>
        <w:r w:rsidR="00803DBE">
          <w:rPr>
            <w:noProof/>
            <w:webHidden/>
          </w:rPr>
          <w:t>29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8" w:history="1">
        <w:r w:rsidR="00F30AE2" w:rsidRPr="008B52F1">
          <w:rPr>
            <w:rStyle w:val="Hyperlink"/>
            <w:noProof/>
          </w:rPr>
          <w:t>Figure 2</w:t>
        </w:r>
        <w:r w:rsidR="00F30AE2" w:rsidRPr="008B52F1">
          <w:rPr>
            <w:rStyle w:val="Hyperlink"/>
            <w:noProof/>
          </w:rPr>
          <w:noBreakHyphen/>
          <w:t>7: Comparison of Event Start Times (4 hour Events, Max Events = 6)</w:t>
        </w:r>
        <w:r w:rsidR="00F30AE2">
          <w:rPr>
            <w:noProof/>
            <w:webHidden/>
          </w:rPr>
          <w:tab/>
        </w:r>
        <w:r w:rsidR="00F30AE2">
          <w:rPr>
            <w:noProof/>
            <w:webHidden/>
          </w:rPr>
          <w:fldChar w:fldCharType="begin"/>
        </w:r>
        <w:r w:rsidR="00F30AE2">
          <w:rPr>
            <w:noProof/>
            <w:webHidden/>
          </w:rPr>
          <w:instrText xml:space="preserve"> PAGEREF _Toc412628508 \h </w:instrText>
        </w:r>
        <w:r w:rsidR="00F30AE2">
          <w:rPr>
            <w:noProof/>
            <w:webHidden/>
          </w:rPr>
        </w:r>
        <w:r w:rsidR="00F30AE2">
          <w:rPr>
            <w:noProof/>
            <w:webHidden/>
          </w:rPr>
          <w:fldChar w:fldCharType="separate"/>
        </w:r>
        <w:r w:rsidR="00803DBE">
          <w:rPr>
            <w:noProof/>
            <w:webHidden/>
          </w:rPr>
          <w:t>30</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09" w:history="1">
        <w:r w:rsidR="00F30AE2" w:rsidRPr="008B52F1">
          <w:rPr>
            <w:rStyle w:val="Hyperlink"/>
            <w:noProof/>
          </w:rPr>
          <w:t>Figure 2</w:t>
        </w:r>
        <w:r w:rsidR="00F30AE2" w:rsidRPr="008B52F1">
          <w:rPr>
            <w:rStyle w:val="Hyperlink"/>
            <w:noProof/>
          </w:rPr>
          <w:noBreakHyphen/>
          <w:t>8: Histogram of Dispatch Criteria Frequency During 5CP Events</w:t>
        </w:r>
        <w:r w:rsidR="00F30AE2">
          <w:rPr>
            <w:noProof/>
            <w:webHidden/>
          </w:rPr>
          <w:tab/>
        </w:r>
        <w:r w:rsidR="00F30AE2">
          <w:rPr>
            <w:noProof/>
            <w:webHidden/>
          </w:rPr>
          <w:fldChar w:fldCharType="begin"/>
        </w:r>
        <w:r w:rsidR="00F30AE2">
          <w:rPr>
            <w:noProof/>
            <w:webHidden/>
          </w:rPr>
          <w:instrText xml:space="preserve"> PAGEREF _Toc412628509 \h </w:instrText>
        </w:r>
        <w:r w:rsidR="00F30AE2">
          <w:rPr>
            <w:noProof/>
            <w:webHidden/>
          </w:rPr>
        </w:r>
        <w:r w:rsidR="00F30AE2">
          <w:rPr>
            <w:noProof/>
            <w:webHidden/>
          </w:rPr>
          <w:fldChar w:fldCharType="separate"/>
        </w:r>
        <w:r w:rsidR="00803DBE">
          <w:rPr>
            <w:noProof/>
            <w:webHidden/>
          </w:rPr>
          <w:t>33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0" w:history="1">
        <w:r w:rsidR="00F30AE2" w:rsidRPr="008B52F1">
          <w:rPr>
            <w:rStyle w:val="Hyperlink"/>
            <w:noProof/>
          </w:rPr>
          <w:t>Figure 2</w:t>
        </w:r>
        <w:r w:rsidR="00F30AE2" w:rsidRPr="008B52F1">
          <w:rPr>
            <w:rStyle w:val="Hyperlink"/>
            <w:noProof/>
          </w:rPr>
          <w:noBreakHyphen/>
          <w:t>9: E3’s Electric T&amp;D Avoided Costs Methodology</w:t>
        </w:r>
        <w:r w:rsidR="00F30AE2">
          <w:rPr>
            <w:noProof/>
            <w:webHidden/>
          </w:rPr>
          <w:tab/>
        </w:r>
        <w:r w:rsidR="00F30AE2">
          <w:rPr>
            <w:noProof/>
            <w:webHidden/>
          </w:rPr>
          <w:fldChar w:fldCharType="begin"/>
        </w:r>
        <w:r w:rsidR="00F30AE2">
          <w:rPr>
            <w:noProof/>
            <w:webHidden/>
          </w:rPr>
          <w:instrText xml:space="preserve"> PAGEREF _Toc412628510 \h </w:instrText>
        </w:r>
        <w:r w:rsidR="00F30AE2">
          <w:rPr>
            <w:noProof/>
            <w:webHidden/>
          </w:rPr>
        </w:r>
        <w:r w:rsidR="00F30AE2">
          <w:rPr>
            <w:noProof/>
            <w:webHidden/>
          </w:rPr>
          <w:fldChar w:fldCharType="separate"/>
        </w:r>
        <w:r w:rsidR="00803DBE">
          <w:rPr>
            <w:noProof/>
            <w:webHidden/>
          </w:rPr>
          <w:t>36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1" w:history="1">
        <w:r w:rsidR="00F30AE2" w:rsidRPr="008B52F1">
          <w:rPr>
            <w:rStyle w:val="Hyperlink"/>
            <w:noProof/>
          </w:rPr>
          <w:t>Figure 3</w:t>
        </w:r>
        <w:r w:rsidR="00F30AE2" w:rsidRPr="008B52F1">
          <w:rPr>
            <w:rStyle w:val="Hyperlink"/>
            <w:noProof/>
          </w:rPr>
          <w:noBreakHyphen/>
          <w:t>1: Pennsylvania EDC Service Territories</w:t>
        </w:r>
        <w:r w:rsidR="00F30AE2">
          <w:rPr>
            <w:noProof/>
            <w:webHidden/>
          </w:rPr>
          <w:tab/>
        </w:r>
        <w:r w:rsidR="00F30AE2">
          <w:rPr>
            <w:noProof/>
            <w:webHidden/>
          </w:rPr>
          <w:fldChar w:fldCharType="begin"/>
        </w:r>
        <w:r w:rsidR="00F30AE2">
          <w:rPr>
            <w:noProof/>
            <w:webHidden/>
          </w:rPr>
          <w:instrText xml:space="preserve"> PAGEREF _Toc412628511 \h </w:instrText>
        </w:r>
        <w:r w:rsidR="00F30AE2">
          <w:rPr>
            <w:noProof/>
            <w:webHidden/>
          </w:rPr>
        </w:r>
        <w:r w:rsidR="00F30AE2">
          <w:rPr>
            <w:noProof/>
            <w:webHidden/>
          </w:rPr>
          <w:fldChar w:fldCharType="separate"/>
        </w:r>
        <w:r w:rsidR="00803DBE">
          <w:rPr>
            <w:noProof/>
            <w:webHidden/>
          </w:rPr>
          <w:t>41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2" w:history="1">
        <w:r w:rsidR="00F30AE2" w:rsidRPr="008B52F1">
          <w:rPr>
            <w:rStyle w:val="Hyperlink"/>
            <w:noProof/>
          </w:rPr>
          <w:t>Figure 3</w:t>
        </w:r>
        <w:r w:rsidR="00F30AE2" w:rsidRPr="008B52F1">
          <w:rPr>
            <w:rStyle w:val="Hyperlink"/>
            <w:noProof/>
          </w:rPr>
          <w:noBreakHyphen/>
          <w:t>2: Map of PJM Zones</w:t>
        </w:r>
        <w:r w:rsidR="00F30AE2">
          <w:rPr>
            <w:noProof/>
            <w:webHidden/>
          </w:rPr>
          <w:tab/>
        </w:r>
        <w:r w:rsidR="00F30AE2">
          <w:rPr>
            <w:noProof/>
            <w:webHidden/>
          </w:rPr>
          <w:fldChar w:fldCharType="begin"/>
        </w:r>
        <w:r w:rsidR="00F30AE2">
          <w:rPr>
            <w:noProof/>
            <w:webHidden/>
          </w:rPr>
          <w:instrText xml:space="preserve"> PAGEREF _Toc412628512 \h </w:instrText>
        </w:r>
        <w:r w:rsidR="00F30AE2">
          <w:rPr>
            <w:noProof/>
            <w:webHidden/>
          </w:rPr>
        </w:r>
        <w:r w:rsidR="00F30AE2">
          <w:rPr>
            <w:noProof/>
            <w:webHidden/>
          </w:rPr>
          <w:fldChar w:fldCharType="separate"/>
        </w:r>
        <w:r w:rsidR="00803DBE">
          <w:rPr>
            <w:noProof/>
            <w:webHidden/>
          </w:rPr>
          <w:t>42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3" w:history="1">
        <w:r w:rsidR="00F30AE2" w:rsidRPr="008B52F1">
          <w:rPr>
            <w:rStyle w:val="Hyperlink"/>
            <w:noProof/>
          </w:rPr>
          <w:t>Figure 3</w:t>
        </w:r>
        <w:r w:rsidR="00F30AE2" w:rsidRPr="008B52F1">
          <w:rPr>
            <w:rStyle w:val="Hyperlink"/>
            <w:noProof/>
          </w:rPr>
          <w:noBreakHyphen/>
          <w:t>3: Pennsylvania Summer Peak Load Forecast by Sector</w:t>
        </w:r>
        <w:r w:rsidR="00F30AE2">
          <w:rPr>
            <w:noProof/>
            <w:webHidden/>
          </w:rPr>
          <w:tab/>
        </w:r>
        <w:r w:rsidR="00F30AE2">
          <w:rPr>
            <w:noProof/>
            <w:webHidden/>
          </w:rPr>
          <w:fldChar w:fldCharType="begin"/>
        </w:r>
        <w:r w:rsidR="00F30AE2">
          <w:rPr>
            <w:noProof/>
            <w:webHidden/>
          </w:rPr>
          <w:instrText xml:space="preserve"> PAGEREF _Toc412628513 \h </w:instrText>
        </w:r>
        <w:r w:rsidR="00F30AE2">
          <w:rPr>
            <w:noProof/>
            <w:webHidden/>
          </w:rPr>
        </w:r>
        <w:r w:rsidR="00F30AE2">
          <w:rPr>
            <w:noProof/>
            <w:webHidden/>
          </w:rPr>
          <w:fldChar w:fldCharType="separate"/>
        </w:r>
        <w:r w:rsidR="00803DBE">
          <w:rPr>
            <w:noProof/>
            <w:webHidden/>
          </w:rPr>
          <w:t>43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4" w:history="1">
        <w:r w:rsidR="00F30AE2" w:rsidRPr="008B52F1">
          <w:rPr>
            <w:rStyle w:val="Hyperlink"/>
            <w:noProof/>
          </w:rPr>
          <w:t>Figure 5</w:t>
        </w:r>
        <w:r w:rsidR="00F30AE2" w:rsidRPr="008B52F1">
          <w:rPr>
            <w:rStyle w:val="Hyperlink"/>
            <w:noProof/>
          </w:rPr>
          <w:noBreakHyphen/>
          <w:t>1: Segmentation of PPL Accounts Based on Weather Sensitivity</w:t>
        </w:r>
        <w:r w:rsidR="00F30AE2">
          <w:rPr>
            <w:noProof/>
            <w:webHidden/>
          </w:rPr>
          <w:tab/>
        </w:r>
        <w:r w:rsidR="00F30AE2">
          <w:rPr>
            <w:noProof/>
            <w:webHidden/>
          </w:rPr>
          <w:fldChar w:fldCharType="begin"/>
        </w:r>
        <w:r w:rsidR="00F30AE2">
          <w:rPr>
            <w:noProof/>
            <w:webHidden/>
          </w:rPr>
          <w:instrText xml:space="preserve"> PAGEREF _Toc412628514 \h </w:instrText>
        </w:r>
        <w:r w:rsidR="00F30AE2">
          <w:rPr>
            <w:noProof/>
            <w:webHidden/>
          </w:rPr>
        </w:r>
        <w:r w:rsidR="00F30AE2">
          <w:rPr>
            <w:noProof/>
            <w:webHidden/>
          </w:rPr>
          <w:fldChar w:fldCharType="separate"/>
        </w:r>
        <w:r w:rsidR="00803DBE">
          <w:rPr>
            <w:noProof/>
            <w:webHidden/>
          </w:rPr>
          <w:t>66</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5" w:history="1">
        <w:r w:rsidR="00F30AE2" w:rsidRPr="008B52F1">
          <w:rPr>
            <w:rStyle w:val="Hyperlink"/>
            <w:noProof/>
          </w:rPr>
          <w:t>Figure 5</w:t>
        </w:r>
        <w:r w:rsidR="00F30AE2" w:rsidRPr="008B52F1">
          <w:rPr>
            <w:rStyle w:val="Hyperlink"/>
            <w:noProof/>
          </w:rPr>
          <w:noBreakHyphen/>
          <w:t>2: MW Controlled by Year - Penelec</w:t>
        </w:r>
        <w:r w:rsidR="00F30AE2">
          <w:rPr>
            <w:noProof/>
            <w:webHidden/>
          </w:rPr>
          <w:tab/>
        </w:r>
        <w:r w:rsidR="00F30AE2">
          <w:rPr>
            <w:noProof/>
            <w:webHidden/>
          </w:rPr>
          <w:fldChar w:fldCharType="begin"/>
        </w:r>
        <w:r w:rsidR="00F30AE2">
          <w:rPr>
            <w:noProof/>
            <w:webHidden/>
          </w:rPr>
          <w:instrText xml:space="preserve"> PAGEREF _Toc412628515 \h </w:instrText>
        </w:r>
        <w:r w:rsidR="00F30AE2">
          <w:rPr>
            <w:noProof/>
            <w:webHidden/>
          </w:rPr>
        </w:r>
        <w:r w:rsidR="00F30AE2">
          <w:rPr>
            <w:noProof/>
            <w:webHidden/>
          </w:rPr>
          <w:fldChar w:fldCharType="separate"/>
        </w:r>
        <w:r w:rsidR="00803DBE">
          <w:rPr>
            <w:noProof/>
            <w:webHidden/>
          </w:rPr>
          <w:t>71</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6" w:history="1">
        <w:r w:rsidR="00F30AE2" w:rsidRPr="008B52F1">
          <w:rPr>
            <w:rStyle w:val="Hyperlink"/>
            <w:noProof/>
          </w:rPr>
          <w:t>Figure 5</w:t>
        </w:r>
        <w:r w:rsidR="00F30AE2" w:rsidRPr="008B52F1">
          <w:rPr>
            <w:rStyle w:val="Hyperlink"/>
            <w:noProof/>
          </w:rPr>
          <w:noBreakHyphen/>
          <w:t>3: Statewide DLC Potential by Segment</w:t>
        </w:r>
        <w:r w:rsidR="00F30AE2">
          <w:rPr>
            <w:noProof/>
            <w:webHidden/>
          </w:rPr>
          <w:tab/>
        </w:r>
        <w:r w:rsidR="00F30AE2">
          <w:rPr>
            <w:noProof/>
            <w:webHidden/>
          </w:rPr>
          <w:fldChar w:fldCharType="begin"/>
        </w:r>
        <w:r w:rsidR="00F30AE2">
          <w:rPr>
            <w:noProof/>
            <w:webHidden/>
          </w:rPr>
          <w:instrText xml:space="preserve"> PAGEREF _Toc412628516 \h </w:instrText>
        </w:r>
        <w:r w:rsidR="00F30AE2">
          <w:rPr>
            <w:noProof/>
            <w:webHidden/>
          </w:rPr>
        </w:r>
        <w:r w:rsidR="00F30AE2">
          <w:rPr>
            <w:noProof/>
            <w:webHidden/>
          </w:rPr>
          <w:fldChar w:fldCharType="separate"/>
        </w:r>
        <w:r w:rsidR="00803DBE">
          <w:rPr>
            <w:noProof/>
            <w:webHidden/>
          </w:rPr>
          <w:t>72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7" w:history="1">
        <w:r w:rsidR="00F30AE2" w:rsidRPr="008B52F1">
          <w:rPr>
            <w:rStyle w:val="Hyperlink"/>
            <w:noProof/>
          </w:rPr>
          <w:t>Figure 6</w:t>
        </w:r>
        <w:r w:rsidR="00F30AE2" w:rsidRPr="008B52F1">
          <w:rPr>
            <w:rStyle w:val="Hyperlink"/>
            <w:noProof/>
          </w:rPr>
          <w:noBreakHyphen/>
          <w:t>1: Cumulative Percentage of Phase I Total Reductions vs. Percentage of Customers</w:t>
        </w:r>
        <w:r w:rsidR="00F30AE2">
          <w:rPr>
            <w:noProof/>
            <w:webHidden/>
          </w:rPr>
          <w:tab/>
        </w:r>
        <w:r w:rsidR="00F30AE2">
          <w:rPr>
            <w:noProof/>
            <w:webHidden/>
          </w:rPr>
          <w:fldChar w:fldCharType="begin"/>
        </w:r>
        <w:r w:rsidR="00F30AE2">
          <w:rPr>
            <w:noProof/>
            <w:webHidden/>
          </w:rPr>
          <w:instrText xml:space="preserve"> PAGEREF _Toc412628517 \h </w:instrText>
        </w:r>
        <w:r w:rsidR="00F30AE2">
          <w:rPr>
            <w:noProof/>
            <w:webHidden/>
          </w:rPr>
        </w:r>
        <w:r w:rsidR="00F30AE2">
          <w:rPr>
            <w:noProof/>
            <w:webHidden/>
          </w:rPr>
          <w:fldChar w:fldCharType="separate"/>
        </w:r>
        <w:r w:rsidR="00803DBE">
          <w:rPr>
            <w:noProof/>
            <w:webHidden/>
          </w:rPr>
          <w:t>73</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8" w:history="1">
        <w:r w:rsidR="00F30AE2" w:rsidRPr="008B52F1">
          <w:rPr>
            <w:rStyle w:val="Hyperlink"/>
            <w:noProof/>
          </w:rPr>
          <w:t>Figure 6</w:t>
        </w:r>
        <w:r w:rsidR="00F30AE2" w:rsidRPr="008B52F1">
          <w:rPr>
            <w:rStyle w:val="Hyperlink"/>
            <w:noProof/>
          </w:rPr>
          <w:noBreakHyphen/>
          <w:t>2: PECO Day-Ahead DR Potential by Customer Segment and Incentive Amount</w:t>
        </w:r>
        <w:r w:rsidR="00F30AE2">
          <w:rPr>
            <w:noProof/>
            <w:webHidden/>
          </w:rPr>
          <w:tab/>
        </w:r>
        <w:r w:rsidR="00F30AE2">
          <w:rPr>
            <w:noProof/>
            <w:webHidden/>
          </w:rPr>
          <w:fldChar w:fldCharType="begin"/>
        </w:r>
        <w:r w:rsidR="00F30AE2">
          <w:rPr>
            <w:noProof/>
            <w:webHidden/>
          </w:rPr>
          <w:instrText xml:space="preserve"> PAGEREF _Toc412628518 \h </w:instrText>
        </w:r>
        <w:r w:rsidR="00F30AE2">
          <w:rPr>
            <w:noProof/>
            <w:webHidden/>
          </w:rPr>
        </w:r>
        <w:r w:rsidR="00F30AE2">
          <w:rPr>
            <w:noProof/>
            <w:webHidden/>
          </w:rPr>
          <w:fldChar w:fldCharType="separate"/>
        </w:r>
        <w:r w:rsidR="00803DBE">
          <w:rPr>
            <w:noProof/>
            <w:webHidden/>
          </w:rPr>
          <w:t>78</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19" w:history="1">
        <w:r w:rsidR="00F30AE2" w:rsidRPr="008B52F1">
          <w:rPr>
            <w:rStyle w:val="Hyperlink"/>
            <w:noProof/>
          </w:rPr>
          <w:t>Figure 6</w:t>
        </w:r>
        <w:r w:rsidR="00F30AE2" w:rsidRPr="008B52F1">
          <w:rPr>
            <w:rStyle w:val="Hyperlink"/>
            <w:noProof/>
          </w:rPr>
          <w:noBreakHyphen/>
          <w:t>3: Relationship between PVNB and Incentive Payment</w:t>
        </w:r>
        <w:r w:rsidR="00F30AE2">
          <w:rPr>
            <w:noProof/>
            <w:webHidden/>
          </w:rPr>
          <w:tab/>
        </w:r>
        <w:r w:rsidR="00F30AE2">
          <w:rPr>
            <w:noProof/>
            <w:webHidden/>
          </w:rPr>
          <w:fldChar w:fldCharType="begin"/>
        </w:r>
        <w:r w:rsidR="00F30AE2">
          <w:rPr>
            <w:noProof/>
            <w:webHidden/>
          </w:rPr>
          <w:instrText xml:space="preserve"> PAGEREF _Toc412628519 \h </w:instrText>
        </w:r>
        <w:r w:rsidR="00F30AE2">
          <w:rPr>
            <w:noProof/>
            <w:webHidden/>
          </w:rPr>
        </w:r>
        <w:r w:rsidR="00F30AE2">
          <w:rPr>
            <w:noProof/>
            <w:webHidden/>
          </w:rPr>
          <w:fldChar w:fldCharType="separate"/>
        </w:r>
        <w:r w:rsidR="00803DBE">
          <w:rPr>
            <w:noProof/>
            <w:webHidden/>
          </w:rPr>
          <w:t>79</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20" w:history="1">
        <w:r w:rsidR="00F30AE2" w:rsidRPr="008B52F1">
          <w:rPr>
            <w:rStyle w:val="Hyperlink"/>
            <w:noProof/>
          </w:rPr>
          <w:t>Figure 6</w:t>
        </w:r>
        <w:r w:rsidR="00F30AE2" w:rsidRPr="008B52F1">
          <w:rPr>
            <w:rStyle w:val="Hyperlink"/>
            <w:noProof/>
          </w:rPr>
          <w:noBreakHyphen/>
          <w:t>4: Percent Reduction by DR Product and EDC</w:t>
        </w:r>
        <w:r w:rsidR="00F30AE2">
          <w:rPr>
            <w:noProof/>
            <w:webHidden/>
          </w:rPr>
          <w:tab/>
        </w:r>
        <w:r w:rsidR="00F30AE2">
          <w:rPr>
            <w:noProof/>
            <w:webHidden/>
          </w:rPr>
          <w:fldChar w:fldCharType="begin"/>
        </w:r>
        <w:r w:rsidR="00F30AE2">
          <w:rPr>
            <w:noProof/>
            <w:webHidden/>
          </w:rPr>
          <w:instrText xml:space="preserve"> PAGEREF _Toc412628520 \h </w:instrText>
        </w:r>
        <w:r w:rsidR="00F30AE2">
          <w:rPr>
            <w:noProof/>
            <w:webHidden/>
          </w:rPr>
        </w:r>
        <w:r w:rsidR="00F30AE2">
          <w:rPr>
            <w:noProof/>
            <w:webHidden/>
          </w:rPr>
          <w:fldChar w:fldCharType="separate"/>
        </w:r>
        <w:r w:rsidR="00803DBE">
          <w:rPr>
            <w:noProof/>
            <w:webHidden/>
          </w:rPr>
          <w:t>82</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21" w:history="1">
        <w:r w:rsidR="00F30AE2" w:rsidRPr="008B52F1">
          <w:rPr>
            <w:rStyle w:val="Hyperlink"/>
            <w:noProof/>
          </w:rPr>
          <w:t>Figure 6</w:t>
        </w:r>
        <w:r w:rsidR="00F30AE2" w:rsidRPr="008B52F1">
          <w:rPr>
            <w:rStyle w:val="Hyperlink"/>
            <w:noProof/>
          </w:rPr>
          <w:noBreakHyphen/>
          <w:t>5: Annual Statewide Load Curtailment Potential by Customer Type</w:t>
        </w:r>
        <w:r w:rsidR="00F30AE2">
          <w:rPr>
            <w:noProof/>
            <w:webHidden/>
          </w:rPr>
          <w:tab/>
        </w:r>
        <w:r w:rsidR="00F30AE2">
          <w:rPr>
            <w:noProof/>
            <w:webHidden/>
          </w:rPr>
          <w:fldChar w:fldCharType="begin"/>
        </w:r>
        <w:r w:rsidR="00F30AE2">
          <w:rPr>
            <w:noProof/>
            <w:webHidden/>
          </w:rPr>
          <w:instrText xml:space="preserve"> PAGEREF _Toc412628521 \h </w:instrText>
        </w:r>
        <w:r w:rsidR="00F30AE2">
          <w:rPr>
            <w:noProof/>
            <w:webHidden/>
          </w:rPr>
        </w:r>
        <w:r w:rsidR="00F30AE2">
          <w:rPr>
            <w:noProof/>
            <w:webHidden/>
          </w:rPr>
          <w:fldChar w:fldCharType="separate"/>
        </w:r>
        <w:r w:rsidR="00803DBE">
          <w:rPr>
            <w:noProof/>
            <w:webHidden/>
          </w:rPr>
          <w:t>84</w:t>
        </w:r>
        <w:r w:rsidR="00F30AE2">
          <w:rPr>
            <w:noProof/>
            <w:webHidden/>
          </w:rPr>
          <w:fldChar w:fldCharType="end"/>
        </w:r>
      </w:hyperlink>
    </w:p>
    <w:p w:rsidR="00F30AE2" w:rsidRDefault="00E2011B">
      <w:pPr>
        <w:pStyle w:val="TableofFigures"/>
        <w:tabs>
          <w:tab w:val="right" w:leader="dot" w:pos="9350"/>
        </w:tabs>
        <w:rPr>
          <w:rFonts w:asciiTheme="minorHAnsi" w:eastAsiaTheme="minorEastAsia" w:hAnsiTheme="minorHAnsi"/>
          <w:noProof/>
          <w:sz w:val="22"/>
        </w:rPr>
      </w:pPr>
      <w:hyperlink w:anchor="_Toc412628522" w:history="1">
        <w:r w:rsidR="00F30AE2" w:rsidRPr="008B52F1">
          <w:rPr>
            <w:rStyle w:val="Hyperlink"/>
            <w:noProof/>
          </w:rPr>
          <w:t>Figure 6</w:t>
        </w:r>
        <w:r w:rsidR="00F30AE2" w:rsidRPr="008B52F1">
          <w:rPr>
            <w:rStyle w:val="Hyperlink"/>
            <w:noProof/>
          </w:rPr>
          <w:noBreakHyphen/>
          <w:t>6: Statewide Historical and Projected DR Commitments in PJM BRA</w:t>
        </w:r>
        <w:r w:rsidR="00F30AE2">
          <w:rPr>
            <w:noProof/>
            <w:webHidden/>
          </w:rPr>
          <w:tab/>
        </w:r>
        <w:r w:rsidR="00F30AE2">
          <w:rPr>
            <w:noProof/>
            <w:webHidden/>
          </w:rPr>
          <w:fldChar w:fldCharType="begin"/>
        </w:r>
        <w:r w:rsidR="00F30AE2">
          <w:rPr>
            <w:noProof/>
            <w:webHidden/>
          </w:rPr>
          <w:instrText xml:space="preserve"> PAGEREF _Toc412628522 \h </w:instrText>
        </w:r>
        <w:r w:rsidR="00F30AE2">
          <w:rPr>
            <w:noProof/>
            <w:webHidden/>
          </w:rPr>
        </w:r>
        <w:r w:rsidR="00F30AE2">
          <w:rPr>
            <w:noProof/>
            <w:webHidden/>
          </w:rPr>
          <w:fldChar w:fldCharType="separate"/>
        </w:r>
        <w:r w:rsidR="00803DBE">
          <w:rPr>
            <w:noProof/>
            <w:webHidden/>
          </w:rPr>
          <w:t>87</w:t>
        </w:r>
        <w:r w:rsidR="00F30AE2">
          <w:rPr>
            <w:noProof/>
            <w:webHidden/>
          </w:rPr>
          <w:fldChar w:fldCharType="end"/>
        </w:r>
      </w:hyperlink>
    </w:p>
    <w:p w:rsidR="009D2C1F" w:rsidRDefault="009D2C1F" w:rsidP="00A83ABC">
      <w:r>
        <w:rPr>
          <w:rFonts w:ascii="Century Gothic" w:hAnsi="Century Gothic"/>
          <w:sz w:val="18"/>
        </w:rPr>
        <w:fldChar w:fldCharType="end"/>
      </w:r>
    </w:p>
    <w:p w:rsidR="009D2C1F" w:rsidRDefault="009D2C1F" w:rsidP="00A83ABC">
      <w:pPr>
        <w:shd w:val="clear" w:color="auto" w:fill="448A99"/>
        <w:spacing w:after="120"/>
        <w:jc w:val="right"/>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pPr>
      <w:r>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t>List of Equations</w:t>
      </w:r>
    </w:p>
    <w:p w:rsidR="00F30AE2" w:rsidRDefault="009D2C1F">
      <w:pPr>
        <w:pStyle w:val="TableofFigures"/>
        <w:tabs>
          <w:tab w:val="right" w:leader="dot" w:pos="9350"/>
        </w:tabs>
        <w:rPr>
          <w:rFonts w:asciiTheme="minorHAnsi" w:eastAsiaTheme="minorEastAsia" w:hAnsiTheme="minorHAnsi"/>
          <w:noProof/>
          <w:sz w:val="22"/>
        </w:rPr>
      </w:pPr>
      <w:r>
        <w:fldChar w:fldCharType="begin"/>
      </w:r>
      <w:r>
        <w:instrText xml:space="preserve"> TOC \h \z \c "Equation" </w:instrText>
      </w:r>
      <w:r>
        <w:fldChar w:fldCharType="separate"/>
      </w:r>
      <w:hyperlink w:anchor="_Toc412628523" w:history="1">
        <w:r w:rsidR="00F30AE2" w:rsidRPr="00BE4288">
          <w:rPr>
            <w:rStyle w:val="Hyperlink"/>
            <w:noProof/>
          </w:rPr>
          <w:t>Equation 6</w:t>
        </w:r>
        <w:r w:rsidR="00F30AE2" w:rsidRPr="00BE4288">
          <w:rPr>
            <w:rStyle w:val="Hyperlink"/>
            <w:noProof/>
          </w:rPr>
          <w:noBreakHyphen/>
          <w:t>1: Price Elasticity Formula</w:t>
        </w:r>
        <w:r w:rsidR="00F30AE2">
          <w:rPr>
            <w:noProof/>
            <w:webHidden/>
          </w:rPr>
          <w:tab/>
        </w:r>
        <w:r w:rsidR="00F30AE2">
          <w:rPr>
            <w:noProof/>
            <w:webHidden/>
          </w:rPr>
          <w:fldChar w:fldCharType="begin"/>
        </w:r>
        <w:r w:rsidR="00F30AE2">
          <w:rPr>
            <w:noProof/>
            <w:webHidden/>
          </w:rPr>
          <w:instrText xml:space="preserve"> PAGEREF _Toc412628523 \h </w:instrText>
        </w:r>
        <w:r w:rsidR="00F30AE2">
          <w:rPr>
            <w:noProof/>
            <w:webHidden/>
          </w:rPr>
        </w:r>
        <w:r w:rsidR="00F30AE2">
          <w:rPr>
            <w:noProof/>
            <w:webHidden/>
          </w:rPr>
          <w:fldChar w:fldCharType="separate"/>
        </w:r>
        <w:r w:rsidR="00803DBE">
          <w:rPr>
            <w:noProof/>
            <w:webHidden/>
          </w:rPr>
          <w:t>73</w:t>
        </w:r>
        <w:r w:rsidR="00F30AE2">
          <w:rPr>
            <w:noProof/>
            <w:webHidden/>
          </w:rPr>
          <w:fldChar w:fldCharType="end"/>
        </w:r>
      </w:hyperlink>
    </w:p>
    <w:p w:rsidR="00CA2F53" w:rsidRDefault="009D2C1F" w:rsidP="00A83ABC">
      <w:r>
        <w:fldChar w:fldCharType="end"/>
      </w:r>
      <w:r w:rsidR="00CA2F53">
        <w:br w:type="page"/>
      </w:r>
    </w:p>
    <w:p w:rsidR="00CA2F53" w:rsidRDefault="00CA2F53" w:rsidP="00A83ABC">
      <w:pPr>
        <w:shd w:val="clear" w:color="auto" w:fill="448A99"/>
        <w:spacing w:after="120"/>
        <w:jc w:val="right"/>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pPr>
      <w:r>
        <w:rPr>
          <w:rFonts w:ascii="Century Gothic" w:hAnsi="Century Gothic"/>
          <w:b/>
          <w:smallCaps/>
          <w:color w:val="FFFFFF" w:themeColor="background1"/>
          <w:sz w:val="30"/>
          <w:szCs w:val="30"/>
          <w14:shadow w14:blurRad="50800" w14:dist="38100" w14:dir="2700000" w14:sx="100000" w14:sy="100000" w14:kx="0" w14:ky="0" w14:algn="tl">
            <w14:srgbClr w14:val="000000">
              <w14:alpha w14:val="60000"/>
            </w14:srgbClr>
          </w14:shadow>
        </w:rPr>
        <w:lastRenderedPageBreak/>
        <w:t>Glossary</w:t>
      </w:r>
    </w:p>
    <w:p w:rsidR="009D2C1F" w:rsidRDefault="009D2C1F" w:rsidP="00A83ABC"/>
    <w:p w:rsidR="00CA23C3" w:rsidRPr="00C84324" w:rsidRDefault="00CA23C3"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A –</w:t>
      </w:r>
    </w:p>
    <w:p w:rsidR="001A2A28" w:rsidRPr="00C84324" w:rsidRDefault="001A2A28" w:rsidP="00A83ABC">
      <w:pPr>
        <w:autoSpaceDE w:val="0"/>
        <w:autoSpaceDN w:val="0"/>
        <w:adjustRightInd w:val="0"/>
        <w:spacing w:after="120"/>
        <w:rPr>
          <w:rFonts w:cs="Helv"/>
          <w:color w:val="0000FF"/>
        </w:rPr>
      </w:pPr>
      <w:r w:rsidRPr="00C84324">
        <w:rPr>
          <w:b/>
        </w:rPr>
        <w:t xml:space="preserve">Administration Costs: </w:t>
      </w:r>
      <w:r w:rsidRPr="00C84324">
        <w:t xml:space="preserve">As defined by </w:t>
      </w:r>
      <w:r>
        <w:t xml:space="preserve">2013 TRC </w:t>
      </w:r>
      <w:r w:rsidR="00B91E64">
        <w:t>Order</w:t>
      </w:r>
      <w:r w:rsidR="00E53D09">
        <w:rPr>
          <w:rStyle w:val="FootnoteReference"/>
        </w:rPr>
        <w:footnoteReference w:id="1"/>
      </w:r>
      <w:r w:rsidRPr="00C84324">
        <w:rPr>
          <w:rFonts w:cs="Helv"/>
          <w:color w:val="0000FF"/>
        </w:rPr>
        <w:t xml:space="preserve">. </w:t>
      </w:r>
    </w:p>
    <w:p w:rsidR="001A2A28" w:rsidRPr="00C84324" w:rsidRDefault="001A2A28" w:rsidP="00A83ABC">
      <w:pPr>
        <w:rPr>
          <w:i/>
        </w:rPr>
      </w:pPr>
      <w:r w:rsidRPr="00C84324">
        <w:rPr>
          <w:b/>
        </w:rPr>
        <w:t>Avoided Cost</w:t>
      </w:r>
      <w:r w:rsidRPr="00C84324">
        <w:t xml:space="preserve">: </w:t>
      </w:r>
      <w:r>
        <w:t>T</w:t>
      </w:r>
      <w:r w:rsidRPr="00C84324">
        <w:t xml:space="preserve">he </w:t>
      </w:r>
      <w:r>
        <w:t xml:space="preserve">capacity, transmission, and distribution </w:t>
      </w:r>
      <w:r w:rsidRPr="00C84324">
        <w:t xml:space="preserve">costs that are avoided by the implementation of </w:t>
      </w:r>
      <w:r>
        <w:t>a demand response program</w:t>
      </w:r>
      <w:r w:rsidRPr="00C84324">
        <w:t xml:space="preserve"> or practice. Such costs are used in benefit</w:t>
      </w:r>
      <w:r w:rsidR="00AB5423">
        <w:t>/</w:t>
      </w:r>
      <w:r w:rsidRPr="00C84324">
        <w:t>cost analys</w:t>
      </w:r>
      <w:r>
        <w:t>i</w:t>
      </w:r>
      <w:r w:rsidRPr="00C84324">
        <w:t xml:space="preserve">s of </w:t>
      </w:r>
      <w:r>
        <w:t>demand response</w:t>
      </w:r>
      <w:r w:rsidRPr="00C84324">
        <w:t xml:space="preserve"> programs as defined by the Pennsylvania PUC in the TRC Test Order.</w:t>
      </w:r>
      <w:r w:rsidRPr="00C84324">
        <w:rPr>
          <w:rStyle w:val="FootnoteReference"/>
        </w:rPr>
        <w:footnoteReference w:id="2"/>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B –</w:t>
      </w:r>
    </w:p>
    <w:p w:rsidR="001A2A28" w:rsidRPr="00C84324" w:rsidRDefault="001A2A28" w:rsidP="00A83ABC">
      <w:pPr>
        <w:spacing w:after="120"/>
      </w:pPr>
      <w:r w:rsidRPr="00C84324">
        <w:rPr>
          <w:b/>
        </w:rPr>
        <w:t>Baseline</w:t>
      </w:r>
      <w:r w:rsidRPr="00C84324">
        <w:t xml:space="preserve">: Conditions that would have occurred without implementation of the subject measure or project. Baseline conditions are sometimes referred to as </w:t>
      </w:r>
      <w:r w:rsidR="00AF7E71">
        <w:t>“</w:t>
      </w:r>
      <w:r w:rsidRPr="00C84324">
        <w:t>business-as-usual</w:t>
      </w:r>
      <w:r w:rsidR="00AF7E71">
        <w:t>”</w:t>
      </w:r>
      <w:r w:rsidRPr="00C84324">
        <w:t xml:space="preserve"> conditions and are used to calculate program related savings. Baselines can be defined as either project specific baselines or performance standard baselines (e.g., building codes). For the purposes of Act 129, baselines are defined in the Pennsylvania TRM, in approved custom protocols, and in TRM interim approved protocols.</w:t>
      </w:r>
    </w:p>
    <w:p w:rsidR="001A2A28" w:rsidRPr="00C84324" w:rsidRDefault="001A2A28" w:rsidP="00A83ABC">
      <w:pPr>
        <w:spacing w:after="120"/>
      </w:pPr>
      <w:r w:rsidRPr="00C84324">
        <w:rPr>
          <w:b/>
        </w:rPr>
        <w:t>Baseline Data</w:t>
      </w:r>
      <w:r w:rsidRPr="00C84324">
        <w:t xml:space="preserve">: The information representing the systems being upgraded before </w:t>
      </w:r>
      <w:r>
        <w:t>program activity occurs</w:t>
      </w:r>
      <w:r w:rsidRPr="00C84324">
        <w:t xml:space="preserve">. </w:t>
      </w:r>
    </w:p>
    <w:p w:rsidR="001A2A28" w:rsidRPr="00C84324" w:rsidRDefault="001A2A28" w:rsidP="00A83ABC">
      <w:pPr>
        <w:spacing w:after="120"/>
        <w:rPr>
          <w:b/>
        </w:rPr>
      </w:pPr>
      <w:r w:rsidRPr="00C84324">
        <w:rPr>
          <w:b/>
        </w:rPr>
        <w:t>Benefit-Cost Ratio</w:t>
      </w:r>
      <w:r w:rsidRPr="00C84324">
        <w:t xml:space="preserve">: The mathematical relationship between the benefits and costs associated with the implementation of </w:t>
      </w:r>
      <w:r>
        <w:t>demand-side management</w:t>
      </w:r>
      <w:r w:rsidRPr="00C84324">
        <w:t xml:space="preserve"> measures, programs, or practices. The benefits and costs are typically expressed in dollars. This is the ratio of the discounted total benefits of the program to the discounted total costs over the </w:t>
      </w:r>
      <w:r>
        <w:t>program planning time horizon</w:t>
      </w:r>
      <w:r w:rsidRPr="00C84324">
        <w:t>. The explicit formula for use in Pennsylvania is set forth in the Appendix to the TRC Order.</w:t>
      </w:r>
      <w:r w:rsidRPr="00C84324">
        <w:rPr>
          <w:rStyle w:val="FootnoteReference"/>
        </w:rPr>
        <w:footnoteReference w:id="3"/>
      </w:r>
      <w:r w:rsidRPr="00C84324">
        <w:t xml:space="preserve"> Also see </w:t>
      </w:r>
      <w:r w:rsidRPr="00C84324">
        <w:rPr>
          <w:i/>
        </w:rPr>
        <w:t>Benefit-Cost Test</w:t>
      </w:r>
      <w:r w:rsidRPr="00C84324">
        <w:t xml:space="preserve">. </w:t>
      </w:r>
    </w:p>
    <w:p w:rsidR="001A2A28" w:rsidRPr="00C84324" w:rsidRDefault="001A2A28" w:rsidP="00A83ABC">
      <w:pPr>
        <w:spacing w:after="120"/>
      </w:pPr>
      <w:r w:rsidRPr="00C84324">
        <w:rPr>
          <w:b/>
        </w:rPr>
        <w:t>Benefit-Cost Test</w:t>
      </w:r>
      <w:r w:rsidRPr="00C84324">
        <w:t xml:space="preserve">: Also called </w:t>
      </w:r>
      <w:r w:rsidRPr="00C84324">
        <w:rPr>
          <w:i/>
        </w:rPr>
        <w:t>Cost</w:t>
      </w:r>
      <w:r w:rsidR="00CE0565">
        <w:rPr>
          <w:i/>
        </w:rPr>
        <w:t>-</w:t>
      </w:r>
      <w:r w:rsidRPr="00C84324">
        <w:rPr>
          <w:i/>
        </w:rPr>
        <w:t xml:space="preserve">Effectiveness Test, </w:t>
      </w:r>
      <w:r w:rsidRPr="00C84324">
        <w:t xml:space="preserve">defined as the methodology used to compare the benefits of an investment to the costs. For programs evaluated under Act 129, the TRC </w:t>
      </w:r>
      <w:r w:rsidR="00CA7A59">
        <w:t>T</w:t>
      </w:r>
      <w:r w:rsidR="00CA7A59" w:rsidRPr="00C84324">
        <w:t xml:space="preserve">est </w:t>
      </w:r>
      <w:r w:rsidRPr="00C84324">
        <w:t>is the required benefit</w:t>
      </w:r>
      <w:r w:rsidR="00AB5423">
        <w:t>/</w:t>
      </w:r>
      <w:r w:rsidRPr="00C84324">
        <w:t>cost test as issued in the TRC Order.</w:t>
      </w:r>
      <w:r w:rsidRPr="00C84324">
        <w:rPr>
          <w:rStyle w:val="FootnoteReference"/>
        </w:rPr>
        <w:footnoteReference w:id="4"/>
      </w:r>
    </w:p>
    <w:p w:rsidR="001A2A28" w:rsidRPr="00C84324" w:rsidRDefault="001A2A28" w:rsidP="00A83ABC">
      <w:r w:rsidRPr="00C84324">
        <w:rPr>
          <w:b/>
        </w:rPr>
        <w:t>Bias</w:t>
      </w:r>
      <w:r w:rsidRPr="00C84324">
        <w:t>: The extent to which a measurement, sampl</w:t>
      </w:r>
      <w:r>
        <w:t>e</w:t>
      </w:r>
      <w:r w:rsidRPr="00C84324">
        <w:t>, or analytic method systematically underestimates or overestimates a value. Some examples of types of bias include engineering model bias; meter bias; sensor bias; an inadequate or inappropriate estimate of what would have happened absent a program or measure installation; a sample that is unrepresentative of a population.</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C –</w:t>
      </w:r>
    </w:p>
    <w:p w:rsidR="001A2A28" w:rsidRDefault="001A2A28" w:rsidP="00A83ABC">
      <w:pPr>
        <w:spacing w:after="120"/>
      </w:pPr>
      <w:r w:rsidRPr="00423794">
        <w:rPr>
          <w:b/>
        </w:rPr>
        <w:t>Coefficient of Variation</w:t>
      </w:r>
      <w:r>
        <w:t>: The mean (average) of a sample divided by its standard error.</w:t>
      </w:r>
    </w:p>
    <w:p w:rsidR="001A2A28" w:rsidRDefault="001A2A28" w:rsidP="00A83ABC">
      <w:pPr>
        <w:spacing w:after="120"/>
      </w:pPr>
      <w:r>
        <w:rPr>
          <w:b/>
        </w:rPr>
        <w:t>Coincident Demand</w:t>
      </w:r>
      <w:r w:rsidRPr="00423794">
        <w:t>:</w:t>
      </w:r>
      <w:r>
        <w:t xml:space="preserve"> The demand of a device, circuit, or building that occurs at the same time as the peak demand of a utility’s system load or at the same time as some other peak of interest, such as a building or facility peak demand. The peak or interest should be specified (e.g., ‘demand coincident with the utility system peak’).</w:t>
      </w:r>
    </w:p>
    <w:p w:rsidR="001A2A28" w:rsidRDefault="001A2A28" w:rsidP="00A83ABC">
      <w:pPr>
        <w:spacing w:after="120"/>
      </w:pPr>
      <w:r w:rsidRPr="00423794">
        <w:rPr>
          <w:b/>
        </w:rPr>
        <w:t>Coincidence Factor</w:t>
      </w:r>
      <w:r>
        <w:t xml:space="preserve">: The ratio, expressed as a numerical value or as a percentage of connected load, of the coincident demand of an electrical appliance or facility type with the utility system peak. </w:t>
      </w:r>
    </w:p>
    <w:p w:rsidR="001A2A28" w:rsidRDefault="001A2A28" w:rsidP="00A83ABC">
      <w:pPr>
        <w:spacing w:after="120"/>
      </w:pPr>
      <w:r>
        <w:rPr>
          <w:rStyle w:val="Strong"/>
        </w:rPr>
        <w:lastRenderedPageBreak/>
        <w:t>Combined Heat and Power (CHP) Plant:</w:t>
      </w:r>
      <w:r>
        <w:t>  A plant designed to produce both heat and electricity from a single heat source. Note: This term is being used in place of the term "cogenerator" that was used by the Energy Information Administration in the past. CHP better describes the facilities because some of the plants included do not produce heat and power in a sequential fashion and, as a result, do not meet the legal definition of cogeneration specified in the United States Public Utility Regulatory Policies Act (PURPA).</w:t>
      </w:r>
    </w:p>
    <w:p w:rsidR="001A2A28" w:rsidRDefault="001A2A28" w:rsidP="00A83ABC">
      <w:pPr>
        <w:spacing w:after="120"/>
      </w:pPr>
      <w:r w:rsidRPr="00423794">
        <w:rPr>
          <w:b/>
        </w:rPr>
        <w:t>Confidence</w:t>
      </w:r>
      <w:r>
        <w:t xml:space="preserve">: An indication of the probability that an estimate is within a specified range of the true value of the quantity in question. Confidence is the likelihood that the evaluation has captured the true value of a variable within a certain estimated range. Also see </w:t>
      </w:r>
      <w:r>
        <w:rPr>
          <w:i/>
        </w:rPr>
        <w:t>Precision</w:t>
      </w:r>
      <w:r>
        <w:t>.</w:t>
      </w:r>
    </w:p>
    <w:p w:rsidR="001A2A28" w:rsidRPr="00880C74" w:rsidRDefault="001A2A28" w:rsidP="00A83ABC">
      <w:pPr>
        <w:spacing w:after="120"/>
        <w:rPr>
          <w:b/>
        </w:rPr>
      </w:pPr>
      <w:r w:rsidRPr="00880C74">
        <w:rPr>
          <w:b/>
        </w:rPr>
        <w:t>Conservation Service Provider</w:t>
      </w:r>
      <w:r>
        <w:rPr>
          <w:b/>
        </w:rPr>
        <w:t xml:space="preserve"> (CSP)</w:t>
      </w:r>
      <w:r w:rsidRPr="00880C74">
        <w:rPr>
          <w:b/>
        </w:rPr>
        <w:t>:</w:t>
      </w:r>
      <w:r>
        <w:rPr>
          <w:b/>
        </w:rPr>
        <w:t xml:space="preserve"> </w:t>
      </w:r>
      <w:r>
        <w:t xml:space="preserve">An entity that meets the Pennsylvania Public </w:t>
      </w:r>
      <w:r w:rsidR="00123C18">
        <w:t>Utility</w:t>
      </w:r>
      <w:r>
        <w:t xml:space="preserve"> Commission qualifications to provide consultation, design, administration, management, or advisory services to an electric distribution company regarding energy efficiency and conservation plans required under Act 129 of 2008, P.L. 1592.</w:t>
      </w:r>
    </w:p>
    <w:p w:rsidR="001A2A28" w:rsidRPr="007402D2" w:rsidRDefault="001A2A28" w:rsidP="00A83ABC">
      <w:pPr>
        <w:spacing w:after="120"/>
      </w:pPr>
      <w:r w:rsidRPr="007402D2">
        <w:rPr>
          <w:b/>
        </w:rPr>
        <w:t>Correlation</w:t>
      </w:r>
      <w:r>
        <w:rPr>
          <w:color w:val="000000"/>
        </w:rPr>
        <w:t>: F</w:t>
      </w:r>
      <w:r w:rsidRPr="007402D2">
        <w:t xml:space="preserve">or a set of observations, such as for participants in </w:t>
      </w:r>
      <w:r>
        <w:t>demand response</w:t>
      </w:r>
      <w:r w:rsidRPr="007402D2">
        <w:t xml:space="preserve"> program, the extent to which values for one variable are associated with values of another variable for the same participant. For example, facility size and energy consumption usually have a high positive correlation.</w:t>
      </w:r>
    </w:p>
    <w:p w:rsidR="001A2A28" w:rsidRPr="007402D2" w:rsidRDefault="001A2A28" w:rsidP="00A83ABC">
      <w:pPr>
        <w:spacing w:after="120"/>
      </w:pPr>
      <w:r w:rsidRPr="007402D2">
        <w:rPr>
          <w:b/>
          <w:spacing w:val="-2"/>
        </w:rPr>
        <w:t>Cost-Benefit and Cost</w:t>
      </w:r>
      <w:r w:rsidR="00CE0565">
        <w:rPr>
          <w:b/>
          <w:spacing w:val="-2"/>
        </w:rPr>
        <w:t>-</w:t>
      </w:r>
      <w:r w:rsidRPr="007402D2">
        <w:rPr>
          <w:b/>
          <w:spacing w:val="-2"/>
        </w:rPr>
        <w:t>Effectiveness Analysis</w:t>
      </w:r>
      <w:r w:rsidRPr="00423794">
        <w:rPr>
          <w:spacing w:val="-2"/>
        </w:rPr>
        <w:t>:</w:t>
      </w:r>
      <w:r w:rsidRPr="00C42541">
        <w:rPr>
          <w:spacing w:val="-2"/>
        </w:rPr>
        <w:t xml:space="preserve"> See </w:t>
      </w:r>
      <w:r w:rsidRPr="001F0C5E">
        <w:rPr>
          <w:i/>
          <w:spacing w:val="-2"/>
        </w:rPr>
        <w:t>Benefit-Cost Test</w:t>
      </w:r>
      <w:r w:rsidRPr="00C42541">
        <w:rPr>
          <w:spacing w:val="-2"/>
        </w:rPr>
        <w:t>.</w:t>
      </w:r>
      <w:r w:rsidRPr="007402D2">
        <w:t xml:space="preserve"> </w:t>
      </w:r>
    </w:p>
    <w:p w:rsidR="001A2A28" w:rsidRPr="007402D2" w:rsidRDefault="001A2A28" w:rsidP="00A83ABC">
      <w:pPr>
        <w:spacing w:after="120"/>
      </w:pPr>
      <w:r w:rsidRPr="007402D2">
        <w:rPr>
          <w:b/>
          <w:bCs/>
        </w:rPr>
        <w:t>Cost</w:t>
      </w:r>
      <w:r w:rsidR="00CE0565">
        <w:rPr>
          <w:b/>
          <w:bCs/>
        </w:rPr>
        <w:t>-</w:t>
      </w:r>
      <w:r w:rsidRPr="007402D2">
        <w:rPr>
          <w:b/>
          <w:bCs/>
        </w:rPr>
        <w:t>Effectiveness</w:t>
      </w:r>
      <w:r w:rsidRPr="00423794">
        <w:rPr>
          <w:bCs/>
        </w:rPr>
        <w:t>: A</w:t>
      </w:r>
      <w:r w:rsidRPr="007402D2">
        <w:t xml:space="preserve">n indicator of the relative performance or economic attractiveness of an investment or practice. </w:t>
      </w:r>
      <w:r>
        <w:t>The</w:t>
      </w:r>
      <w:r w:rsidRPr="007402D2">
        <w:t xml:space="preserve"> </w:t>
      </w:r>
      <w:r w:rsidR="00532DDB">
        <w:t>PV</w:t>
      </w:r>
      <w:r w:rsidRPr="007402D2">
        <w:t xml:space="preserve"> of the estimated benefits produced by </w:t>
      </w:r>
      <w:r>
        <w:t>efficiency demand response</w:t>
      </w:r>
      <w:r w:rsidRPr="007402D2">
        <w:t xml:space="preserve"> program is compared to the estimated total costs to determine if the proposed investment or measure is desirable from a variety of perspectives (e.g.</w:t>
      </w:r>
      <w:r>
        <w:t>,</w:t>
      </w:r>
      <w:r w:rsidRPr="007402D2">
        <w:t xml:space="preserve"> whether the estimated benefits exceed the estimated costs from a societal perspectiv</w:t>
      </w:r>
      <w:r>
        <w:t xml:space="preserve">e). </w:t>
      </w:r>
      <w:r w:rsidRPr="00C42541">
        <w:rPr>
          <w:spacing w:val="-2"/>
        </w:rPr>
        <w:t xml:space="preserve">See </w:t>
      </w:r>
      <w:r w:rsidRPr="001F0C5E">
        <w:rPr>
          <w:i/>
          <w:spacing w:val="-2"/>
        </w:rPr>
        <w:t>Benefit-Cost Test</w:t>
      </w:r>
      <w:r w:rsidRPr="00C42541">
        <w:rPr>
          <w:spacing w:val="-2"/>
        </w:rPr>
        <w:t>.</w:t>
      </w:r>
    </w:p>
    <w:p w:rsidR="001A2A28" w:rsidRPr="007402D2" w:rsidRDefault="001A2A28" w:rsidP="00A83ABC">
      <w:pPr>
        <w:spacing w:after="120"/>
      </w:pPr>
      <w:r w:rsidRPr="00423794">
        <w:rPr>
          <w:b/>
        </w:rPr>
        <w:t>Cost</w:t>
      </w:r>
      <w:r w:rsidR="00CE0565">
        <w:rPr>
          <w:b/>
        </w:rPr>
        <w:t>-</w:t>
      </w:r>
      <w:r w:rsidRPr="00423794">
        <w:rPr>
          <w:b/>
        </w:rPr>
        <w:t>Effectiveness Test</w:t>
      </w:r>
      <w:r w:rsidRPr="00423794">
        <w:t>: S</w:t>
      </w:r>
      <w:r w:rsidRPr="007402D2">
        <w:t xml:space="preserve">ee </w:t>
      </w:r>
      <w:r w:rsidRPr="001F0C5E">
        <w:rPr>
          <w:i/>
        </w:rPr>
        <w:t>Benefit-Cost Test</w:t>
      </w:r>
      <w:r w:rsidRPr="007402D2">
        <w:t>.</w:t>
      </w:r>
    </w:p>
    <w:p w:rsidR="001A2A28" w:rsidRDefault="001A2A28" w:rsidP="00A83ABC">
      <w:pPr>
        <w:spacing w:after="120"/>
      </w:pPr>
      <w:r w:rsidRPr="00423794">
        <w:rPr>
          <w:b/>
        </w:rPr>
        <w:t xml:space="preserve">Cumulative </w:t>
      </w:r>
      <w:r>
        <w:rPr>
          <w:b/>
        </w:rPr>
        <w:t>Capacity</w:t>
      </w:r>
      <w:r w:rsidRPr="00423794">
        <w:rPr>
          <w:b/>
        </w:rPr>
        <w:t xml:space="preserve"> Savings</w:t>
      </w:r>
      <w:r>
        <w:t xml:space="preserve">: </w:t>
      </w:r>
      <w:r w:rsidRPr="00423794">
        <w:t xml:space="preserve">The summation of </w:t>
      </w:r>
      <w:r>
        <w:t>capacity</w:t>
      </w:r>
      <w:r w:rsidRPr="00423794">
        <w:t xml:space="preserve"> savings </w:t>
      </w:r>
      <w:r>
        <w:t>associated with</w:t>
      </w:r>
      <w:r w:rsidRPr="00423794">
        <w:t xml:space="preserve"> multiple projects or programs over a specified period of time.</w:t>
      </w:r>
    </w:p>
    <w:p w:rsidR="001A2A28" w:rsidRDefault="001A2A28" w:rsidP="00A83ABC">
      <w:pPr>
        <w:spacing w:after="120"/>
      </w:pPr>
      <w:r w:rsidRPr="00AA7FA8">
        <w:rPr>
          <w:b/>
        </w:rPr>
        <w:t>Cumulative</w:t>
      </w:r>
      <w:r>
        <w:rPr>
          <w:b/>
        </w:rPr>
        <w:t>-</w:t>
      </w:r>
      <w:r w:rsidRPr="00AA7FA8">
        <w:rPr>
          <w:b/>
        </w:rPr>
        <w:t>to</w:t>
      </w:r>
      <w:r>
        <w:rPr>
          <w:b/>
        </w:rPr>
        <w:t>-</w:t>
      </w:r>
      <w:r w:rsidRPr="00AA7FA8">
        <w:rPr>
          <w:b/>
        </w:rPr>
        <w:t>Date</w:t>
      </w:r>
      <w:r>
        <w:t>: Beginning June 1, 2009 through the end of the current quarterly reporting period (February 28/29, May 31, August 31, or November 30).</w:t>
      </w:r>
    </w:p>
    <w:p w:rsidR="001A2A28" w:rsidRDefault="001A2A28" w:rsidP="00A83ABC">
      <w:r>
        <w:rPr>
          <w:b/>
        </w:rPr>
        <w:t>Cumulative Portfolio/Program</w:t>
      </w:r>
      <w:r w:rsidRPr="00930554">
        <w:rPr>
          <w:b/>
        </w:rPr>
        <w:t xml:space="preserve"> </w:t>
      </w:r>
      <w:r>
        <w:rPr>
          <w:b/>
        </w:rPr>
        <w:t>Inception-</w:t>
      </w:r>
      <w:r w:rsidRPr="00930554">
        <w:rPr>
          <w:b/>
        </w:rPr>
        <w:t>to</w:t>
      </w:r>
      <w:r>
        <w:rPr>
          <w:b/>
        </w:rPr>
        <w:t>-</w:t>
      </w:r>
      <w:r w:rsidRPr="00930554">
        <w:rPr>
          <w:b/>
        </w:rPr>
        <w:t>Date</w:t>
      </w:r>
      <w:r w:rsidRPr="00930554">
        <w:t xml:space="preserve">: Beginning </w:t>
      </w:r>
      <w:r>
        <w:t>June 1, 2009</w:t>
      </w:r>
      <w:r w:rsidRPr="00930554">
        <w:t xml:space="preserve"> through the end of the current quarter</w:t>
      </w:r>
      <w:r>
        <w:t>ly reporting period</w:t>
      </w:r>
      <w:r w:rsidRPr="00930554">
        <w:t xml:space="preserve"> (February 28/29, May 31</w:t>
      </w:r>
      <w:r>
        <w:t xml:space="preserve">, </w:t>
      </w:r>
      <w:r w:rsidRPr="00930554">
        <w:t>August 31,</w:t>
      </w:r>
      <w:r>
        <w:t xml:space="preserve"> or</w:t>
      </w:r>
      <w:r w:rsidRPr="00930554">
        <w:t xml:space="preserve"> November 30).</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D –</w:t>
      </w:r>
    </w:p>
    <w:p w:rsidR="001A2A28" w:rsidRDefault="001A2A28" w:rsidP="00A83ABC">
      <w:pPr>
        <w:spacing w:after="120"/>
      </w:pPr>
      <w:r w:rsidRPr="00AA5359">
        <w:rPr>
          <w:b/>
        </w:rPr>
        <w:t>Defensibility</w:t>
      </w:r>
      <w:r w:rsidRPr="00AA5359">
        <w:t xml:space="preserve">: The ability of evaluation results to stand up to scientific scrutiny. Defensibility is based on assessments by experts of the evaluation’s validity, reliability, and accuracy. Under Act 129, it is the role of the </w:t>
      </w:r>
      <w:r w:rsidR="0045410E">
        <w:t>SWE Team</w:t>
      </w:r>
      <w:r w:rsidRPr="00AA5359">
        <w:t xml:space="preserve"> to determine the defensibility of the verified savings estimates reported by each of the </w:t>
      </w:r>
      <w:r>
        <w:t>EDCs</w:t>
      </w:r>
      <w:r w:rsidRPr="00AA5359">
        <w:t>.</w:t>
      </w:r>
      <w:r>
        <w:t xml:space="preserve"> </w:t>
      </w:r>
    </w:p>
    <w:p w:rsidR="001A2A28" w:rsidRPr="0090758B" w:rsidRDefault="001A2A28" w:rsidP="00A83ABC">
      <w:pPr>
        <w:spacing w:after="120"/>
      </w:pPr>
      <w:r w:rsidRPr="00CA3703">
        <w:rPr>
          <w:b/>
        </w:rPr>
        <w:t>Demand</w:t>
      </w:r>
      <w:r>
        <w:t xml:space="preserve">: </w:t>
      </w:r>
      <w:r w:rsidRPr="00423794">
        <w:t xml:space="preserve">The rate of energy flow. Demand usually refers to </w:t>
      </w:r>
      <w:r>
        <w:t>t</w:t>
      </w:r>
      <w:r w:rsidRPr="00984883">
        <w:t xml:space="preserve">he amount of electric energy used by a customer or piece of equipment </w:t>
      </w:r>
      <w:r>
        <w:t>over</w:t>
      </w:r>
      <w:r w:rsidRPr="00984883">
        <w:t xml:space="preserve"> a </w:t>
      </w:r>
      <w:r>
        <w:t xml:space="preserve">defined </w:t>
      </w:r>
      <w:r w:rsidRPr="00984883">
        <w:t>time</w:t>
      </w:r>
      <w:r>
        <w:t xml:space="preserve"> interval (e.g., 15 minutes)</w:t>
      </w:r>
      <w:r w:rsidRPr="00984883">
        <w:t xml:space="preserve">, expressed in </w:t>
      </w:r>
      <w:r w:rsidRPr="00423794">
        <w:t xml:space="preserve">kW </w:t>
      </w:r>
      <w:r>
        <w:t>(</w:t>
      </w:r>
      <w:r w:rsidRPr="00423794">
        <w:t>equals kWh/h)</w:t>
      </w:r>
      <w:r>
        <w:t xml:space="preserve">. Demand </w:t>
      </w:r>
      <w:r w:rsidRPr="00423794">
        <w:t xml:space="preserve">can also refer to natural gas usage </w:t>
      </w:r>
      <w:r>
        <w:t>over</w:t>
      </w:r>
      <w:r w:rsidRPr="00984883">
        <w:t xml:space="preserve"> a </w:t>
      </w:r>
      <w:r>
        <w:t xml:space="preserve">defined </w:t>
      </w:r>
      <w:r w:rsidRPr="00984883">
        <w:t>time</w:t>
      </w:r>
      <w:r>
        <w:t xml:space="preserve"> interval</w:t>
      </w:r>
      <w:r w:rsidRPr="00423794">
        <w:t>, usually as Btu/hr, kBtu/hr, therms/day</w:t>
      </w:r>
      <w:r>
        <w:t>,</w:t>
      </w:r>
      <w:r w:rsidRPr="00423794">
        <w:t xml:space="preserve"> </w:t>
      </w:r>
      <w:r w:rsidRPr="0090758B">
        <w:t xml:space="preserve">or ccf/day. </w:t>
      </w:r>
    </w:p>
    <w:p w:rsidR="001A2A28" w:rsidRPr="00670DF2" w:rsidRDefault="001A2A28" w:rsidP="00A83ABC">
      <w:pPr>
        <w:spacing w:after="120"/>
      </w:pPr>
      <w:r w:rsidRPr="0090758B">
        <w:rPr>
          <w:b/>
        </w:rPr>
        <w:t>Demand Reduction</w:t>
      </w:r>
      <w:r w:rsidRPr="0090758B">
        <w:t>: See</w:t>
      </w:r>
      <w:r>
        <w:t xml:space="preserve"> </w:t>
      </w:r>
      <w:r w:rsidRPr="0090758B">
        <w:rPr>
          <w:i/>
        </w:rPr>
        <w:t>Demand Savings</w:t>
      </w:r>
      <w:r>
        <w:t>.</w:t>
      </w:r>
    </w:p>
    <w:p w:rsidR="001A2A28" w:rsidRDefault="000F4A74" w:rsidP="00A83ABC">
      <w:pPr>
        <w:spacing w:after="120"/>
      </w:pPr>
      <w:r>
        <w:rPr>
          <w:b/>
        </w:rPr>
        <w:t>Demand Response (DR</w:t>
      </w:r>
      <w:r w:rsidR="007607F3">
        <w:rPr>
          <w:b/>
        </w:rPr>
        <w:t>)</w:t>
      </w:r>
      <w:r w:rsidR="001A2A28" w:rsidRPr="00AA5359">
        <w:t>:</w:t>
      </w:r>
      <w:r w:rsidR="001A2A28" w:rsidRPr="00C42541">
        <w:rPr>
          <w:b/>
        </w:rPr>
        <w:t xml:space="preserve"> </w:t>
      </w:r>
      <w:r w:rsidR="001A2A28">
        <w:t xml:space="preserve">A customer’s voluntary, short-term reduction in electricity use in response to control-room dispatch. DR resources are dispatched during high coincident system demand in an effort to enhance system reliability, to reflect market conditions and pricing, to support infrastructure </w:t>
      </w:r>
      <w:r w:rsidR="001A2A28">
        <w:lastRenderedPageBreak/>
        <w:t>optimization, or to defer the need to build system infrastructure. In exchange for customer compensation, DR programs may include contractually obligated or voluntary curtailment, direct load control, and pricing strategies.</w:t>
      </w:r>
    </w:p>
    <w:p w:rsidR="001A2A28" w:rsidRDefault="001A2A28" w:rsidP="00A83ABC">
      <w:pPr>
        <w:spacing w:after="120"/>
      </w:pPr>
      <w:r w:rsidRPr="00CA3703">
        <w:rPr>
          <w:b/>
        </w:rPr>
        <w:t>Demand</w:t>
      </w:r>
      <w:r>
        <w:rPr>
          <w:b/>
        </w:rPr>
        <w:t>-</w:t>
      </w:r>
      <w:r w:rsidR="007607F3">
        <w:rPr>
          <w:b/>
        </w:rPr>
        <w:t>S</w:t>
      </w:r>
      <w:r w:rsidRPr="00CA3703">
        <w:rPr>
          <w:b/>
        </w:rPr>
        <w:t>ide Management</w:t>
      </w:r>
      <w:r>
        <w:t xml:space="preserve">: </w:t>
      </w:r>
      <w:r w:rsidRPr="00423794">
        <w:t xml:space="preserve">Strategies used to manage energy demand including </w:t>
      </w:r>
      <w:r w:rsidR="007607F3">
        <w:t>DR</w:t>
      </w:r>
      <w:r>
        <w:t xml:space="preserve">, </w:t>
      </w:r>
      <w:r w:rsidRPr="00423794">
        <w:t>energy efficiency, load management, fuel substitution</w:t>
      </w:r>
      <w:r>
        <w:t>,</w:t>
      </w:r>
      <w:r w:rsidRPr="00423794">
        <w:t xml:space="preserve"> and load building.</w:t>
      </w:r>
    </w:p>
    <w:p w:rsidR="001A2A28" w:rsidRDefault="001A2A28" w:rsidP="00A83ABC">
      <w:pPr>
        <w:spacing w:after="120"/>
      </w:pPr>
      <w:r>
        <w:rPr>
          <w:b/>
        </w:rPr>
        <w:t>Direct Expansion</w:t>
      </w:r>
      <w:r w:rsidR="00281B7F">
        <w:rPr>
          <w:b/>
        </w:rPr>
        <w:t xml:space="preserve"> (DX</w:t>
      </w:r>
      <w:r>
        <w:rPr>
          <w:b/>
        </w:rPr>
        <w:t>) Cooling</w:t>
      </w:r>
      <w:r w:rsidRPr="00880C74">
        <w:rPr>
          <w:b/>
        </w:rPr>
        <w:t>:</w:t>
      </w:r>
      <w:r>
        <w:rPr>
          <w:b/>
        </w:rPr>
        <w:t xml:space="preserve"> </w:t>
      </w:r>
      <w:r>
        <w:t xml:space="preserve">The predominant type of air conditioning in residential and small commercial businesses. It uses a refrigerant vapor expansion and compression cycle to directly cool the supply air to an occupied space.  </w:t>
      </w:r>
    </w:p>
    <w:p w:rsidR="001A2A28" w:rsidRPr="00880C74" w:rsidRDefault="001A2A28" w:rsidP="00A83ABC">
      <w:pPr>
        <w:rPr>
          <w:b/>
        </w:rPr>
      </w:pPr>
      <w:r w:rsidRPr="00880C74">
        <w:rPr>
          <w:b/>
        </w:rPr>
        <w:t>Distributed Generat</w:t>
      </w:r>
      <w:r>
        <w:rPr>
          <w:b/>
        </w:rPr>
        <w:t>or (DG</w:t>
      </w:r>
      <w:r w:rsidRPr="00880C74">
        <w:rPr>
          <w:b/>
        </w:rPr>
        <w:t xml:space="preserve">): </w:t>
      </w:r>
      <w:r>
        <w:t> A generator that is located close to the particular load that it is intended to serve. General, but non-exclusive characteristics of these generators include: an operating strategy that supports the served load; and interconnection to a distribution or sub-transmission system (138 kV or less).</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E –</w:t>
      </w:r>
    </w:p>
    <w:p w:rsidR="008435A8" w:rsidRPr="008435A8" w:rsidRDefault="008435A8" w:rsidP="00A83ABC">
      <w:pPr>
        <w:spacing w:after="120"/>
        <w:rPr>
          <w:lang w:val="en"/>
        </w:rPr>
      </w:pPr>
    </w:p>
    <w:p w:rsidR="006D6418" w:rsidRDefault="006D6418" w:rsidP="006D6418">
      <w:pPr>
        <w:spacing w:after="120"/>
        <w:rPr>
          <w:rFonts w:cs="Times New Roman"/>
        </w:rPr>
      </w:pPr>
      <w:r w:rsidRPr="005B6A87">
        <w:rPr>
          <w:rFonts w:cs="Times New Roman"/>
          <w:b/>
        </w:rPr>
        <w:t>EE&amp;C</w:t>
      </w:r>
      <w:r w:rsidRPr="005B6A87">
        <w:rPr>
          <w:rFonts w:cs="Times New Roman"/>
        </w:rPr>
        <w:t>: Energy Efficiency and Conservation</w:t>
      </w:r>
    </w:p>
    <w:p w:rsidR="006D6418" w:rsidRDefault="006D6418" w:rsidP="006D6418">
      <w:pPr>
        <w:spacing w:after="120"/>
        <w:rPr>
          <w:b/>
        </w:rPr>
      </w:pPr>
      <w:r w:rsidRPr="005B6A87">
        <w:rPr>
          <w:rFonts w:cs="Times New Roman"/>
          <w:b/>
        </w:rPr>
        <w:t>EE&amp;C Plan</w:t>
      </w:r>
      <w:r w:rsidRPr="005B6A87">
        <w:rPr>
          <w:rFonts w:cs="Times New Roman"/>
        </w:rPr>
        <w:t>: Energy Efficiency and Conservation Plan</w:t>
      </w:r>
      <w:r w:rsidRPr="008435A8">
        <w:rPr>
          <w:b/>
        </w:rPr>
        <w:t xml:space="preserve"> </w:t>
      </w:r>
    </w:p>
    <w:p w:rsidR="001A2A28" w:rsidRDefault="001A2A28" w:rsidP="006D6418">
      <w:pPr>
        <w:spacing w:after="120"/>
      </w:pPr>
      <w:r w:rsidRPr="008435A8">
        <w:rPr>
          <w:b/>
        </w:rPr>
        <w:t>Effective Load Carrying Capacity</w:t>
      </w:r>
      <w:r w:rsidR="00227B43">
        <w:rPr>
          <w:b/>
        </w:rPr>
        <w:t xml:space="preserve"> (</w:t>
      </w:r>
      <w:r w:rsidR="00227B43" w:rsidRPr="008435A8">
        <w:rPr>
          <w:b/>
        </w:rPr>
        <w:t>ELCC</w:t>
      </w:r>
      <w:r w:rsidR="00227B43">
        <w:rPr>
          <w:b/>
        </w:rPr>
        <w:t>)</w:t>
      </w:r>
      <w:r w:rsidRPr="008435A8">
        <w:rPr>
          <w:b/>
        </w:rPr>
        <w:t xml:space="preserve">: </w:t>
      </w:r>
      <w:r w:rsidRPr="008435A8">
        <w:t>A measure of the relative importance of hours of availability for</w:t>
      </w:r>
      <w:r>
        <w:t xml:space="preserve"> DR dispatch. Hours where load is highest have the highest contribution to ELCC.</w:t>
      </w:r>
    </w:p>
    <w:p w:rsidR="001A2A28" w:rsidRPr="009F669E" w:rsidRDefault="001A2A28" w:rsidP="00A83ABC">
      <w:pPr>
        <w:spacing w:after="120"/>
      </w:pPr>
      <w:r w:rsidRPr="009F669E">
        <w:rPr>
          <w:b/>
        </w:rPr>
        <w:t xml:space="preserve">Effective </w:t>
      </w:r>
      <w:r>
        <w:rPr>
          <w:b/>
        </w:rPr>
        <w:t>U</w:t>
      </w:r>
      <w:r w:rsidRPr="009F669E">
        <w:rPr>
          <w:b/>
        </w:rPr>
        <w:t xml:space="preserve">seful </w:t>
      </w:r>
      <w:r>
        <w:rPr>
          <w:b/>
        </w:rPr>
        <w:t>L</w:t>
      </w:r>
      <w:r w:rsidRPr="009F669E">
        <w:rPr>
          <w:b/>
        </w:rPr>
        <w:t>ife</w:t>
      </w:r>
      <w:r w:rsidRPr="009F669E">
        <w:t xml:space="preserve">: An estimate of the median number of years that efficiency measures installed under a program are still in place and operable. For </w:t>
      </w:r>
      <w:r w:rsidR="007607F3">
        <w:t>DR</w:t>
      </w:r>
      <w:r>
        <w:t xml:space="preserve"> programs</w:t>
      </w:r>
      <w:r w:rsidRPr="009F669E">
        <w:t xml:space="preserve"> implemented under Act 129, </w:t>
      </w:r>
      <w:r>
        <w:t xml:space="preserve">the 2013 order specified as a 10 year equipment life for </w:t>
      </w:r>
      <w:r w:rsidR="007607F3">
        <w:t>DR</w:t>
      </w:r>
      <w:r w:rsidR="000534CD">
        <w:t xml:space="preserve"> </w:t>
      </w:r>
      <w:r>
        <w:t>infrastructure</w:t>
      </w:r>
      <w:r w:rsidRPr="009F669E">
        <w:t>.</w:t>
      </w:r>
      <w:r>
        <w:t xml:space="preserve"> </w:t>
      </w:r>
    </w:p>
    <w:p w:rsidR="001A2A28" w:rsidRPr="009F669E" w:rsidRDefault="001A2A28" w:rsidP="00A83ABC">
      <w:pPr>
        <w:spacing w:after="120"/>
      </w:pPr>
      <w:r w:rsidRPr="009F669E">
        <w:rPr>
          <w:b/>
        </w:rPr>
        <w:t>Electric Distribution Company (EDC)</w:t>
      </w:r>
      <w:r w:rsidRPr="009F669E">
        <w:t xml:space="preserve">: In reference to Act 129, </w:t>
      </w:r>
      <w:r>
        <w:t>there are</w:t>
      </w:r>
      <w:r w:rsidRPr="009F669E">
        <w:t xml:space="preserve"> seven EDCs with at least 100,000 customers </w:t>
      </w:r>
      <w:r>
        <w:t xml:space="preserve">that are </w:t>
      </w:r>
      <w:r w:rsidRPr="009F669E">
        <w:t xml:space="preserve">required to adopt a plan to reduce energy and demand consumption within </w:t>
      </w:r>
      <w:r>
        <w:t>their</w:t>
      </w:r>
      <w:r w:rsidRPr="009F669E">
        <w:t xml:space="preserve"> service territory in accordance with 66 Pa. C.S. § 2608. The seven EDCs include: </w:t>
      </w:r>
      <w:r w:rsidR="005A1EE3">
        <w:t>West Penn Power</w:t>
      </w:r>
      <w:r w:rsidRPr="009F669E">
        <w:t>, Duquesne Light, Metropolitan Edison Company, Pennsylvania Electric Company, Pennsylvania Power Company, PECO Energy Company, and PPL Electric Utilities.</w:t>
      </w:r>
      <w:r>
        <w:t xml:space="preserve"> </w:t>
      </w:r>
    </w:p>
    <w:p w:rsidR="001A2A28" w:rsidRPr="009F669E" w:rsidRDefault="001A2A28" w:rsidP="00A83ABC">
      <w:pPr>
        <w:spacing w:after="120"/>
      </w:pPr>
      <w:r w:rsidRPr="009F669E">
        <w:rPr>
          <w:b/>
        </w:rPr>
        <w:t xml:space="preserve">Electric Distribution Company </w:t>
      </w:r>
      <w:r>
        <w:rPr>
          <w:b/>
        </w:rPr>
        <w:t xml:space="preserve">(EDC) </w:t>
      </w:r>
      <w:r w:rsidRPr="009F669E">
        <w:rPr>
          <w:b/>
        </w:rPr>
        <w:t>Evaluation Costs</w:t>
      </w:r>
      <w:r w:rsidRPr="009F669E">
        <w:t xml:space="preserve">: Expenses incurred by the EDC pertaining to </w:t>
      </w:r>
      <w:r>
        <w:t>efficiency monitoring and verification</w:t>
      </w:r>
      <w:r w:rsidRPr="009F669E">
        <w:t xml:space="preserve"> activities. This includes expenses </w:t>
      </w:r>
      <w:r>
        <w:t>for</w:t>
      </w:r>
      <w:r w:rsidRPr="009F669E">
        <w:t xml:space="preserve"> contractors, metering equipment, evaluation software, etc.</w:t>
      </w:r>
    </w:p>
    <w:p w:rsidR="001A2A28" w:rsidRPr="009F669E" w:rsidRDefault="001A2A28" w:rsidP="00A83ABC">
      <w:pPr>
        <w:spacing w:after="120"/>
      </w:pPr>
      <w:r w:rsidRPr="009F669E">
        <w:rPr>
          <w:b/>
        </w:rPr>
        <w:t xml:space="preserve">Electric Distribution Company </w:t>
      </w:r>
      <w:r>
        <w:rPr>
          <w:b/>
        </w:rPr>
        <w:t xml:space="preserve">(EDC) </w:t>
      </w:r>
      <w:r w:rsidRPr="009F669E">
        <w:rPr>
          <w:b/>
        </w:rPr>
        <w:t>Implementation Costs</w:t>
      </w:r>
      <w:r w:rsidRPr="009F669E">
        <w:t xml:space="preserve">: Expenses incurred by the EDC pertaining to the implementation of Act 129 programs approved in their respective </w:t>
      </w:r>
      <w:r>
        <w:t>Energy Efficiency and Conservation</w:t>
      </w:r>
      <w:r w:rsidRPr="009F669E">
        <w:t xml:space="preserve"> Plans. This includes expenses </w:t>
      </w:r>
      <w:r>
        <w:t>for</w:t>
      </w:r>
      <w:r w:rsidRPr="009F669E">
        <w:t xml:space="preserve"> payments to </w:t>
      </w:r>
      <w:r>
        <w:t>conservation service providers</w:t>
      </w:r>
      <w:r w:rsidRPr="009F669E">
        <w:t xml:space="preserve">, marketing expenses, </w:t>
      </w:r>
      <w:r>
        <w:t xml:space="preserve">rebates, </w:t>
      </w:r>
      <w:r w:rsidRPr="009F669E">
        <w:t>etc.</w:t>
      </w:r>
    </w:p>
    <w:p w:rsidR="001A2A28" w:rsidRPr="00670DF2" w:rsidRDefault="001A2A28" w:rsidP="00A83ABC">
      <w:pPr>
        <w:spacing w:after="120"/>
      </w:pPr>
      <w:r w:rsidRPr="009F669E">
        <w:rPr>
          <w:b/>
        </w:rPr>
        <w:t>Electric Distribution Company</w:t>
      </w:r>
      <w:r>
        <w:rPr>
          <w:b/>
        </w:rPr>
        <w:t xml:space="preserve"> (EDC)</w:t>
      </w:r>
      <w:r w:rsidRPr="009F669E">
        <w:rPr>
          <w:b/>
        </w:rPr>
        <w:t xml:space="preserve"> Incentive Costs</w:t>
      </w:r>
      <w:r w:rsidRPr="009F669E">
        <w:t xml:space="preserve">: Payments by the </w:t>
      </w:r>
      <w:r>
        <w:t>Electric Distribution Company</w:t>
      </w:r>
      <w:r w:rsidRPr="009F669E">
        <w:t xml:space="preserve"> to a customer participating in an </w:t>
      </w:r>
      <w:r>
        <w:t>Energy Efficiency and Conservation P</w:t>
      </w:r>
      <w:r w:rsidRPr="009F669E">
        <w:t xml:space="preserve">rogram approved by the Commission. This may include cash payments for </w:t>
      </w:r>
      <w:r>
        <w:t>participation in programs</w:t>
      </w:r>
      <w:r w:rsidRPr="009F669E">
        <w:t>.</w:t>
      </w:r>
    </w:p>
    <w:p w:rsidR="001A2A28" w:rsidRDefault="006D6418" w:rsidP="00A83ABC">
      <w:pPr>
        <w:spacing w:after="120"/>
      </w:pPr>
      <w:r w:rsidRPr="008435A8">
        <w:rPr>
          <w:b/>
        </w:rPr>
        <w:t>Energy Efficiency</w:t>
      </w:r>
      <w:r>
        <w:rPr>
          <w:b/>
        </w:rPr>
        <w:t xml:space="preserve"> (EE</w:t>
      </w:r>
      <w:r w:rsidRPr="008435A8">
        <w:rPr>
          <w:b/>
        </w:rPr>
        <w:t xml:space="preserve">): </w:t>
      </w:r>
      <w:r w:rsidRPr="008435A8">
        <w:rPr>
          <w:lang w:val="en"/>
        </w:rPr>
        <w:t>Refers to programs that are aimed at reducing the energy used by specific end-use devices and systems, typically without affecting the services provided. These programs reduce overall electricity consumption (reported in megawatt</w:t>
      </w:r>
      <w:r>
        <w:rPr>
          <w:lang w:val="en"/>
        </w:rPr>
        <w:t>-</w:t>
      </w:r>
      <w:r w:rsidRPr="008435A8">
        <w:rPr>
          <w:lang w:val="en"/>
        </w:rPr>
        <w:t xml:space="preserve">hours), often without explicit consideration for the timing of program-induced savings. Such savings are generally achieved by substituting technologically more advanced equipment to produce the same level of end-use services (e.g. lighting, heating, motor drive) with less electricity. Examples include high-efficiency appliances, efficient lighting </w:t>
      </w:r>
      <w:r w:rsidRPr="008435A8">
        <w:rPr>
          <w:lang w:val="en"/>
        </w:rPr>
        <w:lastRenderedPageBreak/>
        <w:t>programs, high-efficiency heating, ventilating and air conditioning (HVAC) systems or control modifications, efficient building design, advanced electric motor drives, and heat recovery systems.”</w:t>
      </w:r>
      <w:r w:rsidR="001A2A28" w:rsidRPr="007402D2">
        <w:t xml:space="preserve"> </w:t>
      </w:r>
    </w:p>
    <w:p w:rsidR="005B6A87" w:rsidRPr="005B6A87" w:rsidRDefault="005B6A87" w:rsidP="00A83ABC">
      <w:pPr>
        <w:spacing w:after="120"/>
        <w:rPr>
          <w:rFonts w:cs="Times New Roman"/>
        </w:rPr>
      </w:pPr>
    </w:p>
    <w:p w:rsidR="001A2A28" w:rsidRPr="007402D2" w:rsidRDefault="001A2A28" w:rsidP="00A83ABC">
      <w:pPr>
        <w:spacing w:after="120"/>
      </w:pPr>
      <w:r w:rsidRPr="00B65FBD">
        <w:rPr>
          <w:b/>
        </w:rPr>
        <w:t>Energy Efficiency Measure</w:t>
      </w:r>
      <w:r>
        <w:rPr>
          <w:b/>
        </w:rPr>
        <w:t xml:space="preserve">: </w:t>
      </w:r>
      <w:r w:rsidRPr="00B65FBD">
        <w:t>An i</w:t>
      </w:r>
      <w:r w:rsidRPr="007402D2">
        <w:t xml:space="preserve">nstalled piece of equipment or </w:t>
      </w:r>
      <w:r>
        <w:t xml:space="preserve">a </w:t>
      </w:r>
      <w:r w:rsidRPr="007402D2">
        <w:t xml:space="preserve">system, modification of equipment systems, or </w:t>
      </w:r>
      <w:r>
        <w:t xml:space="preserve">modified </w:t>
      </w:r>
      <w:r w:rsidRPr="007402D2">
        <w:t xml:space="preserve">operations </w:t>
      </w:r>
      <w:r>
        <w:t xml:space="preserve">in </w:t>
      </w:r>
      <w:r w:rsidRPr="007402D2">
        <w:t xml:space="preserve">customer facilities that reduce the total amount of electrical or gas energy and </w:t>
      </w:r>
      <w:r>
        <w:t xml:space="preserve">the </w:t>
      </w:r>
      <w:r w:rsidRPr="007402D2">
        <w:t xml:space="preserve">capacity that would otherwise have been needed to deliver an equivalent or improved level of </w:t>
      </w:r>
      <w:r>
        <w:t xml:space="preserve">comfort or energy </w:t>
      </w:r>
      <w:r w:rsidRPr="007402D2">
        <w:t>service.</w:t>
      </w:r>
    </w:p>
    <w:p w:rsidR="001A2A28" w:rsidRDefault="001A2A28" w:rsidP="00A83ABC">
      <w:pPr>
        <w:spacing w:after="120"/>
      </w:pPr>
      <w:r w:rsidRPr="00B65FBD">
        <w:rPr>
          <w:b/>
        </w:rPr>
        <w:t>Energy Savings</w:t>
      </w:r>
      <w:r w:rsidRPr="00B65FBD">
        <w:t xml:space="preserve">: </w:t>
      </w:r>
      <w:r>
        <w:t>A r</w:t>
      </w:r>
      <w:r w:rsidRPr="00B65FBD">
        <w:t>eduction in electricity use (kWh) or in fossil fuel use in th</w:t>
      </w:r>
      <w:r w:rsidRPr="007402D2">
        <w:t>ermal unit(s).</w:t>
      </w:r>
    </w:p>
    <w:p w:rsidR="001A2A28" w:rsidRPr="00851FC5" w:rsidRDefault="001A2A28" w:rsidP="00A83ABC">
      <w:pPr>
        <w:spacing w:after="120"/>
      </w:pPr>
      <w:r w:rsidRPr="00B65FBD">
        <w:rPr>
          <w:b/>
        </w:rPr>
        <w:t>Evaluation</w:t>
      </w:r>
      <w:r>
        <w:t>: An</w:t>
      </w:r>
      <w:r w:rsidRPr="00851FC5">
        <w:t xml:space="preserve"> assessment </w:t>
      </w:r>
      <w:r>
        <w:t>of a demand-side management program or portfolio that may include the following: a determination of</w:t>
      </w:r>
      <w:r w:rsidRPr="00851FC5">
        <w:t xml:space="preserve"> the effects of a program</w:t>
      </w:r>
      <w:r>
        <w:t>;</w:t>
      </w:r>
      <w:r w:rsidRPr="00851FC5">
        <w:t xml:space="preserve"> </w:t>
      </w:r>
      <w:r>
        <w:t>an assessment of</w:t>
      </w:r>
      <w:r w:rsidRPr="00851FC5">
        <w:t xml:space="preserve"> program performance</w:t>
      </w:r>
      <w:r>
        <w:t>; market assessments;</w:t>
      </w:r>
      <w:r w:rsidRPr="00851FC5">
        <w:t xml:space="preserve"> program-induced changes </w:t>
      </w:r>
      <w:r>
        <w:t>to electricity uses;</w:t>
      </w:r>
      <w:r w:rsidRPr="00851FC5">
        <w:t xml:space="preserve"> </w:t>
      </w:r>
      <w:r>
        <w:t xml:space="preserve">estimates of </w:t>
      </w:r>
      <w:r w:rsidRPr="00851FC5">
        <w:t>demand or energy savings</w:t>
      </w:r>
      <w:r>
        <w:t>;</w:t>
      </w:r>
      <w:r w:rsidRPr="00851FC5">
        <w:t xml:space="preserve"> </w:t>
      </w:r>
      <w:r>
        <w:t>and/or</w:t>
      </w:r>
      <w:r w:rsidRPr="00851FC5">
        <w:t xml:space="preserve"> program cost</w:t>
      </w:r>
      <w:r w:rsidR="00CE0565">
        <w:t>-</w:t>
      </w:r>
      <w:r w:rsidRPr="00851FC5">
        <w:t>effectiveness.</w:t>
      </w:r>
      <w:r>
        <w:t xml:space="preserve"> </w:t>
      </w:r>
    </w:p>
    <w:p w:rsidR="001A2A28" w:rsidRPr="00851FC5" w:rsidRDefault="001A2A28" w:rsidP="00A83ABC">
      <w:pPr>
        <w:spacing w:after="120"/>
      </w:pPr>
      <w:r w:rsidRPr="00123C18">
        <w:rPr>
          <w:b/>
        </w:rPr>
        <w:t>Ex ante</w:t>
      </w:r>
      <w:r w:rsidRPr="00B65FBD">
        <w:rPr>
          <w:b/>
        </w:rPr>
        <w:t xml:space="preserve"> Savings Estimate</w:t>
      </w:r>
      <w:r>
        <w:t>: A quantitative forecast of</w:t>
      </w:r>
      <w:r w:rsidRPr="00851FC5">
        <w:t xml:space="preserve"> savings used for program and portfolio planning purpos</w:t>
      </w:r>
      <w:r>
        <w:t>es.</w:t>
      </w:r>
    </w:p>
    <w:p w:rsidR="001A2A28" w:rsidRDefault="001A2A28" w:rsidP="00A83ABC">
      <w:r w:rsidRPr="00123C18">
        <w:rPr>
          <w:b/>
        </w:rPr>
        <w:t>Ex post</w:t>
      </w:r>
      <w:r w:rsidRPr="00B65FBD">
        <w:rPr>
          <w:b/>
        </w:rPr>
        <w:t xml:space="preserve"> Savings Estimate</w:t>
      </w:r>
      <w:r>
        <w:t xml:space="preserve">: </w:t>
      </w:r>
      <w:r w:rsidRPr="00AA5359">
        <w:t>Savings estimate reported by an evaluator after the energy impact evaluation has been completed.</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F –</w:t>
      </w:r>
    </w:p>
    <w:p w:rsidR="001A2A28" w:rsidRPr="00C84324" w:rsidRDefault="001A2A28" w:rsidP="00A83ABC">
      <w:pPr>
        <w:autoSpaceDE w:val="0"/>
        <w:autoSpaceDN w:val="0"/>
        <w:adjustRightInd w:val="0"/>
        <w:rPr>
          <w:rFonts w:cs="Helv"/>
          <w:color w:val="0000FF"/>
        </w:rPr>
      </w:pPr>
      <w:r>
        <w:rPr>
          <w:b/>
        </w:rPr>
        <w:t>Five Coincident Peak</w:t>
      </w:r>
      <w:r w:rsidR="00911C18">
        <w:rPr>
          <w:b/>
        </w:rPr>
        <w:t xml:space="preserve"> (5CP</w:t>
      </w:r>
      <w:r>
        <w:rPr>
          <w:b/>
        </w:rPr>
        <w:t>)</w:t>
      </w:r>
      <w:r w:rsidRPr="00C84324">
        <w:rPr>
          <w:b/>
        </w:rPr>
        <w:t>:</w:t>
      </w:r>
      <w:r>
        <w:rPr>
          <w:b/>
        </w:rPr>
        <w:t xml:space="preserve"> </w:t>
      </w:r>
      <w:r>
        <w:t>A mechanism used by some electric generation suppliers to allocate generation capacity costs to customers. The 5CP are the five hours of highest system demand for a given delivery year. The five hours must occur on five different days.</w:t>
      </w:r>
      <w:r w:rsidRPr="00C84324">
        <w:rPr>
          <w:b/>
        </w:rPr>
        <w:t xml:space="preserve"> </w:t>
      </w:r>
    </w:p>
    <w:p w:rsidR="001A2A28" w:rsidRDefault="001A2A28" w:rsidP="00A83ABC"/>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H, I –</w:t>
      </w:r>
    </w:p>
    <w:p w:rsidR="001A2A28" w:rsidRPr="00851FC5" w:rsidRDefault="001A2A28" w:rsidP="00A83ABC">
      <w:pPr>
        <w:spacing w:after="120"/>
      </w:pPr>
      <w:r w:rsidRPr="00B65FBD">
        <w:rPr>
          <w:b/>
        </w:rPr>
        <w:t>Impact Evaluation</w:t>
      </w:r>
      <w:r>
        <w:t xml:space="preserve">: </w:t>
      </w:r>
      <w:r w:rsidRPr="00851FC5">
        <w:t>An evaluation of the program-specific</w:t>
      </w:r>
      <w:r>
        <w:t xml:space="preserve">, </w:t>
      </w:r>
      <w:r w:rsidRPr="00851FC5">
        <w:t xml:space="preserve">directly induced </w:t>
      </w:r>
      <w:r>
        <w:t>quantitative changes (kWh, kW, and therms</w:t>
      </w:r>
      <w:r w:rsidRPr="00851FC5">
        <w:t>) attributable t</w:t>
      </w:r>
      <w:r>
        <w:t xml:space="preserve">o efficiency </w:t>
      </w:r>
      <w:r w:rsidR="007607F3">
        <w:t>DR</w:t>
      </w:r>
      <w:r>
        <w:t xml:space="preserve"> program.</w:t>
      </w:r>
    </w:p>
    <w:p w:rsidR="001A2A28" w:rsidRDefault="001A2A28" w:rsidP="00A83ABC">
      <w:r>
        <w:rPr>
          <w:b/>
        </w:rPr>
        <w:t>Incremental Quarter:</w:t>
      </w:r>
      <w:r>
        <w:t xml:space="preserve"> The time period of one reporting quarter; typically used to reference the additional results accrued during the reporting quarter.</w:t>
      </w:r>
    </w:p>
    <w:p w:rsidR="005A1EE3" w:rsidRPr="00A672BF" w:rsidRDefault="005A1EE3" w:rsidP="00A83ABC"/>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J, K –</w:t>
      </w:r>
    </w:p>
    <w:p w:rsidR="001A2A28" w:rsidRDefault="001A2A28" w:rsidP="00A83ABC">
      <w:pPr>
        <w:spacing w:after="120"/>
      </w:pPr>
      <w:r w:rsidRPr="00B65FBD">
        <w:rPr>
          <w:b/>
        </w:rPr>
        <w:t>Kilowatt (kW)</w:t>
      </w:r>
      <w:r>
        <w:t xml:space="preserve">: </w:t>
      </w:r>
      <w:r w:rsidRPr="00C46FFE">
        <w:t>A measure of the rate of power used during a pre</w:t>
      </w:r>
      <w:r>
        <w:t>-</w:t>
      </w:r>
      <w:r w:rsidRPr="00C46FFE">
        <w:t>set time</w:t>
      </w:r>
      <w:r>
        <w:t xml:space="preserve"> period (e.g., </w:t>
      </w:r>
      <w:r w:rsidRPr="00C46FFE">
        <w:t>minutes, hours, days</w:t>
      </w:r>
      <w:r>
        <w:t>,</w:t>
      </w:r>
      <w:r w:rsidRPr="00C46FFE">
        <w:t xml:space="preserve"> months</w:t>
      </w:r>
      <w:r>
        <w:t>)</w:t>
      </w:r>
      <w:r w:rsidRPr="00C46FFE">
        <w:t xml:space="preserve"> equal to 1,000 </w:t>
      </w:r>
      <w:r>
        <w:t>W</w:t>
      </w:r>
      <w:r w:rsidRPr="00C46FFE">
        <w:t>atts.</w:t>
      </w:r>
      <w:r>
        <w:t xml:space="preserve"> </w:t>
      </w:r>
    </w:p>
    <w:p w:rsidR="001A2A28" w:rsidRDefault="001A2A28" w:rsidP="00A83ABC">
      <w:r w:rsidRPr="00B65FBD">
        <w:rPr>
          <w:b/>
        </w:rPr>
        <w:t>Kilowatt-Hour (kWh)</w:t>
      </w:r>
      <w:r>
        <w:t xml:space="preserve">: </w:t>
      </w:r>
      <w:r w:rsidRPr="00C46FFE">
        <w:t xml:space="preserve">A common unit of electric energy; </w:t>
      </w:r>
      <w:r>
        <w:t>one</w:t>
      </w:r>
      <w:r w:rsidRPr="00C46FFE">
        <w:t xml:space="preserve"> kilowatt-hour is numerically equal to 1,000 </w:t>
      </w:r>
      <w:r>
        <w:t>W</w:t>
      </w:r>
      <w:r w:rsidRPr="00C46FFE">
        <w:t>atts u</w:t>
      </w:r>
      <w:r>
        <w:t>sed for one hour.</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L –</w:t>
      </w:r>
    </w:p>
    <w:p w:rsidR="001A2A28" w:rsidRPr="00670DF2" w:rsidRDefault="001A2A28" w:rsidP="00A83ABC">
      <w:pPr>
        <w:spacing w:after="120"/>
      </w:pPr>
      <w:r w:rsidRPr="00150A17">
        <w:rPr>
          <w:b/>
        </w:rPr>
        <w:t>Lifetime Supply Costs</w:t>
      </w:r>
      <w:r w:rsidRPr="00150A17">
        <w:t xml:space="preserve">: </w:t>
      </w:r>
      <w:r>
        <w:t>The net</w:t>
      </w:r>
      <w:r w:rsidR="008F69E1">
        <w:t>-</w:t>
      </w:r>
      <w:r>
        <w:t>present value of a</w:t>
      </w:r>
      <w:r w:rsidRPr="00150A17">
        <w:t xml:space="preserve">voided supply costs associated with </w:t>
      </w:r>
      <w:r w:rsidR="00C76EFD">
        <w:t xml:space="preserve">demand and energy </w:t>
      </w:r>
      <w:r w:rsidRPr="00150A17">
        <w:t>savings</w:t>
      </w:r>
      <w:r>
        <w:t>,</w:t>
      </w:r>
      <w:r w:rsidRPr="00150A17">
        <w:t xml:space="preserve"> net of changes in </w:t>
      </w:r>
      <w:r w:rsidR="00C76EFD">
        <w:t>electricity</w:t>
      </w:r>
      <w:r w:rsidRPr="00150A17">
        <w:t xml:space="preserve"> use that would have happened in the absence of the program over the life of the </w:t>
      </w:r>
      <w:r>
        <w:t>program,</w:t>
      </w:r>
      <w:r w:rsidRPr="00150A17">
        <w:t xml:space="preserve"> factoring in persistence of</w:t>
      </w:r>
      <w:r>
        <w:t xml:space="preserve"> savings</w:t>
      </w:r>
      <w:r w:rsidRPr="00150A17">
        <w:t xml:space="preserve">. </w:t>
      </w:r>
      <w:r>
        <w:t xml:space="preserve">See </w:t>
      </w:r>
      <w:r w:rsidRPr="00AA5359">
        <w:rPr>
          <w:i/>
        </w:rPr>
        <w:t>Avoided Cost</w:t>
      </w:r>
      <w:r>
        <w:t>.</w:t>
      </w:r>
      <w:r>
        <w:rPr>
          <w:rStyle w:val="FootnoteReference"/>
        </w:rPr>
        <w:footnoteReference w:id="5"/>
      </w:r>
      <w:r>
        <w:t xml:space="preserve"> </w:t>
      </w:r>
    </w:p>
    <w:p w:rsidR="001A2A28" w:rsidRPr="00B65FBD" w:rsidRDefault="001A2A28" w:rsidP="00A83ABC">
      <w:pPr>
        <w:spacing w:after="120"/>
      </w:pPr>
      <w:r w:rsidRPr="00B65FBD">
        <w:rPr>
          <w:b/>
        </w:rPr>
        <w:t>Load Factor</w:t>
      </w:r>
      <w:r>
        <w:t xml:space="preserve">: </w:t>
      </w:r>
      <w:r w:rsidRPr="00B65FBD">
        <w:t xml:space="preserve">A percentage indicating the </w:t>
      </w:r>
      <w:r>
        <w:t xml:space="preserve">ratio of </w:t>
      </w:r>
      <w:r w:rsidRPr="00B65FBD">
        <w:t>electricity or natural gas used during a given time</w:t>
      </w:r>
      <w:r>
        <w:t>frame</w:t>
      </w:r>
      <w:r w:rsidRPr="00B65FBD">
        <w:t xml:space="preserve"> </w:t>
      </w:r>
      <w:r>
        <w:t>to</w:t>
      </w:r>
      <w:r w:rsidRPr="00B65FBD">
        <w:t xml:space="preserve"> the amount that would have been used if the usage had stayed at the highest demand the </w:t>
      </w:r>
      <w:r w:rsidR="00C92728">
        <w:t>entire</w:t>
      </w:r>
      <w:r w:rsidR="00C92728" w:rsidRPr="00B65FBD">
        <w:t xml:space="preserve"> </w:t>
      </w:r>
      <w:r w:rsidRPr="00B65FBD">
        <w:lastRenderedPageBreak/>
        <w:t xml:space="preserve">time. The term </w:t>
      </w:r>
      <w:r>
        <w:t xml:space="preserve">is </w:t>
      </w:r>
      <w:r w:rsidRPr="00B65FBD">
        <w:t xml:space="preserve">also used to </w:t>
      </w:r>
      <w:r>
        <w:t>indicate</w:t>
      </w:r>
      <w:r w:rsidRPr="00B65FBD">
        <w:t xml:space="preserve"> the percentage of capacity of an energy facility, such as a power plant or gas pipeline</w:t>
      </w:r>
      <w:r>
        <w:t xml:space="preserve"> that</w:t>
      </w:r>
      <w:r w:rsidRPr="00B65FBD">
        <w:t xml:space="preserve"> is utilized </w:t>
      </w:r>
      <w:r>
        <w:t>for</w:t>
      </w:r>
      <w:r w:rsidRPr="00B65FBD">
        <w:t xml:space="preserve"> a given period of time.</w:t>
      </w:r>
    </w:p>
    <w:p w:rsidR="001A2A28" w:rsidRPr="00B65FBD" w:rsidRDefault="001A2A28" w:rsidP="00A83ABC">
      <w:r w:rsidRPr="00B65FBD">
        <w:rPr>
          <w:b/>
        </w:rPr>
        <w:t>Load Management</w:t>
      </w:r>
      <w:r>
        <w:t xml:space="preserve">: </w:t>
      </w:r>
      <w:r w:rsidRPr="00B65FBD">
        <w:t>Steps taken to reduce power demand at peak load times or to shift some of it to off-peak times. Load management may coincide with peak hours, peak days</w:t>
      </w:r>
      <w:r>
        <w:t>,</w:t>
      </w:r>
      <w:r w:rsidRPr="00B65FBD">
        <w:t xml:space="preserve"> or peak seasons. Load management may be pursued by persuading consumers to modify behavior or by using equipment that regulates some electric consumption. This may lead to complete elimination of electric use during the period of interest (load shedding) and/or to an increase in electric demand in the off-peak hours as a result of shifting electric usage to that period (load shifting).</w:t>
      </w:r>
      <w:r w:rsidR="00294983">
        <w:t xml:space="preserve"> Control of central air condition systems is an example of a load management program. </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M –</w:t>
      </w:r>
    </w:p>
    <w:p w:rsidR="001A2A28" w:rsidRPr="00B65FBD" w:rsidRDefault="001A2A28" w:rsidP="00A83ABC">
      <w:pPr>
        <w:spacing w:after="120"/>
      </w:pPr>
      <w:r w:rsidRPr="00B65FBD">
        <w:rPr>
          <w:b/>
        </w:rPr>
        <w:t>Measurement and Verification (M&amp;V)</w:t>
      </w:r>
      <w:r>
        <w:t xml:space="preserve">: </w:t>
      </w:r>
      <w:r w:rsidRPr="00B65FBD">
        <w:t>A subset of program impact evaluation</w:t>
      </w:r>
      <w:r>
        <w:t>s</w:t>
      </w:r>
      <w:r w:rsidRPr="00B65FBD">
        <w:t xml:space="preserve"> that </w:t>
      </w:r>
      <w:r>
        <w:t>document</w:t>
      </w:r>
      <w:r w:rsidRPr="00B65FBD">
        <w:t xml:space="preserve"> energy savings at individual sites or projects </w:t>
      </w:r>
      <w:r>
        <w:t xml:space="preserve">using </w:t>
      </w:r>
      <w:r w:rsidRPr="00B65FBD">
        <w:t>measurements, engineering calculations, statistical analyses, and/or computer simulation modeling.</w:t>
      </w:r>
    </w:p>
    <w:p w:rsidR="001A2A28" w:rsidRPr="00851FC5" w:rsidRDefault="001A2A28" w:rsidP="00A83ABC">
      <w:pPr>
        <w:spacing w:after="120"/>
      </w:pPr>
      <w:r w:rsidRPr="0049072C">
        <w:rPr>
          <w:b/>
        </w:rPr>
        <w:t>Measurement Error</w:t>
      </w:r>
      <w:r>
        <w:t>: A description of the likelihood and magnitude of an</w:t>
      </w:r>
      <w:r w:rsidRPr="0049072C">
        <w:t xml:space="preserve"> observation</w:t>
      </w:r>
      <w:r>
        <w:t>’</w:t>
      </w:r>
      <w:r w:rsidRPr="0049072C">
        <w:t xml:space="preserve">s </w:t>
      </w:r>
      <w:r>
        <w:t>deviation</w:t>
      </w:r>
      <w:r w:rsidRPr="0049072C">
        <w:t xml:space="preserve"> from </w:t>
      </w:r>
      <w:r>
        <w:t>its</w:t>
      </w:r>
      <w:r w:rsidRPr="0049072C">
        <w:t xml:space="preserve"> true value</w:t>
      </w:r>
      <w:r>
        <w:t>. In the case of measured samples from a larger population, the error can be random or systematic (indicating bias).</w:t>
      </w:r>
    </w:p>
    <w:p w:rsidR="001A2A28" w:rsidRDefault="001A2A28" w:rsidP="00A83ABC">
      <w:pPr>
        <w:spacing w:after="120"/>
      </w:pPr>
      <w:r w:rsidRPr="0049072C">
        <w:rPr>
          <w:b/>
        </w:rPr>
        <w:t>Megawatt (MW)</w:t>
      </w:r>
      <w:r>
        <w:t xml:space="preserve">: </w:t>
      </w:r>
      <w:r w:rsidRPr="004018D8">
        <w:t xml:space="preserve">A unit for measuring electricity equal to 1,000 kilowatts or one million </w:t>
      </w:r>
      <w:r>
        <w:t>W</w:t>
      </w:r>
      <w:r w:rsidRPr="004018D8">
        <w:t xml:space="preserve">atts. </w:t>
      </w:r>
    </w:p>
    <w:p w:rsidR="001A2A28" w:rsidRDefault="001A2A28" w:rsidP="00A83ABC">
      <w:pPr>
        <w:spacing w:after="120"/>
      </w:pPr>
      <w:r w:rsidRPr="0049072C">
        <w:rPr>
          <w:b/>
        </w:rPr>
        <w:t>Megawatt-Hour (MWh)</w:t>
      </w:r>
      <w:r>
        <w:t xml:space="preserve">: </w:t>
      </w:r>
      <w:r w:rsidRPr="00C46FFE">
        <w:t>A unit of electric energy numerically equal to 1,000</w:t>
      </w:r>
      <w:r>
        <w:t>,000</w:t>
      </w:r>
      <w:r w:rsidRPr="00C46FFE">
        <w:t xml:space="preserve"> </w:t>
      </w:r>
      <w:r>
        <w:t>W</w:t>
      </w:r>
      <w:r w:rsidRPr="00C46FFE">
        <w:t>atts u</w:t>
      </w:r>
      <w:r>
        <w:t>sed for one hour.</w:t>
      </w:r>
    </w:p>
    <w:p w:rsidR="001A2A28" w:rsidRPr="0049072C" w:rsidRDefault="001A2A28" w:rsidP="00A83ABC">
      <w:pPr>
        <w:spacing w:after="120"/>
      </w:pPr>
      <w:r w:rsidRPr="0049072C">
        <w:rPr>
          <w:b/>
        </w:rPr>
        <w:t>Metered Data</w:t>
      </w:r>
      <w:r>
        <w:t>:</w:t>
      </w:r>
      <w:r w:rsidRPr="0049072C">
        <w:t xml:space="preserve"> Data collected over time through a meter for a specific end</w:t>
      </w:r>
      <w:r w:rsidR="00B17135">
        <w:t xml:space="preserve"> </w:t>
      </w:r>
      <w:r w:rsidRPr="0049072C">
        <w:t>use, energy-using system (e.g.</w:t>
      </w:r>
      <w:r>
        <w:t>,</w:t>
      </w:r>
      <w:r w:rsidRPr="0049072C">
        <w:t xml:space="preserve"> lighting</w:t>
      </w:r>
      <w:r>
        <w:t>,</w:t>
      </w:r>
      <w:r w:rsidRPr="0049072C">
        <w:t xml:space="preserve"> HVAC), or location (e.g.</w:t>
      </w:r>
      <w:r>
        <w:t>,</w:t>
      </w:r>
      <w:r w:rsidRPr="0049072C">
        <w:t xml:space="preserve"> floors of a building</w:t>
      </w:r>
      <w:r>
        <w:t>,</w:t>
      </w:r>
      <w:r w:rsidRPr="0049072C">
        <w:t xml:space="preserve"> a whole premise). Metered data may be collected over a variety of time intervals</w:t>
      </w:r>
      <w:r w:rsidR="00C92728">
        <w:t>;</w:t>
      </w:r>
      <w:r w:rsidRPr="0049072C">
        <w:t xml:space="preserve"> </w:t>
      </w:r>
      <w:r w:rsidR="00C92728">
        <w:t>u</w:t>
      </w:r>
      <w:r w:rsidRPr="0049072C">
        <w:t>sually refers to electricity or gas data.</w:t>
      </w:r>
    </w:p>
    <w:p w:rsidR="001A2A28" w:rsidRDefault="001A2A28" w:rsidP="00A83ABC">
      <w:pPr>
        <w:spacing w:after="120"/>
      </w:pPr>
      <w:r w:rsidRPr="0049072C">
        <w:rPr>
          <w:b/>
        </w:rPr>
        <w:t>Metering</w:t>
      </w:r>
      <w:r>
        <w:t xml:space="preserve">: </w:t>
      </w:r>
      <w:r w:rsidRPr="00851FC5">
        <w:t xml:space="preserve">The collection of energy consumption data over time through the use of meters. These meters may collect information </w:t>
      </w:r>
      <w:r>
        <w:t>about</w:t>
      </w:r>
      <w:r w:rsidRPr="00851FC5">
        <w:t xml:space="preserve"> an end</w:t>
      </w:r>
      <w:r w:rsidR="00B17135">
        <w:t xml:space="preserve"> </w:t>
      </w:r>
      <w:r w:rsidRPr="00851FC5">
        <w:t>use, a circuit, a piece of equipment, or a whole building (or facility). Short-term metering generally refers to data collection for no more than a few weeks. End-use metering refers specifically to separate data collection for one or more end</w:t>
      </w:r>
      <w:r w:rsidR="00B17135">
        <w:t xml:space="preserve"> </w:t>
      </w:r>
      <w:r w:rsidRPr="00851FC5">
        <w:t>uses in a facility, such as lighting, air conditioning</w:t>
      </w:r>
      <w:r>
        <w:t>,</w:t>
      </w:r>
      <w:r w:rsidRPr="00851FC5">
        <w:t xml:space="preserve"> or refrigeration. Spot metering is an instantaneous measurement (rather than over time) to determine </w:t>
      </w:r>
      <w:r>
        <w:t>equipment size or power draw.</w:t>
      </w:r>
    </w:p>
    <w:p w:rsidR="001A2A28" w:rsidRPr="00150A17" w:rsidRDefault="001A2A28" w:rsidP="00A83ABC">
      <w:r w:rsidRPr="00150A17">
        <w:rPr>
          <w:b/>
        </w:rPr>
        <w:t>Monitoring</w:t>
      </w:r>
      <w:r w:rsidRPr="00150A17">
        <w:t>: The collection of data over time at a facility</w:t>
      </w:r>
      <w:r>
        <w:t xml:space="preserve"> </w:t>
      </w:r>
      <w:r w:rsidRPr="00150A17">
        <w:t xml:space="preserve">for the purpose of </w:t>
      </w:r>
      <w:r>
        <w:t xml:space="preserve">conducting a </w:t>
      </w:r>
      <w:r w:rsidRPr="00150A17">
        <w:t>savings analysis</w:t>
      </w:r>
      <w:r>
        <w:t xml:space="preserve">, to evaluate </w:t>
      </w:r>
      <w:r w:rsidRPr="00150A17">
        <w:t>equipment</w:t>
      </w:r>
      <w:r>
        <w:t>,</w:t>
      </w:r>
      <w:r w:rsidRPr="00150A17">
        <w:t xml:space="preserve"> or </w:t>
      </w:r>
      <w:r>
        <w:t xml:space="preserve">to evaluate </w:t>
      </w:r>
      <w:r w:rsidRPr="00150A17">
        <w:t>system performance.</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N –</w:t>
      </w:r>
    </w:p>
    <w:p w:rsidR="001A2A28" w:rsidRDefault="001A2A28" w:rsidP="00A83ABC">
      <w:pPr>
        <w:spacing w:after="120"/>
      </w:pPr>
      <w:r w:rsidRPr="00150A17">
        <w:rPr>
          <w:b/>
        </w:rPr>
        <w:t>Net Impact</w:t>
      </w:r>
      <w:r w:rsidRPr="00150A17">
        <w:t>:</w:t>
      </w:r>
      <w:r>
        <w:t xml:space="preserve"> See </w:t>
      </w:r>
      <w:r w:rsidRPr="00150A17">
        <w:rPr>
          <w:i/>
        </w:rPr>
        <w:t>Net Savings</w:t>
      </w:r>
      <w:r>
        <w:t>.</w:t>
      </w:r>
    </w:p>
    <w:p w:rsidR="001A2A28" w:rsidRPr="00670DF2" w:rsidRDefault="001A2A28" w:rsidP="00A83ABC">
      <w:pPr>
        <w:spacing w:after="120"/>
      </w:pPr>
      <w:r w:rsidRPr="0090758B">
        <w:rPr>
          <w:b/>
        </w:rPr>
        <w:t>Net</w:t>
      </w:r>
      <w:r w:rsidR="008F69E1">
        <w:rPr>
          <w:b/>
        </w:rPr>
        <w:t>-</w:t>
      </w:r>
      <w:r w:rsidRPr="0090758B">
        <w:rPr>
          <w:b/>
        </w:rPr>
        <w:t>Present Value</w:t>
      </w:r>
      <w:r w:rsidR="008F69E1">
        <w:rPr>
          <w:b/>
        </w:rPr>
        <w:t xml:space="preserve"> (NPV)</w:t>
      </w:r>
      <w:r>
        <w:t xml:space="preserve">: </w:t>
      </w:r>
      <w:r w:rsidRPr="0090758B">
        <w:t xml:space="preserve">The discounted value of the net benefits over a specified period of time </w:t>
      </w:r>
      <w:r>
        <w:t>(</w:t>
      </w:r>
      <w:r w:rsidRPr="0090758B">
        <w:t>e.</w:t>
      </w:r>
      <w:r>
        <w:t>g.</w:t>
      </w:r>
      <w:r w:rsidRPr="0090758B">
        <w:t xml:space="preserve">, the expected useful life of the </w:t>
      </w:r>
      <w:r w:rsidR="00857521">
        <w:t>EE</w:t>
      </w:r>
      <w:r w:rsidRPr="0090758B">
        <w:t xml:space="preserve"> measure</w:t>
      </w:r>
      <w:r>
        <w:t>)</w:t>
      </w:r>
      <w:r w:rsidRPr="0090758B">
        <w:t>.</w:t>
      </w:r>
      <w:r>
        <w:rPr>
          <w:rStyle w:val="FootnoteReference"/>
        </w:rPr>
        <w:footnoteReference w:id="6"/>
      </w:r>
    </w:p>
    <w:p w:rsidR="001A2A28" w:rsidRPr="00851FC5" w:rsidRDefault="001A2A28" w:rsidP="00A83ABC">
      <w:pPr>
        <w:spacing w:after="120"/>
      </w:pPr>
      <w:r>
        <w:rPr>
          <w:b/>
        </w:rPr>
        <w:t>Net S</w:t>
      </w:r>
      <w:r w:rsidRPr="0049072C">
        <w:rPr>
          <w:b/>
        </w:rPr>
        <w:t>avings</w:t>
      </w:r>
      <w:r>
        <w:t>:</w:t>
      </w:r>
      <w:r w:rsidRPr="0049072C">
        <w:t xml:space="preserve"> </w:t>
      </w:r>
      <w:r w:rsidRPr="00851FC5">
        <w:t>The total change in load that is</w:t>
      </w:r>
      <w:r>
        <w:t xml:space="preserve"> attributable to a </w:t>
      </w:r>
      <w:r w:rsidR="007607F3">
        <w:t>DR</w:t>
      </w:r>
      <w:r w:rsidRPr="00851FC5">
        <w:t xml:space="preserve"> program. This change in load may include, implicitly or explicitly, the effects of free dr</w:t>
      </w:r>
      <w:r>
        <w:t xml:space="preserve">ivers, free-riders, </w:t>
      </w:r>
      <w:r w:rsidR="00857521">
        <w:t>EE</w:t>
      </w:r>
      <w:r w:rsidRPr="00851FC5">
        <w:t xml:space="preserve"> standards, changes in the level of energy service, and other causes of changes in energy co</w:t>
      </w:r>
      <w:r>
        <w:t xml:space="preserve">nsumption or demand. Net savings are calculated by multiplying verified savings by a </w:t>
      </w:r>
      <w:r w:rsidR="007607F3">
        <w:t xml:space="preserve">net-to-gross </w:t>
      </w:r>
      <w:r>
        <w:t>ratio.</w:t>
      </w:r>
    </w:p>
    <w:p w:rsidR="001A2A28" w:rsidRPr="00851FC5" w:rsidRDefault="001A2A28" w:rsidP="00A83ABC">
      <w:pPr>
        <w:spacing w:after="120"/>
      </w:pPr>
      <w:r w:rsidRPr="0049072C">
        <w:rPr>
          <w:b/>
        </w:rPr>
        <w:lastRenderedPageBreak/>
        <w:t>Net-to-Gross</w:t>
      </w:r>
      <w:r>
        <w:rPr>
          <w:b/>
        </w:rPr>
        <w:t xml:space="preserve"> (NTG)</w:t>
      </w:r>
      <w:r w:rsidRPr="0049072C">
        <w:rPr>
          <w:b/>
        </w:rPr>
        <w:t xml:space="preserve"> Ratio</w:t>
      </w:r>
      <w:r>
        <w:t>:</w:t>
      </w:r>
      <w:r w:rsidRPr="0049072C">
        <w:t xml:space="preserve"> </w:t>
      </w:r>
      <w:r w:rsidRPr="00851FC5">
        <w:t xml:space="preserve">A factor representing net program savings divided by gross program savings that is applied to gross program impacts to convert them into net program load impacts. </w:t>
      </w:r>
    </w:p>
    <w:p w:rsidR="001A2A28" w:rsidRDefault="001A2A28" w:rsidP="00A83ABC">
      <w:r>
        <w:rPr>
          <w:b/>
        </w:rPr>
        <w:t>Non-participant</w:t>
      </w:r>
      <w:r>
        <w:t>:</w:t>
      </w:r>
      <w:r w:rsidRPr="0049072C">
        <w:t xml:space="preserve"> </w:t>
      </w:r>
      <w:r w:rsidRPr="00851FC5">
        <w:t xml:space="preserve">Any </w:t>
      </w:r>
      <w:r>
        <w:t>account that</w:t>
      </w:r>
      <w:r w:rsidRPr="00851FC5">
        <w:t xml:space="preserve"> was eligible but did not </w:t>
      </w:r>
      <w:r>
        <w:t xml:space="preserve">participate in the subject </w:t>
      </w:r>
      <w:r w:rsidR="007607F3">
        <w:t>DR</w:t>
      </w:r>
      <w:r w:rsidRPr="00851FC5">
        <w:t xml:space="preserve"> pr</w:t>
      </w:r>
      <w:r>
        <w:t>ogram in a given program year.</w:t>
      </w:r>
    </w:p>
    <w:p w:rsidR="008C3783" w:rsidRDefault="008C3783" w:rsidP="00A83ABC"/>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O, P –</w:t>
      </w:r>
    </w:p>
    <w:p w:rsidR="001A2A28" w:rsidRPr="00AA5359" w:rsidRDefault="001A2A28" w:rsidP="00A83ABC">
      <w:pPr>
        <w:spacing w:after="120"/>
      </w:pPr>
      <w:r w:rsidRPr="00AA5359">
        <w:rPr>
          <w:b/>
        </w:rPr>
        <w:t>Off-</w:t>
      </w:r>
      <w:r>
        <w:rPr>
          <w:b/>
        </w:rPr>
        <w:t>p</w:t>
      </w:r>
      <w:r w:rsidRPr="00AA5359">
        <w:rPr>
          <w:b/>
        </w:rPr>
        <w:t>eak Energy kWh Savings</w:t>
      </w:r>
      <w:r w:rsidRPr="00AA5359">
        <w:t>: The kWh reduction that occurs during a specified period of off</w:t>
      </w:r>
      <w:r>
        <w:t>-</w:t>
      </w:r>
      <w:r w:rsidRPr="00AA5359">
        <w:t xml:space="preserve">peak hours for energy savings (see </w:t>
      </w:r>
      <w:r>
        <w:t xml:space="preserve">the </w:t>
      </w:r>
      <w:r w:rsidRPr="00AA5359">
        <w:t xml:space="preserve">PA </w:t>
      </w:r>
      <w:r>
        <w:t>TRM</w:t>
      </w:r>
      <w:r w:rsidRPr="00AA5359">
        <w:t xml:space="preserve"> Table 1-1).</w:t>
      </w:r>
    </w:p>
    <w:p w:rsidR="001A2A28" w:rsidRPr="00150A17" w:rsidRDefault="001A2A28" w:rsidP="00A83ABC">
      <w:pPr>
        <w:spacing w:after="120"/>
      </w:pPr>
      <w:r w:rsidRPr="00AA5359">
        <w:rPr>
          <w:b/>
        </w:rPr>
        <w:t>On-</w:t>
      </w:r>
      <w:r>
        <w:rPr>
          <w:b/>
        </w:rPr>
        <w:t>p</w:t>
      </w:r>
      <w:r w:rsidRPr="00AA5359">
        <w:rPr>
          <w:b/>
        </w:rPr>
        <w:t>eak Energy kWh Savings</w:t>
      </w:r>
      <w:r w:rsidRPr="00AA5359">
        <w:t>: The kWh reduction that occurs during a specified period of on</w:t>
      </w:r>
      <w:r>
        <w:t>-</w:t>
      </w:r>
      <w:r w:rsidRPr="00AA5359">
        <w:t xml:space="preserve">peak hours for energy savings (see </w:t>
      </w:r>
      <w:r>
        <w:t xml:space="preserve">the </w:t>
      </w:r>
      <w:r w:rsidRPr="00AA5359">
        <w:t xml:space="preserve">PA </w:t>
      </w:r>
      <w:r>
        <w:t>TRM</w:t>
      </w:r>
      <w:r w:rsidRPr="00AA5359">
        <w:t xml:space="preserve"> Table 1-1).</w:t>
      </w:r>
    </w:p>
    <w:p w:rsidR="001A2A28" w:rsidRPr="00150A17" w:rsidRDefault="001A2A28" w:rsidP="00A83ABC">
      <w:pPr>
        <w:spacing w:after="120"/>
      </w:pPr>
      <w:r w:rsidRPr="00150A17">
        <w:rPr>
          <w:b/>
        </w:rPr>
        <w:t>Participant</w:t>
      </w:r>
      <w:r w:rsidRPr="00150A17">
        <w:t xml:space="preserve">: A utility customer </w:t>
      </w:r>
      <w:r>
        <w:t xml:space="preserve">enrolled in a </w:t>
      </w:r>
      <w:r w:rsidR="007607F3">
        <w:t>DR</w:t>
      </w:r>
      <w:r>
        <w:t xml:space="preserve"> program, defined as one transaction or one rebate payment in a program</w:t>
      </w:r>
      <w:r w:rsidRPr="00150A17">
        <w:t>.</w:t>
      </w:r>
      <w:r>
        <w:t xml:space="preserve"> </w:t>
      </w:r>
    </w:p>
    <w:p w:rsidR="001A2A28" w:rsidRPr="00670DF2" w:rsidRDefault="001A2A28" w:rsidP="00A83ABC">
      <w:pPr>
        <w:spacing w:after="120"/>
      </w:pPr>
      <w:r w:rsidRPr="00150A17">
        <w:rPr>
          <w:b/>
        </w:rPr>
        <w:t>Participant Costs</w:t>
      </w:r>
      <w:r w:rsidRPr="00150A17">
        <w:t>: Costs</w:t>
      </w:r>
      <w:r>
        <w:t xml:space="preserve"> incurred by a customer participating in efficiency </w:t>
      </w:r>
      <w:r w:rsidR="007607F3">
        <w:t>DR</w:t>
      </w:r>
      <w:r>
        <w:t xml:space="preserve"> program. Typically, these costs are represented as incremental costs (i.e., the costs incurred for the purchase, installation, and maintenance of </w:t>
      </w:r>
      <w:r w:rsidR="007607F3">
        <w:t>DR</w:t>
      </w:r>
      <w:r>
        <w:t xml:space="preserve"> equipment or related third-party services). </w:t>
      </w:r>
    </w:p>
    <w:p w:rsidR="001A2A28" w:rsidRDefault="001A2A28" w:rsidP="00A83ABC">
      <w:pPr>
        <w:spacing w:after="120"/>
      </w:pPr>
      <w:r w:rsidRPr="0049072C">
        <w:rPr>
          <w:b/>
        </w:rPr>
        <w:t>Peak Load</w:t>
      </w:r>
      <w:r>
        <w:t>:</w:t>
      </w:r>
      <w:r w:rsidRPr="0049072C">
        <w:t xml:space="preserve"> The highest electrical demand within a particular period of time. Daily electric peaks on </w:t>
      </w:r>
      <w:r w:rsidRPr="00930554">
        <w:t xml:space="preserve">weekdays typically occur in </w:t>
      </w:r>
      <w:r>
        <w:t xml:space="preserve">the </w:t>
      </w:r>
      <w:r w:rsidRPr="00930554">
        <w:t>late afternoon and early evening. Annual peaks typically occur on hot summer days.</w:t>
      </w:r>
    </w:p>
    <w:p w:rsidR="002F1FC5" w:rsidRPr="004E050E" w:rsidRDefault="002F1FC5" w:rsidP="00A83ABC">
      <w:pPr>
        <w:spacing w:after="120"/>
      </w:pPr>
      <w:r w:rsidRPr="0049072C">
        <w:rPr>
          <w:b/>
        </w:rPr>
        <w:t>Peak Load</w:t>
      </w:r>
      <w:r>
        <w:rPr>
          <w:b/>
        </w:rPr>
        <w:t xml:space="preserve"> Contribution</w:t>
      </w:r>
      <w:r>
        <w:t>:</w:t>
      </w:r>
      <w:r w:rsidR="004E050E">
        <w:t xml:space="preserve"> </w:t>
      </w:r>
      <w:r w:rsidR="004E050E" w:rsidRPr="004E050E">
        <w:t>The amount of generation capacity an Electricity Distribution Company determines it must acquire on behalf of its customers.  PLC values may be expressed per account or in aggregate.  For example, PLC may be expressed for each account or totaled for a given economic activity. </w:t>
      </w:r>
    </w:p>
    <w:p w:rsidR="001A2A28" w:rsidRPr="0073739D" w:rsidRDefault="001A2A28" w:rsidP="00A83ABC">
      <w:pPr>
        <w:spacing w:after="120"/>
      </w:pPr>
      <w:r w:rsidRPr="0049072C">
        <w:rPr>
          <w:b/>
        </w:rPr>
        <w:t>Portfolio</w:t>
      </w:r>
      <w:r>
        <w:t xml:space="preserve">: Can be defined as: </w:t>
      </w:r>
      <w:r w:rsidRPr="00851FC5">
        <w:t>(</w:t>
      </w:r>
      <w:r>
        <w:t>1</w:t>
      </w:r>
      <w:r w:rsidRPr="00851FC5">
        <w:t xml:space="preserve">) </w:t>
      </w:r>
      <w:r>
        <w:t>a</w:t>
      </w:r>
      <w:r w:rsidRPr="00851FC5">
        <w:t xml:space="preserve"> collection of programs addressing the same market (</w:t>
      </w:r>
      <w:r>
        <w:t>e.g.,</w:t>
      </w:r>
      <w:r w:rsidRPr="00851FC5">
        <w:t xml:space="preserve"> a portfolio of residential programs</w:t>
      </w:r>
      <w:r>
        <w:t>), technology (e.g., motor effi</w:t>
      </w:r>
      <w:r w:rsidRPr="00851FC5">
        <w:t>ciency programs), or mechanisms (</w:t>
      </w:r>
      <w:r>
        <w:t>e.g.,</w:t>
      </w:r>
      <w:r w:rsidRPr="00851FC5">
        <w:t xml:space="preserve"> loan programs)</w:t>
      </w:r>
      <w:r>
        <w:t>; or</w:t>
      </w:r>
      <w:r w:rsidRPr="00851FC5">
        <w:t xml:space="preserve"> (</w:t>
      </w:r>
      <w:r>
        <w:t>2</w:t>
      </w:r>
      <w:r w:rsidRPr="00851FC5">
        <w:t xml:space="preserve">) </w:t>
      </w:r>
      <w:r>
        <w:t>t</w:t>
      </w:r>
      <w:r w:rsidRPr="00851FC5">
        <w:t xml:space="preserve">he set of all programs conducted by one </w:t>
      </w:r>
      <w:r>
        <w:t xml:space="preserve">or more </w:t>
      </w:r>
      <w:r w:rsidRPr="00851FC5">
        <w:t>organization</w:t>
      </w:r>
      <w:r>
        <w:t>s</w:t>
      </w:r>
      <w:r w:rsidRPr="00851FC5">
        <w:t xml:space="preserve">, such as a </w:t>
      </w:r>
      <w:r>
        <w:t>utility or program administrator,</w:t>
      </w:r>
      <w:r w:rsidRPr="0073739D">
        <w:t xml:space="preserve"> which could include programs that cover multiple </w:t>
      </w:r>
      <w:r>
        <w:t>markets, technologies, etc.</w:t>
      </w:r>
    </w:p>
    <w:p w:rsidR="001A2A28" w:rsidRPr="0049072C" w:rsidRDefault="001A2A28" w:rsidP="00A83ABC">
      <w:pPr>
        <w:spacing w:after="120"/>
      </w:pPr>
      <w:r w:rsidRPr="0049072C">
        <w:rPr>
          <w:b/>
        </w:rPr>
        <w:t>Precision</w:t>
      </w:r>
      <w:r>
        <w:t>: An</w:t>
      </w:r>
      <w:r w:rsidRPr="00D62ED4">
        <w:t xml:space="preserve"> indication of the closeness of agreement among repeated measurements of the same physical quantity. It is also used to represent the degree to which an estimated result in social science (</w:t>
      </w:r>
      <w:r>
        <w:t>e.g.,</w:t>
      </w:r>
      <w:r w:rsidRPr="00D62ED4">
        <w:t xml:space="preserve"> energy savings) would be replicated with repeated studies.</w:t>
      </w:r>
    </w:p>
    <w:p w:rsidR="001A2A28" w:rsidRPr="0049072C" w:rsidRDefault="001A2A28" w:rsidP="00A83ABC">
      <w:pPr>
        <w:spacing w:after="120"/>
      </w:pPr>
      <w:r>
        <w:rPr>
          <w:b/>
        </w:rPr>
        <w:t xml:space="preserve">Present Value Net Benefit (PVNB): </w:t>
      </w:r>
      <w:r>
        <w:t>The sum of estimated program benefits for future years, expressed in present value dollar to account for t</w:t>
      </w:r>
      <w:r w:rsidR="000F4A74">
        <w:t xml:space="preserve">ime-related value preferences. </w:t>
      </w:r>
      <w:r>
        <w:t>Ergo, program benefits that accrue over a shorter time period are more highly valued.</w:t>
      </w:r>
    </w:p>
    <w:p w:rsidR="001A2A28" w:rsidRPr="00851FC5" w:rsidRDefault="001A2A28" w:rsidP="00A83ABC">
      <w:pPr>
        <w:spacing w:after="120"/>
      </w:pPr>
      <w:r w:rsidRPr="0049072C">
        <w:rPr>
          <w:b/>
        </w:rPr>
        <w:t>Process Evaluation</w:t>
      </w:r>
      <w:r>
        <w:t>:</w:t>
      </w:r>
      <w:r w:rsidRPr="0049072C">
        <w:t xml:space="preserve"> </w:t>
      </w:r>
      <w:r w:rsidRPr="00851FC5">
        <w:t>A systemat</w:t>
      </w:r>
      <w:r>
        <w:t xml:space="preserve">ic assessment of </w:t>
      </w:r>
      <w:r w:rsidR="000F4A74">
        <w:t xml:space="preserve">an </w:t>
      </w:r>
      <w:r>
        <w:t xml:space="preserve">efficiency </w:t>
      </w:r>
      <w:r w:rsidR="007607F3">
        <w:t>DR</w:t>
      </w:r>
      <w:r w:rsidRPr="00851FC5">
        <w:t xml:space="preserve"> program for the purposes of documenting program operations at the time of the examination and identifying and recommending improvements</w:t>
      </w:r>
      <w:r>
        <w:t xml:space="preserve"> to increase the program’s effi</w:t>
      </w:r>
      <w:r w:rsidRPr="00851FC5">
        <w:t>ciency or effectiveness for acquiring energy resources</w:t>
      </w:r>
      <w:r>
        <w:t>,</w:t>
      </w:r>
      <w:r w:rsidRPr="00851FC5">
        <w:t xml:space="preserve"> while maintaining high leve</w:t>
      </w:r>
      <w:r>
        <w:t>ls of participant satisfaction.</w:t>
      </w:r>
    </w:p>
    <w:p w:rsidR="001A2A28" w:rsidRDefault="001A2A28" w:rsidP="00A83ABC">
      <w:pPr>
        <w:spacing w:after="120"/>
      </w:pPr>
      <w:r w:rsidRPr="0049072C">
        <w:rPr>
          <w:b/>
        </w:rPr>
        <w:t>Program Administrator</w:t>
      </w:r>
      <w:r>
        <w:t>:</w:t>
      </w:r>
      <w:r w:rsidRPr="0049072C">
        <w:t xml:space="preserve"> </w:t>
      </w:r>
      <w:r>
        <w:t>Those entities that oversee the implementation of demand-side management programs. This generally includes regulated utilities, other organizations chosen to implement such programs, and state energy offices.</w:t>
      </w:r>
    </w:p>
    <w:p w:rsidR="00E20731" w:rsidRPr="0049072C" w:rsidRDefault="00E20731" w:rsidP="00A83ABC">
      <w:pPr>
        <w:spacing w:after="120"/>
      </w:pPr>
      <w:r w:rsidRPr="0049072C">
        <w:rPr>
          <w:b/>
        </w:rPr>
        <w:t>Program Incentive</w:t>
      </w:r>
      <w:r>
        <w:t>:</w:t>
      </w:r>
      <w:r w:rsidRPr="0049072C">
        <w:t xml:space="preserve"> An incentive, generally monetary, that is offered to a customer through </w:t>
      </w:r>
      <w:r>
        <w:t>efficiency DR</w:t>
      </w:r>
      <w:r w:rsidRPr="0049072C">
        <w:t xml:space="preserve"> program</w:t>
      </w:r>
      <w:r>
        <w:t>s</w:t>
      </w:r>
      <w:r w:rsidRPr="0049072C">
        <w:t xml:space="preserve"> to encourage </w:t>
      </w:r>
      <w:r>
        <w:t>their</w:t>
      </w:r>
      <w:r w:rsidRPr="0049072C">
        <w:t xml:space="preserve"> participat</w:t>
      </w:r>
      <w:r>
        <w:t>ion</w:t>
      </w:r>
      <w:r w:rsidRPr="0049072C">
        <w:t xml:space="preserve">. The incentive is intended to </w:t>
      </w:r>
      <w:r>
        <w:t>compensate the customer for voluntary reducing their energy use during program events</w:t>
      </w:r>
      <w:r w:rsidRPr="0049072C">
        <w:t>.</w:t>
      </w:r>
    </w:p>
    <w:p w:rsidR="00E20731" w:rsidRPr="0082377B" w:rsidRDefault="00E20731" w:rsidP="00A83ABC">
      <w:pPr>
        <w:pStyle w:val="GlossaryTerm"/>
      </w:pPr>
      <w:r w:rsidRPr="0082377B">
        <w:rPr>
          <w:rStyle w:val="GlossaryTermChar"/>
          <w:b/>
        </w:rPr>
        <w:lastRenderedPageBreak/>
        <w:t>Program Year</w:t>
      </w:r>
      <w:r w:rsidR="0082377B" w:rsidRPr="0082377B">
        <w:rPr>
          <w:rStyle w:val="GlossaryTermChar"/>
          <w:b/>
        </w:rPr>
        <w:t xml:space="preserve"> (PY)</w:t>
      </w:r>
      <w:r w:rsidRPr="0082377B">
        <w:rPr>
          <w:rStyle w:val="GlossaryTermChar"/>
          <w:b/>
        </w:rPr>
        <w:t>:</w:t>
      </w:r>
      <w:r w:rsidRPr="0082377B">
        <w:t xml:space="preserve"> </w:t>
      </w:r>
      <w:r w:rsidR="008F3A05" w:rsidRPr="0082377B">
        <w:t>Defined as the period between June 1st and May 31st of the current reporting period.</w:t>
      </w:r>
    </w:p>
    <w:p w:rsidR="001A2A28" w:rsidRPr="00930554" w:rsidRDefault="001A2A28" w:rsidP="00A83ABC">
      <w:pPr>
        <w:spacing w:after="120"/>
      </w:pPr>
      <w:r w:rsidRPr="00930554">
        <w:rPr>
          <w:b/>
        </w:rPr>
        <w:t>Program Year Target</w:t>
      </w:r>
      <w:r w:rsidRPr="00930554">
        <w:t xml:space="preserve">: </w:t>
      </w:r>
      <w:r>
        <w:t>Demand response capacity savings</w:t>
      </w:r>
      <w:r w:rsidRPr="00930554">
        <w:t xml:space="preserve"> target established for the given program year as approved in </w:t>
      </w:r>
      <w:r>
        <w:t>each EDC</w:t>
      </w:r>
      <w:r w:rsidRPr="00930554">
        <w:t xml:space="preserve"> EE&amp;C Plan.</w:t>
      </w:r>
    </w:p>
    <w:p w:rsidR="001A2A28" w:rsidRPr="00670DF2" w:rsidRDefault="001A2A28" w:rsidP="00A83ABC">
      <w:pPr>
        <w:spacing w:after="120"/>
      </w:pPr>
      <w:r w:rsidRPr="00930554">
        <w:rPr>
          <w:b/>
        </w:rPr>
        <w:t>Program Year Sample Participant Target</w:t>
      </w:r>
      <w:r w:rsidRPr="00930554">
        <w:t>: Estimated sample size for evaluation activities in the given program year</w:t>
      </w:r>
      <w:r>
        <w:t>.</w:t>
      </w:r>
    </w:p>
    <w:p w:rsidR="001A2A28" w:rsidRDefault="001A2A28" w:rsidP="00A83ABC">
      <w:pPr>
        <w:spacing w:after="120"/>
      </w:pPr>
      <w:r w:rsidRPr="0049072C">
        <w:rPr>
          <w:b/>
        </w:rPr>
        <w:t>Project</w:t>
      </w:r>
      <w:r>
        <w:t>:</w:t>
      </w:r>
      <w:r w:rsidRPr="0049072C">
        <w:t xml:space="preserve"> </w:t>
      </w:r>
      <w:r w:rsidRPr="00851FC5">
        <w:t xml:space="preserve">An activity or course of action involving one or multiple </w:t>
      </w:r>
      <w:r w:rsidR="00857521">
        <w:t>EE</w:t>
      </w:r>
      <w:r w:rsidRPr="00851FC5">
        <w:t xml:space="preserve"> measures at a single facility or site. </w:t>
      </w:r>
    </w:p>
    <w:p w:rsidR="001A2A28" w:rsidRDefault="001A2A28" w:rsidP="00A83ABC">
      <w:pPr>
        <w:spacing w:after="120"/>
      </w:pPr>
      <w:r w:rsidRPr="00150A17">
        <w:rPr>
          <w:b/>
        </w:rPr>
        <w:t>Projects in Progress</w:t>
      </w:r>
      <w:r w:rsidRPr="00150A17">
        <w:t xml:space="preserve">: Energy efficiency and </w:t>
      </w:r>
      <w:r>
        <w:t>DR</w:t>
      </w:r>
      <w:r w:rsidRPr="00150A17">
        <w:t xml:space="preserve"> projects currently </w:t>
      </w:r>
      <w:r>
        <w:t>being processed and tracked by the EDC</w:t>
      </w:r>
      <w:r w:rsidRPr="00150A17">
        <w:t xml:space="preserve">, but </w:t>
      </w:r>
      <w:r>
        <w:t xml:space="preserve">that are </w:t>
      </w:r>
      <w:r w:rsidRPr="00150A17">
        <w:t>not yet complete at</w:t>
      </w:r>
      <w:r>
        <w:t xml:space="preserve"> the</w:t>
      </w:r>
      <w:r w:rsidRPr="00150A17">
        <w:t xml:space="preserve"> time of the report.</w:t>
      </w:r>
      <w:r>
        <w:t xml:space="preserve"> A complete project is defined as a project in which the energy conservation measure has been installed and is commercially operable, and for which a rebate check has been issued.</w:t>
      </w:r>
    </w:p>
    <w:p w:rsidR="001A2A28" w:rsidRPr="0076721E" w:rsidRDefault="001A2A28" w:rsidP="00A83ABC">
      <w:r w:rsidRPr="001A2A28">
        <w:rPr>
          <w:b/>
        </w:rPr>
        <w:t>PY8-PY12:</w:t>
      </w:r>
      <w:r>
        <w:rPr>
          <w:b/>
        </w:rPr>
        <w:t xml:space="preserve"> </w:t>
      </w:r>
      <w:r>
        <w:t xml:space="preserve">Refers to Act 129 program years for the time period June 1, 2016, to May 31, 2021.  </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Q, R –</w:t>
      </w:r>
    </w:p>
    <w:p w:rsidR="001A2A28" w:rsidRPr="007402D2" w:rsidRDefault="001A2A28" w:rsidP="00A83ABC">
      <w:pPr>
        <w:spacing w:after="120"/>
      </w:pPr>
      <w:r w:rsidRPr="0049072C">
        <w:rPr>
          <w:b/>
        </w:rPr>
        <w:t>Rebound Effect</w:t>
      </w:r>
      <w:r>
        <w:t>:</w:t>
      </w:r>
      <w:r w:rsidRPr="0049072C">
        <w:t xml:space="preserve"> </w:t>
      </w:r>
      <w:r>
        <w:t xml:space="preserve">The rebound effect, as applied to </w:t>
      </w:r>
      <w:r w:rsidR="007607F3">
        <w:t>DR</w:t>
      </w:r>
      <w:r>
        <w:t xml:space="preserve"> programs, describes customers’ shifting of electricity demands to the hours prior to or following a </w:t>
      </w:r>
      <w:r w:rsidR="007607F3">
        <w:t>DR</w:t>
      </w:r>
      <w:r>
        <w:t xml:space="preserve"> event</w:t>
      </w:r>
      <w:r w:rsidRPr="007402D2">
        <w:t xml:space="preserve">. </w:t>
      </w:r>
    </w:p>
    <w:p w:rsidR="001A2A28" w:rsidRPr="007402D2" w:rsidRDefault="001A2A28" w:rsidP="00A83ABC">
      <w:pPr>
        <w:spacing w:after="120"/>
      </w:pPr>
      <w:r w:rsidRPr="0049072C">
        <w:rPr>
          <w:b/>
        </w:rPr>
        <w:t>Regression Analysis</w:t>
      </w:r>
      <w:r>
        <w:t>:</w:t>
      </w:r>
      <w:r w:rsidRPr="0049072C">
        <w:t xml:space="preserve"> </w:t>
      </w:r>
      <w:r>
        <w:t>A statistical a</w:t>
      </w:r>
      <w:r w:rsidRPr="007402D2">
        <w:t>nalysis of the relationship between a dependent variable (response variable) to specified independent variables (explanatory variables). The mathematical model of their relationship is the regression equation.</w:t>
      </w:r>
    </w:p>
    <w:p w:rsidR="001A2A28" w:rsidRPr="0049072C" w:rsidRDefault="001A2A28" w:rsidP="00A83ABC">
      <w:pPr>
        <w:spacing w:after="120"/>
      </w:pPr>
      <w:r w:rsidRPr="0049072C">
        <w:rPr>
          <w:b/>
        </w:rPr>
        <w:t>Regression Model</w:t>
      </w:r>
      <w:r>
        <w:t>:</w:t>
      </w:r>
      <w:r w:rsidRPr="0049072C">
        <w:t xml:space="preserve"> A statistical analysis where </w:t>
      </w:r>
      <w:r>
        <w:t>the value of an observation</w:t>
      </w:r>
      <w:r w:rsidRPr="0049072C">
        <w:t xml:space="preserve"> is </w:t>
      </w:r>
      <w:r>
        <w:t>predicted</w:t>
      </w:r>
      <w:r w:rsidRPr="0049072C">
        <w:t xml:space="preserve"> </w:t>
      </w:r>
      <w:r>
        <w:t>using other</w:t>
      </w:r>
      <w:r w:rsidRPr="0049072C">
        <w:t xml:space="preserve"> </w:t>
      </w:r>
      <w:r>
        <w:t>data</w:t>
      </w:r>
      <w:r w:rsidRPr="0049072C">
        <w:t xml:space="preserve"> which are </w:t>
      </w:r>
      <w:r>
        <w:t>believed</w:t>
      </w:r>
      <w:r w:rsidRPr="0049072C">
        <w:t xml:space="preserve"> to determine its value. In so doing, the relationship between the variables is estimated statistically from the data used.</w:t>
      </w:r>
    </w:p>
    <w:p w:rsidR="001A2A28" w:rsidRPr="0049072C" w:rsidRDefault="001A2A28" w:rsidP="00A83ABC">
      <w:pPr>
        <w:spacing w:after="120"/>
      </w:pPr>
      <w:r w:rsidRPr="0049072C">
        <w:rPr>
          <w:b/>
        </w:rPr>
        <w:t>Reliability</w:t>
      </w:r>
      <w:r>
        <w:rPr>
          <w:b/>
        </w:rPr>
        <w:t>:</w:t>
      </w:r>
      <w:r w:rsidRPr="0049072C">
        <w:t xml:space="preserve"> The quality of a measurement process that would produce similar results</w:t>
      </w:r>
      <w:r w:rsidRPr="007402D2">
        <w:t xml:space="preserve"> on: (1) repeated observations of the same condition or event</w:t>
      </w:r>
      <w:r>
        <w:t>,</w:t>
      </w:r>
      <w:r w:rsidRPr="007402D2">
        <w:t xml:space="preserve"> or (2) multiple observations of the same condition or event by different observers.</w:t>
      </w:r>
    </w:p>
    <w:p w:rsidR="001A2A28" w:rsidRPr="0049072C" w:rsidRDefault="001A2A28" w:rsidP="00A83ABC">
      <w:pPr>
        <w:spacing w:after="120"/>
      </w:pPr>
      <w:r w:rsidRPr="0049072C">
        <w:rPr>
          <w:b/>
        </w:rPr>
        <w:t>Renewable Energy</w:t>
      </w:r>
      <w:r>
        <w:t>:</w:t>
      </w:r>
      <w:r w:rsidRPr="0049072C">
        <w:t xml:space="preserve"> Energy derived from resources that are naturally replenishing but flow-limited. They are virtually inexhaustible in duration but limited in the amount of energy that is available per unit of time. Renewable energy resources include biomass, hydro, geothermal, solar, wind, ocean thermal, wave action, and tidal action.</w:t>
      </w:r>
    </w:p>
    <w:p w:rsidR="001A2A28" w:rsidRPr="007402D2" w:rsidRDefault="001A2A28" w:rsidP="00A83ABC">
      <w:pPr>
        <w:spacing w:after="120"/>
      </w:pPr>
      <w:r w:rsidRPr="0049072C">
        <w:rPr>
          <w:b/>
        </w:rPr>
        <w:t>Reporting Period</w:t>
      </w:r>
      <w:r>
        <w:t>:</w:t>
      </w:r>
      <w:r w:rsidRPr="0049072C">
        <w:t xml:space="preserve"> </w:t>
      </w:r>
      <w:r w:rsidRPr="007402D2">
        <w:t xml:space="preserve">The time following implementation of </w:t>
      </w:r>
      <w:r w:rsidR="000F4A74">
        <w:t xml:space="preserve">a </w:t>
      </w:r>
      <w:r w:rsidR="007607F3">
        <w:t>DR</w:t>
      </w:r>
      <w:r>
        <w:t xml:space="preserve"> program</w:t>
      </w:r>
      <w:r w:rsidRPr="007402D2">
        <w:t xml:space="preserve"> during which </w:t>
      </w:r>
      <w:r>
        <w:t>performance is</w:t>
      </w:r>
      <w:r w:rsidRPr="007402D2">
        <w:t xml:space="preserve"> to be determined.</w:t>
      </w:r>
    </w:p>
    <w:p w:rsidR="001A2A28" w:rsidRDefault="001A2A28" w:rsidP="00A83ABC">
      <w:r w:rsidRPr="0049072C">
        <w:rPr>
          <w:b/>
        </w:rPr>
        <w:t>Representative Sample</w:t>
      </w:r>
      <w:r>
        <w:t>:</w:t>
      </w:r>
      <w:r w:rsidRPr="0049072C">
        <w:t xml:space="preserve"> </w:t>
      </w:r>
      <w:r w:rsidRPr="005654C2">
        <w:t>A sample that has approximately the same distribution of characteristics as the populat</w:t>
      </w:r>
      <w:r>
        <w:t>ion from which it was drawn.</w:t>
      </w:r>
    </w:p>
    <w:p w:rsidR="005A1EE3" w:rsidRPr="0049072C" w:rsidRDefault="005A1EE3" w:rsidP="00A83ABC"/>
    <w:p w:rsidR="001A2A28" w:rsidRPr="00C84324" w:rsidRDefault="001A2A28" w:rsidP="00A83ABC">
      <w:pPr>
        <w:spacing w:after="120"/>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S –</w:t>
      </w:r>
    </w:p>
    <w:p w:rsidR="001A2A28" w:rsidRPr="0049072C" w:rsidRDefault="001A2A28" w:rsidP="00A83ABC">
      <w:pPr>
        <w:spacing w:after="120"/>
      </w:pPr>
      <w:r w:rsidRPr="0049072C">
        <w:rPr>
          <w:b/>
        </w:rPr>
        <w:t>Sample</w:t>
      </w:r>
      <w:r>
        <w:t>: A</w:t>
      </w:r>
      <w:r w:rsidRPr="0049072C">
        <w:t xml:space="preserve"> portion of the population selected to represent the whole. Differing evaluation approaches rely on simple or stratified samples (based on some characteristic of the population).</w:t>
      </w:r>
    </w:p>
    <w:p w:rsidR="001A2A28" w:rsidRPr="0049072C" w:rsidRDefault="001A2A28" w:rsidP="00A83ABC">
      <w:pPr>
        <w:spacing w:after="120"/>
      </w:pPr>
      <w:r w:rsidRPr="0049072C">
        <w:rPr>
          <w:b/>
        </w:rPr>
        <w:t>Sample Design</w:t>
      </w:r>
      <w:r>
        <w:t xml:space="preserve">: </w:t>
      </w:r>
      <w:r w:rsidRPr="0049072C">
        <w:t xml:space="preserve">The approach used to select the sample units. </w:t>
      </w:r>
    </w:p>
    <w:p w:rsidR="001A2A28" w:rsidRPr="0049072C" w:rsidRDefault="001A2A28" w:rsidP="00A83ABC">
      <w:pPr>
        <w:spacing w:after="120"/>
      </w:pPr>
      <w:r w:rsidRPr="0049072C">
        <w:rPr>
          <w:b/>
        </w:rPr>
        <w:t>Sampling Error</w:t>
      </w:r>
      <w:r>
        <w:t>:</w:t>
      </w:r>
      <w:r w:rsidRPr="0049072C">
        <w:t xml:space="preserve"> </w:t>
      </w:r>
      <w:r>
        <w:t>The degree of uncertainty that is inherent to statistical inferences about a population that are calculated fr</w:t>
      </w:r>
      <w:r w:rsidR="007A789F">
        <w:t xml:space="preserve">om samples of that population. </w:t>
      </w:r>
      <w:r>
        <w:t>Sampling error results from an inability to observe all occurrences of a measureable quantity that exist in a population</w:t>
      </w:r>
      <w:r w:rsidRPr="0049072C">
        <w:t xml:space="preserve">. </w:t>
      </w:r>
    </w:p>
    <w:p w:rsidR="001A2A28" w:rsidRPr="00D8290D" w:rsidRDefault="001A2A28" w:rsidP="00A83ABC">
      <w:pPr>
        <w:spacing w:after="120"/>
      </w:pPr>
      <w:r w:rsidRPr="0049072C">
        <w:rPr>
          <w:b/>
        </w:rPr>
        <w:lastRenderedPageBreak/>
        <w:t>Simple Random Sample</w:t>
      </w:r>
      <w:r>
        <w:t>:</w:t>
      </w:r>
      <w:r w:rsidRPr="00D8290D">
        <w:t xml:space="preserve"> A method for drawing a sample from a population such that all samples of a given size have </w:t>
      </w:r>
      <w:r>
        <w:t xml:space="preserve">an </w:t>
      </w:r>
      <w:r w:rsidRPr="00D8290D">
        <w:t>equa</w:t>
      </w:r>
      <w:r>
        <w:t>l probability of being drawn.</w:t>
      </w:r>
    </w:p>
    <w:p w:rsidR="001A2A28" w:rsidRPr="0049072C" w:rsidRDefault="001A2A28" w:rsidP="00A83ABC">
      <w:pPr>
        <w:spacing w:after="120"/>
      </w:pPr>
      <w:r w:rsidRPr="0049072C">
        <w:rPr>
          <w:b/>
        </w:rPr>
        <w:t>Snap Back</w:t>
      </w:r>
      <w:r>
        <w:t>:</w:t>
      </w:r>
      <w:r w:rsidRPr="0049072C">
        <w:t xml:space="preserve"> See </w:t>
      </w:r>
      <w:r w:rsidRPr="001F0C5E">
        <w:rPr>
          <w:i/>
        </w:rPr>
        <w:t>Rebound Effect</w:t>
      </w:r>
      <w:r w:rsidRPr="0049072C">
        <w:t>.</w:t>
      </w:r>
    </w:p>
    <w:p w:rsidR="001A2A28" w:rsidRPr="0049072C" w:rsidRDefault="001A2A28" w:rsidP="00A83ABC">
      <w:pPr>
        <w:spacing w:after="120"/>
      </w:pPr>
      <w:r w:rsidRPr="00BD4A91">
        <w:rPr>
          <w:b/>
        </w:rPr>
        <w:t xml:space="preserve">Statistically Adjusted Engineering </w:t>
      </w:r>
      <w:r>
        <w:rPr>
          <w:b/>
        </w:rPr>
        <w:t>M</w:t>
      </w:r>
      <w:r w:rsidRPr="00BD4A91">
        <w:rPr>
          <w:b/>
        </w:rPr>
        <w:t>odels</w:t>
      </w:r>
      <w:r>
        <w:t>:</w:t>
      </w:r>
      <w:r w:rsidRPr="0049072C">
        <w:t xml:space="preserve"> </w:t>
      </w:r>
      <w:r w:rsidRPr="00206F3F">
        <w:t xml:space="preserve">A category of statistical analysis models that incorporate the engineering estimate of savings as a dependent variable. </w:t>
      </w:r>
      <w:r w:rsidRPr="0049072C">
        <w:t xml:space="preserve">The regression coefficient in these models is the percentage of the engineering estimate of savings observed in changes in energy usage. For example, if the coefficient on the </w:t>
      </w:r>
      <w:r>
        <w:t>statistically adjusted e</w:t>
      </w:r>
      <w:r w:rsidRPr="00AA6893">
        <w:t>ngineering</w:t>
      </w:r>
      <w:r w:rsidRPr="0049072C">
        <w:t xml:space="preserve"> term is 0.8, the customers are</w:t>
      </w:r>
      <w:r>
        <w:t>,</w:t>
      </w:r>
      <w:r w:rsidRPr="0049072C">
        <w:t xml:space="preserve"> on average</w:t>
      </w:r>
      <w:r>
        <w:t>,</w:t>
      </w:r>
      <w:r w:rsidRPr="0049072C">
        <w:t xml:space="preserve"> realizing 80% of the savings from their engineering estimates.</w:t>
      </w:r>
    </w:p>
    <w:p w:rsidR="001A2A28" w:rsidRDefault="001A2A28" w:rsidP="00A83ABC">
      <w:pPr>
        <w:spacing w:after="120"/>
      </w:pPr>
      <w:r>
        <w:rPr>
          <w:b/>
        </w:rPr>
        <w:t>Stipulated V</w:t>
      </w:r>
      <w:r w:rsidRPr="00BD4A91">
        <w:rPr>
          <w:b/>
        </w:rPr>
        <w:t>alues</w:t>
      </w:r>
      <w:r>
        <w:t>:</w:t>
      </w:r>
      <w:r w:rsidRPr="0049072C">
        <w:t xml:space="preserve"> </w:t>
      </w:r>
      <w:r w:rsidRPr="00851FC5">
        <w:t xml:space="preserve">See </w:t>
      </w:r>
      <w:r w:rsidRPr="001F0C5E">
        <w:rPr>
          <w:i/>
        </w:rPr>
        <w:t>Deemed Savings</w:t>
      </w:r>
      <w:r w:rsidRPr="00851FC5">
        <w:t xml:space="preserve">. </w:t>
      </w:r>
    </w:p>
    <w:p w:rsidR="001A2A28" w:rsidRPr="0049072C" w:rsidRDefault="001A2A28" w:rsidP="00A83ABC">
      <w:pPr>
        <w:spacing w:after="120"/>
      </w:pPr>
      <w:r w:rsidRPr="00BD4A91">
        <w:rPr>
          <w:b/>
        </w:rPr>
        <w:t>Stratified Random Sampling</w:t>
      </w:r>
      <w:r>
        <w:t>:</w:t>
      </w:r>
      <w:r w:rsidRPr="0049072C">
        <w:t xml:space="preserve"> The population is divided into subpopulations, called </w:t>
      </w:r>
      <w:r w:rsidR="007A789F" w:rsidRPr="0049072C">
        <w:t>strata, which</w:t>
      </w:r>
      <w:r w:rsidRPr="0049072C">
        <w:t xml:space="preserve"> are non-overlapping and together comprise the entire population. A simple random sample of each stratum</w:t>
      </w:r>
      <w:r>
        <w:t xml:space="preserve"> is taken</w:t>
      </w:r>
      <w:r w:rsidRPr="0049072C">
        <w:t xml:space="preserve"> to create a sample based on stratified random sampling.</w:t>
      </w:r>
    </w:p>
    <w:p w:rsidR="001A2A28" w:rsidRPr="0049072C" w:rsidRDefault="001A2A28" w:rsidP="00A83ABC">
      <w:r w:rsidRPr="00BD4A91">
        <w:rPr>
          <w:b/>
        </w:rPr>
        <w:t>Stratified Ratio Estimation</w:t>
      </w:r>
      <w:r>
        <w:t>:</w:t>
      </w:r>
      <w:r w:rsidRPr="0049072C">
        <w:t xml:space="preserve"> A sampling method that combines a stratified sample design with a ratio estimator to reduce the coefficient of variation by using the correlation of a known measure for the unit (e.g.</w:t>
      </w:r>
      <w:r>
        <w:t>,</w:t>
      </w:r>
      <w:r w:rsidRPr="0049072C">
        <w:t xml:space="preserve"> expected energy savings) to stratify the population and allocate </w:t>
      </w:r>
      <w:r>
        <w:t xml:space="preserve">a </w:t>
      </w:r>
      <w:r w:rsidRPr="0049072C">
        <w:t xml:space="preserve">sample from </w:t>
      </w:r>
      <w:r>
        <w:t xml:space="preserve">the </w:t>
      </w:r>
      <w:r w:rsidRPr="0049072C">
        <w:t>strata for optimal sampling.</w:t>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T –</w:t>
      </w:r>
    </w:p>
    <w:p w:rsidR="001A2A28" w:rsidRPr="00851FC5" w:rsidRDefault="001A2A28" w:rsidP="00A83ABC">
      <w:pPr>
        <w:spacing w:after="120"/>
      </w:pPr>
      <w:r>
        <w:rPr>
          <w:b/>
        </w:rPr>
        <w:t>Takeback E</w:t>
      </w:r>
      <w:r w:rsidRPr="00BD4A91">
        <w:rPr>
          <w:b/>
        </w:rPr>
        <w:t>ffect</w:t>
      </w:r>
      <w:r>
        <w:t>:</w:t>
      </w:r>
      <w:r w:rsidRPr="00BD4A91">
        <w:t xml:space="preserve"> </w:t>
      </w:r>
      <w:r>
        <w:t xml:space="preserve">See </w:t>
      </w:r>
      <w:r w:rsidRPr="0062465F">
        <w:rPr>
          <w:i/>
        </w:rPr>
        <w:t>Rebound Effect</w:t>
      </w:r>
      <w:r>
        <w:t>.</w:t>
      </w:r>
    </w:p>
    <w:p w:rsidR="001A2A28" w:rsidRPr="00930554" w:rsidRDefault="001A2A28" w:rsidP="00A83ABC">
      <w:pPr>
        <w:spacing w:after="120"/>
      </w:pPr>
      <w:r w:rsidRPr="00BD4A91">
        <w:rPr>
          <w:b/>
        </w:rPr>
        <w:t>Total Resource Cost (TRC)</w:t>
      </w:r>
      <w:r>
        <w:rPr>
          <w:b/>
        </w:rPr>
        <w:t xml:space="preserve"> </w:t>
      </w:r>
      <w:r w:rsidRPr="00BD4A91">
        <w:rPr>
          <w:b/>
        </w:rPr>
        <w:t>Test</w:t>
      </w:r>
      <w:r>
        <w:t>:</w:t>
      </w:r>
      <w:r w:rsidRPr="00BD4A91">
        <w:t xml:space="preserve"> </w:t>
      </w:r>
      <w:r w:rsidRPr="00912B70">
        <w:t>A cost</w:t>
      </w:r>
      <w:r w:rsidR="00CE0565">
        <w:t>-</w:t>
      </w:r>
      <w:r w:rsidRPr="00912B70">
        <w:t>effectiveness test that measures the net direct economic</w:t>
      </w:r>
      <w:r>
        <w:t xml:space="preserve"> </w:t>
      </w:r>
      <w:r w:rsidRPr="00912B70">
        <w:t xml:space="preserve">impact to the utility service territory, state, or </w:t>
      </w:r>
      <w:r w:rsidRPr="00DB0A89">
        <w:t xml:space="preserve">region. The </w:t>
      </w:r>
      <w:r w:rsidRPr="00AA6893">
        <w:t>TRC Order</w:t>
      </w:r>
      <w:r>
        <w:rPr>
          <w:rStyle w:val="FootnoteReference"/>
        </w:rPr>
        <w:footnoteReference w:id="7"/>
      </w:r>
      <w:r w:rsidRPr="00DB0A89">
        <w:t xml:space="preserve"> details the method and assumptions to be used when calculat</w:t>
      </w:r>
      <w:r>
        <w:t>ing the TRC test for demand-side management programs</w:t>
      </w:r>
      <w:r w:rsidRPr="00930554">
        <w:t xml:space="preserve"> implemented under Act 129. The results of the TRC test are to be expressed as both a </w:t>
      </w:r>
      <w:r w:rsidR="008F69E1">
        <w:t>NPV</w:t>
      </w:r>
      <w:r w:rsidRPr="00930554">
        <w:t xml:space="preserve"> and a benefit</w:t>
      </w:r>
      <w:r w:rsidR="00AB5423">
        <w:t>/</w:t>
      </w:r>
      <w:r w:rsidRPr="00930554">
        <w:t>cost ratio.</w:t>
      </w:r>
    </w:p>
    <w:p w:rsidR="001A2A28" w:rsidRPr="00930554" w:rsidRDefault="001A2A28" w:rsidP="00A83ABC">
      <w:pPr>
        <w:spacing w:after="120"/>
      </w:pPr>
      <w:r w:rsidRPr="00930554">
        <w:rPr>
          <w:b/>
        </w:rPr>
        <w:t xml:space="preserve">Total Resource Cost </w:t>
      </w:r>
      <w:r>
        <w:rPr>
          <w:b/>
        </w:rPr>
        <w:t xml:space="preserve">(TRC) </w:t>
      </w:r>
      <w:r w:rsidRPr="00930554">
        <w:rPr>
          <w:b/>
        </w:rPr>
        <w:t>Test Benefits</w:t>
      </w:r>
      <w:r w:rsidRPr="00930554">
        <w:t>:</w:t>
      </w:r>
      <w:r w:rsidRPr="00930554">
        <w:rPr>
          <w:sz w:val="26"/>
          <w:szCs w:val="26"/>
        </w:rPr>
        <w:t xml:space="preserve"> </w:t>
      </w:r>
      <w:r w:rsidRPr="00930554">
        <w:t xml:space="preserve">Benefits calculated in the TRC test </w:t>
      </w:r>
      <w:r>
        <w:t xml:space="preserve">that </w:t>
      </w:r>
      <w:r w:rsidRPr="00930554">
        <w:t>include the avoided supply costs, such as the reduction in transmission, distribution, generation, and capacity costs</w:t>
      </w:r>
      <w:r>
        <w:t>,</w:t>
      </w:r>
      <w:r w:rsidRPr="00930554">
        <w:t xml:space="preserve"> valued at </w:t>
      </w:r>
      <w:r>
        <w:t xml:space="preserve">a </w:t>
      </w:r>
      <w:r w:rsidRPr="00930554">
        <w:t xml:space="preserve">marginal cost for the periods when there is a consumption reduction. The </w:t>
      </w:r>
      <w:r w:rsidR="007A789F">
        <w:t>Pennsylvania</w:t>
      </w:r>
      <w:r w:rsidR="007A789F" w:rsidRPr="00930554">
        <w:t xml:space="preserve"> </w:t>
      </w:r>
      <w:r w:rsidRPr="00930554">
        <w:t xml:space="preserve">TRC benefits will </w:t>
      </w:r>
      <w:r>
        <w:t>consider</w:t>
      </w:r>
      <w:r w:rsidRPr="00930554">
        <w:t xml:space="preserve"> avoided supply costs</w:t>
      </w:r>
      <w:r>
        <w:t>,</w:t>
      </w:r>
      <w:r w:rsidRPr="00930554">
        <w:t xml:space="preserve"> such as the reduction in forecasted zonal wholesale electric generation prices, ancillary services, losses, generation capacity, transmission capacity, and distribution capacity. The avoided supply costs will be calculated using net program savings, </w:t>
      </w:r>
      <w:r>
        <w:t xml:space="preserve">defined as the </w:t>
      </w:r>
      <w:r w:rsidRPr="00930554">
        <w:t>savings net of changes in energy use that would have happened in the absence of the program. The persistence of savings over time will also be considered in the net savings.</w:t>
      </w:r>
      <w:r w:rsidRPr="00930554">
        <w:rPr>
          <w:rStyle w:val="FootnoteReference"/>
        </w:rPr>
        <w:footnoteReference w:id="8"/>
      </w:r>
    </w:p>
    <w:p w:rsidR="001A2A28" w:rsidRPr="00DB0A89" w:rsidRDefault="001A2A28" w:rsidP="00A83ABC">
      <w:r w:rsidRPr="00930554">
        <w:rPr>
          <w:b/>
        </w:rPr>
        <w:t xml:space="preserve">Total Resource Cost </w:t>
      </w:r>
      <w:r>
        <w:rPr>
          <w:b/>
        </w:rPr>
        <w:t xml:space="preserve">(TRC) </w:t>
      </w:r>
      <w:r w:rsidRPr="00930554">
        <w:rPr>
          <w:b/>
        </w:rPr>
        <w:t xml:space="preserve">Test Costs: </w:t>
      </w:r>
      <w:r w:rsidRPr="00930554">
        <w:t xml:space="preserve">The costs calculated in the TRC test will include the costs of the various programs paid </w:t>
      </w:r>
      <w:r>
        <w:t xml:space="preserve">for </w:t>
      </w:r>
      <w:r w:rsidRPr="00930554">
        <w:t xml:space="preserve">by an </w:t>
      </w:r>
      <w:r>
        <w:t>EDC</w:t>
      </w:r>
      <w:r w:rsidRPr="00930554">
        <w:t xml:space="preserve"> (or </w:t>
      </w:r>
      <w:r>
        <w:t xml:space="preserve">by </w:t>
      </w:r>
      <w:r w:rsidRPr="00930554">
        <w:t xml:space="preserve">a default service provider) and the participating customers, and </w:t>
      </w:r>
      <w:r>
        <w:t xml:space="preserve">costs that </w:t>
      </w:r>
      <w:r w:rsidRPr="00930554">
        <w:t>reflect any</w:t>
      </w:r>
      <w:r w:rsidRPr="00DB0A89">
        <w:t xml:space="preserve"> net change in supply costs for the periods in which consumption is increased in the event of load shifting. Note that the TRC test should u</w:t>
      </w:r>
      <w:r>
        <w:t>se</w:t>
      </w:r>
      <w:r w:rsidRPr="00DB0A89">
        <w:t xml:space="preserve"> the incremental costs of services and equipment. Thus, for example, </w:t>
      </w:r>
      <w:r>
        <w:t xml:space="preserve">this would include costs for </w:t>
      </w:r>
      <w:r w:rsidRPr="00DB0A89">
        <w:t>equipment, installation, operation and maintenance, removal (less salvage value), and administrative</w:t>
      </w:r>
      <w:r>
        <w:t xml:space="preserve"> tasks</w:t>
      </w:r>
      <w:r w:rsidRPr="00DB0A89">
        <w:t>, regardless of who pays for them.</w:t>
      </w:r>
      <w:r>
        <w:rPr>
          <w:rStyle w:val="FootnoteReference"/>
        </w:rPr>
        <w:footnoteReference w:id="9"/>
      </w:r>
    </w:p>
    <w:p w:rsidR="001A2A28" w:rsidRDefault="001A2A28"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U, V –</w:t>
      </w:r>
    </w:p>
    <w:p w:rsidR="001A2A28" w:rsidRDefault="001A2A28" w:rsidP="00A83ABC">
      <w:pPr>
        <w:spacing w:after="120"/>
      </w:pPr>
      <w:r w:rsidRPr="00BD4A91">
        <w:rPr>
          <w:b/>
        </w:rPr>
        <w:t>Uncertainty</w:t>
      </w:r>
      <w:r>
        <w:t>:</w:t>
      </w:r>
      <w:r w:rsidRPr="00BD4A91">
        <w:t xml:space="preserve"> </w:t>
      </w:r>
      <w:r w:rsidRPr="00851FC5">
        <w:t>The range or interval of doubt surrounding a measured or calculated value within which the true value is expected to f</w:t>
      </w:r>
      <w:r>
        <w:t>all with some degree of confidence.</w:t>
      </w:r>
    </w:p>
    <w:p w:rsidR="001A2A28" w:rsidRDefault="001A2A28" w:rsidP="00A83ABC">
      <w:pPr>
        <w:spacing w:after="120"/>
      </w:pPr>
      <w:r w:rsidRPr="00BD4A91">
        <w:rPr>
          <w:b/>
        </w:rPr>
        <w:lastRenderedPageBreak/>
        <w:t>Upstream Program</w:t>
      </w:r>
      <w:r>
        <w:t>:</w:t>
      </w:r>
      <w:r w:rsidRPr="00BD4A91">
        <w:t xml:space="preserve"> A program that provides information and/or financial assistance to entities in the delivery chain of high-efficiency products at the retail, wholesale, or manufacturing level. Such a program is intended to yield lower retail prices for the products.</w:t>
      </w:r>
    </w:p>
    <w:p w:rsidR="001A2A28" w:rsidRPr="0045693F" w:rsidRDefault="001A2A28" w:rsidP="00A83ABC">
      <w:pPr>
        <w:spacing w:after="120"/>
      </w:pPr>
      <w:r w:rsidRPr="00BD4A91">
        <w:rPr>
          <w:b/>
        </w:rPr>
        <w:t>Verification</w:t>
      </w:r>
      <w:r>
        <w:t>:</w:t>
      </w:r>
      <w:r w:rsidRPr="00BD4A91">
        <w:t xml:space="preserve"> </w:t>
      </w:r>
      <w:r w:rsidRPr="007C2084">
        <w:t xml:space="preserve">An independent assessment of the reliability (considering completeness and accuracy) of </w:t>
      </w:r>
      <w:r w:rsidRPr="0045693F">
        <w:t>claimed energy savings or an emissions source inventory.</w:t>
      </w:r>
    </w:p>
    <w:p w:rsidR="008C3783" w:rsidRDefault="008C3783" w:rsidP="00A83ABC">
      <w:pPr>
        <w:rPr>
          <w:b/>
        </w:rPr>
      </w:pPr>
    </w:p>
    <w:p w:rsidR="001A2A28" w:rsidRPr="00C84324" w:rsidRDefault="001A2A28" w:rsidP="00A83ABC">
      <w:pPr>
        <w:spacing w:after="120"/>
        <w:jc w:val="left"/>
        <w:rPr>
          <w:rFonts w:ascii="Century Gothic" w:hAnsi="Century Gothic"/>
          <w:b/>
          <w:color w:val="448A99"/>
          <w:u w:val="single"/>
          <w14:shadow w14:blurRad="50800" w14:dist="38100" w14:dir="13500000" w14:sx="100000" w14:sy="100000" w14:kx="0" w14:ky="0" w14:algn="br">
            <w14:srgbClr w14:val="000000">
              <w14:alpha w14:val="60000"/>
            </w14:srgbClr>
          </w14:shadow>
        </w:rPr>
      </w:pPr>
      <w:r w:rsidRPr="00C84324">
        <w:rPr>
          <w:rFonts w:ascii="Century Gothic" w:hAnsi="Century Gothic"/>
          <w:b/>
          <w:color w:val="448A99"/>
          <w14:shadow w14:blurRad="50800" w14:dist="38100" w14:dir="13500000" w14:sx="100000" w14:sy="100000" w14:kx="0" w14:ky="0" w14:algn="br">
            <w14:srgbClr w14:val="000000">
              <w14:alpha w14:val="60000"/>
            </w14:srgbClr>
          </w14:shadow>
        </w:rPr>
        <w:t xml:space="preserve">– W, X, Y, Z – </w:t>
      </w:r>
    </w:p>
    <w:p w:rsidR="001A2A28" w:rsidRPr="00BD4A91" w:rsidRDefault="001A2A28" w:rsidP="00A83ABC">
      <w:pPr>
        <w:spacing w:after="120"/>
      </w:pPr>
      <w:r w:rsidRPr="00BD4A91">
        <w:rPr>
          <w:b/>
        </w:rPr>
        <w:t>Watt</w:t>
      </w:r>
      <w:r>
        <w:t>:</w:t>
      </w:r>
      <w:r w:rsidRPr="00BD4A91">
        <w:t xml:space="preserve"> A unit of measure of electric power at a point in time as capacity or demand. One </w:t>
      </w:r>
      <w:r>
        <w:t>W</w:t>
      </w:r>
      <w:r w:rsidRPr="00BD4A91">
        <w:t xml:space="preserve">att of power maintained over time is equal to one </w:t>
      </w:r>
      <w:r>
        <w:t>J</w:t>
      </w:r>
      <w:r w:rsidRPr="00BD4A91">
        <w:t xml:space="preserve">oule per second. The </w:t>
      </w:r>
      <w:r>
        <w:t>W</w:t>
      </w:r>
      <w:r w:rsidRPr="00BD4A91">
        <w:t>att is named after Scottish inventor James Watt</w:t>
      </w:r>
      <w:r>
        <w:t>,</w:t>
      </w:r>
      <w:r w:rsidRPr="00BD4A91">
        <w:t xml:space="preserve"> and is shortened to W and used with other abbreviations, as in kWh</w:t>
      </w:r>
      <w:r>
        <w:t xml:space="preserve"> (kilowatt-hours)</w:t>
      </w:r>
      <w:r w:rsidRPr="00BD4A91">
        <w:t>.</w:t>
      </w:r>
    </w:p>
    <w:p w:rsidR="001A2A28" w:rsidRPr="00BD4A91" w:rsidRDefault="001A2A28" w:rsidP="00A83ABC">
      <w:pPr>
        <w:spacing w:after="120"/>
      </w:pPr>
      <w:r w:rsidRPr="00BD4A91">
        <w:rPr>
          <w:b/>
        </w:rPr>
        <w:t>Watt-Hour</w:t>
      </w:r>
      <w:r>
        <w:t>:</w:t>
      </w:r>
      <w:r w:rsidRPr="00BD4A91">
        <w:t xml:space="preserve"> One </w:t>
      </w:r>
      <w:r>
        <w:t>W</w:t>
      </w:r>
      <w:r w:rsidRPr="00BD4A91">
        <w:t>att of power expended for one hour. One</w:t>
      </w:r>
      <w:r>
        <w:t>-</w:t>
      </w:r>
      <w:r w:rsidRPr="00BD4A91">
        <w:t>thousandth of a kilowatt-hour.</w:t>
      </w:r>
    </w:p>
    <w:p w:rsidR="001A2A28" w:rsidRPr="00BD4A91" w:rsidRDefault="001A2A28" w:rsidP="00A83ABC">
      <w:pPr>
        <w:spacing w:after="120"/>
      </w:pPr>
      <w:r w:rsidRPr="00BD4A91">
        <w:rPr>
          <w:b/>
        </w:rPr>
        <w:t>Whole-</w:t>
      </w:r>
      <w:r>
        <w:rPr>
          <w:b/>
        </w:rPr>
        <w:t>b</w:t>
      </w:r>
      <w:r w:rsidRPr="00BD4A91">
        <w:rPr>
          <w:b/>
        </w:rPr>
        <w:t>uilding Calibrated Simulation Approach</w:t>
      </w:r>
      <w:r>
        <w:t>:</w:t>
      </w:r>
      <w:r w:rsidRPr="00BD4A91">
        <w:t xml:space="preserve"> A savings measurement approach (defined in </w:t>
      </w:r>
      <w:r w:rsidRPr="002F5C36">
        <w:t>the International Performance Measurement and Verification Protocol</w:t>
      </w:r>
      <w:r w:rsidR="00111BEB">
        <w:t xml:space="preserve"> (IPMVP),</w:t>
      </w:r>
      <w:r w:rsidRPr="002F5C36">
        <w:t xml:space="preserve"> </w:t>
      </w:r>
      <w:r w:rsidRPr="00BD4A91">
        <w:t>Option D and</w:t>
      </w:r>
      <w:r>
        <w:t xml:space="preserve"> in</w:t>
      </w:r>
      <w:r w:rsidRPr="00BD4A91">
        <w:t xml:space="preserve"> </w:t>
      </w:r>
      <w:r>
        <w:t xml:space="preserve">the </w:t>
      </w:r>
      <w:r w:rsidRPr="002F5C36">
        <w:rPr>
          <w:bCs/>
        </w:rPr>
        <w:t>American Society of Heating, Refrigerating and Air-Conditioning Engineers</w:t>
      </w:r>
      <w:r w:rsidR="00111BEB">
        <w:rPr>
          <w:bCs/>
        </w:rPr>
        <w:t xml:space="preserve"> (ASHRAE)</w:t>
      </w:r>
      <w:r w:rsidRPr="002F5C36">
        <w:t xml:space="preserve"> </w:t>
      </w:r>
      <w:r w:rsidRPr="00BD4A91">
        <w:t>Guideline 14) that involves the use of an approved computer simulation program to develop a physical model of the building in order to determine energy and demand savings. The simulation program is used to model the energy used by the facility before and after the retrofit. The pre</w:t>
      </w:r>
      <w:r>
        <w:t>-</w:t>
      </w:r>
      <w:r w:rsidRPr="00BD4A91">
        <w:t xml:space="preserve"> or post-retrofit models are developed by calibration with measured energy use</w:t>
      </w:r>
      <w:r>
        <w:t>,</w:t>
      </w:r>
      <w:r w:rsidRPr="00BD4A91">
        <w:t xml:space="preserve"> demand data</w:t>
      </w:r>
      <w:r>
        <w:t>,</w:t>
      </w:r>
      <w:r w:rsidRPr="00BD4A91">
        <w:t xml:space="preserve"> and weather data.</w:t>
      </w:r>
    </w:p>
    <w:p w:rsidR="001A2A28" w:rsidRDefault="001A2A28" w:rsidP="00A83ABC">
      <w:r w:rsidRPr="00BD4A91">
        <w:rPr>
          <w:b/>
        </w:rPr>
        <w:t>Whole-</w:t>
      </w:r>
      <w:r>
        <w:rPr>
          <w:b/>
        </w:rPr>
        <w:t>b</w:t>
      </w:r>
      <w:r w:rsidRPr="00BD4A91">
        <w:rPr>
          <w:b/>
        </w:rPr>
        <w:t>uilding Metered Approach</w:t>
      </w:r>
      <w:r>
        <w:t>:</w:t>
      </w:r>
      <w:r w:rsidRPr="00BD4A91">
        <w:t xml:space="preserve"> A savings measurement approach (defined in the </w:t>
      </w:r>
      <w:r w:rsidR="00111BEB">
        <w:t>IPMVP,</w:t>
      </w:r>
      <w:r w:rsidRPr="00BD4A91">
        <w:t xml:space="preserve"> Option C and </w:t>
      </w:r>
      <w:r>
        <w:t>in</w:t>
      </w:r>
      <w:r w:rsidRPr="00BD4A91">
        <w:t xml:space="preserve"> </w:t>
      </w:r>
      <w:r>
        <w:t xml:space="preserve">the </w:t>
      </w:r>
      <w:r w:rsidR="00111BEB">
        <w:rPr>
          <w:bCs/>
        </w:rPr>
        <w:t>ASHRAE</w:t>
      </w:r>
      <w:r w:rsidRPr="00BD4A91">
        <w:t xml:space="preserve"> Guideline 14) that determines energy and demand savings through the use of whole-facility energy (end</w:t>
      </w:r>
      <w:r w:rsidR="007607F3">
        <w:t>-</w:t>
      </w:r>
      <w:r w:rsidRPr="00BD4A91">
        <w:t>use) data, which may be measured by utility meters or data loggers. This approach may involve the use of monthly utility billing data or data gathered more frequently from a main meter.</w:t>
      </w:r>
    </w:p>
    <w:p w:rsidR="001A2A28" w:rsidRDefault="001A2A28" w:rsidP="00A83ABC">
      <w:pPr>
        <w:rPr>
          <w:b/>
        </w:rPr>
      </w:pPr>
    </w:p>
    <w:p w:rsidR="001A2A28" w:rsidRPr="002977D3" w:rsidRDefault="001A2A28" w:rsidP="00A83ABC">
      <w:pPr>
        <w:spacing w:after="60"/>
        <w:rPr>
          <w:rFonts w:ascii="Century Gothic" w:hAnsi="Century Gothic"/>
          <w:b/>
          <w:u w:val="single"/>
        </w:rPr>
      </w:pPr>
      <w:r w:rsidRPr="002977D3">
        <w:rPr>
          <w:rFonts w:ascii="Century Gothic" w:hAnsi="Century Gothic"/>
          <w:b/>
          <w:u w:val="single"/>
        </w:rPr>
        <w:t>References</w:t>
      </w:r>
    </w:p>
    <w:p w:rsidR="001A2A28" w:rsidRDefault="001A2A28" w:rsidP="00A83ABC">
      <w:pPr>
        <w:spacing w:after="120"/>
      </w:pPr>
      <w:r>
        <w:t xml:space="preserve">Pennsylvania Public Utility Commission. </w:t>
      </w:r>
      <w:r w:rsidRPr="00DF0BA5">
        <w:rPr>
          <w:i/>
        </w:rPr>
        <w:t>Implementation of Act 129 of 2009 – Total Resource Cost Test Order</w:t>
      </w:r>
      <w:r>
        <w:t>. Docket No. M-2009-2108601. Issued June 18, 2009.</w:t>
      </w:r>
    </w:p>
    <w:p w:rsidR="001A2A28" w:rsidRDefault="001A2A28" w:rsidP="00A83ABC">
      <w:r w:rsidRPr="00950670">
        <w:t xml:space="preserve">PAH Associations, prepared by Paul Horowitz. Facilitated by the Northeast Energy Efficiency Partnership. </w:t>
      </w:r>
      <w:r w:rsidRPr="00FA7C86">
        <w:t>Glossary of Terms Version 1.0</w:t>
      </w:r>
      <w:r w:rsidRPr="00950670">
        <w:t>. A project of the Regional Evaluation, Measurement and Verification Forum. March 2009.</w:t>
      </w:r>
    </w:p>
    <w:p w:rsidR="00CA23C3" w:rsidRDefault="00CA23C3" w:rsidP="00A83ABC">
      <w:pPr>
        <w:jc w:val="left"/>
      </w:pPr>
    </w:p>
    <w:p w:rsidR="00CA23C3" w:rsidRPr="009D2C1F" w:rsidRDefault="00CA23C3" w:rsidP="00A83ABC">
      <w:pPr>
        <w:jc w:val="left"/>
        <w:sectPr w:rsidR="00CA23C3" w:rsidRPr="009D2C1F" w:rsidSect="00427CE3">
          <w:headerReference w:type="default" r:id="rId24"/>
          <w:footerReference w:type="default" r:id="rId25"/>
          <w:pgSz w:w="12240" w:h="15840"/>
          <w:pgMar w:top="1440" w:right="1440" w:bottom="1170" w:left="1440" w:header="720" w:footer="720" w:gutter="0"/>
          <w:pgNumType w:fmt="lowerRoman" w:start="1"/>
          <w:cols w:space="720"/>
          <w:docGrid w:linePitch="360"/>
        </w:sectPr>
      </w:pPr>
    </w:p>
    <w:p w:rsidR="0005698E" w:rsidRPr="00CF2BE5" w:rsidRDefault="0005698E" w:rsidP="00A83ABC">
      <w:pPr>
        <w:pStyle w:val="Heading1"/>
      </w:pPr>
      <w:bookmarkStart w:id="3" w:name="_Toc407808662"/>
      <w:bookmarkStart w:id="4" w:name="_Toc412628360"/>
      <w:bookmarkEnd w:id="1"/>
      <w:bookmarkEnd w:id="2"/>
      <w:r w:rsidRPr="00CF2BE5">
        <w:lastRenderedPageBreak/>
        <w:t>Executive Summary</w:t>
      </w:r>
      <w:bookmarkEnd w:id="3"/>
      <w:bookmarkEnd w:id="4"/>
      <w:r w:rsidRPr="00CF2BE5">
        <w:t xml:space="preserve"> </w:t>
      </w:r>
    </w:p>
    <w:p w:rsidR="00021AE6" w:rsidRDefault="00037A03" w:rsidP="00A83ABC">
      <w:pPr>
        <w:spacing w:after="120"/>
        <w:rPr>
          <w:lang w:eastAsia="x-none"/>
        </w:rPr>
      </w:pPr>
      <w:r>
        <w:rPr>
          <w:lang w:eastAsia="x-none"/>
        </w:rPr>
        <w:t>Demand Response</w:t>
      </w:r>
      <w:r w:rsidR="00021AE6">
        <w:rPr>
          <w:lang w:eastAsia="x-none"/>
        </w:rPr>
        <w:t xml:space="preserve"> (DR) is a demand-side management (DSM) tool for electric utilities, similar to energy efficiency</w:t>
      </w:r>
      <w:r w:rsidR="0061192C">
        <w:rPr>
          <w:lang w:eastAsia="x-none"/>
        </w:rPr>
        <w:t xml:space="preserve"> (EE)</w:t>
      </w:r>
      <w:r w:rsidR="00021AE6">
        <w:rPr>
          <w:lang w:eastAsia="x-none"/>
        </w:rPr>
        <w:t xml:space="preserve">, which is intended to reduce the costs associated with maintaining power system reliability and meeting future capacity needs. </w:t>
      </w:r>
      <w:r w:rsidR="00A158B7">
        <w:t xml:space="preserve">In its February 2014 Demand Response Implementation Order, the Commission directed the Statewide Evaluator (SWE) to conduct a </w:t>
      </w:r>
      <w:r w:rsidR="000F4A74">
        <w:t>DR</w:t>
      </w:r>
      <w:r w:rsidR="00A158B7">
        <w:t xml:space="preserve"> potential study during Phase II of Act 129.</w:t>
      </w:r>
      <w:r w:rsidR="00A158B7">
        <w:rPr>
          <w:rStyle w:val="FootnoteReference"/>
        </w:rPr>
        <w:footnoteReference w:id="10"/>
      </w:r>
      <w:r w:rsidR="00A158B7">
        <w:t xml:space="preserve"> </w:t>
      </w:r>
      <w:r w:rsidR="00021AE6">
        <w:t xml:space="preserve">The SWE Team has conducted </w:t>
      </w:r>
      <w:r w:rsidR="00AC658C">
        <w:t>this</w:t>
      </w:r>
      <w:r w:rsidR="00021AE6">
        <w:t xml:space="preserve"> study</w:t>
      </w:r>
      <w:r w:rsidR="00CC6B58">
        <w:rPr>
          <w:rStyle w:val="FootnoteReference"/>
        </w:rPr>
        <w:footnoteReference w:id="11"/>
      </w:r>
      <w:r w:rsidR="00021AE6">
        <w:t xml:space="preserve"> which</w:t>
      </w:r>
      <w:r w:rsidR="00021AE6">
        <w:rPr>
          <w:lang w:eastAsia="x-none"/>
        </w:rPr>
        <w:t xml:space="preserve">: </w:t>
      </w:r>
    </w:p>
    <w:p w:rsidR="00021AE6" w:rsidRDefault="00021AE6" w:rsidP="00A83ABC">
      <w:pPr>
        <w:pStyle w:val="ListParagraph"/>
        <w:numPr>
          <w:ilvl w:val="0"/>
          <w:numId w:val="8"/>
        </w:numPr>
        <w:ind w:left="360"/>
      </w:pPr>
      <w:r>
        <w:rPr>
          <w:lang w:eastAsia="x-none"/>
        </w:rPr>
        <w:t xml:space="preserve">Estimates the amount of </w:t>
      </w:r>
      <w:r w:rsidR="00037A03">
        <w:rPr>
          <w:lang w:eastAsia="x-none"/>
        </w:rPr>
        <w:t>DR</w:t>
      </w:r>
      <w:r>
        <w:rPr>
          <w:lang w:eastAsia="x-none"/>
        </w:rPr>
        <w:t xml:space="preserve"> potential that exists in each of the seven investor-owned Pennsylvania electric distribution company (EDC) service territories</w:t>
      </w:r>
      <w:r>
        <w:rPr>
          <w:rStyle w:val="FootnoteReference"/>
          <w:lang w:eastAsia="x-none"/>
        </w:rPr>
        <w:footnoteReference w:id="12"/>
      </w:r>
      <w:r>
        <w:rPr>
          <w:lang w:eastAsia="x-none"/>
        </w:rPr>
        <w:t xml:space="preserve"> </w:t>
      </w:r>
    </w:p>
    <w:p w:rsidR="00021AE6" w:rsidRDefault="00021AE6" w:rsidP="00A83ABC">
      <w:pPr>
        <w:pStyle w:val="ListParagraph"/>
        <w:numPr>
          <w:ilvl w:val="0"/>
          <w:numId w:val="8"/>
        </w:numPr>
        <w:ind w:left="360"/>
      </w:pPr>
      <w:r>
        <w:rPr>
          <w:lang w:eastAsia="x-none"/>
        </w:rPr>
        <w:t xml:space="preserve">Examines the costs and benefits of pursuing statewide policies that may encourage the development and deployment of </w:t>
      </w:r>
      <w:r w:rsidR="00037A03">
        <w:rPr>
          <w:lang w:eastAsia="x-none"/>
        </w:rPr>
        <w:t>DR</w:t>
      </w:r>
      <w:r>
        <w:rPr>
          <w:lang w:eastAsia="x-none"/>
        </w:rPr>
        <w:t xml:space="preserve"> resources during Phase III of Act 129. </w:t>
      </w:r>
    </w:p>
    <w:p w:rsidR="00021AE6" w:rsidRDefault="00021AE6" w:rsidP="00A83ABC">
      <w:pPr>
        <w:pStyle w:val="ListParagraph"/>
        <w:ind w:left="360"/>
      </w:pPr>
    </w:p>
    <w:p w:rsidR="00021AE6" w:rsidRDefault="00021AE6" w:rsidP="00A83ABC">
      <w:r>
        <w:t xml:space="preserve">The SWE Team communicated its analytical approach for this study to the Pennsylvania Public Utility Commission (PA PUC) Technical Utility Services (TUS) staff and the Act 129 Stakeholders and has sought continuous feedback and comment from those groups. As a result of this collaboration, the SWE </w:t>
      </w:r>
      <w:r w:rsidR="0045410E">
        <w:t xml:space="preserve">Team </w:t>
      </w:r>
      <w:r>
        <w:t xml:space="preserve">has prepared a thorough analysis to estimate the </w:t>
      </w:r>
      <w:r w:rsidR="00037A03">
        <w:t>DR</w:t>
      </w:r>
      <w:r>
        <w:t xml:space="preserve"> potential for Phase III of Act 129 for the period June 1, 2016, through May 31, 2021. </w:t>
      </w:r>
    </w:p>
    <w:p w:rsidR="00021AE6" w:rsidRDefault="00021AE6" w:rsidP="00A83ABC">
      <w:pPr>
        <w:rPr>
          <w:lang w:eastAsia="x-none"/>
        </w:rPr>
      </w:pPr>
    </w:p>
    <w:p w:rsidR="007E397A" w:rsidRDefault="00021AE6" w:rsidP="00A83ABC">
      <w:r>
        <w:rPr>
          <w:lang w:eastAsia="x-none"/>
        </w:rPr>
        <w:t xml:space="preserve">We refer to our estimates as </w:t>
      </w:r>
      <w:r w:rsidR="00037A03">
        <w:rPr>
          <w:lang w:eastAsia="x-none"/>
        </w:rPr>
        <w:t>DR</w:t>
      </w:r>
      <w:r>
        <w:rPr>
          <w:lang w:eastAsia="x-none"/>
        </w:rPr>
        <w:t xml:space="preserve"> potential, but it </w:t>
      </w:r>
      <w:r>
        <w:t xml:space="preserve">does not fit neatly into the categories typically applied to </w:t>
      </w:r>
      <w:r w:rsidR="00857521">
        <w:t>EE</w:t>
      </w:r>
      <w:r>
        <w:t xml:space="preserve"> potential. While </w:t>
      </w:r>
      <w:r w:rsidR="00857521">
        <w:t>EE</w:t>
      </w:r>
      <w:r>
        <w:t xml:space="preserve"> can be thought of as “doing the same thing for less,” </w:t>
      </w:r>
      <w:r w:rsidR="00037A03">
        <w:t>DR</w:t>
      </w:r>
      <w:r w:rsidR="0028301F">
        <w:t xml:space="preserve"> might be considered </w:t>
      </w:r>
      <w:r>
        <w:t xml:space="preserve">“doing less.” </w:t>
      </w:r>
      <w:r w:rsidR="00037A03">
        <w:t>DR</w:t>
      </w:r>
      <w:r>
        <w:t xml:space="preserve"> calls for a temporary reduction in customer demand for electricity and may be either active or passive. According to PJM Interconnection, LLC (PJM), </w:t>
      </w:r>
      <w:r w:rsidR="00037A03">
        <w:t>DR</w:t>
      </w:r>
      <w:r>
        <w:t xml:space="preserve"> typically occurs as a result of power grid needs, economic signals from a competitive wholesale market, or customers responding to special retail rates.</w:t>
      </w:r>
    </w:p>
    <w:p w:rsidR="007E397A" w:rsidRDefault="007E397A" w:rsidP="00A83ABC"/>
    <w:p w:rsidR="007E397A" w:rsidRDefault="007E397A" w:rsidP="00A83ABC">
      <w:r>
        <w:t xml:space="preserve">The study initially considered the standard four levels of </w:t>
      </w:r>
      <w:r w:rsidR="00857521">
        <w:t>EE</w:t>
      </w:r>
      <w:r>
        <w:t xml:space="preserve"> potential – technical, economic, achi</w:t>
      </w:r>
      <w:r w:rsidR="00AD7E52">
        <w:t xml:space="preserve">evable and program – </w:t>
      </w:r>
      <w:r>
        <w:t xml:space="preserve">as they relate to DR. We determined that the concept of technical potential used for estimating </w:t>
      </w:r>
      <w:r w:rsidR="00857521">
        <w:t>EE</w:t>
      </w:r>
      <w:r>
        <w:t xml:space="preserve"> potential does not have a counterpart for </w:t>
      </w:r>
      <w:r w:rsidR="00037A03">
        <w:t>DR</w:t>
      </w:r>
      <w:r>
        <w:t xml:space="preserve">. For enough money, homes and businesses will forego virtually all electric demand temporarily. This report does not attempt to quantify technical potential for </w:t>
      </w:r>
      <w:r w:rsidR="00037A03">
        <w:t>DR</w:t>
      </w:r>
      <w:r>
        <w:t>.</w:t>
      </w:r>
    </w:p>
    <w:p w:rsidR="007E397A" w:rsidRDefault="007E397A" w:rsidP="00A83ABC"/>
    <w:p w:rsidR="007E397A" w:rsidRDefault="00037A03" w:rsidP="00A83ABC">
      <w:r>
        <w:t>DR</w:t>
      </w:r>
      <w:r w:rsidR="007E397A">
        <w:t xml:space="preserve"> is based on consuming less electricity. If the total benefit the power grid enjoys from reduced demand by its customers is greater than the total amount of compensation desired by those customers, then the </w:t>
      </w:r>
      <w:r>
        <w:t>DR</w:t>
      </w:r>
      <w:r w:rsidR="007E397A">
        <w:t xml:space="preserve"> potential is economically efficient. This is the basis of economic potential for </w:t>
      </w:r>
      <w:r>
        <w:t>DR</w:t>
      </w:r>
      <w:r w:rsidR="007E397A">
        <w:t xml:space="preserve">: determine the level of </w:t>
      </w:r>
      <w:r>
        <w:t>DR</w:t>
      </w:r>
      <w:r w:rsidR="007E397A">
        <w:t xml:space="preserve"> customer incentives that maximizes the present value</w:t>
      </w:r>
      <w:r w:rsidR="00532DDB">
        <w:t xml:space="preserve"> (PV)</w:t>
      </w:r>
      <w:r w:rsidR="007E397A">
        <w:t xml:space="preserve"> of net benefits.</w:t>
      </w:r>
    </w:p>
    <w:p w:rsidR="007E397A" w:rsidRDefault="007E397A" w:rsidP="00A83ABC"/>
    <w:p w:rsidR="007E397A" w:rsidRDefault="007E397A" w:rsidP="00A83ABC">
      <w:r>
        <w:t xml:space="preserve">Achievable potential for DR is the most similar to its </w:t>
      </w:r>
      <w:r w:rsidR="00857521">
        <w:t>EE</w:t>
      </w:r>
      <w:r w:rsidR="008F69E1">
        <w:t xml:space="preserve"> counterpart. </w:t>
      </w:r>
      <w:r>
        <w:t xml:space="preserve">Achievable potential seeks to account for additional market factors that can modify the economic potential of </w:t>
      </w:r>
      <w:r w:rsidR="00037A03">
        <w:t>DR</w:t>
      </w:r>
      <w:r>
        <w:t xml:space="preserve"> </w:t>
      </w:r>
      <w:r w:rsidR="00CB5ECF">
        <w:t xml:space="preserve">under </w:t>
      </w:r>
      <w:r>
        <w:t>a given</w:t>
      </w:r>
      <w:r w:rsidR="00A60793">
        <w:t xml:space="preserve"> </w:t>
      </w:r>
      <w:r w:rsidR="00CE0565">
        <w:t>cost-effective</w:t>
      </w:r>
      <w:r>
        <w:t xml:space="preserve"> rate of compensation for demand reductions.</w:t>
      </w:r>
    </w:p>
    <w:p w:rsidR="007E397A" w:rsidRDefault="007E397A" w:rsidP="00A83ABC"/>
    <w:p w:rsidR="007E397A" w:rsidRDefault="007E397A" w:rsidP="00A83ABC">
      <w:r>
        <w:lastRenderedPageBreak/>
        <w:t xml:space="preserve">The final package of compensation that </w:t>
      </w:r>
      <w:r w:rsidR="00037A03">
        <w:t>DR</w:t>
      </w:r>
      <w:r>
        <w:t xml:space="preserve"> beneficiaries are able to offer </w:t>
      </w:r>
      <w:r w:rsidR="00037A03">
        <w:t>DR</w:t>
      </w:r>
      <w:r>
        <w:t xml:space="preserve"> providers can also limit potential. We refer to this package of compensation as the program potential for </w:t>
      </w:r>
      <w:r w:rsidR="00037A03">
        <w:t>DR</w:t>
      </w:r>
      <w:r>
        <w:t>.</w:t>
      </w:r>
    </w:p>
    <w:p w:rsidR="007E397A" w:rsidRDefault="007E397A" w:rsidP="00A83ABC"/>
    <w:p w:rsidR="007E397A" w:rsidRDefault="00021AE6" w:rsidP="00A83ABC">
      <w:r>
        <w:t>The SWE Team considered four hypothetical budget allocations of the 2% spending cap</w:t>
      </w:r>
      <w:r w:rsidR="00EC4CEE">
        <w:rPr>
          <w:rStyle w:val="FootnoteReference"/>
        </w:rPr>
        <w:footnoteReference w:id="13"/>
      </w:r>
      <w:r>
        <w:t xml:space="preserve"> between </w:t>
      </w:r>
      <w:r w:rsidR="00857521">
        <w:t>EE</w:t>
      </w:r>
      <w:r>
        <w:t xml:space="preserve"> and </w:t>
      </w:r>
      <w:r w:rsidR="00037A03">
        <w:t>DR</w:t>
      </w:r>
      <w:r>
        <w:t xml:space="preserve">. The annual budget available for </w:t>
      </w:r>
      <w:r w:rsidR="00037A03">
        <w:t>DR</w:t>
      </w:r>
      <w:r>
        <w:t xml:space="preserve"> under each scenario is presented in</w:t>
      </w:r>
      <w:r w:rsidR="0099272E">
        <w:t xml:space="preserve"> </w:t>
      </w:r>
      <w:r w:rsidR="0099272E">
        <w:fldChar w:fldCharType="begin"/>
      </w:r>
      <w:r w:rsidR="0099272E">
        <w:instrText xml:space="preserve"> REF _Ref407781290 \h </w:instrText>
      </w:r>
      <w:r w:rsidR="0099272E">
        <w:fldChar w:fldCharType="separate"/>
      </w:r>
      <w:r w:rsidR="00803DBE">
        <w:t xml:space="preserve">Table </w:t>
      </w:r>
      <w:r w:rsidR="00803DBE">
        <w:rPr>
          <w:noProof/>
        </w:rPr>
        <w:t>1</w:t>
      </w:r>
      <w:r w:rsidR="00803DBE">
        <w:noBreakHyphen/>
      </w:r>
      <w:r w:rsidR="00803DBE">
        <w:rPr>
          <w:noProof/>
        </w:rPr>
        <w:t>1</w:t>
      </w:r>
      <w:r w:rsidR="0099272E">
        <w:fldChar w:fldCharType="end"/>
      </w:r>
      <w:r w:rsidR="0099272E">
        <w:t>.</w:t>
      </w:r>
    </w:p>
    <w:p w:rsidR="007E397A" w:rsidRPr="0082457F" w:rsidRDefault="007E397A" w:rsidP="00A83ABC"/>
    <w:p w:rsidR="00021AE6" w:rsidRDefault="00021AE6" w:rsidP="00A83ABC">
      <w:pPr>
        <w:pStyle w:val="Caption"/>
        <w:keepNext/>
      </w:pPr>
      <w:bookmarkStart w:id="5" w:name="_Ref407781290"/>
      <w:bookmarkStart w:id="6" w:name="_Toc412628435"/>
      <w:r>
        <w:t>Table</w:t>
      </w:r>
      <w:r w:rsidR="007E397A">
        <w:t xml:space="preserv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w:t>
      </w:r>
      <w:r w:rsidR="00E2011B">
        <w:rPr>
          <w:noProof/>
        </w:rPr>
        <w:fldChar w:fldCharType="end"/>
      </w:r>
      <w:bookmarkEnd w:id="5"/>
      <w:r w:rsidR="007E397A">
        <w:t xml:space="preserve">: </w:t>
      </w:r>
      <w:r>
        <w:t>Annual DR Budget for Program Potential Scenarios</w:t>
      </w:r>
      <w:bookmarkEnd w:id="6"/>
    </w:p>
    <w:tbl>
      <w:tblPr>
        <w:tblStyle w:val="MediumShading1-Accent5"/>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00"/>
        <w:gridCol w:w="1890"/>
        <w:gridCol w:w="1890"/>
        <w:gridCol w:w="1890"/>
        <w:gridCol w:w="1890"/>
      </w:tblGrid>
      <w:tr w:rsidR="007E397A" w:rsidTr="00AB345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shd w:val="clear" w:color="auto" w:fill="448A99"/>
            <w:noWrap/>
            <w:vAlign w:val="bottom"/>
            <w:hideMark/>
          </w:tcPr>
          <w:p w:rsidR="007E397A" w:rsidRDefault="007E397A" w:rsidP="00A83ABC">
            <w:pPr>
              <w:jc w:val="left"/>
              <w:rPr>
                <w:rFonts w:ascii="Calibri" w:eastAsia="Times New Roman" w:hAnsi="Calibri" w:cs="Times New Roman"/>
                <w:color w:val="FFFFFF"/>
                <w:sz w:val="20"/>
                <w:szCs w:val="20"/>
              </w:rPr>
            </w:pPr>
            <w:r>
              <w:rPr>
                <w:rFonts w:ascii="Calibri" w:eastAsia="Times New Roman" w:hAnsi="Calibri" w:cs="Times New Roman"/>
                <w:color w:val="FFFFFF"/>
                <w:sz w:val="20"/>
                <w:szCs w:val="20"/>
              </w:rPr>
              <w:t>EDC</w:t>
            </w:r>
          </w:p>
        </w:tc>
        <w:tc>
          <w:tcPr>
            <w:tcW w:w="1890" w:type="dxa"/>
            <w:tcBorders>
              <w:top w:val="single" w:sz="8" w:space="0" w:color="448A99"/>
              <w:left w:val="single" w:sz="8" w:space="0" w:color="448A99"/>
              <w:bottom w:val="single" w:sz="8" w:space="0" w:color="448A99"/>
              <w:right w:val="single" w:sz="8" w:space="0" w:color="448A99"/>
            </w:tcBorders>
            <w:shd w:val="clear" w:color="auto" w:fill="448A99"/>
            <w:noWrap/>
            <w:vAlign w:val="bottom"/>
            <w:hideMark/>
          </w:tcPr>
          <w:p w:rsidR="0061192C"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 xml:space="preserve">100% </w:t>
            </w:r>
            <w:r w:rsidR="00857521">
              <w:rPr>
                <w:rFonts w:ascii="Calibri" w:eastAsia="Times New Roman" w:hAnsi="Calibri" w:cs="Times New Roman"/>
                <w:color w:val="FFFFFF"/>
                <w:sz w:val="20"/>
                <w:szCs w:val="20"/>
              </w:rPr>
              <w:t>EE</w:t>
            </w:r>
            <w:r w:rsidR="00021AE6">
              <w:rPr>
                <w:rFonts w:ascii="Calibri" w:eastAsia="Times New Roman" w:hAnsi="Calibri" w:cs="Times New Roman"/>
                <w:color w:val="FFFFFF"/>
                <w:sz w:val="20"/>
                <w:szCs w:val="20"/>
              </w:rPr>
              <w:t>,</w:t>
            </w:r>
          </w:p>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0% DR</w:t>
            </w:r>
          </w:p>
        </w:tc>
        <w:tc>
          <w:tcPr>
            <w:tcW w:w="1890" w:type="dxa"/>
            <w:tcBorders>
              <w:top w:val="single" w:sz="8" w:space="0" w:color="448A99"/>
              <w:left w:val="single" w:sz="8" w:space="0" w:color="448A99"/>
              <w:bottom w:val="single" w:sz="8" w:space="0" w:color="448A99"/>
              <w:right w:val="single" w:sz="8" w:space="0" w:color="448A99"/>
            </w:tcBorders>
            <w:shd w:val="clear" w:color="auto" w:fill="448A99"/>
            <w:noWrap/>
            <w:vAlign w:val="bottom"/>
            <w:hideMark/>
          </w:tcPr>
          <w:p w:rsidR="0061192C"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 xml:space="preserve">90% </w:t>
            </w:r>
            <w:r w:rsidR="00857521">
              <w:rPr>
                <w:rFonts w:ascii="Calibri" w:eastAsia="Times New Roman" w:hAnsi="Calibri" w:cs="Times New Roman"/>
                <w:color w:val="FFFFFF"/>
                <w:sz w:val="20"/>
                <w:szCs w:val="20"/>
              </w:rPr>
              <w:t>EE</w:t>
            </w:r>
            <w:r>
              <w:rPr>
                <w:rFonts w:ascii="Calibri" w:eastAsia="Times New Roman" w:hAnsi="Calibri" w:cs="Times New Roman"/>
                <w:color w:val="FFFFFF"/>
                <w:sz w:val="20"/>
                <w:szCs w:val="20"/>
              </w:rPr>
              <w:t>,</w:t>
            </w:r>
          </w:p>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10% DR</w:t>
            </w:r>
          </w:p>
        </w:tc>
        <w:tc>
          <w:tcPr>
            <w:tcW w:w="1890" w:type="dxa"/>
            <w:tcBorders>
              <w:top w:val="single" w:sz="8" w:space="0" w:color="448A99"/>
              <w:left w:val="single" w:sz="8" w:space="0" w:color="448A99"/>
              <w:bottom w:val="single" w:sz="8" w:space="0" w:color="448A99"/>
              <w:right w:val="single" w:sz="8" w:space="0" w:color="448A99"/>
            </w:tcBorders>
            <w:shd w:val="clear" w:color="auto" w:fill="448A99"/>
            <w:noWrap/>
            <w:vAlign w:val="bottom"/>
            <w:hideMark/>
          </w:tcPr>
          <w:p w:rsidR="0061192C"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 xml:space="preserve">85% </w:t>
            </w:r>
            <w:r w:rsidR="00857521">
              <w:rPr>
                <w:rFonts w:ascii="Calibri" w:eastAsia="Times New Roman" w:hAnsi="Calibri" w:cs="Times New Roman"/>
                <w:color w:val="FFFFFF"/>
                <w:sz w:val="20"/>
                <w:szCs w:val="20"/>
              </w:rPr>
              <w:t>EE</w:t>
            </w:r>
            <w:r>
              <w:rPr>
                <w:rFonts w:ascii="Calibri" w:eastAsia="Times New Roman" w:hAnsi="Calibri" w:cs="Times New Roman"/>
                <w:color w:val="FFFFFF"/>
                <w:sz w:val="20"/>
                <w:szCs w:val="20"/>
              </w:rPr>
              <w:t>,</w:t>
            </w:r>
          </w:p>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15% DR</w:t>
            </w:r>
          </w:p>
        </w:tc>
        <w:tc>
          <w:tcPr>
            <w:tcW w:w="1890" w:type="dxa"/>
            <w:tcBorders>
              <w:top w:val="single" w:sz="8" w:space="0" w:color="448A99"/>
              <w:left w:val="single" w:sz="8" w:space="0" w:color="448A99"/>
              <w:bottom w:val="single" w:sz="8" w:space="0" w:color="448A99"/>
              <w:right w:val="single" w:sz="8" w:space="0" w:color="448A99"/>
            </w:tcBorders>
            <w:shd w:val="clear" w:color="auto" w:fill="448A99"/>
            <w:noWrap/>
            <w:vAlign w:val="bottom"/>
            <w:hideMark/>
          </w:tcPr>
          <w:p w:rsidR="0061192C"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 xml:space="preserve">80% </w:t>
            </w:r>
            <w:r w:rsidR="00857521">
              <w:rPr>
                <w:rFonts w:ascii="Calibri" w:eastAsia="Times New Roman" w:hAnsi="Calibri" w:cs="Times New Roman"/>
                <w:color w:val="FFFFFF"/>
                <w:sz w:val="20"/>
                <w:szCs w:val="20"/>
              </w:rPr>
              <w:t>EE</w:t>
            </w:r>
            <w:r>
              <w:rPr>
                <w:rFonts w:ascii="Calibri" w:eastAsia="Times New Roman" w:hAnsi="Calibri" w:cs="Times New Roman"/>
                <w:color w:val="FFFFFF"/>
                <w:sz w:val="20"/>
                <w:szCs w:val="20"/>
              </w:rPr>
              <w:t>,</w:t>
            </w:r>
          </w:p>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20% DR</w:t>
            </w:r>
          </w:p>
        </w:tc>
      </w:tr>
      <w:tr w:rsidR="007E397A" w:rsidTr="007E39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Duquesne</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$1,954,595</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$2,931,893</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$3,909,190</w:t>
            </w:r>
          </w:p>
        </w:tc>
      </w:tr>
      <w:tr w:rsidR="007E397A" w:rsidTr="007E39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FE: Met-Ed</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$2,486,689</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$3,730,034</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$4,973,378</w:t>
            </w:r>
          </w:p>
        </w:tc>
      </w:tr>
      <w:tr w:rsidR="007E397A" w:rsidTr="007E39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FE: Penelec</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$2,297,474</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$3,446,212</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$4,594,949</w:t>
            </w:r>
          </w:p>
        </w:tc>
      </w:tr>
      <w:tr w:rsidR="007E397A" w:rsidTr="007E39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FE: Penn Power</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$665,978</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$998,968</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$1,331,957</w:t>
            </w:r>
          </w:p>
        </w:tc>
      </w:tr>
      <w:tr w:rsidR="007E397A" w:rsidTr="007E39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 xml:space="preserve">FE: West Penn </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$2,356,247</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$3,534,370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$4,712,494</w:t>
            </w:r>
          </w:p>
        </w:tc>
      </w:tr>
      <w:tr w:rsidR="007E397A" w:rsidTr="007E39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PECO</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$8,539,516</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$12,809,274</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$17,079,032</w:t>
            </w:r>
          </w:p>
        </w:tc>
      </w:tr>
      <w:tr w:rsidR="007E397A" w:rsidTr="007E39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PPL</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$6,150,138</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$9,225,206</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$12,300,275</w:t>
            </w:r>
          </w:p>
        </w:tc>
      </w:tr>
      <w:tr w:rsidR="007E397A" w:rsidTr="007E39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left"/>
              <w:rPr>
                <w:rFonts w:ascii="Calibri" w:eastAsia="Times New Roman" w:hAnsi="Calibri" w:cs="Times New Roman"/>
                <w:bCs w:val="0"/>
                <w:color w:val="000000"/>
                <w:sz w:val="20"/>
                <w:szCs w:val="20"/>
              </w:rPr>
            </w:pPr>
            <w:r>
              <w:rPr>
                <w:rFonts w:ascii="Calibri" w:eastAsia="Times New Roman" w:hAnsi="Calibri" w:cs="Times New Roman"/>
                <w:bCs w:val="0"/>
                <w:color w:val="000000"/>
                <w:sz w:val="20"/>
                <w:szCs w:val="20"/>
              </w:rPr>
              <w:t>Statewide</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$0</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CB5EC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$24,450,637</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CB5EC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$36,675,956</w:t>
            </w:r>
          </w:p>
        </w:tc>
        <w:tc>
          <w:tcPr>
            <w:tcW w:w="1890" w:type="dxa"/>
            <w:tcBorders>
              <w:top w:val="single" w:sz="8" w:space="0" w:color="448A99"/>
              <w:left w:val="single" w:sz="8" w:space="0" w:color="448A99"/>
              <w:bottom w:val="single" w:sz="8" w:space="0" w:color="448A99"/>
              <w:right w:val="single" w:sz="8" w:space="0" w:color="448A99"/>
            </w:tcBorders>
            <w:noWrap/>
            <w:hideMark/>
          </w:tcPr>
          <w:p w:rsidR="007E397A" w:rsidRDefault="007E397A" w:rsidP="00CB5EC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$48,901,275</w:t>
            </w:r>
          </w:p>
        </w:tc>
      </w:tr>
    </w:tbl>
    <w:p w:rsidR="007E397A" w:rsidRDefault="007E397A" w:rsidP="00A83ABC"/>
    <w:p w:rsidR="007E397A" w:rsidRPr="00861A7C" w:rsidRDefault="007E397A" w:rsidP="00A83ABC">
      <w:pPr>
        <w:pStyle w:val="Heading2"/>
      </w:pPr>
      <w:bookmarkStart w:id="7" w:name="_Toc412628361"/>
      <w:r w:rsidRPr="00861A7C">
        <w:t>Peak Load Consumption</w:t>
      </w:r>
      <w:bookmarkEnd w:id="7"/>
    </w:p>
    <w:p w:rsidR="00021AE6" w:rsidRDefault="00021AE6" w:rsidP="00A83ABC">
      <w:r w:rsidRPr="00AF45F9">
        <w:t xml:space="preserve">The primary objective of the Act 129 </w:t>
      </w:r>
      <w:r w:rsidR="00037A03">
        <w:t>DR</w:t>
      </w:r>
      <w:r w:rsidRPr="00AF45F9">
        <w:t xml:space="preserve"> program modeled in this study is to lower the generation capacity that must be secured by PJM on behalf of the</w:t>
      </w:r>
      <w:r w:rsidR="0028301F">
        <w:t xml:space="preserve"> customers served by the</w:t>
      </w:r>
      <w:r w:rsidRPr="00AF45F9">
        <w:t xml:space="preserve"> EDCs. If successful, a statewide </w:t>
      </w:r>
      <w:r w:rsidR="00037A03">
        <w:t>DR</w:t>
      </w:r>
      <w:r w:rsidRPr="00AF45F9">
        <w:t xml:space="preserve"> program would exert downward pressure on forecasts of summer peak demand and reduce the generation capacity required to meet PJM’s reliability requirements. This is somewhat different from the current PJM markets where </w:t>
      </w:r>
      <w:r w:rsidR="00037A03">
        <w:t>DR</w:t>
      </w:r>
      <w:r w:rsidR="00A60793">
        <w:t xml:space="preserve"> falls on the supply-</w:t>
      </w:r>
      <w:r w:rsidRPr="00AF45F9">
        <w:t xml:space="preserve">side and fills a requirement for generation capacity. The Commission’s Final Order on </w:t>
      </w:r>
      <w:r w:rsidR="00037A03">
        <w:t>DR</w:t>
      </w:r>
      <w:r w:rsidR="00CC213A">
        <w:rPr>
          <w:rStyle w:val="FootnoteReference"/>
        </w:rPr>
        <w:footnoteReference w:id="14"/>
      </w:r>
      <w:r w:rsidRPr="00AF45F9">
        <w:t xml:space="preserve"> specified that EDCs will not be directed to bid </w:t>
      </w:r>
      <w:r>
        <w:t>their</w:t>
      </w:r>
      <w:r w:rsidRPr="00AF45F9">
        <w:t xml:space="preserve"> programs into PJM’s forward capacity market</w:t>
      </w:r>
      <w:r w:rsidR="00A60793">
        <w:t>,</w:t>
      </w:r>
      <w:r w:rsidRPr="00AF45F9">
        <w:t xml:space="preserve"> so the SWE </w:t>
      </w:r>
      <w:r w:rsidR="0045410E">
        <w:t xml:space="preserve">Team </w:t>
      </w:r>
      <w:r w:rsidRPr="00AF45F9">
        <w:t xml:space="preserve">believes that actual reductions during peak conditions </w:t>
      </w:r>
      <w:r>
        <w:t>are</w:t>
      </w:r>
      <w:r w:rsidRPr="00AF45F9">
        <w:t xml:space="preserve"> the most viable mechanism for an Act 129 DR </w:t>
      </w:r>
      <w:r>
        <w:t>program</w:t>
      </w:r>
      <w:r w:rsidRPr="00AF45F9">
        <w:t xml:space="preserve"> to produce tangible avoided costs.</w:t>
      </w:r>
    </w:p>
    <w:p w:rsidR="00021AE6" w:rsidRDefault="00021AE6" w:rsidP="00A83ABC"/>
    <w:p w:rsidR="00AB46EA" w:rsidRDefault="00021AE6" w:rsidP="00250D48">
      <w:pPr>
        <w:spacing w:after="200"/>
        <w:jc w:val="left"/>
      </w:pPr>
      <w:r>
        <w:t xml:space="preserve">The SWE </w:t>
      </w:r>
      <w:r w:rsidR="0045410E">
        <w:t xml:space="preserve">Team </w:t>
      </w:r>
      <w:r>
        <w:t>leveraged peak load contribution</w:t>
      </w:r>
      <w:r w:rsidR="002F1FC5">
        <w:rPr>
          <w:rStyle w:val="FootnoteReference"/>
        </w:rPr>
        <w:footnoteReference w:id="15"/>
      </w:r>
      <w:r>
        <w:t xml:space="preserve"> (PLC) information supplied by the EDCs for their customer bases in order to disaggregate the peak load forecasts to the sector level (residential, commercial, industrial). </w:t>
      </w:r>
      <w:r w:rsidR="00A60793">
        <w:t>P</w:t>
      </w:r>
      <w:r w:rsidR="00CE489A">
        <w:t xml:space="preserve">eak load contribution refers to </w:t>
      </w:r>
      <w:r w:rsidR="00A60793">
        <w:t xml:space="preserve">the </w:t>
      </w:r>
      <w:r w:rsidR="00CE489A">
        <w:t xml:space="preserve">share of that peak load forecast that an individual electric customer is responsible for and is a mechanism for EDCs </w:t>
      </w:r>
      <w:r w:rsidR="00A60793">
        <w:t xml:space="preserve">and </w:t>
      </w:r>
      <w:r w:rsidR="00CE489A">
        <w:t xml:space="preserve">Electric Generation Suppliers (EGS) to recover the fixed costs of the electric system from their customers. </w:t>
      </w:r>
      <w:r>
        <w:t xml:space="preserve">The premise behind this analysis is that the sum of the PLCs from all customers will approximate the peak load forecast. A historic analysis of the distribution of PLCs by customer class was </w:t>
      </w:r>
      <w:r w:rsidR="0028301F">
        <w:t xml:space="preserve">used </w:t>
      </w:r>
      <w:r>
        <w:t>to assign a proportion of the summer peak to each class and these proportions were then applied prospectively to the forecast. The SWE</w:t>
      </w:r>
      <w:r w:rsidR="0045410E">
        <w:t xml:space="preserve"> Team</w:t>
      </w:r>
      <w:r>
        <w:t>’s disaggregated peak load forecast for each EDC for the summer of 2016 is shown by customer sector in</w:t>
      </w:r>
      <w:r w:rsidR="0099272E">
        <w:t xml:space="preserve"> </w:t>
      </w:r>
      <w:r w:rsidR="00250D48">
        <w:fldChar w:fldCharType="begin"/>
      </w:r>
      <w:r w:rsidR="00250D48">
        <w:instrText xml:space="preserve"> REF _Ref412630824 \h </w:instrText>
      </w:r>
      <w:r w:rsidR="00250D48">
        <w:fldChar w:fldCharType="separate"/>
      </w:r>
      <w:r w:rsidR="00803DBE">
        <w:t xml:space="preserve">Table </w:t>
      </w:r>
      <w:r w:rsidR="00803DBE">
        <w:rPr>
          <w:noProof/>
        </w:rPr>
        <w:t>1</w:t>
      </w:r>
      <w:r w:rsidR="00803DBE">
        <w:noBreakHyphen/>
      </w:r>
      <w:r w:rsidR="00803DBE">
        <w:rPr>
          <w:noProof/>
        </w:rPr>
        <w:t>2</w:t>
      </w:r>
      <w:r w:rsidR="00250D48">
        <w:fldChar w:fldCharType="end"/>
      </w:r>
      <w:r w:rsidR="00250D48">
        <w:t>.</w:t>
      </w:r>
      <w:r w:rsidR="007E397A">
        <w:t xml:space="preserve"> </w:t>
      </w:r>
      <w:bookmarkStart w:id="8" w:name="_Ref407781497"/>
    </w:p>
    <w:p w:rsidR="0028301F" w:rsidRDefault="0028301F" w:rsidP="00A83ABC">
      <w:pPr>
        <w:spacing w:after="200"/>
        <w:jc w:val="left"/>
        <w:rPr>
          <w:b/>
          <w:bCs/>
          <w:sz w:val="18"/>
          <w:szCs w:val="18"/>
        </w:rPr>
      </w:pPr>
    </w:p>
    <w:p w:rsidR="007E397A" w:rsidRDefault="007E397A" w:rsidP="00A83ABC">
      <w:pPr>
        <w:pStyle w:val="Caption"/>
        <w:keepNext/>
      </w:pPr>
      <w:bookmarkStart w:id="9" w:name="_Ref412630824"/>
      <w:bookmarkStart w:id="10" w:name="_Toc412628436"/>
      <w:r>
        <w:lastRenderedPageBreak/>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2</w:t>
      </w:r>
      <w:r w:rsidR="00E2011B">
        <w:rPr>
          <w:noProof/>
        </w:rPr>
        <w:fldChar w:fldCharType="end"/>
      </w:r>
      <w:bookmarkEnd w:id="8"/>
      <w:bookmarkEnd w:id="9"/>
      <w:r>
        <w:t>: Disaggregated 2016 Summer Peak Load Forecast</w:t>
      </w:r>
      <w:r w:rsidR="00916EF7">
        <w:t xml:space="preserve"> (</w:t>
      </w:r>
      <w:r w:rsidR="00021AE6">
        <w:t>Megawatts [MW])</w:t>
      </w:r>
      <w:bookmarkEnd w:id="10"/>
    </w:p>
    <w:tbl>
      <w:tblPr>
        <w:tblStyle w:val="MediumShading1-Accent5"/>
        <w:tblW w:w="7227"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98"/>
        <w:gridCol w:w="1307"/>
        <w:gridCol w:w="1307"/>
        <w:gridCol w:w="1307"/>
        <w:gridCol w:w="1308"/>
      </w:tblGrid>
      <w:tr w:rsidR="007E397A" w:rsidTr="00AB345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7E397A" w:rsidRDefault="007E397A" w:rsidP="00A83ABC">
            <w:pPr>
              <w:jc w:val="left"/>
              <w:rPr>
                <w:rFonts w:ascii="Calibri" w:eastAsia="Times New Roman" w:hAnsi="Calibri" w:cs="Calibri"/>
                <w:bCs w:val="0"/>
                <w:color w:val="FFFFFF"/>
                <w:sz w:val="20"/>
                <w:szCs w:val="20"/>
              </w:rPr>
            </w:pPr>
            <w:r>
              <w:rPr>
                <w:rFonts w:ascii="Calibri" w:eastAsia="Times New Roman" w:hAnsi="Calibri" w:cs="Calibri"/>
                <w:bCs w:val="0"/>
                <w:color w:val="FFFFFF"/>
                <w:sz w:val="20"/>
                <w:szCs w:val="20"/>
                <w:lang w:val="x-none"/>
              </w:rPr>
              <w:t>EDC</w:t>
            </w:r>
          </w:p>
        </w:tc>
        <w:tc>
          <w:tcPr>
            <w:tcW w:w="1307"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lang w:val="x-none"/>
              </w:rPr>
              <w:t>Industrial</w:t>
            </w:r>
          </w:p>
        </w:tc>
        <w:tc>
          <w:tcPr>
            <w:tcW w:w="1307"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lang w:val="x-none"/>
              </w:rPr>
              <w:t>Commercial</w:t>
            </w:r>
          </w:p>
        </w:tc>
        <w:tc>
          <w:tcPr>
            <w:tcW w:w="1307"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lang w:val="x-none"/>
              </w:rPr>
              <w:t>Residential</w:t>
            </w:r>
          </w:p>
        </w:tc>
        <w:tc>
          <w:tcPr>
            <w:tcW w:w="1308"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7E397A" w:rsidRDefault="007E397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lang w:val="x-none"/>
              </w:rPr>
              <w:t>Total</w:t>
            </w:r>
          </w:p>
        </w:tc>
      </w:tr>
      <w:tr w:rsidR="007E397A" w:rsidTr="00861A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 xml:space="preserve">Duquesne </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455</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1,341</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1,261</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3,056</w:t>
            </w:r>
          </w:p>
        </w:tc>
      </w:tr>
      <w:tr w:rsidR="007E397A" w:rsidTr="00861A7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Met</w:t>
            </w:r>
            <w:r>
              <w:rPr>
                <w:rFonts w:ascii="Calibri" w:eastAsia="Times New Roman" w:hAnsi="Calibri" w:cs="Calibri"/>
                <w:b w:val="0"/>
                <w:color w:val="000000"/>
                <w:sz w:val="20"/>
                <w:szCs w:val="20"/>
              </w:rPr>
              <w:t>-</w:t>
            </w:r>
            <w:r>
              <w:rPr>
                <w:rFonts w:ascii="Calibri" w:eastAsia="Times New Roman" w:hAnsi="Calibri" w:cs="Calibri"/>
                <w:b w:val="0"/>
                <w:color w:val="000000"/>
                <w:sz w:val="20"/>
                <w:szCs w:val="20"/>
                <w:lang w:val="x-none"/>
              </w:rPr>
              <w:t>Ed</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675</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911</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1,285</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2,871</w:t>
            </w:r>
          </w:p>
        </w:tc>
      </w:tr>
      <w:tr w:rsidR="007E397A" w:rsidTr="00861A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Penelec </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717</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876</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950</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2,543</w:t>
            </w:r>
          </w:p>
        </w:tc>
      </w:tr>
      <w:tr w:rsidR="007E397A" w:rsidTr="00861A7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Penn Power</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212</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297</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465</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974</w:t>
            </w:r>
          </w:p>
        </w:tc>
      </w:tr>
      <w:tr w:rsidR="007E397A" w:rsidTr="00861A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West Penn</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1,045</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1,151</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1,676</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3,873</w:t>
            </w:r>
          </w:p>
        </w:tc>
      </w:tr>
      <w:tr w:rsidR="007E397A" w:rsidTr="00861A7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PECO</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981</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3,986</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3,848</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8,815</w:t>
            </w:r>
          </w:p>
        </w:tc>
      </w:tr>
      <w:tr w:rsidR="007E397A" w:rsidTr="00861A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PPL</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1,595</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2,795</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3,179</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7,568</w:t>
            </w:r>
          </w:p>
        </w:tc>
      </w:tr>
      <w:tr w:rsidR="007E397A" w:rsidTr="00861A7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color w:val="000000"/>
                <w:sz w:val="20"/>
                <w:szCs w:val="20"/>
              </w:rPr>
            </w:pPr>
            <w:r>
              <w:rPr>
                <w:rFonts w:ascii="Calibri" w:eastAsia="Times New Roman" w:hAnsi="Calibri" w:cs="Calibri"/>
                <w:color w:val="000000"/>
                <w:sz w:val="20"/>
                <w:szCs w:val="20"/>
                <w:lang w:val="x-none"/>
              </w:rPr>
              <w:t>Statewide</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CB5EC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Pr>
                <w:rFonts w:ascii="Calibri" w:eastAsia="Times New Roman" w:hAnsi="Calibri" w:cs="Calibri"/>
                <w:b/>
                <w:color w:val="000000"/>
                <w:sz w:val="20"/>
                <w:szCs w:val="20"/>
              </w:rPr>
              <w:t>5,680</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CB5EC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Pr>
                <w:rFonts w:ascii="Calibri" w:eastAsia="Times New Roman" w:hAnsi="Calibri" w:cs="Calibri"/>
                <w:b/>
                <w:color w:val="000000"/>
                <w:sz w:val="20"/>
                <w:szCs w:val="20"/>
              </w:rPr>
              <w:t>11,357</w:t>
            </w:r>
          </w:p>
        </w:tc>
        <w:tc>
          <w:tcPr>
            <w:tcW w:w="1307" w:type="dxa"/>
            <w:tcBorders>
              <w:top w:val="single" w:sz="8" w:space="0" w:color="448A99"/>
              <w:left w:val="single" w:sz="8" w:space="0" w:color="448A99"/>
              <w:bottom w:val="single" w:sz="8" w:space="0" w:color="448A99"/>
              <w:right w:val="single" w:sz="8" w:space="0" w:color="448A99"/>
            </w:tcBorders>
            <w:noWrap/>
            <w:hideMark/>
          </w:tcPr>
          <w:p w:rsidR="007E397A" w:rsidRDefault="00CB5EC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Pr>
                <w:rFonts w:ascii="Calibri" w:eastAsia="Times New Roman" w:hAnsi="Calibri" w:cs="Calibri"/>
                <w:b/>
                <w:color w:val="000000"/>
                <w:sz w:val="20"/>
                <w:szCs w:val="20"/>
              </w:rPr>
              <w:t>12,664</w:t>
            </w:r>
          </w:p>
        </w:tc>
        <w:tc>
          <w:tcPr>
            <w:tcW w:w="1308"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Pr>
                <w:rFonts w:ascii="Calibri" w:eastAsia="Times New Roman" w:hAnsi="Calibri" w:cs="Calibri"/>
                <w:b/>
                <w:color w:val="000000"/>
                <w:sz w:val="20"/>
                <w:szCs w:val="20"/>
              </w:rPr>
              <w:t>29,700</w:t>
            </w:r>
          </w:p>
        </w:tc>
      </w:tr>
    </w:tbl>
    <w:p w:rsidR="007E397A" w:rsidRDefault="007E397A" w:rsidP="00A83ABC"/>
    <w:p w:rsidR="007E397A" w:rsidRDefault="007E397A" w:rsidP="00A83ABC">
      <w:r>
        <w:t xml:space="preserve">The economic argument for pursuing </w:t>
      </w:r>
      <w:r w:rsidR="00037A03">
        <w:t>DR</w:t>
      </w:r>
      <w:r>
        <w:t xml:space="preserve"> programs is that reducing peak demand may be cheaper than expanding generation capacity to meet growth in peak demand. The costs and benefits of producing and consuming electricity are related to the underlying supply of and demand for electric service.</w:t>
      </w:r>
    </w:p>
    <w:p w:rsidR="007E397A" w:rsidRDefault="007E397A" w:rsidP="00A83ABC"/>
    <w:p w:rsidR="007E397A" w:rsidRPr="00861A7C" w:rsidRDefault="007E397A" w:rsidP="00A83ABC">
      <w:pPr>
        <w:pStyle w:val="Heading2"/>
      </w:pPr>
      <w:bookmarkStart w:id="11" w:name="_Toc412628362"/>
      <w:r w:rsidRPr="00861A7C">
        <w:t>Economic Analysis</w:t>
      </w:r>
      <w:bookmarkEnd w:id="11"/>
    </w:p>
    <w:p w:rsidR="007E397A" w:rsidRDefault="007E397A" w:rsidP="00A83ABC">
      <w:r>
        <w:t xml:space="preserve">The TUS staff requested that the SWE </w:t>
      </w:r>
      <w:r w:rsidR="0045410E">
        <w:t xml:space="preserve">Team </w:t>
      </w:r>
      <w:r>
        <w:t xml:space="preserve">develop scenarios to compare the relative benefits of Act 129 budget allocations between </w:t>
      </w:r>
      <w:r w:rsidR="00857521">
        <w:t>EE</w:t>
      </w:r>
      <w:r>
        <w:t xml:space="preserve"> and </w:t>
      </w:r>
      <w:r w:rsidR="00037A03">
        <w:t>DR</w:t>
      </w:r>
      <w:r>
        <w:t xml:space="preserve"> programs. The TUS </w:t>
      </w:r>
      <w:r w:rsidR="0045410E">
        <w:t xml:space="preserve">staff </w:t>
      </w:r>
      <w:r>
        <w:t xml:space="preserve">indicated a desire to compare alternative projects on the basis of the </w:t>
      </w:r>
      <w:r w:rsidR="00532DDB">
        <w:t>PV</w:t>
      </w:r>
      <w:r>
        <w:t xml:space="preserve"> of net benefits</w:t>
      </w:r>
      <w:r w:rsidR="00232FFC">
        <w:t xml:space="preserve"> as calculated by the Total Resource Cost</w:t>
      </w:r>
      <w:r w:rsidR="002F1FC5">
        <w:rPr>
          <w:rStyle w:val="FootnoteReference"/>
        </w:rPr>
        <w:footnoteReference w:id="16"/>
      </w:r>
      <w:r w:rsidR="00232FFC">
        <w:t xml:space="preserve"> </w:t>
      </w:r>
      <w:r w:rsidR="00844BA9">
        <w:t xml:space="preserve">(TRC) </w:t>
      </w:r>
      <w:r w:rsidR="00232FFC">
        <w:t>Test</w:t>
      </w:r>
      <w:r>
        <w:t>. This criterion is appropriate for comparing mutually exclusive program alternatives and selecting an alternative that provides the largest economic benefit. Comparing program alternatives solely on the basis of the</w:t>
      </w:r>
      <w:r w:rsidR="008D678D">
        <w:t xml:space="preserve"> TRC</w:t>
      </w:r>
      <w:r w:rsidR="002275E3">
        <w:t xml:space="preserve"> </w:t>
      </w:r>
      <w:r>
        <w:t>ratio obscures the relative magnitude of benefits provided by program alternatives.</w:t>
      </w:r>
    </w:p>
    <w:p w:rsidR="007E397A" w:rsidRDefault="007E397A" w:rsidP="00A83ABC">
      <w:pPr>
        <w:spacing w:before="240"/>
      </w:pPr>
      <w:r>
        <w:t xml:space="preserve">We have also applied the concept of net benefit to our cost analysis of Phase III non-residential DR </w:t>
      </w:r>
      <w:r w:rsidR="008D678D">
        <w:t>potential</w:t>
      </w:r>
      <w:r>
        <w:t xml:space="preserve">. In developing cost estimates, the SWE </w:t>
      </w:r>
      <w:r w:rsidR="0045410E">
        <w:t xml:space="preserve">Team </w:t>
      </w:r>
      <w:r>
        <w:t xml:space="preserve">sought to identify the incentive levels that maximized the respective </w:t>
      </w:r>
      <w:r w:rsidR="00532DDB">
        <w:t>PV</w:t>
      </w:r>
      <w:r>
        <w:t xml:space="preserve"> of net benefits from the </w:t>
      </w:r>
      <w:r w:rsidR="00985548">
        <w:t>large</w:t>
      </w:r>
      <w:r w:rsidR="008D678D">
        <w:t xml:space="preserve"> </w:t>
      </w:r>
      <w:r w:rsidR="00DB0B32">
        <w:t>c</w:t>
      </w:r>
      <w:r w:rsidR="008D678D">
        <w:t xml:space="preserve">ommercial and </w:t>
      </w:r>
      <w:r w:rsidR="00DB0B32">
        <w:t>i</w:t>
      </w:r>
      <w:r w:rsidR="008D678D">
        <w:t xml:space="preserve">ndustrial (C&amp;I) </w:t>
      </w:r>
      <w:r>
        <w:t xml:space="preserve">load curtailment programs. The incentive payment is an important component for estimating </w:t>
      </w:r>
      <w:r w:rsidR="00037A03">
        <w:t>DR</w:t>
      </w:r>
      <w:r>
        <w:t xml:space="preserve"> potential because the incentives paid to </w:t>
      </w:r>
      <w:r w:rsidR="00037A03">
        <w:t>DR</w:t>
      </w:r>
      <w:r>
        <w:t xml:space="preserve"> providers must be equal to or greater than the cost of providing </w:t>
      </w:r>
      <w:r w:rsidR="00037A03">
        <w:t>DR</w:t>
      </w:r>
      <w:r>
        <w:t xml:space="preserve"> capacity. </w:t>
      </w:r>
      <w:r w:rsidR="007F1EB9">
        <w:t>Were these</w:t>
      </w:r>
      <w:r>
        <w:t xml:space="preserve"> not the case, potential DR supplie</w:t>
      </w:r>
      <w:r w:rsidR="00F32F98">
        <w:t>r</w:t>
      </w:r>
      <w:r>
        <w:t xml:space="preserve">s would elect not to participate in the program. The incentive level that maximizes the </w:t>
      </w:r>
      <w:r w:rsidR="00532DDB">
        <w:t>PV</w:t>
      </w:r>
      <w:r>
        <w:t xml:space="preserve"> of net benefits to each of the DR programs we evaluated is the economically efficient level of DR. It is important to note that the level of incentives that maximizes net</w:t>
      </w:r>
      <w:r w:rsidR="008F69E1">
        <w:t>-</w:t>
      </w:r>
      <w:r>
        <w:t xml:space="preserve">present value </w:t>
      </w:r>
      <w:r w:rsidR="00A60793">
        <w:t xml:space="preserve">(NPV) </w:t>
      </w:r>
      <w:r>
        <w:t xml:space="preserve">of benefits is </w:t>
      </w:r>
      <w:bookmarkStart w:id="12" w:name="_Toc407717559"/>
      <w:r w:rsidR="007B643C">
        <w:t>not indicated by the TRC ratio.</w:t>
      </w:r>
    </w:p>
    <w:p w:rsidR="007B643C" w:rsidRPr="009D2C1F" w:rsidRDefault="007B643C" w:rsidP="00A83ABC"/>
    <w:p w:rsidR="007E397A" w:rsidRPr="00861A7C" w:rsidRDefault="00037A03" w:rsidP="00A83ABC">
      <w:pPr>
        <w:pStyle w:val="Heading2"/>
      </w:pPr>
      <w:bookmarkStart w:id="13" w:name="_Toc412628363"/>
      <w:r>
        <w:t>DR</w:t>
      </w:r>
      <w:r w:rsidR="007E397A" w:rsidRPr="00861A7C">
        <w:t xml:space="preserve"> Program Design</w:t>
      </w:r>
      <w:bookmarkEnd w:id="13"/>
    </w:p>
    <w:bookmarkEnd w:id="12"/>
    <w:p w:rsidR="007E397A" w:rsidRDefault="007E397A" w:rsidP="00A83ABC">
      <w:pPr>
        <w:spacing w:after="120"/>
      </w:pPr>
      <w:r>
        <w:t xml:space="preserve">In order to evaluate </w:t>
      </w:r>
      <w:r w:rsidR="00037A03">
        <w:t>DR</w:t>
      </w:r>
      <w:r>
        <w:t xml:space="preserve"> potential for Phase III of Act 129, the SWE </w:t>
      </w:r>
      <w:r w:rsidR="0045410E">
        <w:t xml:space="preserve">Team </w:t>
      </w:r>
      <w:r>
        <w:t xml:space="preserve">had to make assumptions about the program design that would be implemented. The Top 100 hours construct implemented in Phase I of Act 129 proved problematic so the SWE </w:t>
      </w:r>
      <w:r w:rsidR="0045410E">
        <w:t xml:space="preserve">Team </w:t>
      </w:r>
      <w:r>
        <w:t xml:space="preserve">elected to consider alternate designs that we felt were more likely to produce a </w:t>
      </w:r>
      <w:r w:rsidR="00CE0565">
        <w:t>cost-effective</w:t>
      </w:r>
      <w:r>
        <w:t xml:space="preserve"> program. Key program design parameters that affect DR potential include:</w:t>
      </w:r>
    </w:p>
    <w:p w:rsidR="00A83ABC" w:rsidRDefault="00A83ABC" w:rsidP="00A83ABC">
      <w:pPr>
        <w:spacing w:after="120"/>
      </w:pPr>
    </w:p>
    <w:p w:rsidR="007E397A" w:rsidRDefault="007E397A" w:rsidP="00A83ABC">
      <w:pPr>
        <w:pStyle w:val="ListParagraph"/>
        <w:numPr>
          <w:ilvl w:val="0"/>
          <w:numId w:val="8"/>
        </w:numPr>
        <w:ind w:left="360"/>
        <w:contextualSpacing w:val="0"/>
      </w:pPr>
      <w:r>
        <w:lastRenderedPageBreak/>
        <w:t xml:space="preserve">The expected number of events per year </w:t>
      </w:r>
    </w:p>
    <w:p w:rsidR="007E397A" w:rsidRDefault="007E397A" w:rsidP="00A83ABC">
      <w:pPr>
        <w:pStyle w:val="ListParagraph"/>
        <w:numPr>
          <w:ilvl w:val="0"/>
          <w:numId w:val="8"/>
        </w:numPr>
        <w:ind w:left="360"/>
      </w:pPr>
      <w:r>
        <w:t xml:space="preserve">The duration of events </w:t>
      </w:r>
    </w:p>
    <w:p w:rsidR="007E397A" w:rsidRDefault="007E397A" w:rsidP="00A83ABC">
      <w:pPr>
        <w:pStyle w:val="ListParagraph"/>
        <w:numPr>
          <w:ilvl w:val="0"/>
          <w:numId w:val="8"/>
        </w:numPr>
        <w:ind w:left="360"/>
      </w:pPr>
      <w:r>
        <w:t xml:space="preserve">The season and time of day the events occur </w:t>
      </w:r>
    </w:p>
    <w:p w:rsidR="007E397A" w:rsidRDefault="007E397A" w:rsidP="00A83ABC">
      <w:pPr>
        <w:pStyle w:val="ListParagraph"/>
        <w:numPr>
          <w:ilvl w:val="0"/>
          <w:numId w:val="8"/>
        </w:numPr>
        <w:ind w:left="360"/>
      </w:pPr>
      <w:r>
        <w:t>The amount of advance notification participants are given</w:t>
      </w:r>
    </w:p>
    <w:p w:rsidR="007E397A" w:rsidRDefault="007E397A" w:rsidP="00A83ABC">
      <w:pPr>
        <w:pStyle w:val="ListParagraph"/>
        <w:numPr>
          <w:ilvl w:val="0"/>
          <w:numId w:val="8"/>
        </w:numPr>
        <w:ind w:left="360"/>
      </w:pPr>
      <w:r>
        <w:t>Whether event participation is mandatory</w:t>
      </w:r>
      <w:r w:rsidR="00CC213A">
        <w:rPr>
          <w:rStyle w:val="FootnoteReference"/>
        </w:rPr>
        <w:footnoteReference w:id="17"/>
      </w:r>
      <w:r>
        <w:t xml:space="preserve"> or voluntary</w:t>
      </w:r>
      <w:r w:rsidR="00AD7E52">
        <w:t>.</w:t>
      </w:r>
    </w:p>
    <w:p w:rsidR="007E397A" w:rsidRDefault="007E397A" w:rsidP="00A83ABC">
      <w:pPr>
        <w:pStyle w:val="ListParagraph"/>
      </w:pPr>
    </w:p>
    <w:p w:rsidR="007E397A" w:rsidRDefault="002275E3" w:rsidP="00A83ABC">
      <w:r>
        <w:t>The results of our analysis highlighted the existence of some tradeoffs in program design. A simulation we conducted demonstrates that a program design with a dispatch threshold of 96%, an event start time of 2:00 p</w:t>
      </w:r>
      <w:r w:rsidR="00A11600">
        <w:t>.</w:t>
      </w:r>
      <w:r>
        <w:t>m</w:t>
      </w:r>
      <w:r w:rsidR="00A11600">
        <w:t>.</w:t>
      </w:r>
      <w:r>
        <w:t>, duration of 4 hours, and a maximum of 6 events per year is expected to provide the highest overall Effective Load Carrying Capacity</w:t>
      </w:r>
      <w:r w:rsidR="00990D1A">
        <w:rPr>
          <w:rStyle w:val="FootnoteReference"/>
        </w:rPr>
        <w:footnoteReference w:id="18"/>
      </w:r>
      <w:r>
        <w:t xml:space="preserve"> (ELCC) for designs capped at 24 event hours. </w:t>
      </w:r>
    </w:p>
    <w:p w:rsidR="0028301F" w:rsidRDefault="0028301F" w:rsidP="00A83ABC"/>
    <w:p w:rsidR="007E397A" w:rsidRPr="00861A7C" w:rsidRDefault="007E397A" w:rsidP="00A83ABC">
      <w:pPr>
        <w:pStyle w:val="Heading2"/>
      </w:pPr>
      <w:bookmarkStart w:id="14" w:name="_Toc412628364"/>
      <w:r w:rsidRPr="00861A7C">
        <w:t xml:space="preserve">Avoided Cost of Transmission </w:t>
      </w:r>
      <w:r w:rsidR="009D5798">
        <w:t>and</w:t>
      </w:r>
      <w:r w:rsidR="009D5798" w:rsidRPr="00861A7C">
        <w:t xml:space="preserve"> </w:t>
      </w:r>
      <w:r w:rsidRPr="00861A7C">
        <w:t>Distribution Capacity</w:t>
      </w:r>
      <w:bookmarkEnd w:id="14"/>
    </w:p>
    <w:p w:rsidR="007E397A" w:rsidRPr="00071A45" w:rsidRDefault="002275E3" w:rsidP="00A83ABC">
      <w:pPr>
        <w:spacing w:after="120"/>
        <w:rPr>
          <w:rFonts w:ascii="Calibri" w:hAnsi="Calibri"/>
        </w:rPr>
      </w:pPr>
      <w:r>
        <w:rPr>
          <w:rFonts w:ascii="Calibri" w:hAnsi="Calibri"/>
        </w:rPr>
        <w:t>The SWE Team developed forecasts of transmission and distribution (T&amp;D) avoided costs per kilowatt-year (</w:t>
      </w:r>
      <w:r w:rsidR="002143D1">
        <w:rPr>
          <w:rFonts w:ascii="Calibri" w:hAnsi="Calibri"/>
        </w:rPr>
        <w:t>kW/year</w:t>
      </w:r>
      <w:r>
        <w:rPr>
          <w:rFonts w:ascii="Calibri" w:hAnsi="Calibri"/>
        </w:rPr>
        <w:t xml:space="preserve">) for each EDC subject to the </w:t>
      </w:r>
      <w:r w:rsidR="00037A03">
        <w:rPr>
          <w:rFonts w:ascii="Calibri" w:hAnsi="Calibri"/>
        </w:rPr>
        <w:t>DR</w:t>
      </w:r>
      <w:r>
        <w:rPr>
          <w:rFonts w:ascii="Calibri" w:hAnsi="Calibri"/>
        </w:rPr>
        <w:t xml:space="preserve"> program requirements of Act 129. For purposes of this study, T&amp;D avoided costs were defined as the T&amp;D infrastructure expenditures </w:t>
      </w:r>
      <w:r w:rsidR="002143D1">
        <w:rPr>
          <w:rFonts w:ascii="Calibri" w:hAnsi="Calibri"/>
        </w:rPr>
        <w:t>that could be avoided if an EDC</w:t>
      </w:r>
      <w:r>
        <w:rPr>
          <w:rFonts w:ascii="Calibri" w:hAnsi="Calibri"/>
        </w:rPr>
        <w:t xml:space="preserve">s future load growth can be reduced with </w:t>
      </w:r>
      <w:r w:rsidR="00037A03">
        <w:rPr>
          <w:rFonts w:ascii="Calibri" w:hAnsi="Calibri"/>
        </w:rPr>
        <w:t>DR</w:t>
      </w:r>
      <w:r>
        <w:rPr>
          <w:rFonts w:ascii="Calibri" w:hAnsi="Calibri"/>
        </w:rPr>
        <w:t xml:space="preserve"> programs that reduce load at the time of utility system peak loads. To prepare the forecasts, the </w:t>
      </w:r>
      <w:r w:rsidR="00AD2C38">
        <w:rPr>
          <w:rFonts w:ascii="Calibri" w:hAnsi="Calibri"/>
        </w:rPr>
        <w:t xml:space="preserve">SWE </w:t>
      </w:r>
      <w:r>
        <w:rPr>
          <w:rFonts w:ascii="Calibri" w:hAnsi="Calibri"/>
        </w:rPr>
        <w:t>Team:</w:t>
      </w:r>
    </w:p>
    <w:p w:rsidR="007E397A" w:rsidRPr="00071A45" w:rsidRDefault="007E397A" w:rsidP="00A83ABC">
      <w:pPr>
        <w:pStyle w:val="ListParagraph"/>
        <w:numPr>
          <w:ilvl w:val="0"/>
          <w:numId w:val="8"/>
        </w:numPr>
        <w:ind w:left="360"/>
      </w:pPr>
      <w:r>
        <w:rPr>
          <w:rFonts w:ascii="Calibri" w:hAnsi="Calibri"/>
        </w:rPr>
        <w:t>R</w:t>
      </w:r>
      <w:r w:rsidRPr="00071A45">
        <w:rPr>
          <w:rFonts w:ascii="Calibri" w:hAnsi="Calibri"/>
        </w:rPr>
        <w:t xml:space="preserve">eviewed eight major studies conducted in other states to determine best practices for developing </w:t>
      </w:r>
      <w:r>
        <w:rPr>
          <w:rFonts w:ascii="Calibri" w:hAnsi="Calibri"/>
        </w:rPr>
        <w:t>forecasts of T&amp;D avoided cost</w:t>
      </w:r>
      <w:r w:rsidR="000D5992">
        <w:rPr>
          <w:rFonts w:ascii="Calibri" w:hAnsi="Calibri"/>
        </w:rPr>
        <w:t>s</w:t>
      </w:r>
    </w:p>
    <w:p w:rsidR="007E397A" w:rsidRPr="00071A45" w:rsidRDefault="007E397A" w:rsidP="00A83ABC">
      <w:pPr>
        <w:pStyle w:val="ListParagraph"/>
        <w:numPr>
          <w:ilvl w:val="0"/>
          <w:numId w:val="8"/>
        </w:numPr>
        <w:ind w:left="360"/>
      </w:pPr>
      <w:r>
        <w:rPr>
          <w:rFonts w:ascii="Calibri" w:hAnsi="Calibri"/>
        </w:rPr>
        <w:t>D</w:t>
      </w:r>
      <w:r w:rsidRPr="00071A45">
        <w:rPr>
          <w:rFonts w:ascii="Calibri" w:hAnsi="Calibri"/>
        </w:rPr>
        <w:t>eveloped a pragmatic methodology for forecasting T&amp;D avoided costs based on the res</w:t>
      </w:r>
      <w:r>
        <w:rPr>
          <w:rFonts w:ascii="Calibri" w:hAnsi="Calibri"/>
        </w:rPr>
        <w:t>ults of this literature search</w:t>
      </w:r>
    </w:p>
    <w:p w:rsidR="007E397A" w:rsidRPr="007B643C" w:rsidRDefault="007E397A" w:rsidP="00A83ABC">
      <w:pPr>
        <w:pStyle w:val="ListParagraph"/>
        <w:numPr>
          <w:ilvl w:val="0"/>
          <w:numId w:val="8"/>
        </w:numPr>
        <w:ind w:left="360"/>
      </w:pPr>
      <w:r>
        <w:rPr>
          <w:rFonts w:ascii="Calibri" w:hAnsi="Calibri"/>
        </w:rPr>
        <w:t>C</w:t>
      </w:r>
      <w:r w:rsidRPr="00071A45">
        <w:rPr>
          <w:rFonts w:ascii="Calibri" w:hAnsi="Calibri"/>
        </w:rPr>
        <w:t xml:space="preserve">ollected the required EDC load growth and T&amp;D expenditure forecasts necessary for developing the forecast of T&amp;D avoided costs for each EDC.  </w:t>
      </w:r>
    </w:p>
    <w:p w:rsidR="007B643C" w:rsidRPr="007B643C" w:rsidRDefault="007B643C" w:rsidP="00A83ABC">
      <w:pPr>
        <w:pStyle w:val="ListParagraph"/>
        <w:ind w:left="360"/>
      </w:pPr>
    </w:p>
    <w:p w:rsidR="00F32F98" w:rsidRDefault="00F32F98" w:rsidP="00A83ABC">
      <w:r w:rsidRPr="00F32F98">
        <w:t>The EDC T&amp;D avoided costs per</w:t>
      </w:r>
      <w:r>
        <w:t xml:space="preserve"> </w:t>
      </w:r>
      <w:r w:rsidRPr="00F32F98">
        <w:t>kW</w:t>
      </w:r>
      <w:r w:rsidR="002C383C">
        <w:t>-</w:t>
      </w:r>
      <w:r w:rsidRPr="00F32F98">
        <w:t>year range from a low of $20.10 for PPL to a high of $49.27 for PECO.</w:t>
      </w:r>
      <w:r>
        <w:t xml:space="preserve"> The T&amp;D avoided costs for each EDC are provided in </w:t>
      </w:r>
      <w:r w:rsidR="007F1EB9">
        <w:fldChar w:fldCharType="begin"/>
      </w:r>
      <w:r w:rsidR="007F1EB9">
        <w:instrText xml:space="preserve"> REF _Ref408325459 \h </w:instrText>
      </w:r>
      <w:r w:rsidR="007F1EB9">
        <w:fldChar w:fldCharType="separate"/>
      </w:r>
      <w:r w:rsidR="00803DBE">
        <w:t xml:space="preserve">Table </w:t>
      </w:r>
      <w:r w:rsidR="00803DBE">
        <w:rPr>
          <w:noProof/>
        </w:rPr>
        <w:t>1</w:t>
      </w:r>
      <w:r w:rsidR="00803DBE">
        <w:noBreakHyphen/>
      </w:r>
      <w:r w:rsidR="00803DBE">
        <w:rPr>
          <w:noProof/>
        </w:rPr>
        <w:t>3</w:t>
      </w:r>
      <w:r w:rsidR="007F1EB9">
        <w:fldChar w:fldCharType="end"/>
      </w:r>
      <w:r>
        <w:t>.</w:t>
      </w:r>
    </w:p>
    <w:p w:rsidR="00F32F98" w:rsidRPr="00F32F98" w:rsidRDefault="00F32F98" w:rsidP="00A83ABC">
      <w:pPr>
        <w:rPr>
          <w:b/>
        </w:rPr>
      </w:pPr>
    </w:p>
    <w:p w:rsidR="007E397A" w:rsidRDefault="007E397A" w:rsidP="00A83ABC">
      <w:pPr>
        <w:pStyle w:val="Caption"/>
        <w:keepNext/>
      </w:pPr>
      <w:bookmarkStart w:id="15" w:name="_Ref408325459"/>
      <w:bookmarkStart w:id="16" w:name="_Toc412628437"/>
      <w:r>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3</w:t>
      </w:r>
      <w:r w:rsidR="00E2011B">
        <w:rPr>
          <w:noProof/>
        </w:rPr>
        <w:fldChar w:fldCharType="end"/>
      </w:r>
      <w:bookmarkEnd w:id="15"/>
      <w:r>
        <w:t xml:space="preserve">: Forecast of Average T&amp;D Avoided Costs ($ per </w:t>
      </w:r>
      <w:r w:rsidR="002143D1">
        <w:t>kW/year</w:t>
      </w:r>
      <w:r>
        <w:t>) by EDC</w:t>
      </w:r>
      <w:bookmarkEnd w:id="16"/>
    </w:p>
    <w:tbl>
      <w:tblPr>
        <w:tblStyle w:val="MediumShading1-Accent5"/>
        <w:tblW w:w="918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80"/>
        <w:gridCol w:w="3600"/>
        <w:gridCol w:w="3600"/>
      </w:tblGrid>
      <w:tr w:rsidR="007E397A" w:rsidTr="0028301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7E397A" w:rsidRDefault="007E397A" w:rsidP="0028301F">
            <w:pPr>
              <w:jc w:val="center"/>
              <w:rPr>
                <w:rFonts w:ascii="Calibri" w:eastAsia="Times New Roman" w:hAnsi="Calibri" w:cs="Calibri"/>
                <w:bCs w:val="0"/>
                <w:color w:val="FFFFFF"/>
                <w:sz w:val="20"/>
                <w:szCs w:val="20"/>
              </w:rPr>
            </w:pPr>
            <w:r>
              <w:rPr>
                <w:rFonts w:ascii="Calibri" w:eastAsia="Times New Roman" w:hAnsi="Calibri" w:cs="Calibri"/>
                <w:bCs w:val="0"/>
                <w:color w:val="FFFFFF"/>
                <w:sz w:val="20"/>
                <w:szCs w:val="20"/>
                <w:lang w:val="x-none"/>
              </w:rPr>
              <w:t>EDC</w:t>
            </w:r>
          </w:p>
        </w:tc>
        <w:tc>
          <w:tcPr>
            <w:tcW w:w="3600"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7E397A" w:rsidRPr="007E397A" w:rsidRDefault="007E397A" w:rsidP="002830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rPr>
              <w:t xml:space="preserve">Average T&amp;D Avoided Cost per </w:t>
            </w:r>
            <w:r w:rsidR="002143D1">
              <w:rPr>
                <w:rFonts w:ascii="Calibri" w:eastAsia="Times New Roman" w:hAnsi="Calibri" w:cs="Calibri"/>
                <w:bCs w:val="0"/>
                <w:color w:val="FFFFFF"/>
                <w:sz w:val="20"/>
                <w:szCs w:val="20"/>
              </w:rPr>
              <w:t>kW/year</w:t>
            </w:r>
            <w:r>
              <w:rPr>
                <w:rFonts w:ascii="Calibri" w:eastAsia="Times New Roman" w:hAnsi="Calibri" w:cs="Calibri"/>
                <w:bCs w:val="0"/>
                <w:color w:val="FFFFFF"/>
                <w:sz w:val="20"/>
                <w:szCs w:val="20"/>
              </w:rPr>
              <w:t xml:space="preserve"> for 2016</w:t>
            </w:r>
          </w:p>
        </w:tc>
        <w:tc>
          <w:tcPr>
            <w:tcW w:w="3600"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7E397A" w:rsidRDefault="007E397A" w:rsidP="002830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rPr>
              <w:t xml:space="preserve">Average Transmission Only Avoided Cost per </w:t>
            </w:r>
            <w:r w:rsidR="002143D1">
              <w:rPr>
                <w:rFonts w:ascii="Calibri" w:eastAsia="Times New Roman" w:hAnsi="Calibri" w:cs="Calibri"/>
                <w:bCs w:val="0"/>
                <w:color w:val="FFFFFF"/>
                <w:sz w:val="20"/>
                <w:szCs w:val="20"/>
              </w:rPr>
              <w:t>kW/year</w:t>
            </w:r>
            <w:r>
              <w:rPr>
                <w:rFonts w:ascii="Calibri" w:eastAsia="Times New Roman" w:hAnsi="Calibri" w:cs="Calibri"/>
                <w:bCs w:val="0"/>
                <w:color w:val="FFFFFF"/>
                <w:sz w:val="20"/>
                <w:szCs w:val="20"/>
              </w:rPr>
              <w:t xml:space="preserve"> for 2016</w:t>
            </w:r>
          </w:p>
        </w:tc>
      </w:tr>
      <w:tr w:rsidR="007E397A" w:rsidTr="00D85C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 xml:space="preserve">Duquesne </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$40.88</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$40.88</w:t>
            </w:r>
          </w:p>
        </w:tc>
      </w:tr>
      <w:tr w:rsidR="007E397A" w:rsidTr="00D85C9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Met</w:t>
            </w:r>
            <w:r>
              <w:rPr>
                <w:rFonts w:ascii="Calibri" w:eastAsia="Times New Roman" w:hAnsi="Calibri" w:cs="Calibri"/>
                <w:b w:val="0"/>
                <w:color w:val="000000"/>
                <w:sz w:val="20"/>
                <w:szCs w:val="20"/>
              </w:rPr>
              <w:t>-</w:t>
            </w:r>
            <w:r>
              <w:rPr>
                <w:rFonts w:ascii="Calibri" w:eastAsia="Times New Roman" w:hAnsi="Calibri" w:cs="Calibri"/>
                <w:b w:val="0"/>
                <w:color w:val="000000"/>
                <w:sz w:val="20"/>
                <w:szCs w:val="20"/>
                <w:lang w:val="x-none"/>
              </w:rPr>
              <w:t>Ed</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7E397A" w:rsidTr="00D85C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Penelec </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7E397A" w:rsidTr="00D85C9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Penn Power</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7E397A" w:rsidTr="00D85C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West Penn</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7E397A" w:rsidTr="00D85C9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PECO</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$49.27</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$3.88</w:t>
            </w:r>
          </w:p>
        </w:tc>
      </w:tr>
      <w:tr w:rsidR="007E397A" w:rsidTr="00D85C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PPL</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$20.10</w:t>
            </w:r>
          </w:p>
        </w:tc>
        <w:tc>
          <w:tcPr>
            <w:tcW w:w="3600" w:type="dxa"/>
            <w:tcBorders>
              <w:top w:val="single" w:sz="8" w:space="0" w:color="448A99"/>
              <w:left w:val="single" w:sz="8" w:space="0" w:color="448A99"/>
              <w:bottom w:val="single" w:sz="8" w:space="0" w:color="448A99"/>
              <w:right w:val="single" w:sz="8" w:space="0" w:color="448A99"/>
            </w:tcBorders>
            <w:noWrap/>
            <w:hideMark/>
          </w:tcPr>
          <w:p w:rsidR="007E397A" w:rsidRDefault="007E397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$0.00</w:t>
            </w:r>
          </w:p>
        </w:tc>
      </w:tr>
    </w:tbl>
    <w:p w:rsidR="007B643C" w:rsidRDefault="007B643C" w:rsidP="00A83ABC">
      <w:bookmarkStart w:id="17" w:name="_MON_1481476043"/>
      <w:bookmarkEnd w:id="17"/>
    </w:p>
    <w:p w:rsidR="00903D36" w:rsidRPr="00861A7C" w:rsidRDefault="00903D36" w:rsidP="00A83ABC">
      <w:pPr>
        <w:pStyle w:val="Heading2"/>
      </w:pPr>
      <w:bookmarkStart w:id="18" w:name="_Toc412628365"/>
      <w:r w:rsidRPr="00861A7C">
        <w:t>Residential DR Potential Methodology and Results</w:t>
      </w:r>
      <w:bookmarkEnd w:id="18"/>
    </w:p>
    <w:p w:rsidR="00903D36" w:rsidRDefault="00903D36" w:rsidP="00A83ABC">
      <w:r>
        <w:t>Direct Load Control (DLC) programs remotely manage residential customers’ end</w:t>
      </w:r>
      <w:r w:rsidR="00622FC2">
        <w:t xml:space="preserve"> </w:t>
      </w:r>
      <w:r>
        <w:t xml:space="preserve">use demands by cycling off their electricity consuming equipment during control periods (typically at periods of peak </w:t>
      </w:r>
      <w:r>
        <w:lastRenderedPageBreak/>
        <w:t>electric demand). In exchange for an incentive payment, free equipment, or bill reduction, customers allow EDCs to remotely reduce equipment</w:t>
      </w:r>
      <w:r w:rsidR="00CD632F">
        <w:t xml:space="preserve"> runtime during peak hours. The residential sector</w:t>
      </w:r>
      <w:r>
        <w:t xml:space="preserve"> analysis examined the </w:t>
      </w:r>
      <w:r w:rsidR="00CE0565">
        <w:t>cost-effective</w:t>
      </w:r>
      <w:r>
        <w:t xml:space="preserve">ness and potential peak demand reduction savings for load control of residential central </w:t>
      </w:r>
      <w:r w:rsidR="005D08F6">
        <w:t>A/C</w:t>
      </w:r>
      <w:r>
        <w:t xml:space="preserve"> systems, window </w:t>
      </w:r>
      <w:r w:rsidR="00AD2C38">
        <w:t>A/C’s</w:t>
      </w:r>
      <w:r>
        <w:t xml:space="preserve">, electric water heaters, and swimming pool pumps for Phase III of Act 129 programs. The Base Scenario of our potential analysis was limited to load control of only central </w:t>
      </w:r>
      <w:r w:rsidR="00AD2C38">
        <w:t>A/C’s</w:t>
      </w:r>
      <w:r>
        <w:t xml:space="preserve"> while the Second Scenario included load control of all four types of electrical equipment.</w:t>
      </w:r>
      <w:r w:rsidR="005F7D14">
        <w:t xml:space="preserve"> </w:t>
      </w:r>
      <w:r>
        <w:t>Program participation and impacts (demand reductions) for residential customers were assumed to begin the summer of 2017. No program participants are assumed in 2016, due to the fact that Phase III begins on June 1, 2016</w:t>
      </w:r>
      <w:r w:rsidR="00CD632F">
        <w:t>, and it will take many months to arrange for the purchase and installation of load control equipment</w:t>
      </w:r>
      <w:r>
        <w:t>.</w:t>
      </w:r>
    </w:p>
    <w:p w:rsidR="00903D36" w:rsidRDefault="00903D36" w:rsidP="00A83ABC">
      <w:pPr>
        <w:spacing w:before="240"/>
      </w:pPr>
      <w:r>
        <w:t xml:space="preserve">In order to maximize the benefits of </w:t>
      </w:r>
      <w:r w:rsidR="00BF390D">
        <w:t xml:space="preserve">a </w:t>
      </w:r>
      <w:r>
        <w:t>residential load reduction</w:t>
      </w:r>
      <w:r w:rsidR="00BF390D">
        <w:t xml:space="preserve"> program</w:t>
      </w:r>
      <w:r>
        <w:t xml:space="preserve">, the installations of load control devices were assumed to have been completed only in 2016 and early in 2017 for the initiation of cycling the summer of 2017. For residential central </w:t>
      </w:r>
      <w:r w:rsidR="00AD2C38">
        <w:t>A/C’s</w:t>
      </w:r>
      <w:r>
        <w:t xml:space="preserve"> (base scenario), a maximum 12.5</w:t>
      </w:r>
      <w:r w:rsidR="00AD2C38">
        <w:t xml:space="preserve">% </w:t>
      </w:r>
      <w:r>
        <w:t>penetration rate was assumed to determine potential peak load reduction savings.</w:t>
      </w:r>
      <w:r w:rsidRPr="00132EAC">
        <w:t xml:space="preserve"> </w:t>
      </w:r>
      <w:r>
        <w:t>The 12.5</w:t>
      </w:r>
      <w:r w:rsidR="00AD2C38">
        <w:t>%</w:t>
      </w:r>
      <w:r>
        <w:t xml:space="preserve"> was derived from the actual participation rates for </w:t>
      </w:r>
      <w:r w:rsidR="008D678D">
        <w:t>DLC</w:t>
      </w:r>
      <w:r>
        <w:t xml:space="preserve"> programs of </w:t>
      </w:r>
      <w:r w:rsidR="002275E3">
        <w:t>20 utilities</w:t>
      </w:r>
      <w:r w:rsidR="00280B88">
        <w:t xml:space="preserve"> around the country.</w:t>
      </w:r>
      <w:r w:rsidR="00CD632F">
        <w:t xml:space="preserve"> The SWE </w:t>
      </w:r>
      <w:r w:rsidR="002275E3">
        <w:t>T</w:t>
      </w:r>
      <w:r w:rsidR="00CD632F">
        <w:t>eam also conducted in-depth interviews with each of these utilities to understand details of program operations.</w:t>
      </w:r>
      <w:r w:rsidR="00280B88">
        <w:t xml:space="preserve"> </w:t>
      </w:r>
      <w:r w:rsidR="00280B88">
        <w:fldChar w:fldCharType="begin"/>
      </w:r>
      <w:r w:rsidR="00280B88">
        <w:instrText xml:space="preserve"> REF _Ref407783264 \h </w:instrText>
      </w:r>
      <w:r w:rsidR="00280B88">
        <w:fldChar w:fldCharType="separate"/>
      </w:r>
      <w:r w:rsidR="00803DBE">
        <w:t xml:space="preserve">Table </w:t>
      </w:r>
      <w:r w:rsidR="00803DBE">
        <w:rPr>
          <w:noProof/>
        </w:rPr>
        <w:t>1</w:t>
      </w:r>
      <w:r w:rsidR="00803DBE">
        <w:noBreakHyphen/>
      </w:r>
      <w:r w:rsidR="00803DBE">
        <w:rPr>
          <w:noProof/>
        </w:rPr>
        <w:t>4</w:t>
      </w:r>
      <w:r w:rsidR="00280B88">
        <w:fldChar w:fldCharType="end"/>
      </w:r>
      <w:r w:rsidR="00280B88">
        <w:t xml:space="preserve"> </w:t>
      </w:r>
      <w:r>
        <w:t xml:space="preserve">contains the size of the eligible market for Phase III residential </w:t>
      </w:r>
      <w:r w:rsidR="008D678D">
        <w:t>DLC</w:t>
      </w:r>
      <w:r>
        <w:t xml:space="preserve"> programs by EDC. For load control of residential central </w:t>
      </w:r>
      <w:r w:rsidR="00AD2C38">
        <w:t>A/C’s</w:t>
      </w:r>
      <w:r>
        <w:t xml:space="preserve">, the size of the eligible market in 2016 (the first year of Phase III) was determined by multiplying the forecast of </w:t>
      </w:r>
      <w:r w:rsidR="002143D1">
        <w:t>each EDC</w:t>
      </w:r>
      <w:r w:rsidR="002275E3">
        <w:t>s number of residential customers</w:t>
      </w:r>
      <w:r w:rsidR="00CC2318">
        <w:t xml:space="preserve"> in 2016</w:t>
      </w:r>
      <w:r w:rsidR="002275E3">
        <w:t xml:space="preserve"> by the saturation of the end use obtained from the 2014 SWE </w:t>
      </w:r>
      <w:r w:rsidR="00304407">
        <w:t>R</w:t>
      </w:r>
      <w:r w:rsidR="002275E3">
        <w:t xml:space="preserve">esidential </w:t>
      </w:r>
      <w:r w:rsidR="00304407">
        <w:t>B</w:t>
      </w:r>
      <w:r w:rsidR="002275E3">
        <w:t xml:space="preserve">aseline </w:t>
      </w:r>
      <w:r w:rsidR="00304407">
        <w:t>S</w:t>
      </w:r>
      <w:r w:rsidR="002275E3">
        <w:t>tudy</w:t>
      </w:r>
      <w:r w:rsidR="005B100D">
        <w:rPr>
          <w:rStyle w:val="FootnoteReference"/>
        </w:rPr>
        <w:footnoteReference w:id="19"/>
      </w:r>
      <w:r w:rsidR="002275E3">
        <w:t>. To obtain the number of potential program participants by the summer of 2017 (the first year of control) for residential central A/C systems, the eligible market for each EDC was multiplied by 12.5%.</w:t>
      </w:r>
    </w:p>
    <w:p w:rsidR="00903D36" w:rsidRPr="00D85C97" w:rsidRDefault="00903D36" w:rsidP="00A83ABC"/>
    <w:p w:rsidR="00280B88" w:rsidRDefault="00280B88" w:rsidP="00A83ABC">
      <w:pPr>
        <w:pStyle w:val="Caption"/>
        <w:keepNext/>
      </w:pPr>
      <w:bookmarkStart w:id="19" w:name="_Ref407783264"/>
      <w:bookmarkStart w:id="20" w:name="_Toc412628438"/>
      <w:r>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4</w:t>
      </w:r>
      <w:r w:rsidR="00E2011B">
        <w:rPr>
          <w:noProof/>
        </w:rPr>
        <w:fldChar w:fldCharType="end"/>
      </w:r>
      <w:bookmarkEnd w:id="19"/>
      <w:r>
        <w:t xml:space="preserve">: Eligible Markets for Phase III Residential </w:t>
      </w:r>
      <w:r w:rsidR="00037A03">
        <w:t>DR</w:t>
      </w:r>
      <w:r>
        <w:t xml:space="preserve"> Programs for EDCs – Central A/C</w:t>
      </w:r>
      <w:bookmarkEnd w:id="20"/>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30"/>
        <w:gridCol w:w="1098"/>
        <w:gridCol w:w="1368"/>
        <w:gridCol w:w="1368"/>
        <w:gridCol w:w="1368"/>
        <w:gridCol w:w="1368"/>
        <w:gridCol w:w="1368"/>
      </w:tblGrid>
      <w:tr w:rsidR="00903D36" w:rsidTr="00A83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903D36" w:rsidRDefault="00903D36" w:rsidP="00A83ABC">
            <w:pPr>
              <w:jc w:val="center"/>
              <w:rPr>
                <w:sz w:val="18"/>
                <w:szCs w:val="20"/>
              </w:rPr>
            </w:pPr>
            <w:r>
              <w:rPr>
                <w:sz w:val="18"/>
                <w:szCs w:val="20"/>
              </w:rPr>
              <w:t>Name of EDC</w:t>
            </w:r>
          </w:p>
        </w:tc>
        <w:tc>
          <w:tcPr>
            <w:tcW w:w="1098"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903D36" w:rsidRDefault="00903D36" w:rsidP="00A83ABC">
            <w:pPr>
              <w:jc w:val="cente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Projected Total No. of EDC Residential Customers in 2016</w:t>
            </w:r>
          </w:p>
        </w:tc>
        <w:tc>
          <w:tcPr>
            <w:tcW w:w="1368"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903D36" w:rsidRDefault="00903D36" w:rsidP="00A83ABC">
            <w:pPr>
              <w:jc w:val="cente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 xml:space="preserve">Percent of Residential Customers with Central </w:t>
            </w:r>
            <w:r w:rsidR="00622FC2">
              <w:rPr>
                <w:sz w:val="18"/>
                <w:szCs w:val="20"/>
              </w:rPr>
              <w:t>A/C</w:t>
            </w:r>
            <w:r>
              <w:rPr>
                <w:sz w:val="18"/>
                <w:szCs w:val="20"/>
              </w:rPr>
              <w:t xml:space="preserve"> Systems from 2014 Baseline Study (%)</w:t>
            </w:r>
          </w:p>
        </w:tc>
        <w:tc>
          <w:tcPr>
            <w:tcW w:w="1368"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903D36" w:rsidRDefault="00903D36" w:rsidP="00A83ABC">
            <w:pPr>
              <w:jc w:val="cente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Eligible Market for Participation in Load Control Program for Residential Central A/C (No. of Residential Customers)</w:t>
            </w:r>
          </w:p>
        </w:tc>
        <w:tc>
          <w:tcPr>
            <w:tcW w:w="1368"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903D36" w:rsidRDefault="00903D36" w:rsidP="00A83ABC">
            <w:pPr>
              <w:jc w:val="cente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Actual Program Participation Rate Achieved During Phase I of Act 129</w:t>
            </w:r>
            <w:r w:rsidR="00067B7E">
              <w:rPr>
                <w:sz w:val="18"/>
                <w:szCs w:val="20"/>
              </w:rPr>
              <w:t xml:space="preserve"> for Central A/C Load Control</w:t>
            </w:r>
            <w:r>
              <w:rPr>
                <w:sz w:val="18"/>
                <w:szCs w:val="20"/>
              </w:rPr>
              <w:t xml:space="preserve"> (%)</w:t>
            </w:r>
          </w:p>
        </w:tc>
        <w:tc>
          <w:tcPr>
            <w:tcW w:w="1368"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903D36" w:rsidRDefault="00903D36" w:rsidP="00A83ABC">
            <w:pPr>
              <w:jc w:val="cente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Forecast Program Participation Rate for Phase III</w:t>
            </w:r>
          </w:p>
        </w:tc>
        <w:tc>
          <w:tcPr>
            <w:tcW w:w="1368" w:type="dxa"/>
            <w:tcBorders>
              <w:top w:val="single" w:sz="8" w:space="0" w:color="448A99"/>
              <w:left w:val="single" w:sz="8" w:space="0" w:color="448A99"/>
              <w:bottom w:val="single" w:sz="8" w:space="0" w:color="448A99"/>
              <w:right w:val="single" w:sz="8" w:space="0" w:color="448A99"/>
            </w:tcBorders>
            <w:shd w:val="clear" w:color="auto" w:fill="448A99"/>
            <w:vAlign w:val="center"/>
            <w:hideMark/>
          </w:tcPr>
          <w:p w:rsidR="00903D36" w:rsidRDefault="00903D36" w:rsidP="00A83ABC">
            <w:pPr>
              <w:jc w:val="cente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Total Number of Program Participants Forecast for a Phase III Residential Central A/C Control Program</w:t>
            </w:r>
          </w:p>
        </w:tc>
      </w:tr>
      <w:tr w:rsidR="002275E3" w:rsidTr="00F52C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left"/>
              <w:rPr>
                <w:b w:val="0"/>
                <w:sz w:val="20"/>
                <w:szCs w:val="20"/>
              </w:rPr>
            </w:pPr>
            <w:r>
              <w:rPr>
                <w:b w:val="0"/>
                <w:sz w:val="20"/>
                <w:szCs w:val="20"/>
              </w:rPr>
              <w:t>Duquesne</w:t>
            </w:r>
          </w:p>
        </w:tc>
        <w:tc>
          <w:tcPr>
            <w:tcW w:w="109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528,973</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77%</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407,309</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0.45%</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50,914</w:t>
            </w:r>
          </w:p>
        </w:tc>
      </w:tr>
      <w:tr w:rsidR="002275E3" w:rsidTr="00F52C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left"/>
              <w:rPr>
                <w:b w:val="0"/>
                <w:sz w:val="20"/>
                <w:szCs w:val="20"/>
              </w:rPr>
            </w:pPr>
            <w:r>
              <w:rPr>
                <w:b w:val="0"/>
                <w:sz w:val="20"/>
                <w:szCs w:val="20"/>
              </w:rPr>
              <w:t>FE: Met-Ed</w:t>
            </w:r>
          </w:p>
        </w:tc>
        <w:tc>
          <w:tcPr>
            <w:tcW w:w="109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492,237</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61%</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300,265</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5.3%</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37,533</w:t>
            </w:r>
          </w:p>
        </w:tc>
      </w:tr>
      <w:tr w:rsidR="002275E3" w:rsidTr="00F52C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left"/>
              <w:rPr>
                <w:b w:val="0"/>
                <w:sz w:val="20"/>
                <w:szCs w:val="20"/>
              </w:rPr>
            </w:pPr>
            <w:r>
              <w:rPr>
                <w:b w:val="0"/>
                <w:sz w:val="20"/>
                <w:szCs w:val="20"/>
              </w:rPr>
              <w:t>FE: Penelec</w:t>
            </w:r>
          </w:p>
        </w:tc>
        <w:tc>
          <w:tcPr>
            <w:tcW w:w="109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505,353</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38%</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192,034</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6.5%</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24,004</w:t>
            </w:r>
          </w:p>
        </w:tc>
      </w:tr>
      <w:tr w:rsidR="002275E3" w:rsidTr="00F52C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left"/>
              <w:rPr>
                <w:b w:val="0"/>
                <w:sz w:val="20"/>
                <w:szCs w:val="20"/>
              </w:rPr>
            </w:pPr>
            <w:r>
              <w:rPr>
                <w:b w:val="0"/>
                <w:sz w:val="20"/>
                <w:szCs w:val="20"/>
              </w:rPr>
              <w:t>FE: Penn</w:t>
            </w:r>
            <w:r w:rsidR="00F52C68">
              <w:rPr>
                <w:b w:val="0"/>
                <w:sz w:val="20"/>
                <w:szCs w:val="20"/>
              </w:rPr>
              <w:t xml:space="preserve"> </w:t>
            </w:r>
            <w:r>
              <w:rPr>
                <w:b w:val="0"/>
                <w:sz w:val="20"/>
                <w:szCs w:val="20"/>
              </w:rPr>
              <w:t>Power</w:t>
            </w:r>
          </w:p>
        </w:tc>
        <w:tc>
          <w:tcPr>
            <w:tcW w:w="109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141,736</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74%</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104,885</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2.9%</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13,111</w:t>
            </w:r>
          </w:p>
        </w:tc>
      </w:tr>
      <w:tr w:rsidR="002275E3" w:rsidTr="00F52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left"/>
              <w:rPr>
                <w:b w:val="0"/>
                <w:sz w:val="20"/>
                <w:szCs w:val="20"/>
              </w:rPr>
            </w:pPr>
            <w:r>
              <w:rPr>
                <w:b w:val="0"/>
                <w:sz w:val="20"/>
                <w:szCs w:val="20"/>
              </w:rPr>
              <w:t xml:space="preserve">FE: West Penn </w:t>
            </w:r>
          </w:p>
        </w:tc>
        <w:tc>
          <w:tcPr>
            <w:tcW w:w="109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624,521</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73%</w:t>
            </w:r>
          </w:p>
        </w:tc>
        <w:tc>
          <w:tcPr>
            <w:tcW w:w="1368" w:type="dxa"/>
            <w:tcBorders>
              <w:top w:val="single" w:sz="8" w:space="0" w:color="448A99"/>
              <w:left w:val="single" w:sz="8" w:space="0" w:color="448A99"/>
              <w:bottom w:val="single" w:sz="8" w:space="0" w:color="448A99"/>
              <w:right w:val="single" w:sz="8" w:space="0" w:color="448A99"/>
            </w:tcBorders>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455,900</w:t>
            </w:r>
          </w:p>
        </w:tc>
        <w:tc>
          <w:tcPr>
            <w:tcW w:w="1368" w:type="dxa"/>
            <w:tcBorders>
              <w:top w:val="single" w:sz="8" w:space="0" w:color="448A99"/>
              <w:left w:val="single" w:sz="8" w:space="0" w:color="448A99"/>
              <w:bottom w:val="single" w:sz="8" w:space="0" w:color="448A99"/>
              <w:right w:val="single" w:sz="8" w:space="0" w:color="448A99"/>
            </w:tcBorders>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0.0%</w:t>
            </w:r>
          </w:p>
        </w:tc>
        <w:tc>
          <w:tcPr>
            <w:tcW w:w="1368" w:type="dxa"/>
            <w:tcBorders>
              <w:top w:val="single" w:sz="8" w:space="0" w:color="448A99"/>
              <w:left w:val="single" w:sz="8" w:space="0" w:color="448A99"/>
              <w:bottom w:val="single" w:sz="8" w:space="0" w:color="448A99"/>
              <w:right w:val="single" w:sz="8" w:space="0" w:color="448A99"/>
            </w:tcBorders>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tcPr>
          <w:p w:rsidR="002275E3" w:rsidRDefault="002275E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56,988</w:t>
            </w:r>
          </w:p>
        </w:tc>
      </w:tr>
      <w:tr w:rsidR="00E27E1A" w:rsidTr="00F52C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tcPr>
          <w:p w:rsidR="00E27E1A" w:rsidRDefault="00E27E1A" w:rsidP="00A83ABC">
            <w:pPr>
              <w:jc w:val="left"/>
              <w:rPr>
                <w:b w:val="0"/>
                <w:sz w:val="20"/>
                <w:szCs w:val="20"/>
              </w:rPr>
            </w:pPr>
            <w:r>
              <w:rPr>
                <w:b w:val="0"/>
                <w:sz w:val="20"/>
                <w:szCs w:val="20"/>
              </w:rPr>
              <w:t>PECO</w:t>
            </w:r>
          </w:p>
        </w:tc>
        <w:tc>
          <w:tcPr>
            <w:tcW w:w="1098" w:type="dxa"/>
            <w:tcBorders>
              <w:top w:val="single" w:sz="8" w:space="0" w:color="448A99"/>
              <w:left w:val="single" w:sz="8" w:space="0" w:color="448A99"/>
              <w:bottom w:val="single" w:sz="8" w:space="0" w:color="448A99"/>
              <w:right w:val="single" w:sz="8" w:space="0" w:color="448A99"/>
            </w:tcBorders>
          </w:tcPr>
          <w:p w:rsidR="00E27E1A"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1,438,250</w:t>
            </w:r>
          </w:p>
        </w:tc>
        <w:tc>
          <w:tcPr>
            <w:tcW w:w="1368" w:type="dxa"/>
            <w:tcBorders>
              <w:top w:val="single" w:sz="8" w:space="0" w:color="448A99"/>
              <w:left w:val="single" w:sz="8" w:space="0" w:color="448A99"/>
              <w:bottom w:val="single" w:sz="8" w:space="0" w:color="448A99"/>
              <w:right w:val="single" w:sz="8" w:space="0" w:color="448A99"/>
            </w:tcBorders>
          </w:tcPr>
          <w:p w:rsidR="00E27E1A"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74%</w:t>
            </w:r>
          </w:p>
        </w:tc>
        <w:tc>
          <w:tcPr>
            <w:tcW w:w="1368" w:type="dxa"/>
            <w:tcBorders>
              <w:top w:val="single" w:sz="8" w:space="0" w:color="448A99"/>
              <w:left w:val="single" w:sz="8" w:space="0" w:color="448A99"/>
              <w:bottom w:val="single" w:sz="8" w:space="0" w:color="448A99"/>
              <w:right w:val="single" w:sz="8" w:space="0" w:color="448A99"/>
            </w:tcBorders>
          </w:tcPr>
          <w:p w:rsidR="00E27E1A"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1,064,305</w:t>
            </w:r>
          </w:p>
        </w:tc>
        <w:tc>
          <w:tcPr>
            <w:tcW w:w="1368" w:type="dxa"/>
            <w:tcBorders>
              <w:top w:val="single" w:sz="8" w:space="0" w:color="448A99"/>
              <w:left w:val="single" w:sz="8" w:space="0" w:color="448A99"/>
              <w:bottom w:val="single" w:sz="8" w:space="0" w:color="448A99"/>
              <w:right w:val="single" w:sz="8" w:space="0" w:color="448A99"/>
            </w:tcBorders>
          </w:tcPr>
          <w:p w:rsidR="00E27E1A"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11.4%</w:t>
            </w:r>
          </w:p>
        </w:tc>
        <w:tc>
          <w:tcPr>
            <w:tcW w:w="1368" w:type="dxa"/>
            <w:tcBorders>
              <w:top w:val="single" w:sz="8" w:space="0" w:color="448A99"/>
              <w:left w:val="single" w:sz="8" w:space="0" w:color="448A99"/>
              <w:bottom w:val="single" w:sz="8" w:space="0" w:color="448A99"/>
              <w:right w:val="single" w:sz="8" w:space="0" w:color="448A99"/>
            </w:tcBorders>
          </w:tcPr>
          <w:p w:rsidR="00E27E1A"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tcPr>
          <w:p w:rsidR="00E27E1A"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Pr>
                <w:rFonts w:ascii="Calibri" w:hAnsi="Calibri"/>
                <w:color w:val="000000"/>
                <w:sz w:val="20"/>
              </w:rPr>
              <w:t>133,038</w:t>
            </w:r>
          </w:p>
        </w:tc>
      </w:tr>
      <w:tr w:rsidR="00E27E1A" w:rsidTr="00DE6B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hideMark/>
          </w:tcPr>
          <w:p w:rsidR="00E27E1A" w:rsidRDefault="00E27E1A" w:rsidP="00A83ABC">
            <w:pPr>
              <w:jc w:val="left"/>
              <w:rPr>
                <w:b w:val="0"/>
                <w:sz w:val="20"/>
                <w:szCs w:val="20"/>
              </w:rPr>
            </w:pPr>
            <w:r>
              <w:rPr>
                <w:b w:val="0"/>
                <w:sz w:val="20"/>
                <w:szCs w:val="20"/>
              </w:rPr>
              <w:t>PPL</w:t>
            </w:r>
          </w:p>
        </w:tc>
        <w:tc>
          <w:tcPr>
            <w:tcW w:w="1098" w:type="dxa"/>
            <w:tcBorders>
              <w:top w:val="single" w:sz="8" w:space="0" w:color="448A99"/>
              <w:left w:val="single" w:sz="8" w:space="0" w:color="448A99"/>
              <w:bottom w:val="single" w:sz="8" w:space="0" w:color="448A99"/>
              <w:right w:val="single" w:sz="8" w:space="0" w:color="448A99"/>
            </w:tcBorders>
            <w:hideMark/>
          </w:tcPr>
          <w:p w:rsidR="00E27E1A"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1,256,031</w:t>
            </w:r>
          </w:p>
        </w:tc>
        <w:tc>
          <w:tcPr>
            <w:tcW w:w="1368" w:type="dxa"/>
            <w:tcBorders>
              <w:top w:val="single" w:sz="8" w:space="0" w:color="448A99"/>
              <w:left w:val="single" w:sz="8" w:space="0" w:color="448A99"/>
              <w:bottom w:val="single" w:sz="8" w:space="0" w:color="448A99"/>
              <w:right w:val="single" w:sz="8" w:space="0" w:color="448A99"/>
            </w:tcBorders>
            <w:hideMark/>
          </w:tcPr>
          <w:p w:rsidR="00E27E1A"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50%</w:t>
            </w:r>
          </w:p>
        </w:tc>
        <w:tc>
          <w:tcPr>
            <w:tcW w:w="1368" w:type="dxa"/>
            <w:tcBorders>
              <w:top w:val="single" w:sz="8" w:space="0" w:color="448A99"/>
              <w:left w:val="single" w:sz="8" w:space="0" w:color="448A99"/>
              <w:bottom w:val="single" w:sz="8" w:space="0" w:color="448A99"/>
              <w:right w:val="single" w:sz="8" w:space="0" w:color="448A99"/>
            </w:tcBorders>
            <w:hideMark/>
          </w:tcPr>
          <w:p w:rsidR="00E27E1A"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628,016</w:t>
            </w:r>
          </w:p>
        </w:tc>
        <w:tc>
          <w:tcPr>
            <w:tcW w:w="1368" w:type="dxa"/>
            <w:tcBorders>
              <w:top w:val="single" w:sz="8" w:space="0" w:color="448A99"/>
              <w:left w:val="single" w:sz="8" w:space="0" w:color="448A99"/>
              <w:bottom w:val="single" w:sz="8" w:space="0" w:color="448A99"/>
              <w:right w:val="single" w:sz="8" w:space="0" w:color="448A99"/>
            </w:tcBorders>
            <w:hideMark/>
          </w:tcPr>
          <w:p w:rsidR="00E27E1A"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7.0%</w:t>
            </w:r>
          </w:p>
        </w:tc>
        <w:tc>
          <w:tcPr>
            <w:tcW w:w="1368" w:type="dxa"/>
            <w:tcBorders>
              <w:top w:val="single" w:sz="8" w:space="0" w:color="448A99"/>
              <w:left w:val="single" w:sz="8" w:space="0" w:color="448A99"/>
              <w:bottom w:val="single" w:sz="8" w:space="0" w:color="448A99"/>
              <w:right w:val="single" w:sz="8" w:space="0" w:color="448A99"/>
            </w:tcBorders>
            <w:hideMark/>
          </w:tcPr>
          <w:p w:rsidR="00E27E1A"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hideMark/>
          </w:tcPr>
          <w:p w:rsidR="00E27E1A"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78,502</w:t>
            </w:r>
          </w:p>
        </w:tc>
      </w:tr>
      <w:tr w:rsidR="00E27E1A" w:rsidTr="00F52C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48A99"/>
              <w:left w:val="single" w:sz="8" w:space="0" w:color="448A99"/>
              <w:bottom w:val="single" w:sz="8" w:space="0" w:color="448A99"/>
              <w:right w:val="single" w:sz="8" w:space="0" w:color="448A99"/>
            </w:tcBorders>
            <w:hideMark/>
          </w:tcPr>
          <w:p w:rsidR="002275E3" w:rsidRDefault="00D85C97" w:rsidP="00A83ABC">
            <w:pPr>
              <w:jc w:val="left"/>
              <w:rPr>
                <w:sz w:val="20"/>
                <w:szCs w:val="20"/>
              </w:rPr>
            </w:pPr>
            <w:r>
              <w:rPr>
                <w:sz w:val="20"/>
                <w:szCs w:val="20"/>
              </w:rPr>
              <w:t>Total</w:t>
            </w:r>
          </w:p>
        </w:tc>
        <w:tc>
          <w:tcPr>
            <w:tcW w:w="1098" w:type="dxa"/>
            <w:tcBorders>
              <w:top w:val="single" w:sz="8" w:space="0" w:color="448A99"/>
              <w:left w:val="single" w:sz="8" w:space="0" w:color="448A99"/>
              <w:bottom w:val="single" w:sz="8" w:space="0" w:color="448A99"/>
              <w:right w:val="single" w:sz="8" w:space="0" w:color="448A99"/>
            </w:tcBorders>
            <w:hideMark/>
          </w:tcPr>
          <w:p w:rsidR="002275E3" w:rsidRPr="00AB3457"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rPr>
            </w:pPr>
            <w:r w:rsidRPr="00AB3457">
              <w:rPr>
                <w:rFonts w:ascii="Calibri" w:hAnsi="Calibri"/>
                <w:b/>
                <w:color w:val="000000"/>
                <w:sz w:val="20"/>
              </w:rPr>
              <w:t>4,987,101</w:t>
            </w:r>
          </w:p>
        </w:tc>
        <w:tc>
          <w:tcPr>
            <w:tcW w:w="1368" w:type="dxa"/>
            <w:tcBorders>
              <w:top w:val="single" w:sz="8" w:space="0" w:color="448A99"/>
              <w:left w:val="single" w:sz="8" w:space="0" w:color="448A99"/>
              <w:bottom w:val="single" w:sz="8" w:space="0" w:color="448A99"/>
              <w:right w:val="single" w:sz="8" w:space="0" w:color="448A99"/>
            </w:tcBorders>
          </w:tcPr>
          <w:p w:rsidR="002275E3" w:rsidRPr="00AB3457"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rPr>
            </w:pPr>
            <w:r w:rsidRPr="00AB3457">
              <w:rPr>
                <w:rFonts w:ascii="Calibri" w:hAnsi="Calibri"/>
                <w:b/>
                <w:color w:val="000000"/>
                <w:sz w:val="20"/>
              </w:rPr>
              <w:t>63%</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Pr="00AB3457" w:rsidRDefault="002275E3" w:rsidP="0063756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rPr>
            </w:pPr>
            <w:r w:rsidRPr="00AB3457">
              <w:rPr>
                <w:rFonts w:ascii="Calibri" w:hAnsi="Calibri"/>
                <w:b/>
                <w:color w:val="000000"/>
                <w:sz w:val="20"/>
              </w:rPr>
              <w:t>3,152,</w:t>
            </w:r>
            <w:r w:rsidR="0063756B" w:rsidRPr="00AB3457">
              <w:rPr>
                <w:rFonts w:ascii="Calibri" w:hAnsi="Calibri"/>
                <w:b/>
                <w:color w:val="000000"/>
                <w:sz w:val="20"/>
              </w:rPr>
              <w:t>7</w:t>
            </w:r>
            <w:r w:rsidR="0063756B">
              <w:rPr>
                <w:rFonts w:ascii="Calibri" w:hAnsi="Calibri"/>
                <w:b/>
                <w:color w:val="000000"/>
                <w:sz w:val="20"/>
              </w:rPr>
              <w:t>14</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Pr="00AB3457"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rPr>
            </w:pPr>
            <w:r w:rsidRPr="00AB3457">
              <w:rPr>
                <w:rFonts w:ascii="Calibri" w:hAnsi="Calibri"/>
                <w:b/>
                <w:color w:val="000000"/>
                <w:sz w:val="20"/>
              </w:rPr>
              <w:t>6.4%</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Pr="00AB3457"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rPr>
            </w:pPr>
            <w:r w:rsidRPr="00AB3457">
              <w:rPr>
                <w:rFonts w:ascii="Calibri" w:hAnsi="Calibri"/>
                <w:b/>
                <w:color w:val="000000"/>
                <w:sz w:val="20"/>
              </w:rPr>
              <w:t>12.50%</w:t>
            </w:r>
          </w:p>
        </w:tc>
        <w:tc>
          <w:tcPr>
            <w:tcW w:w="1368" w:type="dxa"/>
            <w:tcBorders>
              <w:top w:val="single" w:sz="8" w:space="0" w:color="448A99"/>
              <w:left w:val="single" w:sz="8" w:space="0" w:color="448A99"/>
              <w:bottom w:val="single" w:sz="8" w:space="0" w:color="448A99"/>
              <w:right w:val="single" w:sz="8" w:space="0" w:color="448A99"/>
            </w:tcBorders>
            <w:hideMark/>
          </w:tcPr>
          <w:p w:rsidR="002275E3" w:rsidRPr="00AB3457" w:rsidRDefault="002275E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rPr>
            </w:pPr>
            <w:r w:rsidRPr="00AB3457">
              <w:rPr>
                <w:rFonts w:ascii="Calibri" w:hAnsi="Calibri"/>
                <w:b/>
                <w:color w:val="000000"/>
                <w:sz w:val="20"/>
              </w:rPr>
              <w:t>394,089</w:t>
            </w:r>
          </w:p>
        </w:tc>
      </w:tr>
    </w:tbl>
    <w:p w:rsidR="0028301F" w:rsidRDefault="0028301F" w:rsidP="00A83ABC"/>
    <w:p w:rsidR="00903D36" w:rsidRDefault="00903D36" w:rsidP="00A83ABC">
      <w:r w:rsidRPr="007F1EB9">
        <w:t xml:space="preserve">Potential impacts for programs that included window </w:t>
      </w:r>
      <w:r w:rsidR="00AD2C38">
        <w:t>A/C’s</w:t>
      </w:r>
      <w:r w:rsidRPr="007F1EB9">
        <w:t>, electric water heaters, and pool</w:t>
      </w:r>
      <w:r>
        <w:t xml:space="preserve"> pumps were also analyzed. For these three end uses, the Study Team assumed that load control switches would only be installed for those homes where the central A/C system was also controlled.</w:t>
      </w:r>
    </w:p>
    <w:p w:rsidR="00861A7C" w:rsidRDefault="00861A7C" w:rsidP="00A83ABC"/>
    <w:p w:rsidR="0038359F" w:rsidRDefault="002275E3" w:rsidP="00A83ABC">
      <w:r>
        <w:t>Cost</w:t>
      </w:r>
      <w:r w:rsidR="00CE0565">
        <w:t>-</w:t>
      </w:r>
      <w:r>
        <w:t xml:space="preserve">effectiveness of residential load control was determined based on screening with the TRC Test. This TRC test was calculated according to the Commission’s latest </w:t>
      </w:r>
      <w:r w:rsidR="005D08F6">
        <w:t>TRC</w:t>
      </w:r>
      <w:r>
        <w:t xml:space="preserve"> Order</w:t>
      </w:r>
      <w:r w:rsidR="00AD078B">
        <w:rPr>
          <w:rStyle w:val="FootnoteReference"/>
        </w:rPr>
        <w:footnoteReference w:id="20"/>
      </w:r>
      <w:r>
        <w:t xml:space="preserve">, with two exceptions. </w:t>
      </w:r>
      <w:r w:rsidR="002143D1">
        <w:t>First, the forecast of each EDC</w:t>
      </w:r>
      <w:r>
        <w:t>s T&amp;D avoided costs are based upon estimates developed by the SWE Team, expressed on a $ per kW</w:t>
      </w:r>
      <w:r w:rsidR="002C383C">
        <w:t>-</w:t>
      </w:r>
      <w:r>
        <w:t xml:space="preserve">year basis (as shown in </w:t>
      </w:r>
      <w:r w:rsidR="00F52C68">
        <w:fldChar w:fldCharType="begin"/>
      </w:r>
      <w:r w:rsidR="00F52C68">
        <w:instrText xml:space="preserve"> REF _Ref408325459 \h </w:instrText>
      </w:r>
      <w:r w:rsidR="00F52C68">
        <w:fldChar w:fldCharType="separate"/>
      </w:r>
      <w:r w:rsidR="00803DBE">
        <w:t xml:space="preserve">Table </w:t>
      </w:r>
      <w:r w:rsidR="00803DBE">
        <w:rPr>
          <w:noProof/>
        </w:rPr>
        <w:t>1</w:t>
      </w:r>
      <w:r w:rsidR="00803DBE">
        <w:noBreakHyphen/>
      </w:r>
      <w:r w:rsidR="00803DBE">
        <w:rPr>
          <w:noProof/>
        </w:rPr>
        <w:t>3</w:t>
      </w:r>
      <w:r w:rsidR="00F52C68">
        <w:fldChar w:fldCharType="end"/>
      </w:r>
      <w:r w:rsidR="00F52C68">
        <w:t xml:space="preserve"> </w:t>
      </w:r>
      <w:r>
        <w:t>above). Second, participant costs for load control programs were calculated as 75% of the customer incentive amount.</w:t>
      </w:r>
    </w:p>
    <w:p w:rsidR="0038359F" w:rsidRDefault="0038359F" w:rsidP="00A83ABC"/>
    <w:p w:rsidR="00903D36" w:rsidRDefault="00903D36" w:rsidP="00A83ABC">
      <w:r>
        <w:t>All program costs were escalated each year by the general rate of inflation assumed for this study.</w:t>
      </w:r>
      <w:r w:rsidR="004920E4">
        <w:rPr>
          <w:rStyle w:val="FootnoteReference"/>
        </w:rPr>
        <w:footnoteReference w:id="21"/>
      </w:r>
      <w:r>
        <w:t xml:space="preserve"> Benefits modeled included avoided electric generation capacity, energy shifted to off-peak hours, and avoided </w:t>
      </w:r>
      <w:r w:rsidR="00AD2C38">
        <w:t>T&amp;D</w:t>
      </w:r>
      <w:r>
        <w:t xml:space="preserve"> costs. </w:t>
      </w:r>
    </w:p>
    <w:p w:rsidR="00903D36" w:rsidRDefault="00903D36" w:rsidP="00A83ABC"/>
    <w:p w:rsidR="00903D36" w:rsidRDefault="00903D36" w:rsidP="00A83ABC">
      <w:r>
        <w:t>A summary of the cost</w:t>
      </w:r>
      <w:r w:rsidR="00CE0565">
        <w:t>-</w:t>
      </w:r>
      <w:r>
        <w:t xml:space="preserve">effectiveness of a proposed Residential Direct Control Program limited to central </w:t>
      </w:r>
      <w:r w:rsidR="00AD2C38">
        <w:t>A/C’s</w:t>
      </w:r>
      <w:r w:rsidR="00280B88">
        <w:t xml:space="preserve"> is shown below in </w:t>
      </w:r>
      <w:r w:rsidR="00280B88">
        <w:fldChar w:fldCharType="begin"/>
      </w:r>
      <w:r w:rsidR="00280B88">
        <w:instrText xml:space="preserve"> REF _Ref407783307 \h </w:instrText>
      </w:r>
      <w:r w:rsidR="00280B88">
        <w:fldChar w:fldCharType="separate"/>
      </w:r>
      <w:r w:rsidR="00803DBE">
        <w:t xml:space="preserve">Table </w:t>
      </w:r>
      <w:r w:rsidR="00803DBE">
        <w:rPr>
          <w:noProof/>
        </w:rPr>
        <w:t>1</w:t>
      </w:r>
      <w:r w:rsidR="00803DBE">
        <w:noBreakHyphen/>
      </w:r>
      <w:r w:rsidR="00803DBE">
        <w:rPr>
          <w:noProof/>
        </w:rPr>
        <w:t>5</w:t>
      </w:r>
      <w:r w:rsidR="00280B88">
        <w:fldChar w:fldCharType="end"/>
      </w:r>
      <w:r>
        <w:t>. Assuming a 12</w:t>
      </w:r>
      <w:r w:rsidR="00AD2C38">
        <w:t>%</w:t>
      </w:r>
      <w:r>
        <w:t xml:space="preserve"> market penetration, nearly 232 </w:t>
      </w:r>
      <w:r w:rsidR="004F2F63">
        <w:t>megawatts</w:t>
      </w:r>
      <w:r w:rsidR="00DD2C38">
        <w:t xml:space="preserve"> (</w:t>
      </w:r>
      <w:r>
        <w:t>MW</w:t>
      </w:r>
      <w:r w:rsidR="00DD2C38">
        <w:t>)</w:t>
      </w:r>
      <w:r>
        <w:t xml:space="preserve"> of peak load could be reduced statewide. However, this hypothetical program falls short of the cost-</w:t>
      </w:r>
      <w:r w:rsidR="005E02D5">
        <w:t xml:space="preserve"> </w:t>
      </w:r>
      <w:r>
        <w:t>effectiveness hurdle</w:t>
      </w:r>
      <w:r w:rsidR="001816FF">
        <w:t xml:space="preserve"> benefit/cost ratio of 1.0</w:t>
      </w:r>
      <w:r>
        <w:t xml:space="preserve"> for all EDCs, except PECO. </w:t>
      </w:r>
      <w:r w:rsidR="00AB3457">
        <w:t xml:space="preserve">The relatively large number of central </w:t>
      </w:r>
      <w:r w:rsidR="00AD2C38">
        <w:t>A/C’s</w:t>
      </w:r>
      <w:r w:rsidR="00AB3457">
        <w:t xml:space="preserve"> already having load control switches from PECO’s Phase I program were assumed to carry over to a Phase III program and results in a slightly positive (1.05) benefit/cost ratio.</w:t>
      </w:r>
      <w:r w:rsidR="00CB6154">
        <w:rPr>
          <w:rStyle w:val="FootnoteReference"/>
        </w:rPr>
        <w:footnoteReference w:id="22"/>
      </w:r>
      <w:r>
        <w:t xml:space="preserve">  </w:t>
      </w:r>
    </w:p>
    <w:p w:rsidR="00903D36" w:rsidRPr="00D85C97" w:rsidRDefault="00903D36" w:rsidP="00A83ABC"/>
    <w:p w:rsidR="00280B88" w:rsidRDefault="00280B88" w:rsidP="00A83ABC">
      <w:pPr>
        <w:pStyle w:val="Caption"/>
        <w:keepNext/>
      </w:pPr>
      <w:bookmarkStart w:id="21" w:name="_Ref407783307"/>
      <w:bookmarkStart w:id="22" w:name="_Toc412628439"/>
      <w:r>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5</w:t>
      </w:r>
      <w:r w:rsidR="00E2011B">
        <w:rPr>
          <w:noProof/>
        </w:rPr>
        <w:fldChar w:fldCharType="end"/>
      </w:r>
      <w:bookmarkEnd w:id="21"/>
      <w:r>
        <w:t xml:space="preserve">: </w:t>
      </w:r>
      <w:r w:rsidRPr="00280B88">
        <w:t xml:space="preserve">Residential </w:t>
      </w:r>
      <w:r w:rsidR="002F761C">
        <w:t>DLC</w:t>
      </w:r>
      <w:r w:rsidRPr="00280B88">
        <w:t xml:space="preserve"> Benefits and Costs - Central </w:t>
      </w:r>
      <w:r w:rsidR="002F761C">
        <w:t>A/C</w:t>
      </w:r>
      <w:r w:rsidRPr="00280B88">
        <w:t xml:space="preserve"> Control Only</w:t>
      </w:r>
      <w:bookmarkEnd w:id="22"/>
    </w:p>
    <w:tbl>
      <w:tblPr>
        <w:tblStyle w:val="MediumShading1-Accent5"/>
        <w:tblW w:w="4944"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31"/>
        <w:gridCol w:w="1260"/>
        <w:gridCol w:w="1170"/>
        <w:gridCol w:w="1350"/>
        <w:gridCol w:w="1439"/>
        <w:gridCol w:w="1621"/>
        <w:gridCol w:w="1098"/>
      </w:tblGrid>
      <w:tr w:rsidR="00E27E1A" w:rsidRPr="00F52C68" w:rsidTr="00A83ABC">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08" w:type="pct"/>
            <w:tcBorders>
              <w:top w:val="none" w:sz="0" w:space="0" w:color="auto"/>
              <w:left w:val="none" w:sz="0" w:space="0" w:color="auto"/>
              <w:bottom w:val="none" w:sz="0" w:space="0" w:color="auto"/>
              <w:right w:val="none" w:sz="0" w:space="0" w:color="auto"/>
            </w:tcBorders>
            <w:shd w:val="clear" w:color="auto" w:fill="448A99"/>
            <w:vAlign w:val="center"/>
            <w:hideMark/>
          </w:tcPr>
          <w:p w:rsidR="00AB3457" w:rsidRPr="00F52C68" w:rsidRDefault="00AB3457" w:rsidP="00A83ABC">
            <w:pPr>
              <w:jc w:val="center"/>
              <w:rPr>
                <w:rFonts w:ascii="Calibri" w:eastAsia="Times New Roman" w:hAnsi="Calibri" w:cs="Times New Roman"/>
                <w:b w:val="0"/>
                <w:bCs w:val="0"/>
                <w:color w:val="FFFFFF"/>
                <w:sz w:val="20"/>
                <w:szCs w:val="20"/>
              </w:rPr>
            </w:pPr>
            <w:r w:rsidRPr="00F52C68">
              <w:rPr>
                <w:rFonts w:ascii="Calibri" w:eastAsia="Times New Roman" w:hAnsi="Calibri" w:cs="Times New Roman"/>
                <w:color w:val="FFFFFF"/>
                <w:sz w:val="20"/>
                <w:szCs w:val="20"/>
              </w:rPr>
              <w:t>EDC</w:t>
            </w:r>
          </w:p>
        </w:tc>
        <w:tc>
          <w:tcPr>
            <w:tcW w:w="665" w:type="pct"/>
            <w:tcBorders>
              <w:top w:val="none" w:sz="0" w:space="0" w:color="auto"/>
              <w:left w:val="none" w:sz="0" w:space="0" w:color="auto"/>
              <w:bottom w:val="none" w:sz="0" w:space="0" w:color="auto"/>
              <w:right w:val="none" w:sz="0" w:space="0" w:color="auto"/>
            </w:tcBorders>
            <w:shd w:val="clear" w:color="auto" w:fill="448A99"/>
            <w:vAlign w:val="center"/>
            <w:hideMark/>
          </w:tcPr>
          <w:p w:rsidR="00AB3457" w:rsidRPr="00F52C68" w:rsidRDefault="00AB3457"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20"/>
                <w:szCs w:val="20"/>
              </w:rPr>
            </w:pPr>
            <w:r w:rsidRPr="00F52C68">
              <w:rPr>
                <w:rFonts w:ascii="Calibri" w:eastAsia="Times New Roman" w:hAnsi="Calibri" w:cs="Times New Roman"/>
                <w:color w:val="FFFFFF"/>
                <w:sz w:val="20"/>
                <w:szCs w:val="20"/>
              </w:rPr>
              <w:t>Number of Program Participants</w:t>
            </w:r>
          </w:p>
        </w:tc>
        <w:tc>
          <w:tcPr>
            <w:tcW w:w="618" w:type="pct"/>
            <w:tcBorders>
              <w:top w:val="none" w:sz="0" w:space="0" w:color="auto"/>
              <w:left w:val="none" w:sz="0" w:space="0" w:color="auto"/>
              <w:bottom w:val="none" w:sz="0" w:space="0" w:color="auto"/>
              <w:right w:val="none" w:sz="0" w:space="0" w:color="auto"/>
            </w:tcBorders>
            <w:shd w:val="clear" w:color="auto" w:fill="448A99"/>
            <w:vAlign w:val="center"/>
            <w:hideMark/>
          </w:tcPr>
          <w:p w:rsidR="00AB3457" w:rsidRPr="00F52C68" w:rsidRDefault="00AB3457"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20"/>
                <w:szCs w:val="20"/>
              </w:rPr>
            </w:pPr>
            <w:r w:rsidRPr="00F52C68">
              <w:rPr>
                <w:rFonts w:ascii="Calibri" w:eastAsia="Times New Roman" w:hAnsi="Calibri" w:cs="Times New Roman"/>
                <w:color w:val="FFFFFF"/>
                <w:sz w:val="20"/>
                <w:szCs w:val="20"/>
              </w:rPr>
              <w:t>Average Annual Impact (MW at Generation Level)</w:t>
            </w:r>
          </w:p>
        </w:tc>
        <w:tc>
          <w:tcPr>
            <w:tcW w:w="713" w:type="pct"/>
            <w:tcBorders>
              <w:top w:val="none" w:sz="0" w:space="0" w:color="auto"/>
              <w:left w:val="none" w:sz="0" w:space="0" w:color="auto"/>
              <w:bottom w:val="none" w:sz="0" w:space="0" w:color="auto"/>
              <w:right w:val="none" w:sz="0" w:space="0" w:color="auto"/>
            </w:tcBorders>
            <w:shd w:val="clear" w:color="auto" w:fill="448A99"/>
            <w:vAlign w:val="center"/>
            <w:hideMark/>
          </w:tcPr>
          <w:p w:rsidR="00AB3457" w:rsidRPr="00F52C68" w:rsidRDefault="00532DDB"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20"/>
                <w:szCs w:val="20"/>
              </w:rPr>
            </w:pPr>
            <w:r>
              <w:rPr>
                <w:rFonts w:ascii="Calibri" w:eastAsia="Times New Roman" w:hAnsi="Calibri" w:cs="Times New Roman"/>
                <w:color w:val="FFFFFF"/>
                <w:sz w:val="20"/>
                <w:szCs w:val="20"/>
              </w:rPr>
              <w:t>PV</w:t>
            </w:r>
            <w:r w:rsidR="00AB3457" w:rsidRPr="00F52C68">
              <w:rPr>
                <w:rFonts w:ascii="Calibri" w:eastAsia="Times New Roman" w:hAnsi="Calibri" w:cs="Times New Roman"/>
                <w:color w:val="FFFFFF"/>
                <w:sz w:val="20"/>
                <w:szCs w:val="20"/>
              </w:rPr>
              <w:t xml:space="preserve"> of Program Benefits</w:t>
            </w:r>
          </w:p>
        </w:tc>
        <w:tc>
          <w:tcPr>
            <w:tcW w:w="760" w:type="pct"/>
            <w:tcBorders>
              <w:top w:val="none" w:sz="0" w:space="0" w:color="auto"/>
              <w:left w:val="none" w:sz="0" w:space="0" w:color="auto"/>
              <w:bottom w:val="none" w:sz="0" w:space="0" w:color="auto"/>
              <w:right w:val="none" w:sz="0" w:space="0" w:color="auto"/>
            </w:tcBorders>
            <w:shd w:val="clear" w:color="auto" w:fill="448A99"/>
            <w:vAlign w:val="center"/>
            <w:hideMark/>
          </w:tcPr>
          <w:p w:rsidR="00AB3457" w:rsidRPr="00F52C68" w:rsidRDefault="00532DDB"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20"/>
                <w:szCs w:val="20"/>
              </w:rPr>
            </w:pPr>
            <w:r>
              <w:rPr>
                <w:rFonts w:ascii="Calibri" w:eastAsia="Times New Roman" w:hAnsi="Calibri" w:cs="Times New Roman"/>
                <w:color w:val="FFFFFF"/>
                <w:sz w:val="20"/>
                <w:szCs w:val="20"/>
              </w:rPr>
              <w:t>PV</w:t>
            </w:r>
            <w:r w:rsidR="00AB3457" w:rsidRPr="00F52C68">
              <w:rPr>
                <w:rFonts w:ascii="Calibri" w:eastAsia="Times New Roman" w:hAnsi="Calibri" w:cs="Times New Roman"/>
                <w:color w:val="FFFFFF"/>
                <w:sz w:val="20"/>
                <w:szCs w:val="20"/>
              </w:rPr>
              <w:t xml:space="preserve"> of Program Costs</w:t>
            </w:r>
          </w:p>
        </w:tc>
        <w:tc>
          <w:tcPr>
            <w:tcW w:w="856" w:type="pct"/>
            <w:tcBorders>
              <w:top w:val="none" w:sz="0" w:space="0" w:color="auto"/>
              <w:left w:val="none" w:sz="0" w:space="0" w:color="auto"/>
              <w:bottom w:val="none" w:sz="0" w:space="0" w:color="auto"/>
              <w:right w:val="none" w:sz="0" w:space="0" w:color="auto"/>
            </w:tcBorders>
            <w:shd w:val="clear" w:color="auto" w:fill="448A99"/>
            <w:vAlign w:val="center"/>
            <w:hideMark/>
          </w:tcPr>
          <w:p w:rsidR="00AB3457" w:rsidRPr="00F52C68" w:rsidRDefault="00AB3457"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F52C68">
              <w:rPr>
                <w:rFonts w:ascii="Calibri" w:eastAsia="Times New Roman" w:hAnsi="Calibri" w:cs="Times New Roman"/>
                <w:bCs w:val="0"/>
                <w:color w:val="FFFFFF"/>
                <w:sz w:val="20"/>
                <w:szCs w:val="20"/>
              </w:rPr>
              <w:t>NPV</w:t>
            </w:r>
            <w:r w:rsidR="00304407" w:rsidRPr="00F52C68">
              <w:rPr>
                <w:rStyle w:val="FootnoteReference"/>
                <w:rFonts w:ascii="Calibri" w:eastAsia="Times New Roman" w:hAnsi="Calibri"/>
                <w:bCs w:val="0"/>
                <w:color w:val="FFFFFF"/>
                <w:sz w:val="20"/>
                <w:szCs w:val="20"/>
              </w:rPr>
              <w:footnoteReference w:id="23"/>
            </w:r>
            <w:r w:rsidRPr="00F52C68">
              <w:rPr>
                <w:rFonts w:ascii="Calibri" w:eastAsia="Times New Roman" w:hAnsi="Calibri" w:cs="Times New Roman"/>
                <w:bCs w:val="0"/>
                <w:color w:val="FFFFFF"/>
                <w:sz w:val="20"/>
                <w:szCs w:val="20"/>
              </w:rPr>
              <w:t xml:space="preserve"> of Benefits - NPV of Costs</w:t>
            </w:r>
          </w:p>
        </w:tc>
        <w:tc>
          <w:tcPr>
            <w:tcW w:w="580" w:type="pct"/>
            <w:tcBorders>
              <w:top w:val="none" w:sz="0" w:space="0" w:color="auto"/>
              <w:left w:val="none" w:sz="0" w:space="0" w:color="auto"/>
              <w:bottom w:val="none" w:sz="0" w:space="0" w:color="auto"/>
              <w:right w:val="none" w:sz="0" w:space="0" w:color="auto"/>
            </w:tcBorders>
            <w:shd w:val="clear" w:color="auto" w:fill="448A99"/>
            <w:vAlign w:val="center"/>
            <w:hideMark/>
          </w:tcPr>
          <w:p w:rsidR="00AB3457" w:rsidRPr="00F52C68" w:rsidRDefault="00AB3457"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20"/>
                <w:szCs w:val="20"/>
              </w:rPr>
            </w:pPr>
            <w:r w:rsidRPr="00F52C68">
              <w:rPr>
                <w:rFonts w:ascii="Calibri" w:eastAsia="Times New Roman" w:hAnsi="Calibri" w:cs="Times New Roman"/>
                <w:color w:val="FFFFFF"/>
                <w:sz w:val="20"/>
                <w:szCs w:val="20"/>
              </w:rPr>
              <w:t>Lifetime TRC Ratio</w:t>
            </w:r>
          </w:p>
        </w:tc>
      </w:tr>
      <w:tr w:rsidR="00E27E1A" w:rsidRPr="00F52C68" w:rsidTr="00E27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AB3457" w:rsidRPr="00F52C68" w:rsidRDefault="00AB3457" w:rsidP="00A83ABC">
            <w:pPr>
              <w:jc w:val="left"/>
              <w:rPr>
                <w:rFonts w:ascii="Calibri" w:eastAsia="Times New Roman" w:hAnsi="Calibri" w:cs="Times New Roman"/>
                <w:b w:val="0"/>
                <w:bCs w:val="0"/>
                <w:color w:val="000000"/>
                <w:sz w:val="20"/>
                <w:szCs w:val="20"/>
              </w:rPr>
            </w:pPr>
            <w:r w:rsidRPr="00F52C68">
              <w:rPr>
                <w:rFonts w:ascii="Calibri" w:eastAsia="Times New Roman" w:hAnsi="Calibri" w:cs="Times New Roman"/>
                <w:b w:val="0"/>
                <w:bCs w:val="0"/>
                <w:color w:val="000000"/>
                <w:sz w:val="20"/>
                <w:szCs w:val="20"/>
              </w:rPr>
              <w:t>Duquesne</w:t>
            </w:r>
          </w:p>
        </w:tc>
        <w:tc>
          <w:tcPr>
            <w:tcW w:w="665"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40,268</w:t>
            </w:r>
          </w:p>
        </w:tc>
        <w:tc>
          <w:tcPr>
            <w:tcW w:w="618"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36.75</w:t>
            </w:r>
          </w:p>
        </w:tc>
        <w:tc>
          <w:tcPr>
            <w:tcW w:w="713"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$26,890,047</w:t>
            </w:r>
          </w:p>
        </w:tc>
        <w:tc>
          <w:tcPr>
            <w:tcW w:w="760"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$35,098,670</w:t>
            </w:r>
          </w:p>
        </w:tc>
        <w:tc>
          <w:tcPr>
            <w:tcW w:w="856" w:type="pct"/>
            <w:tcBorders>
              <w:left w:val="none" w:sz="0" w:space="0" w:color="auto"/>
              <w:right w:val="none" w:sz="0" w:space="0" w:color="auto"/>
            </w:tcBorders>
            <w:noWrap/>
            <w:hideMark/>
          </w:tcPr>
          <w:p w:rsidR="00AB3457" w:rsidRPr="00F52C68" w:rsidRDefault="0030440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FF0000"/>
                <w:sz w:val="20"/>
                <w:szCs w:val="20"/>
              </w:rPr>
              <w:t>-</w:t>
            </w:r>
            <w:r w:rsidR="00AB3457" w:rsidRPr="00F52C68">
              <w:rPr>
                <w:rFonts w:ascii="Calibri" w:eastAsia="Times New Roman" w:hAnsi="Calibri" w:cs="Times New Roman"/>
                <w:bCs/>
                <w:color w:val="FF0000"/>
                <w:sz w:val="20"/>
                <w:szCs w:val="20"/>
              </w:rPr>
              <w:t>$</w:t>
            </w:r>
            <w:r w:rsidRPr="00F52C68">
              <w:rPr>
                <w:rFonts w:ascii="Calibri" w:eastAsia="Times New Roman" w:hAnsi="Calibri" w:cs="Times New Roman"/>
                <w:bCs/>
                <w:color w:val="FF0000"/>
                <w:sz w:val="20"/>
                <w:szCs w:val="20"/>
              </w:rPr>
              <w:t>8,208,624</w:t>
            </w:r>
          </w:p>
        </w:tc>
        <w:tc>
          <w:tcPr>
            <w:tcW w:w="580" w:type="pct"/>
            <w:tcBorders>
              <w:lef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0.78</w:t>
            </w:r>
          </w:p>
        </w:tc>
      </w:tr>
      <w:tr w:rsidR="00E27E1A" w:rsidRPr="00F52C68" w:rsidTr="00E27E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AB3457" w:rsidRPr="00F52C68" w:rsidRDefault="00AB3457" w:rsidP="00A83ABC">
            <w:pPr>
              <w:jc w:val="left"/>
              <w:rPr>
                <w:rFonts w:ascii="Calibri" w:eastAsia="Times New Roman" w:hAnsi="Calibri" w:cs="Times New Roman"/>
                <w:b w:val="0"/>
                <w:bCs w:val="0"/>
                <w:color w:val="000000"/>
                <w:sz w:val="20"/>
                <w:szCs w:val="20"/>
              </w:rPr>
            </w:pPr>
            <w:r w:rsidRPr="00F52C68">
              <w:rPr>
                <w:rFonts w:ascii="Calibri" w:eastAsia="Times New Roman" w:hAnsi="Calibri" w:cs="Times New Roman"/>
                <w:b w:val="0"/>
                <w:bCs w:val="0"/>
                <w:color w:val="000000"/>
                <w:sz w:val="20"/>
                <w:szCs w:val="20"/>
              </w:rPr>
              <w:t>FE: Met-Ed</w:t>
            </w:r>
          </w:p>
        </w:tc>
        <w:tc>
          <w:tcPr>
            <w:tcW w:w="665"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38,025</w:t>
            </w:r>
          </w:p>
        </w:tc>
        <w:tc>
          <w:tcPr>
            <w:tcW w:w="618"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18.03</w:t>
            </w:r>
          </w:p>
        </w:tc>
        <w:tc>
          <w:tcPr>
            <w:tcW w:w="713"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$22,718,313</w:t>
            </w:r>
          </w:p>
        </w:tc>
        <w:tc>
          <w:tcPr>
            <w:tcW w:w="760"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$35,075,330</w:t>
            </w:r>
          </w:p>
        </w:tc>
        <w:tc>
          <w:tcPr>
            <w:tcW w:w="856" w:type="pct"/>
            <w:tcBorders>
              <w:left w:val="none" w:sz="0" w:space="0" w:color="auto"/>
              <w:right w:val="none" w:sz="0" w:space="0" w:color="auto"/>
            </w:tcBorders>
            <w:noWrap/>
            <w:hideMark/>
          </w:tcPr>
          <w:p w:rsidR="00AB3457" w:rsidRPr="00F52C68" w:rsidRDefault="0030440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FF0000"/>
                <w:sz w:val="20"/>
                <w:szCs w:val="20"/>
              </w:rPr>
              <w:t>-</w:t>
            </w:r>
            <w:r w:rsidR="00AB3457" w:rsidRPr="00F52C68">
              <w:rPr>
                <w:rFonts w:ascii="Calibri" w:eastAsia="Times New Roman" w:hAnsi="Calibri" w:cs="Times New Roman"/>
                <w:bCs/>
                <w:color w:val="FF0000"/>
                <w:sz w:val="20"/>
                <w:szCs w:val="20"/>
              </w:rPr>
              <w:t>$</w:t>
            </w:r>
            <w:r w:rsidRPr="00F52C68">
              <w:rPr>
                <w:rFonts w:ascii="Calibri" w:eastAsia="Times New Roman" w:hAnsi="Calibri" w:cs="Times New Roman"/>
                <w:bCs/>
                <w:color w:val="FF0000"/>
                <w:sz w:val="20"/>
                <w:szCs w:val="20"/>
              </w:rPr>
              <w:t>12,357,017</w:t>
            </w:r>
          </w:p>
        </w:tc>
        <w:tc>
          <w:tcPr>
            <w:tcW w:w="580" w:type="pct"/>
            <w:tcBorders>
              <w:lef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0.65</w:t>
            </w:r>
          </w:p>
        </w:tc>
      </w:tr>
      <w:tr w:rsidR="00E27E1A" w:rsidRPr="00F52C68" w:rsidTr="00E27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AB3457" w:rsidRPr="00F52C68" w:rsidRDefault="00AB3457" w:rsidP="00A83ABC">
            <w:pPr>
              <w:jc w:val="left"/>
              <w:rPr>
                <w:rFonts w:ascii="Calibri" w:eastAsia="Times New Roman" w:hAnsi="Calibri" w:cs="Times New Roman"/>
                <w:b w:val="0"/>
                <w:bCs w:val="0"/>
                <w:color w:val="000000"/>
                <w:sz w:val="20"/>
                <w:szCs w:val="20"/>
              </w:rPr>
            </w:pPr>
            <w:r w:rsidRPr="00F52C68">
              <w:rPr>
                <w:rFonts w:ascii="Calibri" w:eastAsia="Times New Roman" w:hAnsi="Calibri" w:cs="Times New Roman"/>
                <w:b w:val="0"/>
                <w:bCs w:val="0"/>
                <w:color w:val="000000"/>
                <w:sz w:val="20"/>
                <w:szCs w:val="20"/>
              </w:rPr>
              <w:t>FE: Penelec</w:t>
            </w:r>
          </w:p>
        </w:tc>
        <w:tc>
          <w:tcPr>
            <w:tcW w:w="665"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20,846</w:t>
            </w:r>
          </w:p>
        </w:tc>
        <w:tc>
          <w:tcPr>
            <w:tcW w:w="618"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10.13</w:t>
            </w:r>
          </w:p>
        </w:tc>
        <w:tc>
          <w:tcPr>
            <w:tcW w:w="713"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$12,386,117</w:t>
            </w:r>
          </w:p>
        </w:tc>
        <w:tc>
          <w:tcPr>
            <w:tcW w:w="760"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$18,968,416</w:t>
            </w:r>
          </w:p>
        </w:tc>
        <w:tc>
          <w:tcPr>
            <w:tcW w:w="856" w:type="pct"/>
            <w:tcBorders>
              <w:left w:val="none" w:sz="0" w:space="0" w:color="auto"/>
              <w:right w:val="none" w:sz="0" w:space="0" w:color="auto"/>
            </w:tcBorders>
            <w:noWrap/>
            <w:hideMark/>
          </w:tcPr>
          <w:p w:rsidR="00AB3457" w:rsidRPr="00F52C68" w:rsidRDefault="0030440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FF0000"/>
                <w:sz w:val="20"/>
                <w:szCs w:val="20"/>
              </w:rPr>
              <w:t>-</w:t>
            </w:r>
            <w:r w:rsidR="00AB3457" w:rsidRPr="00F52C68">
              <w:rPr>
                <w:rFonts w:ascii="Calibri" w:eastAsia="Times New Roman" w:hAnsi="Calibri" w:cs="Times New Roman"/>
                <w:bCs/>
                <w:color w:val="FF0000"/>
                <w:sz w:val="20"/>
                <w:szCs w:val="20"/>
              </w:rPr>
              <w:t>$</w:t>
            </w:r>
            <w:r w:rsidRPr="00F52C68">
              <w:rPr>
                <w:rFonts w:ascii="Calibri" w:eastAsia="Times New Roman" w:hAnsi="Calibri" w:cs="Times New Roman"/>
                <w:bCs/>
                <w:color w:val="FF0000"/>
                <w:sz w:val="20"/>
                <w:szCs w:val="20"/>
              </w:rPr>
              <w:t>6,582,299</w:t>
            </w:r>
          </w:p>
        </w:tc>
        <w:tc>
          <w:tcPr>
            <w:tcW w:w="580" w:type="pct"/>
            <w:tcBorders>
              <w:left w:val="none" w:sz="0" w:space="0" w:color="auto"/>
            </w:tcBorders>
            <w:noWrap/>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0.65</w:t>
            </w:r>
          </w:p>
        </w:tc>
      </w:tr>
      <w:tr w:rsidR="00E27E1A" w:rsidRPr="00F52C68" w:rsidTr="00E27E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AB3457" w:rsidRPr="00F52C68" w:rsidRDefault="00AB3457" w:rsidP="00A83ABC">
            <w:pPr>
              <w:jc w:val="left"/>
              <w:rPr>
                <w:rFonts w:ascii="Calibri" w:eastAsia="Times New Roman" w:hAnsi="Calibri" w:cs="Times New Roman"/>
                <w:b w:val="0"/>
                <w:bCs w:val="0"/>
                <w:color w:val="000000"/>
                <w:sz w:val="20"/>
                <w:szCs w:val="20"/>
              </w:rPr>
            </w:pPr>
            <w:r w:rsidRPr="00F52C68">
              <w:rPr>
                <w:rFonts w:ascii="Calibri" w:eastAsia="Times New Roman" w:hAnsi="Calibri" w:cs="Times New Roman"/>
                <w:b w:val="0"/>
                <w:bCs w:val="0"/>
                <w:color w:val="000000"/>
                <w:sz w:val="20"/>
                <w:szCs w:val="20"/>
              </w:rPr>
              <w:t>FE: Penn Power</w:t>
            </w:r>
          </w:p>
        </w:tc>
        <w:tc>
          <w:tcPr>
            <w:tcW w:w="665"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12,154</w:t>
            </w:r>
          </w:p>
        </w:tc>
        <w:tc>
          <w:tcPr>
            <w:tcW w:w="618"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5.24</w:t>
            </w:r>
          </w:p>
        </w:tc>
        <w:tc>
          <w:tcPr>
            <w:tcW w:w="713"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$4,465,010</w:t>
            </w:r>
          </w:p>
        </w:tc>
        <w:tc>
          <w:tcPr>
            <w:tcW w:w="760"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$9,882,516</w:t>
            </w:r>
          </w:p>
        </w:tc>
        <w:tc>
          <w:tcPr>
            <w:tcW w:w="856" w:type="pct"/>
            <w:tcBorders>
              <w:left w:val="none" w:sz="0" w:space="0" w:color="auto"/>
              <w:right w:val="none" w:sz="0" w:space="0" w:color="auto"/>
            </w:tcBorders>
            <w:noWrap/>
            <w:hideMark/>
          </w:tcPr>
          <w:p w:rsidR="00AB3457" w:rsidRPr="00F52C68" w:rsidRDefault="0030440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FF0000"/>
                <w:sz w:val="20"/>
                <w:szCs w:val="20"/>
              </w:rPr>
              <w:t>-</w:t>
            </w:r>
            <w:r w:rsidR="00AB3457" w:rsidRPr="00F52C68">
              <w:rPr>
                <w:rFonts w:ascii="Calibri" w:eastAsia="Times New Roman" w:hAnsi="Calibri" w:cs="Times New Roman"/>
                <w:bCs/>
                <w:color w:val="FF0000"/>
                <w:sz w:val="20"/>
                <w:szCs w:val="20"/>
              </w:rPr>
              <w:t>$</w:t>
            </w:r>
            <w:r w:rsidRPr="00F52C68">
              <w:rPr>
                <w:rFonts w:ascii="Calibri" w:eastAsia="Times New Roman" w:hAnsi="Calibri" w:cs="Times New Roman"/>
                <w:bCs/>
                <w:color w:val="FF0000"/>
                <w:sz w:val="20"/>
                <w:szCs w:val="20"/>
              </w:rPr>
              <w:t>5,417,506</w:t>
            </w:r>
          </w:p>
        </w:tc>
        <w:tc>
          <w:tcPr>
            <w:tcW w:w="580" w:type="pct"/>
            <w:tcBorders>
              <w:left w:val="none" w:sz="0" w:space="0" w:color="auto"/>
            </w:tcBorders>
            <w:noWrap/>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0.45</w:t>
            </w:r>
          </w:p>
        </w:tc>
      </w:tr>
      <w:tr w:rsidR="00E27E1A" w:rsidRPr="00F52C68" w:rsidTr="00E27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AB3457" w:rsidRPr="00F52C68" w:rsidRDefault="00AB3457" w:rsidP="00A83ABC">
            <w:pPr>
              <w:jc w:val="left"/>
              <w:rPr>
                <w:rFonts w:ascii="Calibri" w:eastAsia="Times New Roman" w:hAnsi="Calibri" w:cs="Times New Roman"/>
                <w:b w:val="0"/>
                <w:bCs w:val="0"/>
                <w:color w:val="000000"/>
                <w:sz w:val="20"/>
                <w:szCs w:val="20"/>
              </w:rPr>
            </w:pPr>
            <w:r w:rsidRPr="00F52C68">
              <w:rPr>
                <w:rFonts w:ascii="Calibri" w:eastAsia="Times New Roman" w:hAnsi="Calibri" w:cs="Times New Roman"/>
                <w:b w:val="0"/>
                <w:bCs w:val="0"/>
                <w:color w:val="000000"/>
                <w:sz w:val="20"/>
                <w:szCs w:val="20"/>
              </w:rPr>
              <w:t>FE: West Penn</w:t>
            </w:r>
          </w:p>
        </w:tc>
        <w:tc>
          <w:tcPr>
            <w:tcW w:w="665"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51,133</w:t>
            </w:r>
          </w:p>
        </w:tc>
        <w:tc>
          <w:tcPr>
            <w:tcW w:w="618"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23.71</w:t>
            </w:r>
          </w:p>
        </w:tc>
        <w:tc>
          <w:tcPr>
            <w:tcW w:w="713"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$30,301,372</w:t>
            </w:r>
          </w:p>
        </w:tc>
        <w:tc>
          <w:tcPr>
            <w:tcW w:w="760" w:type="pct"/>
            <w:tcBorders>
              <w:left w:val="none" w:sz="0" w:space="0" w:color="auto"/>
              <w:right w:val="none" w:sz="0" w:space="0" w:color="auto"/>
            </w:tcBorders>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$47,164,543</w:t>
            </w:r>
          </w:p>
        </w:tc>
        <w:tc>
          <w:tcPr>
            <w:tcW w:w="856" w:type="pct"/>
            <w:tcBorders>
              <w:left w:val="none" w:sz="0" w:space="0" w:color="auto"/>
              <w:right w:val="none" w:sz="0" w:space="0" w:color="auto"/>
            </w:tcBorders>
            <w:noWrap/>
            <w:hideMark/>
          </w:tcPr>
          <w:p w:rsidR="00AB3457" w:rsidRPr="00F52C68" w:rsidRDefault="0030440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FF0000"/>
                <w:sz w:val="20"/>
                <w:szCs w:val="20"/>
              </w:rPr>
              <w:t>-</w:t>
            </w:r>
            <w:r w:rsidR="00AB3457" w:rsidRPr="00F52C68">
              <w:rPr>
                <w:rFonts w:ascii="Calibri" w:eastAsia="Times New Roman" w:hAnsi="Calibri" w:cs="Times New Roman"/>
                <w:bCs/>
                <w:color w:val="FF0000"/>
                <w:sz w:val="20"/>
                <w:szCs w:val="20"/>
              </w:rPr>
              <w:t>$</w:t>
            </w:r>
            <w:r w:rsidRPr="00F52C68">
              <w:rPr>
                <w:rFonts w:ascii="Calibri" w:eastAsia="Times New Roman" w:hAnsi="Calibri" w:cs="Times New Roman"/>
                <w:bCs/>
                <w:color w:val="FF0000"/>
                <w:sz w:val="20"/>
                <w:szCs w:val="20"/>
              </w:rPr>
              <w:t>16,863,170</w:t>
            </w:r>
          </w:p>
        </w:tc>
        <w:tc>
          <w:tcPr>
            <w:tcW w:w="580" w:type="pct"/>
            <w:tcBorders>
              <w:left w:val="none" w:sz="0" w:space="0" w:color="auto"/>
            </w:tcBorders>
            <w:noWrap/>
            <w:hideMark/>
          </w:tcPr>
          <w:p w:rsidR="00AB3457" w:rsidRPr="00F52C68" w:rsidRDefault="00AB3457"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0.64</w:t>
            </w:r>
          </w:p>
        </w:tc>
      </w:tr>
      <w:tr w:rsidR="00E27E1A" w:rsidRPr="00F52C68" w:rsidTr="00DE6B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E27E1A" w:rsidRPr="00F52C68" w:rsidRDefault="00E27E1A" w:rsidP="00A83ABC">
            <w:pPr>
              <w:jc w:val="left"/>
              <w:rPr>
                <w:rFonts w:ascii="Calibri" w:eastAsia="Times New Roman" w:hAnsi="Calibri" w:cs="Times New Roman"/>
                <w:b w:val="0"/>
                <w:bCs w:val="0"/>
                <w:color w:val="000000"/>
                <w:sz w:val="20"/>
                <w:szCs w:val="20"/>
              </w:rPr>
            </w:pPr>
            <w:r w:rsidRPr="00F52C68">
              <w:rPr>
                <w:rFonts w:ascii="Calibri" w:eastAsia="Times New Roman" w:hAnsi="Calibri" w:cs="Times New Roman"/>
                <w:b w:val="0"/>
                <w:bCs w:val="0"/>
                <w:color w:val="000000"/>
                <w:sz w:val="20"/>
                <w:szCs w:val="20"/>
              </w:rPr>
              <w:t>PECO</w:t>
            </w:r>
          </w:p>
        </w:tc>
        <w:tc>
          <w:tcPr>
            <w:tcW w:w="665" w:type="pct"/>
            <w:tcBorders>
              <w:left w:val="none" w:sz="0" w:space="0" w:color="auto"/>
              <w:right w:val="none" w:sz="0" w:space="0" w:color="auto"/>
            </w:tcBorders>
            <w:hideMark/>
          </w:tcPr>
          <w:p w:rsidR="00E27E1A" w:rsidRPr="00F52C68"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108,049</w:t>
            </w:r>
          </w:p>
        </w:tc>
        <w:tc>
          <w:tcPr>
            <w:tcW w:w="618" w:type="pct"/>
            <w:tcBorders>
              <w:left w:val="none" w:sz="0" w:space="0" w:color="auto"/>
              <w:right w:val="none" w:sz="0" w:space="0" w:color="auto"/>
            </w:tcBorders>
            <w:hideMark/>
          </w:tcPr>
          <w:p w:rsidR="00E27E1A" w:rsidRPr="00F52C68"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82.20</w:t>
            </w:r>
          </w:p>
        </w:tc>
        <w:tc>
          <w:tcPr>
            <w:tcW w:w="713" w:type="pct"/>
            <w:tcBorders>
              <w:left w:val="none" w:sz="0" w:space="0" w:color="auto"/>
              <w:right w:val="none" w:sz="0" w:space="0" w:color="auto"/>
            </w:tcBorders>
            <w:hideMark/>
          </w:tcPr>
          <w:p w:rsidR="00E27E1A" w:rsidRPr="00F52C68"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$68,684,924</w:t>
            </w:r>
          </w:p>
        </w:tc>
        <w:tc>
          <w:tcPr>
            <w:tcW w:w="760" w:type="pct"/>
            <w:tcBorders>
              <w:left w:val="none" w:sz="0" w:space="0" w:color="auto"/>
              <w:right w:val="none" w:sz="0" w:space="0" w:color="auto"/>
            </w:tcBorders>
            <w:hideMark/>
          </w:tcPr>
          <w:p w:rsidR="00E27E1A" w:rsidRPr="00F52C68"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$65,334,434</w:t>
            </w:r>
          </w:p>
        </w:tc>
        <w:tc>
          <w:tcPr>
            <w:tcW w:w="856" w:type="pct"/>
            <w:tcBorders>
              <w:left w:val="none" w:sz="0" w:space="0" w:color="auto"/>
              <w:right w:val="none" w:sz="0" w:space="0" w:color="auto"/>
            </w:tcBorders>
            <w:noWrap/>
            <w:hideMark/>
          </w:tcPr>
          <w:p w:rsidR="00E27E1A" w:rsidRPr="00F52C68"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$3,350,490</w:t>
            </w:r>
          </w:p>
        </w:tc>
        <w:tc>
          <w:tcPr>
            <w:tcW w:w="580" w:type="pct"/>
            <w:tcBorders>
              <w:left w:val="none" w:sz="0" w:space="0" w:color="auto"/>
            </w:tcBorders>
            <w:noWrap/>
            <w:hideMark/>
          </w:tcPr>
          <w:p w:rsidR="00E27E1A" w:rsidRPr="00F52C68" w:rsidRDefault="00E27E1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1.05</w:t>
            </w:r>
          </w:p>
        </w:tc>
      </w:tr>
      <w:tr w:rsidR="00E27E1A" w:rsidRPr="00F52C68" w:rsidTr="00E27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E27E1A" w:rsidRPr="00F52C68" w:rsidRDefault="00E27E1A" w:rsidP="00A83ABC">
            <w:pPr>
              <w:jc w:val="left"/>
              <w:rPr>
                <w:rFonts w:ascii="Calibri" w:eastAsia="Times New Roman" w:hAnsi="Calibri" w:cs="Times New Roman"/>
                <w:b w:val="0"/>
                <w:bCs w:val="0"/>
                <w:color w:val="000000"/>
                <w:sz w:val="20"/>
                <w:szCs w:val="20"/>
              </w:rPr>
            </w:pPr>
            <w:r w:rsidRPr="00F52C68">
              <w:rPr>
                <w:rFonts w:ascii="Calibri" w:eastAsia="Times New Roman" w:hAnsi="Calibri" w:cs="Times New Roman"/>
                <w:b w:val="0"/>
                <w:bCs w:val="0"/>
                <w:color w:val="000000"/>
                <w:sz w:val="20"/>
                <w:szCs w:val="20"/>
              </w:rPr>
              <w:t>PPL</w:t>
            </w:r>
          </w:p>
        </w:tc>
        <w:tc>
          <w:tcPr>
            <w:tcW w:w="665" w:type="pct"/>
            <w:tcBorders>
              <w:left w:val="none" w:sz="0" w:space="0" w:color="auto"/>
              <w:right w:val="none" w:sz="0" w:space="0" w:color="auto"/>
            </w:tcBorders>
            <w:hideMark/>
          </w:tcPr>
          <w:p w:rsidR="00E27E1A" w:rsidRPr="00F52C68"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80,072</w:t>
            </w:r>
          </w:p>
        </w:tc>
        <w:tc>
          <w:tcPr>
            <w:tcW w:w="618" w:type="pct"/>
            <w:tcBorders>
              <w:left w:val="none" w:sz="0" w:space="0" w:color="auto"/>
              <w:right w:val="none" w:sz="0" w:space="0" w:color="auto"/>
            </w:tcBorders>
            <w:hideMark/>
          </w:tcPr>
          <w:p w:rsidR="00E27E1A" w:rsidRPr="00F52C68"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55.46</w:t>
            </w:r>
          </w:p>
        </w:tc>
        <w:tc>
          <w:tcPr>
            <w:tcW w:w="713" w:type="pct"/>
            <w:tcBorders>
              <w:left w:val="none" w:sz="0" w:space="0" w:color="auto"/>
              <w:right w:val="none" w:sz="0" w:space="0" w:color="auto"/>
            </w:tcBorders>
            <w:hideMark/>
          </w:tcPr>
          <w:p w:rsidR="00E27E1A" w:rsidRPr="00F52C68"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$48,813,983</w:t>
            </w:r>
          </w:p>
        </w:tc>
        <w:tc>
          <w:tcPr>
            <w:tcW w:w="760" w:type="pct"/>
            <w:tcBorders>
              <w:left w:val="none" w:sz="0" w:space="0" w:color="auto"/>
              <w:right w:val="none" w:sz="0" w:space="0" w:color="auto"/>
            </w:tcBorders>
            <w:hideMark/>
          </w:tcPr>
          <w:p w:rsidR="00E27E1A" w:rsidRPr="00F52C68"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$64,151,543</w:t>
            </w:r>
          </w:p>
        </w:tc>
        <w:tc>
          <w:tcPr>
            <w:tcW w:w="856" w:type="pct"/>
            <w:tcBorders>
              <w:left w:val="none" w:sz="0" w:space="0" w:color="auto"/>
              <w:right w:val="none" w:sz="0" w:space="0" w:color="auto"/>
            </w:tcBorders>
            <w:noWrap/>
            <w:hideMark/>
          </w:tcPr>
          <w:p w:rsidR="00E27E1A" w:rsidRPr="00F52C68"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FF0000"/>
                <w:sz w:val="20"/>
                <w:szCs w:val="20"/>
              </w:rPr>
              <w:t>-$15,337,560</w:t>
            </w:r>
          </w:p>
        </w:tc>
        <w:tc>
          <w:tcPr>
            <w:tcW w:w="580" w:type="pct"/>
            <w:tcBorders>
              <w:left w:val="none" w:sz="0" w:space="0" w:color="auto"/>
            </w:tcBorders>
            <w:noWrap/>
            <w:hideMark/>
          </w:tcPr>
          <w:p w:rsidR="00E27E1A" w:rsidRPr="00F52C68" w:rsidRDefault="00E27E1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F52C68">
              <w:rPr>
                <w:rFonts w:ascii="Calibri" w:eastAsia="Times New Roman" w:hAnsi="Calibri" w:cs="Times New Roman"/>
                <w:bCs/>
                <w:color w:val="000000"/>
                <w:sz w:val="20"/>
                <w:szCs w:val="20"/>
              </w:rPr>
              <w:t>0.76</w:t>
            </w:r>
          </w:p>
        </w:tc>
      </w:tr>
      <w:tr w:rsidR="00E27E1A" w:rsidRPr="00F52C68" w:rsidTr="00E27E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pct"/>
            <w:tcBorders>
              <w:right w:val="none" w:sz="0" w:space="0" w:color="auto"/>
            </w:tcBorders>
            <w:hideMark/>
          </w:tcPr>
          <w:p w:rsidR="00AB3457" w:rsidRPr="00F52C68" w:rsidRDefault="00AB3457" w:rsidP="00A83ABC">
            <w:pPr>
              <w:jc w:val="left"/>
              <w:rPr>
                <w:rFonts w:ascii="Calibri" w:hAnsi="Calibri"/>
                <w:color w:val="000000"/>
                <w:sz w:val="20"/>
                <w:szCs w:val="20"/>
              </w:rPr>
            </w:pPr>
            <w:r w:rsidRPr="00F52C68">
              <w:rPr>
                <w:rFonts w:ascii="Calibri" w:hAnsi="Calibri"/>
                <w:color w:val="000000"/>
                <w:sz w:val="20"/>
                <w:szCs w:val="20"/>
              </w:rPr>
              <w:t>Statewide</w:t>
            </w:r>
          </w:p>
        </w:tc>
        <w:tc>
          <w:tcPr>
            <w:tcW w:w="665" w:type="pct"/>
            <w:tcBorders>
              <w:left w:val="none" w:sz="0" w:space="0" w:color="auto"/>
              <w:right w:val="none" w:sz="0" w:space="0" w:color="auto"/>
            </w:tcBorders>
            <w:noWrap/>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52C68">
              <w:rPr>
                <w:rFonts w:ascii="Calibri" w:hAnsi="Calibri"/>
                <w:b/>
                <w:color w:val="000000"/>
                <w:sz w:val="20"/>
                <w:szCs w:val="20"/>
              </w:rPr>
              <w:t>350,546</w:t>
            </w:r>
          </w:p>
        </w:tc>
        <w:tc>
          <w:tcPr>
            <w:tcW w:w="618"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52C68">
              <w:rPr>
                <w:rFonts w:ascii="Calibri" w:hAnsi="Calibri"/>
                <w:b/>
                <w:color w:val="000000"/>
                <w:sz w:val="20"/>
                <w:szCs w:val="20"/>
              </w:rPr>
              <w:t>231.51</w:t>
            </w:r>
          </w:p>
        </w:tc>
        <w:tc>
          <w:tcPr>
            <w:tcW w:w="713"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52C68">
              <w:rPr>
                <w:rFonts w:ascii="Calibri" w:hAnsi="Calibri"/>
                <w:b/>
                <w:color w:val="000000"/>
                <w:sz w:val="20"/>
                <w:szCs w:val="20"/>
              </w:rPr>
              <w:t>$214,259,766</w:t>
            </w:r>
          </w:p>
        </w:tc>
        <w:tc>
          <w:tcPr>
            <w:tcW w:w="760"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52C68">
              <w:rPr>
                <w:rFonts w:ascii="Calibri" w:hAnsi="Calibri"/>
                <w:b/>
                <w:color w:val="000000"/>
                <w:sz w:val="20"/>
                <w:szCs w:val="20"/>
              </w:rPr>
              <w:t>$275,675,452</w:t>
            </w:r>
          </w:p>
        </w:tc>
        <w:tc>
          <w:tcPr>
            <w:tcW w:w="856" w:type="pct"/>
            <w:tcBorders>
              <w:left w:val="none" w:sz="0" w:space="0" w:color="auto"/>
              <w:righ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52C68">
              <w:rPr>
                <w:rFonts w:ascii="Calibri" w:hAnsi="Calibri"/>
                <w:b/>
                <w:color w:val="FF0000"/>
                <w:sz w:val="20"/>
                <w:szCs w:val="20"/>
              </w:rPr>
              <w:t>-$61,415,686</w:t>
            </w:r>
          </w:p>
        </w:tc>
        <w:tc>
          <w:tcPr>
            <w:tcW w:w="580" w:type="pct"/>
            <w:tcBorders>
              <w:left w:val="none" w:sz="0" w:space="0" w:color="auto"/>
            </w:tcBorders>
            <w:hideMark/>
          </w:tcPr>
          <w:p w:rsidR="00AB3457" w:rsidRPr="00F52C68" w:rsidRDefault="00AB3457"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52C68">
              <w:rPr>
                <w:rFonts w:ascii="Calibri" w:hAnsi="Calibri"/>
                <w:b/>
                <w:color w:val="000000"/>
                <w:sz w:val="20"/>
                <w:szCs w:val="20"/>
              </w:rPr>
              <w:t>0.83</w:t>
            </w:r>
          </w:p>
        </w:tc>
      </w:tr>
    </w:tbl>
    <w:p w:rsidR="007F1EB9" w:rsidRDefault="007F1EB9" w:rsidP="00A83ABC"/>
    <w:p w:rsidR="00903D36" w:rsidRDefault="00903D36" w:rsidP="00A83ABC">
      <w:r>
        <w:t>Adding additional end</w:t>
      </w:r>
      <w:r w:rsidR="00B17135">
        <w:t xml:space="preserve"> </w:t>
      </w:r>
      <w:r>
        <w:t xml:space="preserve">uses worsened the cost-effectiveness of a potential residential </w:t>
      </w:r>
      <w:r w:rsidR="00037A03">
        <w:t>DR</w:t>
      </w:r>
      <w:r>
        <w:t xml:space="preserve"> program. </w:t>
      </w:r>
      <w:r w:rsidR="00913402">
        <w:fldChar w:fldCharType="begin"/>
      </w:r>
      <w:r w:rsidR="00913402">
        <w:instrText xml:space="preserve"> REF _Ref408558838 \h </w:instrText>
      </w:r>
      <w:r w:rsidR="00913402">
        <w:fldChar w:fldCharType="separate"/>
      </w:r>
      <w:r w:rsidR="00803DBE">
        <w:t xml:space="preserve">Table </w:t>
      </w:r>
      <w:r w:rsidR="00803DBE">
        <w:rPr>
          <w:noProof/>
        </w:rPr>
        <w:t>1</w:t>
      </w:r>
      <w:r w:rsidR="00803DBE">
        <w:noBreakHyphen/>
      </w:r>
      <w:r w:rsidR="00803DBE">
        <w:rPr>
          <w:noProof/>
        </w:rPr>
        <w:t>6</w:t>
      </w:r>
      <w:r w:rsidR="00913402">
        <w:fldChar w:fldCharType="end"/>
      </w:r>
      <w:r w:rsidR="00913402">
        <w:t xml:space="preserve"> </w:t>
      </w:r>
      <w:r>
        <w:t xml:space="preserve">below contains the cost-effectiveness of a </w:t>
      </w:r>
      <w:r w:rsidR="00825CB3">
        <w:t>Residential Direct Control Program</w:t>
      </w:r>
      <w:r w:rsidR="00B17135">
        <w:t xml:space="preserve"> for four end </w:t>
      </w:r>
      <w:r>
        <w:t xml:space="preserve">uses: central </w:t>
      </w:r>
      <w:r w:rsidR="00AD2C38">
        <w:t>A/C’s</w:t>
      </w:r>
      <w:r>
        <w:t xml:space="preserve">, window </w:t>
      </w:r>
      <w:r w:rsidR="00AD2C38">
        <w:t>A/C’s</w:t>
      </w:r>
      <w:r>
        <w:t xml:space="preserve">, electric water heaters, and </w:t>
      </w:r>
      <w:r w:rsidR="00AB3457">
        <w:t xml:space="preserve">swimming </w:t>
      </w:r>
      <w:r>
        <w:t>pool pumps.</w:t>
      </w:r>
      <w:r w:rsidR="001816FF">
        <w:t xml:space="preserve"> A program that includes control of all four of these residential end</w:t>
      </w:r>
      <w:r w:rsidR="00B17135">
        <w:t xml:space="preserve"> </w:t>
      </w:r>
      <w:r w:rsidR="001816FF">
        <w:t xml:space="preserve">uses is not </w:t>
      </w:r>
      <w:r w:rsidR="00CE0565">
        <w:t>cost-effective</w:t>
      </w:r>
      <w:r w:rsidR="001816FF">
        <w:t xml:space="preserve"> for any of the EDCs for Phase III of Act 129.</w:t>
      </w:r>
    </w:p>
    <w:p w:rsidR="00280B88" w:rsidRDefault="00280B88" w:rsidP="00A83ABC">
      <w:pPr>
        <w:pStyle w:val="Caption"/>
        <w:keepNext/>
      </w:pPr>
      <w:bookmarkStart w:id="23" w:name="_Ref408558838"/>
      <w:bookmarkStart w:id="24" w:name="_Toc412628440"/>
      <w:r>
        <w:lastRenderedPageBreak/>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6</w:t>
      </w:r>
      <w:r w:rsidR="00E2011B">
        <w:rPr>
          <w:noProof/>
        </w:rPr>
        <w:fldChar w:fldCharType="end"/>
      </w:r>
      <w:bookmarkEnd w:id="23"/>
      <w:r>
        <w:t xml:space="preserve">: </w:t>
      </w:r>
      <w:r w:rsidRPr="00280B88">
        <w:t xml:space="preserve">Residential </w:t>
      </w:r>
      <w:r w:rsidR="002F761C">
        <w:t>DLC</w:t>
      </w:r>
      <w:r w:rsidRPr="00280B88">
        <w:t xml:space="preserve"> Benefits and Costs- Control of Central </w:t>
      </w:r>
      <w:r w:rsidR="002F761C">
        <w:t>A/C</w:t>
      </w:r>
      <w:r w:rsidRPr="00280B88">
        <w:t xml:space="preserve">, Electric Water Heaters, </w:t>
      </w:r>
      <w:r w:rsidR="00AB3457">
        <w:t xml:space="preserve">Window </w:t>
      </w:r>
      <w:r w:rsidR="002F761C">
        <w:t>A/C</w:t>
      </w:r>
      <w:r w:rsidRPr="00280B88">
        <w:t xml:space="preserve"> and Swimming Pool Pumps</w:t>
      </w:r>
      <w:bookmarkEnd w:id="24"/>
    </w:p>
    <w:tbl>
      <w:tblPr>
        <w:tblW w:w="9375" w:type="dxa"/>
        <w:tblInd w:w="93"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635"/>
        <w:gridCol w:w="1260"/>
        <w:gridCol w:w="1440"/>
        <w:gridCol w:w="1260"/>
        <w:gridCol w:w="1440"/>
        <w:gridCol w:w="1440"/>
        <w:gridCol w:w="900"/>
      </w:tblGrid>
      <w:tr w:rsidR="00E2119D" w:rsidRPr="00E2119D" w:rsidTr="00E2119D">
        <w:trPr>
          <w:trHeight w:val="780"/>
        </w:trPr>
        <w:tc>
          <w:tcPr>
            <w:tcW w:w="1635" w:type="dxa"/>
            <w:shd w:val="clear" w:color="000000" w:fill="448A99"/>
            <w:vAlign w:val="bottom"/>
            <w:hideMark/>
          </w:tcPr>
          <w:p w:rsidR="00E2119D" w:rsidRPr="00E2119D" w:rsidRDefault="00E2119D" w:rsidP="00A83ABC">
            <w:pPr>
              <w:jc w:val="left"/>
              <w:rPr>
                <w:rFonts w:ascii="Calibri" w:eastAsia="Times New Roman" w:hAnsi="Calibri" w:cs="Times New Roman"/>
                <w:b/>
                <w:bCs/>
                <w:color w:val="FFFFFF"/>
                <w:sz w:val="20"/>
                <w:szCs w:val="20"/>
              </w:rPr>
            </w:pPr>
            <w:r w:rsidRPr="00E2119D">
              <w:rPr>
                <w:rFonts w:ascii="Calibri" w:eastAsia="Times New Roman" w:hAnsi="Calibri" w:cs="Times New Roman"/>
                <w:b/>
                <w:bCs/>
                <w:color w:val="FFFFFF"/>
                <w:sz w:val="20"/>
                <w:szCs w:val="20"/>
              </w:rPr>
              <w:t>EDC</w:t>
            </w:r>
          </w:p>
        </w:tc>
        <w:tc>
          <w:tcPr>
            <w:tcW w:w="1260" w:type="dxa"/>
            <w:shd w:val="clear" w:color="000000" w:fill="448A99"/>
            <w:vAlign w:val="bottom"/>
            <w:hideMark/>
          </w:tcPr>
          <w:p w:rsidR="00E2119D" w:rsidRPr="00E2119D" w:rsidRDefault="00E2119D" w:rsidP="00A83ABC">
            <w:pPr>
              <w:jc w:val="center"/>
              <w:rPr>
                <w:rFonts w:ascii="Calibri" w:eastAsia="Times New Roman" w:hAnsi="Calibri" w:cs="Times New Roman"/>
                <w:b/>
                <w:bCs/>
                <w:color w:val="FFFFFF"/>
                <w:sz w:val="20"/>
                <w:szCs w:val="20"/>
              </w:rPr>
            </w:pPr>
            <w:r w:rsidRPr="00E2119D">
              <w:rPr>
                <w:rFonts w:ascii="Calibri" w:eastAsia="Times New Roman" w:hAnsi="Calibri" w:cs="Times New Roman"/>
                <w:b/>
                <w:bCs/>
                <w:color w:val="FFFFFF"/>
                <w:sz w:val="20"/>
                <w:szCs w:val="20"/>
              </w:rPr>
              <w:t>Number of Program Participants</w:t>
            </w:r>
          </w:p>
        </w:tc>
        <w:tc>
          <w:tcPr>
            <w:tcW w:w="1440" w:type="dxa"/>
            <w:shd w:val="clear" w:color="000000" w:fill="448A99"/>
            <w:vAlign w:val="bottom"/>
            <w:hideMark/>
          </w:tcPr>
          <w:p w:rsidR="00E2119D" w:rsidRPr="00E2119D" w:rsidRDefault="00E2119D" w:rsidP="00A83ABC">
            <w:pPr>
              <w:jc w:val="center"/>
              <w:rPr>
                <w:rFonts w:ascii="Calibri" w:eastAsia="Times New Roman" w:hAnsi="Calibri" w:cs="Times New Roman"/>
                <w:b/>
                <w:bCs/>
                <w:color w:val="FFFFFF"/>
                <w:sz w:val="20"/>
                <w:szCs w:val="20"/>
              </w:rPr>
            </w:pPr>
            <w:r w:rsidRPr="00E2119D">
              <w:rPr>
                <w:rFonts w:ascii="Calibri" w:eastAsia="Times New Roman" w:hAnsi="Calibri" w:cs="Times New Roman"/>
                <w:b/>
                <w:bCs/>
                <w:color w:val="FFFFFF"/>
                <w:sz w:val="20"/>
                <w:szCs w:val="20"/>
              </w:rPr>
              <w:t>Average Annual Impact (MW at Generation Level)</w:t>
            </w:r>
          </w:p>
        </w:tc>
        <w:tc>
          <w:tcPr>
            <w:tcW w:w="1260" w:type="dxa"/>
            <w:shd w:val="clear" w:color="000000" w:fill="448A99"/>
            <w:vAlign w:val="bottom"/>
            <w:hideMark/>
          </w:tcPr>
          <w:p w:rsidR="00E2119D" w:rsidRPr="00E2119D" w:rsidRDefault="00532DDB" w:rsidP="00A83ABC">
            <w:pPr>
              <w:jc w:val="cente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PV</w:t>
            </w:r>
            <w:r w:rsidR="00E2119D" w:rsidRPr="00E2119D">
              <w:rPr>
                <w:rFonts w:ascii="Calibri" w:eastAsia="Times New Roman" w:hAnsi="Calibri" w:cs="Times New Roman"/>
                <w:b/>
                <w:bCs/>
                <w:color w:val="FFFFFF"/>
                <w:sz w:val="20"/>
                <w:szCs w:val="20"/>
              </w:rPr>
              <w:t xml:space="preserve"> of Program Benefits</w:t>
            </w:r>
          </w:p>
        </w:tc>
        <w:tc>
          <w:tcPr>
            <w:tcW w:w="1440" w:type="dxa"/>
            <w:shd w:val="clear" w:color="000000" w:fill="448A99"/>
            <w:vAlign w:val="bottom"/>
            <w:hideMark/>
          </w:tcPr>
          <w:p w:rsidR="00E2119D" w:rsidRPr="00E2119D" w:rsidRDefault="00532DDB" w:rsidP="00A83ABC">
            <w:pPr>
              <w:jc w:val="cente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PV</w:t>
            </w:r>
            <w:r w:rsidR="00E2119D" w:rsidRPr="00E2119D">
              <w:rPr>
                <w:rFonts w:ascii="Calibri" w:eastAsia="Times New Roman" w:hAnsi="Calibri" w:cs="Times New Roman"/>
                <w:b/>
                <w:bCs/>
                <w:color w:val="FFFFFF"/>
                <w:sz w:val="20"/>
                <w:szCs w:val="20"/>
              </w:rPr>
              <w:t xml:space="preserve"> of Program Costs</w:t>
            </w:r>
          </w:p>
        </w:tc>
        <w:tc>
          <w:tcPr>
            <w:tcW w:w="1440" w:type="dxa"/>
            <w:shd w:val="clear" w:color="000000" w:fill="448A99"/>
            <w:vAlign w:val="bottom"/>
            <w:hideMark/>
          </w:tcPr>
          <w:p w:rsidR="00E2119D" w:rsidRPr="00E2119D" w:rsidRDefault="00E2119D" w:rsidP="00A83ABC">
            <w:pPr>
              <w:jc w:val="center"/>
              <w:rPr>
                <w:rFonts w:ascii="Calibri" w:eastAsia="Times New Roman" w:hAnsi="Calibri" w:cs="Times New Roman"/>
                <w:b/>
                <w:bCs/>
                <w:color w:val="FFFFFF"/>
                <w:sz w:val="20"/>
                <w:szCs w:val="20"/>
              </w:rPr>
            </w:pPr>
            <w:r w:rsidRPr="00E2119D">
              <w:rPr>
                <w:rFonts w:ascii="Calibri" w:eastAsia="Times New Roman" w:hAnsi="Calibri" w:cs="Times New Roman"/>
                <w:b/>
                <w:bCs/>
                <w:color w:val="FFFFFF"/>
                <w:sz w:val="20"/>
                <w:szCs w:val="20"/>
              </w:rPr>
              <w:t>NPV of Benefits - NPV of Costs</w:t>
            </w:r>
          </w:p>
        </w:tc>
        <w:tc>
          <w:tcPr>
            <w:tcW w:w="900" w:type="dxa"/>
            <w:shd w:val="clear" w:color="000000" w:fill="448A99"/>
            <w:vAlign w:val="bottom"/>
            <w:hideMark/>
          </w:tcPr>
          <w:p w:rsidR="00E2119D" w:rsidRPr="00E2119D" w:rsidRDefault="00E2119D" w:rsidP="00A83ABC">
            <w:pPr>
              <w:jc w:val="center"/>
              <w:rPr>
                <w:rFonts w:ascii="Calibri" w:eastAsia="Times New Roman" w:hAnsi="Calibri" w:cs="Times New Roman"/>
                <w:b/>
                <w:bCs/>
                <w:color w:val="FFFFFF"/>
                <w:sz w:val="20"/>
                <w:szCs w:val="20"/>
              </w:rPr>
            </w:pPr>
            <w:r w:rsidRPr="00E2119D">
              <w:rPr>
                <w:rFonts w:ascii="Calibri" w:eastAsia="Times New Roman" w:hAnsi="Calibri" w:cs="Times New Roman"/>
                <w:b/>
                <w:bCs/>
                <w:color w:val="FFFFFF"/>
                <w:sz w:val="20"/>
                <w:szCs w:val="20"/>
              </w:rPr>
              <w:t>Lifetime TRC Ratio</w:t>
            </w:r>
          </w:p>
        </w:tc>
      </w:tr>
      <w:tr w:rsidR="00E2119D" w:rsidRPr="00E2119D" w:rsidTr="00D85C97">
        <w:trPr>
          <w:trHeight w:val="346"/>
        </w:trPr>
        <w:tc>
          <w:tcPr>
            <w:tcW w:w="1635" w:type="dxa"/>
            <w:shd w:val="clear" w:color="auto" w:fill="D2EAF1"/>
            <w:hideMark/>
          </w:tcPr>
          <w:p w:rsidR="00E2119D" w:rsidRPr="00E2119D" w:rsidRDefault="00E2119D" w:rsidP="00A83ABC">
            <w:pPr>
              <w:jc w:val="left"/>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Duquesne</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45,986</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38.67</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29,258,689</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50,758,424</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FF0000"/>
                <w:sz w:val="20"/>
                <w:szCs w:val="20"/>
              </w:rPr>
            </w:pPr>
            <w:r w:rsidRPr="00E2119D">
              <w:rPr>
                <w:rFonts w:ascii="Calibri" w:eastAsia="Times New Roman" w:hAnsi="Calibri" w:cs="Times New Roman"/>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Cs/>
                <w:color w:val="FF0000"/>
                <w:sz w:val="20"/>
                <w:szCs w:val="20"/>
              </w:rPr>
              <w:t>21,499,735</w:t>
            </w:r>
          </w:p>
        </w:tc>
        <w:tc>
          <w:tcPr>
            <w:tcW w:w="90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0.58</w:t>
            </w:r>
          </w:p>
        </w:tc>
      </w:tr>
      <w:tr w:rsidR="009C64D0" w:rsidRPr="00E2119D" w:rsidTr="00D85C97">
        <w:trPr>
          <w:trHeight w:val="346"/>
        </w:trPr>
        <w:tc>
          <w:tcPr>
            <w:tcW w:w="1635" w:type="dxa"/>
            <w:shd w:val="clear" w:color="auto" w:fill="auto"/>
            <w:hideMark/>
          </w:tcPr>
          <w:p w:rsidR="00E2119D" w:rsidRPr="00E2119D" w:rsidRDefault="00E2119D" w:rsidP="00A83ABC">
            <w:pPr>
              <w:jc w:val="left"/>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FE: Met-Ed</w:t>
            </w:r>
          </w:p>
        </w:tc>
        <w:tc>
          <w:tcPr>
            <w:tcW w:w="126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52,475</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22.62</w:t>
            </w:r>
          </w:p>
        </w:tc>
        <w:tc>
          <w:tcPr>
            <w:tcW w:w="126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29,582,690</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47,927,900</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FF0000"/>
                <w:sz w:val="20"/>
                <w:szCs w:val="20"/>
              </w:rPr>
            </w:pPr>
            <w:r w:rsidRPr="00E2119D">
              <w:rPr>
                <w:rFonts w:ascii="Calibri" w:eastAsia="Times New Roman" w:hAnsi="Calibri" w:cs="Times New Roman"/>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Cs/>
                <w:color w:val="FF0000"/>
                <w:sz w:val="20"/>
                <w:szCs w:val="20"/>
              </w:rPr>
              <w:t>18,345,209</w:t>
            </w:r>
          </w:p>
        </w:tc>
        <w:tc>
          <w:tcPr>
            <w:tcW w:w="90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0.62</w:t>
            </w:r>
          </w:p>
        </w:tc>
      </w:tr>
      <w:tr w:rsidR="00E2119D" w:rsidRPr="00E2119D" w:rsidTr="00D85C97">
        <w:trPr>
          <w:trHeight w:val="346"/>
        </w:trPr>
        <w:tc>
          <w:tcPr>
            <w:tcW w:w="1635" w:type="dxa"/>
            <w:shd w:val="clear" w:color="auto" w:fill="D2EAF1"/>
            <w:hideMark/>
          </w:tcPr>
          <w:p w:rsidR="00E2119D" w:rsidRPr="00E2119D" w:rsidRDefault="00E2119D" w:rsidP="00A83ABC">
            <w:pPr>
              <w:jc w:val="left"/>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FE: Penelec</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24,494</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10.77</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14,223,266</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22,289,070</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FF0000"/>
                <w:sz w:val="20"/>
                <w:szCs w:val="20"/>
              </w:rPr>
            </w:pPr>
            <w:r w:rsidRPr="00E2119D">
              <w:rPr>
                <w:rFonts w:ascii="Calibri" w:eastAsia="Times New Roman" w:hAnsi="Calibri" w:cs="Times New Roman"/>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Cs/>
                <w:color w:val="FF0000"/>
                <w:sz w:val="20"/>
                <w:szCs w:val="20"/>
              </w:rPr>
              <w:t>1,483,504</w:t>
            </w:r>
          </w:p>
        </w:tc>
        <w:tc>
          <w:tcPr>
            <w:tcW w:w="90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0.64</w:t>
            </w:r>
          </w:p>
        </w:tc>
      </w:tr>
      <w:tr w:rsidR="009C64D0" w:rsidRPr="00E2119D" w:rsidTr="00D85C97">
        <w:trPr>
          <w:trHeight w:val="346"/>
        </w:trPr>
        <w:tc>
          <w:tcPr>
            <w:tcW w:w="1635" w:type="dxa"/>
            <w:shd w:val="clear" w:color="auto" w:fill="auto"/>
            <w:hideMark/>
          </w:tcPr>
          <w:p w:rsidR="00E2119D" w:rsidRPr="00E2119D" w:rsidRDefault="00E2119D" w:rsidP="00A83ABC">
            <w:pPr>
              <w:jc w:val="left"/>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FE: Penn Power</w:t>
            </w:r>
          </w:p>
        </w:tc>
        <w:tc>
          <w:tcPr>
            <w:tcW w:w="126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16,431</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6.68</w:t>
            </w:r>
          </w:p>
        </w:tc>
        <w:tc>
          <w:tcPr>
            <w:tcW w:w="126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5,847,328</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13,421,936</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FF0000"/>
                <w:sz w:val="20"/>
                <w:szCs w:val="20"/>
              </w:rPr>
            </w:pPr>
            <w:r w:rsidRPr="00E2119D">
              <w:rPr>
                <w:rFonts w:ascii="Calibri" w:eastAsia="Times New Roman" w:hAnsi="Calibri" w:cs="Times New Roman"/>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Cs/>
                <w:color w:val="FF0000"/>
                <w:sz w:val="20"/>
                <w:szCs w:val="20"/>
              </w:rPr>
              <w:t>2,157,102</w:t>
            </w:r>
          </w:p>
        </w:tc>
        <w:tc>
          <w:tcPr>
            <w:tcW w:w="90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0.44</w:t>
            </w:r>
          </w:p>
        </w:tc>
      </w:tr>
      <w:tr w:rsidR="00E2119D" w:rsidRPr="00E2119D" w:rsidTr="00D85C97">
        <w:trPr>
          <w:trHeight w:val="346"/>
        </w:trPr>
        <w:tc>
          <w:tcPr>
            <w:tcW w:w="1635" w:type="dxa"/>
            <w:shd w:val="clear" w:color="auto" w:fill="D2EAF1"/>
            <w:hideMark/>
          </w:tcPr>
          <w:p w:rsidR="00E2119D" w:rsidRPr="00E2119D" w:rsidRDefault="00E2119D" w:rsidP="00A83ABC">
            <w:pPr>
              <w:jc w:val="left"/>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FE: West Penn</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70,307</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31.82</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40,701,592</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64,247,612</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FF0000"/>
                <w:sz w:val="20"/>
                <w:szCs w:val="20"/>
              </w:rPr>
            </w:pPr>
            <w:r w:rsidRPr="00E2119D">
              <w:rPr>
                <w:rFonts w:ascii="Calibri" w:eastAsia="Times New Roman" w:hAnsi="Calibri" w:cs="Times New Roman"/>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Cs/>
                <w:color w:val="FF0000"/>
                <w:sz w:val="20"/>
                <w:szCs w:val="20"/>
              </w:rPr>
              <w:t>23,546,020</w:t>
            </w:r>
          </w:p>
        </w:tc>
        <w:tc>
          <w:tcPr>
            <w:tcW w:w="90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0.63</w:t>
            </w:r>
          </w:p>
        </w:tc>
      </w:tr>
      <w:tr w:rsidR="009C64D0" w:rsidRPr="00E2119D" w:rsidTr="00D85C97">
        <w:trPr>
          <w:trHeight w:val="346"/>
        </w:trPr>
        <w:tc>
          <w:tcPr>
            <w:tcW w:w="1635" w:type="dxa"/>
            <w:shd w:val="clear" w:color="auto" w:fill="auto"/>
            <w:hideMark/>
          </w:tcPr>
          <w:p w:rsidR="00E2119D" w:rsidRPr="00E2119D" w:rsidRDefault="00E2119D" w:rsidP="00A83ABC">
            <w:pPr>
              <w:jc w:val="left"/>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PECO</w:t>
            </w:r>
          </w:p>
        </w:tc>
        <w:tc>
          <w:tcPr>
            <w:tcW w:w="126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108,049</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95.48</w:t>
            </w:r>
          </w:p>
        </w:tc>
        <w:tc>
          <w:tcPr>
            <w:tcW w:w="126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87,811,623</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141,116,016</w:t>
            </w:r>
          </w:p>
        </w:tc>
        <w:tc>
          <w:tcPr>
            <w:tcW w:w="1440" w:type="dxa"/>
            <w:shd w:val="clear" w:color="auto" w:fill="auto"/>
            <w:hideMark/>
          </w:tcPr>
          <w:p w:rsidR="00E2119D" w:rsidRPr="00E2119D" w:rsidRDefault="00E2119D" w:rsidP="00A83ABC">
            <w:pPr>
              <w:jc w:val="center"/>
              <w:rPr>
                <w:rFonts w:ascii="Calibri" w:eastAsia="Times New Roman" w:hAnsi="Calibri" w:cs="Times New Roman"/>
                <w:bCs/>
                <w:color w:val="FF0000"/>
                <w:sz w:val="20"/>
                <w:szCs w:val="20"/>
              </w:rPr>
            </w:pPr>
            <w:r w:rsidRPr="00E2119D">
              <w:rPr>
                <w:rFonts w:ascii="Calibri" w:eastAsia="Times New Roman" w:hAnsi="Calibri" w:cs="Times New Roman"/>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Cs/>
                <w:color w:val="FF0000"/>
                <w:sz w:val="20"/>
                <w:szCs w:val="20"/>
              </w:rPr>
              <w:t>53,304,393</w:t>
            </w:r>
          </w:p>
        </w:tc>
        <w:tc>
          <w:tcPr>
            <w:tcW w:w="900" w:type="dxa"/>
            <w:shd w:val="clear" w:color="auto" w:fill="auto"/>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0.62</w:t>
            </w:r>
          </w:p>
        </w:tc>
      </w:tr>
      <w:tr w:rsidR="00E2119D" w:rsidRPr="00E2119D" w:rsidTr="00D85C97">
        <w:trPr>
          <w:trHeight w:val="346"/>
        </w:trPr>
        <w:tc>
          <w:tcPr>
            <w:tcW w:w="1635" w:type="dxa"/>
            <w:shd w:val="clear" w:color="auto" w:fill="D2EAF1"/>
            <w:hideMark/>
          </w:tcPr>
          <w:p w:rsidR="00E2119D" w:rsidRPr="00E2119D" w:rsidRDefault="00E2119D" w:rsidP="00A83ABC">
            <w:pPr>
              <w:jc w:val="left"/>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PPL</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105,046</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63.93</w:t>
            </w:r>
          </w:p>
        </w:tc>
        <w:tc>
          <w:tcPr>
            <w:tcW w:w="126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59,379,084</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105,805,641</w:t>
            </w:r>
          </w:p>
        </w:tc>
        <w:tc>
          <w:tcPr>
            <w:tcW w:w="1440" w:type="dxa"/>
            <w:shd w:val="clear" w:color="auto" w:fill="D2EAF1"/>
            <w:hideMark/>
          </w:tcPr>
          <w:p w:rsidR="00E2119D" w:rsidRPr="00E2119D" w:rsidRDefault="00E2119D" w:rsidP="00A83ABC">
            <w:pPr>
              <w:jc w:val="center"/>
              <w:rPr>
                <w:rFonts w:ascii="Calibri" w:eastAsia="Times New Roman" w:hAnsi="Calibri" w:cs="Times New Roman"/>
                <w:bCs/>
                <w:color w:val="FF0000"/>
                <w:sz w:val="20"/>
                <w:szCs w:val="20"/>
              </w:rPr>
            </w:pPr>
            <w:r w:rsidRPr="00E2119D">
              <w:rPr>
                <w:rFonts w:ascii="Calibri" w:eastAsia="Times New Roman" w:hAnsi="Calibri" w:cs="Times New Roman"/>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Cs/>
                <w:color w:val="FF0000"/>
                <w:sz w:val="20"/>
                <w:szCs w:val="20"/>
              </w:rPr>
              <w:t>31,088,996</w:t>
            </w:r>
          </w:p>
        </w:tc>
        <w:tc>
          <w:tcPr>
            <w:tcW w:w="900" w:type="dxa"/>
            <w:shd w:val="clear" w:color="auto" w:fill="D2EAF1"/>
            <w:hideMark/>
          </w:tcPr>
          <w:p w:rsidR="00E2119D" w:rsidRPr="00E2119D" w:rsidRDefault="00E2119D" w:rsidP="00A83ABC">
            <w:pPr>
              <w:jc w:val="center"/>
              <w:rPr>
                <w:rFonts w:ascii="Calibri" w:eastAsia="Times New Roman" w:hAnsi="Calibri" w:cs="Times New Roman"/>
                <w:bCs/>
                <w:color w:val="000000"/>
                <w:sz w:val="20"/>
                <w:szCs w:val="20"/>
              </w:rPr>
            </w:pPr>
            <w:r w:rsidRPr="00E2119D">
              <w:rPr>
                <w:rFonts w:ascii="Calibri" w:eastAsia="Times New Roman" w:hAnsi="Calibri" w:cs="Times New Roman"/>
                <w:bCs/>
                <w:color w:val="000000"/>
                <w:sz w:val="20"/>
                <w:szCs w:val="20"/>
              </w:rPr>
              <w:t>0.56</w:t>
            </w:r>
          </w:p>
        </w:tc>
      </w:tr>
      <w:tr w:rsidR="009C64D0" w:rsidRPr="00E2119D" w:rsidTr="00D85C97">
        <w:trPr>
          <w:trHeight w:val="346"/>
        </w:trPr>
        <w:tc>
          <w:tcPr>
            <w:tcW w:w="1635" w:type="dxa"/>
            <w:shd w:val="clear" w:color="auto" w:fill="auto"/>
            <w:hideMark/>
          </w:tcPr>
          <w:p w:rsidR="00E2119D" w:rsidRPr="00E2119D" w:rsidRDefault="00E2119D" w:rsidP="00A83ABC">
            <w:pPr>
              <w:jc w:val="left"/>
              <w:rPr>
                <w:rFonts w:ascii="Calibri" w:hAnsi="Calibri"/>
                <w:b/>
                <w:color w:val="000000"/>
                <w:sz w:val="20"/>
                <w:szCs w:val="20"/>
              </w:rPr>
            </w:pPr>
            <w:r w:rsidRPr="00E2119D">
              <w:rPr>
                <w:rFonts w:ascii="Calibri" w:hAnsi="Calibri"/>
                <w:b/>
                <w:color w:val="000000"/>
                <w:sz w:val="20"/>
                <w:szCs w:val="20"/>
              </w:rPr>
              <w:t>Statewide</w:t>
            </w:r>
          </w:p>
        </w:tc>
        <w:tc>
          <w:tcPr>
            <w:tcW w:w="1260" w:type="dxa"/>
            <w:shd w:val="clear" w:color="auto" w:fill="auto"/>
            <w:hideMark/>
          </w:tcPr>
          <w:p w:rsidR="00E2119D" w:rsidRPr="00E2119D" w:rsidRDefault="00E2119D" w:rsidP="00005F25">
            <w:pPr>
              <w:jc w:val="center"/>
              <w:rPr>
                <w:rFonts w:ascii="Calibri" w:eastAsia="Times New Roman" w:hAnsi="Calibri" w:cs="Times New Roman"/>
                <w:b/>
                <w:bCs/>
                <w:color w:val="000000"/>
                <w:sz w:val="20"/>
                <w:szCs w:val="20"/>
              </w:rPr>
            </w:pPr>
            <w:r w:rsidRPr="00E2119D">
              <w:rPr>
                <w:rFonts w:ascii="Calibri" w:eastAsia="Times New Roman" w:hAnsi="Calibri" w:cs="Times New Roman"/>
                <w:b/>
                <w:bCs/>
                <w:color w:val="000000"/>
                <w:sz w:val="20"/>
                <w:szCs w:val="20"/>
              </w:rPr>
              <w:t>459,</w:t>
            </w:r>
            <w:r w:rsidR="00005F25">
              <w:rPr>
                <w:rFonts w:ascii="Calibri" w:eastAsia="Times New Roman" w:hAnsi="Calibri" w:cs="Times New Roman"/>
                <w:b/>
                <w:bCs/>
                <w:color w:val="000000"/>
                <w:sz w:val="20"/>
                <w:szCs w:val="20"/>
              </w:rPr>
              <w:t>788</w:t>
            </w:r>
          </w:p>
        </w:tc>
        <w:tc>
          <w:tcPr>
            <w:tcW w:w="1440" w:type="dxa"/>
            <w:shd w:val="clear" w:color="auto" w:fill="auto"/>
            <w:hideMark/>
          </w:tcPr>
          <w:p w:rsidR="00E2119D" w:rsidRPr="00E2119D" w:rsidRDefault="00E2119D" w:rsidP="00A83ABC">
            <w:pPr>
              <w:jc w:val="center"/>
              <w:rPr>
                <w:rFonts w:ascii="Calibri" w:eastAsia="Times New Roman" w:hAnsi="Calibri" w:cs="Times New Roman"/>
                <w:b/>
                <w:bCs/>
                <w:color w:val="000000"/>
                <w:sz w:val="20"/>
                <w:szCs w:val="20"/>
              </w:rPr>
            </w:pPr>
            <w:r w:rsidRPr="00E2119D">
              <w:rPr>
                <w:rFonts w:ascii="Calibri" w:eastAsia="Times New Roman" w:hAnsi="Calibri" w:cs="Times New Roman"/>
                <w:b/>
                <w:bCs/>
                <w:color w:val="000000"/>
                <w:sz w:val="20"/>
                <w:szCs w:val="20"/>
              </w:rPr>
              <w:t>269.98</w:t>
            </w:r>
          </w:p>
        </w:tc>
        <w:tc>
          <w:tcPr>
            <w:tcW w:w="1260" w:type="dxa"/>
            <w:shd w:val="clear" w:color="auto" w:fill="auto"/>
            <w:hideMark/>
          </w:tcPr>
          <w:p w:rsidR="00E2119D" w:rsidRPr="00E2119D" w:rsidRDefault="00E2119D" w:rsidP="00A83ABC">
            <w:pPr>
              <w:jc w:val="center"/>
              <w:rPr>
                <w:rFonts w:ascii="Calibri" w:eastAsia="Times New Roman" w:hAnsi="Calibri" w:cs="Times New Roman"/>
                <w:b/>
                <w:bCs/>
                <w:color w:val="000000"/>
                <w:sz w:val="20"/>
                <w:szCs w:val="20"/>
              </w:rPr>
            </w:pPr>
            <w:r w:rsidRPr="00E2119D">
              <w:rPr>
                <w:rFonts w:ascii="Calibri" w:eastAsia="Times New Roman" w:hAnsi="Calibri" w:cs="Times New Roman"/>
                <w:b/>
                <w:bCs/>
                <w:color w:val="000000"/>
                <w:sz w:val="20"/>
                <w:szCs w:val="20"/>
              </w:rPr>
              <w:t>266,804,271</w:t>
            </w:r>
          </w:p>
        </w:tc>
        <w:tc>
          <w:tcPr>
            <w:tcW w:w="1440" w:type="dxa"/>
            <w:shd w:val="clear" w:color="auto" w:fill="auto"/>
            <w:hideMark/>
          </w:tcPr>
          <w:p w:rsidR="00E2119D" w:rsidRPr="00E2119D" w:rsidRDefault="00E2119D" w:rsidP="00A83ABC">
            <w:pPr>
              <w:jc w:val="center"/>
              <w:rPr>
                <w:rFonts w:ascii="Calibri" w:eastAsia="Times New Roman" w:hAnsi="Calibri" w:cs="Times New Roman"/>
                <w:b/>
                <w:bCs/>
                <w:color w:val="000000"/>
                <w:sz w:val="20"/>
                <w:szCs w:val="20"/>
              </w:rPr>
            </w:pPr>
            <w:r w:rsidRPr="00E2119D">
              <w:rPr>
                <w:rFonts w:ascii="Calibri" w:eastAsia="Times New Roman" w:hAnsi="Calibri" w:cs="Times New Roman"/>
                <w:b/>
                <w:bCs/>
                <w:color w:val="000000"/>
                <w:sz w:val="20"/>
                <w:szCs w:val="20"/>
              </w:rPr>
              <w:t>445,566,598</w:t>
            </w:r>
          </w:p>
        </w:tc>
        <w:tc>
          <w:tcPr>
            <w:tcW w:w="1440" w:type="dxa"/>
            <w:shd w:val="clear" w:color="auto" w:fill="auto"/>
            <w:hideMark/>
          </w:tcPr>
          <w:p w:rsidR="00E2119D" w:rsidRPr="00E2119D" w:rsidRDefault="00E2119D" w:rsidP="00A83ABC">
            <w:pPr>
              <w:jc w:val="center"/>
              <w:rPr>
                <w:rFonts w:ascii="Calibri" w:eastAsia="Times New Roman" w:hAnsi="Calibri" w:cs="Times New Roman"/>
                <w:b/>
                <w:bCs/>
                <w:color w:val="FF0000"/>
                <w:sz w:val="20"/>
                <w:szCs w:val="20"/>
              </w:rPr>
            </w:pPr>
            <w:r w:rsidRPr="00E2119D">
              <w:rPr>
                <w:rFonts w:ascii="Calibri" w:eastAsia="Times New Roman" w:hAnsi="Calibri" w:cs="Times New Roman"/>
                <w:b/>
                <w:bCs/>
                <w:color w:val="FF0000"/>
                <w:sz w:val="20"/>
                <w:szCs w:val="20"/>
              </w:rPr>
              <w:t>-</w:t>
            </w:r>
            <w:r w:rsidRPr="00304407">
              <w:rPr>
                <w:rFonts w:ascii="Calibri" w:eastAsia="Times New Roman" w:hAnsi="Calibri" w:cs="Times New Roman"/>
                <w:bCs/>
                <w:color w:val="FF0000"/>
                <w:sz w:val="20"/>
                <w:szCs w:val="20"/>
              </w:rPr>
              <w:t>$</w:t>
            </w:r>
            <w:r w:rsidRPr="00E2119D">
              <w:rPr>
                <w:rFonts w:ascii="Calibri" w:eastAsia="Times New Roman" w:hAnsi="Calibri" w:cs="Times New Roman"/>
                <w:b/>
                <w:bCs/>
                <w:color w:val="FF0000"/>
                <w:sz w:val="20"/>
                <w:szCs w:val="20"/>
              </w:rPr>
              <w:t>178,762,327</w:t>
            </w:r>
          </w:p>
        </w:tc>
        <w:tc>
          <w:tcPr>
            <w:tcW w:w="900" w:type="dxa"/>
            <w:shd w:val="clear" w:color="auto" w:fill="auto"/>
            <w:hideMark/>
          </w:tcPr>
          <w:p w:rsidR="00E2119D" w:rsidRPr="00E2119D" w:rsidRDefault="00E2119D" w:rsidP="00A83ABC">
            <w:pPr>
              <w:jc w:val="center"/>
              <w:rPr>
                <w:rFonts w:ascii="Calibri" w:eastAsia="Times New Roman" w:hAnsi="Calibri" w:cs="Times New Roman"/>
                <w:b/>
                <w:bCs/>
                <w:color w:val="000000"/>
                <w:sz w:val="20"/>
                <w:szCs w:val="20"/>
              </w:rPr>
            </w:pPr>
            <w:r w:rsidRPr="00E2119D">
              <w:rPr>
                <w:rFonts w:ascii="Calibri" w:eastAsia="Times New Roman" w:hAnsi="Calibri" w:cs="Times New Roman"/>
                <w:b/>
                <w:bCs/>
                <w:color w:val="000000"/>
                <w:sz w:val="20"/>
                <w:szCs w:val="20"/>
              </w:rPr>
              <w:t>0.60</w:t>
            </w:r>
          </w:p>
        </w:tc>
      </w:tr>
    </w:tbl>
    <w:p w:rsidR="00E2119D" w:rsidRDefault="00E2119D" w:rsidP="00A83ABC"/>
    <w:p w:rsidR="007E397A" w:rsidRPr="00861A7C" w:rsidRDefault="007E397A" w:rsidP="00A83ABC">
      <w:pPr>
        <w:pStyle w:val="Heading2"/>
      </w:pPr>
      <w:bookmarkStart w:id="25" w:name="_Toc412628366"/>
      <w:r w:rsidRPr="00861A7C">
        <w:t xml:space="preserve">Small and Medium </w:t>
      </w:r>
      <w:r w:rsidR="00622FC2">
        <w:t>Commercial</w:t>
      </w:r>
      <w:r w:rsidR="00622FC2" w:rsidRPr="00861A7C">
        <w:t xml:space="preserve"> </w:t>
      </w:r>
      <w:r w:rsidRPr="00861A7C">
        <w:t>Direct Load Control</w:t>
      </w:r>
      <w:bookmarkEnd w:id="25"/>
    </w:p>
    <w:p w:rsidR="005F0EC6" w:rsidRDefault="005D08F6" w:rsidP="005F0EC6">
      <w:pPr>
        <w:adjustRightInd w:val="0"/>
      </w:pPr>
      <w:r>
        <w:t xml:space="preserve">Small commercial businesses are similar in many respects to residential accounts. Many of these </w:t>
      </w:r>
      <w:r w:rsidR="00825CB3">
        <w:t xml:space="preserve">businesses </w:t>
      </w:r>
      <w:r>
        <w:t>rely on residential style direct expansion</w:t>
      </w:r>
      <w:r w:rsidR="00825CB3">
        <w:t xml:space="preserve"> (DX)</w:t>
      </w:r>
      <w:r>
        <w:t xml:space="preserve"> cooling equipment that can be controlled via </w:t>
      </w:r>
      <w:r w:rsidR="008D678D">
        <w:t>DLC</w:t>
      </w:r>
      <w:r>
        <w:t xml:space="preserve"> devices. The SWE </w:t>
      </w:r>
      <w:r w:rsidR="0045410E">
        <w:t>T</w:t>
      </w:r>
      <w:r>
        <w:t xml:space="preserve">eam’s approach for estimating </w:t>
      </w:r>
      <w:r w:rsidR="000F4A74">
        <w:t>DR</w:t>
      </w:r>
      <w:r>
        <w:t xml:space="preserve"> potential for this customer base </w:t>
      </w:r>
      <w:r w:rsidR="00EB3B1F">
        <w:t>is determined by</w:t>
      </w:r>
      <w:r>
        <w:t xml:space="preserve"> identifying the proportion of each customer’s summer peak load consumption that may be associated with the use of their</w:t>
      </w:r>
      <w:r w:rsidR="00570C99">
        <w:t xml:space="preserve"> </w:t>
      </w:r>
      <w:r w:rsidR="00570C99" w:rsidRPr="008435A8">
        <w:rPr>
          <w:lang w:val="en"/>
        </w:rPr>
        <w:t>heating, ventilating and air conditioning</w:t>
      </w:r>
      <w:r>
        <w:t xml:space="preserve"> </w:t>
      </w:r>
      <w:r w:rsidR="00570C99">
        <w:t>(</w:t>
      </w:r>
      <w:r>
        <w:t>HVAC</w:t>
      </w:r>
      <w:r w:rsidR="00570C99">
        <w:t>)</w:t>
      </w:r>
      <w:r>
        <w:t xml:space="preserve"> system for space cooling. We began by selecting customer accounts with a PLC greater than 5 kW, but less than or equal to 75 kW. </w:t>
      </w:r>
    </w:p>
    <w:p w:rsidR="005F0EC6" w:rsidRDefault="005F0EC6" w:rsidP="005F0EC6">
      <w:pPr>
        <w:adjustRightInd w:val="0"/>
      </w:pPr>
    </w:p>
    <w:p w:rsidR="00803DBE" w:rsidRDefault="00EB3B1F" w:rsidP="00A83ABC">
      <w:pPr>
        <w:spacing w:after="200"/>
        <w:jc w:val="left"/>
        <w:rPr>
          <w:b/>
          <w:bCs/>
          <w:sz w:val="18"/>
          <w:szCs w:val="18"/>
        </w:rPr>
      </w:pPr>
      <w:r>
        <w:t>A</w:t>
      </w:r>
      <w:r w:rsidR="005D08F6">
        <w:t xml:space="preserve">ccounts with less than 5 kW of PLC </w:t>
      </w:r>
      <w:r>
        <w:t xml:space="preserve">were assumed to be </w:t>
      </w:r>
      <w:r w:rsidR="005D08F6">
        <w:t>associated with non-premises accounts</w:t>
      </w:r>
      <w:r w:rsidR="0028301F">
        <w:t xml:space="preserve">, or </w:t>
      </w:r>
      <w:r w:rsidR="005D08F6">
        <w:t xml:space="preserve">accounts with very low occupancy and space cooling during summer weekday afternoons. Those accounts with PLC greater than 75 kW were assigned to the hypothetical </w:t>
      </w:r>
      <w:r w:rsidR="00985548">
        <w:t>large</w:t>
      </w:r>
      <w:r w:rsidR="005D08F6">
        <w:t xml:space="preserve"> C&amp;I load curtailment</w:t>
      </w:r>
      <w:r w:rsidR="007257F4">
        <w:t xml:space="preserve"> program</w:t>
      </w:r>
      <w:r w:rsidR="005D08F6">
        <w:t>. The approach used to identify economically advantageous customers for DLC varied by EDC depending on data availability, but in each case the intent of the analysis was to identify accounts with enough A</w:t>
      </w:r>
      <w:r>
        <w:t>/</w:t>
      </w:r>
      <w:r w:rsidR="005D08F6">
        <w:t xml:space="preserve">C load during peak periods that the benefits from controlling the load would be likely to outweigh the cost of the equipment, installation, and incentive. This step is analogous to the TRC screening procedure used to estimate economic potential for </w:t>
      </w:r>
      <w:r w:rsidR="00857521">
        <w:t>EE</w:t>
      </w:r>
      <w:r w:rsidR="005D08F6">
        <w:t>.</w:t>
      </w:r>
      <w:r w:rsidR="005F0EC6">
        <w:t xml:space="preserve"> </w:t>
      </w:r>
      <w:r w:rsidR="0099272E">
        <w:fldChar w:fldCharType="begin"/>
      </w:r>
      <w:r w:rsidR="0099272E">
        <w:instrText xml:space="preserve"> REF _Ref407782985 \h </w:instrText>
      </w:r>
      <w:r w:rsidR="0099272E">
        <w:fldChar w:fldCharType="separate"/>
      </w:r>
    </w:p>
    <w:p w:rsidR="007E397A" w:rsidRPr="005F0EC6" w:rsidRDefault="00803DBE" w:rsidP="005F0EC6">
      <w:pPr>
        <w:adjustRightInd w:val="0"/>
      </w:pPr>
      <w:r>
        <w:t xml:space="preserve">Table </w:t>
      </w:r>
      <w:r>
        <w:rPr>
          <w:noProof/>
        </w:rPr>
        <w:t>1</w:t>
      </w:r>
      <w:r>
        <w:noBreakHyphen/>
      </w:r>
      <w:r>
        <w:rPr>
          <w:noProof/>
        </w:rPr>
        <w:t>7</w:t>
      </w:r>
      <w:r w:rsidR="0099272E">
        <w:fldChar w:fldCharType="end"/>
      </w:r>
      <w:r w:rsidR="0099272E">
        <w:t xml:space="preserve"> </w:t>
      </w:r>
      <w:r w:rsidR="007E397A">
        <w:t>shows the number of qualified accounts based on size and weather sensitivity, the cumulative number of sites that could be enrolled in Phase III assuming a 1% annual adoption rate, the corresponding number of load control devices, the estimated annual load impact of the program, and an expected lifetime benefit</w:t>
      </w:r>
      <w:r w:rsidR="00CA7A59">
        <w:t>/</w:t>
      </w:r>
      <w:r w:rsidR="007E397A">
        <w:t xml:space="preserve">cost ratio according to the </w:t>
      </w:r>
      <w:r w:rsidR="005D08F6">
        <w:t>TRC</w:t>
      </w:r>
      <w:r w:rsidR="007E397A">
        <w:t xml:space="preserve"> test. Like the residential DLC program, PECO is the only EDC where a Phase III small commercial DLC program</w:t>
      </w:r>
      <w:r w:rsidR="001816FF">
        <w:t xml:space="preserve"> for control of central air condition equipment</w:t>
      </w:r>
      <w:r w:rsidR="00CE0565">
        <w:t xml:space="preserve"> passes cost-</w:t>
      </w:r>
      <w:r w:rsidR="007E397A">
        <w:t xml:space="preserve">effectiveness testing. </w:t>
      </w:r>
    </w:p>
    <w:p w:rsidR="0028301F" w:rsidRDefault="0028301F" w:rsidP="00A83ABC">
      <w:pPr>
        <w:spacing w:after="200"/>
        <w:jc w:val="left"/>
        <w:rPr>
          <w:b/>
          <w:bCs/>
          <w:sz w:val="18"/>
          <w:szCs w:val="18"/>
        </w:rPr>
      </w:pPr>
      <w:bookmarkStart w:id="26" w:name="_Ref407782985"/>
    </w:p>
    <w:p w:rsidR="007E397A" w:rsidRDefault="007E397A" w:rsidP="00A83ABC">
      <w:pPr>
        <w:pStyle w:val="Caption"/>
        <w:keepNext/>
      </w:pPr>
      <w:bookmarkStart w:id="27" w:name="_Toc412628441"/>
      <w:r>
        <w:lastRenderedPageBreak/>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7</w:t>
      </w:r>
      <w:r w:rsidR="00E2011B">
        <w:rPr>
          <w:noProof/>
        </w:rPr>
        <w:fldChar w:fldCharType="end"/>
      </w:r>
      <w:bookmarkEnd w:id="26"/>
      <w:r>
        <w:t xml:space="preserve">: Small Commercial </w:t>
      </w:r>
      <w:r w:rsidR="002F761C">
        <w:t>DLC</w:t>
      </w:r>
      <w:r>
        <w:t xml:space="preserve"> Potential by EDC</w:t>
      </w:r>
      <w:bookmarkEnd w:id="27"/>
    </w:p>
    <w:tbl>
      <w:tblPr>
        <w:tblStyle w:val="MediumShading1-Accent5"/>
        <w:tblW w:w="854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610"/>
        <w:gridCol w:w="1186"/>
        <w:gridCol w:w="1186"/>
        <w:gridCol w:w="1187"/>
        <w:gridCol w:w="1186"/>
        <w:gridCol w:w="1187"/>
      </w:tblGrid>
      <w:tr w:rsidR="007E397A" w:rsidRPr="00F52C68" w:rsidTr="007257F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left w:val="none" w:sz="0" w:space="0" w:color="auto"/>
              <w:bottom w:val="none" w:sz="0" w:space="0" w:color="auto"/>
              <w:right w:val="none" w:sz="0" w:space="0" w:color="auto"/>
            </w:tcBorders>
            <w:shd w:val="clear" w:color="auto" w:fill="448A99"/>
            <w:vAlign w:val="center"/>
            <w:hideMark/>
          </w:tcPr>
          <w:p w:rsidR="007E397A" w:rsidRPr="00F52C68" w:rsidRDefault="007E397A" w:rsidP="007257F4">
            <w:pPr>
              <w:jc w:val="center"/>
              <w:rPr>
                <w:rFonts w:ascii="Calibri" w:eastAsia="Times New Roman" w:hAnsi="Calibri" w:cs="Calibri"/>
                <w:bCs w:val="0"/>
                <w:color w:val="FFFFFF"/>
                <w:sz w:val="20"/>
                <w:szCs w:val="20"/>
              </w:rPr>
            </w:pPr>
            <w:r w:rsidRPr="00F52C68">
              <w:rPr>
                <w:rFonts w:ascii="Calibri" w:eastAsia="Times New Roman" w:hAnsi="Calibri" w:cs="Calibri"/>
                <w:bCs w:val="0"/>
                <w:color w:val="FFFFFF"/>
                <w:sz w:val="20"/>
                <w:szCs w:val="20"/>
              </w:rPr>
              <w:t>EDC</w:t>
            </w:r>
          </w:p>
        </w:tc>
        <w:tc>
          <w:tcPr>
            <w:tcW w:w="1186" w:type="dxa"/>
            <w:tcBorders>
              <w:top w:val="none" w:sz="0" w:space="0" w:color="auto"/>
              <w:left w:val="none" w:sz="0" w:space="0" w:color="auto"/>
              <w:bottom w:val="none" w:sz="0" w:space="0" w:color="auto"/>
              <w:right w:val="none" w:sz="0" w:space="0" w:color="auto"/>
            </w:tcBorders>
            <w:shd w:val="clear" w:color="auto" w:fill="448A99"/>
            <w:vAlign w:val="center"/>
            <w:hideMark/>
          </w:tcPr>
          <w:p w:rsidR="007E397A" w:rsidRPr="00F52C68" w:rsidRDefault="007E397A" w:rsidP="007257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F52C68">
              <w:rPr>
                <w:rFonts w:ascii="Calibri" w:eastAsia="Times New Roman" w:hAnsi="Calibri" w:cs="Calibri"/>
                <w:bCs w:val="0"/>
                <w:color w:val="FFFFFF"/>
                <w:sz w:val="20"/>
                <w:szCs w:val="20"/>
              </w:rPr>
              <w:t>Total Qualified Accounts</w:t>
            </w:r>
          </w:p>
        </w:tc>
        <w:tc>
          <w:tcPr>
            <w:tcW w:w="1186" w:type="dxa"/>
            <w:tcBorders>
              <w:top w:val="none" w:sz="0" w:space="0" w:color="auto"/>
              <w:left w:val="none" w:sz="0" w:space="0" w:color="auto"/>
              <w:bottom w:val="none" w:sz="0" w:space="0" w:color="auto"/>
              <w:right w:val="none" w:sz="0" w:space="0" w:color="auto"/>
            </w:tcBorders>
            <w:shd w:val="clear" w:color="auto" w:fill="448A99"/>
            <w:vAlign w:val="center"/>
            <w:hideMark/>
          </w:tcPr>
          <w:p w:rsidR="007E397A" w:rsidRPr="00F52C68" w:rsidRDefault="007E397A" w:rsidP="007257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F52C68">
              <w:rPr>
                <w:rFonts w:ascii="Calibri" w:eastAsia="Times New Roman" w:hAnsi="Calibri" w:cs="Calibri"/>
                <w:bCs w:val="0"/>
                <w:color w:val="FFFFFF"/>
                <w:sz w:val="20"/>
                <w:szCs w:val="20"/>
              </w:rPr>
              <w:t>Cumulative Sites</w:t>
            </w:r>
          </w:p>
        </w:tc>
        <w:tc>
          <w:tcPr>
            <w:tcW w:w="1187" w:type="dxa"/>
            <w:tcBorders>
              <w:top w:val="none" w:sz="0" w:space="0" w:color="auto"/>
              <w:left w:val="none" w:sz="0" w:space="0" w:color="auto"/>
              <w:bottom w:val="none" w:sz="0" w:space="0" w:color="auto"/>
              <w:right w:val="none" w:sz="0" w:space="0" w:color="auto"/>
            </w:tcBorders>
            <w:shd w:val="clear" w:color="auto" w:fill="448A99"/>
            <w:vAlign w:val="center"/>
          </w:tcPr>
          <w:p w:rsidR="007E397A" w:rsidRPr="00F52C68" w:rsidRDefault="007E397A" w:rsidP="007257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F52C68">
              <w:rPr>
                <w:rFonts w:ascii="Calibri" w:eastAsia="Times New Roman" w:hAnsi="Calibri" w:cs="Calibri"/>
                <w:bCs w:val="0"/>
                <w:color w:val="FFFFFF"/>
                <w:sz w:val="20"/>
                <w:szCs w:val="20"/>
              </w:rPr>
              <w:t>Cumulative Devices</w:t>
            </w:r>
          </w:p>
        </w:tc>
        <w:tc>
          <w:tcPr>
            <w:tcW w:w="1186" w:type="dxa"/>
            <w:tcBorders>
              <w:top w:val="none" w:sz="0" w:space="0" w:color="auto"/>
              <w:left w:val="none" w:sz="0" w:space="0" w:color="auto"/>
              <w:bottom w:val="none" w:sz="0" w:space="0" w:color="auto"/>
              <w:right w:val="none" w:sz="0" w:space="0" w:color="auto"/>
            </w:tcBorders>
            <w:shd w:val="clear" w:color="auto" w:fill="448A99"/>
            <w:vAlign w:val="center"/>
            <w:hideMark/>
          </w:tcPr>
          <w:p w:rsidR="007E397A" w:rsidRPr="00F52C68" w:rsidRDefault="007E397A" w:rsidP="007257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F52C68">
              <w:rPr>
                <w:rFonts w:ascii="Calibri" w:eastAsia="Times New Roman" w:hAnsi="Calibri" w:cs="Calibri"/>
                <w:bCs w:val="0"/>
                <w:color w:val="FFFFFF"/>
                <w:sz w:val="20"/>
                <w:szCs w:val="20"/>
              </w:rPr>
              <w:t>Average Annual Impact (MW)</w:t>
            </w:r>
          </w:p>
        </w:tc>
        <w:tc>
          <w:tcPr>
            <w:tcW w:w="1187" w:type="dxa"/>
            <w:tcBorders>
              <w:top w:val="none" w:sz="0" w:space="0" w:color="auto"/>
              <w:left w:val="none" w:sz="0" w:space="0" w:color="auto"/>
              <w:bottom w:val="none" w:sz="0" w:space="0" w:color="auto"/>
              <w:right w:val="none" w:sz="0" w:space="0" w:color="auto"/>
            </w:tcBorders>
            <w:shd w:val="clear" w:color="auto" w:fill="448A99"/>
            <w:vAlign w:val="center"/>
          </w:tcPr>
          <w:p w:rsidR="007E397A" w:rsidRPr="00F52C68" w:rsidRDefault="007E397A" w:rsidP="007257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F52C68">
              <w:rPr>
                <w:rFonts w:ascii="Calibri" w:eastAsia="Times New Roman" w:hAnsi="Calibri" w:cs="Calibri"/>
                <w:bCs w:val="0"/>
                <w:color w:val="FFFFFF"/>
                <w:sz w:val="20"/>
                <w:szCs w:val="20"/>
              </w:rPr>
              <w:t>Lifetime TRC Ratio</w:t>
            </w:r>
          </w:p>
        </w:tc>
      </w:tr>
      <w:tr w:rsidR="00913402"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913402" w:rsidP="00A83ABC">
            <w:pPr>
              <w:jc w:val="left"/>
              <w:rPr>
                <w:b w:val="0"/>
                <w:sz w:val="20"/>
                <w:szCs w:val="20"/>
              </w:rPr>
            </w:pPr>
            <w:r w:rsidRPr="00F52C68">
              <w:rPr>
                <w:b w:val="0"/>
                <w:sz w:val="20"/>
                <w:szCs w:val="20"/>
              </w:rPr>
              <w:t>Duquesne</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10,529</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471</w:t>
            </w:r>
          </w:p>
        </w:tc>
        <w:tc>
          <w:tcPr>
            <w:tcW w:w="1187"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829</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0.56</w:t>
            </w:r>
          </w:p>
        </w:tc>
        <w:tc>
          <w:tcPr>
            <w:tcW w:w="1187" w:type="dxa"/>
            <w:tcBorders>
              <w:lef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0.76</w:t>
            </w:r>
          </w:p>
        </w:tc>
      </w:tr>
      <w:tr w:rsidR="00913402"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913402" w:rsidP="00A83ABC">
            <w:pPr>
              <w:jc w:val="left"/>
              <w:rPr>
                <w:b w:val="0"/>
                <w:sz w:val="20"/>
                <w:szCs w:val="20"/>
              </w:rPr>
            </w:pPr>
            <w:r w:rsidRPr="00F52C68">
              <w:rPr>
                <w:b w:val="0"/>
                <w:sz w:val="20"/>
                <w:szCs w:val="20"/>
              </w:rPr>
              <w:t>FE: Met-Ed</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7,128</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325</w:t>
            </w:r>
          </w:p>
        </w:tc>
        <w:tc>
          <w:tcPr>
            <w:tcW w:w="1187"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754</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0.52</w:t>
            </w:r>
          </w:p>
        </w:tc>
        <w:tc>
          <w:tcPr>
            <w:tcW w:w="1187" w:type="dxa"/>
            <w:tcBorders>
              <w:lef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0.83</w:t>
            </w:r>
          </w:p>
        </w:tc>
      </w:tr>
      <w:tr w:rsidR="00913402"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913402" w:rsidP="00A83ABC">
            <w:pPr>
              <w:jc w:val="left"/>
              <w:rPr>
                <w:b w:val="0"/>
                <w:sz w:val="20"/>
                <w:szCs w:val="20"/>
              </w:rPr>
            </w:pPr>
            <w:r w:rsidRPr="00F52C68">
              <w:rPr>
                <w:b w:val="0"/>
                <w:sz w:val="20"/>
                <w:szCs w:val="20"/>
              </w:rPr>
              <w:t>FE: Penelec</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7,120</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321</w:t>
            </w:r>
          </w:p>
        </w:tc>
        <w:tc>
          <w:tcPr>
            <w:tcW w:w="1187"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680</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0.47</w:t>
            </w:r>
          </w:p>
        </w:tc>
        <w:tc>
          <w:tcPr>
            <w:tcW w:w="1187" w:type="dxa"/>
            <w:tcBorders>
              <w:lef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0.77</w:t>
            </w:r>
          </w:p>
        </w:tc>
      </w:tr>
      <w:tr w:rsidR="00913402"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913402" w:rsidP="00A83ABC">
            <w:pPr>
              <w:jc w:val="left"/>
              <w:rPr>
                <w:b w:val="0"/>
                <w:sz w:val="20"/>
                <w:szCs w:val="20"/>
              </w:rPr>
            </w:pPr>
            <w:r w:rsidRPr="00F52C68">
              <w:rPr>
                <w:b w:val="0"/>
                <w:sz w:val="20"/>
                <w:szCs w:val="20"/>
              </w:rPr>
              <w:t>FE: Penn Power</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2,446</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113</w:t>
            </w:r>
          </w:p>
        </w:tc>
        <w:tc>
          <w:tcPr>
            <w:tcW w:w="1187"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258</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0.17</w:t>
            </w:r>
          </w:p>
        </w:tc>
        <w:tc>
          <w:tcPr>
            <w:tcW w:w="1187" w:type="dxa"/>
            <w:tcBorders>
              <w:lef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0.45</w:t>
            </w:r>
          </w:p>
        </w:tc>
      </w:tr>
      <w:tr w:rsidR="00913402"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E27E1A" w:rsidP="00A83ABC">
            <w:pPr>
              <w:jc w:val="left"/>
              <w:rPr>
                <w:b w:val="0"/>
                <w:sz w:val="20"/>
                <w:szCs w:val="20"/>
              </w:rPr>
            </w:pPr>
            <w:r>
              <w:rPr>
                <w:b w:val="0"/>
                <w:sz w:val="20"/>
                <w:szCs w:val="20"/>
              </w:rPr>
              <w:t>FE: West Penn</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9,492</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438</w:t>
            </w:r>
          </w:p>
        </w:tc>
        <w:tc>
          <w:tcPr>
            <w:tcW w:w="1187"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921</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0.64</w:t>
            </w:r>
          </w:p>
        </w:tc>
        <w:tc>
          <w:tcPr>
            <w:tcW w:w="1187" w:type="dxa"/>
            <w:tcBorders>
              <w:lef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0.85</w:t>
            </w:r>
          </w:p>
        </w:tc>
      </w:tr>
      <w:tr w:rsidR="00913402"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913402" w:rsidP="00A83ABC">
            <w:pPr>
              <w:jc w:val="left"/>
              <w:rPr>
                <w:b w:val="0"/>
                <w:sz w:val="20"/>
                <w:szCs w:val="20"/>
              </w:rPr>
            </w:pPr>
            <w:r w:rsidRPr="00F52C68">
              <w:rPr>
                <w:b w:val="0"/>
                <w:sz w:val="20"/>
                <w:szCs w:val="20"/>
              </w:rPr>
              <w:t>PECO</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35,880</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3,262</w:t>
            </w:r>
          </w:p>
        </w:tc>
        <w:tc>
          <w:tcPr>
            <w:tcW w:w="1187"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6,099</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5.73</w:t>
            </w:r>
          </w:p>
        </w:tc>
        <w:tc>
          <w:tcPr>
            <w:tcW w:w="1187" w:type="dxa"/>
            <w:tcBorders>
              <w:lef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1.41</w:t>
            </w:r>
          </w:p>
        </w:tc>
      </w:tr>
      <w:tr w:rsidR="00913402"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913402" w:rsidP="00A83ABC">
            <w:pPr>
              <w:jc w:val="left"/>
              <w:rPr>
                <w:b w:val="0"/>
                <w:sz w:val="20"/>
                <w:szCs w:val="20"/>
              </w:rPr>
            </w:pPr>
            <w:r w:rsidRPr="00F52C68">
              <w:rPr>
                <w:b w:val="0"/>
                <w:sz w:val="20"/>
                <w:szCs w:val="20"/>
              </w:rPr>
              <w:t>PPL</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39,735</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1,833</w:t>
            </w:r>
          </w:p>
        </w:tc>
        <w:tc>
          <w:tcPr>
            <w:tcW w:w="1187"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3,088</w:t>
            </w:r>
          </w:p>
        </w:tc>
        <w:tc>
          <w:tcPr>
            <w:tcW w:w="1186" w:type="dxa"/>
            <w:tcBorders>
              <w:left w:val="none" w:sz="0" w:space="0" w:color="auto"/>
              <w:righ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2.14</w:t>
            </w:r>
          </w:p>
        </w:tc>
        <w:tc>
          <w:tcPr>
            <w:tcW w:w="1187" w:type="dxa"/>
            <w:tcBorders>
              <w:left w:val="none" w:sz="0" w:space="0" w:color="auto"/>
            </w:tcBorders>
          </w:tcPr>
          <w:p w:rsidR="00913402" w:rsidRPr="00F52C68" w:rsidRDefault="0091340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52C68">
              <w:rPr>
                <w:rFonts w:ascii="Calibri" w:eastAsia="Times New Roman" w:hAnsi="Calibri" w:cs="Calibri"/>
                <w:color w:val="000000"/>
                <w:sz w:val="20"/>
                <w:szCs w:val="20"/>
              </w:rPr>
              <w:t>0.72</w:t>
            </w:r>
          </w:p>
        </w:tc>
      </w:tr>
      <w:tr w:rsidR="00913402"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rsidR="00913402" w:rsidRPr="00F52C68" w:rsidRDefault="00913402" w:rsidP="00A83ABC">
            <w:pPr>
              <w:jc w:val="left"/>
              <w:rPr>
                <w:sz w:val="20"/>
                <w:szCs w:val="20"/>
              </w:rPr>
            </w:pPr>
            <w:r w:rsidRPr="00F52C68">
              <w:rPr>
                <w:sz w:val="20"/>
                <w:szCs w:val="20"/>
              </w:rPr>
              <w:t>Statewide</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F52C68">
              <w:rPr>
                <w:rFonts w:ascii="Calibri" w:eastAsia="Times New Roman" w:hAnsi="Calibri" w:cs="Calibri"/>
                <w:b/>
                <w:color w:val="000000"/>
                <w:sz w:val="20"/>
                <w:szCs w:val="20"/>
              </w:rPr>
              <w:t>112,330</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F52C68">
              <w:rPr>
                <w:rFonts w:ascii="Calibri" w:eastAsia="Times New Roman" w:hAnsi="Calibri" w:cs="Calibri"/>
                <w:b/>
                <w:color w:val="000000"/>
                <w:sz w:val="20"/>
                <w:szCs w:val="20"/>
              </w:rPr>
              <w:t>6,763</w:t>
            </w:r>
          </w:p>
        </w:tc>
        <w:tc>
          <w:tcPr>
            <w:tcW w:w="1187"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F52C68">
              <w:rPr>
                <w:rFonts w:ascii="Calibri" w:eastAsia="Times New Roman" w:hAnsi="Calibri" w:cs="Calibri"/>
                <w:b/>
                <w:color w:val="000000"/>
                <w:sz w:val="20"/>
                <w:szCs w:val="20"/>
              </w:rPr>
              <w:t>12,629</w:t>
            </w:r>
          </w:p>
        </w:tc>
        <w:tc>
          <w:tcPr>
            <w:tcW w:w="1186" w:type="dxa"/>
            <w:tcBorders>
              <w:left w:val="none" w:sz="0" w:space="0" w:color="auto"/>
              <w:righ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F52C68">
              <w:rPr>
                <w:rFonts w:ascii="Calibri" w:eastAsia="Times New Roman" w:hAnsi="Calibri" w:cs="Calibri"/>
                <w:b/>
                <w:color w:val="000000"/>
                <w:sz w:val="20"/>
                <w:szCs w:val="20"/>
              </w:rPr>
              <w:t>10.23</w:t>
            </w:r>
          </w:p>
        </w:tc>
        <w:tc>
          <w:tcPr>
            <w:tcW w:w="1187" w:type="dxa"/>
            <w:tcBorders>
              <w:left w:val="none" w:sz="0" w:space="0" w:color="auto"/>
            </w:tcBorders>
          </w:tcPr>
          <w:p w:rsidR="00913402" w:rsidRPr="00F52C68" w:rsidRDefault="0091340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F52C68">
              <w:rPr>
                <w:rFonts w:ascii="Calibri" w:eastAsia="Times New Roman" w:hAnsi="Calibri" w:cs="Calibri"/>
                <w:b/>
                <w:color w:val="000000"/>
                <w:sz w:val="20"/>
                <w:szCs w:val="20"/>
              </w:rPr>
              <w:t>0.97</w:t>
            </w:r>
          </w:p>
        </w:tc>
      </w:tr>
    </w:tbl>
    <w:p w:rsidR="007E397A" w:rsidRPr="007959FC" w:rsidRDefault="007E397A" w:rsidP="00A83ABC"/>
    <w:p w:rsidR="00913402" w:rsidRDefault="00913402" w:rsidP="00A83ABC">
      <w:pPr>
        <w:pStyle w:val="Heading2"/>
      </w:pPr>
      <w:bookmarkStart w:id="28" w:name="_Toc407808669"/>
      <w:bookmarkStart w:id="29" w:name="_Toc412628367"/>
      <w:r>
        <w:t>Large Commercial and Industrial</w:t>
      </w:r>
      <w:bookmarkEnd w:id="28"/>
      <w:bookmarkEnd w:id="29"/>
    </w:p>
    <w:p w:rsidR="007E397A" w:rsidRDefault="005D08F6" w:rsidP="00A83ABC">
      <w:r>
        <w:t xml:space="preserve">Customer accounts with a </w:t>
      </w:r>
      <w:r w:rsidR="00A60793">
        <w:t>PLC</w:t>
      </w:r>
      <w:r>
        <w:t xml:space="preserve"> greater than 75 kW were assigned to a hypothetical C&amp;I program. In addition to accounting for a large share of EDC peak loads, program data from Phase I of Act 129 and DR program across North America indicate that these customers represent a large share of </w:t>
      </w:r>
      <w:r w:rsidR="000F4A74">
        <w:t>DR</w:t>
      </w:r>
      <w:r>
        <w:t xml:space="preserve"> potential which can be aggregated for incentive payments alone. Unlike </w:t>
      </w:r>
      <w:r w:rsidR="008D678D">
        <w:t>DLC</w:t>
      </w:r>
      <w:r>
        <w:t xml:space="preserve"> programs, EDCs do not need to incur any capital or labor costs from the installation of equipment to capture load reductions from these customers. Our estimates of </w:t>
      </w:r>
      <w:r w:rsidR="000F4A74">
        <w:t>DR</w:t>
      </w:r>
      <w:r>
        <w:t xml:space="preserve"> potential for C&amp;I load curtailment in Phase III are based on the sensitivity of </w:t>
      </w:r>
      <w:r w:rsidR="000F4A74">
        <w:t>DR</w:t>
      </w:r>
      <w:r>
        <w:t xml:space="preserve"> participants (EDC customers) to changes in price. We have developed estimates of </w:t>
      </w:r>
      <w:r w:rsidR="000F4A74">
        <w:t>DR</w:t>
      </w:r>
      <w:r>
        <w:t xml:space="preserve"> price elasticity and applied them to C&amp;I peak loads to determine the change in quantity of DR supplied in response to a range of incentive values.</w:t>
      </w:r>
      <w:r w:rsidR="0099272E">
        <w:t xml:space="preserve"> </w:t>
      </w:r>
      <w:r w:rsidR="0099272E">
        <w:fldChar w:fldCharType="begin"/>
      </w:r>
      <w:r w:rsidR="0099272E">
        <w:instrText xml:space="preserve"> REF _Ref407782729 \h </w:instrText>
      </w:r>
      <w:r w:rsidR="0099272E">
        <w:fldChar w:fldCharType="separate"/>
      </w:r>
      <w:r w:rsidR="00803DBE">
        <w:t xml:space="preserve">Figure </w:t>
      </w:r>
      <w:r w:rsidR="00803DBE">
        <w:rPr>
          <w:noProof/>
        </w:rPr>
        <w:t>1</w:t>
      </w:r>
      <w:r w:rsidR="00803DBE">
        <w:noBreakHyphen/>
      </w:r>
      <w:r w:rsidR="00803DBE">
        <w:rPr>
          <w:noProof/>
        </w:rPr>
        <w:t>1</w:t>
      </w:r>
      <w:r w:rsidR="0099272E">
        <w:fldChar w:fldCharType="end"/>
      </w:r>
      <w:r w:rsidR="0099272E">
        <w:t xml:space="preserve"> illustrates the relationship between DR potential and incentive payments graphically for a hypothetical PECO program with day-ahead notification of event calls.</w:t>
      </w:r>
    </w:p>
    <w:p w:rsidR="00E7632F" w:rsidRDefault="00E7632F" w:rsidP="00A83ABC"/>
    <w:p w:rsidR="007E397A" w:rsidRDefault="007E397A" w:rsidP="00A83ABC">
      <w:pPr>
        <w:pStyle w:val="Caption"/>
        <w:keepNext/>
      </w:pPr>
      <w:bookmarkStart w:id="30" w:name="_Ref407782729"/>
      <w:bookmarkStart w:id="31" w:name="_Toc412628501"/>
      <w:r>
        <w:t xml:space="preserve">Figure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1</w:t>
      </w:r>
      <w:r w:rsidR="00E2011B">
        <w:rPr>
          <w:noProof/>
        </w:rPr>
        <w:fldChar w:fldCharType="end"/>
      </w:r>
      <w:bookmarkEnd w:id="30"/>
      <w:r w:rsidR="007B643C">
        <w:t xml:space="preserve">: </w:t>
      </w:r>
      <w:r w:rsidR="0099272E">
        <w:t>PECO Day</w:t>
      </w:r>
      <w:r w:rsidR="00123C18">
        <w:t>-</w:t>
      </w:r>
      <w:r w:rsidR="007B643C">
        <w:t xml:space="preserve">Ahead </w:t>
      </w:r>
      <w:r w:rsidR="0099272E">
        <w:t>DR Potential by Customer Segment as a Function of Incentive Payment</w:t>
      </w:r>
      <w:bookmarkEnd w:id="31"/>
    </w:p>
    <w:p w:rsidR="007E397A" w:rsidRPr="00D27EBB" w:rsidRDefault="007B643C" w:rsidP="00A83ABC">
      <w:r>
        <w:rPr>
          <w:noProof/>
        </w:rPr>
        <w:drawing>
          <wp:inline distT="0" distB="0" distL="0" distR="0" wp14:anchorId="4CD9B473" wp14:editId="56EC6E9A">
            <wp:extent cx="5403360" cy="2725947"/>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47" t="3192" r="3192" b="2019"/>
                    <a:stretch/>
                  </pic:blipFill>
                  <pic:spPr bwMode="auto">
                    <a:xfrm>
                      <a:off x="0" y="0"/>
                      <a:ext cx="5422852" cy="2735780"/>
                    </a:xfrm>
                    <a:prstGeom prst="rect">
                      <a:avLst/>
                    </a:prstGeom>
                    <a:noFill/>
                    <a:ln>
                      <a:noFill/>
                    </a:ln>
                    <a:extLst>
                      <a:ext uri="{53640926-AAD7-44D8-BBD7-CCE9431645EC}">
                        <a14:shadowObscured xmlns:a14="http://schemas.microsoft.com/office/drawing/2010/main"/>
                      </a:ext>
                    </a:extLst>
                  </pic:spPr>
                </pic:pic>
              </a:graphicData>
            </a:graphic>
          </wp:inline>
        </w:drawing>
      </w:r>
    </w:p>
    <w:p w:rsidR="00861A7C" w:rsidRDefault="00861A7C" w:rsidP="00A83ABC"/>
    <w:p w:rsidR="007E397A" w:rsidRDefault="009759BA" w:rsidP="00A83ABC">
      <w:r>
        <w:lastRenderedPageBreak/>
        <w:t xml:space="preserve">The SWE </w:t>
      </w:r>
      <w:r w:rsidR="00D15F89">
        <w:t xml:space="preserve">Team </w:t>
      </w:r>
      <w:r>
        <w:t xml:space="preserve">modeled three notification types, or “products”: day-ahead, day-of, and fast response. </w:t>
      </w:r>
      <w:r w:rsidR="00037A03">
        <w:t>DR</w:t>
      </w:r>
      <w:r>
        <w:t xml:space="preserve"> potential increases with the amount of notification and preparation time participants are afforded. The average annual </w:t>
      </w:r>
      <w:r w:rsidR="00037A03">
        <w:t>DR</w:t>
      </w:r>
      <w:r>
        <w:t xml:space="preserve"> potential estimates, by EDC, for each product are presented in</w:t>
      </w:r>
      <w:r w:rsidR="00E7632F">
        <w:t xml:space="preserve"> </w:t>
      </w:r>
      <w:r w:rsidR="00E7632F">
        <w:fldChar w:fldCharType="begin"/>
      </w:r>
      <w:r w:rsidR="00E7632F">
        <w:instrText xml:space="preserve"> REF _Ref408853505 \h </w:instrText>
      </w:r>
      <w:r w:rsidR="00E7632F">
        <w:fldChar w:fldCharType="separate"/>
      </w:r>
      <w:r w:rsidR="00803DBE">
        <w:t xml:space="preserve">Table </w:t>
      </w:r>
      <w:r w:rsidR="00803DBE">
        <w:rPr>
          <w:noProof/>
        </w:rPr>
        <w:t>1</w:t>
      </w:r>
      <w:r w:rsidR="00803DBE">
        <w:noBreakHyphen/>
      </w:r>
      <w:r w:rsidR="00803DBE">
        <w:rPr>
          <w:noProof/>
        </w:rPr>
        <w:t>8</w:t>
      </w:r>
      <w:r w:rsidR="00E7632F">
        <w:fldChar w:fldCharType="end"/>
      </w:r>
      <w:r>
        <w:t>.</w:t>
      </w:r>
    </w:p>
    <w:p w:rsidR="00861A7C" w:rsidRPr="00911C18" w:rsidRDefault="00861A7C" w:rsidP="00A83ABC">
      <w:bookmarkStart w:id="32" w:name="_Ref407783769"/>
    </w:p>
    <w:p w:rsidR="009759BA" w:rsidRDefault="009759BA" w:rsidP="00A83ABC">
      <w:pPr>
        <w:pStyle w:val="Caption"/>
        <w:keepNext/>
      </w:pPr>
      <w:bookmarkStart w:id="33" w:name="_Ref408853505"/>
      <w:bookmarkStart w:id="34" w:name="_Toc412628442"/>
      <w:r>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8</w:t>
      </w:r>
      <w:r w:rsidR="00E2011B">
        <w:rPr>
          <w:noProof/>
        </w:rPr>
        <w:fldChar w:fldCharType="end"/>
      </w:r>
      <w:bookmarkEnd w:id="32"/>
      <w:bookmarkEnd w:id="33"/>
      <w:r>
        <w:t xml:space="preserve">: </w:t>
      </w:r>
      <w:r w:rsidRPr="009370BC">
        <w:t>Achievable Potential Estimates by EDC and DR Product Type (MW/year)</w:t>
      </w:r>
      <w:bookmarkEnd w:id="34"/>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800"/>
        <w:gridCol w:w="1710"/>
        <w:gridCol w:w="1710"/>
        <w:gridCol w:w="1890"/>
      </w:tblGrid>
      <w:tr w:rsidR="009759BA" w:rsidRPr="00F52C68" w:rsidTr="00D85C97">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shd w:val="clear" w:color="auto" w:fill="448A99"/>
            <w:vAlign w:val="bottom"/>
          </w:tcPr>
          <w:p w:rsidR="009759BA" w:rsidRPr="00F52C68" w:rsidRDefault="009759BA" w:rsidP="00A83ABC">
            <w:pPr>
              <w:rPr>
                <w:sz w:val="20"/>
              </w:rPr>
            </w:pPr>
            <w:r w:rsidRPr="00F52C68">
              <w:rPr>
                <w:sz w:val="20"/>
              </w:rPr>
              <w:t>EDC</w:t>
            </w:r>
          </w:p>
        </w:tc>
        <w:tc>
          <w:tcPr>
            <w:tcW w:w="1710" w:type="dxa"/>
            <w:tcBorders>
              <w:top w:val="none" w:sz="0" w:space="0" w:color="auto"/>
              <w:left w:val="none" w:sz="0" w:space="0" w:color="auto"/>
              <w:bottom w:val="none" w:sz="0" w:space="0" w:color="auto"/>
              <w:right w:val="none" w:sz="0" w:space="0" w:color="auto"/>
            </w:tcBorders>
            <w:shd w:val="clear" w:color="auto" w:fill="448A99"/>
            <w:vAlign w:val="bottom"/>
          </w:tcPr>
          <w:p w:rsidR="009759BA" w:rsidRPr="00F52C68" w:rsidRDefault="009759BA"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F52C68">
              <w:rPr>
                <w:sz w:val="20"/>
              </w:rPr>
              <w:t>Day</w:t>
            </w:r>
            <w:r w:rsidR="00123C18">
              <w:rPr>
                <w:sz w:val="20"/>
              </w:rPr>
              <w:t>-</w:t>
            </w:r>
            <w:r w:rsidRPr="00F52C68">
              <w:rPr>
                <w:sz w:val="20"/>
              </w:rPr>
              <w:t>Ahead</w:t>
            </w:r>
          </w:p>
        </w:tc>
        <w:tc>
          <w:tcPr>
            <w:tcW w:w="1710" w:type="dxa"/>
            <w:tcBorders>
              <w:top w:val="none" w:sz="0" w:space="0" w:color="auto"/>
              <w:left w:val="none" w:sz="0" w:space="0" w:color="auto"/>
              <w:bottom w:val="none" w:sz="0" w:space="0" w:color="auto"/>
              <w:right w:val="none" w:sz="0" w:space="0" w:color="auto"/>
            </w:tcBorders>
            <w:shd w:val="clear" w:color="auto" w:fill="448A99"/>
            <w:vAlign w:val="bottom"/>
          </w:tcPr>
          <w:p w:rsidR="009759BA" w:rsidRPr="00F52C68" w:rsidRDefault="009759BA"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F52C68">
              <w:rPr>
                <w:sz w:val="20"/>
              </w:rPr>
              <w:t>Day-Of</w:t>
            </w:r>
          </w:p>
        </w:tc>
        <w:tc>
          <w:tcPr>
            <w:tcW w:w="1890" w:type="dxa"/>
            <w:tcBorders>
              <w:top w:val="none" w:sz="0" w:space="0" w:color="auto"/>
              <w:left w:val="none" w:sz="0" w:space="0" w:color="auto"/>
              <w:bottom w:val="none" w:sz="0" w:space="0" w:color="auto"/>
              <w:right w:val="none" w:sz="0" w:space="0" w:color="auto"/>
            </w:tcBorders>
            <w:shd w:val="clear" w:color="auto" w:fill="448A99"/>
            <w:vAlign w:val="bottom"/>
          </w:tcPr>
          <w:p w:rsidR="009759BA" w:rsidRPr="00F52C68" w:rsidRDefault="009759BA"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F52C68">
              <w:rPr>
                <w:sz w:val="20"/>
              </w:rPr>
              <w:t>Fast Response</w:t>
            </w:r>
          </w:p>
        </w:tc>
      </w:tr>
      <w:tr w:rsidR="00D15F89"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b w:val="0"/>
                <w:sz w:val="20"/>
              </w:rPr>
            </w:pPr>
            <w:r w:rsidRPr="00F52C68">
              <w:rPr>
                <w:b w:val="0"/>
                <w:sz w:val="20"/>
              </w:rPr>
              <w:t>Duquesne</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426</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201</w:t>
            </w:r>
          </w:p>
        </w:tc>
        <w:tc>
          <w:tcPr>
            <w:tcW w:w="1890" w:type="dxa"/>
            <w:tcBorders>
              <w:lef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67</w:t>
            </w:r>
          </w:p>
        </w:tc>
      </w:tr>
      <w:tr w:rsidR="00D15F89"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b w:val="0"/>
                <w:sz w:val="20"/>
              </w:rPr>
            </w:pPr>
            <w:r w:rsidRPr="00F52C68">
              <w:rPr>
                <w:b w:val="0"/>
                <w:sz w:val="20"/>
              </w:rPr>
              <w:t>FE: Met-Ed</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265</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126</w:t>
            </w:r>
          </w:p>
        </w:tc>
        <w:tc>
          <w:tcPr>
            <w:tcW w:w="1890" w:type="dxa"/>
            <w:tcBorders>
              <w:lef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40</w:t>
            </w:r>
          </w:p>
        </w:tc>
      </w:tr>
      <w:tr w:rsidR="00D15F89"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b w:val="0"/>
                <w:sz w:val="20"/>
              </w:rPr>
            </w:pPr>
            <w:r w:rsidRPr="00F52C68">
              <w:rPr>
                <w:b w:val="0"/>
                <w:sz w:val="20"/>
              </w:rPr>
              <w:t>FE: Penelec</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261</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123</w:t>
            </w:r>
          </w:p>
        </w:tc>
        <w:tc>
          <w:tcPr>
            <w:tcW w:w="1890" w:type="dxa"/>
            <w:tcBorders>
              <w:lef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41</w:t>
            </w:r>
          </w:p>
        </w:tc>
      </w:tr>
      <w:tr w:rsidR="00D15F89"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b w:val="0"/>
                <w:sz w:val="20"/>
              </w:rPr>
            </w:pPr>
            <w:r w:rsidRPr="00F52C68">
              <w:rPr>
                <w:b w:val="0"/>
                <w:sz w:val="20"/>
              </w:rPr>
              <w:t>FE: Penn Power</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122</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58</w:t>
            </w:r>
          </w:p>
        </w:tc>
        <w:tc>
          <w:tcPr>
            <w:tcW w:w="1890" w:type="dxa"/>
            <w:tcBorders>
              <w:lef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20</w:t>
            </w:r>
          </w:p>
        </w:tc>
      </w:tr>
      <w:tr w:rsidR="00D15F89"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b w:val="0"/>
                <w:sz w:val="20"/>
              </w:rPr>
            </w:pPr>
            <w:r w:rsidRPr="00F52C68">
              <w:rPr>
                <w:b w:val="0"/>
                <w:sz w:val="20"/>
              </w:rPr>
              <w:t>FE: West Penn</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498</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231</w:t>
            </w:r>
          </w:p>
        </w:tc>
        <w:tc>
          <w:tcPr>
            <w:tcW w:w="1890" w:type="dxa"/>
            <w:tcBorders>
              <w:lef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80</w:t>
            </w:r>
          </w:p>
        </w:tc>
      </w:tr>
      <w:tr w:rsidR="00D15F89"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b w:val="0"/>
                <w:sz w:val="20"/>
              </w:rPr>
            </w:pPr>
            <w:r w:rsidRPr="00F52C68">
              <w:rPr>
                <w:b w:val="0"/>
                <w:sz w:val="20"/>
              </w:rPr>
              <w:t>PECO</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912</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428</w:t>
            </w:r>
          </w:p>
        </w:tc>
        <w:tc>
          <w:tcPr>
            <w:tcW w:w="1890" w:type="dxa"/>
            <w:tcBorders>
              <w:lef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F52C68">
              <w:rPr>
                <w:sz w:val="20"/>
              </w:rPr>
              <w:t>168</w:t>
            </w:r>
          </w:p>
        </w:tc>
      </w:tr>
      <w:tr w:rsidR="00D15F89"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b w:val="0"/>
                <w:sz w:val="20"/>
              </w:rPr>
            </w:pPr>
            <w:r w:rsidRPr="00F52C68">
              <w:rPr>
                <w:b w:val="0"/>
                <w:sz w:val="20"/>
              </w:rPr>
              <w:t>PPL</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732</w:t>
            </w:r>
          </w:p>
        </w:tc>
        <w:tc>
          <w:tcPr>
            <w:tcW w:w="1710" w:type="dxa"/>
            <w:tcBorders>
              <w:left w:val="none" w:sz="0" w:space="0" w:color="auto"/>
              <w:righ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386</w:t>
            </w:r>
          </w:p>
        </w:tc>
        <w:tc>
          <w:tcPr>
            <w:tcW w:w="1890" w:type="dxa"/>
            <w:tcBorders>
              <w:left w:val="none" w:sz="0" w:space="0" w:color="auto"/>
            </w:tcBorders>
          </w:tcPr>
          <w:p w:rsidR="00D15F89" w:rsidRPr="00F52C68" w:rsidRDefault="00D15F89"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F52C68">
              <w:rPr>
                <w:sz w:val="20"/>
              </w:rPr>
              <w:t>115</w:t>
            </w:r>
          </w:p>
        </w:tc>
      </w:tr>
      <w:tr w:rsidR="00D15F89"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15F89" w:rsidRPr="00F52C68" w:rsidRDefault="00D15F89" w:rsidP="00A83ABC">
            <w:pPr>
              <w:rPr>
                <w:sz w:val="20"/>
              </w:rPr>
            </w:pPr>
            <w:r w:rsidRPr="00F52C68">
              <w:rPr>
                <w:sz w:val="20"/>
              </w:rPr>
              <w:t>Statewide</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b/>
                <w:sz w:val="20"/>
              </w:rPr>
            </w:pPr>
            <w:r w:rsidRPr="00F52C68">
              <w:rPr>
                <w:b/>
                <w:sz w:val="20"/>
              </w:rPr>
              <w:t>3,216</w:t>
            </w:r>
          </w:p>
        </w:tc>
        <w:tc>
          <w:tcPr>
            <w:tcW w:w="1710" w:type="dxa"/>
            <w:tcBorders>
              <w:left w:val="none" w:sz="0" w:space="0" w:color="auto"/>
              <w:righ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b/>
                <w:sz w:val="20"/>
              </w:rPr>
            </w:pPr>
            <w:r w:rsidRPr="00F52C68">
              <w:rPr>
                <w:b/>
                <w:sz w:val="20"/>
              </w:rPr>
              <w:t>1,552</w:t>
            </w:r>
          </w:p>
        </w:tc>
        <w:tc>
          <w:tcPr>
            <w:tcW w:w="1890" w:type="dxa"/>
            <w:tcBorders>
              <w:left w:val="none" w:sz="0" w:space="0" w:color="auto"/>
            </w:tcBorders>
          </w:tcPr>
          <w:p w:rsidR="00D15F89" w:rsidRPr="00F52C68" w:rsidRDefault="00D15F89" w:rsidP="00A83ABC">
            <w:pPr>
              <w:jc w:val="center"/>
              <w:cnfStyle w:val="000000010000" w:firstRow="0" w:lastRow="0" w:firstColumn="0" w:lastColumn="0" w:oddVBand="0" w:evenVBand="0" w:oddHBand="0" w:evenHBand="1" w:firstRowFirstColumn="0" w:firstRowLastColumn="0" w:lastRowFirstColumn="0" w:lastRowLastColumn="0"/>
              <w:rPr>
                <w:b/>
                <w:sz w:val="20"/>
              </w:rPr>
            </w:pPr>
            <w:r w:rsidRPr="00F52C68">
              <w:rPr>
                <w:b/>
                <w:sz w:val="20"/>
              </w:rPr>
              <w:t>532</w:t>
            </w:r>
          </w:p>
        </w:tc>
      </w:tr>
    </w:tbl>
    <w:p w:rsidR="009759BA" w:rsidRDefault="009759BA" w:rsidP="00A83ABC"/>
    <w:p w:rsidR="009759BA" w:rsidRDefault="00D15F89" w:rsidP="00A83ABC">
      <w:pPr>
        <w:spacing w:after="120"/>
      </w:pPr>
      <w:r>
        <w:t xml:space="preserve">The Commission’s Final Order on </w:t>
      </w:r>
      <w:r w:rsidR="00037A03">
        <w:t>DR</w:t>
      </w:r>
      <w:r>
        <w:t xml:space="preserve"> directed the SWE </w:t>
      </w:r>
      <w:r w:rsidR="0045410E">
        <w:t xml:space="preserve">Team </w:t>
      </w:r>
      <w:r>
        <w:t>to “</w:t>
      </w:r>
      <w:r w:rsidRPr="00C5006E">
        <w:rPr>
          <w:i/>
        </w:rPr>
        <w:t xml:space="preserve">disallow dual participation when it performs its LC </w:t>
      </w:r>
      <w:r>
        <w:t>[load curtailment]</w:t>
      </w:r>
      <w:r w:rsidRPr="00D15F89">
        <w:t xml:space="preserve"> </w:t>
      </w:r>
      <w:r w:rsidR="009759BA" w:rsidRPr="00C5006E">
        <w:rPr>
          <w:i/>
        </w:rPr>
        <w:t xml:space="preserve">analysis as part of its </w:t>
      </w:r>
      <w:r w:rsidR="00037A03">
        <w:rPr>
          <w:i/>
        </w:rPr>
        <w:t>DR</w:t>
      </w:r>
      <w:r w:rsidR="009759BA" w:rsidRPr="00C5006E">
        <w:rPr>
          <w:i/>
        </w:rPr>
        <w:t xml:space="preserve"> Potential Study</w:t>
      </w:r>
      <w:r w:rsidR="009759BA">
        <w:t>.”</w:t>
      </w:r>
      <w:r w:rsidR="009759BA">
        <w:rPr>
          <w:rStyle w:val="FootnoteReference"/>
        </w:rPr>
        <w:footnoteReference w:id="24"/>
      </w:r>
      <w:r w:rsidR="009759BA">
        <w:t xml:space="preserve"> This need for mutual exclusivity is contentious as the mechanisms of producing benefits to ratepayers of the Commonwealth differ somewhat between the programs. PJM uses DR to meet the reliability requirement for a given year. The prospective Act 129 program relies on actual</w:t>
      </w:r>
      <w:r>
        <w:t xml:space="preserve"> </w:t>
      </w:r>
      <w:r w:rsidR="00041E64">
        <w:t xml:space="preserve">load reductions in a given year </w:t>
      </w:r>
      <w:r w:rsidR="009759BA">
        <w:t>lowering resource requirement</w:t>
      </w:r>
      <w:r w:rsidR="00DD2C38">
        <w:t>s</w:t>
      </w:r>
      <w:r w:rsidR="009759BA">
        <w:t xml:space="preserve"> in future years. Policy implications aside, this directive adds a layer of complexity to the estimation of Act 129 DR potential for the following reasons:</w:t>
      </w:r>
    </w:p>
    <w:p w:rsidR="009759BA" w:rsidRDefault="009759BA" w:rsidP="00A83ABC">
      <w:pPr>
        <w:pStyle w:val="ListParagraph"/>
        <w:numPr>
          <w:ilvl w:val="0"/>
          <w:numId w:val="14"/>
        </w:numPr>
        <w:spacing w:after="120"/>
        <w:ind w:left="360"/>
        <w:contextualSpacing w:val="0"/>
      </w:pPr>
      <w:r>
        <w:t xml:space="preserve">PJM’s Base Residual Auction </w:t>
      </w:r>
      <w:r w:rsidR="00D749FB">
        <w:t xml:space="preserve">(BRA) </w:t>
      </w:r>
      <w:r>
        <w:t xml:space="preserve">has </w:t>
      </w:r>
      <w:r w:rsidR="00D15F89">
        <w:t>been held for the delivery year</w:t>
      </w:r>
      <w:r>
        <w:t>s coinciding with the first two program years</w:t>
      </w:r>
      <w:r w:rsidR="00E20731">
        <w:t xml:space="preserve"> </w:t>
      </w:r>
      <w:r>
        <w:t xml:space="preserve">of a potential Phase III of Act 129. </w:t>
      </w:r>
    </w:p>
    <w:p w:rsidR="009759BA" w:rsidRPr="00A57907" w:rsidRDefault="009759BA" w:rsidP="00A83ABC">
      <w:pPr>
        <w:pStyle w:val="ListParagraph"/>
        <w:numPr>
          <w:ilvl w:val="0"/>
          <w:numId w:val="14"/>
        </w:numPr>
        <w:spacing w:after="120"/>
        <w:ind w:left="360"/>
        <w:contextualSpacing w:val="0"/>
      </w:pPr>
      <w:r>
        <w:t xml:space="preserve">The </w:t>
      </w:r>
      <w:r w:rsidR="00041E64">
        <w:t xml:space="preserve">current </w:t>
      </w:r>
      <w:r>
        <w:t>volume (MW) of DR commitments by EDC are known for these two delivery years, but the participating accounts supplying the load reductions will not be known by the EDCs until the delivery year in question</w:t>
      </w:r>
      <w:r w:rsidR="00A57907">
        <w:t>.</w:t>
      </w:r>
    </w:p>
    <w:p w:rsidR="009759BA" w:rsidRDefault="009759BA" w:rsidP="00A83ABC">
      <w:pPr>
        <w:pStyle w:val="ListParagraph"/>
        <w:numPr>
          <w:ilvl w:val="0"/>
          <w:numId w:val="14"/>
        </w:numPr>
        <w:spacing w:after="120"/>
        <w:ind w:left="360"/>
        <w:contextualSpacing w:val="0"/>
      </w:pPr>
      <w:r>
        <w:t>Although small</w:t>
      </w:r>
      <w:r w:rsidR="00DD2C38">
        <w:t>,</w:t>
      </w:r>
      <w:r>
        <w:t xml:space="preserve"> relative to the </w:t>
      </w:r>
      <w:r w:rsidR="00DD2C38">
        <w:t>BRA</w:t>
      </w:r>
      <w:r>
        <w:t>, PJM holds incremental capacity auctions prior to the delivery during which additional demand resou</w:t>
      </w:r>
      <w:r w:rsidR="00041E64">
        <w:t>rces may commit load reductions, or committed resources can sell their positions. Historically, incremental auctions have lowered the committed MW from DR in Pennsylvania.</w:t>
      </w:r>
    </w:p>
    <w:p w:rsidR="009759BA" w:rsidRDefault="009759BA" w:rsidP="00A83ABC">
      <w:pPr>
        <w:pStyle w:val="ListParagraph"/>
        <w:numPr>
          <w:ilvl w:val="0"/>
          <w:numId w:val="14"/>
        </w:numPr>
        <w:spacing w:after="120"/>
        <w:ind w:left="360"/>
        <w:contextualSpacing w:val="0"/>
      </w:pPr>
      <w:r>
        <w:t>The BRA for the PJM delivery year corresponding to Act 129 PY10-PY12</w:t>
      </w:r>
      <w:r w:rsidR="0082377B">
        <w:rPr>
          <w:rStyle w:val="FootnoteReference"/>
        </w:rPr>
        <w:footnoteReference w:id="25"/>
      </w:r>
      <w:r>
        <w:t xml:space="preserve"> had not occurred at the time of this study. Consequently, there are not currently any DR commitments in the PJM Emergency program and all load reductions are potentially available for Act 129 DR. However, historic analysis shows that if PJM markets continue to operate in a </w:t>
      </w:r>
      <w:r w:rsidR="00942C46">
        <w:t>“</w:t>
      </w:r>
      <w:r w:rsidR="002143D1">
        <w:t>business-</w:t>
      </w:r>
      <w:r w:rsidR="00795096">
        <w:t>as</w:t>
      </w:r>
      <w:r w:rsidR="00281B7F">
        <w:t>-</w:t>
      </w:r>
      <w:r w:rsidR="00532862">
        <w:t>u</w:t>
      </w:r>
      <w:r w:rsidR="00942C46">
        <w:t xml:space="preserve">sual” </w:t>
      </w:r>
      <w:r>
        <w:t>fashion a large number of MW will be committed by Pennsylvania businesses.</w:t>
      </w:r>
    </w:p>
    <w:p w:rsidR="009759BA" w:rsidRDefault="009759BA" w:rsidP="00A83ABC">
      <w:pPr>
        <w:pStyle w:val="ListParagraph"/>
        <w:numPr>
          <w:ilvl w:val="0"/>
          <w:numId w:val="14"/>
        </w:numPr>
        <w:ind w:left="360"/>
      </w:pPr>
      <w:r>
        <w:t>Ther</w:t>
      </w:r>
      <w:r w:rsidR="00041E64">
        <w:t>e is considerable uncertainty regarding</w:t>
      </w:r>
      <w:r>
        <w:t xml:space="preserve"> what </w:t>
      </w:r>
      <w:r w:rsidR="00037A03">
        <w:t>DR</w:t>
      </w:r>
      <w:r>
        <w:t xml:space="preserve"> in wholesale markets will look like during Phase III of Act 129. The vacation of </w:t>
      </w:r>
      <w:r w:rsidR="00DD2C38" w:rsidRPr="00DD2C38">
        <w:rPr>
          <w:rStyle w:val="Strong"/>
          <w:rFonts w:cs="Arial"/>
          <w:b w:val="0"/>
          <w:szCs w:val="20"/>
          <w:lang w:val="en"/>
        </w:rPr>
        <w:t>Federal Energy Regulatory Commission</w:t>
      </w:r>
      <w:r w:rsidR="00DD2C38" w:rsidRPr="00DD2C38">
        <w:rPr>
          <w:sz w:val="24"/>
        </w:rPr>
        <w:t xml:space="preserve"> </w:t>
      </w:r>
      <w:r w:rsidR="00DD2C38">
        <w:rPr>
          <w:sz w:val="24"/>
        </w:rPr>
        <w:t>(</w:t>
      </w:r>
      <w:r>
        <w:t>FERC</w:t>
      </w:r>
      <w:r w:rsidR="00DD2C38">
        <w:t>)</w:t>
      </w:r>
      <w:r>
        <w:t xml:space="preserve"> Order 745 and subsequent extrapolation of this ruling to forward capacity markets has led to speculation about </w:t>
      </w:r>
      <w:r>
        <w:lastRenderedPageBreak/>
        <w:t>continuing to allow DR participants to act as supply-side resources. PJM’s recent white paper</w:t>
      </w:r>
      <w:r>
        <w:rPr>
          <w:rStyle w:val="FootnoteReference"/>
        </w:rPr>
        <w:footnoteReference w:id="26"/>
      </w:r>
      <w:r>
        <w:t xml:space="preserve"> on the topic speculated “</w:t>
      </w:r>
      <w:r w:rsidRPr="00C5006E">
        <w:rPr>
          <w:i/>
        </w:rPr>
        <w:t>PJM’s markets would not separately compensate demand as a supply-side resource. The economics and incentives in having demand participate would result from avoided costs and obligations. State programs, of course, could offer added incentives to both wholesale and retail market participants.</w:t>
      </w:r>
      <w:r>
        <w:t xml:space="preserve">” </w:t>
      </w:r>
    </w:p>
    <w:p w:rsidR="009759BA" w:rsidRDefault="009759BA" w:rsidP="00A83ABC"/>
    <w:p w:rsidR="00A83ABC" w:rsidRDefault="00942C46" w:rsidP="00A83ABC">
      <w:r>
        <w:t xml:space="preserve">Considering </w:t>
      </w:r>
      <w:r w:rsidR="009759BA">
        <w:t xml:space="preserve">these challenges, the SWE </w:t>
      </w:r>
      <w:r w:rsidR="00D15F89">
        <w:t xml:space="preserve">Team </w:t>
      </w:r>
      <w:r>
        <w:t xml:space="preserve">evaluated </w:t>
      </w:r>
      <w:r w:rsidR="00D4111B">
        <w:t>two approaches</w:t>
      </w:r>
      <w:r w:rsidR="009759BA">
        <w:t xml:space="preserve"> to net </w:t>
      </w:r>
      <w:r w:rsidR="00D749FB">
        <w:t xml:space="preserve">out </w:t>
      </w:r>
      <w:r w:rsidR="009759BA">
        <w:t>potential from cus</w:t>
      </w:r>
      <w:r w:rsidR="00A57907">
        <w:t>tomers enrolled in PJM programs</w:t>
      </w:r>
      <w:r w:rsidR="00D4111B">
        <w:t xml:space="preserve">. </w:t>
      </w:r>
      <w:r w:rsidR="007D0103">
        <w:t xml:space="preserve">The </w:t>
      </w:r>
      <w:r w:rsidR="00FB19BF">
        <w:t>first scenario assumes that PJM markets will exist as they have in previous years and Pennsylvania businesses will continue to participate in a similar fashion.</w:t>
      </w:r>
      <w:r w:rsidR="007D0103">
        <w:t xml:space="preserve"> To present this “business-as-usual” scenario, the SWE Team estimated PJM commitments for all of Phase III using the average DR participation from the 2012/2013, 2013/2014, and 2014/2015 delivery years</w:t>
      </w:r>
      <w:r w:rsidR="007D0103">
        <w:rPr>
          <w:rStyle w:val="FootnoteReference"/>
        </w:rPr>
        <w:footnoteReference w:id="27"/>
      </w:r>
      <w:r w:rsidR="007D0103">
        <w:t xml:space="preserve">. The “Business as Usual” potential for an Act 129 load curtailment program with day-ahead notification net of projected PJM commitments are shown in </w:t>
      </w:r>
      <w:r w:rsidR="007D0103">
        <w:fldChar w:fldCharType="begin"/>
      </w:r>
      <w:r w:rsidR="007D0103">
        <w:instrText xml:space="preserve"> REF _Ref408577393 \h </w:instrText>
      </w:r>
      <w:r w:rsidR="007D0103">
        <w:fldChar w:fldCharType="separate"/>
      </w:r>
      <w:r w:rsidR="00803DBE">
        <w:t xml:space="preserve">Table </w:t>
      </w:r>
      <w:r w:rsidR="00803DBE">
        <w:rPr>
          <w:noProof/>
        </w:rPr>
        <w:t>1</w:t>
      </w:r>
      <w:r w:rsidR="00803DBE">
        <w:noBreakHyphen/>
      </w:r>
      <w:r w:rsidR="00803DBE">
        <w:rPr>
          <w:noProof/>
        </w:rPr>
        <w:t>9</w:t>
      </w:r>
      <w:r w:rsidR="007D0103">
        <w:fldChar w:fldCharType="end"/>
      </w:r>
      <w:r w:rsidR="007D0103">
        <w:t xml:space="preserve"> along with projected TRC ratios. </w:t>
      </w:r>
      <w:r w:rsidR="007D0103" w:rsidRPr="00FF7518">
        <w:t xml:space="preserve">Load curtailment potential in this scenario exists for </w:t>
      </w:r>
      <w:r w:rsidR="007D0103">
        <w:t>all EDCs other than Penelec.</w:t>
      </w:r>
    </w:p>
    <w:p w:rsidR="00A83ABC" w:rsidRDefault="00A83ABC" w:rsidP="00A83ABC"/>
    <w:p w:rsidR="007D0103" w:rsidRDefault="007D0103" w:rsidP="00A83ABC">
      <w:pPr>
        <w:pStyle w:val="Caption"/>
        <w:keepNext/>
      </w:pPr>
      <w:bookmarkStart w:id="35" w:name="_Ref408577393"/>
      <w:bookmarkStart w:id="36" w:name="_Toc412628443"/>
      <w:r>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9</w:t>
      </w:r>
      <w:r w:rsidR="00E2011B">
        <w:rPr>
          <w:noProof/>
        </w:rPr>
        <w:fldChar w:fldCharType="end"/>
      </w:r>
      <w:bookmarkEnd w:id="35"/>
      <w:r>
        <w:t>: Day-Ahead MW Potential Net of Projected PJM Commitments</w:t>
      </w:r>
      <w:bookmarkEnd w:id="36"/>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966"/>
        <w:gridCol w:w="1251"/>
        <w:gridCol w:w="1251"/>
        <w:gridCol w:w="1252"/>
        <w:gridCol w:w="1252"/>
        <w:gridCol w:w="1252"/>
        <w:gridCol w:w="1244"/>
      </w:tblGrid>
      <w:tr w:rsidR="007D0103" w:rsidRPr="00530996" w:rsidTr="007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448A99"/>
            <w:vAlign w:val="center"/>
          </w:tcPr>
          <w:p w:rsidR="007D0103" w:rsidRPr="00530996" w:rsidRDefault="007D0103" w:rsidP="00A83ABC">
            <w:pPr>
              <w:jc w:val="center"/>
              <w:rPr>
                <w:sz w:val="20"/>
                <w:szCs w:val="20"/>
              </w:rPr>
            </w:pPr>
            <w:r w:rsidRPr="00530996">
              <w:rPr>
                <w:sz w:val="20"/>
                <w:szCs w:val="20"/>
              </w:rPr>
              <w:t>EDC</w:t>
            </w:r>
          </w:p>
        </w:tc>
        <w:tc>
          <w:tcPr>
            <w:tcW w:w="1251" w:type="dxa"/>
            <w:tcBorders>
              <w:top w:val="none" w:sz="0" w:space="0" w:color="auto"/>
              <w:left w:val="none" w:sz="0" w:space="0" w:color="auto"/>
              <w:bottom w:val="none" w:sz="0" w:space="0" w:color="auto"/>
              <w:right w:val="none" w:sz="0" w:space="0" w:color="auto"/>
            </w:tcBorders>
            <w:shd w:val="clear" w:color="auto" w:fill="448A99"/>
            <w:vAlign w:val="center"/>
          </w:tcPr>
          <w:p w:rsidR="007D0103"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2016</w:t>
            </w:r>
          </w:p>
          <w:p w:rsidR="007D0103" w:rsidRPr="00530996"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(PY8)</w:t>
            </w:r>
          </w:p>
        </w:tc>
        <w:tc>
          <w:tcPr>
            <w:tcW w:w="1251" w:type="dxa"/>
            <w:tcBorders>
              <w:top w:val="none" w:sz="0" w:space="0" w:color="auto"/>
              <w:left w:val="none" w:sz="0" w:space="0" w:color="auto"/>
              <w:bottom w:val="none" w:sz="0" w:space="0" w:color="auto"/>
              <w:right w:val="none" w:sz="0" w:space="0" w:color="auto"/>
            </w:tcBorders>
            <w:shd w:val="clear" w:color="auto" w:fill="448A99"/>
            <w:vAlign w:val="center"/>
          </w:tcPr>
          <w:p w:rsidR="007D0103"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2017</w:t>
            </w:r>
          </w:p>
          <w:p w:rsidR="007D0103" w:rsidRPr="00530996"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(PY9)</w:t>
            </w:r>
          </w:p>
        </w:tc>
        <w:tc>
          <w:tcPr>
            <w:tcW w:w="1252" w:type="dxa"/>
            <w:tcBorders>
              <w:top w:val="none" w:sz="0" w:space="0" w:color="auto"/>
              <w:left w:val="none" w:sz="0" w:space="0" w:color="auto"/>
              <w:bottom w:val="none" w:sz="0" w:space="0" w:color="auto"/>
              <w:right w:val="none" w:sz="0" w:space="0" w:color="auto"/>
            </w:tcBorders>
            <w:shd w:val="clear" w:color="auto" w:fill="448A99"/>
            <w:vAlign w:val="center"/>
          </w:tcPr>
          <w:p w:rsidR="007D0103"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2018</w:t>
            </w:r>
          </w:p>
          <w:p w:rsidR="007D0103" w:rsidRPr="00530996"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(PY10)</w:t>
            </w:r>
          </w:p>
        </w:tc>
        <w:tc>
          <w:tcPr>
            <w:tcW w:w="1252" w:type="dxa"/>
            <w:tcBorders>
              <w:top w:val="none" w:sz="0" w:space="0" w:color="auto"/>
              <w:left w:val="none" w:sz="0" w:space="0" w:color="auto"/>
              <w:bottom w:val="none" w:sz="0" w:space="0" w:color="auto"/>
              <w:right w:val="none" w:sz="0" w:space="0" w:color="auto"/>
            </w:tcBorders>
            <w:shd w:val="clear" w:color="auto" w:fill="448A99"/>
            <w:vAlign w:val="center"/>
          </w:tcPr>
          <w:p w:rsidR="007D0103"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2019</w:t>
            </w:r>
          </w:p>
          <w:p w:rsidR="007D0103" w:rsidRPr="00530996"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(PY11)</w:t>
            </w:r>
          </w:p>
        </w:tc>
        <w:tc>
          <w:tcPr>
            <w:tcW w:w="1252" w:type="dxa"/>
            <w:tcBorders>
              <w:top w:val="none" w:sz="0" w:space="0" w:color="auto"/>
              <w:left w:val="none" w:sz="0" w:space="0" w:color="auto"/>
              <w:bottom w:val="none" w:sz="0" w:space="0" w:color="auto"/>
              <w:right w:val="none" w:sz="0" w:space="0" w:color="auto"/>
            </w:tcBorders>
            <w:shd w:val="clear" w:color="auto" w:fill="448A99"/>
            <w:vAlign w:val="center"/>
          </w:tcPr>
          <w:p w:rsidR="007D0103"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2020</w:t>
            </w:r>
          </w:p>
          <w:p w:rsidR="007D0103" w:rsidRPr="00530996"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(PY12)</w:t>
            </w:r>
          </w:p>
        </w:tc>
        <w:tc>
          <w:tcPr>
            <w:tcW w:w="1244" w:type="dxa"/>
            <w:tcBorders>
              <w:top w:val="none" w:sz="0" w:space="0" w:color="auto"/>
              <w:left w:val="none" w:sz="0" w:space="0" w:color="auto"/>
              <w:bottom w:val="none" w:sz="0" w:space="0" w:color="auto"/>
              <w:right w:val="none" w:sz="0" w:space="0" w:color="auto"/>
            </w:tcBorders>
            <w:shd w:val="clear" w:color="auto" w:fill="448A99"/>
            <w:vAlign w:val="center"/>
          </w:tcPr>
          <w:p w:rsidR="007D0103"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TRC</w:t>
            </w:r>
          </w:p>
          <w:p w:rsidR="007D0103" w:rsidRPr="00530996" w:rsidRDefault="007D010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Ratio</w:t>
            </w:r>
          </w:p>
        </w:tc>
      </w:tr>
      <w:tr w:rsidR="007D0103" w:rsidRPr="00530996" w:rsidTr="007D010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b w:val="0"/>
                <w:color w:val="000000"/>
                <w:sz w:val="20"/>
                <w:szCs w:val="20"/>
              </w:rPr>
            </w:pPr>
            <w:r w:rsidRPr="0017350E">
              <w:rPr>
                <w:b w:val="0"/>
                <w:color w:val="000000"/>
                <w:sz w:val="20"/>
                <w:szCs w:val="20"/>
              </w:rPr>
              <w:t>Duquesne</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319</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324</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323</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321</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318</w:t>
            </w:r>
          </w:p>
        </w:tc>
        <w:tc>
          <w:tcPr>
            <w:tcW w:w="1244" w:type="dxa"/>
            <w:tcBorders>
              <w:left w:val="none" w:sz="0" w:space="0" w:color="auto"/>
            </w:tcBorders>
            <w:vAlign w:val="center"/>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1.94</w:t>
            </w:r>
          </w:p>
        </w:tc>
      </w:tr>
      <w:tr w:rsidR="007D0103" w:rsidRPr="00530996" w:rsidTr="007D010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b w:val="0"/>
                <w:color w:val="000000"/>
                <w:sz w:val="20"/>
                <w:szCs w:val="20"/>
              </w:rPr>
            </w:pPr>
            <w:r w:rsidRPr="0017350E">
              <w:rPr>
                <w:b w:val="0"/>
                <w:color w:val="000000"/>
                <w:sz w:val="20"/>
                <w:szCs w:val="20"/>
              </w:rPr>
              <w:t>FE: Met-Ed</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50</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52</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51</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49</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48</w:t>
            </w:r>
          </w:p>
        </w:tc>
        <w:tc>
          <w:tcPr>
            <w:tcW w:w="1244" w:type="dxa"/>
            <w:tcBorders>
              <w:left w:val="none" w:sz="0" w:space="0" w:color="auto"/>
            </w:tcBorders>
            <w:vAlign w:val="center"/>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350E">
              <w:rPr>
                <w:sz w:val="20"/>
                <w:szCs w:val="20"/>
              </w:rPr>
              <w:t>1.90</w:t>
            </w:r>
          </w:p>
        </w:tc>
      </w:tr>
      <w:tr w:rsidR="007D0103" w:rsidRPr="00530996" w:rsidTr="007D010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b w:val="0"/>
                <w:color w:val="000000"/>
                <w:sz w:val="20"/>
                <w:szCs w:val="20"/>
              </w:rPr>
            </w:pPr>
            <w:r w:rsidRPr="0017350E">
              <w:rPr>
                <w:b w:val="0"/>
                <w:color w:val="000000"/>
                <w:sz w:val="20"/>
                <w:szCs w:val="20"/>
              </w:rPr>
              <w:t>FE: Penelec</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-33</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-31</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-36</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-41</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-46</w:t>
            </w:r>
          </w:p>
        </w:tc>
        <w:tc>
          <w:tcPr>
            <w:tcW w:w="1244" w:type="dxa"/>
            <w:tcBorders>
              <w:left w:val="none" w:sz="0" w:space="0" w:color="auto"/>
            </w:tcBorders>
            <w:vAlign w:val="center"/>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350E">
              <w:rPr>
                <w:sz w:val="20"/>
                <w:szCs w:val="20"/>
              </w:rPr>
              <w:t>0.0</w:t>
            </w:r>
          </w:p>
        </w:tc>
      </w:tr>
      <w:tr w:rsidR="007D0103" w:rsidRPr="00530996" w:rsidTr="007D010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b w:val="0"/>
                <w:color w:val="000000"/>
                <w:sz w:val="20"/>
                <w:szCs w:val="20"/>
              </w:rPr>
            </w:pPr>
            <w:r w:rsidRPr="0017350E">
              <w:rPr>
                <w:b w:val="0"/>
                <w:color w:val="000000"/>
                <w:sz w:val="20"/>
                <w:szCs w:val="20"/>
              </w:rPr>
              <w:t>FE: Penn Power</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67</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68</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66</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64</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62</w:t>
            </w:r>
          </w:p>
        </w:tc>
        <w:tc>
          <w:tcPr>
            <w:tcW w:w="1244" w:type="dxa"/>
            <w:tcBorders>
              <w:left w:val="none" w:sz="0" w:space="0" w:color="auto"/>
            </w:tcBorders>
            <w:vAlign w:val="center"/>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1.93</w:t>
            </w:r>
          </w:p>
        </w:tc>
      </w:tr>
      <w:tr w:rsidR="007D0103" w:rsidRPr="00530996" w:rsidTr="007D010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b w:val="0"/>
                <w:color w:val="000000"/>
                <w:sz w:val="20"/>
                <w:szCs w:val="20"/>
              </w:rPr>
            </w:pPr>
            <w:r w:rsidRPr="0017350E">
              <w:rPr>
                <w:b w:val="0"/>
                <w:color w:val="000000"/>
                <w:sz w:val="20"/>
                <w:szCs w:val="20"/>
              </w:rPr>
              <w:t>FE: West Penn</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153</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157</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154</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155</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155</w:t>
            </w:r>
          </w:p>
        </w:tc>
        <w:tc>
          <w:tcPr>
            <w:tcW w:w="1244" w:type="dxa"/>
            <w:tcBorders>
              <w:left w:val="none" w:sz="0" w:space="0" w:color="auto"/>
            </w:tcBorders>
            <w:vAlign w:val="center"/>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1.94</w:t>
            </w:r>
          </w:p>
        </w:tc>
      </w:tr>
      <w:tr w:rsidR="007D0103" w:rsidRPr="00530996" w:rsidTr="007D010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b w:val="0"/>
                <w:color w:val="000000"/>
                <w:sz w:val="20"/>
                <w:szCs w:val="20"/>
              </w:rPr>
            </w:pPr>
            <w:r w:rsidRPr="0017350E">
              <w:rPr>
                <w:b w:val="0"/>
                <w:color w:val="000000"/>
                <w:sz w:val="20"/>
                <w:szCs w:val="20"/>
              </w:rPr>
              <w:t>PECO</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494</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499</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488</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474</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460</w:t>
            </w:r>
          </w:p>
        </w:tc>
        <w:tc>
          <w:tcPr>
            <w:tcW w:w="1244" w:type="dxa"/>
            <w:tcBorders>
              <w:left w:val="none" w:sz="0" w:space="0" w:color="auto"/>
            </w:tcBorders>
            <w:vAlign w:val="center"/>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1.69</w:t>
            </w:r>
          </w:p>
        </w:tc>
      </w:tr>
      <w:tr w:rsidR="007D0103" w:rsidRPr="00530996" w:rsidTr="007D010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b w:val="0"/>
                <w:color w:val="000000"/>
                <w:sz w:val="20"/>
                <w:szCs w:val="20"/>
              </w:rPr>
            </w:pPr>
            <w:r w:rsidRPr="0017350E">
              <w:rPr>
                <w:b w:val="0"/>
                <w:color w:val="000000"/>
                <w:sz w:val="20"/>
                <w:szCs w:val="20"/>
              </w:rPr>
              <w:t>PPL</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93</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99</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94</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95</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95</w:t>
            </w:r>
          </w:p>
        </w:tc>
        <w:tc>
          <w:tcPr>
            <w:tcW w:w="1244" w:type="dxa"/>
            <w:tcBorders>
              <w:left w:val="none" w:sz="0" w:space="0" w:color="auto"/>
            </w:tcBorders>
            <w:vAlign w:val="center"/>
          </w:tcPr>
          <w:p w:rsidR="007D0103" w:rsidRPr="0017350E" w:rsidRDefault="007D0103"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sz w:val="20"/>
                <w:szCs w:val="20"/>
              </w:rPr>
              <w:t>1.88</w:t>
            </w:r>
          </w:p>
        </w:tc>
      </w:tr>
      <w:tr w:rsidR="007D0103" w:rsidRPr="00530996" w:rsidTr="007D010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7D0103" w:rsidRPr="0017350E" w:rsidRDefault="007D0103" w:rsidP="00A83ABC">
            <w:pPr>
              <w:jc w:val="left"/>
              <w:rPr>
                <w:color w:val="000000"/>
                <w:sz w:val="20"/>
                <w:szCs w:val="20"/>
              </w:rPr>
            </w:pPr>
            <w:r w:rsidRPr="0017350E">
              <w:rPr>
                <w:color w:val="000000"/>
                <w:sz w:val="20"/>
                <w:szCs w:val="20"/>
              </w:rPr>
              <w:t>Statewide</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1,142</w:t>
            </w:r>
          </w:p>
        </w:tc>
        <w:tc>
          <w:tcPr>
            <w:tcW w:w="1251"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1,168</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1,139</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1,117</w:t>
            </w:r>
          </w:p>
        </w:tc>
        <w:tc>
          <w:tcPr>
            <w:tcW w:w="1252" w:type="dxa"/>
            <w:tcBorders>
              <w:left w:val="none" w:sz="0" w:space="0" w:color="auto"/>
              <w:right w:val="none" w:sz="0" w:space="0" w:color="auto"/>
            </w:tcBorders>
            <w:vAlign w:val="center"/>
            <w:hideMark/>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1,091</w:t>
            </w:r>
          </w:p>
        </w:tc>
        <w:tc>
          <w:tcPr>
            <w:tcW w:w="1244" w:type="dxa"/>
            <w:tcBorders>
              <w:left w:val="none" w:sz="0" w:space="0" w:color="auto"/>
            </w:tcBorders>
            <w:vAlign w:val="center"/>
          </w:tcPr>
          <w:p w:rsidR="007D0103" w:rsidRPr="0017350E" w:rsidRDefault="007D0103" w:rsidP="00A83ABC">
            <w:pPr>
              <w:jc w:val="center"/>
              <w:cnfStyle w:val="000000010000" w:firstRow="0" w:lastRow="0" w:firstColumn="0" w:lastColumn="0" w:oddVBand="0" w:evenVBand="0" w:oddHBand="0" w:evenHBand="1" w:firstRowFirstColumn="0" w:firstRowLastColumn="0" w:lastRowFirstColumn="0" w:lastRowLastColumn="0"/>
              <w:rPr>
                <w:b/>
                <w:bCs/>
                <w:color w:val="FF0000"/>
                <w:sz w:val="20"/>
                <w:szCs w:val="20"/>
              </w:rPr>
            </w:pPr>
            <w:r w:rsidRPr="0017350E">
              <w:rPr>
                <w:b/>
                <w:bCs/>
                <w:sz w:val="20"/>
                <w:szCs w:val="20"/>
              </w:rPr>
              <w:t>1.78</w:t>
            </w:r>
          </w:p>
        </w:tc>
      </w:tr>
    </w:tbl>
    <w:p w:rsidR="007D0103" w:rsidRDefault="007D0103" w:rsidP="00A83ABC"/>
    <w:p w:rsidR="007D0103" w:rsidRDefault="007D0103" w:rsidP="00A83ABC"/>
    <w:p w:rsidR="00A57907" w:rsidRDefault="00FB19BF" w:rsidP="00A83ABC">
      <w:r>
        <w:t>The second scenario is referred to as “wholesale changes” and</w:t>
      </w:r>
      <w:r w:rsidR="00D4111B">
        <w:t xml:space="preserve"> </w:t>
      </w:r>
      <w:r>
        <w:t>only</w:t>
      </w:r>
      <w:r w:rsidR="00D4111B">
        <w:t xml:space="preserve"> </w:t>
      </w:r>
      <w:r w:rsidR="00A57907">
        <w:t>subtract</w:t>
      </w:r>
      <w:r>
        <w:t>s</w:t>
      </w:r>
      <w:r w:rsidR="00A57907">
        <w:t xml:space="preserve"> the volume of MW </w:t>
      </w:r>
      <w:r w:rsidR="00D4111B">
        <w:t xml:space="preserve">currently </w:t>
      </w:r>
      <w:r w:rsidR="00A57907">
        <w:t xml:space="preserve">committed to PJM </w:t>
      </w:r>
      <w:r>
        <w:t xml:space="preserve">for the 2016/2017 and 2017/2018 delivery years </w:t>
      </w:r>
      <w:r w:rsidR="00A57907">
        <w:t xml:space="preserve">from our estimates of Act 129 DR potential. </w:t>
      </w:r>
      <w:r w:rsidR="00A57907">
        <w:fldChar w:fldCharType="begin"/>
      </w:r>
      <w:r w:rsidR="00A57907">
        <w:instrText xml:space="preserve"> REF _Ref407784245 \h </w:instrText>
      </w:r>
      <w:r w:rsidR="00A57907">
        <w:fldChar w:fldCharType="separate"/>
      </w:r>
      <w:r w:rsidR="00803DBE">
        <w:t xml:space="preserve">Table </w:t>
      </w:r>
      <w:r w:rsidR="00803DBE">
        <w:rPr>
          <w:noProof/>
        </w:rPr>
        <w:t>1</w:t>
      </w:r>
      <w:r w:rsidR="00803DBE">
        <w:noBreakHyphen/>
      </w:r>
      <w:r w:rsidR="00803DBE">
        <w:rPr>
          <w:noProof/>
        </w:rPr>
        <w:t>10</w:t>
      </w:r>
      <w:r w:rsidR="00A57907">
        <w:fldChar w:fldCharType="end"/>
      </w:r>
      <w:r w:rsidR="00A57907">
        <w:t xml:space="preserve"> shows the SWE </w:t>
      </w:r>
      <w:r w:rsidR="00D15F89">
        <w:t>T</w:t>
      </w:r>
      <w:r w:rsidR="00A57907">
        <w:t>eam’s estimate</w:t>
      </w:r>
      <w:r w:rsidR="00041E64">
        <w:t>s</w:t>
      </w:r>
      <w:r w:rsidR="00A57907">
        <w:t xml:space="preserve"> of DR potential, by year, once the </w:t>
      </w:r>
      <w:r w:rsidR="00037A03">
        <w:t>DR</w:t>
      </w:r>
      <w:r w:rsidR="00A57907">
        <w:t xml:space="preserve"> MW from PJM’s </w:t>
      </w:r>
      <w:r w:rsidR="00942C46">
        <w:t>BRAs</w:t>
      </w:r>
      <w:r w:rsidR="00A57907">
        <w:t xml:space="preserve"> have been subtracted. Instances where PJM commitments exceed the SWE</w:t>
      </w:r>
      <w:r w:rsidR="0045410E">
        <w:t xml:space="preserve"> Team</w:t>
      </w:r>
      <w:r w:rsidR="00A57907">
        <w:t xml:space="preserve">’s estimate of </w:t>
      </w:r>
      <w:r w:rsidR="00CF78C2">
        <w:t>“</w:t>
      </w:r>
      <w:r w:rsidR="00123C18">
        <w:t>Day-</w:t>
      </w:r>
      <w:r w:rsidR="00A57907">
        <w:t>Ahead</w:t>
      </w:r>
      <w:r w:rsidR="00CF78C2">
        <w:t>”</w:t>
      </w:r>
      <w:r w:rsidR="00A57907">
        <w:t xml:space="preserve"> notification potential are presented in red.</w:t>
      </w:r>
      <w:r w:rsidR="00A06570">
        <w:t xml:space="preserve"> Estimated TRC ratios for the five-year phase are also presented.</w:t>
      </w:r>
    </w:p>
    <w:p w:rsidR="0028301F" w:rsidRDefault="0028301F" w:rsidP="00A83ABC"/>
    <w:p w:rsidR="0028301F" w:rsidRDefault="0028301F" w:rsidP="00A83ABC"/>
    <w:p w:rsidR="0028301F" w:rsidRDefault="0028301F" w:rsidP="00A83ABC"/>
    <w:p w:rsidR="0028301F" w:rsidRDefault="0028301F" w:rsidP="00A83ABC"/>
    <w:p w:rsidR="0028301F" w:rsidRDefault="0028301F" w:rsidP="00A83ABC"/>
    <w:p w:rsidR="00FB19BF" w:rsidRPr="007F1EB9" w:rsidRDefault="00FB19BF" w:rsidP="00A83ABC"/>
    <w:p w:rsidR="00A57907" w:rsidRDefault="00A57907" w:rsidP="00A83ABC">
      <w:pPr>
        <w:pStyle w:val="Caption"/>
        <w:keepNext/>
      </w:pPr>
      <w:bookmarkStart w:id="37" w:name="_Ref407784245"/>
      <w:bookmarkStart w:id="38" w:name="_Toc412628444"/>
      <w:r>
        <w:lastRenderedPageBreak/>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10</w:t>
      </w:r>
      <w:r w:rsidR="00E2011B">
        <w:rPr>
          <w:noProof/>
        </w:rPr>
        <w:fldChar w:fldCharType="end"/>
      </w:r>
      <w:bookmarkEnd w:id="37"/>
      <w:r>
        <w:t xml:space="preserve">: </w:t>
      </w:r>
      <w:r w:rsidRPr="00D837FD">
        <w:t>Day</w:t>
      </w:r>
      <w:r w:rsidR="00123C18">
        <w:t>-</w:t>
      </w:r>
      <w:r w:rsidRPr="00D837FD">
        <w:t xml:space="preserve">Ahead MW Potential Net of </w:t>
      </w:r>
      <w:r w:rsidR="00B25FE2">
        <w:t xml:space="preserve">Current </w:t>
      </w:r>
      <w:r w:rsidRPr="00D837FD">
        <w:t>PJM Commitments</w:t>
      </w:r>
      <w:bookmarkEnd w:id="38"/>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966"/>
        <w:gridCol w:w="1251"/>
        <w:gridCol w:w="1251"/>
        <w:gridCol w:w="1252"/>
        <w:gridCol w:w="1252"/>
        <w:gridCol w:w="1252"/>
        <w:gridCol w:w="1244"/>
      </w:tblGrid>
      <w:tr w:rsidR="00A06570" w:rsidRPr="00F52C68" w:rsidTr="00AB46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448A99"/>
            <w:vAlign w:val="bottom"/>
          </w:tcPr>
          <w:p w:rsidR="00A06570" w:rsidRPr="00F52C68" w:rsidRDefault="00A06570" w:rsidP="00A83ABC">
            <w:pPr>
              <w:jc w:val="left"/>
              <w:rPr>
                <w:sz w:val="20"/>
                <w:szCs w:val="20"/>
              </w:rPr>
            </w:pPr>
            <w:r w:rsidRPr="00F52C68">
              <w:rPr>
                <w:sz w:val="20"/>
                <w:szCs w:val="20"/>
              </w:rPr>
              <w:t>EDC</w:t>
            </w:r>
          </w:p>
        </w:tc>
        <w:tc>
          <w:tcPr>
            <w:tcW w:w="1251" w:type="dxa"/>
            <w:tcBorders>
              <w:top w:val="none" w:sz="0" w:space="0" w:color="auto"/>
              <w:left w:val="none" w:sz="0" w:space="0" w:color="auto"/>
              <w:bottom w:val="none" w:sz="0" w:space="0" w:color="auto"/>
              <w:right w:val="none" w:sz="0" w:space="0" w:color="auto"/>
            </w:tcBorders>
            <w:shd w:val="clear" w:color="auto" w:fill="448A99"/>
            <w:vAlign w:val="bottom"/>
          </w:tcPr>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2016</w:t>
            </w:r>
          </w:p>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(PY8)</w:t>
            </w:r>
          </w:p>
        </w:tc>
        <w:tc>
          <w:tcPr>
            <w:tcW w:w="1251" w:type="dxa"/>
            <w:tcBorders>
              <w:top w:val="none" w:sz="0" w:space="0" w:color="auto"/>
              <w:left w:val="none" w:sz="0" w:space="0" w:color="auto"/>
              <w:bottom w:val="none" w:sz="0" w:space="0" w:color="auto"/>
              <w:right w:val="none" w:sz="0" w:space="0" w:color="auto"/>
            </w:tcBorders>
            <w:shd w:val="clear" w:color="auto" w:fill="448A99"/>
            <w:vAlign w:val="bottom"/>
          </w:tcPr>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2017</w:t>
            </w:r>
          </w:p>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(PY9)</w:t>
            </w:r>
          </w:p>
        </w:tc>
        <w:tc>
          <w:tcPr>
            <w:tcW w:w="1252" w:type="dxa"/>
            <w:tcBorders>
              <w:top w:val="none" w:sz="0" w:space="0" w:color="auto"/>
              <w:left w:val="none" w:sz="0" w:space="0" w:color="auto"/>
              <w:bottom w:val="none" w:sz="0" w:space="0" w:color="auto"/>
              <w:right w:val="none" w:sz="0" w:space="0" w:color="auto"/>
            </w:tcBorders>
            <w:shd w:val="clear" w:color="auto" w:fill="448A99"/>
            <w:vAlign w:val="bottom"/>
          </w:tcPr>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2018</w:t>
            </w:r>
          </w:p>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(PY10)</w:t>
            </w:r>
          </w:p>
        </w:tc>
        <w:tc>
          <w:tcPr>
            <w:tcW w:w="1252" w:type="dxa"/>
            <w:tcBorders>
              <w:top w:val="none" w:sz="0" w:space="0" w:color="auto"/>
              <w:left w:val="none" w:sz="0" w:space="0" w:color="auto"/>
              <w:bottom w:val="none" w:sz="0" w:space="0" w:color="auto"/>
              <w:right w:val="none" w:sz="0" w:space="0" w:color="auto"/>
            </w:tcBorders>
            <w:shd w:val="clear" w:color="auto" w:fill="448A99"/>
            <w:vAlign w:val="bottom"/>
          </w:tcPr>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2019</w:t>
            </w:r>
          </w:p>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(PY11)</w:t>
            </w:r>
          </w:p>
        </w:tc>
        <w:tc>
          <w:tcPr>
            <w:tcW w:w="1252" w:type="dxa"/>
            <w:tcBorders>
              <w:top w:val="none" w:sz="0" w:space="0" w:color="auto"/>
              <w:left w:val="none" w:sz="0" w:space="0" w:color="auto"/>
              <w:bottom w:val="none" w:sz="0" w:space="0" w:color="auto"/>
              <w:right w:val="none" w:sz="0" w:space="0" w:color="auto"/>
            </w:tcBorders>
            <w:shd w:val="clear" w:color="auto" w:fill="448A99"/>
            <w:vAlign w:val="bottom"/>
          </w:tcPr>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2020</w:t>
            </w:r>
          </w:p>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52C68">
              <w:rPr>
                <w:sz w:val="20"/>
                <w:szCs w:val="20"/>
              </w:rPr>
              <w:t>(PY12)</w:t>
            </w:r>
          </w:p>
        </w:tc>
        <w:tc>
          <w:tcPr>
            <w:tcW w:w="1244" w:type="dxa"/>
            <w:tcBorders>
              <w:top w:val="none" w:sz="0" w:space="0" w:color="auto"/>
              <w:left w:val="none" w:sz="0" w:space="0" w:color="auto"/>
              <w:bottom w:val="none" w:sz="0" w:space="0" w:color="auto"/>
              <w:right w:val="none" w:sz="0" w:space="0" w:color="auto"/>
            </w:tcBorders>
            <w:shd w:val="clear" w:color="auto" w:fill="448A99"/>
            <w:vAlign w:val="bottom"/>
          </w:tcPr>
          <w:p w:rsidR="00A06570"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TRC</w:t>
            </w:r>
          </w:p>
          <w:p w:rsidR="00A06570" w:rsidRPr="00F52C68" w:rsidRDefault="00A06570"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Ratio</w:t>
            </w:r>
          </w:p>
        </w:tc>
      </w:tr>
      <w:tr w:rsidR="00A06570"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 w:val="0"/>
                <w:color w:val="000000"/>
                <w:sz w:val="20"/>
                <w:szCs w:val="20"/>
              </w:rPr>
            </w:pPr>
            <w:r w:rsidRPr="00F52C68">
              <w:rPr>
                <w:rFonts w:ascii="Calibri" w:eastAsia="Times New Roman" w:hAnsi="Calibri" w:cs="Times New Roman"/>
                <w:b w:val="0"/>
                <w:color w:val="000000"/>
                <w:sz w:val="20"/>
                <w:szCs w:val="20"/>
              </w:rPr>
              <w:t>Duquesne</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281</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268</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427</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426</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423</w:t>
            </w:r>
          </w:p>
        </w:tc>
        <w:tc>
          <w:tcPr>
            <w:tcW w:w="1244" w:type="dxa"/>
            <w:tcBorders>
              <w:left w:val="none" w:sz="0" w:space="0" w:color="auto"/>
            </w:tcBorders>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1.94</w:t>
            </w:r>
          </w:p>
        </w:tc>
      </w:tr>
      <w:tr w:rsidR="00A06570"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 w:val="0"/>
                <w:color w:val="000000"/>
                <w:sz w:val="20"/>
                <w:szCs w:val="20"/>
              </w:rPr>
            </w:pPr>
            <w:r w:rsidRPr="00F52C68">
              <w:rPr>
                <w:rFonts w:ascii="Calibri" w:eastAsia="Times New Roman" w:hAnsi="Calibri" w:cs="Times New Roman"/>
                <w:b w:val="0"/>
                <w:color w:val="000000"/>
                <w:sz w:val="20"/>
                <w:szCs w:val="20"/>
              </w:rPr>
              <w:t>FE: Met-Ed</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r w:rsidRPr="00F52C68">
              <w:rPr>
                <w:rFonts w:ascii="Calibri" w:eastAsia="Times New Roman" w:hAnsi="Calibri" w:cs="Times New Roman"/>
                <w:color w:val="FF0000"/>
                <w:sz w:val="20"/>
                <w:szCs w:val="20"/>
              </w:rPr>
              <w:t>-48</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FF0000"/>
                <w:sz w:val="20"/>
                <w:szCs w:val="20"/>
              </w:rPr>
              <w:t>-32</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266</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264</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263</w:t>
            </w:r>
          </w:p>
        </w:tc>
        <w:tc>
          <w:tcPr>
            <w:tcW w:w="1244" w:type="dxa"/>
            <w:tcBorders>
              <w:left w:val="none" w:sz="0" w:space="0" w:color="auto"/>
            </w:tcBorders>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1.90</w:t>
            </w:r>
          </w:p>
        </w:tc>
      </w:tr>
      <w:tr w:rsidR="00A06570"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 w:val="0"/>
                <w:color w:val="000000"/>
                <w:sz w:val="20"/>
                <w:szCs w:val="20"/>
              </w:rPr>
            </w:pPr>
            <w:r w:rsidRPr="00F52C68">
              <w:rPr>
                <w:rFonts w:ascii="Calibri" w:eastAsia="Times New Roman" w:hAnsi="Calibri" w:cs="Times New Roman"/>
                <w:b w:val="0"/>
                <w:color w:val="000000"/>
                <w:sz w:val="20"/>
                <w:szCs w:val="20"/>
              </w:rPr>
              <w:t>FE: Penelec</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r w:rsidRPr="00F52C68">
              <w:rPr>
                <w:rFonts w:ascii="Calibri" w:eastAsia="Times New Roman" w:hAnsi="Calibri" w:cs="Times New Roman"/>
                <w:color w:val="FF0000"/>
                <w:sz w:val="20"/>
                <w:szCs w:val="20"/>
              </w:rPr>
              <w:t>-166</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FF0000"/>
                <w:sz w:val="20"/>
                <w:szCs w:val="20"/>
              </w:rPr>
              <w:t>-90</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262</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257</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252</w:t>
            </w:r>
          </w:p>
        </w:tc>
        <w:tc>
          <w:tcPr>
            <w:tcW w:w="1244" w:type="dxa"/>
            <w:tcBorders>
              <w:left w:val="none" w:sz="0" w:space="0" w:color="auto"/>
            </w:tcBorders>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1.92</w:t>
            </w:r>
          </w:p>
        </w:tc>
      </w:tr>
      <w:tr w:rsidR="00A06570"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 w:val="0"/>
                <w:color w:val="000000"/>
                <w:sz w:val="20"/>
                <w:szCs w:val="20"/>
              </w:rPr>
            </w:pPr>
            <w:r w:rsidRPr="00F52C68">
              <w:rPr>
                <w:rFonts w:ascii="Calibri" w:eastAsia="Times New Roman" w:hAnsi="Calibri" w:cs="Times New Roman"/>
                <w:b w:val="0"/>
                <w:color w:val="000000"/>
                <w:sz w:val="20"/>
                <w:szCs w:val="20"/>
              </w:rPr>
              <w:t>FE: Penn Power</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FF0000"/>
                <w:sz w:val="20"/>
                <w:szCs w:val="20"/>
              </w:rPr>
              <w:t>-3</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53</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123</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121</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119</w:t>
            </w:r>
          </w:p>
        </w:tc>
        <w:tc>
          <w:tcPr>
            <w:tcW w:w="1244" w:type="dxa"/>
            <w:tcBorders>
              <w:left w:val="none" w:sz="0" w:space="0" w:color="auto"/>
            </w:tcBorders>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1.93</w:t>
            </w:r>
          </w:p>
        </w:tc>
      </w:tr>
      <w:tr w:rsidR="00A06570"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 w:val="0"/>
                <w:color w:val="000000"/>
                <w:sz w:val="20"/>
                <w:szCs w:val="20"/>
              </w:rPr>
            </w:pPr>
            <w:r w:rsidRPr="00F52C68">
              <w:rPr>
                <w:rFonts w:ascii="Calibri" w:eastAsia="Times New Roman" w:hAnsi="Calibri" w:cs="Times New Roman"/>
                <w:b w:val="0"/>
                <w:color w:val="000000"/>
                <w:sz w:val="20"/>
                <w:szCs w:val="20"/>
              </w:rPr>
              <w:t>FE: West Penn</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120</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FF0000"/>
                <w:sz w:val="20"/>
                <w:szCs w:val="20"/>
              </w:rPr>
              <w:t>-10</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498</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499</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499</w:t>
            </w:r>
          </w:p>
        </w:tc>
        <w:tc>
          <w:tcPr>
            <w:tcW w:w="1244" w:type="dxa"/>
            <w:tcBorders>
              <w:left w:val="none" w:sz="0" w:space="0" w:color="auto"/>
            </w:tcBorders>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1.94</w:t>
            </w:r>
          </w:p>
        </w:tc>
      </w:tr>
      <w:tr w:rsidR="00A06570"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 w:val="0"/>
                <w:color w:val="000000"/>
                <w:sz w:val="20"/>
                <w:szCs w:val="20"/>
              </w:rPr>
            </w:pPr>
            <w:r w:rsidRPr="00F52C68">
              <w:rPr>
                <w:rFonts w:ascii="Calibri" w:eastAsia="Times New Roman" w:hAnsi="Calibri" w:cs="Times New Roman"/>
                <w:b w:val="0"/>
                <w:color w:val="000000"/>
                <w:sz w:val="20"/>
                <w:szCs w:val="20"/>
              </w:rPr>
              <w:t>PECO</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392</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448</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917</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903</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889</w:t>
            </w:r>
          </w:p>
        </w:tc>
        <w:tc>
          <w:tcPr>
            <w:tcW w:w="1244" w:type="dxa"/>
            <w:tcBorders>
              <w:left w:val="none" w:sz="0" w:space="0" w:color="auto"/>
            </w:tcBorders>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1.69</w:t>
            </w:r>
          </w:p>
        </w:tc>
      </w:tr>
      <w:tr w:rsidR="00A06570" w:rsidRPr="00F52C68"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 w:val="0"/>
                <w:color w:val="000000"/>
                <w:sz w:val="20"/>
                <w:szCs w:val="20"/>
              </w:rPr>
            </w:pPr>
            <w:r w:rsidRPr="00F52C68">
              <w:rPr>
                <w:rFonts w:ascii="Calibri" w:eastAsia="Times New Roman" w:hAnsi="Calibri" w:cs="Times New Roman"/>
                <w:b w:val="0"/>
                <w:color w:val="000000"/>
                <w:sz w:val="20"/>
                <w:szCs w:val="20"/>
              </w:rPr>
              <w:t>PPL</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FF0000"/>
                <w:sz w:val="20"/>
                <w:szCs w:val="20"/>
              </w:rPr>
              <w:t>-269</w:t>
            </w:r>
          </w:p>
        </w:tc>
        <w:tc>
          <w:tcPr>
            <w:tcW w:w="1251"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50</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731</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732</w:t>
            </w:r>
          </w:p>
        </w:tc>
        <w:tc>
          <w:tcPr>
            <w:tcW w:w="1252" w:type="dxa"/>
            <w:tcBorders>
              <w:left w:val="none" w:sz="0" w:space="0" w:color="auto"/>
              <w:right w:val="none" w:sz="0" w:space="0" w:color="auto"/>
            </w:tcBorders>
            <w:hideMark/>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52C68">
              <w:rPr>
                <w:rFonts w:ascii="Calibri" w:eastAsia="Times New Roman" w:hAnsi="Calibri" w:cs="Times New Roman"/>
                <w:color w:val="000000"/>
                <w:sz w:val="20"/>
                <w:szCs w:val="20"/>
              </w:rPr>
              <w:t>731</w:t>
            </w:r>
          </w:p>
        </w:tc>
        <w:tc>
          <w:tcPr>
            <w:tcW w:w="1244" w:type="dxa"/>
            <w:tcBorders>
              <w:left w:val="none" w:sz="0" w:space="0" w:color="auto"/>
            </w:tcBorders>
          </w:tcPr>
          <w:p w:rsidR="00A06570" w:rsidRPr="00F52C68" w:rsidRDefault="00A0657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1.88</w:t>
            </w:r>
          </w:p>
        </w:tc>
      </w:tr>
      <w:tr w:rsidR="00A06570" w:rsidRPr="00F52C68"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A06570" w:rsidRPr="00F52C68" w:rsidRDefault="00A06570" w:rsidP="00A83ABC">
            <w:pPr>
              <w:rPr>
                <w:rFonts w:ascii="Calibri" w:eastAsia="Times New Roman" w:hAnsi="Calibri" w:cs="Times New Roman"/>
                <w:bCs w:val="0"/>
                <w:color w:val="000000"/>
                <w:sz w:val="20"/>
                <w:szCs w:val="20"/>
              </w:rPr>
            </w:pPr>
            <w:r w:rsidRPr="00F52C68">
              <w:rPr>
                <w:rFonts w:ascii="Calibri" w:eastAsia="Times New Roman" w:hAnsi="Calibri" w:cs="Times New Roman"/>
                <w:bCs w:val="0"/>
                <w:color w:val="000000"/>
                <w:sz w:val="20"/>
                <w:szCs w:val="20"/>
              </w:rPr>
              <w:t>Statewide Potential</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F52C68">
              <w:rPr>
                <w:rFonts w:ascii="Calibri" w:eastAsia="Times New Roman" w:hAnsi="Calibri" w:cs="Times New Roman"/>
                <w:b/>
                <w:bCs/>
                <w:color w:val="000000"/>
                <w:sz w:val="20"/>
                <w:szCs w:val="20"/>
              </w:rPr>
              <w:t>306</w:t>
            </w:r>
          </w:p>
        </w:tc>
        <w:tc>
          <w:tcPr>
            <w:tcW w:w="1251"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F52C68">
              <w:rPr>
                <w:rFonts w:ascii="Calibri" w:eastAsia="Times New Roman" w:hAnsi="Calibri" w:cs="Times New Roman"/>
                <w:b/>
                <w:bCs/>
                <w:color w:val="000000"/>
                <w:sz w:val="20"/>
                <w:szCs w:val="20"/>
              </w:rPr>
              <w:t>687</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F52C68">
              <w:rPr>
                <w:rFonts w:ascii="Calibri" w:eastAsia="Times New Roman" w:hAnsi="Calibri" w:cs="Times New Roman"/>
                <w:b/>
                <w:bCs/>
                <w:color w:val="000000"/>
                <w:sz w:val="20"/>
                <w:szCs w:val="20"/>
              </w:rPr>
              <w:t>3,224</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F52C68">
              <w:rPr>
                <w:rFonts w:ascii="Calibri" w:eastAsia="Times New Roman" w:hAnsi="Calibri" w:cs="Times New Roman"/>
                <w:b/>
                <w:bCs/>
                <w:color w:val="000000"/>
                <w:sz w:val="20"/>
                <w:szCs w:val="20"/>
              </w:rPr>
              <w:t>3,202</w:t>
            </w:r>
          </w:p>
        </w:tc>
        <w:tc>
          <w:tcPr>
            <w:tcW w:w="1252" w:type="dxa"/>
            <w:tcBorders>
              <w:left w:val="none" w:sz="0" w:space="0" w:color="auto"/>
              <w:right w:val="none" w:sz="0" w:space="0" w:color="auto"/>
            </w:tcBorders>
            <w:hideMark/>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F52C68">
              <w:rPr>
                <w:rFonts w:ascii="Calibri" w:eastAsia="Times New Roman" w:hAnsi="Calibri" w:cs="Times New Roman"/>
                <w:b/>
                <w:bCs/>
                <w:color w:val="000000"/>
                <w:sz w:val="20"/>
                <w:szCs w:val="20"/>
              </w:rPr>
              <w:t>3,175</w:t>
            </w:r>
          </w:p>
        </w:tc>
        <w:tc>
          <w:tcPr>
            <w:tcW w:w="1244" w:type="dxa"/>
            <w:tcBorders>
              <w:left w:val="none" w:sz="0" w:space="0" w:color="auto"/>
            </w:tcBorders>
          </w:tcPr>
          <w:p w:rsidR="00A06570" w:rsidRPr="00F52C68" w:rsidRDefault="00A0657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1.82</w:t>
            </w:r>
          </w:p>
        </w:tc>
      </w:tr>
    </w:tbl>
    <w:p w:rsidR="00A57907" w:rsidRDefault="00A57907" w:rsidP="00A83ABC"/>
    <w:p w:rsidR="00B25FE2" w:rsidRDefault="00B25FE2" w:rsidP="00A83ABC">
      <w:r>
        <w:t xml:space="preserve">If </w:t>
      </w:r>
      <w:r w:rsidR="00942C46">
        <w:t>“</w:t>
      </w:r>
      <w:r w:rsidR="00532862">
        <w:t>business-</w:t>
      </w:r>
      <w:r w:rsidR="00795096">
        <w:t>as</w:t>
      </w:r>
      <w:r w:rsidR="00281B7F">
        <w:t>-</w:t>
      </w:r>
      <w:r w:rsidR="00532862">
        <w:t>u</w:t>
      </w:r>
      <w:r w:rsidR="00942C46">
        <w:t>sual”</w:t>
      </w:r>
      <w:r>
        <w:t xml:space="preserve"> </w:t>
      </w:r>
      <w:r w:rsidR="00037A03">
        <w:t>DR</w:t>
      </w:r>
      <w:r>
        <w:t xml:space="preserve"> practices do not continue at PJM because of court rulings or revisions to market architecture and </w:t>
      </w:r>
      <w:r w:rsidR="00037A03">
        <w:t>DR</w:t>
      </w:r>
      <w:r>
        <w:t xml:space="preserve"> is no longer able to participate as a supply-side resource in PJM’s forward capacity market, the findings in the 2018-2020 columns </w:t>
      </w:r>
      <w:r w:rsidR="00942C46">
        <w:t xml:space="preserve">in </w:t>
      </w:r>
      <w:r>
        <w:fldChar w:fldCharType="begin"/>
      </w:r>
      <w:r>
        <w:instrText xml:space="preserve"> REF _Ref407784245 \h </w:instrText>
      </w:r>
      <w:r>
        <w:fldChar w:fldCharType="separate"/>
      </w:r>
      <w:r w:rsidR="00803DBE">
        <w:t xml:space="preserve">Table </w:t>
      </w:r>
      <w:r w:rsidR="00803DBE">
        <w:rPr>
          <w:noProof/>
        </w:rPr>
        <w:t>1</w:t>
      </w:r>
      <w:r w:rsidR="00803DBE">
        <w:noBreakHyphen/>
      </w:r>
      <w:r w:rsidR="00803DBE">
        <w:rPr>
          <w:noProof/>
        </w:rPr>
        <w:t>10</w:t>
      </w:r>
      <w:r>
        <w:fldChar w:fldCharType="end"/>
      </w:r>
      <w:r>
        <w:t xml:space="preserve"> tell a compelling story. Should DR no longer be included as a PJM capacity resource, the SWE </w:t>
      </w:r>
      <w:r w:rsidR="0045410E">
        <w:t xml:space="preserve">Team </w:t>
      </w:r>
      <w:r>
        <w:t xml:space="preserve">believes it would be incumbent upon the Commission to enact a load curtailment program to harness the tremendous pool of </w:t>
      </w:r>
      <w:r w:rsidR="00037A03">
        <w:t>DR</w:t>
      </w:r>
      <w:r>
        <w:t xml:space="preserve"> potential available in the Commonwealth. Our analysis shows that the benefits of such a program would nearly double the costs. Pennsylvania businesses who supply DR to the wholesale markets will be eager for a way to replace PJM revenues and an Act 129 program would help insulate ratepayers from the price spikes that would result in PJM filling resource requirements without </w:t>
      </w:r>
      <w:r w:rsidR="00037A03">
        <w:t>DR</w:t>
      </w:r>
      <w:r>
        <w:rPr>
          <w:rStyle w:val="FootnoteReference"/>
        </w:rPr>
        <w:footnoteReference w:id="28"/>
      </w:r>
      <w:r>
        <w:t xml:space="preserve">. If this outcome were to materialize, an Act 129 load curtailment program would be an important way to engage </w:t>
      </w:r>
      <w:r w:rsidR="00985548">
        <w:t>large</w:t>
      </w:r>
      <w:r w:rsidR="008D678D">
        <w:t xml:space="preserve"> C&amp;I</w:t>
      </w:r>
      <w:r>
        <w:t xml:space="preserve"> accounts who may otherwise be interested in </w:t>
      </w:r>
      <w:r w:rsidR="00A83ABC">
        <w:t>opting out of Act 129 programs.</w:t>
      </w:r>
    </w:p>
    <w:p w:rsidR="009F38C6" w:rsidRDefault="009F38C6" w:rsidP="00A83ABC"/>
    <w:p w:rsidR="009F38C6" w:rsidRPr="00861A7C" w:rsidRDefault="009F38C6" w:rsidP="00A83ABC">
      <w:pPr>
        <w:pStyle w:val="Heading2"/>
      </w:pPr>
      <w:bookmarkStart w:id="39" w:name="_Toc412628368"/>
      <w:r w:rsidRPr="00861A7C">
        <w:t>Program Potential</w:t>
      </w:r>
      <w:bookmarkEnd w:id="39"/>
      <w:r w:rsidRPr="00861A7C">
        <w:t xml:space="preserve"> </w:t>
      </w:r>
    </w:p>
    <w:p w:rsidR="00433CEE" w:rsidRDefault="00D15F89" w:rsidP="00A83ABC">
      <w:pPr>
        <w:spacing w:after="120"/>
      </w:pPr>
      <w:r>
        <w:t xml:space="preserve">The TUS </w:t>
      </w:r>
      <w:r w:rsidR="0045410E">
        <w:t xml:space="preserve">staff </w:t>
      </w:r>
      <w:r w:rsidR="00433CEE">
        <w:t xml:space="preserve">directed the SWE </w:t>
      </w:r>
      <w:r w:rsidR="0045410E">
        <w:t xml:space="preserve">Team </w:t>
      </w:r>
      <w:r w:rsidR="00433CEE">
        <w:t xml:space="preserve">to consider four distinct program potential scenarios as part of its </w:t>
      </w:r>
      <w:r w:rsidR="00857521">
        <w:t>EE</w:t>
      </w:r>
      <w:r w:rsidR="0061192C">
        <w:t xml:space="preserve"> </w:t>
      </w:r>
      <w:r w:rsidR="00433CEE">
        <w:t xml:space="preserve">and DR potential studies. Each scenario considers a different funding split between </w:t>
      </w:r>
      <w:r w:rsidR="00857521">
        <w:t>EE</w:t>
      </w:r>
      <w:r w:rsidR="00433CEE">
        <w:t xml:space="preserve"> and </w:t>
      </w:r>
      <w:r w:rsidR="00037A03">
        <w:t>DR</w:t>
      </w:r>
      <w:r w:rsidR="00795096">
        <w:t xml:space="preserve">: </w:t>
      </w:r>
    </w:p>
    <w:p w:rsidR="00433CEE" w:rsidRDefault="00433CEE" w:rsidP="00A83ABC">
      <w:pPr>
        <w:pStyle w:val="ListParagraph"/>
        <w:numPr>
          <w:ilvl w:val="0"/>
          <w:numId w:val="15"/>
        </w:numPr>
        <w:spacing w:after="120"/>
        <w:ind w:left="360"/>
        <w:contextualSpacing w:val="0"/>
      </w:pPr>
      <w:r>
        <w:t xml:space="preserve">100% spending on </w:t>
      </w:r>
      <w:r w:rsidR="00857521">
        <w:t>EE</w:t>
      </w:r>
      <w:r>
        <w:t xml:space="preserve">, 0% on </w:t>
      </w:r>
      <w:r w:rsidR="00037A03">
        <w:t>DR</w:t>
      </w:r>
    </w:p>
    <w:p w:rsidR="00433CEE" w:rsidRDefault="00433CEE" w:rsidP="00A83ABC">
      <w:pPr>
        <w:pStyle w:val="ListParagraph"/>
        <w:numPr>
          <w:ilvl w:val="0"/>
          <w:numId w:val="15"/>
        </w:numPr>
        <w:spacing w:after="120"/>
        <w:ind w:left="360"/>
        <w:contextualSpacing w:val="0"/>
      </w:pPr>
      <w:r>
        <w:t xml:space="preserve">90% spending on </w:t>
      </w:r>
      <w:r w:rsidR="00857521">
        <w:t>EE</w:t>
      </w:r>
      <w:r>
        <w:t xml:space="preserve">, 10% on </w:t>
      </w:r>
      <w:r w:rsidR="00037A03">
        <w:t>DR</w:t>
      </w:r>
    </w:p>
    <w:p w:rsidR="00433CEE" w:rsidRDefault="00433CEE" w:rsidP="00A83ABC">
      <w:pPr>
        <w:pStyle w:val="ListParagraph"/>
        <w:numPr>
          <w:ilvl w:val="0"/>
          <w:numId w:val="15"/>
        </w:numPr>
        <w:spacing w:after="120"/>
        <w:ind w:left="360"/>
        <w:contextualSpacing w:val="0"/>
      </w:pPr>
      <w:r>
        <w:t xml:space="preserve">85% spending on </w:t>
      </w:r>
      <w:r w:rsidR="00857521">
        <w:t>EE</w:t>
      </w:r>
      <w:r>
        <w:t xml:space="preserve">, 15% on </w:t>
      </w:r>
      <w:r w:rsidR="00037A03">
        <w:t>DR</w:t>
      </w:r>
    </w:p>
    <w:p w:rsidR="00433CEE" w:rsidRDefault="00433CEE" w:rsidP="00A83ABC">
      <w:pPr>
        <w:pStyle w:val="ListParagraph"/>
        <w:numPr>
          <w:ilvl w:val="0"/>
          <w:numId w:val="15"/>
        </w:numPr>
        <w:ind w:left="360"/>
      </w:pPr>
      <w:r>
        <w:t xml:space="preserve">80% spending on </w:t>
      </w:r>
      <w:r w:rsidR="00857521">
        <w:t>EE</w:t>
      </w:r>
      <w:r>
        <w:t xml:space="preserve">, 20% on </w:t>
      </w:r>
      <w:r w:rsidR="00037A03">
        <w:t>DR</w:t>
      </w:r>
      <w:r w:rsidR="005B6A87">
        <w:t>.</w:t>
      </w:r>
    </w:p>
    <w:p w:rsidR="009F38C6" w:rsidRDefault="009F38C6" w:rsidP="00A83ABC"/>
    <w:p w:rsidR="007E397A" w:rsidRDefault="00D15F89" w:rsidP="00A83ABC">
      <w:r>
        <w:t xml:space="preserve">The SWE Team analyzed program potential using only </w:t>
      </w:r>
      <w:r w:rsidR="00CE0565">
        <w:t>cost-effective</w:t>
      </w:r>
      <w:r>
        <w:t xml:space="preserve"> </w:t>
      </w:r>
      <w:r w:rsidR="00037A03">
        <w:t>DR</w:t>
      </w:r>
      <w:r>
        <w:t xml:space="preserve"> potential options net of </w:t>
      </w:r>
      <w:r w:rsidR="007257F4">
        <w:t>projected PJM commitments</w:t>
      </w:r>
      <w:r>
        <w:t xml:space="preserve">. We assumed that PECO would </w:t>
      </w:r>
      <w:r w:rsidR="00FD78F7">
        <w:t>only</w:t>
      </w:r>
      <w:r>
        <w:t xml:space="preserve"> install new DLC equipment</w:t>
      </w:r>
      <w:r w:rsidR="00FD78F7">
        <w:t xml:space="preserve"> for control of central </w:t>
      </w:r>
      <w:r w:rsidR="00622FC2">
        <w:t>A/C</w:t>
      </w:r>
      <w:r w:rsidR="00FD78F7">
        <w:t xml:space="preserve"> equipment</w:t>
      </w:r>
      <w:r>
        <w:t xml:space="preserve"> in addition to leveraging existing infrastructure</w:t>
      </w:r>
      <w:r w:rsidR="00FD78F7">
        <w:t xml:space="preserve"> for controlling central </w:t>
      </w:r>
      <w:r w:rsidR="00622FC2">
        <w:t>A/C</w:t>
      </w:r>
      <w:r w:rsidR="00FD78F7">
        <w:t xml:space="preserve"> systems</w:t>
      </w:r>
      <w:r>
        <w:t>.</w:t>
      </w:r>
      <w:r w:rsidR="00FD78F7">
        <w:rPr>
          <w:rStyle w:val="FootnoteReference"/>
        </w:rPr>
        <w:footnoteReference w:id="29"/>
      </w:r>
      <w:r>
        <w:t xml:space="preserve"> For the other six EDCs, all program potential comes from </w:t>
      </w:r>
      <w:r w:rsidR="00985548">
        <w:t>l</w:t>
      </w:r>
      <w:r>
        <w:t>arge C&amp;I load curtailment.</w:t>
      </w:r>
    </w:p>
    <w:p w:rsidR="00433CEE" w:rsidRDefault="00433CEE" w:rsidP="00A83ABC"/>
    <w:p w:rsidR="003D7322" w:rsidRDefault="00D15F89" w:rsidP="00A83ABC">
      <w:r>
        <w:t xml:space="preserve">The Commission will face a key question when authoring an Implementation Order for Phase III of Act 129 and setting conservation targets for the EDCs. How should the 2% funding cap be allocated between </w:t>
      </w:r>
      <w:r w:rsidR="00857521">
        <w:t>EE</w:t>
      </w:r>
      <w:r>
        <w:t xml:space="preserve"> and </w:t>
      </w:r>
      <w:r w:rsidR="00037A03">
        <w:t>DR</w:t>
      </w:r>
      <w:r>
        <w:t xml:space="preserve"> programs? With the exception of PECO, </w:t>
      </w:r>
      <w:r w:rsidR="008D678D">
        <w:t>DLC</w:t>
      </w:r>
      <w:r>
        <w:t xml:space="preserve"> does not appear to be a viable option for </w:t>
      </w:r>
      <w:r>
        <w:lastRenderedPageBreak/>
        <w:t>Pennsylvania EDCs. We have also established that if “</w:t>
      </w:r>
      <w:r w:rsidR="00532862">
        <w:t>b</w:t>
      </w:r>
      <w:r w:rsidR="00795096">
        <w:t>usiness</w:t>
      </w:r>
      <w:r w:rsidR="00532862">
        <w:t>-</w:t>
      </w:r>
      <w:r>
        <w:t>as</w:t>
      </w:r>
      <w:r w:rsidR="00532862">
        <w:t>-u</w:t>
      </w:r>
      <w:r w:rsidR="00795096">
        <w:t>sual</w:t>
      </w:r>
      <w:r>
        <w:t xml:space="preserve">” </w:t>
      </w:r>
      <w:r w:rsidR="00037A03">
        <w:t>DR</w:t>
      </w:r>
      <w:r>
        <w:t xml:space="preserve"> operations continue in PJM’s forward capacity market, </w:t>
      </w:r>
      <w:r w:rsidR="007257F4">
        <w:t xml:space="preserve">a large share of the DR potential in the state will commit load reductions </w:t>
      </w:r>
      <w:r w:rsidR="001E6CB8">
        <w:t>to the wholesale market</w:t>
      </w:r>
      <w:r>
        <w:t>. However, if court rulings or revisions to market architecture remove DR as a potential supply-side resource, an Act 129 load curtailment program could insulate Pennsylvania ratepayers from adverse effects to electric prices</w:t>
      </w:r>
      <w:r>
        <w:rPr>
          <w:rStyle w:val="FootnoteReference"/>
        </w:rPr>
        <w:footnoteReference w:id="30"/>
      </w:r>
      <w:r>
        <w:t>.</w:t>
      </w:r>
      <w:r w:rsidR="00844B75">
        <w:t xml:space="preserve"> The program potential estimates shown in </w:t>
      </w:r>
      <w:r w:rsidR="00844B75">
        <w:fldChar w:fldCharType="begin"/>
      </w:r>
      <w:r w:rsidR="00844B75">
        <w:instrText xml:space="preserve"> REF _Ref407791959 \h </w:instrText>
      </w:r>
      <w:r w:rsidR="00844B75">
        <w:fldChar w:fldCharType="separate"/>
      </w:r>
      <w:r w:rsidR="00803DBE">
        <w:t xml:space="preserve">Table </w:t>
      </w:r>
      <w:r w:rsidR="00803DBE">
        <w:rPr>
          <w:noProof/>
        </w:rPr>
        <w:t>1</w:t>
      </w:r>
      <w:r w:rsidR="00803DBE">
        <w:noBreakHyphen/>
      </w:r>
      <w:r w:rsidR="00803DBE">
        <w:rPr>
          <w:noProof/>
        </w:rPr>
        <w:t>11</w:t>
      </w:r>
      <w:r w:rsidR="00844B75">
        <w:fldChar w:fldCharType="end"/>
      </w:r>
      <w:r w:rsidR="00844B75">
        <w:t xml:space="preserve"> and </w:t>
      </w:r>
      <w:r w:rsidR="00844B75">
        <w:fldChar w:fldCharType="begin"/>
      </w:r>
      <w:r w:rsidR="00844B75">
        <w:instrText xml:space="preserve"> REF _Ref407791973 \h </w:instrText>
      </w:r>
      <w:r w:rsidR="00844B75">
        <w:fldChar w:fldCharType="separate"/>
      </w:r>
      <w:r w:rsidR="00803DBE">
        <w:t xml:space="preserve">Table </w:t>
      </w:r>
      <w:r w:rsidR="00803DBE">
        <w:rPr>
          <w:noProof/>
        </w:rPr>
        <w:t>1</w:t>
      </w:r>
      <w:r w:rsidR="00803DBE">
        <w:noBreakHyphen/>
      </w:r>
      <w:r w:rsidR="00803DBE">
        <w:rPr>
          <w:noProof/>
        </w:rPr>
        <w:t>12</w:t>
      </w:r>
      <w:r w:rsidR="00844B75">
        <w:fldChar w:fldCharType="end"/>
      </w:r>
      <w:r w:rsidR="00844B75">
        <w:t xml:space="preserve"> are based on the </w:t>
      </w:r>
      <w:r w:rsidR="007D0103">
        <w:t xml:space="preserve">“Wholesale Changes” </w:t>
      </w:r>
      <w:r w:rsidR="00844B75">
        <w:t xml:space="preserve">scenario where PJM </w:t>
      </w:r>
      <w:r w:rsidR="00D97D50">
        <w:t>demand response</w:t>
      </w:r>
      <w:r w:rsidR="007D0103">
        <w:t xml:space="preserve"> </w:t>
      </w:r>
      <w:r w:rsidR="00D97D50">
        <w:t>commitments</w:t>
      </w:r>
      <w:r w:rsidR="007D0103">
        <w:t xml:space="preserve"> disappear</w:t>
      </w:r>
      <w:r w:rsidR="00844B75">
        <w:t xml:space="preserve"> after PY</w:t>
      </w:r>
      <w:r w:rsidR="00FF7518">
        <w:t>9</w:t>
      </w:r>
      <w:r w:rsidR="007D0103">
        <w:t>.</w:t>
      </w:r>
      <w:r w:rsidR="00844B75">
        <w:t xml:space="preserve"> The SWE Team feels this scenario provides the more comprehensive side-by-side comparison of </w:t>
      </w:r>
      <w:r w:rsidR="00857521">
        <w:t>EE</w:t>
      </w:r>
      <w:r w:rsidR="0061192C">
        <w:t xml:space="preserve"> </w:t>
      </w:r>
      <w:r w:rsidR="00844B75">
        <w:t xml:space="preserve">and DR. If </w:t>
      </w:r>
      <w:r w:rsidR="00857521">
        <w:t>EE</w:t>
      </w:r>
      <w:r w:rsidR="0061192C">
        <w:t xml:space="preserve"> </w:t>
      </w:r>
      <w:r w:rsidR="00844B75">
        <w:t>is more attractive in this comparison, it will certainly be more attractive in a scenario where the majority of the DR potential in the state is captured by PJM.</w:t>
      </w:r>
    </w:p>
    <w:p w:rsidR="003D7322" w:rsidRDefault="003D7322" w:rsidP="00A83ABC"/>
    <w:p w:rsidR="003D7322" w:rsidRDefault="00DD47C6" w:rsidP="00A83ABC">
      <w:r>
        <w:fldChar w:fldCharType="begin"/>
      </w:r>
      <w:r>
        <w:instrText xml:space="preserve"> REF _Ref407791959 \h </w:instrText>
      </w:r>
      <w:r>
        <w:fldChar w:fldCharType="separate"/>
      </w:r>
      <w:r w:rsidR="00803DBE">
        <w:t xml:space="preserve">Table </w:t>
      </w:r>
      <w:r w:rsidR="00803DBE">
        <w:rPr>
          <w:noProof/>
        </w:rPr>
        <w:t>1</w:t>
      </w:r>
      <w:r w:rsidR="00803DBE">
        <w:noBreakHyphen/>
      </w:r>
      <w:r w:rsidR="00803DBE">
        <w:rPr>
          <w:noProof/>
        </w:rPr>
        <w:t>11</w:t>
      </w:r>
      <w:r>
        <w:fldChar w:fldCharType="end"/>
      </w:r>
      <w:r>
        <w:t xml:space="preserve"> </w:t>
      </w:r>
      <w:r w:rsidR="003D7322">
        <w:t xml:space="preserve">shows the TRC costs, TRC benefits, TRC ratio, and </w:t>
      </w:r>
      <w:r w:rsidR="00532DDB">
        <w:t>PV</w:t>
      </w:r>
      <w:r w:rsidR="003D7322">
        <w:t xml:space="preserve"> of net benefits for each of the four </w:t>
      </w:r>
      <w:r w:rsidR="00857521">
        <w:t>EE</w:t>
      </w:r>
      <w:r w:rsidR="003D7322">
        <w:t>/</w:t>
      </w:r>
      <w:r w:rsidR="00037A03">
        <w:t>DR</w:t>
      </w:r>
      <w:r w:rsidR="003D7322">
        <w:t xml:space="preserve"> funding splits at the statewide level. </w:t>
      </w:r>
      <w:r>
        <w:t xml:space="preserve">Section </w:t>
      </w:r>
      <w:r>
        <w:fldChar w:fldCharType="begin"/>
      </w:r>
      <w:r>
        <w:instrText xml:space="preserve"> REF _Ref407120181 \r \h </w:instrText>
      </w:r>
      <w:r>
        <w:fldChar w:fldCharType="separate"/>
      </w:r>
      <w:r w:rsidR="00803DBE">
        <w:t>7.3</w:t>
      </w:r>
      <w:r>
        <w:fldChar w:fldCharType="end"/>
      </w:r>
      <w:r>
        <w:t xml:space="preserve"> of the reports presents this information at the EDC level. </w:t>
      </w:r>
      <w:r w:rsidR="003D7322">
        <w:t xml:space="preserve">Our analysis shows that </w:t>
      </w:r>
      <w:r w:rsidR="00857521">
        <w:t>EE</w:t>
      </w:r>
      <w:r w:rsidR="003D7322">
        <w:t xml:space="preserve"> </w:t>
      </w:r>
      <w:r>
        <w:t xml:space="preserve">and </w:t>
      </w:r>
      <w:r w:rsidR="00037A03">
        <w:t>DR</w:t>
      </w:r>
      <w:r>
        <w:t xml:space="preserve"> provide a fairly similar return on investment</w:t>
      </w:r>
      <w:r w:rsidR="003D7322">
        <w:t xml:space="preserve">. </w:t>
      </w:r>
      <w:r>
        <w:t xml:space="preserve">Energy efficiency is </w:t>
      </w:r>
      <w:r w:rsidR="00EA67A9">
        <w:t xml:space="preserve">marginally more attractive so as </w:t>
      </w:r>
      <w:r w:rsidR="00037A03">
        <w:t>DR</w:t>
      </w:r>
      <w:r>
        <w:t xml:space="preserve"> funding increases, the net benefits and TRC of a Phase III Act 129 </w:t>
      </w:r>
      <w:r w:rsidR="005B6A87">
        <w:t>Energy Efficiency &amp; Conservation (</w:t>
      </w:r>
      <w:r>
        <w:t>EE&amp;C</w:t>
      </w:r>
      <w:r w:rsidR="005B6A87">
        <w:t>)</w:t>
      </w:r>
      <w:r>
        <w:t xml:space="preserve"> program decrease. </w:t>
      </w:r>
      <w:r w:rsidR="003D7322">
        <w:t xml:space="preserve">Given the uncertainty associated with DR participation in PJM’s wholesale markets and whether enough </w:t>
      </w:r>
      <w:r w:rsidR="00037A03">
        <w:t>DR</w:t>
      </w:r>
      <w:r w:rsidR="003D7322">
        <w:t xml:space="preserve"> potential will </w:t>
      </w:r>
      <w:r w:rsidR="009A2C24">
        <w:t xml:space="preserve">even be available for Act 129 </w:t>
      </w:r>
      <w:r w:rsidR="00037A03">
        <w:t>DR</w:t>
      </w:r>
      <w:r w:rsidR="003D7322">
        <w:t xml:space="preserve"> to utilize </w:t>
      </w:r>
      <w:r>
        <w:t>a 10%, 15% or 20% funding allocation</w:t>
      </w:r>
      <w:r w:rsidR="003D7322">
        <w:t xml:space="preserve">, we believe that </w:t>
      </w:r>
      <w:r w:rsidR="00857521">
        <w:t>EE</w:t>
      </w:r>
      <w:r w:rsidR="003D7322">
        <w:t xml:space="preserve"> is a safer investment of the 2% </w:t>
      </w:r>
      <w:r w:rsidR="00D15F89">
        <w:t>Demand</w:t>
      </w:r>
      <w:r w:rsidR="00AD2D5C">
        <w:t>-</w:t>
      </w:r>
      <w:r w:rsidR="00D15F89">
        <w:t>Side Management (</w:t>
      </w:r>
      <w:r w:rsidR="003D7322">
        <w:t>DSM</w:t>
      </w:r>
      <w:r w:rsidR="00D15F89">
        <w:t>)</w:t>
      </w:r>
      <w:r w:rsidR="003D7322">
        <w:t xml:space="preserve"> funding cap set forth in the legislation.</w:t>
      </w:r>
    </w:p>
    <w:p w:rsidR="003D7322" w:rsidRDefault="003D7322" w:rsidP="00A83ABC">
      <w:pPr>
        <w:jc w:val="left"/>
      </w:pPr>
    </w:p>
    <w:p w:rsidR="003D7322" w:rsidRDefault="003D7322" w:rsidP="00A83ABC">
      <w:pPr>
        <w:pStyle w:val="Caption"/>
        <w:keepNext/>
      </w:pPr>
      <w:bookmarkStart w:id="40" w:name="_Ref407791959"/>
      <w:bookmarkStart w:id="41" w:name="_Toc412628445"/>
      <w:r>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11</w:t>
      </w:r>
      <w:r w:rsidR="00E2011B">
        <w:rPr>
          <w:noProof/>
        </w:rPr>
        <w:fldChar w:fldCharType="end"/>
      </w:r>
      <w:bookmarkEnd w:id="40"/>
      <w:r>
        <w:t xml:space="preserve">: TRC Costs and Benefits for </w:t>
      </w:r>
      <w:r w:rsidR="00857521">
        <w:t>EE</w:t>
      </w:r>
      <w:r>
        <w:t xml:space="preserve"> and </w:t>
      </w:r>
      <w:r w:rsidR="00037A03">
        <w:t>DR</w:t>
      </w:r>
      <w:r>
        <w:t xml:space="preserve"> Funding Allocation Scenarios</w:t>
      </w:r>
      <w:bookmarkEnd w:id="41"/>
    </w:p>
    <w:tbl>
      <w:tblPr>
        <w:tblStyle w:val="MediumShading1-Accent5"/>
        <w:tblW w:w="4026"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25"/>
        <w:gridCol w:w="1533"/>
        <w:gridCol w:w="1533"/>
        <w:gridCol w:w="1860"/>
        <w:gridCol w:w="1360"/>
      </w:tblGrid>
      <w:tr w:rsidR="00DD47C6" w:rsidRPr="00530996" w:rsidTr="0088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tcBorders>
              <w:top w:val="none" w:sz="0" w:space="0" w:color="auto"/>
              <w:left w:val="none" w:sz="0" w:space="0" w:color="auto"/>
              <w:bottom w:val="none" w:sz="0" w:space="0" w:color="auto"/>
              <w:right w:val="none" w:sz="0" w:space="0" w:color="auto"/>
            </w:tcBorders>
            <w:shd w:val="clear" w:color="auto" w:fill="448A99"/>
            <w:vAlign w:val="center"/>
          </w:tcPr>
          <w:p w:rsidR="00DD47C6" w:rsidRDefault="00DD47C6" w:rsidP="0088266D">
            <w:pPr>
              <w:jc w:val="center"/>
              <w:rPr>
                <w:sz w:val="20"/>
                <w:szCs w:val="20"/>
              </w:rPr>
            </w:pPr>
            <w:r>
              <w:rPr>
                <w:sz w:val="20"/>
                <w:szCs w:val="20"/>
              </w:rPr>
              <w:t>Scenario (EE/DR)</w:t>
            </w:r>
          </w:p>
        </w:tc>
        <w:tc>
          <w:tcPr>
            <w:tcW w:w="994" w:type="pct"/>
            <w:tcBorders>
              <w:top w:val="none" w:sz="0" w:space="0" w:color="auto"/>
              <w:left w:val="none" w:sz="0" w:space="0" w:color="auto"/>
              <w:bottom w:val="none" w:sz="0" w:space="0" w:color="auto"/>
              <w:right w:val="none" w:sz="0" w:space="0" w:color="auto"/>
            </w:tcBorders>
            <w:shd w:val="clear" w:color="auto" w:fill="448A99"/>
            <w:vAlign w:val="center"/>
          </w:tcPr>
          <w:p w:rsidR="00DD47C6" w:rsidRPr="00530996" w:rsidRDefault="00DD47C6" w:rsidP="0088266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NPV Costs</w:t>
            </w:r>
            <w:r w:rsidR="007D0103">
              <w:rPr>
                <w:sz w:val="20"/>
                <w:szCs w:val="20"/>
              </w:rPr>
              <w:t xml:space="preserve"> ($Million)</w:t>
            </w:r>
          </w:p>
        </w:tc>
        <w:tc>
          <w:tcPr>
            <w:tcW w:w="994" w:type="pct"/>
            <w:tcBorders>
              <w:top w:val="none" w:sz="0" w:space="0" w:color="auto"/>
              <w:left w:val="none" w:sz="0" w:space="0" w:color="auto"/>
              <w:bottom w:val="none" w:sz="0" w:space="0" w:color="auto"/>
              <w:right w:val="none" w:sz="0" w:space="0" w:color="auto"/>
            </w:tcBorders>
            <w:shd w:val="clear" w:color="auto" w:fill="448A99"/>
            <w:vAlign w:val="center"/>
          </w:tcPr>
          <w:p w:rsidR="00DD47C6" w:rsidRPr="00530996" w:rsidRDefault="00DD47C6" w:rsidP="0088266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NPV Benefit</w:t>
            </w:r>
            <w:r w:rsidR="007D0103">
              <w:rPr>
                <w:sz w:val="20"/>
                <w:szCs w:val="20"/>
              </w:rPr>
              <w:t>s ($Million</w:t>
            </w:r>
          </w:p>
        </w:tc>
        <w:tc>
          <w:tcPr>
            <w:tcW w:w="1206" w:type="pct"/>
            <w:tcBorders>
              <w:top w:val="none" w:sz="0" w:space="0" w:color="auto"/>
              <w:left w:val="none" w:sz="0" w:space="0" w:color="auto"/>
              <w:bottom w:val="none" w:sz="0" w:space="0" w:color="auto"/>
              <w:right w:val="none" w:sz="0" w:space="0" w:color="auto"/>
            </w:tcBorders>
            <w:shd w:val="clear" w:color="auto" w:fill="448A99"/>
            <w:vAlign w:val="center"/>
          </w:tcPr>
          <w:p w:rsidR="00DD47C6" w:rsidRPr="00530996" w:rsidRDefault="00DD47C6" w:rsidP="0088266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 of Net Benefits</w:t>
            </w:r>
            <w:r w:rsidR="007D0103">
              <w:rPr>
                <w:sz w:val="20"/>
                <w:szCs w:val="20"/>
              </w:rPr>
              <w:t xml:space="preserve"> ($Million)</w:t>
            </w:r>
          </w:p>
        </w:tc>
        <w:tc>
          <w:tcPr>
            <w:tcW w:w="882" w:type="pct"/>
            <w:tcBorders>
              <w:top w:val="none" w:sz="0" w:space="0" w:color="auto"/>
              <w:left w:val="none" w:sz="0" w:space="0" w:color="auto"/>
              <w:bottom w:val="none" w:sz="0" w:space="0" w:color="auto"/>
              <w:right w:val="none" w:sz="0" w:space="0" w:color="auto"/>
            </w:tcBorders>
            <w:shd w:val="clear" w:color="auto" w:fill="448A99"/>
            <w:vAlign w:val="center"/>
          </w:tcPr>
          <w:p w:rsidR="00DD47C6" w:rsidRPr="00530996" w:rsidRDefault="00DD47C6" w:rsidP="0088266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Scenario TRC</w:t>
            </w:r>
          </w:p>
        </w:tc>
      </w:tr>
      <w:tr w:rsidR="007D0103" w:rsidRPr="005414F9" w:rsidTr="007D010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24" w:type="pct"/>
            <w:tcBorders>
              <w:right w:val="none" w:sz="0" w:space="0" w:color="auto"/>
            </w:tcBorders>
          </w:tcPr>
          <w:p w:rsidR="007D0103" w:rsidRPr="00387BDD" w:rsidRDefault="007D0103" w:rsidP="00A83ABC">
            <w:pPr>
              <w:jc w:val="left"/>
              <w:rPr>
                <w:rFonts w:eastAsia="Times New Roman" w:cs="Times New Roman"/>
                <w:b w:val="0"/>
                <w:color w:val="000000"/>
                <w:sz w:val="20"/>
                <w:szCs w:val="20"/>
              </w:rPr>
            </w:pPr>
            <w:r w:rsidRPr="00387BDD">
              <w:rPr>
                <w:rFonts w:eastAsia="Times New Roman" w:cs="Times New Roman"/>
                <w:b w:val="0"/>
                <w:color w:val="000000"/>
                <w:sz w:val="20"/>
                <w:szCs w:val="20"/>
              </w:rPr>
              <w:t>100/0</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$1,692</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$3,184</w:t>
            </w:r>
          </w:p>
        </w:tc>
        <w:tc>
          <w:tcPr>
            <w:tcW w:w="1206" w:type="pct"/>
            <w:tcBorders>
              <w:left w:val="none" w:sz="0" w:space="0" w:color="auto"/>
              <w:righ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$1,492</w:t>
            </w:r>
          </w:p>
        </w:tc>
        <w:tc>
          <w:tcPr>
            <w:tcW w:w="882" w:type="pct"/>
            <w:tcBorders>
              <w:lef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1.882</w:t>
            </w:r>
          </w:p>
        </w:tc>
      </w:tr>
      <w:tr w:rsidR="007D0103" w:rsidRPr="005414F9" w:rsidTr="007D010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24" w:type="pct"/>
            <w:tcBorders>
              <w:right w:val="none" w:sz="0" w:space="0" w:color="auto"/>
            </w:tcBorders>
          </w:tcPr>
          <w:p w:rsidR="007D0103" w:rsidRPr="00387BDD" w:rsidRDefault="007D0103" w:rsidP="00A83ABC">
            <w:pPr>
              <w:jc w:val="left"/>
              <w:rPr>
                <w:rFonts w:eastAsia="Times New Roman" w:cs="Times New Roman"/>
                <w:b w:val="0"/>
                <w:color w:val="000000"/>
                <w:sz w:val="20"/>
                <w:szCs w:val="20"/>
              </w:rPr>
            </w:pPr>
            <w:r w:rsidRPr="00387BDD">
              <w:rPr>
                <w:rFonts w:eastAsia="Times New Roman" w:cs="Times New Roman"/>
                <w:b w:val="0"/>
                <w:color w:val="000000"/>
                <w:sz w:val="20"/>
                <w:szCs w:val="20"/>
              </w:rPr>
              <w:t>90/10</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$1,612</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$3,028</w:t>
            </w:r>
          </w:p>
        </w:tc>
        <w:tc>
          <w:tcPr>
            <w:tcW w:w="1206" w:type="pct"/>
            <w:tcBorders>
              <w:left w:val="none" w:sz="0" w:space="0" w:color="auto"/>
              <w:righ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$1,416</w:t>
            </w:r>
          </w:p>
        </w:tc>
        <w:tc>
          <w:tcPr>
            <w:tcW w:w="882" w:type="pct"/>
            <w:tcBorders>
              <w:lef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1.879</w:t>
            </w:r>
          </w:p>
        </w:tc>
      </w:tr>
      <w:tr w:rsidR="007D0103" w:rsidRPr="005414F9" w:rsidTr="007D010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24" w:type="pct"/>
            <w:tcBorders>
              <w:right w:val="none" w:sz="0" w:space="0" w:color="auto"/>
            </w:tcBorders>
          </w:tcPr>
          <w:p w:rsidR="007D0103" w:rsidRPr="00387BDD" w:rsidRDefault="007D0103" w:rsidP="00A83ABC">
            <w:pPr>
              <w:jc w:val="left"/>
              <w:rPr>
                <w:rFonts w:eastAsia="Times New Roman" w:cs="Times New Roman"/>
                <w:b w:val="0"/>
                <w:color w:val="000000"/>
                <w:sz w:val="20"/>
                <w:szCs w:val="20"/>
              </w:rPr>
            </w:pPr>
            <w:r w:rsidRPr="00387BDD">
              <w:rPr>
                <w:rFonts w:eastAsia="Times New Roman" w:cs="Times New Roman"/>
                <w:b w:val="0"/>
                <w:color w:val="000000"/>
                <w:sz w:val="20"/>
                <w:szCs w:val="20"/>
              </w:rPr>
              <w:t>85/15</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$1,572</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$2,950</w:t>
            </w:r>
          </w:p>
        </w:tc>
        <w:tc>
          <w:tcPr>
            <w:tcW w:w="1206" w:type="pct"/>
            <w:tcBorders>
              <w:left w:val="none" w:sz="0" w:space="0" w:color="auto"/>
              <w:righ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$1,378</w:t>
            </w:r>
          </w:p>
        </w:tc>
        <w:tc>
          <w:tcPr>
            <w:tcW w:w="882" w:type="pct"/>
            <w:tcBorders>
              <w:left w:val="none" w:sz="0" w:space="0" w:color="auto"/>
            </w:tcBorders>
            <w:noWrap/>
            <w:vAlign w:val="center"/>
            <w:hideMark/>
          </w:tcPr>
          <w:p w:rsidR="007D0103" w:rsidRDefault="007D0103"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1.877</w:t>
            </w:r>
          </w:p>
        </w:tc>
      </w:tr>
      <w:tr w:rsidR="007D0103" w:rsidRPr="005414F9" w:rsidTr="007D010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24" w:type="pct"/>
            <w:tcBorders>
              <w:right w:val="none" w:sz="0" w:space="0" w:color="auto"/>
            </w:tcBorders>
          </w:tcPr>
          <w:p w:rsidR="007D0103" w:rsidRPr="00387BDD" w:rsidRDefault="007D0103" w:rsidP="00A83ABC">
            <w:pPr>
              <w:jc w:val="left"/>
              <w:rPr>
                <w:rFonts w:eastAsia="Times New Roman" w:cs="Times New Roman"/>
                <w:b w:val="0"/>
                <w:color w:val="000000"/>
                <w:sz w:val="20"/>
                <w:szCs w:val="20"/>
              </w:rPr>
            </w:pPr>
            <w:r w:rsidRPr="00387BDD">
              <w:rPr>
                <w:rFonts w:eastAsia="Times New Roman" w:cs="Times New Roman"/>
                <w:b w:val="0"/>
                <w:color w:val="000000"/>
                <w:sz w:val="20"/>
                <w:szCs w:val="20"/>
              </w:rPr>
              <w:t>80/20</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$1,531</w:t>
            </w:r>
          </w:p>
        </w:tc>
        <w:tc>
          <w:tcPr>
            <w:tcW w:w="994" w:type="pct"/>
            <w:tcBorders>
              <w:left w:val="none" w:sz="0" w:space="0" w:color="auto"/>
              <w:righ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$2,871</w:t>
            </w:r>
          </w:p>
        </w:tc>
        <w:tc>
          <w:tcPr>
            <w:tcW w:w="1206" w:type="pct"/>
            <w:tcBorders>
              <w:left w:val="none" w:sz="0" w:space="0" w:color="auto"/>
              <w:righ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$1,340</w:t>
            </w:r>
          </w:p>
        </w:tc>
        <w:tc>
          <w:tcPr>
            <w:tcW w:w="882" w:type="pct"/>
            <w:tcBorders>
              <w:left w:val="none" w:sz="0" w:space="0" w:color="auto"/>
            </w:tcBorders>
            <w:noWrap/>
            <w:vAlign w:val="center"/>
            <w:hideMark/>
          </w:tcPr>
          <w:p w:rsidR="007D0103" w:rsidRDefault="007D010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1.875</w:t>
            </w:r>
          </w:p>
        </w:tc>
      </w:tr>
    </w:tbl>
    <w:p w:rsidR="003D7322" w:rsidRPr="007F473C" w:rsidRDefault="003D7322" w:rsidP="00A83ABC"/>
    <w:p w:rsidR="0028301F" w:rsidRDefault="003D7322" w:rsidP="00A83ABC">
      <w:r w:rsidRPr="007F1EB9">
        <w:t>The potential energy and peak demand savings associated with each of the four funding allocations over a five-year Phase III are presented in</w:t>
      </w:r>
      <w:r w:rsidR="007F1EB9">
        <w:t xml:space="preserve"> </w:t>
      </w:r>
      <w:r w:rsidR="007F1EB9">
        <w:fldChar w:fldCharType="begin"/>
      </w:r>
      <w:r w:rsidR="007F1EB9">
        <w:instrText xml:space="preserve"> REF _Ref408325650 \h </w:instrText>
      </w:r>
      <w:r w:rsidR="007F1EB9">
        <w:fldChar w:fldCharType="separate"/>
      </w:r>
      <w:r w:rsidR="00803DBE">
        <w:t xml:space="preserve">Table </w:t>
      </w:r>
      <w:r w:rsidR="00803DBE">
        <w:rPr>
          <w:noProof/>
        </w:rPr>
        <w:t>1</w:t>
      </w:r>
      <w:r w:rsidR="00803DBE">
        <w:noBreakHyphen/>
      </w:r>
      <w:r w:rsidR="00803DBE">
        <w:rPr>
          <w:noProof/>
        </w:rPr>
        <w:t>12</w:t>
      </w:r>
      <w:r w:rsidR="007F1EB9">
        <w:fldChar w:fldCharType="end"/>
      </w:r>
      <w:r>
        <w:t>.</w:t>
      </w:r>
      <w:r w:rsidR="00EA67A9">
        <w:t xml:space="preserve"> </w:t>
      </w:r>
      <w:r w:rsidR="00DF11DF">
        <w:t>EDC-specific results are shown in</w:t>
      </w:r>
      <w:r w:rsidR="00B573B2">
        <w:t xml:space="preserve"> </w:t>
      </w:r>
      <w:r w:rsidR="00B573B2" w:rsidRPr="004E0D2E">
        <w:fldChar w:fldCharType="begin"/>
      </w:r>
      <w:r w:rsidR="00B573B2" w:rsidRPr="004E0D2E">
        <w:instrText xml:space="preserve"> REF _Ref412455879 \h  \* MERGEFORMAT </w:instrText>
      </w:r>
      <w:r w:rsidR="00B573B2" w:rsidRPr="004E0D2E">
        <w:fldChar w:fldCharType="separate"/>
      </w:r>
      <w:r w:rsidR="00803DBE">
        <w:t xml:space="preserve">Table </w:t>
      </w:r>
      <w:r w:rsidR="00803DBE">
        <w:rPr>
          <w:noProof/>
        </w:rPr>
        <w:t>7</w:t>
      </w:r>
      <w:r w:rsidR="00803DBE">
        <w:rPr>
          <w:noProof/>
        </w:rPr>
        <w:noBreakHyphen/>
        <w:t>7</w:t>
      </w:r>
      <w:r w:rsidR="00B573B2" w:rsidRPr="004E0D2E">
        <w:fldChar w:fldCharType="end"/>
      </w:r>
      <w:r w:rsidR="00DF11DF">
        <w:t xml:space="preserve">. </w:t>
      </w:r>
      <w:r w:rsidR="00EA67A9">
        <w:t xml:space="preserve">Peak demand savings are presented separately for </w:t>
      </w:r>
      <w:r w:rsidR="00857521">
        <w:t>EE</w:t>
      </w:r>
      <w:r w:rsidR="00EA67A9">
        <w:t xml:space="preserve"> and demand savings because of </w:t>
      </w:r>
      <w:r w:rsidR="00DF11DF">
        <w:t xml:space="preserve">subtle </w:t>
      </w:r>
      <w:r w:rsidR="00EA67A9">
        <w:t xml:space="preserve">differences in definition. For </w:t>
      </w:r>
      <w:r w:rsidR="00857521">
        <w:t>EE</w:t>
      </w:r>
      <w:r w:rsidR="00EA67A9">
        <w:t xml:space="preserve">, only the first-year peak demand reductions resulting from installations in that program year are counted, but demand savings typically last for many years. For </w:t>
      </w:r>
      <w:r w:rsidR="00037A03">
        <w:t>DR</w:t>
      </w:r>
      <w:r w:rsidR="00EA67A9">
        <w:t xml:space="preserve">, the </w:t>
      </w:r>
      <w:r w:rsidR="00D97D50">
        <w:t xml:space="preserve">impacts are net of “business as usual” PJM projections and </w:t>
      </w:r>
      <w:r w:rsidR="00EA67A9">
        <w:t xml:space="preserve">expected reductions in each of the five program years are averaged. </w:t>
      </w:r>
    </w:p>
    <w:p w:rsidR="003D7322" w:rsidRPr="00861A7C" w:rsidRDefault="003D7322" w:rsidP="00A83ABC"/>
    <w:p w:rsidR="003D7322" w:rsidRDefault="003D7322" w:rsidP="00A83ABC">
      <w:pPr>
        <w:pStyle w:val="Caption"/>
        <w:keepNext/>
      </w:pPr>
      <w:bookmarkStart w:id="42" w:name="_Ref407791973"/>
      <w:bookmarkStart w:id="43" w:name="_Ref408325650"/>
      <w:bookmarkStart w:id="44" w:name="_Toc412628446"/>
      <w:r>
        <w:t xml:space="preserve">Table </w:t>
      </w:r>
      <w:r w:rsidR="00E2011B">
        <w:fldChar w:fldCharType="begin"/>
      </w:r>
      <w:r w:rsidR="00E2011B">
        <w:instrText xml:space="preserve"> STYLEREF 1 \s </w:instrText>
      </w:r>
      <w:r w:rsidR="00E2011B">
        <w:fldChar w:fldCharType="separate"/>
      </w:r>
      <w:r w:rsidR="00803DBE">
        <w:rPr>
          <w:noProof/>
        </w:rPr>
        <w:t>1</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12</w:t>
      </w:r>
      <w:r w:rsidR="00E2011B">
        <w:rPr>
          <w:noProof/>
        </w:rPr>
        <w:fldChar w:fldCharType="end"/>
      </w:r>
      <w:bookmarkEnd w:id="42"/>
      <w:bookmarkEnd w:id="43"/>
      <w:r>
        <w:t xml:space="preserve">: </w:t>
      </w:r>
      <w:r w:rsidR="00DF11DF">
        <w:t xml:space="preserve">Statewide </w:t>
      </w:r>
      <w:r>
        <w:t xml:space="preserve">Energy and Demand Impacts for </w:t>
      </w:r>
      <w:r w:rsidR="00857521">
        <w:t>EE</w:t>
      </w:r>
      <w:r>
        <w:t xml:space="preserve"> and </w:t>
      </w:r>
      <w:r w:rsidR="00037A03">
        <w:t>DR</w:t>
      </w:r>
      <w:r>
        <w:t xml:space="preserve"> Funding Allocation Scenarios</w:t>
      </w:r>
      <w:bookmarkEnd w:id="44"/>
    </w:p>
    <w:tbl>
      <w:tblPr>
        <w:tblStyle w:val="MediumShading1-Accent5"/>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27"/>
        <w:gridCol w:w="2644"/>
        <w:gridCol w:w="2644"/>
        <w:gridCol w:w="2645"/>
      </w:tblGrid>
      <w:tr w:rsidR="00DD47C6" w:rsidRPr="00530996" w:rsidTr="008826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2" w:type="pct"/>
            <w:tcBorders>
              <w:top w:val="none" w:sz="0" w:space="0" w:color="auto"/>
              <w:left w:val="none" w:sz="0" w:space="0" w:color="auto"/>
              <w:bottom w:val="none" w:sz="0" w:space="0" w:color="auto"/>
              <w:right w:val="none" w:sz="0" w:space="0" w:color="auto"/>
            </w:tcBorders>
            <w:shd w:val="clear" w:color="auto" w:fill="448A99"/>
            <w:vAlign w:val="center"/>
          </w:tcPr>
          <w:p w:rsidR="00DD47C6" w:rsidRDefault="00DD47C6" w:rsidP="0088266D">
            <w:pPr>
              <w:jc w:val="center"/>
              <w:rPr>
                <w:sz w:val="20"/>
                <w:szCs w:val="20"/>
              </w:rPr>
            </w:pPr>
            <w:r>
              <w:rPr>
                <w:sz w:val="20"/>
                <w:szCs w:val="20"/>
              </w:rPr>
              <w:t>Scenario (EE/DR)</w:t>
            </w:r>
          </w:p>
        </w:tc>
        <w:tc>
          <w:tcPr>
            <w:tcW w:w="1412" w:type="pct"/>
            <w:tcBorders>
              <w:top w:val="none" w:sz="0" w:space="0" w:color="auto"/>
              <w:left w:val="none" w:sz="0" w:space="0" w:color="auto"/>
              <w:bottom w:val="none" w:sz="0" w:space="0" w:color="auto"/>
              <w:right w:val="none" w:sz="0" w:space="0" w:color="auto"/>
            </w:tcBorders>
            <w:shd w:val="clear" w:color="auto" w:fill="448A99"/>
            <w:vAlign w:val="center"/>
          </w:tcPr>
          <w:p w:rsidR="00DD47C6" w:rsidRPr="00530996" w:rsidRDefault="00DD47C6" w:rsidP="0088266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Sum of Incremental Annual </w:t>
            </w:r>
            <w:r w:rsidR="00387BDD">
              <w:rPr>
                <w:sz w:val="20"/>
                <w:szCs w:val="20"/>
              </w:rPr>
              <w:t>Megawatt-Hour (MWh) Savings from EE</w:t>
            </w:r>
          </w:p>
        </w:tc>
        <w:tc>
          <w:tcPr>
            <w:tcW w:w="1412" w:type="pct"/>
            <w:tcBorders>
              <w:top w:val="none" w:sz="0" w:space="0" w:color="auto"/>
              <w:left w:val="none" w:sz="0" w:space="0" w:color="auto"/>
              <w:bottom w:val="none" w:sz="0" w:space="0" w:color="auto"/>
              <w:right w:val="none" w:sz="0" w:space="0" w:color="auto"/>
            </w:tcBorders>
            <w:shd w:val="clear" w:color="auto" w:fill="448A99"/>
            <w:vAlign w:val="center"/>
          </w:tcPr>
          <w:p w:rsidR="00DD47C6" w:rsidRPr="00530996" w:rsidRDefault="00DD47C6" w:rsidP="0088266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Sum of Incremental Annual MW Savings from EE</w:t>
            </w:r>
          </w:p>
        </w:tc>
        <w:tc>
          <w:tcPr>
            <w:tcW w:w="1413" w:type="pct"/>
            <w:tcBorders>
              <w:top w:val="none" w:sz="0" w:space="0" w:color="auto"/>
              <w:left w:val="none" w:sz="0" w:space="0" w:color="auto"/>
              <w:bottom w:val="none" w:sz="0" w:space="0" w:color="auto"/>
              <w:right w:val="none" w:sz="0" w:space="0" w:color="auto"/>
            </w:tcBorders>
            <w:shd w:val="clear" w:color="auto" w:fill="448A99"/>
            <w:vAlign w:val="center"/>
          </w:tcPr>
          <w:p w:rsidR="00DD47C6" w:rsidRPr="00530996" w:rsidRDefault="00EA67A9" w:rsidP="0088266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Average</w:t>
            </w:r>
            <w:r w:rsidR="00DD47C6">
              <w:rPr>
                <w:sz w:val="20"/>
                <w:szCs w:val="20"/>
              </w:rPr>
              <w:t xml:space="preserve"> Annual MW Savings from </w:t>
            </w:r>
            <w:r w:rsidR="00037A03">
              <w:rPr>
                <w:sz w:val="20"/>
                <w:szCs w:val="20"/>
              </w:rPr>
              <w:t>DR</w:t>
            </w:r>
          </w:p>
        </w:tc>
      </w:tr>
      <w:tr w:rsidR="00DD47C6" w:rsidRPr="005414F9"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62" w:type="pct"/>
            <w:tcBorders>
              <w:right w:val="none" w:sz="0" w:space="0" w:color="auto"/>
            </w:tcBorders>
            <w:noWrap/>
            <w:vAlign w:val="center"/>
            <w:hideMark/>
          </w:tcPr>
          <w:p w:rsidR="00DD47C6" w:rsidRPr="00DF11DF" w:rsidRDefault="00DD47C6" w:rsidP="00A83ABC">
            <w:pPr>
              <w:jc w:val="left"/>
              <w:rPr>
                <w:rFonts w:eastAsia="Times New Roman" w:cs="Times New Roman"/>
                <w:b w:val="0"/>
                <w:bCs w:val="0"/>
                <w:color w:val="000000"/>
                <w:sz w:val="20"/>
                <w:szCs w:val="20"/>
              </w:rPr>
            </w:pPr>
            <w:r w:rsidRPr="00DF11DF">
              <w:rPr>
                <w:rFonts w:eastAsia="Times New Roman" w:cs="Times New Roman"/>
                <w:b w:val="0"/>
                <w:bCs w:val="0"/>
                <w:color w:val="000000"/>
                <w:sz w:val="20"/>
                <w:szCs w:val="20"/>
              </w:rPr>
              <w:t>100/0</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6,629,460</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916</w:t>
            </w:r>
          </w:p>
        </w:tc>
        <w:tc>
          <w:tcPr>
            <w:tcW w:w="1413" w:type="pct"/>
            <w:tcBorders>
              <w:left w:val="none" w:sz="0" w:space="0" w:color="auto"/>
            </w:tcBorders>
            <w:noWrap/>
            <w:vAlign w:val="center"/>
            <w:hideMark/>
          </w:tcPr>
          <w:p w:rsidR="00DD47C6" w:rsidRPr="00DF11DF" w:rsidRDefault="00DD47C6"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DF11DF">
              <w:rPr>
                <w:rFonts w:ascii="Calibri" w:hAnsi="Calibri"/>
                <w:color w:val="000000"/>
                <w:sz w:val="20"/>
                <w:szCs w:val="20"/>
              </w:rPr>
              <w:t>0</w:t>
            </w:r>
          </w:p>
        </w:tc>
      </w:tr>
      <w:tr w:rsidR="00DD47C6" w:rsidRPr="005414F9"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62" w:type="pct"/>
            <w:tcBorders>
              <w:right w:val="none" w:sz="0" w:space="0" w:color="auto"/>
            </w:tcBorders>
            <w:noWrap/>
            <w:vAlign w:val="center"/>
            <w:hideMark/>
          </w:tcPr>
          <w:p w:rsidR="00DD47C6" w:rsidRPr="00DF11DF" w:rsidRDefault="00DD47C6" w:rsidP="00A83ABC">
            <w:pPr>
              <w:jc w:val="left"/>
              <w:rPr>
                <w:rFonts w:eastAsia="Times New Roman" w:cs="Times New Roman"/>
                <w:b w:val="0"/>
                <w:bCs w:val="0"/>
                <w:color w:val="000000"/>
                <w:sz w:val="20"/>
                <w:szCs w:val="20"/>
              </w:rPr>
            </w:pPr>
            <w:r w:rsidRPr="00DF11DF">
              <w:rPr>
                <w:rFonts w:eastAsia="Times New Roman" w:cs="Times New Roman"/>
                <w:b w:val="0"/>
                <w:bCs w:val="0"/>
                <w:color w:val="000000"/>
                <w:sz w:val="20"/>
                <w:szCs w:val="20"/>
              </w:rPr>
              <w:t>90/10</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5,966,514</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824</w:t>
            </w:r>
          </w:p>
        </w:tc>
        <w:tc>
          <w:tcPr>
            <w:tcW w:w="1413" w:type="pct"/>
            <w:tcBorders>
              <w:left w:val="none" w:sz="0" w:space="0" w:color="auto"/>
            </w:tcBorders>
            <w:noWrap/>
            <w:vAlign w:val="center"/>
            <w:hideMark/>
          </w:tcPr>
          <w:p w:rsidR="00DD47C6" w:rsidRPr="00DF11DF" w:rsidRDefault="00D97D50"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 w:val="20"/>
                <w:szCs w:val="20"/>
              </w:rPr>
            </w:pPr>
            <w:r>
              <w:rPr>
                <w:rFonts w:ascii="Calibri" w:hAnsi="Calibri"/>
                <w:bCs/>
                <w:color w:val="000000"/>
                <w:sz w:val="20"/>
                <w:szCs w:val="20"/>
              </w:rPr>
              <w:t>375</w:t>
            </w:r>
          </w:p>
        </w:tc>
      </w:tr>
      <w:tr w:rsidR="00DD47C6" w:rsidRPr="005414F9" w:rsidTr="00D85C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62" w:type="pct"/>
            <w:tcBorders>
              <w:right w:val="none" w:sz="0" w:space="0" w:color="auto"/>
            </w:tcBorders>
            <w:noWrap/>
            <w:vAlign w:val="center"/>
            <w:hideMark/>
          </w:tcPr>
          <w:p w:rsidR="00DD47C6" w:rsidRPr="00DF11DF" w:rsidRDefault="00DD47C6" w:rsidP="00A83ABC">
            <w:pPr>
              <w:jc w:val="left"/>
              <w:rPr>
                <w:rFonts w:eastAsia="Times New Roman" w:cs="Times New Roman"/>
                <w:b w:val="0"/>
                <w:bCs w:val="0"/>
                <w:color w:val="000000"/>
                <w:sz w:val="20"/>
                <w:szCs w:val="20"/>
              </w:rPr>
            </w:pPr>
            <w:r w:rsidRPr="00DF11DF">
              <w:rPr>
                <w:rFonts w:eastAsia="Times New Roman" w:cs="Times New Roman"/>
                <w:b w:val="0"/>
                <w:bCs w:val="0"/>
                <w:color w:val="000000"/>
                <w:sz w:val="20"/>
                <w:szCs w:val="20"/>
              </w:rPr>
              <w:t>85/15</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5,635,041</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779</w:t>
            </w:r>
          </w:p>
        </w:tc>
        <w:tc>
          <w:tcPr>
            <w:tcW w:w="1413" w:type="pct"/>
            <w:tcBorders>
              <w:left w:val="none" w:sz="0" w:space="0" w:color="auto"/>
            </w:tcBorders>
            <w:noWrap/>
            <w:vAlign w:val="center"/>
            <w:hideMark/>
          </w:tcPr>
          <w:p w:rsidR="00DD47C6" w:rsidRPr="00DF11DF" w:rsidRDefault="00D97D50"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szCs w:val="20"/>
              </w:rPr>
            </w:pPr>
            <w:r>
              <w:rPr>
                <w:rFonts w:ascii="Calibri" w:hAnsi="Calibri"/>
                <w:bCs/>
                <w:color w:val="000000"/>
                <w:sz w:val="20"/>
                <w:szCs w:val="20"/>
              </w:rPr>
              <w:t>492</w:t>
            </w:r>
          </w:p>
        </w:tc>
      </w:tr>
      <w:tr w:rsidR="00DD47C6" w:rsidRPr="005414F9" w:rsidTr="00D85C9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62" w:type="pct"/>
            <w:tcBorders>
              <w:right w:val="none" w:sz="0" w:space="0" w:color="auto"/>
            </w:tcBorders>
            <w:noWrap/>
            <w:vAlign w:val="center"/>
            <w:hideMark/>
          </w:tcPr>
          <w:p w:rsidR="00DD47C6" w:rsidRPr="00DF11DF" w:rsidRDefault="00DD47C6" w:rsidP="00A83ABC">
            <w:pPr>
              <w:jc w:val="left"/>
              <w:rPr>
                <w:rFonts w:eastAsia="Times New Roman" w:cs="Times New Roman"/>
                <w:b w:val="0"/>
                <w:bCs w:val="0"/>
                <w:color w:val="000000"/>
                <w:sz w:val="20"/>
                <w:szCs w:val="20"/>
              </w:rPr>
            </w:pPr>
            <w:r w:rsidRPr="00DF11DF">
              <w:rPr>
                <w:rFonts w:eastAsia="Times New Roman" w:cs="Times New Roman"/>
                <w:b w:val="0"/>
                <w:bCs w:val="0"/>
                <w:color w:val="000000"/>
                <w:sz w:val="20"/>
                <w:szCs w:val="20"/>
              </w:rPr>
              <w:t>80/20</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5,303,568</w:t>
            </w:r>
          </w:p>
        </w:tc>
        <w:tc>
          <w:tcPr>
            <w:tcW w:w="1412" w:type="pct"/>
            <w:tcBorders>
              <w:left w:val="none" w:sz="0" w:space="0" w:color="auto"/>
              <w:right w:val="none" w:sz="0" w:space="0" w:color="auto"/>
            </w:tcBorders>
            <w:noWrap/>
            <w:vAlign w:val="center"/>
            <w:hideMark/>
          </w:tcPr>
          <w:p w:rsidR="00DD47C6" w:rsidRPr="00DF11DF" w:rsidRDefault="00DD47C6"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 w:val="20"/>
                <w:szCs w:val="20"/>
              </w:rPr>
            </w:pPr>
            <w:r w:rsidRPr="00DF11DF">
              <w:rPr>
                <w:rFonts w:ascii="Calibri" w:hAnsi="Calibri"/>
                <w:bCs/>
                <w:color w:val="000000"/>
                <w:sz w:val="20"/>
                <w:szCs w:val="20"/>
              </w:rPr>
              <w:t>733</w:t>
            </w:r>
          </w:p>
        </w:tc>
        <w:tc>
          <w:tcPr>
            <w:tcW w:w="1413" w:type="pct"/>
            <w:tcBorders>
              <w:left w:val="none" w:sz="0" w:space="0" w:color="auto"/>
            </w:tcBorders>
            <w:noWrap/>
            <w:vAlign w:val="center"/>
            <w:hideMark/>
          </w:tcPr>
          <w:p w:rsidR="00DD47C6" w:rsidRPr="00DF11DF" w:rsidRDefault="00D97D50"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 w:val="20"/>
                <w:szCs w:val="20"/>
              </w:rPr>
            </w:pPr>
            <w:r>
              <w:rPr>
                <w:rFonts w:ascii="Calibri" w:hAnsi="Calibri"/>
                <w:bCs/>
                <w:color w:val="000000"/>
                <w:sz w:val="20"/>
                <w:szCs w:val="20"/>
              </w:rPr>
              <w:t>607</w:t>
            </w:r>
          </w:p>
        </w:tc>
      </w:tr>
    </w:tbl>
    <w:p w:rsidR="00861A7C" w:rsidRPr="00861A7C" w:rsidRDefault="00861A7C" w:rsidP="00A83ABC"/>
    <w:p w:rsidR="009530D2" w:rsidRPr="00861A7C" w:rsidRDefault="007F473C" w:rsidP="00A83ABC">
      <w:pPr>
        <w:pStyle w:val="Heading2"/>
      </w:pPr>
      <w:bookmarkStart w:id="45" w:name="_Toc412628369"/>
      <w:r w:rsidRPr="00861A7C">
        <w:t>Organization of the Report</w:t>
      </w:r>
      <w:bookmarkEnd w:id="45"/>
    </w:p>
    <w:p w:rsidR="0095463F" w:rsidRPr="0095463F" w:rsidRDefault="0095463F" w:rsidP="00A83ABC">
      <w:pPr>
        <w:spacing w:after="120"/>
        <w:rPr>
          <w:rFonts w:eastAsia="Times New Roman" w:cs="Garamond"/>
        </w:rPr>
      </w:pPr>
      <w:r w:rsidRPr="0095463F">
        <w:rPr>
          <w:rFonts w:eastAsia="Times New Roman" w:cs="Garamond"/>
        </w:rPr>
        <w:t xml:space="preserve">The remainder of this report is </w:t>
      </w:r>
      <w:r w:rsidR="0054066A">
        <w:rPr>
          <w:rFonts w:eastAsia="Times New Roman" w:cs="Garamond"/>
        </w:rPr>
        <w:t xml:space="preserve">organized in the following </w:t>
      </w:r>
      <w:r w:rsidRPr="0095463F">
        <w:rPr>
          <w:rFonts w:eastAsia="Times New Roman" w:cs="Garamond"/>
        </w:rPr>
        <w:t>sections:</w:t>
      </w:r>
    </w:p>
    <w:p w:rsidR="0095463F" w:rsidRPr="0095463F" w:rsidRDefault="0095463F" w:rsidP="00A83ABC">
      <w:pPr>
        <w:spacing w:after="120"/>
        <w:rPr>
          <w:rFonts w:eastAsia="Times New Roman" w:cs="Garamond"/>
        </w:rPr>
      </w:pPr>
      <w:r w:rsidRPr="0095463F">
        <w:rPr>
          <w:rFonts w:eastAsia="Times New Roman" w:cs="Garamond"/>
          <w:b/>
          <w:bCs/>
          <w:i/>
          <w:iCs/>
          <w:color w:val="448A99"/>
        </w:rPr>
        <w:t xml:space="preserve">Section </w:t>
      </w:r>
      <w:r w:rsidR="007F473C">
        <w:rPr>
          <w:rFonts w:eastAsia="Times New Roman" w:cs="Garamond"/>
          <w:b/>
          <w:bCs/>
          <w:i/>
          <w:iCs/>
          <w:color w:val="448A99"/>
        </w:rPr>
        <w:fldChar w:fldCharType="begin"/>
      </w:r>
      <w:r w:rsidR="007F473C">
        <w:rPr>
          <w:rFonts w:eastAsia="Times New Roman" w:cs="Garamond"/>
          <w:b/>
          <w:bCs/>
          <w:i/>
          <w:iCs/>
          <w:color w:val="448A99"/>
        </w:rPr>
        <w:instrText xml:space="preserve"> REF _Ref407786461 \r \h </w:instrText>
      </w:r>
      <w:r w:rsidR="007F473C">
        <w:rPr>
          <w:rFonts w:eastAsia="Times New Roman" w:cs="Garamond"/>
          <w:b/>
          <w:bCs/>
          <w:i/>
          <w:iCs/>
          <w:color w:val="448A99"/>
        </w:rPr>
      </w:r>
      <w:r w:rsidR="007F473C">
        <w:rPr>
          <w:rFonts w:eastAsia="Times New Roman" w:cs="Garamond"/>
          <w:b/>
          <w:bCs/>
          <w:i/>
          <w:iCs/>
          <w:color w:val="448A99"/>
        </w:rPr>
        <w:fldChar w:fldCharType="separate"/>
      </w:r>
      <w:r w:rsidR="00803DBE">
        <w:rPr>
          <w:rFonts w:eastAsia="Times New Roman" w:cs="Garamond"/>
          <w:b/>
          <w:bCs/>
          <w:i/>
          <w:iCs/>
          <w:color w:val="448A99"/>
        </w:rPr>
        <w:t>2</w:t>
      </w:r>
      <w:r w:rsidR="007F473C">
        <w:rPr>
          <w:rFonts w:eastAsia="Times New Roman" w:cs="Garamond"/>
          <w:b/>
          <w:bCs/>
          <w:i/>
          <w:iCs/>
          <w:color w:val="448A99"/>
        </w:rPr>
        <w:fldChar w:fldCharType="end"/>
      </w:r>
      <w:r w:rsidR="007F473C">
        <w:rPr>
          <w:rFonts w:eastAsia="Times New Roman" w:cs="Garamond"/>
          <w:b/>
          <w:bCs/>
          <w:i/>
          <w:iCs/>
          <w:color w:val="448A99"/>
        </w:rPr>
        <w:t>:</w:t>
      </w:r>
      <w:r w:rsidRPr="0095463F">
        <w:rPr>
          <w:rFonts w:eastAsia="Times New Roman" w:cs="Garamond"/>
          <w:b/>
          <w:bCs/>
          <w:i/>
          <w:iCs/>
          <w:color w:val="448A99"/>
        </w:rPr>
        <w:t xml:space="preserve"> </w:t>
      </w:r>
      <w:r w:rsidRPr="00813FE4">
        <w:rPr>
          <w:rFonts w:eastAsia="Times New Roman" w:cs="Garamond"/>
          <w:b/>
          <w:bCs/>
          <w:i/>
          <w:iCs/>
          <w:color w:val="448A99"/>
        </w:rPr>
        <w:t>Analysis Approach</w:t>
      </w:r>
      <w:r w:rsidRPr="0095463F">
        <w:rPr>
          <w:rFonts w:eastAsia="Times New Roman" w:cs="Garamond"/>
          <w:b/>
          <w:bCs/>
          <w:color w:val="448A99"/>
        </w:rPr>
        <w:t xml:space="preserve"> </w:t>
      </w:r>
      <w:r w:rsidRPr="0095463F">
        <w:rPr>
          <w:rFonts w:eastAsia="Times New Roman" w:cs="Garamond"/>
        </w:rPr>
        <w:t xml:space="preserve">details the </w:t>
      </w:r>
      <w:r>
        <w:rPr>
          <w:rFonts w:eastAsia="Times New Roman" w:cs="Garamond"/>
        </w:rPr>
        <w:t>methodology</w:t>
      </w:r>
      <w:r w:rsidRPr="0095463F">
        <w:rPr>
          <w:rFonts w:eastAsia="Times New Roman" w:cs="Garamond"/>
        </w:rPr>
        <w:t xml:space="preserve"> used to develop the estimates of technical, economic, achievable and program potential for electric </w:t>
      </w:r>
      <w:r w:rsidR="00857521">
        <w:rPr>
          <w:rFonts w:eastAsia="Times New Roman" w:cs="Garamond"/>
        </w:rPr>
        <w:t>EE</w:t>
      </w:r>
      <w:r w:rsidRPr="0095463F">
        <w:rPr>
          <w:rFonts w:eastAsia="Times New Roman" w:cs="Garamond"/>
        </w:rPr>
        <w:t xml:space="preserve"> savings.</w:t>
      </w:r>
    </w:p>
    <w:p w:rsidR="0095463F" w:rsidRPr="0095463F" w:rsidRDefault="00813FE4" w:rsidP="00A83ABC">
      <w:pPr>
        <w:spacing w:after="120"/>
        <w:rPr>
          <w:rFonts w:eastAsia="Times New Roman" w:cs="Garamond"/>
        </w:rPr>
      </w:pPr>
      <w:r>
        <w:rPr>
          <w:rFonts w:eastAsia="Times New Roman" w:cs="Garamond"/>
          <w:b/>
          <w:bCs/>
          <w:i/>
          <w:iCs/>
          <w:color w:val="448A99"/>
        </w:rPr>
        <w:t xml:space="preserve">Section </w:t>
      </w:r>
      <w:r w:rsidR="007F473C">
        <w:rPr>
          <w:rFonts w:eastAsia="Times New Roman" w:cs="Garamond"/>
          <w:b/>
          <w:bCs/>
          <w:i/>
          <w:iCs/>
          <w:color w:val="448A99"/>
        </w:rPr>
        <w:fldChar w:fldCharType="begin"/>
      </w:r>
      <w:r w:rsidR="007F473C">
        <w:rPr>
          <w:rFonts w:eastAsia="Times New Roman" w:cs="Garamond"/>
          <w:b/>
          <w:bCs/>
          <w:i/>
          <w:iCs/>
          <w:color w:val="448A99"/>
        </w:rPr>
        <w:instrText xml:space="preserve"> REF _Ref407786477 \r \h </w:instrText>
      </w:r>
      <w:r w:rsidR="007F473C">
        <w:rPr>
          <w:rFonts w:eastAsia="Times New Roman" w:cs="Garamond"/>
          <w:b/>
          <w:bCs/>
          <w:i/>
          <w:iCs/>
          <w:color w:val="448A99"/>
        </w:rPr>
      </w:r>
      <w:r w:rsidR="007F473C">
        <w:rPr>
          <w:rFonts w:eastAsia="Times New Roman" w:cs="Garamond"/>
          <w:b/>
          <w:bCs/>
          <w:i/>
          <w:iCs/>
          <w:color w:val="448A99"/>
        </w:rPr>
        <w:fldChar w:fldCharType="separate"/>
      </w:r>
      <w:r w:rsidR="00803DBE">
        <w:rPr>
          <w:rFonts w:eastAsia="Times New Roman" w:cs="Garamond"/>
          <w:b/>
          <w:bCs/>
          <w:i/>
          <w:iCs/>
          <w:color w:val="448A99"/>
        </w:rPr>
        <w:t>3</w:t>
      </w:r>
      <w:r w:rsidR="007F473C">
        <w:rPr>
          <w:rFonts w:eastAsia="Times New Roman" w:cs="Garamond"/>
          <w:b/>
          <w:bCs/>
          <w:i/>
          <w:iCs/>
          <w:color w:val="448A99"/>
        </w:rPr>
        <w:fldChar w:fldCharType="end"/>
      </w:r>
      <w:r w:rsidR="007F473C">
        <w:rPr>
          <w:rFonts w:eastAsia="Times New Roman" w:cs="Garamond"/>
          <w:b/>
          <w:bCs/>
          <w:i/>
          <w:iCs/>
          <w:color w:val="448A99"/>
        </w:rPr>
        <w:t>:</w:t>
      </w:r>
      <w:r w:rsidR="0095463F" w:rsidRPr="0095463F">
        <w:rPr>
          <w:rFonts w:eastAsia="Times New Roman" w:cs="Garamond"/>
          <w:b/>
          <w:bCs/>
          <w:i/>
          <w:iCs/>
          <w:color w:val="448A99"/>
        </w:rPr>
        <w:t xml:space="preserve"> Characterization of Pennsylvania Service Areas</w:t>
      </w:r>
      <w:r w:rsidR="0095463F" w:rsidRPr="0095463F">
        <w:rPr>
          <w:rFonts w:eastAsia="Times New Roman" w:cs="Garamond"/>
          <w:color w:val="448A99"/>
        </w:rPr>
        <w:t xml:space="preserve"> </w:t>
      </w:r>
      <w:r w:rsidR="007F473C" w:rsidRPr="007F473C">
        <w:rPr>
          <w:rFonts w:eastAsia="Times New Roman" w:cs="Garamond"/>
          <w:b/>
          <w:i/>
          <w:color w:val="448A99"/>
        </w:rPr>
        <w:t>and Phase I</w:t>
      </w:r>
      <w:r w:rsidR="007F473C">
        <w:rPr>
          <w:rFonts w:eastAsia="Times New Roman" w:cs="Garamond"/>
          <w:b/>
          <w:i/>
          <w:color w:val="448A99"/>
        </w:rPr>
        <w:t>/II</w:t>
      </w:r>
      <w:r w:rsidR="007F473C" w:rsidRPr="007F473C">
        <w:rPr>
          <w:rFonts w:eastAsia="Times New Roman" w:cs="Garamond"/>
          <w:b/>
          <w:i/>
          <w:color w:val="448A99"/>
        </w:rPr>
        <w:t xml:space="preserve"> </w:t>
      </w:r>
      <w:r w:rsidR="00AF175F">
        <w:rPr>
          <w:rFonts w:eastAsia="Times New Roman" w:cs="Garamond"/>
          <w:b/>
          <w:i/>
          <w:color w:val="448A99"/>
        </w:rPr>
        <w:t>Demand Response</w:t>
      </w:r>
      <w:r w:rsidR="00AF175F" w:rsidRPr="007F473C">
        <w:rPr>
          <w:rFonts w:eastAsia="Times New Roman" w:cs="Garamond"/>
          <w:b/>
          <w:i/>
          <w:color w:val="448A99"/>
        </w:rPr>
        <w:t xml:space="preserve"> </w:t>
      </w:r>
      <w:r w:rsidR="007F473C" w:rsidRPr="007F473C">
        <w:rPr>
          <w:rFonts w:eastAsia="Times New Roman" w:cs="Garamond"/>
          <w:b/>
          <w:i/>
          <w:color w:val="448A99"/>
        </w:rPr>
        <w:t>Offerings</w:t>
      </w:r>
      <w:r w:rsidR="007F473C">
        <w:rPr>
          <w:rFonts w:eastAsia="Times New Roman" w:cs="Garamond"/>
          <w:color w:val="448A99"/>
        </w:rPr>
        <w:t xml:space="preserve"> </w:t>
      </w:r>
      <w:r w:rsidR="0095463F" w:rsidRPr="0095463F">
        <w:rPr>
          <w:rFonts w:eastAsia="Times New Roman" w:cs="Garamond"/>
        </w:rPr>
        <w:t>provides an overview of the Pennsylvania EDC service areas and a brief discussion of the historical and forecasted electric energy sales by sector as well as peak demand.</w:t>
      </w:r>
    </w:p>
    <w:p w:rsidR="001D0AD5" w:rsidRDefault="0095463F" w:rsidP="00A83ABC">
      <w:pPr>
        <w:spacing w:after="120"/>
        <w:rPr>
          <w:rFonts w:eastAsia="Times New Roman" w:cs="Garamond"/>
        </w:rPr>
      </w:pPr>
      <w:r w:rsidRPr="0095463F">
        <w:rPr>
          <w:rFonts w:eastAsia="Times New Roman" w:cs="Garamond"/>
          <w:b/>
          <w:bCs/>
          <w:i/>
          <w:iCs/>
          <w:color w:val="448A99"/>
        </w:rPr>
        <w:t xml:space="preserve">Section </w:t>
      </w:r>
      <w:r w:rsidR="007F473C">
        <w:rPr>
          <w:rFonts w:eastAsia="Times New Roman" w:cs="Garamond"/>
          <w:b/>
          <w:bCs/>
          <w:i/>
          <w:iCs/>
          <w:color w:val="448A99"/>
        </w:rPr>
        <w:fldChar w:fldCharType="begin"/>
      </w:r>
      <w:r w:rsidR="007F473C">
        <w:rPr>
          <w:rFonts w:eastAsia="Times New Roman" w:cs="Garamond"/>
          <w:b/>
          <w:bCs/>
          <w:i/>
          <w:iCs/>
          <w:color w:val="448A99"/>
        </w:rPr>
        <w:instrText xml:space="preserve"> REF _Ref407786492 \r \h </w:instrText>
      </w:r>
      <w:r w:rsidR="007F473C">
        <w:rPr>
          <w:rFonts w:eastAsia="Times New Roman" w:cs="Garamond"/>
          <w:b/>
          <w:bCs/>
          <w:i/>
          <w:iCs/>
          <w:color w:val="448A99"/>
        </w:rPr>
      </w:r>
      <w:r w:rsidR="007F473C">
        <w:rPr>
          <w:rFonts w:eastAsia="Times New Roman" w:cs="Garamond"/>
          <w:b/>
          <w:bCs/>
          <w:i/>
          <w:iCs/>
          <w:color w:val="448A99"/>
        </w:rPr>
        <w:fldChar w:fldCharType="separate"/>
      </w:r>
      <w:r w:rsidR="00803DBE">
        <w:rPr>
          <w:rFonts w:eastAsia="Times New Roman" w:cs="Garamond"/>
          <w:b/>
          <w:bCs/>
          <w:i/>
          <w:iCs/>
          <w:color w:val="448A99"/>
        </w:rPr>
        <w:t>4</w:t>
      </w:r>
      <w:r w:rsidR="007F473C">
        <w:rPr>
          <w:rFonts w:eastAsia="Times New Roman" w:cs="Garamond"/>
          <w:b/>
          <w:bCs/>
          <w:i/>
          <w:iCs/>
          <w:color w:val="448A99"/>
        </w:rPr>
        <w:fldChar w:fldCharType="end"/>
      </w:r>
      <w:r w:rsidR="007F473C">
        <w:rPr>
          <w:rFonts w:eastAsia="Times New Roman" w:cs="Garamond"/>
          <w:b/>
          <w:bCs/>
          <w:i/>
          <w:iCs/>
          <w:color w:val="448A99"/>
        </w:rPr>
        <w:t xml:space="preserve">: </w:t>
      </w:r>
      <w:r w:rsidRPr="0095463F">
        <w:rPr>
          <w:rFonts w:eastAsia="Times New Roman" w:cs="Garamond"/>
          <w:b/>
          <w:bCs/>
          <w:i/>
          <w:iCs/>
          <w:color w:val="448A99"/>
        </w:rPr>
        <w:t xml:space="preserve"> Residential </w:t>
      </w:r>
      <w:r w:rsidR="00037A03">
        <w:rPr>
          <w:rFonts w:eastAsia="Times New Roman" w:cs="Garamond"/>
          <w:b/>
          <w:bCs/>
          <w:i/>
          <w:iCs/>
          <w:color w:val="448A99"/>
        </w:rPr>
        <w:t>DR</w:t>
      </w:r>
      <w:r w:rsidR="007F473C">
        <w:rPr>
          <w:rFonts w:eastAsia="Times New Roman" w:cs="Garamond"/>
          <w:b/>
          <w:bCs/>
          <w:i/>
          <w:iCs/>
          <w:color w:val="448A99"/>
        </w:rPr>
        <w:t xml:space="preserve"> Potential </w:t>
      </w:r>
      <w:r w:rsidR="007F473C" w:rsidRPr="007F473C">
        <w:t>pres</w:t>
      </w:r>
      <w:r w:rsidR="007F473C">
        <w:t xml:space="preserve">ents the methodology and results of the SWE </w:t>
      </w:r>
      <w:r w:rsidR="00387BDD">
        <w:t>T</w:t>
      </w:r>
      <w:r w:rsidR="007F473C">
        <w:t xml:space="preserve">eam’s analysis of </w:t>
      </w:r>
      <w:r w:rsidR="008D678D">
        <w:t>DLC</w:t>
      </w:r>
      <w:r w:rsidR="007F473C">
        <w:t xml:space="preserve"> potential in the residential sector.</w:t>
      </w:r>
    </w:p>
    <w:p w:rsidR="0095463F" w:rsidRDefault="007F473C" w:rsidP="00A83ABC">
      <w:pPr>
        <w:spacing w:after="120"/>
        <w:rPr>
          <w:rFonts w:eastAsia="Times New Roman" w:cs="Garamond"/>
        </w:rPr>
      </w:pPr>
      <w:r>
        <w:rPr>
          <w:rFonts w:eastAsia="Times New Roman" w:cs="Garamond"/>
          <w:b/>
          <w:bCs/>
          <w:i/>
          <w:iCs/>
          <w:color w:val="448A99"/>
        </w:rPr>
        <w:t xml:space="preserve">Section </w:t>
      </w:r>
      <w:r>
        <w:rPr>
          <w:rFonts w:eastAsia="Times New Roman" w:cs="Garamond"/>
          <w:b/>
          <w:bCs/>
          <w:i/>
          <w:iCs/>
          <w:color w:val="448A99"/>
        </w:rPr>
        <w:fldChar w:fldCharType="begin"/>
      </w:r>
      <w:r>
        <w:rPr>
          <w:rFonts w:eastAsia="Times New Roman" w:cs="Garamond"/>
          <w:b/>
          <w:bCs/>
          <w:i/>
          <w:iCs/>
          <w:color w:val="448A99"/>
        </w:rPr>
        <w:instrText xml:space="preserve"> REF _Ref407786636 \r \h </w:instrText>
      </w:r>
      <w:r>
        <w:rPr>
          <w:rFonts w:eastAsia="Times New Roman" w:cs="Garamond"/>
          <w:b/>
          <w:bCs/>
          <w:i/>
          <w:iCs/>
          <w:color w:val="448A99"/>
        </w:rPr>
      </w:r>
      <w:r>
        <w:rPr>
          <w:rFonts w:eastAsia="Times New Roman" w:cs="Garamond"/>
          <w:b/>
          <w:bCs/>
          <w:i/>
          <w:iCs/>
          <w:color w:val="448A99"/>
        </w:rPr>
        <w:fldChar w:fldCharType="separate"/>
      </w:r>
      <w:r w:rsidR="00803DBE">
        <w:rPr>
          <w:rFonts w:eastAsia="Times New Roman" w:cs="Garamond"/>
          <w:b/>
          <w:bCs/>
          <w:i/>
          <w:iCs/>
          <w:color w:val="448A99"/>
        </w:rPr>
        <w:t>5</w:t>
      </w:r>
      <w:r>
        <w:rPr>
          <w:rFonts w:eastAsia="Times New Roman" w:cs="Garamond"/>
          <w:b/>
          <w:bCs/>
          <w:i/>
          <w:iCs/>
          <w:color w:val="448A99"/>
        </w:rPr>
        <w:fldChar w:fldCharType="end"/>
      </w:r>
      <w:r>
        <w:rPr>
          <w:rFonts w:eastAsia="Times New Roman" w:cs="Garamond"/>
          <w:b/>
          <w:bCs/>
          <w:i/>
          <w:iCs/>
          <w:color w:val="448A99"/>
        </w:rPr>
        <w:t xml:space="preserve">: Small and Medium </w:t>
      </w:r>
      <w:r w:rsidR="00622FC2">
        <w:rPr>
          <w:rFonts w:eastAsia="Times New Roman" w:cs="Garamond"/>
          <w:b/>
          <w:bCs/>
          <w:i/>
          <w:iCs/>
          <w:color w:val="448A99"/>
        </w:rPr>
        <w:t xml:space="preserve">Commercial </w:t>
      </w:r>
      <w:r>
        <w:rPr>
          <w:rFonts w:eastAsia="Times New Roman" w:cs="Garamond"/>
          <w:b/>
          <w:bCs/>
          <w:i/>
          <w:iCs/>
          <w:color w:val="448A99"/>
        </w:rPr>
        <w:t xml:space="preserve">Direct Load Control </w:t>
      </w:r>
      <w:r>
        <w:rPr>
          <w:rFonts w:eastAsia="Times New Roman" w:cs="Garamond"/>
        </w:rPr>
        <w:t xml:space="preserve">summarizes </w:t>
      </w:r>
      <w:r w:rsidR="00622FC2">
        <w:rPr>
          <w:rFonts w:eastAsia="Times New Roman" w:cs="Garamond"/>
        </w:rPr>
        <w:t>A/C</w:t>
      </w:r>
      <w:r>
        <w:rPr>
          <w:rFonts w:eastAsia="Times New Roman" w:cs="Garamond"/>
        </w:rPr>
        <w:t xml:space="preserve"> </w:t>
      </w:r>
      <w:r w:rsidR="008D678D">
        <w:rPr>
          <w:rFonts w:eastAsia="Times New Roman" w:cs="Garamond"/>
        </w:rPr>
        <w:t>DLC</w:t>
      </w:r>
      <w:r>
        <w:rPr>
          <w:rFonts w:eastAsia="Times New Roman" w:cs="Garamond"/>
        </w:rPr>
        <w:t xml:space="preserve"> potential from small commercial accounts within each EDC service territory</w:t>
      </w:r>
      <w:r w:rsidR="0095463F" w:rsidRPr="0095463F">
        <w:rPr>
          <w:rFonts w:eastAsia="Times New Roman" w:cs="Garamond"/>
        </w:rPr>
        <w:t>.</w:t>
      </w:r>
    </w:p>
    <w:p w:rsidR="007F473C" w:rsidRDefault="007F473C" w:rsidP="00A83ABC">
      <w:pPr>
        <w:spacing w:after="120"/>
        <w:rPr>
          <w:rFonts w:eastAsia="Times New Roman" w:cs="Garamond"/>
        </w:rPr>
      </w:pPr>
      <w:r>
        <w:rPr>
          <w:rFonts w:eastAsia="Times New Roman" w:cs="Garamond"/>
          <w:b/>
          <w:bCs/>
          <w:i/>
          <w:iCs/>
          <w:color w:val="448A99"/>
        </w:rPr>
        <w:t xml:space="preserve">Section </w:t>
      </w:r>
      <w:r>
        <w:rPr>
          <w:rFonts w:eastAsia="Times New Roman" w:cs="Garamond"/>
          <w:b/>
          <w:bCs/>
          <w:i/>
          <w:iCs/>
          <w:color w:val="448A99"/>
        </w:rPr>
        <w:fldChar w:fldCharType="begin"/>
      </w:r>
      <w:r>
        <w:rPr>
          <w:rFonts w:eastAsia="Times New Roman" w:cs="Garamond"/>
          <w:b/>
          <w:bCs/>
          <w:i/>
          <w:iCs/>
          <w:color w:val="448A99"/>
        </w:rPr>
        <w:instrText xml:space="preserve"> REF _Ref405559002 \r \h </w:instrText>
      </w:r>
      <w:r>
        <w:rPr>
          <w:rFonts w:eastAsia="Times New Roman" w:cs="Garamond"/>
          <w:b/>
          <w:bCs/>
          <w:i/>
          <w:iCs/>
          <w:color w:val="448A99"/>
        </w:rPr>
      </w:r>
      <w:r>
        <w:rPr>
          <w:rFonts w:eastAsia="Times New Roman" w:cs="Garamond"/>
          <w:b/>
          <w:bCs/>
          <w:i/>
          <w:iCs/>
          <w:color w:val="448A99"/>
        </w:rPr>
        <w:fldChar w:fldCharType="separate"/>
      </w:r>
      <w:r w:rsidR="00803DBE">
        <w:rPr>
          <w:rFonts w:eastAsia="Times New Roman" w:cs="Garamond"/>
          <w:b/>
          <w:bCs/>
          <w:i/>
          <w:iCs/>
          <w:color w:val="448A99"/>
        </w:rPr>
        <w:t>6</w:t>
      </w:r>
      <w:r>
        <w:rPr>
          <w:rFonts w:eastAsia="Times New Roman" w:cs="Garamond"/>
          <w:b/>
          <w:bCs/>
          <w:i/>
          <w:iCs/>
          <w:color w:val="448A99"/>
        </w:rPr>
        <w:fldChar w:fldCharType="end"/>
      </w:r>
      <w:r>
        <w:rPr>
          <w:rFonts w:eastAsia="Times New Roman" w:cs="Garamond"/>
          <w:b/>
          <w:bCs/>
          <w:i/>
          <w:iCs/>
          <w:color w:val="448A99"/>
        </w:rPr>
        <w:t xml:space="preserve">: Large Commercial and Industrial </w:t>
      </w:r>
      <w:r>
        <w:rPr>
          <w:rFonts w:eastAsia="Times New Roman" w:cs="Garamond"/>
        </w:rPr>
        <w:t>provides an overview of the analytical techniques used to estimate DR potential from large accounts in the Commonwealth and the associated results. Implications of potential overlap with PJM’s wholesale DR markets are also discussed.</w:t>
      </w:r>
    </w:p>
    <w:p w:rsidR="00403D74" w:rsidRDefault="00183794" w:rsidP="00A83ABC">
      <w:pPr>
        <w:spacing w:after="120"/>
      </w:pPr>
      <w:r w:rsidRPr="0095463F">
        <w:rPr>
          <w:rFonts w:eastAsia="Times New Roman" w:cs="Garamond"/>
          <w:b/>
          <w:bCs/>
          <w:i/>
          <w:iCs/>
          <w:color w:val="448A99"/>
        </w:rPr>
        <w:t>Section</w:t>
      </w:r>
      <w:r>
        <w:rPr>
          <w:rFonts w:eastAsia="Times New Roman" w:cs="Garamond"/>
          <w:b/>
          <w:bCs/>
          <w:i/>
          <w:iCs/>
          <w:color w:val="448A99"/>
        </w:rPr>
        <w:t xml:space="preserve"> </w:t>
      </w:r>
      <w:r>
        <w:rPr>
          <w:rFonts w:eastAsia="Times New Roman" w:cs="Garamond"/>
          <w:b/>
          <w:bCs/>
          <w:i/>
          <w:iCs/>
          <w:color w:val="448A99"/>
        </w:rPr>
        <w:fldChar w:fldCharType="begin"/>
      </w:r>
      <w:r>
        <w:rPr>
          <w:rFonts w:eastAsia="Times New Roman" w:cs="Garamond"/>
          <w:b/>
          <w:bCs/>
          <w:i/>
          <w:iCs/>
          <w:color w:val="448A99"/>
        </w:rPr>
        <w:instrText xml:space="preserve"> REF _Ref406929595 \r \h </w:instrText>
      </w:r>
      <w:r>
        <w:rPr>
          <w:rFonts w:eastAsia="Times New Roman" w:cs="Garamond"/>
          <w:b/>
          <w:bCs/>
          <w:i/>
          <w:iCs/>
          <w:color w:val="448A99"/>
        </w:rPr>
      </w:r>
      <w:r>
        <w:rPr>
          <w:rFonts w:eastAsia="Times New Roman" w:cs="Garamond"/>
          <w:b/>
          <w:bCs/>
          <w:i/>
          <w:iCs/>
          <w:color w:val="448A99"/>
        </w:rPr>
        <w:fldChar w:fldCharType="separate"/>
      </w:r>
      <w:r w:rsidR="00803DBE">
        <w:rPr>
          <w:rFonts w:eastAsia="Times New Roman" w:cs="Garamond"/>
          <w:b/>
          <w:bCs/>
          <w:i/>
          <w:iCs/>
          <w:color w:val="448A99"/>
        </w:rPr>
        <w:t>7</w:t>
      </w:r>
      <w:r>
        <w:rPr>
          <w:rFonts w:eastAsia="Times New Roman" w:cs="Garamond"/>
          <w:b/>
          <w:bCs/>
          <w:i/>
          <w:iCs/>
          <w:color w:val="448A99"/>
        </w:rPr>
        <w:fldChar w:fldCharType="end"/>
      </w:r>
      <w:r>
        <w:rPr>
          <w:rFonts w:eastAsia="Times New Roman" w:cs="Garamond"/>
          <w:b/>
          <w:bCs/>
          <w:i/>
          <w:iCs/>
          <w:color w:val="448A99"/>
        </w:rPr>
        <w:t xml:space="preserve">: Program Potential Estimates </w:t>
      </w:r>
      <w:r>
        <w:t xml:space="preserve">imposes funding caps on estimates of DR potential under various funding splits between </w:t>
      </w:r>
      <w:r w:rsidR="00857521">
        <w:t>EE</w:t>
      </w:r>
      <w:r>
        <w:t xml:space="preserve"> and </w:t>
      </w:r>
      <w:r w:rsidR="00037A03">
        <w:t>DR</w:t>
      </w:r>
      <w:r>
        <w:t>. The impacts, costs, and benefits of four funding allocations are presented and discussed.</w:t>
      </w:r>
      <w:r w:rsidR="00403D74">
        <w:br w:type="page"/>
      </w:r>
    </w:p>
    <w:p w:rsidR="00E739CF" w:rsidRPr="00E739CF" w:rsidRDefault="00E739CF" w:rsidP="00A83ABC">
      <w:pPr>
        <w:sectPr w:rsidR="00E739CF" w:rsidRPr="00E739CF" w:rsidSect="009D2C1F">
          <w:pgSz w:w="12240" w:h="15840"/>
          <w:pgMar w:top="1440" w:right="1440" w:bottom="1170" w:left="1440" w:header="720" w:footer="720" w:gutter="0"/>
          <w:pgNumType w:start="1"/>
          <w:cols w:space="720"/>
          <w:docGrid w:linePitch="360"/>
        </w:sectPr>
      </w:pPr>
    </w:p>
    <w:p w:rsidR="00403D74" w:rsidRPr="006D61CD" w:rsidRDefault="00403D74" w:rsidP="00A83ABC">
      <w:pPr>
        <w:pStyle w:val="Heading1"/>
      </w:pPr>
      <w:bookmarkStart w:id="46" w:name="_Ref407786461"/>
      <w:bookmarkStart w:id="47" w:name="_Toc412628370"/>
      <w:r w:rsidRPr="006D61CD">
        <w:lastRenderedPageBreak/>
        <w:t>Analysis Approach</w:t>
      </w:r>
      <w:bookmarkEnd w:id="46"/>
      <w:bookmarkEnd w:id="47"/>
    </w:p>
    <w:p w:rsidR="00D6174F" w:rsidRDefault="00AD2D5C" w:rsidP="00A83ABC">
      <w:pPr>
        <w:rPr>
          <w:lang w:eastAsia="x-none"/>
        </w:rPr>
      </w:pPr>
      <w:r>
        <w:rPr>
          <w:lang w:eastAsia="x-none"/>
        </w:rPr>
        <w:t xml:space="preserve">Demand response </w:t>
      </w:r>
      <w:r w:rsidR="00387BDD">
        <w:rPr>
          <w:lang w:eastAsia="x-none"/>
        </w:rPr>
        <w:t xml:space="preserve">resources are intended to reduce the costs associated with maintaining power system reliability and meeting future capacity needs. </w:t>
      </w:r>
      <w:r w:rsidR="00037A03">
        <w:rPr>
          <w:lang w:eastAsia="x-none"/>
        </w:rPr>
        <w:t>D</w:t>
      </w:r>
      <w:r>
        <w:rPr>
          <w:lang w:eastAsia="x-none"/>
        </w:rPr>
        <w:t>emand response</w:t>
      </w:r>
      <w:r w:rsidR="00387BDD">
        <w:rPr>
          <w:lang w:eastAsia="x-none"/>
        </w:rPr>
        <w:t xml:space="preserve"> is a demand-side management tool for electric utilities, similar to </w:t>
      </w:r>
      <w:r w:rsidR="00857521">
        <w:rPr>
          <w:lang w:eastAsia="x-none"/>
        </w:rPr>
        <w:t>EE</w:t>
      </w:r>
      <w:r w:rsidR="00387BDD">
        <w:rPr>
          <w:lang w:eastAsia="x-none"/>
        </w:rPr>
        <w:t xml:space="preserve">. This study estimates the amount of </w:t>
      </w:r>
      <w:r w:rsidR="00037A03">
        <w:rPr>
          <w:lang w:eastAsia="x-none"/>
        </w:rPr>
        <w:t>DR</w:t>
      </w:r>
      <w:r w:rsidR="00387BDD">
        <w:rPr>
          <w:lang w:eastAsia="x-none"/>
        </w:rPr>
        <w:t xml:space="preserve"> potential that exists in each of the EDC service territories. It also examines the costs and benefits of pursuing statewide policies that may encourage the development and deployment of </w:t>
      </w:r>
      <w:r w:rsidR="00037A03">
        <w:rPr>
          <w:lang w:eastAsia="x-none"/>
        </w:rPr>
        <w:t>DR</w:t>
      </w:r>
      <w:r w:rsidR="00387BDD">
        <w:rPr>
          <w:lang w:eastAsia="x-none"/>
        </w:rPr>
        <w:t xml:space="preserve"> resources. </w:t>
      </w:r>
    </w:p>
    <w:p w:rsidR="00CF2BE5" w:rsidRDefault="00CF2BE5" w:rsidP="00A83ABC">
      <w:pPr>
        <w:rPr>
          <w:lang w:eastAsia="x-none"/>
        </w:rPr>
      </w:pPr>
    </w:p>
    <w:p w:rsidR="00CF2BE5" w:rsidRPr="00CF2BE5" w:rsidRDefault="00CF2BE5" w:rsidP="00A83ABC">
      <w:pPr>
        <w:pStyle w:val="Heading2"/>
      </w:pPr>
      <w:bookmarkStart w:id="48" w:name="_Toc407357014"/>
      <w:bookmarkStart w:id="49" w:name="_Toc412628371"/>
      <w:r w:rsidRPr="00CF2BE5">
        <w:t>Summary</w:t>
      </w:r>
      <w:bookmarkEnd w:id="48"/>
      <w:bookmarkEnd w:id="49"/>
    </w:p>
    <w:p w:rsidR="00AB4FEE" w:rsidRDefault="00331332" w:rsidP="00A83ABC">
      <w:pPr>
        <w:spacing w:after="120"/>
      </w:pPr>
      <w:r>
        <w:t>The SWE</w:t>
      </w:r>
      <w:r w:rsidR="00E62CFF">
        <w:t xml:space="preserve"> Team</w:t>
      </w:r>
      <w:r w:rsidR="00AB4FEE">
        <w:t xml:space="preserve"> prepared a straightforward analysis to estimate the magnitude of </w:t>
      </w:r>
      <w:r w:rsidR="00037A03">
        <w:t>DR</w:t>
      </w:r>
      <w:r w:rsidR="00AB4FEE">
        <w:t xml:space="preserve"> potential</w:t>
      </w:r>
      <w:r w:rsidR="009C0153">
        <w:t xml:space="preserve"> for Phase III of Act 129</w:t>
      </w:r>
      <w:r w:rsidR="00AB4FEE">
        <w:t>.</w:t>
      </w:r>
      <w:r w:rsidR="001A768D">
        <w:t xml:space="preserve"> </w:t>
      </w:r>
      <w:r w:rsidR="00AB4FEE">
        <w:t xml:space="preserve">Our review of the policy and stakeholder landscape of a potential state-led </w:t>
      </w:r>
      <w:r w:rsidR="00037A03">
        <w:t>DR</w:t>
      </w:r>
      <w:r w:rsidR="00AB4FEE">
        <w:t xml:space="preserve"> market in Pennsylvania indicated a level of market complexity and uncertainty that required deliberate review and consideration of multiple modeling frameworks.</w:t>
      </w:r>
      <w:r w:rsidR="001A768D">
        <w:t xml:space="preserve"> </w:t>
      </w:r>
      <w:r w:rsidR="00AB4FEE">
        <w:t xml:space="preserve">Our approach is defensible and provides a workable framework for planning-level estimates of </w:t>
      </w:r>
      <w:r w:rsidR="00037A03">
        <w:t>DR</w:t>
      </w:r>
      <w:r w:rsidR="00AB4FEE">
        <w:t xml:space="preserve"> potential.</w:t>
      </w:r>
      <w:r>
        <w:t xml:space="preserve"> Our approach and analysis takes into consideration EDC experience with </w:t>
      </w:r>
      <w:r w:rsidR="00037A03">
        <w:t>DR</w:t>
      </w:r>
      <w:r>
        <w:t xml:space="preserve"> programs conducted during Phase I of Act 129</w:t>
      </w:r>
      <w:r w:rsidR="00AD2D5C">
        <w:t>,</w:t>
      </w:r>
      <w:r>
        <w:t xml:space="preserve"> as well as experience in other states.</w:t>
      </w:r>
      <w:r w:rsidR="001A768D">
        <w:t xml:space="preserve"> </w:t>
      </w:r>
      <w:r w:rsidR="00AB4FEE">
        <w:t xml:space="preserve">We </w:t>
      </w:r>
      <w:r w:rsidR="00AD2D5C">
        <w:t>anticipate</w:t>
      </w:r>
      <w:r w:rsidR="00AB4FEE">
        <w:t xml:space="preserve"> </w:t>
      </w:r>
      <w:r>
        <w:t xml:space="preserve">our </w:t>
      </w:r>
      <w:r w:rsidR="00037A03">
        <w:t>DR</w:t>
      </w:r>
      <w:r>
        <w:t xml:space="preserve"> potential </w:t>
      </w:r>
      <w:r w:rsidR="00AB4FEE">
        <w:t>estimates will inform the Commission</w:t>
      </w:r>
      <w:r w:rsidR="001A768D">
        <w:t>’s</w:t>
      </w:r>
      <w:r w:rsidR="00AB4FEE">
        <w:t xml:space="preserve"> deliberations on potential targets for </w:t>
      </w:r>
      <w:r w:rsidR="00037A03">
        <w:t>DR</w:t>
      </w:r>
      <w:r w:rsidR="00AB4FEE">
        <w:t xml:space="preserve"> in Phase III of Act 129.</w:t>
      </w:r>
      <w:r w:rsidR="001A768D">
        <w:t xml:space="preserve"> </w:t>
      </w:r>
      <w:r w:rsidR="00AB4FEE">
        <w:t>After determining current and projected summer peak load consumption for the various EDCs and their customer segments</w:t>
      </w:r>
      <w:r w:rsidR="00AD2D5C">
        <w:t>,</w:t>
      </w:r>
      <w:r w:rsidR="00AB4FEE">
        <w:t xml:space="preserve"> we executed the following analyses:</w:t>
      </w:r>
    </w:p>
    <w:p w:rsidR="00CF2BE5" w:rsidRDefault="00CF2BE5" w:rsidP="00A83ABC">
      <w:pPr>
        <w:numPr>
          <w:ilvl w:val="0"/>
          <w:numId w:val="6"/>
        </w:numPr>
        <w:ind w:left="360"/>
      </w:pPr>
      <w:r>
        <w:t>Performed a computer simulation using summ</w:t>
      </w:r>
      <w:r w:rsidR="001B065B">
        <w:t xml:space="preserve">er peak loads in the PJM region </w:t>
      </w:r>
      <w:r w:rsidR="00157CC8">
        <w:t xml:space="preserve">for the </w:t>
      </w:r>
      <w:r>
        <w:t xml:space="preserve">2006-2013 </w:t>
      </w:r>
      <w:r w:rsidR="00157CC8">
        <w:t>time period</w:t>
      </w:r>
      <w:r w:rsidR="00AD2D5C">
        <w:t>s</w:t>
      </w:r>
      <w:r w:rsidR="00157CC8">
        <w:t xml:space="preserve"> </w:t>
      </w:r>
      <w:r>
        <w:t>subject to constraints imposed by various program design characteristics and selected a program dispatch design that we believe will be effective in reducing future resource requirements.</w:t>
      </w:r>
    </w:p>
    <w:p w:rsidR="00CF2BE5" w:rsidRDefault="00CF2BE5" w:rsidP="00A83ABC">
      <w:pPr>
        <w:numPr>
          <w:ilvl w:val="0"/>
          <w:numId w:val="6"/>
        </w:numPr>
        <w:ind w:left="360"/>
      </w:pPr>
      <w:r>
        <w:t xml:space="preserve">Assigned customers to one of three categories of </w:t>
      </w:r>
      <w:r w:rsidR="00037A03">
        <w:t>DR</w:t>
      </w:r>
      <w:r>
        <w:t xml:space="preserve"> program offerings: </w:t>
      </w:r>
      <w:r w:rsidR="00985548">
        <w:t>l</w:t>
      </w:r>
      <w:r>
        <w:t xml:space="preserve">arge </w:t>
      </w:r>
      <w:r w:rsidR="008D678D">
        <w:t>C&amp;I</w:t>
      </w:r>
      <w:r>
        <w:t xml:space="preserve"> </w:t>
      </w:r>
      <w:r w:rsidR="009D5798">
        <w:t>load curtailment</w:t>
      </w:r>
      <w:r>
        <w:t xml:space="preserve">, </w:t>
      </w:r>
      <w:r w:rsidR="009D5798">
        <w:t xml:space="preserve">small </w:t>
      </w:r>
      <w:r>
        <w:t xml:space="preserve">and </w:t>
      </w:r>
      <w:r w:rsidR="009D5798">
        <w:t xml:space="preserve">medium commercial </w:t>
      </w:r>
      <w:r w:rsidR="008D678D">
        <w:t>DLC</w:t>
      </w:r>
      <w:r>
        <w:t xml:space="preserve">, and Residential </w:t>
      </w:r>
      <w:r w:rsidR="008D678D">
        <w:t>DLC</w:t>
      </w:r>
      <w:r w:rsidR="005B6A87">
        <w:t>.</w:t>
      </w:r>
    </w:p>
    <w:p w:rsidR="00157CC8" w:rsidRDefault="00157CC8" w:rsidP="00A83ABC">
      <w:pPr>
        <w:numPr>
          <w:ilvl w:val="0"/>
          <w:numId w:val="6"/>
        </w:numPr>
        <w:ind w:left="360"/>
      </w:pPr>
      <w:r>
        <w:t xml:space="preserve">Estimated the likely participation in residential </w:t>
      </w:r>
      <w:r w:rsidR="008D678D">
        <w:t>DLC</w:t>
      </w:r>
      <w:r>
        <w:t xml:space="preserve"> programs based on</w:t>
      </w:r>
      <w:r w:rsidR="0032135C">
        <w:t xml:space="preserve"> (1)</w:t>
      </w:r>
      <w:r>
        <w:t xml:space="preserve"> EDC experience with participation in Phase I residential </w:t>
      </w:r>
      <w:r w:rsidR="00037A03">
        <w:t>DR</w:t>
      </w:r>
      <w:r>
        <w:t xml:space="preserve"> programs and participation results at other electric utilities</w:t>
      </w:r>
      <w:r w:rsidR="0032135C">
        <w:t xml:space="preserve"> and (2) estimates of the size of the total eligible market for such programs</w:t>
      </w:r>
      <w:r>
        <w:t>.</w:t>
      </w:r>
    </w:p>
    <w:p w:rsidR="00CF2BE5" w:rsidRDefault="00CF2BE5" w:rsidP="00A83ABC">
      <w:pPr>
        <w:numPr>
          <w:ilvl w:val="0"/>
          <w:numId w:val="6"/>
        </w:numPr>
        <w:ind w:left="360"/>
      </w:pPr>
      <w:r>
        <w:t xml:space="preserve">Estimated the quantity of </w:t>
      </w:r>
      <w:r w:rsidR="00037A03">
        <w:t>DR</w:t>
      </w:r>
      <w:r>
        <w:t xml:space="preserve"> capacity that may be offered by </w:t>
      </w:r>
      <w:r w:rsidR="00985548">
        <w:t>l</w:t>
      </w:r>
      <w:r w:rsidR="008D678D">
        <w:t>arge C&amp;I</w:t>
      </w:r>
      <w:r>
        <w:t xml:space="preserve"> customers for a range of incentive values</w:t>
      </w:r>
      <w:r w:rsidR="005B6A87">
        <w:t>.</w:t>
      </w:r>
    </w:p>
    <w:p w:rsidR="00CF2BE5" w:rsidRDefault="00CF2BE5" w:rsidP="00A83ABC">
      <w:pPr>
        <w:numPr>
          <w:ilvl w:val="0"/>
          <w:numId w:val="6"/>
        </w:numPr>
        <w:ind w:left="360"/>
      </w:pPr>
      <w:r>
        <w:t xml:space="preserve">Used computer simulations to identify the incentive level that is expected to maximize the </w:t>
      </w:r>
      <w:r w:rsidR="00532DDB">
        <w:t>PV</w:t>
      </w:r>
      <w:r>
        <w:t xml:space="preserve"> of net benefits from a </w:t>
      </w:r>
      <w:r w:rsidR="00985548">
        <w:t>l</w:t>
      </w:r>
      <w:r>
        <w:t xml:space="preserve">arge </w:t>
      </w:r>
      <w:r w:rsidR="008D678D">
        <w:t>C&amp;I</w:t>
      </w:r>
      <w:r>
        <w:t xml:space="preserve"> </w:t>
      </w:r>
      <w:r w:rsidR="00985548">
        <w:t>load curtailment program</w:t>
      </w:r>
      <w:r w:rsidR="005B6A87">
        <w:t>.</w:t>
      </w:r>
    </w:p>
    <w:p w:rsidR="00CF2BE5" w:rsidRDefault="00CF2BE5" w:rsidP="00A83ABC">
      <w:pPr>
        <w:numPr>
          <w:ilvl w:val="0"/>
          <w:numId w:val="6"/>
        </w:numPr>
        <w:ind w:left="360"/>
      </w:pPr>
      <w:r>
        <w:t xml:space="preserve">Estimated the magnitude of </w:t>
      </w:r>
      <w:r w:rsidR="009D5798">
        <w:t>s</w:t>
      </w:r>
      <w:r w:rsidR="00622FC2">
        <w:t xml:space="preserve">mall </w:t>
      </w:r>
      <w:r>
        <w:t xml:space="preserve">and </w:t>
      </w:r>
      <w:r w:rsidR="009D5798">
        <w:t>m</w:t>
      </w:r>
      <w:r w:rsidR="00622FC2">
        <w:t xml:space="preserve">edium </w:t>
      </w:r>
      <w:r w:rsidR="009D5798">
        <w:t>c</w:t>
      </w:r>
      <w:r w:rsidR="00622FC2">
        <w:t xml:space="preserve">ommercial </w:t>
      </w:r>
      <w:r>
        <w:t xml:space="preserve">demand that might be available for </w:t>
      </w:r>
      <w:r w:rsidR="008D678D">
        <w:t>DLC</w:t>
      </w:r>
      <w:r w:rsidR="005B6A87">
        <w:t>.</w:t>
      </w:r>
    </w:p>
    <w:p w:rsidR="00CF2BE5" w:rsidRDefault="00CF2BE5" w:rsidP="00A83ABC">
      <w:pPr>
        <w:numPr>
          <w:ilvl w:val="0"/>
          <w:numId w:val="6"/>
        </w:numPr>
        <w:ind w:left="360"/>
      </w:pPr>
      <w:r>
        <w:t xml:space="preserve">Estimated the magnitude </w:t>
      </w:r>
      <w:r w:rsidR="00E62CFF">
        <w:t xml:space="preserve">of residential electric </w:t>
      </w:r>
      <w:r w:rsidR="00486DCA">
        <w:t xml:space="preserve">central </w:t>
      </w:r>
      <w:r w:rsidR="00622FC2">
        <w:t>A/C</w:t>
      </w:r>
      <w:r w:rsidR="00E62CFF">
        <w:t xml:space="preserve">, </w:t>
      </w:r>
      <w:r w:rsidR="00486DCA">
        <w:t xml:space="preserve">room </w:t>
      </w:r>
      <w:r w:rsidR="00E26294">
        <w:t>A/C</w:t>
      </w:r>
      <w:r w:rsidR="00486DCA">
        <w:t xml:space="preserve">, electric </w:t>
      </w:r>
      <w:r w:rsidR="00C7612F">
        <w:t xml:space="preserve">water heating and swimming pool pump </w:t>
      </w:r>
      <w:r>
        <w:t xml:space="preserve">load that could be curtailed via </w:t>
      </w:r>
      <w:r w:rsidR="008D678D">
        <w:t>DLC</w:t>
      </w:r>
      <w:r w:rsidR="005B6A87">
        <w:t>.</w:t>
      </w:r>
    </w:p>
    <w:p w:rsidR="00CF2BE5" w:rsidRDefault="00CF2BE5" w:rsidP="00A83ABC">
      <w:pPr>
        <w:numPr>
          <w:ilvl w:val="0"/>
          <w:numId w:val="6"/>
        </w:numPr>
        <w:ind w:left="360"/>
      </w:pPr>
      <w:r>
        <w:t xml:space="preserve">Collected cost </w:t>
      </w:r>
      <w:r w:rsidR="00C7612F">
        <w:t xml:space="preserve">and performance </w:t>
      </w:r>
      <w:r>
        <w:t xml:space="preserve">data from Phase I </w:t>
      </w:r>
      <w:r w:rsidR="00037A03">
        <w:t>DR</w:t>
      </w:r>
      <w:r>
        <w:t xml:space="preserve"> programs to inform program cost estimates</w:t>
      </w:r>
      <w:r w:rsidR="00C7612F">
        <w:t>, peak load reductions</w:t>
      </w:r>
      <w:r>
        <w:t xml:space="preserve"> and cost</w:t>
      </w:r>
      <w:r w:rsidR="00CE0565">
        <w:t>-</w:t>
      </w:r>
      <w:r>
        <w:t>effectiveness</w:t>
      </w:r>
      <w:r w:rsidR="005B6A87">
        <w:t>.</w:t>
      </w:r>
    </w:p>
    <w:p w:rsidR="00861A7C" w:rsidRDefault="00861A7C" w:rsidP="00A83ABC"/>
    <w:p w:rsidR="00D6174F" w:rsidRDefault="00037A03" w:rsidP="00A83ABC">
      <w:pPr>
        <w:pStyle w:val="Heading2"/>
      </w:pPr>
      <w:bookmarkStart w:id="50" w:name="_Toc412628372"/>
      <w:r>
        <w:t>DR</w:t>
      </w:r>
      <w:r w:rsidR="00D6174F">
        <w:t xml:space="preserve"> Overview</w:t>
      </w:r>
      <w:bookmarkEnd w:id="50"/>
    </w:p>
    <w:p w:rsidR="00D6174F" w:rsidRDefault="0021705D" w:rsidP="00A83ABC">
      <w:r>
        <w:t>This study seeks to quantify</w:t>
      </w:r>
      <w:r w:rsidR="00D6174F">
        <w:t xml:space="preserve"> statewide </w:t>
      </w:r>
      <w:r w:rsidR="00037A03">
        <w:t>DR</w:t>
      </w:r>
      <w:r w:rsidR="00D6174F">
        <w:t xml:space="preserve"> potential for the period June 1, 2016 through May 31, 2021.</w:t>
      </w:r>
      <w:r w:rsidR="001A768D">
        <w:t xml:space="preserve"> </w:t>
      </w:r>
      <w:r w:rsidR="00D6174F">
        <w:t xml:space="preserve">We compared the costs and benefits of </w:t>
      </w:r>
      <w:r w:rsidR="00037A03">
        <w:t>DR</w:t>
      </w:r>
      <w:r w:rsidR="00D6174F">
        <w:t xml:space="preserve"> to those of </w:t>
      </w:r>
      <w:r w:rsidR="00857521">
        <w:t>EE</w:t>
      </w:r>
      <w:r w:rsidR="00D6174F">
        <w:t>, where appropriate, to provide broader, policy-relevant analysis to Pennsylvania state officials.</w:t>
      </w:r>
      <w:r w:rsidR="001A768D">
        <w:t xml:space="preserve"> </w:t>
      </w:r>
      <w:r w:rsidR="00D6174F">
        <w:t xml:space="preserve">In this section we discuss </w:t>
      </w:r>
      <w:r w:rsidR="00D6174F" w:rsidRPr="00E72B17">
        <w:t xml:space="preserve">the </w:t>
      </w:r>
      <w:r w:rsidR="002571EE">
        <w:t>logic and</w:t>
      </w:r>
      <w:r w:rsidR="00D6174F">
        <w:t xml:space="preserve"> </w:t>
      </w:r>
      <w:r w:rsidR="00D6174F" w:rsidRPr="00E72B17">
        <w:t xml:space="preserve">methods </w:t>
      </w:r>
      <w:r w:rsidR="00D6174F">
        <w:t xml:space="preserve">used </w:t>
      </w:r>
      <w:r w:rsidR="00D6174F" w:rsidRPr="00E72B17">
        <w:t xml:space="preserve">to </w:t>
      </w:r>
      <w:r w:rsidR="00D6174F">
        <w:t xml:space="preserve">produce our </w:t>
      </w:r>
      <w:r w:rsidR="00037A03">
        <w:t>DR</w:t>
      </w:r>
      <w:r w:rsidR="00FA156F">
        <w:t xml:space="preserve"> potential </w:t>
      </w:r>
      <w:r w:rsidR="00D6174F">
        <w:t>estimates and summarize the results</w:t>
      </w:r>
      <w:r w:rsidR="00D6174F" w:rsidRPr="00E72B17">
        <w:t xml:space="preserve">. </w:t>
      </w:r>
      <w:r w:rsidR="00D6174F">
        <w:t xml:space="preserve">The </w:t>
      </w:r>
      <w:r w:rsidR="00CF5F08">
        <w:t>SWE</w:t>
      </w:r>
      <w:r w:rsidR="00D6174F">
        <w:t xml:space="preserve"> Team has communicated </w:t>
      </w:r>
      <w:r w:rsidR="00CF5F08">
        <w:t xml:space="preserve">their </w:t>
      </w:r>
      <w:r w:rsidR="00D6174F">
        <w:t xml:space="preserve">approach to the TUS staff and the Act 129 </w:t>
      </w:r>
      <w:r>
        <w:t>Stakeholders</w:t>
      </w:r>
      <w:r w:rsidR="00D6174F">
        <w:t xml:space="preserve"> over the course of this study and has sought continuous feedback and comment from those groups. </w:t>
      </w:r>
    </w:p>
    <w:p w:rsidR="00CF2BE5" w:rsidRPr="00E72B17" w:rsidRDefault="00CF2BE5" w:rsidP="00A83ABC"/>
    <w:p w:rsidR="00D6174F" w:rsidRDefault="00E62CFF" w:rsidP="00A83ABC">
      <w:r>
        <w:t xml:space="preserve">We present </w:t>
      </w:r>
      <w:r w:rsidR="00037A03">
        <w:t>DR</w:t>
      </w:r>
      <w:r>
        <w:t xml:space="preserve"> potential estimates for the state and for each of the EDCs. The estimates were generated by constructing </w:t>
      </w:r>
      <w:r w:rsidR="00037A03">
        <w:t>DR</w:t>
      </w:r>
      <w:r>
        <w:t xml:space="preserve"> potential models for each EDC and associated market sectors. The study results may inform performance objectives for Phase III of the Pennsylvania Act 129 programs. Our</w:t>
      </w:r>
      <w:r w:rsidRPr="00E72B17">
        <w:t xml:space="preserve"> analysis of </w:t>
      </w:r>
      <w:r w:rsidR="00037A03">
        <w:t>DR</w:t>
      </w:r>
      <w:r>
        <w:t xml:space="preserve"> potential</w:t>
      </w:r>
      <w:r w:rsidRPr="00E72B17">
        <w:t xml:space="preserve"> </w:t>
      </w:r>
      <w:r>
        <w:t>is</w:t>
      </w:r>
      <w:r w:rsidRPr="00E72B17">
        <w:t xml:space="preserve"> based on the most recent </w:t>
      </w:r>
      <w:r>
        <w:t xml:space="preserve">electricity consumption data and demand </w:t>
      </w:r>
      <w:r w:rsidRPr="00C263DD">
        <w:t xml:space="preserve">forecasts </w:t>
      </w:r>
      <w:r>
        <w:t>provided by the</w:t>
      </w:r>
      <w:r w:rsidRPr="00C263DD">
        <w:t xml:space="preserve"> </w:t>
      </w:r>
      <w:r>
        <w:t>EDCs. The time period of electric demand forecast data used in our analysis is 2016 – 2030</w:t>
      </w:r>
      <w:r>
        <w:rPr>
          <w:rStyle w:val="FootnoteReference"/>
        </w:rPr>
        <w:footnoteReference w:id="31"/>
      </w:r>
      <w:r>
        <w:t xml:space="preserve">, while the electric consumption data we relied upon is from January 1, 2012, through May 31, 2013. We estimated </w:t>
      </w:r>
      <w:r w:rsidR="00037A03">
        <w:t>DR</w:t>
      </w:r>
      <w:r>
        <w:t xml:space="preserve"> potential in each year from 2016 - 2021.</w:t>
      </w:r>
    </w:p>
    <w:p w:rsidR="00CF2BE5" w:rsidRPr="00CF5F08" w:rsidRDefault="00CF2BE5" w:rsidP="00A83ABC"/>
    <w:p w:rsidR="003137B3" w:rsidRDefault="00D6174F" w:rsidP="00A83ABC">
      <w:r>
        <w:t>The term “</w:t>
      </w:r>
      <w:r w:rsidR="00037A03">
        <w:t>DR</w:t>
      </w:r>
      <w:r>
        <w:t xml:space="preserve"> potential,” is similar to language used to describe the potential reductions in electricity consumption that may be achieved through </w:t>
      </w:r>
      <w:r w:rsidR="00857521">
        <w:t>EE</w:t>
      </w:r>
      <w:r>
        <w:t>.</w:t>
      </w:r>
      <w:r w:rsidR="001A768D">
        <w:t xml:space="preserve"> </w:t>
      </w:r>
      <w:r>
        <w:t xml:space="preserve">While the concept of </w:t>
      </w:r>
      <w:r w:rsidR="00037A03">
        <w:t>DR</w:t>
      </w:r>
      <w:r>
        <w:t xml:space="preserve"> potential is essentially the same as for </w:t>
      </w:r>
      <w:r w:rsidR="00857521">
        <w:t>EE</w:t>
      </w:r>
      <w:r>
        <w:t xml:space="preserve"> potential, we wish to note that the approach for estimating </w:t>
      </w:r>
      <w:r w:rsidR="00037A03">
        <w:t>DR</w:t>
      </w:r>
      <w:r>
        <w:t xml:space="preserve"> potential differs from the prescriptive framework often used to estimate </w:t>
      </w:r>
      <w:r w:rsidR="00857521">
        <w:t>EE</w:t>
      </w:r>
      <w:r>
        <w:t xml:space="preserve"> potential.</w:t>
      </w:r>
      <w:r w:rsidR="001A768D">
        <w:t xml:space="preserve"> </w:t>
      </w:r>
      <w:r>
        <w:t xml:space="preserve">The </w:t>
      </w:r>
      <w:r w:rsidR="00857521">
        <w:t>EE</w:t>
      </w:r>
      <w:r>
        <w:t xml:space="preserve"> framework describes </w:t>
      </w:r>
      <w:r w:rsidR="00857521">
        <w:t>EE</w:t>
      </w:r>
      <w:r>
        <w:t xml:space="preserve"> potential in terms of technical, economic, achievable, and program potential.</w:t>
      </w:r>
      <w:r w:rsidR="001A768D">
        <w:t xml:space="preserve"> </w:t>
      </w:r>
      <w:r>
        <w:t xml:space="preserve">We borrow this terminology for convenience, but we will distinguish points of departure between the approaches for estimating </w:t>
      </w:r>
      <w:r w:rsidR="00857521">
        <w:t>EE</w:t>
      </w:r>
      <w:r>
        <w:t xml:space="preserve"> potential and </w:t>
      </w:r>
      <w:r w:rsidR="00037A03">
        <w:t>DR</w:t>
      </w:r>
      <w:r>
        <w:t xml:space="preserve"> potential throughout our analysis.</w:t>
      </w:r>
    </w:p>
    <w:p w:rsidR="00CF2BE5" w:rsidRDefault="00CF2BE5" w:rsidP="00A83ABC">
      <w:pPr>
        <w:rPr>
          <w:lang w:eastAsia="x-none"/>
        </w:rPr>
      </w:pPr>
    </w:p>
    <w:p w:rsidR="003137B3" w:rsidRPr="007F1EB9" w:rsidRDefault="001D5ED5" w:rsidP="00A83ABC">
      <w:pPr>
        <w:pStyle w:val="Heading2"/>
      </w:pPr>
      <w:bookmarkStart w:id="51" w:name="_Toc412628373"/>
      <w:r w:rsidRPr="007F1EB9">
        <w:t xml:space="preserve">Differences between </w:t>
      </w:r>
      <w:r w:rsidR="00857521">
        <w:t>Demand Response</w:t>
      </w:r>
      <w:r w:rsidR="00857521" w:rsidRPr="007F1EB9">
        <w:t xml:space="preserve"> </w:t>
      </w:r>
      <w:r w:rsidRPr="007F1EB9">
        <w:t>Potential and Energy Efficiency Potential</w:t>
      </w:r>
      <w:bookmarkEnd w:id="51"/>
    </w:p>
    <w:p w:rsidR="003137B3" w:rsidRDefault="00037A03" w:rsidP="00A83ABC">
      <w:r>
        <w:t>DR</w:t>
      </w:r>
      <w:r w:rsidR="003137B3">
        <w:t xml:space="preserve"> potential does not fit neatly into the categories typically applied to </w:t>
      </w:r>
      <w:r w:rsidR="00857521">
        <w:t>EE</w:t>
      </w:r>
      <w:r w:rsidR="003137B3">
        <w:t xml:space="preserve"> potential.</w:t>
      </w:r>
      <w:r w:rsidR="001A768D">
        <w:t xml:space="preserve"> </w:t>
      </w:r>
      <w:r w:rsidR="003137B3">
        <w:t>Energy efficiency can be thought of as “doing the same thing for less.”</w:t>
      </w:r>
      <w:r w:rsidR="001A768D">
        <w:t xml:space="preserve"> </w:t>
      </w:r>
      <w:r w:rsidR="003137B3">
        <w:t>Energy efficiency is a technology-driven concept that seeks to satisfy the same economic demands for electricity consumption without altering customer behavior.</w:t>
      </w:r>
      <w:r w:rsidR="001A768D">
        <w:t xml:space="preserve"> </w:t>
      </w:r>
      <w:r w:rsidR="003137B3">
        <w:t xml:space="preserve">In contrast, </w:t>
      </w:r>
      <w:r>
        <w:t>DR</w:t>
      </w:r>
      <w:r w:rsidR="003137B3">
        <w:t xml:space="preserve"> might be thought of as “doing less.”</w:t>
      </w:r>
      <w:r w:rsidR="001A768D">
        <w:t xml:space="preserve"> </w:t>
      </w:r>
      <w:r w:rsidR="00CF5F08">
        <w:t xml:space="preserve">Demand response </w:t>
      </w:r>
      <w:r w:rsidR="003137B3">
        <w:t xml:space="preserve">calls for a </w:t>
      </w:r>
      <w:r w:rsidR="0021705D">
        <w:t xml:space="preserve">temporary </w:t>
      </w:r>
      <w:r w:rsidR="003137B3">
        <w:t xml:space="preserve">reduction in </w:t>
      </w:r>
      <w:r w:rsidR="0021705D">
        <w:t xml:space="preserve">customer demand for electricity and </w:t>
      </w:r>
      <w:r w:rsidR="003137B3">
        <w:t>may be either active or passive.</w:t>
      </w:r>
      <w:r w:rsidR="001A768D">
        <w:t xml:space="preserve"> </w:t>
      </w:r>
      <w:r w:rsidR="003137B3">
        <w:t xml:space="preserve">According to PJM, </w:t>
      </w:r>
      <w:r>
        <w:t>DR</w:t>
      </w:r>
      <w:r w:rsidR="003137B3">
        <w:t xml:space="preserve"> typically occurs as a result of power grid needs, economic signals from a competitive wholesale market, or special retail rates.</w:t>
      </w:r>
    </w:p>
    <w:p w:rsidR="00CF2BE5" w:rsidRDefault="00CF2BE5" w:rsidP="00A83ABC"/>
    <w:p w:rsidR="008F39AB" w:rsidRPr="007F1EB9" w:rsidRDefault="008F39AB" w:rsidP="00A83ABC">
      <w:pPr>
        <w:pStyle w:val="Heading3"/>
      </w:pPr>
      <w:bookmarkStart w:id="52" w:name="_Toc412628374"/>
      <w:r w:rsidRPr="007F1EB9">
        <w:t>Technical Potential</w:t>
      </w:r>
      <w:bookmarkEnd w:id="52"/>
    </w:p>
    <w:p w:rsidR="003137B3" w:rsidRDefault="003137B3" w:rsidP="00A83ABC">
      <w:r>
        <w:t>Adopting technologies that allow customers to consume less electricity without altering their behavior may be costly.</w:t>
      </w:r>
      <w:r w:rsidR="001A768D">
        <w:t xml:space="preserve"> </w:t>
      </w:r>
      <w:r>
        <w:t>These technologies result from significant investments of time and effort to scientific and engineering research.</w:t>
      </w:r>
      <w:r w:rsidR="001A768D">
        <w:t xml:space="preserve"> </w:t>
      </w:r>
      <w:r>
        <w:t xml:space="preserve">Consequently, many </w:t>
      </w:r>
      <w:r w:rsidR="00857521">
        <w:t>EE</w:t>
      </w:r>
      <w:r>
        <w:t xml:space="preserve"> technologies exist, but only </w:t>
      </w:r>
      <w:r w:rsidR="00CF5F08">
        <w:t>subsets of technologies are</w:t>
      </w:r>
      <w:r>
        <w:t xml:space="preserve"> economically attractive to customers.</w:t>
      </w:r>
      <w:r w:rsidR="001A768D">
        <w:t xml:space="preserve"> </w:t>
      </w:r>
      <w:r>
        <w:t xml:space="preserve">In contrast, </w:t>
      </w:r>
      <w:r w:rsidR="00037A03">
        <w:t>DR</w:t>
      </w:r>
      <w:r>
        <w:t xml:space="preserve"> requires customers to simply use less electricity (upon request).</w:t>
      </w:r>
      <w:r w:rsidR="001A768D">
        <w:t xml:space="preserve"> </w:t>
      </w:r>
      <w:r>
        <w:t xml:space="preserve">The concept of technical potential used for estimating </w:t>
      </w:r>
      <w:r w:rsidR="00857521">
        <w:t>EE</w:t>
      </w:r>
      <w:r w:rsidR="00BC6F2C">
        <w:t xml:space="preserve"> potential does not have a direct analogue for</w:t>
      </w:r>
      <w:r>
        <w:t xml:space="preserve"> </w:t>
      </w:r>
      <w:r w:rsidR="00037A03">
        <w:t>DR</w:t>
      </w:r>
      <w:r>
        <w:t>.</w:t>
      </w:r>
      <w:r w:rsidR="001A768D">
        <w:t xml:space="preserve"> </w:t>
      </w:r>
      <w:r w:rsidR="00EC1224">
        <w:t>For enough money</w:t>
      </w:r>
      <w:r w:rsidR="00CF5F08">
        <w:t>,</w:t>
      </w:r>
      <w:r w:rsidR="00EC1224">
        <w:t xml:space="preserve"> homes and businesses will forego v</w:t>
      </w:r>
      <w:r w:rsidR="00BC6F2C">
        <w:t>irtually all electric demand temporarily</w:t>
      </w:r>
      <w:r w:rsidR="00EC1224">
        <w:t xml:space="preserve">. </w:t>
      </w:r>
      <w:r w:rsidR="00EB1496">
        <w:t>This report does not attempt to quantify technical potential</w:t>
      </w:r>
      <w:r w:rsidR="008072A3">
        <w:t xml:space="preserve"> for </w:t>
      </w:r>
      <w:r w:rsidR="00037A03">
        <w:t>DR</w:t>
      </w:r>
      <w:r w:rsidR="00EB1496">
        <w:t>.</w:t>
      </w:r>
    </w:p>
    <w:p w:rsidR="00CF2BE5" w:rsidRDefault="00CF2BE5" w:rsidP="00A83ABC"/>
    <w:p w:rsidR="003137B3" w:rsidRDefault="0021705D" w:rsidP="00A83ABC">
      <w:pPr>
        <w:pStyle w:val="Heading3"/>
      </w:pPr>
      <w:bookmarkStart w:id="53" w:name="_Toc412628375"/>
      <w:r>
        <w:t>Economic P</w:t>
      </w:r>
      <w:r w:rsidR="003137B3">
        <w:t>otential</w:t>
      </w:r>
      <w:bookmarkEnd w:id="53"/>
    </w:p>
    <w:p w:rsidR="003137B3" w:rsidRDefault="003137B3" w:rsidP="00A83ABC">
      <w:r>
        <w:t xml:space="preserve">There is no theoretical difference in economic potential between </w:t>
      </w:r>
      <w:r w:rsidR="00857521">
        <w:t>EE</w:t>
      </w:r>
      <w:r>
        <w:t xml:space="preserve"> and </w:t>
      </w:r>
      <w:r w:rsidR="00037A03">
        <w:t>DR</w:t>
      </w:r>
      <w:r>
        <w:t>.</w:t>
      </w:r>
      <w:r w:rsidR="001A768D">
        <w:t xml:space="preserve"> </w:t>
      </w:r>
      <w:r>
        <w:t>Nevertheless, the practical application of this concept is slightly different for these two DSM tools.</w:t>
      </w:r>
      <w:r w:rsidR="001A768D">
        <w:t xml:space="preserve"> </w:t>
      </w:r>
      <w:r>
        <w:t xml:space="preserve">The technologic nature of </w:t>
      </w:r>
      <w:r w:rsidR="00857521">
        <w:t>EE</w:t>
      </w:r>
      <w:r>
        <w:t xml:space="preserve"> means satisfying the same customer demands</w:t>
      </w:r>
      <w:r w:rsidR="00146081">
        <w:t xml:space="preserve"> (or amenity)</w:t>
      </w:r>
      <w:r>
        <w:t xml:space="preserve"> while reducing the energy needed to do so.</w:t>
      </w:r>
      <w:r w:rsidR="001A768D">
        <w:t xml:space="preserve"> </w:t>
      </w:r>
      <w:r>
        <w:t xml:space="preserve">Customers adopting </w:t>
      </w:r>
      <w:r w:rsidR="00857521">
        <w:t>EE</w:t>
      </w:r>
      <w:r>
        <w:t xml:space="preserve"> technologies, by definition, will enjoy the savings associated with their reduced consumption.</w:t>
      </w:r>
      <w:r w:rsidR="001A768D">
        <w:t xml:space="preserve"> </w:t>
      </w:r>
      <w:r>
        <w:t>As previously mentioned, this savings is nearly always achieved at a cost.</w:t>
      </w:r>
      <w:r w:rsidR="001A768D">
        <w:t xml:space="preserve"> </w:t>
      </w:r>
      <w:r>
        <w:t xml:space="preserve">Customers can objectively compare the </w:t>
      </w:r>
      <w:r w:rsidR="00A60793">
        <w:t>NPV</w:t>
      </w:r>
      <w:r>
        <w:t xml:space="preserve"> of the benefits and costs they accrue by consuming electricity with and </w:t>
      </w:r>
      <w:r>
        <w:lastRenderedPageBreak/>
        <w:t xml:space="preserve">without the </w:t>
      </w:r>
      <w:r w:rsidR="00CF5F08">
        <w:t xml:space="preserve">efficient </w:t>
      </w:r>
      <w:r>
        <w:t>technology; and, they can make a decision about whether to adopt the technology on the basis of cost</w:t>
      </w:r>
      <w:r w:rsidR="00CE0565">
        <w:t>-</w:t>
      </w:r>
      <w:r>
        <w:t>effectiveness.</w:t>
      </w:r>
    </w:p>
    <w:p w:rsidR="00CF2BE5" w:rsidRDefault="00CF2BE5" w:rsidP="00A83ABC"/>
    <w:p w:rsidR="003137B3" w:rsidRDefault="00CF5F08" w:rsidP="00A83ABC">
      <w:r>
        <w:t xml:space="preserve">Demand response </w:t>
      </w:r>
      <w:r w:rsidR="00E62CFF">
        <w:t xml:space="preserve">is based on consuming less electricity. Customers benefit from consuming electricity; thus, asking customers to use less electricity may reduce their economic welfare. In the case of residential households, this loss of welfare is related to the discomfort resulting from reduced </w:t>
      </w:r>
      <w:r w:rsidR="00622FC2">
        <w:t>A/C</w:t>
      </w:r>
      <w:r w:rsidR="00E62CFF">
        <w:t xml:space="preserve"> use on hot summer days</w:t>
      </w:r>
      <w:r w:rsidR="00304407">
        <w:t xml:space="preserve"> or reduced amenity when other </w:t>
      </w:r>
      <w:r w:rsidR="00D6412A">
        <w:t>end uses</w:t>
      </w:r>
      <w:r w:rsidR="00304407">
        <w:t xml:space="preserve"> are controlled</w:t>
      </w:r>
      <w:r w:rsidR="00E62CFF">
        <w:t xml:space="preserve">. Reducing consumption in the </w:t>
      </w:r>
      <w:r w:rsidR="008D678D">
        <w:t>C&amp;I</w:t>
      </w:r>
      <w:r w:rsidR="00E62CFF">
        <w:t xml:space="preserve"> sectors could also mean discomfort, but is more commonly related to lost opportunity or disruption because companies need electricity to produce widgets. The question then arises: who benefits from reducing electricity demand, and can they compensate customers for potential loss of welfare? If the beneficiary of customer demand reductions—</w:t>
      </w:r>
      <w:r w:rsidR="00D6412A">
        <w:t xml:space="preserve"> </w:t>
      </w:r>
      <w:r w:rsidR="00E62CFF">
        <w:t>the power grid</w:t>
      </w:r>
      <w:r w:rsidR="00D6412A">
        <w:t xml:space="preserve"> </w:t>
      </w:r>
      <w:r w:rsidR="00E62CFF">
        <w:t xml:space="preserve">—compensates customers by giving them something else they value, then there may be no net loss in welfare. If electric customers behave in ways that can be described by standard economic models of utility, then they should be willing to exchange their consumption of electricity for substitute goods or services of equal value. If the total benefit the power grid enjoys from reduced demand by its customers is greater than the total amount of compensation desired by those customers, then the </w:t>
      </w:r>
      <w:r w:rsidR="00037A03">
        <w:t>DR</w:t>
      </w:r>
      <w:r w:rsidR="00E62CFF">
        <w:t xml:space="preserve"> potential is economically efficient. This is the basis of economic potential for </w:t>
      </w:r>
      <w:r w:rsidR="00037A03">
        <w:t>DR</w:t>
      </w:r>
      <w:r w:rsidR="00E62CFF">
        <w:t xml:space="preserve">: determine the level of </w:t>
      </w:r>
      <w:r w:rsidR="00037A03">
        <w:t>DR</w:t>
      </w:r>
      <w:r w:rsidR="00E62CFF">
        <w:t xml:space="preserve"> customer incentives that maximizes the </w:t>
      </w:r>
      <w:r w:rsidR="00532DDB">
        <w:t>PV</w:t>
      </w:r>
      <w:r w:rsidR="00E62CFF">
        <w:t xml:space="preserve"> of net benefits.</w:t>
      </w:r>
    </w:p>
    <w:p w:rsidR="00CF2BE5" w:rsidRDefault="00CF2BE5" w:rsidP="00A83ABC"/>
    <w:p w:rsidR="003137B3" w:rsidRDefault="00C76F6E" w:rsidP="00A83ABC">
      <w:pPr>
        <w:pStyle w:val="Heading3"/>
      </w:pPr>
      <w:bookmarkStart w:id="54" w:name="_Toc412628376"/>
      <w:r>
        <w:t>Achievable P</w:t>
      </w:r>
      <w:r w:rsidR="003137B3">
        <w:t>otential</w:t>
      </w:r>
      <w:bookmarkEnd w:id="54"/>
    </w:p>
    <w:p w:rsidR="003137B3" w:rsidRDefault="00E62CFF" w:rsidP="00A83ABC">
      <w:r>
        <w:t xml:space="preserve">Achievable potential for </w:t>
      </w:r>
      <w:r w:rsidR="00037A03">
        <w:t>DR</w:t>
      </w:r>
      <w:r>
        <w:t xml:space="preserve"> is most like the corresponding measure of </w:t>
      </w:r>
      <w:r w:rsidR="00857521">
        <w:t>EE</w:t>
      </w:r>
      <w:r>
        <w:t xml:space="preserve"> potential. The 2007 National Action Plan for Energy Efficiency</w:t>
      </w:r>
      <w:r w:rsidR="005B100D">
        <w:rPr>
          <w:rStyle w:val="FootnoteReference"/>
        </w:rPr>
        <w:footnoteReference w:id="32"/>
      </w:r>
      <w:r>
        <w:t xml:space="preserve"> defines achievable potential as, “…the result of how much market barriers and program uptake limits will reduce the economic potential.” Factors other than the value of electricity consumption can determine how much demand customers are willing to reduce in exchange for compensation. Typical market failures could occur in a </w:t>
      </w:r>
      <w:r w:rsidR="00037A03">
        <w:t>DR</w:t>
      </w:r>
      <w:r>
        <w:t xml:space="preserve"> market—customers may not be aware that utilities are willing to compensate them for reduced energy use. Transaction costs may also create market inefficiencies that increase the cost of participating in the </w:t>
      </w:r>
      <w:r w:rsidR="00037A03">
        <w:t>DR</w:t>
      </w:r>
      <w:r>
        <w:t xml:space="preserve"> market to the point where doing so is no longer </w:t>
      </w:r>
      <w:r w:rsidR="00CE0565">
        <w:t>cost-effective</w:t>
      </w:r>
      <w:r>
        <w:t xml:space="preserve">. Lastly, as in any market, not all participants will hold the same preferences for the good or service in question (e.g. not everyone is willing to buy or sell at the same price). Achievable potential seeks to account for these additional market factors that can modify the economic potential of </w:t>
      </w:r>
      <w:r w:rsidR="00037A03">
        <w:t>DR</w:t>
      </w:r>
      <w:r>
        <w:t xml:space="preserve"> for a given, </w:t>
      </w:r>
      <w:r w:rsidR="00CE0565">
        <w:t>cost-effective</w:t>
      </w:r>
      <w:r>
        <w:t xml:space="preserve"> rate of compensation for demand reductions.</w:t>
      </w:r>
    </w:p>
    <w:p w:rsidR="00CF2BE5" w:rsidRDefault="00CF2BE5" w:rsidP="00A83ABC"/>
    <w:p w:rsidR="003137B3" w:rsidRDefault="003137B3" w:rsidP="00A83ABC">
      <w:pPr>
        <w:pStyle w:val="Heading3"/>
      </w:pPr>
      <w:bookmarkStart w:id="55" w:name="_Toc412628377"/>
      <w:r>
        <w:t>Program Potential</w:t>
      </w:r>
      <w:bookmarkEnd w:id="55"/>
    </w:p>
    <w:p w:rsidR="00B20340" w:rsidRPr="00260827" w:rsidRDefault="003137B3" w:rsidP="00260827">
      <w:pPr>
        <w:spacing w:after="200"/>
        <w:jc w:val="left"/>
        <w:rPr>
          <w:b/>
          <w:bCs/>
          <w:sz w:val="18"/>
          <w:szCs w:val="18"/>
        </w:rPr>
      </w:pPr>
      <w:r>
        <w:t xml:space="preserve">The final package of compensation that </w:t>
      </w:r>
      <w:r w:rsidR="00037A03">
        <w:t>DR</w:t>
      </w:r>
      <w:r>
        <w:t xml:space="preserve"> beneficiaries are able to offer </w:t>
      </w:r>
      <w:r w:rsidR="00037A03">
        <w:t>DR</w:t>
      </w:r>
      <w:r>
        <w:t xml:space="preserve"> providers can also limit potential.</w:t>
      </w:r>
      <w:r w:rsidR="001A768D">
        <w:t xml:space="preserve"> </w:t>
      </w:r>
      <w:r>
        <w:t xml:space="preserve">We refer to this package of compensation as the program potential for </w:t>
      </w:r>
      <w:r w:rsidR="00037A03">
        <w:t>DR</w:t>
      </w:r>
      <w:r>
        <w:t>.</w:t>
      </w:r>
      <w:r w:rsidR="001A768D">
        <w:t xml:space="preserve"> </w:t>
      </w:r>
      <w:r>
        <w:t xml:space="preserve">It may be that </w:t>
      </w:r>
      <w:r w:rsidR="00C76F6E">
        <w:t>EDCs</w:t>
      </w:r>
      <w:r>
        <w:t xml:space="preserve"> are not willing or able to provide compensation to all willing market participants for a given level of compensation.</w:t>
      </w:r>
      <w:r w:rsidR="001A768D">
        <w:t xml:space="preserve"> </w:t>
      </w:r>
      <w:r>
        <w:t>Program budgets are likely to limit the amount of total compensation that can be paid.</w:t>
      </w:r>
      <w:r w:rsidR="001A768D">
        <w:t xml:space="preserve"> </w:t>
      </w:r>
      <w:r>
        <w:t xml:space="preserve">Likewise, the specifics of the final program offered to potential </w:t>
      </w:r>
      <w:r w:rsidR="00037A03">
        <w:t>DR</w:t>
      </w:r>
      <w:r>
        <w:t xml:space="preserve"> providers may not meet the level of compensation they are willing to accept for demand reductions.</w:t>
      </w:r>
      <w:r w:rsidR="002105B0">
        <w:t xml:space="preserve"> The SWE </w:t>
      </w:r>
      <w:r w:rsidR="00E62CFF">
        <w:t>T</w:t>
      </w:r>
      <w:r w:rsidR="002105B0">
        <w:t xml:space="preserve">eam considered four hypothetical budget allocations of the 2% spending cap between </w:t>
      </w:r>
      <w:r w:rsidR="00857521">
        <w:t>EE</w:t>
      </w:r>
      <w:r w:rsidR="002105B0">
        <w:t xml:space="preserve"> and </w:t>
      </w:r>
      <w:r w:rsidR="00037A03">
        <w:t>DR</w:t>
      </w:r>
      <w:r w:rsidR="002105B0">
        <w:t xml:space="preserve">. The annual budget available for </w:t>
      </w:r>
      <w:r w:rsidR="00037A03">
        <w:t>DR</w:t>
      </w:r>
      <w:r w:rsidR="002105B0">
        <w:t xml:space="preserve"> under each scenario is presented in </w:t>
      </w:r>
      <w:r w:rsidR="00E62CFF">
        <w:fldChar w:fldCharType="begin"/>
      </w:r>
      <w:r w:rsidR="00E62CFF">
        <w:instrText xml:space="preserve"> REF _Ref408328147 \h </w:instrText>
      </w:r>
      <w:r w:rsidR="00E62CFF">
        <w:fldChar w:fldCharType="separate"/>
      </w:r>
      <w:r w:rsidR="00803DBE" w:rsidRPr="009370BC">
        <w:t xml:space="preserve">Table </w:t>
      </w:r>
      <w:r w:rsidR="00803DBE">
        <w:rPr>
          <w:noProof/>
        </w:rPr>
        <w:t>2</w:t>
      </w:r>
      <w:r w:rsidR="00803DBE">
        <w:noBreakHyphen/>
      </w:r>
      <w:r w:rsidR="00803DBE">
        <w:rPr>
          <w:noProof/>
        </w:rPr>
        <w:t>1</w:t>
      </w:r>
      <w:r w:rsidR="00E62CFF">
        <w:fldChar w:fldCharType="end"/>
      </w:r>
      <w:r w:rsidR="00E62CFF">
        <w:t>.</w:t>
      </w:r>
    </w:p>
    <w:p w:rsidR="006D61CD" w:rsidRDefault="006D61CD" w:rsidP="00A83ABC">
      <w:bookmarkStart w:id="56" w:name="_Ref406491284"/>
    </w:p>
    <w:p w:rsidR="00D0695A" w:rsidRDefault="00D0695A" w:rsidP="00A83ABC"/>
    <w:p w:rsidR="00D0695A" w:rsidRPr="006D61CD" w:rsidRDefault="00D0695A" w:rsidP="00A83ABC"/>
    <w:p w:rsidR="00090F5D" w:rsidRDefault="00090F5D" w:rsidP="00A83ABC">
      <w:pPr>
        <w:pStyle w:val="Caption"/>
        <w:keepNext/>
      </w:pPr>
      <w:bookmarkStart w:id="57" w:name="_Ref408328147"/>
      <w:bookmarkStart w:id="58" w:name="_Ref409005077"/>
      <w:bookmarkStart w:id="59" w:name="_Toc412628447"/>
      <w:r w:rsidRPr="009370BC">
        <w:lastRenderedPageBreak/>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w:t>
      </w:r>
      <w:r w:rsidR="00E2011B">
        <w:rPr>
          <w:noProof/>
        </w:rPr>
        <w:fldChar w:fldCharType="end"/>
      </w:r>
      <w:bookmarkEnd w:id="56"/>
      <w:bookmarkEnd w:id="57"/>
      <w:bookmarkEnd w:id="58"/>
      <w:r w:rsidRPr="009370BC">
        <w:t>: Annual DR</w:t>
      </w:r>
      <w:r w:rsidR="002105B0" w:rsidRPr="009370BC">
        <w:t xml:space="preserve"> Budget for Program Potential Scenarios</w:t>
      </w:r>
      <w:bookmarkEnd w:id="59"/>
    </w:p>
    <w:tbl>
      <w:tblPr>
        <w:tblStyle w:val="MediumShading1-Accent5"/>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00"/>
        <w:gridCol w:w="1890"/>
        <w:gridCol w:w="1890"/>
        <w:gridCol w:w="1890"/>
        <w:gridCol w:w="1890"/>
      </w:tblGrid>
      <w:tr w:rsidR="00CF2BE5" w:rsidRPr="00D858E3" w:rsidTr="00AB46E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CF2BE5" w:rsidRPr="00D858E3" w:rsidRDefault="00CF2BE5" w:rsidP="00A83ABC">
            <w:pPr>
              <w:jc w:val="left"/>
              <w:rPr>
                <w:rFonts w:ascii="Calibri" w:eastAsia="Times New Roman" w:hAnsi="Calibri" w:cs="Times New Roman"/>
                <w:color w:val="FFFFFF"/>
                <w:sz w:val="20"/>
                <w:szCs w:val="20"/>
              </w:rPr>
            </w:pPr>
            <w:r w:rsidRPr="00D858E3">
              <w:rPr>
                <w:rFonts w:ascii="Calibri" w:eastAsia="Times New Roman" w:hAnsi="Calibri" w:cs="Times New Roman"/>
                <w:color w:val="FFFFFF"/>
                <w:sz w:val="20"/>
                <w:szCs w:val="20"/>
              </w:rPr>
              <w:t>EDC</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CF2BE5" w:rsidRPr="00D858E3"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sidRPr="00D858E3">
              <w:rPr>
                <w:rFonts w:ascii="Calibri" w:eastAsia="Times New Roman" w:hAnsi="Calibri" w:cs="Times New Roman"/>
                <w:color w:val="FFFFFF"/>
                <w:sz w:val="20"/>
                <w:szCs w:val="20"/>
              </w:rPr>
              <w:t>100% EE, 0% DR</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CF2BE5" w:rsidRPr="00D858E3"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sidRPr="00D858E3">
              <w:rPr>
                <w:rFonts w:ascii="Calibri" w:eastAsia="Times New Roman" w:hAnsi="Calibri" w:cs="Times New Roman"/>
                <w:color w:val="FFFFFF"/>
                <w:sz w:val="20"/>
                <w:szCs w:val="20"/>
              </w:rPr>
              <w:t>90% EE, 10% DR</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CF2BE5" w:rsidRPr="00D858E3"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sidRPr="00D858E3">
              <w:rPr>
                <w:rFonts w:ascii="Calibri" w:eastAsia="Times New Roman" w:hAnsi="Calibri" w:cs="Times New Roman"/>
                <w:color w:val="FFFFFF"/>
                <w:sz w:val="20"/>
                <w:szCs w:val="20"/>
              </w:rPr>
              <w:t>85% EE, 15% DR</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CF2BE5" w:rsidRPr="00D858E3"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sidRPr="00D858E3">
              <w:rPr>
                <w:rFonts w:ascii="Calibri" w:eastAsia="Times New Roman" w:hAnsi="Calibri" w:cs="Times New Roman"/>
                <w:color w:val="FFFFFF"/>
                <w:sz w:val="20"/>
                <w:szCs w:val="20"/>
              </w:rPr>
              <w:t>80% EE, 20% DR</w:t>
            </w:r>
          </w:p>
        </w:tc>
      </w:tr>
      <w:tr w:rsidR="00CF2BE5" w:rsidRPr="00D858E3"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 w:val="0"/>
                <w:color w:val="000000"/>
                <w:sz w:val="20"/>
                <w:szCs w:val="20"/>
              </w:rPr>
            </w:pPr>
            <w:r w:rsidRPr="00D858E3">
              <w:rPr>
                <w:rFonts w:ascii="Calibri" w:eastAsia="Times New Roman" w:hAnsi="Calibri" w:cs="Times New Roman"/>
                <w:b w:val="0"/>
                <w:color w:val="000000"/>
                <w:sz w:val="20"/>
                <w:szCs w:val="20"/>
              </w:rPr>
              <w:t>Duquesne</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$1,954,595</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$2,931,893</w:t>
            </w:r>
          </w:p>
        </w:tc>
        <w:tc>
          <w:tcPr>
            <w:tcW w:w="1890" w:type="dxa"/>
            <w:tcBorders>
              <w:lef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$3,909,190</w:t>
            </w:r>
          </w:p>
        </w:tc>
      </w:tr>
      <w:tr w:rsidR="00CF2BE5" w:rsidRPr="00D858E3"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 w:val="0"/>
                <w:color w:val="000000"/>
                <w:sz w:val="20"/>
                <w:szCs w:val="20"/>
              </w:rPr>
            </w:pPr>
            <w:r w:rsidRPr="00D858E3">
              <w:rPr>
                <w:rFonts w:ascii="Calibri" w:eastAsia="Times New Roman" w:hAnsi="Calibri" w:cs="Times New Roman"/>
                <w:b w:val="0"/>
                <w:color w:val="000000"/>
                <w:sz w:val="20"/>
                <w:szCs w:val="20"/>
              </w:rPr>
              <w:t>FE: Met-Ed</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$2,486,689</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$3,730,034</w:t>
            </w:r>
          </w:p>
        </w:tc>
        <w:tc>
          <w:tcPr>
            <w:tcW w:w="1890" w:type="dxa"/>
            <w:tcBorders>
              <w:lef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$4,973,378</w:t>
            </w:r>
          </w:p>
        </w:tc>
      </w:tr>
      <w:tr w:rsidR="00CF2BE5" w:rsidRPr="00D858E3"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 w:val="0"/>
                <w:color w:val="000000"/>
                <w:sz w:val="20"/>
                <w:szCs w:val="20"/>
              </w:rPr>
            </w:pPr>
            <w:r w:rsidRPr="00D858E3">
              <w:rPr>
                <w:rFonts w:ascii="Calibri" w:eastAsia="Times New Roman" w:hAnsi="Calibri" w:cs="Times New Roman"/>
                <w:b w:val="0"/>
                <w:color w:val="000000"/>
                <w:sz w:val="20"/>
                <w:szCs w:val="20"/>
              </w:rPr>
              <w:t>FE: Penelec</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$2,297,474</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$3,446,212</w:t>
            </w:r>
          </w:p>
        </w:tc>
        <w:tc>
          <w:tcPr>
            <w:tcW w:w="1890" w:type="dxa"/>
            <w:tcBorders>
              <w:lef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$4,594,949</w:t>
            </w:r>
          </w:p>
        </w:tc>
      </w:tr>
      <w:tr w:rsidR="00CF2BE5" w:rsidRPr="00D858E3"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 w:val="0"/>
                <w:color w:val="000000"/>
                <w:sz w:val="20"/>
                <w:szCs w:val="20"/>
              </w:rPr>
            </w:pPr>
            <w:r w:rsidRPr="00D858E3">
              <w:rPr>
                <w:rFonts w:ascii="Calibri" w:eastAsia="Times New Roman" w:hAnsi="Calibri" w:cs="Times New Roman"/>
                <w:b w:val="0"/>
                <w:color w:val="000000"/>
                <w:sz w:val="20"/>
                <w:szCs w:val="20"/>
              </w:rPr>
              <w:t>FE: Penn Power</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$665,978</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$998,968</w:t>
            </w:r>
          </w:p>
        </w:tc>
        <w:tc>
          <w:tcPr>
            <w:tcW w:w="1890" w:type="dxa"/>
            <w:tcBorders>
              <w:lef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$1,331,957</w:t>
            </w:r>
          </w:p>
        </w:tc>
      </w:tr>
      <w:tr w:rsidR="00CF2BE5" w:rsidRPr="00D858E3"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 w:val="0"/>
                <w:color w:val="000000"/>
                <w:sz w:val="20"/>
                <w:szCs w:val="20"/>
              </w:rPr>
            </w:pPr>
            <w:r w:rsidRPr="00D858E3">
              <w:rPr>
                <w:rFonts w:ascii="Calibri" w:eastAsia="Times New Roman" w:hAnsi="Calibri" w:cs="Times New Roman"/>
                <w:b w:val="0"/>
                <w:color w:val="000000"/>
                <w:sz w:val="20"/>
                <w:szCs w:val="20"/>
              </w:rPr>
              <w:t xml:space="preserve">FE: West Penn </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$2,356,247</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$3,534,370</w:t>
            </w:r>
          </w:p>
        </w:tc>
        <w:tc>
          <w:tcPr>
            <w:tcW w:w="1890" w:type="dxa"/>
            <w:tcBorders>
              <w:lef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$4,712,494</w:t>
            </w:r>
          </w:p>
        </w:tc>
      </w:tr>
      <w:tr w:rsidR="00CF2BE5" w:rsidRPr="00D858E3"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 w:val="0"/>
                <w:color w:val="000000"/>
                <w:sz w:val="20"/>
                <w:szCs w:val="20"/>
              </w:rPr>
            </w:pPr>
            <w:r w:rsidRPr="00D858E3">
              <w:rPr>
                <w:rFonts w:ascii="Calibri" w:eastAsia="Times New Roman" w:hAnsi="Calibri" w:cs="Times New Roman"/>
                <w:b w:val="0"/>
                <w:color w:val="000000"/>
                <w:sz w:val="20"/>
                <w:szCs w:val="20"/>
              </w:rPr>
              <w:t>PECO</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$8,539,516</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$12,809,274</w:t>
            </w:r>
          </w:p>
        </w:tc>
        <w:tc>
          <w:tcPr>
            <w:tcW w:w="1890" w:type="dxa"/>
            <w:tcBorders>
              <w:lef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$17,079,032</w:t>
            </w:r>
          </w:p>
        </w:tc>
      </w:tr>
      <w:tr w:rsidR="00CF2BE5" w:rsidRPr="00D858E3"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 w:val="0"/>
                <w:color w:val="000000"/>
                <w:sz w:val="20"/>
                <w:szCs w:val="20"/>
              </w:rPr>
            </w:pPr>
            <w:r w:rsidRPr="00D858E3">
              <w:rPr>
                <w:rFonts w:ascii="Calibri" w:eastAsia="Times New Roman" w:hAnsi="Calibri" w:cs="Times New Roman"/>
                <w:b w:val="0"/>
                <w:color w:val="000000"/>
                <w:sz w:val="20"/>
                <w:szCs w:val="20"/>
              </w:rPr>
              <w:t>PPL</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$6,150,138</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$9,225,206</w:t>
            </w:r>
          </w:p>
        </w:tc>
        <w:tc>
          <w:tcPr>
            <w:tcW w:w="1890" w:type="dxa"/>
            <w:tcBorders>
              <w:left w:val="none" w:sz="0" w:space="0" w:color="auto"/>
            </w:tcBorders>
            <w:noWrap/>
            <w:hideMark/>
          </w:tcPr>
          <w:p w:rsidR="00CF2BE5" w:rsidRPr="00D858E3"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858E3">
              <w:rPr>
                <w:rFonts w:ascii="Calibri" w:eastAsia="Times New Roman" w:hAnsi="Calibri" w:cs="Times New Roman"/>
                <w:color w:val="000000"/>
                <w:sz w:val="20"/>
                <w:szCs w:val="20"/>
              </w:rPr>
              <w:t>$12,300,275</w:t>
            </w:r>
          </w:p>
        </w:tc>
      </w:tr>
      <w:tr w:rsidR="00CF2BE5" w:rsidRPr="00D858E3"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CF2BE5" w:rsidRPr="00D858E3" w:rsidRDefault="00CF2BE5" w:rsidP="00A83ABC">
            <w:pPr>
              <w:jc w:val="left"/>
              <w:rPr>
                <w:rFonts w:ascii="Calibri" w:eastAsia="Times New Roman" w:hAnsi="Calibri" w:cs="Times New Roman"/>
                <w:bCs w:val="0"/>
                <w:color w:val="000000"/>
                <w:sz w:val="20"/>
                <w:szCs w:val="20"/>
              </w:rPr>
            </w:pPr>
            <w:r w:rsidRPr="00D858E3">
              <w:rPr>
                <w:rFonts w:ascii="Calibri" w:eastAsia="Times New Roman" w:hAnsi="Calibri" w:cs="Times New Roman"/>
                <w:bCs w:val="0"/>
                <w:color w:val="000000"/>
                <w:sz w:val="20"/>
                <w:szCs w:val="20"/>
              </w:rPr>
              <w:t>Statewide</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D858E3">
              <w:rPr>
                <w:rFonts w:ascii="Calibri" w:eastAsia="Times New Roman" w:hAnsi="Calibri" w:cs="Times New Roman"/>
                <w:b/>
                <w:bCs/>
                <w:color w:val="000000"/>
                <w:sz w:val="20"/>
                <w:szCs w:val="20"/>
              </w:rPr>
              <w:t>$0</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D858E3">
              <w:rPr>
                <w:rFonts w:ascii="Calibri" w:eastAsia="Times New Roman" w:hAnsi="Calibri" w:cs="Times New Roman"/>
                <w:b/>
                <w:bCs/>
                <w:color w:val="000000"/>
                <w:sz w:val="20"/>
                <w:szCs w:val="20"/>
              </w:rPr>
              <w:t>$24,450,637</w:t>
            </w:r>
          </w:p>
        </w:tc>
        <w:tc>
          <w:tcPr>
            <w:tcW w:w="1890" w:type="dxa"/>
            <w:tcBorders>
              <w:left w:val="none" w:sz="0" w:space="0" w:color="auto"/>
              <w:righ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D858E3">
              <w:rPr>
                <w:rFonts w:ascii="Calibri" w:eastAsia="Times New Roman" w:hAnsi="Calibri" w:cs="Times New Roman"/>
                <w:b/>
                <w:bCs/>
                <w:color w:val="000000"/>
                <w:sz w:val="20"/>
                <w:szCs w:val="20"/>
              </w:rPr>
              <w:t>$36,675,956</w:t>
            </w:r>
          </w:p>
        </w:tc>
        <w:tc>
          <w:tcPr>
            <w:tcW w:w="1890" w:type="dxa"/>
            <w:tcBorders>
              <w:left w:val="none" w:sz="0" w:space="0" w:color="auto"/>
            </w:tcBorders>
            <w:noWrap/>
            <w:hideMark/>
          </w:tcPr>
          <w:p w:rsidR="00CF2BE5" w:rsidRPr="00D858E3"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D858E3">
              <w:rPr>
                <w:rFonts w:ascii="Calibri" w:eastAsia="Times New Roman" w:hAnsi="Calibri" w:cs="Times New Roman"/>
                <w:b/>
                <w:bCs/>
                <w:color w:val="000000"/>
                <w:sz w:val="20"/>
                <w:szCs w:val="20"/>
              </w:rPr>
              <w:t>$48,901,275</w:t>
            </w:r>
          </w:p>
        </w:tc>
      </w:tr>
    </w:tbl>
    <w:p w:rsidR="00CF2BE5" w:rsidRDefault="00CF2BE5" w:rsidP="00A83ABC"/>
    <w:p w:rsidR="009B6461" w:rsidRDefault="002D7EE4" w:rsidP="00A83ABC">
      <w:pPr>
        <w:pStyle w:val="Heading2"/>
      </w:pPr>
      <w:bookmarkStart w:id="60" w:name="_Ref406918845"/>
      <w:bookmarkStart w:id="61" w:name="_Toc412628378"/>
      <w:r>
        <w:t>Peak Load Con</w:t>
      </w:r>
      <w:r w:rsidR="00E2108B">
        <w:t>sumption</w:t>
      </w:r>
      <w:bookmarkEnd w:id="60"/>
      <w:bookmarkEnd w:id="61"/>
    </w:p>
    <w:p w:rsidR="0027365F" w:rsidRDefault="00E62CFF" w:rsidP="00A83ABC">
      <w:r>
        <w:t xml:space="preserve">The primary objective of the Act 129 </w:t>
      </w:r>
      <w:r w:rsidR="00037A03">
        <w:t>DR</w:t>
      </w:r>
      <w:r>
        <w:t xml:space="preserve"> program modeled in this study is to lower the generation capacity that must be secured by PJM on behalf of the EDCs. If successful, a statewide </w:t>
      </w:r>
      <w:r w:rsidR="00037A03">
        <w:t>DR</w:t>
      </w:r>
      <w:r>
        <w:t xml:space="preserve"> program would exert downward pressure on forecasts of summer peak demand and reduce the generation capacity required to meet PJM’s reliability requirements.</w:t>
      </w:r>
      <w:r>
        <w:rPr>
          <w:rStyle w:val="FootnoteReference"/>
        </w:rPr>
        <w:footnoteReference w:id="33"/>
      </w:r>
      <w:r>
        <w:t xml:space="preserve"> This is somewhat different from the current PJM markets where </w:t>
      </w:r>
      <w:r w:rsidR="00037A03">
        <w:t>DR</w:t>
      </w:r>
      <w:r w:rsidR="00A60793">
        <w:t xml:space="preserve"> falls on the supply-</w:t>
      </w:r>
      <w:r>
        <w:t xml:space="preserve">side and fills a requirement for generation capacity. The Commission’s Final Order on </w:t>
      </w:r>
      <w:r w:rsidR="00037A03">
        <w:t>DR</w:t>
      </w:r>
      <w:r>
        <w:rPr>
          <w:rStyle w:val="FootnoteReference"/>
        </w:rPr>
        <w:footnoteReference w:id="34"/>
      </w:r>
      <w:r>
        <w:t xml:space="preserve"> specified that EDCs will not be directed to bid </w:t>
      </w:r>
      <w:r w:rsidRPr="004E2E5D">
        <w:t>their</w:t>
      </w:r>
      <w:r>
        <w:t xml:space="preserve"> programs into PJM’s forward capacity market so the SWE </w:t>
      </w:r>
      <w:r w:rsidR="0045410E">
        <w:t xml:space="preserve">Team </w:t>
      </w:r>
      <w:r>
        <w:t xml:space="preserve">believes that actual reductions during peak conditions </w:t>
      </w:r>
      <w:r w:rsidRPr="004E2E5D">
        <w:t xml:space="preserve">are </w:t>
      </w:r>
      <w:r>
        <w:t xml:space="preserve">the most viable mechanism for an Act 129 DR </w:t>
      </w:r>
      <w:r w:rsidR="009A6D3D">
        <w:t xml:space="preserve">program </w:t>
      </w:r>
      <w:r>
        <w:t>to produce tangible avoided costs.</w:t>
      </w:r>
    </w:p>
    <w:p w:rsidR="00CF2BE5" w:rsidRDefault="00CF2BE5" w:rsidP="00A83ABC"/>
    <w:p w:rsidR="00E2108B" w:rsidRDefault="00E2108B" w:rsidP="00A83ABC">
      <w:r>
        <w:t xml:space="preserve">The SWE Team was provided a summer and winter peak load forecast for each of the EDC service territories as part of a data request issued during the early stages of the study. Unlike the energy sales forecasts, which are </w:t>
      </w:r>
      <w:r w:rsidR="003A76A0">
        <w:t xml:space="preserve">completed </w:t>
      </w:r>
      <w:r>
        <w:t>by the E</w:t>
      </w:r>
      <w:r w:rsidR="004822C1">
        <w:t>DCs, the peak load forecasts were</w:t>
      </w:r>
      <w:r>
        <w:t xml:space="preserve"> completed by </w:t>
      </w:r>
      <w:r w:rsidR="00E62CFF">
        <w:t>PJM</w:t>
      </w:r>
      <w:r w:rsidR="00E62CFF">
        <w:rPr>
          <w:rStyle w:val="FootnoteReference"/>
        </w:rPr>
        <w:footnoteReference w:id="35"/>
      </w:r>
      <w:r w:rsidR="00E62CFF">
        <w:t xml:space="preserve">. </w:t>
      </w:r>
      <w:r w:rsidR="004822C1">
        <w:t>The PJM load forecasts are available publicly</w:t>
      </w:r>
      <w:r w:rsidR="007F53E6">
        <w:rPr>
          <w:rStyle w:val="FootnoteReference"/>
        </w:rPr>
        <w:footnoteReference w:id="36"/>
      </w:r>
      <w:r w:rsidR="004822C1">
        <w:t xml:space="preserve"> and are also </w:t>
      </w:r>
      <w:r w:rsidR="007F53E6">
        <w:t xml:space="preserve">explored in more detail in Section </w:t>
      </w:r>
      <w:r w:rsidR="007F53E6">
        <w:fldChar w:fldCharType="begin"/>
      </w:r>
      <w:r w:rsidR="007F53E6">
        <w:instrText xml:space="preserve"> REF _Ref405476143 \r \h </w:instrText>
      </w:r>
      <w:r w:rsidR="00CF2BE5">
        <w:instrText xml:space="preserve"> \* MERGEFORMAT </w:instrText>
      </w:r>
      <w:r w:rsidR="007F53E6">
        <w:fldChar w:fldCharType="separate"/>
      </w:r>
      <w:r w:rsidR="00803DBE">
        <w:t>3.2</w:t>
      </w:r>
      <w:r w:rsidR="007F53E6">
        <w:fldChar w:fldCharType="end"/>
      </w:r>
      <w:r w:rsidR="007F53E6">
        <w:t>. One important characteristic of these forecasts is that they are at the EDC-level and do not distinguish load from the residential class from commercial or industrial loads. Disaggregation of these summer peak load forecasts was an important precursor to the</w:t>
      </w:r>
      <w:r w:rsidR="00B77C6B">
        <w:t xml:space="preserve"> </w:t>
      </w:r>
      <w:r w:rsidR="00037A03">
        <w:t>DR</w:t>
      </w:r>
      <w:r w:rsidR="007F53E6">
        <w:t xml:space="preserve"> potential assessment.</w:t>
      </w:r>
    </w:p>
    <w:p w:rsidR="00CF2BE5" w:rsidRDefault="00CF2BE5" w:rsidP="00A83ABC"/>
    <w:p w:rsidR="001C4539" w:rsidRDefault="00E62CFF" w:rsidP="00A83ABC">
      <w:r>
        <w:t xml:space="preserve">PJM’s forecast for peak demand is the driver of the amount of generation capacity that must be secured to ensure reliable delivery of electricity to the region. </w:t>
      </w:r>
      <w:r w:rsidR="00A60793">
        <w:t>P</w:t>
      </w:r>
      <w:r>
        <w:t xml:space="preserve">eak load contribution refers to </w:t>
      </w:r>
      <w:r w:rsidR="00A60793">
        <w:t xml:space="preserve">the </w:t>
      </w:r>
      <w:r>
        <w:t>share of peak load forecast that an individual electric customer is responsible for and is a mechanism for EDCs</w:t>
      </w:r>
      <w:r w:rsidR="005D08F6">
        <w:t xml:space="preserve"> and</w:t>
      </w:r>
      <w:r w:rsidR="00304407">
        <w:t xml:space="preserve"> </w:t>
      </w:r>
      <w:r>
        <w:t>EGS</w:t>
      </w:r>
      <w:r w:rsidR="00D10AE3">
        <w:t>’s</w:t>
      </w:r>
      <w:r>
        <w:t xml:space="preserve"> to recover the fixed costs of the electric system from their customers. The timing and calculation details vary by EDC, rate class, and the availability of interval metering but the underlying concept is similar. A customer’s average load during periods of high system demand is used to determine the share of the electric generation capacity costs that are borne by that account. If a grocery store has an average load of 250 kW on the peak summer weekday afternoons, that grocery store will be assessed the costs associated with 250 kW of generation, </w:t>
      </w:r>
      <w:r w:rsidR="00AD2C38">
        <w:t>T&amp;D</w:t>
      </w:r>
      <w:r>
        <w:t xml:space="preserve"> capacity. These demand charges may thereby represent up </w:t>
      </w:r>
      <w:r>
        <w:lastRenderedPageBreak/>
        <w:t>to 30% of customer billings—a fact which indicates the magnitude of potential savings from lowering peak demand and avoiding capital intensive expansion of infrastructure.</w:t>
      </w:r>
    </w:p>
    <w:p w:rsidR="00CF2BE5" w:rsidRDefault="00CF2BE5" w:rsidP="00A83ABC"/>
    <w:p w:rsidR="0033300A" w:rsidRDefault="00E62CFF" w:rsidP="00A83ABC">
      <w:r>
        <w:t xml:space="preserve">The SWE </w:t>
      </w:r>
      <w:r w:rsidR="0045410E">
        <w:t xml:space="preserve">Team </w:t>
      </w:r>
      <w:r>
        <w:t>leveraged PLC information supplied by the EDCs for their customer bases in order to disaggregate the peak load forecasts to the sector level. The premise behind this analysis is that the sum of the PLCs from all customers will approximate the peak load forecast. A historic analysis of the distribution of PLCs by customer class was used to assign a proportion of the summer peak to each class and these proportions were then applied prospectively to the forecast. The SWE</w:t>
      </w:r>
      <w:r w:rsidR="0045410E" w:rsidRPr="0045410E">
        <w:t xml:space="preserve"> </w:t>
      </w:r>
      <w:r w:rsidR="0045410E">
        <w:t>Team</w:t>
      </w:r>
      <w:r>
        <w:t>’s disaggregated forecast for each EDC is shown by customer sector in</w:t>
      </w:r>
      <w:r w:rsidR="00A2671F">
        <w:t xml:space="preserve"> </w:t>
      </w:r>
      <w:r w:rsidR="00A2671F">
        <w:fldChar w:fldCharType="begin"/>
      </w:r>
      <w:r w:rsidR="00A2671F">
        <w:instrText xml:space="preserve"> REF _Ref405479005 \h </w:instrText>
      </w:r>
      <w:r w:rsidR="00CF2BE5">
        <w:instrText xml:space="preserve"> \* MERGEFORMAT </w:instrText>
      </w:r>
      <w:r w:rsidR="00A2671F">
        <w:fldChar w:fldCharType="separate"/>
      </w:r>
      <w:r w:rsidR="00803DBE" w:rsidRPr="00CF2BE5">
        <w:t xml:space="preserve">Table </w:t>
      </w:r>
      <w:r w:rsidR="00803DBE">
        <w:rPr>
          <w:noProof/>
        </w:rPr>
        <w:t>2</w:t>
      </w:r>
      <w:r w:rsidR="00803DBE">
        <w:rPr>
          <w:noProof/>
        </w:rPr>
        <w:noBreakHyphen/>
        <w:t>2</w:t>
      </w:r>
      <w:r w:rsidR="00A2671F">
        <w:fldChar w:fldCharType="end"/>
      </w:r>
      <w:r w:rsidR="00DF28F1">
        <w:t>.</w:t>
      </w:r>
      <w:r w:rsidR="001A768D">
        <w:t xml:space="preserve"> </w:t>
      </w:r>
    </w:p>
    <w:p w:rsidR="00CF2BE5" w:rsidRPr="009B6461" w:rsidRDefault="00CF2BE5" w:rsidP="00A83ABC"/>
    <w:p w:rsidR="00E62CFF" w:rsidRDefault="00033AC1" w:rsidP="00A83ABC">
      <w:pPr>
        <w:pStyle w:val="Caption"/>
      </w:pPr>
      <w:bookmarkStart w:id="62" w:name="_Ref405479005"/>
      <w:bookmarkStart w:id="63" w:name="_Toc412628448"/>
      <w:r w:rsidRPr="00CF2BE5">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2</w:t>
      </w:r>
      <w:r w:rsidR="00E2011B">
        <w:rPr>
          <w:noProof/>
        </w:rPr>
        <w:fldChar w:fldCharType="end"/>
      </w:r>
      <w:bookmarkEnd w:id="62"/>
      <w:r w:rsidRPr="00CF2BE5">
        <w:t xml:space="preserve">: </w:t>
      </w:r>
      <w:r w:rsidR="00E62CFF" w:rsidRPr="00CF2BE5">
        <w:t>Disaggregated 2016 Summer Peak Load Forecast</w:t>
      </w:r>
      <w:r w:rsidR="00CE489A">
        <w:t xml:space="preserve"> (MW)</w:t>
      </w:r>
      <w:bookmarkEnd w:id="63"/>
    </w:p>
    <w:tbl>
      <w:tblPr>
        <w:tblStyle w:val="MediumShading1-Accent5"/>
        <w:tblW w:w="7333"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104"/>
        <w:gridCol w:w="1307"/>
        <w:gridCol w:w="1307"/>
        <w:gridCol w:w="1307"/>
        <w:gridCol w:w="1308"/>
      </w:tblGrid>
      <w:tr w:rsidR="00CF2BE5" w:rsidRPr="009530D2" w:rsidTr="00AB46E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4" w:type="dxa"/>
            <w:tcBorders>
              <w:top w:val="none" w:sz="0" w:space="0" w:color="auto"/>
              <w:left w:val="none" w:sz="0" w:space="0" w:color="auto"/>
              <w:bottom w:val="none" w:sz="0" w:space="0" w:color="auto"/>
              <w:right w:val="none" w:sz="0" w:space="0" w:color="auto"/>
            </w:tcBorders>
            <w:shd w:val="clear" w:color="auto" w:fill="448A99"/>
            <w:vAlign w:val="bottom"/>
            <w:hideMark/>
          </w:tcPr>
          <w:p w:rsidR="00CF2BE5" w:rsidRPr="009530D2" w:rsidRDefault="00CF2BE5" w:rsidP="00A83ABC">
            <w:pPr>
              <w:jc w:val="left"/>
              <w:rPr>
                <w:rFonts w:ascii="Calibri" w:eastAsia="Times New Roman" w:hAnsi="Calibri" w:cs="Calibri"/>
                <w:bCs w:val="0"/>
                <w:color w:val="FFFFFF"/>
                <w:sz w:val="20"/>
                <w:szCs w:val="20"/>
              </w:rPr>
            </w:pPr>
            <w:r w:rsidRPr="009530D2">
              <w:rPr>
                <w:rFonts w:ascii="Calibri" w:eastAsia="Times New Roman" w:hAnsi="Calibri" w:cs="Calibri"/>
                <w:bCs w:val="0"/>
                <w:color w:val="FFFFFF"/>
                <w:sz w:val="20"/>
                <w:szCs w:val="20"/>
                <w:lang w:val="x-none"/>
              </w:rPr>
              <w:t>EDC</w:t>
            </w:r>
          </w:p>
        </w:tc>
        <w:tc>
          <w:tcPr>
            <w:tcW w:w="1307" w:type="dxa"/>
            <w:tcBorders>
              <w:top w:val="none" w:sz="0" w:space="0" w:color="auto"/>
              <w:left w:val="none" w:sz="0" w:space="0" w:color="auto"/>
              <w:bottom w:val="none" w:sz="0" w:space="0" w:color="auto"/>
              <w:right w:val="none" w:sz="0" w:space="0" w:color="auto"/>
            </w:tcBorders>
            <w:shd w:val="clear" w:color="auto" w:fill="448A99"/>
            <w:vAlign w:val="bottom"/>
            <w:hideMark/>
          </w:tcPr>
          <w:p w:rsidR="00CF2BE5" w:rsidRPr="009530D2"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9530D2">
              <w:rPr>
                <w:rFonts w:ascii="Calibri" w:eastAsia="Times New Roman" w:hAnsi="Calibri" w:cs="Calibri"/>
                <w:bCs w:val="0"/>
                <w:color w:val="FFFFFF"/>
                <w:sz w:val="20"/>
                <w:szCs w:val="20"/>
                <w:lang w:val="x-none"/>
              </w:rPr>
              <w:t>Industrial</w:t>
            </w:r>
          </w:p>
        </w:tc>
        <w:tc>
          <w:tcPr>
            <w:tcW w:w="1307" w:type="dxa"/>
            <w:tcBorders>
              <w:top w:val="none" w:sz="0" w:space="0" w:color="auto"/>
              <w:left w:val="none" w:sz="0" w:space="0" w:color="auto"/>
              <w:bottom w:val="none" w:sz="0" w:space="0" w:color="auto"/>
              <w:right w:val="none" w:sz="0" w:space="0" w:color="auto"/>
            </w:tcBorders>
            <w:shd w:val="clear" w:color="auto" w:fill="448A99"/>
            <w:vAlign w:val="bottom"/>
            <w:hideMark/>
          </w:tcPr>
          <w:p w:rsidR="00CF2BE5" w:rsidRPr="009530D2"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9530D2">
              <w:rPr>
                <w:rFonts w:ascii="Calibri" w:eastAsia="Times New Roman" w:hAnsi="Calibri" w:cs="Calibri"/>
                <w:bCs w:val="0"/>
                <w:color w:val="FFFFFF"/>
                <w:sz w:val="20"/>
                <w:szCs w:val="20"/>
                <w:lang w:val="x-none"/>
              </w:rPr>
              <w:t>Commercial</w:t>
            </w:r>
          </w:p>
        </w:tc>
        <w:tc>
          <w:tcPr>
            <w:tcW w:w="1307" w:type="dxa"/>
            <w:tcBorders>
              <w:top w:val="none" w:sz="0" w:space="0" w:color="auto"/>
              <w:left w:val="none" w:sz="0" w:space="0" w:color="auto"/>
              <w:bottom w:val="none" w:sz="0" w:space="0" w:color="auto"/>
              <w:right w:val="none" w:sz="0" w:space="0" w:color="auto"/>
            </w:tcBorders>
            <w:shd w:val="clear" w:color="auto" w:fill="448A99"/>
            <w:vAlign w:val="bottom"/>
            <w:hideMark/>
          </w:tcPr>
          <w:p w:rsidR="00CF2BE5" w:rsidRPr="009530D2"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9530D2">
              <w:rPr>
                <w:rFonts w:ascii="Calibri" w:eastAsia="Times New Roman" w:hAnsi="Calibri" w:cs="Calibri"/>
                <w:bCs w:val="0"/>
                <w:color w:val="FFFFFF"/>
                <w:sz w:val="20"/>
                <w:szCs w:val="20"/>
                <w:lang w:val="x-none"/>
              </w:rPr>
              <w:t>Residential</w:t>
            </w:r>
          </w:p>
        </w:tc>
        <w:tc>
          <w:tcPr>
            <w:tcW w:w="1308" w:type="dxa"/>
            <w:tcBorders>
              <w:top w:val="none" w:sz="0" w:space="0" w:color="auto"/>
              <w:left w:val="none" w:sz="0" w:space="0" w:color="auto"/>
              <w:bottom w:val="none" w:sz="0" w:space="0" w:color="auto"/>
              <w:right w:val="none" w:sz="0" w:space="0" w:color="auto"/>
            </w:tcBorders>
            <w:shd w:val="clear" w:color="auto" w:fill="448A99"/>
            <w:vAlign w:val="bottom"/>
            <w:hideMark/>
          </w:tcPr>
          <w:p w:rsidR="00CF2BE5" w:rsidRPr="009530D2" w:rsidRDefault="00CF2B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9530D2">
              <w:rPr>
                <w:rFonts w:ascii="Calibri" w:eastAsia="Times New Roman" w:hAnsi="Calibri" w:cs="Calibri"/>
                <w:bCs w:val="0"/>
                <w:color w:val="FFFFFF"/>
                <w:sz w:val="20"/>
                <w:szCs w:val="20"/>
                <w:lang w:val="x-none"/>
              </w:rPr>
              <w:t>Total</w:t>
            </w:r>
          </w:p>
        </w:tc>
      </w:tr>
      <w:tr w:rsidR="00CF2BE5" w:rsidRPr="009530D2"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b w:val="0"/>
                <w:color w:val="000000"/>
                <w:sz w:val="20"/>
                <w:szCs w:val="20"/>
              </w:rPr>
            </w:pPr>
            <w:r w:rsidRPr="009530D2">
              <w:rPr>
                <w:rFonts w:ascii="Calibri" w:eastAsia="Times New Roman" w:hAnsi="Calibri" w:cs="Calibri"/>
                <w:b w:val="0"/>
                <w:color w:val="000000"/>
                <w:sz w:val="20"/>
                <w:szCs w:val="20"/>
                <w:lang w:val="x-none"/>
              </w:rPr>
              <w:t xml:space="preserve">Duquesne </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455</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1,341</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1,261</w:t>
            </w:r>
          </w:p>
        </w:tc>
        <w:tc>
          <w:tcPr>
            <w:tcW w:w="1308" w:type="dxa"/>
            <w:tcBorders>
              <w:lef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3,056</w:t>
            </w:r>
          </w:p>
        </w:tc>
      </w:tr>
      <w:tr w:rsidR="00CF2BE5" w:rsidRPr="009530D2"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b w:val="0"/>
                <w:color w:val="000000"/>
                <w:sz w:val="20"/>
                <w:szCs w:val="20"/>
              </w:rPr>
            </w:pPr>
            <w:r w:rsidRPr="009530D2">
              <w:rPr>
                <w:rFonts w:ascii="Calibri" w:eastAsia="Times New Roman" w:hAnsi="Calibri" w:cs="Calibri"/>
                <w:b w:val="0"/>
                <w:color w:val="000000"/>
                <w:sz w:val="20"/>
                <w:szCs w:val="20"/>
              </w:rPr>
              <w:t xml:space="preserve">FE: </w:t>
            </w:r>
            <w:r w:rsidRPr="009530D2">
              <w:rPr>
                <w:rFonts w:ascii="Calibri" w:eastAsia="Times New Roman" w:hAnsi="Calibri" w:cs="Calibri"/>
                <w:b w:val="0"/>
                <w:color w:val="000000"/>
                <w:sz w:val="20"/>
                <w:szCs w:val="20"/>
                <w:lang w:val="x-none"/>
              </w:rPr>
              <w:t>Met</w:t>
            </w:r>
            <w:r w:rsidRPr="009530D2">
              <w:rPr>
                <w:rFonts w:ascii="Calibri" w:eastAsia="Times New Roman" w:hAnsi="Calibri" w:cs="Calibri"/>
                <w:b w:val="0"/>
                <w:color w:val="000000"/>
                <w:sz w:val="20"/>
                <w:szCs w:val="20"/>
              </w:rPr>
              <w:t>-</w:t>
            </w:r>
            <w:r w:rsidRPr="009530D2">
              <w:rPr>
                <w:rFonts w:ascii="Calibri" w:eastAsia="Times New Roman" w:hAnsi="Calibri" w:cs="Calibri"/>
                <w:b w:val="0"/>
                <w:color w:val="000000"/>
                <w:sz w:val="20"/>
                <w:szCs w:val="20"/>
                <w:lang w:val="x-none"/>
              </w:rPr>
              <w:t>Ed</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675</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911</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1,285</w:t>
            </w:r>
          </w:p>
        </w:tc>
        <w:tc>
          <w:tcPr>
            <w:tcW w:w="1308" w:type="dxa"/>
            <w:tcBorders>
              <w:lef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2,871</w:t>
            </w:r>
          </w:p>
        </w:tc>
      </w:tr>
      <w:tr w:rsidR="00CF2BE5" w:rsidRPr="009530D2"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b w:val="0"/>
                <w:color w:val="000000"/>
                <w:sz w:val="20"/>
                <w:szCs w:val="20"/>
              </w:rPr>
            </w:pPr>
            <w:r w:rsidRPr="009530D2">
              <w:rPr>
                <w:rFonts w:ascii="Calibri" w:eastAsia="Times New Roman" w:hAnsi="Calibri" w:cs="Calibri"/>
                <w:b w:val="0"/>
                <w:color w:val="000000"/>
                <w:sz w:val="20"/>
                <w:szCs w:val="20"/>
              </w:rPr>
              <w:t xml:space="preserve">FE: </w:t>
            </w:r>
            <w:r w:rsidRPr="009530D2">
              <w:rPr>
                <w:rFonts w:ascii="Calibri" w:eastAsia="Times New Roman" w:hAnsi="Calibri" w:cs="Calibri"/>
                <w:b w:val="0"/>
                <w:color w:val="000000"/>
                <w:sz w:val="20"/>
                <w:szCs w:val="20"/>
                <w:lang w:val="x-none"/>
              </w:rPr>
              <w:t>Penelec </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717</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876</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950</w:t>
            </w:r>
          </w:p>
        </w:tc>
        <w:tc>
          <w:tcPr>
            <w:tcW w:w="1308" w:type="dxa"/>
            <w:tcBorders>
              <w:lef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2,543</w:t>
            </w:r>
          </w:p>
        </w:tc>
      </w:tr>
      <w:tr w:rsidR="00CF2BE5" w:rsidRPr="009530D2"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b w:val="0"/>
                <w:color w:val="000000"/>
                <w:sz w:val="20"/>
                <w:szCs w:val="20"/>
              </w:rPr>
            </w:pPr>
            <w:r w:rsidRPr="009530D2">
              <w:rPr>
                <w:rFonts w:ascii="Calibri" w:eastAsia="Times New Roman" w:hAnsi="Calibri" w:cs="Calibri"/>
                <w:b w:val="0"/>
                <w:color w:val="000000"/>
                <w:sz w:val="20"/>
                <w:szCs w:val="20"/>
              </w:rPr>
              <w:t xml:space="preserve">FE: </w:t>
            </w:r>
            <w:r w:rsidRPr="009530D2">
              <w:rPr>
                <w:rFonts w:ascii="Calibri" w:eastAsia="Times New Roman" w:hAnsi="Calibri" w:cs="Calibri"/>
                <w:b w:val="0"/>
                <w:color w:val="000000"/>
                <w:sz w:val="20"/>
                <w:szCs w:val="20"/>
                <w:lang w:val="x-none"/>
              </w:rPr>
              <w:t>Penn</w:t>
            </w:r>
            <w:r w:rsidRPr="009530D2">
              <w:rPr>
                <w:rFonts w:ascii="Calibri" w:eastAsia="Times New Roman" w:hAnsi="Calibri" w:cs="Calibri"/>
                <w:b w:val="0"/>
                <w:color w:val="000000"/>
                <w:sz w:val="20"/>
                <w:szCs w:val="20"/>
              </w:rPr>
              <w:t xml:space="preserve"> </w:t>
            </w:r>
            <w:r w:rsidRPr="009530D2">
              <w:rPr>
                <w:rFonts w:ascii="Calibri" w:eastAsia="Times New Roman" w:hAnsi="Calibri" w:cs="Calibri"/>
                <w:b w:val="0"/>
                <w:color w:val="000000"/>
                <w:sz w:val="20"/>
                <w:szCs w:val="20"/>
                <w:lang w:val="x-none"/>
              </w:rPr>
              <w:t>Power</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212</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297</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465</w:t>
            </w:r>
          </w:p>
        </w:tc>
        <w:tc>
          <w:tcPr>
            <w:tcW w:w="1308" w:type="dxa"/>
            <w:tcBorders>
              <w:lef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974</w:t>
            </w:r>
          </w:p>
        </w:tc>
      </w:tr>
      <w:tr w:rsidR="00CF2BE5" w:rsidRPr="009530D2"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b w:val="0"/>
                <w:color w:val="000000"/>
                <w:sz w:val="20"/>
                <w:szCs w:val="20"/>
              </w:rPr>
            </w:pPr>
            <w:r w:rsidRPr="009530D2">
              <w:rPr>
                <w:rFonts w:ascii="Calibri" w:eastAsia="Times New Roman" w:hAnsi="Calibri" w:cs="Calibri"/>
                <w:b w:val="0"/>
                <w:color w:val="000000"/>
                <w:sz w:val="20"/>
                <w:szCs w:val="20"/>
              </w:rPr>
              <w:t xml:space="preserve">FE: </w:t>
            </w:r>
            <w:r w:rsidRPr="009530D2">
              <w:rPr>
                <w:rFonts w:ascii="Calibri" w:eastAsia="Times New Roman" w:hAnsi="Calibri" w:cs="Calibri"/>
                <w:b w:val="0"/>
                <w:color w:val="000000"/>
                <w:sz w:val="20"/>
                <w:szCs w:val="20"/>
                <w:lang w:val="x-none"/>
              </w:rPr>
              <w:t>West Penn</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1,045</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1,151</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1,676</w:t>
            </w:r>
          </w:p>
        </w:tc>
        <w:tc>
          <w:tcPr>
            <w:tcW w:w="1308" w:type="dxa"/>
            <w:tcBorders>
              <w:lef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3,873</w:t>
            </w:r>
          </w:p>
        </w:tc>
      </w:tr>
      <w:tr w:rsidR="00CF2BE5" w:rsidRPr="009530D2"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b w:val="0"/>
                <w:color w:val="000000"/>
                <w:sz w:val="20"/>
                <w:szCs w:val="20"/>
              </w:rPr>
            </w:pPr>
            <w:r w:rsidRPr="009530D2">
              <w:rPr>
                <w:rFonts w:ascii="Calibri" w:eastAsia="Times New Roman" w:hAnsi="Calibri" w:cs="Calibri"/>
                <w:b w:val="0"/>
                <w:color w:val="000000"/>
                <w:sz w:val="20"/>
                <w:szCs w:val="20"/>
                <w:lang w:val="x-none"/>
              </w:rPr>
              <w:t>PECO</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981</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3,986</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3,848</w:t>
            </w:r>
          </w:p>
        </w:tc>
        <w:tc>
          <w:tcPr>
            <w:tcW w:w="1308" w:type="dxa"/>
            <w:tcBorders>
              <w:left w:val="none" w:sz="0" w:space="0" w:color="auto"/>
            </w:tcBorders>
            <w:noWrap/>
            <w:hideMark/>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8,815</w:t>
            </w:r>
          </w:p>
        </w:tc>
      </w:tr>
      <w:tr w:rsidR="00CF2BE5" w:rsidRPr="009530D2"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b w:val="0"/>
                <w:color w:val="000000"/>
                <w:sz w:val="20"/>
                <w:szCs w:val="20"/>
              </w:rPr>
            </w:pPr>
            <w:r w:rsidRPr="009530D2">
              <w:rPr>
                <w:rFonts w:ascii="Calibri" w:eastAsia="Times New Roman" w:hAnsi="Calibri" w:cs="Calibri"/>
                <w:b w:val="0"/>
                <w:color w:val="000000"/>
                <w:sz w:val="20"/>
                <w:szCs w:val="20"/>
                <w:lang w:val="x-none"/>
              </w:rPr>
              <w:t>PPL</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1,595</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2,795</w:t>
            </w:r>
          </w:p>
        </w:tc>
        <w:tc>
          <w:tcPr>
            <w:tcW w:w="1307" w:type="dxa"/>
            <w:tcBorders>
              <w:left w:val="none" w:sz="0" w:space="0" w:color="auto"/>
              <w:righ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3,179</w:t>
            </w:r>
          </w:p>
        </w:tc>
        <w:tc>
          <w:tcPr>
            <w:tcW w:w="1308" w:type="dxa"/>
            <w:tcBorders>
              <w:left w:val="none" w:sz="0" w:space="0" w:color="auto"/>
            </w:tcBorders>
            <w:noWrap/>
            <w:hideMark/>
          </w:tcPr>
          <w:p w:rsidR="00CF2BE5" w:rsidRPr="009530D2" w:rsidRDefault="00CF2BE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9530D2">
              <w:rPr>
                <w:rFonts w:ascii="Calibri" w:eastAsia="Times New Roman" w:hAnsi="Calibri" w:cs="Calibri"/>
                <w:color w:val="000000"/>
                <w:sz w:val="20"/>
                <w:szCs w:val="20"/>
              </w:rPr>
              <w:t>7,568</w:t>
            </w:r>
          </w:p>
        </w:tc>
      </w:tr>
      <w:tr w:rsidR="00CF2BE5" w:rsidRPr="009530D2"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04" w:type="dxa"/>
            <w:tcBorders>
              <w:right w:val="none" w:sz="0" w:space="0" w:color="auto"/>
            </w:tcBorders>
            <w:noWrap/>
            <w:hideMark/>
          </w:tcPr>
          <w:p w:rsidR="00CF2BE5" w:rsidRPr="009530D2" w:rsidRDefault="00CF2BE5" w:rsidP="00A83ABC">
            <w:pPr>
              <w:rPr>
                <w:rFonts w:ascii="Calibri" w:eastAsia="Times New Roman" w:hAnsi="Calibri" w:cs="Calibri"/>
                <w:color w:val="000000"/>
                <w:sz w:val="20"/>
                <w:szCs w:val="20"/>
              </w:rPr>
            </w:pPr>
            <w:r w:rsidRPr="009530D2">
              <w:rPr>
                <w:rFonts w:ascii="Calibri" w:eastAsia="Times New Roman" w:hAnsi="Calibri" w:cs="Calibri"/>
                <w:color w:val="000000"/>
                <w:sz w:val="20"/>
                <w:szCs w:val="20"/>
                <w:lang w:val="x-none"/>
              </w:rPr>
              <w:t>Statewide</w:t>
            </w:r>
          </w:p>
        </w:tc>
        <w:tc>
          <w:tcPr>
            <w:tcW w:w="1307" w:type="dxa"/>
            <w:tcBorders>
              <w:left w:val="none" w:sz="0" w:space="0" w:color="auto"/>
              <w:right w:val="none" w:sz="0" w:space="0" w:color="auto"/>
            </w:tcBorders>
            <w:noWrap/>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9530D2">
              <w:rPr>
                <w:rFonts w:ascii="Calibri" w:eastAsia="Times New Roman" w:hAnsi="Calibri" w:cs="Calibri"/>
                <w:b/>
                <w:color w:val="000000"/>
                <w:sz w:val="20"/>
                <w:szCs w:val="20"/>
              </w:rPr>
              <w:t>5,678</w:t>
            </w:r>
          </w:p>
        </w:tc>
        <w:tc>
          <w:tcPr>
            <w:tcW w:w="1307" w:type="dxa"/>
            <w:tcBorders>
              <w:left w:val="none" w:sz="0" w:space="0" w:color="auto"/>
              <w:right w:val="none" w:sz="0" w:space="0" w:color="auto"/>
            </w:tcBorders>
            <w:noWrap/>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9530D2">
              <w:rPr>
                <w:rFonts w:ascii="Calibri" w:eastAsia="Times New Roman" w:hAnsi="Calibri" w:cs="Calibri"/>
                <w:b/>
                <w:color w:val="000000"/>
                <w:sz w:val="20"/>
                <w:szCs w:val="20"/>
              </w:rPr>
              <w:t>11,354</w:t>
            </w:r>
          </w:p>
        </w:tc>
        <w:tc>
          <w:tcPr>
            <w:tcW w:w="1307" w:type="dxa"/>
            <w:tcBorders>
              <w:left w:val="none" w:sz="0" w:space="0" w:color="auto"/>
              <w:right w:val="none" w:sz="0" w:space="0" w:color="auto"/>
            </w:tcBorders>
            <w:noWrap/>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9530D2">
              <w:rPr>
                <w:rFonts w:ascii="Calibri" w:eastAsia="Times New Roman" w:hAnsi="Calibri" w:cs="Calibri"/>
                <w:b/>
                <w:color w:val="000000"/>
                <w:sz w:val="20"/>
                <w:szCs w:val="20"/>
              </w:rPr>
              <w:t>12,660</w:t>
            </w:r>
          </w:p>
        </w:tc>
        <w:tc>
          <w:tcPr>
            <w:tcW w:w="1308" w:type="dxa"/>
            <w:tcBorders>
              <w:left w:val="none" w:sz="0" w:space="0" w:color="auto"/>
            </w:tcBorders>
            <w:noWrap/>
          </w:tcPr>
          <w:p w:rsidR="00CF2BE5" w:rsidRPr="009530D2" w:rsidRDefault="00CF2BE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9530D2">
              <w:rPr>
                <w:rFonts w:ascii="Calibri" w:eastAsia="Times New Roman" w:hAnsi="Calibri" w:cs="Calibri"/>
                <w:b/>
                <w:color w:val="000000"/>
                <w:sz w:val="20"/>
                <w:szCs w:val="20"/>
              </w:rPr>
              <w:t>29,700</w:t>
            </w:r>
          </w:p>
        </w:tc>
      </w:tr>
    </w:tbl>
    <w:p w:rsidR="0033300A" w:rsidRDefault="0033300A" w:rsidP="00A83ABC"/>
    <w:p w:rsidR="00D446E8" w:rsidRPr="00D446E8" w:rsidRDefault="006470CF" w:rsidP="00A83ABC">
      <w:pPr>
        <w:pStyle w:val="Heading3"/>
      </w:pPr>
      <w:bookmarkStart w:id="64" w:name="_Toc412628379"/>
      <w:r>
        <w:t>Peak Load Consumption by Sector</w:t>
      </w:r>
      <w:bookmarkEnd w:id="64"/>
    </w:p>
    <w:p w:rsidR="006470CF" w:rsidRDefault="006470CF" w:rsidP="00A83ABC">
      <w:r>
        <w:t xml:space="preserve">The </w:t>
      </w:r>
      <w:r w:rsidR="00F03BC4">
        <w:t>non-residential</w:t>
      </w:r>
      <w:r>
        <w:t xml:space="preserve"> sector consists of many account segments, each comprised of different types of business, non-profit, or institutional users.</w:t>
      </w:r>
      <w:r w:rsidR="001A768D">
        <w:t xml:space="preserve"> </w:t>
      </w:r>
      <w:r>
        <w:t xml:space="preserve">Each segment may exhibit distinct patterns of electricity use, economic growth, or opportunity for </w:t>
      </w:r>
      <w:r w:rsidR="00037A03">
        <w:t>DR</w:t>
      </w:r>
      <w:r>
        <w:t>.</w:t>
      </w:r>
      <w:r w:rsidR="001A768D">
        <w:t xml:space="preserve"> </w:t>
      </w:r>
      <w:r>
        <w:t xml:space="preserve">Accordingly, our analysis of </w:t>
      </w:r>
      <w:r w:rsidR="00F03BC4">
        <w:t xml:space="preserve">non-residential </w:t>
      </w:r>
      <w:r w:rsidR="00037A03">
        <w:t>DR</w:t>
      </w:r>
      <w:r>
        <w:t xml:space="preserve"> potential was performed at the segment level to avoid imposin</w:t>
      </w:r>
      <w:r w:rsidR="00F03BC4">
        <w:t>g “one-size-fits-all” assumptions</w:t>
      </w:r>
      <w:r>
        <w:t>.</w:t>
      </w:r>
      <w:r w:rsidR="001A768D">
        <w:t xml:space="preserve"> </w:t>
      </w:r>
      <w:r>
        <w:t xml:space="preserve">Using data provided by each EDC, the SWE </w:t>
      </w:r>
      <w:r w:rsidR="0045410E">
        <w:t xml:space="preserve">Team </w:t>
      </w:r>
      <w:r>
        <w:t>determined peak load consumption for each commercial segment.</w:t>
      </w:r>
      <w:r w:rsidR="001A768D">
        <w:t xml:space="preserve"> </w:t>
      </w:r>
      <w:r>
        <w:t>The industrial sector is treated uniformly as a whole, without segmentation.</w:t>
      </w:r>
      <w:r w:rsidR="001A768D">
        <w:t xml:space="preserve"> </w:t>
      </w:r>
      <w:r>
        <w:t>This secti</w:t>
      </w:r>
      <w:r w:rsidR="00F03BC4">
        <w:t>on summarizes the results of the</w:t>
      </w:r>
      <w:r w:rsidRPr="00743E03">
        <w:t xml:space="preserve"> </w:t>
      </w:r>
      <w:r>
        <w:t>segmentation analysis.</w:t>
      </w:r>
      <w:r w:rsidR="001A768D">
        <w:t xml:space="preserve"> </w:t>
      </w:r>
      <w:r>
        <w:t xml:space="preserve">Our analysis of </w:t>
      </w:r>
      <w:r w:rsidR="00037A03">
        <w:t>DR</w:t>
      </w:r>
      <w:r w:rsidR="00F03BC4">
        <w:t xml:space="preserve"> potential is based on premise accounts</w:t>
      </w:r>
      <w:r>
        <w:t>; the</w:t>
      </w:r>
      <w:r w:rsidRPr="00743E03">
        <w:t xml:space="preserve"> findings presented </w:t>
      </w:r>
      <w:r>
        <w:t xml:space="preserve">in this section do </w:t>
      </w:r>
      <w:r w:rsidRPr="00743E03">
        <w:t>not include transmission, substation, irriga</w:t>
      </w:r>
      <w:r>
        <w:t xml:space="preserve">tion or </w:t>
      </w:r>
      <w:r w:rsidR="00F03BC4">
        <w:t xml:space="preserve">street </w:t>
      </w:r>
      <w:r>
        <w:t>lighting rate classes.</w:t>
      </w:r>
    </w:p>
    <w:p w:rsidR="00D2602C" w:rsidRDefault="00D2602C" w:rsidP="00A83ABC"/>
    <w:p w:rsidR="00E62CFF" w:rsidRDefault="00B5665B" w:rsidP="00A83ABC">
      <w:r>
        <w:fldChar w:fldCharType="begin"/>
      </w:r>
      <w:r>
        <w:instrText xml:space="preserve"> REF _Ref406578999 \h </w:instrText>
      </w:r>
      <w:r w:rsidR="00CF2BE5">
        <w:instrText xml:space="preserve"> \* MERGEFORMAT </w:instrText>
      </w:r>
      <w:r>
        <w:fldChar w:fldCharType="separate"/>
      </w:r>
      <w:r w:rsidR="00803DBE" w:rsidRPr="00F03BC4">
        <w:t xml:space="preserve">Figure </w:t>
      </w:r>
      <w:r w:rsidR="00803DBE">
        <w:rPr>
          <w:noProof/>
        </w:rPr>
        <w:t>2</w:t>
      </w:r>
      <w:r w:rsidR="00803DBE">
        <w:rPr>
          <w:noProof/>
        </w:rPr>
        <w:noBreakHyphen/>
        <w:t>1</w:t>
      </w:r>
      <w:r>
        <w:fldChar w:fldCharType="end"/>
      </w:r>
      <w:r>
        <w:t xml:space="preserve"> </w:t>
      </w:r>
      <w:r w:rsidR="00E62CFF">
        <w:t>shows the statewide distribution of load across the residential, commercial, and industrial sectors. The residential sector represents 43% of summer peak demand, the commercial sector totals 38% of summer peak load consumption in the state, while the industrial sector represents 19%. Summer peak load consumption is highest for the office, miscellaneous, education, retail, and health segments of the commercial sector</w:t>
      </w:r>
      <w:r w:rsidR="00E62CFF" w:rsidRPr="003C7B9A">
        <w:t>.</w:t>
      </w:r>
    </w:p>
    <w:p w:rsidR="00F03BC4" w:rsidRDefault="00F03BC4" w:rsidP="00A83ABC"/>
    <w:p w:rsidR="00F03BC4" w:rsidRDefault="00F03BC4" w:rsidP="00A83ABC">
      <w:pPr>
        <w:pStyle w:val="Caption"/>
        <w:keepNext/>
      </w:pPr>
      <w:bookmarkStart w:id="65" w:name="_Ref406578999"/>
      <w:bookmarkStart w:id="66" w:name="_Toc412628502"/>
      <w:r w:rsidRPr="00F03BC4">
        <w:lastRenderedPageBreak/>
        <w:t xml:space="preserve">Figure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1</w:t>
      </w:r>
      <w:r w:rsidR="00E2011B">
        <w:rPr>
          <w:noProof/>
        </w:rPr>
        <w:fldChar w:fldCharType="end"/>
      </w:r>
      <w:bookmarkEnd w:id="65"/>
      <w:r w:rsidRPr="00F03BC4">
        <w:t>: Statewide Distribution of Summer Peak Load</w:t>
      </w:r>
      <w:bookmarkEnd w:id="66"/>
    </w:p>
    <w:p w:rsidR="006470CF" w:rsidRDefault="006470CF" w:rsidP="00A83ABC">
      <w:pPr>
        <w:jc w:val="left"/>
        <w:rPr>
          <w:rFonts w:cs="Calibri"/>
        </w:rPr>
      </w:pPr>
      <w:r>
        <w:rPr>
          <w:noProof/>
        </w:rPr>
        <w:drawing>
          <wp:inline distT="0" distB="0" distL="0" distR="0" wp14:anchorId="475BF28C" wp14:editId="2D74AE37">
            <wp:extent cx="3209192" cy="2769577"/>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0260" w:rsidRPr="00880260" w:rsidRDefault="00880260" w:rsidP="00A83ABC"/>
    <w:p w:rsidR="006470CF" w:rsidRDefault="006470CF" w:rsidP="00A83ABC">
      <w:pPr>
        <w:pStyle w:val="Heading3"/>
      </w:pPr>
      <w:bookmarkStart w:id="67" w:name="_Toc412628380"/>
      <w:r>
        <w:t>Peak Load Consumption by Commercial Segment</w:t>
      </w:r>
      <w:bookmarkEnd w:id="67"/>
    </w:p>
    <w:p w:rsidR="00F06531" w:rsidRDefault="00E62CFF" w:rsidP="00A83ABC">
      <w:r>
        <w:t xml:space="preserve">The SWE Team used 13 building types to classify commercial accounts. </w:t>
      </w:r>
      <w:r w:rsidR="00B5665B">
        <w:fldChar w:fldCharType="begin"/>
      </w:r>
      <w:r w:rsidR="00B5665B">
        <w:instrText xml:space="preserve"> REF _Ref407103930 \h </w:instrText>
      </w:r>
      <w:r w:rsidR="00CF2BE5">
        <w:instrText xml:space="preserve"> \* MERGEFORMAT </w:instrText>
      </w:r>
      <w:r w:rsidR="00B5665B">
        <w:fldChar w:fldCharType="separate"/>
      </w:r>
      <w:r w:rsidR="00803DBE" w:rsidRPr="00CF2BE5">
        <w:t xml:space="preserve">Figure </w:t>
      </w:r>
      <w:r w:rsidR="00803DBE">
        <w:rPr>
          <w:noProof/>
        </w:rPr>
        <w:t>2</w:t>
      </w:r>
      <w:r w:rsidR="00803DBE">
        <w:rPr>
          <w:noProof/>
        </w:rPr>
        <w:noBreakHyphen/>
        <w:t>2</w:t>
      </w:r>
      <w:r w:rsidR="00B5665B">
        <w:fldChar w:fldCharType="end"/>
      </w:r>
      <w:r w:rsidR="00B5665B">
        <w:t xml:space="preserve"> </w:t>
      </w:r>
      <w:r>
        <w:t xml:space="preserve">shows the percent contribution of each commercial segment to the summer peak load forecast. </w:t>
      </w:r>
      <w:r w:rsidR="00B5665B">
        <w:t>Offices, Miscellaneous, and Retail are the largest segments accounting for almost 50% of the summer peak load in the Commercial sector.</w:t>
      </w:r>
    </w:p>
    <w:p w:rsidR="00DF11DF" w:rsidRDefault="00DF11DF" w:rsidP="00A83ABC"/>
    <w:p w:rsidR="00B5665B" w:rsidRDefault="00B5665B" w:rsidP="00A83ABC">
      <w:pPr>
        <w:pStyle w:val="Caption"/>
      </w:pPr>
      <w:bookmarkStart w:id="68" w:name="_Ref407103930"/>
      <w:bookmarkStart w:id="69" w:name="_Toc412628503"/>
      <w:r w:rsidRPr="00CF2BE5">
        <w:t xml:space="preserve">Figure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2</w:t>
      </w:r>
      <w:r w:rsidR="00E2011B">
        <w:rPr>
          <w:noProof/>
        </w:rPr>
        <w:fldChar w:fldCharType="end"/>
      </w:r>
      <w:bookmarkEnd w:id="68"/>
      <w:r w:rsidRPr="00CF2BE5">
        <w:t xml:space="preserve">: Distribution of Summer Peak Load </w:t>
      </w:r>
      <w:r w:rsidR="00CF2BE5" w:rsidRPr="00CF2BE5">
        <w:t>–</w:t>
      </w:r>
      <w:r w:rsidRPr="00CF2BE5">
        <w:t xml:space="preserve"> Commercial</w:t>
      </w:r>
      <w:bookmarkEnd w:id="69"/>
    </w:p>
    <w:p w:rsidR="00861A7C" w:rsidRPr="00861A7C" w:rsidRDefault="00861A7C" w:rsidP="00A83ABC"/>
    <w:p w:rsidR="00CF2BE5" w:rsidRPr="00CF2BE5" w:rsidRDefault="00CF2BE5" w:rsidP="00A83ABC">
      <w:r>
        <w:rPr>
          <w:noProof/>
        </w:rPr>
        <w:drawing>
          <wp:inline distT="0" distB="0" distL="0" distR="0" wp14:anchorId="704C4726" wp14:editId="39526E79">
            <wp:extent cx="5968181" cy="3726426"/>
            <wp:effectExtent l="0" t="0" r="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7ACF" w:rsidRDefault="00080614" w:rsidP="00A83ABC">
      <w:pPr>
        <w:pStyle w:val="Heading2"/>
      </w:pPr>
      <w:bookmarkStart w:id="70" w:name="_Toc412628381"/>
      <w:r>
        <w:lastRenderedPageBreak/>
        <w:t xml:space="preserve">Eligible </w:t>
      </w:r>
      <w:r w:rsidR="003901B6">
        <w:t xml:space="preserve">Commercial and Industrial </w:t>
      </w:r>
      <w:r>
        <w:t xml:space="preserve">Accounts and </w:t>
      </w:r>
      <w:r w:rsidR="00355844">
        <w:t>Resource Categorization</w:t>
      </w:r>
      <w:bookmarkEnd w:id="70"/>
    </w:p>
    <w:p w:rsidR="00833E4A" w:rsidRDefault="00833E4A" w:rsidP="00A83ABC">
      <w:pPr>
        <w:spacing w:after="120"/>
      </w:pPr>
      <w:r>
        <w:t>The SWE</w:t>
      </w:r>
      <w:r w:rsidR="00C47CC3">
        <w:t xml:space="preserve"> </w:t>
      </w:r>
      <w:r w:rsidR="00E62CFF">
        <w:t xml:space="preserve">Team </w:t>
      </w:r>
      <w:r w:rsidR="00C47CC3">
        <w:t>used customer billing data provided by the EDCs for June 1, 2012, to May 31, 2013</w:t>
      </w:r>
      <w:r w:rsidR="00E62CFF">
        <w:t>,</w:t>
      </w:r>
      <w:r w:rsidR="00C47CC3">
        <w:t xml:space="preserve"> to assign </w:t>
      </w:r>
      <w:r>
        <w:t xml:space="preserve">non-residential </w:t>
      </w:r>
      <w:r w:rsidR="00C47CC3">
        <w:t xml:space="preserve">customers </w:t>
      </w:r>
      <w:r>
        <w:t>in</w:t>
      </w:r>
      <w:r w:rsidR="00C47CC3">
        <w:t xml:space="preserve">to one of two potential </w:t>
      </w:r>
      <w:r w:rsidR="00037A03">
        <w:t>DR</w:t>
      </w:r>
      <w:r w:rsidR="00C47CC3">
        <w:t xml:space="preserve"> programs.</w:t>
      </w:r>
      <w:r w:rsidR="001A768D">
        <w:t xml:space="preserve"> </w:t>
      </w:r>
      <w:r w:rsidR="00C47CC3">
        <w:t xml:space="preserve">These programs are a </w:t>
      </w:r>
      <w:r w:rsidR="00985548">
        <w:t xml:space="preserve">large </w:t>
      </w:r>
      <w:r w:rsidR="008D678D">
        <w:t>C&amp;I</w:t>
      </w:r>
      <w:r w:rsidR="00C47CC3">
        <w:t xml:space="preserve"> </w:t>
      </w:r>
      <w:r w:rsidR="00985548">
        <w:t>load curtailment program</w:t>
      </w:r>
      <w:r w:rsidR="00C47CC3">
        <w:t xml:space="preserve"> and a </w:t>
      </w:r>
      <w:r w:rsidR="009D5798">
        <w:t xml:space="preserve">small </w:t>
      </w:r>
      <w:r w:rsidR="00C47CC3">
        <w:t xml:space="preserve">and </w:t>
      </w:r>
      <w:r w:rsidR="009D5798">
        <w:t xml:space="preserve">medium commercial </w:t>
      </w:r>
      <w:r w:rsidR="00C47CC3">
        <w:t>DLC program.</w:t>
      </w:r>
      <w:r w:rsidR="001A768D">
        <w:t xml:space="preserve"> </w:t>
      </w:r>
      <w:r w:rsidR="00C47CC3">
        <w:t xml:space="preserve">We assigned all customers with a PLC greater than 75 kW to the </w:t>
      </w:r>
      <w:r>
        <w:t>eligible pool for the C&amp;I</w:t>
      </w:r>
      <w:r w:rsidR="00C47CC3">
        <w:t xml:space="preserve"> program</w:t>
      </w:r>
      <w:r>
        <w:t xml:space="preserve"> and customers with a PLC less than 75 kW to the DLC program based on two factors</w:t>
      </w:r>
      <w:r w:rsidR="009D5798">
        <w:t xml:space="preserve">: </w:t>
      </w:r>
    </w:p>
    <w:p w:rsidR="00CF2BE5" w:rsidRDefault="00CF2BE5" w:rsidP="00A83ABC">
      <w:pPr>
        <w:pStyle w:val="ListParagraph"/>
        <w:numPr>
          <w:ilvl w:val="0"/>
          <w:numId w:val="7"/>
        </w:numPr>
        <w:spacing w:after="120"/>
        <w:ind w:left="360"/>
        <w:contextualSpacing w:val="0"/>
      </w:pPr>
      <w:r>
        <w:t xml:space="preserve">Many </w:t>
      </w:r>
      <w:r w:rsidR="009D5798">
        <w:t xml:space="preserve">load curtailment </w:t>
      </w:r>
      <w:r>
        <w:t>aggregation programs, including PJM</w:t>
      </w:r>
      <w:r w:rsidR="00E62CFF">
        <w:t>’s</w:t>
      </w:r>
      <w:r>
        <w:t>, require a minimum load reduction commitment of 50 kW. Customers with a PLC under 75 kW are unlikely to be able to produce a 50 kW load shed.</w:t>
      </w:r>
    </w:p>
    <w:p w:rsidR="00CF2BE5" w:rsidRDefault="00CF2BE5" w:rsidP="00A83ABC">
      <w:pPr>
        <w:pStyle w:val="ListParagraph"/>
        <w:numPr>
          <w:ilvl w:val="0"/>
          <w:numId w:val="7"/>
        </w:numPr>
        <w:ind w:left="360"/>
        <w:contextualSpacing w:val="0"/>
      </w:pPr>
      <w:r>
        <w:t xml:space="preserve">Sites with a PLC above 75 kW are likely to have a central cooling plant that would not be suitable for </w:t>
      </w:r>
      <w:r w:rsidR="008D678D">
        <w:t>DLC</w:t>
      </w:r>
      <w:r>
        <w:t xml:space="preserve"> equipment that is designed for package </w:t>
      </w:r>
      <w:r w:rsidR="009D5798">
        <w:t>DX</w:t>
      </w:r>
      <w:r>
        <w:t xml:space="preserve"> cooling units.</w:t>
      </w:r>
    </w:p>
    <w:p w:rsidR="00CF2BE5" w:rsidRDefault="00CF2BE5" w:rsidP="00A83ABC"/>
    <w:p w:rsidR="00C47CC3" w:rsidRDefault="00E62CFF" w:rsidP="00A83ABC">
      <w:r>
        <w:t xml:space="preserve">Non-residential accounts with a PLC less than 5 kW were excluded from the analysis based on an assumption that they are either non-premise accounts, do not have cooling equipment, or have a negligible cooling load at the time of the system peak. These characteristics mean it would not be worthwhile to recruit the customer or install equipment at </w:t>
      </w:r>
      <w:r w:rsidRPr="00D73DF5">
        <w:t xml:space="preserve">his or her </w:t>
      </w:r>
      <w:r>
        <w:t xml:space="preserve">location. </w:t>
      </w:r>
      <w:r w:rsidR="00990D1A">
        <w:t xml:space="preserve">We refer to these accounts as not “qualified”. </w:t>
      </w:r>
      <w:r>
        <w:t>Accounts which showed a lack of sensitivity to outdoor air temperature were also excluded</w:t>
      </w:r>
      <w:r w:rsidR="00990D1A">
        <w:t xml:space="preserve"> from the pool of qualified DLC sites</w:t>
      </w:r>
      <w:r>
        <w:t>.</w:t>
      </w:r>
      <w:r w:rsidR="00056B8C">
        <w:t xml:space="preserve"> </w:t>
      </w:r>
      <w:r w:rsidR="00056B8C">
        <w:fldChar w:fldCharType="begin"/>
      </w:r>
      <w:r w:rsidR="00056B8C">
        <w:instrText xml:space="preserve"> REF _Ref406920339 \h </w:instrText>
      </w:r>
      <w:r w:rsidR="00056B8C">
        <w:fldChar w:fldCharType="separate"/>
      </w:r>
      <w:r w:rsidR="00803DBE" w:rsidRPr="00D63A76">
        <w:t xml:space="preserve">Table </w:t>
      </w:r>
      <w:r w:rsidR="00803DBE">
        <w:rPr>
          <w:noProof/>
        </w:rPr>
        <w:t>2</w:t>
      </w:r>
      <w:r w:rsidR="00803DBE">
        <w:noBreakHyphen/>
      </w:r>
      <w:r w:rsidR="00803DBE">
        <w:rPr>
          <w:noProof/>
        </w:rPr>
        <w:t>3</w:t>
      </w:r>
      <w:r w:rsidR="00056B8C">
        <w:fldChar w:fldCharType="end"/>
      </w:r>
      <w:r w:rsidR="00056B8C">
        <w:t xml:space="preserve"> shows</w:t>
      </w:r>
      <w:r w:rsidR="00990D1A">
        <w:t xml:space="preserve"> the number of sites, and the associated summer peak load, for the two non-residential DR programs analyzed in this study. The PECO qualified DLC customers and MW are inclusive of those accounts which already have </w:t>
      </w:r>
      <w:r w:rsidR="008D678D">
        <w:t>DLC</w:t>
      </w:r>
      <w:r w:rsidR="00990D1A">
        <w:t xml:space="preserve"> equipment installed.</w:t>
      </w:r>
      <w:r w:rsidR="00056B8C">
        <w:t xml:space="preserve"> </w:t>
      </w:r>
    </w:p>
    <w:p w:rsidR="00B5665B" w:rsidRDefault="00B5665B" w:rsidP="00A83ABC"/>
    <w:p w:rsidR="00C46952" w:rsidRDefault="00C46952" w:rsidP="00A83ABC">
      <w:pPr>
        <w:pStyle w:val="Caption"/>
        <w:keepNext/>
      </w:pPr>
      <w:bookmarkStart w:id="71" w:name="_Ref406920339"/>
      <w:bookmarkStart w:id="72" w:name="_Toc412628449"/>
      <w:r w:rsidRPr="00D63A76">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3</w:t>
      </w:r>
      <w:r w:rsidR="00E2011B">
        <w:rPr>
          <w:noProof/>
        </w:rPr>
        <w:fldChar w:fldCharType="end"/>
      </w:r>
      <w:bookmarkEnd w:id="71"/>
      <w:r w:rsidRPr="00D63A76">
        <w:t xml:space="preserve">: </w:t>
      </w:r>
      <w:r w:rsidR="00E62CFF" w:rsidRPr="00D63A76">
        <w:t xml:space="preserve">Assignment of Customers and Load to Non-Residential </w:t>
      </w:r>
      <w:r w:rsidR="00037A03">
        <w:t>DR</w:t>
      </w:r>
      <w:r w:rsidR="00E62CFF" w:rsidRPr="00D63A76">
        <w:t xml:space="preserve"> Programs</w:t>
      </w:r>
      <w:bookmarkEnd w:id="72"/>
    </w:p>
    <w:tbl>
      <w:tblPr>
        <w:tblStyle w:val="MediumShading1-Accent5"/>
        <w:tblW w:w="9338"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160"/>
        <w:gridCol w:w="1794"/>
        <w:gridCol w:w="1795"/>
        <w:gridCol w:w="1794"/>
        <w:gridCol w:w="1795"/>
      </w:tblGrid>
      <w:tr w:rsidR="0060395A" w:rsidRPr="006A112C" w:rsidTr="00AB46EA">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shd w:val="clear" w:color="auto" w:fill="448A99"/>
            <w:vAlign w:val="bottom"/>
            <w:hideMark/>
          </w:tcPr>
          <w:p w:rsidR="0060395A" w:rsidRPr="006A112C" w:rsidRDefault="0060395A" w:rsidP="00A83ABC">
            <w:pPr>
              <w:jc w:val="left"/>
              <w:rPr>
                <w:rFonts w:ascii="Calibri" w:eastAsia="Times New Roman" w:hAnsi="Calibri" w:cs="Calibri"/>
                <w:bCs w:val="0"/>
                <w:color w:val="FFFFFF"/>
                <w:sz w:val="20"/>
                <w:szCs w:val="20"/>
              </w:rPr>
            </w:pPr>
            <w:r w:rsidRPr="006A112C">
              <w:rPr>
                <w:rFonts w:ascii="Calibri" w:eastAsia="Times New Roman" w:hAnsi="Calibri" w:cs="Calibri"/>
                <w:bCs w:val="0"/>
                <w:color w:val="FFFFFF"/>
                <w:sz w:val="20"/>
                <w:szCs w:val="20"/>
              </w:rPr>
              <w:t>EDC</w:t>
            </w:r>
          </w:p>
        </w:tc>
        <w:tc>
          <w:tcPr>
            <w:tcW w:w="1794" w:type="dxa"/>
            <w:tcBorders>
              <w:top w:val="none" w:sz="0" w:space="0" w:color="auto"/>
              <w:left w:val="none" w:sz="0" w:space="0" w:color="auto"/>
              <w:bottom w:val="none" w:sz="0" w:space="0" w:color="auto"/>
              <w:right w:val="none" w:sz="0" w:space="0" w:color="auto"/>
            </w:tcBorders>
            <w:shd w:val="clear" w:color="auto" w:fill="448A99"/>
            <w:vAlign w:val="bottom"/>
            <w:hideMark/>
          </w:tcPr>
          <w:p w:rsidR="0060395A" w:rsidRPr="006A112C" w:rsidRDefault="0060395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6A112C">
              <w:rPr>
                <w:rFonts w:ascii="Calibri" w:eastAsia="Times New Roman" w:hAnsi="Calibri" w:cs="Calibri"/>
                <w:bCs w:val="0"/>
                <w:color w:val="FFFFFF"/>
                <w:sz w:val="20"/>
                <w:szCs w:val="20"/>
              </w:rPr>
              <w:t>Eligible C&amp;I Customers</w:t>
            </w:r>
          </w:p>
        </w:tc>
        <w:tc>
          <w:tcPr>
            <w:tcW w:w="1795" w:type="dxa"/>
            <w:tcBorders>
              <w:top w:val="none" w:sz="0" w:space="0" w:color="auto"/>
              <w:left w:val="none" w:sz="0" w:space="0" w:color="auto"/>
              <w:bottom w:val="none" w:sz="0" w:space="0" w:color="auto"/>
              <w:right w:val="none" w:sz="0" w:space="0" w:color="auto"/>
            </w:tcBorders>
            <w:shd w:val="clear" w:color="auto" w:fill="448A99"/>
            <w:vAlign w:val="bottom"/>
            <w:hideMark/>
          </w:tcPr>
          <w:p w:rsidR="0060395A" w:rsidRPr="006A112C" w:rsidRDefault="0060395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6A112C">
              <w:rPr>
                <w:rFonts w:ascii="Calibri" w:eastAsia="Times New Roman" w:hAnsi="Calibri" w:cs="Calibri"/>
                <w:bCs w:val="0"/>
                <w:color w:val="FFFFFF"/>
                <w:sz w:val="20"/>
                <w:szCs w:val="20"/>
              </w:rPr>
              <w:t>Eligible C&amp;I Load (MW)</w:t>
            </w:r>
          </w:p>
        </w:tc>
        <w:tc>
          <w:tcPr>
            <w:tcW w:w="1794" w:type="dxa"/>
            <w:tcBorders>
              <w:top w:val="none" w:sz="0" w:space="0" w:color="auto"/>
              <w:left w:val="none" w:sz="0" w:space="0" w:color="auto"/>
              <w:bottom w:val="none" w:sz="0" w:space="0" w:color="auto"/>
              <w:right w:val="none" w:sz="0" w:space="0" w:color="auto"/>
            </w:tcBorders>
            <w:shd w:val="clear" w:color="auto" w:fill="448A99"/>
            <w:vAlign w:val="bottom"/>
            <w:hideMark/>
          </w:tcPr>
          <w:p w:rsidR="0060395A" w:rsidRPr="006A112C" w:rsidRDefault="0060395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6A112C">
              <w:rPr>
                <w:rFonts w:ascii="Calibri" w:eastAsia="Times New Roman" w:hAnsi="Calibri" w:cs="Calibri"/>
                <w:bCs w:val="0"/>
                <w:color w:val="FFFFFF"/>
                <w:sz w:val="20"/>
                <w:szCs w:val="20"/>
              </w:rPr>
              <w:t>Qualified DLC Customers</w:t>
            </w:r>
          </w:p>
        </w:tc>
        <w:tc>
          <w:tcPr>
            <w:tcW w:w="1795" w:type="dxa"/>
            <w:tcBorders>
              <w:top w:val="none" w:sz="0" w:space="0" w:color="auto"/>
              <w:left w:val="none" w:sz="0" w:space="0" w:color="auto"/>
              <w:bottom w:val="none" w:sz="0" w:space="0" w:color="auto"/>
              <w:right w:val="none" w:sz="0" w:space="0" w:color="auto"/>
            </w:tcBorders>
            <w:shd w:val="clear" w:color="auto" w:fill="448A99"/>
            <w:vAlign w:val="bottom"/>
            <w:hideMark/>
          </w:tcPr>
          <w:p w:rsidR="0060395A" w:rsidRPr="006A112C" w:rsidRDefault="0060395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6A112C">
              <w:rPr>
                <w:rFonts w:ascii="Calibri" w:eastAsia="Times New Roman" w:hAnsi="Calibri" w:cs="Calibri"/>
                <w:bCs w:val="0"/>
                <w:color w:val="FFFFFF"/>
                <w:sz w:val="20"/>
                <w:szCs w:val="20"/>
              </w:rPr>
              <w:t>Qualified DLC Load (MW)</w:t>
            </w:r>
          </w:p>
        </w:tc>
      </w:tr>
      <w:tr w:rsidR="00E62CFF" w:rsidRPr="006A112C"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hideMark/>
          </w:tcPr>
          <w:p w:rsidR="00E62CFF" w:rsidRPr="006A112C" w:rsidRDefault="00E62CFF" w:rsidP="00A83ABC">
            <w:pPr>
              <w:rPr>
                <w:rFonts w:ascii="Calibri" w:eastAsia="Times New Roman" w:hAnsi="Calibri" w:cs="Calibri"/>
                <w:b w:val="0"/>
                <w:color w:val="000000"/>
                <w:sz w:val="20"/>
                <w:szCs w:val="20"/>
              </w:rPr>
            </w:pPr>
            <w:r w:rsidRPr="006A112C">
              <w:rPr>
                <w:rFonts w:ascii="Calibri" w:eastAsia="Times New Roman" w:hAnsi="Calibri" w:cs="Calibri"/>
                <w:b w:val="0"/>
                <w:color w:val="000000"/>
                <w:sz w:val="20"/>
                <w:szCs w:val="20"/>
              </w:rPr>
              <w:t>Duquesne</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2,934</w:t>
            </w:r>
          </w:p>
        </w:tc>
        <w:tc>
          <w:tcPr>
            <w:tcW w:w="1795"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1,316</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10,529</w:t>
            </w:r>
          </w:p>
        </w:tc>
        <w:tc>
          <w:tcPr>
            <w:tcW w:w="1795" w:type="dxa"/>
            <w:tcBorders>
              <w:lef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71</w:t>
            </w:r>
          </w:p>
        </w:tc>
      </w:tr>
      <w:tr w:rsidR="00E62CFF" w:rsidRPr="006A112C"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hideMark/>
          </w:tcPr>
          <w:p w:rsidR="00E62CFF" w:rsidRPr="006A112C" w:rsidRDefault="00E62CFF" w:rsidP="00A83ABC">
            <w:pPr>
              <w:rPr>
                <w:rFonts w:ascii="Calibri" w:eastAsia="Times New Roman" w:hAnsi="Calibri" w:cs="Calibri"/>
                <w:b w:val="0"/>
                <w:color w:val="000000"/>
                <w:sz w:val="20"/>
                <w:szCs w:val="20"/>
              </w:rPr>
            </w:pPr>
            <w:r w:rsidRPr="006A112C">
              <w:rPr>
                <w:rFonts w:ascii="Calibri" w:eastAsia="Times New Roman" w:hAnsi="Calibri" w:cs="Calibri"/>
                <w:b w:val="0"/>
                <w:color w:val="000000"/>
                <w:sz w:val="20"/>
                <w:szCs w:val="20"/>
              </w:rPr>
              <w:t>FE: Met-Ed</w:t>
            </w:r>
          </w:p>
        </w:tc>
        <w:tc>
          <w:tcPr>
            <w:tcW w:w="1794"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2,836</w:t>
            </w:r>
          </w:p>
        </w:tc>
        <w:tc>
          <w:tcPr>
            <w:tcW w:w="1795"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1,116</w:t>
            </w:r>
          </w:p>
        </w:tc>
        <w:tc>
          <w:tcPr>
            <w:tcW w:w="1794"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7,128</w:t>
            </w:r>
          </w:p>
        </w:tc>
        <w:tc>
          <w:tcPr>
            <w:tcW w:w="1795" w:type="dxa"/>
            <w:tcBorders>
              <w:lef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55</w:t>
            </w:r>
          </w:p>
        </w:tc>
      </w:tr>
      <w:tr w:rsidR="00E62CFF" w:rsidRPr="006A112C"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hideMark/>
          </w:tcPr>
          <w:p w:rsidR="00E62CFF" w:rsidRPr="006A112C" w:rsidRDefault="00E62CFF" w:rsidP="00A83ABC">
            <w:pPr>
              <w:rPr>
                <w:rFonts w:ascii="Calibri" w:eastAsia="Times New Roman" w:hAnsi="Calibri" w:cs="Calibri"/>
                <w:b w:val="0"/>
                <w:color w:val="000000"/>
                <w:sz w:val="20"/>
                <w:szCs w:val="20"/>
              </w:rPr>
            </w:pPr>
            <w:r w:rsidRPr="006A112C">
              <w:rPr>
                <w:rFonts w:ascii="Calibri" w:eastAsia="Times New Roman" w:hAnsi="Calibri" w:cs="Calibri"/>
                <w:b w:val="0"/>
                <w:color w:val="000000"/>
                <w:sz w:val="20"/>
                <w:szCs w:val="20"/>
              </w:rPr>
              <w:t>FE: Penelec</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2,888</w:t>
            </w:r>
          </w:p>
        </w:tc>
        <w:tc>
          <w:tcPr>
            <w:tcW w:w="1795"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1,175</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7,120</w:t>
            </w:r>
          </w:p>
        </w:tc>
        <w:tc>
          <w:tcPr>
            <w:tcW w:w="1795" w:type="dxa"/>
            <w:tcBorders>
              <w:lef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50</w:t>
            </w:r>
          </w:p>
        </w:tc>
      </w:tr>
      <w:tr w:rsidR="00E62CFF" w:rsidRPr="006A112C"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hideMark/>
          </w:tcPr>
          <w:p w:rsidR="00E62CFF" w:rsidRPr="006A112C" w:rsidRDefault="00E62CFF" w:rsidP="00A83ABC">
            <w:pPr>
              <w:rPr>
                <w:rFonts w:ascii="Calibri" w:eastAsia="Times New Roman" w:hAnsi="Calibri" w:cs="Calibri"/>
                <w:b w:val="0"/>
                <w:color w:val="000000"/>
                <w:sz w:val="20"/>
                <w:szCs w:val="20"/>
              </w:rPr>
            </w:pPr>
            <w:r w:rsidRPr="006A112C">
              <w:rPr>
                <w:rFonts w:ascii="Calibri" w:eastAsia="Times New Roman" w:hAnsi="Calibri" w:cs="Calibri"/>
                <w:b w:val="0"/>
                <w:color w:val="000000"/>
                <w:sz w:val="20"/>
                <w:szCs w:val="20"/>
              </w:rPr>
              <w:t>FE: Penn Power</w:t>
            </w:r>
          </w:p>
        </w:tc>
        <w:tc>
          <w:tcPr>
            <w:tcW w:w="1794"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988</w:t>
            </w:r>
          </w:p>
        </w:tc>
        <w:tc>
          <w:tcPr>
            <w:tcW w:w="1795"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364</w:t>
            </w:r>
          </w:p>
        </w:tc>
        <w:tc>
          <w:tcPr>
            <w:tcW w:w="1794"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2,446</w:t>
            </w:r>
          </w:p>
        </w:tc>
        <w:tc>
          <w:tcPr>
            <w:tcW w:w="1795" w:type="dxa"/>
            <w:tcBorders>
              <w:lef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19</w:t>
            </w:r>
          </w:p>
        </w:tc>
      </w:tr>
      <w:tr w:rsidR="00E62CFF" w:rsidRPr="006A112C"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hideMark/>
          </w:tcPr>
          <w:p w:rsidR="00E62CFF" w:rsidRPr="006A112C" w:rsidRDefault="00E62CFF" w:rsidP="00A83ABC">
            <w:pPr>
              <w:rPr>
                <w:rFonts w:ascii="Calibri" w:eastAsia="Times New Roman" w:hAnsi="Calibri" w:cs="Calibri"/>
                <w:b w:val="0"/>
                <w:color w:val="000000"/>
                <w:sz w:val="20"/>
                <w:szCs w:val="20"/>
              </w:rPr>
            </w:pPr>
            <w:r w:rsidRPr="006A112C">
              <w:rPr>
                <w:rFonts w:ascii="Calibri" w:eastAsia="Times New Roman" w:hAnsi="Calibri" w:cs="Calibri"/>
                <w:b w:val="0"/>
                <w:color w:val="000000"/>
                <w:sz w:val="20"/>
                <w:szCs w:val="20"/>
              </w:rPr>
              <w:t>FE: W</w:t>
            </w:r>
            <w:r>
              <w:rPr>
                <w:rFonts w:ascii="Calibri" w:eastAsia="Times New Roman" w:hAnsi="Calibri" w:cs="Calibri"/>
                <w:b w:val="0"/>
                <w:color w:val="000000"/>
                <w:sz w:val="20"/>
                <w:szCs w:val="20"/>
              </w:rPr>
              <w:t>est Penn</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3,304</w:t>
            </w:r>
          </w:p>
        </w:tc>
        <w:tc>
          <w:tcPr>
            <w:tcW w:w="1795"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1,674</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9,492</w:t>
            </w:r>
          </w:p>
        </w:tc>
        <w:tc>
          <w:tcPr>
            <w:tcW w:w="1795" w:type="dxa"/>
            <w:tcBorders>
              <w:lef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63</w:t>
            </w:r>
          </w:p>
        </w:tc>
      </w:tr>
      <w:tr w:rsidR="00E62CFF" w:rsidRPr="006A112C"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hideMark/>
          </w:tcPr>
          <w:p w:rsidR="00E62CFF" w:rsidRPr="006A112C" w:rsidRDefault="00E62CFF" w:rsidP="00A83ABC">
            <w:pPr>
              <w:rPr>
                <w:rFonts w:ascii="Calibri" w:eastAsia="Times New Roman" w:hAnsi="Calibri" w:cs="Calibri"/>
                <w:b w:val="0"/>
                <w:color w:val="000000"/>
                <w:sz w:val="20"/>
                <w:szCs w:val="20"/>
              </w:rPr>
            </w:pPr>
            <w:r w:rsidRPr="006A112C">
              <w:rPr>
                <w:rFonts w:ascii="Calibri" w:eastAsia="Times New Roman" w:hAnsi="Calibri" w:cs="Calibri"/>
                <w:b w:val="0"/>
                <w:color w:val="000000"/>
                <w:sz w:val="20"/>
                <w:szCs w:val="20"/>
              </w:rPr>
              <w:t>PECO</w:t>
            </w:r>
          </w:p>
        </w:tc>
        <w:tc>
          <w:tcPr>
            <w:tcW w:w="1794"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5,676</w:t>
            </w:r>
          </w:p>
        </w:tc>
        <w:tc>
          <w:tcPr>
            <w:tcW w:w="1795"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3,442</w:t>
            </w:r>
          </w:p>
        </w:tc>
        <w:tc>
          <w:tcPr>
            <w:tcW w:w="1794" w:type="dxa"/>
            <w:tcBorders>
              <w:left w:val="none" w:sz="0" w:space="0" w:color="auto"/>
              <w:righ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35,880</w:t>
            </w:r>
          </w:p>
        </w:tc>
        <w:tc>
          <w:tcPr>
            <w:tcW w:w="1795" w:type="dxa"/>
            <w:tcBorders>
              <w:left w:val="none" w:sz="0" w:space="0" w:color="auto"/>
            </w:tcBorders>
            <w:hideMark/>
          </w:tcPr>
          <w:p w:rsidR="00E62CFF" w:rsidRPr="006A112C" w:rsidRDefault="00E62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255</w:t>
            </w:r>
          </w:p>
        </w:tc>
      </w:tr>
      <w:tr w:rsidR="00E62CFF" w:rsidRPr="006A112C"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hideMark/>
          </w:tcPr>
          <w:p w:rsidR="00E62CFF" w:rsidRPr="006A112C" w:rsidRDefault="00E62CFF" w:rsidP="00A83ABC">
            <w:pPr>
              <w:rPr>
                <w:rFonts w:ascii="Calibri" w:eastAsia="Times New Roman" w:hAnsi="Calibri" w:cs="Calibri"/>
                <w:b w:val="0"/>
                <w:color w:val="000000"/>
                <w:sz w:val="20"/>
                <w:szCs w:val="20"/>
              </w:rPr>
            </w:pPr>
            <w:r w:rsidRPr="006A112C">
              <w:rPr>
                <w:rFonts w:ascii="Calibri" w:eastAsia="Times New Roman" w:hAnsi="Calibri" w:cs="Calibri"/>
                <w:b w:val="0"/>
                <w:color w:val="000000"/>
                <w:sz w:val="20"/>
                <w:szCs w:val="20"/>
              </w:rPr>
              <w:t>PPL</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10,412</w:t>
            </w:r>
          </w:p>
        </w:tc>
        <w:tc>
          <w:tcPr>
            <w:tcW w:w="1795"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3,580</w:t>
            </w:r>
          </w:p>
        </w:tc>
        <w:tc>
          <w:tcPr>
            <w:tcW w:w="1794" w:type="dxa"/>
            <w:tcBorders>
              <w:left w:val="none" w:sz="0" w:space="0" w:color="auto"/>
              <w:righ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39,735</w:t>
            </w:r>
          </w:p>
        </w:tc>
        <w:tc>
          <w:tcPr>
            <w:tcW w:w="1795" w:type="dxa"/>
            <w:tcBorders>
              <w:left w:val="none" w:sz="0" w:space="0" w:color="auto"/>
            </w:tcBorders>
            <w:hideMark/>
          </w:tcPr>
          <w:p w:rsidR="00E62CFF" w:rsidRPr="006A112C" w:rsidRDefault="00E62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A112C">
              <w:rPr>
                <w:rFonts w:ascii="Calibri" w:eastAsia="Times New Roman" w:hAnsi="Calibri" w:cs="Calibri"/>
                <w:color w:val="000000"/>
                <w:sz w:val="20"/>
                <w:szCs w:val="20"/>
              </w:rPr>
              <w:t>232</w:t>
            </w:r>
          </w:p>
        </w:tc>
      </w:tr>
      <w:tr w:rsidR="0060395A" w:rsidRPr="006A112C"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tcPr>
          <w:p w:rsidR="0060395A" w:rsidRPr="006A112C" w:rsidRDefault="0060395A" w:rsidP="00A83ABC">
            <w:pPr>
              <w:rPr>
                <w:rFonts w:ascii="Calibri" w:eastAsia="Times New Roman" w:hAnsi="Calibri" w:cs="Calibri"/>
                <w:color w:val="000000"/>
                <w:sz w:val="20"/>
                <w:szCs w:val="20"/>
              </w:rPr>
            </w:pPr>
            <w:r w:rsidRPr="006A112C">
              <w:rPr>
                <w:rFonts w:ascii="Calibri" w:eastAsia="Times New Roman" w:hAnsi="Calibri" w:cs="Calibri"/>
                <w:color w:val="000000"/>
                <w:sz w:val="20"/>
                <w:szCs w:val="20"/>
              </w:rPr>
              <w:t>Statewide</w:t>
            </w:r>
          </w:p>
        </w:tc>
        <w:tc>
          <w:tcPr>
            <w:tcW w:w="1794" w:type="dxa"/>
            <w:tcBorders>
              <w:left w:val="none" w:sz="0" w:space="0" w:color="auto"/>
              <w:right w:val="none" w:sz="0" w:space="0" w:color="auto"/>
            </w:tcBorders>
          </w:tcPr>
          <w:p w:rsidR="0060395A" w:rsidRPr="006A112C" w:rsidRDefault="0060395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6A112C">
              <w:rPr>
                <w:rFonts w:ascii="Calibri" w:eastAsia="Times New Roman" w:hAnsi="Calibri" w:cs="Calibri"/>
                <w:b/>
                <w:color w:val="000000"/>
                <w:sz w:val="20"/>
                <w:szCs w:val="20"/>
              </w:rPr>
              <w:t>29,038</w:t>
            </w:r>
          </w:p>
        </w:tc>
        <w:tc>
          <w:tcPr>
            <w:tcW w:w="1795" w:type="dxa"/>
            <w:tcBorders>
              <w:left w:val="none" w:sz="0" w:space="0" w:color="auto"/>
              <w:right w:val="none" w:sz="0" w:space="0" w:color="auto"/>
            </w:tcBorders>
          </w:tcPr>
          <w:p w:rsidR="0060395A" w:rsidRPr="006A112C" w:rsidRDefault="0060395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6A112C">
              <w:rPr>
                <w:rFonts w:ascii="Calibri" w:eastAsia="Times New Roman" w:hAnsi="Calibri" w:cs="Calibri"/>
                <w:b/>
                <w:color w:val="000000"/>
                <w:sz w:val="20"/>
                <w:szCs w:val="20"/>
              </w:rPr>
              <w:t>12,667</w:t>
            </w:r>
          </w:p>
        </w:tc>
        <w:tc>
          <w:tcPr>
            <w:tcW w:w="1794" w:type="dxa"/>
            <w:tcBorders>
              <w:left w:val="none" w:sz="0" w:space="0" w:color="auto"/>
              <w:right w:val="none" w:sz="0" w:space="0" w:color="auto"/>
            </w:tcBorders>
          </w:tcPr>
          <w:p w:rsidR="0060395A" w:rsidRPr="006A112C" w:rsidRDefault="0060395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6A112C">
              <w:rPr>
                <w:rFonts w:ascii="Calibri" w:eastAsia="Times New Roman" w:hAnsi="Calibri" w:cs="Calibri"/>
                <w:b/>
                <w:color w:val="000000"/>
                <w:sz w:val="20"/>
                <w:szCs w:val="20"/>
              </w:rPr>
              <w:t>112,330</w:t>
            </w:r>
          </w:p>
        </w:tc>
        <w:tc>
          <w:tcPr>
            <w:tcW w:w="1795" w:type="dxa"/>
            <w:tcBorders>
              <w:left w:val="none" w:sz="0" w:space="0" w:color="auto"/>
            </w:tcBorders>
          </w:tcPr>
          <w:p w:rsidR="0060395A" w:rsidRPr="006A112C" w:rsidRDefault="0060395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6A112C">
              <w:rPr>
                <w:rFonts w:ascii="Calibri" w:eastAsia="Times New Roman" w:hAnsi="Calibri" w:cs="Calibri"/>
                <w:b/>
                <w:color w:val="000000"/>
                <w:sz w:val="20"/>
                <w:szCs w:val="20"/>
              </w:rPr>
              <w:t>745</w:t>
            </w:r>
          </w:p>
        </w:tc>
      </w:tr>
    </w:tbl>
    <w:p w:rsidR="003137B3" w:rsidRDefault="003137B3" w:rsidP="00A83ABC"/>
    <w:p w:rsidR="00A044EB" w:rsidRDefault="009009A1" w:rsidP="00A83ABC">
      <w:pPr>
        <w:pStyle w:val="Heading2"/>
      </w:pPr>
      <w:bookmarkStart w:id="73" w:name="_Toc412628382"/>
      <w:r>
        <w:t>Economic Analysis</w:t>
      </w:r>
      <w:bookmarkEnd w:id="73"/>
    </w:p>
    <w:p w:rsidR="00A044EB" w:rsidRDefault="00EF3AC7" w:rsidP="00A83ABC">
      <w:bookmarkStart w:id="74" w:name="_Toc246325768"/>
      <w:bookmarkStart w:id="75" w:name="_Toc246325931"/>
      <w:bookmarkStart w:id="76" w:name="_Toc246326017"/>
      <w:r>
        <w:t xml:space="preserve">The </w:t>
      </w:r>
      <w:r w:rsidR="00CA3FBE">
        <w:t xml:space="preserve">economic argument for pursuing </w:t>
      </w:r>
      <w:r w:rsidR="00037A03">
        <w:t>DR</w:t>
      </w:r>
      <w:r w:rsidR="00CA3FBE">
        <w:t xml:space="preserve"> programs is that reducing </w:t>
      </w:r>
      <w:r w:rsidR="00A53BD9">
        <w:t>peak demand</w:t>
      </w:r>
      <w:r w:rsidR="00CA3FBE">
        <w:t xml:space="preserve"> may be cheaper than expanding generation</w:t>
      </w:r>
      <w:r w:rsidR="009D5798">
        <w:t xml:space="preserve"> and</w:t>
      </w:r>
      <w:r w:rsidR="003901B6">
        <w:t xml:space="preserve"> </w:t>
      </w:r>
      <w:r w:rsidR="00AD2C38">
        <w:t>T&amp;D</w:t>
      </w:r>
      <w:r w:rsidR="00CA3FBE">
        <w:t xml:space="preserve"> capacity to meet </w:t>
      </w:r>
      <w:r w:rsidR="00A53BD9">
        <w:t>growth in peak demand</w:t>
      </w:r>
      <w:r w:rsidR="00CA3FBE">
        <w:t>.</w:t>
      </w:r>
      <w:r w:rsidR="001A768D">
        <w:t xml:space="preserve"> </w:t>
      </w:r>
      <w:r w:rsidR="00CA3FBE">
        <w:t xml:space="preserve">The costs and benefits of producing and consuming electricity are related to the underlying supply </w:t>
      </w:r>
      <w:r w:rsidR="00A53BD9">
        <w:t xml:space="preserve">of </w:t>
      </w:r>
      <w:r w:rsidR="00CA3FBE">
        <w:t>and demand for electric service.</w:t>
      </w:r>
      <w:r w:rsidR="001A768D">
        <w:t xml:space="preserve"> </w:t>
      </w:r>
      <w:r w:rsidR="00CA3FBE">
        <w:t>If the costs of supply expansion outweigh the benefits associated</w:t>
      </w:r>
      <w:r w:rsidR="00A53BD9">
        <w:t xml:space="preserve"> with</w:t>
      </w:r>
      <w:r w:rsidR="00CA3FBE">
        <w:t xml:space="preserve"> </w:t>
      </w:r>
      <w:r w:rsidR="00A53BD9">
        <w:t>increased demand, then society may wish to consider whether the supply expansion can be avoided.</w:t>
      </w:r>
      <w:r w:rsidR="001A768D">
        <w:t xml:space="preserve"> </w:t>
      </w:r>
      <w:r w:rsidR="00A53BD9">
        <w:t>Meeting current and future peak demand without expanding supply capacity requires changes to demand.</w:t>
      </w:r>
      <w:r w:rsidR="001A768D">
        <w:t xml:space="preserve"> </w:t>
      </w:r>
      <w:r w:rsidR="00A53BD9">
        <w:t>There are at least two policy approaches for influencing demand: price and non-price interventions</w:t>
      </w:r>
      <w:r w:rsidR="00282A1B">
        <w:t>.</w:t>
      </w:r>
    </w:p>
    <w:p w:rsidR="00A53BD9" w:rsidRDefault="00A53BD9" w:rsidP="00A83ABC"/>
    <w:p w:rsidR="00A53BD9" w:rsidRDefault="00A53BD9" w:rsidP="00A83ABC">
      <w:r>
        <w:lastRenderedPageBreak/>
        <w:t>Demand for electricity is based on the price of electricity and customer pr</w:t>
      </w:r>
      <w:r w:rsidR="00206B4D">
        <w:t>eferences for its consumption.</w:t>
      </w:r>
      <w:r w:rsidR="001A768D">
        <w:t xml:space="preserve"> </w:t>
      </w:r>
      <w:r w:rsidR="00206B4D">
        <w:t>Given a set of preferences and prices, customers select the quantity of consumption that is most valuable t</w:t>
      </w:r>
      <w:r w:rsidR="002D5EBB">
        <w:t>o them.</w:t>
      </w:r>
      <w:r w:rsidR="001A768D">
        <w:t xml:space="preserve"> </w:t>
      </w:r>
      <w:r w:rsidR="002D5EBB">
        <w:t>Since price is influenced by the cost of producing electricity, the forces of demand and supply in a competitive market interact to reach an equilibrium price and quantity for electricity consumption.</w:t>
      </w:r>
      <w:r w:rsidR="00C46952">
        <w:t xml:space="preserve"> </w:t>
      </w:r>
      <w:r w:rsidR="002D5EBB">
        <w:t>Increases in the quantity of electricity demanded, without a change in price, indicates a shift in demand.</w:t>
      </w:r>
      <w:r w:rsidR="001A768D">
        <w:t xml:space="preserve"> </w:t>
      </w:r>
      <w:r w:rsidR="002D5EBB">
        <w:t xml:space="preserve">The price is the same, but the quantity demanded </w:t>
      </w:r>
      <w:r w:rsidR="00C46952">
        <w:t>h</w:t>
      </w:r>
      <w:r w:rsidR="002D5EBB">
        <w:t>as increased.</w:t>
      </w:r>
      <w:r w:rsidR="001A768D">
        <w:t xml:space="preserve"> </w:t>
      </w:r>
      <w:r w:rsidR="002D5EBB">
        <w:t xml:space="preserve">In this situation, </w:t>
      </w:r>
      <w:r w:rsidR="00D20624">
        <w:t>society would benefit from the increase consumption (both consumers and producers).</w:t>
      </w:r>
      <w:r w:rsidR="001A768D">
        <w:t xml:space="preserve"> </w:t>
      </w:r>
    </w:p>
    <w:p w:rsidR="00D20624" w:rsidRDefault="00D20624" w:rsidP="00A83ABC"/>
    <w:p w:rsidR="00D20624" w:rsidRDefault="00E62CFF" w:rsidP="00A83ABC">
      <w:r>
        <w:t>The benefits of increased consumption of a product with increasing demand are strictly increasing if the marginal costs and benefits of consumption are constant. This is not the case in the electric industry in the short run as evidenced by the PJM forward capacity market. In i</w:t>
      </w:r>
      <w:r w:rsidR="00085C85">
        <w:t xml:space="preserve">ts annual </w:t>
      </w:r>
      <w:r w:rsidR="00E7632F">
        <w:t>BRA</w:t>
      </w:r>
      <w:r>
        <w:t>, PJM procures electric generation capacity on behalf of its stakeholders. Generators bid capacity into the market and PJM commits to purchasing units</w:t>
      </w:r>
      <w:r w:rsidR="001D138D">
        <w:t xml:space="preserve"> and</w:t>
      </w:r>
      <w:r>
        <w:t xml:space="preserve"> paying the marginal cost increase per unit, until the projected capacity requirement is met. Neither marginal benefit nor marginal cost is constant in this market, thus outward shifts of demand would be satisfied at an increasing marginal cost of electricity production. These characteristics of supply and demand give rise to the potential for </w:t>
      </w:r>
      <w:r w:rsidR="00037A03">
        <w:t>DR</w:t>
      </w:r>
      <w:r>
        <w:t xml:space="preserve"> to satisfy increasing demands at a lower cost than supply expansion.</w:t>
      </w:r>
    </w:p>
    <w:p w:rsidR="00A53BD9" w:rsidRDefault="00A53BD9" w:rsidP="00A83ABC"/>
    <w:p w:rsidR="0051353E" w:rsidRDefault="00A53BD9" w:rsidP="00A83ABC">
      <w:r w:rsidRPr="000638CE">
        <w:t>Since consuming electricity benefits electric customers, reducing deman</w:t>
      </w:r>
      <w:r w:rsidR="00972997" w:rsidRPr="000638CE">
        <w:t>d also reduces those benefits</w:t>
      </w:r>
      <w:r w:rsidR="00361A46" w:rsidRPr="000638CE">
        <w:t>.</w:t>
      </w:r>
      <w:r w:rsidR="001A768D" w:rsidRPr="000638CE">
        <w:t xml:space="preserve"> </w:t>
      </w:r>
      <w:r w:rsidR="00361A46" w:rsidRPr="000638CE">
        <w:t xml:space="preserve">If the </w:t>
      </w:r>
      <w:r w:rsidR="00C46952" w:rsidRPr="000638CE">
        <w:t>Commonwealth</w:t>
      </w:r>
      <w:r w:rsidR="00361A46" w:rsidRPr="000638CE">
        <w:t xml:space="preserve"> asks consumers to voluntarily reduce their peak demand, then doing so brings a cost to those customers</w:t>
      </w:r>
      <w:r w:rsidR="00C46952" w:rsidRPr="000638CE">
        <w:t>, and any rational customer will wish to be compensated. I</w:t>
      </w:r>
      <w:r w:rsidR="00361A46" w:rsidRPr="000638CE">
        <w:t xml:space="preserve">f the total cost of compensating these customers for reduced demand is less than the total cost of expanding supply capacity, then </w:t>
      </w:r>
      <w:r w:rsidR="00037A03" w:rsidRPr="000638CE">
        <w:t>DR</w:t>
      </w:r>
      <w:r w:rsidR="00361A46" w:rsidRPr="000638CE">
        <w:t xml:space="preserve"> programs may generate positive net benefits to society.</w:t>
      </w:r>
      <w:r w:rsidR="00C46952" w:rsidRPr="000638CE">
        <w:t xml:space="preserve"> In accordance with the Commission’s Final Order on </w:t>
      </w:r>
      <w:r w:rsidR="00037A03" w:rsidRPr="000638CE">
        <w:t>DR</w:t>
      </w:r>
      <w:r w:rsidR="00925E07" w:rsidRPr="000638CE">
        <w:rPr>
          <w:rStyle w:val="FootnoteReference"/>
        </w:rPr>
        <w:footnoteReference w:id="37"/>
      </w:r>
      <w:r w:rsidR="00C46952" w:rsidRPr="000638CE">
        <w:t xml:space="preserve"> this study assumes that customers will not enter a ‘break-even’ arrangement so the financial benefits of DR participation must outweigh the costs. Accordingly</w:t>
      </w:r>
      <w:r w:rsidR="000638CE">
        <w:t>,</w:t>
      </w:r>
      <w:r w:rsidR="00C46952" w:rsidRPr="000638CE">
        <w:t xml:space="preserve"> we have used 75%</w:t>
      </w:r>
      <w:r w:rsidR="00887E49" w:rsidRPr="000638CE">
        <w:t xml:space="preserve"> of the incentive amount as a proxy for the participant cost when examining the cost</w:t>
      </w:r>
      <w:r w:rsidR="00CE0565">
        <w:t>-</w:t>
      </w:r>
      <w:r w:rsidR="00887E49" w:rsidRPr="000638CE">
        <w:t xml:space="preserve">effectiveness of </w:t>
      </w:r>
      <w:r w:rsidR="00037A03" w:rsidRPr="000638CE">
        <w:t>DR</w:t>
      </w:r>
      <w:r w:rsidR="00887E49" w:rsidRPr="000638CE">
        <w:t>.</w:t>
      </w:r>
      <w:r w:rsidR="00887E49">
        <w:t xml:space="preserve"> </w:t>
      </w:r>
    </w:p>
    <w:p w:rsidR="00204CA6" w:rsidRDefault="00204CA6" w:rsidP="00A83ABC"/>
    <w:p w:rsidR="00B72F37" w:rsidRDefault="00204CA6" w:rsidP="00A83ABC">
      <w:r>
        <w:t xml:space="preserve">One potential demand response benefit stream that was not included in this analysis is wholesale price suppression. Wholesale price suppression refers to a reduction in the market clearing price for a product resulting from lower quantity demanded leading to a lower position on the supply curve. </w:t>
      </w:r>
      <w:r w:rsidR="009626FE">
        <w:t>The Commission found stakeholder comments about the uncertainty associated with price suppression estimates persuasive</w:t>
      </w:r>
      <w:r w:rsidR="009626FE">
        <w:rPr>
          <w:rStyle w:val="FootnoteReference"/>
        </w:rPr>
        <w:footnoteReference w:id="38"/>
      </w:r>
      <w:r w:rsidR="009626FE">
        <w:t xml:space="preserve"> and directed the SWE not to perform a price suppression study or include estimates of price suppression benefits in the DR potential study.</w:t>
      </w:r>
    </w:p>
    <w:p w:rsidR="009626FE" w:rsidRDefault="009626FE" w:rsidP="00A83ABC"/>
    <w:p w:rsidR="0082456D" w:rsidRDefault="00FA58C8" w:rsidP="00A83ABC">
      <w:pPr>
        <w:pStyle w:val="Heading3"/>
      </w:pPr>
      <w:bookmarkStart w:id="77" w:name="_Toc412628383"/>
      <w:r>
        <w:t>Net Benefits</w:t>
      </w:r>
      <w:r w:rsidR="009009A1">
        <w:t xml:space="preserve"> </w:t>
      </w:r>
      <w:r>
        <w:t>as a Decision Criterion</w:t>
      </w:r>
      <w:bookmarkEnd w:id="77"/>
    </w:p>
    <w:p w:rsidR="00FA58C8" w:rsidRDefault="00887E49" w:rsidP="00A83ABC">
      <w:r>
        <w:t>The TUS staff requested that the SWE</w:t>
      </w:r>
      <w:r w:rsidR="00FA58C8">
        <w:t xml:space="preserve"> </w:t>
      </w:r>
      <w:r w:rsidR="0045410E">
        <w:t xml:space="preserve">Team </w:t>
      </w:r>
      <w:r w:rsidR="00FA58C8">
        <w:t xml:space="preserve">develop scenarios to compare the relative benefits of Act 129 budget allocations between </w:t>
      </w:r>
      <w:r w:rsidR="00857521">
        <w:t>EE</w:t>
      </w:r>
      <w:r w:rsidR="00FA58C8">
        <w:t xml:space="preserve"> and </w:t>
      </w:r>
      <w:r w:rsidR="00037A03">
        <w:t>DR</w:t>
      </w:r>
      <w:r w:rsidR="00FA58C8">
        <w:t xml:space="preserve"> programs.</w:t>
      </w:r>
      <w:r w:rsidR="001A768D">
        <w:t xml:space="preserve"> </w:t>
      </w:r>
      <w:r w:rsidR="00FA58C8">
        <w:t xml:space="preserve">The TUS </w:t>
      </w:r>
      <w:r w:rsidR="0045410E">
        <w:t xml:space="preserve">staff </w:t>
      </w:r>
      <w:r w:rsidR="00FA58C8">
        <w:t xml:space="preserve">indicated a desire to compare alternative projects on the basis of </w:t>
      </w:r>
      <w:r>
        <w:t xml:space="preserve">the </w:t>
      </w:r>
      <w:r w:rsidR="00532DDB">
        <w:t>PV</w:t>
      </w:r>
      <w:r w:rsidR="00FA58C8">
        <w:t xml:space="preserve"> of net benefits.</w:t>
      </w:r>
      <w:r w:rsidR="001A768D">
        <w:t xml:space="preserve"> </w:t>
      </w:r>
      <w:r w:rsidR="00FA58C8">
        <w:t>This criterion is appropriate for comparing mutually exclusive program alternatives and selecting an alternative that provides the largest economic benefit.</w:t>
      </w:r>
      <w:r w:rsidR="001A768D">
        <w:t xml:space="preserve"> </w:t>
      </w:r>
      <w:r w:rsidR="00FA58C8">
        <w:t>Comparing program alternatives solely on the basis of the TRC ratio obscures the relative magnitude of benefits provided by program alternatives.</w:t>
      </w:r>
    </w:p>
    <w:p w:rsidR="00161A54" w:rsidRDefault="00085C85" w:rsidP="00A83ABC">
      <w:pPr>
        <w:spacing w:before="240"/>
      </w:pPr>
      <w:r>
        <w:t xml:space="preserve">We have also applied the concept of net benefit to our cost analysis of Phase III non-residential DR Potential. In developing cost estimates, the SWE </w:t>
      </w:r>
      <w:r w:rsidR="0045410E">
        <w:t xml:space="preserve">Team </w:t>
      </w:r>
      <w:r>
        <w:t xml:space="preserve">sought to identify the incentive levels that maximized the respective </w:t>
      </w:r>
      <w:r w:rsidR="00532DDB">
        <w:t>PV</w:t>
      </w:r>
      <w:r>
        <w:t xml:space="preserve"> of net benefits from the </w:t>
      </w:r>
      <w:r w:rsidR="00985548">
        <w:t>l</w:t>
      </w:r>
      <w:r w:rsidR="008D678D">
        <w:t>arge C&amp;I</w:t>
      </w:r>
      <w:r>
        <w:t xml:space="preserve"> load curtailment programs. The </w:t>
      </w:r>
      <w:r>
        <w:lastRenderedPageBreak/>
        <w:t xml:space="preserve">incentive payment is an important component for estimating </w:t>
      </w:r>
      <w:r w:rsidR="00037A03">
        <w:t>DR</w:t>
      </w:r>
      <w:r>
        <w:t xml:space="preserve"> potential because the incentives paid to </w:t>
      </w:r>
      <w:r w:rsidR="00037A03">
        <w:t>DR</w:t>
      </w:r>
      <w:r>
        <w:t xml:space="preserve"> providers must be equal to or greater than the cost of providing </w:t>
      </w:r>
      <w:r w:rsidR="00037A03">
        <w:t>DR</w:t>
      </w:r>
      <w:r w:rsidR="00F478DF">
        <w:t xml:space="preserve"> capacity. Where this</w:t>
      </w:r>
      <w:r>
        <w:t xml:space="preserve"> </w:t>
      </w:r>
      <w:r w:rsidR="00F478DF">
        <w:t xml:space="preserve">is </w:t>
      </w:r>
      <w:r>
        <w:t>not the case, potential DR suppliers would elect not to participate in the program.</w:t>
      </w:r>
    </w:p>
    <w:p w:rsidR="00782E15" w:rsidRDefault="00161A54" w:rsidP="00A83ABC">
      <w:pPr>
        <w:spacing w:before="240"/>
      </w:pPr>
      <w:r>
        <w:t xml:space="preserve">The incentive level that maximizes the </w:t>
      </w:r>
      <w:r w:rsidR="00532DDB">
        <w:t>PV</w:t>
      </w:r>
      <w:r>
        <w:t xml:space="preserve"> of net benefits to each of the DR programs we evaluated is the economically efficient level of DR.</w:t>
      </w:r>
      <w:r w:rsidR="001A768D">
        <w:t xml:space="preserve"> </w:t>
      </w:r>
      <w:r>
        <w:t xml:space="preserve">It is important to note that the level of incentives that maximizes </w:t>
      </w:r>
      <w:r w:rsidR="00A60793">
        <w:t>NPV</w:t>
      </w:r>
      <w:r>
        <w:t xml:space="preserve"> of benefits </w:t>
      </w:r>
      <w:r w:rsidR="00186B10">
        <w:t xml:space="preserve">is not indicated by </w:t>
      </w:r>
      <w:r>
        <w:t>the TRC ratio.</w:t>
      </w:r>
      <w:r w:rsidR="001A768D">
        <w:t xml:space="preserve"> </w:t>
      </w:r>
      <w:r>
        <w:t>While the TRC ratio indicates</w:t>
      </w:r>
      <w:r w:rsidR="00782E15">
        <w:t xml:space="preserve"> the relative costs and benefits of a program, it does not allow one to compare two programs and determine which one provides the greatest economic benefit.</w:t>
      </w:r>
      <w:r w:rsidR="001A768D">
        <w:t xml:space="preserve"> </w:t>
      </w:r>
      <w:r w:rsidR="00782E15">
        <w:t>A program that costs $1 and generates $2 in benefits has a higher TRC ratio than a program that costs $1,000,000 and generates $1,500,000 in benefits</w:t>
      </w:r>
      <w:r w:rsidR="003E2AA4">
        <w:t xml:space="preserve">. </w:t>
      </w:r>
      <w:r w:rsidR="00FD4ABC">
        <w:t xml:space="preserve">We illustrate this concept below </w:t>
      </w:r>
      <w:r w:rsidR="00FD4ABC" w:rsidRPr="00186B10">
        <w:t xml:space="preserve">in </w:t>
      </w:r>
      <w:r w:rsidR="00186B10">
        <w:fldChar w:fldCharType="begin"/>
      </w:r>
      <w:r w:rsidR="00186B10">
        <w:instrText xml:space="preserve"> REF _Ref407081814 \h </w:instrText>
      </w:r>
      <w:r w:rsidR="00CF2BE5">
        <w:instrText xml:space="preserve"> \* MERGEFORMAT </w:instrText>
      </w:r>
      <w:r w:rsidR="00186B10">
        <w:fldChar w:fldCharType="separate"/>
      </w:r>
      <w:r w:rsidR="00803DBE" w:rsidRPr="009F20B9">
        <w:t xml:space="preserve">Figure </w:t>
      </w:r>
      <w:r w:rsidR="00803DBE">
        <w:rPr>
          <w:noProof/>
        </w:rPr>
        <w:t>2</w:t>
      </w:r>
      <w:r w:rsidR="00803DBE">
        <w:rPr>
          <w:noProof/>
        </w:rPr>
        <w:noBreakHyphen/>
        <w:t>3</w:t>
      </w:r>
      <w:r w:rsidR="00186B10">
        <w:fldChar w:fldCharType="end"/>
      </w:r>
      <w:r w:rsidR="00FD4ABC" w:rsidRPr="00186B10">
        <w:t>, using</w:t>
      </w:r>
      <w:r w:rsidR="00FD4ABC">
        <w:t xml:space="preserve"> representative data to calculate the net benefits and TRC ratio</w:t>
      </w:r>
      <w:r w:rsidR="003E2AA4">
        <w:t xml:space="preserve">. </w:t>
      </w:r>
      <w:r w:rsidR="00FD4ABC">
        <w:t>In this representative example higher TRC ratios have lower net benefits.</w:t>
      </w:r>
    </w:p>
    <w:p w:rsidR="0060408E" w:rsidRPr="0060408E" w:rsidRDefault="0060408E" w:rsidP="00A83ABC"/>
    <w:p w:rsidR="00085C85" w:rsidRPr="009F20B9" w:rsidRDefault="00186B10" w:rsidP="00A83ABC">
      <w:pPr>
        <w:pStyle w:val="Caption"/>
        <w:keepNext/>
      </w:pPr>
      <w:bookmarkStart w:id="78" w:name="_Ref407081814"/>
      <w:bookmarkStart w:id="79" w:name="_Toc412628504"/>
      <w:r w:rsidRPr="009F20B9">
        <w:t xml:space="preserve">Figure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3</w:t>
      </w:r>
      <w:r w:rsidR="00E2011B">
        <w:rPr>
          <w:noProof/>
        </w:rPr>
        <w:fldChar w:fldCharType="end"/>
      </w:r>
      <w:bookmarkEnd w:id="78"/>
      <w:r w:rsidRPr="009F20B9">
        <w:t xml:space="preserve">: </w:t>
      </w:r>
      <w:r w:rsidR="00606782">
        <w:t xml:space="preserve">Relationship between Incentive Amount, </w:t>
      </w:r>
      <w:r w:rsidR="002F761C">
        <w:t>TRC</w:t>
      </w:r>
      <w:r w:rsidR="00606782">
        <w:t xml:space="preserve">, </w:t>
      </w:r>
      <w:r w:rsidR="00085C85">
        <w:t xml:space="preserve">and </w:t>
      </w:r>
      <w:r w:rsidR="002F761C">
        <w:t>PVNB</w:t>
      </w:r>
      <w:r w:rsidR="00E97EB3">
        <w:rPr>
          <w:rStyle w:val="FootnoteReference"/>
        </w:rPr>
        <w:footnoteReference w:id="39"/>
      </w:r>
      <w:bookmarkEnd w:id="79"/>
    </w:p>
    <w:p w:rsidR="00056361" w:rsidRDefault="00056361" w:rsidP="00A83ABC">
      <w:pPr>
        <w:pStyle w:val="Caption"/>
        <w:keepNext/>
        <w:jc w:val="center"/>
      </w:pPr>
      <w:r>
        <w:rPr>
          <w:noProof/>
        </w:rPr>
        <w:drawing>
          <wp:inline distT="0" distB="0" distL="0" distR="0" wp14:anchorId="2A64E090" wp14:editId="7B07CE86">
            <wp:extent cx="4781132" cy="3472961"/>
            <wp:effectExtent l="57150" t="76200" r="38735" b="323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nb.png"/>
                    <pic:cNvPicPr/>
                  </pic:nvPicPr>
                  <pic:blipFill>
                    <a:blip r:embed="rId29">
                      <a:extLst>
                        <a:ext uri="{28A0092B-C50C-407E-A947-70E740481C1C}">
                          <a14:useLocalDpi xmlns:a14="http://schemas.microsoft.com/office/drawing/2010/main" val="0"/>
                        </a:ext>
                      </a:extLst>
                    </a:blip>
                    <a:stretch>
                      <a:fillRect/>
                    </a:stretch>
                  </pic:blipFill>
                  <pic:spPr>
                    <a:xfrm>
                      <a:off x="0" y="0"/>
                      <a:ext cx="4783956" cy="3475012"/>
                    </a:xfrm>
                    <a:prstGeom prst="rect">
                      <a:avLst/>
                    </a:prstGeom>
                    <a:ln>
                      <a:noFill/>
                    </a:ln>
                    <a:effectLst>
                      <a:outerShdw blurRad="50800" dist="38100" dir="13500000" algn="br" rotWithShape="0">
                        <a:prstClr val="black">
                          <a:alpha val="40000"/>
                        </a:prstClr>
                      </a:outerShdw>
                      <a:softEdge rad="31750"/>
                    </a:effectLst>
                  </pic:spPr>
                </pic:pic>
              </a:graphicData>
            </a:graphic>
          </wp:inline>
        </w:drawing>
      </w:r>
    </w:p>
    <w:p w:rsidR="00056361" w:rsidRDefault="00782E15" w:rsidP="00A83ABC">
      <w:pPr>
        <w:spacing w:before="240"/>
      </w:pPr>
      <w:r>
        <w:t>The incentive level that maximizes the</w:t>
      </w:r>
      <w:r w:rsidR="00E97EB3">
        <w:t xml:space="preserve"> present value of expected total net benefits</w:t>
      </w:r>
      <w:r>
        <w:t xml:space="preserve"> </w:t>
      </w:r>
      <w:r w:rsidR="00E97EB3">
        <w:t>(</w:t>
      </w:r>
      <w:r w:rsidR="002F761C">
        <w:t>PVNB</w:t>
      </w:r>
      <w:r w:rsidR="00E97EB3">
        <w:t>)</w:t>
      </w:r>
      <w:r>
        <w:t xml:space="preserve"> is likely to be lower than the avoided cost of capacity.</w:t>
      </w:r>
      <w:r w:rsidR="001A768D">
        <w:t xml:space="preserve"> </w:t>
      </w:r>
      <w:r>
        <w:t>If the DR incentive cost per unit were higher than the cost of capacity per unit,</w:t>
      </w:r>
      <w:r w:rsidR="004421F6">
        <w:t xml:space="preserve"> potential would be extremely high because the lucrative payments would be attractive to participants, but</w:t>
      </w:r>
      <w:r>
        <w:t xml:space="preserve"> </w:t>
      </w:r>
      <w:r w:rsidR="00887E49">
        <w:t>the costs would exceed the benefits and the</w:t>
      </w:r>
      <w:r w:rsidR="00636990">
        <w:t xml:space="preserve"> </w:t>
      </w:r>
      <w:r>
        <w:t>better choice is to increase capacity</w:t>
      </w:r>
      <w:r w:rsidR="00887E49">
        <w:t xml:space="preserve"> through traditional generation</w:t>
      </w:r>
      <w:r>
        <w:t>.</w:t>
      </w:r>
      <w:r w:rsidR="001A768D">
        <w:t xml:space="preserve"> </w:t>
      </w:r>
      <w:r w:rsidR="00887E49">
        <w:t xml:space="preserve">If the DR incentive costs </w:t>
      </w:r>
      <w:r w:rsidR="004421F6">
        <w:t xml:space="preserve">plus administrative costs </w:t>
      </w:r>
      <w:r w:rsidR="00887E49">
        <w:t xml:space="preserve">were equal to </w:t>
      </w:r>
      <w:r w:rsidR="004421F6">
        <w:t xml:space="preserve">the </w:t>
      </w:r>
      <w:r w:rsidR="00887E49">
        <w:t>avoided costs of capacity, program potential would be high, but the TRC would equal 1.0 and there would be no</w:t>
      </w:r>
      <w:r w:rsidR="004421F6">
        <w:t xml:space="preserve"> net</w:t>
      </w:r>
      <w:r w:rsidR="00887E49">
        <w:t xml:space="preserve"> ben</w:t>
      </w:r>
      <w:r w:rsidR="004421F6">
        <w:t>efit from running the program</w:t>
      </w:r>
      <w:r w:rsidR="00056361">
        <w:t>.</w:t>
      </w:r>
    </w:p>
    <w:p w:rsidR="00C76F6E" w:rsidRDefault="00782E15" w:rsidP="00A83ABC">
      <w:pPr>
        <w:spacing w:before="240"/>
      </w:pPr>
      <w:r>
        <w:t>It is critical to remember that the truth of this comparison is based on accurate cost information and a competitive market.</w:t>
      </w:r>
      <w:r w:rsidR="001A768D">
        <w:t xml:space="preserve"> </w:t>
      </w:r>
      <w:r>
        <w:t>The realities of market failure, such as natural monopolies, externalities, imperfect information, and transaction costs can lead to the wrong conclusion if these are n</w:t>
      </w:r>
      <w:r w:rsidR="004421F6">
        <w:t xml:space="preserve">ot accounted for in the </w:t>
      </w:r>
      <w:r w:rsidR="004421F6">
        <w:lastRenderedPageBreak/>
        <w:t xml:space="preserve">price. </w:t>
      </w:r>
      <w:r w:rsidR="00291D9E">
        <w:t xml:space="preserve">Our estimate of DR potential accounts for the opportunity costs DR suppliers face when choosing between the </w:t>
      </w:r>
      <w:r w:rsidR="00291D9E">
        <w:rPr>
          <w:i/>
        </w:rPr>
        <w:t>status quo</w:t>
      </w:r>
      <w:r w:rsidR="00291D9E">
        <w:t xml:space="preserve"> and reduced peak consumption.</w:t>
      </w:r>
      <w:r w:rsidR="001A768D">
        <w:t xml:space="preserve"> </w:t>
      </w:r>
      <w:r w:rsidR="00291D9E">
        <w:t xml:space="preserve">This topic is discussed further in </w:t>
      </w:r>
      <w:r w:rsidR="00AA58DD" w:rsidRPr="00AA58DD">
        <w:t xml:space="preserve">Section </w:t>
      </w:r>
      <w:r w:rsidR="00AA58DD" w:rsidRPr="00AA58DD">
        <w:fldChar w:fldCharType="begin"/>
      </w:r>
      <w:r w:rsidR="00AA58DD" w:rsidRPr="00AA58DD">
        <w:instrText xml:space="preserve"> REF _Ref406509784 \r \h </w:instrText>
      </w:r>
      <w:r w:rsidR="00AA58DD">
        <w:instrText xml:space="preserve"> \* MERGEFORMAT </w:instrText>
      </w:r>
      <w:r w:rsidR="00AA58DD" w:rsidRPr="00AA58DD">
        <w:fldChar w:fldCharType="separate"/>
      </w:r>
      <w:r w:rsidR="00803DBE">
        <w:t>6.1</w:t>
      </w:r>
      <w:r w:rsidR="00AA58DD" w:rsidRPr="00AA58DD">
        <w:fldChar w:fldCharType="end"/>
      </w:r>
      <w:r w:rsidR="00291D9E">
        <w:t xml:space="preserve">, where we present the price elasticity values </w:t>
      </w:r>
      <w:r w:rsidR="00887E49">
        <w:t>that were used</w:t>
      </w:r>
      <w:r w:rsidR="00291D9E">
        <w:t xml:space="preserve"> to estimate DR potential.</w:t>
      </w:r>
      <w:r w:rsidR="001A768D">
        <w:t xml:space="preserve"> </w:t>
      </w:r>
    </w:p>
    <w:p w:rsidR="00AE1BCE" w:rsidRDefault="00AE1BCE" w:rsidP="00A83ABC"/>
    <w:p w:rsidR="00B8640C" w:rsidRDefault="00A044EB" w:rsidP="00A83ABC">
      <w:pPr>
        <w:pStyle w:val="Heading3"/>
      </w:pPr>
      <w:bookmarkStart w:id="80" w:name="_Toc412628384"/>
      <w:r>
        <w:t xml:space="preserve">Avoided </w:t>
      </w:r>
      <w:r w:rsidR="003901B6">
        <w:t xml:space="preserve">Generation Capacity </w:t>
      </w:r>
      <w:r>
        <w:t>Cost</w:t>
      </w:r>
      <w:r w:rsidR="00B8640C">
        <w:t>s</w:t>
      </w:r>
      <w:bookmarkEnd w:id="80"/>
    </w:p>
    <w:p w:rsidR="00B8640C" w:rsidRDefault="00085C85" w:rsidP="00A83ABC">
      <w:r>
        <w:t xml:space="preserve">The most recent PJM BRA </w:t>
      </w:r>
      <w:r w:rsidR="00504DA7">
        <w:t>provides information on avoided costs of generation</w:t>
      </w:r>
      <w:r w:rsidR="004421F6">
        <w:t xml:space="preserve"> capacity</w:t>
      </w:r>
      <w:r w:rsidR="00504DA7">
        <w:t>.</w:t>
      </w:r>
      <w:r w:rsidR="001A768D">
        <w:t xml:space="preserve"> </w:t>
      </w:r>
      <w:r w:rsidR="00492395">
        <w:t>The Commission’s February 20, 2014 Order</w:t>
      </w:r>
      <w:r w:rsidR="00F93329">
        <w:rPr>
          <w:rStyle w:val="FootnoteReference"/>
        </w:rPr>
        <w:footnoteReference w:id="40"/>
      </w:r>
      <w:r w:rsidR="00492395">
        <w:t xml:space="preserve"> stated that EDCs would not be directed to bid Act 129 DR programs into PJM’s forward capacity market. Since Act 129 DR would not be a recognized wholesale resource and receive payment as such, t</w:t>
      </w:r>
      <w:r w:rsidR="00504DA7">
        <w:t xml:space="preserve">he primary benefit of a </w:t>
      </w:r>
      <w:r w:rsidR="00B8640C">
        <w:t xml:space="preserve">Phase III </w:t>
      </w:r>
      <w:r w:rsidR="00037A03">
        <w:t>DR</w:t>
      </w:r>
      <w:r w:rsidR="00B8640C">
        <w:t xml:space="preserve"> program would be</w:t>
      </w:r>
      <w:r w:rsidR="00504DA7">
        <w:t xml:space="preserve"> reducing the amount of future generation capacity that would be purchased </w:t>
      </w:r>
      <w:r w:rsidR="00B8640C">
        <w:t xml:space="preserve">on behalf of the EDCs </w:t>
      </w:r>
      <w:r w:rsidR="00504DA7">
        <w:t>at the market-clearing prices e</w:t>
      </w:r>
      <w:r w:rsidR="004E47B8">
        <w:t>stablished in the annual BRA.</w:t>
      </w:r>
      <w:r w:rsidR="001A768D">
        <w:t xml:space="preserve"> </w:t>
      </w:r>
      <w:r w:rsidR="00B8640C">
        <w:fldChar w:fldCharType="begin"/>
      </w:r>
      <w:r w:rsidR="00B8640C">
        <w:instrText xml:space="preserve"> REF _Ref405549933 \h </w:instrText>
      </w:r>
      <w:r w:rsidR="00CF2BE5">
        <w:instrText xml:space="preserve"> \* MERGEFORMAT </w:instrText>
      </w:r>
      <w:r w:rsidR="00B8640C">
        <w:fldChar w:fldCharType="separate"/>
      </w:r>
      <w:r w:rsidR="00803DBE" w:rsidRPr="004421F6">
        <w:t xml:space="preserve">Table </w:t>
      </w:r>
      <w:r w:rsidR="00803DBE">
        <w:rPr>
          <w:noProof/>
        </w:rPr>
        <w:t>2</w:t>
      </w:r>
      <w:r w:rsidR="00803DBE">
        <w:rPr>
          <w:noProof/>
        </w:rPr>
        <w:noBreakHyphen/>
        <w:t>4</w:t>
      </w:r>
      <w:r w:rsidR="00B8640C">
        <w:fldChar w:fldCharType="end"/>
      </w:r>
      <w:r w:rsidR="00B8640C">
        <w:t xml:space="preserve"> shows the avoided cost of generation capacity values that were used in the study. The 2016/2017 and 2017/2018 delivery year values are based on actual auction results and the subsequent years are based on a 1.87% annual escalation factor</w:t>
      </w:r>
      <w:r w:rsidR="00B8640C">
        <w:rPr>
          <w:rStyle w:val="FootnoteReference"/>
        </w:rPr>
        <w:footnoteReference w:id="41"/>
      </w:r>
      <w:r w:rsidR="00B8640C">
        <w:t xml:space="preserve"> from the clearing prices in the 2017/2018 delivery year.</w:t>
      </w:r>
    </w:p>
    <w:p w:rsidR="00AE1BCE" w:rsidRDefault="00AE1BCE" w:rsidP="00A83ABC"/>
    <w:p w:rsidR="004421F6" w:rsidRDefault="004421F6" w:rsidP="00A83ABC">
      <w:pPr>
        <w:pStyle w:val="Caption"/>
        <w:keepNext/>
      </w:pPr>
      <w:bookmarkStart w:id="81" w:name="_Ref405549933"/>
      <w:bookmarkStart w:id="82" w:name="_Toc412628450"/>
      <w:r w:rsidRPr="004421F6">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4</w:t>
      </w:r>
      <w:r w:rsidR="00E2011B">
        <w:rPr>
          <w:noProof/>
        </w:rPr>
        <w:fldChar w:fldCharType="end"/>
      </w:r>
      <w:bookmarkEnd w:id="81"/>
      <w:r w:rsidRPr="004421F6">
        <w:t>: Phase III Avoided Cost of Generation Capacity Values ($/kW</w:t>
      </w:r>
      <w:r w:rsidR="002F761C">
        <w:t>/</w:t>
      </w:r>
      <w:r w:rsidRPr="004421F6">
        <w:t>year)</w:t>
      </w:r>
      <w:bookmarkEnd w:id="82"/>
    </w:p>
    <w:tbl>
      <w:tblPr>
        <w:tblW w:w="9195" w:type="dxa"/>
        <w:tblInd w:w="93" w:type="dxa"/>
        <w:tblLook w:val="04A0" w:firstRow="1" w:lastRow="0" w:firstColumn="1" w:lastColumn="0" w:noHBand="0" w:noVBand="1"/>
      </w:tblPr>
      <w:tblGrid>
        <w:gridCol w:w="1560"/>
        <w:gridCol w:w="1527"/>
        <w:gridCol w:w="1527"/>
        <w:gridCol w:w="1527"/>
        <w:gridCol w:w="1527"/>
        <w:gridCol w:w="1527"/>
      </w:tblGrid>
      <w:tr w:rsidR="00C02815" w:rsidRPr="00F478DF" w:rsidTr="00C02815">
        <w:trPr>
          <w:trHeight w:val="817"/>
        </w:trPr>
        <w:tc>
          <w:tcPr>
            <w:tcW w:w="156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C02815" w:rsidRPr="00F478DF" w:rsidRDefault="00C02815" w:rsidP="00A83ABC">
            <w:pPr>
              <w:jc w:val="left"/>
              <w:rPr>
                <w:rFonts w:eastAsia="Times New Roman" w:cs="Times New Roman"/>
                <w:b/>
                <w:bCs/>
                <w:color w:val="FFFFFF"/>
                <w:sz w:val="20"/>
                <w:szCs w:val="20"/>
              </w:rPr>
            </w:pPr>
            <w:r w:rsidRPr="00F478DF">
              <w:rPr>
                <w:rFonts w:eastAsia="Times New Roman" w:cs="Times New Roman"/>
                <w:b/>
                <w:bCs/>
                <w:color w:val="FFFFFF"/>
                <w:sz w:val="20"/>
                <w:szCs w:val="20"/>
              </w:rPr>
              <w:t>EDC</w:t>
            </w:r>
          </w:p>
        </w:tc>
        <w:tc>
          <w:tcPr>
            <w:tcW w:w="1527" w:type="dxa"/>
            <w:tcBorders>
              <w:top w:val="single" w:sz="8" w:space="0" w:color="448A99"/>
              <w:left w:val="nil"/>
              <w:bottom w:val="single" w:sz="8" w:space="0" w:color="448A99"/>
              <w:right w:val="single" w:sz="8" w:space="0" w:color="448A99"/>
            </w:tcBorders>
            <w:shd w:val="clear" w:color="000000" w:fill="448A99"/>
            <w:vAlign w:val="bottom"/>
            <w:hideMark/>
          </w:tcPr>
          <w:p w:rsidR="00C02815" w:rsidRPr="00F478DF" w:rsidRDefault="00C02815" w:rsidP="00A83ABC">
            <w:pPr>
              <w:jc w:val="center"/>
              <w:rPr>
                <w:rFonts w:eastAsia="Times New Roman" w:cs="Times New Roman"/>
                <w:b/>
                <w:bCs/>
                <w:color w:val="FFFFFF"/>
                <w:sz w:val="20"/>
                <w:szCs w:val="20"/>
              </w:rPr>
            </w:pPr>
            <w:r w:rsidRPr="00F478DF">
              <w:rPr>
                <w:rFonts w:eastAsia="Times New Roman" w:cs="Times New Roman"/>
                <w:b/>
                <w:bCs/>
                <w:color w:val="FFFFFF"/>
                <w:sz w:val="20"/>
                <w:szCs w:val="20"/>
              </w:rPr>
              <w:t xml:space="preserve">Act 129 PY8/ </w:t>
            </w:r>
            <w:r w:rsidRPr="00F478DF">
              <w:rPr>
                <w:rFonts w:eastAsia="Times New Roman" w:cs="Times New Roman"/>
                <w:b/>
                <w:bCs/>
                <w:color w:val="FFFFFF"/>
                <w:sz w:val="20"/>
                <w:szCs w:val="20"/>
              </w:rPr>
              <w:br/>
              <w:t>PJM Delivery Year 2016/2017</w:t>
            </w:r>
          </w:p>
        </w:tc>
        <w:tc>
          <w:tcPr>
            <w:tcW w:w="1527" w:type="dxa"/>
            <w:tcBorders>
              <w:top w:val="single" w:sz="8" w:space="0" w:color="448A99"/>
              <w:left w:val="nil"/>
              <w:bottom w:val="single" w:sz="8" w:space="0" w:color="448A99"/>
              <w:right w:val="single" w:sz="8" w:space="0" w:color="448A99"/>
            </w:tcBorders>
            <w:shd w:val="clear" w:color="000000" w:fill="448A99"/>
            <w:vAlign w:val="bottom"/>
            <w:hideMark/>
          </w:tcPr>
          <w:p w:rsidR="00C02815" w:rsidRPr="00F478DF" w:rsidRDefault="00C02815" w:rsidP="00A83ABC">
            <w:pPr>
              <w:jc w:val="center"/>
              <w:rPr>
                <w:rFonts w:eastAsia="Times New Roman" w:cs="Times New Roman"/>
                <w:b/>
                <w:bCs/>
                <w:color w:val="FFFFFF"/>
                <w:sz w:val="20"/>
                <w:szCs w:val="20"/>
              </w:rPr>
            </w:pPr>
            <w:r w:rsidRPr="00F478DF">
              <w:rPr>
                <w:rFonts w:eastAsia="Times New Roman" w:cs="Times New Roman"/>
                <w:b/>
                <w:bCs/>
                <w:color w:val="FFFFFF"/>
                <w:sz w:val="20"/>
                <w:szCs w:val="20"/>
              </w:rPr>
              <w:t>Act 129 PY9/  PJM Delivery Year 2017/2018</w:t>
            </w:r>
          </w:p>
        </w:tc>
        <w:tc>
          <w:tcPr>
            <w:tcW w:w="1527" w:type="dxa"/>
            <w:tcBorders>
              <w:top w:val="single" w:sz="8" w:space="0" w:color="448A99"/>
              <w:left w:val="nil"/>
              <w:bottom w:val="single" w:sz="8" w:space="0" w:color="448A99"/>
              <w:right w:val="single" w:sz="8" w:space="0" w:color="448A99"/>
            </w:tcBorders>
            <w:shd w:val="clear" w:color="000000" w:fill="448A99"/>
            <w:vAlign w:val="bottom"/>
            <w:hideMark/>
          </w:tcPr>
          <w:p w:rsidR="00C02815" w:rsidRPr="00F478DF" w:rsidRDefault="00C02815" w:rsidP="00A83ABC">
            <w:pPr>
              <w:jc w:val="center"/>
              <w:rPr>
                <w:rFonts w:eastAsia="Times New Roman" w:cs="Times New Roman"/>
                <w:b/>
                <w:bCs/>
                <w:color w:val="FFFFFF"/>
                <w:sz w:val="20"/>
                <w:szCs w:val="20"/>
              </w:rPr>
            </w:pPr>
            <w:r w:rsidRPr="00F478DF">
              <w:rPr>
                <w:rFonts w:eastAsia="Times New Roman" w:cs="Times New Roman"/>
                <w:b/>
                <w:bCs/>
                <w:color w:val="FFFFFF"/>
                <w:sz w:val="20"/>
                <w:szCs w:val="20"/>
              </w:rPr>
              <w:t>Act 129 PY10/ PJM Delivery Year 2018/2019</w:t>
            </w:r>
          </w:p>
        </w:tc>
        <w:tc>
          <w:tcPr>
            <w:tcW w:w="1527" w:type="dxa"/>
            <w:tcBorders>
              <w:top w:val="single" w:sz="8" w:space="0" w:color="448A99"/>
              <w:left w:val="nil"/>
              <w:bottom w:val="single" w:sz="8" w:space="0" w:color="448A99"/>
              <w:right w:val="single" w:sz="8" w:space="0" w:color="448A99"/>
            </w:tcBorders>
            <w:shd w:val="clear" w:color="000000" w:fill="448A99"/>
            <w:vAlign w:val="bottom"/>
            <w:hideMark/>
          </w:tcPr>
          <w:p w:rsidR="00C02815" w:rsidRPr="00F478DF" w:rsidRDefault="00C02815" w:rsidP="00A83ABC">
            <w:pPr>
              <w:jc w:val="center"/>
              <w:rPr>
                <w:rFonts w:eastAsia="Times New Roman" w:cs="Times New Roman"/>
                <w:b/>
                <w:bCs/>
                <w:color w:val="FFFFFF"/>
                <w:sz w:val="20"/>
                <w:szCs w:val="20"/>
              </w:rPr>
            </w:pPr>
            <w:r w:rsidRPr="00F478DF">
              <w:rPr>
                <w:rFonts w:eastAsia="Times New Roman" w:cs="Times New Roman"/>
                <w:b/>
                <w:bCs/>
                <w:color w:val="FFFFFF"/>
                <w:sz w:val="20"/>
                <w:szCs w:val="20"/>
              </w:rPr>
              <w:t>Act 129 PY11/ PJM Delivery Year 2019/2020</w:t>
            </w:r>
          </w:p>
        </w:tc>
        <w:tc>
          <w:tcPr>
            <w:tcW w:w="1527" w:type="dxa"/>
            <w:tcBorders>
              <w:top w:val="single" w:sz="8" w:space="0" w:color="448A99"/>
              <w:left w:val="nil"/>
              <w:bottom w:val="single" w:sz="8" w:space="0" w:color="448A99"/>
              <w:right w:val="single" w:sz="8" w:space="0" w:color="448A99"/>
            </w:tcBorders>
            <w:shd w:val="clear" w:color="000000" w:fill="448A99"/>
            <w:vAlign w:val="bottom"/>
            <w:hideMark/>
          </w:tcPr>
          <w:p w:rsidR="00C02815" w:rsidRPr="00F478DF" w:rsidRDefault="00C02815" w:rsidP="00A83ABC">
            <w:pPr>
              <w:jc w:val="center"/>
              <w:rPr>
                <w:rFonts w:eastAsia="Times New Roman" w:cs="Times New Roman"/>
                <w:b/>
                <w:bCs/>
                <w:color w:val="FFFFFF"/>
                <w:sz w:val="20"/>
                <w:szCs w:val="20"/>
              </w:rPr>
            </w:pPr>
            <w:r w:rsidRPr="00F478DF">
              <w:rPr>
                <w:rFonts w:eastAsia="Times New Roman" w:cs="Times New Roman"/>
                <w:b/>
                <w:bCs/>
                <w:color w:val="FFFFFF"/>
                <w:sz w:val="20"/>
                <w:szCs w:val="20"/>
              </w:rPr>
              <w:t xml:space="preserve">Act 129 PY12/ </w:t>
            </w:r>
          </w:p>
          <w:p w:rsidR="00C02815" w:rsidRPr="00F478DF" w:rsidRDefault="00C02815" w:rsidP="00A83ABC">
            <w:pPr>
              <w:jc w:val="center"/>
              <w:rPr>
                <w:rFonts w:eastAsia="Times New Roman" w:cs="Times New Roman"/>
                <w:b/>
                <w:bCs/>
                <w:color w:val="FFFFFF"/>
                <w:sz w:val="20"/>
                <w:szCs w:val="20"/>
              </w:rPr>
            </w:pPr>
            <w:r w:rsidRPr="00F478DF">
              <w:rPr>
                <w:rFonts w:eastAsia="Times New Roman" w:cs="Times New Roman"/>
                <w:b/>
                <w:bCs/>
                <w:color w:val="FFFFFF"/>
                <w:sz w:val="20"/>
                <w:szCs w:val="20"/>
              </w:rPr>
              <w:t>PJM Delivery Year 2020/2021</w:t>
            </w:r>
          </w:p>
        </w:tc>
      </w:tr>
      <w:tr w:rsidR="00C02815" w:rsidRPr="00F478DF" w:rsidTr="00C04D12">
        <w:trPr>
          <w:trHeight w:val="346"/>
        </w:trPr>
        <w:tc>
          <w:tcPr>
            <w:tcW w:w="1560" w:type="dxa"/>
            <w:tcBorders>
              <w:top w:val="nil"/>
              <w:left w:val="single" w:sz="8" w:space="0" w:color="448A99"/>
              <w:bottom w:val="single" w:sz="8" w:space="0" w:color="448A99"/>
              <w:right w:val="single" w:sz="8" w:space="0" w:color="448A99"/>
            </w:tcBorders>
            <w:shd w:val="clear" w:color="000000" w:fill="D2EAF1"/>
            <w:noWrap/>
            <w:vAlign w:val="bottom"/>
            <w:hideMark/>
          </w:tcPr>
          <w:p w:rsidR="00C02815" w:rsidRPr="00F478DF" w:rsidRDefault="00C02815" w:rsidP="00A83ABC">
            <w:pPr>
              <w:jc w:val="left"/>
              <w:rPr>
                <w:rFonts w:eastAsia="Times New Roman" w:cs="Times New Roman"/>
                <w:color w:val="000000"/>
                <w:sz w:val="20"/>
                <w:szCs w:val="20"/>
              </w:rPr>
            </w:pPr>
            <w:r w:rsidRPr="00F478DF">
              <w:rPr>
                <w:rFonts w:eastAsia="Times New Roman" w:cs="Times New Roman"/>
                <w:color w:val="000000"/>
                <w:sz w:val="20"/>
                <w:szCs w:val="20"/>
              </w:rPr>
              <w:t>Duquesne</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$21.67</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$43.80</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$44.62</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$45.45</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$46.30</w:t>
            </w:r>
          </w:p>
        </w:tc>
      </w:tr>
      <w:tr w:rsidR="00C02815" w:rsidRPr="00F478DF" w:rsidTr="00C04D12">
        <w:trPr>
          <w:trHeight w:val="346"/>
        </w:trPr>
        <w:tc>
          <w:tcPr>
            <w:tcW w:w="1560" w:type="dxa"/>
            <w:tcBorders>
              <w:top w:val="nil"/>
              <w:left w:val="single" w:sz="8" w:space="0" w:color="448A99"/>
              <w:bottom w:val="single" w:sz="8" w:space="0" w:color="448A99"/>
              <w:right w:val="single" w:sz="8" w:space="0" w:color="448A99"/>
            </w:tcBorders>
            <w:shd w:val="clear" w:color="auto" w:fill="auto"/>
            <w:noWrap/>
            <w:vAlign w:val="bottom"/>
            <w:hideMark/>
          </w:tcPr>
          <w:p w:rsidR="00C02815" w:rsidRPr="00F478DF" w:rsidRDefault="00C02815" w:rsidP="00A83ABC">
            <w:pPr>
              <w:jc w:val="left"/>
              <w:rPr>
                <w:rFonts w:eastAsia="Times New Roman" w:cs="Times New Roman"/>
                <w:color w:val="000000"/>
                <w:sz w:val="20"/>
                <w:szCs w:val="20"/>
              </w:rPr>
            </w:pPr>
            <w:r w:rsidRPr="00F478DF">
              <w:rPr>
                <w:rFonts w:eastAsia="Times New Roman" w:cs="Times New Roman"/>
                <w:color w:val="000000"/>
                <w:sz w:val="20"/>
                <w:szCs w:val="20"/>
              </w:rPr>
              <w:t>FE: Met-Ed</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$43.48</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$43.80</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$44.62</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$45.45</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$46.30</w:t>
            </w:r>
          </w:p>
        </w:tc>
      </w:tr>
      <w:tr w:rsidR="00C02815" w:rsidRPr="00F478DF" w:rsidTr="00C04D12">
        <w:trPr>
          <w:trHeight w:val="346"/>
        </w:trPr>
        <w:tc>
          <w:tcPr>
            <w:tcW w:w="1560" w:type="dxa"/>
            <w:tcBorders>
              <w:top w:val="nil"/>
              <w:left w:val="single" w:sz="8" w:space="0" w:color="448A99"/>
              <w:bottom w:val="single" w:sz="8" w:space="0" w:color="448A99"/>
              <w:right w:val="single" w:sz="8" w:space="0" w:color="448A99"/>
            </w:tcBorders>
            <w:shd w:val="clear" w:color="000000" w:fill="D2EAF1"/>
            <w:noWrap/>
            <w:vAlign w:val="bottom"/>
            <w:hideMark/>
          </w:tcPr>
          <w:p w:rsidR="00C02815" w:rsidRPr="00F478DF" w:rsidRDefault="00C02815" w:rsidP="00A83ABC">
            <w:pPr>
              <w:jc w:val="left"/>
              <w:rPr>
                <w:rFonts w:eastAsia="Times New Roman" w:cs="Times New Roman"/>
                <w:color w:val="000000"/>
                <w:sz w:val="20"/>
                <w:szCs w:val="20"/>
              </w:rPr>
            </w:pPr>
            <w:r w:rsidRPr="00F478DF">
              <w:rPr>
                <w:rFonts w:eastAsia="Times New Roman" w:cs="Times New Roman"/>
                <w:color w:val="000000"/>
                <w:sz w:val="20"/>
                <w:szCs w:val="20"/>
              </w:rPr>
              <w:t>FE: Penelec</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$43.48</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$43.80</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$44.62</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$45.45</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$46.30</w:t>
            </w:r>
          </w:p>
        </w:tc>
      </w:tr>
      <w:tr w:rsidR="00C02815" w:rsidRPr="00F478DF" w:rsidTr="00C04D12">
        <w:trPr>
          <w:trHeight w:val="346"/>
        </w:trPr>
        <w:tc>
          <w:tcPr>
            <w:tcW w:w="1560" w:type="dxa"/>
            <w:tcBorders>
              <w:top w:val="nil"/>
              <w:left w:val="single" w:sz="8" w:space="0" w:color="448A99"/>
              <w:bottom w:val="single" w:sz="8" w:space="0" w:color="448A99"/>
              <w:right w:val="single" w:sz="8" w:space="0" w:color="448A99"/>
            </w:tcBorders>
            <w:shd w:val="clear" w:color="auto" w:fill="auto"/>
            <w:noWrap/>
            <w:vAlign w:val="bottom"/>
            <w:hideMark/>
          </w:tcPr>
          <w:p w:rsidR="00C02815" w:rsidRPr="00F478DF" w:rsidRDefault="00C02815" w:rsidP="00A83ABC">
            <w:pPr>
              <w:jc w:val="left"/>
              <w:rPr>
                <w:rFonts w:eastAsia="Times New Roman" w:cs="Times New Roman"/>
                <w:color w:val="000000"/>
                <w:sz w:val="20"/>
                <w:szCs w:val="20"/>
              </w:rPr>
            </w:pPr>
            <w:r w:rsidRPr="00F478DF">
              <w:rPr>
                <w:rFonts w:eastAsia="Times New Roman" w:cs="Times New Roman"/>
                <w:color w:val="000000"/>
                <w:sz w:val="20"/>
                <w:szCs w:val="20"/>
              </w:rPr>
              <w:t>FE: Penn Power</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$41.69</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$43.80</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$44.62</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$45.45</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$46.30</w:t>
            </w:r>
          </w:p>
        </w:tc>
      </w:tr>
      <w:tr w:rsidR="00C02815" w:rsidRPr="00F478DF" w:rsidTr="00C04D12">
        <w:trPr>
          <w:trHeight w:val="346"/>
        </w:trPr>
        <w:tc>
          <w:tcPr>
            <w:tcW w:w="1560" w:type="dxa"/>
            <w:tcBorders>
              <w:top w:val="nil"/>
              <w:left w:val="single" w:sz="8" w:space="0" w:color="448A99"/>
              <w:bottom w:val="single" w:sz="8" w:space="0" w:color="448A99"/>
              <w:right w:val="single" w:sz="8" w:space="0" w:color="448A99"/>
            </w:tcBorders>
            <w:shd w:val="clear" w:color="000000" w:fill="D2EAF1"/>
            <w:noWrap/>
            <w:vAlign w:val="bottom"/>
            <w:hideMark/>
          </w:tcPr>
          <w:p w:rsidR="00C02815" w:rsidRPr="00F478DF" w:rsidRDefault="00C02815" w:rsidP="00A83ABC">
            <w:pPr>
              <w:jc w:val="left"/>
              <w:rPr>
                <w:rFonts w:eastAsia="Times New Roman" w:cs="Times New Roman"/>
                <w:color w:val="000000"/>
                <w:sz w:val="20"/>
                <w:szCs w:val="20"/>
              </w:rPr>
            </w:pPr>
            <w:r w:rsidRPr="00F478DF">
              <w:rPr>
                <w:rFonts w:eastAsia="Times New Roman" w:cs="Times New Roman"/>
                <w:color w:val="000000"/>
                <w:sz w:val="20"/>
                <w:szCs w:val="20"/>
              </w:rPr>
              <w:t>FE: West Penn</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$21.67</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$43.80</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$44.62</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$45.45</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$46.30</w:t>
            </w:r>
          </w:p>
        </w:tc>
      </w:tr>
      <w:tr w:rsidR="00C02815" w:rsidRPr="00F478DF" w:rsidTr="00C04D12">
        <w:trPr>
          <w:trHeight w:val="346"/>
        </w:trPr>
        <w:tc>
          <w:tcPr>
            <w:tcW w:w="1560" w:type="dxa"/>
            <w:tcBorders>
              <w:top w:val="nil"/>
              <w:left w:val="single" w:sz="8" w:space="0" w:color="448A99"/>
              <w:bottom w:val="single" w:sz="8" w:space="0" w:color="448A99"/>
              <w:right w:val="single" w:sz="8" w:space="0" w:color="448A99"/>
            </w:tcBorders>
            <w:shd w:val="clear" w:color="auto" w:fill="auto"/>
            <w:noWrap/>
            <w:vAlign w:val="bottom"/>
            <w:hideMark/>
          </w:tcPr>
          <w:p w:rsidR="00C02815" w:rsidRPr="00F478DF" w:rsidRDefault="00C02815" w:rsidP="00A83ABC">
            <w:pPr>
              <w:jc w:val="left"/>
              <w:rPr>
                <w:rFonts w:eastAsia="Times New Roman" w:cs="Times New Roman"/>
                <w:color w:val="000000"/>
                <w:sz w:val="20"/>
                <w:szCs w:val="20"/>
              </w:rPr>
            </w:pPr>
            <w:r w:rsidRPr="00F478DF">
              <w:rPr>
                <w:rFonts w:eastAsia="Times New Roman" w:cs="Times New Roman"/>
                <w:color w:val="000000"/>
                <w:sz w:val="20"/>
                <w:szCs w:val="20"/>
              </w:rPr>
              <w:t>PECO</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$43.48</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$43.80</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$44.62</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$45.45</w:t>
            </w:r>
          </w:p>
        </w:tc>
        <w:tc>
          <w:tcPr>
            <w:tcW w:w="1527" w:type="dxa"/>
            <w:tcBorders>
              <w:top w:val="nil"/>
              <w:left w:val="nil"/>
              <w:bottom w:val="single" w:sz="8" w:space="0" w:color="448A99"/>
              <w:right w:val="single" w:sz="8" w:space="0" w:color="448A99"/>
            </w:tcBorders>
            <w:shd w:val="clear" w:color="auto" w:fill="auto"/>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$46.30</w:t>
            </w:r>
          </w:p>
        </w:tc>
      </w:tr>
      <w:tr w:rsidR="00C02815" w:rsidRPr="00F478DF" w:rsidTr="00C04D12">
        <w:trPr>
          <w:trHeight w:val="346"/>
        </w:trPr>
        <w:tc>
          <w:tcPr>
            <w:tcW w:w="1560" w:type="dxa"/>
            <w:tcBorders>
              <w:top w:val="nil"/>
              <w:left w:val="single" w:sz="8" w:space="0" w:color="448A99"/>
              <w:bottom w:val="single" w:sz="8" w:space="0" w:color="448A99"/>
              <w:right w:val="single" w:sz="8" w:space="0" w:color="448A99"/>
            </w:tcBorders>
            <w:shd w:val="clear" w:color="000000" w:fill="D2EAF1"/>
            <w:noWrap/>
            <w:vAlign w:val="bottom"/>
            <w:hideMark/>
          </w:tcPr>
          <w:p w:rsidR="00C02815" w:rsidRPr="00F478DF" w:rsidRDefault="00C02815" w:rsidP="00A83ABC">
            <w:pPr>
              <w:jc w:val="left"/>
              <w:rPr>
                <w:rFonts w:eastAsia="Times New Roman" w:cs="Times New Roman"/>
                <w:color w:val="000000"/>
                <w:sz w:val="20"/>
                <w:szCs w:val="20"/>
              </w:rPr>
            </w:pPr>
            <w:r w:rsidRPr="00F478DF">
              <w:rPr>
                <w:rFonts w:eastAsia="Times New Roman" w:cs="Times New Roman"/>
                <w:color w:val="000000"/>
                <w:sz w:val="20"/>
                <w:szCs w:val="20"/>
              </w:rPr>
              <w:t>PPL</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$43.48</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$43.80</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$44.62</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$45.45</w:t>
            </w:r>
          </w:p>
        </w:tc>
        <w:tc>
          <w:tcPr>
            <w:tcW w:w="1527" w:type="dxa"/>
            <w:tcBorders>
              <w:top w:val="nil"/>
              <w:left w:val="nil"/>
              <w:bottom w:val="single" w:sz="8" w:space="0" w:color="448A99"/>
              <w:right w:val="single" w:sz="8" w:space="0" w:color="448A99"/>
            </w:tcBorders>
            <w:shd w:val="clear" w:color="000000" w:fill="D2EAF1"/>
            <w:vAlign w:val="center"/>
            <w:hideMark/>
          </w:tcPr>
          <w:p w:rsidR="00C02815" w:rsidRPr="00F478DF" w:rsidRDefault="00C02815" w:rsidP="00A83ABC">
            <w:pPr>
              <w:jc w:val="center"/>
              <w:rPr>
                <w:rFonts w:eastAsia="Times New Roman" w:cs="Times New Roman"/>
                <w:color w:val="000000"/>
                <w:sz w:val="20"/>
                <w:szCs w:val="20"/>
              </w:rPr>
            </w:pPr>
            <w:r w:rsidRPr="00F478DF">
              <w:rPr>
                <w:rFonts w:eastAsia="Times New Roman" w:cs="Times New Roman"/>
                <w:color w:val="000000"/>
                <w:sz w:val="20"/>
                <w:szCs w:val="20"/>
              </w:rPr>
              <w:t>$46.30</w:t>
            </w:r>
          </w:p>
        </w:tc>
      </w:tr>
    </w:tbl>
    <w:p w:rsidR="00AE1BCE" w:rsidRDefault="00AE1BCE" w:rsidP="00A83ABC"/>
    <w:p w:rsidR="00502F9F" w:rsidRDefault="00502F9F" w:rsidP="00A83ABC">
      <w:r>
        <w:t xml:space="preserve">When modeling the benefits of </w:t>
      </w:r>
      <w:r w:rsidR="00037A03">
        <w:t>DR</w:t>
      </w:r>
      <w:r>
        <w:t xml:space="preserve">, the SWE </w:t>
      </w:r>
      <w:r w:rsidR="00085C85">
        <w:t>T</w:t>
      </w:r>
      <w:r>
        <w:t xml:space="preserve">eam multiplied the average expected kW reduction in each program year by the avoided cost of generation capacity values in </w:t>
      </w:r>
      <w:r>
        <w:fldChar w:fldCharType="begin"/>
      </w:r>
      <w:r>
        <w:instrText xml:space="preserve"> REF _Ref405549933 \h </w:instrText>
      </w:r>
      <w:r w:rsidR="00CF2BE5">
        <w:instrText xml:space="preserve"> \* MERGEFORMAT </w:instrText>
      </w:r>
      <w:r>
        <w:fldChar w:fldCharType="separate"/>
      </w:r>
      <w:r w:rsidR="00803DBE" w:rsidRPr="004421F6">
        <w:t xml:space="preserve">Table </w:t>
      </w:r>
      <w:r w:rsidR="00803DBE">
        <w:rPr>
          <w:noProof/>
        </w:rPr>
        <w:t>2</w:t>
      </w:r>
      <w:r w:rsidR="00803DBE">
        <w:rPr>
          <w:noProof/>
        </w:rPr>
        <w:noBreakHyphen/>
        <w:t>4</w:t>
      </w:r>
      <w:r>
        <w:fldChar w:fldCharType="end"/>
      </w:r>
      <w:r>
        <w:t xml:space="preserve">. The mechanics of the calculations highlights a critical assumption of the study. We are assuming that each kW of observed load reduction from an Act 129 </w:t>
      </w:r>
      <w:r w:rsidR="00037A03">
        <w:t>DR</w:t>
      </w:r>
      <w:r>
        <w:t xml:space="preserve"> program will lower PJM’s summer peak load forecast and subsequent reliability requirement by 1 kW in a future delivery year. The SWE </w:t>
      </w:r>
      <w:r w:rsidR="00085C85">
        <w:t>T</w:t>
      </w:r>
      <w:r>
        <w:t>eam discussed this assumption with PJM staff during a July 2, 2014 teleconference and confirmed that Act 129 DR events would place downward pressure on PJM’s peak load forecast, although PJM staff declined to comment on the appropriateness</w:t>
      </w:r>
      <w:r w:rsidR="00085C85">
        <w:t xml:space="preserve"> of the</w:t>
      </w:r>
      <w:r>
        <w:t xml:space="preserve"> 1:1 approach utilized in this study. </w:t>
      </w:r>
      <w:r w:rsidR="00492395">
        <w:t xml:space="preserve">The PJM peak load forecast is </w:t>
      </w:r>
      <w:r w:rsidR="00085C85">
        <w:t xml:space="preserve">a </w:t>
      </w:r>
      <w:r w:rsidR="00492395">
        <w:t>complex econometric model</w:t>
      </w:r>
      <w:r w:rsidR="00F93329">
        <w:t>,</w:t>
      </w:r>
      <w:r w:rsidR="00492395">
        <w:t xml:space="preserve"> so in practice a 1 kW reduction in 2016 could lower the forecast by less than 1 kW in a given year, but reductions in a single summer could also affect the forecast for </w:t>
      </w:r>
      <w:r w:rsidR="009D318D">
        <w:t xml:space="preserve">multiple </w:t>
      </w:r>
      <w:r w:rsidR="00492395">
        <w:t xml:space="preserve">delivery years. </w:t>
      </w:r>
    </w:p>
    <w:p w:rsidR="00AE1BCE" w:rsidRDefault="00AE1BCE" w:rsidP="00A83ABC"/>
    <w:p w:rsidR="00BB79A3" w:rsidRDefault="005B2E48" w:rsidP="00A83ABC">
      <w:r>
        <w:t xml:space="preserve">The capital costs of supply expansion may also include costs associated with expanding </w:t>
      </w:r>
      <w:r w:rsidR="00AD2C38">
        <w:t>T&amp;D</w:t>
      </w:r>
      <w:r>
        <w:t xml:space="preserve"> </w:t>
      </w:r>
      <w:r w:rsidR="00B8640C">
        <w:t>infrastructu</w:t>
      </w:r>
      <w:r w:rsidR="00526DF1">
        <w:t>r</w:t>
      </w:r>
      <w:r w:rsidR="00B8640C">
        <w:t>e</w:t>
      </w:r>
      <w:r>
        <w:t>.</w:t>
      </w:r>
      <w:r w:rsidR="001A768D">
        <w:t xml:space="preserve"> </w:t>
      </w:r>
      <w:r w:rsidR="00526DF1">
        <w:t xml:space="preserve">In Phase I and Phase II of Act 129, avoided T&amp;D benefits were expressed on a $/kWh </w:t>
      </w:r>
      <w:r w:rsidR="00526DF1">
        <w:lastRenderedPageBreak/>
        <w:t xml:space="preserve">basis. One implication of this approach is that </w:t>
      </w:r>
      <w:r w:rsidR="00037A03">
        <w:t>DR</w:t>
      </w:r>
      <w:r w:rsidR="00526DF1">
        <w:t xml:space="preserve"> programs, which save peak kW, but typically not any net kWh, will receive no monetary benefits in a TRC calculation. The SWE </w:t>
      </w:r>
      <w:r w:rsidR="0045410E">
        <w:t xml:space="preserve">Team </w:t>
      </w:r>
      <w:r w:rsidR="00526DF1">
        <w:t xml:space="preserve">and TUS staff believe that valuing expansion of T&amp;D infrastructure on a $/kW basis is more appropriate and consistent with most other jurisdictions. </w:t>
      </w:r>
      <w:r>
        <w:t>The</w:t>
      </w:r>
      <w:r w:rsidR="00526DF1">
        <w:t xml:space="preserve"> SWE</w:t>
      </w:r>
      <w:r w:rsidR="0045410E">
        <w:t xml:space="preserve"> Team</w:t>
      </w:r>
      <w:r w:rsidR="00526DF1">
        <w:t xml:space="preserve">’s </w:t>
      </w:r>
      <w:r w:rsidR="00D1152B">
        <w:t xml:space="preserve">estimates of Phase III potential rely on </w:t>
      </w:r>
      <w:r w:rsidR="00526DF1">
        <w:t xml:space="preserve">avoided </w:t>
      </w:r>
      <w:r w:rsidR="00D1152B">
        <w:t xml:space="preserve">T&amp;D costs calculated from </w:t>
      </w:r>
      <w:r w:rsidR="00526DF1">
        <w:t>capital budgets and project-by-project determinations of the reason for the expenditure provided by the EDCs</w:t>
      </w:r>
      <w:r w:rsidR="00D1152B">
        <w:t>.</w:t>
      </w:r>
      <w:r w:rsidR="00526DF1">
        <w:t xml:space="preserve"> Additional detail on the SWE</w:t>
      </w:r>
      <w:r w:rsidR="0045410E">
        <w:t xml:space="preserve"> Team</w:t>
      </w:r>
      <w:r w:rsidR="00526DF1">
        <w:t xml:space="preserve">’s calculations of avoided T&amp;D capacity costs are presented in </w:t>
      </w:r>
      <w:r w:rsidR="00933579" w:rsidRPr="00933579">
        <w:t xml:space="preserve">Section </w:t>
      </w:r>
      <w:r w:rsidR="00933579" w:rsidRPr="00933579">
        <w:fldChar w:fldCharType="begin"/>
      </w:r>
      <w:r w:rsidR="00933579" w:rsidRPr="00933579">
        <w:instrText xml:space="preserve"> REF _Ref406614169 \r \h </w:instrText>
      </w:r>
      <w:r w:rsidR="00933579">
        <w:instrText xml:space="preserve"> \* MERGEFORMAT </w:instrText>
      </w:r>
      <w:r w:rsidR="00933579" w:rsidRPr="00933579">
        <w:fldChar w:fldCharType="separate"/>
      </w:r>
      <w:r w:rsidR="00803DBE">
        <w:t>2.8</w:t>
      </w:r>
      <w:r w:rsidR="00933579" w:rsidRPr="00933579">
        <w:fldChar w:fldCharType="end"/>
      </w:r>
      <w:r w:rsidR="00526DF1">
        <w:t>.</w:t>
      </w:r>
    </w:p>
    <w:p w:rsidR="00AE1BCE" w:rsidRDefault="00AE1BCE" w:rsidP="00A83ABC"/>
    <w:p w:rsidR="00B8640C" w:rsidRDefault="00B8640C" w:rsidP="00A83ABC">
      <w:r w:rsidRPr="00B8640C">
        <w:t xml:space="preserve">All else equal, as long as the cost per unit of </w:t>
      </w:r>
      <w:r w:rsidR="00526DF1">
        <w:t xml:space="preserve">acquiring </w:t>
      </w:r>
      <w:r w:rsidR="00037A03">
        <w:t>DR</w:t>
      </w:r>
      <w:r w:rsidRPr="00B8640C">
        <w:t xml:space="preserve"> capacity is lower than these capacity costs, the economy would benefit from reducing demand rather than increasing supply. Avoiding the costs associated with supply expansion would liberate capital that could be put to more valuable uses.</w:t>
      </w:r>
    </w:p>
    <w:p w:rsidR="00AE1BCE" w:rsidRPr="00B8640C" w:rsidRDefault="00AE1BCE" w:rsidP="00A83ABC"/>
    <w:p w:rsidR="009009A1" w:rsidRPr="009009A1" w:rsidRDefault="009009A1" w:rsidP="00A83ABC">
      <w:pPr>
        <w:pStyle w:val="Heading3"/>
      </w:pPr>
      <w:bookmarkStart w:id="83" w:name="_Toc412628385"/>
      <w:r>
        <w:t>Program Costs</w:t>
      </w:r>
      <w:bookmarkEnd w:id="83"/>
    </w:p>
    <w:bookmarkEnd w:id="74"/>
    <w:bookmarkEnd w:id="75"/>
    <w:bookmarkEnd w:id="76"/>
    <w:p w:rsidR="006829BC" w:rsidRPr="00416641" w:rsidRDefault="006829BC" w:rsidP="00A83ABC">
      <w:pPr>
        <w:pStyle w:val="Heading4"/>
      </w:pPr>
      <w:r w:rsidRPr="00416641">
        <w:t>Residential programs</w:t>
      </w:r>
      <w:r w:rsidR="00707BF0" w:rsidRPr="00416641">
        <w:t xml:space="preserve">  </w:t>
      </w:r>
    </w:p>
    <w:p w:rsidR="003901B6" w:rsidRDefault="003901B6" w:rsidP="00A83ABC">
      <w:pPr>
        <w:rPr>
          <w:rFonts w:eastAsia="Times New Roman" w:cs="Garamond"/>
        </w:rPr>
      </w:pPr>
      <w:r>
        <w:rPr>
          <w:rFonts w:eastAsia="Times New Roman" w:cs="Garamond"/>
        </w:rPr>
        <w:t xml:space="preserve">For the residential </w:t>
      </w:r>
      <w:r w:rsidR="00037A03">
        <w:rPr>
          <w:rFonts w:eastAsia="Times New Roman" w:cs="Garamond"/>
        </w:rPr>
        <w:t>DR</w:t>
      </w:r>
      <w:r>
        <w:rPr>
          <w:rFonts w:eastAsia="Times New Roman" w:cs="Garamond"/>
        </w:rPr>
        <w:t xml:space="preserve"> programs, the costs of </w:t>
      </w:r>
      <w:r w:rsidR="00707BF0">
        <w:rPr>
          <w:rFonts w:eastAsia="Times New Roman" w:cs="Garamond"/>
        </w:rPr>
        <w:t>load</w:t>
      </w:r>
      <w:r>
        <w:rPr>
          <w:rFonts w:eastAsia="Times New Roman" w:cs="Garamond"/>
        </w:rPr>
        <w:t xml:space="preserve"> control switches and switch installation costs are based on the SWE</w:t>
      </w:r>
      <w:r w:rsidR="0045410E">
        <w:rPr>
          <w:rFonts w:eastAsia="Times New Roman" w:cs="Garamond"/>
        </w:rPr>
        <w:t xml:space="preserve"> </w:t>
      </w:r>
      <w:r w:rsidR="0045410E">
        <w:t>Team</w:t>
      </w:r>
      <w:r>
        <w:rPr>
          <w:rFonts w:eastAsia="Times New Roman" w:cs="Garamond"/>
        </w:rPr>
        <w:t xml:space="preserve">’s review of data supplied by the EDCs and by equipment suppliers. The costs for program administration, marketing and incentives (for program participants) are based on actual costs experienced from the Phase I residential </w:t>
      </w:r>
      <w:r w:rsidR="00037A03">
        <w:rPr>
          <w:rFonts w:eastAsia="Times New Roman" w:cs="Garamond"/>
        </w:rPr>
        <w:t>DR</w:t>
      </w:r>
      <w:r>
        <w:rPr>
          <w:rFonts w:eastAsia="Times New Roman" w:cs="Garamond"/>
        </w:rPr>
        <w:t xml:space="preserve"> programs. Non-incentive program costs are based on observation, experience, and professional judgment</w:t>
      </w:r>
      <w:r w:rsidR="00064F02">
        <w:rPr>
          <w:rFonts w:eastAsia="Times New Roman" w:cs="Garamond"/>
        </w:rPr>
        <w:t xml:space="preserve">. Additional information on the data sources used to develop program costs for residential </w:t>
      </w:r>
      <w:r w:rsidR="00037A03">
        <w:rPr>
          <w:rFonts w:eastAsia="Times New Roman" w:cs="Garamond"/>
        </w:rPr>
        <w:t>DR</w:t>
      </w:r>
      <w:r w:rsidR="00064F02">
        <w:rPr>
          <w:rFonts w:eastAsia="Times New Roman" w:cs="Garamond"/>
        </w:rPr>
        <w:t xml:space="preserve"> programs is provided in </w:t>
      </w:r>
      <w:r w:rsidR="00416641">
        <w:rPr>
          <w:rFonts w:eastAsia="Times New Roman" w:cs="Garamond"/>
        </w:rPr>
        <w:t xml:space="preserve">Section </w:t>
      </w:r>
      <w:r w:rsidR="00416641">
        <w:rPr>
          <w:rFonts w:eastAsia="Times New Roman" w:cs="Garamond"/>
        </w:rPr>
        <w:fldChar w:fldCharType="begin"/>
      </w:r>
      <w:r w:rsidR="00416641">
        <w:rPr>
          <w:rFonts w:eastAsia="Times New Roman" w:cs="Garamond"/>
        </w:rPr>
        <w:instrText xml:space="preserve"> REF _Ref408569155 \n \h </w:instrText>
      </w:r>
      <w:r w:rsidR="00416641">
        <w:rPr>
          <w:rFonts w:eastAsia="Times New Roman" w:cs="Garamond"/>
        </w:rPr>
      </w:r>
      <w:r w:rsidR="00416641">
        <w:rPr>
          <w:rFonts w:eastAsia="Times New Roman" w:cs="Garamond"/>
        </w:rPr>
        <w:fldChar w:fldCharType="separate"/>
      </w:r>
      <w:r w:rsidR="00803DBE">
        <w:rPr>
          <w:rFonts w:eastAsia="Times New Roman" w:cs="Garamond"/>
        </w:rPr>
        <w:t>4</w:t>
      </w:r>
      <w:r w:rsidR="00416641">
        <w:rPr>
          <w:rFonts w:eastAsia="Times New Roman" w:cs="Garamond"/>
        </w:rPr>
        <w:fldChar w:fldCharType="end"/>
      </w:r>
      <w:r w:rsidR="00064F02">
        <w:rPr>
          <w:rFonts w:eastAsia="Times New Roman" w:cs="Garamond"/>
        </w:rPr>
        <w:t xml:space="preserve"> of this report.</w:t>
      </w:r>
      <w:r>
        <w:rPr>
          <w:rFonts w:eastAsia="Times New Roman" w:cs="Garamond"/>
        </w:rPr>
        <w:t xml:space="preserve"> </w:t>
      </w:r>
    </w:p>
    <w:p w:rsidR="003901B6" w:rsidRDefault="003901B6" w:rsidP="00A83ABC">
      <w:pPr>
        <w:rPr>
          <w:rFonts w:eastAsia="Times New Roman" w:cs="Garamond"/>
        </w:rPr>
      </w:pPr>
    </w:p>
    <w:p w:rsidR="00416641" w:rsidRDefault="003901B6" w:rsidP="00A83ABC">
      <w:pPr>
        <w:pStyle w:val="Heading4"/>
      </w:pPr>
      <w:r>
        <w:t>Comm</w:t>
      </w:r>
      <w:r w:rsidR="00416641">
        <w:t xml:space="preserve">ercial and </w:t>
      </w:r>
      <w:r w:rsidR="008D678D">
        <w:t>I</w:t>
      </w:r>
      <w:r w:rsidR="00416641">
        <w:t>ndustrial programs</w:t>
      </w:r>
    </w:p>
    <w:p w:rsidR="0082456D" w:rsidRDefault="00416641" w:rsidP="00A83ABC">
      <w:pPr>
        <w:rPr>
          <w:rFonts w:eastAsia="Times New Roman" w:cs="Garamond"/>
        </w:rPr>
      </w:pPr>
      <w:r>
        <w:rPr>
          <w:rFonts w:eastAsia="Times New Roman" w:cs="Garamond"/>
        </w:rPr>
        <w:t xml:space="preserve">For the hypothetical </w:t>
      </w:r>
      <w:r w:rsidR="00985548">
        <w:rPr>
          <w:rFonts w:eastAsia="Times New Roman" w:cs="Garamond"/>
        </w:rPr>
        <w:t>l</w:t>
      </w:r>
      <w:r w:rsidR="008D678D">
        <w:rPr>
          <w:rFonts w:eastAsia="Times New Roman" w:cs="Garamond"/>
        </w:rPr>
        <w:t xml:space="preserve">arge </w:t>
      </w:r>
      <w:r>
        <w:rPr>
          <w:rFonts w:eastAsia="Times New Roman" w:cs="Garamond"/>
        </w:rPr>
        <w:t xml:space="preserve">C&amp;I we used cost information reported by the EDCs from Phase I. We employ a top-down approach that examines the proportion of program administration costs to total program cost for each EDC. The range of administrative costs as a share of total costs varied slightly by EDC in Phase I. We elected to employ the average value of 15% for each EDC in this study. For example, if a modeled EDC load curtailment program has $850,000 in incentive costs, an additional $150,000 in non-incentive costs is included to account for costs related to program marketing, administration, </w:t>
      </w:r>
      <w:r w:rsidR="003E2CE0">
        <w:rPr>
          <w:rFonts w:eastAsia="Times New Roman" w:cs="Garamond"/>
        </w:rPr>
        <w:t>Conservation Service Provider (</w:t>
      </w:r>
      <w:r>
        <w:rPr>
          <w:rFonts w:eastAsia="Times New Roman" w:cs="Garamond"/>
        </w:rPr>
        <w:t>CSP</w:t>
      </w:r>
      <w:r w:rsidR="003E2CE0">
        <w:rPr>
          <w:rFonts w:eastAsia="Times New Roman" w:cs="Garamond"/>
        </w:rPr>
        <w:t>)</w:t>
      </w:r>
      <w:r>
        <w:rPr>
          <w:rFonts w:eastAsia="Times New Roman" w:cs="Garamond"/>
        </w:rPr>
        <w:t xml:space="preserve"> fees, and evaluation.</w:t>
      </w:r>
    </w:p>
    <w:p w:rsidR="002E05C6" w:rsidRDefault="002E05C6" w:rsidP="00A83ABC">
      <w:pPr>
        <w:rPr>
          <w:rFonts w:eastAsia="Times New Roman" w:cs="Garamond"/>
        </w:rPr>
      </w:pPr>
    </w:p>
    <w:p w:rsidR="002E05C6" w:rsidRDefault="002E05C6" w:rsidP="00A83ABC">
      <w:pPr>
        <w:rPr>
          <w:rFonts w:eastAsia="Times New Roman" w:cs="Garamond"/>
        </w:rPr>
      </w:pPr>
      <w:r>
        <w:rPr>
          <w:rFonts w:eastAsia="Times New Roman" w:cs="Garamond"/>
        </w:rPr>
        <w:t xml:space="preserve">Small </w:t>
      </w:r>
      <w:r w:rsidR="003E2CE0">
        <w:rPr>
          <w:rFonts w:eastAsia="Times New Roman" w:cs="Garamond"/>
        </w:rPr>
        <w:t>c</w:t>
      </w:r>
      <w:r>
        <w:rPr>
          <w:rFonts w:eastAsia="Times New Roman" w:cs="Garamond"/>
        </w:rPr>
        <w:t>ommercial DLC program costs were developed using a more bottom-up approach.</w:t>
      </w:r>
    </w:p>
    <w:p w:rsidR="00D72A69" w:rsidRPr="0082456D" w:rsidRDefault="00D72A69" w:rsidP="00A83ABC">
      <w:pPr>
        <w:rPr>
          <w:rFonts w:eastAsia="Times New Roman" w:cs="Garamond"/>
        </w:rPr>
      </w:pPr>
    </w:p>
    <w:p w:rsidR="0082456D" w:rsidRDefault="00037A03" w:rsidP="00A83ABC">
      <w:pPr>
        <w:pStyle w:val="Heading2"/>
      </w:pPr>
      <w:bookmarkStart w:id="84" w:name="_Ref406506016"/>
      <w:bookmarkStart w:id="85" w:name="_Toc412628386"/>
      <w:r>
        <w:t>DR</w:t>
      </w:r>
      <w:r w:rsidR="0082456D">
        <w:t xml:space="preserve"> P</w:t>
      </w:r>
      <w:r w:rsidR="00D67E45">
        <w:t>rogram Design</w:t>
      </w:r>
      <w:bookmarkEnd w:id="84"/>
      <w:bookmarkEnd w:id="85"/>
    </w:p>
    <w:p w:rsidR="00D67E45" w:rsidRDefault="00D67E45" w:rsidP="00A83ABC">
      <w:pPr>
        <w:spacing w:after="120"/>
      </w:pPr>
      <w:r>
        <w:t xml:space="preserve">In order to evaluate </w:t>
      </w:r>
      <w:r w:rsidR="00037A03">
        <w:t>DR</w:t>
      </w:r>
      <w:r>
        <w:t xml:space="preserve"> potential for Phase III of Act 129, the SWE</w:t>
      </w:r>
      <w:r w:rsidR="0045410E">
        <w:t xml:space="preserve"> Team</w:t>
      </w:r>
      <w:r>
        <w:t xml:space="preserve"> had to make assumptions about </w:t>
      </w:r>
      <w:r w:rsidR="00382C39">
        <w:t xml:space="preserve">the </w:t>
      </w:r>
      <w:r>
        <w:t>program design</w:t>
      </w:r>
      <w:r w:rsidR="00382C39">
        <w:t xml:space="preserve"> that would be implemented</w:t>
      </w:r>
      <w:r>
        <w:t xml:space="preserve">. </w:t>
      </w:r>
      <w:r w:rsidR="00382C39">
        <w:t>The Top 100 hours construct implemented in Phase I of Act 129 proved problematic</w:t>
      </w:r>
      <w:r w:rsidR="0060408E">
        <w:t>, therefore</w:t>
      </w:r>
      <w:r w:rsidR="00382C39">
        <w:t xml:space="preserve"> the SWE</w:t>
      </w:r>
      <w:r w:rsidR="0045410E">
        <w:t xml:space="preserve"> Team</w:t>
      </w:r>
      <w:r w:rsidR="00382C39">
        <w:t xml:space="preserve"> elected to consider alternate designs that we felt were more likely to produce a </w:t>
      </w:r>
      <w:r w:rsidR="00CE0565">
        <w:t>cost-effective</w:t>
      </w:r>
      <w:r w:rsidR="00382C39">
        <w:t xml:space="preserve"> program. </w:t>
      </w:r>
      <w:r>
        <w:t>Key program design parameters that affect DR potential include:</w:t>
      </w:r>
    </w:p>
    <w:p w:rsidR="00A10B6E" w:rsidRDefault="00A10B6E" w:rsidP="00A83ABC">
      <w:pPr>
        <w:pStyle w:val="ListParagraph"/>
        <w:numPr>
          <w:ilvl w:val="0"/>
          <w:numId w:val="8"/>
        </w:numPr>
        <w:ind w:left="360"/>
      </w:pPr>
      <w:r>
        <w:t xml:space="preserve">The expected number of events per year </w:t>
      </w:r>
    </w:p>
    <w:p w:rsidR="00A10B6E" w:rsidRDefault="00A10B6E" w:rsidP="00A83ABC">
      <w:pPr>
        <w:pStyle w:val="ListParagraph"/>
        <w:numPr>
          <w:ilvl w:val="0"/>
          <w:numId w:val="8"/>
        </w:numPr>
        <w:ind w:left="360"/>
      </w:pPr>
      <w:r>
        <w:t xml:space="preserve">The duration of events </w:t>
      </w:r>
    </w:p>
    <w:p w:rsidR="00A10B6E" w:rsidRDefault="00A10B6E" w:rsidP="00A83ABC">
      <w:pPr>
        <w:pStyle w:val="ListParagraph"/>
        <w:numPr>
          <w:ilvl w:val="0"/>
          <w:numId w:val="8"/>
        </w:numPr>
        <w:ind w:left="360"/>
      </w:pPr>
      <w:r>
        <w:t xml:space="preserve">The season and time of day the events occur </w:t>
      </w:r>
    </w:p>
    <w:p w:rsidR="00A10B6E" w:rsidRDefault="00A10B6E" w:rsidP="00A83ABC">
      <w:pPr>
        <w:pStyle w:val="ListParagraph"/>
        <w:numPr>
          <w:ilvl w:val="0"/>
          <w:numId w:val="8"/>
        </w:numPr>
        <w:ind w:left="360"/>
      </w:pPr>
      <w:r>
        <w:t>The amount of advance notification participants are given</w:t>
      </w:r>
    </w:p>
    <w:p w:rsidR="00A10B6E" w:rsidRDefault="00A10B6E" w:rsidP="00A83ABC">
      <w:pPr>
        <w:pStyle w:val="ListParagraph"/>
        <w:numPr>
          <w:ilvl w:val="0"/>
          <w:numId w:val="8"/>
        </w:numPr>
        <w:ind w:left="360"/>
      </w:pPr>
      <w:r>
        <w:t>Whether event participation is mandatory</w:t>
      </w:r>
      <w:r>
        <w:rPr>
          <w:rStyle w:val="FootnoteReference"/>
        </w:rPr>
        <w:footnoteReference w:id="42"/>
      </w:r>
      <w:r>
        <w:t xml:space="preserve"> or voluntary</w:t>
      </w:r>
      <w:r w:rsidR="0060408E">
        <w:t>.</w:t>
      </w:r>
    </w:p>
    <w:p w:rsidR="00D67E45" w:rsidRDefault="00D67E45" w:rsidP="00A83ABC">
      <w:pPr>
        <w:pStyle w:val="ListParagraph"/>
      </w:pPr>
    </w:p>
    <w:p w:rsidR="00D67E45" w:rsidRDefault="00D67E45" w:rsidP="00A83ABC">
      <w:pPr>
        <w:pStyle w:val="ListParagraph"/>
        <w:ind w:left="0"/>
      </w:pPr>
      <w:r>
        <w:lastRenderedPageBreak/>
        <w:t xml:space="preserve">This </w:t>
      </w:r>
      <w:r w:rsidR="00382C39">
        <w:t>report section</w:t>
      </w:r>
      <w:r>
        <w:t xml:space="preserve"> describes the SWE</w:t>
      </w:r>
      <w:r w:rsidR="0045410E">
        <w:t xml:space="preserve"> Team</w:t>
      </w:r>
      <w:r>
        <w:t>’s approach for quantitatively evaluating the implications of differ</w:t>
      </w:r>
      <w:r w:rsidR="00382C39">
        <w:t xml:space="preserve">ent program design assumptions. It provides a brief introduction of key concepts and then reviews the methods and results of the program effectiveness simulation designed for this study. The results were shared with TUS </w:t>
      </w:r>
      <w:r w:rsidR="0045410E">
        <w:t xml:space="preserve">staff </w:t>
      </w:r>
      <w:r w:rsidR="00382C39">
        <w:t>in October 2014</w:t>
      </w:r>
      <w:r w:rsidR="00F73FC5">
        <w:t>,</w:t>
      </w:r>
      <w:r w:rsidR="00382C39">
        <w:t xml:space="preserve"> and the SWE</w:t>
      </w:r>
      <w:r w:rsidR="0045410E">
        <w:t xml:space="preserve"> Team</w:t>
      </w:r>
      <w:r w:rsidR="00382C39">
        <w:t xml:space="preserve"> was directed to utilize the recommended program design for the potential assessment</w:t>
      </w:r>
      <w:r>
        <w:t>. We use</w:t>
      </w:r>
      <w:r w:rsidR="00382C39">
        <w:t>d</w:t>
      </w:r>
      <w:r>
        <w:t xml:space="preserve"> publicly available historical metered load data from PJM to examine the implications of program design on program effectiveness. </w:t>
      </w:r>
    </w:p>
    <w:p w:rsidR="00A10B6E" w:rsidRDefault="00A10B6E" w:rsidP="00A83ABC">
      <w:pPr>
        <w:pStyle w:val="ListParagraph"/>
        <w:ind w:left="0"/>
      </w:pPr>
    </w:p>
    <w:p w:rsidR="003A4950" w:rsidRDefault="003A4950" w:rsidP="00A83ABC">
      <w:pPr>
        <w:pStyle w:val="Heading3"/>
      </w:pPr>
      <w:bookmarkStart w:id="86" w:name="_Toc412628387"/>
      <w:r>
        <w:t>Key Concepts</w:t>
      </w:r>
      <w:bookmarkEnd w:id="86"/>
    </w:p>
    <w:p w:rsidR="00D67E45" w:rsidRDefault="00D67E45" w:rsidP="00A83ABC">
      <w:r>
        <w:t xml:space="preserve">Practical considerations for </w:t>
      </w:r>
      <w:r w:rsidR="00037A03">
        <w:t>DR</w:t>
      </w:r>
      <w:r>
        <w:t xml:space="preserve"> program design may place natural limits on its effectiveness. Program budgets can be exhausted by a large number of </w:t>
      </w:r>
      <w:r w:rsidR="00037A03">
        <w:t>DR</w:t>
      </w:r>
      <w:r>
        <w:t xml:space="preserve"> events, and the timing of system peaks cannot be predicted with perfect accuracy. Even though these limitations are known to exist and are inevitable, it is challenging to estimate their impact quantitatively. We investigate the impacts of various program design considerations using a simulation approach to generate estimates of program effectiveness. We refer to these estimates as </w:t>
      </w:r>
      <w:r w:rsidR="00382C39">
        <w:t xml:space="preserve">ELCC. </w:t>
      </w:r>
    </w:p>
    <w:p w:rsidR="00A10B6E" w:rsidRDefault="00A10B6E" w:rsidP="00A83ABC"/>
    <w:p w:rsidR="00D67E45" w:rsidRDefault="00416641" w:rsidP="00A83ABC">
      <w:pPr>
        <w:spacing w:after="120"/>
      </w:pPr>
      <w:r>
        <w:t>The simulation takes advantage of historical system load data to compare the ELCC for 1,600 hypothetical program designs</w:t>
      </w:r>
      <w:r>
        <w:rPr>
          <w:rStyle w:val="FootnoteReference"/>
        </w:rPr>
        <w:footnoteReference w:id="43"/>
      </w:r>
      <w:r>
        <w:t>. We explicitly define ELCC as the percentage of a target load that is captured during a simulated event. In this analysis, the target load is all energy above 90% of the forecasted system peak for the year</w:t>
      </w:r>
      <w:r w:rsidR="00B11F56">
        <w:t>.</w:t>
      </w:r>
      <w:r>
        <w:rPr>
          <w:rStyle w:val="FootnoteReference"/>
        </w:rPr>
        <w:footnoteReference w:id="44"/>
      </w:r>
      <w:r>
        <w:t xml:space="preserve"> For example, if </w:t>
      </w:r>
      <w:r w:rsidR="005D08F6">
        <w:t xml:space="preserve">hour </w:t>
      </w:r>
      <w:r w:rsidR="00990D1A">
        <w:t>17</w:t>
      </w:r>
      <w:r w:rsidR="00990D1A">
        <w:rPr>
          <w:rStyle w:val="FootnoteReference"/>
        </w:rPr>
        <w:footnoteReference w:id="45"/>
      </w:r>
      <w:r>
        <w:t xml:space="preserve"> </w:t>
      </w:r>
      <w:r w:rsidR="00990D1A">
        <w:t>(4:00 p</w:t>
      </w:r>
      <w:r w:rsidR="00A11600">
        <w:t>.</w:t>
      </w:r>
      <w:r w:rsidR="00990D1A">
        <w:t>m</w:t>
      </w:r>
      <w:r w:rsidR="00A11600">
        <w:t>.</w:t>
      </w:r>
      <w:r w:rsidR="00990D1A">
        <w:t xml:space="preserve"> to 5:00 p</w:t>
      </w:r>
      <w:r w:rsidR="00A11600">
        <w:t>.</w:t>
      </w:r>
      <w:r w:rsidR="00990D1A">
        <w:t>m</w:t>
      </w:r>
      <w:r w:rsidR="00A11600">
        <w:t>.</w:t>
      </w:r>
      <w:r w:rsidR="00990D1A">
        <w:t xml:space="preserve">) </w:t>
      </w:r>
      <w:r>
        <w:t>on July 12, 2010 had an observed load of 148,000 MW and the forecasted summer peak for the 2010/2011 delivery year was 160,000 MW, the target load for the simulation would be equal to:</w:t>
      </w:r>
    </w:p>
    <w:p w:rsidR="00D67E45" w:rsidRPr="00260827" w:rsidRDefault="00D67E45" w:rsidP="00260827">
      <w:pPr>
        <w:jc w:val="center"/>
        <w:rPr>
          <w:rFonts w:eastAsiaTheme="minorEastAsia"/>
        </w:rPr>
      </w:pPr>
      <m:oMathPara>
        <m:oMathParaPr>
          <m:jc m:val="center"/>
        </m:oMathParaPr>
        <m:oMath>
          <m:r>
            <w:rPr>
              <w:rFonts w:ascii="Cambria Math" w:hAnsi="Cambria Math"/>
            </w:rPr>
            <m:t>Target Load=Observed Load-0.90*Forecasted System Peak</m:t>
          </m:r>
        </m:oMath>
      </m:oMathPara>
    </w:p>
    <w:p w:rsidR="009A2C24" w:rsidRPr="00183756" w:rsidRDefault="009A2C24" w:rsidP="00260827">
      <w:pPr>
        <w:jc w:val="center"/>
      </w:pPr>
    </w:p>
    <w:p w:rsidR="00D67E45" w:rsidRPr="00260827" w:rsidRDefault="00D67E45" w:rsidP="00260827">
      <w:pPr>
        <w:jc w:val="center"/>
        <w:rPr>
          <w:rFonts w:eastAsiaTheme="minorEastAsia"/>
        </w:rPr>
      </w:pPr>
      <m:oMathPara>
        <m:oMathParaPr>
          <m:jc m:val="center"/>
        </m:oMathParaPr>
        <m:oMath>
          <m:r>
            <w:rPr>
              <w:rFonts w:ascii="Cambria Math" w:hAnsi="Cambria Math"/>
            </w:rPr>
            <m:t>Target Load=148,000 MW-0.90*160,000 MW</m:t>
          </m:r>
        </m:oMath>
      </m:oMathPara>
    </w:p>
    <w:p w:rsidR="009A2C24" w:rsidRPr="00CE652B" w:rsidRDefault="009A2C24" w:rsidP="00260827">
      <w:pPr>
        <w:jc w:val="center"/>
      </w:pPr>
    </w:p>
    <w:p w:rsidR="00D67E45" w:rsidRPr="00260827" w:rsidRDefault="00D67E45" w:rsidP="00260827">
      <w:pPr>
        <w:jc w:val="center"/>
      </w:pPr>
      <m:oMathPara>
        <m:oMathParaPr>
          <m:jc m:val="center"/>
        </m:oMathParaPr>
        <m:oMath>
          <m:r>
            <w:rPr>
              <w:rFonts w:ascii="Cambria Math" w:hAnsi="Cambria Math"/>
            </w:rPr>
            <m:t>Target Load=4,000 MW</m:t>
          </m:r>
        </m:oMath>
      </m:oMathPara>
    </w:p>
    <w:p w:rsidR="00A10B6E" w:rsidRDefault="00A10B6E" w:rsidP="00A83ABC"/>
    <w:p w:rsidR="00D67E45" w:rsidRDefault="00D67E45" w:rsidP="00A83ABC">
      <w:r>
        <w:t xml:space="preserve">The Commission’s </w:t>
      </w:r>
      <w:r w:rsidR="00492395">
        <w:t xml:space="preserve">February 20, </w:t>
      </w:r>
      <w:r>
        <w:t>2014 Order</w:t>
      </w:r>
      <w:r w:rsidR="00606782">
        <w:rPr>
          <w:rStyle w:val="FootnoteReference"/>
        </w:rPr>
        <w:footnoteReference w:id="46"/>
      </w:r>
      <w:r>
        <w:t xml:space="preserve"> stated that EDCs will not be directed to bid their DR programs into </w:t>
      </w:r>
      <w:r w:rsidR="00416641">
        <w:t xml:space="preserve">PJM’s </w:t>
      </w:r>
      <w:r w:rsidR="00795096">
        <w:t>BRA</w:t>
      </w:r>
      <w:r>
        <w:t>; therefore, avoided capacity benefits from Act 129 DR will need to come from curtailments placing downward pressure on PJM’s forecasted summer peaks and the corresponding resource requirements in EDC zones. The SWE</w:t>
      </w:r>
      <w:r w:rsidR="0045410E">
        <w:t xml:space="preserve"> Team</w:t>
      </w:r>
      <w:r>
        <w:t xml:space="preserve"> believes that the hours when the system load is greater than 90% of the forecasted peaks for the year are a primary driver of PJM’s peak load forecasts. Having a set metric for effectiveness allows us to compare possible program designs side-by-side and quantitatively assess the relative performance </w:t>
      </w:r>
      <w:r w:rsidR="003A4950">
        <w:t>of alternative program designs.</w:t>
      </w:r>
    </w:p>
    <w:p w:rsidR="00A10B6E" w:rsidRDefault="00A10B6E" w:rsidP="00A83ABC"/>
    <w:p w:rsidR="00D67E45" w:rsidRDefault="00D67E45" w:rsidP="00A83ABC">
      <w:r>
        <w:t>In addition to the ELCC, the simulation can also provide information on the performance of program design relative to capturing the 5CP</w:t>
      </w:r>
      <w:r w:rsidR="00DF5B7E">
        <w:t xml:space="preserve">, </w:t>
      </w:r>
      <w:r>
        <w:t xml:space="preserve">which </w:t>
      </w:r>
      <w:r w:rsidR="003A4950">
        <w:t xml:space="preserve">some </w:t>
      </w:r>
      <w:r>
        <w:t xml:space="preserve">EDCs use to </w:t>
      </w:r>
      <w:r w:rsidR="003A4950">
        <w:t xml:space="preserve">calculate PLC and </w:t>
      </w:r>
      <w:r>
        <w:t xml:space="preserve">allocate capacity obligations to their customers. As </w:t>
      </w:r>
      <w:r w:rsidR="00037A03">
        <w:t>DR</w:t>
      </w:r>
      <w:r>
        <w:t xml:space="preserve"> program participants reduce demand during system peak hours, the SWE</w:t>
      </w:r>
      <w:r w:rsidR="00BE1301">
        <w:t xml:space="preserve"> Team</w:t>
      </w:r>
      <w:r>
        <w:t xml:space="preserve"> anticipates a commensurate reduction in their PLC</w:t>
      </w:r>
      <w:r>
        <w:rPr>
          <w:rStyle w:val="FootnoteReference"/>
        </w:rPr>
        <w:footnoteReference w:id="47"/>
      </w:r>
      <w:r>
        <w:t xml:space="preserve">, which will therefore reduce the amount of generation capacity that the EDC must secure to serve those customers over time. </w:t>
      </w:r>
      <w:r w:rsidR="00037A03">
        <w:t>D</w:t>
      </w:r>
      <w:r w:rsidR="00DF5B7E">
        <w:t>emand response</w:t>
      </w:r>
      <w:r>
        <w:t xml:space="preserve"> participants will benefit economically from the program by reducing the capacity requirement </w:t>
      </w:r>
      <w:r>
        <w:lastRenderedPageBreak/>
        <w:t>charge portion of their electric bill</w:t>
      </w:r>
      <w:r w:rsidR="00DF5B7E">
        <w:t>,</w:t>
      </w:r>
      <w:r>
        <w:t xml:space="preserve"> as well as collecting the participation incentive offered through the EDC DR program and reducing their billed energy consumption. The benefits realized from PLC reduction will be directly proportional to the ability of the program design to capture the 5CP hours in a given year. In addition to the ELCC performance metric, we compare various programs based on their historic ability </w:t>
      </w:r>
      <w:r w:rsidR="003A4950">
        <w:t>to capture 5CP hours</w:t>
      </w:r>
      <w:r w:rsidR="00DF5B7E">
        <w:t xml:space="preserve"> for </w:t>
      </w:r>
      <w:r w:rsidR="003A4950">
        <w:t>2006</w:t>
      </w:r>
      <w:r w:rsidR="00B84D8D">
        <w:t xml:space="preserve"> to </w:t>
      </w:r>
      <w:r w:rsidR="003A4950">
        <w:t>2013.</w:t>
      </w:r>
    </w:p>
    <w:p w:rsidR="00A10B6E" w:rsidRDefault="00A10B6E" w:rsidP="00A83ABC"/>
    <w:p w:rsidR="00D67E45" w:rsidRDefault="00D67E45" w:rsidP="00A83ABC">
      <w:pPr>
        <w:pStyle w:val="Heading3"/>
      </w:pPr>
      <w:bookmarkStart w:id="87" w:name="_Ref408394525"/>
      <w:bookmarkStart w:id="88" w:name="_Toc412628388"/>
      <w:r>
        <w:t>Method</w:t>
      </w:r>
      <w:r w:rsidR="003A4950">
        <w:t>ology</w:t>
      </w:r>
      <w:bookmarkEnd w:id="87"/>
      <w:bookmarkEnd w:id="88"/>
    </w:p>
    <w:p w:rsidR="00D67E45" w:rsidRDefault="00D67E45" w:rsidP="00A83ABC">
      <w:r>
        <w:t>The SWE</w:t>
      </w:r>
      <w:r w:rsidR="00BE1301">
        <w:t xml:space="preserve"> Team</w:t>
      </w:r>
      <w:r>
        <w:t xml:space="preserve"> identified the projected peak load for each year using historical PJM load forecasts.</w:t>
      </w:r>
      <w:r>
        <w:rPr>
          <w:rStyle w:val="FootnoteReference"/>
        </w:rPr>
        <w:footnoteReference w:id="48"/>
      </w:r>
      <w:r>
        <w:t xml:space="preserve"> We set the target load for </w:t>
      </w:r>
      <w:r w:rsidR="00037A03">
        <w:t>DR</w:t>
      </w:r>
      <w:r>
        <w:t xml:space="preserve"> at 90% of the forecasted summer peak and the simulation results record the percentage of the target load that is captured by the program design parameters (defined as the ELCC). For example, the forecasted peak load in </w:t>
      </w:r>
      <w:r w:rsidRPr="00BE1CB5">
        <w:t>2009 was 134,428 MW</w:t>
      </w:r>
      <w:r>
        <w:t>.</w:t>
      </w:r>
      <w:r>
        <w:rPr>
          <w:rStyle w:val="FootnoteReference"/>
        </w:rPr>
        <w:footnoteReference w:id="49"/>
      </w:r>
      <w:r>
        <w:t xml:space="preserve"> The simulation results give</w:t>
      </w:r>
      <w:r w:rsidRPr="00BE1CB5">
        <w:t xml:space="preserve"> us the percentage of the </w:t>
      </w:r>
      <w:r>
        <w:t>target load</w:t>
      </w:r>
      <w:r w:rsidRPr="00BE1CB5">
        <w:t xml:space="preserve"> (loads greater than 120,985 MW) captured </w:t>
      </w:r>
      <w:r>
        <w:t xml:space="preserve">by the </w:t>
      </w:r>
      <w:r w:rsidR="00037A03">
        <w:t>DR</w:t>
      </w:r>
      <w:r>
        <w:t xml:space="preserve"> program design</w:t>
      </w:r>
      <w:r w:rsidRPr="00BE1CB5">
        <w:t>.</w:t>
      </w:r>
      <w:r w:rsidR="009114DD">
        <w:t xml:space="preserve"> The term ‘captured’ means that the program design would call for a </w:t>
      </w:r>
      <w:r w:rsidR="00037A03">
        <w:t>DR</w:t>
      </w:r>
      <w:r w:rsidR="009114DD">
        <w:t xml:space="preserve"> event during that hour and has no bearing of the amount of load which could be curtailed.</w:t>
      </w:r>
    </w:p>
    <w:p w:rsidR="00A10B6E" w:rsidRDefault="00A10B6E" w:rsidP="00A83ABC"/>
    <w:p w:rsidR="00D67E45" w:rsidRDefault="00D67E45" w:rsidP="00A83ABC">
      <w:r>
        <w:t xml:space="preserve">The program design parameters of the simulation include a dispatch criterion, dispatch hour, event duration, and a maximum number of events that can be called in a year. Each iteration of the simulation cycles through these parameters and calculates the percentage of target load captured (ELCC). The output of the simulation is a series of </w:t>
      </w:r>
      <w:r w:rsidR="00037A03">
        <w:t>DR</w:t>
      </w:r>
      <w:r>
        <w:t xml:space="preserve"> scenarios that vary by program design parameters and ELCC. </w:t>
      </w:r>
      <w:r>
        <w:fldChar w:fldCharType="begin"/>
      </w:r>
      <w:r>
        <w:instrText xml:space="preserve"> REF _Ref399848303 \h </w:instrText>
      </w:r>
      <w:r w:rsidR="00CF2BE5">
        <w:instrText xml:space="preserve"> \* MERGEFORMAT </w:instrText>
      </w:r>
      <w:r>
        <w:fldChar w:fldCharType="separate"/>
      </w:r>
      <w:r w:rsidR="00803DBE" w:rsidRPr="009C028F">
        <w:t xml:space="preserve">Table </w:t>
      </w:r>
      <w:r w:rsidR="00803DBE">
        <w:rPr>
          <w:noProof/>
        </w:rPr>
        <w:t>2</w:t>
      </w:r>
      <w:r w:rsidR="00803DBE">
        <w:rPr>
          <w:noProof/>
        </w:rPr>
        <w:noBreakHyphen/>
        <w:t>5</w:t>
      </w:r>
      <w:r>
        <w:fldChar w:fldCharType="end"/>
      </w:r>
      <w:r>
        <w:t xml:space="preserve"> defines each simulation parameter and its range. Each parameter is incremented b</w:t>
      </w:r>
      <w:r w:rsidR="009C028F">
        <w:t>y units of 1 through the range.</w:t>
      </w:r>
    </w:p>
    <w:p w:rsidR="00A10B6E" w:rsidRPr="00643942" w:rsidRDefault="00A10B6E" w:rsidP="00A83ABC"/>
    <w:p w:rsidR="009114DD" w:rsidRDefault="00D67E45" w:rsidP="00A83ABC">
      <w:pPr>
        <w:pStyle w:val="Caption"/>
        <w:keepNext/>
      </w:pPr>
      <w:bookmarkStart w:id="89" w:name="_Ref399848303"/>
      <w:bookmarkStart w:id="90" w:name="_Toc412628451"/>
      <w:r w:rsidRPr="009C028F">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5</w:t>
      </w:r>
      <w:r w:rsidR="00E2011B">
        <w:rPr>
          <w:noProof/>
        </w:rPr>
        <w:fldChar w:fldCharType="end"/>
      </w:r>
      <w:bookmarkEnd w:id="89"/>
      <w:r w:rsidRPr="009C028F">
        <w:t>: S</w:t>
      </w:r>
      <w:r w:rsidR="009114DD" w:rsidRPr="009C028F">
        <w:t>imulation Parameters and Ranges</w:t>
      </w:r>
      <w:bookmarkEnd w:id="90"/>
    </w:p>
    <w:tbl>
      <w:tblPr>
        <w:tblStyle w:val="MediumShading1-Accent5"/>
        <w:tblW w:w="9467"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160"/>
        <w:gridCol w:w="4121"/>
        <w:gridCol w:w="3186"/>
      </w:tblGrid>
      <w:tr w:rsidR="00A10B6E" w:rsidRPr="001A6700" w:rsidTr="00D92A1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shd w:val="clear" w:color="auto" w:fill="448A99"/>
          </w:tcPr>
          <w:p w:rsidR="00A10B6E" w:rsidRPr="001A6700" w:rsidRDefault="00A10B6E" w:rsidP="00A83ABC">
            <w:pPr>
              <w:rPr>
                <w:sz w:val="20"/>
              </w:rPr>
            </w:pPr>
            <w:r w:rsidRPr="001A6700">
              <w:rPr>
                <w:sz w:val="20"/>
              </w:rPr>
              <w:t>Simulation Parameter</w:t>
            </w:r>
          </w:p>
        </w:tc>
        <w:tc>
          <w:tcPr>
            <w:tcW w:w="4121" w:type="dxa"/>
            <w:tcBorders>
              <w:top w:val="none" w:sz="0" w:space="0" w:color="auto"/>
              <w:left w:val="none" w:sz="0" w:space="0" w:color="auto"/>
              <w:bottom w:val="none" w:sz="0" w:space="0" w:color="auto"/>
              <w:right w:val="none" w:sz="0" w:space="0" w:color="auto"/>
            </w:tcBorders>
            <w:shd w:val="clear" w:color="auto" w:fill="448A99"/>
          </w:tcPr>
          <w:p w:rsidR="00A10B6E" w:rsidRPr="001A6700" w:rsidRDefault="00A10B6E"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Definition</w:t>
            </w:r>
          </w:p>
        </w:tc>
        <w:tc>
          <w:tcPr>
            <w:tcW w:w="3186" w:type="dxa"/>
            <w:tcBorders>
              <w:top w:val="none" w:sz="0" w:space="0" w:color="auto"/>
              <w:left w:val="none" w:sz="0" w:space="0" w:color="auto"/>
              <w:bottom w:val="none" w:sz="0" w:space="0" w:color="auto"/>
              <w:right w:val="none" w:sz="0" w:space="0" w:color="auto"/>
            </w:tcBorders>
            <w:shd w:val="clear" w:color="auto" w:fill="448A99"/>
          </w:tcPr>
          <w:p w:rsidR="00A10B6E" w:rsidRPr="001A6700" w:rsidRDefault="00A10B6E"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Range</w:t>
            </w:r>
          </w:p>
        </w:tc>
      </w:tr>
      <w:tr w:rsidR="00A10B6E" w:rsidRPr="001A6700" w:rsidTr="0064394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tcPr>
          <w:p w:rsidR="00A10B6E" w:rsidRPr="001A6700" w:rsidRDefault="00A10B6E" w:rsidP="00A83ABC">
            <w:pPr>
              <w:rPr>
                <w:b w:val="0"/>
                <w:sz w:val="20"/>
              </w:rPr>
            </w:pPr>
            <w:r w:rsidRPr="001A6700">
              <w:rPr>
                <w:b w:val="0"/>
                <w:sz w:val="20"/>
              </w:rPr>
              <w:t>Dispatch Criterion</w:t>
            </w:r>
          </w:p>
        </w:tc>
        <w:tc>
          <w:tcPr>
            <w:tcW w:w="412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Load threshold which determines the days when events occur</w:t>
            </w:r>
          </w:p>
        </w:tc>
        <w:tc>
          <w:tcPr>
            <w:tcW w:w="3186"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Loads &gt; 90% - 97% of forecasted annual system peak</w:t>
            </w:r>
          </w:p>
        </w:tc>
      </w:tr>
      <w:tr w:rsidR="00A10B6E" w:rsidRPr="001A6700" w:rsidTr="00643942">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tcPr>
          <w:p w:rsidR="00A10B6E" w:rsidRPr="001A6700" w:rsidRDefault="00A10B6E" w:rsidP="00A83ABC">
            <w:pPr>
              <w:rPr>
                <w:b w:val="0"/>
                <w:sz w:val="20"/>
              </w:rPr>
            </w:pPr>
            <w:r w:rsidRPr="001A6700">
              <w:rPr>
                <w:b w:val="0"/>
                <w:sz w:val="20"/>
              </w:rPr>
              <w:t>Dispatch Hour</w:t>
            </w:r>
          </w:p>
        </w:tc>
        <w:tc>
          <w:tcPr>
            <w:tcW w:w="4121" w:type="dxa"/>
            <w:tcBorders>
              <w:left w:val="none" w:sz="0" w:space="0" w:color="auto"/>
              <w:righ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Start time of events</w:t>
            </w:r>
          </w:p>
        </w:tc>
        <w:tc>
          <w:tcPr>
            <w:tcW w:w="3186" w:type="dxa"/>
            <w:tcBorders>
              <w:lef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Hours 13 - 17</w:t>
            </w:r>
          </w:p>
        </w:tc>
      </w:tr>
      <w:tr w:rsidR="00A10B6E" w:rsidRPr="001A6700" w:rsidTr="0064394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tcPr>
          <w:p w:rsidR="00A10B6E" w:rsidRPr="001A6700" w:rsidRDefault="00A10B6E" w:rsidP="00A83ABC">
            <w:pPr>
              <w:rPr>
                <w:b w:val="0"/>
                <w:sz w:val="20"/>
              </w:rPr>
            </w:pPr>
            <w:r w:rsidRPr="001A6700">
              <w:rPr>
                <w:b w:val="0"/>
                <w:sz w:val="20"/>
              </w:rPr>
              <w:t>Event Duration</w:t>
            </w:r>
          </w:p>
        </w:tc>
        <w:tc>
          <w:tcPr>
            <w:tcW w:w="412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Duration of event</w:t>
            </w:r>
          </w:p>
        </w:tc>
        <w:tc>
          <w:tcPr>
            <w:tcW w:w="3186"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2 to 6 hours</w:t>
            </w:r>
          </w:p>
        </w:tc>
      </w:tr>
      <w:tr w:rsidR="00A10B6E" w:rsidRPr="001A6700" w:rsidTr="00643942">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tcPr>
          <w:p w:rsidR="00A10B6E" w:rsidRPr="001A6700" w:rsidRDefault="00A10B6E" w:rsidP="00A83ABC">
            <w:pPr>
              <w:rPr>
                <w:b w:val="0"/>
                <w:sz w:val="20"/>
              </w:rPr>
            </w:pPr>
            <w:r w:rsidRPr="001A6700">
              <w:rPr>
                <w:b w:val="0"/>
                <w:sz w:val="20"/>
              </w:rPr>
              <w:t>Maximum Events</w:t>
            </w:r>
          </w:p>
        </w:tc>
        <w:tc>
          <w:tcPr>
            <w:tcW w:w="4121" w:type="dxa"/>
            <w:tcBorders>
              <w:left w:val="none" w:sz="0" w:space="0" w:color="auto"/>
              <w:righ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Maximum number of events that can be called in a program year</w:t>
            </w:r>
          </w:p>
        </w:tc>
        <w:tc>
          <w:tcPr>
            <w:tcW w:w="3186" w:type="dxa"/>
            <w:tcBorders>
              <w:lef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5 to 12</w:t>
            </w:r>
          </w:p>
        </w:tc>
      </w:tr>
    </w:tbl>
    <w:p w:rsidR="00D67E45" w:rsidRDefault="00D67E45" w:rsidP="00A83ABC"/>
    <w:p w:rsidR="00D67E45" w:rsidRDefault="00D67E45" w:rsidP="00A83ABC">
      <w:pPr>
        <w:pStyle w:val="Heading3"/>
      </w:pPr>
      <w:bookmarkStart w:id="91" w:name="_Toc412628389"/>
      <w:r>
        <w:t>Results</w:t>
      </w:r>
      <w:bookmarkEnd w:id="91"/>
    </w:p>
    <w:p w:rsidR="00D67E45" w:rsidRDefault="00D67E45" w:rsidP="00A83ABC">
      <w:r>
        <w:fldChar w:fldCharType="begin"/>
      </w:r>
      <w:r>
        <w:instrText xml:space="preserve"> REF _Ref399856911 \h </w:instrText>
      </w:r>
      <w:r w:rsidR="00CF2BE5">
        <w:instrText xml:space="preserve"> \* MERGEFORMAT </w:instrText>
      </w:r>
      <w:r>
        <w:fldChar w:fldCharType="separate"/>
      </w:r>
      <w:r w:rsidR="00803DBE">
        <w:t xml:space="preserve">Figure </w:t>
      </w:r>
      <w:r w:rsidR="00803DBE">
        <w:rPr>
          <w:noProof/>
        </w:rPr>
        <w:t>2</w:t>
      </w:r>
      <w:r w:rsidR="00803DBE">
        <w:rPr>
          <w:noProof/>
        </w:rPr>
        <w:noBreakHyphen/>
        <w:t>4</w:t>
      </w:r>
      <w:r>
        <w:fldChar w:fldCharType="end"/>
      </w:r>
      <w:r>
        <w:t xml:space="preserve"> </w:t>
      </w:r>
      <w:r w:rsidR="00416641">
        <w:t>provides an example of how different program designs perform under a range of dispatch criteria. Each line in the graph illustrates the effect of changing one program element, while holding all others fixed at the base level. The lines can be used to compare whether specific program elements produce higher or lower overall target load capture. For example, the “more events” line is higher than the “base” case line, indicating that all else equal, increasing the maximum number of events is likely to capture more of the target load (higher ELCC). This particular result is obvious; an unconstrained increase in the number of events will clearly capture more of the target load. Yet in practice, an unconstrained increase in the number of DR events is likely to quickly exhaust program budgets, negatively impact cost</w:t>
      </w:r>
      <w:r w:rsidR="00CE0565">
        <w:t>-</w:t>
      </w:r>
      <w:r w:rsidR="00416641">
        <w:t xml:space="preserve">effectiveness, and reduce the appeal of the program among potential participants. This is an example of the tradeoffs that should be considered when selecting a final DR </w:t>
      </w:r>
      <w:r w:rsidR="00416641">
        <w:lastRenderedPageBreak/>
        <w:t xml:space="preserve">program design. The SWE </w:t>
      </w:r>
      <w:r w:rsidR="00BE1301">
        <w:t xml:space="preserve">Team </w:t>
      </w:r>
      <w:r w:rsidR="00416641">
        <w:t xml:space="preserve">has conducted this simulation to provide the Commission and </w:t>
      </w:r>
      <w:r w:rsidR="004228D6">
        <w:t xml:space="preserve">Stakeholders </w:t>
      </w:r>
      <w:r w:rsidR="00416641">
        <w:t>with a quantitative basis for comparing how alternative program designs may affect program effectiveness.</w:t>
      </w:r>
    </w:p>
    <w:p w:rsidR="009C028F" w:rsidRDefault="009C028F" w:rsidP="00A83ABC"/>
    <w:p w:rsidR="003772D0" w:rsidRDefault="003772D0" w:rsidP="00A83ABC">
      <w:pPr>
        <w:pStyle w:val="Caption"/>
        <w:keepNext/>
      </w:pPr>
      <w:bookmarkStart w:id="92" w:name="_Ref399856911"/>
      <w:bookmarkStart w:id="93" w:name="_Toc412628505"/>
      <w:r>
        <w:t xml:space="preserve">Figure </w:t>
      </w:r>
      <w:r w:rsidR="00E2011B">
        <w:fldChar w:fldCharType="begin"/>
      </w:r>
      <w:r w:rsidR="00E2011B">
        <w:instrText xml:space="preserve"> STYLE</w:instrText>
      </w:r>
      <w:r w:rsidR="00E2011B">
        <w:instrText xml:space="preserve">REF 1 \s </w:instrText>
      </w:r>
      <w:r w:rsidR="00E2011B">
        <w:fldChar w:fldCharType="separate"/>
      </w:r>
      <w:r w:rsidR="00803DBE">
        <w:rPr>
          <w:noProof/>
        </w:rPr>
        <w:t>2</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4</w:t>
      </w:r>
      <w:r w:rsidR="00E2011B">
        <w:rPr>
          <w:noProof/>
        </w:rPr>
        <w:fldChar w:fldCharType="end"/>
      </w:r>
      <w:bookmarkEnd w:id="92"/>
      <w:r>
        <w:t>: Comparison of Program Design Variables</w:t>
      </w:r>
      <w:bookmarkEnd w:id="93"/>
    </w:p>
    <w:p w:rsidR="003772D0" w:rsidRDefault="003772D0" w:rsidP="00260827">
      <w:pPr>
        <w:pStyle w:val="Caption"/>
        <w:jc w:val="center"/>
      </w:pPr>
      <w:r>
        <w:rPr>
          <w:noProof/>
        </w:rPr>
        <w:drawing>
          <wp:inline distT="0" distB="0" distL="0" distR="0" wp14:anchorId="14ABA86C" wp14:editId="1868ED69">
            <wp:extent cx="5090399" cy="3698152"/>
            <wp:effectExtent l="57150" t="76200" r="34290" b="361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_compare.png"/>
                    <pic:cNvPicPr/>
                  </pic:nvPicPr>
                  <pic:blipFill>
                    <a:blip r:embed="rId30">
                      <a:extLst>
                        <a:ext uri="{28A0092B-C50C-407E-A947-70E740481C1C}">
                          <a14:useLocalDpi xmlns:a14="http://schemas.microsoft.com/office/drawing/2010/main" val="0"/>
                        </a:ext>
                      </a:extLst>
                    </a:blip>
                    <a:stretch>
                      <a:fillRect/>
                    </a:stretch>
                  </pic:blipFill>
                  <pic:spPr>
                    <a:xfrm>
                      <a:off x="0" y="0"/>
                      <a:ext cx="5113711" cy="3715088"/>
                    </a:xfrm>
                    <a:prstGeom prst="rect">
                      <a:avLst/>
                    </a:prstGeom>
                    <a:ln>
                      <a:noFill/>
                    </a:ln>
                    <a:effectLst>
                      <a:outerShdw blurRad="50800" dist="38100" dir="13500000" algn="br" rotWithShape="0">
                        <a:prstClr val="black">
                          <a:alpha val="40000"/>
                        </a:prstClr>
                      </a:outerShdw>
                      <a:softEdge rad="31750"/>
                    </a:effectLst>
                  </pic:spPr>
                </pic:pic>
              </a:graphicData>
            </a:graphic>
          </wp:inline>
        </w:drawing>
      </w:r>
    </w:p>
    <w:p w:rsidR="003772D0" w:rsidRPr="00643942" w:rsidRDefault="003772D0" w:rsidP="00A83ABC"/>
    <w:p w:rsidR="00D67E45" w:rsidRDefault="00D67E45" w:rsidP="00A83ABC">
      <w:r>
        <w:t xml:space="preserve">Further examination of the inflection points in </w:t>
      </w:r>
      <w:r>
        <w:fldChar w:fldCharType="begin"/>
      </w:r>
      <w:r>
        <w:instrText xml:space="preserve"> REF _Ref399856911 \h </w:instrText>
      </w:r>
      <w:r w:rsidR="00CF2BE5">
        <w:instrText xml:space="preserve"> \* MERGEFORMAT </w:instrText>
      </w:r>
      <w:r>
        <w:fldChar w:fldCharType="separate"/>
      </w:r>
      <w:r w:rsidR="00803DBE">
        <w:t xml:space="preserve">Figure </w:t>
      </w:r>
      <w:r w:rsidR="00803DBE">
        <w:rPr>
          <w:noProof/>
        </w:rPr>
        <w:t>2</w:t>
      </w:r>
      <w:r w:rsidR="00803DBE">
        <w:rPr>
          <w:noProof/>
        </w:rPr>
        <w:noBreakHyphen/>
        <w:t>4</w:t>
      </w:r>
      <w:r>
        <w:fldChar w:fldCharType="end"/>
      </w:r>
      <w:r>
        <w:t xml:space="preserve"> provides more information.</w:t>
      </w:r>
      <w:r w:rsidRPr="00464A6E">
        <w:t xml:space="preserve"> </w:t>
      </w:r>
      <w:r>
        <w:t xml:space="preserve">For example, the marginal benefit of calling an event, in terms of expected target load capture, is greatest with dispatch criteria between 93% and 96% of system peak load. Target load capture </w:t>
      </w:r>
      <w:r w:rsidR="00213BCA">
        <w:t>becomes limited by simple occurrence of</w:t>
      </w:r>
      <w:r>
        <w:t xml:space="preserve"> </w:t>
      </w:r>
      <w:r w:rsidR="00213BCA">
        <w:t xml:space="preserve">required conditions </w:t>
      </w:r>
      <w:r>
        <w:t xml:space="preserve">for dispatch criteria greater than 96% of the system peak. </w:t>
      </w:r>
      <w:r>
        <w:fldChar w:fldCharType="begin"/>
      </w:r>
      <w:r>
        <w:instrText xml:space="preserve"> REF _Ref399855547 \h </w:instrText>
      </w:r>
      <w:r w:rsidR="00CF2BE5">
        <w:instrText xml:space="preserve"> \* MERGEFORMAT </w:instrText>
      </w:r>
      <w:r>
        <w:fldChar w:fldCharType="separate"/>
      </w:r>
      <w:r w:rsidR="00803DBE" w:rsidRPr="009C028F">
        <w:t xml:space="preserve">Table </w:t>
      </w:r>
      <w:r w:rsidR="00803DBE">
        <w:rPr>
          <w:noProof/>
        </w:rPr>
        <w:t>2</w:t>
      </w:r>
      <w:r w:rsidR="00803DBE">
        <w:rPr>
          <w:noProof/>
        </w:rPr>
        <w:noBreakHyphen/>
        <w:t>6</w:t>
      </w:r>
      <w:r>
        <w:fldChar w:fldCharType="end"/>
      </w:r>
      <w:r>
        <w:t xml:space="preserve"> provides a summary of the scenarios plotted in </w:t>
      </w:r>
      <w:r>
        <w:fldChar w:fldCharType="begin"/>
      </w:r>
      <w:r>
        <w:instrText xml:space="preserve"> REF _Ref399856911 \h </w:instrText>
      </w:r>
      <w:r w:rsidR="00CF2BE5">
        <w:instrText xml:space="preserve"> \* MERGEFORMAT </w:instrText>
      </w:r>
      <w:r>
        <w:fldChar w:fldCharType="separate"/>
      </w:r>
      <w:r w:rsidR="00803DBE">
        <w:t xml:space="preserve">Figure </w:t>
      </w:r>
      <w:r w:rsidR="00803DBE">
        <w:rPr>
          <w:noProof/>
        </w:rPr>
        <w:t>2</w:t>
      </w:r>
      <w:r w:rsidR="00803DBE">
        <w:rPr>
          <w:noProof/>
        </w:rPr>
        <w:noBreakHyphen/>
        <w:t>4</w:t>
      </w:r>
      <w:r>
        <w:fldChar w:fldCharType="end"/>
      </w:r>
      <w:r w:rsidR="009114DD">
        <w:t>.</w:t>
      </w:r>
    </w:p>
    <w:p w:rsidR="003772D0" w:rsidRDefault="003772D0" w:rsidP="00A83ABC"/>
    <w:p w:rsidR="003772D0" w:rsidRDefault="003772D0" w:rsidP="00A83ABC">
      <w:pPr>
        <w:pStyle w:val="Caption"/>
        <w:keepNext/>
      </w:pPr>
      <w:bookmarkStart w:id="94" w:name="_Ref399855547"/>
      <w:bookmarkStart w:id="95" w:name="_Toc412628452"/>
      <w:r w:rsidRPr="009C028F">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6</w:t>
      </w:r>
      <w:r w:rsidR="00E2011B">
        <w:rPr>
          <w:noProof/>
        </w:rPr>
        <w:fldChar w:fldCharType="end"/>
      </w:r>
      <w:bookmarkEnd w:id="94"/>
      <w:r w:rsidRPr="009C028F">
        <w:t xml:space="preserve">: Summary of Simulated Program Design Elements Illustrated In </w:t>
      </w:r>
      <w:r w:rsidRPr="009C028F">
        <w:fldChar w:fldCharType="begin"/>
      </w:r>
      <w:r w:rsidRPr="009C028F">
        <w:instrText xml:space="preserve"> REF _Ref399856911 \h </w:instrText>
      </w:r>
      <w:r>
        <w:instrText xml:space="preserve"> \* MERGEFORMAT </w:instrText>
      </w:r>
      <w:r w:rsidRPr="009C028F">
        <w:fldChar w:fldCharType="separate"/>
      </w:r>
      <w:r w:rsidR="00803DBE">
        <w:t xml:space="preserve">Figure </w:t>
      </w:r>
      <w:r w:rsidR="00803DBE">
        <w:rPr>
          <w:noProof/>
        </w:rPr>
        <w:t>2</w:t>
      </w:r>
      <w:r w:rsidR="00803DBE">
        <w:rPr>
          <w:noProof/>
        </w:rPr>
        <w:noBreakHyphen/>
        <w:t>4</w:t>
      </w:r>
      <w:bookmarkEnd w:id="95"/>
      <w:r w:rsidRPr="009C028F">
        <w:fldChar w:fldCharType="end"/>
      </w:r>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430"/>
        <w:gridCol w:w="1260"/>
        <w:gridCol w:w="1740"/>
        <w:gridCol w:w="1416"/>
        <w:gridCol w:w="2064"/>
      </w:tblGrid>
      <w:tr w:rsidR="003772D0" w:rsidRPr="001A6700" w:rsidTr="00AB4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left w:val="none" w:sz="0" w:space="0" w:color="auto"/>
              <w:bottom w:val="none" w:sz="0" w:space="0" w:color="auto"/>
              <w:right w:val="none" w:sz="0" w:space="0" w:color="auto"/>
            </w:tcBorders>
            <w:shd w:val="clear" w:color="auto" w:fill="448A99"/>
            <w:vAlign w:val="bottom"/>
          </w:tcPr>
          <w:p w:rsidR="003772D0" w:rsidRPr="001A6700" w:rsidRDefault="003772D0" w:rsidP="00A83ABC">
            <w:pPr>
              <w:jc w:val="left"/>
              <w:rPr>
                <w:sz w:val="20"/>
              </w:rPr>
            </w:pPr>
            <w:r w:rsidRPr="001A6700">
              <w:rPr>
                <w:sz w:val="20"/>
              </w:rPr>
              <w:t>Scenario</w:t>
            </w:r>
          </w:p>
        </w:tc>
        <w:tc>
          <w:tcPr>
            <w:tcW w:w="1260" w:type="dxa"/>
            <w:tcBorders>
              <w:top w:val="none" w:sz="0" w:space="0" w:color="auto"/>
              <w:left w:val="none" w:sz="0" w:space="0" w:color="auto"/>
              <w:bottom w:val="none" w:sz="0" w:space="0" w:color="auto"/>
              <w:right w:val="none" w:sz="0" w:space="0" w:color="auto"/>
            </w:tcBorders>
            <w:shd w:val="clear" w:color="auto" w:fill="448A99"/>
            <w:vAlign w:val="bottom"/>
          </w:tcPr>
          <w:p w:rsidR="003772D0" w:rsidRPr="001A6700" w:rsidRDefault="003772D0"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Dispatch</w:t>
            </w:r>
          </w:p>
        </w:tc>
        <w:tc>
          <w:tcPr>
            <w:tcW w:w="1740" w:type="dxa"/>
            <w:tcBorders>
              <w:top w:val="none" w:sz="0" w:space="0" w:color="auto"/>
              <w:left w:val="none" w:sz="0" w:space="0" w:color="auto"/>
              <w:bottom w:val="none" w:sz="0" w:space="0" w:color="auto"/>
              <w:right w:val="none" w:sz="0" w:space="0" w:color="auto"/>
            </w:tcBorders>
            <w:shd w:val="clear" w:color="auto" w:fill="448A99"/>
            <w:vAlign w:val="bottom"/>
          </w:tcPr>
          <w:p w:rsidR="003772D0" w:rsidRPr="001A6700" w:rsidRDefault="003772D0"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Event Duration</w:t>
            </w:r>
          </w:p>
        </w:tc>
        <w:tc>
          <w:tcPr>
            <w:tcW w:w="1416" w:type="dxa"/>
            <w:tcBorders>
              <w:top w:val="none" w:sz="0" w:space="0" w:color="auto"/>
              <w:left w:val="none" w:sz="0" w:space="0" w:color="auto"/>
              <w:bottom w:val="none" w:sz="0" w:space="0" w:color="auto"/>
              <w:right w:val="none" w:sz="0" w:space="0" w:color="auto"/>
            </w:tcBorders>
            <w:shd w:val="clear" w:color="auto" w:fill="448A99"/>
            <w:vAlign w:val="bottom"/>
          </w:tcPr>
          <w:p w:rsidR="003772D0" w:rsidRPr="001A6700" w:rsidRDefault="003772D0"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Max No. Events</w:t>
            </w:r>
          </w:p>
        </w:tc>
        <w:tc>
          <w:tcPr>
            <w:tcW w:w="2064" w:type="dxa"/>
            <w:tcBorders>
              <w:top w:val="none" w:sz="0" w:space="0" w:color="auto"/>
              <w:left w:val="none" w:sz="0" w:space="0" w:color="auto"/>
              <w:bottom w:val="none" w:sz="0" w:space="0" w:color="auto"/>
              <w:right w:val="none" w:sz="0" w:space="0" w:color="auto"/>
            </w:tcBorders>
            <w:shd w:val="clear" w:color="auto" w:fill="448A99"/>
            <w:vAlign w:val="bottom"/>
          </w:tcPr>
          <w:p w:rsidR="003772D0" w:rsidRPr="001A6700" w:rsidRDefault="003772D0"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Event Start</w:t>
            </w:r>
          </w:p>
          <w:p w:rsidR="003772D0" w:rsidRPr="001A6700" w:rsidRDefault="003772D0"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w:t>
            </w:r>
            <w:r w:rsidR="005D08F6" w:rsidRPr="001A6700">
              <w:rPr>
                <w:sz w:val="20"/>
              </w:rPr>
              <w:t>Hour)</w:t>
            </w:r>
            <w:r w:rsidR="00E87F48">
              <w:rPr>
                <w:rStyle w:val="FootnoteReference"/>
                <w:sz w:val="20"/>
              </w:rPr>
              <w:footnoteReference w:id="50"/>
            </w:r>
          </w:p>
        </w:tc>
      </w:tr>
      <w:tr w:rsidR="003772D0"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3772D0" w:rsidRPr="001A6700" w:rsidRDefault="003772D0" w:rsidP="00A83ABC">
            <w:pPr>
              <w:rPr>
                <w:rFonts w:cstheme="minorHAnsi"/>
                <w:b w:val="0"/>
                <w:sz w:val="20"/>
              </w:rPr>
            </w:pPr>
            <w:r w:rsidRPr="001A6700">
              <w:rPr>
                <w:rFonts w:cstheme="minorHAnsi"/>
                <w:b w:val="0"/>
                <w:sz w:val="20"/>
              </w:rPr>
              <w:t>Base</w:t>
            </w:r>
          </w:p>
        </w:tc>
        <w:tc>
          <w:tcPr>
            <w:tcW w:w="1260" w:type="dxa"/>
            <w:tcBorders>
              <w:left w:val="none" w:sz="0" w:space="0" w:color="auto"/>
              <w:righ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90%-97%</w:t>
            </w:r>
          </w:p>
        </w:tc>
        <w:tc>
          <w:tcPr>
            <w:tcW w:w="1740" w:type="dxa"/>
            <w:tcBorders>
              <w:left w:val="none" w:sz="0" w:space="0" w:color="auto"/>
              <w:righ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4</w:t>
            </w:r>
          </w:p>
        </w:tc>
        <w:tc>
          <w:tcPr>
            <w:tcW w:w="1416" w:type="dxa"/>
            <w:tcBorders>
              <w:left w:val="none" w:sz="0" w:space="0" w:color="auto"/>
              <w:righ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6</w:t>
            </w:r>
          </w:p>
        </w:tc>
        <w:tc>
          <w:tcPr>
            <w:tcW w:w="2064" w:type="dxa"/>
            <w:tcBorders>
              <w:lef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15</w:t>
            </w:r>
          </w:p>
        </w:tc>
      </w:tr>
      <w:tr w:rsidR="003772D0"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3772D0" w:rsidRPr="001A6700" w:rsidRDefault="003772D0" w:rsidP="00A83ABC">
            <w:pPr>
              <w:rPr>
                <w:rFonts w:cstheme="minorHAnsi"/>
                <w:b w:val="0"/>
                <w:sz w:val="20"/>
              </w:rPr>
            </w:pPr>
            <w:r w:rsidRPr="001A6700">
              <w:rPr>
                <w:rFonts w:cstheme="minorHAnsi"/>
                <w:b w:val="0"/>
                <w:sz w:val="20"/>
              </w:rPr>
              <w:t>Longer Events</w:t>
            </w:r>
          </w:p>
        </w:tc>
        <w:tc>
          <w:tcPr>
            <w:tcW w:w="1260" w:type="dxa"/>
            <w:tcBorders>
              <w:left w:val="none" w:sz="0" w:space="0" w:color="auto"/>
              <w:righ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90%-97%</w:t>
            </w:r>
          </w:p>
        </w:tc>
        <w:tc>
          <w:tcPr>
            <w:tcW w:w="1740" w:type="dxa"/>
            <w:tcBorders>
              <w:left w:val="none" w:sz="0" w:space="0" w:color="auto"/>
              <w:righ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6</w:t>
            </w:r>
          </w:p>
        </w:tc>
        <w:tc>
          <w:tcPr>
            <w:tcW w:w="1416" w:type="dxa"/>
            <w:tcBorders>
              <w:left w:val="none" w:sz="0" w:space="0" w:color="auto"/>
              <w:righ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6</w:t>
            </w:r>
          </w:p>
        </w:tc>
        <w:tc>
          <w:tcPr>
            <w:tcW w:w="2064" w:type="dxa"/>
            <w:tcBorders>
              <w:lef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15</w:t>
            </w:r>
          </w:p>
        </w:tc>
      </w:tr>
      <w:tr w:rsidR="003772D0"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3772D0" w:rsidRPr="001A6700" w:rsidRDefault="003772D0" w:rsidP="00A83ABC">
            <w:pPr>
              <w:rPr>
                <w:rFonts w:cstheme="minorHAnsi"/>
                <w:b w:val="0"/>
                <w:sz w:val="20"/>
              </w:rPr>
            </w:pPr>
            <w:r w:rsidRPr="001A6700">
              <w:rPr>
                <w:rFonts w:cstheme="minorHAnsi"/>
                <w:b w:val="0"/>
                <w:sz w:val="20"/>
              </w:rPr>
              <w:t>Later Start</w:t>
            </w:r>
          </w:p>
        </w:tc>
        <w:tc>
          <w:tcPr>
            <w:tcW w:w="1260" w:type="dxa"/>
            <w:tcBorders>
              <w:left w:val="none" w:sz="0" w:space="0" w:color="auto"/>
              <w:righ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90%-97%</w:t>
            </w:r>
          </w:p>
        </w:tc>
        <w:tc>
          <w:tcPr>
            <w:tcW w:w="1740" w:type="dxa"/>
            <w:tcBorders>
              <w:left w:val="none" w:sz="0" w:space="0" w:color="auto"/>
              <w:righ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4</w:t>
            </w:r>
          </w:p>
        </w:tc>
        <w:tc>
          <w:tcPr>
            <w:tcW w:w="1416" w:type="dxa"/>
            <w:tcBorders>
              <w:left w:val="none" w:sz="0" w:space="0" w:color="auto"/>
              <w:righ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6</w:t>
            </w:r>
          </w:p>
        </w:tc>
        <w:tc>
          <w:tcPr>
            <w:tcW w:w="2064" w:type="dxa"/>
            <w:tcBorders>
              <w:left w:val="none" w:sz="0" w:space="0" w:color="auto"/>
            </w:tcBorders>
          </w:tcPr>
          <w:p w:rsidR="003772D0" w:rsidRPr="001A6700" w:rsidRDefault="003772D0" w:rsidP="00A83ABC">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1A6700">
              <w:rPr>
                <w:rFonts w:cstheme="minorHAnsi"/>
                <w:sz w:val="20"/>
              </w:rPr>
              <w:t>17</w:t>
            </w:r>
          </w:p>
        </w:tc>
      </w:tr>
      <w:tr w:rsidR="003772D0"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0" w:type="dxa"/>
            <w:tcBorders>
              <w:right w:val="none" w:sz="0" w:space="0" w:color="auto"/>
            </w:tcBorders>
          </w:tcPr>
          <w:p w:rsidR="003772D0" w:rsidRPr="001A6700" w:rsidRDefault="003772D0" w:rsidP="00A83ABC">
            <w:pPr>
              <w:rPr>
                <w:rFonts w:cstheme="minorHAnsi"/>
                <w:b w:val="0"/>
                <w:sz w:val="20"/>
              </w:rPr>
            </w:pPr>
            <w:r w:rsidRPr="001A6700">
              <w:rPr>
                <w:rFonts w:cstheme="minorHAnsi"/>
                <w:b w:val="0"/>
                <w:sz w:val="20"/>
              </w:rPr>
              <w:t>More Frequent Events</w:t>
            </w:r>
          </w:p>
        </w:tc>
        <w:tc>
          <w:tcPr>
            <w:tcW w:w="1260" w:type="dxa"/>
            <w:tcBorders>
              <w:left w:val="none" w:sz="0" w:space="0" w:color="auto"/>
              <w:righ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90%-97%</w:t>
            </w:r>
          </w:p>
        </w:tc>
        <w:tc>
          <w:tcPr>
            <w:tcW w:w="1740" w:type="dxa"/>
            <w:tcBorders>
              <w:left w:val="none" w:sz="0" w:space="0" w:color="auto"/>
              <w:righ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4</w:t>
            </w:r>
          </w:p>
        </w:tc>
        <w:tc>
          <w:tcPr>
            <w:tcW w:w="1416" w:type="dxa"/>
            <w:tcBorders>
              <w:left w:val="none" w:sz="0" w:space="0" w:color="auto"/>
              <w:righ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12</w:t>
            </w:r>
          </w:p>
        </w:tc>
        <w:tc>
          <w:tcPr>
            <w:tcW w:w="2064" w:type="dxa"/>
            <w:tcBorders>
              <w:left w:val="none" w:sz="0" w:space="0" w:color="auto"/>
            </w:tcBorders>
          </w:tcPr>
          <w:p w:rsidR="003772D0" w:rsidRPr="001A6700" w:rsidRDefault="003772D0" w:rsidP="00A83ABC">
            <w:pPr>
              <w:jc w:val="center"/>
              <w:cnfStyle w:val="000000010000" w:firstRow="0" w:lastRow="0" w:firstColumn="0" w:lastColumn="0" w:oddVBand="0" w:evenVBand="0" w:oddHBand="0" w:evenHBand="1" w:firstRowFirstColumn="0" w:firstRowLastColumn="0" w:lastRowFirstColumn="0" w:lastRowLastColumn="0"/>
              <w:rPr>
                <w:rFonts w:cstheme="minorHAnsi"/>
                <w:sz w:val="20"/>
              </w:rPr>
            </w:pPr>
            <w:r w:rsidRPr="001A6700">
              <w:rPr>
                <w:rFonts w:cstheme="minorHAnsi"/>
                <w:sz w:val="20"/>
              </w:rPr>
              <w:t>15</w:t>
            </w:r>
          </w:p>
        </w:tc>
      </w:tr>
    </w:tbl>
    <w:p w:rsidR="003772D0" w:rsidRDefault="003772D0" w:rsidP="00A83ABC"/>
    <w:p w:rsidR="00803DBE" w:rsidRDefault="003772D0" w:rsidP="00A83ABC">
      <w:r>
        <w:lastRenderedPageBreak/>
        <w:t xml:space="preserve">A number of hypothetical examples can be used to compare potential </w:t>
      </w:r>
      <w:r w:rsidR="00037A03">
        <w:t>DR</w:t>
      </w:r>
      <w:r>
        <w:t xml:space="preserve"> program designs. For example, all else equal, the simulation indicates a later start time can be expected to decrease ELCC</w:t>
      </w:r>
      <w:r w:rsidR="00E87F48">
        <w:t xml:space="preserve"> relative to the base program design at each dispatch threshold</w:t>
      </w:r>
      <w:r>
        <w:t xml:space="preserve">. </w:t>
      </w:r>
      <w:r w:rsidR="00D67E45">
        <w:t xml:space="preserve"> In </w:t>
      </w:r>
      <w:r w:rsidR="00D67E45">
        <w:fldChar w:fldCharType="begin"/>
      </w:r>
      <w:r w:rsidR="00D67E45">
        <w:instrText xml:space="preserve"> REF _Ref399856425 \h </w:instrText>
      </w:r>
      <w:r w:rsidR="00CF2BE5">
        <w:instrText xml:space="preserve"> \* MERGEFORMAT </w:instrText>
      </w:r>
      <w:r w:rsidR="00D67E45">
        <w:fldChar w:fldCharType="separate"/>
      </w:r>
      <w:r w:rsidR="00803DBE">
        <w:t xml:space="preserve">we </w:t>
      </w:r>
      <w:r w:rsidR="00803DBE">
        <w:rPr>
          <w:noProof/>
        </w:rPr>
        <w:t>present</w:t>
      </w:r>
      <w:r w:rsidR="00803DBE">
        <w:t xml:space="preserve"> a program design with a maximum of 7 events annually, each lasting 3 hours, and with a dispatch criterion of days when load reaches 96% of system peak. These simulation results demonstrate that events called from 3:00 p.m. to 6:00 p.m. are expected to outperform events called from 2:00 p.m. to 5:00 p.m. or from 4:00 p.m. to 7:00 p.m., holding all other factors constant.</w:t>
      </w:r>
    </w:p>
    <w:p w:rsidR="00803DBE" w:rsidRDefault="00803DBE" w:rsidP="00A83ABC"/>
    <w:p w:rsidR="003772D0" w:rsidRDefault="00803DBE" w:rsidP="00A83ABC">
      <w:r w:rsidRPr="00227B43">
        <w:t xml:space="preserve">Figure </w:t>
      </w:r>
      <w:r>
        <w:rPr>
          <w:noProof/>
        </w:rPr>
        <w:t>2</w:t>
      </w:r>
      <w:r w:rsidRPr="00227B43">
        <w:rPr>
          <w:noProof/>
        </w:rPr>
        <w:noBreakHyphen/>
      </w:r>
      <w:r>
        <w:rPr>
          <w:noProof/>
        </w:rPr>
        <w:t>5</w:t>
      </w:r>
      <w:r w:rsidR="00D67E45">
        <w:fldChar w:fldCharType="end"/>
      </w:r>
      <w:r w:rsidR="00D67E45">
        <w:t xml:space="preserve">, </w:t>
      </w:r>
      <w:bookmarkStart w:id="96" w:name="_Ref399856425"/>
      <w:r w:rsidR="003772D0">
        <w:t>we present a program design with a maximum of 7 events annually, each lasting 3 hours, and with a dispatch criterion of days when load reaches 96% of system peak</w:t>
      </w:r>
      <w:r w:rsidR="003772D0">
        <w:rPr>
          <w:rStyle w:val="FootnoteReference"/>
        </w:rPr>
        <w:footnoteReference w:id="51"/>
      </w:r>
      <w:r w:rsidR="003772D0">
        <w:t>. These simulation results demonstrate that events called from 3</w:t>
      </w:r>
      <w:r w:rsidR="00152180">
        <w:t>:00</w:t>
      </w:r>
      <w:r w:rsidR="003772D0">
        <w:t xml:space="preserve"> p</w:t>
      </w:r>
      <w:r w:rsidR="00152180">
        <w:t>.</w:t>
      </w:r>
      <w:r w:rsidR="003772D0">
        <w:t>m</w:t>
      </w:r>
      <w:r w:rsidR="00152180">
        <w:t>.</w:t>
      </w:r>
      <w:r w:rsidR="003772D0">
        <w:t xml:space="preserve"> to 6</w:t>
      </w:r>
      <w:r w:rsidR="0059185C">
        <w:t>:00</w:t>
      </w:r>
      <w:r w:rsidR="003772D0">
        <w:t xml:space="preserve"> p</w:t>
      </w:r>
      <w:r w:rsidR="0059185C">
        <w:t>.</w:t>
      </w:r>
      <w:r w:rsidR="003772D0">
        <w:t>m</w:t>
      </w:r>
      <w:r w:rsidR="0059185C">
        <w:t>.</w:t>
      </w:r>
      <w:r w:rsidR="003772D0">
        <w:t xml:space="preserve"> are expected to outperform events called from 2</w:t>
      </w:r>
      <w:r w:rsidR="00152180">
        <w:t>:00</w:t>
      </w:r>
      <w:r w:rsidR="003772D0">
        <w:t xml:space="preserve"> p</w:t>
      </w:r>
      <w:r w:rsidR="00152180">
        <w:t>.</w:t>
      </w:r>
      <w:r w:rsidR="003772D0">
        <w:t>m</w:t>
      </w:r>
      <w:r w:rsidR="00152180">
        <w:t>.</w:t>
      </w:r>
      <w:r w:rsidR="003772D0">
        <w:t xml:space="preserve"> to 5</w:t>
      </w:r>
      <w:r w:rsidR="00152180">
        <w:t>:00</w:t>
      </w:r>
      <w:r w:rsidR="003772D0">
        <w:t xml:space="preserve"> p</w:t>
      </w:r>
      <w:r w:rsidR="00152180">
        <w:t>.</w:t>
      </w:r>
      <w:r w:rsidR="003772D0">
        <w:t>m</w:t>
      </w:r>
      <w:r w:rsidR="00152180">
        <w:t>.</w:t>
      </w:r>
      <w:r w:rsidR="003772D0">
        <w:t xml:space="preserve"> or from 4</w:t>
      </w:r>
      <w:r w:rsidR="00152180">
        <w:t>:00</w:t>
      </w:r>
      <w:r w:rsidR="003772D0">
        <w:t xml:space="preserve"> p</w:t>
      </w:r>
      <w:r w:rsidR="00152180">
        <w:t>.</w:t>
      </w:r>
      <w:r w:rsidR="003772D0">
        <w:t>m</w:t>
      </w:r>
      <w:r w:rsidR="00152180">
        <w:t>.</w:t>
      </w:r>
      <w:r w:rsidR="003772D0">
        <w:t xml:space="preserve"> to 7</w:t>
      </w:r>
      <w:r w:rsidR="00152180">
        <w:t>:00</w:t>
      </w:r>
      <w:r w:rsidR="003772D0">
        <w:t xml:space="preserve"> p</w:t>
      </w:r>
      <w:r w:rsidR="00152180">
        <w:t>.</w:t>
      </w:r>
      <w:r w:rsidR="003772D0">
        <w:t>m</w:t>
      </w:r>
      <w:r w:rsidR="00152180">
        <w:t>.</w:t>
      </w:r>
      <w:r w:rsidR="003772D0">
        <w:t>, holding all other factors constant.</w:t>
      </w:r>
    </w:p>
    <w:p w:rsidR="003772D0" w:rsidRDefault="003772D0" w:rsidP="00A83ABC"/>
    <w:p w:rsidR="00D67E45" w:rsidRPr="00227B43" w:rsidRDefault="00D67E45" w:rsidP="00A83ABC">
      <w:pPr>
        <w:pStyle w:val="Caption"/>
      </w:pPr>
      <w:bookmarkStart w:id="97" w:name="_Toc412628506"/>
      <w:r w:rsidRPr="00227B43">
        <w:t xml:space="preserve">Figure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850055" w:rsidRPr="00227B43">
        <w:noBreakHyphen/>
      </w:r>
      <w:r w:rsidR="00E2011B">
        <w:fldChar w:fldCharType="begin"/>
      </w:r>
      <w:r w:rsidR="00E2011B">
        <w:instrText xml:space="preserve"> SEQ Figure \* ARABIC \s 1 </w:instrText>
      </w:r>
      <w:r w:rsidR="00E2011B">
        <w:fldChar w:fldCharType="separate"/>
      </w:r>
      <w:r w:rsidR="00803DBE">
        <w:rPr>
          <w:noProof/>
        </w:rPr>
        <w:t>5</w:t>
      </w:r>
      <w:r w:rsidR="00E2011B">
        <w:rPr>
          <w:noProof/>
        </w:rPr>
        <w:fldChar w:fldCharType="end"/>
      </w:r>
      <w:bookmarkEnd w:id="96"/>
      <w:r w:rsidRPr="00227B43">
        <w:t xml:space="preserve">: Expected </w:t>
      </w:r>
      <w:r w:rsidR="002F761C">
        <w:t>ELCC</w:t>
      </w:r>
      <w:r w:rsidR="00227B43" w:rsidRPr="00227B43" w:rsidDel="00227B43">
        <w:t xml:space="preserve"> </w:t>
      </w:r>
      <w:r w:rsidRPr="00227B43">
        <w:t>for a Range of Event Start Times</w:t>
      </w:r>
      <w:bookmarkEnd w:id="97"/>
    </w:p>
    <w:p w:rsidR="00D67E45" w:rsidRDefault="00E87F48" w:rsidP="00A83ABC">
      <w:pPr>
        <w:keepNext/>
      </w:pPr>
      <w:r>
        <w:rPr>
          <w:noProof/>
        </w:rPr>
        <w:drawing>
          <wp:inline distT="0" distB="0" distL="0" distR="0" wp14:anchorId="626BDFD5" wp14:editId="5F76DB79">
            <wp:extent cx="5886450" cy="32575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0B6E" w:rsidRDefault="00A10B6E" w:rsidP="00A83ABC"/>
    <w:p w:rsidR="003772D0" w:rsidRDefault="00D67E45" w:rsidP="00A83ABC">
      <w:r>
        <w:t xml:space="preserve">Changing more than one program design variable can have interactive effects. It can be difficult to compare programs with different combinations of duration and event frequency. We illustrate these types of interactive effects below in </w:t>
      </w:r>
      <w:r>
        <w:fldChar w:fldCharType="begin"/>
      </w:r>
      <w:r>
        <w:instrText xml:space="preserve"> REF _Ref399856693 \h </w:instrText>
      </w:r>
      <w:r w:rsidR="00CF2BE5">
        <w:instrText xml:space="preserve"> \* MERGEFORMAT </w:instrText>
      </w:r>
      <w:r>
        <w:fldChar w:fldCharType="separate"/>
      </w:r>
      <w:r w:rsidR="00803DBE" w:rsidRPr="009F20B9">
        <w:t xml:space="preserve">Figure </w:t>
      </w:r>
      <w:r w:rsidR="00803DBE">
        <w:rPr>
          <w:noProof/>
        </w:rPr>
        <w:t>2</w:t>
      </w:r>
      <w:r w:rsidR="00803DBE">
        <w:rPr>
          <w:noProof/>
        </w:rPr>
        <w:noBreakHyphen/>
        <w:t>6</w:t>
      </w:r>
      <w:r>
        <w:fldChar w:fldCharType="end"/>
      </w:r>
      <w:r>
        <w:t xml:space="preserve">, </w:t>
      </w:r>
      <w:r w:rsidR="003772D0">
        <w:t>which compares three different programs with a maximum of 24 event hours per year: one program consisting of 4-hour events with a maximum of 6 events, one consisting of 3-hour events with a maximum of 8 events, and one consisting of 2-hour events with a maximum of 12 events. All three of these designs assume dispatch at 2</w:t>
      </w:r>
      <w:r w:rsidR="007306EC">
        <w:t>:00</w:t>
      </w:r>
      <w:r w:rsidR="003772D0">
        <w:t xml:space="preserve"> p</w:t>
      </w:r>
      <w:r w:rsidR="007306EC">
        <w:t>.</w:t>
      </w:r>
      <w:r w:rsidR="003772D0">
        <w:t>m. The simulation results indicate that the program with a maximum of 6 events lasting 4 hours is expected to perform best; further, it is likely to capture the highest percentage of target load if it is dispatched on days when load is expected to reach 96% of system peak.</w:t>
      </w:r>
    </w:p>
    <w:p w:rsidR="00D67E45" w:rsidRDefault="00D67E45" w:rsidP="00A83ABC"/>
    <w:p w:rsidR="00D67E45" w:rsidRDefault="00D67E45" w:rsidP="00A83ABC"/>
    <w:p w:rsidR="00D67E45" w:rsidRPr="009F20B9" w:rsidRDefault="00D67E45" w:rsidP="00A83ABC">
      <w:pPr>
        <w:pStyle w:val="Caption"/>
        <w:keepNext/>
      </w:pPr>
      <w:bookmarkStart w:id="98" w:name="_Ref399856693"/>
      <w:bookmarkStart w:id="99" w:name="_Toc412628507"/>
      <w:r w:rsidRPr="009F20B9">
        <w:lastRenderedPageBreak/>
        <w:t xml:space="preserve">Figure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6</w:t>
      </w:r>
      <w:r w:rsidR="00E2011B">
        <w:rPr>
          <w:noProof/>
        </w:rPr>
        <w:fldChar w:fldCharType="end"/>
      </w:r>
      <w:bookmarkEnd w:id="98"/>
      <w:r w:rsidRPr="009F20B9">
        <w:t>: Comparison of Three Potential Program Designs, Each with No More Than 24 Total Event</w:t>
      </w:r>
      <w:r w:rsidR="00227B43">
        <w:t xml:space="preserve"> </w:t>
      </w:r>
      <w:r w:rsidRPr="009F20B9">
        <w:t>Hours</w:t>
      </w:r>
      <w:bookmarkEnd w:id="99"/>
    </w:p>
    <w:p w:rsidR="00D67E45" w:rsidRDefault="00D67E45" w:rsidP="00260827">
      <w:pPr>
        <w:jc w:val="center"/>
      </w:pPr>
      <w:r>
        <w:rPr>
          <w:noProof/>
        </w:rPr>
        <w:drawing>
          <wp:inline distT="0" distB="0" distL="0" distR="0" wp14:anchorId="6DCE9CC7" wp14:editId="2A6166BF">
            <wp:extent cx="5107195" cy="3710354"/>
            <wp:effectExtent l="57150" t="76200" r="36830" b="425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png"/>
                    <pic:cNvPicPr/>
                  </pic:nvPicPr>
                  <pic:blipFill>
                    <a:blip r:embed="rId32">
                      <a:extLst>
                        <a:ext uri="{28A0092B-C50C-407E-A947-70E740481C1C}">
                          <a14:useLocalDpi xmlns:a14="http://schemas.microsoft.com/office/drawing/2010/main" val="0"/>
                        </a:ext>
                      </a:extLst>
                    </a:blip>
                    <a:stretch>
                      <a:fillRect/>
                    </a:stretch>
                  </pic:blipFill>
                  <pic:spPr>
                    <a:xfrm>
                      <a:off x="0" y="0"/>
                      <a:ext cx="5117046" cy="3717511"/>
                    </a:xfrm>
                    <a:prstGeom prst="rect">
                      <a:avLst/>
                    </a:prstGeom>
                    <a:ln>
                      <a:noFill/>
                    </a:ln>
                    <a:effectLst>
                      <a:outerShdw blurRad="50800" dist="38100" dir="13500000" algn="br" rotWithShape="0">
                        <a:prstClr val="black">
                          <a:alpha val="40000"/>
                        </a:prstClr>
                      </a:outerShdw>
                      <a:softEdge rad="31750"/>
                    </a:effectLst>
                  </pic:spPr>
                </pic:pic>
              </a:graphicData>
            </a:graphic>
          </wp:inline>
        </w:drawing>
      </w:r>
    </w:p>
    <w:p w:rsidR="00A10B6E" w:rsidRDefault="00A10B6E" w:rsidP="00A83ABC"/>
    <w:p w:rsidR="00D67E45" w:rsidRDefault="00D67E45" w:rsidP="00A83ABC">
      <w:r>
        <w:t xml:space="preserve">Even though a higher dispatch criterion improves the simulated ELCC, a higher dispatch criterion can also result in fewer events, or even no events in a cool summer. </w:t>
      </w:r>
      <w:r>
        <w:fldChar w:fldCharType="begin"/>
      </w:r>
      <w:r>
        <w:instrText xml:space="preserve"> REF _Ref399856785 \h </w:instrText>
      </w:r>
      <w:r w:rsidR="00CF2BE5">
        <w:instrText xml:space="preserve"> \* MERGEFORMAT </w:instrText>
      </w:r>
      <w:r>
        <w:fldChar w:fldCharType="separate"/>
      </w:r>
      <w:r w:rsidR="00803DBE" w:rsidRPr="00A10B6E">
        <w:t xml:space="preserve">Table </w:t>
      </w:r>
      <w:r w:rsidR="00803DBE">
        <w:rPr>
          <w:noProof/>
        </w:rPr>
        <w:t>2</w:t>
      </w:r>
      <w:r w:rsidR="00803DBE">
        <w:rPr>
          <w:noProof/>
        </w:rPr>
        <w:noBreakHyphen/>
        <w:t>7</w:t>
      </w:r>
      <w:r>
        <w:fldChar w:fldCharType="end"/>
      </w:r>
      <w:r>
        <w:t xml:space="preserve"> illustrates this concept by showing the number of events that would have been called in each year, based on the precedi</w:t>
      </w:r>
      <w:r w:rsidR="0080257E">
        <w:t>ng hypothetical program design.</w:t>
      </w:r>
    </w:p>
    <w:p w:rsidR="00A10B6E" w:rsidRDefault="00A10B6E" w:rsidP="00A83ABC"/>
    <w:p w:rsidR="00D67E45" w:rsidRPr="00A10B6E" w:rsidRDefault="00D67E45" w:rsidP="00A83ABC">
      <w:pPr>
        <w:pStyle w:val="Caption"/>
      </w:pPr>
      <w:bookmarkStart w:id="100" w:name="_Ref399856785"/>
      <w:bookmarkStart w:id="101" w:name="_Toc412628453"/>
      <w:r w:rsidRPr="00A10B6E">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7</w:t>
      </w:r>
      <w:r w:rsidR="00E2011B">
        <w:rPr>
          <w:noProof/>
        </w:rPr>
        <w:fldChar w:fldCharType="end"/>
      </w:r>
      <w:bookmarkEnd w:id="100"/>
      <w:r w:rsidRPr="00A10B6E">
        <w:t>: Historic Event Calls by Dispatch Criterion (Assuming Max Events = 6)</w:t>
      </w:r>
      <w:bookmarkEnd w:id="101"/>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089"/>
        <w:gridCol w:w="1088"/>
        <w:gridCol w:w="1087"/>
        <w:gridCol w:w="1087"/>
        <w:gridCol w:w="1087"/>
        <w:gridCol w:w="1087"/>
        <w:gridCol w:w="981"/>
        <w:gridCol w:w="981"/>
        <w:gridCol w:w="981"/>
      </w:tblGrid>
      <w:tr w:rsidR="00A10B6E" w:rsidRPr="001A6700" w:rsidTr="00C04D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9" w:type="dxa"/>
            <w:vMerge w:val="restart"/>
            <w:tcBorders>
              <w:top w:val="none" w:sz="0" w:space="0" w:color="auto"/>
              <w:left w:val="none" w:sz="0" w:space="0" w:color="auto"/>
              <w:bottom w:val="none" w:sz="0" w:space="0" w:color="auto"/>
              <w:right w:val="none" w:sz="0" w:space="0" w:color="auto"/>
            </w:tcBorders>
            <w:shd w:val="clear" w:color="auto" w:fill="448A99"/>
            <w:vAlign w:val="bottom"/>
          </w:tcPr>
          <w:p w:rsidR="00A10B6E" w:rsidRPr="001A6700" w:rsidRDefault="00A10B6E" w:rsidP="00A83ABC">
            <w:pPr>
              <w:jc w:val="left"/>
              <w:rPr>
                <w:sz w:val="20"/>
                <w:szCs w:val="20"/>
              </w:rPr>
            </w:pPr>
            <w:r w:rsidRPr="001A6700">
              <w:rPr>
                <w:sz w:val="20"/>
                <w:szCs w:val="20"/>
              </w:rPr>
              <w:t>Year</w:t>
            </w:r>
          </w:p>
        </w:tc>
        <w:tc>
          <w:tcPr>
            <w:tcW w:w="8379" w:type="dxa"/>
            <w:gridSpan w:val="8"/>
            <w:tcBorders>
              <w:top w:val="none" w:sz="0" w:space="0" w:color="auto"/>
              <w:left w:val="none" w:sz="0" w:space="0" w:color="auto"/>
              <w:bottom w:val="none" w:sz="0" w:space="0" w:color="auto"/>
              <w:right w:val="none" w:sz="0" w:space="0" w:color="auto"/>
            </w:tcBorders>
            <w:shd w:val="clear" w:color="auto" w:fill="448A99"/>
          </w:tcPr>
          <w:p w:rsidR="00A10B6E" w:rsidRPr="001A6700" w:rsidRDefault="00A10B6E"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6700">
              <w:rPr>
                <w:sz w:val="20"/>
                <w:szCs w:val="20"/>
              </w:rPr>
              <w:t>Load Threshold</w:t>
            </w:r>
          </w:p>
        </w:tc>
      </w:tr>
      <w:tr w:rsidR="00A10B6E" w:rsidRPr="001A6700" w:rsidTr="00C04D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9" w:type="dxa"/>
            <w:vMerge/>
            <w:tcBorders>
              <w:right w:val="none" w:sz="0" w:space="0" w:color="auto"/>
            </w:tcBorders>
            <w:shd w:val="clear" w:color="auto" w:fill="448A99"/>
          </w:tcPr>
          <w:p w:rsidR="00A10B6E" w:rsidRPr="001A6700" w:rsidRDefault="00A10B6E" w:rsidP="00A83ABC">
            <w:pPr>
              <w:rPr>
                <w:sz w:val="20"/>
                <w:szCs w:val="20"/>
              </w:rPr>
            </w:pPr>
          </w:p>
        </w:tc>
        <w:tc>
          <w:tcPr>
            <w:tcW w:w="1088" w:type="dxa"/>
            <w:tcBorders>
              <w:left w:val="none" w:sz="0" w:space="0" w:color="auto"/>
              <w:righ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90%</w:t>
            </w:r>
          </w:p>
        </w:tc>
        <w:tc>
          <w:tcPr>
            <w:tcW w:w="1087" w:type="dxa"/>
            <w:tcBorders>
              <w:left w:val="none" w:sz="0" w:space="0" w:color="auto"/>
              <w:righ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91%</w:t>
            </w:r>
          </w:p>
        </w:tc>
        <w:tc>
          <w:tcPr>
            <w:tcW w:w="1087" w:type="dxa"/>
            <w:tcBorders>
              <w:left w:val="none" w:sz="0" w:space="0" w:color="auto"/>
              <w:righ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92%</w:t>
            </w:r>
          </w:p>
        </w:tc>
        <w:tc>
          <w:tcPr>
            <w:tcW w:w="1087" w:type="dxa"/>
            <w:tcBorders>
              <w:left w:val="none" w:sz="0" w:space="0" w:color="auto"/>
              <w:righ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93%</w:t>
            </w:r>
          </w:p>
        </w:tc>
        <w:tc>
          <w:tcPr>
            <w:tcW w:w="1087" w:type="dxa"/>
            <w:tcBorders>
              <w:left w:val="none" w:sz="0" w:space="0" w:color="auto"/>
              <w:righ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94%</w:t>
            </w:r>
          </w:p>
        </w:tc>
        <w:tc>
          <w:tcPr>
            <w:tcW w:w="981" w:type="dxa"/>
            <w:tcBorders>
              <w:left w:val="none" w:sz="0" w:space="0" w:color="auto"/>
              <w:righ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95%</w:t>
            </w:r>
          </w:p>
        </w:tc>
        <w:tc>
          <w:tcPr>
            <w:tcW w:w="981" w:type="dxa"/>
            <w:tcBorders>
              <w:left w:val="none" w:sz="0" w:space="0" w:color="auto"/>
              <w:righ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96%</w:t>
            </w:r>
          </w:p>
        </w:tc>
        <w:tc>
          <w:tcPr>
            <w:tcW w:w="981" w:type="dxa"/>
            <w:tcBorders>
              <w:left w:val="none" w:sz="0" w:space="0" w:color="auto"/>
            </w:tcBorders>
            <w:shd w:val="clear" w:color="auto" w:fill="448A99"/>
          </w:tcPr>
          <w:p w:rsidR="00A10B6E" w:rsidRPr="00AB46EA" w:rsidRDefault="00A10B6E" w:rsidP="00A83A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B46EA">
              <w:rPr>
                <w:rFonts w:cstheme="minorHAnsi"/>
                <w:sz w:val="20"/>
                <w:szCs w:val="20"/>
              </w:rPr>
              <w:t>97%</w:t>
            </w:r>
          </w:p>
        </w:tc>
      </w:tr>
      <w:tr w:rsidR="00A10B6E"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tcPr>
          <w:p w:rsidR="00A10B6E" w:rsidRPr="00FF45F3" w:rsidRDefault="00A10B6E" w:rsidP="00A83ABC">
            <w:pPr>
              <w:rPr>
                <w:rFonts w:cstheme="minorHAnsi"/>
                <w:b w:val="0"/>
                <w:sz w:val="20"/>
                <w:szCs w:val="20"/>
              </w:rPr>
            </w:pPr>
            <w:r w:rsidRPr="00FF45F3">
              <w:rPr>
                <w:rFonts w:cstheme="minorHAnsi"/>
                <w:b w:val="0"/>
                <w:sz w:val="20"/>
                <w:szCs w:val="20"/>
              </w:rPr>
              <w:t>2006</w:t>
            </w:r>
          </w:p>
        </w:tc>
        <w:tc>
          <w:tcPr>
            <w:tcW w:w="1088"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r>
      <w:tr w:rsidR="00A10B6E"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shd w:val="clear" w:color="auto" w:fill="auto"/>
          </w:tcPr>
          <w:p w:rsidR="00A10B6E" w:rsidRPr="00FF45F3" w:rsidRDefault="00A10B6E" w:rsidP="00A83ABC">
            <w:pPr>
              <w:rPr>
                <w:rFonts w:cstheme="minorHAnsi"/>
                <w:b w:val="0"/>
                <w:sz w:val="20"/>
                <w:szCs w:val="20"/>
              </w:rPr>
            </w:pPr>
            <w:r w:rsidRPr="00FF45F3">
              <w:rPr>
                <w:rFonts w:cstheme="minorHAnsi"/>
                <w:b w:val="0"/>
                <w:sz w:val="20"/>
                <w:szCs w:val="20"/>
              </w:rPr>
              <w:t>2007</w:t>
            </w:r>
          </w:p>
        </w:tc>
        <w:tc>
          <w:tcPr>
            <w:tcW w:w="1088"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4</w:t>
            </w:r>
          </w:p>
        </w:tc>
        <w:tc>
          <w:tcPr>
            <w:tcW w:w="981" w:type="dxa"/>
            <w:tcBorders>
              <w:lef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4</w:t>
            </w:r>
          </w:p>
        </w:tc>
      </w:tr>
      <w:tr w:rsidR="00A10B6E"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tcPr>
          <w:p w:rsidR="00A10B6E" w:rsidRPr="00FF45F3" w:rsidRDefault="00A10B6E" w:rsidP="00A83ABC">
            <w:pPr>
              <w:rPr>
                <w:rFonts w:cstheme="minorHAnsi"/>
                <w:b w:val="0"/>
                <w:sz w:val="20"/>
                <w:szCs w:val="20"/>
              </w:rPr>
            </w:pPr>
            <w:r w:rsidRPr="00FF45F3">
              <w:rPr>
                <w:rFonts w:cstheme="minorHAnsi"/>
                <w:b w:val="0"/>
                <w:sz w:val="20"/>
                <w:szCs w:val="20"/>
              </w:rPr>
              <w:t>2008</w:t>
            </w:r>
          </w:p>
        </w:tc>
        <w:tc>
          <w:tcPr>
            <w:tcW w:w="1088"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5</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4</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1</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0</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0</w:t>
            </w:r>
          </w:p>
        </w:tc>
        <w:tc>
          <w:tcPr>
            <w:tcW w:w="981"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0</w:t>
            </w:r>
          </w:p>
        </w:tc>
      </w:tr>
      <w:tr w:rsidR="00A10B6E"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shd w:val="clear" w:color="auto" w:fill="auto"/>
          </w:tcPr>
          <w:p w:rsidR="00A10B6E" w:rsidRPr="00FF45F3" w:rsidRDefault="00A10B6E" w:rsidP="00A83ABC">
            <w:pPr>
              <w:rPr>
                <w:rFonts w:cstheme="minorHAnsi"/>
                <w:b w:val="0"/>
                <w:sz w:val="20"/>
                <w:szCs w:val="20"/>
              </w:rPr>
            </w:pPr>
            <w:r w:rsidRPr="00FF45F3">
              <w:rPr>
                <w:rFonts w:cstheme="minorHAnsi"/>
                <w:b w:val="0"/>
                <w:sz w:val="20"/>
                <w:szCs w:val="20"/>
              </w:rPr>
              <w:t>2009</w:t>
            </w:r>
          </w:p>
        </w:tc>
        <w:tc>
          <w:tcPr>
            <w:tcW w:w="1088"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3</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2</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1</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1</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1</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0</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0</w:t>
            </w:r>
          </w:p>
        </w:tc>
        <w:tc>
          <w:tcPr>
            <w:tcW w:w="981" w:type="dxa"/>
            <w:tcBorders>
              <w:lef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0</w:t>
            </w:r>
          </w:p>
        </w:tc>
      </w:tr>
      <w:tr w:rsidR="00A10B6E"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tcPr>
          <w:p w:rsidR="00A10B6E" w:rsidRPr="00FF45F3" w:rsidRDefault="00A10B6E" w:rsidP="00A83ABC">
            <w:pPr>
              <w:rPr>
                <w:rFonts w:cstheme="minorHAnsi"/>
                <w:b w:val="0"/>
                <w:sz w:val="20"/>
                <w:szCs w:val="20"/>
              </w:rPr>
            </w:pPr>
            <w:r w:rsidRPr="00FF45F3">
              <w:rPr>
                <w:rFonts w:cstheme="minorHAnsi"/>
                <w:b w:val="0"/>
                <w:sz w:val="20"/>
                <w:szCs w:val="20"/>
              </w:rPr>
              <w:t>2010</w:t>
            </w:r>
          </w:p>
        </w:tc>
        <w:tc>
          <w:tcPr>
            <w:tcW w:w="1088"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4</w:t>
            </w:r>
          </w:p>
        </w:tc>
      </w:tr>
      <w:tr w:rsidR="00A10B6E"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shd w:val="clear" w:color="auto" w:fill="auto"/>
          </w:tcPr>
          <w:p w:rsidR="00A10B6E" w:rsidRPr="00FF45F3" w:rsidRDefault="00A10B6E" w:rsidP="00A83ABC">
            <w:pPr>
              <w:rPr>
                <w:rFonts w:cstheme="minorHAnsi"/>
                <w:b w:val="0"/>
                <w:sz w:val="20"/>
                <w:szCs w:val="20"/>
              </w:rPr>
            </w:pPr>
            <w:r w:rsidRPr="00FF45F3">
              <w:rPr>
                <w:rFonts w:cstheme="minorHAnsi"/>
                <w:b w:val="0"/>
                <w:sz w:val="20"/>
                <w:szCs w:val="20"/>
              </w:rPr>
              <w:t>2011</w:t>
            </w:r>
          </w:p>
        </w:tc>
        <w:tc>
          <w:tcPr>
            <w:tcW w:w="1088"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r>
      <w:tr w:rsidR="00A10B6E"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tcPr>
          <w:p w:rsidR="00A10B6E" w:rsidRPr="00FF45F3" w:rsidRDefault="00A10B6E" w:rsidP="00A83ABC">
            <w:pPr>
              <w:rPr>
                <w:rFonts w:cstheme="minorHAnsi"/>
                <w:b w:val="0"/>
                <w:sz w:val="20"/>
                <w:szCs w:val="20"/>
              </w:rPr>
            </w:pPr>
            <w:r w:rsidRPr="00FF45F3">
              <w:rPr>
                <w:rFonts w:cstheme="minorHAnsi"/>
                <w:b w:val="0"/>
                <w:sz w:val="20"/>
                <w:szCs w:val="20"/>
              </w:rPr>
              <w:t>2012</w:t>
            </w:r>
          </w:p>
        </w:tc>
        <w:tc>
          <w:tcPr>
            <w:tcW w:w="1088"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981"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A6700">
              <w:rPr>
                <w:rFonts w:cs="Calibri"/>
                <w:color w:val="000000"/>
                <w:sz w:val="20"/>
                <w:szCs w:val="20"/>
              </w:rPr>
              <w:t>3</w:t>
            </w:r>
          </w:p>
        </w:tc>
      </w:tr>
      <w:tr w:rsidR="00A10B6E"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shd w:val="clear" w:color="auto" w:fill="auto"/>
          </w:tcPr>
          <w:p w:rsidR="00A10B6E" w:rsidRPr="00FF45F3" w:rsidRDefault="00A10B6E" w:rsidP="00A83ABC">
            <w:pPr>
              <w:rPr>
                <w:rFonts w:cstheme="minorHAnsi"/>
                <w:b w:val="0"/>
                <w:sz w:val="20"/>
                <w:szCs w:val="20"/>
              </w:rPr>
            </w:pPr>
            <w:r w:rsidRPr="00FF45F3">
              <w:rPr>
                <w:rFonts w:cstheme="minorHAnsi"/>
                <w:b w:val="0"/>
                <w:sz w:val="20"/>
                <w:szCs w:val="20"/>
              </w:rPr>
              <w:t>2013</w:t>
            </w:r>
          </w:p>
        </w:tc>
        <w:tc>
          <w:tcPr>
            <w:tcW w:w="1088"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6</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5</w:t>
            </w:r>
          </w:p>
        </w:tc>
        <w:tc>
          <w:tcPr>
            <w:tcW w:w="1087"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5</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5</w:t>
            </w:r>
          </w:p>
        </w:tc>
        <w:tc>
          <w:tcPr>
            <w:tcW w:w="981" w:type="dxa"/>
            <w:tcBorders>
              <w:left w:val="none" w:sz="0" w:space="0" w:color="auto"/>
              <w:righ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5</w:t>
            </w:r>
          </w:p>
        </w:tc>
        <w:tc>
          <w:tcPr>
            <w:tcW w:w="981" w:type="dxa"/>
            <w:tcBorders>
              <w:left w:val="none" w:sz="0" w:space="0" w:color="auto"/>
            </w:tcBorders>
            <w:shd w:val="clear" w:color="auto" w:fill="auto"/>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1A6700">
              <w:rPr>
                <w:rFonts w:cs="Calibri"/>
                <w:color w:val="000000"/>
                <w:sz w:val="20"/>
                <w:szCs w:val="20"/>
              </w:rPr>
              <w:t>4</w:t>
            </w:r>
          </w:p>
        </w:tc>
      </w:tr>
      <w:tr w:rsidR="00A10B6E"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89" w:type="dxa"/>
            <w:tcBorders>
              <w:right w:val="none" w:sz="0" w:space="0" w:color="auto"/>
            </w:tcBorders>
          </w:tcPr>
          <w:p w:rsidR="00A10B6E" w:rsidRPr="001A6700" w:rsidRDefault="00A10B6E" w:rsidP="00A83ABC">
            <w:pPr>
              <w:rPr>
                <w:rFonts w:cstheme="minorHAnsi"/>
                <w:sz w:val="20"/>
                <w:szCs w:val="20"/>
              </w:rPr>
            </w:pPr>
            <w:r w:rsidRPr="001A6700">
              <w:rPr>
                <w:rFonts w:cstheme="minorHAnsi"/>
                <w:sz w:val="20"/>
                <w:szCs w:val="20"/>
              </w:rPr>
              <w:t>Average</w:t>
            </w:r>
          </w:p>
        </w:tc>
        <w:tc>
          <w:tcPr>
            <w:tcW w:w="1088"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5.6</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5.5</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5.3</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5</w:t>
            </w:r>
          </w:p>
        </w:tc>
        <w:tc>
          <w:tcPr>
            <w:tcW w:w="1087"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4.6</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4.4</w:t>
            </w:r>
          </w:p>
        </w:tc>
        <w:tc>
          <w:tcPr>
            <w:tcW w:w="981"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4.1</w:t>
            </w:r>
          </w:p>
        </w:tc>
        <w:tc>
          <w:tcPr>
            <w:tcW w:w="981"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cs="Calibri"/>
                <w:b/>
                <w:color w:val="000000"/>
                <w:sz w:val="20"/>
                <w:szCs w:val="20"/>
              </w:rPr>
            </w:pPr>
            <w:r w:rsidRPr="001A6700">
              <w:rPr>
                <w:rFonts w:cs="Calibri"/>
                <w:b/>
                <w:color w:val="000000"/>
                <w:sz w:val="20"/>
                <w:szCs w:val="20"/>
              </w:rPr>
              <w:t>3.4</w:t>
            </w:r>
          </w:p>
        </w:tc>
      </w:tr>
    </w:tbl>
    <w:p w:rsidR="00A10B6E" w:rsidRDefault="00A10B6E" w:rsidP="00A83ABC"/>
    <w:p w:rsidR="00D67E45" w:rsidRDefault="00D67E45" w:rsidP="00A83ABC">
      <w:r>
        <w:fldChar w:fldCharType="begin"/>
      </w:r>
      <w:r>
        <w:instrText xml:space="preserve"> REF _Ref399857318 \h </w:instrText>
      </w:r>
      <w:r w:rsidR="00CF2BE5">
        <w:instrText xml:space="preserve"> \* MERGEFORMAT </w:instrText>
      </w:r>
      <w:r>
        <w:fldChar w:fldCharType="separate"/>
      </w:r>
      <w:r w:rsidR="00803DBE" w:rsidRPr="009F20B9">
        <w:t xml:space="preserve">Figure </w:t>
      </w:r>
      <w:r w:rsidR="00803DBE">
        <w:rPr>
          <w:noProof/>
        </w:rPr>
        <w:t>2</w:t>
      </w:r>
      <w:r w:rsidR="00803DBE">
        <w:rPr>
          <w:noProof/>
        </w:rPr>
        <w:noBreakHyphen/>
        <w:t>7</w:t>
      </w:r>
      <w:r>
        <w:fldChar w:fldCharType="end"/>
      </w:r>
      <w:r>
        <w:t xml:space="preserve"> shows the effect of changing the start time for a program that consists of a maximum of 6 events lasting 4 hours each. Each line demonstrates the simulated results using a different event start </w:t>
      </w:r>
      <w:r>
        <w:lastRenderedPageBreak/>
        <w:t>time. The figure indicates that a start time of 2</w:t>
      </w:r>
      <w:r w:rsidR="007306EC">
        <w:t>:00</w:t>
      </w:r>
      <w:r>
        <w:t xml:space="preserve"> p</w:t>
      </w:r>
      <w:r w:rsidR="007306EC">
        <w:t>.</w:t>
      </w:r>
      <w:r>
        <w:t>m</w:t>
      </w:r>
      <w:r w:rsidR="007306EC">
        <w:t>.</w:t>
      </w:r>
      <w:r>
        <w:t xml:space="preserve"> can be expected to perform best for a program of no more than 6 events lasting 4 hours, to be dispatched on days when system load reaches 96% of the projected annual peak.</w:t>
      </w:r>
    </w:p>
    <w:p w:rsidR="007306EC" w:rsidRDefault="007306EC" w:rsidP="00A83ABC"/>
    <w:p w:rsidR="00D67E45" w:rsidRPr="009F20B9" w:rsidRDefault="00D67E45" w:rsidP="00A83ABC">
      <w:pPr>
        <w:pStyle w:val="Caption"/>
        <w:keepNext/>
      </w:pPr>
      <w:bookmarkStart w:id="102" w:name="_Ref399857318"/>
      <w:bookmarkStart w:id="103" w:name="_Toc412628508"/>
      <w:r w:rsidRPr="009F20B9">
        <w:t xml:space="preserve">Figure </w:t>
      </w:r>
      <w:r w:rsidR="00E2011B">
        <w:fldChar w:fldCharType="begin"/>
      </w:r>
      <w:r w:rsidR="00E2011B">
        <w:instrText xml:space="preserve"> STYLEREF 1 \</w:instrText>
      </w:r>
      <w:r w:rsidR="00E2011B">
        <w:instrText xml:space="preserve">s </w:instrText>
      </w:r>
      <w:r w:rsidR="00E2011B">
        <w:fldChar w:fldCharType="separate"/>
      </w:r>
      <w:r w:rsidR="00803DBE">
        <w:rPr>
          <w:noProof/>
        </w:rPr>
        <w:t>2</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7</w:t>
      </w:r>
      <w:r w:rsidR="00E2011B">
        <w:rPr>
          <w:noProof/>
        </w:rPr>
        <w:fldChar w:fldCharType="end"/>
      </w:r>
      <w:bookmarkEnd w:id="102"/>
      <w:r w:rsidRPr="009F20B9">
        <w:t>: Comparison of Event Start Times (4 hour Events, Max Events = 6)</w:t>
      </w:r>
      <w:bookmarkEnd w:id="103"/>
    </w:p>
    <w:p w:rsidR="00D67E45" w:rsidRDefault="00D67E45" w:rsidP="00A83ABC">
      <w:pPr>
        <w:jc w:val="center"/>
      </w:pPr>
      <w:r>
        <w:rPr>
          <w:noProof/>
        </w:rPr>
        <w:drawing>
          <wp:inline distT="0" distB="0" distL="0" distR="0" wp14:anchorId="67EA5F16" wp14:editId="254EABC1">
            <wp:extent cx="4580626" cy="3327805"/>
            <wp:effectExtent l="57150" t="76200" r="29845" b="44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ther.png"/>
                    <pic:cNvPicPr/>
                  </pic:nvPicPr>
                  <pic:blipFill>
                    <a:blip r:embed="rId33">
                      <a:extLst>
                        <a:ext uri="{28A0092B-C50C-407E-A947-70E740481C1C}">
                          <a14:useLocalDpi xmlns:a14="http://schemas.microsoft.com/office/drawing/2010/main" val="0"/>
                        </a:ext>
                      </a:extLst>
                    </a:blip>
                    <a:stretch>
                      <a:fillRect/>
                    </a:stretch>
                  </pic:blipFill>
                  <pic:spPr>
                    <a:xfrm>
                      <a:off x="0" y="0"/>
                      <a:ext cx="4581918" cy="3328744"/>
                    </a:xfrm>
                    <a:prstGeom prst="rect">
                      <a:avLst/>
                    </a:prstGeom>
                    <a:ln>
                      <a:noFill/>
                    </a:ln>
                    <a:effectLst>
                      <a:outerShdw blurRad="50800" dist="38100" dir="13500000" algn="br" rotWithShape="0">
                        <a:prstClr val="black">
                          <a:alpha val="40000"/>
                        </a:prstClr>
                      </a:outerShdw>
                      <a:softEdge rad="31750"/>
                    </a:effectLst>
                  </pic:spPr>
                </pic:pic>
              </a:graphicData>
            </a:graphic>
          </wp:inline>
        </w:drawing>
      </w:r>
    </w:p>
    <w:p w:rsidR="00880260" w:rsidRPr="00880260" w:rsidRDefault="00880260" w:rsidP="00A83ABC"/>
    <w:p w:rsidR="00D67E45" w:rsidRDefault="00D67E45" w:rsidP="00A83ABC">
      <w:pPr>
        <w:pStyle w:val="Heading3"/>
      </w:pPr>
      <w:bookmarkStart w:id="104" w:name="_Toc412628390"/>
      <w:r w:rsidRPr="006C4667">
        <w:t>Conclusion</w:t>
      </w:r>
      <w:r w:rsidR="0071144F">
        <w:t>s</w:t>
      </w:r>
      <w:bookmarkEnd w:id="104"/>
    </w:p>
    <w:p w:rsidR="00A10B6E" w:rsidRDefault="003772D0" w:rsidP="00A83ABC">
      <w:r>
        <w:t xml:space="preserve">We expect the program design criteria to impose limits on the amount of </w:t>
      </w:r>
      <w:r w:rsidR="00037A03">
        <w:t>DR</w:t>
      </w:r>
      <w:r>
        <w:t xml:space="preserve"> potential in Phase III. These limits are primarily the result of finite program budgets that make it necessary to limit the number of potential </w:t>
      </w:r>
      <w:r w:rsidR="00037A03">
        <w:t>DR</w:t>
      </w:r>
      <w:r>
        <w:t xml:space="preserve"> events. Further, the inherent uncertainty of the regional transmission organization’s (RTO) system peak forecasts and weather predictions casts uncertainty over when events should be called. This simulation is an attempt to quantitatively explore the relative effectiveness of </w:t>
      </w:r>
      <w:r w:rsidR="00037A03">
        <w:t>DR</w:t>
      </w:r>
      <w:r>
        <w:t xml:space="preserve"> for Phase III under a range of potential program designs.</w:t>
      </w:r>
    </w:p>
    <w:p w:rsidR="003772D0" w:rsidRDefault="003772D0" w:rsidP="00A83ABC"/>
    <w:p w:rsidR="00D67E45" w:rsidRDefault="00D67E45" w:rsidP="00A83ABC">
      <w:pPr>
        <w:spacing w:after="120"/>
      </w:pPr>
      <w:r>
        <w:t xml:space="preserve">Our simulations do not consider seasonal effects because the </w:t>
      </w:r>
      <w:r w:rsidRPr="00F81AAE">
        <w:t>Commission’s 2/20/2014</w:t>
      </w:r>
      <w:r>
        <w:t xml:space="preserve"> Order</w:t>
      </w:r>
      <w:r w:rsidR="00F81AAE">
        <w:rPr>
          <w:rStyle w:val="FootnoteReference"/>
        </w:rPr>
        <w:footnoteReference w:id="52"/>
      </w:r>
      <w:r>
        <w:t xml:space="preserve"> directed the SWE</w:t>
      </w:r>
      <w:r w:rsidR="00BE1301">
        <w:t xml:space="preserve"> Team</w:t>
      </w:r>
      <w:r>
        <w:t xml:space="preserve"> to only consider Summer DR. The amount of advance notification customers receive is only a driving factor of non-residential DR, as residential customers are typically </w:t>
      </w:r>
      <w:r w:rsidR="008D678D">
        <w:t>DLC</w:t>
      </w:r>
      <w:r>
        <w:t xml:space="preserve"> customers and are not notified at all prior to an event.</w:t>
      </w:r>
      <w:r>
        <w:rPr>
          <w:rStyle w:val="FootnoteReference"/>
        </w:rPr>
        <w:footnoteReference w:id="53"/>
      </w:r>
      <w:r>
        <w:t xml:space="preserve"> </w:t>
      </w:r>
      <w:r w:rsidR="0071144F">
        <w:t xml:space="preserve">Section </w:t>
      </w:r>
      <w:r w:rsidR="0071144F">
        <w:fldChar w:fldCharType="begin"/>
      </w:r>
      <w:r w:rsidR="0071144F">
        <w:instrText xml:space="preserve"> REF _Ref405559002 \r \h </w:instrText>
      </w:r>
      <w:r w:rsidR="00CF2BE5">
        <w:instrText xml:space="preserve"> \* MERGEFORMAT </w:instrText>
      </w:r>
      <w:r w:rsidR="0071144F">
        <w:fldChar w:fldCharType="separate"/>
      </w:r>
      <w:r w:rsidR="00803DBE">
        <w:t>6</w:t>
      </w:r>
      <w:r w:rsidR="0071144F">
        <w:fldChar w:fldCharType="end"/>
      </w:r>
      <w:r w:rsidR="0071144F">
        <w:t xml:space="preserve"> presents </w:t>
      </w:r>
      <w:r>
        <w:t>separate estimates of potential fo</w:t>
      </w:r>
      <w:r w:rsidR="002C1953">
        <w:t>r three notification protocols:</w:t>
      </w:r>
    </w:p>
    <w:p w:rsidR="00A10B6E" w:rsidRDefault="00A10B6E" w:rsidP="00A83ABC">
      <w:pPr>
        <w:pStyle w:val="ListParagraph"/>
        <w:numPr>
          <w:ilvl w:val="0"/>
          <w:numId w:val="9"/>
        </w:numPr>
        <w:spacing w:after="120"/>
        <w:ind w:left="360"/>
        <w:contextualSpacing w:val="0"/>
      </w:pPr>
      <w:r w:rsidRPr="00A5522D">
        <w:rPr>
          <w:rFonts w:ascii="Century Gothic" w:hAnsi="Century Gothic"/>
          <w:b/>
          <w:sz w:val="20"/>
        </w:rPr>
        <w:t>Day</w:t>
      </w:r>
      <w:r w:rsidR="00123C18">
        <w:rPr>
          <w:rFonts w:ascii="Century Gothic" w:hAnsi="Century Gothic"/>
          <w:b/>
          <w:sz w:val="20"/>
        </w:rPr>
        <w:t>-</w:t>
      </w:r>
      <w:r w:rsidRPr="00A5522D">
        <w:rPr>
          <w:rFonts w:ascii="Century Gothic" w:hAnsi="Century Gothic"/>
          <w:b/>
          <w:sz w:val="20"/>
        </w:rPr>
        <w:t>Ahead</w:t>
      </w:r>
      <w:r>
        <w:t>. Customers are informed in the afternoon that the following day will be a DR event. (Highest Potential)</w:t>
      </w:r>
    </w:p>
    <w:p w:rsidR="00A10B6E" w:rsidRDefault="00A10B6E" w:rsidP="00A83ABC">
      <w:pPr>
        <w:pStyle w:val="ListParagraph"/>
        <w:numPr>
          <w:ilvl w:val="0"/>
          <w:numId w:val="9"/>
        </w:numPr>
        <w:spacing w:after="120"/>
        <w:ind w:left="360"/>
        <w:contextualSpacing w:val="0"/>
      </w:pPr>
      <w:r w:rsidRPr="00A5522D">
        <w:rPr>
          <w:rFonts w:ascii="Century Gothic" w:hAnsi="Century Gothic"/>
          <w:b/>
          <w:sz w:val="20"/>
        </w:rPr>
        <w:t>Day-Of</w:t>
      </w:r>
      <w:r>
        <w:t xml:space="preserve">. Customers are informed in the late-morning that that afternoon will be a DR event. </w:t>
      </w:r>
    </w:p>
    <w:p w:rsidR="00A10B6E" w:rsidRDefault="00A10B6E" w:rsidP="00A83ABC">
      <w:pPr>
        <w:pStyle w:val="ListParagraph"/>
        <w:numPr>
          <w:ilvl w:val="0"/>
          <w:numId w:val="9"/>
        </w:numPr>
        <w:ind w:left="360"/>
      </w:pPr>
      <w:r w:rsidRPr="00A5522D">
        <w:rPr>
          <w:rFonts w:ascii="Century Gothic" w:hAnsi="Century Gothic"/>
          <w:b/>
          <w:sz w:val="20"/>
        </w:rPr>
        <w:lastRenderedPageBreak/>
        <w:t>Fast Response</w:t>
      </w:r>
      <w:r>
        <w:t>. Customers are notified 30 minutes prior to the beginning of an event. (Lowest Potential)</w:t>
      </w:r>
    </w:p>
    <w:p w:rsidR="00A10B6E" w:rsidRDefault="00A10B6E" w:rsidP="00A83ABC"/>
    <w:p w:rsidR="00D67E45" w:rsidRDefault="00D67E45" w:rsidP="00A83ABC">
      <w:r>
        <w:t xml:space="preserve">We expect that the Commission will weigh the relative merits of these notification </w:t>
      </w:r>
      <w:r w:rsidR="007027FE">
        <w:t>systems</w:t>
      </w:r>
      <w:r>
        <w:t xml:space="preserve"> when considering the potential es</w:t>
      </w:r>
      <w:r w:rsidR="0071144F">
        <w:t>timates generated by the SWE</w:t>
      </w:r>
      <w:r w:rsidR="00BE1301">
        <w:t xml:space="preserve"> Team</w:t>
      </w:r>
      <w:r w:rsidR="003E2AA4">
        <w:t xml:space="preserve">. </w:t>
      </w:r>
      <w:r>
        <w:fldChar w:fldCharType="begin"/>
      </w:r>
      <w:r>
        <w:instrText xml:space="preserve"> REF _Ref399857714 \h </w:instrText>
      </w:r>
      <w:r w:rsidR="00CF2BE5">
        <w:instrText xml:space="preserve"> \* MERGEFORMAT </w:instrText>
      </w:r>
      <w:r>
        <w:fldChar w:fldCharType="separate"/>
      </w:r>
      <w:r w:rsidR="00803DBE" w:rsidRPr="009F20B9">
        <w:t xml:space="preserve">Table </w:t>
      </w:r>
      <w:r w:rsidR="00803DBE">
        <w:rPr>
          <w:noProof/>
        </w:rPr>
        <w:t>2</w:t>
      </w:r>
      <w:r w:rsidR="00803DBE">
        <w:rPr>
          <w:noProof/>
        </w:rPr>
        <w:noBreakHyphen/>
        <w:t>8</w:t>
      </w:r>
      <w:r>
        <w:fldChar w:fldCharType="end"/>
      </w:r>
      <w:r>
        <w:t xml:space="preserve"> presents the long-run simulated results for potential program designs with no more than 24 event hours. </w:t>
      </w:r>
      <w:r w:rsidR="003772D0">
        <w:t>We list the top-scoring simulation results for programs with a maximum of 24 event hours, and have truncated these results for the sake of brevity. The results of the simulation indicate that a program design of no more than 6 events lasting 4 hours, beginning at 2</w:t>
      </w:r>
      <w:r w:rsidR="007306EC">
        <w:t>:00</w:t>
      </w:r>
      <w:r w:rsidR="003772D0">
        <w:t xml:space="preserve"> p</w:t>
      </w:r>
      <w:r w:rsidR="007306EC">
        <w:t>.</w:t>
      </w:r>
      <w:r w:rsidR="003772D0">
        <w:t>m</w:t>
      </w:r>
      <w:r w:rsidR="007306EC">
        <w:t>.</w:t>
      </w:r>
      <w:r w:rsidR="003772D0">
        <w:t xml:space="preserve"> </w:t>
      </w:r>
      <w:r w:rsidR="00E87F48">
        <w:t>(</w:t>
      </w:r>
      <w:r w:rsidR="00102F2A">
        <w:t>h</w:t>
      </w:r>
      <w:r w:rsidR="00E87F48">
        <w:t xml:space="preserve">our 15) </w:t>
      </w:r>
      <w:r w:rsidR="003772D0">
        <w:t>and dispatched on days when load is expected to reach 96% of system peak, may capture roughly 27% of the target load and approximately 58% of 5CP hours.</w:t>
      </w:r>
      <w:r w:rsidR="002C1953">
        <w:t xml:space="preserve"> </w:t>
      </w:r>
    </w:p>
    <w:p w:rsidR="00A10B6E" w:rsidRPr="00102F2A" w:rsidRDefault="00A10B6E" w:rsidP="00A83ABC"/>
    <w:p w:rsidR="00D67E45" w:rsidRDefault="00D67E45" w:rsidP="00A83ABC">
      <w:pPr>
        <w:pStyle w:val="Caption"/>
        <w:keepNext/>
      </w:pPr>
      <w:bookmarkStart w:id="105" w:name="_Ref399857714"/>
      <w:bookmarkStart w:id="106" w:name="_Ref399857355"/>
      <w:bookmarkStart w:id="107" w:name="_Toc412628454"/>
      <w:r w:rsidRPr="009F20B9">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8</w:t>
      </w:r>
      <w:r w:rsidR="00E2011B">
        <w:rPr>
          <w:noProof/>
        </w:rPr>
        <w:fldChar w:fldCharType="end"/>
      </w:r>
      <w:bookmarkEnd w:id="105"/>
      <w:r w:rsidR="002C1953" w:rsidRPr="009F20B9">
        <w:t>: Truncated Simulation R</w:t>
      </w:r>
      <w:r w:rsidRPr="009F20B9">
        <w:t>esults</w:t>
      </w:r>
      <w:bookmarkEnd w:id="106"/>
      <w:bookmarkEnd w:id="107"/>
    </w:p>
    <w:tbl>
      <w:tblPr>
        <w:tblW w:w="5000" w:type="pct"/>
        <w:tblLook w:val="04A0" w:firstRow="1" w:lastRow="0" w:firstColumn="1" w:lastColumn="0" w:noHBand="0" w:noVBand="1"/>
      </w:tblPr>
      <w:tblGrid>
        <w:gridCol w:w="928"/>
        <w:gridCol w:w="1236"/>
        <w:gridCol w:w="1236"/>
        <w:gridCol w:w="1236"/>
        <w:gridCol w:w="1235"/>
        <w:gridCol w:w="1235"/>
        <w:gridCol w:w="1235"/>
        <w:gridCol w:w="1235"/>
      </w:tblGrid>
      <w:tr w:rsidR="003772D0" w:rsidRPr="003772D0" w:rsidTr="00922A36">
        <w:trPr>
          <w:trHeight w:val="300"/>
        </w:trPr>
        <w:tc>
          <w:tcPr>
            <w:tcW w:w="484" w:type="pct"/>
            <w:vMerge w:val="restart"/>
            <w:tcBorders>
              <w:top w:val="single" w:sz="8" w:space="0" w:color="448A99"/>
              <w:left w:val="single" w:sz="8" w:space="0" w:color="448A99"/>
              <w:bottom w:val="single" w:sz="8" w:space="0" w:color="448A99"/>
              <w:right w:val="single" w:sz="8" w:space="0" w:color="448A99"/>
            </w:tcBorders>
            <w:shd w:val="clear" w:color="000000" w:fill="448A99"/>
            <w:noWrap/>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ELCC (%)</w:t>
            </w:r>
          </w:p>
        </w:tc>
        <w:tc>
          <w:tcPr>
            <w:tcW w:w="645" w:type="pct"/>
            <w:vMerge w:val="restar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5CP Captured (%)</w:t>
            </w:r>
          </w:p>
        </w:tc>
        <w:tc>
          <w:tcPr>
            <w:tcW w:w="645" w:type="pct"/>
            <w:vMerge w:val="restar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Dispatch Criterion (%)</w:t>
            </w:r>
          </w:p>
        </w:tc>
        <w:tc>
          <w:tcPr>
            <w:tcW w:w="645" w:type="pct"/>
            <w:vMerge w:val="restar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Event Start (hour)</w:t>
            </w:r>
          </w:p>
        </w:tc>
        <w:tc>
          <w:tcPr>
            <w:tcW w:w="645" w:type="pct"/>
            <w:vMerge w:val="restar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Event End (hour)</w:t>
            </w:r>
          </w:p>
        </w:tc>
        <w:tc>
          <w:tcPr>
            <w:tcW w:w="645" w:type="pct"/>
            <w:vMerge w:val="restar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Event Duration (hrs.)</w:t>
            </w:r>
          </w:p>
        </w:tc>
        <w:tc>
          <w:tcPr>
            <w:tcW w:w="645" w:type="pct"/>
            <w:vMerge w:val="restar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Max No. Events</w:t>
            </w:r>
          </w:p>
        </w:tc>
        <w:tc>
          <w:tcPr>
            <w:tcW w:w="645" w:type="pct"/>
            <w:vMerge w:val="restar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72D0" w:rsidRPr="003772D0" w:rsidRDefault="003772D0" w:rsidP="00A83ABC">
            <w:pPr>
              <w:jc w:val="center"/>
              <w:rPr>
                <w:rFonts w:ascii="Calibri" w:eastAsia="Times New Roman" w:hAnsi="Calibri" w:cs="Times New Roman"/>
                <w:b/>
                <w:bCs/>
                <w:color w:val="FFFFFF"/>
                <w:sz w:val="20"/>
                <w:szCs w:val="20"/>
              </w:rPr>
            </w:pPr>
            <w:r w:rsidRPr="003772D0">
              <w:rPr>
                <w:rFonts w:ascii="Calibri" w:eastAsia="Times New Roman" w:hAnsi="Calibri" w:cs="Times New Roman"/>
                <w:b/>
                <w:bCs/>
                <w:color w:val="FFFFFF"/>
                <w:sz w:val="20"/>
                <w:szCs w:val="20"/>
              </w:rPr>
              <w:t>Average No. Events</w:t>
            </w:r>
          </w:p>
        </w:tc>
      </w:tr>
      <w:tr w:rsidR="003772D0" w:rsidRPr="003772D0" w:rsidTr="00922A36">
        <w:trPr>
          <w:trHeight w:val="300"/>
        </w:trPr>
        <w:tc>
          <w:tcPr>
            <w:tcW w:w="484"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left"/>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r>
      <w:tr w:rsidR="003772D0" w:rsidRPr="003772D0" w:rsidTr="00922A36">
        <w:trPr>
          <w:trHeight w:val="244"/>
        </w:trPr>
        <w:tc>
          <w:tcPr>
            <w:tcW w:w="484"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left"/>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c>
          <w:tcPr>
            <w:tcW w:w="645" w:type="pct"/>
            <w:vMerge/>
            <w:tcBorders>
              <w:top w:val="single" w:sz="8" w:space="0" w:color="448A99"/>
              <w:left w:val="single" w:sz="8" w:space="0" w:color="448A99"/>
              <w:bottom w:val="single" w:sz="8" w:space="0" w:color="448A99"/>
              <w:right w:val="single" w:sz="8" w:space="0" w:color="448A99"/>
            </w:tcBorders>
            <w:vAlign w:val="center"/>
            <w:hideMark/>
          </w:tcPr>
          <w:p w:rsidR="003772D0" w:rsidRPr="003772D0" w:rsidRDefault="003772D0" w:rsidP="00A83ABC">
            <w:pPr>
              <w:jc w:val="center"/>
              <w:rPr>
                <w:rFonts w:ascii="Calibri" w:eastAsia="Times New Roman" w:hAnsi="Calibri" w:cs="Times New Roman"/>
                <w:b/>
                <w:bCs/>
                <w:color w:val="FFFFFF"/>
                <w:sz w:val="20"/>
                <w:szCs w:val="20"/>
              </w:rPr>
            </w:pP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27.1</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57.5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4.1</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26.4</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19</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4.1</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25.3</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14</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4.1</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25.2</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3.4</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24.6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52.5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4.4</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24.3</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50</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19</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3.4</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24.2</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62.5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24.2</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14</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3.4</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24.2</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60</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94</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5.8</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23.8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62.5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94</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5.8</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23.7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23.7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50</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94</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23.6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50</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19</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4.4</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23.4</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60</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5.3</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23.1</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62.5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5.3</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23</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52.5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20</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4.1</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22.9</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50</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14</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4.4</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22.6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57.5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19</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22.6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47.5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94</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19</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22.1</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22</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47.5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94</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14</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21.9</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52.5</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94</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19</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5.8</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21.9</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60</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15</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auto" w:fill="auto"/>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21.6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10</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14</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3</w:t>
            </w:r>
          </w:p>
        </w:tc>
        <w:tc>
          <w:tcPr>
            <w:tcW w:w="645" w:type="pct"/>
            <w:tcBorders>
              <w:top w:val="nil"/>
              <w:left w:val="nil"/>
              <w:bottom w:val="single" w:sz="8" w:space="0" w:color="448A99"/>
              <w:right w:val="single" w:sz="8" w:space="0" w:color="448A99"/>
            </w:tcBorders>
            <w:shd w:val="clear" w:color="auto" w:fill="auto"/>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w:t>
            </w:r>
          </w:p>
        </w:tc>
        <w:tc>
          <w:tcPr>
            <w:tcW w:w="645" w:type="pct"/>
            <w:tcBorders>
              <w:top w:val="nil"/>
              <w:left w:val="nil"/>
              <w:bottom w:val="single" w:sz="8" w:space="0" w:color="448A99"/>
              <w:right w:val="single" w:sz="8" w:space="0" w:color="448A99"/>
            </w:tcBorders>
            <w:shd w:val="clear" w:color="auto" w:fill="auto"/>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4.6</w:t>
            </w:r>
          </w:p>
        </w:tc>
      </w:tr>
      <w:tr w:rsidR="00E87F48" w:rsidRPr="003772D0" w:rsidTr="00922A36">
        <w:trPr>
          <w:trHeight w:val="317"/>
        </w:trPr>
        <w:tc>
          <w:tcPr>
            <w:tcW w:w="484" w:type="pct"/>
            <w:tcBorders>
              <w:top w:val="nil"/>
              <w:left w:val="single" w:sz="8" w:space="0" w:color="448A99"/>
              <w:bottom w:val="single" w:sz="8" w:space="0" w:color="448A99"/>
              <w:right w:val="single" w:sz="8" w:space="0" w:color="448A99"/>
            </w:tcBorders>
            <w:shd w:val="clear" w:color="000000" w:fill="D2EAF1"/>
            <w:noWrap/>
            <w:vAlign w:val="center"/>
            <w:hideMark/>
          </w:tcPr>
          <w:p w:rsidR="00E87F48" w:rsidRPr="003772D0" w:rsidRDefault="00E87F48" w:rsidP="00A83ABC">
            <w:pPr>
              <w:rPr>
                <w:rFonts w:ascii="Calibri" w:eastAsia="Times New Roman" w:hAnsi="Calibri" w:cs="Times New Roman"/>
                <w:color w:val="000000"/>
                <w:sz w:val="20"/>
                <w:szCs w:val="20"/>
              </w:rPr>
            </w:pPr>
            <w:r>
              <w:rPr>
                <w:rFonts w:ascii="Calibri" w:hAnsi="Calibri"/>
                <w:color w:val="000000"/>
                <w:sz w:val="20"/>
                <w:szCs w:val="20"/>
              </w:rPr>
              <w:t>21.6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70</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93</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16</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17</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2</w:t>
            </w:r>
          </w:p>
        </w:tc>
        <w:tc>
          <w:tcPr>
            <w:tcW w:w="645" w:type="pct"/>
            <w:tcBorders>
              <w:top w:val="nil"/>
              <w:left w:val="nil"/>
              <w:bottom w:val="single" w:sz="8" w:space="0" w:color="448A99"/>
              <w:right w:val="single" w:sz="8" w:space="0" w:color="448A99"/>
            </w:tcBorders>
            <w:shd w:val="clear" w:color="000000" w:fill="D2EAF1"/>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12</w:t>
            </w:r>
          </w:p>
        </w:tc>
        <w:tc>
          <w:tcPr>
            <w:tcW w:w="645" w:type="pct"/>
            <w:tcBorders>
              <w:top w:val="nil"/>
              <w:left w:val="nil"/>
              <w:bottom w:val="single" w:sz="8" w:space="0" w:color="448A99"/>
              <w:right w:val="single" w:sz="8" w:space="0" w:color="448A99"/>
            </w:tcBorders>
            <w:shd w:val="clear" w:color="000000" w:fill="D2EAF1"/>
            <w:noWrap/>
            <w:vAlign w:val="center"/>
            <w:hideMark/>
          </w:tcPr>
          <w:p w:rsidR="00E87F48" w:rsidRPr="003772D0" w:rsidRDefault="00E87F48" w:rsidP="00A83ABC">
            <w:pPr>
              <w:jc w:val="center"/>
              <w:rPr>
                <w:rFonts w:ascii="Calibri" w:eastAsia="Times New Roman" w:hAnsi="Calibri" w:cs="Times New Roman"/>
                <w:color w:val="000000"/>
                <w:sz w:val="20"/>
                <w:szCs w:val="20"/>
              </w:rPr>
            </w:pPr>
            <w:r>
              <w:rPr>
                <w:rFonts w:ascii="Calibri" w:hAnsi="Calibri"/>
                <w:color w:val="000000"/>
                <w:sz w:val="20"/>
                <w:szCs w:val="20"/>
              </w:rPr>
              <w:t>8.6</w:t>
            </w:r>
          </w:p>
        </w:tc>
      </w:tr>
    </w:tbl>
    <w:p w:rsidR="00A10B6E" w:rsidRDefault="00A10B6E" w:rsidP="00A83ABC"/>
    <w:p w:rsidR="00D67E45" w:rsidRDefault="00D67E45" w:rsidP="00A83ABC">
      <w:r>
        <w:lastRenderedPageBreak/>
        <w:t xml:space="preserve">The results in </w:t>
      </w:r>
      <w:r>
        <w:fldChar w:fldCharType="begin"/>
      </w:r>
      <w:r>
        <w:instrText xml:space="preserve"> REF _Ref399857714 \h </w:instrText>
      </w:r>
      <w:r w:rsidR="00CF2BE5">
        <w:instrText xml:space="preserve"> \* MERGEFORMAT </w:instrText>
      </w:r>
      <w:r>
        <w:fldChar w:fldCharType="separate"/>
      </w:r>
      <w:r w:rsidR="00803DBE" w:rsidRPr="009F20B9">
        <w:t xml:space="preserve">Table </w:t>
      </w:r>
      <w:r w:rsidR="00803DBE">
        <w:rPr>
          <w:noProof/>
        </w:rPr>
        <w:t>2</w:t>
      </w:r>
      <w:r w:rsidR="00803DBE">
        <w:rPr>
          <w:noProof/>
        </w:rPr>
        <w:noBreakHyphen/>
        <w:t>8</w:t>
      </w:r>
      <w:r>
        <w:fldChar w:fldCharType="end"/>
      </w:r>
      <w:r>
        <w:t xml:space="preserve"> indicate the existence of some tradeoffs in program design. The simulation demonstrates that a program design with a dispatch threshold of 96%, an event start time of 2</w:t>
      </w:r>
      <w:r w:rsidR="007306EC">
        <w:t>:00</w:t>
      </w:r>
      <w:r w:rsidR="003772D0">
        <w:t xml:space="preserve"> </w:t>
      </w:r>
      <w:r>
        <w:t>p</w:t>
      </w:r>
      <w:r w:rsidR="007306EC">
        <w:t>.</w:t>
      </w:r>
      <w:r>
        <w:t>m</w:t>
      </w:r>
      <w:r w:rsidR="007306EC">
        <w:t>.</w:t>
      </w:r>
      <w:r>
        <w:t xml:space="preserve">, duration of 4 hours, and a maximum of 6 events per year is expected to provide the highest overall ELCC for designs capped at 24 event hours. Even so, the simulation shows that the last program design listed in </w:t>
      </w:r>
      <w:r>
        <w:fldChar w:fldCharType="begin"/>
      </w:r>
      <w:r>
        <w:instrText xml:space="preserve"> REF _Ref399857714 \h </w:instrText>
      </w:r>
      <w:r w:rsidR="00CF2BE5">
        <w:instrText xml:space="preserve"> \* MERGEFORMAT </w:instrText>
      </w:r>
      <w:r>
        <w:fldChar w:fldCharType="separate"/>
      </w:r>
      <w:r w:rsidR="00803DBE" w:rsidRPr="009F20B9">
        <w:t xml:space="preserve">Table </w:t>
      </w:r>
      <w:r w:rsidR="00803DBE">
        <w:rPr>
          <w:noProof/>
        </w:rPr>
        <w:t>2</w:t>
      </w:r>
      <w:r w:rsidR="00803DBE">
        <w:rPr>
          <w:noProof/>
        </w:rPr>
        <w:noBreakHyphen/>
        <w:t>8</w:t>
      </w:r>
      <w:r>
        <w:fldChar w:fldCharType="end"/>
      </w:r>
      <w:r>
        <w:t xml:space="preserve"> is expected to capture 70% of past 5CP events. The former program design achieves the highest simulated ELCC while the latter captures the highest percentage of 5CP events, but with</w:t>
      </w:r>
      <w:r w:rsidR="002C1953">
        <w:t xml:space="preserve"> a lower overall ELCC of 21.6%.</w:t>
      </w:r>
    </w:p>
    <w:p w:rsidR="00A10B6E" w:rsidRDefault="00A10B6E" w:rsidP="00A83ABC"/>
    <w:p w:rsidR="00D67E45" w:rsidRDefault="00D67E45" w:rsidP="00A83ABC">
      <w:r>
        <w:t>Potential Phase III participants are likely to hold preferences about program design that may or may not align with the preferences of the Commission. Based purely on the criteria of maximizing the ELCC, the</w:t>
      </w:r>
      <w:r w:rsidR="002C1953">
        <w:t xml:space="preserve"> first program design in </w:t>
      </w:r>
      <w:r w:rsidR="002C1953">
        <w:fldChar w:fldCharType="begin"/>
      </w:r>
      <w:r w:rsidR="002C1953">
        <w:instrText xml:space="preserve"> REF _Ref399857714 \h </w:instrText>
      </w:r>
      <w:r w:rsidR="00CF2BE5">
        <w:instrText xml:space="preserve"> \* MERGEFORMAT </w:instrText>
      </w:r>
      <w:r w:rsidR="002C1953">
        <w:fldChar w:fldCharType="separate"/>
      </w:r>
      <w:r w:rsidR="00803DBE" w:rsidRPr="009F20B9">
        <w:t xml:space="preserve">Table </w:t>
      </w:r>
      <w:r w:rsidR="00803DBE">
        <w:rPr>
          <w:noProof/>
        </w:rPr>
        <w:t>2</w:t>
      </w:r>
      <w:r w:rsidR="00803DBE">
        <w:rPr>
          <w:noProof/>
        </w:rPr>
        <w:noBreakHyphen/>
        <w:t>8</w:t>
      </w:r>
      <w:r w:rsidR="002C1953">
        <w:fldChar w:fldCharType="end"/>
      </w:r>
      <w:r>
        <w:t xml:space="preserve"> is the clear winner</w:t>
      </w:r>
      <w:r>
        <w:rPr>
          <w:rStyle w:val="FootnoteReference"/>
        </w:rPr>
        <w:footnoteReference w:id="54"/>
      </w:r>
      <w:r>
        <w:t xml:space="preserve">. Alternatively, if participants wish to maximize the potential </w:t>
      </w:r>
      <w:r w:rsidR="002C1953">
        <w:t>bill</w:t>
      </w:r>
      <w:r>
        <w:t xml:space="preserve"> savings, they may prefer the last program listed in </w:t>
      </w:r>
      <w:r>
        <w:fldChar w:fldCharType="begin"/>
      </w:r>
      <w:r>
        <w:instrText xml:space="preserve"> REF _Ref399857714 \h </w:instrText>
      </w:r>
      <w:r w:rsidR="00CF2BE5">
        <w:instrText xml:space="preserve"> \* MERGEFORMAT </w:instrText>
      </w:r>
      <w:r>
        <w:fldChar w:fldCharType="separate"/>
      </w:r>
      <w:r w:rsidR="00803DBE" w:rsidRPr="009F20B9">
        <w:t xml:space="preserve">Table </w:t>
      </w:r>
      <w:r w:rsidR="00803DBE">
        <w:rPr>
          <w:noProof/>
        </w:rPr>
        <w:t>2</w:t>
      </w:r>
      <w:r w:rsidR="00803DBE">
        <w:rPr>
          <w:noProof/>
        </w:rPr>
        <w:noBreakHyphen/>
        <w:t>8</w:t>
      </w:r>
      <w:r>
        <w:fldChar w:fldCharType="end"/>
      </w:r>
      <w:r>
        <w:t>, which is more likely to reduce their demand during system peaks (5CP hours) and thus lower their capacity charges (assuming they have information on expected reductions in capacity charges). They may be just as likely to prefer fewer events and therefore oppose this program design, which could include</w:t>
      </w:r>
      <w:r w:rsidR="00213BCA">
        <w:t xml:space="preserve"> up to 12 events in some years.</w:t>
      </w:r>
    </w:p>
    <w:p w:rsidR="00A10B6E" w:rsidRDefault="00A10B6E" w:rsidP="00A83ABC"/>
    <w:p w:rsidR="0015640C" w:rsidRDefault="00D67E45" w:rsidP="00A83ABC">
      <w:r>
        <w:t>The SWE</w:t>
      </w:r>
      <w:r w:rsidR="00BE1301">
        <w:t xml:space="preserve"> Team</w:t>
      </w:r>
      <w:r>
        <w:t xml:space="preserve"> raises this issue of tradeoffs because we wish to be clear about how the results of the simulation can be used. The simulation we have presented provides an estimate of the natural limits that program design parameters place on Phase III DR </w:t>
      </w:r>
      <w:r w:rsidR="00A32F30">
        <w:t>p</w:t>
      </w:r>
      <w:r>
        <w:t>otential. This simulation does not contain information that can be used to infer how actual program participants would react to any given</w:t>
      </w:r>
      <w:r w:rsidR="00213BCA">
        <w:t xml:space="preserve"> program design.</w:t>
      </w:r>
      <w:r w:rsidR="002C1953">
        <w:t xml:space="preserve"> </w:t>
      </w:r>
      <w:r>
        <w:t>The goal of the SWE</w:t>
      </w:r>
      <w:r w:rsidR="00BE1301">
        <w:t xml:space="preserve"> Team</w:t>
      </w:r>
      <w:r>
        <w:t xml:space="preserve"> in conducting </w:t>
      </w:r>
      <w:r w:rsidR="002C1953">
        <w:t>the simulation was</w:t>
      </w:r>
      <w:r>
        <w:t xml:space="preserve"> to establish a quantitative basis for </w:t>
      </w:r>
      <w:r w:rsidR="002C1953">
        <w:t xml:space="preserve">recommending a Phase III program design for which to estimate potential. All of the potential estimates in this study assume the </w:t>
      </w:r>
      <w:r>
        <w:t xml:space="preserve">program design listed in </w:t>
      </w:r>
      <w:r w:rsidR="002C1953">
        <w:t xml:space="preserve">the first row of </w:t>
      </w:r>
      <w:r>
        <w:fldChar w:fldCharType="begin"/>
      </w:r>
      <w:r>
        <w:instrText xml:space="preserve"> REF _Ref399857714 \h </w:instrText>
      </w:r>
      <w:r w:rsidR="00CF2BE5">
        <w:instrText xml:space="preserve"> \* MERGEFORMAT </w:instrText>
      </w:r>
      <w:r>
        <w:fldChar w:fldCharType="separate"/>
      </w:r>
      <w:r w:rsidR="00803DBE" w:rsidRPr="009F20B9">
        <w:t xml:space="preserve">Table </w:t>
      </w:r>
      <w:r w:rsidR="00803DBE">
        <w:rPr>
          <w:noProof/>
        </w:rPr>
        <w:t>2</w:t>
      </w:r>
      <w:r w:rsidR="00803DBE">
        <w:rPr>
          <w:noProof/>
        </w:rPr>
        <w:noBreakHyphen/>
        <w:t>8</w:t>
      </w:r>
      <w:r>
        <w:fldChar w:fldCharType="end"/>
      </w:r>
      <w:r w:rsidR="002C1953">
        <w:t>.</w:t>
      </w:r>
    </w:p>
    <w:p w:rsidR="00A10B6E" w:rsidRDefault="00A10B6E" w:rsidP="00A83ABC"/>
    <w:p w:rsidR="00213BCA" w:rsidRDefault="00213BCA" w:rsidP="00A83ABC">
      <w:pPr>
        <w:pStyle w:val="Heading3"/>
      </w:pPr>
      <w:bookmarkStart w:id="108" w:name="_Ref405556839"/>
      <w:bookmarkStart w:id="109" w:name="_Toc412628391"/>
      <w:r>
        <w:t>Supplemental Findings</w:t>
      </w:r>
      <w:bookmarkEnd w:id="108"/>
      <w:bookmarkEnd w:id="109"/>
    </w:p>
    <w:p w:rsidR="00803DBE" w:rsidRPr="00803DBE" w:rsidRDefault="00213BCA" w:rsidP="00803DBE">
      <w:pPr>
        <w:rPr>
          <w:noProof/>
        </w:rPr>
      </w:pPr>
      <w:r>
        <w:t xml:space="preserve">The SWE </w:t>
      </w:r>
      <w:r w:rsidR="00BE1301">
        <w:t xml:space="preserve">Team </w:t>
      </w:r>
      <w:r>
        <w:t xml:space="preserve">anticipates that the ultimate effectiveness of Phase III may depend on whether participants recognize the potential for reductions in </w:t>
      </w:r>
      <w:r w:rsidR="001004B0">
        <w:t>demand</w:t>
      </w:r>
      <w:r>
        <w:t xml:space="preserve"> charges. There is ample evidence that large C&amp;I customers are quite savvy in this regard and many are already actively managing their PLCs. However, we believe that </w:t>
      </w:r>
      <w:r w:rsidR="00EA74AB">
        <w:t>s</w:t>
      </w:r>
      <w:r>
        <w:t xml:space="preserve">mall C&amp;I customers are less likely to understand this market function and actively monitor their consumption on likely 5CP days. </w:t>
      </w:r>
      <w:r w:rsidR="005D08F6">
        <w:t xml:space="preserve">This </w:t>
      </w:r>
      <w:r w:rsidR="00FB1C3D">
        <w:t xml:space="preserve">section </w:t>
      </w:r>
      <w:r>
        <w:t xml:space="preserve">provides additional tables and figures on the topic. </w:t>
      </w:r>
      <w:r>
        <w:fldChar w:fldCharType="begin"/>
      </w:r>
      <w:r>
        <w:instrText xml:space="preserve"> REF _Ref399863425 \h </w:instrText>
      </w:r>
      <w:r w:rsidR="00CF2BE5">
        <w:instrText xml:space="preserve"> \* MERGEFORMAT </w:instrText>
      </w:r>
      <w:r>
        <w:fldChar w:fldCharType="separate"/>
      </w:r>
    </w:p>
    <w:p w:rsidR="00213BCA" w:rsidRDefault="00803DBE" w:rsidP="00A83ABC">
      <w:r w:rsidRPr="009F20B9">
        <w:t xml:space="preserve">Table </w:t>
      </w:r>
      <w:r>
        <w:rPr>
          <w:noProof/>
        </w:rPr>
        <w:t>2</w:t>
      </w:r>
      <w:r>
        <w:rPr>
          <w:noProof/>
        </w:rPr>
        <w:noBreakHyphen/>
        <w:t>9</w:t>
      </w:r>
      <w:r w:rsidR="00213BCA">
        <w:fldChar w:fldCharType="end"/>
      </w:r>
      <w:r w:rsidR="00213BCA">
        <w:t xml:space="preserve"> provides the number of 5CP events captured in each year for a program design consisting of no more than 6 events lasting 4 hours, beginning at 2</w:t>
      </w:r>
      <w:r w:rsidR="007306EC">
        <w:t>:00</w:t>
      </w:r>
      <w:r w:rsidR="003772D0">
        <w:t xml:space="preserve"> </w:t>
      </w:r>
      <w:r w:rsidR="00213BCA">
        <w:t>p</w:t>
      </w:r>
      <w:r w:rsidR="007306EC">
        <w:t>.</w:t>
      </w:r>
      <w:r w:rsidR="00213BCA">
        <w:t>m</w:t>
      </w:r>
      <w:r w:rsidR="007306EC">
        <w:t>.</w:t>
      </w:r>
      <w:r w:rsidR="00213BCA">
        <w:t xml:space="preserve"> on days when load is expected to reach 96% of the project</w:t>
      </w:r>
      <w:r w:rsidR="00314FBC">
        <w:t>ed</w:t>
      </w:r>
      <w:r w:rsidR="00213BCA">
        <w:t xml:space="preserve"> a</w:t>
      </w:r>
      <w:r w:rsidR="002C1953">
        <w:t>nnual peak.</w:t>
      </w:r>
    </w:p>
    <w:p w:rsidR="00042FDD" w:rsidRDefault="00042FDD" w:rsidP="00A83ABC"/>
    <w:p w:rsidR="00042FDD" w:rsidRDefault="00042FDD" w:rsidP="00A83ABC"/>
    <w:p w:rsidR="00042FDD" w:rsidRDefault="00042FDD" w:rsidP="00A83ABC"/>
    <w:p w:rsidR="00042FDD" w:rsidRDefault="00042FDD" w:rsidP="00A83ABC"/>
    <w:p w:rsidR="00042FDD" w:rsidRDefault="00042FDD" w:rsidP="00A83ABC"/>
    <w:p w:rsidR="00042FDD" w:rsidRDefault="00042FDD" w:rsidP="00A83ABC"/>
    <w:p w:rsidR="00042FDD" w:rsidRDefault="00042FDD" w:rsidP="00A83ABC"/>
    <w:p w:rsidR="00042FDD" w:rsidRDefault="00042FDD" w:rsidP="00A83ABC"/>
    <w:p w:rsidR="00AB46EA" w:rsidRDefault="00AB46EA" w:rsidP="00A83ABC">
      <w:pPr>
        <w:spacing w:after="200"/>
        <w:jc w:val="left"/>
        <w:rPr>
          <w:b/>
          <w:bCs/>
          <w:sz w:val="18"/>
          <w:szCs w:val="18"/>
        </w:rPr>
      </w:pPr>
      <w:bookmarkStart w:id="110" w:name="_Ref399863425"/>
    </w:p>
    <w:p w:rsidR="001004B0" w:rsidRDefault="00213BCA" w:rsidP="00A83ABC">
      <w:pPr>
        <w:pStyle w:val="Caption"/>
        <w:keepNext/>
      </w:pPr>
      <w:bookmarkStart w:id="111" w:name="_Toc412628455"/>
      <w:r w:rsidRPr="009F20B9">
        <w:lastRenderedPageBreak/>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9</w:t>
      </w:r>
      <w:r w:rsidR="00E2011B">
        <w:rPr>
          <w:noProof/>
        </w:rPr>
        <w:fldChar w:fldCharType="end"/>
      </w:r>
      <w:bookmarkEnd w:id="110"/>
      <w:r w:rsidRPr="009F20B9">
        <w:t xml:space="preserve">: Simulated </w:t>
      </w:r>
      <w:r w:rsidR="00FB1C3D">
        <w:t>N</w:t>
      </w:r>
      <w:r w:rsidRPr="009F20B9">
        <w:t xml:space="preserve">umber of 5CP </w:t>
      </w:r>
      <w:r w:rsidR="00FB1C3D">
        <w:t>E</w:t>
      </w:r>
      <w:r w:rsidRPr="009F20B9">
        <w:t xml:space="preserve">vents </w:t>
      </w:r>
      <w:r w:rsidR="00FB1C3D">
        <w:t>E</w:t>
      </w:r>
      <w:r w:rsidRPr="009F20B9">
        <w:t xml:space="preserve">ach </w:t>
      </w:r>
      <w:r w:rsidR="00FB1C3D">
        <w:t>Y</w:t>
      </w:r>
      <w:r w:rsidRPr="009F20B9">
        <w:t>ear for</w:t>
      </w:r>
      <w:r w:rsidR="001004B0" w:rsidRPr="009F20B9">
        <w:t xml:space="preserve"> a </w:t>
      </w:r>
      <w:r w:rsidR="00FB1C3D">
        <w:t>H</w:t>
      </w:r>
      <w:r w:rsidR="001004B0" w:rsidRPr="009F20B9">
        <w:t xml:space="preserve">ypothetical </w:t>
      </w:r>
      <w:r w:rsidR="00FB1C3D">
        <w:t>P</w:t>
      </w:r>
      <w:r w:rsidR="001004B0" w:rsidRPr="009F20B9">
        <w:t xml:space="preserve">rogram </w:t>
      </w:r>
      <w:r w:rsidR="00FB1C3D">
        <w:t>D</w:t>
      </w:r>
      <w:r w:rsidR="001004B0" w:rsidRPr="009F20B9">
        <w:t>esign</w:t>
      </w:r>
      <w:bookmarkEnd w:id="111"/>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816"/>
        <w:gridCol w:w="2719"/>
        <w:gridCol w:w="2616"/>
      </w:tblGrid>
      <w:tr w:rsidR="00A10B6E" w:rsidRPr="001A6700" w:rsidTr="00260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6" w:type="dxa"/>
            <w:tcBorders>
              <w:top w:val="none" w:sz="0" w:space="0" w:color="auto"/>
              <w:left w:val="none" w:sz="0" w:space="0" w:color="auto"/>
              <w:bottom w:val="none" w:sz="0" w:space="0" w:color="auto"/>
              <w:right w:val="none" w:sz="0" w:space="0" w:color="auto"/>
            </w:tcBorders>
            <w:shd w:val="clear" w:color="auto" w:fill="448A99"/>
            <w:vAlign w:val="center"/>
          </w:tcPr>
          <w:p w:rsidR="00A10B6E" w:rsidRPr="001A6700" w:rsidRDefault="00A10B6E" w:rsidP="00260827">
            <w:pPr>
              <w:jc w:val="center"/>
              <w:rPr>
                <w:sz w:val="20"/>
              </w:rPr>
            </w:pPr>
            <w:r w:rsidRPr="001A6700">
              <w:rPr>
                <w:sz w:val="20"/>
              </w:rPr>
              <w:t>Year</w:t>
            </w:r>
          </w:p>
        </w:tc>
        <w:tc>
          <w:tcPr>
            <w:tcW w:w="2719" w:type="dxa"/>
            <w:tcBorders>
              <w:top w:val="none" w:sz="0" w:space="0" w:color="auto"/>
              <w:left w:val="none" w:sz="0" w:space="0" w:color="auto"/>
              <w:bottom w:val="none" w:sz="0" w:space="0" w:color="auto"/>
              <w:right w:val="none" w:sz="0" w:space="0" w:color="auto"/>
            </w:tcBorders>
            <w:shd w:val="clear" w:color="auto" w:fill="448A99"/>
            <w:vAlign w:val="center"/>
          </w:tcPr>
          <w:p w:rsidR="00A10B6E" w:rsidRPr="001A6700" w:rsidRDefault="00A10B6E" w:rsidP="00260827">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Number of 5CP Hours Captured</w:t>
            </w:r>
          </w:p>
        </w:tc>
        <w:tc>
          <w:tcPr>
            <w:tcW w:w="2616" w:type="dxa"/>
            <w:tcBorders>
              <w:top w:val="none" w:sz="0" w:space="0" w:color="auto"/>
              <w:left w:val="none" w:sz="0" w:space="0" w:color="auto"/>
              <w:bottom w:val="none" w:sz="0" w:space="0" w:color="auto"/>
              <w:right w:val="none" w:sz="0" w:space="0" w:color="auto"/>
            </w:tcBorders>
            <w:shd w:val="clear" w:color="auto" w:fill="448A99"/>
            <w:vAlign w:val="center"/>
          </w:tcPr>
          <w:p w:rsidR="00A10B6E" w:rsidRPr="001A6700" w:rsidRDefault="00A10B6E" w:rsidP="00260827">
            <w:pPr>
              <w:jc w:val="center"/>
              <w:cnfStyle w:val="100000000000" w:firstRow="1" w:lastRow="0" w:firstColumn="0" w:lastColumn="0" w:oddVBand="0" w:evenVBand="0" w:oddHBand="0" w:evenHBand="0" w:firstRowFirstColumn="0" w:firstRowLastColumn="0" w:lastRowFirstColumn="0" w:lastRowLastColumn="0"/>
              <w:rPr>
                <w:sz w:val="20"/>
              </w:rPr>
            </w:pPr>
            <w:r w:rsidRPr="001A6700">
              <w:rPr>
                <w:sz w:val="20"/>
              </w:rPr>
              <w:t>Number of Events Called</w:t>
            </w:r>
          </w:p>
        </w:tc>
      </w:tr>
      <w:tr w:rsidR="00A10B6E" w:rsidRPr="001A6700" w:rsidTr="002608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2006</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4</w:t>
            </w:r>
          </w:p>
        </w:tc>
        <w:tc>
          <w:tcPr>
            <w:tcW w:w="2616" w:type="dxa"/>
            <w:tcBorders>
              <w:lef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6</w:t>
            </w:r>
          </w:p>
        </w:tc>
      </w:tr>
      <w:tr w:rsidR="00A10B6E" w:rsidRPr="001A6700" w:rsidTr="002608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2007</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4</w:t>
            </w:r>
          </w:p>
        </w:tc>
        <w:tc>
          <w:tcPr>
            <w:tcW w:w="2616" w:type="dxa"/>
            <w:tcBorders>
              <w:lef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4</w:t>
            </w:r>
          </w:p>
        </w:tc>
      </w:tr>
      <w:tr w:rsidR="00A10B6E" w:rsidRPr="001A6700" w:rsidTr="002608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2008</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0</w:t>
            </w:r>
          </w:p>
        </w:tc>
        <w:tc>
          <w:tcPr>
            <w:tcW w:w="2616" w:type="dxa"/>
            <w:tcBorders>
              <w:lef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0</w:t>
            </w:r>
          </w:p>
        </w:tc>
      </w:tr>
      <w:tr w:rsidR="00A10B6E" w:rsidRPr="001A6700" w:rsidTr="002608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2009</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0</w:t>
            </w:r>
          </w:p>
        </w:tc>
        <w:tc>
          <w:tcPr>
            <w:tcW w:w="2616" w:type="dxa"/>
            <w:tcBorders>
              <w:lef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0</w:t>
            </w:r>
          </w:p>
        </w:tc>
      </w:tr>
      <w:tr w:rsidR="00A10B6E" w:rsidRPr="001A6700" w:rsidTr="002608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2010</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5</w:t>
            </w:r>
          </w:p>
        </w:tc>
        <w:tc>
          <w:tcPr>
            <w:tcW w:w="2616" w:type="dxa"/>
            <w:tcBorders>
              <w:lef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6</w:t>
            </w:r>
          </w:p>
        </w:tc>
      </w:tr>
      <w:tr w:rsidR="00A10B6E" w:rsidRPr="001A6700" w:rsidTr="002608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2011</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1</w:t>
            </w:r>
          </w:p>
        </w:tc>
        <w:tc>
          <w:tcPr>
            <w:tcW w:w="2616" w:type="dxa"/>
            <w:tcBorders>
              <w:lef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6</w:t>
            </w:r>
          </w:p>
        </w:tc>
      </w:tr>
      <w:tr w:rsidR="00A10B6E" w:rsidRPr="001A6700" w:rsidTr="002608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2012</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4</w:t>
            </w:r>
          </w:p>
        </w:tc>
        <w:tc>
          <w:tcPr>
            <w:tcW w:w="2616" w:type="dxa"/>
            <w:tcBorders>
              <w:left w:val="none" w:sz="0" w:space="0" w:color="auto"/>
            </w:tcBorders>
            <w:vAlign w:val="center"/>
          </w:tcPr>
          <w:p w:rsidR="00A10B6E" w:rsidRPr="001A6700" w:rsidRDefault="00A10B6E" w:rsidP="00260827">
            <w:pPr>
              <w:jc w:val="center"/>
              <w:cnfStyle w:val="000000100000" w:firstRow="0" w:lastRow="0" w:firstColumn="0" w:lastColumn="0" w:oddVBand="0" w:evenVBand="0" w:oddHBand="1" w:evenHBand="0" w:firstRowFirstColumn="0" w:firstRowLastColumn="0" w:lastRowFirstColumn="0" w:lastRowLastColumn="0"/>
              <w:rPr>
                <w:sz w:val="20"/>
              </w:rPr>
            </w:pPr>
            <w:r w:rsidRPr="001A6700">
              <w:rPr>
                <w:sz w:val="20"/>
              </w:rPr>
              <w:t>6</w:t>
            </w:r>
          </w:p>
        </w:tc>
      </w:tr>
      <w:tr w:rsidR="00A10B6E" w:rsidRPr="001A6700" w:rsidTr="002608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16" w:type="dxa"/>
            <w:tcBorders>
              <w:right w:val="none" w:sz="0" w:space="0" w:color="auto"/>
            </w:tcBorders>
            <w:vAlign w:val="center"/>
          </w:tcPr>
          <w:p w:rsidR="00A10B6E" w:rsidRPr="001A6700" w:rsidRDefault="00A10B6E" w:rsidP="00260827">
            <w:pPr>
              <w:jc w:val="center"/>
              <w:rPr>
                <w:b w:val="0"/>
                <w:sz w:val="20"/>
              </w:rPr>
            </w:pPr>
            <w:r w:rsidRPr="001A6700">
              <w:rPr>
                <w:b w:val="0"/>
                <w:sz w:val="20"/>
              </w:rPr>
              <w:t>2013</w:t>
            </w:r>
          </w:p>
        </w:tc>
        <w:tc>
          <w:tcPr>
            <w:tcW w:w="2719" w:type="dxa"/>
            <w:tcBorders>
              <w:left w:val="none" w:sz="0" w:space="0" w:color="auto"/>
              <w:righ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5</w:t>
            </w:r>
          </w:p>
        </w:tc>
        <w:tc>
          <w:tcPr>
            <w:tcW w:w="2616" w:type="dxa"/>
            <w:tcBorders>
              <w:left w:val="none" w:sz="0" w:space="0" w:color="auto"/>
            </w:tcBorders>
            <w:vAlign w:val="center"/>
          </w:tcPr>
          <w:p w:rsidR="00A10B6E" w:rsidRPr="001A6700" w:rsidRDefault="00A10B6E" w:rsidP="00260827">
            <w:pPr>
              <w:jc w:val="center"/>
              <w:cnfStyle w:val="000000010000" w:firstRow="0" w:lastRow="0" w:firstColumn="0" w:lastColumn="0" w:oddVBand="0" w:evenVBand="0" w:oddHBand="0" w:evenHBand="1" w:firstRowFirstColumn="0" w:firstRowLastColumn="0" w:lastRowFirstColumn="0" w:lastRowLastColumn="0"/>
              <w:rPr>
                <w:sz w:val="20"/>
              </w:rPr>
            </w:pPr>
            <w:r w:rsidRPr="001A6700">
              <w:rPr>
                <w:sz w:val="20"/>
              </w:rPr>
              <w:t>5</w:t>
            </w:r>
          </w:p>
        </w:tc>
      </w:tr>
    </w:tbl>
    <w:p w:rsidR="00213BCA" w:rsidRDefault="00213BCA" w:rsidP="00A83ABC"/>
    <w:p w:rsidR="003772D0" w:rsidRDefault="00213BCA" w:rsidP="00A83ABC">
      <w:r>
        <w:fldChar w:fldCharType="begin"/>
      </w:r>
      <w:r>
        <w:instrText xml:space="preserve"> REF _Ref399866502 \h </w:instrText>
      </w:r>
      <w:r w:rsidR="00CF2BE5">
        <w:instrText xml:space="preserve"> \* MERGEFORMAT </w:instrText>
      </w:r>
      <w:r>
        <w:fldChar w:fldCharType="separate"/>
      </w:r>
      <w:r w:rsidR="00803DBE" w:rsidRPr="009F20B9">
        <w:t xml:space="preserve">Figure </w:t>
      </w:r>
      <w:r w:rsidR="00803DBE">
        <w:rPr>
          <w:noProof/>
        </w:rPr>
        <w:t>2</w:t>
      </w:r>
      <w:r w:rsidR="00803DBE">
        <w:rPr>
          <w:noProof/>
        </w:rPr>
        <w:noBreakHyphen/>
        <w:t>8</w:t>
      </w:r>
      <w:r>
        <w:fldChar w:fldCharType="end"/>
      </w:r>
      <w:r>
        <w:t xml:space="preserve"> shows the historical occurrences of the potential dispatch criteria for 5CP days. The x-axis indicates the maximum daily demand as a percentage of the projected annual peak for each year. </w:t>
      </w:r>
    </w:p>
    <w:p w:rsidR="00C04D12" w:rsidRDefault="00C04D12" w:rsidP="00A83ABC"/>
    <w:p w:rsidR="003772D0" w:rsidRPr="009F20B9" w:rsidRDefault="003772D0" w:rsidP="00A83ABC">
      <w:pPr>
        <w:pStyle w:val="Caption"/>
        <w:keepNext/>
      </w:pPr>
      <w:bookmarkStart w:id="112" w:name="_Ref399866502"/>
      <w:bookmarkStart w:id="113" w:name="_Toc412628509"/>
      <w:r w:rsidRPr="009F20B9">
        <w:t xml:space="preserve">Figure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8</w:t>
      </w:r>
      <w:r w:rsidR="00E2011B">
        <w:rPr>
          <w:noProof/>
        </w:rPr>
        <w:fldChar w:fldCharType="end"/>
      </w:r>
      <w:bookmarkEnd w:id="112"/>
      <w:r>
        <w:t>: Histogram of Dispatch C</w:t>
      </w:r>
      <w:r w:rsidRPr="009F20B9">
        <w:t>rite</w:t>
      </w:r>
      <w:r>
        <w:t>ria Frequency During 5CP E</w:t>
      </w:r>
      <w:r w:rsidRPr="009F20B9">
        <w:t>vents</w:t>
      </w:r>
      <w:bookmarkEnd w:id="113"/>
    </w:p>
    <w:p w:rsidR="003772D0" w:rsidRDefault="003772D0" w:rsidP="00A83ABC">
      <w:pPr>
        <w:jc w:val="center"/>
      </w:pPr>
      <w:r>
        <w:rPr>
          <w:noProof/>
        </w:rPr>
        <w:drawing>
          <wp:inline distT="0" distB="0" distL="0" distR="0" wp14:anchorId="474ED8EE" wp14:editId="36E4EAFE">
            <wp:extent cx="5029200" cy="3653693"/>
            <wp:effectExtent l="57150" t="76200" r="38100" b="425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png"/>
                    <pic:cNvPicPr/>
                  </pic:nvPicPr>
                  <pic:blipFill>
                    <a:blip r:embed="rId34">
                      <a:extLst>
                        <a:ext uri="{28A0092B-C50C-407E-A947-70E740481C1C}">
                          <a14:useLocalDpi xmlns:a14="http://schemas.microsoft.com/office/drawing/2010/main" val="0"/>
                        </a:ext>
                      </a:extLst>
                    </a:blip>
                    <a:stretch>
                      <a:fillRect/>
                    </a:stretch>
                  </pic:blipFill>
                  <pic:spPr>
                    <a:xfrm>
                      <a:off x="0" y="0"/>
                      <a:ext cx="5037435" cy="3659676"/>
                    </a:xfrm>
                    <a:prstGeom prst="rect">
                      <a:avLst/>
                    </a:prstGeom>
                    <a:ln>
                      <a:noFill/>
                    </a:ln>
                    <a:effectLst>
                      <a:outerShdw blurRad="50800" dist="38100" dir="13500000" algn="br" rotWithShape="0">
                        <a:prstClr val="black">
                          <a:alpha val="40000"/>
                        </a:prstClr>
                      </a:outerShdw>
                      <a:softEdge rad="31750"/>
                    </a:effectLst>
                  </pic:spPr>
                </pic:pic>
              </a:graphicData>
            </a:graphic>
          </wp:inline>
        </w:drawing>
      </w:r>
    </w:p>
    <w:p w:rsidR="00803DBE" w:rsidRDefault="00213BCA" w:rsidP="00A83ABC">
      <w:r>
        <w:fldChar w:fldCharType="begin"/>
      </w:r>
      <w:r>
        <w:instrText xml:space="preserve"> REF _Ref399868140 \h </w:instrText>
      </w:r>
      <w:r w:rsidR="00CF2BE5">
        <w:instrText xml:space="preserve"> \* MERGEFORMAT </w:instrText>
      </w:r>
      <w:r>
        <w:fldChar w:fldCharType="separate"/>
      </w:r>
    </w:p>
    <w:p w:rsidR="00803DBE" w:rsidRPr="00803DBE" w:rsidRDefault="00803DBE" w:rsidP="00803DBE">
      <w:pPr>
        <w:rPr>
          <w:noProof/>
        </w:rPr>
      </w:pPr>
    </w:p>
    <w:p w:rsidR="001E232E" w:rsidRDefault="00803DBE" w:rsidP="00A83ABC">
      <w:r w:rsidRPr="009F20B9">
        <w:t>Table</w:t>
      </w:r>
      <w:r w:rsidRPr="009F20B9">
        <w:rPr>
          <w:noProof/>
        </w:rPr>
        <w:t xml:space="preserve"> </w:t>
      </w:r>
      <w:r>
        <w:rPr>
          <w:noProof/>
        </w:rPr>
        <w:t>2</w:t>
      </w:r>
      <w:r>
        <w:rPr>
          <w:noProof/>
        </w:rPr>
        <w:noBreakHyphen/>
        <w:t>10</w:t>
      </w:r>
      <w:r w:rsidR="00213BCA">
        <w:fldChar w:fldCharType="end"/>
      </w:r>
      <w:r w:rsidR="001004B0">
        <w:t xml:space="preserve"> shows the number of 5</w:t>
      </w:r>
      <w:r w:rsidR="00213BCA">
        <w:t>CP hours that have occurred in each hour. Time</w:t>
      </w:r>
      <w:r w:rsidR="001004B0">
        <w:t xml:space="preserve">s are expressed </w:t>
      </w:r>
      <w:r w:rsidR="00FB1C3D">
        <w:t>in</w:t>
      </w:r>
      <w:r w:rsidR="001004B0">
        <w:t xml:space="preserve"> hour</w:t>
      </w:r>
      <w:r w:rsidR="00FB1C3D">
        <w:t>s on a 1 to 24 basis</w:t>
      </w:r>
      <w:r w:rsidR="001004B0">
        <w:t xml:space="preserve"> so hour </w:t>
      </w:r>
      <w:r w:rsidR="006B1373">
        <w:t>1</w:t>
      </w:r>
      <w:r w:rsidR="00FB1C3D">
        <w:t>5</w:t>
      </w:r>
      <w:r w:rsidR="001004B0">
        <w:t xml:space="preserve"> is the hour from 2</w:t>
      </w:r>
      <w:r w:rsidR="007306EC">
        <w:t>:00</w:t>
      </w:r>
      <w:r w:rsidR="006B1373">
        <w:t xml:space="preserve"> </w:t>
      </w:r>
      <w:r w:rsidR="001004B0">
        <w:t>p</w:t>
      </w:r>
      <w:r w:rsidR="007306EC">
        <w:t>.</w:t>
      </w:r>
      <w:r w:rsidR="001004B0">
        <w:t>m</w:t>
      </w:r>
      <w:r w:rsidR="007306EC">
        <w:t>.</w:t>
      </w:r>
      <w:r w:rsidR="001004B0">
        <w:t xml:space="preserve"> to 3</w:t>
      </w:r>
      <w:r w:rsidR="007306EC">
        <w:t xml:space="preserve">:00 </w:t>
      </w:r>
      <w:r w:rsidR="001004B0">
        <w:t>p</w:t>
      </w:r>
      <w:r w:rsidR="007306EC">
        <w:t>.</w:t>
      </w:r>
      <w:r w:rsidR="001004B0">
        <w:t>m.</w:t>
      </w:r>
      <w:bookmarkStart w:id="114" w:name="_Ref399868140"/>
    </w:p>
    <w:p w:rsidR="00EA2A60" w:rsidRDefault="00EA2A60" w:rsidP="00A83ABC">
      <w:pPr>
        <w:spacing w:after="200"/>
        <w:jc w:val="left"/>
        <w:rPr>
          <w:b/>
          <w:bCs/>
          <w:sz w:val="18"/>
          <w:szCs w:val="18"/>
        </w:rPr>
      </w:pPr>
    </w:p>
    <w:p w:rsidR="00213BCA" w:rsidRDefault="00213BCA" w:rsidP="00A83ABC">
      <w:pPr>
        <w:pStyle w:val="Caption"/>
        <w:keepNext/>
      </w:pPr>
      <w:bookmarkStart w:id="115" w:name="_Toc412628456"/>
      <w:r w:rsidRPr="009F20B9">
        <w:lastRenderedPageBreak/>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10</w:t>
      </w:r>
      <w:r w:rsidR="00E2011B">
        <w:rPr>
          <w:noProof/>
        </w:rPr>
        <w:fldChar w:fldCharType="end"/>
      </w:r>
      <w:bookmarkEnd w:id="114"/>
      <w:r w:rsidRPr="009F20B9">
        <w:t>: Historical Count of 5CP Events, by Hour-Ending</w:t>
      </w:r>
      <w:bookmarkEnd w:id="115"/>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950"/>
        <w:gridCol w:w="1950"/>
        <w:gridCol w:w="1950"/>
      </w:tblGrid>
      <w:tr w:rsidR="00A10B6E" w:rsidRPr="001A6700" w:rsidTr="00AB46EA">
        <w:trPr>
          <w:cnfStyle w:val="100000000000" w:firstRow="1" w:lastRow="0" w:firstColumn="0" w:lastColumn="0" w:oddVBand="0" w:evenVBand="0" w:oddHBand="0" w:evenHBand="0" w:firstRowFirstColumn="0" w:firstRowLastColumn="0" w:lastRowFirstColumn="0" w:lastRowLastColumn="0"/>
          <w:trHeight w:hRule="exact" w:val="398"/>
          <w:tblHead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left w:val="none" w:sz="0" w:space="0" w:color="auto"/>
              <w:bottom w:val="none" w:sz="0" w:space="0" w:color="auto"/>
              <w:right w:val="none" w:sz="0" w:space="0" w:color="auto"/>
            </w:tcBorders>
            <w:shd w:val="clear" w:color="auto" w:fill="448A99"/>
            <w:vAlign w:val="bottom"/>
          </w:tcPr>
          <w:p w:rsidR="00A10B6E" w:rsidRPr="001A6700" w:rsidRDefault="00A10B6E" w:rsidP="00A83ABC">
            <w:pPr>
              <w:jc w:val="left"/>
              <w:rPr>
                <w:sz w:val="20"/>
                <w:szCs w:val="24"/>
              </w:rPr>
            </w:pPr>
            <w:r w:rsidRPr="001A6700">
              <w:rPr>
                <w:sz w:val="20"/>
                <w:szCs w:val="24"/>
              </w:rPr>
              <w:t>Hour</w:t>
            </w:r>
          </w:p>
        </w:tc>
        <w:tc>
          <w:tcPr>
            <w:tcW w:w="1950" w:type="dxa"/>
            <w:tcBorders>
              <w:top w:val="none" w:sz="0" w:space="0" w:color="auto"/>
              <w:left w:val="none" w:sz="0" w:space="0" w:color="auto"/>
              <w:bottom w:val="none" w:sz="0" w:space="0" w:color="auto"/>
              <w:right w:val="none" w:sz="0" w:space="0" w:color="auto"/>
            </w:tcBorders>
            <w:shd w:val="clear" w:color="auto" w:fill="448A99"/>
            <w:vAlign w:val="bottom"/>
          </w:tcPr>
          <w:p w:rsidR="00A10B6E" w:rsidRPr="001A6700" w:rsidRDefault="00A10B6E" w:rsidP="00A83ABC">
            <w:pPr>
              <w:jc w:val="center"/>
              <w:cnfStyle w:val="100000000000" w:firstRow="1" w:lastRow="0" w:firstColumn="0" w:lastColumn="0" w:oddVBand="0" w:evenVBand="0" w:oddHBand="0" w:evenHBand="0" w:firstRowFirstColumn="0" w:firstRowLastColumn="0" w:lastRowFirstColumn="0" w:lastRowLastColumn="0"/>
              <w:rPr>
                <w:sz w:val="20"/>
                <w:szCs w:val="24"/>
              </w:rPr>
            </w:pPr>
            <w:r w:rsidRPr="001A6700">
              <w:rPr>
                <w:sz w:val="20"/>
                <w:szCs w:val="24"/>
              </w:rPr>
              <w:t>Occurrences</w:t>
            </w:r>
          </w:p>
        </w:tc>
        <w:tc>
          <w:tcPr>
            <w:tcW w:w="1950" w:type="dxa"/>
            <w:tcBorders>
              <w:top w:val="none" w:sz="0" w:space="0" w:color="auto"/>
              <w:left w:val="none" w:sz="0" w:space="0" w:color="auto"/>
              <w:bottom w:val="none" w:sz="0" w:space="0" w:color="auto"/>
              <w:right w:val="none" w:sz="0" w:space="0" w:color="auto"/>
            </w:tcBorders>
            <w:shd w:val="clear" w:color="auto" w:fill="448A99"/>
            <w:vAlign w:val="bottom"/>
          </w:tcPr>
          <w:p w:rsidR="00A10B6E" w:rsidRPr="001A6700" w:rsidRDefault="00A10B6E" w:rsidP="00A83ABC">
            <w:pPr>
              <w:jc w:val="center"/>
              <w:cnfStyle w:val="100000000000" w:firstRow="1" w:lastRow="0" w:firstColumn="0" w:lastColumn="0" w:oddVBand="0" w:evenVBand="0" w:oddHBand="0" w:evenHBand="0" w:firstRowFirstColumn="0" w:firstRowLastColumn="0" w:lastRowFirstColumn="0" w:lastRowLastColumn="0"/>
              <w:rPr>
                <w:sz w:val="20"/>
                <w:szCs w:val="24"/>
              </w:rPr>
            </w:pPr>
            <w:r w:rsidRPr="001A6700">
              <w:rPr>
                <w:sz w:val="20"/>
                <w:szCs w:val="24"/>
              </w:rPr>
              <w:t>Percentage (%)</w:t>
            </w:r>
          </w:p>
        </w:tc>
      </w:tr>
      <w:tr w:rsidR="00A10B6E"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50" w:type="dxa"/>
            <w:tcBorders>
              <w:right w:val="none" w:sz="0" w:space="0" w:color="auto"/>
            </w:tcBorders>
          </w:tcPr>
          <w:p w:rsidR="00A10B6E" w:rsidRPr="001A6700" w:rsidRDefault="00A10B6E" w:rsidP="00A83ABC">
            <w:pPr>
              <w:rPr>
                <w:rFonts w:ascii="Calibri" w:hAnsi="Calibri" w:cs="Calibri"/>
                <w:b w:val="0"/>
                <w:color w:val="000000"/>
                <w:sz w:val="20"/>
              </w:rPr>
            </w:pPr>
            <w:r w:rsidRPr="001A6700">
              <w:rPr>
                <w:rFonts w:ascii="Calibri" w:hAnsi="Calibri" w:cs="Calibri"/>
                <w:b w:val="0"/>
                <w:color w:val="000000"/>
                <w:sz w:val="20"/>
              </w:rPr>
              <w:t>15</w:t>
            </w:r>
          </w:p>
        </w:tc>
        <w:tc>
          <w:tcPr>
            <w:tcW w:w="1950"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3</w:t>
            </w:r>
          </w:p>
        </w:tc>
        <w:tc>
          <w:tcPr>
            <w:tcW w:w="1950"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7.5</w:t>
            </w:r>
          </w:p>
        </w:tc>
      </w:tr>
      <w:tr w:rsidR="00A10B6E"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50" w:type="dxa"/>
            <w:tcBorders>
              <w:right w:val="none" w:sz="0" w:space="0" w:color="auto"/>
            </w:tcBorders>
          </w:tcPr>
          <w:p w:rsidR="00A10B6E" w:rsidRPr="001A6700" w:rsidRDefault="00A10B6E" w:rsidP="00A83ABC">
            <w:pPr>
              <w:rPr>
                <w:rFonts w:ascii="Calibri" w:hAnsi="Calibri" w:cs="Calibri"/>
                <w:b w:val="0"/>
                <w:color w:val="000000"/>
                <w:sz w:val="20"/>
              </w:rPr>
            </w:pPr>
            <w:r w:rsidRPr="001A6700">
              <w:rPr>
                <w:rFonts w:ascii="Calibri" w:hAnsi="Calibri" w:cs="Calibri"/>
                <w:b w:val="0"/>
                <w:color w:val="000000"/>
                <w:sz w:val="20"/>
              </w:rPr>
              <w:t>16</w:t>
            </w:r>
          </w:p>
        </w:tc>
        <w:tc>
          <w:tcPr>
            <w:tcW w:w="1950" w:type="dxa"/>
            <w:tcBorders>
              <w:left w:val="none" w:sz="0" w:space="0" w:color="auto"/>
              <w:righ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4</w:t>
            </w:r>
          </w:p>
        </w:tc>
        <w:tc>
          <w:tcPr>
            <w:tcW w:w="1950" w:type="dxa"/>
            <w:tcBorders>
              <w:lef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10</w:t>
            </w:r>
          </w:p>
        </w:tc>
      </w:tr>
      <w:tr w:rsidR="00A10B6E" w:rsidRPr="001A6700" w:rsidTr="00C04D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50" w:type="dxa"/>
            <w:tcBorders>
              <w:right w:val="none" w:sz="0" w:space="0" w:color="auto"/>
            </w:tcBorders>
          </w:tcPr>
          <w:p w:rsidR="00A10B6E" w:rsidRPr="001A6700" w:rsidRDefault="00A10B6E" w:rsidP="00A83ABC">
            <w:pPr>
              <w:rPr>
                <w:rFonts w:ascii="Calibri" w:hAnsi="Calibri" w:cs="Calibri"/>
                <w:b w:val="0"/>
                <w:color w:val="000000"/>
                <w:sz w:val="20"/>
              </w:rPr>
            </w:pPr>
            <w:r w:rsidRPr="001A6700">
              <w:rPr>
                <w:rFonts w:ascii="Calibri" w:hAnsi="Calibri" w:cs="Calibri"/>
                <w:b w:val="0"/>
                <w:color w:val="000000"/>
                <w:sz w:val="20"/>
              </w:rPr>
              <w:t>17</w:t>
            </w:r>
          </w:p>
        </w:tc>
        <w:tc>
          <w:tcPr>
            <w:tcW w:w="1950" w:type="dxa"/>
            <w:tcBorders>
              <w:left w:val="none" w:sz="0" w:space="0" w:color="auto"/>
              <w:righ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32</w:t>
            </w:r>
          </w:p>
        </w:tc>
        <w:tc>
          <w:tcPr>
            <w:tcW w:w="1950" w:type="dxa"/>
            <w:tcBorders>
              <w:left w:val="none" w:sz="0" w:space="0" w:color="auto"/>
            </w:tcBorders>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80</w:t>
            </w:r>
          </w:p>
        </w:tc>
      </w:tr>
      <w:tr w:rsidR="00A10B6E" w:rsidRPr="001A6700" w:rsidTr="00C04D1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50" w:type="dxa"/>
            <w:tcBorders>
              <w:right w:val="none" w:sz="0" w:space="0" w:color="auto"/>
            </w:tcBorders>
          </w:tcPr>
          <w:p w:rsidR="00A10B6E" w:rsidRPr="001A6700" w:rsidRDefault="00A10B6E" w:rsidP="00A83ABC">
            <w:pPr>
              <w:rPr>
                <w:rFonts w:ascii="Calibri" w:hAnsi="Calibri" w:cs="Calibri"/>
                <w:b w:val="0"/>
                <w:color w:val="000000"/>
                <w:sz w:val="20"/>
              </w:rPr>
            </w:pPr>
            <w:r w:rsidRPr="001A6700">
              <w:rPr>
                <w:rFonts w:ascii="Calibri" w:hAnsi="Calibri" w:cs="Calibri"/>
                <w:b w:val="0"/>
                <w:color w:val="000000"/>
                <w:sz w:val="20"/>
              </w:rPr>
              <w:t>18</w:t>
            </w:r>
          </w:p>
        </w:tc>
        <w:tc>
          <w:tcPr>
            <w:tcW w:w="1950" w:type="dxa"/>
            <w:tcBorders>
              <w:left w:val="none" w:sz="0" w:space="0" w:color="auto"/>
              <w:righ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1</w:t>
            </w:r>
          </w:p>
        </w:tc>
        <w:tc>
          <w:tcPr>
            <w:tcW w:w="1950" w:type="dxa"/>
            <w:tcBorders>
              <w:left w:val="none" w:sz="0" w:space="0" w:color="auto"/>
            </w:tcBorders>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1A6700">
              <w:rPr>
                <w:rFonts w:ascii="Calibri" w:hAnsi="Calibri" w:cs="Calibri"/>
                <w:color w:val="000000"/>
                <w:sz w:val="20"/>
              </w:rPr>
              <w:t>2.5</w:t>
            </w:r>
          </w:p>
        </w:tc>
      </w:tr>
    </w:tbl>
    <w:p w:rsidR="00213BCA" w:rsidRPr="009F20B9" w:rsidRDefault="00213BCA" w:rsidP="00A83ABC"/>
    <w:p w:rsidR="00213BCA" w:rsidRDefault="00213BCA" w:rsidP="00A83ABC">
      <w:r>
        <w:t xml:space="preserve">Lastly, </w:t>
      </w:r>
      <w:r w:rsidR="003772D0">
        <w:fldChar w:fldCharType="begin"/>
      </w:r>
      <w:r w:rsidR="003772D0">
        <w:instrText xml:space="preserve"> REF _Ref408569794 \h </w:instrText>
      </w:r>
      <w:r w:rsidR="003772D0">
        <w:fldChar w:fldCharType="separate"/>
      </w:r>
      <w:r w:rsidR="00803DBE" w:rsidRPr="009F20B9">
        <w:t xml:space="preserve">Table </w:t>
      </w:r>
      <w:r w:rsidR="00803DBE">
        <w:rPr>
          <w:noProof/>
        </w:rPr>
        <w:t>2</w:t>
      </w:r>
      <w:r w:rsidR="00803DBE">
        <w:noBreakHyphen/>
      </w:r>
      <w:r w:rsidR="00803DBE">
        <w:rPr>
          <w:noProof/>
        </w:rPr>
        <w:t>11</w:t>
      </w:r>
      <w:r w:rsidR="003772D0">
        <w:fldChar w:fldCharType="end"/>
      </w:r>
      <w:r w:rsidR="003772D0">
        <w:t xml:space="preserve"> </w:t>
      </w:r>
      <w:r>
        <w:t xml:space="preserve">reports the number of days in each year that exceeded the corresponding dispatch criterion. Notice the stark contrast between 2008-2009 and 2011 in terms of the number of days above a given load threshold. This illustrates the inherent challenges </w:t>
      </w:r>
      <w:r w:rsidR="001004B0">
        <w:t xml:space="preserve">the Commission faces </w:t>
      </w:r>
      <w:r>
        <w:t>in designing</w:t>
      </w:r>
      <w:r w:rsidR="001004B0">
        <w:t xml:space="preserve"> a forward-looking DR program. </w:t>
      </w:r>
    </w:p>
    <w:p w:rsidR="00C04D12" w:rsidRDefault="00C04D12" w:rsidP="00A83ABC">
      <w:pPr>
        <w:jc w:val="left"/>
      </w:pPr>
    </w:p>
    <w:p w:rsidR="00213BCA" w:rsidRDefault="00213BCA" w:rsidP="00A83ABC">
      <w:pPr>
        <w:pStyle w:val="Caption"/>
        <w:keepNext/>
      </w:pPr>
      <w:bookmarkStart w:id="116" w:name="_Ref399866607"/>
      <w:bookmarkStart w:id="117" w:name="_Ref408326229"/>
      <w:bookmarkStart w:id="118" w:name="_Ref408569794"/>
      <w:bookmarkStart w:id="119" w:name="_Toc412628457"/>
      <w:r w:rsidRPr="009F20B9">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11</w:t>
      </w:r>
      <w:r w:rsidR="00E2011B">
        <w:rPr>
          <w:noProof/>
        </w:rPr>
        <w:fldChar w:fldCharType="end"/>
      </w:r>
      <w:bookmarkEnd w:id="116"/>
      <w:bookmarkEnd w:id="117"/>
      <w:bookmarkEnd w:id="118"/>
      <w:r w:rsidR="001004B0" w:rsidRPr="009F20B9">
        <w:t>: Number of Days Exceeding Dispatch Criteria Each Y</w:t>
      </w:r>
      <w:r w:rsidRPr="009F20B9">
        <w:t>ear</w:t>
      </w:r>
      <w:bookmarkEnd w:id="119"/>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948"/>
        <w:gridCol w:w="1056"/>
        <w:gridCol w:w="1056"/>
        <w:gridCol w:w="1056"/>
        <w:gridCol w:w="1056"/>
        <w:gridCol w:w="1056"/>
        <w:gridCol w:w="1056"/>
        <w:gridCol w:w="1056"/>
        <w:gridCol w:w="1056"/>
      </w:tblGrid>
      <w:tr w:rsidR="00A10B6E" w:rsidRPr="005B3121" w:rsidTr="00C0281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948" w:type="dxa"/>
            <w:vMerge w:val="restart"/>
            <w:tcBorders>
              <w:top w:val="none" w:sz="0" w:space="0" w:color="auto"/>
              <w:left w:val="none" w:sz="0" w:space="0" w:color="auto"/>
              <w:bottom w:val="none" w:sz="0" w:space="0" w:color="auto"/>
              <w:right w:val="none" w:sz="0" w:space="0" w:color="auto"/>
            </w:tcBorders>
            <w:shd w:val="clear" w:color="auto" w:fill="448A99"/>
            <w:noWrap/>
            <w:vAlign w:val="bottom"/>
            <w:hideMark/>
          </w:tcPr>
          <w:p w:rsidR="00A10B6E" w:rsidRPr="005B3121" w:rsidRDefault="00A10B6E" w:rsidP="00A83ABC">
            <w:pPr>
              <w:jc w:val="left"/>
              <w:rPr>
                <w:sz w:val="20"/>
                <w:szCs w:val="20"/>
              </w:rPr>
            </w:pPr>
            <w:r w:rsidRPr="005B3121">
              <w:rPr>
                <w:sz w:val="20"/>
                <w:szCs w:val="20"/>
              </w:rPr>
              <w:t>Year</w:t>
            </w:r>
          </w:p>
        </w:tc>
        <w:tc>
          <w:tcPr>
            <w:tcW w:w="8448" w:type="dxa"/>
            <w:gridSpan w:val="8"/>
            <w:tcBorders>
              <w:top w:val="none" w:sz="0" w:space="0" w:color="auto"/>
              <w:left w:val="none" w:sz="0" w:space="0" w:color="auto"/>
              <w:bottom w:val="none" w:sz="0" w:space="0" w:color="auto"/>
              <w:right w:val="none" w:sz="0" w:space="0" w:color="auto"/>
            </w:tcBorders>
            <w:shd w:val="clear" w:color="auto" w:fill="448A99"/>
            <w:noWrap/>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B3121">
              <w:rPr>
                <w:sz w:val="20"/>
                <w:szCs w:val="20"/>
              </w:rPr>
              <w:t>Dispatch Criterion (% of Projected Annual Peak)</w:t>
            </w:r>
          </w:p>
        </w:tc>
      </w:tr>
      <w:tr w:rsidR="00A10B6E" w:rsidRPr="005B3121" w:rsidTr="00C0281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948" w:type="dxa"/>
            <w:vMerge/>
            <w:tcBorders>
              <w:top w:val="none" w:sz="0" w:space="0" w:color="auto"/>
              <w:left w:val="none" w:sz="0" w:space="0" w:color="auto"/>
              <w:bottom w:val="none" w:sz="0" w:space="0" w:color="auto"/>
              <w:right w:val="none" w:sz="0" w:space="0" w:color="auto"/>
            </w:tcBorders>
            <w:shd w:val="clear" w:color="auto" w:fill="448A99"/>
            <w:noWrap/>
          </w:tcPr>
          <w:p w:rsidR="00A10B6E" w:rsidRPr="005B3121" w:rsidRDefault="00A10B6E" w:rsidP="00A83ABC">
            <w:pPr>
              <w:rPr>
                <w:sz w:val="20"/>
                <w:szCs w:val="20"/>
              </w:rPr>
            </w:pP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90%</w:t>
            </w: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91%</w:t>
            </w: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92%</w:t>
            </w: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93%</w:t>
            </w: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94%</w:t>
            </w: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95%</w:t>
            </w: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96%</w:t>
            </w:r>
          </w:p>
        </w:tc>
        <w:tc>
          <w:tcPr>
            <w:tcW w:w="1056" w:type="dxa"/>
            <w:tcBorders>
              <w:top w:val="none" w:sz="0" w:space="0" w:color="auto"/>
              <w:left w:val="none" w:sz="0" w:space="0" w:color="auto"/>
              <w:bottom w:val="none" w:sz="0" w:space="0" w:color="auto"/>
              <w:right w:val="none" w:sz="0" w:space="0" w:color="auto"/>
            </w:tcBorders>
            <w:shd w:val="clear" w:color="auto" w:fill="448A99"/>
            <w:noWrap/>
            <w:vAlign w:val="bottom"/>
          </w:tcPr>
          <w:p w:rsidR="00A10B6E" w:rsidRPr="005B3121" w:rsidRDefault="00A10B6E" w:rsidP="00A83AB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B3121">
              <w:rPr>
                <w:sz w:val="20"/>
                <w:szCs w:val="20"/>
              </w:rPr>
              <w:t>97%</w:t>
            </w:r>
          </w:p>
        </w:tc>
      </w:tr>
      <w:tr w:rsidR="00A10B6E" w:rsidRPr="001A6700" w:rsidTr="00A10B6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2006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13</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12</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12</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10</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9</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7</w:t>
            </w:r>
          </w:p>
        </w:tc>
        <w:tc>
          <w:tcPr>
            <w:tcW w:w="1056" w:type="dxa"/>
            <w:tcBorders>
              <w:lef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6</w:t>
            </w:r>
          </w:p>
        </w:tc>
      </w:tr>
      <w:tr w:rsidR="00A10B6E" w:rsidRPr="001A6700" w:rsidTr="00A10B6E">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2007</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13</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13</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7</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4</w:t>
            </w:r>
          </w:p>
        </w:tc>
        <w:tc>
          <w:tcPr>
            <w:tcW w:w="1056" w:type="dxa"/>
            <w:tcBorders>
              <w:lef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4</w:t>
            </w:r>
          </w:p>
        </w:tc>
      </w:tr>
      <w:tr w:rsidR="00A10B6E" w:rsidRPr="001A6700" w:rsidTr="00A10B6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2008</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9</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5</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4</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0</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0</w:t>
            </w:r>
          </w:p>
        </w:tc>
        <w:tc>
          <w:tcPr>
            <w:tcW w:w="1056" w:type="dxa"/>
            <w:tcBorders>
              <w:lef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0</w:t>
            </w:r>
          </w:p>
        </w:tc>
      </w:tr>
      <w:tr w:rsidR="00A10B6E" w:rsidRPr="001A6700" w:rsidTr="00A10B6E">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2009</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3</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2</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0</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0</w:t>
            </w:r>
          </w:p>
        </w:tc>
        <w:tc>
          <w:tcPr>
            <w:tcW w:w="1056" w:type="dxa"/>
            <w:tcBorders>
              <w:lef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0</w:t>
            </w:r>
          </w:p>
        </w:tc>
      </w:tr>
      <w:tr w:rsidR="00A10B6E" w:rsidRPr="001A6700" w:rsidTr="00A10B6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2010</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26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22</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19</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17</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14</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9</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6</w:t>
            </w:r>
          </w:p>
        </w:tc>
        <w:tc>
          <w:tcPr>
            <w:tcW w:w="1056" w:type="dxa"/>
            <w:tcBorders>
              <w:lef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4</w:t>
            </w:r>
          </w:p>
        </w:tc>
      </w:tr>
      <w:tr w:rsidR="00A10B6E" w:rsidRPr="001A6700" w:rsidTr="00A10B6E">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2011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38</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33</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31</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27</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24</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22</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19</w:t>
            </w:r>
          </w:p>
        </w:tc>
        <w:tc>
          <w:tcPr>
            <w:tcW w:w="1056" w:type="dxa"/>
            <w:tcBorders>
              <w:lef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16</w:t>
            </w:r>
          </w:p>
        </w:tc>
      </w:tr>
      <w:tr w:rsidR="00A10B6E" w:rsidRPr="001A6700" w:rsidTr="00A10B6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2012</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14</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14</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12</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9</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7</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7</w:t>
            </w:r>
          </w:p>
        </w:tc>
        <w:tc>
          <w:tcPr>
            <w:tcW w:w="1056" w:type="dxa"/>
            <w:tcBorders>
              <w:left w:val="none" w:sz="0" w:space="0" w:color="auto"/>
            </w:tcBorders>
            <w:noWrap/>
            <w:hideMark/>
          </w:tcPr>
          <w:p w:rsidR="00A10B6E" w:rsidRPr="001A6700" w:rsidRDefault="00A10B6E"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6700">
              <w:rPr>
                <w:rFonts w:cs="Calibri"/>
                <w:color w:val="000000"/>
                <w:sz w:val="20"/>
                <w:szCs w:val="20"/>
              </w:rPr>
              <w:t>3</w:t>
            </w:r>
          </w:p>
        </w:tc>
      </w:tr>
      <w:tr w:rsidR="00A10B6E" w:rsidRPr="001A6700" w:rsidTr="00A10B6E">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8" w:type="dxa"/>
            <w:tcBorders>
              <w:right w:val="none" w:sz="0" w:space="0" w:color="auto"/>
            </w:tcBorders>
            <w:noWrap/>
            <w:hideMark/>
          </w:tcPr>
          <w:p w:rsidR="00A10B6E" w:rsidRPr="001A6700" w:rsidRDefault="00A10B6E" w:rsidP="00A83ABC">
            <w:pPr>
              <w:rPr>
                <w:b w:val="0"/>
                <w:sz w:val="20"/>
                <w:szCs w:val="20"/>
              </w:rPr>
            </w:pPr>
            <w:r w:rsidRPr="001A6700">
              <w:rPr>
                <w:b w:val="0"/>
                <w:sz w:val="20"/>
                <w:szCs w:val="20"/>
              </w:rPr>
              <w:t>2013</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7</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6</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5</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5</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5</w:t>
            </w:r>
          </w:p>
        </w:tc>
        <w:tc>
          <w:tcPr>
            <w:tcW w:w="1056" w:type="dxa"/>
            <w:tcBorders>
              <w:left w:val="none" w:sz="0" w:space="0" w:color="auto"/>
              <w:righ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5</w:t>
            </w:r>
          </w:p>
        </w:tc>
        <w:tc>
          <w:tcPr>
            <w:tcW w:w="1056" w:type="dxa"/>
            <w:tcBorders>
              <w:left w:val="none" w:sz="0" w:space="0" w:color="auto"/>
            </w:tcBorders>
            <w:noWrap/>
            <w:hideMark/>
          </w:tcPr>
          <w:p w:rsidR="00A10B6E" w:rsidRPr="001A6700" w:rsidRDefault="00A10B6E"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A6700">
              <w:rPr>
                <w:rFonts w:cs="Calibri"/>
                <w:color w:val="000000"/>
                <w:sz w:val="20"/>
                <w:szCs w:val="20"/>
              </w:rPr>
              <w:t>4</w:t>
            </w:r>
          </w:p>
        </w:tc>
      </w:tr>
    </w:tbl>
    <w:p w:rsidR="00213BCA" w:rsidRPr="0015640C" w:rsidRDefault="00213BCA" w:rsidP="00A83ABC"/>
    <w:p w:rsidR="00A80479" w:rsidRDefault="00A80479" w:rsidP="00A83ABC">
      <w:pPr>
        <w:pStyle w:val="Heading2"/>
      </w:pPr>
      <w:bookmarkStart w:id="120" w:name="_Ref406614169"/>
      <w:bookmarkStart w:id="121" w:name="_Toc412628392"/>
      <w:r>
        <w:t>Avoided Cost of Transmission and Distribution Capacity</w:t>
      </w:r>
      <w:bookmarkEnd w:id="120"/>
      <w:bookmarkEnd w:id="121"/>
      <w:r>
        <w:t xml:space="preserve"> </w:t>
      </w:r>
    </w:p>
    <w:p w:rsidR="00CB59F0" w:rsidRDefault="00CB59F0" w:rsidP="00A83ABC">
      <w:pPr>
        <w:rPr>
          <w:rFonts w:ascii="Calibri" w:hAnsi="Calibri"/>
        </w:rPr>
      </w:pPr>
      <w:r w:rsidRPr="00583EBC">
        <w:rPr>
          <w:rFonts w:ascii="Calibri" w:hAnsi="Calibri"/>
        </w:rPr>
        <w:t>The SWE Team develop</w:t>
      </w:r>
      <w:r>
        <w:rPr>
          <w:rFonts w:ascii="Calibri" w:hAnsi="Calibri"/>
        </w:rPr>
        <w:t xml:space="preserve">ed forecasts of </w:t>
      </w:r>
      <w:r w:rsidR="006B1373">
        <w:rPr>
          <w:rFonts w:ascii="Calibri" w:hAnsi="Calibri"/>
        </w:rPr>
        <w:t>T&amp;D</w:t>
      </w:r>
      <w:r>
        <w:rPr>
          <w:rFonts w:ascii="Calibri" w:hAnsi="Calibri"/>
        </w:rPr>
        <w:t xml:space="preserve"> </w:t>
      </w:r>
      <w:r w:rsidRPr="00583EBC">
        <w:rPr>
          <w:rFonts w:ascii="Calibri" w:hAnsi="Calibri"/>
        </w:rPr>
        <w:t xml:space="preserve">avoided costs per </w:t>
      </w:r>
      <w:r w:rsidR="002143D1">
        <w:rPr>
          <w:rFonts w:ascii="Calibri" w:hAnsi="Calibri"/>
        </w:rPr>
        <w:t>kW/year</w:t>
      </w:r>
      <w:r w:rsidRPr="00583EBC">
        <w:rPr>
          <w:rFonts w:ascii="Calibri" w:hAnsi="Calibri"/>
        </w:rPr>
        <w:t xml:space="preserve"> for each EDC subject to the </w:t>
      </w:r>
      <w:r w:rsidR="00037A03">
        <w:rPr>
          <w:rFonts w:ascii="Calibri" w:hAnsi="Calibri"/>
        </w:rPr>
        <w:t>DR</w:t>
      </w:r>
      <w:r w:rsidRPr="00583EBC">
        <w:rPr>
          <w:rFonts w:ascii="Calibri" w:hAnsi="Calibri"/>
        </w:rPr>
        <w:t xml:space="preserve"> </w:t>
      </w:r>
      <w:r>
        <w:rPr>
          <w:rFonts w:ascii="Calibri" w:hAnsi="Calibri"/>
        </w:rPr>
        <w:t xml:space="preserve">program requirements of Act 129. For purposes of this study, </w:t>
      </w:r>
      <w:r w:rsidRPr="00583EBC">
        <w:rPr>
          <w:rFonts w:ascii="Calibri" w:hAnsi="Calibri"/>
        </w:rPr>
        <w:t xml:space="preserve">T&amp;D avoided costs </w:t>
      </w:r>
      <w:r>
        <w:rPr>
          <w:rFonts w:ascii="Calibri" w:hAnsi="Calibri"/>
        </w:rPr>
        <w:t>are defined as the T&amp;D infrastructure expenditure</w:t>
      </w:r>
      <w:r w:rsidR="002143D1">
        <w:rPr>
          <w:rFonts w:ascii="Calibri" w:hAnsi="Calibri"/>
        </w:rPr>
        <w:t>s that can be avoided if an EDC</w:t>
      </w:r>
      <w:r>
        <w:rPr>
          <w:rFonts w:ascii="Calibri" w:hAnsi="Calibri"/>
        </w:rPr>
        <w:t xml:space="preserve">s future load growth can be reduced with </w:t>
      </w:r>
      <w:r w:rsidR="00037A03">
        <w:rPr>
          <w:rFonts w:ascii="Calibri" w:hAnsi="Calibri"/>
        </w:rPr>
        <w:t>DR</w:t>
      </w:r>
      <w:r>
        <w:rPr>
          <w:rFonts w:ascii="Calibri" w:hAnsi="Calibri"/>
        </w:rPr>
        <w:t xml:space="preserve"> programs that reduce load at the </w:t>
      </w:r>
      <w:r w:rsidR="006B1373">
        <w:rPr>
          <w:rFonts w:ascii="Calibri" w:hAnsi="Calibri"/>
        </w:rPr>
        <w:t xml:space="preserve">time </w:t>
      </w:r>
      <w:r>
        <w:rPr>
          <w:rFonts w:ascii="Calibri" w:hAnsi="Calibri"/>
        </w:rPr>
        <w:t xml:space="preserve">of utility peak loads. The SWE Team reviewed numerous studies </w:t>
      </w:r>
      <w:r w:rsidR="00BC2254">
        <w:rPr>
          <w:rFonts w:ascii="Calibri" w:hAnsi="Calibri"/>
        </w:rPr>
        <w:t xml:space="preserve">conducted </w:t>
      </w:r>
      <w:r>
        <w:rPr>
          <w:rFonts w:ascii="Calibri" w:hAnsi="Calibri"/>
        </w:rPr>
        <w:t xml:space="preserve">in other </w:t>
      </w:r>
      <w:r w:rsidR="006B1373">
        <w:rPr>
          <w:rFonts w:ascii="Calibri" w:hAnsi="Calibri"/>
        </w:rPr>
        <w:t xml:space="preserve">jurisdictions </w:t>
      </w:r>
      <w:r>
        <w:rPr>
          <w:rFonts w:ascii="Calibri" w:hAnsi="Calibri"/>
        </w:rPr>
        <w:t xml:space="preserve">to determine best practices for developing forecasts of T&amp;D avoided costs. </w:t>
      </w:r>
      <w:r w:rsidR="00BC2254">
        <w:rPr>
          <w:rFonts w:ascii="Calibri" w:hAnsi="Calibri"/>
        </w:rPr>
        <w:t>Furthermore, the SWE Team t</w:t>
      </w:r>
      <w:r>
        <w:rPr>
          <w:rFonts w:ascii="Calibri" w:hAnsi="Calibri"/>
        </w:rPr>
        <w:t>hen d</w:t>
      </w:r>
      <w:r w:rsidRPr="00583EBC">
        <w:rPr>
          <w:rFonts w:ascii="Calibri" w:hAnsi="Calibri"/>
        </w:rPr>
        <w:t>evelop</w:t>
      </w:r>
      <w:r>
        <w:rPr>
          <w:rFonts w:ascii="Calibri" w:hAnsi="Calibri"/>
        </w:rPr>
        <w:t>ed</w:t>
      </w:r>
      <w:r w:rsidRPr="00583EBC">
        <w:rPr>
          <w:rFonts w:ascii="Calibri" w:hAnsi="Calibri"/>
        </w:rPr>
        <w:t xml:space="preserve"> a </w:t>
      </w:r>
      <w:r>
        <w:rPr>
          <w:rFonts w:ascii="Calibri" w:hAnsi="Calibri"/>
        </w:rPr>
        <w:t>pragmatic methodology for forecasting</w:t>
      </w:r>
      <w:r w:rsidRPr="00583EBC">
        <w:rPr>
          <w:rFonts w:ascii="Calibri" w:hAnsi="Calibri"/>
        </w:rPr>
        <w:t xml:space="preserve"> T&amp;D avoided cost</w:t>
      </w:r>
      <w:r>
        <w:rPr>
          <w:rFonts w:ascii="Calibri" w:hAnsi="Calibri"/>
        </w:rPr>
        <w:t xml:space="preserve">s based on the results of this literature search. </w:t>
      </w:r>
      <w:r w:rsidR="006B1373">
        <w:rPr>
          <w:rFonts w:ascii="Calibri" w:hAnsi="Calibri"/>
        </w:rPr>
        <w:t>Lastly,</w:t>
      </w:r>
      <w:r>
        <w:rPr>
          <w:rFonts w:ascii="Calibri" w:hAnsi="Calibri"/>
        </w:rPr>
        <w:t xml:space="preserve"> the SWE Team collected the required EDC load growth and T&amp;D expenditure forecasts necessary for developing the forecast of T&amp;D avoided costs for each EDC. </w:t>
      </w:r>
      <w:r w:rsidRPr="00583EBC">
        <w:rPr>
          <w:rFonts w:ascii="Calibri" w:hAnsi="Calibri"/>
        </w:rPr>
        <w:t xml:space="preserve"> </w:t>
      </w:r>
    </w:p>
    <w:p w:rsidR="00A5522D" w:rsidRDefault="00A5522D" w:rsidP="00A83ABC">
      <w:pPr>
        <w:rPr>
          <w:rFonts w:ascii="Calibri" w:hAnsi="Calibri"/>
        </w:rPr>
      </w:pPr>
    </w:p>
    <w:p w:rsidR="00042FDD" w:rsidRPr="00F30AE2" w:rsidRDefault="00CB59F0" w:rsidP="00A83ABC">
      <w:pPr>
        <w:pStyle w:val="Heading3"/>
        <w:rPr>
          <w:rFonts w:eastAsiaTheme="minorHAnsi" w:cstheme="minorBidi"/>
        </w:rPr>
      </w:pPr>
      <w:bookmarkStart w:id="122" w:name="_Toc412628393"/>
      <w:r w:rsidRPr="00583EBC">
        <w:t xml:space="preserve">Summary of Recent </w:t>
      </w:r>
      <w:r w:rsidR="009D5798">
        <w:t>Transmission and Distribution</w:t>
      </w:r>
      <w:r w:rsidRPr="00583EBC">
        <w:t xml:space="preserve"> Avoided Cost Studies in Other Jurisdictions</w:t>
      </w:r>
      <w:bookmarkEnd w:id="122"/>
    </w:p>
    <w:p w:rsidR="00BC2254" w:rsidRDefault="00F30AE2" w:rsidP="00F30AE2">
      <w:bookmarkStart w:id="123" w:name="_Ref408326426"/>
      <w:r w:rsidRPr="00F30AE2">
        <w:t>The SWE Team reviewed and prepared a summary of the methodologies used in several different T&amp;D avoided cost studies, including the methodology used by Navigant to develop customized T&amp;D avoided costs for PECO in the fall of 2014. The names, dates, and authors of each T&amp;D avoided cost study reviewed by the SWE Team are listed in</w:t>
      </w:r>
      <w:r>
        <w:t xml:space="preserve"> </w:t>
      </w:r>
      <w:r>
        <w:fldChar w:fldCharType="begin"/>
      </w:r>
      <w:r>
        <w:instrText xml:space="preserve"> REF _Ref412628524 \h </w:instrText>
      </w:r>
      <w:r>
        <w:fldChar w:fldCharType="separate"/>
      </w:r>
      <w:r w:rsidR="00803DBE">
        <w:t xml:space="preserve">Table </w:t>
      </w:r>
      <w:r w:rsidR="00803DBE">
        <w:rPr>
          <w:noProof/>
        </w:rPr>
        <w:t>2</w:t>
      </w:r>
      <w:r w:rsidR="00803DBE">
        <w:noBreakHyphen/>
      </w:r>
      <w:r w:rsidR="00803DBE">
        <w:rPr>
          <w:noProof/>
        </w:rPr>
        <w:t>12</w:t>
      </w:r>
      <w:r>
        <w:fldChar w:fldCharType="end"/>
      </w:r>
      <w:r>
        <w:t>.</w:t>
      </w:r>
    </w:p>
    <w:p w:rsidR="00F30AE2" w:rsidRPr="00F30AE2" w:rsidRDefault="00F30AE2" w:rsidP="00F30AE2"/>
    <w:p w:rsidR="00F30AE2" w:rsidRDefault="00F30AE2" w:rsidP="00F30AE2">
      <w:pPr>
        <w:pStyle w:val="Caption"/>
        <w:keepNext/>
      </w:pPr>
      <w:bookmarkStart w:id="124" w:name="_Ref412628524"/>
      <w:bookmarkStart w:id="125" w:name="_Toc412628458"/>
      <w:bookmarkEnd w:id="123"/>
      <w:r>
        <w:lastRenderedPageBreak/>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noBreakHyphen/>
      </w:r>
      <w:r w:rsidR="00E2011B">
        <w:fldChar w:fldCharType="begin"/>
      </w:r>
      <w:r w:rsidR="00E2011B">
        <w:instrText xml:space="preserve"> SEQ Table \* ARABIC \s 1 </w:instrText>
      </w:r>
      <w:r w:rsidR="00E2011B">
        <w:fldChar w:fldCharType="separate"/>
      </w:r>
      <w:r w:rsidR="00803DBE">
        <w:rPr>
          <w:noProof/>
        </w:rPr>
        <w:t>12</w:t>
      </w:r>
      <w:r w:rsidR="00E2011B">
        <w:rPr>
          <w:noProof/>
        </w:rPr>
        <w:fldChar w:fldCharType="end"/>
      </w:r>
      <w:bookmarkEnd w:id="124"/>
      <w:r>
        <w:t>: T&amp;D Avoided Cost Studies Reviewed by the SWE Team</w:t>
      </w:r>
      <w:bookmarkEnd w:id="125"/>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5040"/>
        <w:gridCol w:w="1710"/>
        <w:gridCol w:w="2718"/>
      </w:tblGrid>
      <w:tr w:rsidR="00CB59F0" w:rsidRPr="00A5522D" w:rsidTr="00AB46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0" w:type="dxa"/>
            <w:tcBorders>
              <w:top w:val="none" w:sz="0" w:space="0" w:color="auto"/>
              <w:left w:val="none" w:sz="0" w:space="0" w:color="auto"/>
              <w:bottom w:val="none" w:sz="0" w:space="0" w:color="auto"/>
              <w:right w:val="none" w:sz="0" w:space="0" w:color="auto"/>
            </w:tcBorders>
            <w:shd w:val="clear" w:color="auto" w:fill="448A99"/>
            <w:vAlign w:val="bottom"/>
          </w:tcPr>
          <w:p w:rsidR="00CB59F0" w:rsidRPr="00A5522D" w:rsidRDefault="00CB59F0" w:rsidP="00A83ABC">
            <w:pPr>
              <w:spacing w:after="120"/>
              <w:jc w:val="left"/>
              <w:rPr>
                <w:rFonts w:ascii="Calibri" w:hAnsi="Calibri"/>
                <w:sz w:val="20"/>
              </w:rPr>
            </w:pPr>
            <w:r w:rsidRPr="00A5522D">
              <w:rPr>
                <w:rFonts w:ascii="Calibri" w:hAnsi="Calibri"/>
                <w:sz w:val="20"/>
              </w:rPr>
              <w:t>Title of Study</w:t>
            </w:r>
          </w:p>
        </w:tc>
        <w:tc>
          <w:tcPr>
            <w:tcW w:w="1710" w:type="dxa"/>
            <w:tcBorders>
              <w:top w:val="none" w:sz="0" w:space="0" w:color="auto"/>
              <w:left w:val="none" w:sz="0" w:space="0" w:color="auto"/>
              <w:bottom w:val="none" w:sz="0" w:space="0" w:color="auto"/>
              <w:right w:val="none" w:sz="0" w:space="0" w:color="auto"/>
            </w:tcBorders>
            <w:shd w:val="clear" w:color="auto" w:fill="448A99"/>
            <w:vAlign w:val="bottom"/>
          </w:tcPr>
          <w:p w:rsidR="00CB59F0" w:rsidRPr="00A5522D" w:rsidRDefault="00CB59F0" w:rsidP="00A83ABC">
            <w:pPr>
              <w:spacing w:after="120"/>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A5522D">
              <w:rPr>
                <w:rFonts w:ascii="Calibri" w:hAnsi="Calibri"/>
                <w:sz w:val="20"/>
              </w:rPr>
              <w:t>Date</w:t>
            </w:r>
          </w:p>
        </w:tc>
        <w:tc>
          <w:tcPr>
            <w:tcW w:w="2718" w:type="dxa"/>
            <w:tcBorders>
              <w:top w:val="none" w:sz="0" w:space="0" w:color="auto"/>
              <w:left w:val="none" w:sz="0" w:space="0" w:color="auto"/>
              <w:bottom w:val="none" w:sz="0" w:space="0" w:color="auto"/>
              <w:right w:val="none" w:sz="0" w:space="0" w:color="auto"/>
            </w:tcBorders>
            <w:shd w:val="clear" w:color="auto" w:fill="448A99"/>
            <w:vAlign w:val="bottom"/>
          </w:tcPr>
          <w:p w:rsidR="00CB59F0" w:rsidRPr="00A5522D" w:rsidRDefault="00CB59F0" w:rsidP="00A83ABC">
            <w:pPr>
              <w:spacing w:after="120"/>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A5522D">
              <w:rPr>
                <w:rFonts w:ascii="Calibri" w:hAnsi="Calibri"/>
                <w:sz w:val="20"/>
              </w:rPr>
              <w:t>Firm</w:t>
            </w:r>
          </w:p>
        </w:tc>
      </w:tr>
      <w:tr w:rsidR="00CB59F0" w:rsidRPr="00A5522D" w:rsidTr="0064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A5522D" w:rsidRDefault="00CB59F0" w:rsidP="00A83ABC">
            <w:pPr>
              <w:spacing w:after="120"/>
              <w:jc w:val="left"/>
              <w:rPr>
                <w:rFonts w:ascii="Calibri" w:hAnsi="Calibri"/>
                <w:b w:val="0"/>
                <w:sz w:val="20"/>
              </w:rPr>
            </w:pPr>
            <w:r w:rsidRPr="00A5522D">
              <w:rPr>
                <w:rFonts w:ascii="Calibri" w:hAnsi="Calibri"/>
                <w:b w:val="0"/>
                <w:sz w:val="20"/>
              </w:rPr>
              <w:t>Methodology and Forecast of Long Term Avoided Costs for the Evaluation of California Energy Efficiency Programs</w:t>
            </w:r>
            <w:r w:rsidRPr="00A5522D">
              <w:rPr>
                <w:rFonts w:ascii="Calibri" w:hAnsi="Calibri"/>
                <w:b w:val="0"/>
                <w:sz w:val="20"/>
                <w:vertAlign w:val="superscript"/>
              </w:rPr>
              <w:footnoteReference w:id="55"/>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October, 2004</w:t>
            </w:r>
          </w:p>
        </w:tc>
        <w:tc>
          <w:tcPr>
            <w:tcW w:w="2718" w:type="dxa"/>
            <w:tcBorders>
              <w:lef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Energy and Environmental Economics</w:t>
            </w:r>
          </w:p>
        </w:tc>
      </w:tr>
      <w:tr w:rsidR="00CB59F0" w:rsidRPr="00A5522D" w:rsidTr="00643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A5522D" w:rsidRDefault="00CB59F0" w:rsidP="00A83ABC">
            <w:pPr>
              <w:spacing w:after="120"/>
              <w:jc w:val="left"/>
              <w:rPr>
                <w:rFonts w:ascii="Calibri" w:hAnsi="Calibri"/>
                <w:b w:val="0"/>
                <w:sz w:val="20"/>
              </w:rPr>
            </w:pPr>
            <w:r w:rsidRPr="00A5522D">
              <w:rPr>
                <w:rFonts w:ascii="Calibri" w:hAnsi="Calibri"/>
                <w:b w:val="0"/>
                <w:sz w:val="20"/>
              </w:rPr>
              <w:t>Marginal Transmission &amp; Distribution Cost Estimates</w:t>
            </w:r>
            <w:r w:rsidRPr="00A5522D">
              <w:rPr>
                <w:rFonts w:ascii="Calibri" w:hAnsi="Calibri"/>
                <w:b w:val="0"/>
                <w:sz w:val="20"/>
                <w:vertAlign w:val="superscript"/>
              </w:rPr>
              <w:footnoteReference w:id="56"/>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April, 2005</w:t>
            </w:r>
          </w:p>
        </w:tc>
        <w:tc>
          <w:tcPr>
            <w:tcW w:w="2718" w:type="dxa"/>
            <w:tcBorders>
              <w:lef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Manitoba Hydro</w:t>
            </w:r>
          </w:p>
        </w:tc>
      </w:tr>
      <w:tr w:rsidR="00CB59F0" w:rsidRPr="00A5522D" w:rsidTr="0064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A5522D" w:rsidRDefault="00CB59F0" w:rsidP="00A83ABC">
            <w:pPr>
              <w:spacing w:after="120"/>
              <w:jc w:val="left"/>
              <w:rPr>
                <w:rFonts w:ascii="Calibri" w:hAnsi="Calibri"/>
                <w:b w:val="0"/>
                <w:sz w:val="20"/>
              </w:rPr>
            </w:pPr>
            <w:r w:rsidRPr="00A5522D">
              <w:rPr>
                <w:rFonts w:ascii="Calibri" w:hAnsi="Calibri"/>
                <w:b w:val="0"/>
                <w:sz w:val="20"/>
              </w:rPr>
              <w:t>Avoided Energy Supply Costs in New England</w:t>
            </w:r>
            <w:r w:rsidRPr="00A5522D">
              <w:rPr>
                <w:rFonts w:ascii="Calibri" w:hAnsi="Calibri"/>
                <w:b w:val="0"/>
                <w:sz w:val="20"/>
                <w:vertAlign w:val="superscript"/>
              </w:rPr>
              <w:footnoteReference w:id="57"/>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December, 2005</w:t>
            </w:r>
          </w:p>
        </w:tc>
        <w:tc>
          <w:tcPr>
            <w:tcW w:w="2718" w:type="dxa"/>
            <w:tcBorders>
              <w:lef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ICF Consulting</w:t>
            </w:r>
          </w:p>
        </w:tc>
      </w:tr>
      <w:tr w:rsidR="00CB59F0" w:rsidRPr="00A5522D" w:rsidTr="00643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A5522D" w:rsidRDefault="00CB59F0" w:rsidP="00A83ABC">
            <w:pPr>
              <w:spacing w:after="120"/>
              <w:jc w:val="left"/>
              <w:rPr>
                <w:rFonts w:ascii="Calibri" w:hAnsi="Calibri"/>
                <w:b w:val="0"/>
                <w:sz w:val="20"/>
              </w:rPr>
            </w:pPr>
            <w:r w:rsidRPr="00A5522D">
              <w:rPr>
                <w:rFonts w:ascii="Calibri" w:hAnsi="Calibri"/>
                <w:b w:val="0"/>
                <w:sz w:val="20"/>
              </w:rPr>
              <w:t>Deployment of Distributed Generation for Grid Support and Distribution System Infrastructure</w:t>
            </w:r>
            <w:r w:rsidRPr="00A5522D">
              <w:rPr>
                <w:rFonts w:ascii="Calibri" w:hAnsi="Calibri"/>
                <w:b w:val="0"/>
                <w:sz w:val="20"/>
                <w:vertAlign w:val="superscript"/>
              </w:rPr>
              <w:footnoteReference w:id="58"/>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February, 2011</w:t>
            </w:r>
          </w:p>
        </w:tc>
        <w:tc>
          <w:tcPr>
            <w:tcW w:w="2718" w:type="dxa"/>
            <w:tcBorders>
              <w:lef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Synapse Energy Economics</w:t>
            </w:r>
          </w:p>
        </w:tc>
      </w:tr>
      <w:tr w:rsidR="00CB59F0" w:rsidRPr="00A5522D" w:rsidTr="0064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A5522D" w:rsidRDefault="00CB59F0" w:rsidP="00A83ABC">
            <w:pPr>
              <w:spacing w:after="120"/>
              <w:jc w:val="left"/>
              <w:rPr>
                <w:rFonts w:ascii="Calibri" w:hAnsi="Calibri"/>
                <w:b w:val="0"/>
                <w:sz w:val="20"/>
              </w:rPr>
            </w:pPr>
            <w:r w:rsidRPr="00A5522D">
              <w:rPr>
                <w:rFonts w:ascii="Calibri" w:hAnsi="Calibri"/>
                <w:b w:val="0"/>
                <w:sz w:val="20"/>
              </w:rPr>
              <w:t>Avoided Energy Supply Costs in New England</w:t>
            </w:r>
            <w:r w:rsidRPr="00A5522D">
              <w:rPr>
                <w:rFonts w:ascii="Calibri" w:hAnsi="Calibri"/>
                <w:b w:val="0"/>
                <w:sz w:val="20"/>
                <w:vertAlign w:val="superscript"/>
              </w:rPr>
              <w:footnoteReference w:id="59"/>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July, 2011</w:t>
            </w:r>
          </w:p>
        </w:tc>
        <w:tc>
          <w:tcPr>
            <w:tcW w:w="2718" w:type="dxa"/>
            <w:tcBorders>
              <w:lef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Synapse Energy Economics</w:t>
            </w:r>
          </w:p>
        </w:tc>
      </w:tr>
      <w:tr w:rsidR="00CB59F0" w:rsidRPr="00A5522D" w:rsidTr="00643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A5522D" w:rsidRDefault="00CB59F0" w:rsidP="00A83ABC">
            <w:pPr>
              <w:spacing w:after="120"/>
              <w:jc w:val="left"/>
              <w:rPr>
                <w:rFonts w:ascii="Calibri" w:hAnsi="Calibri"/>
                <w:b w:val="0"/>
                <w:sz w:val="20"/>
              </w:rPr>
            </w:pPr>
            <w:r w:rsidRPr="00A5522D">
              <w:rPr>
                <w:rFonts w:ascii="Calibri" w:hAnsi="Calibri"/>
                <w:b w:val="0"/>
                <w:sz w:val="20"/>
              </w:rPr>
              <w:t>Avoided Energy Supply Costs in New England</w:t>
            </w:r>
            <w:r w:rsidRPr="00A5522D">
              <w:rPr>
                <w:rFonts w:ascii="Calibri" w:hAnsi="Calibri"/>
                <w:b w:val="0"/>
                <w:sz w:val="20"/>
                <w:vertAlign w:val="superscript"/>
              </w:rPr>
              <w:t xml:space="preserve"> </w:t>
            </w:r>
            <w:r w:rsidRPr="00A5522D">
              <w:rPr>
                <w:rFonts w:ascii="Calibri" w:hAnsi="Calibri"/>
                <w:b w:val="0"/>
                <w:sz w:val="20"/>
                <w:vertAlign w:val="superscript"/>
              </w:rPr>
              <w:footnoteReference w:id="60"/>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July, 2013</w:t>
            </w:r>
          </w:p>
        </w:tc>
        <w:tc>
          <w:tcPr>
            <w:tcW w:w="2718" w:type="dxa"/>
            <w:tcBorders>
              <w:lef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Synapse Energy Economics</w:t>
            </w:r>
          </w:p>
        </w:tc>
      </w:tr>
      <w:tr w:rsidR="00CB59F0" w:rsidRPr="00A5522D" w:rsidTr="00643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A5522D" w:rsidRDefault="00CB59F0" w:rsidP="00A83ABC">
            <w:pPr>
              <w:spacing w:after="120"/>
              <w:jc w:val="left"/>
              <w:rPr>
                <w:rFonts w:ascii="Calibri" w:hAnsi="Calibri"/>
                <w:b w:val="0"/>
                <w:sz w:val="20"/>
              </w:rPr>
            </w:pPr>
            <w:r w:rsidRPr="00A5522D">
              <w:rPr>
                <w:rFonts w:ascii="Calibri" w:hAnsi="Calibri"/>
                <w:b w:val="0"/>
                <w:sz w:val="20"/>
              </w:rPr>
              <w:t xml:space="preserve">Maryland Energy - EmPOWER </w:t>
            </w:r>
            <w:r w:rsidR="00294B1D">
              <w:rPr>
                <w:rFonts w:ascii="Calibri" w:hAnsi="Calibri"/>
                <w:b w:val="0"/>
                <w:sz w:val="20"/>
              </w:rPr>
              <w:t>Maryland</w:t>
            </w:r>
            <w:r w:rsidR="00BC2254">
              <w:rPr>
                <w:rFonts w:ascii="Calibri" w:hAnsi="Calibri"/>
                <w:b w:val="0"/>
                <w:sz w:val="20"/>
              </w:rPr>
              <w:t xml:space="preserve"> </w:t>
            </w:r>
            <w:r w:rsidR="00294B1D">
              <w:rPr>
                <w:rFonts w:ascii="Calibri" w:hAnsi="Calibri"/>
                <w:b w:val="0"/>
                <w:sz w:val="20"/>
              </w:rPr>
              <w:t>2015-2017 Cost</w:t>
            </w:r>
            <w:r w:rsidR="00CE0565">
              <w:rPr>
                <w:rFonts w:ascii="Calibri" w:hAnsi="Calibri"/>
                <w:b w:val="0"/>
                <w:sz w:val="20"/>
              </w:rPr>
              <w:t>-</w:t>
            </w:r>
            <w:r w:rsidR="00294B1D">
              <w:rPr>
                <w:rFonts w:ascii="Calibri" w:hAnsi="Calibri"/>
                <w:b w:val="0"/>
                <w:sz w:val="20"/>
              </w:rPr>
              <w:t>Effectiv</w:t>
            </w:r>
            <w:r w:rsidR="00AA6C97">
              <w:rPr>
                <w:rFonts w:ascii="Calibri" w:hAnsi="Calibri"/>
                <w:b w:val="0"/>
                <w:sz w:val="20"/>
              </w:rPr>
              <w:t>eness</w:t>
            </w:r>
            <w:r w:rsidR="00294B1D">
              <w:rPr>
                <w:rFonts w:ascii="Calibri" w:hAnsi="Calibri"/>
                <w:b w:val="0"/>
                <w:sz w:val="20"/>
              </w:rPr>
              <w:t xml:space="preserve"> Framework</w:t>
            </w:r>
            <w:r w:rsidR="00294B1D">
              <w:rPr>
                <w:rStyle w:val="FootnoteReference"/>
                <w:rFonts w:ascii="Calibri" w:hAnsi="Calibri"/>
                <w:b w:val="0"/>
                <w:sz w:val="20"/>
              </w:rPr>
              <w:footnoteReference w:id="61"/>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December 2013</w:t>
            </w:r>
          </w:p>
        </w:tc>
        <w:tc>
          <w:tcPr>
            <w:tcW w:w="2718" w:type="dxa"/>
            <w:tcBorders>
              <w:left w:val="none" w:sz="0" w:space="0" w:color="auto"/>
            </w:tcBorders>
          </w:tcPr>
          <w:p w:rsidR="00CB59F0" w:rsidRPr="00A5522D" w:rsidRDefault="00CB59F0" w:rsidP="00A83ABC">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522D">
              <w:rPr>
                <w:rFonts w:ascii="Calibri" w:hAnsi="Calibri"/>
                <w:sz w:val="20"/>
              </w:rPr>
              <w:t>Maryland Energy Administration</w:t>
            </w:r>
          </w:p>
        </w:tc>
      </w:tr>
      <w:tr w:rsidR="00CB59F0" w:rsidRPr="00A5522D" w:rsidTr="00643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none" w:sz="0" w:space="0" w:color="auto"/>
            </w:tcBorders>
          </w:tcPr>
          <w:p w:rsidR="00CB59F0" w:rsidRPr="00EA083D" w:rsidRDefault="006B1373" w:rsidP="00A83ABC">
            <w:pPr>
              <w:spacing w:after="120"/>
              <w:jc w:val="left"/>
              <w:rPr>
                <w:rFonts w:ascii="Calibri" w:hAnsi="Calibri"/>
                <w:b w:val="0"/>
                <w:sz w:val="20"/>
                <w:szCs w:val="20"/>
              </w:rPr>
            </w:pPr>
            <w:r w:rsidRPr="00123C18">
              <w:rPr>
                <w:rFonts w:ascii="Calibri" w:hAnsi="Calibri"/>
                <w:sz w:val="20"/>
                <w:szCs w:val="20"/>
              </w:rPr>
              <w:t>PECO</w:t>
            </w:r>
            <w:r w:rsidR="00EA083D" w:rsidRPr="00123C18">
              <w:rPr>
                <w:rFonts w:ascii="Calibri" w:hAnsi="Calibri"/>
                <w:sz w:val="20"/>
                <w:szCs w:val="20"/>
              </w:rPr>
              <w:t xml:space="preserve"> T&amp;D Avoided Cost Study</w:t>
            </w:r>
            <w:r w:rsidR="00EA083D">
              <w:rPr>
                <w:rStyle w:val="FootnoteReference"/>
                <w:rFonts w:ascii="Calibri" w:hAnsi="Calibri"/>
                <w:sz w:val="20"/>
                <w:szCs w:val="20"/>
              </w:rPr>
              <w:footnoteReference w:id="62"/>
            </w:r>
          </w:p>
        </w:tc>
        <w:tc>
          <w:tcPr>
            <w:tcW w:w="1710" w:type="dxa"/>
            <w:tcBorders>
              <w:left w:val="none" w:sz="0" w:space="0" w:color="auto"/>
              <w:righ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November 2014</w:t>
            </w:r>
          </w:p>
        </w:tc>
        <w:tc>
          <w:tcPr>
            <w:tcW w:w="2718" w:type="dxa"/>
            <w:tcBorders>
              <w:left w:val="none" w:sz="0" w:space="0" w:color="auto"/>
            </w:tcBorders>
          </w:tcPr>
          <w:p w:rsidR="00CB59F0" w:rsidRPr="00A5522D" w:rsidRDefault="00CB59F0" w:rsidP="00A83ABC">
            <w:pPr>
              <w:spacing w:after="120"/>
              <w:jc w:val="center"/>
              <w:cnfStyle w:val="000000010000" w:firstRow="0" w:lastRow="0" w:firstColumn="0" w:lastColumn="0" w:oddVBand="0" w:evenVBand="0" w:oddHBand="0" w:evenHBand="1" w:firstRowFirstColumn="0" w:firstRowLastColumn="0" w:lastRowFirstColumn="0" w:lastRowLastColumn="0"/>
              <w:rPr>
                <w:rFonts w:ascii="Calibri" w:hAnsi="Calibri"/>
                <w:sz w:val="20"/>
              </w:rPr>
            </w:pPr>
            <w:r w:rsidRPr="00A5522D">
              <w:rPr>
                <w:rFonts w:ascii="Calibri" w:hAnsi="Calibri"/>
                <w:sz w:val="20"/>
              </w:rPr>
              <w:t>Navigant</w:t>
            </w:r>
          </w:p>
        </w:tc>
      </w:tr>
    </w:tbl>
    <w:p w:rsidR="00A5522D" w:rsidRPr="00A5522D" w:rsidRDefault="00A5522D" w:rsidP="00A83ABC"/>
    <w:p w:rsidR="00CB59F0" w:rsidRPr="00EF7CDD" w:rsidRDefault="00CB59F0" w:rsidP="00A83ABC">
      <w:pPr>
        <w:keepNext/>
        <w:keepLines/>
        <w:spacing w:after="120"/>
        <w:jc w:val="left"/>
        <w:outlineLvl w:val="3"/>
        <w:rPr>
          <w:rFonts w:ascii="Century Gothic" w:eastAsiaTheme="majorEastAsia" w:hAnsi="Century Gothic" w:cstheme="majorBidi"/>
          <w:b/>
          <w:bCs/>
          <w:iCs/>
          <w:sz w:val="21"/>
          <w:szCs w:val="21"/>
        </w:rPr>
      </w:pPr>
      <w:r w:rsidRPr="00EF7CDD">
        <w:rPr>
          <w:rFonts w:ascii="Century Gothic" w:eastAsiaTheme="majorEastAsia" w:hAnsi="Century Gothic" w:cstheme="majorBidi"/>
          <w:b/>
          <w:bCs/>
          <w:iCs/>
          <w:sz w:val="21"/>
          <w:szCs w:val="21"/>
        </w:rPr>
        <w:t>Energy and Environment</w:t>
      </w:r>
      <w:r w:rsidR="006B1373">
        <w:rPr>
          <w:rFonts w:ascii="Century Gothic" w:eastAsiaTheme="majorEastAsia" w:hAnsi="Century Gothic" w:cstheme="majorBidi"/>
          <w:b/>
          <w:bCs/>
          <w:iCs/>
          <w:sz w:val="21"/>
          <w:szCs w:val="21"/>
        </w:rPr>
        <w:t>al</w:t>
      </w:r>
      <w:r w:rsidRPr="00EF7CDD">
        <w:rPr>
          <w:rFonts w:ascii="Century Gothic" w:eastAsiaTheme="majorEastAsia" w:hAnsi="Century Gothic" w:cstheme="majorBidi"/>
          <w:b/>
          <w:bCs/>
          <w:iCs/>
          <w:sz w:val="21"/>
          <w:szCs w:val="21"/>
        </w:rPr>
        <w:t xml:space="preserve"> Economics Study (October, 2004)</w:t>
      </w:r>
    </w:p>
    <w:p w:rsidR="00F30AE2" w:rsidRPr="00260827" w:rsidRDefault="00F30AE2" w:rsidP="00A83ABC">
      <w:r>
        <w:rPr>
          <w:rFonts w:ascii="Calibri" w:hAnsi="Calibri"/>
        </w:rPr>
        <w:t xml:space="preserve">Energy and Environmental Economics’ (E3) approach to calculating electric T&amp;D avoided costs is illustrated in </w:t>
      </w:r>
      <w:r>
        <w:rPr>
          <w:rFonts w:ascii="Calibri" w:hAnsi="Calibri"/>
        </w:rPr>
        <w:fldChar w:fldCharType="begin"/>
      </w:r>
      <w:r>
        <w:rPr>
          <w:rFonts w:ascii="Calibri" w:hAnsi="Calibri"/>
        </w:rPr>
        <w:instrText xml:space="preserve"> REF _Ref412628525 \h </w:instrText>
      </w:r>
      <w:r>
        <w:rPr>
          <w:rFonts w:ascii="Calibri" w:hAnsi="Calibri"/>
        </w:rPr>
      </w:r>
      <w:r>
        <w:rPr>
          <w:rFonts w:ascii="Calibri" w:hAnsi="Calibri"/>
        </w:rPr>
        <w:fldChar w:fldCharType="separate"/>
      </w:r>
      <w:r w:rsidR="00803DBE" w:rsidRPr="004661EA">
        <w:t xml:space="preserve">Figure </w:t>
      </w:r>
      <w:r w:rsidR="00803DBE">
        <w:rPr>
          <w:noProof/>
        </w:rPr>
        <w:t>2</w:t>
      </w:r>
      <w:r w:rsidR="00803DBE" w:rsidRPr="004661EA">
        <w:noBreakHyphen/>
      </w:r>
      <w:r w:rsidR="00803DBE">
        <w:rPr>
          <w:noProof/>
        </w:rPr>
        <w:t>9</w:t>
      </w:r>
      <w:r>
        <w:rPr>
          <w:rFonts w:ascii="Calibri" w:hAnsi="Calibri"/>
        </w:rPr>
        <w:fldChar w:fldCharType="end"/>
      </w:r>
      <w:r>
        <w:rPr>
          <w:rFonts w:ascii="Calibri" w:hAnsi="Calibri"/>
        </w:rPr>
        <w:t xml:space="preserve">. </w:t>
      </w:r>
      <w:r w:rsidRPr="00583EBC">
        <w:rPr>
          <w:rFonts w:ascii="Calibri" w:hAnsi="Calibri"/>
        </w:rPr>
        <w:t>Overall, E3 used a four-step method to develop the T&amp;D avoided costs:</w:t>
      </w:r>
    </w:p>
    <w:p w:rsidR="009626FE" w:rsidRPr="009626FE" w:rsidRDefault="009626FE" w:rsidP="00A83ABC"/>
    <w:p w:rsidR="006B1373" w:rsidRPr="00583EBC" w:rsidRDefault="006B1373" w:rsidP="00A83ABC">
      <w:pPr>
        <w:numPr>
          <w:ilvl w:val="0"/>
          <w:numId w:val="25"/>
        </w:numPr>
        <w:spacing w:after="60"/>
        <w:ind w:left="360"/>
        <w:rPr>
          <w:rFonts w:ascii="Calibri" w:hAnsi="Calibri"/>
        </w:rPr>
      </w:pPr>
      <w:r w:rsidRPr="00583EBC">
        <w:rPr>
          <w:rFonts w:ascii="Calibri" w:hAnsi="Calibri"/>
        </w:rPr>
        <w:t xml:space="preserve">Estimate the annual electric marginal T&amp;D costs by planning area for </w:t>
      </w:r>
      <w:r>
        <w:rPr>
          <w:rFonts w:ascii="Calibri" w:hAnsi="Calibri"/>
        </w:rPr>
        <w:t>Pacific Gas and Electric</w:t>
      </w:r>
      <w:r w:rsidRPr="00583EBC">
        <w:rPr>
          <w:rFonts w:ascii="Calibri" w:hAnsi="Calibri"/>
        </w:rPr>
        <w:t xml:space="preserve"> </w:t>
      </w:r>
      <w:r>
        <w:rPr>
          <w:rFonts w:ascii="Calibri" w:hAnsi="Calibri"/>
        </w:rPr>
        <w:t>(</w:t>
      </w:r>
      <w:r w:rsidRPr="00583EBC">
        <w:rPr>
          <w:rFonts w:ascii="Calibri" w:hAnsi="Calibri"/>
        </w:rPr>
        <w:t>PG&amp;E</w:t>
      </w:r>
      <w:r>
        <w:rPr>
          <w:rFonts w:ascii="Calibri" w:hAnsi="Calibri"/>
        </w:rPr>
        <w:t>)</w:t>
      </w:r>
      <w:r w:rsidRPr="00583EBC">
        <w:rPr>
          <w:rFonts w:ascii="Calibri" w:hAnsi="Calibri"/>
        </w:rPr>
        <w:t>,</w:t>
      </w:r>
      <w:r>
        <w:rPr>
          <w:rFonts w:ascii="Calibri" w:hAnsi="Calibri"/>
        </w:rPr>
        <w:t xml:space="preserve"> Southern California Edison</w:t>
      </w:r>
      <w:r w:rsidRPr="00583EBC">
        <w:rPr>
          <w:rFonts w:ascii="Calibri" w:hAnsi="Calibri"/>
        </w:rPr>
        <w:t xml:space="preserve"> </w:t>
      </w:r>
      <w:r>
        <w:rPr>
          <w:rFonts w:ascii="Calibri" w:hAnsi="Calibri"/>
        </w:rPr>
        <w:t>(</w:t>
      </w:r>
      <w:r w:rsidRPr="00583EBC">
        <w:rPr>
          <w:rFonts w:ascii="Calibri" w:hAnsi="Calibri"/>
        </w:rPr>
        <w:t>SCE</w:t>
      </w:r>
      <w:r>
        <w:rPr>
          <w:rFonts w:ascii="Calibri" w:hAnsi="Calibri"/>
        </w:rPr>
        <w:t>)</w:t>
      </w:r>
      <w:r w:rsidR="00D70B4D">
        <w:rPr>
          <w:rFonts w:ascii="Calibri" w:hAnsi="Calibri"/>
        </w:rPr>
        <w:t>,</w:t>
      </w:r>
      <w:r w:rsidRPr="00583EBC">
        <w:rPr>
          <w:rFonts w:ascii="Calibri" w:hAnsi="Calibri"/>
        </w:rPr>
        <w:t xml:space="preserve"> and </w:t>
      </w:r>
      <w:r>
        <w:rPr>
          <w:rFonts w:ascii="Calibri" w:hAnsi="Calibri"/>
        </w:rPr>
        <w:t>San Diego Gas and Electric (</w:t>
      </w:r>
      <w:r w:rsidRPr="00583EBC">
        <w:rPr>
          <w:rFonts w:ascii="Calibri" w:hAnsi="Calibri"/>
        </w:rPr>
        <w:t>SDG&amp;E</w:t>
      </w:r>
      <w:r>
        <w:rPr>
          <w:rFonts w:ascii="Calibri" w:hAnsi="Calibri"/>
        </w:rPr>
        <w:t>)</w:t>
      </w:r>
      <w:r w:rsidRPr="00583EBC">
        <w:rPr>
          <w:rFonts w:ascii="Calibri" w:hAnsi="Calibri"/>
        </w:rPr>
        <w:t xml:space="preserve"> in $/</w:t>
      </w:r>
      <w:r w:rsidR="002143D1">
        <w:rPr>
          <w:rFonts w:ascii="Calibri" w:hAnsi="Calibri"/>
        </w:rPr>
        <w:t>kW/year</w:t>
      </w:r>
      <w:r w:rsidRPr="00583EBC">
        <w:rPr>
          <w:rFonts w:ascii="Calibri" w:hAnsi="Calibri"/>
        </w:rPr>
        <w:t xml:space="preserve"> using the </w:t>
      </w:r>
      <w:r>
        <w:rPr>
          <w:rFonts w:ascii="Calibri" w:hAnsi="Calibri"/>
        </w:rPr>
        <w:t xml:space="preserve">present worth </w:t>
      </w:r>
      <w:r w:rsidRPr="00583EBC">
        <w:rPr>
          <w:rFonts w:ascii="Calibri" w:hAnsi="Calibri"/>
        </w:rPr>
        <w:t xml:space="preserve">method. </w:t>
      </w:r>
    </w:p>
    <w:p w:rsidR="006B1373" w:rsidRPr="00583EBC" w:rsidRDefault="006B1373" w:rsidP="00A83ABC">
      <w:pPr>
        <w:numPr>
          <w:ilvl w:val="0"/>
          <w:numId w:val="25"/>
        </w:numPr>
        <w:spacing w:after="60"/>
        <w:ind w:left="360"/>
        <w:rPr>
          <w:rFonts w:ascii="Calibri" w:hAnsi="Calibri"/>
        </w:rPr>
      </w:pPr>
      <w:r w:rsidRPr="00583EBC">
        <w:rPr>
          <w:rFonts w:ascii="Calibri" w:hAnsi="Calibri"/>
        </w:rPr>
        <w:t xml:space="preserve">Develop 20-year forecasts of annual avoided T&amp;D costs by planning area and climate zone for each utility. Costs past the utility T&amp;D planning horizons are escalated at the rate of inflation. </w:t>
      </w:r>
    </w:p>
    <w:p w:rsidR="006B1373" w:rsidRPr="00583EBC" w:rsidRDefault="006B1373" w:rsidP="00A83ABC">
      <w:pPr>
        <w:numPr>
          <w:ilvl w:val="0"/>
          <w:numId w:val="25"/>
        </w:numPr>
        <w:spacing w:after="60"/>
        <w:ind w:left="360"/>
        <w:rPr>
          <w:rFonts w:ascii="Calibri" w:hAnsi="Calibri"/>
        </w:rPr>
      </w:pPr>
      <w:r w:rsidRPr="00583EBC">
        <w:rPr>
          <w:rFonts w:ascii="Calibri" w:hAnsi="Calibri"/>
        </w:rPr>
        <w:t xml:space="preserve">Allocate electric T&amp;D costs to peak hours of the year by climate zone and utility using the </w:t>
      </w:r>
      <w:r>
        <w:rPr>
          <w:rFonts w:ascii="Calibri" w:hAnsi="Calibri"/>
        </w:rPr>
        <w:t xml:space="preserve">time dependent valuation </w:t>
      </w:r>
      <w:r w:rsidRPr="00583EBC">
        <w:rPr>
          <w:rFonts w:ascii="Calibri" w:hAnsi="Calibri"/>
        </w:rPr>
        <w:t xml:space="preserve">methodology. </w:t>
      </w:r>
    </w:p>
    <w:p w:rsidR="00CB59F0" w:rsidRPr="00583EBC" w:rsidRDefault="006B1373" w:rsidP="00A83ABC">
      <w:pPr>
        <w:numPr>
          <w:ilvl w:val="0"/>
          <w:numId w:val="25"/>
        </w:numPr>
        <w:ind w:left="360"/>
        <w:rPr>
          <w:rFonts w:ascii="Calibri" w:hAnsi="Calibri"/>
        </w:rPr>
      </w:pPr>
      <w:r w:rsidRPr="00583EBC">
        <w:rPr>
          <w:rFonts w:ascii="Calibri" w:hAnsi="Calibri"/>
        </w:rPr>
        <w:t>Gross up the electric T&amp;D costs by utility-specific demand loss factors (based on the voltage level of the DSM measure).</w:t>
      </w:r>
    </w:p>
    <w:p w:rsidR="00A5522D" w:rsidRPr="00A5522D" w:rsidRDefault="00A5522D" w:rsidP="00A83ABC"/>
    <w:p w:rsidR="004661EA" w:rsidRDefault="004661EA" w:rsidP="00A83ABC">
      <w:pPr>
        <w:pStyle w:val="Caption"/>
      </w:pPr>
      <w:bookmarkStart w:id="126" w:name="_Ref408326615"/>
    </w:p>
    <w:p w:rsidR="004661EA" w:rsidRDefault="004661EA" w:rsidP="00A83ABC">
      <w:pPr>
        <w:pStyle w:val="Caption"/>
      </w:pPr>
    </w:p>
    <w:p w:rsidR="004661EA" w:rsidRDefault="004661EA" w:rsidP="00A83ABC">
      <w:pPr>
        <w:pStyle w:val="Caption"/>
      </w:pPr>
    </w:p>
    <w:p w:rsidR="00042FDD" w:rsidRDefault="00042FDD" w:rsidP="00042FDD"/>
    <w:p w:rsidR="00042FDD" w:rsidRDefault="00042FDD" w:rsidP="00042FDD"/>
    <w:p w:rsidR="00042FDD" w:rsidRPr="00042FDD" w:rsidRDefault="00042FDD" w:rsidP="00042FDD"/>
    <w:p w:rsidR="006B1373" w:rsidRPr="004661EA" w:rsidRDefault="001B065B" w:rsidP="00A83ABC">
      <w:pPr>
        <w:pStyle w:val="Caption"/>
      </w:pPr>
      <w:bookmarkStart w:id="127" w:name="_Ref412628525"/>
      <w:bookmarkStart w:id="128" w:name="_Toc412628510"/>
      <w:r w:rsidRPr="004661EA">
        <w:lastRenderedPageBreak/>
        <w:t xml:space="preserve">Figure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850055" w:rsidRPr="004661EA">
        <w:noBreakHyphen/>
      </w:r>
      <w:r w:rsidR="00E2011B">
        <w:fldChar w:fldCharType="begin"/>
      </w:r>
      <w:r w:rsidR="00E2011B">
        <w:instrText xml:space="preserve"> SEQ Figure \* ARABIC \s 1 </w:instrText>
      </w:r>
      <w:r w:rsidR="00E2011B">
        <w:fldChar w:fldCharType="separate"/>
      </w:r>
      <w:r w:rsidR="00803DBE">
        <w:rPr>
          <w:noProof/>
        </w:rPr>
        <w:t>9</w:t>
      </w:r>
      <w:r w:rsidR="00E2011B">
        <w:rPr>
          <w:noProof/>
        </w:rPr>
        <w:fldChar w:fldCharType="end"/>
      </w:r>
      <w:bookmarkEnd w:id="126"/>
      <w:bookmarkEnd w:id="127"/>
      <w:r w:rsidRPr="004661EA">
        <w:t xml:space="preserve">: </w:t>
      </w:r>
      <w:r w:rsidR="006B1373" w:rsidRPr="004661EA">
        <w:t>E3’s Electric T&amp;D Avoided Costs Methodology</w:t>
      </w:r>
      <w:bookmarkEnd w:id="128"/>
    </w:p>
    <w:p w:rsidR="00CB59F0" w:rsidRPr="00583EBC" w:rsidRDefault="00CB59F0" w:rsidP="00A83ABC">
      <w:pPr>
        <w:pStyle w:val="Caption"/>
        <w:keepNext/>
        <w:jc w:val="left"/>
        <w:rPr>
          <w:rFonts w:ascii="Calibri" w:hAnsi="Calibri"/>
        </w:rPr>
      </w:pPr>
      <w:r w:rsidRPr="00583EBC">
        <w:rPr>
          <w:rFonts w:ascii="Calibri" w:hAnsi="Calibri"/>
          <w:noProof/>
        </w:rPr>
        <w:drawing>
          <wp:inline distT="0" distB="0" distL="0" distR="0" wp14:anchorId="0DA12A45" wp14:editId="7ADF4918">
            <wp:extent cx="4025975" cy="232116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35394" t="46039" r="36279" b="27837"/>
                    <a:stretch>
                      <a:fillRect/>
                    </a:stretch>
                  </pic:blipFill>
                  <pic:spPr bwMode="auto">
                    <a:xfrm>
                      <a:off x="0" y="0"/>
                      <a:ext cx="4029227" cy="2323044"/>
                    </a:xfrm>
                    <a:prstGeom prst="rect">
                      <a:avLst/>
                    </a:prstGeom>
                    <a:noFill/>
                    <a:ln w="9525">
                      <a:noFill/>
                      <a:miter lim="800000"/>
                      <a:headEnd/>
                      <a:tailEnd/>
                    </a:ln>
                  </pic:spPr>
                </pic:pic>
              </a:graphicData>
            </a:graphic>
          </wp:inline>
        </w:drawing>
      </w:r>
    </w:p>
    <w:p w:rsidR="00EF7CDD" w:rsidRPr="00EF7CDD" w:rsidRDefault="00EF7CDD" w:rsidP="00A83ABC"/>
    <w:p w:rsidR="00CB59F0" w:rsidRPr="00EF7CDD" w:rsidRDefault="00CB59F0" w:rsidP="00A83ABC">
      <w:pPr>
        <w:keepNext/>
        <w:keepLines/>
        <w:spacing w:after="120"/>
        <w:jc w:val="left"/>
        <w:outlineLvl w:val="3"/>
        <w:rPr>
          <w:rFonts w:ascii="Century Gothic" w:eastAsiaTheme="majorEastAsia" w:hAnsi="Century Gothic" w:cstheme="majorBidi"/>
          <w:b/>
          <w:bCs/>
          <w:iCs/>
          <w:sz w:val="21"/>
          <w:szCs w:val="21"/>
        </w:rPr>
      </w:pPr>
      <w:r w:rsidRPr="00EF7CDD">
        <w:rPr>
          <w:rFonts w:ascii="Century Gothic" w:eastAsiaTheme="majorEastAsia" w:hAnsi="Century Gothic" w:cstheme="majorBidi"/>
          <w:b/>
          <w:bCs/>
          <w:iCs/>
          <w:sz w:val="21"/>
          <w:szCs w:val="21"/>
        </w:rPr>
        <w:t>Manitoba Hydro Study (April, 2005)</w:t>
      </w:r>
    </w:p>
    <w:p w:rsidR="00CB59F0" w:rsidRPr="00583EBC" w:rsidRDefault="00CB59F0" w:rsidP="00A83ABC">
      <w:pPr>
        <w:spacing w:after="120"/>
        <w:rPr>
          <w:rFonts w:ascii="Calibri" w:hAnsi="Calibri"/>
        </w:rPr>
      </w:pPr>
      <w:r w:rsidRPr="00583EBC">
        <w:rPr>
          <w:rFonts w:ascii="Calibri" w:hAnsi="Calibri"/>
        </w:rPr>
        <w:t>The Manitoba Hydro study explore</w:t>
      </w:r>
      <w:r>
        <w:rPr>
          <w:rFonts w:ascii="Calibri" w:hAnsi="Calibri"/>
        </w:rPr>
        <w:t>d</w:t>
      </w:r>
      <w:r w:rsidRPr="00583EBC">
        <w:rPr>
          <w:rFonts w:ascii="Calibri" w:hAnsi="Calibri"/>
        </w:rPr>
        <w:t xml:space="preserve"> the concept of calculating the T&amp;D avoided costs achieved due to a one year deferral of T&amp;D investment. Below is an excerpt detailing this approach</w:t>
      </w:r>
      <w:r w:rsidR="004661EA">
        <w:rPr>
          <w:rFonts w:ascii="Calibri" w:hAnsi="Calibri"/>
        </w:rPr>
        <w:t>.</w:t>
      </w:r>
    </w:p>
    <w:p w:rsidR="00CB59F0" w:rsidRPr="00583EBC" w:rsidRDefault="00CB59F0" w:rsidP="00A83ABC">
      <w:pPr>
        <w:spacing w:after="120"/>
        <w:ind w:left="720" w:right="720"/>
        <w:rPr>
          <w:rFonts w:ascii="Calibri" w:hAnsi="Calibri"/>
          <w:i/>
        </w:rPr>
      </w:pPr>
      <w:r w:rsidRPr="00583EBC">
        <w:rPr>
          <w:rFonts w:ascii="Calibri" w:hAnsi="Calibri"/>
          <w:i/>
        </w:rPr>
        <w:t xml:space="preserve">“The method to be presented below may be viewed as a probability-based one. In this method, the deferral time is restricted to one year, while the size of load reduction can be anywhere between 0 and one year’s worth of load growth. The restriction on the deferral time is consistent with the planning practice that T&amp;D capital investments are planned to meet the forecasted annual peak load. </w:t>
      </w:r>
    </w:p>
    <w:p w:rsidR="00CB59F0" w:rsidRDefault="00023C4C" w:rsidP="00A83ABC">
      <w:pPr>
        <w:ind w:left="720" w:right="720"/>
        <w:rPr>
          <w:rFonts w:ascii="Calibri" w:hAnsi="Calibri"/>
          <w:i/>
        </w:rPr>
      </w:pPr>
      <w:r w:rsidRPr="00583EBC">
        <w:rPr>
          <w:rFonts w:ascii="Calibri" w:hAnsi="Calibri"/>
          <w:i/>
        </w:rPr>
        <w:t>Let us start with an example. Suppose the capacity of a substation is 40 MWA</w:t>
      </w:r>
      <w:r w:rsidR="00F93F90">
        <w:rPr>
          <w:rStyle w:val="FootnoteReference"/>
          <w:rFonts w:ascii="Calibri" w:hAnsi="Calibri"/>
          <w:i/>
        </w:rPr>
        <w:footnoteReference w:id="63"/>
      </w:r>
      <w:r w:rsidRPr="00583EBC">
        <w:rPr>
          <w:rFonts w:ascii="Calibri" w:hAnsi="Calibri"/>
          <w:i/>
        </w:rPr>
        <w:t>, the power factor is 1.0, and the expected peak loads of the station are 38.5 MW and 41.2 MW for 2010/11 and 2011/12, respectively. The expected load growth in 2011/12 at this station is 2.7 MW. The existing station capacity can meet the 2010/11 peak load but cannot meet the 2011/12 one. The shortage or scarcity of capacity for 2011/12 is 1.2 MW, as shown in Fig. 1. Based on the above information, a new transformer has been planned for service in 2011/12. Now, a reduction of 1.5 MW in the peak load, for instance, is expected for 2011/12. Considering that the load reduction of 1.5 MW exceeds the capacity shortage of 1.2 MW for 2011/12, we can defer the installation of the new transformer from 2011/12 to 2012/13. This suggests that the load reduction needs not to reach at least one year’s worth of load growth of 2.7 MW in order to cause a capital deferral!”</w:t>
      </w:r>
      <w:r>
        <w:rPr>
          <w:rStyle w:val="FootnoteReference"/>
          <w:rFonts w:ascii="Calibri" w:hAnsi="Calibri"/>
          <w:i/>
        </w:rPr>
        <w:footnoteReference w:id="64"/>
      </w:r>
    </w:p>
    <w:p w:rsidR="00EF7CDD" w:rsidRPr="00EF7CDD" w:rsidRDefault="00EF7CDD" w:rsidP="00A83ABC">
      <w:pPr>
        <w:ind w:left="720" w:right="720"/>
        <w:rPr>
          <w:rFonts w:ascii="Calibri" w:hAnsi="Calibri"/>
        </w:rPr>
      </w:pPr>
    </w:p>
    <w:p w:rsidR="00CB59F0" w:rsidRPr="00EF7CDD" w:rsidRDefault="00CB59F0" w:rsidP="00A83ABC">
      <w:pPr>
        <w:keepNext/>
        <w:keepLines/>
        <w:spacing w:after="120"/>
        <w:jc w:val="left"/>
        <w:outlineLvl w:val="3"/>
        <w:rPr>
          <w:rFonts w:ascii="Century Gothic" w:eastAsiaTheme="majorEastAsia" w:hAnsi="Century Gothic" w:cstheme="majorBidi"/>
          <w:b/>
          <w:bCs/>
          <w:iCs/>
          <w:sz w:val="21"/>
          <w:szCs w:val="21"/>
        </w:rPr>
      </w:pPr>
      <w:r w:rsidRPr="00EF7CDD">
        <w:rPr>
          <w:rFonts w:ascii="Century Gothic" w:eastAsiaTheme="majorEastAsia" w:hAnsi="Century Gothic" w:cstheme="majorBidi"/>
          <w:b/>
          <w:bCs/>
          <w:iCs/>
          <w:sz w:val="21"/>
          <w:szCs w:val="21"/>
        </w:rPr>
        <w:t>ICF Study (December, 2005)</w:t>
      </w:r>
    </w:p>
    <w:p w:rsidR="00CB59F0" w:rsidRPr="00583EBC" w:rsidRDefault="00023C4C" w:rsidP="00A83ABC">
      <w:pPr>
        <w:spacing w:after="120"/>
        <w:rPr>
          <w:rFonts w:ascii="Calibri" w:hAnsi="Calibri"/>
        </w:rPr>
      </w:pPr>
      <w:r w:rsidRPr="00583EBC">
        <w:rPr>
          <w:rFonts w:ascii="Calibri" w:hAnsi="Calibri"/>
        </w:rPr>
        <w:t xml:space="preserve">The methodology employed </w:t>
      </w:r>
      <w:r>
        <w:rPr>
          <w:rFonts w:ascii="Calibri" w:hAnsi="Calibri"/>
        </w:rPr>
        <w:t>in</w:t>
      </w:r>
      <w:r w:rsidRPr="00583EBC">
        <w:rPr>
          <w:rFonts w:ascii="Calibri" w:hAnsi="Calibri"/>
        </w:rPr>
        <w:t xml:space="preserve"> the study </w:t>
      </w:r>
      <w:r>
        <w:rPr>
          <w:rFonts w:ascii="Calibri" w:hAnsi="Calibri"/>
        </w:rPr>
        <w:t>by ICF Consulting (ICF)</w:t>
      </w:r>
      <w:r w:rsidRPr="00583EBC">
        <w:rPr>
          <w:rFonts w:ascii="Calibri" w:hAnsi="Calibri"/>
        </w:rPr>
        <w:t xml:space="preserve"> closely resembles that of the Synapse study discussed </w:t>
      </w:r>
      <w:r>
        <w:rPr>
          <w:rFonts w:ascii="Calibri" w:hAnsi="Calibri"/>
        </w:rPr>
        <w:t>below</w:t>
      </w:r>
      <w:r w:rsidRPr="00583EBC">
        <w:rPr>
          <w:rFonts w:ascii="Calibri" w:hAnsi="Calibri"/>
        </w:rPr>
        <w:t xml:space="preserve"> (it was, in fact, emulated by the 2011 and 2013 Synapse studies). To calculate T&amp;D avoided costs, ICF employ</w:t>
      </w:r>
      <w:r>
        <w:rPr>
          <w:rFonts w:ascii="Calibri" w:hAnsi="Calibri"/>
        </w:rPr>
        <w:t>ed</w:t>
      </w:r>
      <w:r w:rsidRPr="00583EBC">
        <w:rPr>
          <w:rFonts w:ascii="Calibri" w:hAnsi="Calibri"/>
        </w:rPr>
        <w:t xml:space="preserve"> a spreadsheet model with </w:t>
      </w:r>
      <w:r>
        <w:rPr>
          <w:rFonts w:ascii="Calibri" w:hAnsi="Calibri"/>
        </w:rPr>
        <w:t>four</w:t>
      </w:r>
      <w:r w:rsidRPr="00583EBC">
        <w:rPr>
          <w:rFonts w:ascii="Calibri" w:hAnsi="Calibri"/>
        </w:rPr>
        <w:t xml:space="preserve"> distinct sheets:</w:t>
      </w:r>
    </w:p>
    <w:p w:rsidR="00CB59F0" w:rsidRPr="00583EBC" w:rsidRDefault="00CB59F0" w:rsidP="00A83ABC">
      <w:pPr>
        <w:numPr>
          <w:ilvl w:val="0"/>
          <w:numId w:val="26"/>
        </w:numPr>
        <w:spacing w:after="120"/>
        <w:ind w:left="360"/>
        <w:jc w:val="left"/>
        <w:rPr>
          <w:rFonts w:ascii="Calibri" w:hAnsi="Calibri"/>
        </w:rPr>
      </w:pPr>
      <w:r w:rsidRPr="00583EBC">
        <w:rPr>
          <w:rFonts w:ascii="Calibri" w:hAnsi="Calibri"/>
        </w:rPr>
        <w:t>A sheet cataloging investments in T&amp;D systems over a period of years</w:t>
      </w:r>
      <w:r w:rsidR="004661EA">
        <w:rPr>
          <w:rFonts w:ascii="Calibri" w:hAnsi="Calibri"/>
        </w:rPr>
        <w:t>.</w:t>
      </w:r>
      <w:r w:rsidRPr="00583EBC">
        <w:rPr>
          <w:rFonts w:ascii="Calibri" w:hAnsi="Calibri"/>
        </w:rPr>
        <w:t xml:space="preserve"> </w:t>
      </w:r>
    </w:p>
    <w:p w:rsidR="00CB59F0" w:rsidRPr="00583EBC" w:rsidRDefault="00CB59F0" w:rsidP="00A83ABC">
      <w:pPr>
        <w:numPr>
          <w:ilvl w:val="0"/>
          <w:numId w:val="26"/>
        </w:numPr>
        <w:spacing w:after="120"/>
        <w:ind w:left="360"/>
        <w:jc w:val="left"/>
        <w:rPr>
          <w:rFonts w:ascii="Calibri" w:hAnsi="Calibri"/>
        </w:rPr>
      </w:pPr>
      <w:r w:rsidRPr="00583EBC">
        <w:rPr>
          <w:rFonts w:ascii="Calibri" w:hAnsi="Calibri"/>
        </w:rPr>
        <w:lastRenderedPageBreak/>
        <w:t xml:space="preserve">A sheet calculating the annual carrying charge of those investments based on 118 assumptions on taxes, financing costs, operational expenses, and other recurring costs. </w:t>
      </w:r>
    </w:p>
    <w:p w:rsidR="00CB59F0" w:rsidRPr="00583EBC" w:rsidRDefault="00CB59F0" w:rsidP="00A83ABC">
      <w:pPr>
        <w:numPr>
          <w:ilvl w:val="0"/>
          <w:numId w:val="26"/>
        </w:numPr>
        <w:spacing w:after="120"/>
        <w:ind w:left="360"/>
        <w:jc w:val="left"/>
        <w:rPr>
          <w:rFonts w:ascii="Calibri" w:hAnsi="Calibri"/>
        </w:rPr>
      </w:pPr>
      <w:r w:rsidRPr="00583EBC">
        <w:rPr>
          <w:rFonts w:ascii="Calibri" w:hAnsi="Calibri"/>
        </w:rPr>
        <w:t>A sheet cataloging peak demand growth over the same period of years</w:t>
      </w:r>
      <w:r w:rsidR="004661EA">
        <w:rPr>
          <w:rFonts w:ascii="Calibri" w:hAnsi="Calibri"/>
        </w:rPr>
        <w:t>.</w:t>
      </w:r>
    </w:p>
    <w:p w:rsidR="00CB59F0" w:rsidRDefault="00CB59F0" w:rsidP="00A83ABC">
      <w:pPr>
        <w:numPr>
          <w:ilvl w:val="0"/>
          <w:numId w:val="26"/>
        </w:numPr>
        <w:ind w:left="360"/>
        <w:jc w:val="left"/>
        <w:rPr>
          <w:rFonts w:ascii="Calibri" w:hAnsi="Calibri"/>
        </w:rPr>
      </w:pPr>
      <w:r w:rsidRPr="00583EBC">
        <w:rPr>
          <w:rFonts w:ascii="Calibri" w:hAnsi="Calibri"/>
        </w:rPr>
        <w:t xml:space="preserve">A summary sheet detailing the </w:t>
      </w:r>
      <w:r w:rsidR="00AD2C38">
        <w:rPr>
          <w:rFonts w:ascii="Calibri" w:hAnsi="Calibri"/>
        </w:rPr>
        <w:t>T&amp;D</w:t>
      </w:r>
      <w:r w:rsidRPr="00583EBC">
        <w:rPr>
          <w:rFonts w:ascii="Calibri" w:hAnsi="Calibri"/>
        </w:rPr>
        <w:t xml:space="preserve"> avoided capacity costs resulting from the analysis</w:t>
      </w:r>
      <w:r w:rsidR="004661EA">
        <w:rPr>
          <w:rFonts w:ascii="Calibri" w:hAnsi="Calibri"/>
        </w:rPr>
        <w:t>.</w:t>
      </w:r>
      <w:r w:rsidRPr="00583EBC">
        <w:rPr>
          <w:rFonts w:ascii="Calibri" w:hAnsi="Calibri"/>
        </w:rPr>
        <w:t xml:space="preserve"> </w:t>
      </w:r>
    </w:p>
    <w:p w:rsidR="00EF7CDD" w:rsidRPr="00583EBC" w:rsidRDefault="00EF7CDD" w:rsidP="00A83ABC"/>
    <w:p w:rsidR="00CB59F0" w:rsidRPr="00EF7CDD" w:rsidRDefault="00CB59F0" w:rsidP="00A83ABC">
      <w:pPr>
        <w:keepNext/>
        <w:keepLines/>
        <w:spacing w:after="120"/>
        <w:jc w:val="left"/>
        <w:outlineLvl w:val="3"/>
        <w:rPr>
          <w:rFonts w:ascii="Century Gothic" w:eastAsiaTheme="majorEastAsia" w:hAnsi="Century Gothic" w:cstheme="majorBidi"/>
          <w:b/>
          <w:bCs/>
          <w:iCs/>
          <w:sz w:val="21"/>
          <w:szCs w:val="21"/>
        </w:rPr>
      </w:pPr>
      <w:r w:rsidRPr="00EF7CDD">
        <w:rPr>
          <w:rFonts w:ascii="Century Gothic" w:eastAsiaTheme="majorEastAsia" w:hAnsi="Century Gothic" w:cstheme="majorBidi"/>
          <w:b/>
          <w:bCs/>
          <w:iCs/>
          <w:sz w:val="21"/>
          <w:szCs w:val="21"/>
        </w:rPr>
        <w:t>Synapse Study (February, 2011)</w:t>
      </w:r>
    </w:p>
    <w:p w:rsidR="00CB59F0" w:rsidRDefault="00023C4C" w:rsidP="00A83ABC">
      <w:r>
        <w:rPr>
          <w:rFonts w:ascii="Calibri" w:hAnsi="Calibri"/>
        </w:rPr>
        <w:t>The 2011 Synapse study discussed</w:t>
      </w:r>
      <w:r w:rsidRPr="00583EBC">
        <w:rPr>
          <w:rFonts w:ascii="Calibri" w:hAnsi="Calibri"/>
        </w:rPr>
        <w:t xml:space="preserve"> a common method for estimating </w:t>
      </w:r>
      <w:r>
        <w:rPr>
          <w:rFonts w:ascii="Calibri" w:hAnsi="Calibri"/>
        </w:rPr>
        <w:t xml:space="preserve">T&amp;D </w:t>
      </w:r>
      <w:r w:rsidRPr="00583EBC">
        <w:rPr>
          <w:rFonts w:ascii="Calibri" w:hAnsi="Calibri"/>
        </w:rPr>
        <w:t>avoided costs known as projected embedded analysis, in which utilities use long-term historical trends (more than 10 years) and sometimes planned T&amp;D costs to estimate future avoided T&amp;D costs. This approach often looks at load-related investment</w:t>
      </w:r>
      <w:r w:rsidR="004661EA">
        <w:rPr>
          <w:rFonts w:ascii="Calibri" w:hAnsi="Calibri"/>
        </w:rPr>
        <w:t>s</w:t>
      </w:r>
      <w:r w:rsidRPr="00583EBC">
        <w:rPr>
          <w:rFonts w:ascii="Calibri" w:hAnsi="Calibri"/>
        </w:rPr>
        <w:t xml:space="preserve"> (as opposed to customer related) and estimates system-wide (e.g., utility service territory) average avoided T&amp;D costs. It has been mainly applied to the evaluation of the benefits of </w:t>
      </w:r>
      <w:r w:rsidR="00857521">
        <w:rPr>
          <w:rFonts w:ascii="Calibri" w:hAnsi="Calibri"/>
        </w:rPr>
        <w:t>EE</w:t>
      </w:r>
      <w:r w:rsidRPr="00583EBC">
        <w:rPr>
          <w:rFonts w:ascii="Calibri" w:hAnsi="Calibri"/>
        </w:rPr>
        <w:t xml:space="preserve"> programs. This approach does require historical and forecast peak load information as well as historical and forecast information on T&amp;D expenditures. This approach is relatively inexpensive and less time consuming than the system planning approach as it does not require an engineering study of the electric system nor does it require obtaining site specific load and investment data. As a weak point</w:t>
      </w:r>
      <w:r w:rsidR="004661EA">
        <w:rPr>
          <w:rFonts w:ascii="Calibri" w:hAnsi="Calibri"/>
        </w:rPr>
        <w:t xml:space="preserve"> however</w:t>
      </w:r>
      <w:r w:rsidRPr="00583EBC">
        <w:rPr>
          <w:rFonts w:ascii="Calibri" w:hAnsi="Calibri"/>
        </w:rPr>
        <w:t xml:space="preserve">, it does not provide an accurate picture of avoided costs for specific T&amp;D projects. It fails to capture the highest value projects that might </w:t>
      </w:r>
      <w:r>
        <w:rPr>
          <w:rFonts w:ascii="Calibri" w:hAnsi="Calibri"/>
        </w:rPr>
        <w:t>be deferred by the installation of distributed generation/combined heat and power systems (DG/CHP)</w:t>
      </w:r>
      <w:r w:rsidRPr="00583EBC">
        <w:rPr>
          <w:rFonts w:ascii="Calibri" w:hAnsi="Calibri"/>
        </w:rPr>
        <w:t>. Still, an average value estimated using the projected embedded analysis does provide an indicator of T&amp;D avoided costs sufficient for evaluating DG/CHP for an energy</w:t>
      </w:r>
      <w:r w:rsidR="004661EA">
        <w:rPr>
          <w:rFonts w:ascii="Calibri" w:hAnsi="Calibri"/>
        </w:rPr>
        <w:t>-</w:t>
      </w:r>
      <w:r w:rsidRPr="00583EBC">
        <w:rPr>
          <w:rFonts w:ascii="Calibri" w:hAnsi="Calibri"/>
        </w:rPr>
        <w:t xml:space="preserve">future scenario that assumes a significant amount of DG/CHP deployment statewide. The value would provide a rough estimate of long-term T&amp;D avoided cost values for DG/CHP projects that could reliably </w:t>
      </w:r>
      <w:r w:rsidRPr="004661EA">
        <w:t>operate to support the grid system.</w:t>
      </w:r>
    </w:p>
    <w:p w:rsidR="004661EA" w:rsidRPr="004661EA" w:rsidRDefault="004661EA" w:rsidP="00A83ABC"/>
    <w:p w:rsidR="00CB59F0" w:rsidRPr="00EF7CDD" w:rsidRDefault="00CB59F0" w:rsidP="00A83ABC">
      <w:pPr>
        <w:keepNext/>
        <w:keepLines/>
        <w:spacing w:after="120"/>
        <w:jc w:val="left"/>
        <w:outlineLvl w:val="3"/>
        <w:rPr>
          <w:rFonts w:ascii="Century Gothic" w:eastAsiaTheme="majorEastAsia" w:hAnsi="Century Gothic" w:cstheme="majorBidi"/>
          <w:b/>
          <w:bCs/>
          <w:iCs/>
          <w:sz w:val="21"/>
          <w:szCs w:val="21"/>
        </w:rPr>
      </w:pPr>
      <w:r w:rsidRPr="00EF7CDD">
        <w:rPr>
          <w:rFonts w:ascii="Century Gothic" w:eastAsiaTheme="majorEastAsia" w:hAnsi="Century Gothic" w:cstheme="majorBidi"/>
          <w:b/>
          <w:bCs/>
          <w:iCs/>
          <w:sz w:val="21"/>
          <w:szCs w:val="21"/>
        </w:rPr>
        <w:t>Synapse Study (July, 2011)</w:t>
      </w:r>
    </w:p>
    <w:p w:rsidR="00023C4C" w:rsidRPr="00583EBC" w:rsidRDefault="00023C4C" w:rsidP="00A83ABC">
      <w:pPr>
        <w:spacing w:after="120"/>
        <w:rPr>
          <w:rFonts w:ascii="Calibri" w:hAnsi="Calibri"/>
        </w:rPr>
      </w:pPr>
      <w:r w:rsidRPr="00583EBC">
        <w:rPr>
          <w:rFonts w:ascii="Calibri" w:hAnsi="Calibri"/>
        </w:rPr>
        <w:t>The July</w:t>
      </w:r>
      <w:r>
        <w:rPr>
          <w:rFonts w:ascii="Calibri" w:hAnsi="Calibri"/>
        </w:rPr>
        <w:t xml:space="preserve"> 2011 Synapse study provided</w:t>
      </w:r>
      <w:r w:rsidRPr="00583EBC">
        <w:rPr>
          <w:rFonts w:ascii="Calibri" w:hAnsi="Calibri"/>
        </w:rPr>
        <w:t xml:space="preserve"> a critique of </w:t>
      </w:r>
      <w:r>
        <w:rPr>
          <w:rFonts w:ascii="Calibri" w:hAnsi="Calibri"/>
        </w:rPr>
        <w:t xml:space="preserve">the </w:t>
      </w:r>
      <w:r w:rsidRPr="00583EBC">
        <w:rPr>
          <w:rFonts w:ascii="Calibri" w:hAnsi="Calibri"/>
        </w:rPr>
        <w:t xml:space="preserve">methodology </w:t>
      </w:r>
      <w:r>
        <w:rPr>
          <w:rFonts w:ascii="Calibri" w:hAnsi="Calibri"/>
        </w:rPr>
        <w:t>employed in a Black and Veatch (B&amp;V) T&amp;D avoided cost study</w:t>
      </w:r>
      <w:r w:rsidRPr="00583EBC">
        <w:rPr>
          <w:rFonts w:ascii="Calibri" w:hAnsi="Calibri"/>
        </w:rPr>
        <w:t>:</w:t>
      </w:r>
    </w:p>
    <w:p w:rsidR="00023C4C" w:rsidRPr="00583EBC" w:rsidRDefault="00023C4C" w:rsidP="00A83ABC">
      <w:pPr>
        <w:spacing w:after="120"/>
        <w:ind w:left="720" w:right="720"/>
        <w:rPr>
          <w:rFonts w:ascii="Calibri" w:hAnsi="Calibri"/>
          <w:i/>
        </w:rPr>
      </w:pPr>
      <w:r w:rsidRPr="00583EBC">
        <w:rPr>
          <w:rFonts w:ascii="Calibri" w:hAnsi="Calibri"/>
          <w:i/>
        </w:rPr>
        <w:t>“The basic method in the ICF model, the ICF report for CL&amp;P</w:t>
      </w:r>
      <w:r>
        <w:rPr>
          <w:rFonts w:ascii="Calibri" w:hAnsi="Calibri"/>
          <w:i/>
        </w:rPr>
        <w:t xml:space="preserve"> </w:t>
      </w:r>
      <w:r>
        <w:rPr>
          <w:rFonts w:ascii="Calibri" w:hAnsi="Calibri"/>
        </w:rPr>
        <w:t>[Connecticut Light and Power Company]</w:t>
      </w:r>
      <w:r w:rsidRPr="00583EBC">
        <w:rPr>
          <w:rFonts w:ascii="Calibri" w:hAnsi="Calibri"/>
          <w:i/>
        </w:rPr>
        <w:t>, and most other avoided</w:t>
      </w:r>
      <w:r w:rsidR="00D70B4D">
        <w:rPr>
          <w:rFonts w:ascii="Calibri" w:hAnsi="Calibri"/>
          <w:i/>
        </w:rPr>
        <w:t xml:space="preserve"> </w:t>
      </w:r>
      <w:r w:rsidRPr="00583EBC">
        <w:rPr>
          <w:rFonts w:ascii="Calibri" w:hAnsi="Calibri"/>
          <w:i/>
        </w:rPr>
        <w:t>T&amp;D estimates is to divide actual or expected investment by actual or expected load growth. The B&amp;V report for UI</w:t>
      </w:r>
      <w:r>
        <w:rPr>
          <w:rFonts w:ascii="Calibri" w:hAnsi="Calibri"/>
          <w:i/>
        </w:rPr>
        <w:t xml:space="preserve"> </w:t>
      </w:r>
      <w:r>
        <w:rPr>
          <w:rFonts w:ascii="Calibri" w:hAnsi="Calibri"/>
        </w:rPr>
        <w:t>[United Illuminating]</w:t>
      </w:r>
      <w:r w:rsidRPr="00583EBC">
        <w:rPr>
          <w:rFonts w:ascii="Calibri" w:hAnsi="Calibri"/>
          <w:i/>
        </w:rPr>
        <w:t xml:space="preserve"> uses a different approach, dividing the cost of each investment by the full capacity it could accommodate. Since T&amp;D investments may be required by even small increases in load above the capacity of existing equipment, the B&amp;V approach may not accurately reflect the savings from reducing load growth. Since avoidable T&amp;D costs are estimated as the ratio of actual or expected investment to actual or expected load growth, the costs used in the analysis are those not actually avoided. Analysts do not generally have estimates of costs that have actually been (or are expected to be) avoided by energy-efficiency; such analysis would usually be prohibitively expensive. </w:t>
      </w:r>
    </w:p>
    <w:p w:rsidR="00CB59F0" w:rsidRDefault="00023C4C" w:rsidP="00A83ABC">
      <w:pPr>
        <w:ind w:left="720" w:right="720"/>
        <w:rPr>
          <w:rFonts w:ascii="Calibri" w:hAnsi="Calibri"/>
          <w:i/>
        </w:rPr>
      </w:pPr>
      <w:r w:rsidRPr="00583EBC">
        <w:rPr>
          <w:rFonts w:ascii="Calibri" w:hAnsi="Calibri"/>
          <w:i/>
        </w:rPr>
        <w:t xml:space="preserve">Any single investment is unlikely to increase delivery capability all the way from the generators to the customer meter. Adding line transformers allows customers to draw more power from the primary distribution system; reconfiguring existing primary feeders maximizes the amount of regional available substation capacity that can be delivered to the line transformers, and so on. Depending on the amount of excess capacity on the various levels of T&amp;D equipment in a particular area, reducing load by any particular customer may avoid addition of a line transformer the next year, and contribute to delaying or avoiding the reconfiguration of feeders, the upgrading of a substation, and the construction of transmission lines in following years. At another location, load </w:t>
      </w:r>
      <w:r w:rsidRPr="00583EBC">
        <w:rPr>
          <w:rFonts w:ascii="Calibri" w:hAnsi="Calibri"/>
          <w:i/>
        </w:rPr>
        <w:lastRenderedPageBreak/>
        <w:t>reductions may have little effect on T&amp;D investment for many years. The basic approach to avoided cost estimates this complex relationship by computing the average ratio of all load-related investments to all load growth, rather than just the load growth that has the greatest effect on investment.”</w:t>
      </w:r>
      <w:r>
        <w:rPr>
          <w:rStyle w:val="FootnoteReference"/>
          <w:rFonts w:ascii="Calibri" w:hAnsi="Calibri"/>
          <w:i/>
        </w:rPr>
        <w:footnoteReference w:id="65"/>
      </w:r>
    </w:p>
    <w:p w:rsidR="00070270" w:rsidRPr="00583EBC" w:rsidRDefault="00070270" w:rsidP="00A83ABC">
      <w:pPr>
        <w:ind w:left="720" w:right="720"/>
        <w:rPr>
          <w:rFonts w:ascii="Calibri" w:hAnsi="Calibri"/>
          <w:i/>
        </w:rPr>
      </w:pPr>
    </w:p>
    <w:p w:rsidR="00CB59F0" w:rsidRPr="00EF7CDD" w:rsidRDefault="00CB59F0" w:rsidP="00A83ABC">
      <w:pPr>
        <w:keepNext/>
        <w:keepLines/>
        <w:spacing w:after="120"/>
        <w:jc w:val="left"/>
        <w:outlineLvl w:val="3"/>
        <w:rPr>
          <w:rFonts w:ascii="Century Gothic" w:eastAsiaTheme="majorEastAsia" w:hAnsi="Century Gothic" w:cstheme="majorBidi"/>
          <w:b/>
          <w:bCs/>
          <w:iCs/>
          <w:sz w:val="21"/>
          <w:szCs w:val="21"/>
        </w:rPr>
      </w:pPr>
      <w:r w:rsidRPr="00EF7CDD">
        <w:rPr>
          <w:rFonts w:ascii="Century Gothic" w:eastAsiaTheme="majorEastAsia" w:hAnsi="Century Gothic" w:cstheme="majorBidi"/>
          <w:b/>
          <w:bCs/>
          <w:iCs/>
          <w:sz w:val="21"/>
          <w:szCs w:val="21"/>
        </w:rPr>
        <w:t>Synapse (July, 2013)</w:t>
      </w:r>
    </w:p>
    <w:p w:rsidR="00CB59F0" w:rsidRPr="00583EBC" w:rsidRDefault="00CB59F0" w:rsidP="00A83ABC">
      <w:pPr>
        <w:spacing w:after="120"/>
        <w:rPr>
          <w:rFonts w:ascii="Calibri" w:hAnsi="Calibri"/>
        </w:rPr>
      </w:pPr>
      <w:r w:rsidRPr="00583EBC">
        <w:rPr>
          <w:rFonts w:ascii="Calibri" w:hAnsi="Calibri"/>
        </w:rPr>
        <w:t>The 2013 Synapse study review</w:t>
      </w:r>
      <w:r>
        <w:rPr>
          <w:rFonts w:ascii="Calibri" w:hAnsi="Calibri"/>
        </w:rPr>
        <w:t>ed</w:t>
      </w:r>
      <w:r w:rsidRPr="00583EBC">
        <w:rPr>
          <w:rFonts w:ascii="Calibri" w:hAnsi="Calibri"/>
        </w:rPr>
        <w:t xml:space="preserve"> a different approach employed by Black &amp; Veatch to estimate T&amp;D avoided costs for United Illuminating (UI), an investor-owned utility in Connecticut. A summary of the B&amp;V methodology is presented below:</w:t>
      </w:r>
    </w:p>
    <w:p w:rsidR="00023C4C" w:rsidRPr="00583EBC" w:rsidRDefault="00023C4C" w:rsidP="00A83ABC">
      <w:pPr>
        <w:numPr>
          <w:ilvl w:val="0"/>
          <w:numId w:val="28"/>
        </w:numPr>
        <w:spacing w:after="60"/>
        <w:ind w:left="360"/>
        <w:rPr>
          <w:rFonts w:ascii="Calibri" w:hAnsi="Calibri"/>
        </w:rPr>
      </w:pPr>
      <w:r w:rsidRPr="00583EBC">
        <w:rPr>
          <w:rFonts w:ascii="Calibri" w:hAnsi="Calibri"/>
        </w:rPr>
        <w:t xml:space="preserve">Identification of historical and future T&amp;D capacity additions which could have been fully or partially avoided with additional </w:t>
      </w:r>
      <w:r w:rsidR="00857521">
        <w:rPr>
          <w:rFonts w:ascii="Calibri" w:hAnsi="Calibri"/>
        </w:rPr>
        <w:t>EE</w:t>
      </w:r>
      <w:r w:rsidRPr="00583EBC">
        <w:rPr>
          <w:rFonts w:ascii="Calibri" w:hAnsi="Calibri"/>
        </w:rPr>
        <w:t xml:space="preserve"> programs. </w:t>
      </w:r>
    </w:p>
    <w:p w:rsidR="00023C4C" w:rsidRPr="00583EBC" w:rsidRDefault="00023C4C" w:rsidP="00A83ABC">
      <w:pPr>
        <w:numPr>
          <w:ilvl w:val="0"/>
          <w:numId w:val="28"/>
        </w:numPr>
        <w:spacing w:after="60"/>
        <w:ind w:left="360"/>
        <w:rPr>
          <w:rFonts w:ascii="Calibri" w:hAnsi="Calibri"/>
        </w:rPr>
      </w:pPr>
      <w:r w:rsidRPr="00583EBC">
        <w:rPr>
          <w:rFonts w:ascii="Calibri" w:hAnsi="Calibri"/>
        </w:rPr>
        <w:t xml:space="preserve">Collection of historical costs plus </w:t>
      </w:r>
      <w:r w:rsidRPr="00192D13">
        <w:rPr>
          <w:rFonts w:ascii="Calibri" w:hAnsi="Calibri"/>
        </w:rPr>
        <w:t xml:space="preserve">the allowance for funds used during construction </w:t>
      </w:r>
      <w:r w:rsidR="00613115">
        <w:rPr>
          <w:rFonts w:ascii="Calibri" w:hAnsi="Calibri"/>
        </w:rPr>
        <w:t>(</w:t>
      </w:r>
      <w:r w:rsidR="005D08F6" w:rsidRPr="00583EBC">
        <w:rPr>
          <w:rFonts w:ascii="Calibri" w:hAnsi="Calibri"/>
        </w:rPr>
        <w:t>AFUDC</w:t>
      </w:r>
      <w:r w:rsidR="00613115">
        <w:rPr>
          <w:rFonts w:ascii="Calibri" w:hAnsi="Calibri"/>
        </w:rPr>
        <w:t>)</w:t>
      </w:r>
      <w:r w:rsidR="005D08F6">
        <w:rPr>
          <w:rFonts w:ascii="Calibri" w:hAnsi="Calibri"/>
        </w:rPr>
        <w:t xml:space="preserve"> </w:t>
      </w:r>
      <w:r w:rsidRPr="00583EBC">
        <w:rPr>
          <w:rFonts w:ascii="Calibri" w:hAnsi="Calibri"/>
        </w:rPr>
        <w:t>associated with projects identified in the first step. Calculated project costs are then divided by each project’s incremental MW load carrying capacity to derive a marginal capital cost for T&amp;D capacity per MW.</w:t>
      </w:r>
    </w:p>
    <w:p w:rsidR="00023C4C" w:rsidRPr="00583EBC" w:rsidRDefault="00023C4C" w:rsidP="00A83ABC">
      <w:pPr>
        <w:numPr>
          <w:ilvl w:val="0"/>
          <w:numId w:val="28"/>
        </w:numPr>
        <w:spacing w:after="60"/>
        <w:ind w:left="360"/>
        <w:rPr>
          <w:rFonts w:ascii="Calibri" w:hAnsi="Calibri"/>
        </w:rPr>
      </w:pPr>
      <w:r w:rsidRPr="00583EBC">
        <w:rPr>
          <w:rFonts w:ascii="Calibri" w:hAnsi="Calibri"/>
        </w:rPr>
        <w:t xml:space="preserve">Calculation of marginal </w:t>
      </w:r>
      <w:r>
        <w:rPr>
          <w:rFonts w:ascii="Calibri" w:hAnsi="Calibri"/>
        </w:rPr>
        <w:t xml:space="preserve">operation and maintenance </w:t>
      </w:r>
      <w:r w:rsidRPr="00583EBC">
        <w:rPr>
          <w:rFonts w:ascii="Calibri" w:hAnsi="Calibri"/>
        </w:rPr>
        <w:t xml:space="preserve">expenses.  </w:t>
      </w:r>
    </w:p>
    <w:p w:rsidR="00CB59F0" w:rsidRPr="00023C4C" w:rsidRDefault="00CB59F0" w:rsidP="00A83ABC">
      <w:pPr>
        <w:numPr>
          <w:ilvl w:val="0"/>
          <w:numId w:val="28"/>
        </w:numPr>
        <w:spacing w:after="120"/>
        <w:ind w:left="360"/>
        <w:rPr>
          <w:rFonts w:ascii="Calibri" w:hAnsi="Calibri"/>
        </w:rPr>
      </w:pPr>
      <w:r w:rsidRPr="00023C4C">
        <w:rPr>
          <w:rFonts w:ascii="Calibri" w:hAnsi="Calibri"/>
        </w:rPr>
        <w:t xml:space="preserve">Converting marginal capital costs to annual costs ($ per </w:t>
      </w:r>
      <w:r w:rsidR="002143D1">
        <w:rPr>
          <w:rFonts w:ascii="Calibri" w:hAnsi="Calibri"/>
        </w:rPr>
        <w:t>kW/year</w:t>
      </w:r>
      <w:r w:rsidRPr="00023C4C">
        <w:rPr>
          <w:rFonts w:ascii="Calibri" w:hAnsi="Calibri"/>
        </w:rPr>
        <w:t xml:space="preserve">) adjusting for revenue requirements based on accounting inputs. </w:t>
      </w:r>
    </w:p>
    <w:p w:rsidR="00CB59F0" w:rsidRPr="00583EBC" w:rsidRDefault="00CB59F0" w:rsidP="00A83ABC">
      <w:pPr>
        <w:numPr>
          <w:ilvl w:val="0"/>
          <w:numId w:val="28"/>
        </w:numPr>
        <w:spacing w:after="120"/>
        <w:ind w:left="360"/>
        <w:rPr>
          <w:rFonts w:ascii="Calibri" w:hAnsi="Calibri"/>
        </w:rPr>
      </w:pPr>
      <w:r w:rsidRPr="00583EBC">
        <w:rPr>
          <w:rFonts w:ascii="Calibri" w:hAnsi="Calibri"/>
        </w:rPr>
        <w:t xml:space="preserve">Calculation of </w:t>
      </w:r>
      <w:r w:rsidR="00857521">
        <w:rPr>
          <w:rFonts w:ascii="Calibri" w:hAnsi="Calibri"/>
        </w:rPr>
        <w:t>EE</w:t>
      </w:r>
      <w:r w:rsidRPr="00583EBC">
        <w:rPr>
          <w:rFonts w:ascii="Calibri" w:hAnsi="Calibri"/>
        </w:rPr>
        <w:t xml:space="preserve"> savings based on historical and projected load growth. </w:t>
      </w:r>
    </w:p>
    <w:p w:rsidR="00CB59F0" w:rsidRPr="00583EBC" w:rsidRDefault="00CB59F0" w:rsidP="00A83ABC">
      <w:pPr>
        <w:numPr>
          <w:ilvl w:val="0"/>
          <w:numId w:val="28"/>
        </w:numPr>
        <w:ind w:left="360"/>
        <w:rPr>
          <w:rFonts w:ascii="Calibri" w:hAnsi="Calibri"/>
        </w:rPr>
      </w:pPr>
      <w:r w:rsidRPr="00583EBC">
        <w:rPr>
          <w:rFonts w:ascii="Calibri" w:hAnsi="Calibri"/>
        </w:rPr>
        <w:t xml:space="preserve">Calculations of annual avoided cost based on annual costs and identified </w:t>
      </w:r>
      <w:r w:rsidR="00857521">
        <w:rPr>
          <w:rFonts w:ascii="Calibri" w:hAnsi="Calibri"/>
        </w:rPr>
        <w:t>EE</w:t>
      </w:r>
      <w:r w:rsidRPr="00583EBC">
        <w:rPr>
          <w:rFonts w:ascii="Calibri" w:hAnsi="Calibri"/>
        </w:rPr>
        <w:t xml:space="preserve"> savings.</w:t>
      </w:r>
    </w:p>
    <w:p w:rsidR="00EF7CDD" w:rsidRDefault="00EF7CDD" w:rsidP="00A83ABC">
      <w:pPr>
        <w:rPr>
          <w:rFonts w:ascii="Calibri" w:hAnsi="Calibri"/>
        </w:rPr>
      </w:pPr>
    </w:p>
    <w:p w:rsidR="00CB59F0" w:rsidRDefault="00CB59F0" w:rsidP="00A83ABC">
      <w:pPr>
        <w:rPr>
          <w:rFonts w:ascii="Calibri" w:hAnsi="Calibri"/>
        </w:rPr>
      </w:pPr>
      <w:r w:rsidRPr="00583EBC">
        <w:rPr>
          <w:rFonts w:ascii="Calibri" w:hAnsi="Calibri"/>
        </w:rPr>
        <w:t xml:space="preserve">However, Synapse argues that “most demand-response and load-management programs will not avoid </w:t>
      </w:r>
      <w:r w:rsidR="00AD2C38">
        <w:rPr>
          <w:rFonts w:ascii="Calibri" w:hAnsi="Calibri"/>
        </w:rPr>
        <w:t>T&amp;D</w:t>
      </w:r>
      <w:r w:rsidRPr="00583EBC">
        <w:rPr>
          <w:rFonts w:ascii="Calibri" w:hAnsi="Calibri"/>
        </w:rPr>
        <w:t xml:space="preserve"> costs, since they are as likely to shift local loads to new hours</w:t>
      </w:r>
      <w:r>
        <w:rPr>
          <w:rFonts w:ascii="Calibri" w:hAnsi="Calibri"/>
        </w:rPr>
        <w:t xml:space="preserve"> as to reduce local peak load.”</w:t>
      </w:r>
      <w:r w:rsidR="00023C4C" w:rsidRPr="00023C4C">
        <w:rPr>
          <w:rStyle w:val="FootnoteReference"/>
          <w:rFonts w:ascii="Calibri" w:hAnsi="Calibri"/>
        </w:rPr>
        <w:t xml:space="preserve"> </w:t>
      </w:r>
      <w:r w:rsidR="00023C4C">
        <w:rPr>
          <w:rStyle w:val="FootnoteReference"/>
          <w:rFonts w:ascii="Calibri" w:hAnsi="Calibri"/>
        </w:rPr>
        <w:footnoteReference w:id="66"/>
      </w:r>
    </w:p>
    <w:p w:rsidR="00070270" w:rsidRDefault="00070270" w:rsidP="00A83ABC">
      <w:pPr>
        <w:rPr>
          <w:rFonts w:ascii="Calibri" w:hAnsi="Calibri"/>
        </w:rPr>
      </w:pPr>
    </w:p>
    <w:p w:rsidR="00CB59F0" w:rsidRPr="00EF7CDD" w:rsidRDefault="00CB59F0" w:rsidP="00A83ABC">
      <w:pPr>
        <w:spacing w:after="120"/>
        <w:rPr>
          <w:rFonts w:ascii="Century Gothic" w:hAnsi="Century Gothic"/>
          <w:sz w:val="21"/>
          <w:szCs w:val="21"/>
        </w:rPr>
      </w:pPr>
      <w:r w:rsidRPr="00EF7CDD">
        <w:rPr>
          <w:rFonts w:ascii="Century Gothic" w:eastAsiaTheme="majorEastAsia" w:hAnsi="Century Gothic" w:cstheme="majorBidi"/>
          <w:b/>
          <w:bCs/>
          <w:iCs/>
          <w:sz w:val="21"/>
          <w:szCs w:val="21"/>
        </w:rPr>
        <w:t>Maryland (</w:t>
      </w:r>
      <w:r w:rsidR="00B522B6">
        <w:rPr>
          <w:rFonts w:ascii="Century Gothic" w:eastAsiaTheme="majorEastAsia" w:hAnsi="Century Gothic" w:cstheme="majorBidi"/>
          <w:b/>
          <w:bCs/>
          <w:iCs/>
          <w:sz w:val="21"/>
          <w:szCs w:val="21"/>
        </w:rPr>
        <w:t>April 2014</w:t>
      </w:r>
      <w:r w:rsidRPr="00EF7CDD">
        <w:rPr>
          <w:rFonts w:ascii="Century Gothic" w:eastAsiaTheme="majorEastAsia" w:hAnsi="Century Gothic" w:cstheme="majorBidi"/>
          <w:b/>
          <w:bCs/>
          <w:iCs/>
          <w:sz w:val="21"/>
          <w:szCs w:val="21"/>
        </w:rPr>
        <w:t>)</w:t>
      </w:r>
    </w:p>
    <w:p w:rsidR="00CB59F0" w:rsidRDefault="00CB59F0" w:rsidP="00A83ABC">
      <w:pPr>
        <w:rPr>
          <w:rFonts w:ascii="Calibri" w:hAnsi="Calibri"/>
        </w:rPr>
      </w:pPr>
      <w:r w:rsidRPr="00583EBC">
        <w:rPr>
          <w:rFonts w:ascii="Calibri" w:hAnsi="Calibri"/>
        </w:rPr>
        <w:t xml:space="preserve">The </w:t>
      </w:r>
      <w:r w:rsidR="00B522B6">
        <w:rPr>
          <w:rFonts w:ascii="Calibri" w:hAnsi="Calibri"/>
        </w:rPr>
        <w:t>2014</w:t>
      </w:r>
      <w:r>
        <w:rPr>
          <w:rFonts w:ascii="Calibri" w:hAnsi="Calibri"/>
        </w:rPr>
        <w:t xml:space="preserve"> </w:t>
      </w:r>
      <w:r w:rsidR="00B522B6">
        <w:rPr>
          <w:rFonts w:ascii="Calibri" w:hAnsi="Calibri"/>
        </w:rPr>
        <w:t xml:space="preserve">EmPower </w:t>
      </w:r>
      <w:r w:rsidRPr="00583EBC">
        <w:rPr>
          <w:rFonts w:ascii="Calibri" w:hAnsi="Calibri"/>
        </w:rPr>
        <w:t>Maryland</w:t>
      </w:r>
      <w:r w:rsidR="00B522B6">
        <w:rPr>
          <w:rFonts w:ascii="Calibri" w:hAnsi="Calibri"/>
        </w:rPr>
        <w:t xml:space="preserve"> Cost</w:t>
      </w:r>
      <w:r w:rsidR="00CE0565">
        <w:rPr>
          <w:rFonts w:ascii="Calibri" w:hAnsi="Calibri"/>
        </w:rPr>
        <w:t>-</w:t>
      </w:r>
      <w:r w:rsidR="00B522B6">
        <w:rPr>
          <w:rFonts w:ascii="Calibri" w:hAnsi="Calibri"/>
        </w:rPr>
        <w:t>Effectiven</w:t>
      </w:r>
      <w:r w:rsidR="00B84D8D">
        <w:rPr>
          <w:rFonts w:ascii="Calibri" w:hAnsi="Calibri"/>
        </w:rPr>
        <w:t>e</w:t>
      </w:r>
      <w:r w:rsidR="00B522B6">
        <w:rPr>
          <w:rFonts w:ascii="Calibri" w:hAnsi="Calibri"/>
        </w:rPr>
        <w:t>ss Framework</w:t>
      </w:r>
      <w:r w:rsidRPr="00583EBC">
        <w:rPr>
          <w:rFonts w:ascii="Calibri" w:hAnsi="Calibri"/>
        </w:rPr>
        <w:t xml:space="preserve"> </w:t>
      </w:r>
      <w:r w:rsidR="00B522B6">
        <w:rPr>
          <w:rFonts w:ascii="Calibri" w:hAnsi="Calibri"/>
        </w:rPr>
        <w:t xml:space="preserve">employs </w:t>
      </w:r>
      <w:r w:rsidRPr="00583EBC">
        <w:rPr>
          <w:rFonts w:ascii="Calibri" w:hAnsi="Calibri"/>
        </w:rPr>
        <w:t>a methodology comparable to the aforementioned studies – avoidable T&amp;D costs are estimated by evaluating the incremental T&amp;D investment that occurs over a period of time in the future that can be attributed to load growth, divided by the peak load growth in the forecast period.</w:t>
      </w:r>
    </w:p>
    <w:p w:rsidR="00070270" w:rsidRPr="00583EBC" w:rsidRDefault="00070270" w:rsidP="00A83ABC">
      <w:pPr>
        <w:rPr>
          <w:rFonts w:ascii="Calibri" w:hAnsi="Calibri"/>
        </w:rPr>
      </w:pPr>
    </w:p>
    <w:p w:rsidR="00CB59F0" w:rsidRPr="00BE1301" w:rsidRDefault="00CB59F0" w:rsidP="00A83ABC">
      <w:pPr>
        <w:pStyle w:val="Heading3"/>
      </w:pPr>
      <w:bookmarkStart w:id="129" w:name="_Toc412628394"/>
      <w:r w:rsidRPr="00BE1301">
        <w:t xml:space="preserve">SWE </w:t>
      </w:r>
      <w:r w:rsidR="00BE1301" w:rsidRPr="00BE1301">
        <w:t xml:space="preserve">Team </w:t>
      </w:r>
      <w:r w:rsidRPr="00BE1301">
        <w:t xml:space="preserve">Recommendation for Calculation Methodology for </w:t>
      </w:r>
      <w:r w:rsidR="009D5798">
        <w:t>Transmission and Distribution</w:t>
      </w:r>
      <w:r w:rsidRPr="00BE1301">
        <w:t xml:space="preserve"> Avoided Costs</w:t>
      </w:r>
      <w:bookmarkEnd w:id="129"/>
    </w:p>
    <w:p w:rsidR="00CB59F0" w:rsidRPr="00583EBC" w:rsidRDefault="00CB59F0" w:rsidP="00A83ABC">
      <w:pPr>
        <w:spacing w:after="120"/>
        <w:rPr>
          <w:rFonts w:ascii="Calibri" w:hAnsi="Calibri"/>
        </w:rPr>
      </w:pPr>
      <w:r w:rsidRPr="00583EBC">
        <w:rPr>
          <w:rFonts w:ascii="Calibri" w:hAnsi="Calibri"/>
        </w:rPr>
        <w:t xml:space="preserve">Based on </w:t>
      </w:r>
      <w:r w:rsidR="00B84D8D">
        <w:rPr>
          <w:rFonts w:ascii="Calibri" w:hAnsi="Calibri"/>
        </w:rPr>
        <w:t>their</w:t>
      </w:r>
      <w:r w:rsidR="00B84D8D" w:rsidRPr="00583EBC">
        <w:rPr>
          <w:rFonts w:ascii="Calibri" w:hAnsi="Calibri"/>
        </w:rPr>
        <w:t xml:space="preserve"> </w:t>
      </w:r>
      <w:r w:rsidRPr="00583EBC">
        <w:rPr>
          <w:rFonts w:ascii="Calibri" w:hAnsi="Calibri"/>
        </w:rPr>
        <w:t xml:space="preserve">review of recent </w:t>
      </w:r>
      <w:r>
        <w:rPr>
          <w:rFonts w:ascii="Calibri" w:hAnsi="Calibri"/>
        </w:rPr>
        <w:t xml:space="preserve">T&amp;D </w:t>
      </w:r>
      <w:r w:rsidRPr="00583EBC">
        <w:rPr>
          <w:rFonts w:ascii="Calibri" w:hAnsi="Calibri"/>
        </w:rPr>
        <w:t>avoided cost studies, the SWE</w:t>
      </w:r>
      <w:r w:rsidR="00BE1301">
        <w:rPr>
          <w:rFonts w:ascii="Calibri" w:hAnsi="Calibri"/>
        </w:rPr>
        <w:t xml:space="preserve"> </w:t>
      </w:r>
      <w:r w:rsidR="00BE1301">
        <w:t>Team</w:t>
      </w:r>
      <w:r w:rsidRPr="00583EBC">
        <w:rPr>
          <w:rFonts w:ascii="Calibri" w:hAnsi="Calibri"/>
        </w:rPr>
        <w:t xml:space="preserve"> </w:t>
      </w:r>
      <w:r>
        <w:rPr>
          <w:rFonts w:ascii="Calibri" w:hAnsi="Calibri"/>
        </w:rPr>
        <w:t>developed a pragmatic,</w:t>
      </w:r>
      <w:r w:rsidRPr="00583EBC">
        <w:rPr>
          <w:rFonts w:ascii="Calibri" w:hAnsi="Calibri"/>
        </w:rPr>
        <w:t xml:space="preserve"> common method for estimating future avoided T&amp;D costs for each EDC. This </w:t>
      </w:r>
      <w:r w:rsidR="001115EC">
        <w:rPr>
          <w:rFonts w:ascii="Calibri" w:hAnsi="Calibri"/>
        </w:rPr>
        <w:t>approach</w:t>
      </w:r>
      <w:r w:rsidRPr="00583EBC">
        <w:rPr>
          <w:rFonts w:ascii="Calibri" w:hAnsi="Calibri"/>
        </w:rPr>
        <w:t xml:space="preserve"> </w:t>
      </w:r>
      <w:r>
        <w:rPr>
          <w:rFonts w:ascii="Calibri" w:hAnsi="Calibri"/>
        </w:rPr>
        <w:t xml:space="preserve">is </w:t>
      </w:r>
      <w:r w:rsidRPr="00583EBC">
        <w:rPr>
          <w:rFonts w:ascii="Calibri" w:hAnsi="Calibri"/>
        </w:rPr>
        <w:t>based upon the methodologies</w:t>
      </w:r>
      <w:r>
        <w:rPr>
          <w:rFonts w:ascii="Calibri" w:hAnsi="Calibri"/>
        </w:rPr>
        <w:t xml:space="preserve"> in the studies discussed above. The approach for this study used the following steps to develop the forecast of annual T&amp;D avoided costs for the 2014 to 2018 time period:</w:t>
      </w:r>
    </w:p>
    <w:p w:rsidR="00CB59F0" w:rsidRDefault="00CB59F0" w:rsidP="00A83ABC">
      <w:pPr>
        <w:numPr>
          <w:ilvl w:val="0"/>
          <w:numId w:val="27"/>
        </w:numPr>
        <w:spacing w:after="120"/>
        <w:ind w:left="360"/>
        <w:rPr>
          <w:rFonts w:ascii="Calibri" w:hAnsi="Calibri"/>
        </w:rPr>
      </w:pPr>
      <w:r>
        <w:rPr>
          <w:rFonts w:ascii="Calibri" w:hAnsi="Calibri"/>
        </w:rPr>
        <w:t>First, the SWE Team gathered information on the electric peak load forecast for each EDC.</w:t>
      </w:r>
    </w:p>
    <w:p w:rsidR="00CB59F0" w:rsidRPr="00583EBC" w:rsidRDefault="00CB59F0" w:rsidP="00A83ABC">
      <w:pPr>
        <w:numPr>
          <w:ilvl w:val="0"/>
          <w:numId w:val="27"/>
        </w:numPr>
        <w:spacing w:after="120"/>
        <w:ind w:left="360"/>
        <w:rPr>
          <w:rFonts w:ascii="Calibri" w:hAnsi="Calibri"/>
        </w:rPr>
      </w:pPr>
      <w:r>
        <w:rPr>
          <w:rFonts w:ascii="Calibri" w:hAnsi="Calibri"/>
        </w:rPr>
        <w:t>Second</w:t>
      </w:r>
      <w:r w:rsidRPr="00583EBC">
        <w:rPr>
          <w:rFonts w:ascii="Calibri" w:hAnsi="Calibri"/>
        </w:rPr>
        <w:t xml:space="preserve">, the SWE </w:t>
      </w:r>
      <w:r w:rsidR="00BE1301">
        <w:rPr>
          <w:rFonts w:ascii="Calibri" w:hAnsi="Calibri"/>
        </w:rPr>
        <w:t>T</w:t>
      </w:r>
      <w:r w:rsidR="00BE1301" w:rsidRPr="00583EBC">
        <w:rPr>
          <w:rFonts w:ascii="Calibri" w:hAnsi="Calibri"/>
        </w:rPr>
        <w:t xml:space="preserve">eam </w:t>
      </w:r>
      <w:r w:rsidRPr="00583EBC">
        <w:rPr>
          <w:rFonts w:ascii="Calibri" w:hAnsi="Calibri"/>
        </w:rPr>
        <w:t>request</w:t>
      </w:r>
      <w:r>
        <w:rPr>
          <w:rFonts w:ascii="Calibri" w:hAnsi="Calibri"/>
        </w:rPr>
        <w:t>ed</w:t>
      </w:r>
      <w:r w:rsidRPr="00583EBC">
        <w:rPr>
          <w:rFonts w:ascii="Calibri" w:hAnsi="Calibri"/>
        </w:rPr>
        <w:t xml:space="preserve"> from each EDC a forecast of annual load-related capital expenditures for new T&amp;D investment for the next </w:t>
      </w:r>
      <w:r>
        <w:rPr>
          <w:rFonts w:ascii="Calibri" w:hAnsi="Calibri"/>
        </w:rPr>
        <w:t xml:space="preserve">five years (2014 to 2018) and </w:t>
      </w:r>
      <w:r w:rsidRPr="00583EBC">
        <w:rPr>
          <w:rFonts w:ascii="Calibri" w:hAnsi="Calibri"/>
        </w:rPr>
        <w:t>ten years</w:t>
      </w:r>
      <w:r>
        <w:rPr>
          <w:rFonts w:ascii="Calibri" w:hAnsi="Calibri"/>
        </w:rPr>
        <w:t xml:space="preserve"> (2014 to </w:t>
      </w:r>
      <w:r>
        <w:rPr>
          <w:rFonts w:ascii="Calibri" w:hAnsi="Calibri"/>
        </w:rPr>
        <w:lastRenderedPageBreak/>
        <w:t>2023)</w:t>
      </w:r>
      <w:r w:rsidRPr="00583EBC">
        <w:rPr>
          <w:rFonts w:ascii="Calibri" w:hAnsi="Calibri"/>
        </w:rPr>
        <w:t>.</w:t>
      </w:r>
      <w:r>
        <w:rPr>
          <w:rFonts w:ascii="Calibri" w:hAnsi="Calibri"/>
        </w:rPr>
        <w:t xml:space="preserve"> For purposes of this </w:t>
      </w:r>
      <w:r w:rsidR="00037A03">
        <w:rPr>
          <w:rFonts w:ascii="Calibri" w:hAnsi="Calibri"/>
        </w:rPr>
        <w:t>DR</w:t>
      </w:r>
      <w:r>
        <w:rPr>
          <w:rFonts w:ascii="Calibri" w:hAnsi="Calibri"/>
        </w:rPr>
        <w:t xml:space="preserve"> study</w:t>
      </w:r>
      <w:r w:rsidRPr="00583EBC">
        <w:rPr>
          <w:rFonts w:ascii="Calibri" w:hAnsi="Calibri"/>
        </w:rPr>
        <w:t xml:space="preserve">, only load-growth related T&amp;D investment (as opposed to customer related) is considered for the development of </w:t>
      </w:r>
      <w:r>
        <w:rPr>
          <w:rFonts w:ascii="Calibri" w:hAnsi="Calibri"/>
        </w:rPr>
        <w:t xml:space="preserve">the forecast of </w:t>
      </w:r>
      <w:r w:rsidRPr="00583EBC">
        <w:rPr>
          <w:rFonts w:ascii="Calibri" w:hAnsi="Calibri"/>
        </w:rPr>
        <w:t>avoidable T&amp;D costs.</w:t>
      </w:r>
      <w:r w:rsidRPr="00583EBC">
        <w:rPr>
          <w:rFonts w:ascii="Calibri" w:hAnsi="Calibri"/>
          <w:vertAlign w:val="superscript"/>
        </w:rPr>
        <w:footnoteReference w:id="67"/>
      </w:r>
      <w:r w:rsidRPr="00583EBC">
        <w:rPr>
          <w:rFonts w:ascii="Calibri" w:hAnsi="Calibri"/>
        </w:rPr>
        <w:t xml:space="preserve"> </w:t>
      </w:r>
    </w:p>
    <w:p w:rsidR="00CB59F0" w:rsidRDefault="00CB59F0" w:rsidP="00A83ABC">
      <w:pPr>
        <w:numPr>
          <w:ilvl w:val="0"/>
          <w:numId w:val="27"/>
        </w:numPr>
        <w:spacing w:after="120"/>
        <w:ind w:left="360"/>
        <w:rPr>
          <w:rFonts w:ascii="Calibri" w:hAnsi="Calibri"/>
        </w:rPr>
      </w:pPr>
      <w:r w:rsidRPr="00583EBC">
        <w:rPr>
          <w:rFonts w:ascii="Calibri" w:hAnsi="Calibri"/>
        </w:rPr>
        <w:t xml:space="preserve">Then, </w:t>
      </w:r>
      <w:r>
        <w:rPr>
          <w:rFonts w:ascii="Calibri" w:hAnsi="Calibri"/>
        </w:rPr>
        <w:t xml:space="preserve">for each year from 2014 to 2018, </w:t>
      </w:r>
      <w:r w:rsidRPr="00583EBC">
        <w:rPr>
          <w:rFonts w:ascii="Calibri" w:hAnsi="Calibri"/>
        </w:rPr>
        <w:t xml:space="preserve">the annual forecast of T&amp;D expenditures for each EDC </w:t>
      </w:r>
      <w:r>
        <w:rPr>
          <w:rFonts w:ascii="Calibri" w:hAnsi="Calibri"/>
        </w:rPr>
        <w:t>was divided by the change in the system peak load forecast to arrive at the T&amp;D avoided costs per kW.</w:t>
      </w:r>
    </w:p>
    <w:p w:rsidR="00CB59F0" w:rsidRDefault="00CB59F0" w:rsidP="00A83ABC">
      <w:pPr>
        <w:numPr>
          <w:ilvl w:val="0"/>
          <w:numId w:val="27"/>
        </w:numPr>
        <w:spacing w:after="120"/>
        <w:ind w:left="360"/>
        <w:rPr>
          <w:rFonts w:ascii="Calibri" w:hAnsi="Calibri"/>
        </w:rPr>
      </w:pPr>
      <w:r>
        <w:rPr>
          <w:rFonts w:ascii="Calibri" w:hAnsi="Calibri"/>
        </w:rPr>
        <w:t>Then</w:t>
      </w:r>
      <w:r w:rsidR="002C383C">
        <w:rPr>
          <w:rFonts w:ascii="Calibri" w:hAnsi="Calibri"/>
        </w:rPr>
        <w:t>,</w:t>
      </w:r>
      <w:r>
        <w:rPr>
          <w:rFonts w:ascii="Calibri" w:hAnsi="Calibri"/>
        </w:rPr>
        <w:t xml:space="preserve"> the SWE Team calculated the average T&amp;D avoided costs per kW for the five year period (2014 to 2018).</w:t>
      </w:r>
    </w:p>
    <w:p w:rsidR="00CB59F0" w:rsidRDefault="00CB59F0" w:rsidP="00A83ABC">
      <w:pPr>
        <w:numPr>
          <w:ilvl w:val="0"/>
          <w:numId w:val="27"/>
        </w:numPr>
        <w:spacing w:after="120"/>
        <w:ind w:left="360"/>
        <w:rPr>
          <w:rFonts w:ascii="Calibri" w:hAnsi="Calibri"/>
        </w:rPr>
      </w:pPr>
      <w:r>
        <w:rPr>
          <w:rFonts w:ascii="Calibri" w:hAnsi="Calibri"/>
        </w:rPr>
        <w:t>Then</w:t>
      </w:r>
      <w:r w:rsidR="002C383C">
        <w:rPr>
          <w:rFonts w:ascii="Calibri" w:hAnsi="Calibri"/>
        </w:rPr>
        <w:t>,</w:t>
      </w:r>
      <w:r>
        <w:rPr>
          <w:rFonts w:ascii="Calibri" w:hAnsi="Calibri"/>
        </w:rPr>
        <w:t xml:space="preserve"> the SWE Team used a capital cost recovery factor to convert the average avoided T&amp;D investment cost for 2014 to 2018 to be on a $ per </w:t>
      </w:r>
      <w:r w:rsidR="002143D1">
        <w:rPr>
          <w:rFonts w:ascii="Calibri" w:hAnsi="Calibri"/>
        </w:rPr>
        <w:t>kW/year</w:t>
      </w:r>
      <w:r>
        <w:rPr>
          <w:rFonts w:ascii="Calibri" w:hAnsi="Calibri"/>
        </w:rPr>
        <w:t xml:space="preserve"> basis by applying a capital cost recovery factor. The average value for the 2014 to 2018 time period represents the value used for the star</w:t>
      </w:r>
      <w:r w:rsidR="002C383C">
        <w:rPr>
          <w:rFonts w:ascii="Calibri" w:hAnsi="Calibri"/>
        </w:rPr>
        <w:t>t</w:t>
      </w:r>
      <w:r>
        <w:rPr>
          <w:rFonts w:ascii="Calibri" w:hAnsi="Calibri"/>
        </w:rPr>
        <w:t xml:space="preserve">ing year of our </w:t>
      </w:r>
      <w:r w:rsidR="00037A03">
        <w:rPr>
          <w:rFonts w:ascii="Calibri" w:hAnsi="Calibri"/>
        </w:rPr>
        <w:t>DR</w:t>
      </w:r>
      <w:r>
        <w:rPr>
          <w:rFonts w:ascii="Calibri" w:hAnsi="Calibri"/>
        </w:rPr>
        <w:t xml:space="preserve"> analysis, 2016.</w:t>
      </w:r>
    </w:p>
    <w:p w:rsidR="00CB59F0" w:rsidRPr="00583EBC" w:rsidRDefault="00CB59F0" w:rsidP="00A83ABC">
      <w:pPr>
        <w:numPr>
          <w:ilvl w:val="0"/>
          <w:numId w:val="27"/>
        </w:numPr>
        <w:ind w:left="360"/>
        <w:rPr>
          <w:rFonts w:ascii="Calibri" w:hAnsi="Calibri"/>
        </w:rPr>
      </w:pPr>
      <w:r>
        <w:rPr>
          <w:rFonts w:ascii="Calibri" w:hAnsi="Calibri"/>
        </w:rPr>
        <w:t xml:space="preserve">The starting value for the T&amp;D avoided cost per </w:t>
      </w:r>
      <w:r w:rsidR="002143D1">
        <w:rPr>
          <w:rFonts w:ascii="Calibri" w:hAnsi="Calibri"/>
        </w:rPr>
        <w:t>kW/year</w:t>
      </w:r>
      <w:r>
        <w:rPr>
          <w:rFonts w:ascii="Calibri" w:hAnsi="Calibri"/>
        </w:rPr>
        <w:t xml:space="preserve"> in 2016 was then escalated at the general rate of inflation for all years after 2016.</w:t>
      </w:r>
    </w:p>
    <w:p w:rsidR="00070270" w:rsidRPr="00070270" w:rsidRDefault="00070270" w:rsidP="00A83ABC"/>
    <w:p w:rsidR="00CB59F0" w:rsidRPr="00583EBC" w:rsidRDefault="00CB59F0" w:rsidP="00A83ABC">
      <w:pPr>
        <w:spacing w:after="120"/>
        <w:rPr>
          <w:rFonts w:ascii="Calibri" w:hAnsi="Calibri"/>
        </w:rPr>
      </w:pPr>
      <w:r w:rsidRPr="00583EBC">
        <w:rPr>
          <w:rFonts w:ascii="Calibri" w:hAnsi="Calibri"/>
        </w:rPr>
        <w:t>This approach is relatively inexpensive and less time consuming than other approaches as it does not require an engineering study of the electric system nor does it require obtaining site specific load and investment data.</w:t>
      </w:r>
      <w:r w:rsidR="001115EC">
        <w:rPr>
          <w:rFonts w:ascii="Calibri" w:hAnsi="Calibri"/>
        </w:rPr>
        <w:t xml:space="preserve"> The SWE </w:t>
      </w:r>
      <w:r w:rsidR="00BE1301">
        <w:t>Team</w:t>
      </w:r>
      <w:r w:rsidR="00BE1301">
        <w:rPr>
          <w:rFonts w:ascii="Calibri" w:hAnsi="Calibri"/>
        </w:rPr>
        <w:t xml:space="preserve"> </w:t>
      </w:r>
      <w:r w:rsidR="001115EC">
        <w:rPr>
          <w:rFonts w:ascii="Calibri" w:hAnsi="Calibri"/>
        </w:rPr>
        <w:t>recommends that this approach be used as the basis for developing forecasts of T&amp;D avoided costs for use in TRC test calculations for Act 129 cost</w:t>
      </w:r>
      <w:r w:rsidR="002C383C">
        <w:rPr>
          <w:rFonts w:ascii="Calibri" w:hAnsi="Calibri"/>
        </w:rPr>
        <w:t>-</w:t>
      </w:r>
      <w:r w:rsidR="001115EC">
        <w:rPr>
          <w:rFonts w:ascii="Calibri" w:hAnsi="Calibri"/>
        </w:rPr>
        <w:t>effectiveness screening.</w:t>
      </w:r>
      <w:r w:rsidRPr="00583EBC">
        <w:rPr>
          <w:rFonts w:ascii="Calibri" w:hAnsi="Calibri"/>
        </w:rPr>
        <w:t xml:space="preserve"> </w:t>
      </w:r>
    </w:p>
    <w:p w:rsidR="00CB59F0" w:rsidRDefault="00CB59F0" w:rsidP="00A83ABC">
      <w:r w:rsidRPr="00583EBC">
        <w:rPr>
          <w:rFonts w:ascii="Calibri" w:hAnsi="Calibri"/>
        </w:rPr>
        <w:t xml:space="preserve">As a weak point, it does not provide an accurate picture of avoided costs for specific T&amp;D projects. It fails to capture the highest value projects that </w:t>
      </w:r>
      <w:r w:rsidR="00037A03">
        <w:rPr>
          <w:rFonts w:ascii="Calibri" w:hAnsi="Calibri"/>
        </w:rPr>
        <w:t>DR</w:t>
      </w:r>
      <w:r>
        <w:rPr>
          <w:rFonts w:ascii="Calibri" w:hAnsi="Calibri"/>
        </w:rPr>
        <w:t xml:space="preserve"> programs</w:t>
      </w:r>
      <w:r w:rsidRPr="00583EBC">
        <w:rPr>
          <w:rFonts w:ascii="Calibri" w:hAnsi="Calibri"/>
        </w:rPr>
        <w:t xml:space="preserve"> might defer. Still, an average value estimated using the projected embedded analysis does provide an indicator of T&amp;D avoided costs sufficient for evaluating </w:t>
      </w:r>
      <w:r w:rsidR="00037A03">
        <w:rPr>
          <w:rFonts w:ascii="Calibri" w:hAnsi="Calibri"/>
        </w:rPr>
        <w:t>DR</w:t>
      </w:r>
      <w:r w:rsidRPr="00583EBC">
        <w:rPr>
          <w:rFonts w:ascii="Calibri" w:hAnsi="Calibri"/>
        </w:rPr>
        <w:t xml:space="preserve"> resources for an energy future scenario that assumes a </w:t>
      </w:r>
      <w:r w:rsidRPr="00643942">
        <w:t xml:space="preserve">significant amount of </w:t>
      </w:r>
      <w:r w:rsidR="00037A03">
        <w:t>DR</w:t>
      </w:r>
      <w:r w:rsidRPr="00643942">
        <w:t xml:space="preserve"> deployment statewide.</w:t>
      </w:r>
    </w:p>
    <w:p w:rsidR="00643942" w:rsidRPr="00643942" w:rsidRDefault="00643942" w:rsidP="00A83ABC"/>
    <w:p w:rsidR="00CB59F0" w:rsidRPr="00A205B6" w:rsidRDefault="00CB59F0" w:rsidP="00A83ABC">
      <w:pPr>
        <w:pStyle w:val="Heading3"/>
      </w:pPr>
      <w:bookmarkStart w:id="130" w:name="_Toc412628395"/>
      <w:r w:rsidRPr="00A205B6">
        <w:t xml:space="preserve">SWE </w:t>
      </w:r>
      <w:r w:rsidR="00BE1301">
        <w:t>Team</w:t>
      </w:r>
      <w:r w:rsidR="00BE1301" w:rsidRPr="00A205B6">
        <w:t xml:space="preserve"> </w:t>
      </w:r>
      <w:r w:rsidRPr="00A205B6">
        <w:t xml:space="preserve">T&amp;D </w:t>
      </w:r>
      <w:r>
        <w:t>A</w:t>
      </w:r>
      <w:r w:rsidRPr="00A205B6">
        <w:t xml:space="preserve">voided </w:t>
      </w:r>
      <w:r>
        <w:t>C</w:t>
      </w:r>
      <w:r w:rsidRPr="00A205B6">
        <w:t xml:space="preserve">osts </w:t>
      </w:r>
      <w:r w:rsidR="00BD4DCB">
        <w:t>f</w:t>
      </w:r>
      <w:r w:rsidR="00BD4DCB" w:rsidRPr="00A205B6">
        <w:t xml:space="preserve">or </w:t>
      </w:r>
      <w:r>
        <w:t>E</w:t>
      </w:r>
      <w:r w:rsidRPr="00A205B6">
        <w:t>ach Pennsylvania EDC</w:t>
      </w:r>
      <w:bookmarkEnd w:id="130"/>
    </w:p>
    <w:p w:rsidR="00922A36" w:rsidRDefault="00CB59F0" w:rsidP="00A83ABC">
      <w:bookmarkStart w:id="131" w:name="_Toc407722839"/>
      <w:r>
        <w:t>T</w:t>
      </w:r>
      <w:r w:rsidRPr="00583EBC">
        <w:t xml:space="preserve">he SWE </w:t>
      </w:r>
      <w:r w:rsidR="00BE1301">
        <w:t>Team</w:t>
      </w:r>
      <w:r w:rsidR="00BE1301" w:rsidRPr="00583EBC">
        <w:t xml:space="preserve"> </w:t>
      </w:r>
      <w:r w:rsidRPr="00583EBC">
        <w:t>develop</w:t>
      </w:r>
      <w:r>
        <w:t>ed</w:t>
      </w:r>
      <w:r w:rsidRPr="00583EBC">
        <w:t xml:space="preserve"> T&amp;D avoided costs per </w:t>
      </w:r>
      <w:r w:rsidR="002143D1">
        <w:t>kW/year</w:t>
      </w:r>
      <w:r w:rsidRPr="00583EBC">
        <w:t xml:space="preserve"> for each EDC using the methodology </w:t>
      </w:r>
      <w:r w:rsidR="0008127F">
        <w:t xml:space="preserve">described in Section </w:t>
      </w:r>
      <w:r w:rsidR="0008127F">
        <w:fldChar w:fldCharType="begin"/>
      </w:r>
      <w:r w:rsidR="0008127F">
        <w:instrText xml:space="preserve"> REF _Ref408394525 \n \h </w:instrText>
      </w:r>
      <w:r w:rsidR="0008127F">
        <w:fldChar w:fldCharType="separate"/>
      </w:r>
      <w:r w:rsidR="00803DBE">
        <w:t>2.7.2</w:t>
      </w:r>
      <w:r w:rsidR="0008127F">
        <w:fldChar w:fldCharType="end"/>
      </w:r>
      <w:r w:rsidRPr="00861A7C">
        <w:t>.</w:t>
      </w:r>
      <w:r>
        <w:t xml:space="preserve">  </w:t>
      </w:r>
      <w:r w:rsidR="009A2C24">
        <w:rPr>
          <w:b/>
        </w:rPr>
        <w:fldChar w:fldCharType="begin"/>
      </w:r>
      <w:r w:rsidR="009A2C24">
        <w:instrText xml:space="preserve"> REF _Ref407792841 \h </w:instrText>
      </w:r>
      <w:r w:rsidR="00070270">
        <w:rPr>
          <w:b/>
        </w:rPr>
        <w:instrText xml:space="preserve"> \* MERGEFORMAT </w:instrText>
      </w:r>
      <w:r w:rsidR="009A2C24">
        <w:rPr>
          <w:b/>
        </w:rPr>
      </w:r>
      <w:r w:rsidR="009A2C24">
        <w:rPr>
          <w:b/>
        </w:rPr>
        <w:fldChar w:fldCharType="separate"/>
      </w:r>
      <w:r w:rsidR="00803DBE" w:rsidRPr="009A2C24">
        <w:t xml:space="preserve">Table </w:t>
      </w:r>
      <w:r w:rsidR="00803DBE">
        <w:rPr>
          <w:noProof/>
        </w:rPr>
        <w:t>2</w:t>
      </w:r>
      <w:r w:rsidR="00803DBE">
        <w:rPr>
          <w:noProof/>
        </w:rPr>
        <w:noBreakHyphen/>
        <w:t>13</w:t>
      </w:r>
      <w:r w:rsidR="009A2C24">
        <w:rPr>
          <w:b/>
        </w:rPr>
        <w:fldChar w:fldCharType="end"/>
      </w:r>
      <w:r w:rsidR="009A2C24">
        <w:rPr>
          <w:b/>
        </w:rPr>
        <w:t xml:space="preserve"> </w:t>
      </w:r>
      <w:r>
        <w:t xml:space="preserve">below provides the forecast of the average T&amp;D avoided costs for the 2014 to 2018 time period for each EDC included in this </w:t>
      </w:r>
      <w:r w:rsidR="00037A03">
        <w:t>DR</w:t>
      </w:r>
      <w:r>
        <w:t xml:space="preserve"> study.</w:t>
      </w:r>
      <w:bookmarkEnd w:id="131"/>
    </w:p>
    <w:p w:rsidR="00070270" w:rsidRPr="00861A7C" w:rsidRDefault="00070270" w:rsidP="00A83ABC"/>
    <w:p w:rsidR="009A2C24" w:rsidRPr="009A2C24" w:rsidRDefault="009A2C24" w:rsidP="00A83ABC">
      <w:pPr>
        <w:pStyle w:val="Caption"/>
        <w:keepNext/>
      </w:pPr>
      <w:bookmarkStart w:id="132" w:name="_Ref407792841"/>
      <w:bookmarkStart w:id="133" w:name="_Toc412628459"/>
      <w:r w:rsidRPr="009A2C24">
        <w:t xml:space="preserve">Table </w:t>
      </w:r>
      <w:r w:rsidR="00E2011B">
        <w:fldChar w:fldCharType="begin"/>
      </w:r>
      <w:r w:rsidR="00E2011B">
        <w:instrText xml:space="preserve"> STYLEREF 1 \s </w:instrText>
      </w:r>
      <w:r w:rsidR="00E2011B">
        <w:fldChar w:fldCharType="separate"/>
      </w:r>
      <w:r w:rsidR="00803DBE">
        <w:rPr>
          <w:noProof/>
        </w:rPr>
        <w:t>2</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13</w:t>
      </w:r>
      <w:r w:rsidR="00E2011B">
        <w:rPr>
          <w:noProof/>
        </w:rPr>
        <w:fldChar w:fldCharType="end"/>
      </w:r>
      <w:bookmarkEnd w:id="132"/>
      <w:r w:rsidRPr="009A2C24">
        <w:t xml:space="preserve">: </w:t>
      </w:r>
      <w:r w:rsidRPr="009A2C24">
        <w:rPr>
          <w:rFonts w:ascii="Calibri" w:eastAsia="Times New Roman" w:hAnsi="Calibri" w:cs="Arial"/>
        </w:rPr>
        <w:t>Forecast of Average T&amp;D Avoided Costs ($per kW/Year) by EDC</w:t>
      </w:r>
      <w:bookmarkEnd w:id="133"/>
    </w:p>
    <w:tbl>
      <w:tblPr>
        <w:tblStyle w:val="MediumShading1-Accent5"/>
        <w:tblW w:w="792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90"/>
        <w:gridCol w:w="2790"/>
        <w:gridCol w:w="3240"/>
      </w:tblGrid>
      <w:tr w:rsidR="009A2C24" w:rsidTr="00684C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9A2C24" w:rsidRDefault="009A2C24" w:rsidP="00A83ABC">
            <w:pPr>
              <w:jc w:val="left"/>
              <w:rPr>
                <w:rFonts w:ascii="Calibri" w:eastAsia="Times New Roman" w:hAnsi="Calibri" w:cs="Calibri"/>
                <w:bCs w:val="0"/>
                <w:color w:val="FFFFFF"/>
                <w:sz w:val="20"/>
                <w:szCs w:val="20"/>
              </w:rPr>
            </w:pPr>
            <w:r>
              <w:rPr>
                <w:rFonts w:ascii="Calibri" w:eastAsia="Times New Roman" w:hAnsi="Calibri" w:cs="Calibri"/>
                <w:bCs w:val="0"/>
                <w:color w:val="FFFFFF"/>
                <w:sz w:val="20"/>
                <w:szCs w:val="20"/>
                <w:lang w:val="x-none"/>
              </w:rPr>
              <w:t>EDC</w:t>
            </w:r>
          </w:p>
        </w:tc>
        <w:tc>
          <w:tcPr>
            <w:tcW w:w="2790"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9A2C24" w:rsidRPr="007E397A" w:rsidRDefault="009A2C24"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rPr>
              <w:t xml:space="preserve">Average T&amp;D Avoided Cost per </w:t>
            </w:r>
            <w:r w:rsidR="002143D1">
              <w:rPr>
                <w:rFonts w:ascii="Calibri" w:eastAsia="Times New Roman" w:hAnsi="Calibri" w:cs="Calibri"/>
                <w:bCs w:val="0"/>
                <w:color w:val="FFFFFF"/>
                <w:sz w:val="20"/>
                <w:szCs w:val="20"/>
              </w:rPr>
              <w:t>kW/year</w:t>
            </w:r>
            <w:r>
              <w:rPr>
                <w:rFonts w:ascii="Calibri" w:eastAsia="Times New Roman" w:hAnsi="Calibri" w:cs="Calibri"/>
                <w:bCs w:val="0"/>
                <w:color w:val="FFFFFF"/>
                <w:sz w:val="20"/>
                <w:szCs w:val="20"/>
              </w:rPr>
              <w:t xml:space="preserve"> for 2016</w:t>
            </w:r>
          </w:p>
        </w:tc>
        <w:tc>
          <w:tcPr>
            <w:tcW w:w="3240"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9A2C24" w:rsidRDefault="009A2C24"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Pr>
                <w:rFonts w:ascii="Calibri" w:eastAsia="Times New Roman" w:hAnsi="Calibri" w:cs="Calibri"/>
                <w:bCs w:val="0"/>
                <w:color w:val="FFFFFF"/>
                <w:sz w:val="20"/>
                <w:szCs w:val="20"/>
              </w:rPr>
              <w:t xml:space="preserve">Average Transmission Only Avoided Cost per </w:t>
            </w:r>
            <w:r w:rsidR="002143D1">
              <w:rPr>
                <w:rFonts w:ascii="Calibri" w:eastAsia="Times New Roman" w:hAnsi="Calibri" w:cs="Calibri"/>
                <w:bCs w:val="0"/>
                <w:color w:val="FFFFFF"/>
                <w:sz w:val="20"/>
                <w:szCs w:val="20"/>
              </w:rPr>
              <w:t>kW/year</w:t>
            </w:r>
            <w:r>
              <w:rPr>
                <w:rFonts w:ascii="Calibri" w:eastAsia="Times New Roman" w:hAnsi="Calibri" w:cs="Calibri"/>
                <w:bCs w:val="0"/>
                <w:color w:val="FFFFFF"/>
                <w:sz w:val="20"/>
                <w:szCs w:val="20"/>
              </w:rPr>
              <w:t xml:space="preserve"> for 2016</w:t>
            </w:r>
          </w:p>
        </w:tc>
      </w:tr>
      <w:tr w:rsidR="009A2C24"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 xml:space="preserve">Duquesne </w:t>
            </w:r>
          </w:p>
        </w:tc>
        <w:tc>
          <w:tcPr>
            <w:tcW w:w="27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$40.88</w:t>
            </w:r>
          </w:p>
        </w:tc>
        <w:tc>
          <w:tcPr>
            <w:tcW w:w="324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$40.88</w:t>
            </w:r>
          </w:p>
        </w:tc>
      </w:tr>
      <w:tr w:rsidR="009A2C24" w:rsidTr="00684C5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Met</w:t>
            </w:r>
            <w:r>
              <w:rPr>
                <w:rFonts w:ascii="Calibri" w:eastAsia="Times New Roman" w:hAnsi="Calibri" w:cs="Calibri"/>
                <w:b w:val="0"/>
                <w:color w:val="000000"/>
                <w:sz w:val="20"/>
                <w:szCs w:val="20"/>
              </w:rPr>
              <w:t>-</w:t>
            </w:r>
            <w:r>
              <w:rPr>
                <w:rFonts w:ascii="Calibri" w:eastAsia="Times New Roman" w:hAnsi="Calibri" w:cs="Calibri"/>
                <w:b w:val="0"/>
                <w:color w:val="000000"/>
                <w:sz w:val="20"/>
                <w:szCs w:val="20"/>
                <w:lang w:val="x-none"/>
              </w:rPr>
              <w:t>Ed</w:t>
            </w:r>
          </w:p>
        </w:tc>
        <w:tc>
          <w:tcPr>
            <w:tcW w:w="27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24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9A2C24"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Penelec </w:t>
            </w:r>
          </w:p>
        </w:tc>
        <w:tc>
          <w:tcPr>
            <w:tcW w:w="27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24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9A2C24" w:rsidTr="00684C5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Penn Power</w:t>
            </w:r>
          </w:p>
        </w:tc>
        <w:tc>
          <w:tcPr>
            <w:tcW w:w="27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24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9A2C24"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rPr>
              <w:t xml:space="preserve">FE: </w:t>
            </w:r>
            <w:r>
              <w:rPr>
                <w:rFonts w:ascii="Calibri" w:eastAsia="Times New Roman" w:hAnsi="Calibri" w:cs="Calibri"/>
                <w:b w:val="0"/>
                <w:color w:val="000000"/>
                <w:sz w:val="20"/>
                <w:szCs w:val="20"/>
                <w:lang w:val="x-none"/>
              </w:rPr>
              <w:t>West Penn</w:t>
            </w:r>
          </w:p>
        </w:tc>
        <w:tc>
          <w:tcPr>
            <w:tcW w:w="27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$40.98</w:t>
            </w:r>
          </w:p>
        </w:tc>
        <w:tc>
          <w:tcPr>
            <w:tcW w:w="324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$14.77</w:t>
            </w:r>
          </w:p>
        </w:tc>
      </w:tr>
      <w:tr w:rsidR="009A2C24" w:rsidTr="00684C5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PECO</w:t>
            </w:r>
          </w:p>
        </w:tc>
        <w:tc>
          <w:tcPr>
            <w:tcW w:w="27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$49.27</w:t>
            </w:r>
          </w:p>
        </w:tc>
        <w:tc>
          <w:tcPr>
            <w:tcW w:w="324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$3.88</w:t>
            </w:r>
          </w:p>
        </w:tc>
      </w:tr>
      <w:tr w:rsidR="009A2C24"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rPr>
                <w:rFonts w:ascii="Calibri" w:eastAsia="Times New Roman" w:hAnsi="Calibri" w:cs="Calibri"/>
                <w:b w:val="0"/>
                <w:color w:val="000000"/>
                <w:sz w:val="20"/>
                <w:szCs w:val="20"/>
              </w:rPr>
            </w:pPr>
            <w:r>
              <w:rPr>
                <w:rFonts w:ascii="Calibri" w:eastAsia="Times New Roman" w:hAnsi="Calibri" w:cs="Calibri"/>
                <w:b w:val="0"/>
                <w:color w:val="000000"/>
                <w:sz w:val="20"/>
                <w:szCs w:val="20"/>
                <w:lang w:val="x-none"/>
              </w:rPr>
              <w:t>PPL</w:t>
            </w:r>
          </w:p>
        </w:tc>
        <w:tc>
          <w:tcPr>
            <w:tcW w:w="279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$20.10</w:t>
            </w:r>
          </w:p>
        </w:tc>
        <w:tc>
          <w:tcPr>
            <w:tcW w:w="3240" w:type="dxa"/>
            <w:tcBorders>
              <w:top w:val="single" w:sz="8" w:space="0" w:color="448A99"/>
              <w:left w:val="single" w:sz="8" w:space="0" w:color="448A99"/>
              <w:bottom w:val="single" w:sz="8" w:space="0" w:color="448A99"/>
              <w:right w:val="single" w:sz="8" w:space="0" w:color="448A99"/>
            </w:tcBorders>
            <w:noWrap/>
            <w:hideMark/>
          </w:tcPr>
          <w:p w:rsidR="009A2C24" w:rsidRDefault="009A2C2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$0.00</w:t>
            </w:r>
          </w:p>
        </w:tc>
      </w:tr>
    </w:tbl>
    <w:p w:rsidR="00A80479" w:rsidRPr="00A80479" w:rsidRDefault="00CB59F0" w:rsidP="00A83ABC">
      <w:r>
        <w:lastRenderedPageBreak/>
        <w:t>The average T&amp;D avoided costs per kW</w:t>
      </w:r>
      <w:r w:rsidR="002C383C">
        <w:t>-</w:t>
      </w:r>
      <w:r>
        <w:t>Year for the 2014 to 2016 time period range from a low of $20.10 for PPL to a high of $49.27 for PECO.</w:t>
      </w:r>
    </w:p>
    <w:p w:rsidR="00A80479" w:rsidRDefault="00A80479" w:rsidP="00A83ABC">
      <w:pPr>
        <w:rPr>
          <w:rFonts w:ascii="Century Gothic" w:hAnsi="Century Gothic"/>
          <w:b/>
          <w:bCs/>
          <w:smallCaps/>
          <w:kern w:val="32"/>
          <w:sz w:val="28"/>
          <w:szCs w:val="32"/>
        </w:rPr>
      </w:pPr>
      <w:r>
        <w:br w:type="page"/>
      </w:r>
    </w:p>
    <w:p w:rsidR="008E74DA" w:rsidRDefault="00813FE4" w:rsidP="00A83ABC">
      <w:pPr>
        <w:pStyle w:val="Heading1"/>
        <w:jc w:val="left"/>
      </w:pPr>
      <w:bookmarkStart w:id="134" w:name="_Ref407786477"/>
      <w:bookmarkStart w:id="135" w:name="_Toc412628396"/>
      <w:r>
        <w:lastRenderedPageBreak/>
        <w:t>Characterization of Pennsylvania Service Areas</w:t>
      </w:r>
      <w:r w:rsidR="00923DF1">
        <w:t xml:space="preserve"> &amp; Phase I/II Program Offerings</w:t>
      </w:r>
      <w:bookmarkEnd w:id="134"/>
      <w:bookmarkEnd w:id="135"/>
    </w:p>
    <w:p w:rsidR="00977947" w:rsidRDefault="00813FE4" w:rsidP="00A83ABC">
      <w:pPr>
        <w:pStyle w:val="Heading2"/>
      </w:pPr>
      <w:bookmarkStart w:id="136" w:name="_Toc412628397"/>
      <w:r>
        <w:t>EDC Areas</w:t>
      </w:r>
      <w:bookmarkEnd w:id="136"/>
    </w:p>
    <w:p w:rsidR="001004B0" w:rsidRDefault="001004B0" w:rsidP="00A83ABC">
      <w:r>
        <w:fldChar w:fldCharType="begin"/>
      </w:r>
      <w:r>
        <w:instrText xml:space="preserve"> REF _Ref405560069 \h </w:instrText>
      </w:r>
      <w:r w:rsidR="00CF2BE5">
        <w:instrText xml:space="preserve"> \* MERGEFORMAT </w:instrText>
      </w:r>
      <w:r>
        <w:fldChar w:fldCharType="separate"/>
      </w:r>
      <w:r w:rsidR="00803DBE">
        <w:t xml:space="preserve">Figure </w:t>
      </w:r>
      <w:r w:rsidR="00803DBE">
        <w:rPr>
          <w:noProof/>
        </w:rPr>
        <w:t>3</w:t>
      </w:r>
      <w:r w:rsidR="00803DBE">
        <w:rPr>
          <w:noProof/>
        </w:rPr>
        <w:noBreakHyphen/>
        <w:t>1</w:t>
      </w:r>
      <w:r>
        <w:fldChar w:fldCharType="end"/>
      </w:r>
      <w:r>
        <w:t xml:space="preserve"> provides a map of the service territories for each of the </w:t>
      </w:r>
      <w:r w:rsidR="002C383C">
        <w:t>EDCs</w:t>
      </w:r>
      <w:r>
        <w:t xml:space="preserve"> in Pennsylvania. There is significant diversity with regards to size and population density across the </w:t>
      </w:r>
      <w:r w:rsidR="002C383C">
        <w:t xml:space="preserve">EDCs </w:t>
      </w:r>
      <w:r>
        <w:t>that must be accounted for in an assessment of potential.</w:t>
      </w:r>
    </w:p>
    <w:p w:rsidR="00A10B6E" w:rsidRPr="001004B0" w:rsidRDefault="00A10B6E" w:rsidP="00A83ABC"/>
    <w:p w:rsidR="001004B0" w:rsidRDefault="00A10B6E" w:rsidP="00A83ABC">
      <w:pPr>
        <w:pStyle w:val="Caption"/>
        <w:keepNext/>
      </w:pPr>
      <w:bookmarkStart w:id="137" w:name="_Ref405560069"/>
      <w:bookmarkStart w:id="138" w:name="_Toc412628511"/>
      <w:r>
        <w:rPr>
          <w:noProof/>
        </w:rPr>
        <w:drawing>
          <wp:anchor distT="0" distB="0" distL="114300" distR="114300" simplePos="0" relativeHeight="251674624" behindDoc="1" locked="0" layoutInCell="1" allowOverlap="1" wp14:anchorId="0BA46054" wp14:editId="3C103CA6">
            <wp:simplePos x="0" y="0"/>
            <wp:positionH relativeFrom="column">
              <wp:posOffset>-307975</wp:posOffset>
            </wp:positionH>
            <wp:positionV relativeFrom="paragraph">
              <wp:posOffset>349250</wp:posOffset>
            </wp:positionV>
            <wp:extent cx="6463030" cy="3515360"/>
            <wp:effectExtent l="0" t="0" r="0" b="8890"/>
            <wp:wrapThrough wrapText="bothSides">
              <wp:wrapPolygon edited="0">
                <wp:start x="0" y="0"/>
                <wp:lineTo x="0" y="21538"/>
                <wp:lineTo x="21519" y="21538"/>
                <wp:lineTo x="215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3030" cy="3515360"/>
                    </a:xfrm>
                    <a:prstGeom prst="rect">
                      <a:avLst/>
                    </a:prstGeom>
                    <a:noFill/>
                  </pic:spPr>
                </pic:pic>
              </a:graphicData>
            </a:graphic>
            <wp14:sizeRelH relativeFrom="page">
              <wp14:pctWidth>0</wp14:pctWidth>
            </wp14:sizeRelH>
            <wp14:sizeRelV relativeFrom="page">
              <wp14:pctHeight>0</wp14:pctHeight>
            </wp14:sizeRelV>
          </wp:anchor>
        </w:drawing>
      </w:r>
      <w:r w:rsidR="001004B0">
        <w:t xml:space="preserve">Figure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1</w:t>
      </w:r>
      <w:r w:rsidR="00E2011B">
        <w:rPr>
          <w:noProof/>
        </w:rPr>
        <w:fldChar w:fldCharType="end"/>
      </w:r>
      <w:bookmarkEnd w:id="137"/>
      <w:r w:rsidR="001004B0">
        <w:t>: Pennsylvania EDC Service Territories</w:t>
      </w:r>
      <w:bookmarkEnd w:id="138"/>
    </w:p>
    <w:p w:rsidR="00023C4C" w:rsidRPr="007006AA" w:rsidRDefault="00023C4C" w:rsidP="00A83ABC">
      <w:bookmarkStart w:id="139" w:name="_Ref405561088"/>
      <w:r>
        <w:t xml:space="preserve">The costs and benefits of </w:t>
      </w:r>
      <w:r w:rsidR="00037A03">
        <w:t>DR</w:t>
      </w:r>
      <w:r>
        <w:t xml:space="preserve"> programs are heavily intertwined with RTO operations as PJM’s forward capacity markets set the cost of the products being avoided.</w:t>
      </w:r>
      <w:r w:rsidR="00922A36">
        <w:t xml:space="preserve"> </w:t>
      </w:r>
      <w:r w:rsidR="00922A36">
        <w:fldChar w:fldCharType="begin"/>
      </w:r>
      <w:r w:rsidR="00922A36">
        <w:instrText xml:space="preserve"> REF _Ref412461673 \h </w:instrText>
      </w:r>
      <w:r w:rsidR="00922A36">
        <w:fldChar w:fldCharType="separate"/>
      </w:r>
      <w:r w:rsidR="00803DBE">
        <w:t xml:space="preserve">Figure </w:t>
      </w:r>
      <w:r w:rsidR="00803DBE">
        <w:rPr>
          <w:noProof/>
        </w:rPr>
        <w:t>3</w:t>
      </w:r>
      <w:r w:rsidR="00803DBE">
        <w:noBreakHyphen/>
      </w:r>
      <w:r w:rsidR="00803DBE">
        <w:rPr>
          <w:noProof/>
        </w:rPr>
        <w:t>2</w:t>
      </w:r>
      <w:r w:rsidR="00922A36">
        <w:fldChar w:fldCharType="end"/>
      </w:r>
      <w:r>
        <w:t xml:space="preserve"> is a map of the zones within the PJM footprint. One or more zones in PJM make up a Locational Delivery Area (LDA). The PJM LDAs covered in this study include </w:t>
      </w:r>
      <w:r w:rsidR="00FB12B7">
        <w:t>Eastern Mid-Atlantic Area Council Region (</w:t>
      </w:r>
      <w:r>
        <w:t>EMAAC</w:t>
      </w:r>
      <w:r w:rsidR="00FB12B7">
        <w:t>)</w:t>
      </w:r>
      <w:r>
        <w:t xml:space="preserve">, </w:t>
      </w:r>
      <w:r w:rsidR="00FB12B7">
        <w:t>Mid-Atlantic Area Council Region (</w:t>
      </w:r>
      <w:r>
        <w:t>MAAC</w:t>
      </w:r>
      <w:r w:rsidR="00FB12B7">
        <w:t>)</w:t>
      </w:r>
      <w:r>
        <w:t xml:space="preserve">, </w:t>
      </w:r>
      <w:r w:rsidR="0058741E">
        <w:t>American Transmission Systems, Inc</w:t>
      </w:r>
      <w:r w:rsidR="00FB12B7">
        <w:t>orporated</w:t>
      </w:r>
      <w:r w:rsidR="0058741E">
        <w:t xml:space="preserve"> (</w:t>
      </w:r>
      <w:r>
        <w:t>ATSI</w:t>
      </w:r>
      <w:r w:rsidR="0058741E">
        <w:t>)</w:t>
      </w:r>
      <w:r>
        <w:t>, and</w:t>
      </w:r>
      <w:r w:rsidR="00F93F90">
        <w:t xml:space="preserve"> Allegheny Power Transmission System</w:t>
      </w:r>
      <w:r>
        <w:t xml:space="preserve"> </w:t>
      </w:r>
      <w:r w:rsidR="00F93F90">
        <w:t>(</w:t>
      </w:r>
      <w:r>
        <w:t>APS</w:t>
      </w:r>
      <w:r w:rsidR="00F93F90">
        <w:t>)</w:t>
      </w:r>
      <w:r>
        <w:t>. The portion of the EMAAC residing in the state consists of PECO zones. The MAAC area includes Met-Ed, PPL, and Penelec zones. The ATSI LDA is located primarily in Ohio, but also includes</w:t>
      </w:r>
      <w:r w:rsidR="0058741E">
        <w:t xml:space="preserve"> the</w:t>
      </w:r>
      <w:r>
        <w:t xml:space="preserve"> Penn Power service territory. The RTO LDA includes </w:t>
      </w:r>
      <w:r w:rsidR="0058741E">
        <w:t xml:space="preserve">Duquesne </w:t>
      </w:r>
      <w:r>
        <w:t>and APS zones. The APS zone is comprised of West Penn</w:t>
      </w:r>
      <w:r w:rsidR="0058741E">
        <w:t>,</w:t>
      </w:r>
      <w:r>
        <w:t xml:space="preserve"> as well as portions of West Virginia, Maryland, and Virginia, while the </w:t>
      </w:r>
      <w:r w:rsidR="0058741E">
        <w:t xml:space="preserve">Duquesne </w:t>
      </w:r>
      <w:r>
        <w:t xml:space="preserve">zone is solely the Duquesne service territory. </w:t>
      </w:r>
    </w:p>
    <w:p w:rsidR="00F27CB2" w:rsidRDefault="00F27CB2" w:rsidP="00A83ABC">
      <w:pPr>
        <w:pStyle w:val="Caption"/>
        <w:keepNext/>
      </w:pPr>
      <w:bookmarkStart w:id="140" w:name="_Ref412461673"/>
      <w:bookmarkStart w:id="141" w:name="_Toc412628512"/>
      <w:r>
        <w:lastRenderedPageBreak/>
        <w:t xml:space="preserve">Figure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2</w:t>
      </w:r>
      <w:r w:rsidR="00E2011B">
        <w:rPr>
          <w:noProof/>
        </w:rPr>
        <w:fldChar w:fldCharType="end"/>
      </w:r>
      <w:bookmarkEnd w:id="139"/>
      <w:bookmarkEnd w:id="140"/>
      <w:r>
        <w:t>: Map of PJM Zones</w:t>
      </w:r>
      <w:bookmarkEnd w:id="141"/>
    </w:p>
    <w:p w:rsidR="001004B0" w:rsidRDefault="0054066A" w:rsidP="00A83ABC">
      <w:r>
        <w:rPr>
          <w:noProof/>
        </w:rPr>
        <w:drawing>
          <wp:inline distT="0" distB="0" distL="0" distR="0" wp14:anchorId="55F386BE" wp14:editId="7A850A13">
            <wp:extent cx="5943600" cy="37261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726180"/>
                    </a:xfrm>
                    <a:prstGeom prst="rect">
                      <a:avLst/>
                    </a:prstGeom>
                  </pic:spPr>
                </pic:pic>
              </a:graphicData>
            </a:graphic>
          </wp:inline>
        </w:drawing>
      </w:r>
    </w:p>
    <w:p w:rsidR="004A58DD" w:rsidRDefault="004A58DD" w:rsidP="00A83ABC"/>
    <w:p w:rsidR="00B84EF4" w:rsidRPr="00B84EF4" w:rsidRDefault="000B7D39" w:rsidP="00A83ABC">
      <w:pPr>
        <w:pStyle w:val="Heading2"/>
      </w:pPr>
      <w:bookmarkStart w:id="142" w:name="_Ref405476143"/>
      <w:bookmarkStart w:id="143" w:name="_Toc412628398"/>
      <w:r>
        <w:t xml:space="preserve">Historical Load &amp; Statewide </w:t>
      </w:r>
      <w:r w:rsidR="00923DF1">
        <w:t>Load Forecast</w:t>
      </w:r>
      <w:bookmarkEnd w:id="142"/>
      <w:bookmarkEnd w:id="143"/>
    </w:p>
    <w:p w:rsidR="00977947" w:rsidRDefault="00586868" w:rsidP="00A83ABC">
      <w:pPr>
        <w:pStyle w:val="Heading3"/>
      </w:pPr>
      <w:bookmarkStart w:id="144" w:name="_Toc412628399"/>
      <w:r>
        <w:t>2012</w:t>
      </w:r>
      <w:r w:rsidR="000B7D39">
        <w:t xml:space="preserve"> Historical Load</w:t>
      </w:r>
      <w:bookmarkEnd w:id="144"/>
    </w:p>
    <w:p w:rsidR="000B7D39" w:rsidRDefault="00EF2391" w:rsidP="00A83ABC">
      <w:r w:rsidRPr="009F20B9">
        <w:t xml:space="preserve">At the beginning of the study, the SWE </w:t>
      </w:r>
      <w:r w:rsidR="00BE1301">
        <w:t>Team</w:t>
      </w:r>
      <w:r w:rsidR="00BE1301" w:rsidRPr="009F20B9">
        <w:t xml:space="preserve"> </w:t>
      </w:r>
      <w:r w:rsidRPr="009F20B9">
        <w:t xml:space="preserve">requested energy sales </w:t>
      </w:r>
      <w:r w:rsidR="009F20B9" w:rsidRPr="009F20B9">
        <w:t xml:space="preserve">and forecast </w:t>
      </w:r>
      <w:r w:rsidR="00FF4EC8">
        <w:t xml:space="preserve">data </w:t>
      </w:r>
      <w:r w:rsidR="009F20B9" w:rsidRPr="009F20B9">
        <w:t xml:space="preserve">from each EDC. We classified the customer account information, where provided, into commercial segments for further analysis. </w:t>
      </w:r>
      <w:r w:rsidR="009F20B9">
        <w:fldChar w:fldCharType="begin"/>
      </w:r>
      <w:r w:rsidR="009F20B9">
        <w:instrText xml:space="preserve"> REF _Ref406574313 \h </w:instrText>
      </w:r>
      <w:r w:rsidR="00CF2BE5">
        <w:instrText xml:space="preserve"> \* MERGEFORMAT </w:instrText>
      </w:r>
      <w:r w:rsidR="009F20B9">
        <w:fldChar w:fldCharType="separate"/>
      </w:r>
      <w:r w:rsidR="00803DBE" w:rsidRPr="008D244B">
        <w:t xml:space="preserve">Table </w:t>
      </w:r>
      <w:r w:rsidR="00803DBE">
        <w:rPr>
          <w:noProof/>
        </w:rPr>
        <w:t>3</w:t>
      </w:r>
      <w:r w:rsidR="00803DBE">
        <w:rPr>
          <w:noProof/>
        </w:rPr>
        <w:noBreakHyphen/>
        <w:t>1</w:t>
      </w:r>
      <w:r w:rsidR="009F20B9">
        <w:fldChar w:fldCharType="end"/>
      </w:r>
      <w:r w:rsidR="008D244B">
        <w:t xml:space="preserve"> </w:t>
      </w:r>
      <w:r w:rsidR="009F20B9" w:rsidRPr="009F20B9">
        <w:t xml:space="preserve">provides the </w:t>
      </w:r>
      <w:r w:rsidR="009F20B9">
        <w:t xml:space="preserve">2012 </w:t>
      </w:r>
      <w:r w:rsidR="00FF4EC8">
        <w:t>sector-specific breakdown of summer peak load</w:t>
      </w:r>
      <w:r w:rsidR="009F20B9" w:rsidRPr="009F20B9">
        <w:t xml:space="preserve"> for each EDC.</w:t>
      </w:r>
    </w:p>
    <w:p w:rsidR="00EF14AA" w:rsidRDefault="00EF14AA" w:rsidP="00A83ABC"/>
    <w:p w:rsidR="008C724C" w:rsidRDefault="008C724C" w:rsidP="00A83ABC">
      <w:pPr>
        <w:pStyle w:val="Caption"/>
        <w:keepNext/>
      </w:pPr>
      <w:bookmarkStart w:id="145" w:name="_Ref406574313"/>
      <w:bookmarkStart w:id="146" w:name="_Toc412628460"/>
      <w:r w:rsidRPr="008D244B">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w:t>
      </w:r>
      <w:r w:rsidR="00E2011B">
        <w:rPr>
          <w:noProof/>
        </w:rPr>
        <w:fldChar w:fldCharType="end"/>
      </w:r>
      <w:bookmarkEnd w:id="145"/>
      <w:r w:rsidRPr="008D244B">
        <w:t xml:space="preserve">: </w:t>
      </w:r>
      <w:r w:rsidR="009F20B9" w:rsidRPr="008D244B">
        <w:t>Sector-level</w:t>
      </w:r>
      <w:r w:rsidR="00FF4EC8">
        <w:t xml:space="preserve"> Contribution to Summer Peak Load (MW)</w:t>
      </w:r>
      <w:r w:rsidR="00EF14AA">
        <w:t xml:space="preserve"> for each EDC in 2012</w:t>
      </w:r>
      <w:bookmarkEnd w:id="146"/>
    </w:p>
    <w:tbl>
      <w:tblPr>
        <w:tblStyle w:val="MediumShading1-Accent5"/>
        <w:tblW w:w="926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82"/>
        <w:gridCol w:w="1845"/>
        <w:gridCol w:w="1845"/>
        <w:gridCol w:w="1845"/>
        <w:gridCol w:w="1845"/>
      </w:tblGrid>
      <w:tr w:rsidR="00EF14AA" w:rsidRPr="00F478DF" w:rsidTr="00CB03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2" w:type="dxa"/>
            <w:tcBorders>
              <w:top w:val="none" w:sz="0" w:space="0" w:color="auto"/>
              <w:left w:val="none" w:sz="0" w:space="0" w:color="auto"/>
              <w:bottom w:val="none" w:sz="0" w:space="0" w:color="auto"/>
              <w:right w:val="none" w:sz="0" w:space="0" w:color="auto"/>
            </w:tcBorders>
            <w:shd w:val="clear" w:color="auto" w:fill="448A99"/>
            <w:hideMark/>
          </w:tcPr>
          <w:p w:rsidR="00EF14AA" w:rsidRPr="00F478DF" w:rsidRDefault="00EF14AA" w:rsidP="00A83ABC">
            <w:pPr>
              <w:rPr>
                <w:rFonts w:ascii="Calibri" w:eastAsia="Times New Roman" w:hAnsi="Calibri" w:cs="Times New Roman"/>
                <w:bCs w:val="0"/>
                <w:color w:val="FFFFFF"/>
                <w:sz w:val="20"/>
                <w:szCs w:val="20"/>
              </w:rPr>
            </w:pPr>
            <w:r w:rsidRPr="00F478DF">
              <w:rPr>
                <w:rFonts w:ascii="Calibri" w:eastAsia="Times New Roman" w:hAnsi="Calibri" w:cs="Times New Roman"/>
                <w:color w:val="FFFFFF"/>
                <w:sz w:val="20"/>
                <w:szCs w:val="20"/>
              </w:rPr>
              <w:t>EDC</w:t>
            </w:r>
          </w:p>
        </w:tc>
        <w:tc>
          <w:tcPr>
            <w:tcW w:w="1845" w:type="dxa"/>
            <w:tcBorders>
              <w:top w:val="none" w:sz="0" w:space="0" w:color="auto"/>
              <w:left w:val="none" w:sz="0" w:space="0" w:color="auto"/>
              <w:bottom w:val="none" w:sz="0" w:space="0" w:color="auto"/>
              <w:right w:val="none" w:sz="0" w:space="0" w:color="auto"/>
            </w:tcBorders>
            <w:shd w:val="clear" w:color="auto" w:fill="448A99"/>
            <w:hideMark/>
          </w:tcPr>
          <w:p w:rsidR="00EF14AA" w:rsidRPr="00F478DF" w:rsidRDefault="00EF14A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F478DF">
              <w:rPr>
                <w:rFonts w:ascii="Calibri" w:eastAsia="Times New Roman" w:hAnsi="Calibri" w:cs="Times New Roman"/>
                <w:color w:val="FFFFFF"/>
                <w:sz w:val="20"/>
                <w:szCs w:val="20"/>
              </w:rPr>
              <w:t>Residential</w:t>
            </w:r>
          </w:p>
        </w:tc>
        <w:tc>
          <w:tcPr>
            <w:tcW w:w="1845" w:type="dxa"/>
            <w:tcBorders>
              <w:top w:val="none" w:sz="0" w:space="0" w:color="auto"/>
              <w:left w:val="none" w:sz="0" w:space="0" w:color="auto"/>
              <w:bottom w:val="none" w:sz="0" w:space="0" w:color="auto"/>
              <w:right w:val="none" w:sz="0" w:space="0" w:color="auto"/>
            </w:tcBorders>
            <w:shd w:val="clear" w:color="auto" w:fill="448A99"/>
            <w:hideMark/>
          </w:tcPr>
          <w:p w:rsidR="00EF14AA" w:rsidRPr="00F478DF" w:rsidRDefault="00EF14A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F478DF">
              <w:rPr>
                <w:rFonts w:ascii="Calibri" w:eastAsia="Times New Roman" w:hAnsi="Calibri" w:cs="Times New Roman"/>
                <w:color w:val="FFFFFF"/>
                <w:sz w:val="20"/>
                <w:szCs w:val="20"/>
              </w:rPr>
              <w:t>Commercial</w:t>
            </w:r>
          </w:p>
        </w:tc>
        <w:tc>
          <w:tcPr>
            <w:tcW w:w="1845" w:type="dxa"/>
            <w:tcBorders>
              <w:top w:val="none" w:sz="0" w:space="0" w:color="auto"/>
              <w:left w:val="none" w:sz="0" w:space="0" w:color="auto"/>
              <w:bottom w:val="none" w:sz="0" w:space="0" w:color="auto"/>
              <w:right w:val="none" w:sz="0" w:space="0" w:color="auto"/>
            </w:tcBorders>
            <w:shd w:val="clear" w:color="auto" w:fill="448A99"/>
            <w:hideMark/>
          </w:tcPr>
          <w:p w:rsidR="00EF14AA" w:rsidRPr="00F478DF" w:rsidRDefault="00EF14A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F478DF">
              <w:rPr>
                <w:rFonts w:ascii="Calibri" w:eastAsia="Times New Roman" w:hAnsi="Calibri" w:cs="Times New Roman"/>
                <w:color w:val="FFFFFF"/>
                <w:sz w:val="20"/>
                <w:szCs w:val="20"/>
              </w:rPr>
              <w:t>Industrial</w:t>
            </w:r>
          </w:p>
        </w:tc>
        <w:tc>
          <w:tcPr>
            <w:tcW w:w="1845" w:type="dxa"/>
            <w:tcBorders>
              <w:top w:val="none" w:sz="0" w:space="0" w:color="auto"/>
              <w:left w:val="none" w:sz="0" w:space="0" w:color="auto"/>
              <w:bottom w:val="none" w:sz="0" w:space="0" w:color="auto"/>
              <w:right w:val="none" w:sz="0" w:space="0" w:color="auto"/>
            </w:tcBorders>
            <w:shd w:val="clear" w:color="auto" w:fill="448A99"/>
            <w:hideMark/>
          </w:tcPr>
          <w:p w:rsidR="00EF14AA" w:rsidRPr="00F478DF" w:rsidRDefault="00EF14AA"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F478DF">
              <w:rPr>
                <w:rFonts w:ascii="Calibri" w:eastAsia="Times New Roman" w:hAnsi="Calibri" w:cs="Times New Roman"/>
                <w:color w:val="FFFFFF"/>
                <w:sz w:val="20"/>
                <w:szCs w:val="20"/>
              </w:rPr>
              <w:t>Total</w:t>
            </w:r>
          </w:p>
        </w:tc>
      </w:tr>
      <w:tr w:rsidR="009466D9" w:rsidRPr="00F478DF"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tcPr>
          <w:p w:rsidR="009466D9" w:rsidRPr="00F478DF" w:rsidRDefault="009466D9" w:rsidP="00A83ABC">
            <w:pPr>
              <w:rPr>
                <w:rFonts w:ascii="Calibri" w:eastAsia="Times New Roman" w:hAnsi="Calibri" w:cs="Times New Roman"/>
                <w:b w:val="0"/>
                <w:color w:val="000000"/>
                <w:sz w:val="20"/>
                <w:szCs w:val="20"/>
              </w:rPr>
            </w:pPr>
            <w:r w:rsidRPr="00F478DF">
              <w:rPr>
                <w:rFonts w:ascii="Calibri" w:eastAsia="Times New Roman" w:hAnsi="Calibri" w:cs="Times New Roman"/>
                <w:b w:val="0"/>
                <w:color w:val="000000"/>
                <w:sz w:val="20"/>
                <w:szCs w:val="20"/>
              </w:rPr>
              <w:t>Duquesne</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1,206</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1,281</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435</w:t>
            </w:r>
          </w:p>
        </w:tc>
        <w:tc>
          <w:tcPr>
            <w:tcW w:w="1845" w:type="dxa"/>
            <w:tcBorders>
              <w:lef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2,922</w:t>
            </w:r>
          </w:p>
        </w:tc>
      </w:tr>
      <w:tr w:rsidR="009466D9" w:rsidRPr="00F478DF" w:rsidTr="00684C5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tcPr>
          <w:p w:rsidR="009466D9" w:rsidRPr="00F478DF" w:rsidRDefault="009466D9" w:rsidP="00A83ABC">
            <w:pPr>
              <w:rPr>
                <w:rFonts w:ascii="Calibri" w:eastAsia="Times New Roman" w:hAnsi="Calibri" w:cs="Times New Roman"/>
                <w:b w:val="0"/>
                <w:color w:val="000000"/>
                <w:sz w:val="20"/>
                <w:szCs w:val="20"/>
              </w:rPr>
            </w:pPr>
            <w:r w:rsidRPr="00F478DF">
              <w:rPr>
                <w:rFonts w:ascii="Calibri" w:eastAsia="Times New Roman" w:hAnsi="Calibri" w:cs="Times New Roman"/>
                <w:b w:val="0"/>
                <w:color w:val="000000"/>
                <w:sz w:val="20"/>
                <w:szCs w:val="20"/>
              </w:rPr>
              <w:t>FE: Met-Ed</w:t>
            </w:r>
          </w:p>
        </w:tc>
        <w:tc>
          <w:tcPr>
            <w:tcW w:w="1845" w:type="dxa"/>
            <w:tcBorders>
              <w:left w:val="none" w:sz="0" w:space="0" w:color="auto"/>
              <w:righ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1,257</w:t>
            </w:r>
          </w:p>
        </w:tc>
        <w:tc>
          <w:tcPr>
            <w:tcW w:w="1845" w:type="dxa"/>
            <w:tcBorders>
              <w:left w:val="none" w:sz="0" w:space="0" w:color="auto"/>
              <w:righ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890</w:t>
            </w:r>
          </w:p>
        </w:tc>
        <w:tc>
          <w:tcPr>
            <w:tcW w:w="1845" w:type="dxa"/>
            <w:tcBorders>
              <w:left w:val="none" w:sz="0" w:space="0" w:color="auto"/>
              <w:righ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660</w:t>
            </w:r>
          </w:p>
        </w:tc>
        <w:tc>
          <w:tcPr>
            <w:tcW w:w="1845" w:type="dxa"/>
            <w:tcBorders>
              <w:lef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2,807</w:t>
            </w:r>
          </w:p>
        </w:tc>
      </w:tr>
      <w:tr w:rsidR="009466D9" w:rsidRPr="00F478DF"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tcPr>
          <w:p w:rsidR="009466D9" w:rsidRPr="00F478DF" w:rsidRDefault="009466D9" w:rsidP="00A83ABC">
            <w:pPr>
              <w:rPr>
                <w:rFonts w:ascii="Calibri" w:eastAsia="Times New Roman" w:hAnsi="Calibri" w:cs="Times New Roman"/>
                <w:b w:val="0"/>
                <w:color w:val="000000"/>
                <w:sz w:val="20"/>
                <w:szCs w:val="20"/>
              </w:rPr>
            </w:pPr>
            <w:r w:rsidRPr="00F478DF">
              <w:rPr>
                <w:rFonts w:ascii="Calibri" w:eastAsia="Times New Roman" w:hAnsi="Calibri" w:cs="Times New Roman"/>
                <w:b w:val="0"/>
                <w:color w:val="000000"/>
                <w:sz w:val="20"/>
                <w:szCs w:val="20"/>
              </w:rPr>
              <w:t>FE: Penelec</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944</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871</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712</w:t>
            </w:r>
          </w:p>
        </w:tc>
        <w:tc>
          <w:tcPr>
            <w:tcW w:w="1845" w:type="dxa"/>
            <w:tcBorders>
              <w:lef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2,527</w:t>
            </w:r>
          </w:p>
        </w:tc>
      </w:tr>
      <w:tr w:rsidR="009466D9" w:rsidRPr="00F478DF" w:rsidTr="00684C5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hideMark/>
          </w:tcPr>
          <w:p w:rsidR="009466D9" w:rsidRPr="00F478DF" w:rsidRDefault="009466D9" w:rsidP="00A83ABC">
            <w:pPr>
              <w:rPr>
                <w:rFonts w:ascii="Calibri" w:eastAsia="Times New Roman" w:hAnsi="Calibri" w:cs="Times New Roman"/>
                <w:b w:val="0"/>
                <w:color w:val="000000"/>
                <w:sz w:val="20"/>
                <w:szCs w:val="20"/>
              </w:rPr>
            </w:pPr>
            <w:r w:rsidRPr="00F478DF">
              <w:rPr>
                <w:rFonts w:ascii="Calibri" w:eastAsia="Times New Roman" w:hAnsi="Calibri" w:cs="Times New Roman"/>
                <w:b w:val="0"/>
                <w:color w:val="000000"/>
                <w:sz w:val="20"/>
                <w:szCs w:val="20"/>
              </w:rPr>
              <w:t xml:space="preserve">FE: Penn Power </w:t>
            </w:r>
          </w:p>
        </w:tc>
        <w:tc>
          <w:tcPr>
            <w:tcW w:w="1845" w:type="dxa"/>
            <w:tcBorders>
              <w:left w:val="none" w:sz="0" w:space="0" w:color="auto"/>
              <w:right w:val="none" w:sz="0" w:space="0" w:color="auto"/>
            </w:tcBorders>
            <w:noWrap/>
            <w:hideMark/>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452</w:t>
            </w:r>
          </w:p>
        </w:tc>
        <w:tc>
          <w:tcPr>
            <w:tcW w:w="1845" w:type="dxa"/>
            <w:tcBorders>
              <w:left w:val="none" w:sz="0" w:space="0" w:color="auto"/>
              <w:right w:val="none" w:sz="0" w:space="0" w:color="auto"/>
            </w:tcBorders>
            <w:noWrap/>
            <w:hideMark/>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289</w:t>
            </w:r>
          </w:p>
        </w:tc>
        <w:tc>
          <w:tcPr>
            <w:tcW w:w="1845" w:type="dxa"/>
            <w:tcBorders>
              <w:left w:val="none" w:sz="0" w:space="0" w:color="auto"/>
              <w:right w:val="none" w:sz="0" w:space="0" w:color="auto"/>
            </w:tcBorders>
            <w:noWrap/>
            <w:hideMark/>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205</w:t>
            </w:r>
          </w:p>
        </w:tc>
        <w:tc>
          <w:tcPr>
            <w:tcW w:w="1845" w:type="dxa"/>
            <w:tcBorders>
              <w:left w:val="none" w:sz="0" w:space="0" w:color="auto"/>
            </w:tcBorders>
            <w:noWrap/>
            <w:hideMark/>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946</w:t>
            </w:r>
          </w:p>
        </w:tc>
      </w:tr>
      <w:tr w:rsidR="009466D9" w:rsidRPr="00F478DF"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hideMark/>
          </w:tcPr>
          <w:p w:rsidR="009466D9" w:rsidRPr="00F478DF" w:rsidRDefault="009466D9" w:rsidP="00A83ABC">
            <w:pPr>
              <w:rPr>
                <w:rFonts w:ascii="Calibri" w:eastAsia="Times New Roman" w:hAnsi="Calibri" w:cs="Times New Roman"/>
                <w:b w:val="0"/>
                <w:color w:val="000000"/>
                <w:sz w:val="20"/>
                <w:szCs w:val="20"/>
              </w:rPr>
            </w:pPr>
            <w:r w:rsidRPr="00F478DF">
              <w:rPr>
                <w:rFonts w:ascii="Calibri" w:eastAsia="Times New Roman" w:hAnsi="Calibri" w:cs="Times New Roman"/>
                <w:b w:val="0"/>
                <w:color w:val="000000"/>
                <w:sz w:val="20"/>
                <w:szCs w:val="20"/>
              </w:rPr>
              <w:t xml:space="preserve">FE: West Penn </w:t>
            </w:r>
          </w:p>
        </w:tc>
        <w:tc>
          <w:tcPr>
            <w:tcW w:w="1845" w:type="dxa"/>
            <w:tcBorders>
              <w:left w:val="none" w:sz="0" w:space="0" w:color="auto"/>
              <w:right w:val="none" w:sz="0" w:space="0" w:color="auto"/>
            </w:tcBorders>
            <w:noWrap/>
            <w:hideMark/>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1,626</w:t>
            </w:r>
          </w:p>
        </w:tc>
        <w:tc>
          <w:tcPr>
            <w:tcW w:w="1845" w:type="dxa"/>
            <w:tcBorders>
              <w:left w:val="none" w:sz="0" w:space="0" w:color="auto"/>
              <w:right w:val="none" w:sz="0" w:space="0" w:color="auto"/>
            </w:tcBorders>
            <w:noWrap/>
            <w:hideMark/>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1,117</w:t>
            </w:r>
          </w:p>
        </w:tc>
        <w:tc>
          <w:tcPr>
            <w:tcW w:w="1845" w:type="dxa"/>
            <w:tcBorders>
              <w:left w:val="none" w:sz="0" w:space="0" w:color="auto"/>
              <w:right w:val="none" w:sz="0" w:space="0" w:color="auto"/>
            </w:tcBorders>
            <w:noWrap/>
            <w:hideMark/>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1,014</w:t>
            </w:r>
          </w:p>
        </w:tc>
        <w:tc>
          <w:tcPr>
            <w:tcW w:w="1845" w:type="dxa"/>
            <w:tcBorders>
              <w:left w:val="none" w:sz="0" w:space="0" w:color="auto"/>
            </w:tcBorders>
            <w:noWrap/>
            <w:hideMark/>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3,757</w:t>
            </w:r>
          </w:p>
        </w:tc>
      </w:tr>
      <w:tr w:rsidR="009466D9" w:rsidRPr="00F478DF" w:rsidTr="00684C5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tcPr>
          <w:p w:rsidR="009466D9" w:rsidRPr="00F478DF" w:rsidRDefault="009466D9" w:rsidP="00A83ABC">
            <w:pPr>
              <w:rPr>
                <w:rFonts w:ascii="Calibri" w:eastAsia="Times New Roman" w:hAnsi="Calibri" w:cs="Times New Roman"/>
                <w:b w:val="0"/>
                <w:color w:val="000000"/>
                <w:sz w:val="20"/>
                <w:szCs w:val="20"/>
              </w:rPr>
            </w:pPr>
            <w:r w:rsidRPr="00F478DF">
              <w:rPr>
                <w:rFonts w:ascii="Calibri" w:eastAsia="Times New Roman" w:hAnsi="Calibri" w:cs="Times New Roman"/>
                <w:b w:val="0"/>
                <w:color w:val="000000"/>
                <w:sz w:val="20"/>
                <w:szCs w:val="20"/>
              </w:rPr>
              <w:t>PECO</w:t>
            </w:r>
          </w:p>
        </w:tc>
        <w:tc>
          <w:tcPr>
            <w:tcW w:w="1845" w:type="dxa"/>
            <w:tcBorders>
              <w:left w:val="none" w:sz="0" w:space="0" w:color="auto"/>
              <w:righ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3,793</w:t>
            </w:r>
          </w:p>
        </w:tc>
        <w:tc>
          <w:tcPr>
            <w:tcW w:w="1845" w:type="dxa"/>
            <w:tcBorders>
              <w:left w:val="none" w:sz="0" w:space="0" w:color="auto"/>
              <w:righ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4,333</w:t>
            </w:r>
          </w:p>
        </w:tc>
        <w:tc>
          <w:tcPr>
            <w:tcW w:w="1845" w:type="dxa"/>
            <w:tcBorders>
              <w:left w:val="none" w:sz="0" w:space="0" w:color="auto"/>
              <w:righ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562</w:t>
            </w:r>
          </w:p>
        </w:tc>
        <w:tc>
          <w:tcPr>
            <w:tcW w:w="1845" w:type="dxa"/>
            <w:tcBorders>
              <w:left w:val="none" w:sz="0" w:space="0" w:color="auto"/>
            </w:tcBorders>
            <w:noWrap/>
          </w:tcPr>
          <w:p w:rsidR="009466D9" w:rsidRPr="00F478DF" w:rsidRDefault="009466D9"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8,688</w:t>
            </w:r>
          </w:p>
        </w:tc>
      </w:tr>
      <w:tr w:rsidR="009466D9" w:rsidRPr="00F478DF" w:rsidTr="00684C5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tcPr>
          <w:p w:rsidR="009466D9" w:rsidRPr="00F478DF" w:rsidRDefault="009466D9" w:rsidP="00A83ABC">
            <w:pPr>
              <w:rPr>
                <w:rFonts w:ascii="Calibri" w:eastAsia="Times New Roman" w:hAnsi="Calibri" w:cs="Times New Roman"/>
                <w:b w:val="0"/>
                <w:color w:val="000000"/>
                <w:sz w:val="20"/>
                <w:szCs w:val="20"/>
              </w:rPr>
            </w:pPr>
            <w:r w:rsidRPr="00F478DF">
              <w:rPr>
                <w:rFonts w:ascii="Calibri" w:eastAsia="Times New Roman" w:hAnsi="Calibri" w:cs="Times New Roman"/>
                <w:b w:val="0"/>
                <w:color w:val="000000"/>
                <w:sz w:val="20"/>
                <w:szCs w:val="20"/>
              </w:rPr>
              <w:t>PPL</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3,005</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2,060</w:t>
            </w:r>
          </w:p>
        </w:tc>
        <w:tc>
          <w:tcPr>
            <w:tcW w:w="1845" w:type="dxa"/>
            <w:tcBorders>
              <w:left w:val="none" w:sz="0" w:space="0" w:color="auto"/>
              <w:righ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1,175</w:t>
            </w:r>
          </w:p>
        </w:tc>
        <w:tc>
          <w:tcPr>
            <w:tcW w:w="1845" w:type="dxa"/>
            <w:tcBorders>
              <w:left w:val="none" w:sz="0" w:space="0" w:color="auto"/>
            </w:tcBorders>
            <w:noWrap/>
          </w:tcPr>
          <w:p w:rsidR="009466D9" w:rsidRPr="00F478DF" w:rsidRDefault="009466D9"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6,240</w:t>
            </w:r>
          </w:p>
        </w:tc>
      </w:tr>
      <w:tr w:rsidR="00EF14AA" w:rsidRPr="00F478DF" w:rsidTr="00684C5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82" w:type="dxa"/>
            <w:tcBorders>
              <w:right w:val="none" w:sz="0" w:space="0" w:color="auto"/>
            </w:tcBorders>
            <w:hideMark/>
          </w:tcPr>
          <w:p w:rsidR="00EF14AA" w:rsidRPr="00F478DF" w:rsidRDefault="00EF14AA" w:rsidP="00A83ABC">
            <w:pP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Statewide</w:t>
            </w:r>
          </w:p>
        </w:tc>
        <w:tc>
          <w:tcPr>
            <w:tcW w:w="1845" w:type="dxa"/>
            <w:tcBorders>
              <w:left w:val="none" w:sz="0" w:space="0" w:color="auto"/>
              <w:right w:val="none" w:sz="0" w:space="0" w:color="auto"/>
            </w:tcBorders>
            <w:noWrap/>
            <w:hideMark/>
          </w:tcPr>
          <w:p w:rsidR="00EF14AA" w:rsidRPr="00F478DF" w:rsidRDefault="00EF14A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szCs w:val="20"/>
              </w:rPr>
            </w:pPr>
            <w:r w:rsidRPr="00F478DF">
              <w:rPr>
                <w:rFonts w:ascii="Calibri" w:eastAsia="Times New Roman" w:hAnsi="Calibri" w:cs="Times New Roman"/>
                <w:b/>
                <w:color w:val="000000"/>
                <w:sz w:val="20"/>
                <w:szCs w:val="20"/>
              </w:rPr>
              <w:t>12,283</w:t>
            </w:r>
          </w:p>
        </w:tc>
        <w:tc>
          <w:tcPr>
            <w:tcW w:w="1845" w:type="dxa"/>
            <w:tcBorders>
              <w:left w:val="none" w:sz="0" w:space="0" w:color="auto"/>
              <w:right w:val="none" w:sz="0" w:space="0" w:color="auto"/>
            </w:tcBorders>
            <w:noWrap/>
            <w:hideMark/>
          </w:tcPr>
          <w:p w:rsidR="00EF14AA" w:rsidRPr="00F478DF" w:rsidRDefault="00EF14A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szCs w:val="20"/>
              </w:rPr>
            </w:pPr>
            <w:r w:rsidRPr="00F478DF">
              <w:rPr>
                <w:rFonts w:ascii="Calibri" w:eastAsia="Times New Roman" w:hAnsi="Calibri" w:cs="Times New Roman"/>
                <w:b/>
                <w:color w:val="000000"/>
                <w:sz w:val="20"/>
                <w:szCs w:val="20"/>
              </w:rPr>
              <w:t>10,841</w:t>
            </w:r>
          </w:p>
        </w:tc>
        <w:tc>
          <w:tcPr>
            <w:tcW w:w="1845" w:type="dxa"/>
            <w:tcBorders>
              <w:left w:val="none" w:sz="0" w:space="0" w:color="auto"/>
              <w:right w:val="none" w:sz="0" w:space="0" w:color="auto"/>
            </w:tcBorders>
            <w:noWrap/>
            <w:hideMark/>
          </w:tcPr>
          <w:p w:rsidR="00EF14AA" w:rsidRPr="00F478DF" w:rsidRDefault="00EF14A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szCs w:val="20"/>
              </w:rPr>
            </w:pPr>
            <w:r w:rsidRPr="00F478DF">
              <w:rPr>
                <w:rFonts w:ascii="Calibri" w:eastAsia="Times New Roman" w:hAnsi="Calibri" w:cs="Times New Roman"/>
                <w:b/>
                <w:color w:val="000000"/>
                <w:sz w:val="20"/>
                <w:szCs w:val="20"/>
              </w:rPr>
              <w:t>4,763</w:t>
            </w:r>
          </w:p>
        </w:tc>
        <w:tc>
          <w:tcPr>
            <w:tcW w:w="1845" w:type="dxa"/>
            <w:tcBorders>
              <w:left w:val="none" w:sz="0" w:space="0" w:color="auto"/>
            </w:tcBorders>
            <w:noWrap/>
            <w:hideMark/>
          </w:tcPr>
          <w:p w:rsidR="00EF14AA" w:rsidRPr="00F478DF" w:rsidRDefault="00EF14A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szCs w:val="20"/>
              </w:rPr>
            </w:pPr>
            <w:r w:rsidRPr="00F478DF">
              <w:rPr>
                <w:rFonts w:ascii="Calibri" w:eastAsia="Times New Roman" w:hAnsi="Calibri" w:cs="Times New Roman"/>
                <w:b/>
                <w:color w:val="000000"/>
                <w:sz w:val="20"/>
                <w:szCs w:val="20"/>
              </w:rPr>
              <w:t>27,887</w:t>
            </w:r>
          </w:p>
        </w:tc>
      </w:tr>
    </w:tbl>
    <w:p w:rsidR="00EF14AA" w:rsidRPr="00EF14AA" w:rsidRDefault="00EF14AA" w:rsidP="00A83ABC"/>
    <w:p w:rsidR="000B7D39" w:rsidRDefault="000B7D39" w:rsidP="00A83ABC">
      <w:pPr>
        <w:pStyle w:val="Heading3"/>
      </w:pPr>
      <w:bookmarkStart w:id="147" w:name="_Toc412628400"/>
      <w:r>
        <w:t>Statewide Load Forecast</w:t>
      </w:r>
      <w:bookmarkEnd w:id="147"/>
    </w:p>
    <w:p w:rsidR="00977947" w:rsidRDefault="0042606A" w:rsidP="00A83ABC">
      <w:pPr>
        <w:rPr>
          <w:rFonts w:cs="Arial"/>
        </w:rPr>
      </w:pPr>
      <w:r>
        <w:rPr>
          <w:rFonts w:cs="Arial"/>
        </w:rPr>
        <w:t xml:space="preserve">Forecasts of total </w:t>
      </w:r>
      <w:r w:rsidR="008D7724">
        <w:rPr>
          <w:rFonts w:cs="Arial"/>
        </w:rPr>
        <w:t xml:space="preserve">summer </w:t>
      </w:r>
      <w:r>
        <w:rPr>
          <w:rFonts w:cs="Arial"/>
        </w:rPr>
        <w:t>peak load consumption</w:t>
      </w:r>
      <w:r w:rsidRPr="00B815C8">
        <w:rPr>
          <w:rFonts w:cs="Arial"/>
        </w:rPr>
        <w:t xml:space="preserve"> in Pennsylvania show a slow growth </w:t>
      </w:r>
      <w:r>
        <w:rPr>
          <w:rFonts w:cs="Arial"/>
        </w:rPr>
        <w:t>between the years 2015 and 2025</w:t>
      </w:r>
      <w:r w:rsidRPr="00B815C8">
        <w:rPr>
          <w:rFonts w:cs="Arial"/>
        </w:rPr>
        <w:t>.</w:t>
      </w:r>
      <w:r>
        <w:rPr>
          <w:rFonts w:cs="Arial"/>
        </w:rPr>
        <w:t xml:space="preserve"> </w:t>
      </w:r>
      <w:r w:rsidR="006133A0">
        <w:rPr>
          <w:rFonts w:cs="Arial"/>
        </w:rPr>
        <w:t xml:space="preserve">This indicates </w:t>
      </w:r>
      <w:r>
        <w:rPr>
          <w:rFonts w:cs="Arial"/>
        </w:rPr>
        <w:t xml:space="preserve">projected annual growth rate in </w:t>
      </w:r>
      <w:r w:rsidR="008D7724">
        <w:rPr>
          <w:rFonts w:cs="Arial"/>
        </w:rPr>
        <w:t>summer peak load</w:t>
      </w:r>
      <w:r>
        <w:rPr>
          <w:rFonts w:cs="Arial"/>
        </w:rPr>
        <w:t xml:space="preserve"> is 0.5</w:t>
      </w:r>
      <w:r w:rsidR="008D7724">
        <w:rPr>
          <w:rFonts w:cs="Arial"/>
        </w:rPr>
        <w:t>4</w:t>
      </w:r>
      <w:r>
        <w:rPr>
          <w:rFonts w:cs="Arial"/>
        </w:rPr>
        <w:t xml:space="preserve">% per </w:t>
      </w:r>
      <w:r>
        <w:rPr>
          <w:rFonts w:cs="Arial"/>
        </w:rPr>
        <w:lastRenderedPageBreak/>
        <w:t>year.</w:t>
      </w:r>
      <w:r w:rsidR="001A768D">
        <w:rPr>
          <w:rFonts w:cs="Arial"/>
        </w:rPr>
        <w:t xml:space="preserve"> </w:t>
      </w:r>
      <w:r w:rsidR="002C17ED">
        <w:rPr>
          <w:rFonts w:cs="Arial"/>
        </w:rPr>
        <w:t xml:space="preserve">The peak load forecasts produced by PJM are at the EDC level and do not distinguish between </w:t>
      </w:r>
      <w:r w:rsidR="00776412">
        <w:rPr>
          <w:rFonts w:cs="Arial"/>
        </w:rPr>
        <w:t xml:space="preserve">customer classes. The SWE </w:t>
      </w:r>
      <w:r w:rsidR="00BE1301">
        <w:t>Team</w:t>
      </w:r>
      <w:r w:rsidR="00BE1301" w:rsidDel="00BE1301">
        <w:rPr>
          <w:rFonts w:cs="Arial"/>
        </w:rPr>
        <w:t xml:space="preserve"> </w:t>
      </w:r>
      <w:r w:rsidR="00776412">
        <w:rPr>
          <w:rFonts w:cs="Arial"/>
        </w:rPr>
        <w:t>performed</w:t>
      </w:r>
      <w:r w:rsidR="002C17ED">
        <w:rPr>
          <w:rFonts w:cs="Arial"/>
        </w:rPr>
        <w:t xml:space="preserve"> a</w:t>
      </w:r>
      <w:r w:rsidR="006133A0">
        <w:rPr>
          <w:rFonts w:cs="Arial"/>
        </w:rPr>
        <w:t>n</w:t>
      </w:r>
      <w:r w:rsidR="002C17ED">
        <w:rPr>
          <w:rFonts w:cs="Arial"/>
        </w:rPr>
        <w:t xml:space="preserve"> historical analysis</w:t>
      </w:r>
      <w:r w:rsidR="00776412">
        <w:rPr>
          <w:rFonts w:cs="Arial"/>
        </w:rPr>
        <w:t xml:space="preserve"> of peak load shares by customer class and held these shares constant over time to estimate the contribution of each sector and segment to the summer peak load forecast over the study horizon. </w:t>
      </w:r>
      <w:r w:rsidR="00776412">
        <w:rPr>
          <w:rFonts w:cs="Arial"/>
        </w:rPr>
        <w:fldChar w:fldCharType="begin"/>
      </w:r>
      <w:r w:rsidR="00776412">
        <w:rPr>
          <w:rFonts w:cs="Arial"/>
        </w:rPr>
        <w:instrText xml:space="preserve"> REF _Ref406579002 \h </w:instrText>
      </w:r>
      <w:r w:rsidR="00CF2BE5">
        <w:rPr>
          <w:rFonts w:cs="Arial"/>
        </w:rPr>
        <w:instrText xml:space="preserve"> \* MERGEFORMAT </w:instrText>
      </w:r>
      <w:r w:rsidR="00776412">
        <w:rPr>
          <w:rFonts w:cs="Arial"/>
        </w:rPr>
      </w:r>
      <w:r w:rsidR="00776412">
        <w:rPr>
          <w:rFonts w:cs="Arial"/>
        </w:rPr>
        <w:fldChar w:fldCharType="separate"/>
      </w:r>
      <w:r w:rsidR="00803DBE" w:rsidRPr="008D244B">
        <w:t xml:space="preserve">Figure </w:t>
      </w:r>
      <w:r w:rsidR="00803DBE">
        <w:rPr>
          <w:noProof/>
        </w:rPr>
        <w:t>3</w:t>
      </w:r>
      <w:r w:rsidR="00803DBE">
        <w:rPr>
          <w:noProof/>
        </w:rPr>
        <w:noBreakHyphen/>
        <w:t>3</w:t>
      </w:r>
      <w:r w:rsidR="00776412">
        <w:rPr>
          <w:rFonts w:cs="Arial"/>
        </w:rPr>
        <w:fldChar w:fldCharType="end"/>
      </w:r>
      <w:r w:rsidR="00776412">
        <w:rPr>
          <w:rFonts w:cs="Arial"/>
        </w:rPr>
        <w:t xml:space="preserve"> shows the statewide summer peak load forecast by sector from 2016 to 2025.</w:t>
      </w:r>
    </w:p>
    <w:p w:rsidR="008D7724" w:rsidRDefault="008D7724" w:rsidP="00A83ABC"/>
    <w:p w:rsidR="008D7724" w:rsidRPr="008D244B" w:rsidRDefault="008D7724" w:rsidP="00A83ABC">
      <w:pPr>
        <w:pStyle w:val="Caption"/>
        <w:keepNext/>
      </w:pPr>
      <w:bookmarkStart w:id="148" w:name="_Ref406579002"/>
      <w:bookmarkStart w:id="149" w:name="_Toc412628513"/>
      <w:r w:rsidRPr="008D244B">
        <w:t xml:space="preserve">Figure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3</w:t>
      </w:r>
      <w:r w:rsidR="00E2011B">
        <w:rPr>
          <w:noProof/>
        </w:rPr>
        <w:fldChar w:fldCharType="end"/>
      </w:r>
      <w:bookmarkEnd w:id="148"/>
      <w:r w:rsidRPr="008D244B">
        <w:t>: Pennsylvania Summer Peak Load Forecast by Sector</w:t>
      </w:r>
      <w:bookmarkEnd w:id="149"/>
      <w:r w:rsidRPr="008D244B">
        <w:t xml:space="preserve"> </w:t>
      </w:r>
    </w:p>
    <w:p w:rsidR="000B7D39" w:rsidRDefault="00AA1FB4" w:rsidP="00A83ABC">
      <w:pPr>
        <w:jc w:val="left"/>
      </w:pPr>
      <w:r>
        <w:rPr>
          <w:noProof/>
        </w:rPr>
        <w:drawing>
          <wp:inline distT="0" distB="0" distL="0" distR="0" wp14:anchorId="7D23B7B5" wp14:editId="5E4B9B67">
            <wp:extent cx="5987562" cy="3341076"/>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060F" w:rsidRPr="0021060F" w:rsidRDefault="0021060F" w:rsidP="00A83ABC"/>
    <w:p w:rsidR="00977947" w:rsidRDefault="0080690E" w:rsidP="00A83ABC">
      <w:pPr>
        <w:pStyle w:val="Heading2"/>
      </w:pPr>
      <w:bookmarkStart w:id="150" w:name="_Toc412628401"/>
      <w:r>
        <w:t xml:space="preserve">Phase I </w:t>
      </w:r>
      <w:r w:rsidR="00923DF1">
        <w:t>Program Data Review</w:t>
      </w:r>
      <w:bookmarkEnd w:id="150"/>
    </w:p>
    <w:p w:rsidR="004A4136" w:rsidRDefault="00776412" w:rsidP="00A83ABC">
      <w:r>
        <w:t>In Phase I of Act 129</w:t>
      </w:r>
      <w:r w:rsidR="00D370C8">
        <w:t xml:space="preserve">, the Commission directed </w:t>
      </w:r>
      <w:r w:rsidR="009466D9">
        <w:t xml:space="preserve">the </w:t>
      </w:r>
      <w:r w:rsidR="00D370C8">
        <w:t>EDCs to implement demand reduction programs during the summer of 2012.</w:t>
      </w:r>
      <w:r w:rsidR="001A768D">
        <w:t xml:space="preserve"> </w:t>
      </w:r>
      <w:r w:rsidR="00D367B7">
        <w:t>The legislated peak demand reduction target was a 4.5% reduction, with the peak period defined as the 100 hours with greatest demand</w:t>
      </w:r>
      <w:r w:rsidR="000A4D7C">
        <w:t xml:space="preserve"> </w:t>
      </w:r>
      <w:r w:rsidR="006133A0">
        <w:t xml:space="preserve">during </w:t>
      </w:r>
      <w:r w:rsidR="000A4D7C">
        <w:t>the summer of 2012</w:t>
      </w:r>
      <w:r w:rsidR="00D367B7">
        <w:t>.</w:t>
      </w:r>
      <w:r w:rsidR="009466D9" w:rsidRPr="009466D9">
        <w:rPr>
          <w:rStyle w:val="FootnoteReference"/>
        </w:rPr>
        <w:t xml:space="preserve"> </w:t>
      </w:r>
      <w:r w:rsidR="009466D9">
        <w:rPr>
          <w:rStyle w:val="FootnoteReference"/>
        </w:rPr>
        <w:footnoteReference w:id="68"/>
      </w:r>
      <w:r w:rsidR="009466D9">
        <w:t xml:space="preserve"> </w:t>
      </w:r>
      <w:r w:rsidR="001A768D">
        <w:t xml:space="preserve"> </w:t>
      </w:r>
      <w:r w:rsidR="000A4D7C">
        <w:t xml:space="preserve">The 4.5% demand reduction target included both coincident demand reductions from </w:t>
      </w:r>
      <w:r w:rsidR="00857521">
        <w:t>EE</w:t>
      </w:r>
      <w:r w:rsidR="000A4D7C">
        <w:t xml:space="preserve"> measures and reductions from </w:t>
      </w:r>
      <w:r w:rsidR="00037A03">
        <w:t>DR</w:t>
      </w:r>
      <w:r w:rsidR="000A4D7C">
        <w:t xml:space="preserve"> programs</w:t>
      </w:r>
      <w:r w:rsidR="00D367B7">
        <w:t>.</w:t>
      </w:r>
      <w:r w:rsidR="001A768D">
        <w:t xml:space="preserve"> </w:t>
      </w:r>
    </w:p>
    <w:p w:rsidR="00D367B7" w:rsidRPr="00EA2A60" w:rsidRDefault="00D367B7" w:rsidP="00A83ABC"/>
    <w:p w:rsidR="00E965F9" w:rsidRDefault="00037A03" w:rsidP="00A83ABC">
      <w:pPr>
        <w:pStyle w:val="Heading3"/>
      </w:pPr>
      <w:bookmarkStart w:id="151" w:name="_Toc412628402"/>
      <w:r>
        <w:t>DR</w:t>
      </w:r>
      <w:r w:rsidR="009330CF">
        <w:t xml:space="preserve"> </w:t>
      </w:r>
      <w:r w:rsidR="00E965F9">
        <w:t>Program Savings</w:t>
      </w:r>
      <w:bookmarkEnd w:id="151"/>
    </w:p>
    <w:p w:rsidR="00D367B7" w:rsidRDefault="00D367B7" w:rsidP="00A83ABC">
      <w:r>
        <w:t xml:space="preserve">The </w:t>
      </w:r>
      <w:r w:rsidR="00076BA5">
        <w:t xml:space="preserve">peak </w:t>
      </w:r>
      <w:r w:rsidR="000A4D7C">
        <w:t xml:space="preserve">demand </w:t>
      </w:r>
      <w:r>
        <w:t xml:space="preserve">reduction totals achieved by each EDC </w:t>
      </w:r>
      <w:r w:rsidR="00076BA5">
        <w:t xml:space="preserve">during the </w:t>
      </w:r>
      <w:r w:rsidR="006133A0">
        <w:t xml:space="preserve">Top </w:t>
      </w:r>
      <w:r w:rsidR="00076BA5">
        <w:t xml:space="preserve">100 hour Phase I performance period </w:t>
      </w:r>
      <w:r w:rsidR="000A4D7C">
        <w:t xml:space="preserve">are presented in </w:t>
      </w:r>
      <w:r w:rsidR="00250D48">
        <w:fldChar w:fldCharType="begin"/>
      </w:r>
      <w:r w:rsidR="00250D48">
        <w:instrText xml:space="preserve"> REF _Ref412630901 \h </w:instrText>
      </w:r>
      <w:r w:rsidR="00250D48">
        <w:fldChar w:fldCharType="separate"/>
      </w:r>
      <w:r w:rsidR="00803DBE" w:rsidRPr="008D244B">
        <w:t xml:space="preserve">Table </w:t>
      </w:r>
      <w:r w:rsidR="00803DBE">
        <w:rPr>
          <w:noProof/>
        </w:rPr>
        <w:t>3</w:t>
      </w:r>
      <w:r w:rsidR="00803DBE">
        <w:noBreakHyphen/>
      </w:r>
      <w:r w:rsidR="00803DBE">
        <w:rPr>
          <w:noProof/>
        </w:rPr>
        <w:t>2</w:t>
      </w:r>
      <w:r w:rsidR="00250D48">
        <w:fldChar w:fldCharType="end"/>
      </w:r>
      <w:r w:rsidR="00250D48">
        <w:t xml:space="preserve">. </w:t>
      </w:r>
      <w:r w:rsidR="006133A0">
        <w:t xml:space="preserve">Forty six percent </w:t>
      </w:r>
      <w:r w:rsidR="000A4D7C">
        <w:t xml:space="preserve">of the Phase I demand reductions were attributable to </w:t>
      </w:r>
      <w:r w:rsidR="00037A03">
        <w:t>DR</w:t>
      </w:r>
      <w:r w:rsidR="000A4D7C">
        <w:t xml:space="preserve"> programs active during the summer of 2012. </w:t>
      </w:r>
    </w:p>
    <w:p w:rsidR="00554444" w:rsidRDefault="00554444" w:rsidP="00A83ABC">
      <w:pPr>
        <w:spacing w:after="200"/>
        <w:jc w:val="left"/>
        <w:rPr>
          <w:b/>
          <w:bCs/>
          <w:sz w:val="18"/>
          <w:szCs w:val="18"/>
        </w:rPr>
      </w:pPr>
      <w:bookmarkStart w:id="152" w:name="_Ref406584825"/>
    </w:p>
    <w:p w:rsidR="00922A36" w:rsidRDefault="00922A36" w:rsidP="00A83ABC">
      <w:pPr>
        <w:spacing w:after="200"/>
        <w:jc w:val="left"/>
        <w:rPr>
          <w:b/>
          <w:bCs/>
          <w:sz w:val="18"/>
          <w:szCs w:val="18"/>
        </w:rPr>
      </w:pPr>
    </w:p>
    <w:p w:rsidR="00922A36" w:rsidRDefault="00922A36" w:rsidP="00A83ABC">
      <w:pPr>
        <w:spacing w:after="200"/>
        <w:jc w:val="left"/>
        <w:rPr>
          <w:b/>
          <w:bCs/>
          <w:sz w:val="18"/>
          <w:szCs w:val="18"/>
        </w:rPr>
      </w:pPr>
    </w:p>
    <w:p w:rsidR="000A4D7C" w:rsidRDefault="000A4D7C" w:rsidP="00A83ABC">
      <w:pPr>
        <w:pStyle w:val="Caption"/>
        <w:keepNext/>
      </w:pPr>
      <w:bookmarkStart w:id="153" w:name="_Ref412630901"/>
      <w:bookmarkStart w:id="154" w:name="_Toc412628461"/>
      <w:r w:rsidRPr="008D244B">
        <w:lastRenderedPageBreak/>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2</w:t>
      </w:r>
      <w:r w:rsidR="00E2011B">
        <w:rPr>
          <w:noProof/>
        </w:rPr>
        <w:fldChar w:fldCharType="end"/>
      </w:r>
      <w:bookmarkEnd w:id="152"/>
      <w:bookmarkEnd w:id="153"/>
      <w:r w:rsidRPr="008D244B">
        <w:t>: Phase I Demand Reductions by EDC</w:t>
      </w:r>
      <w:bookmarkEnd w:id="154"/>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000" w:firstRow="0" w:lastRow="0" w:firstColumn="0" w:lastColumn="0" w:noHBand="0" w:noVBand="0"/>
      </w:tblPr>
      <w:tblGrid>
        <w:gridCol w:w="2160"/>
        <w:gridCol w:w="1748"/>
        <w:gridCol w:w="1748"/>
        <w:gridCol w:w="1748"/>
        <w:gridCol w:w="1748"/>
      </w:tblGrid>
      <w:tr w:rsidR="0021060F" w:rsidRPr="00610CEB" w:rsidTr="00DE6BED">
        <w:trPr>
          <w:cnfStyle w:val="000000010000" w:firstRow="0" w:lastRow="0" w:firstColumn="0" w:lastColumn="0" w:oddVBand="0" w:evenVBand="0" w:oddHBand="0" w:evenHBand="1" w:firstRowFirstColumn="0" w:firstRowLastColumn="0" w:lastRowFirstColumn="0" w:lastRowLastColumn="0"/>
          <w:trHeight w:val="384"/>
          <w:tblHeader/>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448A99"/>
            <w:vAlign w:val="bottom"/>
          </w:tcPr>
          <w:p w:rsidR="0021060F" w:rsidRPr="00610CEB" w:rsidRDefault="0021060F" w:rsidP="00A83ABC">
            <w:pPr>
              <w:autoSpaceDE w:val="0"/>
              <w:autoSpaceDN w:val="0"/>
              <w:adjustRightInd w:val="0"/>
              <w:jc w:val="left"/>
              <w:rPr>
                <w:rFonts w:ascii="Calibri" w:hAnsi="Calibri" w:cs="Calibri"/>
                <w:color w:val="FFFFFF" w:themeColor="background1"/>
                <w:sz w:val="20"/>
                <w:szCs w:val="20"/>
              </w:rPr>
            </w:pPr>
            <w:r w:rsidRPr="00610CEB">
              <w:rPr>
                <w:rFonts w:ascii="Calibri" w:hAnsi="Calibri" w:cs="Calibri"/>
                <w:b/>
                <w:bCs/>
                <w:color w:val="FFFFFF" w:themeColor="background1"/>
                <w:sz w:val="20"/>
                <w:szCs w:val="20"/>
              </w:rPr>
              <w:t>EDC</w:t>
            </w:r>
          </w:p>
        </w:tc>
        <w:tc>
          <w:tcPr>
            <w:tcW w:w="1748" w:type="dxa"/>
            <w:tcBorders>
              <w:left w:val="none" w:sz="0" w:space="0" w:color="auto"/>
              <w:right w:val="none" w:sz="0" w:space="0" w:color="auto"/>
            </w:tcBorders>
            <w:shd w:val="clear" w:color="auto" w:fill="448A99"/>
            <w:vAlign w:val="bottom"/>
          </w:tcPr>
          <w:p w:rsidR="0021060F" w:rsidRPr="00610CEB" w:rsidRDefault="00037A03"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FFFFFF" w:themeColor="background1"/>
                <w:sz w:val="20"/>
                <w:szCs w:val="20"/>
              </w:rPr>
            </w:pPr>
            <w:r>
              <w:rPr>
                <w:rFonts w:ascii="Calibri" w:hAnsi="Calibri" w:cs="Calibri"/>
                <w:b/>
                <w:bCs/>
                <w:color w:val="FFFFFF" w:themeColor="background1"/>
                <w:sz w:val="20"/>
                <w:szCs w:val="20"/>
              </w:rPr>
              <w:t>DR</w:t>
            </w:r>
            <w:r w:rsidR="0021060F" w:rsidRPr="00610CEB">
              <w:rPr>
                <w:rFonts w:ascii="Calibri" w:hAnsi="Calibri" w:cs="Calibri"/>
                <w:b/>
                <w:bCs/>
                <w:color w:val="FFFFFF" w:themeColor="background1"/>
                <w:sz w:val="20"/>
                <w:szCs w:val="20"/>
              </w:rPr>
              <w:t xml:space="preserve"> Program Savings (MW)</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448A99"/>
            <w:vAlign w:val="bottom"/>
          </w:tcPr>
          <w:p w:rsidR="0021060F" w:rsidRPr="00610CEB" w:rsidRDefault="00857521" w:rsidP="00A83ABC">
            <w:pPr>
              <w:autoSpaceDE w:val="0"/>
              <w:autoSpaceDN w:val="0"/>
              <w:adjustRightInd w:val="0"/>
              <w:jc w:val="center"/>
              <w:rPr>
                <w:rFonts w:ascii="Calibri" w:hAnsi="Calibri" w:cs="Calibri"/>
                <w:color w:val="FFFFFF" w:themeColor="background1"/>
                <w:sz w:val="20"/>
                <w:szCs w:val="20"/>
              </w:rPr>
            </w:pPr>
            <w:r>
              <w:rPr>
                <w:rFonts w:ascii="Calibri" w:hAnsi="Calibri" w:cs="Calibri"/>
                <w:b/>
                <w:bCs/>
                <w:color w:val="FFFFFF" w:themeColor="background1"/>
                <w:sz w:val="20"/>
                <w:szCs w:val="20"/>
              </w:rPr>
              <w:t>EE</w:t>
            </w:r>
            <w:r w:rsidR="0021060F" w:rsidRPr="00610CEB">
              <w:rPr>
                <w:rFonts w:ascii="Calibri" w:hAnsi="Calibri" w:cs="Calibri"/>
                <w:b/>
                <w:bCs/>
                <w:color w:val="FFFFFF" w:themeColor="background1"/>
                <w:sz w:val="20"/>
                <w:szCs w:val="20"/>
              </w:rPr>
              <w:t xml:space="preserve"> Program Savings (MW)</w:t>
            </w:r>
          </w:p>
        </w:tc>
        <w:tc>
          <w:tcPr>
            <w:tcW w:w="1748" w:type="dxa"/>
            <w:tcBorders>
              <w:left w:val="none" w:sz="0" w:space="0" w:color="auto"/>
              <w:right w:val="none" w:sz="0" w:space="0" w:color="auto"/>
            </w:tcBorders>
            <w:shd w:val="clear" w:color="auto" w:fill="448A99"/>
            <w:vAlign w:val="bottom"/>
          </w:tcPr>
          <w:p w:rsidR="0021060F" w:rsidRPr="00610CEB" w:rsidRDefault="0021060F"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FFFFFF" w:themeColor="background1"/>
                <w:sz w:val="20"/>
                <w:szCs w:val="20"/>
              </w:rPr>
            </w:pPr>
            <w:r w:rsidRPr="00610CEB">
              <w:rPr>
                <w:rFonts w:ascii="Calibri" w:hAnsi="Calibri" w:cs="Calibri"/>
                <w:b/>
                <w:bCs/>
                <w:color w:val="FFFFFF" w:themeColor="background1"/>
                <w:sz w:val="20"/>
                <w:szCs w:val="20"/>
              </w:rPr>
              <w:t>Total Demand Savings (MW)</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448A99"/>
            <w:vAlign w:val="bottom"/>
          </w:tcPr>
          <w:p w:rsidR="0021060F" w:rsidRPr="00610CEB" w:rsidRDefault="0021060F" w:rsidP="00A83ABC">
            <w:pPr>
              <w:autoSpaceDE w:val="0"/>
              <w:autoSpaceDN w:val="0"/>
              <w:adjustRightInd w:val="0"/>
              <w:jc w:val="center"/>
              <w:rPr>
                <w:rFonts w:ascii="Calibri" w:hAnsi="Calibri" w:cs="Calibri"/>
                <w:color w:val="FFFFFF" w:themeColor="background1"/>
                <w:sz w:val="20"/>
                <w:szCs w:val="20"/>
              </w:rPr>
            </w:pPr>
            <w:r w:rsidRPr="00610CEB">
              <w:rPr>
                <w:rFonts w:ascii="Calibri" w:hAnsi="Calibri" w:cs="Calibri"/>
                <w:b/>
                <w:bCs/>
                <w:color w:val="FFFFFF" w:themeColor="background1"/>
                <w:sz w:val="20"/>
                <w:szCs w:val="20"/>
              </w:rPr>
              <w:t>% Demand Reduction from DR</w:t>
            </w:r>
          </w:p>
        </w:tc>
      </w:tr>
      <w:tr w:rsidR="009466D9" w:rsidRPr="00610CEB" w:rsidTr="00C03B8E">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D2EAF1"/>
          </w:tcPr>
          <w:p w:rsidR="009466D9" w:rsidRPr="00610CEB" w:rsidRDefault="009466D9" w:rsidP="00A83ABC">
            <w:pPr>
              <w:autoSpaceDE w:val="0"/>
              <w:autoSpaceDN w:val="0"/>
              <w:adjustRightInd w:val="0"/>
              <w:jc w:val="left"/>
              <w:rPr>
                <w:rFonts w:ascii="Calibri" w:hAnsi="Calibri" w:cs="Calibri"/>
                <w:color w:val="000000"/>
                <w:sz w:val="20"/>
                <w:szCs w:val="20"/>
              </w:rPr>
            </w:pPr>
            <w:r w:rsidRPr="00610CEB">
              <w:rPr>
                <w:rFonts w:ascii="Calibri" w:hAnsi="Calibri" w:cs="Calibri"/>
                <w:color w:val="000000"/>
                <w:sz w:val="20"/>
                <w:szCs w:val="20"/>
              </w:rPr>
              <w:t xml:space="preserve">Duquesne </w:t>
            </w:r>
          </w:p>
        </w:tc>
        <w:tc>
          <w:tcPr>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74.43</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64.13</w:t>
            </w:r>
          </w:p>
        </w:tc>
        <w:tc>
          <w:tcPr>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138.56</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D2EAF1"/>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54%</w:t>
            </w:r>
          </w:p>
        </w:tc>
      </w:tr>
      <w:tr w:rsidR="009466D9" w:rsidRPr="00610CEB" w:rsidTr="00C03B8E">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auto"/>
          </w:tcPr>
          <w:p w:rsidR="009466D9" w:rsidRPr="00610CEB" w:rsidRDefault="009466D9" w:rsidP="00A83ABC">
            <w:pPr>
              <w:autoSpaceDE w:val="0"/>
              <w:autoSpaceDN w:val="0"/>
              <w:adjustRightInd w:val="0"/>
              <w:jc w:val="left"/>
              <w:rPr>
                <w:rFonts w:ascii="Calibri" w:hAnsi="Calibri" w:cs="Calibri"/>
                <w:color w:val="000000"/>
                <w:sz w:val="20"/>
                <w:szCs w:val="20"/>
              </w:rPr>
            </w:pPr>
            <w:r>
              <w:rPr>
                <w:rFonts w:ascii="Calibri" w:hAnsi="Calibri" w:cs="Calibri"/>
                <w:color w:val="000000"/>
                <w:sz w:val="20"/>
                <w:szCs w:val="20"/>
              </w:rPr>
              <w:t xml:space="preserve">FE: </w:t>
            </w:r>
            <w:r w:rsidRPr="00610CEB">
              <w:rPr>
                <w:rFonts w:ascii="Calibri" w:hAnsi="Calibri" w:cs="Calibri"/>
                <w:color w:val="000000"/>
                <w:sz w:val="20"/>
                <w:szCs w:val="20"/>
              </w:rPr>
              <w:t xml:space="preserve">Met-Ed </w:t>
            </w:r>
          </w:p>
        </w:tc>
        <w:tc>
          <w:tcPr>
            <w:tcW w:w="1748" w:type="dxa"/>
            <w:tcBorders>
              <w:left w:val="none" w:sz="0" w:space="0" w:color="auto"/>
              <w:right w:val="none" w:sz="0" w:space="0" w:color="auto"/>
            </w:tcBorders>
            <w:shd w:val="clear" w:color="auto" w:fill="auto"/>
          </w:tcPr>
          <w:p w:rsidR="009466D9" w:rsidRPr="00610CEB" w:rsidRDefault="009466D9"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59.89</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auto"/>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65.13</w:t>
            </w:r>
          </w:p>
        </w:tc>
        <w:tc>
          <w:tcPr>
            <w:tcW w:w="1748" w:type="dxa"/>
            <w:tcBorders>
              <w:left w:val="none" w:sz="0" w:space="0" w:color="auto"/>
              <w:right w:val="none" w:sz="0" w:space="0" w:color="auto"/>
            </w:tcBorders>
            <w:shd w:val="clear" w:color="auto" w:fill="auto"/>
          </w:tcPr>
          <w:p w:rsidR="009466D9" w:rsidRPr="00610CEB" w:rsidRDefault="009466D9"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125.02</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auto"/>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48%</w:t>
            </w:r>
          </w:p>
        </w:tc>
      </w:tr>
      <w:tr w:rsidR="009466D9" w:rsidRPr="00610CEB" w:rsidTr="00C03B8E">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D2EAF1"/>
          </w:tcPr>
          <w:p w:rsidR="009466D9" w:rsidRPr="00610CEB" w:rsidRDefault="009466D9" w:rsidP="00A83ABC">
            <w:pPr>
              <w:autoSpaceDE w:val="0"/>
              <w:autoSpaceDN w:val="0"/>
              <w:adjustRightInd w:val="0"/>
              <w:jc w:val="left"/>
              <w:rPr>
                <w:rFonts w:ascii="Calibri" w:hAnsi="Calibri" w:cs="Calibri"/>
                <w:color w:val="000000"/>
                <w:sz w:val="20"/>
                <w:szCs w:val="20"/>
              </w:rPr>
            </w:pPr>
            <w:r>
              <w:rPr>
                <w:rFonts w:ascii="Calibri" w:hAnsi="Calibri" w:cs="Calibri"/>
                <w:color w:val="000000"/>
                <w:sz w:val="20"/>
                <w:szCs w:val="20"/>
              </w:rPr>
              <w:t xml:space="preserve">FE: </w:t>
            </w:r>
            <w:r w:rsidRPr="00610CEB">
              <w:rPr>
                <w:rFonts w:ascii="Calibri" w:hAnsi="Calibri" w:cs="Calibri"/>
                <w:color w:val="000000"/>
                <w:sz w:val="20"/>
                <w:szCs w:val="20"/>
              </w:rPr>
              <w:t xml:space="preserve">Penelec </w:t>
            </w:r>
          </w:p>
        </w:tc>
        <w:tc>
          <w:tcPr>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60.31</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53.63</w:t>
            </w:r>
          </w:p>
        </w:tc>
        <w:tc>
          <w:tcPr>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113.94</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D2EAF1"/>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53%</w:t>
            </w:r>
          </w:p>
        </w:tc>
      </w:tr>
      <w:tr w:rsidR="009466D9" w:rsidRPr="00610CEB" w:rsidTr="00C03B8E">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auto"/>
          </w:tcPr>
          <w:p w:rsidR="009466D9" w:rsidRPr="00610CEB" w:rsidRDefault="009466D9" w:rsidP="00A83ABC">
            <w:pPr>
              <w:autoSpaceDE w:val="0"/>
              <w:autoSpaceDN w:val="0"/>
              <w:adjustRightInd w:val="0"/>
              <w:jc w:val="left"/>
              <w:rPr>
                <w:rFonts w:ascii="Calibri" w:hAnsi="Calibri" w:cs="Calibri"/>
                <w:color w:val="000000"/>
                <w:sz w:val="20"/>
                <w:szCs w:val="20"/>
              </w:rPr>
            </w:pPr>
            <w:r>
              <w:rPr>
                <w:rFonts w:ascii="Calibri" w:hAnsi="Calibri" w:cs="Calibri"/>
                <w:color w:val="000000"/>
                <w:sz w:val="20"/>
                <w:szCs w:val="20"/>
              </w:rPr>
              <w:t xml:space="preserve">FE: </w:t>
            </w:r>
            <w:r w:rsidRPr="00610CEB">
              <w:rPr>
                <w:rFonts w:ascii="Calibri" w:hAnsi="Calibri" w:cs="Calibri"/>
                <w:color w:val="000000"/>
                <w:sz w:val="20"/>
                <w:szCs w:val="20"/>
              </w:rPr>
              <w:t xml:space="preserve">Penn Power </w:t>
            </w:r>
          </w:p>
        </w:tc>
        <w:tc>
          <w:tcPr>
            <w:tcW w:w="1748" w:type="dxa"/>
            <w:tcBorders>
              <w:left w:val="none" w:sz="0" w:space="0" w:color="auto"/>
              <w:right w:val="none" w:sz="0" w:space="0" w:color="auto"/>
            </w:tcBorders>
            <w:shd w:val="clear" w:color="auto" w:fill="auto"/>
          </w:tcPr>
          <w:p w:rsidR="009466D9" w:rsidRPr="00610CEB" w:rsidRDefault="009466D9"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28.16</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auto"/>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18.04</w:t>
            </w:r>
          </w:p>
        </w:tc>
        <w:tc>
          <w:tcPr>
            <w:tcW w:w="1748" w:type="dxa"/>
            <w:tcBorders>
              <w:left w:val="none" w:sz="0" w:space="0" w:color="auto"/>
              <w:right w:val="none" w:sz="0" w:space="0" w:color="auto"/>
            </w:tcBorders>
            <w:shd w:val="clear" w:color="auto" w:fill="auto"/>
          </w:tcPr>
          <w:p w:rsidR="009466D9" w:rsidRPr="00610CEB" w:rsidRDefault="009466D9"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46.20</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auto"/>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61%</w:t>
            </w:r>
          </w:p>
        </w:tc>
      </w:tr>
      <w:tr w:rsidR="009466D9" w:rsidRPr="00610CEB" w:rsidTr="00C03B8E">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D2EAF1"/>
          </w:tcPr>
          <w:p w:rsidR="009466D9" w:rsidRPr="00610CEB" w:rsidRDefault="009466D9" w:rsidP="00A83ABC">
            <w:pPr>
              <w:autoSpaceDE w:val="0"/>
              <w:autoSpaceDN w:val="0"/>
              <w:adjustRightInd w:val="0"/>
              <w:jc w:val="left"/>
              <w:rPr>
                <w:rFonts w:ascii="Calibri" w:hAnsi="Calibri" w:cs="Calibri"/>
                <w:color w:val="000000"/>
                <w:sz w:val="20"/>
                <w:szCs w:val="20"/>
              </w:rPr>
            </w:pPr>
            <w:r>
              <w:rPr>
                <w:rFonts w:ascii="Calibri" w:hAnsi="Calibri" w:cs="Calibri"/>
                <w:color w:val="000000"/>
                <w:sz w:val="20"/>
                <w:szCs w:val="20"/>
              </w:rPr>
              <w:t xml:space="preserve">FE: </w:t>
            </w:r>
            <w:r w:rsidRPr="00610CEB">
              <w:rPr>
                <w:rFonts w:ascii="Calibri" w:hAnsi="Calibri" w:cs="Calibri"/>
                <w:color w:val="000000"/>
                <w:sz w:val="20"/>
                <w:szCs w:val="20"/>
              </w:rPr>
              <w:t xml:space="preserve">West Penn </w:t>
            </w:r>
          </w:p>
        </w:tc>
        <w:tc>
          <w:tcPr>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98.76</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87.31</w:t>
            </w:r>
          </w:p>
        </w:tc>
        <w:tc>
          <w:tcPr>
            <w:tcW w:w="1748" w:type="dxa"/>
            <w:tcBorders>
              <w:left w:val="none" w:sz="0" w:space="0" w:color="auto"/>
              <w:right w:val="none" w:sz="0" w:space="0" w:color="auto"/>
            </w:tcBorders>
            <w:shd w:val="clear" w:color="auto" w:fill="D2EAF1"/>
          </w:tcPr>
          <w:p w:rsidR="009466D9" w:rsidRPr="00610CEB" w:rsidRDefault="009466D9"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186.07</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D2EAF1"/>
          </w:tcPr>
          <w:p w:rsidR="009466D9" w:rsidRPr="00610CEB" w:rsidRDefault="009466D9"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53%</w:t>
            </w:r>
          </w:p>
        </w:tc>
      </w:tr>
      <w:tr w:rsidR="00DE6BED" w:rsidRPr="00610CEB" w:rsidTr="00C03B8E">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auto"/>
          </w:tcPr>
          <w:p w:rsidR="00DE6BED" w:rsidRPr="00610CEB" w:rsidRDefault="00DE6BED" w:rsidP="00A83ABC">
            <w:pPr>
              <w:autoSpaceDE w:val="0"/>
              <w:autoSpaceDN w:val="0"/>
              <w:adjustRightInd w:val="0"/>
              <w:jc w:val="left"/>
              <w:rPr>
                <w:rFonts w:ascii="Calibri" w:hAnsi="Calibri" w:cs="Calibri"/>
                <w:color w:val="000000"/>
                <w:sz w:val="20"/>
                <w:szCs w:val="20"/>
              </w:rPr>
            </w:pPr>
            <w:r w:rsidRPr="00610CEB">
              <w:rPr>
                <w:rFonts w:ascii="Calibri" w:hAnsi="Calibri" w:cs="Calibri"/>
                <w:color w:val="000000"/>
                <w:sz w:val="20"/>
                <w:szCs w:val="20"/>
              </w:rPr>
              <w:t xml:space="preserve">PECO </w:t>
            </w:r>
          </w:p>
        </w:tc>
        <w:tc>
          <w:tcPr>
            <w:tcW w:w="1748" w:type="dxa"/>
            <w:tcBorders>
              <w:left w:val="none" w:sz="0" w:space="0" w:color="auto"/>
              <w:right w:val="none" w:sz="0" w:space="0" w:color="auto"/>
            </w:tcBorders>
            <w:shd w:val="clear" w:color="auto" w:fill="auto"/>
          </w:tcPr>
          <w:p w:rsidR="00DE6BED" w:rsidRPr="00610CEB" w:rsidRDefault="00DE6BED"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161.80</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auto"/>
          </w:tcPr>
          <w:p w:rsidR="00DE6BED" w:rsidRPr="00610CEB" w:rsidRDefault="00DE6BED"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240.30</w:t>
            </w:r>
          </w:p>
        </w:tc>
        <w:tc>
          <w:tcPr>
            <w:tcW w:w="1748" w:type="dxa"/>
            <w:tcBorders>
              <w:left w:val="none" w:sz="0" w:space="0" w:color="auto"/>
              <w:right w:val="none" w:sz="0" w:space="0" w:color="auto"/>
            </w:tcBorders>
            <w:shd w:val="clear" w:color="auto" w:fill="auto"/>
          </w:tcPr>
          <w:p w:rsidR="00DE6BED" w:rsidRPr="00610CEB" w:rsidRDefault="00DE6BED"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402.10</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auto"/>
          </w:tcPr>
          <w:p w:rsidR="00DE6BED" w:rsidRPr="00610CEB" w:rsidRDefault="00DE6BED"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40%</w:t>
            </w:r>
          </w:p>
        </w:tc>
      </w:tr>
      <w:tr w:rsidR="00DE6BED" w:rsidRPr="00610CEB" w:rsidTr="00C03B8E">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D2EAF1"/>
          </w:tcPr>
          <w:p w:rsidR="00DE6BED" w:rsidRPr="00610CEB" w:rsidRDefault="00DE6BED" w:rsidP="00A83ABC">
            <w:pPr>
              <w:autoSpaceDE w:val="0"/>
              <w:autoSpaceDN w:val="0"/>
              <w:adjustRightInd w:val="0"/>
              <w:jc w:val="left"/>
              <w:rPr>
                <w:rFonts w:ascii="Calibri" w:hAnsi="Calibri" w:cs="Calibri"/>
                <w:color w:val="000000"/>
                <w:sz w:val="20"/>
                <w:szCs w:val="20"/>
              </w:rPr>
            </w:pPr>
            <w:r w:rsidRPr="00610CEB">
              <w:rPr>
                <w:rFonts w:ascii="Calibri" w:hAnsi="Calibri" w:cs="Calibri"/>
                <w:color w:val="000000"/>
                <w:sz w:val="20"/>
                <w:szCs w:val="20"/>
              </w:rPr>
              <w:t xml:space="preserve">PPL </w:t>
            </w:r>
          </w:p>
        </w:tc>
        <w:tc>
          <w:tcPr>
            <w:tcW w:w="1748" w:type="dxa"/>
            <w:tcBorders>
              <w:left w:val="none" w:sz="0" w:space="0" w:color="auto"/>
              <w:right w:val="none" w:sz="0" w:space="0" w:color="auto"/>
            </w:tcBorders>
            <w:shd w:val="clear" w:color="auto" w:fill="D2EAF1"/>
          </w:tcPr>
          <w:p w:rsidR="00DE6BED" w:rsidRPr="00610CEB" w:rsidRDefault="00DE6BED"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136.43</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D2EAF1"/>
          </w:tcPr>
          <w:p w:rsidR="00DE6BED" w:rsidRPr="00610CEB" w:rsidRDefault="00DE6BED"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204.50</w:t>
            </w:r>
          </w:p>
        </w:tc>
        <w:tc>
          <w:tcPr>
            <w:tcW w:w="1748" w:type="dxa"/>
            <w:tcBorders>
              <w:left w:val="none" w:sz="0" w:space="0" w:color="auto"/>
              <w:right w:val="none" w:sz="0" w:space="0" w:color="auto"/>
            </w:tcBorders>
            <w:shd w:val="clear" w:color="auto" w:fill="D2EAF1"/>
          </w:tcPr>
          <w:p w:rsidR="00DE6BED" w:rsidRPr="00610CEB" w:rsidRDefault="00DE6BED"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10CEB">
              <w:rPr>
                <w:rFonts w:ascii="Calibri" w:hAnsi="Calibri" w:cs="Calibri"/>
                <w:color w:val="000000"/>
                <w:sz w:val="20"/>
                <w:szCs w:val="20"/>
              </w:rPr>
              <w:t>340.93</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D2EAF1"/>
          </w:tcPr>
          <w:p w:rsidR="00DE6BED" w:rsidRPr="00610CEB" w:rsidRDefault="00DE6BED" w:rsidP="00A83ABC">
            <w:pPr>
              <w:autoSpaceDE w:val="0"/>
              <w:autoSpaceDN w:val="0"/>
              <w:adjustRightInd w:val="0"/>
              <w:jc w:val="center"/>
              <w:rPr>
                <w:rFonts w:ascii="Calibri" w:hAnsi="Calibri" w:cs="Calibri"/>
                <w:color w:val="000000"/>
                <w:sz w:val="20"/>
                <w:szCs w:val="20"/>
              </w:rPr>
            </w:pPr>
            <w:r w:rsidRPr="00610CEB">
              <w:rPr>
                <w:rFonts w:ascii="Calibri" w:hAnsi="Calibri" w:cs="Calibri"/>
                <w:color w:val="000000"/>
                <w:sz w:val="20"/>
                <w:szCs w:val="20"/>
              </w:rPr>
              <w:t>40%</w:t>
            </w:r>
          </w:p>
        </w:tc>
      </w:tr>
      <w:tr w:rsidR="0021060F" w:rsidRPr="00610CEB" w:rsidTr="00C03B8E">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60" w:type="dxa"/>
            <w:tcBorders>
              <w:right w:val="none" w:sz="0" w:space="0" w:color="auto"/>
            </w:tcBorders>
            <w:shd w:val="clear" w:color="auto" w:fill="auto"/>
          </w:tcPr>
          <w:p w:rsidR="0021060F" w:rsidRPr="00610CEB" w:rsidRDefault="0021060F" w:rsidP="00A83ABC">
            <w:pPr>
              <w:autoSpaceDE w:val="0"/>
              <w:autoSpaceDN w:val="0"/>
              <w:adjustRightInd w:val="0"/>
              <w:rPr>
                <w:rFonts w:ascii="Calibri" w:hAnsi="Calibri" w:cs="Calibri"/>
                <w:color w:val="000000"/>
                <w:sz w:val="20"/>
                <w:szCs w:val="20"/>
              </w:rPr>
            </w:pPr>
            <w:r w:rsidRPr="00610CEB">
              <w:rPr>
                <w:rFonts w:ascii="Calibri" w:hAnsi="Calibri" w:cs="Calibri"/>
                <w:b/>
                <w:bCs/>
                <w:color w:val="000000"/>
                <w:sz w:val="20"/>
                <w:szCs w:val="20"/>
              </w:rPr>
              <w:t xml:space="preserve">Total </w:t>
            </w:r>
          </w:p>
        </w:tc>
        <w:tc>
          <w:tcPr>
            <w:tcW w:w="1748" w:type="dxa"/>
            <w:tcBorders>
              <w:left w:val="none" w:sz="0" w:space="0" w:color="auto"/>
              <w:right w:val="none" w:sz="0" w:space="0" w:color="auto"/>
            </w:tcBorders>
            <w:shd w:val="clear" w:color="auto" w:fill="auto"/>
          </w:tcPr>
          <w:p w:rsidR="0021060F" w:rsidRPr="00610CEB" w:rsidRDefault="0021060F"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b/>
                <w:bCs/>
                <w:color w:val="000000"/>
                <w:sz w:val="20"/>
                <w:szCs w:val="20"/>
              </w:rPr>
              <w:t>619.78</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right w:val="none" w:sz="0" w:space="0" w:color="auto"/>
            </w:tcBorders>
            <w:shd w:val="clear" w:color="auto" w:fill="auto"/>
          </w:tcPr>
          <w:p w:rsidR="0021060F" w:rsidRPr="00610CEB" w:rsidRDefault="0021060F" w:rsidP="00A83ABC">
            <w:pPr>
              <w:autoSpaceDE w:val="0"/>
              <w:autoSpaceDN w:val="0"/>
              <w:adjustRightInd w:val="0"/>
              <w:jc w:val="center"/>
              <w:rPr>
                <w:rFonts w:ascii="Calibri" w:hAnsi="Calibri" w:cs="Calibri"/>
                <w:color w:val="000000"/>
                <w:sz w:val="20"/>
                <w:szCs w:val="20"/>
              </w:rPr>
            </w:pPr>
            <w:r w:rsidRPr="00610CEB">
              <w:rPr>
                <w:rFonts w:ascii="Calibri" w:hAnsi="Calibri" w:cs="Calibri"/>
                <w:b/>
                <w:bCs/>
                <w:color w:val="000000"/>
                <w:sz w:val="20"/>
                <w:szCs w:val="20"/>
              </w:rPr>
              <w:t>733.04</w:t>
            </w:r>
          </w:p>
        </w:tc>
        <w:tc>
          <w:tcPr>
            <w:tcW w:w="1748" w:type="dxa"/>
            <w:tcBorders>
              <w:left w:val="none" w:sz="0" w:space="0" w:color="auto"/>
              <w:right w:val="none" w:sz="0" w:space="0" w:color="auto"/>
            </w:tcBorders>
            <w:shd w:val="clear" w:color="auto" w:fill="auto"/>
          </w:tcPr>
          <w:p w:rsidR="0021060F" w:rsidRPr="00610CEB" w:rsidRDefault="0021060F" w:rsidP="00A83AB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610CEB">
              <w:rPr>
                <w:rFonts w:ascii="Calibri" w:hAnsi="Calibri" w:cs="Calibri"/>
                <w:b/>
                <w:bCs/>
                <w:color w:val="000000"/>
                <w:sz w:val="20"/>
                <w:szCs w:val="20"/>
              </w:rPr>
              <w:t>1,352.82</w:t>
            </w:r>
          </w:p>
        </w:tc>
        <w:tc>
          <w:tcPr>
            <w:cnfStyle w:val="000010000000" w:firstRow="0" w:lastRow="0" w:firstColumn="0" w:lastColumn="0" w:oddVBand="1" w:evenVBand="0" w:oddHBand="0" w:evenHBand="0" w:firstRowFirstColumn="0" w:firstRowLastColumn="0" w:lastRowFirstColumn="0" w:lastRowLastColumn="0"/>
            <w:tcW w:w="1748" w:type="dxa"/>
            <w:tcBorders>
              <w:left w:val="none" w:sz="0" w:space="0" w:color="auto"/>
            </w:tcBorders>
            <w:shd w:val="clear" w:color="auto" w:fill="auto"/>
          </w:tcPr>
          <w:p w:rsidR="0021060F" w:rsidRPr="00610CEB" w:rsidRDefault="0021060F" w:rsidP="00A83ABC">
            <w:pPr>
              <w:autoSpaceDE w:val="0"/>
              <w:autoSpaceDN w:val="0"/>
              <w:adjustRightInd w:val="0"/>
              <w:jc w:val="center"/>
              <w:rPr>
                <w:rFonts w:ascii="Calibri" w:hAnsi="Calibri" w:cs="Calibri"/>
                <w:color w:val="000000"/>
                <w:sz w:val="20"/>
                <w:szCs w:val="20"/>
              </w:rPr>
            </w:pPr>
            <w:r w:rsidRPr="00610CEB">
              <w:rPr>
                <w:rFonts w:ascii="Calibri" w:hAnsi="Calibri" w:cs="Calibri"/>
                <w:b/>
                <w:bCs/>
                <w:color w:val="000000"/>
                <w:sz w:val="20"/>
                <w:szCs w:val="20"/>
              </w:rPr>
              <w:t>46%</w:t>
            </w:r>
          </w:p>
        </w:tc>
      </w:tr>
    </w:tbl>
    <w:p w:rsidR="0021060F" w:rsidRDefault="0021060F" w:rsidP="00A83ABC"/>
    <w:p w:rsidR="002D0AD2" w:rsidRDefault="009330CF" w:rsidP="00A83ABC">
      <w:r>
        <w:t xml:space="preserve">Using the performance of </w:t>
      </w:r>
      <w:r w:rsidR="002D0AD2">
        <w:t xml:space="preserve">Phase I </w:t>
      </w:r>
      <w:r>
        <w:t xml:space="preserve">C&amp;I load curtailment programs to inform potential for Phase III </w:t>
      </w:r>
      <w:r w:rsidR="002D0AD2">
        <w:t xml:space="preserve">was challenging </w:t>
      </w:r>
      <w:r>
        <w:t xml:space="preserve">for several reasons. </w:t>
      </w:r>
      <w:r w:rsidR="004D404A">
        <w:t xml:space="preserve">Demand response </w:t>
      </w:r>
      <w:r>
        <w:t xml:space="preserve">participants </w:t>
      </w:r>
      <w:r w:rsidR="002D0AD2">
        <w:t xml:space="preserve">had the </w:t>
      </w:r>
      <w:r>
        <w:t>ability to enroll</w:t>
      </w:r>
      <w:r w:rsidR="002D0AD2">
        <w:t xml:space="preserve"> in </w:t>
      </w:r>
      <w:r>
        <w:t xml:space="preserve">both </w:t>
      </w:r>
      <w:r w:rsidR="002D0AD2">
        <w:t>Ac</w:t>
      </w:r>
      <w:r>
        <w:t>t 129 programs</w:t>
      </w:r>
      <w:r w:rsidR="004D404A">
        <w:t>, as well as</w:t>
      </w:r>
      <w:r>
        <w:t xml:space="preserve"> PJM programs and this </w:t>
      </w:r>
      <w:r w:rsidR="002D0AD2">
        <w:t xml:space="preserve">dual enrollment option created </w:t>
      </w:r>
      <w:r>
        <w:t>questions of</w:t>
      </w:r>
      <w:r w:rsidR="002D0AD2">
        <w:t xml:space="preserve"> attribution.</w:t>
      </w:r>
      <w:r w:rsidR="001A768D">
        <w:t xml:space="preserve"> </w:t>
      </w:r>
      <w:r w:rsidR="002C6D71">
        <w:t xml:space="preserve">The Phase I </w:t>
      </w:r>
      <w:r>
        <w:t xml:space="preserve">SWE </w:t>
      </w:r>
      <w:r w:rsidR="00BE1301">
        <w:t>Team</w:t>
      </w:r>
      <w:r>
        <w:t xml:space="preserve"> </w:t>
      </w:r>
      <w:r w:rsidR="002C6D71">
        <w:t xml:space="preserve">developed and implemented an approach for discounting Act 129 </w:t>
      </w:r>
      <w:r>
        <w:t>impacts</w:t>
      </w:r>
      <w:r w:rsidR="002C6D71">
        <w:t xml:space="preserve"> </w:t>
      </w:r>
      <w:r>
        <w:t>from customers enrolled in both markets</w:t>
      </w:r>
      <w:r w:rsidR="002C6D71">
        <w:t>.</w:t>
      </w:r>
      <w:r w:rsidR="001A768D">
        <w:t xml:space="preserve"> </w:t>
      </w:r>
      <w:r>
        <w:t xml:space="preserve">Phase I DR programs also allowed customers to use backup generators to reduce the amount of load supplied by the EDC. Commission staff requested that the SWE </w:t>
      </w:r>
      <w:r w:rsidR="00BE1301">
        <w:t>Team</w:t>
      </w:r>
      <w:r>
        <w:t xml:space="preserve"> exclude this environmentally questionable source of DR as potential for Phase III. Lastly</w:t>
      </w:r>
      <w:r w:rsidR="000B4462">
        <w:t xml:space="preserve">, the number of </w:t>
      </w:r>
      <w:r w:rsidR="006E2A36">
        <w:t>hours Act 129 programs dispatched participants during Phase I was far greater than the program design being evaluated for Phase III</w:t>
      </w:r>
      <w:r w:rsidR="003E2AA4">
        <w:t xml:space="preserve">. </w:t>
      </w:r>
    </w:p>
    <w:p w:rsidR="00CB03D7" w:rsidRPr="00D367B7" w:rsidRDefault="00CB03D7" w:rsidP="00A83ABC"/>
    <w:p w:rsidR="00E965F9" w:rsidRPr="00E965F9" w:rsidRDefault="00E965F9" w:rsidP="00A83ABC">
      <w:pPr>
        <w:pStyle w:val="Heading3"/>
      </w:pPr>
      <w:bookmarkStart w:id="155" w:name="_Toc412628403"/>
      <w:r>
        <w:t>Program Cost</w:t>
      </w:r>
      <w:r w:rsidR="00CE0565">
        <w:t>-</w:t>
      </w:r>
      <w:r w:rsidR="0080690E">
        <w:t>Effectiveness</w:t>
      </w:r>
      <w:bookmarkEnd w:id="155"/>
    </w:p>
    <w:p w:rsidR="00813FE4" w:rsidRDefault="009466D9" w:rsidP="00A83ABC">
      <w:pPr>
        <w:rPr>
          <w:noProof/>
        </w:rPr>
      </w:pPr>
      <w:r>
        <w:t xml:space="preserve">Phase I program costs included equipment and installation costs, program administrative costs, marketing costs, evaluation costs, and incentives paid to participants. Two broad categories of programs were offered by EDCs in Phase I: passive </w:t>
      </w:r>
      <w:r w:rsidR="008D678D">
        <w:t>DLC</w:t>
      </w:r>
      <w:r>
        <w:t xml:space="preserve"> programs and active load curtailment programs. The </w:t>
      </w:r>
      <w:r w:rsidR="008D678D">
        <w:t>DLC</w:t>
      </w:r>
      <w:r>
        <w:t xml:space="preserve"> programs install thermostats or </w:t>
      </w:r>
      <w:r w:rsidR="00622FC2">
        <w:t>A/C</w:t>
      </w:r>
      <w:r>
        <w:t xml:space="preserve"> switches that can be operated remotely by the utility, thus giving the utility direct control over the HVAC systems of passive participants. The load curtailment programs were based on active participants that managed load reductions at their facilities during </w:t>
      </w:r>
      <w:r w:rsidR="00037A03">
        <w:t>DR</w:t>
      </w:r>
      <w:r>
        <w:t xml:space="preserve"> events. A breakdown of Phase I TRC ratios is presented below in </w:t>
      </w:r>
      <w:r w:rsidR="003E6D11">
        <w:fldChar w:fldCharType="begin"/>
      </w:r>
      <w:r w:rsidR="003E6D11">
        <w:instrText xml:space="preserve"> REF _Ref412630578 \h </w:instrText>
      </w:r>
      <w:r w:rsidR="003E6D11">
        <w:fldChar w:fldCharType="separate"/>
      </w:r>
      <w:r w:rsidR="00803DBE" w:rsidRPr="00292031">
        <w:t xml:space="preserve">Table </w:t>
      </w:r>
      <w:r w:rsidR="00803DBE">
        <w:rPr>
          <w:noProof/>
        </w:rPr>
        <w:t>3</w:t>
      </w:r>
      <w:r w:rsidR="00803DBE">
        <w:noBreakHyphen/>
      </w:r>
      <w:r w:rsidR="00803DBE">
        <w:rPr>
          <w:noProof/>
        </w:rPr>
        <w:t>3</w:t>
      </w:r>
      <w:r w:rsidR="003E6D11">
        <w:fldChar w:fldCharType="end"/>
      </w:r>
      <w:r w:rsidR="003E6D11">
        <w:t>.</w:t>
      </w:r>
      <w:r w:rsidR="003E6D11">
        <w:rPr>
          <w:noProof/>
        </w:rPr>
        <w:t xml:space="preserve"> </w:t>
      </w:r>
    </w:p>
    <w:p w:rsidR="00554444" w:rsidRPr="00EA2A60" w:rsidRDefault="00554444" w:rsidP="00A83ABC">
      <w:bookmarkStart w:id="156" w:name="_Ref406611582"/>
    </w:p>
    <w:p w:rsidR="00C7297E" w:rsidRPr="00E954EC" w:rsidRDefault="00C7297E" w:rsidP="00A83ABC">
      <w:pPr>
        <w:pStyle w:val="Caption"/>
        <w:keepNext/>
      </w:pPr>
      <w:bookmarkStart w:id="157" w:name="_Ref412630578"/>
      <w:bookmarkStart w:id="158" w:name="_Toc412628462"/>
      <w:r w:rsidRPr="00292031">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3</w:t>
      </w:r>
      <w:r w:rsidR="00E2011B">
        <w:rPr>
          <w:noProof/>
        </w:rPr>
        <w:fldChar w:fldCharType="end"/>
      </w:r>
      <w:bookmarkEnd w:id="156"/>
      <w:bookmarkEnd w:id="157"/>
      <w:r w:rsidRPr="00292031">
        <w:t xml:space="preserve">: </w:t>
      </w:r>
      <w:r w:rsidR="00D402F9" w:rsidRPr="00292031">
        <w:t xml:space="preserve">Act 129 </w:t>
      </w:r>
      <w:r w:rsidR="00037A03" w:rsidRPr="00292031">
        <w:t>DR</w:t>
      </w:r>
      <w:r w:rsidR="00D402F9" w:rsidRPr="00292031">
        <w:t xml:space="preserve"> Program</w:t>
      </w:r>
      <w:r w:rsidRPr="00E954EC">
        <w:t xml:space="preserve"> TRC Ratios</w:t>
      </w:r>
      <w:r w:rsidR="00D402F9" w:rsidRPr="00E954EC">
        <w:t xml:space="preserve"> – Phase I</w:t>
      </w:r>
      <w:bookmarkEnd w:id="158"/>
    </w:p>
    <w:tbl>
      <w:tblPr>
        <w:tblW w:w="5595" w:type="dxa"/>
        <w:tblInd w:w="93"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65"/>
        <w:gridCol w:w="1865"/>
        <w:gridCol w:w="1865"/>
      </w:tblGrid>
      <w:tr w:rsidR="00C02815" w:rsidRPr="00F478DF" w:rsidTr="00C02815">
        <w:trPr>
          <w:trHeight w:val="315"/>
        </w:trPr>
        <w:tc>
          <w:tcPr>
            <w:tcW w:w="5595" w:type="dxa"/>
            <w:gridSpan w:val="3"/>
            <w:shd w:val="clear" w:color="000000" w:fill="448A99"/>
            <w:noWrap/>
            <w:vAlign w:val="bottom"/>
            <w:hideMark/>
          </w:tcPr>
          <w:p w:rsidR="00C02815" w:rsidRPr="00F478DF" w:rsidRDefault="00C02815" w:rsidP="00A83ABC">
            <w:pPr>
              <w:jc w:val="center"/>
              <w:rPr>
                <w:rFonts w:ascii="Calibri" w:eastAsia="Times New Roman" w:hAnsi="Calibri" w:cs="Times New Roman"/>
                <w:b/>
                <w:bCs/>
                <w:color w:val="FFFFFF"/>
                <w:sz w:val="20"/>
                <w:szCs w:val="20"/>
              </w:rPr>
            </w:pPr>
            <w:r w:rsidRPr="00F478DF">
              <w:rPr>
                <w:rFonts w:ascii="Calibri" w:eastAsia="Times New Roman" w:hAnsi="Calibri" w:cs="Times New Roman"/>
                <w:b/>
                <w:bCs/>
                <w:color w:val="FFFFFF"/>
                <w:sz w:val="20"/>
                <w:szCs w:val="20"/>
              </w:rPr>
              <w:t>Phase I TRC Ratio / Program Type</w:t>
            </w:r>
          </w:p>
        </w:tc>
      </w:tr>
      <w:tr w:rsidR="00C02815" w:rsidRPr="00F478DF" w:rsidTr="00C03B8E">
        <w:trPr>
          <w:trHeight w:val="385"/>
        </w:trPr>
        <w:tc>
          <w:tcPr>
            <w:tcW w:w="1865" w:type="dxa"/>
            <w:shd w:val="clear" w:color="000000" w:fill="448A99"/>
            <w:noWrap/>
            <w:vAlign w:val="bottom"/>
            <w:hideMark/>
          </w:tcPr>
          <w:p w:rsidR="00C02815" w:rsidRPr="00F478DF" w:rsidRDefault="00C02815" w:rsidP="00A83ABC">
            <w:pPr>
              <w:jc w:val="left"/>
              <w:rPr>
                <w:rFonts w:ascii="Calibri" w:eastAsia="Times New Roman" w:hAnsi="Calibri" w:cs="Times New Roman"/>
                <w:b/>
                <w:bCs/>
                <w:color w:val="FFFFFF"/>
                <w:sz w:val="20"/>
                <w:szCs w:val="20"/>
              </w:rPr>
            </w:pPr>
            <w:r w:rsidRPr="00F478DF">
              <w:rPr>
                <w:rFonts w:ascii="Calibri" w:eastAsia="Times New Roman" w:hAnsi="Calibri" w:cs="Times New Roman"/>
                <w:b/>
                <w:bCs/>
                <w:color w:val="FFFFFF"/>
                <w:sz w:val="20"/>
                <w:szCs w:val="20"/>
              </w:rPr>
              <w:t>EDC</w:t>
            </w:r>
          </w:p>
        </w:tc>
        <w:tc>
          <w:tcPr>
            <w:tcW w:w="1865" w:type="dxa"/>
            <w:shd w:val="clear" w:color="000000" w:fill="448A99"/>
            <w:vAlign w:val="bottom"/>
            <w:hideMark/>
          </w:tcPr>
          <w:p w:rsidR="00C02815" w:rsidRPr="00F478DF" w:rsidRDefault="008D678D" w:rsidP="00A83ABC">
            <w:pPr>
              <w:jc w:val="cente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DLC</w:t>
            </w:r>
          </w:p>
        </w:tc>
        <w:tc>
          <w:tcPr>
            <w:tcW w:w="1865" w:type="dxa"/>
            <w:shd w:val="clear" w:color="000000" w:fill="448A99"/>
            <w:vAlign w:val="bottom"/>
            <w:hideMark/>
          </w:tcPr>
          <w:p w:rsidR="00C02815" w:rsidRPr="00F478DF" w:rsidRDefault="00C02815" w:rsidP="00A83ABC">
            <w:pPr>
              <w:jc w:val="center"/>
              <w:rPr>
                <w:rFonts w:ascii="Calibri" w:eastAsia="Times New Roman" w:hAnsi="Calibri" w:cs="Times New Roman"/>
                <w:b/>
                <w:bCs/>
                <w:color w:val="FFFFFF"/>
                <w:sz w:val="20"/>
                <w:szCs w:val="20"/>
              </w:rPr>
            </w:pPr>
            <w:r w:rsidRPr="00F478DF">
              <w:rPr>
                <w:rFonts w:ascii="Calibri" w:eastAsia="Times New Roman" w:hAnsi="Calibri" w:cs="Times New Roman"/>
                <w:b/>
                <w:bCs/>
                <w:color w:val="FFFFFF"/>
                <w:sz w:val="20"/>
                <w:szCs w:val="20"/>
              </w:rPr>
              <w:t>Load Curtailment</w:t>
            </w:r>
          </w:p>
        </w:tc>
      </w:tr>
      <w:tr w:rsidR="00C02815" w:rsidRPr="00F478DF" w:rsidTr="00554444">
        <w:trPr>
          <w:trHeight w:val="346"/>
        </w:trPr>
        <w:tc>
          <w:tcPr>
            <w:tcW w:w="1865" w:type="dxa"/>
            <w:shd w:val="clear" w:color="000000" w:fill="D2EAF1"/>
            <w:noWrap/>
            <w:hideMark/>
          </w:tcPr>
          <w:p w:rsidR="00C02815" w:rsidRPr="00F478DF" w:rsidRDefault="00C02815" w:rsidP="00A83ABC">
            <w:pPr>
              <w:jc w:val="left"/>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Duquesne</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0.1</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0.24</w:t>
            </w:r>
          </w:p>
        </w:tc>
      </w:tr>
      <w:tr w:rsidR="00C02815" w:rsidRPr="00F478DF" w:rsidTr="00554444">
        <w:trPr>
          <w:trHeight w:val="346"/>
        </w:trPr>
        <w:tc>
          <w:tcPr>
            <w:tcW w:w="1865" w:type="dxa"/>
            <w:shd w:val="clear" w:color="auto" w:fill="auto"/>
            <w:noWrap/>
            <w:hideMark/>
          </w:tcPr>
          <w:p w:rsidR="00C02815" w:rsidRPr="00F478DF" w:rsidRDefault="00C02815" w:rsidP="00A83ABC">
            <w:pPr>
              <w:jc w:val="left"/>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FE: Met-Ed</w:t>
            </w:r>
          </w:p>
        </w:tc>
        <w:tc>
          <w:tcPr>
            <w:tcW w:w="1865" w:type="dxa"/>
            <w:shd w:val="clear" w:color="auto" w:fill="auto"/>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0.58</w:t>
            </w:r>
          </w:p>
        </w:tc>
        <w:tc>
          <w:tcPr>
            <w:tcW w:w="1865" w:type="dxa"/>
            <w:shd w:val="clear" w:color="auto" w:fill="auto"/>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0.78</w:t>
            </w:r>
          </w:p>
        </w:tc>
      </w:tr>
      <w:tr w:rsidR="00C02815" w:rsidRPr="00F478DF" w:rsidTr="00554444">
        <w:trPr>
          <w:trHeight w:val="346"/>
        </w:trPr>
        <w:tc>
          <w:tcPr>
            <w:tcW w:w="1865" w:type="dxa"/>
            <w:shd w:val="clear" w:color="000000" w:fill="D2EAF1"/>
            <w:noWrap/>
            <w:hideMark/>
          </w:tcPr>
          <w:p w:rsidR="00C02815" w:rsidRPr="00F478DF" w:rsidRDefault="00C02815" w:rsidP="00A83ABC">
            <w:pPr>
              <w:jc w:val="left"/>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FE: Penelec</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0.36</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0.81</w:t>
            </w:r>
          </w:p>
        </w:tc>
      </w:tr>
      <w:tr w:rsidR="00C02815" w:rsidRPr="00F478DF" w:rsidTr="00554444">
        <w:trPr>
          <w:trHeight w:val="346"/>
        </w:trPr>
        <w:tc>
          <w:tcPr>
            <w:tcW w:w="1865" w:type="dxa"/>
            <w:shd w:val="clear" w:color="auto" w:fill="auto"/>
            <w:noWrap/>
            <w:hideMark/>
          </w:tcPr>
          <w:p w:rsidR="00C02815" w:rsidRPr="00F478DF" w:rsidRDefault="00C02815" w:rsidP="00A83ABC">
            <w:pPr>
              <w:jc w:val="left"/>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FE: Penn Power</w:t>
            </w:r>
          </w:p>
        </w:tc>
        <w:tc>
          <w:tcPr>
            <w:tcW w:w="1865" w:type="dxa"/>
            <w:shd w:val="clear" w:color="auto" w:fill="auto"/>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0.82</w:t>
            </w:r>
          </w:p>
        </w:tc>
        <w:tc>
          <w:tcPr>
            <w:tcW w:w="1865" w:type="dxa"/>
            <w:shd w:val="clear" w:color="auto" w:fill="auto"/>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0.79</w:t>
            </w:r>
          </w:p>
        </w:tc>
      </w:tr>
      <w:tr w:rsidR="00C02815" w:rsidRPr="00F478DF" w:rsidTr="00554444">
        <w:trPr>
          <w:trHeight w:val="346"/>
        </w:trPr>
        <w:tc>
          <w:tcPr>
            <w:tcW w:w="1865" w:type="dxa"/>
            <w:shd w:val="clear" w:color="000000" w:fill="D2EAF1"/>
            <w:noWrap/>
            <w:hideMark/>
          </w:tcPr>
          <w:p w:rsidR="00C02815" w:rsidRPr="00F478DF" w:rsidRDefault="00C02815" w:rsidP="00A83ABC">
            <w:pPr>
              <w:jc w:val="left"/>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FE: West Penn</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N/A</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0.99</w:t>
            </w:r>
          </w:p>
        </w:tc>
      </w:tr>
      <w:tr w:rsidR="00C02815" w:rsidRPr="00F478DF" w:rsidTr="00554444">
        <w:trPr>
          <w:trHeight w:val="346"/>
        </w:trPr>
        <w:tc>
          <w:tcPr>
            <w:tcW w:w="1865" w:type="dxa"/>
            <w:shd w:val="clear" w:color="auto" w:fill="auto"/>
            <w:noWrap/>
            <w:hideMark/>
          </w:tcPr>
          <w:p w:rsidR="00C02815" w:rsidRPr="00F478DF" w:rsidRDefault="00C02815" w:rsidP="00A83ABC">
            <w:pPr>
              <w:jc w:val="left"/>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PECO</w:t>
            </w:r>
          </w:p>
        </w:tc>
        <w:tc>
          <w:tcPr>
            <w:tcW w:w="1865" w:type="dxa"/>
            <w:shd w:val="clear" w:color="auto" w:fill="auto"/>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0.17</w:t>
            </w:r>
          </w:p>
        </w:tc>
        <w:tc>
          <w:tcPr>
            <w:tcW w:w="1865" w:type="dxa"/>
            <w:shd w:val="clear" w:color="auto" w:fill="auto"/>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0.31</w:t>
            </w:r>
          </w:p>
        </w:tc>
      </w:tr>
      <w:tr w:rsidR="00C02815" w:rsidRPr="00F478DF" w:rsidTr="00554444">
        <w:trPr>
          <w:trHeight w:val="346"/>
        </w:trPr>
        <w:tc>
          <w:tcPr>
            <w:tcW w:w="1865" w:type="dxa"/>
            <w:shd w:val="clear" w:color="000000" w:fill="D2EAF1"/>
            <w:noWrap/>
            <w:hideMark/>
          </w:tcPr>
          <w:p w:rsidR="00C02815" w:rsidRPr="00F478DF" w:rsidRDefault="00C02815" w:rsidP="00A83ABC">
            <w:pPr>
              <w:jc w:val="left"/>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PPL</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0.08</w:t>
            </w:r>
          </w:p>
        </w:tc>
        <w:tc>
          <w:tcPr>
            <w:tcW w:w="1865" w:type="dxa"/>
            <w:shd w:val="clear" w:color="000000" w:fill="D2EAF1"/>
            <w:hideMark/>
          </w:tcPr>
          <w:p w:rsidR="00C02815" w:rsidRPr="00F478DF" w:rsidRDefault="00C02815" w:rsidP="00A83ABC">
            <w:pPr>
              <w:jc w:val="center"/>
              <w:rPr>
                <w:rFonts w:ascii="Calibri" w:eastAsia="Times New Roman" w:hAnsi="Calibri" w:cs="Times New Roman"/>
                <w:color w:val="000000"/>
                <w:sz w:val="20"/>
                <w:szCs w:val="20"/>
              </w:rPr>
            </w:pPr>
            <w:r w:rsidRPr="00F478DF">
              <w:rPr>
                <w:rFonts w:ascii="Calibri" w:eastAsia="Times New Roman" w:hAnsi="Calibri" w:cs="Times New Roman"/>
                <w:color w:val="000000"/>
                <w:sz w:val="20"/>
                <w:szCs w:val="20"/>
              </w:rPr>
              <w:t>0.49</w:t>
            </w:r>
          </w:p>
        </w:tc>
      </w:tr>
    </w:tbl>
    <w:p w:rsidR="004B2F77" w:rsidRDefault="003E6D11" w:rsidP="003E6D11">
      <w:pPr>
        <w:rPr>
          <w:noProof/>
        </w:rPr>
      </w:pPr>
      <w:r>
        <w:lastRenderedPageBreak/>
        <w:t xml:space="preserve">The values in </w:t>
      </w:r>
      <w:r>
        <w:fldChar w:fldCharType="begin"/>
      </w:r>
      <w:r>
        <w:instrText xml:space="preserve"> REF _Ref412630578 \h </w:instrText>
      </w:r>
      <w:r>
        <w:fldChar w:fldCharType="separate"/>
      </w:r>
      <w:r w:rsidR="00803DBE" w:rsidRPr="00292031">
        <w:t xml:space="preserve">Table </w:t>
      </w:r>
      <w:r w:rsidR="00803DBE">
        <w:rPr>
          <w:noProof/>
        </w:rPr>
        <w:t>3</w:t>
      </w:r>
      <w:r w:rsidR="00803DBE">
        <w:noBreakHyphen/>
      </w:r>
      <w:r w:rsidR="00803DBE">
        <w:rPr>
          <w:noProof/>
        </w:rPr>
        <w:t>3</w:t>
      </w:r>
      <w:r>
        <w:fldChar w:fldCharType="end"/>
      </w:r>
      <w:r>
        <w:t xml:space="preserve"> are </w:t>
      </w:r>
      <w:r w:rsidR="00753B57">
        <w:t>based on Act 129 annual reports filed by the EDCs.</w:t>
      </w:r>
      <w:r w:rsidR="001A768D">
        <w:t xml:space="preserve"> </w:t>
      </w:r>
      <w:r w:rsidR="00D57684">
        <w:t xml:space="preserve">The Phase I SWE </w:t>
      </w:r>
      <w:r w:rsidR="00BE1301">
        <w:t>Team</w:t>
      </w:r>
      <w:r w:rsidR="00D57684">
        <w:t xml:space="preserve"> noted in </w:t>
      </w:r>
      <w:r w:rsidR="00292031">
        <w:t xml:space="preserve">the </w:t>
      </w:r>
      <w:r w:rsidR="00037A03">
        <w:t>DR</w:t>
      </w:r>
      <w:r w:rsidR="00D57684">
        <w:t xml:space="preserve"> study</w:t>
      </w:r>
      <w:r w:rsidR="00D57684">
        <w:rPr>
          <w:rStyle w:val="FootnoteReference"/>
        </w:rPr>
        <w:footnoteReference w:id="69"/>
      </w:r>
      <w:r w:rsidR="00D57684">
        <w:t xml:space="preserve"> that avoided capacity costs exhibited geographic variation. Capacity prices for the western zones were much lower than in the eastern zones. Low capacity prices impacted the TRC ratios of Duquesne’s DR programs in particular. </w:t>
      </w:r>
      <w:r w:rsidR="00D402F9">
        <w:t xml:space="preserve">As shown in </w:t>
      </w:r>
      <w:r w:rsidR="00D402F9">
        <w:fldChar w:fldCharType="begin"/>
      </w:r>
      <w:r w:rsidR="00D402F9">
        <w:instrText xml:space="preserve"> REF _Ref405549933 \h </w:instrText>
      </w:r>
      <w:r w:rsidR="00CF2BE5">
        <w:instrText xml:space="preserve"> \* MERGEFORMAT </w:instrText>
      </w:r>
      <w:r w:rsidR="00D402F9">
        <w:fldChar w:fldCharType="separate"/>
      </w:r>
      <w:r w:rsidR="00803DBE" w:rsidRPr="004421F6">
        <w:t xml:space="preserve">Table </w:t>
      </w:r>
      <w:r w:rsidR="00803DBE">
        <w:rPr>
          <w:noProof/>
        </w:rPr>
        <w:t>2</w:t>
      </w:r>
      <w:r w:rsidR="00803DBE">
        <w:rPr>
          <w:noProof/>
        </w:rPr>
        <w:noBreakHyphen/>
        <w:t>4</w:t>
      </w:r>
      <w:r w:rsidR="00D402F9">
        <w:fldChar w:fldCharType="end"/>
      </w:r>
      <w:r w:rsidR="00D402F9">
        <w:t xml:space="preserve">, the geographic variation in generation capacity prices observed in Phase I have largely disappeared for Phase III. The </w:t>
      </w:r>
      <w:r w:rsidR="006133A0">
        <w:t xml:space="preserve">Top </w:t>
      </w:r>
      <w:r w:rsidR="00D402F9">
        <w:t xml:space="preserve">100 hours performance </w:t>
      </w:r>
      <w:r w:rsidR="0080690E">
        <w:t xml:space="preserve">definition in Phase I also played a large role in the low TRC ratios observed in Phase I load curtailment programs because EDCs had to compensate participants generously to curtail load for such a large number of events. For DLC programs, the one-year effective useful life of load control equipment was a key driver of the low TRC ratios shown in </w:t>
      </w:r>
      <w:r>
        <w:fldChar w:fldCharType="begin"/>
      </w:r>
      <w:r>
        <w:instrText xml:space="preserve"> REF _Ref412630578 \h </w:instrText>
      </w:r>
      <w:r>
        <w:fldChar w:fldCharType="separate"/>
      </w:r>
      <w:r w:rsidR="00803DBE" w:rsidRPr="00292031">
        <w:t xml:space="preserve">Table </w:t>
      </w:r>
      <w:r w:rsidR="00803DBE">
        <w:rPr>
          <w:noProof/>
        </w:rPr>
        <w:t>3</w:t>
      </w:r>
      <w:r w:rsidR="00803DBE">
        <w:noBreakHyphen/>
      </w:r>
      <w:r w:rsidR="00803DBE">
        <w:rPr>
          <w:noProof/>
        </w:rPr>
        <w:t>3</w:t>
      </w:r>
      <w:r>
        <w:fldChar w:fldCharType="end"/>
      </w:r>
      <w:r>
        <w:t>.</w:t>
      </w:r>
    </w:p>
    <w:p w:rsidR="00CB03D7" w:rsidRDefault="00CB03D7" w:rsidP="00A83ABC"/>
    <w:p w:rsidR="0080690E" w:rsidRDefault="0080690E" w:rsidP="00A83ABC">
      <w:pPr>
        <w:pStyle w:val="Heading3"/>
      </w:pPr>
      <w:bookmarkStart w:id="159" w:name="_Toc412628404"/>
      <w:r>
        <w:t>Residential Load Control Performance</w:t>
      </w:r>
      <w:bookmarkEnd w:id="159"/>
    </w:p>
    <w:p w:rsidR="00CB03D7" w:rsidRDefault="00CB03D7" w:rsidP="00A83ABC">
      <w:r w:rsidRPr="00BA109A">
        <w:t>This section</w:t>
      </w:r>
      <w:r>
        <w:t xml:space="preserve"> of the report provides detailed information on the costs and performance </w:t>
      </w:r>
      <w:r w:rsidR="00A67696">
        <w:t>for</w:t>
      </w:r>
      <w:r>
        <w:t xml:space="preserve"> the EDC </w:t>
      </w:r>
      <w:r w:rsidR="008D678D">
        <w:t>DLC</w:t>
      </w:r>
      <w:r>
        <w:t xml:space="preserve"> programs </w:t>
      </w:r>
      <w:r w:rsidR="00A67696">
        <w:t xml:space="preserve">implemented </w:t>
      </w:r>
      <w:r>
        <w:t xml:space="preserve">during Phase I of Act 129. The </w:t>
      </w:r>
      <w:r w:rsidR="00D57684">
        <w:t>SWE Team</w:t>
      </w:r>
      <w:r>
        <w:t xml:space="preserve"> used the results of the Phase I residential DR programs where appropriate in the development of the projections of program costs and peak load reductions for potential Phase III residential </w:t>
      </w:r>
      <w:r w:rsidR="00037A03">
        <w:t>DR</w:t>
      </w:r>
      <w:r>
        <w:t xml:space="preserve"> programs.</w:t>
      </w:r>
    </w:p>
    <w:p w:rsidR="00CB03D7" w:rsidRPr="00EA2A60" w:rsidRDefault="00CB03D7" w:rsidP="00A83ABC"/>
    <w:p w:rsidR="00CB03D7" w:rsidRPr="00DE2ECF" w:rsidRDefault="00CB03D7" w:rsidP="00A83ABC">
      <w:pPr>
        <w:spacing w:after="60"/>
        <w:rPr>
          <w:rFonts w:ascii="Century Gothic" w:hAnsi="Century Gothic"/>
          <w:b/>
          <w:smallCaps/>
        </w:rPr>
      </w:pPr>
      <w:r w:rsidRPr="00DE2ECF">
        <w:rPr>
          <w:rFonts w:ascii="Century Gothic" w:hAnsi="Century Gothic"/>
          <w:b/>
          <w:smallCaps/>
        </w:rPr>
        <w:t xml:space="preserve">Duquesne Phase I Residential </w:t>
      </w:r>
      <w:r w:rsidR="00037A03">
        <w:rPr>
          <w:rFonts w:ascii="Century Gothic" w:hAnsi="Century Gothic"/>
          <w:b/>
          <w:smallCaps/>
        </w:rPr>
        <w:t>DR</w:t>
      </w:r>
      <w:r w:rsidR="00042FDD">
        <w:rPr>
          <w:rFonts w:ascii="Century Gothic" w:hAnsi="Century Gothic"/>
          <w:b/>
          <w:smallCaps/>
        </w:rPr>
        <w:t xml:space="preserve"> Program</w:t>
      </w:r>
    </w:p>
    <w:p w:rsidR="00CB03D7" w:rsidRDefault="00AE4009" w:rsidP="00A83ABC">
      <w:r>
        <w:t xml:space="preserve">During Phase I of Act 129, Duquesne implemented a residential load control program for central </w:t>
      </w:r>
      <w:r w:rsidR="00622FC2">
        <w:t>A/C</w:t>
      </w:r>
      <w:r>
        <w:t xml:space="preserve"> systems called Watt Choices. During 2012, the SWE </w:t>
      </w:r>
      <w:r w:rsidR="00BE1301">
        <w:t xml:space="preserve">Team </w:t>
      </w:r>
      <w:r>
        <w:t>estimates that 320,168 (61</w:t>
      </w:r>
      <w:r w:rsidRPr="00823911">
        <w:t>%</w:t>
      </w:r>
      <w:r>
        <w:t xml:space="preserve">) of </w:t>
      </w:r>
      <w:r w:rsidRPr="00F46D54">
        <w:t xml:space="preserve">Duquesne’s residential customers with central A/C systems were eligible for this DR program, based on the </w:t>
      </w:r>
      <w:r w:rsidR="00F46D54" w:rsidRPr="00F46D54">
        <w:rPr>
          <w:szCs w:val="20"/>
        </w:rPr>
        <w:t xml:space="preserve">SWE 2012 Pennsylvania Statewide Residential </w:t>
      </w:r>
      <w:r w:rsidR="00F46D54" w:rsidRPr="00F46D54">
        <w:t>End</w:t>
      </w:r>
      <w:r w:rsidR="00B17135">
        <w:t xml:space="preserve"> </w:t>
      </w:r>
      <w:r w:rsidR="00F46D54" w:rsidRPr="00F46D54">
        <w:t>Use and Saturation Study</w:t>
      </w:r>
      <w:r w:rsidR="00F46D54" w:rsidRPr="00F46D54" w:rsidDel="00BE1301">
        <w:t xml:space="preserve"> </w:t>
      </w:r>
      <w:r w:rsidRPr="00F46D54">
        <w:t>for the Duquesne service area and the total number of Duquesne residential customers in 2012. The 1,474 Duquesne</w:t>
      </w:r>
      <w:r>
        <w:t xml:space="preserve"> residential customers with central A/C </w:t>
      </w:r>
      <w:r w:rsidR="00292031">
        <w:t>systems,</w:t>
      </w:r>
      <w:r>
        <w:t xml:space="preserve"> who participated in this program, represented a 0.46% participation rate.</w:t>
      </w:r>
      <w:r>
        <w:rPr>
          <w:rStyle w:val="FootnoteReference"/>
        </w:rPr>
        <w:footnoteReference w:id="70"/>
      </w:r>
      <w:r>
        <w:t xml:space="preserve"> The Duquesne Phase I Watt Choices program used A/C cycling strategies of 50%</w:t>
      </w:r>
      <w:r>
        <w:rPr>
          <w:rStyle w:val="FootnoteReference"/>
        </w:rPr>
        <w:footnoteReference w:id="71"/>
      </w:r>
      <w:r>
        <w:t xml:space="preserve">, which means  central </w:t>
      </w:r>
      <w:r w:rsidRPr="000522A2">
        <w:t xml:space="preserve">A/C units were cycled off 50% of each hour (during </w:t>
      </w:r>
      <w:r w:rsidR="000F4A74">
        <w:t>DR</w:t>
      </w:r>
      <w:r w:rsidRPr="000522A2">
        <w:t xml:space="preserve"> events).</w:t>
      </w:r>
    </w:p>
    <w:p w:rsidR="00CB03D7" w:rsidRPr="000522A2" w:rsidRDefault="00CB03D7" w:rsidP="00A83ABC"/>
    <w:p w:rsidR="003E6D11" w:rsidRDefault="00950DB9" w:rsidP="003E6D11">
      <w:pPr>
        <w:spacing w:after="200"/>
        <w:jc w:val="left"/>
        <w:rPr>
          <w:b/>
          <w:bCs/>
          <w:sz w:val="18"/>
          <w:szCs w:val="18"/>
        </w:rPr>
      </w:pPr>
      <w:r>
        <w:t xml:space="preserve">In Phase I of the program, the central </w:t>
      </w:r>
      <w:r w:rsidR="00622FC2">
        <w:t>A/C</w:t>
      </w:r>
      <w:r>
        <w:t xml:space="preserve"> units of Duquesne’s participating residential customers were controlled by a company-owned cycling switch</w:t>
      </w:r>
      <w:r w:rsidR="00886534">
        <w:rPr>
          <w:rStyle w:val="FootnoteReference"/>
        </w:rPr>
        <w:footnoteReference w:id="72"/>
      </w:r>
      <w:r>
        <w:t>. Duquesne marketed this program via a company website</w:t>
      </w:r>
      <w:r>
        <w:rPr>
          <w:rStyle w:val="FootnoteReference"/>
        </w:rPr>
        <w:footnoteReference w:id="73"/>
      </w:r>
      <w:r>
        <w:t xml:space="preserve"> and two service line inserts (bill inserts offering an average bill credit of $36.60 during the summer of 2012 for participating residential customers). A total of $1.1 million was spent on this program during Phase I.</w:t>
      </w:r>
      <w:r>
        <w:rPr>
          <w:rStyle w:val="FootnoteReference"/>
        </w:rPr>
        <w:footnoteReference w:id="74"/>
      </w:r>
      <w:r>
        <w:t xml:space="preserve"> The overall program had a TRC benefit/cost ratio of </w:t>
      </w:r>
      <w:r w:rsidRPr="00610899">
        <w:t>0.1</w:t>
      </w:r>
      <w:r>
        <w:t xml:space="preserve"> according to the Duquesne Final Phase I Annual Report and a total kW reduction of 465 kW</w:t>
      </w:r>
      <w:r>
        <w:rPr>
          <w:rStyle w:val="FootnoteReference"/>
        </w:rPr>
        <w:footnoteReference w:id="75"/>
      </w:r>
      <w:r>
        <w:t>, with an average reduction of 0.845 kW</w:t>
      </w:r>
      <w:r>
        <w:rPr>
          <w:rStyle w:val="FootnoteReference"/>
        </w:rPr>
        <w:footnoteReference w:id="76"/>
      </w:r>
      <w:r>
        <w:t xml:space="preserve"> per A/C unit. Duquesne’s benefit/cost analysis for the Phase I program assumed average </w:t>
      </w:r>
      <w:r w:rsidR="00AD2C38">
        <w:t>T&amp;D</w:t>
      </w:r>
      <w:r>
        <w:t xml:space="preserve"> line losses of 6.9%.</w:t>
      </w:r>
      <w:r>
        <w:rPr>
          <w:rStyle w:val="FootnoteReference"/>
        </w:rPr>
        <w:footnoteReference w:id="77"/>
      </w:r>
      <w:r>
        <w:t xml:space="preserve"> Key program data are provided in </w:t>
      </w:r>
      <w:r w:rsidR="003E6D11">
        <w:fldChar w:fldCharType="begin"/>
      </w:r>
      <w:r w:rsidR="003E6D11">
        <w:instrText xml:space="preserve"> REF _Ref412630540 \h </w:instrText>
      </w:r>
      <w:r w:rsidR="003E6D11">
        <w:fldChar w:fldCharType="separate"/>
      </w:r>
      <w:r w:rsidR="00803DBE" w:rsidRPr="005A7984">
        <w:t xml:space="preserve">Table </w:t>
      </w:r>
      <w:r w:rsidR="00803DBE">
        <w:rPr>
          <w:noProof/>
        </w:rPr>
        <w:t>3</w:t>
      </w:r>
      <w:r w:rsidR="00803DBE">
        <w:noBreakHyphen/>
      </w:r>
      <w:r w:rsidR="00803DBE">
        <w:rPr>
          <w:noProof/>
        </w:rPr>
        <w:t>4</w:t>
      </w:r>
      <w:r w:rsidR="003E6D11">
        <w:fldChar w:fldCharType="end"/>
      </w:r>
      <w:r w:rsidR="003E6D11">
        <w:t>.</w:t>
      </w:r>
      <w:bookmarkStart w:id="160" w:name="_Ref407349017"/>
      <w:r w:rsidR="003E6D11">
        <w:rPr>
          <w:b/>
          <w:bCs/>
          <w:sz w:val="18"/>
          <w:szCs w:val="18"/>
        </w:rPr>
        <w:t xml:space="preserve"> </w:t>
      </w:r>
    </w:p>
    <w:p w:rsidR="00961F0E" w:rsidRDefault="00961F0E" w:rsidP="00A83ABC">
      <w:pPr>
        <w:spacing w:after="200"/>
        <w:jc w:val="left"/>
        <w:rPr>
          <w:b/>
          <w:bCs/>
          <w:sz w:val="18"/>
          <w:szCs w:val="18"/>
        </w:rPr>
      </w:pPr>
    </w:p>
    <w:p w:rsidR="003E6D11" w:rsidRDefault="003E6D11" w:rsidP="00A83ABC">
      <w:pPr>
        <w:spacing w:after="200"/>
        <w:jc w:val="left"/>
        <w:rPr>
          <w:b/>
          <w:bCs/>
          <w:sz w:val="18"/>
          <w:szCs w:val="18"/>
        </w:rPr>
      </w:pPr>
    </w:p>
    <w:p w:rsidR="003E6D11" w:rsidRDefault="003E6D11" w:rsidP="00A83ABC">
      <w:pPr>
        <w:spacing w:after="200"/>
        <w:jc w:val="left"/>
        <w:rPr>
          <w:b/>
          <w:bCs/>
          <w:sz w:val="18"/>
          <w:szCs w:val="18"/>
        </w:rPr>
      </w:pPr>
    </w:p>
    <w:p w:rsidR="00CB03D7" w:rsidRPr="005A7984" w:rsidRDefault="00CB03D7" w:rsidP="00A83ABC">
      <w:pPr>
        <w:pStyle w:val="Caption"/>
      </w:pPr>
      <w:bookmarkStart w:id="161" w:name="_Ref412630540"/>
      <w:bookmarkStart w:id="162" w:name="_Toc412628463"/>
      <w:r w:rsidRPr="005A7984">
        <w:lastRenderedPageBreak/>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4</w:t>
      </w:r>
      <w:r w:rsidR="00E2011B">
        <w:rPr>
          <w:noProof/>
        </w:rPr>
        <w:fldChar w:fldCharType="end"/>
      </w:r>
      <w:bookmarkEnd w:id="160"/>
      <w:bookmarkEnd w:id="161"/>
      <w:r w:rsidRPr="005A7984">
        <w:t xml:space="preserve">: Key Characteristics of Duquesne’s Phase I Residential </w:t>
      </w:r>
      <w:r w:rsidR="002F761C">
        <w:t>A/C</w:t>
      </w:r>
      <w:r w:rsidRPr="005A7984">
        <w:t xml:space="preserve"> Cycling Program</w:t>
      </w:r>
      <w:bookmarkEnd w:id="162"/>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50"/>
        <w:gridCol w:w="2520"/>
        <w:gridCol w:w="3798"/>
      </w:tblGrid>
      <w:tr w:rsidR="00CB03D7" w:rsidRPr="00610CEB" w:rsidTr="007322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jc w:val="left"/>
              <w:rPr>
                <w:sz w:val="20"/>
                <w:szCs w:val="20"/>
              </w:rPr>
            </w:pPr>
            <w:r w:rsidRPr="00610CEB">
              <w:rPr>
                <w:sz w:val="20"/>
                <w:szCs w:val="20"/>
              </w:rPr>
              <w:t>Description of Characteristic</w:t>
            </w:r>
          </w:p>
        </w:tc>
        <w:tc>
          <w:tcPr>
            <w:tcW w:w="2520"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610CEB">
              <w:rPr>
                <w:rFonts w:asciiTheme="minorHAnsi" w:hAnsiTheme="minorHAnsi"/>
                <w:color w:val="FFFFFF" w:themeColor="background1"/>
                <w:sz w:val="20"/>
                <w:szCs w:val="20"/>
              </w:rPr>
              <w:t>Duquesne Data</w:t>
            </w:r>
          </w:p>
        </w:tc>
        <w:tc>
          <w:tcPr>
            <w:tcW w:w="3798"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610CEB">
              <w:rPr>
                <w:rFonts w:asciiTheme="minorHAnsi" w:hAnsiTheme="minorHAnsi"/>
                <w:color w:val="FFFFFF" w:themeColor="background1"/>
                <w:sz w:val="20"/>
                <w:szCs w:val="20"/>
              </w:rPr>
              <w:t>Data Source</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2012 number of residential customers</w:t>
            </w:r>
          </w:p>
        </w:tc>
        <w:tc>
          <w:tcPr>
            <w:tcW w:w="2520" w:type="dxa"/>
            <w:tcBorders>
              <w:left w:val="none" w:sz="0" w:space="0" w:color="auto"/>
              <w:right w:val="none" w:sz="0" w:space="0" w:color="auto"/>
            </w:tcBorders>
          </w:tcPr>
          <w:p w:rsidR="00CB03D7" w:rsidRPr="005A7984" w:rsidRDefault="00CB03D7" w:rsidP="00A83AB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A7984">
              <w:rPr>
                <w:rFonts w:asciiTheme="minorHAnsi" w:hAnsiTheme="minorHAnsi"/>
                <w:sz w:val="20"/>
                <w:szCs w:val="20"/>
              </w:rPr>
              <w:t xml:space="preserve">524,865 </w:t>
            </w:r>
          </w:p>
        </w:tc>
        <w:tc>
          <w:tcPr>
            <w:tcW w:w="3798" w:type="dxa"/>
            <w:tcBorders>
              <w:left w:val="none" w:sz="0" w:space="0" w:color="auto"/>
            </w:tcBorders>
          </w:tcPr>
          <w:p w:rsidR="00CB03D7" w:rsidRPr="005A7984" w:rsidRDefault="00CB03D7" w:rsidP="00A83AB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A7984">
              <w:rPr>
                <w:rFonts w:asciiTheme="minorHAnsi" w:hAnsiTheme="minorHAnsi"/>
                <w:sz w:val="20"/>
                <w:szCs w:val="20"/>
              </w:rPr>
              <w:t xml:space="preserve">SWE 2012 Pennsylvania Statewide Residential </w:t>
            </w:r>
            <w:r w:rsidR="00C653CA" w:rsidRPr="00C653CA">
              <w:rPr>
                <w:rFonts w:asciiTheme="minorHAnsi" w:hAnsiTheme="minorHAnsi"/>
                <w:sz w:val="20"/>
                <w:szCs w:val="20"/>
              </w:rPr>
              <w:t>End</w:t>
            </w:r>
            <w:r w:rsidR="00B17135">
              <w:rPr>
                <w:rFonts w:asciiTheme="minorHAnsi" w:hAnsiTheme="minorHAnsi"/>
                <w:sz w:val="20"/>
                <w:szCs w:val="20"/>
              </w:rPr>
              <w:t xml:space="preserve"> </w:t>
            </w:r>
            <w:r w:rsidR="00C653CA" w:rsidRPr="00C653CA">
              <w:rPr>
                <w:rFonts w:asciiTheme="minorHAnsi" w:hAnsiTheme="minorHAnsi"/>
                <w:sz w:val="20"/>
                <w:szCs w:val="20"/>
              </w:rPr>
              <w:t>Use and Saturation Study</w:t>
            </w:r>
            <w:r w:rsidR="00C653CA">
              <w:rPr>
                <w:rFonts w:asciiTheme="minorHAnsi" w:hAnsiTheme="minorHAnsi"/>
                <w:sz w:val="20"/>
                <w:szCs w:val="20"/>
              </w:rPr>
              <w:t xml:space="preserve"> </w:t>
            </w:r>
            <w:r w:rsidRPr="005A7984">
              <w:rPr>
                <w:rFonts w:asciiTheme="minorHAnsi" w:hAnsiTheme="minorHAnsi"/>
                <w:sz w:val="20"/>
                <w:szCs w:val="20"/>
              </w:rPr>
              <w:t>Page 21</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Percent of residential customers with central </w:t>
            </w:r>
            <w:r w:rsidR="00622FC2">
              <w:rPr>
                <w:b w:val="0"/>
                <w:sz w:val="20"/>
                <w:szCs w:val="20"/>
              </w:rPr>
              <w:t>A/C</w:t>
            </w:r>
            <w:r w:rsidRPr="00610CEB">
              <w:rPr>
                <w:b w:val="0"/>
                <w:sz w:val="20"/>
                <w:szCs w:val="20"/>
              </w:rPr>
              <w:t xml:space="preserve"> systems (2012 </w:t>
            </w:r>
            <w:r w:rsidR="00C653CA">
              <w:rPr>
                <w:b w:val="0"/>
                <w:sz w:val="20"/>
                <w:szCs w:val="20"/>
              </w:rPr>
              <w:t>End</w:t>
            </w:r>
            <w:r w:rsidR="00B17135">
              <w:rPr>
                <w:b w:val="0"/>
                <w:sz w:val="20"/>
                <w:szCs w:val="20"/>
              </w:rPr>
              <w:t xml:space="preserve"> </w:t>
            </w:r>
            <w:r w:rsidR="00C653CA">
              <w:rPr>
                <w:b w:val="0"/>
                <w:sz w:val="20"/>
                <w:szCs w:val="20"/>
              </w:rPr>
              <w:t xml:space="preserve">Use and Saturation </w:t>
            </w:r>
            <w:r w:rsidRPr="00610CEB">
              <w:rPr>
                <w:b w:val="0"/>
                <w:sz w:val="20"/>
                <w:szCs w:val="20"/>
              </w:rPr>
              <w:t>Study)</w:t>
            </w:r>
          </w:p>
        </w:tc>
        <w:tc>
          <w:tcPr>
            <w:tcW w:w="2520" w:type="dxa"/>
            <w:tcBorders>
              <w:left w:val="none" w:sz="0" w:space="0" w:color="auto"/>
              <w:right w:val="none" w:sz="0" w:space="0" w:color="auto"/>
            </w:tcBorders>
          </w:tcPr>
          <w:p w:rsidR="00CB03D7" w:rsidRPr="005A7984" w:rsidRDefault="00950DB9"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61%</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 xml:space="preserve">SWE 2012 Pennsylvania Statewide </w:t>
            </w:r>
            <w:r w:rsidR="00C653CA" w:rsidRPr="005A7984">
              <w:rPr>
                <w:sz w:val="20"/>
                <w:szCs w:val="20"/>
              </w:rPr>
              <w:t xml:space="preserve">Residential </w:t>
            </w:r>
            <w:r w:rsidR="00C653CA" w:rsidRPr="00C653CA">
              <w:rPr>
                <w:sz w:val="20"/>
                <w:szCs w:val="20"/>
              </w:rPr>
              <w:t>End</w:t>
            </w:r>
            <w:r w:rsidR="00B17135">
              <w:rPr>
                <w:sz w:val="20"/>
                <w:szCs w:val="20"/>
              </w:rPr>
              <w:t xml:space="preserve"> </w:t>
            </w:r>
            <w:r w:rsidR="00C653CA" w:rsidRPr="00C653CA">
              <w:rPr>
                <w:sz w:val="20"/>
                <w:szCs w:val="20"/>
              </w:rPr>
              <w:t xml:space="preserve"> Use and Saturation Study</w:t>
            </w:r>
            <w:r w:rsidR="00C653CA">
              <w:rPr>
                <w:sz w:val="20"/>
                <w:szCs w:val="20"/>
              </w:rPr>
              <w:t xml:space="preserve"> </w:t>
            </w:r>
            <w:r w:rsidRPr="005A7984">
              <w:rPr>
                <w:sz w:val="20"/>
                <w:szCs w:val="20"/>
              </w:rPr>
              <w:t>Page 7</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Homes with central A/C in 2012 (Eligible Market)</w:t>
            </w:r>
          </w:p>
        </w:tc>
        <w:tc>
          <w:tcPr>
            <w:tcW w:w="2520" w:type="dxa"/>
            <w:tcBorders>
              <w:left w:val="none" w:sz="0" w:space="0" w:color="auto"/>
              <w:righ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320,168</w:t>
            </w:r>
          </w:p>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798" w:type="dxa"/>
            <w:tcBorders>
              <w:lef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61% of 524,865 residential customers</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Phase I participants in A/C cycling program</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1,474</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 xml:space="preserve">Duquesne response to 6/12/2014 SWE </w:t>
            </w:r>
            <w:r w:rsidR="00037A03">
              <w:rPr>
                <w:sz w:val="20"/>
                <w:szCs w:val="20"/>
              </w:rPr>
              <w:t>DR</w:t>
            </w:r>
            <w:r w:rsidRPr="005A7984">
              <w:rPr>
                <w:sz w:val="20"/>
                <w:szCs w:val="20"/>
              </w:rPr>
              <w:t xml:space="preserve"> Study Data Request, Request #2</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Program participation rate (participation as a percent of the eligible market)</w:t>
            </w:r>
          </w:p>
        </w:tc>
        <w:tc>
          <w:tcPr>
            <w:tcW w:w="2520" w:type="dxa"/>
            <w:tcBorders>
              <w:left w:val="none" w:sz="0" w:space="0" w:color="auto"/>
              <w:right w:val="none" w:sz="0" w:space="0" w:color="auto"/>
            </w:tcBorders>
          </w:tcPr>
          <w:p w:rsidR="00CB03D7" w:rsidRPr="005A7984" w:rsidRDefault="00950DB9" w:rsidP="00A83ABC">
            <w:pPr>
              <w:tabs>
                <w:tab w:val="left" w:pos="965"/>
                <w:tab w:val="center" w:pos="1152"/>
              </w:tab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b/>
              <w:t>0.45%</w:t>
            </w:r>
          </w:p>
        </w:tc>
        <w:tc>
          <w:tcPr>
            <w:tcW w:w="3798" w:type="dxa"/>
            <w:tcBorders>
              <w:lef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 xml:space="preserve">1,474 participants /320,168 residential customers with central </w:t>
            </w:r>
            <w:r w:rsidR="00622FC2">
              <w:rPr>
                <w:sz w:val="20"/>
                <w:szCs w:val="20"/>
              </w:rPr>
              <w:t>A/C</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Cycling strategies Used (50%, 75%, 100%, etc.)</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50%</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 xml:space="preserve">Duquesne response to 6/12/2014 </w:t>
            </w:r>
            <w:r w:rsidR="00037A03">
              <w:rPr>
                <w:sz w:val="20"/>
                <w:szCs w:val="20"/>
              </w:rPr>
              <w:t>DR</w:t>
            </w:r>
            <w:r w:rsidRPr="005A7984">
              <w:rPr>
                <w:sz w:val="20"/>
                <w:szCs w:val="20"/>
              </w:rPr>
              <w:t xml:space="preserve"> Study Data Request, Request #9</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Maximum number of cycling events allowable per summer of 2012</w:t>
            </w:r>
          </w:p>
        </w:tc>
        <w:tc>
          <w:tcPr>
            <w:tcW w:w="2520" w:type="dxa"/>
            <w:tcBorders>
              <w:left w:val="none" w:sz="0" w:space="0" w:color="auto"/>
              <w:righ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12 events</w:t>
            </w:r>
          </w:p>
        </w:tc>
        <w:tc>
          <w:tcPr>
            <w:tcW w:w="3798" w:type="dxa"/>
            <w:tcBorders>
              <w:left w:val="none" w:sz="0" w:space="0" w:color="auto"/>
            </w:tcBorders>
          </w:tcPr>
          <w:p w:rsidR="00CB03D7" w:rsidRPr="005A7984" w:rsidRDefault="00E2011B"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hyperlink r:id="rId39" w:history="1">
              <w:r w:rsidR="00CB03D7" w:rsidRPr="005A7984">
                <w:rPr>
                  <w:rStyle w:val="Hyperlink"/>
                  <w:sz w:val="20"/>
                  <w:szCs w:val="20"/>
                </w:rPr>
                <w:t>https://www.duquesnelight.com/WattChoices/files/EECPlan_20100915.pdf</w:t>
              </w:r>
            </w:hyperlink>
            <w:r w:rsidR="00CB03D7" w:rsidRPr="005A7984">
              <w:rPr>
                <w:sz w:val="20"/>
                <w:szCs w:val="20"/>
              </w:rPr>
              <w:t xml:space="preserve"> page 56</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Maximum duration (in hours) for each cycling event – summer 2012</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4 hours</w:t>
            </w:r>
          </w:p>
        </w:tc>
        <w:tc>
          <w:tcPr>
            <w:tcW w:w="3798" w:type="dxa"/>
            <w:tcBorders>
              <w:left w:val="none" w:sz="0" w:space="0" w:color="auto"/>
            </w:tcBorders>
          </w:tcPr>
          <w:p w:rsidR="00CB03D7" w:rsidRPr="005A7984" w:rsidRDefault="00E2011B"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40" w:history="1">
              <w:r w:rsidR="00CB03D7" w:rsidRPr="005A7984">
                <w:rPr>
                  <w:rStyle w:val="Hyperlink"/>
                  <w:sz w:val="20"/>
                  <w:szCs w:val="20"/>
                </w:rPr>
                <w:t>https://www.duquesnelight.com/WattChoices/files/EECPlan_20100915.pdf</w:t>
              </w:r>
            </w:hyperlink>
            <w:r w:rsidR="00CB03D7" w:rsidRPr="005A7984">
              <w:rPr>
                <w:sz w:val="20"/>
                <w:szCs w:val="20"/>
              </w:rPr>
              <w:t xml:space="preserve"> page 56</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BD3227" w:rsidRDefault="00CB03D7" w:rsidP="00A83ABC">
            <w:pPr>
              <w:jc w:val="left"/>
              <w:rPr>
                <w:b w:val="0"/>
                <w:sz w:val="20"/>
                <w:szCs w:val="20"/>
              </w:rPr>
            </w:pPr>
            <w:r w:rsidRPr="00BD3227">
              <w:rPr>
                <w:b w:val="0"/>
                <w:sz w:val="20"/>
                <w:szCs w:val="20"/>
              </w:rPr>
              <w:t xml:space="preserve">Type of </w:t>
            </w:r>
            <w:r w:rsidR="00BD3227" w:rsidRPr="00BD3227">
              <w:rPr>
                <w:b w:val="0"/>
                <w:sz w:val="20"/>
                <w:szCs w:val="20"/>
              </w:rPr>
              <w:t>central computer</w:t>
            </w:r>
          </w:p>
        </w:tc>
        <w:tc>
          <w:tcPr>
            <w:tcW w:w="2520" w:type="dxa"/>
            <w:tcBorders>
              <w:left w:val="none" w:sz="0" w:space="0" w:color="auto"/>
              <w:right w:val="none" w:sz="0" w:space="0" w:color="auto"/>
            </w:tcBorders>
          </w:tcPr>
          <w:p w:rsidR="00CB03D7" w:rsidRPr="00BD3227" w:rsidRDefault="00BD322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D3227">
              <w:rPr>
                <w:sz w:val="20"/>
                <w:szCs w:val="20"/>
              </w:rPr>
              <w:t>To be provided</w:t>
            </w:r>
          </w:p>
        </w:tc>
        <w:tc>
          <w:tcPr>
            <w:tcW w:w="3798" w:type="dxa"/>
            <w:tcBorders>
              <w:left w:val="none" w:sz="0" w:space="0" w:color="auto"/>
            </w:tcBorders>
          </w:tcPr>
          <w:p w:rsidR="00CB03D7" w:rsidRPr="00BD3227" w:rsidRDefault="00E2011B"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hyperlink r:id="rId41" w:history="1">
              <w:r w:rsidR="00CB03D7" w:rsidRPr="00BD3227">
                <w:rPr>
                  <w:rStyle w:val="Hyperlink"/>
                  <w:sz w:val="20"/>
                  <w:szCs w:val="20"/>
                </w:rPr>
                <w:t>https://www.duquesnelight.com/WattChoices/default.cfm</w:t>
              </w:r>
            </w:hyperlink>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Type of load control switch utilized</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Digital Control Unit</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Duquesne Light Act 129 Phase I report to the Pennsylvania PUC, page 75.</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Average kW load reduction per unit in Phase I</w:t>
            </w:r>
          </w:p>
        </w:tc>
        <w:tc>
          <w:tcPr>
            <w:tcW w:w="2520" w:type="dxa"/>
            <w:tcBorders>
              <w:left w:val="none" w:sz="0" w:space="0" w:color="auto"/>
              <w:righ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0.845 kW</w:t>
            </w:r>
          </w:p>
        </w:tc>
        <w:tc>
          <w:tcPr>
            <w:tcW w:w="3798" w:type="dxa"/>
            <w:tcBorders>
              <w:lef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 xml:space="preserve">Duquesne response to 6/12/2014 SWE </w:t>
            </w:r>
            <w:r w:rsidR="00037A03">
              <w:rPr>
                <w:sz w:val="20"/>
                <w:szCs w:val="20"/>
              </w:rPr>
              <w:t>DR</w:t>
            </w:r>
            <w:r w:rsidRPr="005A7984">
              <w:rPr>
                <w:sz w:val="20"/>
                <w:szCs w:val="20"/>
              </w:rPr>
              <w:t xml:space="preserve"> Study Data Request, Request #18</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Incentive amount per participant</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$36.60</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 xml:space="preserve">Duquesne Final </w:t>
            </w:r>
            <w:r w:rsidR="00950DB9">
              <w:rPr>
                <w:sz w:val="20"/>
                <w:szCs w:val="20"/>
              </w:rPr>
              <w:t>Phase I</w:t>
            </w:r>
            <w:r w:rsidRPr="005A7984">
              <w:rPr>
                <w:sz w:val="20"/>
                <w:szCs w:val="20"/>
              </w:rPr>
              <w:t xml:space="preserve"> Annual Report, page 75</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Total program expenditures – Program Year 4</w:t>
            </w:r>
          </w:p>
        </w:tc>
        <w:tc>
          <w:tcPr>
            <w:tcW w:w="2520" w:type="dxa"/>
            <w:tcBorders>
              <w:left w:val="none" w:sz="0" w:space="0" w:color="auto"/>
              <w:righ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$1.1 million</w:t>
            </w:r>
          </w:p>
        </w:tc>
        <w:tc>
          <w:tcPr>
            <w:tcW w:w="3798" w:type="dxa"/>
            <w:tcBorders>
              <w:lef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 xml:space="preserve">Duquesne Final </w:t>
            </w:r>
            <w:r w:rsidR="00950DB9">
              <w:rPr>
                <w:sz w:val="20"/>
                <w:szCs w:val="20"/>
              </w:rPr>
              <w:t>Phase I</w:t>
            </w:r>
            <w:r w:rsidRPr="005A7984">
              <w:rPr>
                <w:sz w:val="20"/>
                <w:szCs w:val="20"/>
              </w:rPr>
              <w:t xml:space="preserve"> Annual Report, page 77</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EDC reported kW savings for all participants – summer 2012</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465 kW</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 xml:space="preserve">Duquesne Final </w:t>
            </w:r>
            <w:r w:rsidR="00950DB9">
              <w:rPr>
                <w:sz w:val="20"/>
                <w:szCs w:val="20"/>
              </w:rPr>
              <w:t>Phase I</w:t>
            </w:r>
            <w:r w:rsidRPr="005A7984">
              <w:rPr>
                <w:sz w:val="20"/>
                <w:szCs w:val="20"/>
              </w:rPr>
              <w:t xml:space="preserve"> Annual Report, page 75</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T&amp;D line losses percentage used in TRC test for PY4</w:t>
            </w:r>
          </w:p>
        </w:tc>
        <w:tc>
          <w:tcPr>
            <w:tcW w:w="2520" w:type="dxa"/>
            <w:tcBorders>
              <w:left w:val="none" w:sz="0" w:space="0" w:color="auto"/>
              <w:righ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CF2678">
              <w:rPr>
                <w:sz w:val="20"/>
                <w:szCs w:val="20"/>
              </w:rPr>
              <w:t xml:space="preserve">6.9% </w:t>
            </w:r>
          </w:p>
        </w:tc>
        <w:tc>
          <w:tcPr>
            <w:tcW w:w="3798" w:type="dxa"/>
            <w:tcBorders>
              <w:lef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 xml:space="preserve">Duquesne Final </w:t>
            </w:r>
            <w:r w:rsidR="00950DB9">
              <w:rPr>
                <w:sz w:val="20"/>
                <w:szCs w:val="20"/>
              </w:rPr>
              <w:t>Phase I</w:t>
            </w:r>
            <w:r w:rsidRPr="005A7984">
              <w:rPr>
                <w:sz w:val="20"/>
                <w:szCs w:val="20"/>
              </w:rPr>
              <w:t xml:space="preserve"> Annual Report, page 26</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EDC Reported </w:t>
            </w:r>
            <w:r w:rsidR="00AE4009">
              <w:rPr>
                <w:b w:val="0"/>
                <w:sz w:val="20"/>
                <w:szCs w:val="20"/>
              </w:rPr>
              <w:t>TRC</w:t>
            </w:r>
            <w:r w:rsidRPr="00610CEB">
              <w:rPr>
                <w:b w:val="0"/>
                <w:sz w:val="20"/>
                <w:szCs w:val="20"/>
              </w:rPr>
              <w:t xml:space="preserve"> Test Ratio for PY 4</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0.1</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 xml:space="preserve">Duquesne Final </w:t>
            </w:r>
            <w:r w:rsidR="00950DB9">
              <w:rPr>
                <w:sz w:val="20"/>
                <w:szCs w:val="20"/>
              </w:rPr>
              <w:t>Phase I</w:t>
            </w:r>
            <w:r w:rsidRPr="005A7984">
              <w:rPr>
                <w:sz w:val="20"/>
                <w:szCs w:val="20"/>
              </w:rPr>
              <w:t xml:space="preserve"> Annual Report, page 26</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EDC reported kW savings as a percent of 2012 summer total peak load for EDC</w:t>
            </w:r>
          </w:p>
        </w:tc>
        <w:tc>
          <w:tcPr>
            <w:tcW w:w="2520" w:type="dxa"/>
            <w:tcBorders>
              <w:left w:val="none" w:sz="0" w:space="0" w:color="auto"/>
              <w:righ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.02%</w:t>
            </w:r>
          </w:p>
        </w:tc>
        <w:tc>
          <w:tcPr>
            <w:tcW w:w="3798" w:type="dxa"/>
            <w:tcBorders>
              <w:lef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 xml:space="preserve">Duquesne response to SWE 6/12/2014 </w:t>
            </w:r>
            <w:r w:rsidR="00037A03">
              <w:rPr>
                <w:sz w:val="20"/>
                <w:szCs w:val="20"/>
              </w:rPr>
              <w:t>DR</w:t>
            </w:r>
            <w:r w:rsidRPr="005A7984">
              <w:rPr>
                <w:sz w:val="20"/>
                <w:szCs w:val="20"/>
              </w:rPr>
              <w:t xml:space="preserve"> Study Data Request, Request #10 (465 kW divided by 3,051,000 kW)</w:t>
            </w:r>
          </w:p>
        </w:tc>
      </w:tr>
      <w:tr w:rsidR="00CB03D7" w:rsidRPr="005A7984" w:rsidTr="00732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Marketing methods used by Duquesne for residential </w:t>
            </w:r>
            <w:r w:rsidR="00037A03">
              <w:rPr>
                <w:b w:val="0"/>
                <w:sz w:val="20"/>
                <w:szCs w:val="20"/>
              </w:rPr>
              <w:t>DR</w:t>
            </w:r>
            <w:r w:rsidRPr="00610CEB">
              <w:rPr>
                <w:b w:val="0"/>
                <w:sz w:val="20"/>
                <w:szCs w:val="20"/>
              </w:rPr>
              <w:t xml:space="preserve"> program</w:t>
            </w:r>
          </w:p>
        </w:tc>
        <w:tc>
          <w:tcPr>
            <w:tcW w:w="2520" w:type="dxa"/>
            <w:tcBorders>
              <w:left w:val="none" w:sz="0" w:space="0" w:color="auto"/>
              <w:righ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Two bill inserts</w:t>
            </w:r>
          </w:p>
        </w:tc>
        <w:tc>
          <w:tcPr>
            <w:tcW w:w="3798" w:type="dxa"/>
            <w:tcBorders>
              <w:left w:val="none" w:sz="0" w:space="0" w:color="auto"/>
            </w:tcBorders>
          </w:tcPr>
          <w:p w:rsidR="00CB03D7" w:rsidRPr="005A7984"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5A7984">
              <w:rPr>
                <w:sz w:val="20"/>
                <w:szCs w:val="20"/>
              </w:rPr>
              <w:t xml:space="preserve">Duquesne response to SWE Supplemental </w:t>
            </w:r>
            <w:r w:rsidR="00037A03">
              <w:rPr>
                <w:sz w:val="20"/>
                <w:szCs w:val="20"/>
              </w:rPr>
              <w:t>DR</w:t>
            </w:r>
            <w:r w:rsidRPr="005A7984">
              <w:rPr>
                <w:sz w:val="20"/>
                <w:szCs w:val="20"/>
              </w:rPr>
              <w:t xml:space="preserve"> Study Data Request to Pennsylvania EDCs, Request #7a</w:t>
            </w:r>
          </w:p>
        </w:tc>
      </w:tr>
      <w:tr w:rsidR="00CB03D7" w:rsidRPr="005A7984" w:rsidTr="00732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T&amp;D avoided costs used in the Duquesne Phase I benefit/cost analysis</w:t>
            </w:r>
          </w:p>
        </w:tc>
        <w:tc>
          <w:tcPr>
            <w:tcW w:w="2520" w:type="dxa"/>
            <w:tcBorders>
              <w:left w:val="none" w:sz="0" w:space="0" w:color="auto"/>
              <w:righ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$0 per kW</w:t>
            </w:r>
            <w:r w:rsidR="002C383C">
              <w:rPr>
                <w:sz w:val="20"/>
                <w:szCs w:val="20"/>
              </w:rPr>
              <w:t>-</w:t>
            </w:r>
            <w:r w:rsidRPr="005A7984">
              <w:rPr>
                <w:sz w:val="20"/>
                <w:szCs w:val="20"/>
              </w:rPr>
              <w:t>year</w:t>
            </w:r>
          </w:p>
        </w:tc>
        <w:tc>
          <w:tcPr>
            <w:tcW w:w="3798" w:type="dxa"/>
            <w:tcBorders>
              <w:left w:val="none" w:sz="0" w:space="0" w:color="auto"/>
            </w:tcBorders>
          </w:tcPr>
          <w:p w:rsidR="00CB03D7" w:rsidRPr="005A7984"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7984">
              <w:rPr>
                <w:sz w:val="20"/>
                <w:szCs w:val="20"/>
              </w:rPr>
              <w:t>Duquesne Phase I Final Report, supporting work papers</w:t>
            </w:r>
          </w:p>
        </w:tc>
      </w:tr>
    </w:tbl>
    <w:p w:rsidR="00CB03D7" w:rsidRDefault="00CB03D7" w:rsidP="00A83ABC"/>
    <w:p w:rsidR="00C02815" w:rsidRPr="00DE2ECF" w:rsidRDefault="0035102B" w:rsidP="00A83ABC">
      <w:pPr>
        <w:spacing w:after="60"/>
        <w:rPr>
          <w:rFonts w:ascii="Century Gothic" w:hAnsi="Century Gothic"/>
          <w:b/>
          <w:smallCaps/>
        </w:rPr>
      </w:pPr>
      <w:r>
        <w:rPr>
          <w:rFonts w:ascii="Century Gothic" w:hAnsi="Century Gothic"/>
          <w:b/>
          <w:smallCaps/>
        </w:rPr>
        <w:t>Metropolitan Edison</w:t>
      </w:r>
      <w:r w:rsidR="00C02815" w:rsidRPr="00DE2ECF">
        <w:rPr>
          <w:rFonts w:ascii="Century Gothic" w:hAnsi="Century Gothic"/>
          <w:b/>
          <w:smallCaps/>
        </w:rPr>
        <w:t xml:space="preserve"> Phase I Residential </w:t>
      </w:r>
      <w:r w:rsidR="00037A03">
        <w:rPr>
          <w:rFonts w:ascii="Century Gothic" w:hAnsi="Century Gothic"/>
          <w:b/>
          <w:smallCaps/>
        </w:rPr>
        <w:t>DR</w:t>
      </w:r>
      <w:r w:rsidR="00042FDD">
        <w:rPr>
          <w:rFonts w:ascii="Century Gothic" w:hAnsi="Century Gothic"/>
          <w:b/>
          <w:smallCaps/>
        </w:rPr>
        <w:t xml:space="preserve"> Program</w:t>
      </w:r>
    </w:p>
    <w:p w:rsidR="00CB03D7" w:rsidRDefault="00AE4009" w:rsidP="00A83ABC">
      <w:r>
        <w:t>Met</w:t>
      </w:r>
      <w:r w:rsidR="00AD3422">
        <w:t>-</w:t>
      </w:r>
      <w:r>
        <w:t>Ed implemented a residential DLC program for central A/C systems</w:t>
      </w:r>
      <w:r w:rsidRPr="0051749B">
        <w:t xml:space="preserve"> </w:t>
      </w:r>
      <w:r w:rsidR="00BE1301">
        <w:t xml:space="preserve">during Phase I of Act 129. </w:t>
      </w:r>
      <w:r w:rsidR="00F46D54">
        <w:t xml:space="preserve">The </w:t>
      </w:r>
      <w:r>
        <w:t xml:space="preserve">SWE </w:t>
      </w:r>
      <w:r w:rsidR="00BE1301">
        <w:t xml:space="preserve">Team </w:t>
      </w:r>
      <w:r>
        <w:t>estimates that 301,517 (62%) of Med</w:t>
      </w:r>
      <w:r w:rsidR="00AD3422">
        <w:t>-</w:t>
      </w:r>
      <w:r>
        <w:t xml:space="preserve">Ed’s residential customers had central A/C systems, based on the </w:t>
      </w:r>
      <w:r w:rsidR="00F46D54" w:rsidRPr="00F46D54">
        <w:rPr>
          <w:szCs w:val="20"/>
        </w:rPr>
        <w:t xml:space="preserve">SWE 2012 Pennsylvania Statewide Residential </w:t>
      </w:r>
      <w:r w:rsidR="00F46D54" w:rsidRPr="00F46D54">
        <w:t>End</w:t>
      </w:r>
      <w:r w:rsidR="00B17135">
        <w:t xml:space="preserve"> </w:t>
      </w:r>
      <w:r w:rsidR="00F46D54" w:rsidRPr="00F46D54">
        <w:t>Use and Saturation Study</w:t>
      </w:r>
      <w:r w:rsidR="00BE1301" w:rsidRPr="00BE1301">
        <w:rPr>
          <w:szCs w:val="20"/>
        </w:rPr>
        <w:t xml:space="preserve"> </w:t>
      </w:r>
      <w:r>
        <w:t xml:space="preserve">and the total </w:t>
      </w:r>
      <w:r>
        <w:lastRenderedPageBreak/>
        <w:t>number of residential customers in 2012. A total of 16,032 of its 301,517 residential customers with central A/C systems participated in this program, resulting in a 5.3</w:t>
      </w:r>
      <w:r w:rsidR="00AD2C38">
        <w:t xml:space="preserve">% </w:t>
      </w:r>
      <w:r>
        <w:t>participation rate.</w:t>
      </w:r>
      <w:r>
        <w:rPr>
          <w:rStyle w:val="FootnoteReference"/>
        </w:rPr>
        <w:footnoteReference w:id="78"/>
      </w:r>
      <w:r>
        <w:t xml:space="preserve"> The program used a variety of A/C cycling strategies depending on participants’ choices and the system needs at the time of the events.</w:t>
      </w:r>
      <w:r>
        <w:rPr>
          <w:rStyle w:val="FootnoteReference"/>
        </w:rPr>
        <w:footnoteReference w:id="79"/>
      </w:r>
    </w:p>
    <w:p w:rsidR="00CB03D7" w:rsidRDefault="00CB03D7" w:rsidP="00A83ABC"/>
    <w:p w:rsidR="00803DBE" w:rsidRPr="00EA2A60" w:rsidRDefault="00C02815" w:rsidP="00A83ABC">
      <w:r>
        <w:t>In Phase I of the program, the central A/C units of Met</w:t>
      </w:r>
      <w:r w:rsidR="00AD3422">
        <w:t>-</w:t>
      </w:r>
      <w:r>
        <w:t xml:space="preserve">Ed’s participating residential customers were controlled by a </w:t>
      </w:r>
      <w:r w:rsidR="006F38B6">
        <w:t>load control</w:t>
      </w:r>
      <w:r>
        <w:t xml:space="preserve"> switch. To market this program, the company employed door-to-door marketing.</w:t>
      </w:r>
      <w:r>
        <w:rPr>
          <w:rStyle w:val="FootnoteReference"/>
        </w:rPr>
        <w:footnoteReference w:id="80"/>
      </w:r>
      <w:r>
        <w:t xml:space="preserve"> Met</w:t>
      </w:r>
      <w:r w:rsidR="00AD3422">
        <w:t>-</w:t>
      </w:r>
      <w:r>
        <w:t xml:space="preserve">Ed offered an average of </w:t>
      </w:r>
      <w:r w:rsidRPr="00565C1F">
        <w:t>$</w:t>
      </w:r>
      <w:r>
        <w:t>39.70 in bill credits during the summer of 2012 for residential customers that participated in the program.</w:t>
      </w:r>
      <w:r>
        <w:rPr>
          <w:rStyle w:val="FootnoteReference"/>
        </w:rPr>
        <w:footnoteReference w:id="81"/>
      </w:r>
      <w:r>
        <w:t xml:space="preserve">  The company spent a total of $1,544,000 on this program during Phase I</w:t>
      </w:r>
      <w:r>
        <w:rPr>
          <w:rStyle w:val="FootnoteReference"/>
        </w:rPr>
        <w:footnoteReference w:id="82"/>
      </w:r>
      <w:r>
        <w:t xml:space="preserve">, which had a TRC benefit/cost ratio of </w:t>
      </w:r>
      <w:r w:rsidRPr="00610899">
        <w:t>0.58</w:t>
      </w:r>
      <w:r w:rsidRPr="00641DE8">
        <w:t xml:space="preserve"> </w:t>
      </w:r>
      <w:r>
        <w:t>according to the Met</w:t>
      </w:r>
      <w:r w:rsidR="00AD3422">
        <w:t>-</w:t>
      </w:r>
      <w:r>
        <w:t>Ed Final Phase I Annual Report. Met</w:t>
      </w:r>
      <w:r w:rsidR="00AD3422">
        <w:t>-</w:t>
      </w:r>
      <w:r>
        <w:t xml:space="preserve">Ed reported a total kW reduction of </w:t>
      </w:r>
      <w:r w:rsidRPr="00641DE8">
        <w:t xml:space="preserve">8,690 kW </w:t>
      </w:r>
      <w:r>
        <w:t>and an average per unit savings of 0.44 kW per unit.</w:t>
      </w:r>
      <w:r>
        <w:rPr>
          <w:rStyle w:val="FootnoteReference"/>
        </w:rPr>
        <w:footnoteReference w:id="83"/>
      </w:r>
      <w:r>
        <w:t xml:space="preserve"> Average </w:t>
      </w:r>
      <w:r w:rsidR="00AD2C38">
        <w:t>T&amp;D</w:t>
      </w:r>
      <w:r>
        <w:t xml:space="preserve"> line losses during peak load hours of 16.6%</w:t>
      </w:r>
      <w:r>
        <w:rPr>
          <w:rStyle w:val="FootnoteReference"/>
        </w:rPr>
        <w:footnoteReference w:id="84"/>
      </w:r>
      <w:r>
        <w:t xml:space="preserve"> were assumed. </w:t>
      </w:r>
      <w:r w:rsidR="00CB03D7">
        <w:fldChar w:fldCharType="begin"/>
      </w:r>
      <w:r w:rsidR="00CB03D7">
        <w:instrText xml:space="preserve"> REF _Ref407350439 \h </w:instrText>
      </w:r>
      <w:r w:rsidR="00CB03D7">
        <w:fldChar w:fldCharType="separate"/>
      </w:r>
    </w:p>
    <w:p w:rsidR="00CB03D7" w:rsidRDefault="00CB03D7" w:rsidP="00A83ABC">
      <w:r>
        <w:fldChar w:fldCharType="end"/>
      </w:r>
      <w:r w:rsidR="00FA2D25">
        <w:fldChar w:fldCharType="begin"/>
      </w:r>
      <w:r w:rsidR="00FA2D25">
        <w:instrText xml:space="preserve"> REF _Ref409010925 \h </w:instrText>
      </w:r>
      <w:r w:rsidR="00FA2D25">
        <w:fldChar w:fldCharType="separate"/>
      </w:r>
      <w:r w:rsidR="00803DBE">
        <w:t xml:space="preserve">Table </w:t>
      </w:r>
      <w:r w:rsidR="00803DBE">
        <w:rPr>
          <w:noProof/>
        </w:rPr>
        <w:t>3</w:t>
      </w:r>
      <w:r w:rsidR="00803DBE">
        <w:noBreakHyphen/>
      </w:r>
      <w:r w:rsidR="00803DBE">
        <w:rPr>
          <w:noProof/>
        </w:rPr>
        <w:t>5</w:t>
      </w:r>
      <w:r w:rsidR="00FA2D25">
        <w:fldChar w:fldCharType="end"/>
      </w:r>
      <w:r>
        <w:t xml:space="preserve"> below highlights key aspects of the program.</w:t>
      </w:r>
    </w:p>
    <w:p w:rsidR="00554444" w:rsidRPr="00EA2A60" w:rsidRDefault="00554444" w:rsidP="00A83ABC">
      <w:bookmarkStart w:id="163" w:name="_Ref407350439"/>
    </w:p>
    <w:p w:rsidR="00CB03D7" w:rsidRPr="00DE2ECF" w:rsidRDefault="00FA2D25" w:rsidP="00A83ABC">
      <w:pPr>
        <w:pStyle w:val="Caption"/>
      </w:pPr>
      <w:bookmarkStart w:id="164" w:name="_Ref409010925"/>
      <w:bookmarkStart w:id="165" w:name="_Toc412628464"/>
      <w:bookmarkEnd w:id="163"/>
      <w:r>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w:instrText>
      </w:r>
      <w:r w:rsidR="00E2011B">
        <w:instrText xml:space="preserve">\s 1 </w:instrText>
      </w:r>
      <w:r w:rsidR="00E2011B">
        <w:fldChar w:fldCharType="separate"/>
      </w:r>
      <w:r w:rsidR="00803DBE">
        <w:rPr>
          <w:noProof/>
        </w:rPr>
        <w:t>5</w:t>
      </w:r>
      <w:r w:rsidR="00E2011B">
        <w:rPr>
          <w:noProof/>
        </w:rPr>
        <w:fldChar w:fldCharType="end"/>
      </w:r>
      <w:bookmarkEnd w:id="164"/>
      <w:r>
        <w:t xml:space="preserve">: </w:t>
      </w:r>
      <w:r w:rsidR="00CB03D7" w:rsidRPr="00DE2ECF">
        <w:t xml:space="preserve">Key Characteristics of Met Ed’s Phase I Residential </w:t>
      </w:r>
      <w:r w:rsidR="00EA2A60">
        <w:t>A/C</w:t>
      </w:r>
      <w:r w:rsidR="00CB03D7" w:rsidRPr="00DE2ECF">
        <w:t xml:space="preserve"> Cycling Program - 2012</w:t>
      </w:r>
      <w:bookmarkEnd w:id="165"/>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50"/>
        <w:gridCol w:w="2520"/>
        <w:gridCol w:w="3798"/>
      </w:tblGrid>
      <w:tr w:rsidR="00CB03D7" w:rsidRPr="00610CEB" w:rsidTr="00CB0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jc w:val="left"/>
              <w:rPr>
                <w:sz w:val="20"/>
                <w:szCs w:val="20"/>
              </w:rPr>
            </w:pPr>
            <w:r w:rsidRPr="00610CEB">
              <w:rPr>
                <w:sz w:val="20"/>
                <w:szCs w:val="20"/>
              </w:rPr>
              <w:t>Description of Characteristic</w:t>
            </w:r>
          </w:p>
        </w:tc>
        <w:tc>
          <w:tcPr>
            <w:tcW w:w="2520"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610CEB">
              <w:rPr>
                <w:rFonts w:asciiTheme="minorHAnsi" w:hAnsiTheme="minorHAnsi"/>
                <w:color w:val="FFFFFF" w:themeColor="background1"/>
                <w:sz w:val="20"/>
                <w:szCs w:val="20"/>
              </w:rPr>
              <w:t>Met Ed Data</w:t>
            </w:r>
          </w:p>
        </w:tc>
        <w:tc>
          <w:tcPr>
            <w:tcW w:w="3798"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610CEB">
              <w:rPr>
                <w:rFonts w:asciiTheme="minorHAnsi" w:hAnsiTheme="minorHAnsi"/>
                <w:color w:val="FFFFFF" w:themeColor="background1"/>
                <w:sz w:val="20"/>
                <w:szCs w:val="20"/>
              </w:rPr>
              <w:t>Data Source</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Number of residential customers</w:t>
            </w:r>
          </w:p>
        </w:tc>
        <w:tc>
          <w:tcPr>
            <w:tcW w:w="2520" w:type="dxa"/>
            <w:tcBorders>
              <w:left w:val="none" w:sz="0" w:space="0" w:color="auto"/>
              <w:right w:val="none" w:sz="0" w:space="0" w:color="auto"/>
            </w:tcBorders>
          </w:tcPr>
          <w:p w:rsidR="00CB03D7" w:rsidRPr="00DE2ECF" w:rsidRDefault="00CB03D7" w:rsidP="00A83AB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E2ECF">
              <w:rPr>
                <w:rFonts w:asciiTheme="minorHAnsi" w:hAnsiTheme="minorHAnsi"/>
                <w:sz w:val="20"/>
                <w:szCs w:val="20"/>
              </w:rPr>
              <w:t>486,318</w:t>
            </w:r>
          </w:p>
        </w:tc>
        <w:tc>
          <w:tcPr>
            <w:tcW w:w="3798" w:type="dxa"/>
            <w:tcBorders>
              <w:left w:val="none" w:sz="0" w:space="0" w:color="auto"/>
            </w:tcBorders>
          </w:tcPr>
          <w:p w:rsidR="00CB03D7" w:rsidRPr="00DE2ECF" w:rsidRDefault="00CB03D7" w:rsidP="00A83AB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E2ECF">
              <w:rPr>
                <w:rFonts w:asciiTheme="minorHAnsi" w:hAnsiTheme="minorHAnsi"/>
                <w:sz w:val="20"/>
                <w:szCs w:val="20"/>
              </w:rPr>
              <w:t xml:space="preserve">SWE 2012 Pennsylvania Statewide </w:t>
            </w:r>
            <w:r w:rsidR="00C653CA" w:rsidRPr="005A7984">
              <w:rPr>
                <w:rFonts w:asciiTheme="minorHAnsi" w:hAnsiTheme="minorHAnsi"/>
                <w:sz w:val="20"/>
                <w:szCs w:val="20"/>
              </w:rPr>
              <w:t xml:space="preserve">Residential </w:t>
            </w:r>
            <w:r w:rsidR="00C653CA" w:rsidRPr="00C653CA">
              <w:rPr>
                <w:rFonts w:asciiTheme="minorHAnsi" w:hAnsiTheme="minorHAnsi"/>
                <w:sz w:val="20"/>
                <w:szCs w:val="20"/>
              </w:rPr>
              <w:t>End</w:t>
            </w:r>
            <w:r w:rsidR="00B17135">
              <w:rPr>
                <w:rFonts w:asciiTheme="minorHAnsi" w:hAnsiTheme="minorHAnsi"/>
                <w:sz w:val="20"/>
                <w:szCs w:val="20"/>
              </w:rPr>
              <w:t xml:space="preserve"> </w:t>
            </w:r>
            <w:r w:rsidR="00C653CA" w:rsidRPr="00C653CA">
              <w:rPr>
                <w:rFonts w:asciiTheme="minorHAnsi" w:hAnsiTheme="minorHAnsi"/>
                <w:sz w:val="20"/>
                <w:szCs w:val="20"/>
              </w:rPr>
              <w:t>Use and Saturation Study</w:t>
            </w:r>
            <w:r w:rsidR="00C653CA">
              <w:rPr>
                <w:rFonts w:asciiTheme="minorHAnsi" w:hAnsiTheme="minorHAnsi"/>
                <w:sz w:val="20"/>
                <w:szCs w:val="20"/>
              </w:rPr>
              <w:t xml:space="preserve"> </w:t>
            </w:r>
            <w:r w:rsidRPr="00DE2ECF">
              <w:rPr>
                <w:rFonts w:asciiTheme="minorHAnsi" w:hAnsiTheme="minorHAnsi"/>
                <w:sz w:val="20"/>
                <w:szCs w:val="20"/>
              </w:rPr>
              <w:t>(Page 21)</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Percent of residential customers with central </w:t>
            </w:r>
            <w:r w:rsidR="00622FC2">
              <w:rPr>
                <w:b w:val="0"/>
                <w:sz w:val="20"/>
                <w:szCs w:val="20"/>
              </w:rPr>
              <w:t>A/C</w:t>
            </w:r>
            <w:r w:rsidRPr="00610CEB">
              <w:rPr>
                <w:b w:val="0"/>
                <w:sz w:val="20"/>
                <w:szCs w:val="20"/>
              </w:rPr>
              <w:t xml:space="preserve"> systems (2012 </w:t>
            </w:r>
            <w:r w:rsidR="00C653CA" w:rsidRPr="00C653CA">
              <w:rPr>
                <w:b w:val="0"/>
                <w:sz w:val="20"/>
                <w:szCs w:val="20"/>
              </w:rPr>
              <w:t>End</w:t>
            </w:r>
            <w:r w:rsidR="00B17135">
              <w:rPr>
                <w:b w:val="0"/>
                <w:sz w:val="20"/>
                <w:szCs w:val="20"/>
              </w:rPr>
              <w:t xml:space="preserve"> </w:t>
            </w:r>
            <w:r w:rsidR="00C653CA" w:rsidRPr="00C653CA">
              <w:rPr>
                <w:b w:val="0"/>
                <w:sz w:val="20"/>
                <w:szCs w:val="20"/>
              </w:rPr>
              <w:t>Use and Saturation Study</w:t>
            </w:r>
            <w:r w:rsidRPr="00610CEB">
              <w:rPr>
                <w:b w:val="0"/>
                <w:sz w:val="20"/>
                <w:szCs w:val="20"/>
              </w:rPr>
              <w:t>)</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62%</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SWE 2012 Pennsylvania Statewide </w:t>
            </w:r>
            <w:r w:rsidR="004808A1" w:rsidRPr="005A7984">
              <w:rPr>
                <w:sz w:val="20"/>
                <w:szCs w:val="20"/>
              </w:rPr>
              <w:t xml:space="preserve">Residential </w:t>
            </w:r>
            <w:r w:rsidR="004808A1" w:rsidRPr="00C653CA">
              <w:rPr>
                <w:sz w:val="20"/>
                <w:szCs w:val="20"/>
              </w:rPr>
              <w:t>End</w:t>
            </w:r>
            <w:r w:rsidR="00B17135">
              <w:rPr>
                <w:sz w:val="20"/>
                <w:szCs w:val="20"/>
              </w:rPr>
              <w:t xml:space="preserve"> </w:t>
            </w:r>
            <w:r w:rsidR="004808A1" w:rsidRPr="00C653CA">
              <w:rPr>
                <w:sz w:val="20"/>
                <w:szCs w:val="20"/>
              </w:rPr>
              <w:t>Use and Saturation Study</w:t>
            </w:r>
            <w:r w:rsidR="004808A1">
              <w:rPr>
                <w:sz w:val="20"/>
                <w:szCs w:val="20"/>
              </w:rPr>
              <w:t xml:space="preserve"> </w:t>
            </w:r>
            <w:r w:rsidRPr="00DE2ECF">
              <w:rPr>
                <w:sz w:val="20"/>
                <w:szCs w:val="20"/>
              </w:rPr>
              <w:t>(Page 7)</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Homes with central A/C in 2012 (Eligible Market)</w:t>
            </w:r>
          </w:p>
        </w:tc>
        <w:tc>
          <w:tcPr>
            <w:tcW w:w="2520" w:type="dxa"/>
            <w:tcBorders>
              <w:left w:val="none" w:sz="0" w:space="0" w:color="auto"/>
              <w:righ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301,517 </w:t>
            </w:r>
          </w:p>
        </w:tc>
        <w:tc>
          <w:tcPr>
            <w:tcW w:w="3798" w:type="dxa"/>
            <w:tcBorders>
              <w:lef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62% of 486,318 residential customers</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Phase I participants in A/C cycling program</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16,032</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sidR="00037A03">
              <w:rPr>
                <w:sz w:val="20"/>
                <w:szCs w:val="20"/>
              </w:rPr>
              <w:t>DR</w:t>
            </w:r>
            <w:r w:rsidRPr="00DE2ECF">
              <w:rPr>
                <w:sz w:val="20"/>
                <w:szCs w:val="20"/>
              </w:rPr>
              <w:t xml:space="preserve"> Study Data Request, Request #2</w:t>
            </w:r>
          </w:p>
        </w:tc>
      </w:tr>
      <w:tr w:rsidR="00CB03D7" w:rsidRPr="00DE2ECF" w:rsidTr="0073220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Program participation rate (participation as a percent of the eligible market)</w:t>
            </w:r>
          </w:p>
        </w:tc>
        <w:tc>
          <w:tcPr>
            <w:tcW w:w="2520" w:type="dxa"/>
            <w:tcBorders>
              <w:left w:val="none" w:sz="0" w:space="0" w:color="auto"/>
              <w:righ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5.3</w:t>
            </w:r>
            <w:r w:rsidR="00720A22" w:rsidRPr="00DE2ECF">
              <w:rPr>
                <w:sz w:val="20"/>
                <w:szCs w:val="20"/>
              </w:rPr>
              <w:t>%</w:t>
            </w:r>
          </w:p>
        </w:tc>
        <w:tc>
          <w:tcPr>
            <w:tcW w:w="3798" w:type="dxa"/>
            <w:tcBorders>
              <w:lef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16,032/301,517</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Cycling strategies Used </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Adjusted depending on the need of the event </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sidR="00037A03">
              <w:rPr>
                <w:sz w:val="20"/>
                <w:szCs w:val="20"/>
              </w:rPr>
              <w:t>DR</w:t>
            </w:r>
            <w:r w:rsidRPr="00DE2ECF">
              <w:rPr>
                <w:sz w:val="20"/>
                <w:szCs w:val="20"/>
              </w:rPr>
              <w:t xml:space="preserve"> Study Data Request, Request #9</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Maximum number of cycling events allowable per summer of 2012</w:t>
            </w:r>
          </w:p>
        </w:tc>
        <w:tc>
          <w:tcPr>
            <w:tcW w:w="2520" w:type="dxa"/>
            <w:tcBorders>
              <w:left w:val="none" w:sz="0" w:space="0" w:color="auto"/>
              <w:righ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No Maximum </w:t>
            </w:r>
          </w:p>
        </w:tc>
        <w:tc>
          <w:tcPr>
            <w:tcW w:w="3798" w:type="dxa"/>
            <w:tcBorders>
              <w:lef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FE response to 6/12/2014 </w:t>
            </w:r>
            <w:r w:rsidR="00037A03">
              <w:rPr>
                <w:sz w:val="20"/>
                <w:szCs w:val="20"/>
              </w:rPr>
              <w:t>DR</w:t>
            </w:r>
            <w:r w:rsidRPr="00DE2ECF">
              <w:rPr>
                <w:sz w:val="20"/>
                <w:szCs w:val="20"/>
              </w:rPr>
              <w:t xml:space="preserve"> Study Data Request, Request #9</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Maximum duration (in hours) for each cycling event – summer 2012</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No Maximum</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sidR="00037A03">
              <w:rPr>
                <w:sz w:val="20"/>
                <w:szCs w:val="20"/>
              </w:rPr>
              <w:t>DR</w:t>
            </w:r>
            <w:r w:rsidRPr="00DE2ECF">
              <w:rPr>
                <w:sz w:val="20"/>
                <w:szCs w:val="20"/>
              </w:rPr>
              <w:t xml:space="preserve"> Study Data Request, Request #9</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BD3227" w:rsidRDefault="00BD3227" w:rsidP="00A83ABC">
            <w:pPr>
              <w:jc w:val="left"/>
              <w:rPr>
                <w:b w:val="0"/>
                <w:sz w:val="20"/>
                <w:szCs w:val="20"/>
              </w:rPr>
            </w:pPr>
            <w:r w:rsidRPr="00BD3227">
              <w:rPr>
                <w:b w:val="0"/>
                <w:sz w:val="20"/>
                <w:szCs w:val="20"/>
              </w:rPr>
              <w:t>Type of central computer</w:t>
            </w:r>
          </w:p>
        </w:tc>
        <w:tc>
          <w:tcPr>
            <w:tcW w:w="2520" w:type="dxa"/>
            <w:tcBorders>
              <w:left w:val="none" w:sz="0" w:space="0" w:color="auto"/>
              <w:right w:val="none" w:sz="0" w:space="0" w:color="auto"/>
            </w:tcBorders>
          </w:tcPr>
          <w:p w:rsidR="00CB03D7" w:rsidRPr="00BD3227" w:rsidRDefault="00BD322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BD3227">
              <w:rPr>
                <w:sz w:val="20"/>
                <w:szCs w:val="20"/>
              </w:rPr>
              <w:t>To be provided</w:t>
            </w:r>
          </w:p>
        </w:tc>
        <w:tc>
          <w:tcPr>
            <w:tcW w:w="3798" w:type="dxa"/>
            <w:tcBorders>
              <w:left w:val="none" w:sz="0" w:space="0" w:color="auto"/>
            </w:tcBorders>
          </w:tcPr>
          <w:p w:rsidR="00CB03D7" w:rsidRPr="00BD3227" w:rsidRDefault="00E2011B"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hyperlink r:id="rId42" w:history="1">
              <w:r w:rsidR="00CB03D7" w:rsidRPr="00BD3227">
                <w:rPr>
                  <w:rStyle w:val="Hyperlink"/>
                  <w:sz w:val="20"/>
                  <w:szCs w:val="20"/>
                </w:rPr>
                <w:t>https://www.fes.com/content/fes/home/residential/offers.html</w:t>
              </w:r>
            </w:hyperlink>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Type of load control switch utilized</w:t>
            </w:r>
          </w:p>
        </w:tc>
        <w:tc>
          <w:tcPr>
            <w:tcW w:w="2520" w:type="dxa"/>
            <w:tcBorders>
              <w:left w:val="none" w:sz="0" w:space="0" w:color="auto"/>
              <w:right w:val="none" w:sz="0" w:space="0" w:color="auto"/>
            </w:tcBorders>
          </w:tcPr>
          <w:p w:rsidR="00CB03D7" w:rsidRPr="00DE2ECF" w:rsidRDefault="008D678D"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DLC</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sidR="00037A03">
              <w:rPr>
                <w:sz w:val="20"/>
                <w:szCs w:val="20"/>
              </w:rPr>
              <w:t>DR</w:t>
            </w:r>
            <w:r w:rsidRPr="00DE2ECF">
              <w:rPr>
                <w:sz w:val="20"/>
                <w:szCs w:val="20"/>
              </w:rPr>
              <w:t xml:space="preserve"> Study Data Request, Request #2</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Average kW load reduction per unit </w:t>
            </w:r>
          </w:p>
        </w:tc>
        <w:tc>
          <w:tcPr>
            <w:tcW w:w="2520" w:type="dxa"/>
            <w:tcBorders>
              <w:left w:val="none" w:sz="0" w:space="0" w:color="auto"/>
              <w:righ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0.44 kW</w:t>
            </w:r>
          </w:p>
        </w:tc>
        <w:tc>
          <w:tcPr>
            <w:tcW w:w="3798" w:type="dxa"/>
            <w:tcBorders>
              <w:lef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FE PA EDC Response to SWE Supplemental Data Request, request #6</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Incentive amount per participant</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$39.70</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Met Ed Final </w:t>
            </w:r>
            <w:r w:rsidR="00950DB9">
              <w:rPr>
                <w:sz w:val="20"/>
                <w:szCs w:val="20"/>
              </w:rPr>
              <w:t>Phase I</w:t>
            </w:r>
            <w:r w:rsidRPr="00DE2ECF">
              <w:rPr>
                <w:sz w:val="20"/>
                <w:szCs w:val="20"/>
              </w:rPr>
              <w:t xml:space="preserve"> Annual Report, page 38</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lastRenderedPageBreak/>
              <w:t>Total program expenditures – Program Year 4</w:t>
            </w:r>
          </w:p>
        </w:tc>
        <w:tc>
          <w:tcPr>
            <w:tcW w:w="2520" w:type="dxa"/>
            <w:tcBorders>
              <w:left w:val="none" w:sz="0" w:space="0" w:color="auto"/>
              <w:righ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$1,544,000</w:t>
            </w:r>
          </w:p>
        </w:tc>
        <w:tc>
          <w:tcPr>
            <w:tcW w:w="3798" w:type="dxa"/>
            <w:tcBorders>
              <w:lef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Met Ed Final </w:t>
            </w:r>
            <w:r w:rsidR="00950DB9">
              <w:rPr>
                <w:sz w:val="20"/>
                <w:szCs w:val="20"/>
              </w:rPr>
              <w:t>Phase I</w:t>
            </w:r>
            <w:r w:rsidRPr="00DE2ECF">
              <w:rPr>
                <w:sz w:val="20"/>
                <w:szCs w:val="20"/>
              </w:rPr>
              <w:t xml:space="preserve"> Annual Report, page 38</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EDC reported kW savings for all participants – summer 2012 (generation level)</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8,690 kW</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Met Ed Final </w:t>
            </w:r>
            <w:r w:rsidR="00950DB9">
              <w:rPr>
                <w:sz w:val="20"/>
                <w:szCs w:val="20"/>
              </w:rPr>
              <w:t>Phase I</w:t>
            </w:r>
            <w:r w:rsidRPr="00DE2ECF">
              <w:rPr>
                <w:sz w:val="20"/>
                <w:szCs w:val="20"/>
              </w:rPr>
              <w:t xml:space="preserve"> Annual Report, page 36</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T&amp;D line losses percentage used in TRC test for PY4</w:t>
            </w:r>
          </w:p>
        </w:tc>
        <w:tc>
          <w:tcPr>
            <w:tcW w:w="2520" w:type="dxa"/>
            <w:tcBorders>
              <w:left w:val="none" w:sz="0" w:space="0" w:color="auto"/>
              <w:righ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16.6%</w:t>
            </w:r>
          </w:p>
        </w:tc>
        <w:tc>
          <w:tcPr>
            <w:tcW w:w="3798" w:type="dxa"/>
            <w:tcBorders>
              <w:lef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Met Ed Final </w:t>
            </w:r>
            <w:r w:rsidR="00950DB9">
              <w:rPr>
                <w:sz w:val="20"/>
                <w:szCs w:val="20"/>
              </w:rPr>
              <w:t>Phase I</w:t>
            </w:r>
            <w:r w:rsidRPr="00DE2ECF">
              <w:rPr>
                <w:sz w:val="20"/>
                <w:szCs w:val="20"/>
              </w:rPr>
              <w:t xml:space="preserve"> Annual Report, page 11</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EDC Reported </w:t>
            </w:r>
            <w:r w:rsidR="00844BA9">
              <w:rPr>
                <w:b w:val="0"/>
                <w:sz w:val="20"/>
                <w:szCs w:val="20"/>
              </w:rPr>
              <w:t>TRC</w:t>
            </w:r>
            <w:r w:rsidRPr="00610CEB">
              <w:rPr>
                <w:b w:val="0"/>
                <w:sz w:val="20"/>
                <w:szCs w:val="20"/>
              </w:rPr>
              <w:t xml:space="preserve"> Test Ratio for Program Year 4</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0.58</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Met Ed Final </w:t>
            </w:r>
            <w:r w:rsidR="00950DB9">
              <w:rPr>
                <w:sz w:val="20"/>
                <w:szCs w:val="20"/>
              </w:rPr>
              <w:t>Phase I</w:t>
            </w:r>
            <w:r w:rsidRPr="00DE2ECF">
              <w:rPr>
                <w:sz w:val="20"/>
                <w:szCs w:val="20"/>
              </w:rPr>
              <w:t xml:space="preserve"> Annual Report, page 40</w:t>
            </w:r>
          </w:p>
        </w:tc>
      </w:tr>
      <w:tr w:rsidR="00CB03D7" w:rsidRPr="00DE2ECF"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Marketing methods used by FE</w:t>
            </w:r>
          </w:p>
        </w:tc>
        <w:tc>
          <w:tcPr>
            <w:tcW w:w="2520" w:type="dxa"/>
            <w:tcBorders>
              <w:left w:val="none" w:sz="0" w:space="0" w:color="auto"/>
              <w:righ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Door to door sales</w:t>
            </w:r>
          </w:p>
        </w:tc>
        <w:tc>
          <w:tcPr>
            <w:tcW w:w="3798" w:type="dxa"/>
            <w:tcBorders>
              <w:left w:val="none" w:sz="0" w:space="0" w:color="auto"/>
            </w:tcBorders>
          </w:tcPr>
          <w:p w:rsidR="00CB03D7" w:rsidRPr="00DE2ECF"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FE PA EDC Response to SWE Supplemental Data Request, request #7</w:t>
            </w:r>
          </w:p>
        </w:tc>
      </w:tr>
      <w:tr w:rsidR="00CB03D7" w:rsidRPr="00DE2ECF"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T&amp;D avoided costs used in the Phase I benefit/cost analysis</w:t>
            </w:r>
          </w:p>
        </w:tc>
        <w:tc>
          <w:tcPr>
            <w:tcW w:w="2520" w:type="dxa"/>
            <w:tcBorders>
              <w:left w:val="none" w:sz="0" w:space="0" w:color="auto"/>
              <w:righ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$0 per kW</w:t>
            </w:r>
            <w:r w:rsidR="002C383C">
              <w:rPr>
                <w:sz w:val="20"/>
                <w:szCs w:val="20"/>
              </w:rPr>
              <w:t>-</w:t>
            </w:r>
            <w:r w:rsidRPr="00DE2ECF">
              <w:rPr>
                <w:sz w:val="20"/>
                <w:szCs w:val="20"/>
              </w:rPr>
              <w:t>year</w:t>
            </w:r>
          </w:p>
        </w:tc>
        <w:tc>
          <w:tcPr>
            <w:tcW w:w="3798" w:type="dxa"/>
            <w:tcBorders>
              <w:left w:val="none" w:sz="0" w:space="0" w:color="auto"/>
            </w:tcBorders>
          </w:tcPr>
          <w:p w:rsidR="00CB03D7" w:rsidRPr="00DE2ECF"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Met Ed Phase I Final Report, supporting work papers</w:t>
            </w:r>
          </w:p>
        </w:tc>
      </w:tr>
    </w:tbl>
    <w:p w:rsidR="00CB03D7" w:rsidRDefault="00CB03D7" w:rsidP="00A83ABC"/>
    <w:p w:rsidR="00E954EC" w:rsidRPr="00DE2ECF" w:rsidRDefault="0035102B" w:rsidP="00A83ABC">
      <w:pPr>
        <w:spacing w:after="60"/>
        <w:rPr>
          <w:rFonts w:ascii="Century Gothic" w:hAnsi="Century Gothic"/>
          <w:b/>
          <w:smallCaps/>
        </w:rPr>
      </w:pPr>
      <w:r>
        <w:rPr>
          <w:rFonts w:ascii="Century Gothic" w:hAnsi="Century Gothic"/>
          <w:b/>
          <w:smallCaps/>
        </w:rPr>
        <w:t>Pennsylvania Electric Company</w:t>
      </w:r>
      <w:r w:rsidR="00E954EC" w:rsidRPr="00DE2ECF">
        <w:rPr>
          <w:rFonts w:ascii="Century Gothic" w:hAnsi="Century Gothic"/>
          <w:b/>
          <w:smallCaps/>
        </w:rPr>
        <w:t xml:space="preserve"> Phase I Residential </w:t>
      </w:r>
      <w:r w:rsidR="00E954EC">
        <w:rPr>
          <w:rFonts w:ascii="Century Gothic" w:hAnsi="Century Gothic"/>
          <w:b/>
          <w:smallCaps/>
        </w:rPr>
        <w:t>DR</w:t>
      </w:r>
      <w:r w:rsidR="00042FDD">
        <w:rPr>
          <w:rFonts w:ascii="Century Gothic" w:hAnsi="Century Gothic"/>
          <w:b/>
          <w:smallCaps/>
        </w:rPr>
        <w:t xml:space="preserve"> Program</w:t>
      </w:r>
    </w:p>
    <w:p w:rsidR="00E954EC" w:rsidRDefault="00E954EC" w:rsidP="00A83ABC">
      <w:r>
        <w:t xml:space="preserve">In compliance with Phase I of Act 129, Penelec implemented a residential DLC program for central A/C systems. During 2012, the SWE Team estimates that </w:t>
      </w:r>
      <w:r w:rsidR="00796EBF">
        <w:t>Penelec</w:t>
      </w:r>
      <w:r>
        <w:t xml:space="preserve"> had 166,469 (33%) residential customers with central A/C systems, based on the </w:t>
      </w:r>
      <w:r w:rsidRPr="00F46D54">
        <w:rPr>
          <w:szCs w:val="20"/>
        </w:rPr>
        <w:t xml:space="preserve">SWE 2012 Pennsylvania Statewide Residential </w:t>
      </w:r>
      <w:r w:rsidRPr="00F46D54">
        <w:t>End</w:t>
      </w:r>
      <w:r>
        <w:t xml:space="preserve"> </w:t>
      </w:r>
      <w:r w:rsidRPr="00F46D54">
        <w:t>Use and Saturation Study</w:t>
      </w:r>
      <w:r>
        <w:t xml:space="preserve"> and Penelec’s 2012 reported residential customer count. Nearly 11,000 (10,844) of Penelec’s 166,469 residential customers with central A/C systems participated in this program, resulting in a 6.5% participation rate.</w:t>
      </w:r>
      <w:r>
        <w:rPr>
          <w:rStyle w:val="FootnoteReference"/>
        </w:rPr>
        <w:footnoteReference w:id="85"/>
      </w:r>
      <w:r>
        <w:t xml:space="preserve"> The program used a variety of A/C cycling strategies depending on the control duration choices made by the program participants and the system needs during the event.</w:t>
      </w:r>
      <w:r>
        <w:rPr>
          <w:rStyle w:val="FootnoteReference"/>
        </w:rPr>
        <w:footnoteReference w:id="86"/>
      </w:r>
      <w:r>
        <w:t xml:space="preserve"> </w:t>
      </w:r>
    </w:p>
    <w:p w:rsidR="00803DBE" w:rsidRDefault="00FA2D25" w:rsidP="00A83ABC">
      <w:pPr>
        <w:pStyle w:val="Caption"/>
      </w:pPr>
      <w:r>
        <w:fldChar w:fldCharType="begin"/>
      </w:r>
      <w:r>
        <w:instrText xml:space="preserve"> REF _Ref409010948 \h </w:instrText>
      </w:r>
      <w:r>
        <w:fldChar w:fldCharType="separate"/>
      </w:r>
    </w:p>
    <w:p w:rsidR="00E954EC" w:rsidRDefault="00803DBE" w:rsidP="00A83ABC">
      <w:r>
        <w:t xml:space="preserve">Table </w:t>
      </w:r>
      <w:r>
        <w:rPr>
          <w:noProof/>
        </w:rPr>
        <w:t>3</w:t>
      </w:r>
      <w:r>
        <w:noBreakHyphen/>
      </w:r>
      <w:r>
        <w:rPr>
          <w:noProof/>
        </w:rPr>
        <w:t>6</w:t>
      </w:r>
      <w:r w:rsidR="00FA2D25">
        <w:fldChar w:fldCharType="end"/>
      </w:r>
      <w:r w:rsidR="00FA2D25">
        <w:t xml:space="preserve"> </w:t>
      </w:r>
      <w:r w:rsidR="00E954EC">
        <w:t>below highlights key aspects of the Penelec Phase I residential DR program.</w:t>
      </w:r>
    </w:p>
    <w:p w:rsidR="003E6D11" w:rsidRDefault="003E6D11" w:rsidP="00A83ABC">
      <w:pPr>
        <w:pStyle w:val="Caption"/>
      </w:pPr>
      <w:bookmarkStart w:id="166" w:name="_Ref407350355"/>
      <w:bookmarkStart w:id="167" w:name="_Ref409010948"/>
      <w:bookmarkStart w:id="168" w:name="_Toc412628465"/>
    </w:p>
    <w:p w:rsidR="00E954EC" w:rsidRDefault="00E954EC" w:rsidP="00A83ABC">
      <w:pPr>
        <w:pStyle w:val="Caption"/>
      </w:pPr>
      <w:r>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w:instrText>
      </w:r>
      <w:r w:rsidR="00E2011B">
        <w:instrText xml:space="preserve">ABIC \s 1 </w:instrText>
      </w:r>
      <w:r w:rsidR="00E2011B">
        <w:fldChar w:fldCharType="separate"/>
      </w:r>
      <w:r w:rsidR="00803DBE">
        <w:rPr>
          <w:noProof/>
        </w:rPr>
        <w:t>6</w:t>
      </w:r>
      <w:r w:rsidR="00E2011B">
        <w:rPr>
          <w:noProof/>
        </w:rPr>
        <w:fldChar w:fldCharType="end"/>
      </w:r>
      <w:bookmarkEnd w:id="166"/>
      <w:bookmarkEnd w:id="167"/>
      <w:r>
        <w:t xml:space="preserve">: Key Characteristics of </w:t>
      </w:r>
      <w:r w:rsidR="00102F2A">
        <w:t>Penelec’s</w:t>
      </w:r>
      <w:r>
        <w:t xml:space="preserve"> Phase I Residential </w:t>
      </w:r>
      <w:r w:rsidR="00EA2A60">
        <w:t>A/C</w:t>
      </w:r>
      <w:r>
        <w:t xml:space="preserve"> Cycling Program - 2012</w:t>
      </w:r>
      <w:bookmarkEnd w:id="168"/>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50"/>
        <w:gridCol w:w="2520"/>
        <w:gridCol w:w="3798"/>
      </w:tblGrid>
      <w:tr w:rsidR="00E954EC" w:rsidRPr="00EC4B89" w:rsidTr="00A961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448A99"/>
          </w:tcPr>
          <w:p w:rsidR="00E954EC" w:rsidRPr="00EC4B89" w:rsidRDefault="00E954EC" w:rsidP="00A83ABC">
            <w:pPr>
              <w:spacing w:after="120"/>
              <w:jc w:val="left"/>
              <w:rPr>
                <w:sz w:val="20"/>
                <w:szCs w:val="20"/>
              </w:rPr>
            </w:pPr>
            <w:r w:rsidRPr="00EC4B89">
              <w:rPr>
                <w:sz w:val="20"/>
                <w:szCs w:val="20"/>
              </w:rPr>
              <w:t>Description of Characteristic</w:t>
            </w:r>
          </w:p>
        </w:tc>
        <w:tc>
          <w:tcPr>
            <w:tcW w:w="2520" w:type="dxa"/>
            <w:tcBorders>
              <w:top w:val="none" w:sz="0" w:space="0" w:color="auto"/>
              <w:left w:val="none" w:sz="0" w:space="0" w:color="auto"/>
              <w:bottom w:val="none" w:sz="0" w:space="0" w:color="auto"/>
              <w:right w:val="none" w:sz="0" w:space="0" w:color="auto"/>
            </w:tcBorders>
            <w:shd w:val="clear" w:color="auto" w:fill="448A99"/>
          </w:tcPr>
          <w:p w:rsidR="00E954EC" w:rsidRPr="00EC4B89" w:rsidRDefault="00E954EC" w:rsidP="00A83ABC">
            <w:pPr>
              <w:pStyle w:val="Default"/>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EC4B89">
              <w:rPr>
                <w:rFonts w:asciiTheme="minorHAnsi" w:hAnsiTheme="minorHAnsi"/>
                <w:color w:val="FFFFFF" w:themeColor="background1"/>
                <w:sz w:val="20"/>
                <w:szCs w:val="20"/>
              </w:rPr>
              <w:t>Penn Electric Data</w:t>
            </w:r>
          </w:p>
        </w:tc>
        <w:tc>
          <w:tcPr>
            <w:tcW w:w="3798" w:type="dxa"/>
            <w:tcBorders>
              <w:top w:val="none" w:sz="0" w:space="0" w:color="auto"/>
              <w:left w:val="none" w:sz="0" w:space="0" w:color="auto"/>
              <w:bottom w:val="none" w:sz="0" w:space="0" w:color="auto"/>
              <w:right w:val="none" w:sz="0" w:space="0" w:color="auto"/>
            </w:tcBorders>
            <w:shd w:val="clear" w:color="auto" w:fill="448A99"/>
          </w:tcPr>
          <w:p w:rsidR="00E954EC" w:rsidRPr="00EC4B89" w:rsidRDefault="00E954EC" w:rsidP="00A83ABC">
            <w:pPr>
              <w:pStyle w:val="Default"/>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EC4B89">
              <w:rPr>
                <w:rFonts w:asciiTheme="minorHAnsi" w:hAnsiTheme="minorHAnsi"/>
                <w:color w:val="FFFFFF" w:themeColor="background1"/>
                <w:sz w:val="20"/>
                <w:szCs w:val="20"/>
              </w:rPr>
              <w:t>Data Source</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Number of residential customers</w:t>
            </w:r>
          </w:p>
        </w:tc>
        <w:tc>
          <w:tcPr>
            <w:tcW w:w="2520" w:type="dxa"/>
            <w:tcBorders>
              <w:left w:val="none" w:sz="0" w:space="0" w:color="auto"/>
              <w:right w:val="none" w:sz="0" w:space="0" w:color="auto"/>
            </w:tcBorders>
          </w:tcPr>
          <w:p w:rsidR="00E954EC" w:rsidRPr="00DE2ECF" w:rsidRDefault="00E954EC" w:rsidP="00A83ABC">
            <w:pPr>
              <w:pStyle w:val="Default"/>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E2ECF">
              <w:rPr>
                <w:rFonts w:asciiTheme="minorHAnsi" w:hAnsiTheme="minorHAnsi"/>
                <w:sz w:val="20"/>
                <w:szCs w:val="20"/>
              </w:rPr>
              <w:t>504,450</w:t>
            </w:r>
          </w:p>
        </w:tc>
        <w:tc>
          <w:tcPr>
            <w:tcW w:w="3798" w:type="dxa"/>
            <w:tcBorders>
              <w:left w:val="none" w:sz="0" w:space="0" w:color="auto"/>
            </w:tcBorders>
          </w:tcPr>
          <w:p w:rsidR="00E954EC" w:rsidRPr="00DE2ECF" w:rsidRDefault="00E954EC" w:rsidP="00A83ABC">
            <w:pPr>
              <w:pStyle w:val="Default"/>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E2ECF">
              <w:rPr>
                <w:rFonts w:asciiTheme="minorHAnsi" w:hAnsiTheme="minorHAnsi"/>
                <w:sz w:val="20"/>
                <w:szCs w:val="20"/>
              </w:rPr>
              <w:t xml:space="preserve">SWE 2012 Pennsylvania Statewide </w:t>
            </w:r>
            <w:r w:rsidRPr="005A7984">
              <w:rPr>
                <w:rFonts w:asciiTheme="minorHAnsi" w:hAnsiTheme="minorHAnsi"/>
                <w:sz w:val="20"/>
                <w:szCs w:val="20"/>
              </w:rPr>
              <w:t xml:space="preserve">Residential </w:t>
            </w:r>
            <w:r w:rsidRPr="00C653CA">
              <w:rPr>
                <w:rFonts w:asciiTheme="minorHAnsi" w:hAnsiTheme="minorHAnsi"/>
                <w:sz w:val="20"/>
                <w:szCs w:val="20"/>
              </w:rPr>
              <w:t>End</w:t>
            </w:r>
            <w:r>
              <w:rPr>
                <w:rFonts w:asciiTheme="minorHAnsi" w:hAnsiTheme="minorHAnsi"/>
                <w:sz w:val="20"/>
                <w:szCs w:val="20"/>
              </w:rPr>
              <w:t xml:space="preserve"> </w:t>
            </w:r>
            <w:r w:rsidRPr="00C653CA">
              <w:rPr>
                <w:rFonts w:asciiTheme="minorHAnsi" w:hAnsiTheme="minorHAnsi"/>
                <w:sz w:val="20"/>
                <w:szCs w:val="20"/>
              </w:rPr>
              <w:t>Use and Saturation Study</w:t>
            </w:r>
            <w:r>
              <w:rPr>
                <w:rFonts w:asciiTheme="minorHAnsi" w:hAnsiTheme="minorHAnsi"/>
                <w:sz w:val="20"/>
                <w:szCs w:val="20"/>
              </w:rPr>
              <w:t xml:space="preserve"> </w:t>
            </w:r>
            <w:r w:rsidRPr="00DE2ECF">
              <w:rPr>
                <w:rFonts w:asciiTheme="minorHAnsi" w:hAnsiTheme="minorHAnsi"/>
                <w:sz w:val="20"/>
                <w:szCs w:val="20"/>
              </w:rPr>
              <w:t>(Page 21)</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 xml:space="preserve">Percent of residential customers with central </w:t>
            </w:r>
            <w:r>
              <w:rPr>
                <w:b w:val="0"/>
                <w:sz w:val="20"/>
                <w:szCs w:val="20"/>
              </w:rPr>
              <w:t>A/C</w:t>
            </w:r>
            <w:r w:rsidRPr="00EC4B89">
              <w:rPr>
                <w:b w:val="0"/>
                <w:sz w:val="20"/>
                <w:szCs w:val="20"/>
              </w:rPr>
              <w:t xml:space="preserve"> systems (2012 </w:t>
            </w:r>
            <w:r w:rsidRPr="004808A1">
              <w:rPr>
                <w:b w:val="0"/>
                <w:sz w:val="20"/>
                <w:szCs w:val="20"/>
              </w:rPr>
              <w:t>End</w:t>
            </w:r>
            <w:r>
              <w:rPr>
                <w:b w:val="0"/>
                <w:sz w:val="20"/>
                <w:szCs w:val="20"/>
              </w:rPr>
              <w:t xml:space="preserve"> </w:t>
            </w:r>
            <w:r w:rsidRPr="004808A1">
              <w:rPr>
                <w:b w:val="0"/>
                <w:sz w:val="20"/>
                <w:szCs w:val="20"/>
              </w:rPr>
              <w:t>Use and Saturation Study)</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33%</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SWE 2012 Pennsylvania Statewide </w:t>
            </w:r>
            <w:r w:rsidRPr="005A7984">
              <w:rPr>
                <w:sz w:val="20"/>
                <w:szCs w:val="20"/>
              </w:rPr>
              <w:t xml:space="preserve">Residential </w:t>
            </w:r>
            <w:r w:rsidRPr="00C653CA">
              <w:rPr>
                <w:sz w:val="20"/>
                <w:szCs w:val="20"/>
              </w:rPr>
              <w:t>End</w:t>
            </w:r>
            <w:r>
              <w:rPr>
                <w:sz w:val="20"/>
                <w:szCs w:val="20"/>
              </w:rPr>
              <w:t xml:space="preserve"> </w:t>
            </w:r>
            <w:r w:rsidRPr="00C653CA">
              <w:rPr>
                <w:sz w:val="20"/>
                <w:szCs w:val="20"/>
              </w:rPr>
              <w:t>Use and Saturation Study</w:t>
            </w:r>
            <w:r>
              <w:rPr>
                <w:sz w:val="20"/>
                <w:szCs w:val="20"/>
              </w:rPr>
              <w:t xml:space="preserve"> </w:t>
            </w:r>
            <w:r w:rsidRPr="00DE2ECF">
              <w:rPr>
                <w:sz w:val="20"/>
                <w:szCs w:val="20"/>
              </w:rPr>
              <w:t>(Page 7)</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Homes with central A/C in 2012 (Eligible Market)</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166,469</w:t>
            </w:r>
          </w:p>
        </w:tc>
        <w:tc>
          <w:tcPr>
            <w:tcW w:w="3798" w:type="dxa"/>
            <w:tcBorders>
              <w:lef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33% of 504,450 residential customers</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 xml:space="preserve">Phase I participants </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10,844</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Pr>
                <w:sz w:val="20"/>
                <w:szCs w:val="20"/>
              </w:rPr>
              <w:t>DR</w:t>
            </w:r>
            <w:r w:rsidRPr="00DE2ECF">
              <w:rPr>
                <w:sz w:val="20"/>
                <w:szCs w:val="20"/>
              </w:rPr>
              <w:t xml:space="preserve"> Study Data Request, Request #2</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Program participation rate (participation as a percent of the eligible market)</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w:t>
            </w:r>
            <w:r w:rsidRPr="00DE2ECF">
              <w:rPr>
                <w:sz w:val="20"/>
                <w:szCs w:val="20"/>
              </w:rPr>
              <w:t>%</w:t>
            </w:r>
          </w:p>
        </w:tc>
        <w:tc>
          <w:tcPr>
            <w:tcW w:w="3798" w:type="dxa"/>
            <w:tcBorders>
              <w:lef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10,844/166,469</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Cycling strategies Used (50%, 75%, 100%, etc.)</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Varied depending on participant choice and system  need during  event</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Pr>
                <w:sz w:val="20"/>
                <w:szCs w:val="20"/>
              </w:rPr>
              <w:t>DR</w:t>
            </w:r>
            <w:r w:rsidRPr="00DE2ECF">
              <w:rPr>
                <w:sz w:val="20"/>
                <w:szCs w:val="20"/>
              </w:rPr>
              <w:t xml:space="preserve"> Study Data Request, Request #9</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lastRenderedPageBreak/>
              <w:t>Maximum number of cycling events allowable per summer of 2012</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No Maximum</w:t>
            </w:r>
          </w:p>
        </w:tc>
        <w:tc>
          <w:tcPr>
            <w:tcW w:w="3798" w:type="dxa"/>
            <w:tcBorders>
              <w:lef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FE response to 6/12/2014 </w:t>
            </w:r>
            <w:r>
              <w:rPr>
                <w:sz w:val="20"/>
                <w:szCs w:val="20"/>
              </w:rPr>
              <w:t>DR</w:t>
            </w:r>
            <w:r w:rsidRPr="00DE2ECF">
              <w:rPr>
                <w:sz w:val="20"/>
                <w:szCs w:val="20"/>
              </w:rPr>
              <w:t xml:space="preserve"> Study Data Request, Request #9</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Maximum duration (in hours) for each cycling event – summer 2012</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No Maximum</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Pr>
                <w:sz w:val="20"/>
                <w:szCs w:val="20"/>
              </w:rPr>
              <w:t>DR</w:t>
            </w:r>
            <w:r w:rsidRPr="00DE2ECF">
              <w:rPr>
                <w:sz w:val="20"/>
                <w:szCs w:val="20"/>
              </w:rPr>
              <w:t xml:space="preserve"> Study Data Request, Request #9</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Pr>
                <w:b w:val="0"/>
                <w:sz w:val="20"/>
                <w:szCs w:val="20"/>
              </w:rPr>
              <w:t>Type of central computer</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 be provided</w:t>
            </w:r>
          </w:p>
        </w:tc>
        <w:tc>
          <w:tcPr>
            <w:tcW w:w="3798" w:type="dxa"/>
            <w:tcBorders>
              <w:left w:val="none" w:sz="0" w:space="0" w:color="auto"/>
            </w:tcBorders>
          </w:tcPr>
          <w:p w:rsidR="00E954EC" w:rsidRPr="00DE2ECF" w:rsidRDefault="00E2011B"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hyperlink r:id="rId43" w:history="1">
              <w:r w:rsidR="00E954EC" w:rsidRPr="00DE2ECF">
                <w:rPr>
                  <w:rStyle w:val="Hyperlink"/>
                  <w:sz w:val="20"/>
                  <w:szCs w:val="20"/>
                </w:rPr>
                <w:t>https://www.fes.com/content/fes/home/residential/offers.html</w:t>
              </w:r>
            </w:hyperlink>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Type of load control switch utilized</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DLC</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FE response to 6/12/2014 </w:t>
            </w:r>
            <w:r>
              <w:rPr>
                <w:sz w:val="20"/>
                <w:szCs w:val="20"/>
              </w:rPr>
              <w:t>DR</w:t>
            </w:r>
            <w:r w:rsidRPr="00DE2ECF">
              <w:rPr>
                <w:sz w:val="20"/>
                <w:szCs w:val="20"/>
              </w:rPr>
              <w:t xml:space="preserve"> Study Data Request, Request #2</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Average kW load reduction per unit in Phase I</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0.44 kW</w:t>
            </w:r>
          </w:p>
        </w:tc>
        <w:tc>
          <w:tcPr>
            <w:tcW w:w="3798" w:type="dxa"/>
            <w:tcBorders>
              <w:lef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FE PA EDC Response to SWE Supplemental Data Request, request #6</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Incentive amount per participant</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$19.50</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Penn Electric Final </w:t>
            </w:r>
            <w:r>
              <w:rPr>
                <w:sz w:val="20"/>
                <w:szCs w:val="20"/>
              </w:rPr>
              <w:t>Phase I</w:t>
            </w:r>
            <w:r w:rsidRPr="00DE2ECF">
              <w:rPr>
                <w:sz w:val="20"/>
                <w:szCs w:val="20"/>
              </w:rPr>
              <w:t xml:space="preserve"> Annual Report, page 37</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Total program expenditures – Program Year 4</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$1,239,000</w:t>
            </w:r>
          </w:p>
        </w:tc>
        <w:tc>
          <w:tcPr>
            <w:tcW w:w="3798" w:type="dxa"/>
            <w:tcBorders>
              <w:lef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Penn Electric Final </w:t>
            </w:r>
            <w:r>
              <w:rPr>
                <w:sz w:val="20"/>
                <w:szCs w:val="20"/>
              </w:rPr>
              <w:t>Phase I</w:t>
            </w:r>
            <w:r w:rsidRPr="00DE2ECF">
              <w:rPr>
                <w:sz w:val="20"/>
                <w:szCs w:val="20"/>
              </w:rPr>
              <w:t xml:space="preserve"> Annual Report, page 37</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EDC reported kW savings for all participants – summer 2012</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5,350 kW</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 xml:space="preserve">Penn Electric Final </w:t>
            </w:r>
            <w:r>
              <w:rPr>
                <w:sz w:val="20"/>
                <w:szCs w:val="20"/>
              </w:rPr>
              <w:t>Phase I</w:t>
            </w:r>
            <w:r w:rsidRPr="00DE2ECF">
              <w:rPr>
                <w:sz w:val="20"/>
                <w:szCs w:val="20"/>
              </w:rPr>
              <w:t xml:space="preserve"> Annual Report, page 36</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T&amp;D line losses percentage used in TRC test for PY4</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21.2%</w:t>
            </w:r>
          </w:p>
        </w:tc>
        <w:tc>
          <w:tcPr>
            <w:tcW w:w="3798" w:type="dxa"/>
            <w:tcBorders>
              <w:lef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 xml:space="preserve">Penn Electric Final </w:t>
            </w:r>
            <w:r>
              <w:rPr>
                <w:sz w:val="20"/>
                <w:szCs w:val="20"/>
              </w:rPr>
              <w:t>Phase I</w:t>
            </w:r>
            <w:r w:rsidRPr="00DE2ECF">
              <w:rPr>
                <w:sz w:val="20"/>
                <w:szCs w:val="20"/>
              </w:rPr>
              <w:t xml:space="preserve"> Annual Report, page 11</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C94CE6" w:rsidRDefault="00E954EC" w:rsidP="00A83ABC">
            <w:pPr>
              <w:spacing w:after="120"/>
              <w:jc w:val="left"/>
              <w:rPr>
                <w:b w:val="0"/>
                <w:sz w:val="20"/>
                <w:szCs w:val="20"/>
              </w:rPr>
            </w:pPr>
            <w:r w:rsidRPr="00C94CE6">
              <w:rPr>
                <w:b w:val="0"/>
                <w:sz w:val="20"/>
                <w:szCs w:val="20"/>
              </w:rPr>
              <w:t xml:space="preserve">EDC Reported </w:t>
            </w:r>
            <w:r>
              <w:rPr>
                <w:b w:val="0"/>
                <w:sz w:val="20"/>
                <w:szCs w:val="20"/>
              </w:rPr>
              <w:t>TRC</w:t>
            </w:r>
            <w:r w:rsidRPr="00C94CE6">
              <w:rPr>
                <w:b w:val="0"/>
                <w:sz w:val="20"/>
                <w:szCs w:val="20"/>
              </w:rPr>
              <w:t xml:space="preserve"> Test Ratio for PY 4</w:t>
            </w:r>
          </w:p>
        </w:tc>
        <w:tc>
          <w:tcPr>
            <w:tcW w:w="2520" w:type="dxa"/>
            <w:tcBorders>
              <w:left w:val="none" w:sz="0" w:space="0" w:color="auto"/>
              <w:right w:val="none" w:sz="0" w:space="0" w:color="auto"/>
            </w:tcBorders>
          </w:tcPr>
          <w:p w:rsidR="00E954EC" w:rsidRPr="008B670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B670F">
              <w:rPr>
                <w:sz w:val="20"/>
                <w:szCs w:val="20"/>
              </w:rPr>
              <w:t>0.36</w:t>
            </w:r>
          </w:p>
        </w:tc>
        <w:tc>
          <w:tcPr>
            <w:tcW w:w="3798" w:type="dxa"/>
            <w:tcBorders>
              <w:left w:val="none" w:sz="0" w:space="0" w:color="auto"/>
            </w:tcBorders>
          </w:tcPr>
          <w:p w:rsidR="00E954EC" w:rsidRPr="00844BA9"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2917FB">
              <w:rPr>
                <w:sz w:val="20"/>
                <w:szCs w:val="20"/>
              </w:rPr>
              <w:t xml:space="preserve">Penn Electric Final </w:t>
            </w:r>
            <w:r w:rsidRPr="00D10AE3">
              <w:rPr>
                <w:sz w:val="20"/>
                <w:szCs w:val="20"/>
              </w:rPr>
              <w:t>Phase I</w:t>
            </w:r>
            <w:r w:rsidRPr="00844BA9">
              <w:rPr>
                <w:sz w:val="20"/>
                <w:szCs w:val="20"/>
              </w:rPr>
              <w:t xml:space="preserve"> Annual Report, page 37</w:t>
            </w:r>
          </w:p>
        </w:tc>
      </w:tr>
      <w:tr w:rsidR="00E954EC" w:rsidRPr="00DE2ECF"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Marketing methods used by FE</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Bill inserts, on bill messages, direct mail, telemarketing</w:t>
            </w:r>
          </w:p>
        </w:tc>
        <w:tc>
          <w:tcPr>
            <w:tcW w:w="3798" w:type="dxa"/>
            <w:tcBorders>
              <w:left w:val="none" w:sz="0" w:space="0" w:color="auto"/>
            </w:tcBorders>
          </w:tcPr>
          <w:p w:rsidR="00E954EC" w:rsidRPr="00DE2ECF"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DE2ECF">
              <w:rPr>
                <w:sz w:val="20"/>
                <w:szCs w:val="20"/>
              </w:rPr>
              <w:t>FE PA EDC Response to SWE Supplemental Data Request, request #7</w:t>
            </w:r>
          </w:p>
        </w:tc>
      </w:tr>
      <w:tr w:rsidR="00E954EC" w:rsidRPr="00DE2ECF"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T&amp;D avoided costs used in the Phase I benefit/cost analysis</w:t>
            </w:r>
          </w:p>
        </w:tc>
        <w:tc>
          <w:tcPr>
            <w:tcW w:w="2520" w:type="dxa"/>
            <w:tcBorders>
              <w:left w:val="none" w:sz="0" w:space="0" w:color="auto"/>
              <w:righ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DE2ECF">
              <w:rPr>
                <w:sz w:val="20"/>
                <w:szCs w:val="20"/>
              </w:rPr>
              <w:t>$0 per kW</w:t>
            </w:r>
            <w:r>
              <w:rPr>
                <w:sz w:val="20"/>
                <w:szCs w:val="20"/>
              </w:rPr>
              <w:t>-</w:t>
            </w:r>
            <w:r w:rsidRPr="00DE2ECF">
              <w:rPr>
                <w:sz w:val="20"/>
                <w:szCs w:val="20"/>
              </w:rPr>
              <w:t>year</w:t>
            </w:r>
          </w:p>
        </w:tc>
        <w:tc>
          <w:tcPr>
            <w:tcW w:w="3798" w:type="dxa"/>
            <w:tcBorders>
              <w:left w:val="none" w:sz="0" w:space="0" w:color="auto"/>
            </w:tcBorders>
          </w:tcPr>
          <w:p w:rsidR="00E954EC" w:rsidRPr="00DE2ECF"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Penelec</w:t>
            </w:r>
            <w:r w:rsidRPr="00DE2ECF">
              <w:rPr>
                <w:sz w:val="20"/>
                <w:szCs w:val="20"/>
              </w:rPr>
              <w:t xml:space="preserve"> Phase I Final Report, supporting work papers</w:t>
            </w:r>
          </w:p>
        </w:tc>
      </w:tr>
    </w:tbl>
    <w:p w:rsidR="00E954EC" w:rsidRDefault="00E954EC" w:rsidP="00A83ABC"/>
    <w:p w:rsidR="00E954EC" w:rsidRPr="00DE2ECF" w:rsidRDefault="00E954EC" w:rsidP="00A83ABC">
      <w:pPr>
        <w:spacing w:after="60"/>
        <w:rPr>
          <w:rFonts w:ascii="Century Gothic" w:hAnsi="Century Gothic"/>
          <w:b/>
          <w:smallCaps/>
        </w:rPr>
      </w:pPr>
      <w:r w:rsidRPr="00DE2ECF">
        <w:rPr>
          <w:rFonts w:ascii="Century Gothic" w:hAnsi="Century Gothic"/>
          <w:b/>
          <w:smallCaps/>
        </w:rPr>
        <w:t>Penn</w:t>
      </w:r>
      <w:r w:rsidR="0035102B">
        <w:rPr>
          <w:rFonts w:ascii="Century Gothic" w:hAnsi="Century Gothic"/>
          <w:b/>
          <w:smallCaps/>
        </w:rPr>
        <w:t>sylvania</w:t>
      </w:r>
      <w:r w:rsidRPr="00DE2ECF">
        <w:rPr>
          <w:rFonts w:ascii="Century Gothic" w:hAnsi="Century Gothic"/>
          <w:b/>
          <w:smallCaps/>
        </w:rPr>
        <w:t xml:space="preserve"> Power</w:t>
      </w:r>
      <w:r w:rsidR="0035102B">
        <w:rPr>
          <w:rFonts w:ascii="Century Gothic" w:hAnsi="Century Gothic"/>
          <w:b/>
          <w:smallCaps/>
        </w:rPr>
        <w:t xml:space="preserve"> Company</w:t>
      </w:r>
      <w:r w:rsidRPr="00DE2ECF">
        <w:rPr>
          <w:rFonts w:ascii="Century Gothic" w:hAnsi="Century Gothic"/>
          <w:b/>
          <w:smallCaps/>
        </w:rPr>
        <w:t xml:space="preserve"> Phase I Residential </w:t>
      </w:r>
      <w:r>
        <w:rPr>
          <w:rFonts w:ascii="Century Gothic" w:hAnsi="Century Gothic"/>
          <w:b/>
          <w:smallCaps/>
        </w:rPr>
        <w:t>DR</w:t>
      </w:r>
      <w:r w:rsidR="00042FDD">
        <w:rPr>
          <w:rFonts w:ascii="Century Gothic" w:hAnsi="Century Gothic"/>
          <w:b/>
          <w:smallCaps/>
        </w:rPr>
        <w:t xml:space="preserve"> Program</w:t>
      </w:r>
    </w:p>
    <w:p w:rsidR="00E954EC" w:rsidRDefault="00E954EC" w:rsidP="00A83ABC">
      <w:r>
        <w:t xml:space="preserve">During Phase I of Act 129, Penn Power implemented a residential DLC program for central A/C systems. For 2012, the SWE Team estimates that 96,738 (69%) of Penn Power’s residential customers had central A/C systems, based on the </w:t>
      </w:r>
      <w:r w:rsidRPr="00123C18">
        <w:t>SWE 2012 Pennsylvania Statewide Residential End</w:t>
      </w:r>
      <w:r>
        <w:t xml:space="preserve"> </w:t>
      </w:r>
      <w:r w:rsidRPr="00123C18">
        <w:t xml:space="preserve">Use and Saturation Study </w:t>
      </w:r>
      <w:r>
        <w:t>for the Penn Power service area and the total number of residential customers in 2012. Of Penn Power’s residential customers with central A/C systems, 2,806 participated in this program, resulting in a 2.9% participation rate.</w:t>
      </w:r>
      <w:r>
        <w:rPr>
          <w:rStyle w:val="FootnoteReference"/>
        </w:rPr>
        <w:footnoteReference w:id="87"/>
      </w:r>
      <w:r>
        <w:t xml:space="preserve"> The program used a variety of A/C cycling strategies depending on the levels of load control selected by participants and the system needs at the time of the events.</w:t>
      </w:r>
      <w:r>
        <w:rPr>
          <w:rStyle w:val="FootnoteReference"/>
        </w:rPr>
        <w:footnoteReference w:id="88"/>
      </w:r>
      <w:r>
        <w:t xml:space="preserve"> </w:t>
      </w:r>
    </w:p>
    <w:p w:rsidR="00E954EC" w:rsidRPr="00F46D54" w:rsidRDefault="00E954EC" w:rsidP="00A83ABC"/>
    <w:p w:rsidR="00E954EC" w:rsidRDefault="00E954EC" w:rsidP="00A83ABC">
      <w:r>
        <w:t>In Phase I of the program, the central A/C units of Penn Power’s participating residential customers were controlled by a switch. To market this program, Penn Power provided information to customers using bill inserts, messages printed on bills, direct mail, and telemarketing.</w:t>
      </w:r>
      <w:r>
        <w:rPr>
          <w:rStyle w:val="FootnoteReference"/>
        </w:rPr>
        <w:footnoteReference w:id="89"/>
      </w:r>
      <w:r>
        <w:t xml:space="preserve"> Penn Power offered an average of </w:t>
      </w:r>
      <w:r w:rsidRPr="00565C1F">
        <w:t>$19.15</w:t>
      </w:r>
      <w:r>
        <w:t xml:space="preserve"> in bill credits during the summer of 2012 for participating customers.</w:t>
      </w:r>
      <w:r>
        <w:rPr>
          <w:rStyle w:val="FootnoteReference"/>
        </w:rPr>
        <w:footnoteReference w:id="90"/>
      </w:r>
      <w:r>
        <w:t xml:space="preserve"> The company </w:t>
      </w:r>
      <w:r>
        <w:lastRenderedPageBreak/>
        <w:t>spent a total of $97,000 on this program during Phase I</w:t>
      </w:r>
      <w:r>
        <w:rPr>
          <w:rStyle w:val="FootnoteReference"/>
        </w:rPr>
        <w:footnoteReference w:id="91"/>
      </w:r>
      <w:r>
        <w:t xml:space="preserve"> and had a TRC benefit/cost ratio of </w:t>
      </w:r>
      <w:r w:rsidRPr="00610899">
        <w:t>0.82</w:t>
      </w:r>
      <w:r>
        <w:t xml:space="preserve"> (FE Final Phase I Annual Report). Penn Power reported a total kW reduction of 930 kW and average per unit savings of 0.39 kW per unit.</w:t>
      </w:r>
      <w:r>
        <w:rPr>
          <w:rStyle w:val="FootnoteReference"/>
        </w:rPr>
        <w:footnoteReference w:id="92"/>
      </w:r>
      <w:r>
        <w:t xml:space="preserve"> Penn Power’s benefit/cost analysis assumed average T&amp;D line losses of 14.2%.</w:t>
      </w:r>
      <w:r>
        <w:rPr>
          <w:rStyle w:val="FootnoteReference"/>
        </w:rPr>
        <w:footnoteReference w:id="93"/>
      </w:r>
      <w:r>
        <w:t xml:space="preserve"> </w:t>
      </w:r>
      <w:r>
        <w:fldChar w:fldCharType="begin"/>
      </w:r>
      <w:r>
        <w:instrText xml:space="preserve"> REF _Ref407350328 \h </w:instrText>
      </w:r>
      <w:r>
        <w:fldChar w:fldCharType="separate"/>
      </w:r>
      <w:r w:rsidR="00803DBE" w:rsidRPr="0035102B">
        <w:t xml:space="preserve">Table </w:t>
      </w:r>
      <w:r w:rsidR="00803DBE">
        <w:rPr>
          <w:noProof/>
        </w:rPr>
        <w:t>3</w:t>
      </w:r>
      <w:r w:rsidR="00803DBE">
        <w:noBreakHyphen/>
      </w:r>
      <w:r w:rsidR="00803DBE">
        <w:rPr>
          <w:noProof/>
        </w:rPr>
        <w:t>7</w:t>
      </w:r>
      <w:r>
        <w:fldChar w:fldCharType="end"/>
      </w:r>
      <w:r>
        <w:t xml:space="preserve"> below highlights key aspects of the program.</w:t>
      </w:r>
    </w:p>
    <w:p w:rsidR="00E954EC" w:rsidRDefault="00E954EC" w:rsidP="00A83ABC"/>
    <w:p w:rsidR="00E954EC" w:rsidRPr="0082377B" w:rsidRDefault="00E954EC" w:rsidP="00A83ABC">
      <w:pPr>
        <w:pStyle w:val="Caption"/>
      </w:pPr>
      <w:bookmarkStart w:id="169" w:name="_Ref407350328"/>
      <w:bookmarkStart w:id="170" w:name="_Toc412628466"/>
      <w:r w:rsidRPr="0035102B">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7</w:t>
      </w:r>
      <w:r w:rsidR="00E2011B">
        <w:rPr>
          <w:noProof/>
        </w:rPr>
        <w:fldChar w:fldCharType="end"/>
      </w:r>
      <w:bookmarkEnd w:id="169"/>
      <w:r w:rsidRPr="0035102B">
        <w:t>: Key Characteristics of Penn</w:t>
      </w:r>
      <w:r w:rsidRPr="00E20731">
        <w:t xml:space="preserve"> Power</w:t>
      </w:r>
      <w:r w:rsidRPr="0082377B">
        <w:t xml:space="preserve"> Phase I Residential </w:t>
      </w:r>
      <w:r w:rsidR="00EA2A60">
        <w:t>A/C</w:t>
      </w:r>
      <w:r w:rsidRPr="0082377B">
        <w:t xml:space="preserve"> Cycling Program - 2012</w:t>
      </w:r>
      <w:bookmarkEnd w:id="170"/>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50"/>
        <w:gridCol w:w="2520"/>
        <w:gridCol w:w="3798"/>
      </w:tblGrid>
      <w:tr w:rsidR="00E954EC" w:rsidRPr="00EC4B89" w:rsidTr="00A961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448A99"/>
          </w:tcPr>
          <w:p w:rsidR="00E954EC" w:rsidRPr="00EC4B89" w:rsidRDefault="00E954EC" w:rsidP="00A83ABC">
            <w:pPr>
              <w:spacing w:after="120"/>
              <w:jc w:val="left"/>
              <w:rPr>
                <w:sz w:val="20"/>
                <w:szCs w:val="20"/>
              </w:rPr>
            </w:pPr>
            <w:r w:rsidRPr="00EC4B89">
              <w:rPr>
                <w:sz w:val="20"/>
                <w:szCs w:val="20"/>
              </w:rPr>
              <w:t>Description of Characteristic</w:t>
            </w:r>
          </w:p>
        </w:tc>
        <w:tc>
          <w:tcPr>
            <w:tcW w:w="2520" w:type="dxa"/>
            <w:tcBorders>
              <w:top w:val="none" w:sz="0" w:space="0" w:color="auto"/>
              <w:left w:val="none" w:sz="0" w:space="0" w:color="auto"/>
              <w:bottom w:val="none" w:sz="0" w:space="0" w:color="auto"/>
              <w:right w:val="none" w:sz="0" w:space="0" w:color="auto"/>
            </w:tcBorders>
            <w:shd w:val="clear" w:color="auto" w:fill="448A99"/>
          </w:tcPr>
          <w:p w:rsidR="00E954EC" w:rsidRPr="00EC4B89" w:rsidRDefault="00E954EC" w:rsidP="00A83ABC">
            <w:pPr>
              <w:pStyle w:val="Default"/>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EC4B89">
              <w:rPr>
                <w:rFonts w:asciiTheme="minorHAnsi" w:hAnsiTheme="minorHAnsi"/>
                <w:color w:val="FFFFFF" w:themeColor="background1"/>
                <w:sz w:val="20"/>
                <w:szCs w:val="20"/>
              </w:rPr>
              <w:t>PP Data</w:t>
            </w:r>
          </w:p>
        </w:tc>
        <w:tc>
          <w:tcPr>
            <w:tcW w:w="3798" w:type="dxa"/>
            <w:tcBorders>
              <w:top w:val="none" w:sz="0" w:space="0" w:color="auto"/>
              <w:left w:val="none" w:sz="0" w:space="0" w:color="auto"/>
              <w:bottom w:val="none" w:sz="0" w:space="0" w:color="auto"/>
              <w:right w:val="none" w:sz="0" w:space="0" w:color="auto"/>
            </w:tcBorders>
            <w:shd w:val="clear" w:color="auto" w:fill="448A99"/>
          </w:tcPr>
          <w:p w:rsidR="00E954EC" w:rsidRPr="00EC4B89" w:rsidRDefault="00E954EC" w:rsidP="00A83ABC">
            <w:pPr>
              <w:pStyle w:val="Default"/>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EC4B89">
              <w:rPr>
                <w:rFonts w:asciiTheme="minorHAnsi" w:hAnsiTheme="minorHAnsi"/>
                <w:color w:val="FFFFFF" w:themeColor="background1"/>
                <w:sz w:val="20"/>
                <w:szCs w:val="20"/>
              </w:rPr>
              <w:t>Data Source</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Number of residential customers</w:t>
            </w:r>
          </w:p>
        </w:tc>
        <w:tc>
          <w:tcPr>
            <w:tcW w:w="2520" w:type="dxa"/>
            <w:tcBorders>
              <w:left w:val="none" w:sz="0" w:space="0" w:color="auto"/>
              <w:right w:val="none" w:sz="0" w:space="0" w:color="auto"/>
            </w:tcBorders>
          </w:tcPr>
          <w:p w:rsidR="00E954EC" w:rsidRPr="00895DEB" w:rsidRDefault="00E954EC" w:rsidP="00A83ABC">
            <w:pPr>
              <w:pStyle w:val="Default"/>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95DEB">
              <w:rPr>
                <w:rFonts w:asciiTheme="minorHAnsi" w:hAnsiTheme="minorHAnsi"/>
                <w:sz w:val="20"/>
                <w:szCs w:val="20"/>
              </w:rPr>
              <w:t>140,200</w:t>
            </w:r>
          </w:p>
        </w:tc>
        <w:tc>
          <w:tcPr>
            <w:tcW w:w="3798" w:type="dxa"/>
            <w:tcBorders>
              <w:left w:val="none" w:sz="0" w:space="0" w:color="auto"/>
            </w:tcBorders>
          </w:tcPr>
          <w:p w:rsidR="00E954EC" w:rsidRPr="00895DEB" w:rsidRDefault="00E954EC" w:rsidP="00A83ABC">
            <w:pPr>
              <w:pStyle w:val="Default"/>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95DEB">
              <w:rPr>
                <w:rFonts w:asciiTheme="minorHAnsi" w:hAnsiTheme="minorHAnsi"/>
                <w:sz w:val="20"/>
                <w:szCs w:val="20"/>
              </w:rPr>
              <w:t xml:space="preserve">SWE 2012 Pennsylvania Statewide </w:t>
            </w:r>
            <w:r w:rsidRPr="005A7984">
              <w:rPr>
                <w:rFonts w:asciiTheme="minorHAnsi" w:hAnsiTheme="minorHAnsi"/>
                <w:sz w:val="20"/>
                <w:szCs w:val="20"/>
              </w:rPr>
              <w:t xml:space="preserve">Residential </w:t>
            </w:r>
            <w:r w:rsidRPr="00C653CA">
              <w:rPr>
                <w:rFonts w:asciiTheme="minorHAnsi" w:hAnsiTheme="minorHAnsi"/>
                <w:sz w:val="20"/>
                <w:szCs w:val="20"/>
              </w:rPr>
              <w:t>End</w:t>
            </w:r>
            <w:r>
              <w:rPr>
                <w:rFonts w:asciiTheme="minorHAnsi" w:hAnsiTheme="minorHAnsi"/>
                <w:sz w:val="20"/>
                <w:szCs w:val="20"/>
              </w:rPr>
              <w:t xml:space="preserve"> </w:t>
            </w:r>
            <w:r w:rsidRPr="00C653CA">
              <w:rPr>
                <w:rFonts w:asciiTheme="minorHAnsi" w:hAnsiTheme="minorHAnsi"/>
                <w:sz w:val="20"/>
                <w:szCs w:val="20"/>
              </w:rPr>
              <w:t>Use and Saturation Study</w:t>
            </w:r>
            <w:r>
              <w:rPr>
                <w:rFonts w:asciiTheme="minorHAnsi" w:hAnsiTheme="minorHAnsi"/>
                <w:sz w:val="20"/>
                <w:szCs w:val="20"/>
              </w:rPr>
              <w:t xml:space="preserve"> </w:t>
            </w:r>
            <w:r w:rsidRPr="00895DEB">
              <w:rPr>
                <w:rFonts w:asciiTheme="minorHAnsi" w:hAnsiTheme="minorHAnsi"/>
                <w:sz w:val="20"/>
                <w:szCs w:val="20"/>
              </w:rPr>
              <w:t>Page 21</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 xml:space="preserve">Percent of  residential customers with central </w:t>
            </w:r>
            <w:r>
              <w:rPr>
                <w:b w:val="0"/>
                <w:sz w:val="20"/>
                <w:szCs w:val="20"/>
              </w:rPr>
              <w:t>A/C</w:t>
            </w:r>
            <w:r w:rsidRPr="00EC4B89">
              <w:rPr>
                <w:b w:val="0"/>
                <w:sz w:val="20"/>
                <w:szCs w:val="20"/>
              </w:rPr>
              <w:t xml:space="preserve"> systems (2012 </w:t>
            </w:r>
            <w:r w:rsidRPr="004808A1">
              <w:rPr>
                <w:b w:val="0"/>
                <w:sz w:val="20"/>
                <w:szCs w:val="20"/>
              </w:rPr>
              <w:t>End</w:t>
            </w:r>
            <w:r>
              <w:rPr>
                <w:b w:val="0"/>
                <w:sz w:val="20"/>
                <w:szCs w:val="20"/>
              </w:rPr>
              <w:t xml:space="preserve"> </w:t>
            </w:r>
            <w:r w:rsidRPr="004808A1">
              <w:rPr>
                <w:b w:val="0"/>
                <w:sz w:val="20"/>
                <w:szCs w:val="20"/>
              </w:rPr>
              <w:t>Use and Saturation Study)</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69%</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SWE 2012 Pennsylvania Statewide </w:t>
            </w:r>
            <w:r w:rsidRPr="005A7984">
              <w:rPr>
                <w:sz w:val="20"/>
                <w:szCs w:val="20"/>
              </w:rPr>
              <w:t xml:space="preserve">Residential </w:t>
            </w:r>
            <w:r w:rsidRPr="00C653CA">
              <w:rPr>
                <w:sz w:val="20"/>
                <w:szCs w:val="20"/>
              </w:rPr>
              <w:t>End</w:t>
            </w:r>
            <w:r>
              <w:rPr>
                <w:sz w:val="20"/>
                <w:szCs w:val="20"/>
              </w:rPr>
              <w:t xml:space="preserve"> </w:t>
            </w:r>
            <w:r w:rsidRPr="00C653CA">
              <w:rPr>
                <w:sz w:val="20"/>
                <w:szCs w:val="20"/>
              </w:rPr>
              <w:t>Use and Saturation Study</w:t>
            </w:r>
            <w:r>
              <w:rPr>
                <w:sz w:val="20"/>
                <w:szCs w:val="20"/>
              </w:rPr>
              <w:t xml:space="preserve"> </w:t>
            </w:r>
            <w:r w:rsidRPr="00895DEB">
              <w:rPr>
                <w:sz w:val="20"/>
                <w:szCs w:val="20"/>
              </w:rPr>
              <w:t>Page 7</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Homes with central A/C in 2012 (Eligible Market)</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96,738</w:t>
            </w:r>
          </w:p>
        </w:tc>
        <w:tc>
          <w:tcPr>
            <w:tcW w:w="3798" w:type="dxa"/>
            <w:tcBorders>
              <w:lef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69% of 140,200 residential customers</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Phase I participants in A/C cycling program</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2,806</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FE response to 6/12/2014 </w:t>
            </w:r>
            <w:r>
              <w:rPr>
                <w:sz w:val="20"/>
                <w:szCs w:val="20"/>
              </w:rPr>
              <w:t>DR</w:t>
            </w:r>
            <w:r w:rsidRPr="00895DEB">
              <w:rPr>
                <w:sz w:val="20"/>
                <w:szCs w:val="20"/>
              </w:rPr>
              <w:t xml:space="preserve"> Study Data Request, Request #2</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Program participation rate (participation as a percent of the eligible market)</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2.9%</w:t>
            </w:r>
          </w:p>
        </w:tc>
        <w:tc>
          <w:tcPr>
            <w:tcW w:w="3798" w:type="dxa"/>
            <w:tcBorders>
              <w:lef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2,806/96,738</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Cycling strategies Used</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Varied depending on the need at the time of the events</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FE response to 6/12/2014 </w:t>
            </w:r>
            <w:r>
              <w:rPr>
                <w:sz w:val="20"/>
                <w:szCs w:val="20"/>
              </w:rPr>
              <w:t>DR</w:t>
            </w:r>
            <w:r w:rsidRPr="00895DEB">
              <w:rPr>
                <w:sz w:val="20"/>
                <w:szCs w:val="20"/>
              </w:rPr>
              <w:t xml:space="preserve"> Study Data Request, Request #9</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Maximum number of cycling events allowable per summer of 2012</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No maximum</w:t>
            </w:r>
          </w:p>
        </w:tc>
        <w:tc>
          <w:tcPr>
            <w:tcW w:w="3798" w:type="dxa"/>
            <w:tcBorders>
              <w:lef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 xml:space="preserve">FE response to 6/12/2014 </w:t>
            </w:r>
            <w:r>
              <w:rPr>
                <w:sz w:val="20"/>
                <w:szCs w:val="20"/>
              </w:rPr>
              <w:t>DR</w:t>
            </w:r>
            <w:r w:rsidRPr="00895DEB">
              <w:rPr>
                <w:sz w:val="20"/>
                <w:szCs w:val="20"/>
              </w:rPr>
              <w:t xml:space="preserve"> Study Data Request, Request #9</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Maximum duration (in hours) for each cycling event – summer 2012</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No maximum</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FE response to 6/12/2014 </w:t>
            </w:r>
            <w:r>
              <w:rPr>
                <w:sz w:val="20"/>
                <w:szCs w:val="20"/>
              </w:rPr>
              <w:t>DR</w:t>
            </w:r>
            <w:r w:rsidRPr="00895DEB">
              <w:rPr>
                <w:sz w:val="20"/>
                <w:szCs w:val="20"/>
              </w:rPr>
              <w:t xml:space="preserve"> Study Data Request, Request #9</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8D55AB" w:rsidRDefault="00E954EC" w:rsidP="00A83ABC">
            <w:pPr>
              <w:spacing w:after="120"/>
              <w:jc w:val="left"/>
              <w:rPr>
                <w:b w:val="0"/>
                <w:sz w:val="20"/>
                <w:szCs w:val="20"/>
              </w:rPr>
            </w:pPr>
            <w:r w:rsidRPr="008D55AB">
              <w:rPr>
                <w:b w:val="0"/>
                <w:sz w:val="20"/>
                <w:szCs w:val="20"/>
              </w:rPr>
              <w:t>Type of central computer</w:t>
            </w:r>
          </w:p>
        </w:tc>
        <w:tc>
          <w:tcPr>
            <w:tcW w:w="2520" w:type="dxa"/>
            <w:tcBorders>
              <w:left w:val="none" w:sz="0" w:space="0" w:color="auto"/>
              <w:right w:val="none" w:sz="0" w:space="0" w:color="auto"/>
            </w:tcBorders>
          </w:tcPr>
          <w:p w:rsidR="00E954EC" w:rsidRPr="008D55A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D55AB">
              <w:rPr>
                <w:sz w:val="20"/>
                <w:szCs w:val="20"/>
              </w:rPr>
              <w:t>To be provided</w:t>
            </w:r>
          </w:p>
        </w:tc>
        <w:tc>
          <w:tcPr>
            <w:tcW w:w="3798" w:type="dxa"/>
            <w:tcBorders>
              <w:left w:val="none" w:sz="0" w:space="0" w:color="auto"/>
            </w:tcBorders>
          </w:tcPr>
          <w:p w:rsidR="00E954EC" w:rsidRPr="008D55AB" w:rsidRDefault="00E2011B"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hyperlink r:id="rId44" w:history="1">
              <w:r w:rsidR="00E954EC" w:rsidRPr="008D55AB">
                <w:rPr>
                  <w:rStyle w:val="Hyperlink"/>
                  <w:sz w:val="20"/>
                  <w:szCs w:val="20"/>
                </w:rPr>
                <w:t>https://www.fes.com/content/fes/home/residential/offers.html</w:t>
              </w:r>
            </w:hyperlink>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Type of load control switch utilized</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DLC</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FE response to 6/12/2014 </w:t>
            </w:r>
            <w:r>
              <w:rPr>
                <w:sz w:val="20"/>
                <w:szCs w:val="20"/>
              </w:rPr>
              <w:t>DR</w:t>
            </w:r>
            <w:r w:rsidRPr="00895DEB">
              <w:rPr>
                <w:sz w:val="20"/>
                <w:szCs w:val="20"/>
              </w:rPr>
              <w:t xml:space="preserve"> Study Data Request, Request #2</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Average kW load reduction per unit in Phase I</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0.39 kW</w:t>
            </w:r>
          </w:p>
        </w:tc>
        <w:tc>
          <w:tcPr>
            <w:tcW w:w="3798" w:type="dxa"/>
            <w:tcBorders>
              <w:lef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FE PA EDC Response to SWE Supplemental Data Request, request #6</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Incentive amount per participant</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$19.15</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P</w:t>
            </w:r>
            <w:r>
              <w:rPr>
                <w:sz w:val="20"/>
                <w:szCs w:val="20"/>
              </w:rPr>
              <w:t xml:space="preserve">enn </w:t>
            </w:r>
            <w:r w:rsidRPr="00895DEB">
              <w:rPr>
                <w:sz w:val="20"/>
                <w:szCs w:val="20"/>
              </w:rPr>
              <w:t>P</w:t>
            </w:r>
            <w:r>
              <w:rPr>
                <w:sz w:val="20"/>
                <w:szCs w:val="20"/>
              </w:rPr>
              <w:t>ower</w:t>
            </w:r>
            <w:r w:rsidRPr="00895DEB">
              <w:rPr>
                <w:sz w:val="20"/>
                <w:szCs w:val="20"/>
              </w:rPr>
              <w:t xml:space="preserve"> Final </w:t>
            </w:r>
            <w:r w:rsidR="0073339F">
              <w:rPr>
                <w:sz w:val="20"/>
                <w:szCs w:val="20"/>
              </w:rPr>
              <w:t>Phase I</w:t>
            </w:r>
            <w:r w:rsidRPr="00895DEB">
              <w:rPr>
                <w:sz w:val="20"/>
                <w:szCs w:val="20"/>
              </w:rPr>
              <w:t xml:space="preserve"> Annual Report, page 35</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Total program expenditures – Program Year 4</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$97,000</w:t>
            </w:r>
          </w:p>
        </w:tc>
        <w:tc>
          <w:tcPr>
            <w:tcW w:w="3798" w:type="dxa"/>
            <w:tcBorders>
              <w:lef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P</w:t>
            </w:r>
            <w:r>
              <w:rPr>
                <w:sz w:val="20"/>
                <w:szCs w:val="20"/>
              </w:rPr>
              <w:t xml:space="preserve">enn </w:t>
            </w:r>
            <w:r w:rsidRPr="00895DEB">
              <w:rPr>
                <w:sz w:val="20"/>
                <w:szCs w:val="20"/>
              </w:rPr>
              <w:t>P</w:t>
            </w:r>
            <w:r>
              <w:rPr>
                <w:sz w:val="20"/>
                <w:szCs w:val="20"/>
              </w:rPr>
              <w:t>ower</w:t>
            </w:r>
            <w:r w:rsidRPr="00895DEB">
              <w:rPr>
                <w:sz w:val="20"/>
                <w:szCs w:val="20"/>
              </w:rPr>
              <w:t xml:space="preserve"> Final </w:t>
            </w:r>
            <w:r w:rsidR="0073339F">
              <w:rPr>
                <w:sz w:val="20"/>
                <w:szCs w:val="20"/>
              </w:rPr>
              <w:t>Phase I</w:t>
            </w:r>
            <w:r w:rsidRPr="00895DEB">
              <w:rPr>
                <w:sz w:val="20"/>
                <w:szCs w:val="20"/>
              </w:rPr>
              <w:t xml:space="preserve"> Annual Report, page 35</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EDC reported kW savings for all participants – summer 2012</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930 kW</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P</w:t>
            </w:r>
            <w:r>
              <w:rPr>
                <w:sz w:val="20"/>
                <w:szCs w:val="20"/>
              </w:rPr>
              <w:t xml:space="preserve">enn </w:t>
            </w:r>
            <w:r w:rsidRPr="00895DEB">
              <w:rPr>
                <w:sz w:val="20"/>
                <w:szCs w:val="20"/>
              </w:rPr>
              <w:t>P</w:t>
            </w:r>
            <w:r>
              <w:rPr>
                <w:sz w:val="20"/>
                <w:szCs w:val="20"/>
              </w:rPr>
              <w:t>ower</w:t>
            </w:r>
            <w:r w:rsidRPr="00895DEB">
              <w:rPr>
                <w:sz w:val="20"/>
                <w:szCs w:val="20"/>
              </w:rPr>
              <w:t xml:space="preserve"> Final </w:t>
            </w:r>
            <w:r w:rsidR="0073339F">
              <w:rPr>
                <w:sz w:val="20"/>
                <w:szCs w:val="20"/>
              </w:rPr>
              <w:t>Phase I</w:t>
            </w:r>
            <w:r w:rsidRPr="00895DEB">
              <w:rPr>
                <w:sz w:val="20"/>
                <w:szCs w:val="20"/>
              </w:rPr>
              <w:t xml:space="preserve"> Annual Report, page 34</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 xml:space="preserve">T&amp;D line losses percentage used in </w:t>
            </w:r>
            <w:r w:rsidRPr="00EC4B89">
              <w:rPr>
                <w:b w:val="0"/>
                <w:sz w:val="20"/>
                <w:szCs w:val="20"/>
              </w:rPr>
              <w:lastRenderedPageBreak/>
              <w:t>TRC test for Program Year 4</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lastRenderedPageBreak/>
              <w:t>14.2%</w:t>
            </w:r>
          </w:p>
        </w:tc>
        <w:tc>
          <w:tcPr>
            <w:tcW w:w="3798" w:type="dxa"/>
            <w:tcBorders>
              <w:lef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P</w:t>
            </w:r>
            <w:r>
              <w:rPr>
                <w:sz w:val="20"/>
                <w:szCs w:val="20"/>
              </w:rPr>
              <w:t xml:space="preserve">enn </w:t>
            </w:r>
            <w:r w:rsidRPr="00895DEB">
              <w:rPr>
                <w:sz w:val="20"/>
                <w:szCs w:val="20"/>
              </w:rPr>
              <w:t>P</w:t>
            </w:r>
            <w:r>
              <w:rPr>
                <w:sz w:val="20"/>
                <w:szCs w:val="20"/>
              </w:rPr>
              <w:t>ower</w:t>
            </w:r>
            <w:r w:rsidRPr="00895DEB">
              <w:rPr>
                <w:sz w:val="20"/>
                <w:szCs w:val="20"/>
              </w:rPr>
              <w:t xml:space="preserve"> Final </w:t>
            </w:r>
            <w:r w:rsidR="0073339F">
              <w:rPr>
                <w:sz w:val="20"/>
                <w:szCs w:val="20"/>
              </w:rPr>
              <w:t>Phase I</w:t>
            </w:r>
            <w:r w:rsidRPr="00895DEB">
              <w:rPr>
                <w:sz w:val="20"/>
                <w:szCs w:val="20"/>
              </w:rPr>
              <w:t xml:space="preserve"> Annual Report, </w:t>
            </w:r>
            <w:r w:rsidRPr="00895DEB">
              <w:rPr>
                <w:sz w:val="20"/>
                <w:szCs w:val="20"/>
              </w:rPr>
              <w:lastRenderedPageBreak/>
              <w:t>page 11</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lastRenderedPageBreak/>
              <w:t xml:space="preserve">EDC Reported </w:t>
            </w:r>
            <w:r>
              <w:rPr>
                <w:b w:val="0"/>
                <w:sz w:val="20"/>
                <w:szCs w:val="20"/>
              </w:rPr>
              <w:t>TRC</w:t>
            </w:r>
            <w:r w:rsidRPr="00EC4B89">
              <w:rPr>
                <w:b w:val="0"/>
                <w:sz w:val="20"/>
                <w:szCs w:val="20"/>
              </w:rPr>
              <w:t xml:space="preserve"> Test Ratio for PY 4</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.82</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P</w:t>
            </w:r>
            <w:r>
              <w:rPr>
                <w:sz w:val="20"/>
                <w:szCs w:val="20"/>
              </w:rPr>
              <w:t xml:space="preserve">enn </w:t>
            </w:r>
            <w:r w:rsidRPr="00895DEB">
              <w:rPr>
                <w:sz w:val="20"/>
                <w:szCs w:val="20"/>
              </w:rPr>
              <w:t>P</w:t>
            </w:r>
            <w:r>
              <w:rPr>
                <w:sz w:val="20"/>
                <w:szCs w:val="20"/>
              </w:rPr>
              <w:t>ower</w:t>
            </w:r>
            <w:r w:rsidRPr="00895DEB">
              <w:rPr>
                <w:sz w:val="20"/>
                <w:szCs w:val="20"/>
              </w:rPr>
              <w:t xml:space="preserve"> Final </w:t>
            </w:r>
            <w:r w:rsidR="0073339F">
              <w:rPr>
                <w:sz w:val="20"/>
                <w:szCs w:val="20"/>
              </w:rPr>
              <w:t>Phase I</w:t>
            </w:r>
            <w:r w:rsidRPr="00895DEB">
              <w:rPr>
                <w:sz w:val="20"/>
                <w:szCs w:val="20"/>
              </w:rPr>
              <w:t xml:space="preserve"> Annual Report, page 35</w:t>
            </w:r>
          </w:p>
        </w:tc>
      </w:tr>
      <w:tr w:rsidR="00E954EC" w:rsidRPr="00895DEB" w:rsidTr="00A96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Marketing methods used by FE</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Bill inserts, on bill messages, direct mail, telemarketing</w:t>
            </w:r>
          </w:p>
        </w:tc>
        <w:tc>
          <w:tcPr>
            <w:tcW w:w="3798" w:type="dxa"/>
            <w:tcBorders>
              <w:left w:val="none" w:sz="0" w:space="0" w:color="auto"/>
            </w:tcBorders>
          </w:tcPr>
          <w:p w:rsidR="00E954EC" w:rsidRPr="00895DEB" w:rsidRDefault="00E954EC" w:rsidP="00A83ABC">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FE PA EDC Response to SWE Supplemental Data Request, request #7</w:t>
            </w:r>
          </w:p>
        </w:tc>
      </w:tr>
      <w:tr w:rsidR="00E954EC" w:rsidRPr="00895DEB" w:rsidTr="00A961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E954EC" w:rsidRPr="00EC4B89" w:rsidRDefault="00E954EC" w:rsidP="00A83ABC">
            <w:pPr>
              <w:spacing w:after="120"/>
              <w:jc w:val="left"/>
              <w:rPr>
                <w:b w:val="0"/>
                <w:sz w:val="20"/>
                <w:szCs w:val="20"/>
              </w:rPr>
            </w:pPr>
            <w:r w:rsidRPr="00EC4B89">
              <w:rPr>
                <w:b w:val="0"/>
                <w:sz w:val="20"/>
                <w:szCs w:val="20"/>
              </w:rPr>
              <w:t>T&amp;D avoided costs used in the Phase I benefit/cost analysis</w:t>
            </w:r>
          </w:p>
        </w:tc>
        <w:tc>
          <w:tcPr>
            <w:tcW w:w="2520" w:type="dxa"/>
            <w:tcBorders>
              <w:left w:val="none" w:sz="0" w:space="0" w:color="auto"/>
              <w:righ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$0 per kW</w:t>
            </w:r>
            <w:r>
              <w:rPr>
                <w:sz w:val="20"/>
                <w:szCs w:val="20"/>
              </w:rPr>
              <w:t>-</w:t>
            </w:r>
            <w:r w:rsidRPr="00895DEB">
              <w:rPr>
                <w:sz w:val="20"/>
                <w:szCs w:val="20"/>
              </w:rPr>
              <w:t>year</w:t>
            </w:r>
          </w:p>
        </w:tc>
        <w:tc>
          <w:tcPr>
            <w:tcW w:w="3798" w:type="dxa"/>
            <w:tcBorders>
              <w:left w:val="none" w:sz="0" w:space="0" w:color="auto"/>
            </w:tcBorders>
          </w:tcPr>
          <w:p w:rsidR="00E954EC" w:rsidRPr="00895DEB" w:rsidRDefault="00E954EC" w:rsidP="00A83ABC">
            <w:pPr>
              <w:spacing w:after="120"/>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P</w:t>
            </w:r>
            <w:r>
              <w:rPr>
                <w:sz w:val="20"/>
                <w:szCs w:val="20"/>
              </w:rPr>
              <w:t xml:space="preserve">enn </w:t>
            </w:r>
            <w:r w:rsidRPr="00895DEB">
              <w:rPr>
                <w:sz w:val="20"/>
                <w:szCs w:val="20"/>
              </w:rPr>
              <w:t>P</w:t>
            </w:r>
            <w:r>
              <w:rPr>
                <w:sz w:val="20"/>
                <w:szCs w:val="20"/>
              </w:rPr>
              <w:t>ower</w:t>
            </w:r>
            <w:r w:rsidRPr="00895DEB">
              <w:rPr>
                <w:sz w:val="20"/>
                <w:szCs w:val="20"/>
              </w:rPr>
              <w:t xml:space="preserve"> Phase I Final Report, supporting work papers</w:t>
            </w:r>
          </w:p>
        </w:tc>
      </w:tr>
    </w:tbl>
    <w:p w:rsidR="00E954EC" w:rsidRDefault="00E954EC" w:rsidP="00A83ABC">
      <w:pPr>
        <w:rPr>
          <w:b/>
        </w:rPr>
      </w:pPr>
    </w:p>
    <w:p w:rsidR="00E954EC" w:rsidRPr="00895DEB" w:rsidRDefault="00E954EC" w:rsidP="00A83ABC">
      <w:pPr>
        <w:spacing w:after="60"/>
        <w:rPr>
          <w:rFonts w:ascii="Century Gothic" w:hAnsi="Century Gothic"/>
          <w:b/>
          <w:smallCaps/>
        </w:rPr>
      </w:pPr>
      <w:r>
        <w:rPr>
          <w:rFonts w:ascii="Century Gothic" w:hAnsi="Century Gothic"/>
          <w:b/>
          <w:smallCaps/>
        </w:rPr>
        <w:t>West Penn Power</w:t>
      </w:r>
      <w:r w:rsidR="00E20731">
        <w:rPr>
          <w:rFonts w:ascii="Century Gothic" w:hAnsi="Century Gothic"/>
          <w:b/>
          <w:smallCaps/>
        </w:rPr>
        <w:t xml:space="preserve"> Company</w:t>
      </w:r>
      <w:r w:rsidRPr="00895DEB">
        <w:rPr>
          <w:rFonts w:ascii="Century Gothic" w:hAnsi="Century Gothic"/>
          <w:b/>
          <w:smallCaps/>
        </w:rPr>
        <w:t xml:space="preserve"> Phase I Residential </w:t>
      </w:r>
      <w:r>
        <w:rPr>
          <w:rFonts w:ascii="Century Gothic" w:hAnsi="Century Gothic"/>
          <w:b/>
          <w:smallCaps/>
        </w:rPr>
        <w:t>DR</w:t>
      </w:r>
      <w:r w:rsidR="00042FDD">
        <w:rPr>
          <w:rFonts w:ascii="Century Gothic" w:hAnsi="Century Gothic"/>
          <w:b/>
          <w:smallCaps/>
        </w:rPr>
        <w:t xml:space="preserve"> Program</w:t>
      </w:r>
    </w:p>
    <w:p w:rsidR="00E954EC" w:rsidRDefault="00E954EC" w:rsidP="00A83ABC">
      <w:r>
        <w:t>West Penn did not implement any residential DLC program during Phase I of Act 129.</w:t>
      </w:r>
    </w:p>
    <w:p w:rsidR="00E954EC" w:rsidRDefault="00E954EC" w:rsidP="00A83ABC">
      <w:pPr>
        <w:rPr>
          <w:b/>
        </w:rPr>
      </w:pPr>
    </w:p>
    <w:p w:rsidR="00CB03D7" w:rsidRPr="00DE2ECF" w:rsidRDefault="00CB03D7" w:rsidP="00A83ABC">
      <w:pPr>
        <w:spacing w:after="60"/>
        <w:rPr>
          <w:rFonts w:ascii="Century Gothic" w:hAnsi="Century Gothic"/>
          <w:b/>
          <w:smallCaps/>
        </w:rPr>
      </w:pPr>
      <w:r w:rsidRPr="00DE2ECF">
        <w:rPr>
          <w:rFonts w:ascii="Century Gothic" w:hAnsi="Century Gothic"/>
          <w:b/>
          <w:smallCaps/>
        </w:rPr>
        <w:t>PECO</w:t>
      </w:r>
      <w:r w:rsidR="00E20731">
        <w:rPr>
          <w:rFonts w:ascii="Century Gothic" w:hAnsi="Century Gothic"/>
          <w:b/>
          <w:smallCaps/>
        </w:rPr>
        <w:t xml:space="preserve"> Energy Company</w:t>
      </w:r>
      <w:r w:rsidRPr="00DE2ECF">
        <w:rPr>
          <w:rFonts w:ascii="Century Gothic" w:hAnsi="Century Gothic"/>
          <w:b/>
          <w:smallCaps/>
        </w:rPr>
        <w:t xml:space="preserve"> Phase I Residential </w:t>
      </w:r>
      <w:r w:rsidR="00037A03">
        <w:rPr>
          <w:rFonts w:ascii="Century Gothic" w:hAnsi="Century Gothic"/>
          <w:b/>
          <w:smallCaps/>
        </w:rPr>
        <w:t>DR</w:t>
      </w:r>
      <w:r w:rsidR="00042FDD">
        <w:rPr>
          <w:rFonts w:ascii="Century Gothic" w:hAnsi="Century Gothic"/>
          <w:b/>
          <w:smallCaps/>
        </w:rPr>
        <w:t xml:space="preserve"> Program</w:t>
      </w:r>
    </w:p>
    <w:p w:rsidR="00CB03D7" w:rsidRDefault="00CB03D7" w:rsidP="00A83ABC">
      <w:r>
        <w:t xml:space="preserve">PECO implemented a residential load control program for central A/C systems, the “Smart AC Saver” program, during </w:t>
      </w:r>
      <w:r w:rsidR="00950DB9">
        <w:t>Phase I</w:t>
      </w:r>
      <w:r>
        <w:t xml:space="preserve"> of Act 129. During 2012, </w:t>
      </w:r>
      <w:r w:rsidR="00720A22">
        <w:t>SWE</w:t>
      </w:r>
      <w:r>
        <w:t xml:space="preserve"> </w:t>
      </w:r>
      <w:r w:rsidR="00BE1301">
        <w:t xml:space="preserve">Team </w:t>
      </w:r>
      <w:r>
        <w:t xml:space="preserve">estimates that 847,924 (60%) of PECO’s residential customers had central </w:t>
      </w:r>
      <w:r w:rsidR="005852D3">
        <w:t>A/C</w:t>
      </w:r>
      <w:r>
        <w:t xml:space="preserve"> systems, based on the </w:t>
      </w:r>
      <w:r w:rsidR="00BE1301" w:rsidRPr="00F46D54">
        <w:rPr>
          <w:szCs w:val="20"/>
        </w:rPr>
        <w:t xml:space="preserve">SWE 2012 Pennsylvania Statewide Residential </w:t>
      </w:r>
      <w:r w:rsidR="00BE1301" w:rsidRPr="00F46D54">
        <w:t>End</w:t>
      </w:r>
      <w:r w:rsidR="00B17135">
        <w:t xml:space="preserve"> </w:t>
      </w:r>
      <w:r w:rsidR="00BE1301" w:rsidRPr="00F46D54">
        <w:t>Use and Saturation Study</w:t>
      </w:r>
      <w:r>
        <w:t xml:space="preserve"> for the PECO service area. A reported 97,000 of PECO’s 847,924 residential customers with central A/C systems participated in this program, an 11.44</w:t>
      </w:r>
      <w:r w:rsidR="00B0713A">
        <w:t xml:space="preserve">% </w:t>
      </w:r>
      <w:r>
        <w:t>participation rate.</w:t>
      </w:r>
      <w:r>
        <w:rPr>
          <w:rStyle w:val="FootnoteReference"/>
        </w:rPr>
        <w:footnoteReference w:id="94"/>
      </w:r>
      <w:r>
        <w:t xml:space="preserve"> The PECO Phase I Smart AC Saver program used an A/C cycling strategy of 50%.</w:t>
      </w:r>
      <w:r>
        <w:rPr>
          <w:rStyle w:val="FootnoteReference"/>
        </w:rPr>
        <w:footnoteReference w:id="95"/>
      </w:r>
      <w:r>
        <w:t xml:space="preserve"> This means that central A/C units were cycled off 50% of each hour during </w:t>
      </w:r>
      <w:r w:rsidR="00037A03">
        <w:t>DR</w:t>
      </w:r>
      <w:r>
        <w:t xml:space="preserve"> events.</w:t>
      </w:r>
    </w:p>
    <w:p w:rsidR="00CB03D7" w:rsidRDefault="00CB03D7" w:rsidP="00A83ABC"/>
    <w:p w:rsidR="00CB03D7" w:rsidRDefault="00CB03D7" w:rsidP="00A83ABC">
      <w:r>
        <w:t xml:space="preserve">During the Phase I program, the central </w:t>
      </w:r>
      <w:r w:rsidR="005852D3">
        <w:t>A/C</w:t>
      </w:r>
      <w:r>
        <w:t xml:space="preserve"> units of PECO’s participating residential customers were controlled by a company-owned cycling switch. To market this program to residential customers, PECO provided information through direct mail campaigns, television and online ads, and referral programs.</w:t>
      </w:r>
      <w:r>
        <w:rPr>
          <w:rStyle w:val="FootnoteReference"/>
        </w:rPr>
        <w:footnoteReference w:id="96"/>
      </w:r>
      <w:r>
        <w:t xml:space="preserve"> PECO offered a $30 bill credit each month for the four summer months of 2012 for residential customers that participated in the program</w:t>
      </w:r>
      <w:r>
        <w:rPr>
          <w:rStyle w:val="FootnoteReference"/>
        </w:rPr>
        <w:footnoteReference w:id="97"/>
      </w:r>
      <w:r>
        <w:t xml:space="preserve"> and spent a total of $15.3 million on this program during </w:t>
      </w:r>
      <w:r w:rsidR="00950DB9">
        <w:t>Phase I</w:t>
      </w:r>
      <w:r>
        <w:t>.</w:t>
      </w:r>
      <w:r>
        <w:rPr>
          <w:rStyle w:val="FootnoteReference"/>
        </w:rPr>
        <w:footnoteReference w:id="98"/>
      </w:r>
      <w:r>
        <w:t xml:space="preserve"> The Phase I program had a TRC benefit/cost ratio of </w:t>
      </w:r>
      <w:r w:rsidRPr="00610899">
        <w:t>0.17</w:t>
      </w:r>
      <w:r>
        <w:t xml:space="preserve"> according to the PECO Final Annual Report for Phase I (</w:t>
      </w:r>
      <w:r w:rsidR="00E20731">
        <w:t>PY</w:t>
      </w:r>
      <w:r>
        <w:t xml:space="preserve"> 4). PECO reported a total kW reduction of 51,300 kW and average per unit savings of 0.7 kW per unit.</w:t>
      </w:r>
      <w:r>
        <w:rPr>
          <w:rStyle w:val="FootnoteReference"/>
        </w:rPr>
        <w:footnoteReference w:id="99"/>
      </w:r>
      <w:r>
        <w:t xml:space="preserve"> PECO’s benefit/cost analysis for the Phase I program assumed average </w:t>
      </w:r>
      <w:r w:rsidR="00AD2C38">
        <w:t>T&amp;D</w:t>
      </w:r>
      <w:r>
        <w:t xml:space="preserve"> line losses of 19.16%.</w:t>
      </w:r>
      <w:r>
        <w:rPr>
          <w:rStyle w:val="FootnoteReference"/>
        </w:rPr>
        <w:footnoteReference w:id="100"/>
      </w:r>
      <w:r>
        <w:t xml:space="preserve"> Key program statistics for PECO’s Phase I DR program are provided in </w:t>
      </w:r>
      <w:r w:rsidR="00B30322">
        <w:fldChar w:fldCharType="begin"/>
      </w:r>
      <w:r w:rsidR="00B30322">
        <w:instrText xml:space="preserve"> REF _Ref407350416 \h </w:instrText>
      </w:r>
      <w:r w:rsidR="00B30322">
        <w:fldChar w:fldCharType="separate"/>
      </w:r>
      <w:r w:rsidR="00803DBE" w:rsidRPr="00DE2ECF">
        <w:t xml:space="preserve">Table </w:t>
      </w:r>
      <w:r w:rsidR="00803DBE">
        <w:rPr>
          <w:noProof/>
        </w:rPr>
        <w:t>3</w:t>
      </w:r>
      <w:r w:rsidR="00803DBE">
        <w:noBreakHyphen/>
      </w:r>
      <w:r w:rsidR="00803DBE">
        <w:rPr>
          <w:noProof/>
        </w:rPr>
        <w:t>8</w:t>
      </w:r>
      <w:r w:rsidR="00B30322">
        <w:fldChar w:fldCharType="end"/>
      </w:r>
      <w:r w:rsidR="00B30322">
        <w:t xml:space="preserve"> </w:t>
      </w:r>
      <w:r>
        <w:t>below.</w:t>
      </w:r>
    </w:p>
    <w:p w:rsidR="00CB03D7" w:rsidRPr="00720A22" w:rsidRDefault="00CB03D7" w:rsidP="00A83ABC"/>
    <w:p w:rsidR="00CB03D7" w:rsidRPr="00DE2ECF" w:rsidRDefault="00CB03D7" w:rsidP="00A83ABC">
      <w:pPr>
        <w:pStyle w:val="Caption"/>
      </w:pPr>
      <w:bookmarkStart w:id="171" w:name="_Ref407350416"/>
      <w:bookmarkStart w:id="172" w:name="_Toc412628467"/>
      <w:r w:rsidRPr="00DE2ECF">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8</w:t>
      </w:r>
      <w:r w:rsidR="00E2011B">
        <w:rPr>
          <w:noProof/>
        </w:rPr>
        <w:fldChar w:fldCharType="end"/>
      </w:r>
      <w:bookmarkEnd w:id="171"/>
      <w:r w:rsidRPr="00DE2ECF">
        <w:t xml:space="preserve">: Key Characteristics of PECO’s Phase I Residential </w:t>
      </w:r>
      <w:r w:rsidR="002F761C">
        <w:t>A/C</w:t>
      </w:r>
      <w:r w:rsidRPr="00DE2ECF">
        <w:t xml:space="preserve"> Cycling Program</w:t>
      </w:r>
      <w:bookmarkEnd w:id="172"/>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50"/>
        <w:gridCol w:w="2520"/>
        <w:gridCol w:w="3798"/>
      </w:tblGrid>
      <w:tr w:rsidR="00CB03D7" w:rsidRPr="00610CEB" w:rsidTr="00CB0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jc w:val="left"/>
              <w:rPr>
                <w:sz w:val="20"/>
                <w:szCs w:val="20"/>
              </w:rPr>
            </w:pPr>
            <w:r w:rsidRPr="00610CEB">
              <w:rPr>
                <w:sz w:val="20"/>
                <w:szCs w:val="20"/>
              </w:rPr>
              <w:t>Description of Characteristic</w:t>
            </w:r>
          </w:p>
        </w:tc>
        <w:tc>
          <w:tcPr>
            <w:tcW w:w="2520"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610CEB">
              <w:rPr>
                <w:rFonts w:asciiTheme="minorHAnsi" w:hAnsiTheme="minorHAnsi"/>
                <w:color w:val="FFFFFF" w:themeColor="background1"/>
                <w:sz w:val="20"/>
                <w:szCs w:val="20"/>
              </w:rPr>
              <w:t>PECO Data</w:t>
            </w:r>
          </w:p>
        </w:tc>
        <w:tc>
          <w:tcPr>
            <w:tcW w:w="3798" w:type="dxa"/>
            <w:tcBorders>
              <w:top w:val="none" w:sz="0" w:space="0" w:color="auto"/>
              <w:left w:val="none" w:sz="0" w:space="0" w:color="auto"/>
              <w:bottom w:val="none" w:sz="0" w:space="0" w:color="auto"/>
              <w:right w:val="none" w:sz="0" w:space="0" w:color="auto"/>
            </w:tcBorders>
            <w:shd w:val="clear" w:color="auto" w:fill="448A99"/>
          </w:tcPr>
          <w:p w:rsidR="00CB03D7" w:rsidRPr="00610CEB" w:rsidRDefault="00CB03D7" w:rsidP="00A83AB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610CEB">
              <w:rPr>
                <w:rFonts w:asciiTheme="minorHAnsi" w:hAnsiTheme="minorHAnsi"/>
                <w:color w:val="FFFFFF" w:themeColor="background1"/>
                <w:sz w:val="20"/>
                <w:szCs w:val="20"/>
              </w:rPr>
              <w:t>Data Source</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PECO’s 2012 number of residential customers</w:t>
            </w:r>
          </w:p>
        </w:tc>
        <w:tc>
          <w:tcPr>
            <w:tcW w:w="2520" w:type="dxa"/>
            <w:tcBorders>
              <w:left w:val="none" w:sz="0" w:space="0" w:color="auto"/>
              <w:right w:val="none" w:sz="0" w:space="0" w:color="auto"/>
            </w:tcBorders>
          </w:tcPr>
          <w:p w:rsidR="00CB03D7" w:rsidRPr="00610CEB" w:rsidRDefault="00CB03D7" w:rsidP="00A83AB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10CEB">
              <w:rPr>
                <w:rFonts w:asciiTheme="minorHAnsi" w:hAnsiTheme="minorHAnsi"/>
                <w:sz w:val="20"/>
                <w:szCs w:val="20"/>
              </w:rPr>
              <w:t>1,413,206</w:t>
            </w:r>
          </w:p>
        </w:tc>
        <w:tc>
          <w:tcPr>
            <w:tcW w:w="3798" w:type="dxa"/>
            <w:tcBorders>
              <w:left w:val="none" w:sz="0" w:space="0" w:color="auto"/>
            </w:tcBorders>
          </w:tcPr>
          <w:p w:rsidR="00CB03D7" w:rsidRPr="00610CEB" w:rsidRDefault="00CB03D7" w:rsidP="00A83AB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10CEB">
              <w:rPr>
                <w:rFonts w:asciiTheme="minorHAnsi" w:hAnsiTheme="minorHAnsi"/>
                <w:sz w:val="20"/>
                <w:szCs w:val="20"/>
              </w:rPr>
              <w:t xml:space="preserve">SWE 2012 Pennsylvania Statewide </w:t>
            </w:r>
            <w:r w:rsidR="004808A1" w:rsidRPr="005A7984">
              <w:rPr>
                <w:rFonts w:asciiTheme="minorHAnsi" w:hAnsiTheme="minorHAnsi"/>
                <w:sz w:val="20"/>
                <w:szCs w:val="20"/>
              </w:rPr>
              <w:t xml:space="preserve">Residential </w:t>
            </w:r>
            <w:r w:rsidR="004808A1" w:rsidRPr="00C653CA">
              <w:rPr>
                <w:rFonts w:asciiTheme="minorHAnsi" w:hAnsiTheme="minorHAnsi"/>
                <w:sz w:val="20"/>
                <w:szCs w:val="20"/>
              </w:rPr>
              <w:t>End</w:t>
            </w:r>
            <w:r w:rsidR="00B17135">
              <w:rPr>
                <w:rFonts w:asciiTheme="minorHAnsi" w:hAnsiTheme="minorHAnsi"/>
                <w:sz w:val="20"/>
                <w:szCs w:val="20"/>
              </w:rPr>
              <w:t xml:space="preserve"> </w:t>
            </w:r>
            <w:r w:rsidR="004808A1" w:rsidRPr="00C653CA">
              <w:rPr>
                <w:rFonts w:asciiTheme="minorHAnsi" w:hAnsiTheme="minorHAnsi"/>
                <w:sz w:val="20"/>
                <w:szCs w:val="20"/>
              </w:rPr>
              <w:t>Use and Saturation Study</w:t>
            </w:r>
            <w:r w:rsidR="004808A1">
              <w:rPr>
                <w:rFonts w:asciiTheme="minorHAnsi" w:hAnsiTheme="minorHAnsi"/>
                <w:sz w:val="20"/>
                <w:szCs w:val="20"/>
              </w:rPr>
              <w:t xml:space="preserve"> </w:t>
            </w:r>
            <w:r w:rsidRPr="00610CEB">
              <w:rPr>
                <w:rFonts w:asciiTheme="minorHAnsi" w:hAnsiTheme="minorHAnsi"/>
                <w:sz w:val="20"/>
                <w:szCs w:val="20"/>
              </w:rPr>
              <w:t>Page 21</w:t>
            </w:r>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Percent of PECO residential customers with central </w:t>
            </w:r>
            <w:r w:rsidR="00622FC2">
              <w:rPr>
                <w:b w:val="0"/>
                <w:sz w:val="20"/>
                <w:szCs w:val="20"/>
              </w:rPr>
              <w:t>A/C</w:t>
            </w:r>
            <w:r w:rsidRPr="00610CEB">
              <w:rPr>
                <w:b w:val="0"/>
                <w:sz w:val="20"/>
                <w:szCs w:val="20"/>
              </w:rPr>
              <w:t xml:space="preserve"> systems (2012 </w:t>
            </w:r>
            <w:r w:rsidR="004808A1" w:rsidRPr="004808A1">
              <w:rPr>
                <w:b w:val="0"/>
                <w:sz w:val="20"/>
                <w:szCs w:val="20"/>
              </w:rPr>
              <w:t>End</w:t>
            </w:r>
            <w:r w:rsidR="00B17135">
              <w:rPr>
                <w:b w:val="0"/>
                <w:sz w:val="20"/>
                <w:szCs w:val="20"/>
              </w:rPr>
              <w:t xml:space="preserve"> </w:t>
            </w:r>
            <w:r w:rsidR="004808A1" w:rsidRPr="004808A1">
              <w:rPr>
                <w:b w:val="0"/>
                <w:sz w:val="20"/>
                <w:szCs w:val="20"/>
              </w:rPr>
              <w:t xml:space="preserve">Use and Saturation </w:t>
            </w:r>
            <w:r w:rsidR="004808A1" w:rsidRPr="004808A1">
              <w:rPr>
                <w:b w:val="0"/>
                <w:sz w:val="20"/>
                <w:szCs w:val="20"/>
              </w:rPr>
              <w:lastRenderedPageBreak/>
              <w:t>Study</w:t>
            </w:r>
            <w:r w:rsidRPr="004808A1">
              <w:rPr>
                <w:b w:val="0"/>
                <w:sz w:val="20"/>
                <w:szCs w:val="20"/>
              </w:rPr>
              <w:t>)</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lastRenderedPageBreak/>
              <w:t>60%</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 xml:space="preserve">SWE 2012 Pennsylvania Statewide </w:t>
            </w:r>
            <w:r w:rsidR="004808A1" w:rsidRPr="005A7984">
              <w:rPr>
                <w:sz w:val="20"/>
                <w:szCs w:val="20"/>
              </w:rPr>
              <w:t xml:space="preserve">Residential </w:t>
            </w:r>
            <w:r w:rsidR="004808A1" w:rsidRPr="00C653CA">
              <w:rPr>
                <w:sz w:val="20"/>
                <w:szCs w:val="20"/>
              </w:rPr>
              <w:t>End</w:t>
            </w:r>
            <w:r w:rsidR="00B17135">
              <w:rPr>
                <w:sz w:val="20"/>
                <w:szCs w:val="20"/>
              </w:rPr>
              <w:t xml:space="preserve"> </w:t>
            </w:r>
            <w:r w:rsidR="004808A1" w:rsidRPr="00C653CA">
              <w:rPr>
                <w:sz w:val="20"/>
                <w:szCs w:val="20"/>
              </w:rPr>
              <w:t>Use and Saturation Study</w:t>
            </w:r>
            <w:r w:rsidR="004808A1">
              <w:rPr>
                <w:sz w:val="20"/>
                <w:szCs w:val="20"/>
              </w:rPr>
              <w:t xml:space="preserve"> </w:t>
            </w:r>
            <w:r w:rsidRPr="00610CEB">
              <w:rPr>
                <w:sz w:val="20"/>
                <w:szCs w:val="20"/>
              </w:rPr>
              <w:t>Page 7</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lastRenderedPageBreak/>
              <w:t>Homes in the PECO service area with central A/C in 2012 (Eligible Market)</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847,924</w:t>
            </w:r>
          </w:p>
        </w:tc>
        <w:tc>
          <w:tcPr>
            <w:tcW w:w="3798" w:type="dxa"/>
            <w:tcBorders>
              <w:lef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60% of 1,413,206 residential customers</w:t>
            </w:r>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Phase I participants in A/C cycling program</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97,000</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 xml:space="preserve">PECO response to 6/12/2014 </w:t>
            </w:r>
            <w:r w:rsidR="00037A03">
              <w:rPr>
                <w:sz w:val="20"/>
                <w:szCs w:val="20"/>
              </w:rPr>
              <w:t>DR</w:t>
            </w:r>
            <w:r w:rsidRPr="00610CEB">
              <w:rPr>
                <w:sz w:val="20"/>
                <w:szCs w:val="20"/>
              </w:rPr>
              <w:t xml:space="preserve"> Study Data Request, Request #2</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Program participation rate (participation as a percent of the eligible market)</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11.44%</w:t>
            </w:r>
          </w:p>
        </w:tc>
        <w:tc>
          <w:tcPr>
            <w:tcW w:w="3798" w:type="dxa"/>
            <w:tcBorders>
              <w:lef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 xml:space="preserve">97,000 program participants divided by the eligible market of 847,924 residential customers with central </w:t>
            </w:r>
            <w:r w:rsidR="00622FC2">
              <w:rPr>
                <w:sz w:val="20"/>
                <w:szCs w:val="20"/>
              </w:rPr>
              <w:t>A/C</w:t>
            </w:r>
            <w:r w:rsidRPr="00610CEB">
              <w:rPr>
                <w:sz w:val="20"/>
                <w:szCs w:val="20"/>
              </w:rPr>
              <w:t>.</w:t>
            </w:r>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Cycling strategies Used (50%, 75%, 100%, etc.)</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50%</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 xml:space="preserve">PECO response to 6/12/2014 </w:t>
            </w:r>
            <w:r w:rsidR="00037A03">
              <w:rPr>
                <w:sz w:val="20"/>
                <w:szCs w:val="20"/>
              </w:rPr>
              <w:t>DR</w:t>
            </w:r>
            <w:r w:rsidRPr="00610CEB">
              <w:rPr>
                <w:sz w:val="20"/>
                <w:szCs w:val="20"/>
              </w:rPr>
              <w:t xml:space="preserve"> Study Data Request, Request #9</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Maximum number of cycling events allowable per summer of 2012</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10</w:t>
            </w:r>
          </w:p>
        </w:tc>
        <w:tc>
          <w:tcPr>
            <w:tcW w:w="3798" w:type="dxa"/>
            <w:tcBorders>
              <w:left w:val="none" w:sz="0" w:space="0" w:color="auto"/>
            </w:tcBorders>
          </w:tcPr>
          <w:p w:rsidR="00CB03D7" w:rsidRPr="00610CEB" w:rsidRDefault="00E2011B" w:rsidP="00A83ABC">
            <w:pPr>
              <w:spacing w:after="200"/>
              <w:jc w:val="center"/>
              <w:cnfStyle w:val="000000100000" w:firstRow="0" w:lastRow="0" w:firstColumn="0" w:lastColumn="0" w:oddVBand="0" w:evenVBand="0" w:oddHBand="1" w:evenHBand="0" w:firstRowFirstColumn="0" w:firstRowLastColumn="0" w:lastRowFirstColumn="0" w:lastRowLastColumn="0"/>
              <w:rPr>
                <w:sz w:val="20"/>
                <w:szCs w:val="20"/>
              </w:rPr>
            </w:pPr>
            <w:hyperlink r:id="rId45" w:history="1">
              <w:r w:rsidR="00CB03D7" w:rsidRPr="00610CEB">
                <w:rPr>
                  <w:rStyle w:val="Hyperlink"/>
                  <w:sz w:val="20"/>
                  <w:szCs w:val="20"/>
                </w:rPr>
                <w:t>https://www.peco.com/Savings/ProgramsandRebates/Residential/Pages/PECOSmartACSaver.aspx</w:t>
              </w:r>
            </w:hyperlink>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Maximum duration (in hours) for each cycling event – summer 2012</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4 hours</w:t>
            </w:r>
          </w:p>
        </w:tc>
        <w:tc>
          <w:tcPr>
            <w:tcW w:w="3798" w:type="dxa"/>
            <w:tcBorders>
              <w:left w:val="none" w:sz="0" w:space="0" w:color="auto"/>
            </w:tcBorders>
          </w:tcPr>
          <w:p w:rsidR="00CB03D7" w:rsidRPr="00610CEB" w:rsidRDefault="00E2011B"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46" w:history="1">
              <w:r w:rsidR="00CB03D7" w:rsidRPr="00610CEB">
                <w:rPr>
                  <w:rStyle w:val="Hyperlink"/>
                  <w:sz w:val="20"/>
                  <w:szCs w:val="20"/>
                </w:rPr>
                <w:t>https://www.peco.com/Savings/ProgramsandRebates/Residential/Pages/PECOSmartACSaver.aspx</w:t>
              </w:r>
            </w:hyperlink>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8D55AB" w:rsidRDefault="00CB03D7" w:rsidP="00A83ABC">
            <w:pPr>
              <w:jc w:val="left"/>
              <w:rPr>
                <w:b w:val="0"/>
                <w:sz w:val="20"/>
                <w:szCs w:val="20"/>
              </w:rPr>
            </w:pPr>
            <w:r w:rsidRPr="008D55AB">
              <w:rPr>
                <w:b w:val="0"/>
                <w:sz w:val="20"/>
                <w:szCs w:val="20"/>
              </w:rPr>
              <w:t xml:space="preserve">Type of </w:t>
            </w:r>
            <w:r w:rsidR="008D55AB" w:rsidRPr="008D55AB">
              <w:rPr>
                <w:b w:val="0"/>
                <w:sz w:val="20"/>
                <w:szCs w:val="20"/>
              </w:rPr>
              <w:t>central computer</w:t>
            </w:r>
          </w:p>
        </w:tc>
        <w:tc>
          <w:tcPr>
            <w:tcW w:w="2520" w:type="dxa"/>
            <w:tcBorders>
              <w:left w:val="none" w:sz="0" w:space="0" w:color="auto"/>
              <w:right w:val="none" w:sz="0" w:space="0" w:color="auto"/>
            </w:tcBorders>
          </w:tcPr>
          <w:p w:rsidR="00CB03D7" w:rsidRPr="008D55AB" w:rsidRDefault="008D55AB"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D55AB">
              <w:rPr>
                <w:sz w:val="20"/>
                <w:szCs w:val="20"/>
              </w:rPr>
              <w:t>To be provided</w:t>
            </w:r>
          </w:p>
        </w:tc>
        <w:tc>
          <w:tcPr>
            <w:tcW w:w="3798" w:type="dxa"/>
            <w:tcBorders>
              <w:left w:val="none" w:sz="0" w:space="0" w:color="auto"/>
            </w:tcBorders>
          </w:tcPr>
          <w:p w:rsidR="00CB03D7" w:rsidRPr="008D55AB" w:rsidRDefault="00E2011B"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hyperlink r:id="rId47" w:history="1">
              <w:r w:rsidR="00CB03D7" w:rsidRPr="008D55AB">
                <w:rPr>
                  <w:rStyle w:val="Hyperlink"/>
                  <w:sz w:val="20"/>
                  <w:szCs w:val="20"/>
                </w:rPr>
                <w:t>https://www.peco.com/Savings/ProgramsandRebates/Residential/Pages/PECOSmartACSaver.aspx</w:t>
              </w:r>
            </w:hyperlink>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Type of load control switch utilized</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Digital control unit</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 xml:space="preserve">PECO response to 6/12/2014 </w:t>
            </w:r>
            <w:r w:rsidR="00037A03">
              <w:rPr>
                <w:sz w:val="20"/>
                <w:szCs w:val="20"/>
              </w:rPr>
              <w:t>DR</w:t>
            </w:r>
            <w:r w:rsidRPr="00610CEB">
              <w:rPr>
                <w:sz w:val="20"/>
                <w:szCs w:val="20"/>
              </w:rPr>
              <w:t xml:space="preserve"> Study Data Request, Request #3</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Average kW load reduction per unit in Phase I</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0.7 kW</w:t>
            </w:r>
          </w:p>
        </w:tc>
        <w:tc>
          <w:tcPr>
            <w:tcW w:w="3798" w:type="dxa"/>
            <w:tcBorders>
              <w:lef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 xml:space="preserve">PECO response to 6/12/2014 </w:t>
            </w:r>
            <w:r w:rsidR="00037A03">
              <w:rPr>
                <w:sz w:val="20"/>
                <w:szCs w:val="20"/>
              </w:rPr>
              <w:t>DR</w:t>
            </w:r>
            <w:r w:rsidRPr="00610CEB">
              <w:rPr>
                <w:sz w:val="20"/>
                <w:szCs w:val="20"/>
              </w:rPr>
              <w:t xml:space="preserve"> Study Data Request, Request #9</w:t>
            </w:r>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Incentive amount per participant</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$30 per month for 4 months.  $120 per year</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PECO Final Annual Report PY4</w:t>
            </w:r>
            <w:r w:rsidRPr="00610CEB">
              <w:rPr>
                <w:rStyle w:val="FootnoteReference"/>
                <w:sz w:val="20"/>
                <w:szCs w:val="20"/>
              </w:rPr>
              <w:footnoteReference w:id="101"/>
            </w:r>
            <w:r w:rsidRPr="00610CEB">
              <w:rPr>
                <w:sz w:val="20"/>
                <w:szCs w:val="20"/>
              </w:rPr>
              <w:t>, page 155</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Total program expenditures – Program Year 4</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$15,294,000</w:t>
            </w:r>
          </w:p>
        </w:tc>
        <w:tc>
          <w:tcPr>
            <w:tcW w:w="3798" w:type="dxa"/>
            <w:tcBorders>
              <w:lef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PECO Final Annual Report PY4, page 158</w:t>
            </w:r>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EDC reported kW savings for all participants – summer 2012</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51,300 kW</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PECO Final Annual Report PY4, page 151</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T&amp;D line losses percentage used in TRC test for PY4</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19.16%</w:t>
            </w:r>
          </w:p>
        </w:tc>
        <w:tc>
          <w:tcPr>
            <w:tcW w:w="3798" w:type="dxa"/>
            <w:tcBorders>
              <w:lef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PECO Final Annual Report PY4, page 149</w:t>
            </w:r>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EDC Reported </w:t>
            </w:r>
            <w:r w:rsidR="00844BA9">
              <w:rPr>
                <w:b w:val="0"/>
                <w:sz w:val="20"/>
                <w:szCs w:val="20"/>
              </w:rPr>
              <w:t>TRC</w:t>
            </w:r>
            <w:r w:rsidRPr="00610CEB">
              <w:rPr>
                <w:b w:val="0"/>
                <w:sz w:val="20"/>
                <w:szCs w:val="20"/>
              </w:rPr>
              <w:t xml:space="preserve"> Test Ratio for PY 4</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0.17</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PECO Final Annual Report PY4, page 158</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 xml:space="preserve">EDC Reported kW savings as a percent of PECO 2012 summer total system peak load </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0.6 %</w:t>
            </w:r>
          </w:p>
        </w:tc>
        <w:tc>
          <w:tcPr>
            <w:tcW w:w="3798" w:type="dxa"/>
            <w:tcBorders>
              <w:lef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Summer 2012 weather normalized PECO peak load of 8,650 MW obtained from PJM web site.</w:t>
            </w:r>
          </w:p>
        </w:tc>
      </w:tr>
      <w:tr w:rsidR="00CB03D7" w:rsidRPr="00610C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Marketing methods used by PECO</w:t>
            </w:r>
          </w:p>
        </w:tc>
        <w:tc>
          <w:tcPr>
            <w:tcW w:w="2520" w:type="dxa"/>
            <w:tcBorders>
              <w:left w:val="none" w:sz="0" w:space="0" w:color="auto"/>
              <w:righ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Direct Mail Campaigns, TV and online ads, referral programs</w:t>
            </w:r>
          </w:p>
        </w:tc>
        <w:tc>
          <w:tcPr>
            <w:tcW w:w="3798" w:type="dxa"/>
            <w:tcBorders>
              <w:left w:val="none" w:sz="0" w:space="0" w:color="auto"/>
            </w:tcBorders>
          </w:tcPr>
          <w:p w:rsidR="00CB03D7" w:rsidRPr="00610C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610CEB">
              <w:rPr>
                <w:sz w:val="20"/>
                <w:szCs w:val="20"/>
              </w:rPr>
              <w:t xml:space="preserve">PECO </w:t>
            </w:r>
            <w:r w:rsidR="00F46D54" w:rsidRPr="00610CEB">
              <w:rPr>
                <w:sz w:val="20"/>
                <w:szCs w:val="20"/>
              </w:rPr>
              <w:t>respon</w:t>
            </w:r>
            <w:r w:rsidR="00F46D54">
              <w:rPr>
                <w:sz w:val="20"/>
                <w:szCs w:val="20"/>
              </w:rPr>
              <w:t>se</w:t>
            </w:r>
            <w:r w:rsidR="00F46D54" w:rsidRPr="00610CEB">
              <w:rPr>
                <w:sz w:val="20"/>
                <w:szCs w:val="20"/>
              </w:rPr>
              <w:t xml:space="preserve"> </w:t>
            </w:r>
            <w:r w:rsidRPr="00610CEB">
              <w:rPr>
                <w:sz w:val="20"/>
                <w:szCs w:val="20"/>
              </w:rPr>
              <w:t>to SWE Supplemental Data Response Data Request, Request #7a</w:t>
            </w:r>
          </w:p>
        </w:tc>
      </w:tr>
      <w:tr w:rsidR="00CB03D7" w:rsidRPr="00610C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610CEB" w:rsidRDefault="00CB03D7" w:rsidP="00A83ABC">
            <w:pPr>
              <w:jc w:val="left"/>
              <w:rPr>
                <w:b w:val="0"/>
                <w:sz w:val="20"/>
                <w:szCs w:val="20"/>
              </w:rPr>
            </w:pPr>
            <w:r w:rsidRPr="00610CEB">
              <w:rPr>
                <w:b w:val="0"/>
                <w:sz w:val="20"/>
                <w:szCs w:val="20"/>
              </w:rPr>
              <w:t>T&amp;D avoided costs used in the Phase I benefit/cost analysis</w:t>
            </w:r>
          </w:p>
        </w:tc>
        <w:tc>
          <w:tcPr>
            <w:tcW w:w="2520" w:type="dxa"/>
            <w:tcBorders>
              <w:left w:val="none" w:sz="0" w:space="0" w:color="auto"/>
              <w:righ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$0 per kW</w:t>
            </w:r>
            <w:r w:rsidR="002C383C">
              <w:rPr>
                <w:sz w:val="20"/>
                <w:szCs w:val="20"/>
              </w:rPr>
              <w:t>-</w:t>
            </w:r>
            <w:r w:rsidRPr="00610CEB">
              <w:rPr>
                <w:sz w:val="20"/>
                <w:szCs w:val="20"/>
              </w:rPr>
              <w:t>year</w:t>
            </w:r>
          </w:p>
        </w:tc>
        <w:tc>
          <w:tcPr>
            <w:tcW w:w="3798" w:type="dxa"/>
            <w:tcBorders>
              <w:left w:val="none" w:sz="0" w:space="0" w:color="auto"/>
            </w:tcBorders>
          </w:tcPr>
          <w:p w:rsidR="00CB03D7" w:rsidRPr="00610C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0CEB">
              <w:rPr>
                <w:sz w:val="20"/>
                <w:szCs w:val="20"/>
              </w:rPr>
              <w:t>PECO Final Annual Report PY4, supporting work papers</w:t>
            </w:r>
          </w:p>
        </w:tc>
      </w:tr>
    </w:tbl>
    <w:p w:rsidR="0040263E" w:rsidRDefault="0040263E" w:rsidP="00A83ABC">
      <w:pPr>
        <w:spacing w:after="60"/>
        <w:rPr>
          <w:rFonts w:ascii="Century Gothic" w:hAnsi="Century Gothic"/>
          <w:b/>
          <w:smallCaps/>
        </w:rPr>
      </w:pPr>
    </w:p>
    <w:p w:rsidR="00CB03D7" w:rsidRPr="00895DEB" w:rsidRDefault="00CB03D7" w:rsidP="00A83ABC">
      <w:pPr>
        <w:spacing w:after="60"/>
        <w:rPr>
          <w:rFonts w:ascii="Century Gothic" w:hAnsi="Century Gothic"/>
          <w:b/>
          <w:smallCaps/>
        </w:rPr>
      </w:pPr>
      <w:r w:rsidRPr="00895DEB">
        <w:rPr>
          <w:rFonts w:ascii="Century Gothic" w:hAnsi="Century Gothic"/>
          <w:b/>
          <w:smallCaps/>
        </w:rPr>
        <w:t xml:space="preserve">PPL </w:t>
      </w:r>
      <w:r w:rsidR="00433CF8">
        <w:rPr>
          <w:rFonts w:ascii="Century Gothic" w:hAnsi="Century Gothic"/>
          <w:b/>
          <w:smallCaps/>
        </w:rPr>
        <w:t xml:space="preserve">Electric Utilities Corporation </w:t>
      </w:r>
      <w:r w:rsidRPr="00895DEB">
        <w:rPr>
          <w:rFonts w:ascii="Century Gothic" w:hAnsi="Century Gothic"/>
          <w:b/>
          <w:smallCaps/>
        </w:rPr>
        <w:t xml:space="preserve">Phase I Residential </w:t>
      </w:r>
      <w:r w:rsidR="00037A03">
        <w:rPr>
          <w:rFonts w:ascii="Century Gothic" w:hAnsi="Century Gothic"/>
          <w:b/>
          <w:smallCaps/>
        </w:rPr>
        <w:t>DR</w:t>
      </w:r>
      <w:r w:rsidR="00042FDD">
        <w:rPr>
          <w:rFonts w:ascii="Century Gothic" w:hAnsi="Century Gothic"/>
          <w:b/>
          <w:smallCaps/>
        </w:rPr>
        <w:t xml:space="preserve"> Program</w:t>
      </w:r>
    </w:p>
    <w:p w:rsidR="00CB03D7" w:rsidRDefault="00CB03D7" w:rsidP="00A83ABC">
      <w:r>
        <w:t xml:space="preserve">PPL implemented a residential load control program for central </w:t>
      </w:r>
      <w:r w:rsidR="005852D3">
        <w:t>A/C</w:t>
      </w:r>
      <w:r>
        <w:t xml:space="preserve"> systems, the “Power Peak Saver” program, under </w:t>
      </w:r>
      <w:r w:rsidR="00950DB9">
        <w:t>Phase I</w:t>
      </w:r>
      <w:r>
        <w:t xml:space="preserve"> of Act 129. During 2012, the SWE </w:t>
      </w:r>
      <w:r w:rsidR="00F46D54">
        <w:t xml:space="preserve">Team </w:t>
      </w:r>
      <w:r>
        <w:t xml:space="preserve">estimates that PPL had 625,171 </w:t>
      </w:r>
      <w:r>
        <w:lastRenderedPageBreak/>
        <w:t xml:space="preserve">residential customers with central A/C systems, based on the </w:t>
      </w:r>
      <w:r w:rsidR="00F46D54" w:rsidRPr="00123C18">
        <w:rPr>
          <w:szCs w:val="20"/>
        </w:rPr>
        <w:t>SWE 2012 Pennsylvania Statewide Residential End</w:t>
      </w:r>
      <w:r w:rsidR="00B17135">
        <w:rPr>
          <w:szCs w:val="20"/>
        </w:rPr>
        <w:t xml:space="preserve"> </w:t>
      </w:r>
      <w:r w:rsidR="00F46D54" w:rsidRPr="00123C18">
        <w:rPr>
          <w:szCs w:val="20"/>
        </w:rPr>
        <w:t>Use and Saturation Study</w:t>
      </w:r>
      <w:r>
        <w:t xml:space="preserve"> for the PPL service area and the total number of PPL residential customers in 2012. In the summer of 2012, 51</w:t>
      </w:r>
      <w:r w:rsidR="00B0713A">
        <w:t>%</w:t>
      </w:r>
      <w:r>
        <w:t xml:space="preserve"> of homes in the PPL service area had central </w:t>
      </w:r>
      <w:r w:rsidR="00622FC2">
        <w:t>A/C</w:t>
      </w:r>
      <w:r>
        <w:t xml:space="preserve"> systems. Of PPL’s 625,175 residential customers with central A/C systems, 43,637 participated in this program, resulting in a 6.98</w:t>
      </w:r>
      <w:r w:rsidR="00B0713A">
        <w:t>%</w:t>
      </w:r>
      <w:r>
        <w:t xml:space="preserve"> participation rate.</w:t>
      </w:r>
      <w:r>
        <w:rPr>
          <w:rStyle w:val="FootnoteReference"/>
        </w:rPr>
        <w:footnoteReference w:id="102"/>
      </w:r>
      <w:r>
        <w:t xml:space="preserve"> The PPL Phase I Power Peak Saver program used A/C cycling strategies of 50%, 60%, 65%, 70%, and 100% as selected by the household</w:t>
      </w:r>
      <w:r>
        <w:rPr>
          <w:rStyle w:val="FootnoteReference"/>
        </w:rPr>
        <w:footnoteReference w:id="103"/>
      </w:r>
      <w:r>
        <w:t xml:space="preserve">. This means that central A/C units were cycled off 50%, 60%, 65%, 70%, and 100% of each hour (during </w:t>
      </w:r>
      <w:r w:rsidR="00037A03">
        <w:t>DR</w:t>
      </w:r>
      <w:r>
        <w:t xml:space="preserve"> events), as chosen by the customer.</w:t>
      </w:r>
    </w:p>
    <w:p w:rsidR="00CB03D7" w:rsidRDefault="00CB03D7" w:rsidP="00A83ABC"/>
    <w:p w:rsidR="00EA2A60" w:rsidRPr="00260827" w:rsidRDefault="00CB03D7" w:rsidP="00260827">
      <w:r>
        <w:t>The A/C units in the homes of participating customers were controlled by a cycling switch installed and operated by ComVerge, Inc., and leased to PPL. To market this program to residential customers, PPL provided program information via a PPL website</w:t>
      </w:r>
      <w:r w:rsidR="00433CF8">
        <w:rPr>
          <w:rStyle w:val="FootnoteReference"/>
        </w:rPr>
        <w:footnoteReference w:id="104"/>
      </w:r>
      <w:r w:rsidR="00433CF8">
        <w:t xml:space="preserve"> </w:t>
      </w:r>
      <w:r>
        <w:t>and also used direct mail. PPL offered a one-time $32 bill credit during the summer of 2012 for residential customers who participated and spent a total of $8.3 million on this program.</w:t>
      </w:r>
      <w:r>
        <w:rPr>
          <w:rStyle w:val="FootnoteReference"/>
        </w:rPr>
        <w:footnoteReference w:id="105"/>
      </w:r>
      <w:r w:rsidR="00433CF8">
        <w:t xml:space="preserve"> </w:t>
      </w:r>
      <w:r>
        <w:t xml:space="preserve">The Phase I program had a TRC benefit/cost ratio of 0.08 according to the PPL Final </w:t>
      </w:r>
      <w:r w:rsidR="00950DB9">
        <w:t>Phase I</w:t>
      </w:r>
      <w:r>
        <w:t xml:space="preserve"> Annual Report. PPL reported a total kW reduction of 16,430 kW and average per unit savings of 0.632 kW.</w:t>
      </w:r>
      <w:r>
        <w:rPr>
          <w:rStyle w:val="FootnoteReference"/>
        </w:rPr>
        <w:footnoteReference w:id="106"/>
      </w:r>
      <w:r>
        <w:t xml:space="preserve"> PPL’s benefit/cost analysis for the Phase I program assumed average </w:t>
      </w:r>
      <w:r w:rsidR="00AD2C38">
        <w:t>T&amp;D</w:t>
      </w:r>
      <w:r>
        <w:t xml:space="preserve"> line losses of 8.3%</w:t>
      </w:r>
      <w:r>
        <w:rPr>
          <w:rStyle w:val="FootnoteReference"/>
        </w:rPr>
        <w:footnoteReference w:id="107"/>
      </w:r>
      <w:r>
        <w:t>. The residential customers most likely to participate in this Phase I program had a household income of more than $80,000 per year and were over the age of 55.</w:t>
      </w:r>
      <w:r>
        <w:rPr>
          <w:rStyle w:val="FootnoteReference"/>
        </w:rPr>
        <w:footnoteReference w:id="108"/>
      </w:r>
      <w:r>
        <w:t xml:space="preserve"> </w:t>
      </w:r>
      <w:r w:rsidR="00260827">
        <w:fldChar w:fldCharType="begin"/>
      </w:r>
      <w:r w:rsidR="00260827">
        <w:instrText xml:space="preserve"> REF _Ref412476025 \h </w:instrText>
      </w:r>
      <w:r w:rsidR="00260827">
        <w:fldChar w:fldCharType="separate"/>
      </w:r>
      <w:r w:rsidR="00803DBE">
        <w:t xml:space="preserve">Table </w:t>
      </w:r>
      <w:r w:rsidR="00803DBE">
        <w:rPr>
          <w:noProof/>
        </w:rPr>
        <w:t>3</w:t>
      </w:r>
      <w:r w:rsidR="00803DBE">
        <w:noBreakHyphen/>
      </w:r>
      <w:r w:rsidR="00803DBE">
        <w:rPr>
          <w:noProof/>
        </w:rPr>
        <w:t>9</w:t>
      </w:r>
      <w:r w:rsidR="00260827">
        <w:fldChar w:fldCharType="end"/>
      </w:r>
      <w:r w:rsidR="00260827">
        <w:t xml:space="preserve"> </w:t>
      </w:r>
      <w:r>
        <w:t>below highlig</w:t>
      </w:r>
      <w:bookmarkStart w:id="173" w:name="_Ref407350605"/>
      <w:r w:rsidR="00260827">
        <w:t>hts key aspects of the program.</w:t>
      </w:r>
      <w:r w:rsidR="00EA2A60">
        <w:br w:type="page"/>
      </w:r>
    </w:p>
    <w:p w:rsidR="00CB03D7" w:rsidRDefault="00FA2D25" w:rsidP="00A83ABC">
      <w:pPr>
        <w:pStyle w:val="Caption"/>
      </w:pPr>
      <w:bookmarkStart w:id="174" w:name="_Ref412476025"/>
      <w:bookmarkStart w:id="175" w:name="_Toc412628468"/>
      <w:bookmarkEnd w:id="173"/>
      <w:r>
        <w:lastRenderedPageBreak/>
        <w:t xml:space="preserve">Table </w:t>
      </w:r>
      <w:r w:rsidR="00E2011B">
        <w:fldChar w:fldCharType="begin"/>
      </w:r>
      <w:r w:rsidR="00E2011B">
        <w:instrText xml:space="preserve"> STYLEREF 1 \s </w:instrText>
      </w:r>
      <w:r w:rsidR="00E2011B">
        <w:fldChar w:fldCharType="separate"/>
      </w:r>
      <w:r w:rsidR="00803DBE">
        <w:rPr>
          <w:noProof/>
        </w:rPr>
        <w:t>3</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9</w:t>
      </w:r>
      <w:r w:rsidR="00E2011B">
        <w:rPr>
          <w:noProof/>
        </w:rPr>
        <w:fldChar w:fldCharType="end"/>
      </w:r>
      <w:bookmarkEnd w:id="174"/>
      <w:r>
        <w:t xml:space="preserve">: </w:t>
      </w:r>
      <w:r w:rsidR="00CB03D7">
        <w:t xml:space="preserve">Key Characteristics of PPL’s Phase I Residential </w:t>
      </w:r>
      <w:r w:rsidR="001E7663">
        <w:t>A/C</w:t>
      </w:r>
      <w:r w:rsidR="00CB03D7">
        <w:t xml:space="preserve"> Cycling Program</w:t>
      </w:r>
      <w:bookmarkEnd w:id="175"/>
      <w:r w:rsidR="00CB03D7">
        <w:t xml:space="preserve"> </w:t>
      </w:r>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50"/>
        <w:gridCol w:w="2520"/>
        <w:gridCol w:w="3798"/>
      </w:tblGrid>
      <w:tr w:rsidR="00CB03D7" w:rsidRPr="00EC4B89" w:rsidTr="00CB0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448A99"/>
          </w:tcPr>
          <w:p w:rsidR="00CB03D7" w:rsidRPr="00EC4B89" w:rsidRDefault="00CB03D7" w:rsidP="00A83ABC">
            <w:pPr>
              <w:spacing w:after="120"/>
              <w:jc w:val="left"/>
              <w:rPr>
                <w:sz w:val="20"/>
                <w:szCs w:val="20"/>
              </w:rPr>
            </w:pPr>
            <w:r w:rsidRPr="00EC4B89">
              <w:rPr>
                <w:sz w:val="20"/>
                <w:szCs w:val="20"/>
              </w:rPr>
              <w:t>Description of Characteristic</w:t>
            </w:r>
          </w:p>
        </w:tc>
        <w:tc>
          <w:tcPr>
            <w:tcW w:w="2520" w:type="dxa"/>
            <w:tcBorders>
              <w:top w:val="none" w:sz="0" w:space="0" w:color="auto"/>
              <w:left w:val="none" w:sz="0" w:space="0" w:color="auto"/>
              <w:bottom w:val="none" w:sz="0" w:space="0" w:color="auto"/>
              <w:right w:val="none" w:sz="0" w:space="0" w:color="auto"/>
            </w:tcBorders>
            <w:shd w:val="clear" w:color="auto" w:fill="448A99"/>
          </w:tcPr>
          <w:p w:rsidR="00CB03D7" w:rsidRPr="00EC4B89" w:rsidRDefault="00CB03D7" w:rsidP="00A83ABC">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EC4B89">
              <w:rPr>
                <w:rFonts w:cs="Calibri"/>
                <w:sz w:val="20"/>
                <w:szCs w:val="20"/>
              </w:rPr>
              <w:t>PPL Data</w:t>
            </w:r>
          </w:p>
        </w:tc>
        <w:tc>
          <w:tcPr>
            <w:tcW w:w="3798" w:type="dxa"/>
            <w:tcBorders>
              <w:top w:val="none" w:sz="0" w:space="0" w:color="auto"/>
              <w:left w:val="none" w:sz="0" w:space="0" w:color="auto"/>
              <w:bottom w:val="none" w:sz="0" w:space="0" w:color="auto"/>
              <w:right w:val="none" w:sz="0" w:space="0" w:color="auto"/>
            </w:tcBorders>
            <w:shd w:val="clear" w:color="auto" w:fill="448A99"/>
          </w:tcPr>
          <w:p w:rsidR="00CB03D7" w:rsidRPr="00EC4B89" w:rsidRDefault="00CB03D7" w:rsidP="00A83ABC">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EC4B89">
              <w:rPr>
                <w:rFonts w:cs="Calibri"/>
                <w:sz w:val="20"/>
                <w:szCs w:val="20"/>
              </w:rPr>
              <w:t>Data Source</w:t>
            </w:r>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PPL’s 2012 number of residential customers</w:t>
            </w:r>
          </w:p>
        </w:tc>
        <w:tc>
          <w:tcPr>
            <w:tcW w:w="2520" w:type="dxa"/>
            <w:tcBorders>
              <w:left w:val="none" w:sz="0" w:space="0" w:color="auto"/>
              <w:right w:val="none" w:sz="0" w:space="0" w:color="auto"/>
            </w:tcBorders>
          </w:tcPr>
          <w:p w:rsidR="00CB03D7" w:rsidRPr="00895DEB" w:rsidRDefault="00CB03D7"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95DEB">
              <w:rPr>
                <w:rFonts w:cs="Calibri"/>
                <w:color w:val="000000"/>
                <w:sz w:val="20"/>
                <w:szCs w:val="20"/>
              </w:rPr>
              <w:t>1,225,825</w:t>
            </w:r>
          </w:p>
        </w:tc>
        <w:tc>
          <w:tcPr>
            <w:tcW w:w="3798" w:type="dxa"/>
            <w:tcBorders>
              <w:left w:val="none" w:sz="0" w:space="0" w:color="auto"/>
            </w:tcBorders>
          </w:tcPr>
          <w:p w:rsidR="00CB03D7" w:rsidRPr="00895DEB" w:rsidRDefault="00CB03D7" w:rsidP="00A83A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95DEB">
              <w:rPr>
                <w:rFonts w:cs="Calibri"/>
                <w:color w:val="000000"/>
                <w:sz w:val="20"/>
                <w:szCs w:val="20"/>
              </w:rPr>
              <w:t xml:space="preserve">SWE 2012 Pennsylvania Statewide Residential </w:t>
            </w:r>
            <w:r w:rsidR="00987F9B">
              <w:rPr>
                <w:rFonts w:cs="Calibri"/>
                <w:color w:val="000000"/>
                <w:sz w:val="20"/>
                <w:szCs w:val="20"/>
              </w:rPr>
              <w:t xml:space="preserve">Baseline Study </w:t>
            </w:r>
            <w:r w:rsidRPr="00895DEB">
              <w:rPr>
                <w:rFonts w:cs="Calibri"/>
                <w:color w:val="000000"/>
                <w:sz w:val="20"/>
                <w:szCs w:val="20"/>
              </w:rPr>
              <w:t>Page 21</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 xml:space="preserve">Percent of PPL residential customers with central </w:t>
            </w:r>
            <w:r w:rsidR="00622FC2">
              <w:rPr>
                <w:b w:val="0"/>
                <w:sz w:val="20"/>
                <w:szCs w:val="20"/>
              </w:rPr>
              <w:t>A/C</w:t>
            </w:r>
            <w:r w:rsidRPr="00EC4B89">
              <w:rPr>
                <w:b w:val="0"/>
                <w:sz w:val="20"/>
                <w:szCs w:val="20"/>
              </w:rPr>
              <w:t xml:space="preserve"> systems (2012 </w:t>
            </w:r>
            <w:r w:rsidR="004808A1" w:rsidRPr="004808A1">
              <w:rPr>
                <w:b w:val="0"/>
                <w:sz w:val="20"/>
                <w:szCs w:val="20"/>
              </w:rPr>
              <w:t>End</w:t>
            </w:r>
            <w:r w:rsidR="00B17135">
              <w:rPr>
                <w:b w:val="0"/>
                <w:sz w:val="20"/>
                <w:szCs w:val="20"/>
              </w:rPr>
              <w:t xml:space="preserve"> </w:t>
            </w:r>
            <w:r w:rsidR="004808A1" w:rsidRPr="004808A1">
              <w:rPr>
                <w:b w:val="0"/>
                <w:sz w:val="20"/>
                <w:szCs w:val="20"/>
              </w:rPr>
              <w:t>Use and Saturation Study</w:t>
            </w:r>
            <w:r w:rsidRPr="00EC4B89">
              <w:rPr>
                <w:b w:val="0"/>
                <w:sz w:val="20"/>
                <w:szCs w:val="20"/>
              </w:rPr>
              <w:t>)</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51%</w:t>
            </w:r>
          </w:p>
        </w:tc>
        <w:tc>
          <w:tcPr>
            <w:tcW w:w="3798" w:type="dxa"/>
            <w:tcBorders>
              <w:lef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SWE 2012 Pennsylvania Statewide </w:t>
            </w:r>
            <w:r w:rsidR="004808A1" w:rsidRPr="005A7984">
              <w:rPr>
                <w:sz w:val="20"/>
                <w:szCs w:val="20"/>
              </w:rPr>
              <w:t xml:space="preserve">Residential </w:t>
            </w:r>
            <w:r w:rsidR="004808A1" w:rsidRPr="00C653CA">
              <w:rPr>
                <w:sz w:val="20"/>
                <w:szCs w:val="20"/>
              </w:rPr>
              <w:t>End</w:t>
            </w:r>
            <w:r w:rsidR="00B17135">
              <w:rPr>
                <w:sz w:val="20"/>
                <w:szCs w:val="20"/>
              </w:rPr>
              <w:t xml:space="preserve"> </w:t>
            </w:r>
            <w:r w:rsidR="004808A1" w:rsidRPr="00C653CA">
              <w:rPr>
                <w:sz w:val="20"/>
                <w:szCs w:val="20"/>
              </w:rPr>
              <w:t>Use and Saturation Study</w:t>
            </w:r>
            <w:r w:rsidR="004808A1">
              <w:rPr>
                <w:sz w:val="20"/>
                <w:szCs w:val="20"/>
              </w:rPr>
              <w:t xml:space="preserve"> </w:t>
            </w:r>
            <w:r w:rsidRPr="00895DEB">
              <w:rPr>
                <w:sz w:val="20"/>
                <w:szCs w:val="20"/>
              </w:rPr>
              <w:t>Page 7</w:t>
            </w:r>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Homes with central A/C in 2012 (Eligible Market)</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625,171</w:t>
            </w:r>
          </w:p>
        </w:tc>
        <w:tc>
          <w:tcPr>
            <w:tcW w:w="3798" w:type="dxa"/>
            <w:tcBorders>
              <w:lef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51% of 1,225,825 residential customers</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Phase I participants in A/C cycling program</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43,637</w:t>
            </w:r>
          </w:p>
        </w:tc>
        <w:tc>
          <w:tcPr>
            <w:tcW w:w="3798" w:type="dxa"/>
            <w:tcBorders>
              <w:lef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PPL Phase I Report to the Pennsylvania PUC, page 126</w:t>
            </w:r>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Program participation rate (participation as a percent of the eligible market)</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6.98%</w:t>
            </w:r>
          </w:p>
        </w:tc>
        <w:tc>
          <w:tcPr>
            <w:tcW w:w="3798" w:type="dxa"/>
            <w:tcBorders>
              <w:lef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43,637/625,171</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Cycling strategies Used (50%, 75%, 100%, etc.)</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50%,60%,65%, 70%, and 100%</w:t>
            </w:r>
          </w:p>
        </w:tc>
        <w:tc>
          <w:tcPr>
            <w:tcW w:w="3798" w:type="dxa"/>
            <w:tcBorders>
              <w:lef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PPL response to 6/12/2014 </w:t>
            </w:r>
            <w:r w:rsidR="00037A03">
              <w:rPr>
                <w:sz w:val="20"/>
                <w:szCs w:val="20"/>
              </w:rPr>
              <w:t>DR</w:t>
            </w:r>
            <w:r w:rsidRPr="00895DEB">
              <w:rPr>
                <w:sz w:val="20"/>
                <w:szCs w:val="20"/>
              </w:rPr>
              <w:t xml:space="preserve"> Study Data Request, Request #9</w:t>
            </w:r>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Maximum number of cycling events allowable per summer of 2012</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No maximum (21 were called in 2012)</w:t>
            </w:r>
          </w:p>
        </w:tc>
        <w:tc>
          <w:tcPr>
            <w:tcW w:w="3798" w:type="dxa"/>
            <w:tcBorders>
              <w:left w:val="none" w:sz="0" w:space="0" w:color="auto"/>
            </w:tcBorders>
          </w:tcPr>
          <w:p w:rsidR="00CB03D7" w:rsidRPr="00895DEB" w:rsidRDefault="00E2011B"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hyperlink r:id="rId48" w:history="1">
              <w:r w:rsidR="00CB03D7" w:rsidRPr="00895DEB">
                <w:rPr>
                  <w:color w:val="0000FF" w:themeColor="hyperlink"/>
                  <w:sz w:val="20"/>
                  <w:szCs w:val="20"/>
                  <w:u w:val="single"/>
                </w:rPr>
                <w:t>http://www.pennsylvaniapeaksaver.com/</w:t>
              </w:r>
            </w:hyperlink>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Maximum duration (in hours) for each cycling event – summer 2012</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1 hour</w:t>
            </w:r>
          </w:p>
        </w:tc>
        <w:tc>
          <w:tcPr>
            <w:tcW w:w="3798" w:type="dxa"/>
            <w:tcBorders>
              <w:left w:val="none" w:sz="0" w:space="0" w:color="auto"/>
            </w:tcBorders>
          </w:tcPr>
          <w:p w:rsidR="00CB03D7" w:rsidRPr="00895DEB" w:rsidRDefault="00E2011B"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49" w:history="1">
              <w:r w:rsidR="00CB03D7" w:rsidRPr="00895DEB">
                <w:rPr>
                  <w:color w:val="0000FF" w:themeColor="hyperlink"/>
                  <w:sz w:val="20"/>
                  <w:szCs w:val="20"/>
                  <w:u w:val="single"/>
                </w:rPr>
                <w:t>http://www.pennsylvaniapeaksaver.com/</w:t>
              </w:r>
            </w:hyperlink>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CF2678" w:rsidRDefault="00CB03D7" w:rsidP="00A83ABC">
            <w:pPr>
              <w:jc w:val="left"/>
              <w:rPr>
                <w:b w:val="0"/>
                <w:sz w:val="20"/>
                <w:szCs w:val="20"/>
              </w:rPr>
            </w:pPr>
            <w:r w:rsidRPr="00CF2678">
              <w:rPr>
                <w:b w:val="0"/>
                <w:sz w:val="20"/>
                <w:szCs w:val="20"/>
              </w:rPr>
              <w:t xml:space="preserve">Type of </w:t>
            </w:r>
            <w:r w:rsidR="00CF2678" w:rsidRPr="00CF2678">
              <w:rPr>
                <w:b w:val="0"/>
                <w:sz w:val="20"/>
                <w:szCs w:val="20"/>
              </w:rPr>
              <w:t>central computer</w:t>
            </w:r>
          </w:p>
        </w:tc>
        <w:tc>
          <w:tcPr>
            <w:tcW w:w="2520" w:type="dxa"/>
            <w:tcBorders>
              <w:left w:val="none" w:sz="0" w:space="0" w:color="auto"/>
              <w:right w:val="none" w:sz="0" w:space="0" w:color="auto"/>
            </w:tcBorders>
          </w:tcPr>
          <w:p w:rsidR="00CB03D7" w:rsidRPr="00CF2678" w:rsidRDefault="00CF2678"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CF2678">
              <w:rPr>
                <w:sz w:val="20"/>
                <w:szCs w:val="20"/>
              </w:rPr>
              <w:t>To be provided</w:t>
            </w:r>
          </w:p>
        </w:tc>
        <w:tc>
          <w:tcPr>
            <w:tcW w:w="3798" w:type="dxa"/>
            <w:tcBorders>
              <w:left w:val="none" w:sz="0" w:space="0" w:color="auto"/>
            </w:tcBorders>
          </w:tcPr>
          <w:p w:rsidR="00CB03D7" w:rsidRPr="00CF2678"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CF2678">
              <w:rPr>
                <w:sz w:val="20"/>
                <w:szCs w:val="20"/>
              </w:rPr>
              <w:t xml:space="preserve">PPL response to 6/12/2014 </w:t>
            </w:r>
            <w:r w:rsidR="00037A03">
              <w:rPr>
                <w:sz w:val="20"/>
                <w:szCs w:val="20"/>
              </w:rPr>
              <w:t>DR</w:t>
            </w:r>
            <w:r w:rsidRPr="00CF2678">
              <w:rPr>
                <w:sz w:val="20"/>
                <w:szCs w:val="20"/>
              </w:rPr>
              <w:t xml:space="preserve"> Study Data Request, Request #3</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Type of load control switch utilized</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Digital control unit</w:t>
            </w:r>
          </w:p>
        </w:tc>
        <w:tc>
          <w:tcPr>
            <w:tcW w:w="3798" w:type="dxa"/>
            <w:tcBorders>
              <w:left w:val="none" w:sz="0" w:space="0" w:color="auto"/>
            </w:tcBorders>
          </w:tcPr>
          <w:p w:rsidR="00CB03D7" w:rsidRPr="00895DEB" w:rsidRDefault="00E2011B"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50" w:history="1">
              <w:r w:rsidR="00CB03D7" w:rsidRPr="00895DEB">
                <w:rPr>
                  <w:color w:val="0000FF" w:themeColor="hyperlink"/>
                  <w:sz w:val="20"/>
                  <w:szCs w:val="20"/>
                  <w:u w:val="single"/>
                </w:rPr>
                <w:t>http://www.pennsylvaniapeaksaver.com/</w:t>
              </w:r>
            </w:hyperlink>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Average kW load reduction per unit in Phase I</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0.632 kW</w:t>
            </w:r>
          </w:p>
        </w:tc>
        <w:tc>
          <w:tcPr>
            <w:tcW w:w="3798" w:type="dxa"/>
            <w:tcBorders>
              <w:lef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 xml:space="preserve">PPL response to 6/12/2014 </w:t>
            </w:r>
            <w:r w:rsidR="00037A03">
              <w:rPr>
                <w:sz w:val="20"/>
                <w:szCs w:val="20"/>
              </w:rPr>
              <w:t>DR</w:t>
            </w:r>
            <w:r w:rsidRPr="00895DEB">
              <w:rPr>
                <w:sz w:val="20"/>
                <w:szCs w:val="20"/>
              </w:rPr>
              <w:t xml:space="preserve"> Study Data Request, Request #18</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Incentive amount per participant</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$32 during Phase I</w:t>
            </w:r>
          </w:p>
        </w:tc>
        <w:tc>
          <w:tcPr>
            <w:tcW w:w="3798" w:type="dxa"/>
            <w:tcBorders>
              <w:left w:val="none" w:sz="0" w:space="0" w:color="auto"/>
            </w:tcBorders>
          </w:tcPr>
          <w:p w:rsidR="00CB03D7" w:rsidRPr="00895DEB" w:rsidRDefault="00E2011B"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51" w:history="1">
              <w:r w:rsidR="00CB03D7" w:rsidRPr="00895DEB">
                <w:rPr>
                  <w:color w:val="0000FF" w:themeColor="hyperlink"/>
                  <w:sz w:val="20"/>
                  <w:szCs w:val="20"/>
                  <w:u w:val="single"/>
                </w:rPr>
                <w:t>http://lancasteronline.com/business/ppl-will-pay-to-control-your-air-conditioner/article_89b9adbf-efd7-583d-bb31-df7e52aeed20.html</w:t>
              </w:r>
            </w:hyperlink>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Total program expenditures – Program Year 4</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$8.83 million</w:t>
            </w:r>
          </w:p>
        </w:tc>
        <w:tc>
          <w:tcPr>
            <w:tcW w:w="3798" w:type="dxa"/>
            <w:tcBorders>
              <w:lef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 xml:space="preserve">PPL Final </w:t>
            </w:r>
            <w:r w:rsidR="00950DB9">
              <w:rPr>
                <w:sz w:val="20"/>
                <w:szCs w:val="20"/>
              </w:rPr>
              <w:t>Phase I</w:t>
            </w:r>
            <w:r w:rsidRPr="00895DEB">
              <w:rPr>
                <w:sz w:val="20"/>
                <w:szCs w:val="20"/>
              </w:rPr>
              <w:t xml:space="preserve"> Annual Report, page 133</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EDC reported kW savings for all residential customer participants – summer 2012</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16,430 kW</w:t>
            </w:r>
          </w:p>
        </w:tc>
        <w:tc>
          <w:tcPr>
            <w:tcW w:w="3798" w:type="dxa"/>
            <w:tcBorders>
              <w:lef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PPL Final </w:t>
            </w:r>
            <w:r w:rsidR="00950DB9">
              <w:rPr>
                <w:sz w:val="20"/>
                <w:szCs w:val="20"/>
              </w:rPr>
              <w:t>Phase I</w:t>
            </w:r>
            <w:r w:rsidRPr="00895DEB">
              <w:rPr>
                <w:sz w:val="20"/>
                <w:szCs w:val="20"/>
              </w:rPr>
              <w:t xml:space="preserve"> Annual Report, page 19</w:t>
            </w:r>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T&amp;D line losses percentage used in TRC test for PY4</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8.3%</w:t>
            </w:r>
          </w:p>
        </w:tc>
        <w:tc>
          <w:tcPr>
            <w:tcW w:w="3798" w:type="dxa"/>
            <w:tcBorders>
              <w:lef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 xml:space="preserve">PPL Final </w:t>
            </w:r>
            <w:r w:rsidR="00950DB9">
              <w:rPr>
                <w:sz w:val="20"/>
                <w:szCs w:val="20"/>
              </w:rPr>
              <w:t>Phase I</w:t>
            </w:r>
            <w:r w:rsidRPr="00895DEB">
              <w:rPr>
                <w:sz w:val="20"/>
                <w:szCs w:val="20"/>
              </w:rPr>
              <w:t xml:space="preserve"> Annual Report, page 3</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 xml:space="preserve">EDC Reported </w:t>
            </w:r>
            <w:r w:rsidR="00844BA9">
              <w:rPr>
                <w:b w:val="0"/>
                <w:sz w:val="20"/>
                <w:szCs w:val="20"/>
              </w:rPr>
              <w:t>TRC</w:t>
            </w:r>
            <w:r w:rsidRPr="00EC4B89">
              <w:rPr>
                <w:b w:val="0"/>
                <w:sz w:val="20"/>
                <w:szCs w:val="20"/>
              </w:rPr>
              <w:t xml:space="preserve"> Test Ratio for PY 4</w:t>
            </w:r>
          </w:p>
        </w:tc>
        <w:tc>
          <w:tcPr>
            <w:tcW w:w="2520" w:type="dxa"/>
            <w:tcBorders>
              <w:left w:val="none" w:sz="0" w:space="0" w:color="auto"/>
              <w:righ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0.08</w:t>
            </w:r>
          </w:p>
        </w:tc>
        <w:tc>
          <w:tcPr>
            <w:tcW w:w="3798" w:type="dxa"/>
            <w:tcBorders>
              <w:left w:val="none" w:sz="0" w:space="0" w:color="auto"/>
            </w:tcBorders>
          </w:tcPr>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 xml:space="preserve">PPL Final </w:t>
            </w:r>
            <w:r w:rsidR="00950DB9">
              <w:rPr>
                <w:sz w:val="20"/>
                <w:szCs w:val="20"/>
              </w:rPr>
              <w:t>Phase I</w:t>
            </w:r>
            <w:r w:rsidRPr="00895DEB">
              <w:rPr>
                <w:sz w:val="20"/>
                <w:szCs w:val="20"/>
              </w:rPr>
              <w:t xml:space="preserve"> Annual Report, page 133</w:t>
            </w:r>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 xml:space="preserve">EDC reported residential </w:t>
            </w:r>
            <w:r w:rsidR="008D678D">
              <w:rPr>
                <w:b w:val="0"/>
                <w:sz w:val="20"/>
                <w:szCs w:val="20"/>
              </w:rPr>
              <w:t>DLC</w:t>
            </w:r>
            <w:r w:rsidRPr="00EC4B89">
              <w:rPr>
                <w:b w:val="0"/>
                <w:sz w:val="20"/>
                <w:szCs w:val="20"/>
              </w:rPr>
              <w:t xml:space="preserve"> kW savings as a percent of 2012 summer total peak load for EDC</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.2%</w:t>
            </w:r>
          </w:p>
        </w:tc>
        <w:tc>
          <w:tcPr>
            <w:tcW w:w="3798" w:type="dxa"/>
            <w:tcBorders>
              <w:lef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 xml:space="preserve">16.43 MW for residential </w:t>
            </w:r>
            <w:r w:rsidR="008D678D">
              <w:rPr>
                <w:sz w:val="20"/>
                <w:szCs w:val="20"/>
              </w:rPr>
              <w:t>DLC</w:t>
            </w:r>
            <w:r w:rsidRPr="00895DEB">
              <w:rPr>
                <w:sz w:val="20"/>
                <w:szCs w:val="20"/>
              </w:rPr>
              <w:t xml:space="preserve"> program divided by summer 2012 peak load of  </w:t>
            </w:r>
            <w:r w:rsidR="00CF2678">
              <w:rPr>
                <w:sz w:val="20"/>
                <w:szCs w:val="20"/>
              </w:rPr>
              <w:t>7,181</w:t>
            </w:r>
            <w:r w:rsidRPr="00895DEB">
              <w:rPr>
                <w:sz w:val="20"/>
                <w:szCs w:val="20"/>
              </w:rPr>
              <w:t xml:space="preserve"> MW. See PPL Final </w:t>
            </w:r>
            <w:r w:rsidR="00950DB9">
              <w:rPr>
                <w:sz w:val="20"/>
                <w:szCs w:val="20"/>
              </w:rPr>
              <w:t>Phase I</w:t>
            </w:r>
            <w:r w:rsidRPr="00895DEB">
              <w:rPr>
                <w:sz w:val="20"/>
                <w:szCs w:val="20"/>
              </w:rPr>
              <w:t xml:space="preserve"> Annual Report, page 132 and PJM data for PPL’s 2012 metered peak load (7,181 MW).</w:t>
            </w:r>
          </w:p>
        </w:tc>
      </w:tr>
      <w:tr w:rsidR="00CB03D7" w:rsidRPr="00895DEB" w:rsidTr="00CB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Marketing methods used by PPL</w:t>
            </w:r>
          </w:p>
        </w:tc>
        <w:tc>
          <w:tcPr>
            <w:tcW w:w="2520" w:type="dxa"/>
            <w:tcBorders>
              <w:left w:val="none" w:sz="0" w:space="0" w:color="auto"/>
              <w:right w:val="none" w:sz="0" w:space="0" w:color="auto"/>
            </w:tcBorders>
          </w:tcPr>
          <w:p w:rsidR="00CB03D7" w:rsidRPr="00895DEB" w:rsidRDefault="00E2011B"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52" w:history="1">
              <w:r w:rsidR="00CB03D7" w:rsidRPr="00895DEB">
                <w:rPr>
                  <w:color w:val="0000FF" w:themeColor="hyperlink"/>
                  <w:sz w:val="20"/>
                  <w:szCs w:val="20"/>
                  <w:u w:val="single"/>
                </w:rPr>
                <w:t>http://www.pennsylvaniapeaksaver.com/</w:t>
              </w:r>
            </w:hyperlink>
          </w:p>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895DEB">
              <w:rPr>
                <w:sz w:val="20"/>
                <w:szCs w:val="20"/>
              </w:rPr>
              <w:t>also, direct mail adverts</w:t>
            </w:r>
          </w:p>
        </w:tc>
        <w:tc>
          <w:tcPr>
            <w:tcW w:w="3798" w:type="dxa"/>
            <w:tcBorders>
              <w:left w:val="none" w:sz="0" w:space="0" w:color="auto"/>
            </w:tcBorders>
          </w:tcPr>
          <w:p w:rsidR="00CB03D7" w:rsidRPr="00895DEB" w:rsidRDefault="00E2011B"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53" w:history="1">
              <w:r w:rsidR="00CB03D7" w:rsidRPr="00895DEB">
                <w:rPr>
                  <w:color w:val="0000FF" w:themeColor="hyperlink"/>
                  <w:sz w:val="20"/>
                  <w:szCs w:val="20"/>
                  <w:u w:val="single"/>
                </w:rPr>
                <w:t>http://www.pennsylvaniapeaksaver.com/</w:t>
              </w:r>
            </w:hyperlink>
          </w:p>
          <w:p w:rsidR="00CB03D7" w:rsidRPr="00895DEB" w:rsidRDefault="00CB03D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CB03D7" w:rsidRPr="00895DEB" w:rsidTr="00C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none" w:sz="0" w:space="0" w:color="auto"/>
            </w:tcBorders>
          </w:tcPr>
          <w:p w:rsidR="00CB03D7" w:rsidRPr="00EC4B89" w:rsidRDefault="00CB03D7" w:rsidP="00A83ABC">
            <w:pPr>
              <w:jc w:val="left"/>
              <w:rPr>
                <w:b w:val="0"/>
                <w:sz w:val="20"/>
                <w:szCs w:val="20"/>
              </w:rPr>
            </w:pPr>
            <w:r w:rsidRPr="00EC4B89">
              <w:rPr>
                <w:b w:val="0"/>
                <w:sz w:val="20"/>
                <w:szCs w:val="20"/>
              </w:rPr>
              <w:t>T&amp;D avoided costs used in the Phase I benefit/cost analysis</w:t>
            </w:r>
          </w:p>
        </w:tc>
        <w:tc>
          <w:tcPr>
            <w:tcW w:w="2520" w:type="dxa"/>
            <w:tcBorders>
              <w:left w:val="none" w:sz="0" w:space="0" w:color="auto"/>
              <w:righ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$0 per kW</w:t>
            </w:r>
            <w:r w:rsidR="002C383C">
              <w:rPr>
                <w:sz w:val="20"/>
                <w:szCs w:val="20"/>
              </w:rPr>
              <w:t>-</w:t>
            </w:r>
            <w:r w:rsidRPr="00895DEB">
              <w:rPr>
                <w:sz w:val="20"/>
                <w:szCs w:val="20"/>
              </w:rPr>
              <w:t>year</w:t>
            </w:r>
          </w:p>
        </w:tc>
        <w:tc>
          <w:tcPr>
            <w:tcW w:w="3798" w:type="dxa"/>
            <w:tcBorders>
              <w:left w:val="none" w:sz="0" w:space="0" w:color="auto"/>
            </w:tcBorders>
          </w:tcPr>
          <w:p w:rsidR="00CB03D7" w:rsidRPr="00895DEB" w:rsidRDefault="00CB03D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95DEB">
              <w:rPr>
                <w:sz w:val="20"/>
                <w:szCs w:val="20"/>
              </w:rPr>
              <w:t>PPL Phase I Final Report, supporting work papers</w:t>
            </w:r>
          </w:p>
        </w:tc>
      </w:tr>
    </w:tbl>
    <w:p w:rsidR="0040263E" w:rsidRPr="0040263E" w:rsidRDefault="0040263E" w:rsidP="00A83ABC"/>
    <w:p w:rsidR="00E3407C" w:rsidRDefault="00702BF4" w:rsidP="00A83ABC">
      <w:pPr>
        <w:pStyle w:val="Heading1"/>
      </w:pPr>
      <w:bookmarkStart w:id="176" w:name="_Ref408569155"/>
      <w:bookmarkStart w:id="177" w:name="_Toc412628405"/>
      <w:bookmarkStart w:id="178" w:name="_Ref407786492"/>
      <w:r>
        <w:lastRenderedPageBreak/>
        <w:t xml:space="preserve">Residential </w:t>
      </w:r>
      <w:r w:rsidR="00037A03">
        <w:t>DR</w:t>
      </w:r>
      <w:r>
        <w:t xml:space="preserve"> Potential</w:t>
      </w:r>
      <w:bookmarkEnd w:id="176"/>
      <w:bookmarkEnd w:id="177"/>
      <w:r>
        <w:t xml:space="preserve"> </w:t>
      </w:r>
      <w:bookmarkEnd w:id="178"/>
    </w:p>
    <w:p w:rsidR="00E3407C" w:rsidRDefault="00702BF4" w:rsidP="00A83ABC">
      <w:pPr>
        <w:pStyle w:val="Heading2"/>
      </w:pPr>
      <w:bookmarkStart w:id="179" w:name="_Toc412628406"/>
      <w:r>
        <w:t>Summary</w:t>
      </w:r>
      <w:bookmarkEnd w:id="179"/>
    </w:p>
    <w:p w:rsidR="005852D3" w:rsidRDefault="00B17135" w:rsidP="00A83ABC">
      <w:r>
        <w:t>Direct Load Control</w:t>
      </w:r>
      <w:r w:rsidR="005852D3">
        <w:t xml:space="preserve"> programs remotely manage residential customers’ end</w:t>
      </w:r>
      <w:r>
        <w:t xml:space="preserve"> </w:t>
      </w:r>
      <w:r w:rsidR="005852D3">
        <w:t xml:space="preserve">use demands by cycling off their electricity consuming equipment during control periods (typically at periods of electric peak demand). In exchange for an incentive payment, free equipment, or bill reduction customers allow EDCs to remotely reduce equipment runtime during peak hours. </w:t>
      </w:r>
      <w:r w:rsidR="00CE0565">
        <w:t>This analysis examined the cost-</w:t>
      </w:r>
      <w:r w:rsidR="005852D3">
        <w:t xml:space="preserve">effectiveness and potential peak demand reduction savings for load control of residential central A/C systems, window </w:t>
      </w:r>
      <w:r w:rsidR="00AD2C38">
        <w:t>A/C’s</w:t>
      </w:r>
      <w:r w:rsidR="005852D3">
        <w:t xml:space="preserve">, electric water heaters, and swimming pool pumps for Phase III of Act 129 programs. The Base Scenario of our potential analysis was limited to load control of only central </w:t>
      </w:r>
      <w:r w:rsidR="00F4270D">
        <w:t xml:space="preserve">A/Cs </w:t>
      </w:r>
      <w:r w:rsidR="005852D3">
        <w:t>while the Second Scenario included load control of all four types of electrical equipment. This study of the potential took into account the experience of the EDCs with DLC of central A/C systems during Phase I of Act 129</w:t>
      </w:r>
      <w:r w:rsidR="00F4270D">
        <w:t>,</w:t>
      </w:r>
      <w:r w:rsidR="005852D3">
        <w:t xml:space="preserve"> as well as actual program participation experience for similar load control programs conducted by electric utilities in the region and across the US. The </w:t>
      </w:r>
      <w:r w:rsidR="00F4270D">
        <w:t>SWE Team</w:t>
      </w:r>
      <w:r w:rsidR="005852D3">
        <w:t xml:space="preserve"> conducted an extensive literature search for costs, program participation</w:t>
      </w:r>
      <w:r w:rsidR="00F4270D">
        <w:t>,</w:t>
      </w:r>
      <w:r w:rsidR="005852D3">
        <w:t xml:space="preserve"> and peak load reduction information for residential </w:t>
      </w:r>
      <w:r w:rsidR="008D678D">
        <w:t>DLC</w:t>
      </w:r>
      <w:r w:rsidR="005852D3">
        <w:t xml:space="preserve"> programs and also conducted phone interviews with many utilities to get up-to-date information on the performance of such programs.</w:t>
      </w:r>
    </w:p>
    <w:p w:rsidR="00FC0DB2" w:rsidRDefault="00FC0DB2" w:rsidP="00A83ABC"/>
    <w:p w:rsidR="00E3407C" w:rsidRDefault="00702BF4" w:rsidP="00A83ABC">
      <w:pPr>
        <w:pStyle w:val="Heading2"/>
      </w:pPr>
      <w:bookmarkStart w:id="180" w:name="_Toc412628407"/>
      <w:r>
        <w:t>Methodology</w:t>
      </w:r>
      <w:bookmarkEnd w:id="180"/>
    </w:p>
    <w:p w:rsidR="00702BF4" w:rsidRPr="00070270" w:rsidRDefault="00702BF4" w:rsidP="00A83ABC">
      <w:pPr>
        <w:pStyle w:val="Heading3"/>
      </w:pPr>
      <w:bookmarkStart w:id="181" w:name="_Toc412628408"/>
      <w:r w:rsidRPr="00070270">
        <w:t>Participation Rates</w:t>
      </w:r>
      <w:bookmarkEnd w:id="181"/>
    </w:p>
    <w:p w:rsidR="00702BF4" w:rsidRDefault="00702BF4" w:rsidP="00A83ABC">
      <w:r>
        <w:t xml:space="preserve">Program participation and impacts (demand reductions) for residential customers were assumed to begin the summer of 2017. No program participants are assumed in 2016, due to the fact that Phase III begins on June 1, 2016. The time needed to specify and procure load control equipment or select a vendor for an outsourced program, market the program, recruit participants, and install and test the load control equipment is not sufficient to achieve program load reductions in the summer of 2016.  </w:t>
      </w:r>
    </w:p>
    <w:p w:rsidR="00702BF4" w:rsidRDefault="00702BF4" w:rsidP="00A83ABC"/>
    <w:p w:rsidR="00702BF4" w:rsidRDefault="00702BF4" w:rsidP="00A83ABC">
      <w:r>
        <w:t xml:space="preserve">In order to maximize the benefits of residential load reduction, the installations of load control devices were assumed to have been completed only in 2016 and early in 2017 for the initiation of cycling the summer of 2017. For residential central </w:t>
      </w:r>
      <w:r w:rsidR="00AD2C38">
        <w:t>A/C’s</w:t>
      </w:r>
      <w:r>
        <w:t xml:space="preserve"> (base scenario), a maximum 12.5</w:t>
      </w:r>
      <w:r w:rsidR="00B0713A">
        <w:t>%</w:t>
      </w:r>
      <w:r>
        <w:t xml:space="preserve"> penetration rate was assumed to determine potential peak load reduction savings. In other words, a participation rate of 12.5</w:t>
      </w:r>
      <w:r w:rsidR="00B0713A">
        <w:t>%</w:t>
      </w:r>
      <w:r>
        <w:t xml:space="preserve"> of residential customers with central </w:t>
      </w:r>
      <w:r w:rsidR="00AD2C38">
        <w:t>A/C’s</w:t>
      </w:r>
      <w:r>
        <w:t xml:space="preserve"> was assumed, with all participants having had switches installed in 2016 through May 2017. The participation rate of 12.5</w:t>
      </w:r>
      <w:r w:rsidR="00B0713A">
        <w:t>%</w:t>
      </w:r>
      <w:r>
        <w:t xml:space="preserve"> is assumed to be the maximum penetration rate and no further installations of new load control devices occur after that time. Under the second scenario, a </w:t>
      </w:r>
      <w:r w:rsidRPr="00B92359">
        <w:t>12.5</w:t>
      </w:r>
      <w:r w:rsidR="00B0713A">
        <w:t>%</w:t>
      </w:r>
      <w:r>
        <w:t xml:space="preserve"> penetration rate was also assumed for all other load control equipment on electric water heaters, room </w:t>
      </w:r>
      <w:r w:rsidR="00AD2C38">
        <w:t>A/C’s</w:t>
      </w:r>
      <w:r w:rsidR="00F50D74">
        <w:t>,</w:t>
      </w:r>
      <w:r>
        <w:t xml:space="preserve"> and swimming pool pumps. </w:t>
      </w:r>
    </w:p>
    <w:p w:rsidR="00702BF4" w:rsidRDefault="00702BF4" w:rsidP="00A83ABC"/>
    <w:p w:rsidR="00BF7FC2" w:rsidRDefault="00720A22" w:rsidP="00A83ABC">
      <w:r>
        <w:t>The 12.5</w:t>
      </w:r>
      <w:r w:rsidR="00B0713A">
        <w:t>%</w:t>
      </w:r>
      <w:r>
        <w:t xml:space="preserve"> was derived from the actual participation rates for </w:t>
      </w:r>
      <w:r w:rsidR="008D678D">
        <w:t>DLC</w:t>
      </w:r>
      <w:r>
        <w:t xml:space="preserve"> programs of 20 utilities around the country. The average, long-term participation rate of these 20 utilities was 25</w:t>
      </w:r>
      <w:r w:rsidR="00B0713A">
        <w:t>%</w:t>
      </w:r>
      <w:r>
        <w:t>, so that number was halved to provide a conservative participation rate estimate and to reflect the short time period available for installation of equipment during Phase III of Act 129. It is important to note that PECO attained a</w:t>
      </w:r>
      <w:r w:rsidR="00942EA6">
        <w:t>n</w:t>
      </w:r>
      <w:r>
        <w:t xml:space="preserve"> 11.4</w:t>
      </w:r>
      <w:r w:rsidR="00B0713A">
        <w:t>%</w:t>
      </w:r>
      <w:r>
        <w:t xml:space="preserve"> participation rate in their Phase I program for load control of residential central </w:t>
      </w:r>
      <w:r w:rsidR="00622FC2">
        <w:t>A/C</w:t>
      </w:r>
      <w:r>
        <w:t xml:space="preserve"> systems. Some of the utility programs in the region included in this calculation of the average participation rate include Baltimore Gas and Electric</w:t>
      </w:r>
      <w:r w:rsidR="00942EA6">
        <w:t xml:space="preserve"> (BG&amp;E)</w:t>
      </w:r>
      <w:r>
        <w:t>, Northern Virginia Electric Cooperative</w:t>
      </w:r>
      <w:r w:rsidR="00942EA6">
        <w:t xml:space="preserve"> (NOVEC)</w:t>
      </w:r>
      <w:r>
        <w:t>, Southern Maryland Electric Cooperative</w:t>
      </w:r>
      <w:r w:rsidR="00942EA6">
        <w:t xml:space="preserve"> (SMECO)</w:t>
      </w:r>
      <w:r>
        <w:t xml:space="preserve">, Met-Ed, </w:t>
      </w:r>
      <w:r w:rsidR="00942EA6">
        <w:t>Potomac Electric Power Company (</w:t>
      </w:r>
      <w:r>
        <w:t>PEPCO</w:t>
      </w:r>
      <w:r w:rsidR="00942EA6">
        <w:t>)</w:t>
      </w:r>
      <w:r>
        <w:t>, PECO, Penelec, Penn Power and PPL. Listed below in</w:t>
      </w:r>
      <w:r w:rsidR="00702BF4">
        <w:t xml:space="preserve"> </w:t>
      </w:r>
      <w:r w:rsidR="003221E5">
        <w:fldChar w:fldCharType="begin"/>
      </w:r>
      <w:r w:rsidR="003221E5">
        <w:instrText xml:space="preserve"> REF _Ref407359745 \h </w:instrText>
      </w:r>
      <w:r w:rsidR="003221E5">
        <w:fldChar w:fldCharType="separate"/>
      </w:r>
      <w:r w:rsidR="00803DBE">
        <w:t xml:space="preserve">Table </w:t>
      </w:r>
      <w:r w:rsidR="00803DBE">
        <w:rPr>
          <w:noProof/>
        </w:rPr>
        <w:t>4</w:t>
      </w:r>
      <w:r w:rsidR="00803DBE">
        <w:noBreakHyphen/>
      </w:r>
      <w:r w:rsidR="00803DBE">
        <w:rPr>
          <w:noProof/>
        </w:rPr>
        <w:t>1</w:t>
      </w:r>
      <w:r w:rsidR="003221E5">
        <w:fldChar w:fldCharType="end"/>
      </w:r>
      <w:r w:rsidR="00702BF4">
        <w:t xml:space="preserve"> is the data collected by the </w:t>
      </w:r>
      <w:r w:rsidR="00F4270D">
        <w:t>SWE Team</w:t>
      </w:r>
      <w:r w:rsidR="00702BF4">
        <w:t xml:space="preserve"> on program participation rates for residential central </w:t>
      </w:r>
      <w:r w:rsidR="005852D3">
        <w:t>A/C</w:t>
      </w:r>
      <w:r w:rsidR="00702BF4">
        <w:t xml:space="preserve"> control programs by various electric utilities in the US. The SWE Team also asked the EDCs and their </w:t>
      </w:r>
      <w:r w:rsidR="00942EA6">
        <w:t xml:space="preserve">Evaluation Teams </w:t>
      </w:r>
      <w:r w:rsidR="00702BF4">
        <w:t xml:space="preserve">for any studies, </w:t>
      </w:r>
      <w:r w:rsidR="00702BF4">
        <w:lastRenderedPageBreak/>
        <w:t>reports</w:t>
      </w:r>
      <w:r w:rsidR="00942EA6">
        <w:t>,</w:t>
      </w:r>
      <w:r w:rsidR="00702BF4">
        <w:t xml:space="preserve"> or other data they had on participation rates in residential </w:t>
      </w:r>
      <w:r w:rsidR="008D678D">
        <w:t>DLC</w:t>
      </w:r>
      <w:r w:rsidR="00702BF4">
        <w:t xml:space="preserve"> programs for other utilities outside of Pennsylvania, but the EDCs responded that they did not have any such studies, reports or other data.</w:t>
      </w:r>
    </w:p>
    <w:p w:rsidR="00E3407C" w:rsidRPr="00554444" w:rsidRDefault="00E3407C" w:rsidP="00A83ABC"/>
    <w:p w:rsidR="00702BF4" w:rsidRDefault="00702BF4" w:rsidP="00A83ABC">
      <w:pPr>
        <w:pStyle w:val="Caption"/>
        <w:spacing w:after="0"/>
      </w:pPr>
      <w:bookmarkStart w:id="182" w:name="_Ref407359745"/>
      <w:bookmarkStart w:id="183" w:name="_Toc412628469"/>
      <w:r>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w:t>
      </w:r>
      <w:r w:rsidR="00E2011B">
        <w:rPr>
          <w:noProof/>
        </w:rPr>
        <w:fldChar w:fldCharType="end"/>
      </w:r>
      <w:bookmarkEnd w:id="182"/>
      <w:r>
        <w:t>: Actual Participation Rates Achieved by Electric Utility Residential Central A/C Load Control Programs in the US</w:t>
      </w:r>
      <w:bookmarkEnd w:id="183"/>
      <w:r>
        <w:t xml:space="preserve"> </w:t>
      </w:r>
    </w:p>
    <w:p w:rsidR="00702BF4" w:rsidRPr="00702BF4" w:rsidRDefault="00702BF4" w:rsidP="00A83ABC">
      <w:pPr>
        <w:spacing w:after="120"/>
        <w:rPr>
          <w:b/>
          <w:sz w:val="18"/>
          <w:szCs w:val="18"/>
        </w:rPr>
      </w:pPr>
      <w:r w:rsidRPr="00702BF4">
        <w:rPr>
          <w:b/>
          <w:sz w:val="18"/>
          <w:szCs w:val="18"/>
        </w:rPr>
        <w:t>(Sorted from Highest to Lowest)</w:t>
      </w:r>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3690"/>
        <w:gridCol w:w="3420"/>
        <w:gridCol w:w="2250"/>
      </w:tblGrid>
      <w:tr w:rsidR="003221E5" w:rsidRPr="00CB03D7" w:rsidTr="00C41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none" w:sz="0" w:space="0" w:color="auto"/>
              <w:left w:val="none" w:sz="0" w:space="0" w:color="auto"/>
              <w:bottom w:val="none" w:sz="0" w:space="0" w:color="auto"/>
              <w:right w:val="none" w:sz="0" w:space="0" w:color="auto"/>
            </w:tcBorders>
            <w:shd w:val="clear" w:color="auto" w:fill="448A99"/>
            <w:vAlign w:val="center"/>
          </w:tcPr>
          <w:p w:rsidR="003221E5" w:rsidRPr="00CB03D7" w:rsidRDefault="003221E5" w:rsidP="00C41816">
            <w:pPr>
              <w:jc w:val="center"/>
              <w:rPr>
                <w:sz w:val="20"/>
                <w:szCs w:val="20"/>
              </w:rPr>
            </w:pPr>
            <w:r w:rsidRPr="00CB03D7">
              <w:rPr>
                <w:sz w:val="20"/>
                <w:szCs w:val="20"/>
              </w:rPr>
              <w:t>Utility</w:t>
            </w:r>
          </w:p>
        </w:tc>
        <w:tc>
          <w:tcPr>
            <w:tcW w:w="3420" w:type="dxa"/>
            <w:tcBorders>
              <w:top w:val="none" w:sz="0" w:space="0" w:color="auto"/>
              <w:left w:val="none" w:sz="0" w:space="0" w:color="auto"/>
              <w:bottom w:val="none" w:sz="0" w:space="0" w:color="auto"/>
              <w:right w:val="none" w:sz="0" w:space="0" w:color="auto"/>
            </w:tcBorders>
            <w:shd w:val="clear" w:color="auto" w:fill="448A99"/>
            <w:vAlign w:val="center"/>
          </w:tcPr>
          <w:p w:rsidR="003221E5" w:rsidRPr="00CB03D7" w:rsidRDefault="003221E5"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CB03D7">
              <w:rPr>
                <w:sz w:val="20"/>
                <w:szCs w:val="20"/>
              </w:rPr>
              <w:t>% of Eligible Residential Customers Participating Based on Data Obtained Directly from Utility</w:t>
            </w:r>
          </w:p>
        </w:tc>
        <w:tc>
          <w:tcPr>
            <w:tcW w:w="2250" w:type="dxa"/>
            <w:tcBorders>
              <w:top w:val="none" w:sz="0" w:space="0" w:color="auto"/>
              <w:left w:val="none" w:sz="0" w:space="0" w:color="auto"/>
              <w:bottom w:val="none" w:sz="0" w:space="0" w:color="auto"/>
              <w:right w:val="none" w:sz="0" w:space="0" w:color="auto"/>
            </w:tcBorders>
            <w:shd w:val="clear" w:color="auto" w:fill="448A99"/>
            <w:vAlign w:val="center"/>
          </w:tcPr>
          <w:p w:rsidR="003221E5" w:rsidRPr="00CB03D7" w:rsidRDefault="003221E5"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CB03D7">
              <w:rPr>
                <w:sz w:val="20"/>
                <w:szCs w:val="20"/>
              </w:rPr>
              <w:t>Year</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942EA6" w:rsidP="00A83ABC">
            <w:pPr>
              <w:spacing w:after="60"/>
              <w:jc w:val="left"/>
              <w:rPr>
                <w:b w:val="0"/>
                <w:sz w:val="20"/>
                <w:szCs w:val="20"/>
              </w:rPr>
            </w:pPr>
            <w:r>
              <w:rPr>
                <w:b w:val="0"/>
                <w:sz w:val="20"/>
                <w:szCs w:val="20"/>
              </w:rPr>
              <w:t>SMECO</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60.2%</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2013</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 xml:space="preserve">Dakota Electric Association </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59.2%</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2013</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942EA6" w:rsidP="00A83ABC">
            <w:pPr>
              <w:spacing w:after="60"/>
              <w:jc w:val="left"/>
              <w:rPr>
                <w:b w:val="0"/>
                <w:sz w:val="20"/>
                <w:szCs w:val="20"/>
              </w:rPr>
            </w:pPr>
            <w:r>
              <w:rPr>
                <w:b w:val="0"/>
                <w:sz w:val="20"/>
                <w:szCs w:val="20"/>
              </w:rPr>
              <w:t>PEPCO</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53%</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2013</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SMECO</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50%</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2013</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942EA6" w:rsidP="00A83ABC">
            <w:pPr>
              <w:spacing w:after="60"/>
              <w:jc w:val="left"/>
              <w:rPr>
                <w:b w:val="0"/>
                <w:sz w:val="20"/>
                <w:szCs w:val="20"/>
              </w:rPr>
            </w:pPr>
            <w:r>
              <w:rPr>
                <w:b w:val="0"/>
                <w:sz w:val="20"/>
                <w:szCs w:val="20"/>
              </w:rPr>
              <w:t>BG&amp;E</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38%</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2013</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DPL</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37%</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2013</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942EA6" w:rsidP="00A83ABC">
            <w:pPr>
              <w:spacing w:after="60"/>
              <w:jc w:val="left"/>
              <w:rPr>
                <w:b w:val="0"/>
                <w:sz w:val="20"/>
                <w:szCs w:val="20"/>
              </w:rPr>
            </w:pPr>
            <w:r>
              <w:rPr>
                <w:b w:val="0"/>
                <w:sz w:val="20"/>
                <w:szCs w:val="20"/>
              </w:rPr>
              <w:t>BG&amp;E</w:t>
            </w:r>
            <w:r w:rsidR="003221E5" w:rsidRPr="00CB03D7">
              <w:rPr>
                <w:b w:val="0"/>
                <w:sz w:val="20"/>
                <w:szCs w:val="20"/>
              </w:rPr>
              <w:t xml:space="preserve"> </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36.5%</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2013</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942EA6" w:rsidP="00A83ABC">
            <w:pPr>
              <w:spacing w:after="60"/>
              <w:jc w:val="left"/>
              <w:rPr>
                <w:b w:val="0"/>
                <w:sz w:val="20"/>
                <w:szCs w:val="20"/>
              </w:rPr>
            </w:pPr>
            <w:r>
              <w:rPr>
                <w:b w:val="0"/>
                <w:sz w:val="20"/>
                <w:szCs w:val="20"/>
              </w:rPr>
              <w:t>NOVEC</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36.2%</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2013</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Public Service Company of New Mexico</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25.4%</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2013</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Sacramento Municipal Utility District</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25.4%</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2013</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Connexus Energy</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21.5%</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2013</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 xml:space="preserve">DTE Electric Co. </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19.3%</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2013</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PECO</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10.80%</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2012</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Dairyland Power Cooperative</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7.1%</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2013</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PPL</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6%</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2012</w:t>
            </w:r>
          </w:p>
        </w:tc>
      </w:tr>
      <w:tr w:rsidR="00F401BA"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F401BA" w:rsidRPr="00CB03D7" w:rsidRDefault="00F401BA" w:rsidP="00A83ABC">
            <w:pPr>
              <w:spacing w:after="60"/>
              <w:jc w:val="left"/>
              <w:rPr>
                <w:b w:val="0"/>
                <w:sz w:val="20"/>
                <w:szCs w:val="20"/>
              </w:rPr>
            </w:pPr>
            <w:r>
              <w:rPr>
                <w:b w:val="0"/>
                <w:sz w:val="20"/>
                <w:szCs w:val="20"/>
              </w:rPr>
              <w:t>FE: Met-Ed</w:t>
            </w:r>
          </w:p>
        </w:tc>
        <w:tc>
          <w:tcPr>
            <w:tcW w:w="3420" w:type="dxa"/>
            <w:tcBorders>
              <w:left w:val="none" w:sz="0" w:space="0" w:color="auto"/>
              <w:right w:val="none" w:sz="0" w:space="0" w:color="auto"/>
            </w:tcBorders>
          </w:tcPr>
          <w:p w:rsidR="00F401BA" w:rsidRPr="00CB03D7" w:rsidRDefault="00F401BA"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5.20%</w:t>
            </w:r>
          </w:p>
        </w:tc>
        <w:tc>
          <w:tcPr>
            <w:tcW w:w="2250" w:type="dxa"/>
            <w:tcBorders>
              <w:left w:val="none" w:sz="0" w:space="0" w:color="auto"/>
            </w:tcBorders>
          </w:tcPr>
          <w:p w:rsidR="00F401BA" w:rsidRPr="00CB03D7" w:rsidRDefault="00F401BA"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2012</w:t>
            </w:r>
          </w:p>
        </w:tc>
      </w:tr>
      <w:tr w:rsidR="00F401BA"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F401BA" w:rsidRPr="00CB03D7" w:rsidRDefault="00F401BA" w:rsidP="00A83ABC">
            <w:pPr>
              <w:spacing w:after="60"/>
              <w:jc w:val="left"/>
              <w:rPr>
                <w:b w:val="0"/>
                <w:sz w:val="20"/>
                <w:szCs w:val="20"/>
              </w:rPr>
            </w:pPr>
            <w:r w:rsidRPr="00CB03D7">
              <w:rPr>
                <w:b w:val="0"/>
                <w:sz w:val="20"/>
                <w:szCs w:val="20"/>
              </w:rPr>
              <w:t>Georgia Power</w:t>
            </w:r>
          </w:p>
        </w:tc>
        <w:tc>
          <w:tcPr>
            <w:tcW w:w="3420" w:type="dxa"/>
            <w:tcBorders>
              <w:left w:val="none" w:sz="0" w:space="0" w:color="auto"/>
              <w:right w:val="none" w:sz="0" w:space="0" w:color="auto"/>
            </w:tcBorders>
          </w:tcPr>
          <w:p w:rsidR="00F401BA" w:rsidRPr="00CB03D7" w:rsidRDefault="00F401BA"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4.2%</w:t>
            </w:r>
          </w:p>
        </w:tc>
        <w:tc>
          <w:tcPr>
            <w:tcW w:w="2250" w:type="dxa"/>
            <w:tcBorders>
              <w:left w:val="none" w:sz="0" w:space="0" w:color="auto"/>
            </w:tcBorders>
          </w:tcPr>
          <w:p w:rsidR="00F401BA" w:rsidRPr="00CB03D7" w:rsidRDefault="00F401BA"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2013</w:t>
            </w:r>
          </w:p>
        </w:tc>
      </w:tr>
      <w:tr w:rsidR="00F401BA"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F401BA" w:rsidRPr="00CB03D7" w:rsidRDefault="00F401BA" w:rsidP="00A83ABC">
            <w:pPr>
              <w:spacing w:after="60"/>
              <w:jc w:val="left"/>
              <w:rPr>
                <w:b w:val="0"/>
                <w:sz w:val="20"/>
                <w:szCs w:val="20"/>
              </w:rPr>
            </w:pPr>
            <w:r>
              <w:rPr>
                <w:b w:val="0"/>
                <w:sz w:val="20"/>
                <w:szCs w:val="20"/>
              </w:rPr>
              <w:t>FE: Penelec</w:t>
            </w:r>
          </w:p>
        </w:tc>
        <w:tc>
          <w:tcPr>
            <w:tcW w:w="3420" w:type="dxa"/>
            <w:tcBorders>
              <w:left w:val="none" w:sz="0" w:space="0" w:color="auto"/>
              <w:right w:val="none" w:sz="0" w:space="0" w:color="auto"/>
            </w:tcBorders>
          </w:tcPr>
          <w:p w:rsidR="00F401BA" w:rsidRPr="00CB03D7" w:rsidRDefault="00F401BA"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3.40%</w:t>
            </w:r>
          </w:p>
        </w:tc>
        <w:tc>
          <w:tcPr>
            <w:tcW w:w="2250" w:type="dxa"/>
            <w:tcBorders>
              <w:left w:val="none" w:sz="0" w:space="0" w:color="auto"/>
            </w:tcBorders>
          </w:tcPr>
          <w:p w:rsidR="00F401BA" w:rsidRPr="00CB03D7" w:rsidRDefault="00F401BA"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2012</w:t>
            </w:r>
          </w:p>
        </w:tc>
      </w:tr>
      <w:tr w:rsidR="00F401BA"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F401BA" w:rsidRPr="00CB03D7" w:rsidRDefault="00F401BA" w:rsidP="00A83ABC">
            <w:pPr>
              <w:spacing w:after="60"/>
              <w:jc w:val="left"/>
              <w:rPr>
                <w:b w:val="0"/>
                <w:sz w:val="20"/>
                <w:szCs w:val="20"/>
              </w:rPr>
            </w:pPr>
            <w:r>
              <w:rPr>
                <w:b w:val="0"/>
                <w:sz w:val="20"/>
                <w:szCs w:val="20"/>
              </w:rPr>
              <w:t xml:space="preserve">FE: </w:t>
            </w:r>
            <w:r w:rsidRPr="00CB03D7">
              <w:rPr>
                <w:b w:val="0"/>
                <w:sz w:val="20"/>
                <w:szCs w:val="20"/>
              </w:rPr>
              <w:t>Penn Power</w:t>
            </w:r>
          </w:p>
        </w:tc>
        <w:tc>
          <w:tcPr>
            <w:tcW w:w="3420" w:type="dxa"/>
            <w:tcBorders>
              <w:left w:val="none" w:sz="0" w:space="0" w:color="auto"/>
              <w:right w:val="none" w:sz="0" w:space="0" w:color="auto"/>
            </w:tcBorders>
          </w:tcPr>
          <w:p w:rsidR="00F401BA" w:rsidRPr="00CB03D7" w:rsidRDefault="00F401BA"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3.20%</w:t>
            </w:r>
          </w:p>
        </w:tc>
        <w:tc>
          <w:tcPr>
            <w:tcW w:w="2250" w:type="dxa"/>
            <w:tcBorders>
              <w:left w:val="none" w:sz="0" w:space="0" w:color="auto"/>
            </w:tcBorders>
          </w:tcPr>
          <w:p w:rsidR="00F401BA" w:rsidRPr="00CB03D7" w:rsidRDefault="00F401BA"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2012</w:t>
            </w:r>
          </w:p>
        </w:tc>
      </w:tr>
      <w:tr w:rsidR="003221E5" w:rsidRPr="00CB03D7" w:rsidTr="00EA2A6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b w:val="0"/>
                <w:sz w:val="20"/>
                <w:szCs w:val="20"/>
              </w:rPr>
            </w:pPr>
            <w:r w:rsidRPr="00CB03D7">
              <w:rPr>
                <w:b w:val="0"/>
                <w:sz w:val="20"/>
                <w:szCs w:val="20"/>
              </w:rPr>
              <w:t>Duquesne</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0.45%</w:t>
            </w:r>
          </w:p>
        </w:tc>
        <w:tc>
          <w:tcPr>
            <w:tcW w:w="2250" w:type="dxa"/>
            <w:tcBorders>
              <w:left w:val="none" w:sz="0" w:space="0" w:color="auto"/>
            </w:tcBorders>
          </w:tcPr>
          <w:p w:rsidR="003221E5" w:rsidRPr="00CB03D7" w:rsidRDefault="003221E5" w:rsidP="00A83ABC">
            <w:pPr>
              <w:spacing w:after="60"/>
              <w:jc w:val="center"/>
              <w:cnfStyle w:val="000000010000" w:firstRow="0" w:lastRow="0" w:firstColumn="0" w:lastColumn="0" w:oddVBand="0" w:evenVBand="0" w:oddHBand="0" w:evenHBand="1" w:firstRowFirstColumn="0" w:firstRowLastColumn="0" w:lastRowFirstColumn="0" w:lastRowLastColumn="0"/>
              <w:rPr>
                <w:sz w:val="20"/>
                <w:szCs w:val="20"/>
              </w:rPr>
            </w:pPr>
            <w:r w:rsidRPr="00CB03D7">
              <w:rPr>
                <w:sz w:val="20"/>
                <w:szCs w:val="20"/>
              </w:rPr>
              <w:t>2012</w:t>
            </w:r>
          </w:p>
        </w:tc>
      </w:tr>
      <w:tr w:rsidR="003221E5" w:rsidRPr="00CB03D7" w:rsidTr="00EA2A6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tcPr>
          <w:p w:rsidR="003221E5" w:rsidRPr="00CB03D7" w:rsidRDefault="003221E5" w:rsidP="00A83ABC">
            <w:pPr>
              <w:spacing w:after="60"/>
              <w:jc w:val="left"/>
              <w:rPr>
                <w:sz w:val="20"/>
                <w:szCs w:val="20"/>
              </w:rPr>
            </w:pPr>
            <w:r w:rsidRPr="00CB03D7">
              <w:rPr>
                <w:sz w:val="20"/>
                <w:szCs w:val="20"/>
              </w:rPr>
              <w:t>Average Participation Rate</w:t>
            </w:r>
          </w:p>
        </w:tc>
        <w:tc>
          <w:tcPr>
            <w:tcW w:w="3420" w:type="dxa"/>
            <w:tcBorders>
              <w:left w:val="none" w:sz="0" w:space="0" w:color="auto"/>
              <w:righ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CB03D7">
              <w:rPr>
                <w:sz w:val="20"/>
                <w:szCs w:val="20"/>
              </w:rPr>
              <w:t>25.1%</w:t>
            </w:r>
          </w:p>
        </w:tc>
        <w:tc>
          <w:tcPr>
            <w:tcW w:w="2250" w:type="dxa"/>
            <w:tcBorders>
              <w:left w:val="none" w:sz="0" w:space="0" w:color="auto"/>
            </w:tcBorders>
          </w:tcPr>
          <w:p w:rsidR="003221E5" w:rsidRPr="00CB03D7" w:rsidRDefault="003221E5" w:rsidP="00A83ABC">
            <w:pPr>
              <w:spacing w:after="60"/>
              <w:jc w:val="center"/>
              <w:cnfStyle w:val="000000100000" w:firstRow="0" w:lastRow="0" w:firstColumn="0" w:lastColumn="0" w:oddVBand="0" w:evenVBand="0" w:oddHBand="1" w:evenHBand="0" w:firstRowFirstColumn="0" w:firstRowLastColumn="0" w:lastRowFirstColumn="0" w:lastRowLastColumn="0"/>
              <w:rPr>
                <w:b/>
                <w:sz w:val="20"/>
                <w:szCs w:val="20"/>
              </w:rPr>
            </w:pPr>
          </w:p>
        </w:tc>
      </w:tr>
    </w:tbl>
    <w:p w:rsidR="00803DBE" w:rsidRDefault="00070270" w:rsidP="00A83ABC">
      <w:pPr>
        <w:spacing w:after="200"/>
        <w:jc w:val="left"/>
        <w:rPr>
          <w:b/>
          <w:bCs/>
          <w:sz w:val="18"/>
          <w:szCs w:val="18"/>
        </w:rPr>
      </w:pPr>
      <w:r>
        <w:fldChar w:fldCharType="begin"/>
      </w:r>
      <w:r>
        <w:instrText xml:space="preserve"> REF _Ref408327145 \h </w:instrText>
      </w:r>
      <w:r>
        <w:fldChar w:fldCharType="separate"/>
      </w:r>
    </w:p>
    <w:p w:rsidR="008778AB" w:rsidRPr="00C41816" w:rsidRDefault="00803DBE" w:rsidP="00C41816">
      <w:pPr>
        <w:spacing w:after="200"/>
        <w:jc w:val="left"/>
        <w:rPr>
          <w:b/>
          <w:bCs/>
          <w:sz w:val="18"/>
          <w:szCs w:val="18"/>
        </w:rPr>
      </w:pPr>
      <w:r>
        <w:t xml:space="preserve">Table </w:t>
      </w:r>
      <w:r>
        <w:rPr>
          <w:noProof/>
        </w:rPr>
        <w:t>4</w:t>
      </w:r>
      <w:r>
        <w:noBreakHyphen/>
      </w:r>
      <w:r>
        <w:rPr>
          <w:noProof/>
        </w:rPr>
        <w:t>2</w:t>
      </w:r>
      <w:r w:rsidR="00070270">
        <w:fldChar w:fldCharType="end"/>
      </w:r>
      <w:r w:rsidR="00070270">
        <w:t xml:space="preserve"> through </w:t>
      </w:r>
      <w:r w:rsidR="00F401BA">
        <w:fldChar w:fldCharType="begin"/>
      </w:r>
      <w:r w:rsidR="00F401BA">
        <w:instrText xml:space="preserve"> REF _Ref408581815 \h </w:instrText>
      </w:r>
      <w:r w:rsidR="00F401BA">
        <w:fldChar w:fldCharType="separate"/>
      </w:r>
      <w:r>
        <w:t xml:space="preserve">Table </w:t>
      </w:r>
      <w:r>
        <w:rPr>
          <w:noProof/>
        </w:rPr>
        <w:t>4</w:t>
      </w:r>
      <w:r>
        <w:noBreakHyphen/>
      </w:r>
      <w:r>
        <w:rPr>
          <w:noProof/>
        </w:rPr>
        <w:t>5</w:t>
      </w:r>
      <w:r w:rsidR="00F401BA">
        <w:fldChar w:fldCharType="end"/>
      </w:r>
      <w:r w:rsidR="00F401BA">
        <w:t xml:space="preserve"> </w:t>
      </w:r>
      <w:r w:rsidR="008778AB" w:rsidRPr="00070270">
        <w:t>provide information on the size of eligible market</w:t>
      </w:r>
      <w:r w:rsidR="00A96CD0">
        <w:t>s</w:t>
      </w:r>
      <w:r w:rsidR="008778AB" w:rsidRPr="00070270">
        <w:t xml:space="preserve"> for Phase III residential </w:t>
      </w:r>
      <w:r w:rsidR="005852D3">
        <w:t>DLC</w:t>
      </w:r>
      <w:r w:rsidR="008778AB" w:rsidRPr="00070270">
        <w:t xml:space="preserve"> programs by EDC. For load control of residential central A/C, the size of the eligible market in 2016 (the first year of Phase III) was determined by multi</w:t>
      </w:r>
      <w:r w:rsidR="002143D1">
        <w:t>plying the forecast of each EDC</w:t>
      </w:r>
      <w:r w:rsidR="008778AB" w:rsidRPr="00070270">
        <w:t>s number of 2016 residential customers by the saturation of the end</w:t>
      </w:r>
      <w:r w:rsidR="00B17135">
        <w:t xml:space="preserve"> </w:t>
      </w:r>
      <w:r w:rsidR="008778AB" w:rsidRPr="00070270">
        <w:t xml:space="preserve">use obtained from the 2014 SWE </w:t>
      </w:r>
      <w:r w:rsidR="00F46D54">
        <w:t>R</w:t>
      </w:r>
      <w:r w:rsidR="00F46D54" w:rsidRPr="00070270">
        <w:t xml:space="preserve">esidential </w:t>
      </w:r>
      <w:r w:rsidR="00F46D54">
        <w:t>B</w:t>
      </w:r>
      <w:r w:rsidR="00F46D54" w:rsidRPr="00070270">
        <w:t xml:space="preserve">aseline </w:t>
      </w:r>
      <w:r w:rsidR="00F46D54">
        <w:t>S</w:t>
      </w:r>
      <w:r w:rsidR="00F46D54" w:rsidRPr="00070270">
        <w:t>tudy</w:t>
      </w:r>
      <w:r w:rsidR="008778AB" w:rsidRPr="00070270">
        <w:t>. To obtain the number of potential program participants by the summer of 2017 for control of residential central A/C systems, the eligible market for each EDC was multiplied by 12.5%.</w:t>
      </w:r>
    </w:p>
    <w:p w:rsidR="00CB03D7" w:rsidRDefault="00CB03D7" w:rsidP="00A83ABC">
      <w:pPr>
        <w:pStyle w:val="Caption"/>
      </w:pPr>
      <w:bookmarkStart w:id="184" w:name="_Ref407360503"/>
    </w:p>
    <w:p w:rsidR="00A96CD0" w:rsidRDefault="00A96CD0" w:rsidP="00A83ABC">
      <w:pPr>
        <w:spacing w:after="200"/>
        <w:jc w:val="left"/>
        <w:rPr>
          <w:b/>
          <w:bCs/>
          <w:sz w:val="18"/>
          <w:szCs w:val="18"/>
        </w:rPr>
      </w:pPr>
      <w:bookmarkStart w:id="185" w:name="_Ref408327145"/>
    </w:p>
    <w:p w:rsidR="008778AB" w:rsidRDefault="008778AB" w:rsidP="00A83ABC">
      <w:pPr>
        <w:pStyle w:val="Caption"/>
      </w:pPr>
      <w:bookmarkStart w:id="186" w:name="_Toc412628470"/>
      <w:r>
        <w:lastRenderedPageBreak/>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2</w:t>
      </w:r>
      <w:r w:rsidR="00E2011B">
        <w:rPr>
          <w:noProof/>
        </w:rPr>
        <w:fldChar w:fldCharType="end"/>
      </w:r>
      <w:bookmarkEnd w:id="184"/>
      <w:bookmarkEnd w:id="185"/>
      <w:r>
        <w:t xml:space="preserve">: Eligible Markets for Phase III Residential </w:t>
      </w:r>
      <w:r w:rsidR="00037A03">
        <w:t>DR</w:t>
      </w:r>
      <w:r>
        <w:t xml:space="preserve"> Programs for EDCs – Central A/C</w:t>
      </w:r>
      <w:bookmarkEnd w:id="186"/>
    </w:p>
    <w:tbl>
      <w:tblPr>
        <w:tblStyle w:val="MediumShading1-Accent51"/>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24"/>
        <w:gridCol w:w="1175"/>
        <w:gridCol w:w="1353"/>
        <w:gridCol w:w="1353"/>
        <w:gridCol w:w="1353"/>
        <w:gridCol w:w="1353"/>
        <w:gridCol w:w="1353"/>
      </w:tblGrid>
      <w:tr w:rsidR="000F517F" w:rsidRPr="00675F85" w:rsidTr="00C41816">
        <w:trPr>
          <w:cnfStyle w:val="100000000000" w:firstRow="1" w:lastRow="0" w:firstColumn="0" w:lastColumn="0" w:oddVBand="0" w:evenVBand="0" w:oddHBand="0" w:evenHBand="0"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1424" w:type="dxa"/>
            <w:tcBorders>
              <w:top w:val="none" w:sz="0" w:space="0" w:color="auto"/>
              <w:left w:val="none" w:sz="0" w:space="0" w:color="auto"/>
              <w:bottom w:val="none" w:sz="0" w:space="0" w:color="auto"/>
              <w:right w:val="none" w:sz="0" w:space="0" w:color="auto"/>
            </w:tcBorders>
            <w:shd w:val="clear" w:color="auto" w:fill="448A99"/>
            <w:vAlign w:val="center"/>
          </w:tcPr>
          <w:p w:rsidR="00CC505F" w:rsidRPr="00675F85" w:rsidRDefault="00CC505F" w:rsidP="00C41816">
            <w:pPr>
              <w:jc w:val="center"/>
              <w:rPr>
                <w:sz w:val="20"/>
                <w:szCs w:val="20"/>
              </w:rPr>
            </w:pPr>
            <w:r w:rsidRPr="00675F85">
              <w:rPr>
                <w:sz w:val="20"/>
                <w:szCs w:val="20"/>
              </w:rPr>
              <w:t>Name of EDC</w:t>
            </w:r>
          </w:p>
        </w:tc>
        <w:tc>
          <w:tcPr>
            <w:tcW w:w="1175" w:type="dxa"/>
            <w:tcBorders>
              <w:top w:val="none" w:sz="0" w:space="0" w:color="auto"/>
              <w:left w:val="none" w:sz="0" w:space="0" w:color="auto"/>
              <w:bottom w:val="none" w:sz="0" w:space="0" w:color="auto"/>
              <w:right w:val="none" w:sz="0" w:space="0" w:color="auto"/>
            </w:tcBorders>
            <w:shd w:val="clear" w:color="auto" w:fill="448A99"/>
            <w:vAlign w:val="center"/>
          </w:tcPr>
          <w:p w:rsidR="00CC505F" w:rsidRPr="00675F85" w:rsidRDefault="00CC505F"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675F85">
              <w:rPr>
                <w:sz w:val="20"/>
                <w:szCs w:val="20"/>
              </w:rPr>
              <w:t>Projected Total No. of EDC Residential Customers in 2016</w:t>
            </w:r>
          </w:p>
        </w:tc>
        <w:tc>
          <w:tcPr>
            <w:tcW w:w="1353" w:type="dxa"/>
            <w:tcBorders>
              <w:top w:val="none" w:sz="0" w:space="0" w:color="auto"/>
              <w:left w:val="none" w:sz="0" w:space="0" w:color="auto"/>
              <w:bottom w:val="none" w:sz="0" w:space="0" w:color="auto"/>
              <w:right w:val="none" w:sz="0" w:space="0" w:color="auto"/>
            </w:tcBorders>
            <w:shd w:val="clear" w:color="auto" w:fill="448A99"/>
            <w:vAlign w:val="center"/>
          </w:tcPr>
          <w:p w:rsidR="00CC505F" w:rsidRPr="00675F85" w:rsidRDefault="00CC505F"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675F85">
              <w:rPr>
                <w:sz w:val="20"/>
                <w:szCs w:val="20"/>
              </w:rPr>
              <w:t xml:space="preserve">Percent of Residential Customers with Central </w:t>
            </w:r>
            <w:r w:rsidR="00622FC2">
              <w:rPr>
                <w:sz w:val="20"/>
                <w:szCs w:val="20"/>
              </w:rPr>
              <w:t>A/C</w:t>
            </w:r>
            <w:r w:rsidRPr="00675F85">
              <w:rPr>
                <w:sz w:val="20"/>
                <w:szCs w:val="20"/>
              </w:rPr>
              <w:t xml:space="preserve"> Systems from 2014 Baseline Study (%)</w:t>
            </w:r>
          </w:p>
        </w:tc>
        <w:tc>
          <w:tcPr>
            <w:tcW w:w="1353" w:type="dxa"/>
            <w:tcBorders>
              <w:top w:val="none" w:sz="0" w:space="0" w:color="auto"/>
              <w:left w:val="none" w:sz="0" w:space="0" w:color="auto"/>
              <w:bottom w:val="none" w:sz="0" w:space="0" w:color="auto"/>
              <w:right w:val="none" w:sz="0" w:space="0" w:color="auto"/>
            </w:tcBorders>
            <w:shd w:val="clear" w:color="auto" w:fill="448A99"/>
            <w:vAlign w:val="center"/>
          </w:tcPr>
          <w:p w:rsidR="00CC505F" w:rsidRPr="00675F85" w:rsidRDefault="00CC505F"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675F85">
              <w:rPr>
                <w:sz w:val="20"/>
                <w:szCs w:val="20"/>
              </w:rPr>
              <w:t>Eligible Market for Participation in Load Control Program for Residential Central A/C (No. of Residential Customers)</w:t>
            </w:r>
          </w:p>
        </w:tc>
        <w:tc>
          <w:tcPr>
            <w:tcW w:w="1353" w:type="dxa"/>
            <w:tcBorders>
              <w:top w:val="none" w:sz="0" w:space="0" w:color="auto"/>
              <w:left w:val="none" w:sz="0" w:space="0" w:color="auto"/>
              <w:bottom w:val="none" w:sz="0" w:space="0" w:color="auto"/>
              <w:right w:val="none" w:sz="0" w:space="0" w:color="auto"/>
            </w:tcBorders>
            <w:shd w:val="clear" w:color="auto" w:fill="448A99"/>
            <w:vAlign w:val="center"/>
          </w:tcPr>
          <w:p w:rsidR="00CC505F" w:rsidRPr="00675F85" w:rsidRDefault="00CC505F"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675F85">
              <w:rPr>
                <w:sz w:val="20"/>
                <w:szCs w:val="20"/>
              </w:rPr>
              <w:t>Actual Program Participation Rate Achieved During Phase I of Act 129</w:t>
            </w:r>
            <w:r w:rsidR="000F517F" w:rsidRPr="00675F85">
              <w:rPr>
                <w:sz w:val="20"/>
                <w:szCs w:val="20"/>
              </w:rPr>
              <w:t xml:space="preserve"> for Res</w:t>
            </w:r>
            <w:r w:rsidR="00A96CD0">
              <w:rPr>
                <w:sz w:val="20"/>
                <w:szCs w:val="20"/>
              </w:rPr>
              <w:t>idential</w:t>
            </w:r>
            <w:r w:rsidR="000F517F" w:rsidRPr="00675F85">
              <w:rPr>
                <w:sz w:val="20"/>
                <w:szCs w:val="20"/>
              </w:rPr>
              <w:t>, Central A/C Control</w:t>
            </w:r>
            <w:r w:rsidRPr="00675F85">
              <w:rPr>
                <w:sz w:val="20"/>
                <w:szCs w:val="20"/>
              </w:rPr>
              <w:t xml:space="preserve"> (%)</w:t>
            </w:r>
          </w:p>
        </w:tc>
        <w:tc>
          <w:tcPr>
            <w:tcW w:w="1353" w:type="dxa"/>
            <w:tcBorders>
              <w:top w:val="none" w:sz="0" w:space="0" w:color="auto"/>
              <w:left w:val="none" w:sz="0" w:space="0" w:color="auto"/>
              <w:bottom w:val="none" w:sz="0" w:space="0" w:color="auto"/>
              <w:right w:val="none" w:sz="0" w:space="0" w:color="auto"/>
            </w:tcBorders>
            <w:shd w:val="clear" w:color="auto" w:fill="448A99"/>
            <w:vAlign w:val="center"/>
          </w:tcPr>
          <w:p w:rsidR="00CC505F" w:rsidRPr="00675F85" w:rsidRDefault="00CC505F"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675F85">
              <w:rPr>
                <w:sz w:val="20"/>
                <w:szCs w:val="20"/>
              </w:rPr>
              <w:t>Forecast Program Participation Rate for Phase III</w:t>
            </w:r>
          </w:p>
        </w:tc>
        <w:tc>
          <w:tcPr>
            <w:tcW w:w="1353" w:type="dxa"/>
            <w:tcBorders>
              <w:top w:val="none" w:sz="0" w:space="0" w:color="auto"/>
              <w:left w:val="none" w:sz="0" w:space="0" w:color="auto"/>
              <w:bottom w:val="none" w:sz="0" w:space="0" w:color="auto"/>
              <w:right w:val="none" w:sz="0" w:space="0" w:color="auto"/>
            </w:tcBorders>
            <w:shd w:val="clear" w:color="auto" w:fill="448A99"/>
            <w:vAlign w:val="center"/>
          </w:tcPr>
          <w:p w:rsidR="00CC505F" w:rsidRPr="00675F85" w:rsidRDefault="00CC505F" w:rsidP="00C41816">
            <w:pPr>
              <w:jc w:val="center"/>
              <w:cnfStyle w:val="100000000000" w:firstRow="1" w:lastRow="0" w:firstColumn="0" w:lastColumn="0" w:oddVBand="0" w:evenVBand="0" w:oddHBand="0" w:evenHBand="0" w:firstRowFirstColumn="0" w:firstRowLastColumn="0" w:lastRowFirstColumn="0" w:lastRowLastColumn="0"/>
              <w:rPr>
                <w:sz w:val="20"/>
                <w:szCs w:val="20"/>
              </w:rPr>
            </w:pPr>
            <w:r w:rsidRPr="00675F85">
              <w:rPr>
                <w:sz w:val="20"/>
                <w:szCs w:val="20"/>
              </w:rPr>
              <w:t>Total Number of Program Participants Forecast for a Phase III Residential Central A/C Control Program</w:t>
            </w:r>
          </w:p>
        </w:tc>
      </w:tr>
      <w:tr w:rsidR="00F401BA" w:rsidRPr="00675F8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F401BA" w:rsidRPr="00CC505F" w:rsidRDefault="00F401BA" w:rsidP="00A83ABC">
            <w:pPr>
              <w:jc w:val="left"/>
              <w:rPr>
                <w:b w:val="0"/>
                <w:sz w:val="20"/>
                <w:szCs w:val="20"/>
              </w:rPr>
            </w:pPr>
            <w:r w:rsidRPr="00CC505F">
              <w:rPr>
                <w:b w:val="0"/>
                <w:sz w:val="20"/>
                <w:szCs w:val="20"/>
              </w:rPr>
              <w:t>Duquesne</w:t>
            </w:r>
          </w:p>
        </w:tc>
        <w:tc>
          <w:tcPr>
            <w:tcW w:w="1175"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528,973</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77%</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407,309</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0.45%</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353" w:type="dxa"/>
            <w:tcBorders>
              <w:lef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50,914</w:t>
            </w:r>
          </w:p>
        </w:tc>
      </w:tr>
      <w:tr w:rsidR="00F401BA" w:rsidRPr="00675F8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F401BA" w:rsidRPr="00CC505F" w:rsidRDefault="00F401BA" w:rsidP="00A83ABC">
            <w:pPr>
              <w:jc w:val="left"/>
              <w:rPr>
                <w:b w:val="0"/>
                <w:sz w:val="20"/>
                <w:szCs w:val="20"/>
              </w:rPr>
            </w:pPr>
            <w:r>
              <w:rPr>
                <w:b w:val="0"/>
                <w:sz w:val="20"/>
                <w:szCs w:val="20"/>
              </w:rPr>
              <w:t xml:space="preserve">FE: </w:t>
            </w:r>
            <w:r w:rsidRPr="00CC505F">
              <w:rPr>
                <w:b w:val="0"/>
                <w:sz w:val="20"/>
                <w:szCs w:val="20"/>
              </w:rPr>
              <w:t>Met Ed</w:t>
            </w:r>
          </w:p>
        </w:tc>
        <w:tc>
          <w:tcPr>
            <w:tcW w:w="1175"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492,237</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61%</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300,265</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5.3%</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353" w:type="dxa"/>
            <w:tcBorders>
              <w:lef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37,533</w:t>
            </w:r>
          </w:p>
        </w:tc>
      </w:tr>
      <w:tr w:rsidR="00F401BA" w:rsidRPr="00675F8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F401BA" w:rsidRPr="00CC505F" w:rsidRDefault="00F401BA" w:rsidP="00A83ABC">
            <w:pPr>
              <w:jc w:val="left"/>
              <w:rPr>
                <w:b w:val="0"/>
                <w:sz w:val="20"/>
                <w:szCs w:val="20"/>
              </w:rPr>
            </w:pPr>
            <w:r>
              <w:rPr>
                <w:b w:val="0"/>
                <w:sz w:val="20"/>
                <w:szCs w:val="20"/>
              </w:rPr>
              <w:t xml:space="preserve">FE: </w:t>
            </w:r>
            <w:r w:rsidRPr="00CC505F">
              <w:rPr>
                <w:b w:val="0"/>
                <w:sz w:val="20"/>
                <w:szCs w:val="20"/>
              </w:rPr>
              <w:t>Pen</w:t>
            </w:r>
            <w:r>
              <w:rPr>
                <w:b w:val="0"/>
                <w:sz w:val="20"/>
                <w:szCs w:val="20"/>
              </w:rPr>
              <w:t>e</w:t>
            </w:r>
            <w:r w:rsidRPr="00CC505F">
              <w:rPr>
                <w:b w:val="0"/>
                <w:sz w:val="20"/>
                <w:szCs w:val="20"/>
              </w:rPr>
              <w:t>lec</w:t>
            </w:r>
          </w:p>
        </w:tc>
        <w:tc>
          <w:tcPr>
            <w:tcW w:w="1175"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505,353</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38%</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192,034</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6.5%</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353" w:type="dxa"/>
            <w:tcBorders>
              <w:lef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24,004</w:t>
            </w:r>
          </w:p>
        </w:tc>
      </w:tr>
      <w:tr w:rsidR="00F401BA" w:rsidRPr="00675F8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F401BA" w:rsidRPr="00CC505F" w:rsidRDefault="00F401BA" w:rsidP="00A83ABC">
            <w:pPr>
              <w:jc w:val="left"/>
              <w:rPr>
                <w:b w:val="0"/>
                <w:sz w:val="20"/>
                <w:szCs w:val="20"/>
              </w:rPr>
            </w:pPr>
            <w:r>
              <w:rPr>
                <w:b w:val="0"/>
                <w:sz w:val="20"/>
                <w:szCs w:val="20"/>
              </w:rPr>
              <w:t xml:space="preserve">FE: </w:t>
            </w:r>
            <w:r w:rsidRPr="00CC505F">
              <w:rPr>
                <w:b w:val="0"/>
                <w:sz w:val="20"/>
                <w:szCs w:val="20"/>
              </w:rPr>
              <w:t>Penn</w:t>
            </w:r>
            <w:r>
              <w:rPr>
                <w:b w:val="0"/>
                <w:sz w:val="20"/>
                <w:szCs w:val="20"/>
              </w:rPr>
              <w:t xml:space="preserve"> </w:t>
            </w:r>
            <w:r w:rsidRPr="00CC505F">
              <w:rPr>
                <w:b w:val="0"/>
                <w:sz w:val="20"/>
                <w:szCs w:val="20"/>
              </w:rPr>
              <w:t>Power</w:t>
            </w:r>
          </w:p>
        </w:tc>
        <w:tc>
          <w:tcPr>
            <w:tcW w:w="1175"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141,736</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74%</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104,885</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2.9%</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353" w:type="dxa"/>
            <w:tcBorders>
              <w:left w:val="none" w:sz="0" w:space="0" w:color="auto"/>
            </w:tcBorders>
            <w:vAlign w:val="bottom"/>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13,111</w:t>
            </w:r>
          </w:p>
        </w:tc>
      </w:tr>
      <w:tr w:rsidR="00F401BA" w:rsidRPr="00675F8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F401BA" w:rsidRPr="00CC505F" w:rsidRDefault="00F401BA" w:rsidP="00A83ABC">
            <w:pPr>
              <w:jc w:val="left"/>
              <w:rPr>
                <w:b w:val="0"/>
                <w:sz w:val="20"/>
                <w:szCs w:val="20"/>
              </w:rPr>
            </w:pPr>
            <w:r>
              <w:rPr>
                <w:b w:val="0"/>
                <w:sz w:val="20"/>
                <w:szCs w:val="20"/>
              </w:rPr>
              <w:t xml:space="preserve">FE: </w:t>
            </w:r>
            <w:r w:rsidRPr="00CC505F">
              <w:rPr>
                <w:b w:val="0"/>
                <w:sz w:val="20"/>
                <w:szCs w:val="20"/>
              </w:rPr>
              <w:t>West Penn</w:t>
            </w:r>
            <w:r>
              <w:rPr>
                <w:b w:val="0"/>
                <w:sz w:val="20"/>
                <w:szCs w:val="20"/>
              </w:rPr>
              <w:t xml:space="preserve"> </w:t>
            </w:r>
          </w:p>
        </w:tc>
        <w:tc>
          <w:tcPr>
            <w:tcW w:w="1175"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624,521</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73%</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455,900</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0.0%</w:t>
            </w:r>
          </w:p>
        </w:tc>
        <w:tc>
          <w:tcPr>
            <w:tcW w:w="1353" w:type="dxa"/>
            <w:tcBorders>
              <w:left w:val="none" w:sz="0" w:space="0" w:color="auto"/>
              <w:righ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353" w:type="dxa"/>
            <w:tcBorders>
              <w:left w:val="none" w:sz="0" w:space="0" w:color="auto"/>
            </w:tcBorders>
            <w:vAlign w:val="bottom"/>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56,988</w:t>
            </w:r>
          </w:p>
        </w:tc>
      </w:tr>
      <w:tr w:rsidR="00DE6BED" w:rsidRPr="00F401BA"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DE6BED" w:rsidRPr="00CC505F" w:rsidRDefault="00DE6BED" w:rsidP="00A83ABC">
            <w:pPr>
              <w:jc w:val="left"/>
              <w:rPr>
                <w:b w:val="0"/>
                <w:sz w:val="20"/>
                <w:szCs w:val="20"/>
              </w:rPr>
            </w:pPr>
            <w:r w:rsidRPr="00CC505F">
              <w:rPr>
                <w:b w:val="0"/>
                <w:sz w:val="20"/>
                <w:szCs w:val="20"/>
              </w:rPr>
              <w:t>PECO</w:t>
            </w:r>
          </w:p>
        </w:tc>
        <w:tc>
          <w:tcPr>
            <w:tcW w:w="1175" w:type="dxa"/>
            <w:tcBorders>
              <w:left w:val="none" w:sz="0" w:space="0" w:color="auto"/>
              <w:right w:val="none" w:sz="0" w:space="0" w:color="auto"/>
            </w:tcBorders>
            <w:vAlign w:val="bottom"/>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1,438,250</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74%</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1,064,305</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11.4%</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353" w:type="dxa"/>
            <w:tcBorders>
              <w:left w:val="none" w:sz="0" w:space="0" w:color="auto"/>
            </w:tcBorders>
            <w:vAlign w:val="bottom"/>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133,038</w:t>
            </w:r>
          </w:p>
        </w:tc>
      </w:tr>
      <w:tr w:rsidR="00DE6BED" w:rsidRPr="00F401BA"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DE6BED" w:rsidRPr="00CC505F" w:rsidRDefault="00DE6BED" w:rsidP="00A83ABC">
            <w:pPr>
              <w:jc w:val="left"/>
              <w:rPr>
                <w:b w:val="0"/>
                <w:sz w:val="20"/>
                <w:szCs w:val="20"/>
              </w:rPr>
            </w:pPr>
            <w:r w:rsidRPr="00CC505F">
              <w:rPr>
                <w:b w:val="0"/>
                <w:sz w:val="20"/>
                <w:szCs w:val="20"/>
              </w:rPr>
              <w:t>PPL</w:t>
            </w:r>
          </w:p>
        </w:tc>
        <w:tc>
          <w:tcPr>
            <w:tcW w:w="1175" w:type="dxa"/>
            <w:tcBorders>
              <w:left w:val="none" w:sz="0" w:space="0" w:color="auto"/>
              <w:right w:val="none" w:sz="0" w:space="0" w:color="auto"/>
            </w:tcBorders>
            <w:vAlign w:val="bottom"/>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1,256,031</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50%</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628,016</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7.0%</w:t>
            </w:r>
          </w:p>
        </w:tc>
        <w:tc>
          <w:tcPr>
            <w:tcW w:w="1353" w:type="dxa"/>
            <w:tcBorders>
              <w:left w:val="none" w:sz="0" w:space="0" w:color="auto"/>
              <w:right w:val="none" w:sz="0" w:space="0" w:color="auto"/>
            </w:tcBorders>
            <w:vAlign w:val="bottom"/>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353" w:type="dxa"/>
            <w:tcBorders>
              <w:left w:val="none" w:sz="0" w:space="0" w:color="auto"/>
            </w:tcBorders>
            <w:vAlign w:val="bottom"/>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78,502</w:t>
            </w:r>
          </w:p>
        </w:tc>
      </w:tr>
      <w:tr w:rsidR="00CC505F" w:rsidRPr="00F401BA"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24" w:type="dxa"/>
            <w:tcBorders>
              <w:right w:val="none" w:sz="0" w:space="0" w:color="auto"/>
            </w:tcBorders>
          </w:tcPr>
          <w:p w:rsidR="00CC505F" w:rsidRPr="00F401BA" w:rsidRDefault="00554444" w:rsidP="00A83ABC">
            <w:pPr>
              <w:rPr>
                <w:sz w:val="20"/>
                <w:szCs w:val="20"/>
              </w:rPr>
            </w:pPr>
            <w:r>
              <w:rPr>
                <w:sz w:val="20"/>
                <w:szCs w:val="20"/>
              </w:rPr>
              <w:t>Total</w:t>
            </w:r>
          </w:p>
        </w:tc>
        <w:tc>
          <w:tcPr>
            <w:tcW w:w="1175" w:type="dxa"/>
            <w:tcBorders>
              <w:left w:val="none" w:sz="0" w:space="0" w:color="auto"/>
              <w:right w:val="none" w:sz="0" w:space="0" w:color="auto"/>
            </w:tcBorders>
          </w:tcPr>
          <w:p w:rsidR="00CC505F" w:rsidRPr="00F401BA" w:rsidRDefault="00CC505F"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401BA">
              <w:rPr>
                <w:rFonts w:ascii="Calibri" w:hAnsi="Calibri"/>
                <w:b/>
                <w:color w:val="000000"/>
                <w:sz w:val="20"/>
                <w:szCs w:val="20"/>
              </w:rPr>
              <w:t>4,987,101</w:t>
            </w:r>
          </w:p>
        </w:tc>
        <w:tc>
          <w:tcPr>
            <w:tcW w:w="1353" w:type="dxa"/>
            <w:tcBorders>
              <w:left w:val="none" w:sz="0" w:space="0" w:color="auto"/>
              <w:right w:val="none" w:sz="0" w:space="0" w:color="auto"/>
            </w:tcBorders>
          </w:tcPr>
          <w:p w:rsidR="00CC505F" w:rsidRPr="00F401BA" w:rsidRDefault="000257B0"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401BA">
              <w:rPr>
                <w:rFonts w:ascii="Calibri" w:hAnsi="Calibri"/>
                <w:b/>
                <w:color w:val="000000"/>
                <w:sz w:val="20"/>
                <w:szCs w:val="20"/>
              </w:rPr>
              <w:t>63%</w:t>
            </w:r>
          </w:p>
        </w:tc>
        <w:tc>
          <w:tcPr>
            <w:tcW w:w="1353" w:type="dxa"/>
            <w:tcBorders>
              <w:left w:val="none" w:sz="0" w:space="0" w:color="auto"/>
              <w:right w:val="none" w:sz="0" w:space="0" w:color="auto"/>
            </w:tcBorders>
          </w:tcPr>
          <w:p w:rsidR="00CC505F" w:rsidRPr="00F401BA" w:rsidRDefault="00CE1920"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401BA">
              <w:rPr>
                <w:rFonts w:ascii="Calibri" w:hAnsi="Calibri"/>
                <w:b/>
                <w:color w:val="000000"/>
                <w:sz w:val="20"/>
                <w:szCs w:val="20"/>
              </w:rPr>
              <w:t>3,152,713</w:t>
            </w:r>
          </w:p>
        </w:tc>
        <w:tc>
          <w:tcPr>
            <w:tcW w:w="1353" w:type="dxa"/>
            <w:tcBorders>
              <w:left w:val="none" w:sz="0" w:space="0" w:color="auto"/>
              <w:right w:val="none" w:sz="0" w:space="0" w:color="auto"/>
            </w:tcBorders>
          </w:tcPr>
          <w:p w:rsidR="00CC505F" w:rsidRPr="00F401BA" w:rsidRDefault="00CE1920"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401BA">
              <w:rPr>
                <w:rFonts w:ascii="Calibri" w:hAnsi="Calibri"/>
                <w:b/>
                <w:color w:val="000000"/>
                <w:sz w:val="20"/>
                <w:szCs w:val="20"/>
              </w:rPr>
              <w:t>5.45%</w:t>
            </w:r>
          </w:p>
        </w:tc>
        <w:tc>
          <w:tcPr>
            <w:tcW w:w="1353" w:type="dxa"/>
            <w:tcBorders>
              <w:left w:val="none" w:sz="0" w:space="0" w:color="auto"/>
              <w:right w:val="none" w:sz="0" w:space="0" w:color="auto"/>
            </w:tcBorders>
          </w:tcPr>
          <w:p w:rsidR="00CC505F" w:rsidRPr="00F401BA" w:rsidRDefault="00CE1920"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401BA">
              <w:rPr>
                <w:rFonts w:ascii="Calibri" w:hAnsi="Calibri"/>
                <w:b/>
                <w:color w:val="000000"/>
                <w:sz w:val="20"/>
                <w:szCs w:val="20"/>
              </w:rPr>
              <w:t>12.50%</w:t>
            </w:r>
          </w:p>
        </w:tc>
        <w:tc>
          <w:tcPr>
            <w:tcW w:w="1353" w:type="dxa"/>
            <w:tcBorders>
              <w:left w:val="none" w:sz="0" w:space="0" w:color="auto"/>
            </w:tcBorders>
          </w:tcPr>
          <w:p w:rsidR="00CC505F" w:rsidRPr="00F401BA" w:rsidRDefault="00CE1920"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F401BA">
              <w:rPr>
                <w:rFonts w:ascii="Calibri" w:hAnsi="Calibri"/>
                <w:b/>
                <w:color w:val="000000"/>
                <w:sz w:val="20"/>
                <w:szCs w:val="20"/>
              </w:rPr>
              <w:t>394,089</w:t>
            </w:r>
          </w:p>
        </w:tc>
      </w:tr>
    </w:tbl>
    <w:p w:rsidR="00CB03D7" w:rsidRPr="00CB03D7" w:rsidRDefault="00CB03D7" w:rsidP="00A83ABC"/>
    <w:p w:rsidR="00F401BA" w:rsidRDefault="00F401BA" w:rsidP="00A83ABC">
      <w:r>
        <w:t>For the other end</w:t>
      </w:r>
      <w:r w:rsidR="00622FC2">
        <w:t xml:space="preserve"> </w:t>
      </w:r>
      <w:r>
        <w:t>uses, the SWE Team assumed that load control switches would only be installed for those homes where the central A/C system was also controlled. This assumption was made because control of the central A/C unit provides the most peak load reduction and is the most cost</w:t>
      </w:r>
      <w:r w:rsidR="00CE0565">
        <w:t>-</w:t>
      </w:r>
      <w:r>
        <w:t>effective end</w:t>
      </w:r>
      <w:r w:rsidR="00622FC2">
        <w:t xml:space="preserve"> </w:t>
      </w:r>
      <w:r>
        <w:t>use to control. The SWE Team determined that load control of residential end</w:t>
      </w:r>
      <w:r w:rsidR="00622FC2">
        <w:t xml:space="preserve"> </w:t>
      </w:r>
      <w:r>
        <w:t xml:space="preserve">uses other than central A/C units was clearly not </w:t>
      </w:r>
      <w:r w:rsidR="00CE0565">
        <w:t>cost-effective</w:t>
      </w:r>
      <w:r>
        <w:t xml:space="preserve">. The size of the eligible market for control of electric water heaters, room </w:t>
      </w:r>
      <w:r w:rsidR="00AD2C38">
        <w:t>A/C’s</w:t>
      </w:r>
      <w:r w:rsidR="00A96CD0">
        <w:t>,</w:t>
      </w:r>
      <w:r>
        <w:t xml:space="preserve"> and swimming pool pumps was det</w:t>
      </w:r>
      <w:r w:rsidR="002143D1">
        <w:t>ermined by multiplying each EDC</w:t>
      </w:r>
      <w:r>
        <w:t xml:space="preserve">s 2016 number of residential customers by the saturation of central </w:t>
      </w:r>
      <w:r w:rsidR="00622FC2">
        <w:t>A/C</w:t>
      </w:r>
      <w:r>
        <w:t xml:space="preserve"> and then multiplied by the percentage of that market (the number of customers with central A/C units) that had the end</w:t>
      </w:r>
      <w:r w:rsidR="00622FC2">
        <w:t xml:space="preserve"> </w:t>
      </w:r>
      <w:r>
        <w:t>use to be controlled.</w:t>
      </w:r>
    </w:p>
    <w:p w:rsidR="00FA6972" w:rsidRDefault="00FA6972" w:rsidP="00A83ABC"/>
    <w:p w:rsidR="00554444" w:rsidRDefault="00554444"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250D48" w:rsidRDefault="00250D48" w:rsidP="00A83ABC">
      <w:pPr>
        <w:spacing w:after="200"/>
        <w:jc w:val="left"/>
        <w:rPr>
          <w:b/>
          <w:bCs/>
          <w:sz w:val="18"/>
          <w:szCs w:val="18"/>
        </w:rPr>
      </w:pPr>
    </w:p>
    <w:p w:rsidR="00EF2CEE" w:rsidRDefault="00EF2CEE" w:rsidP="00A83ABC">
      <w:pPr>
        <w:pStyle w:val="Caption"/>
      </w:pPr>
      <w:bookmarkStart w:id="187" w:name="_Toc412628471"/>
      <w:r>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3</w:t>
      </w:r>
      <w:r w:rsidR="00E2011B">
        <w:rPr>
          <w:noProof/>
        </w:rPr>
        <w:fldChar w:fldCharType="end"/>
      </w:r>
      <w:r>
        <w:t xml:space="preserve">: Eligible Markets for Phase III Residential </w:t>
      </w:r>
      <w:r w:rsidR="00037A03">
        <w:t>DR</w:t>
      </w:r>
      <w:r>
        <w:t xml:space="preserve"> </w:t>
      </w:r>
      <w:r w:rsidR="00A96CD0">
        <w:t xml:space="preserve">Demand Response </w:t>
      </w:r>
      <w:r>
        <w:t>Programs for EDCs – Electric Water Heaters</w:t>
      </w:r>
      <w:bookmarkEnd w:id="187"/>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170"/>
        <w:gridCol w:w="1080"/>
        <w:gridCol w:w="1260"/>
        <w:gridCol w:w="1398"/>
        <w:gridCol w:w="1157"/>
        <w:gridCol w:w="1157"/>
        <w:gridCol w:w="1157"/>
        <w:gridCol w:w="1089"/>
      </w:tblGrid>
      <w:tr w:rsidR="000F517F" w:rsidRPr="00675F85" w:rsidTr="00C41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rPr>
                <w:sz w:val="18"/>
                <w:szCs w:val="20"/>
              </w:rPr>
            </w:pPr>
            <w:r w:rsidRPr="00675F85">
              <w:rPr>
                <w:sz w:val="18"/>
                <w:szCs w:val="20"/>
              </w:rPr>
              <w:t>Name of EDC</w:t>
            </w:r>
          </w:p>
        </w:tc>
        <w:tc>
          <w:tcPr>
            <w:tcW w:w="1080"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5F85">
              <w:rPr>
                <w:sz w:val="18"/>
                <w:szCs w:val="20"/>
              </w:rPr>
              <w:t>Projected Total No. of EDC Residential Customers in 2016</w:t>
            </w:r>
          </w:p>
        </w:tc>
        <w:tc>
          <w:tcPr>
            <w:tcW w:w="1260"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5F85">
              <w:rPr>
                <w:sz w:val="18"/>
                <w:szCs w:val="20"/>
              </w:rPr>
              <w:t xml:space="preserve">Percent of Residential Customers with Central </w:t>
            </w:r>
            <w:r w:rsidR="00622FC2">
              <w:rPr>
                <w:sz w:val="18"/>
                <w:szCs w:val="20"/>
              </w:rPr>
              <w:t>A/C</w:t>
            </w:r>
            <w:r w:rsidRPr="00675F85">
              <w:rPr>
                <w:sz w:val="18"/>
                <w:szCs w:val="20"/>
              </w:rPr>
              <w:t xml:space="preserve"> Systems from 2014 Baseline Study (%)</w:t>
            </w:r>
          </w:p>
        </w:tc>
        <w:tc>
          <w:tcPr>
            <w:tcW w:w="1398"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5F85">
              <w:rPr>
                <w:sz w:val="18"/>
                <w:szCs w:val="20"/>
              </w:rPr>
              <w:t xml:space="preserve">Percent of Customers with Central </w:t>
            </w:r>
            <w:r w:rsidR="00622FC2">
              <w:rPr>
                <w:sz w:val="18"/>
                <w:szCs w:val="20"/>
              </w:rPr>
              <w:t>A/C</w:t>
            </w:r>
            <w:r w:rsidRPr="00675F85">
              <w:rPr>
                <w:sz w:val="18"/>
                <w:szCs w:val="20"/>
              </w:rPr>
              <w:t xml:space="preserve"> having Electric Water Heaters (%)</w:t>
            </w:r>
          </w:p>
        </w:tc>
        <w:tc>
          <w:tcPr>
            <w:tcW w:w="1157"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5F85">
              <w:rPr>
                <w:sz w:val="18"/>
                <w:szCs w:val="20"/>
              </w:rPr>
              <w:t>Eligible Market for Participation in Load Control Program for Res. Central A/C &amp; EWH (No. of Residential Customers)</w:t>
            </w:r>
          </w:p>
        </w:tc>
        <w:tc>
          <w:tcPr>
            <w:tcW w:w="1157"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5F85">
              <w:rPr>
                <w:sz w:val="18"/>
                <w:szCs w:val="20"/>
              </w:rPr>
              <w:t>Actual Program Participation Rate Achieved during Phase I of Act 129</w:t>
            </w:r>
            <w:r w:rsidR="00A05E93" w:rsidRPr="00675F85">
              <w:rPr>
                <w:sz w:val="18"/>
                <w:szCs w:val="20"/>
              </w:rPr>
              <w:t xml:space="preserve"> for </w:t>
            </w:r>
            <w:r w:rsidR="000F517F" w:rsidRPr="00675F85">
              <w:rPr>
                <w:sz w:val="18"/>
                <w:szCs w:val="20"/>
              </w:rPr>
              <w:t xml:space="preserve">Residential </w:t>
            </w:r>
            <w:r w:rsidR="00A05E93" w:rsidRPr="00675F85">
              <w:rPr>
                <w:sz w:val="18"/>
                <w:szCs w:val="20"/>
              </w:rPr>
              <w:t>Central A/C Control</w:t>
            </w:r>
            <w:r w:rsidRPr="00675F85">
              <w:rPr>
                <w:sz w:val="18"/>
                <w:szCs w:val="20"/>
              </w:rPr>
              <w:t xml:space="preserve"> (%)</w:t>
            </w:r>
          </w:p>
        </w:tc>
        <w:tc>
          <w:tcPr>
            <w:tcW w:w="1157"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5F85">
              <w:rPr>
                <w:sz w:val="18"/>
                <w:szCs w:val="20"/>
              </w:rPr>
              <w:t>Forecast Program Participation Rate for Phase III</w:t>
            </w:r>
          </w:p>
        </w:tc>
        <w:tc>
          <w:tcPr>
            <w:tcW w:w="1089"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675F85" w:rsidRDefault="002F4BE1"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5F85">
              <w:rPr>
                <w:sz w:val="18"/>
                <w:szCs w:val="20"/>
              </w:rPr>
              <w:t>Total Number of Program Participants Forecast for a Phase III Residential EWH Control Program</w:t>
            </w:r>
          </w:p>
        </w:tc>
      </w:tr>
      <w:tr w:rsidR="00F401BA" w:rsidRPr="00675F8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rFonts w:ascii="Calibri" w:hAnsi="Calibri"/>
                <w:b w:val="0"/>
                <w:color w:val="000000"/>
                <w:sz w:val="19"/>
                <w:szCs w:val="19"/>
              </w:rPr>
            </w:pPr>
            <w:r w:rsidRPr="00A96CD0">
              <w:rPr>
                <w:rFonts w:ascii="Calibri" w:hAnsi="Calibri"/>
                <w:b w:val="0"/>
                <w:color w:val="000000"/>
                <w:sz w:val="19"/>
                <w:szCs w:val="19"/>
              </w:rPr>
              <w:t>Duquesne</w:t>
            </w:r>
          </w:p>
        </w:tc>
        <w:tc>
          <w:tcPr>
            <w:tcW w:w="1080"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528,973</w:t>
            </w:r>
          </w:p>
        </w:tc>
        <w:tc>
          <w:tcPr>
            <w:tcW w:w="1260"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77%</w:t>
            </w:r>
          </w:p>
        </w:tc>
        <w:tc>
          <w:tcPr>
            <w:tcW w:w="1398"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8%</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30,996</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0.45%</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089" w:type="dxa"/>
            <w:tcBorders>
              <w:lef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3,875</w:t>
            </w:r>
          </w:p>
        </w:tc>
      </w:tr>
      <w:tr w:rsidR="00F401BA"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rFonts w:ascii="Calibri" w:hAnsi="Calibri"/>
                <w:b w:val="0"/>
                <w:color w:val="000000"/>
                <w:sz w:val="19"/>
                <w:szCs w:val="19"/>
              </w:rPr>
            </w:pPr>
            <w:r w:rsidRPr="00A96CD0">
              <w:rPr>
                <w:rFonts w:ascii="Calibri" w:hAnsi="Calibri"/>
                <w:b w:val="0"/>
                <w:color w:val="000000"/>
                <w:sz w:val="19"/>
                <w:szCs w:val="19"/>
              </w:rPr>
              <w:t>FE: Met Ed</w:t>
            </w:r>
          </w:p>
        </w:tc>
        <w:tc>
          <w:tcPr>
            <w:tcW w:w="108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492,237</w:t>
            </w:r>
          </w:p>
        </w:tc>
        <w:tc>
          <w:tcPr>
            <w:tcW w:w="126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61%</w:t>
            </w:r>
          </w:p>
        </w:tc>
        <w:tc>
          <w:tcPr>
            <w:tcW w:w="1398"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28%</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85,455</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5.3%</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089" w:type="dxa"/>
            <w:tcBorders>
              <w:lef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10,682</w:t>
            </w:r>
          </w:p>
        </w:tc>
      </w:tr>
      <w:tr w:rsidR="00F401BA" w:rsidRPr="00675F8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rFonts w:ascii="Calibri" w:hAnsi="Calibri"/>
                <w:b w:val="0"/>
                <w:color w:val="000000"/>
                <w:sz w:val="19"/>
                <w:szCs w:val="19"/>
              </w:rPr>
            </w:pPr>
            <w:r w:rsidRPr="00A96CD0">
              <w:rPr>
                <w:rFonts w:ascii="Calibri" w:hAnsi="Calibri"/>
                <w:b w:val="0"/>
                <w:color w:val="000000"/>
                <w:sz w:val="19"/>
                <w:szCs w:val="19"/>
              </w:rPr>
              <w:t>FE: Penelec</w:t>
            </w:r>
          </w:p>
        </w:tc>
        <w:tc>
          <w:tcPr>
            <w:tcW w:w="1080"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505,353</w:t>
            </w:r>
          </w:p>
        </w:tc>
        <w:tc>
          <w:tcPr>
            <w:tcW w:w="1260"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38%</w:t>
            </w:r>
          </w:p>
        </w:tc>
        <w:tc>
          <w:tcPr>
            <w:tcW w:w="1398"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10%</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20,010</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6.5%</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089" w:type="dxa"/>
            <w:tcBorders>
              <w:lef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2,501</w:t>
            </w:r>
          </w:p>
        </w:tc>
      </w:tr>
      <w:tr w:rsidR="00F401BA"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rFonts w:ascii="Calibri" w:hAnsi="Calibri"/>
                <w:b w:val="0"/>
                <w:color w:val="000000"/>
                <w:sz w:val="19"/>
                <w:szCs w:val="19"/>
              </w:rPr>
            </w:pPr>
            <w:r w:rsidRPr="00A96CD0">
              <w:rPr>
                <w:rFonts w:ascii="Calibri" w:hAnsi="Calibri"/>
                <w:b w:val="0"/>
                <w:color w:val="000000"/>
                <w:sz w:val="19"/>
                <w:szCs w:val="19"/>
              </w:rPr>
              <w:t>FE: Penn Power</w:t>
            </w:r>
          </w:p>
        </w:tc>
        <w:tc>
          <w:tcPr>
            <w:tcW w:w="108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141,736</w:t>
            </w:r>
          </w:p>
        </w:tc>
        <w:tc>
          <w:tcPr>
            <w:tcW w:w="126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74%</w:t>
            </w:r>
          </w:p>
        </w:tc>
        <w:tc>
          <w:tcPr>
            <w:tcW w:w="1398"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36%</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37,821</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2.9%</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089" w:type="dxa"/>
            <w:tcBorders>
              <w:lef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4,728</w:t>
            </w:r>
          </w:p>
        </w:tc>
      </w:tr>
      <w:tr w:rsidR="00F401BA" w:rsidRPr="00675F8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rFonts w:ascii="Calibri" w:hAnsi="Calibri"/>
                <w:b w:val="0"/>
                <w:color w:val="000000"/>
                <w:sz w:val="19"/>
                <w:szCs w:val="19"/>
              </w:rPr>
            </w:pPr>
            <w:r w:rsidRPr="00A96CD0">
              <w:rPr>
                <w:rFonts w:ascii="Calibri" w:hAnsi="Calibri"/>
                <w:b w:val="0"/>
                <w:color w:val="000000"/>
                <w:sz w:val="19"/>
                <w:szCs w:val="19"/>
              </w:rPr>
              <w:t>FE: West Penn</w:t>
            </w:r>
          </w:p>
        </w:tc>
        <w:tc>
          <w:tcPr>
            <w:tcW w:w="1080"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624,521</w:t>
            </w:r>
          </w:p>
        </w:tc>
        <w:tc>
          <w:tcPr>
            <w:tcW w:w="1260"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73%</w:t>
            </w:r>
          </w:p>
        </w:tc>
        <w:tc>
          <w:tcPr>
            <w:tcW w:w="1398"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35%</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160,978</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0.0%</w:t>
            </w:r>
          </w:p>
        </w:tc>
        <w:tc>
          <w:tcPr>
            <w:tcW w:w="1157" w:type="dxa"/>
            <w:tcBorders>
              <w:left w:val="none" w:sz="0" w:space="0" w:color="auto"/>
              <w:righ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089" w:type="dxa"/>
            <w:tcBorders>
              <w:left w:val="none" w:sz="0" w:space="0" w:color="auto"/>
            </w:tcBorders>
          </w:tcPr>
          <w:p w:rsidR="00F401BA" w:rsidRPr="00675F85"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20,122</w:t>
            </w:r>
          </w:p>
        </w:tc>
      </w:tr>
      <w:tr w:rsidR="00DE6BED"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DE6BED" w:rsidRPr="00A96CD0" w:rsidRDefault="00DE6BED" w:rsidP="00A83ABC">
            <w:pPr>
              <w:jc w:val="left"/>
              <w:rPr>
                <w:rFonts w:ascii="Calibri" w:hAnsi="Calibri"/>
                <w:b w:val="0"/>
                <w:color w:val="000000"/>
                <w:sz w:val="19"/>
                <w:szCs w:val="19"/>
              </w:rPr>
            </w:pPr>
            <w:r w:rsidRPr="00A96CD0">
              <w:rPr>
                <w:rFonts w:ascii="Calibri" w:hAnsi="Calibri"/>
                <w:b w:val="0"/>
                <w:color w:val="000000"/>
                <w:sz w:val="19"/>
                <w:szCs w:val="19"/>
              </w:rPr>
              <w:t>PECO</w:t>
            </w:r>
          </w:p>
        </w:tc>
        <w:tc>
          <w:tcPr>
            <w:tcW w:w="1080" w:type="dxa"/>
            <w:tcBorders>
              <w:left w:val="none" w:sz="0" w:space="0" w:color="auto"/>
              <w:right w:val="none" w:sz="0" w:space="0" w:color="auto"/>
            </w:tcBorders>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1,438,250</w:t>
            </w:r>
          </w:p>
        </w:tc>
        <w:tc>
          <w:tcPr>
            <w:tcW w:w="1260" w:type="dxa"/>
            <w:tcBorders>
              <w:left w:val="none" w:sz="0" w:space="0" w:color="auto"/>
              <w:right w:val="none" w:sz="0" w:space="0" w:color="auto"/>
            </w:tcBorders>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74%</w:t>
            </w:r>
          </w:p>
        </w:tc>
        <w:tc>
          <w:tcPr>
            <w:tcW w:w="1398" w:type="dxa"/>
            <w:tcBorders>
              <w:left w:val="none" w:sz="0" w:space="0" w:color="auto"/>
              <w:right w:val="none" w:sz="0" w:space="0" w:color="auto"/>
            </w:tcBorders>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20%</w:t>
            </w:r>
          </w:p>
        </w:tc>
        <w:tc>
          <w:tcPr>
            <w:tcW w:w="1157" w:type="dxa"/>
            <w:tcBorders>
              <w:left w:val="none" w:sz="0" w:space="0" w:color="auto"/>
              <w:right w:val="none" w:sz="0" w:space="0" w:color="auto"/>
            </w:tcBorders>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209,136</w:t>
            </w:r>
          </w:p>
        </w:tc>
        <w:tc>
          <w:tcPr>
            <w:tcW w:w="1157" w:type="dxa"/>
            <w:tcBorders>
              <w:left w:val="none" w:sz="0" w:space="0" w:color="auto"/>
              <w:right w:val="none" w:sz="0" w:space="0" w:color="auto"/>
            </w:tcBorders>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11.4%</w:t>
            </w:r>
          </w:p>
        </w:tc>
        <w:tc>
          <w:tcPr>
            <w:tcW w:w="1157" w:type="dxa"/>
            <w:tcBorders>
              <w:left w:val="none" w:sz="0" w:space="0" w:color="auto"/>
              <w:right w:val="none" w:sz="0" w:space="0" w:color="auto"/>
            </w:tcBorders>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089" w:type="dxa"/>
            <w:tcBorders>
              <w:left w:val="none" w:sz="0" w:space="0" w:color="auto"/>
            </w:tcBorders>
          </w:tcPr>
          <w:p w:rsidR="00DE6BED" w:rsidRPr="00675F85"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26,142</w:t>
            </w:r>
          </w:p>
        </w:tc>
      </w:tr>
      <w:tr w:rsidR="00DE6BED" w:rsidRPr="00675F8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DE6BED" w:rsidRPr="00A96CD0" w:rsidRDefault="00DE6BED" w:rsidP="00A83ABC">
            <w:pPr>
              <w:jc w:val="left"/>
              <w:rPr>
                <w:rFonts w:ascii="Calibri" w:hAnsi="Calibri"/>
                <w:b w:val="0"/>
                <w:color w:val="000000"/>
                <w:sz w:val="19"/>
                <w:szCs w:val="19"/>
              </w:rPr>
            </w:pPr>
            <w:r w:rsidRPr="00A96CD0">
              <w:rPr>
                <w:rFonts w:ascii="Calibri" w:hAnsi="Calibri"/>
                <w:b w:val="0"/>
                <w:color w:val="000000"/>
                <w:sz w:val="19"/>
                <w:szCs w:val="19"/>
              </w:rPr>
              <w:t>PPL</w:t>
            </w:r>
          </w:p>
        </w:tc>
        <w:tc>
          <w:tcPr>
            <w:tcW w:w="1080" w:type="dxa"/>
            <w:tcBorders>
              <w:left w:val="none" w:sz="0" w:space="0" w:color="auto"/>
              <w:right w:val="none" w:sz="0" w:space="0" w:color="auto"/>
            </w:tcBorders>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1,256,031</w:t>
            </w:r>
          </w:p>
        </w:tc>
        <w:tc>
          <w:tcPr>
            <w:tcW w:w="1260" w:type="dxa"/>
            <w:tcBorders>
              <w:left w:val="none" w:sz="0" w:space="0" w:color="auto"/>
              <w:right w:val="none" w:sz="0" w:space="0" w:color="auto"/>
            </w:tcBorders>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50%</w:t>
            </w:r>
          </w:p>
        </w:tc>
        <w:tc>
          <w:tcPr>
            <w:tcW w:w="1398" w:type="dxa"/>
            <w:tcBorders>
              <w:left w:val="none" w:sz="0" w:space="0" w:color="auto"/>
              <w:right w:val="none" w:sz="0" w:space="0" w:color="auto"/>
            </w:tcBorders>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30%</w:t>
            </w:r>
          </w:p>
        </w:tc>
        <w:tc>
          <w:tcPr>
            <w:tcW w:w="1157" w:type="dxa"/>
            <w:tcBorders>
              <w:left w:val="none" w:sz="0" w:space="0" w:color="auto"/>
              <w:right w:val="none" w:sz="0" w:space="0" w:color="auto"/>
            </w:tcBorders>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185,453</w:t>
            </w:r>
          </w:p>
        </w:tc>
        <w:tc>
          <w:tcPr>
            <w:tcW w:w="1157" w:type="dxa"/>
            <w:tcBorders>
              <w:left w:val="none" w:sz="0" w:space="0" w:color="auto"/>
              <w:right w:val="none" w:sz="0" w:space="0" w:color="auto"/>
            </w:tcBorders>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7.0%</w:t>
            </w:r>
          </w:p>
        </w:tc>
        <w:tc>
          <w:tcPr>
            <w:tcW w:w="1157" w:type="dxa"/>
            <w:tcBorders>
              <w:left w:val="none" w:sz="0" w:space="0" w:color="auto"/>
              <w:right w:val="none" w:sz="0" w:space="0" w:color="auto"/>
            </w:tcBorders>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12.50%</w:t>
            </w:r>
          </w:p>
        </w:tc>
        <w:tc>
          <w:tcPr>
            <w:tcW w:w="1089" w:type="dxa"/>
            <w:tcBorders>
              <w:left w:val="none" w:sz="0" w:space="0" w:color="auto"/>
            </w:tcBorders>
          </w:tcPr>
          <w:p w:rsidR="00DE6BED" w:rsidRPr="00675F85"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75F85">
              <w:rPr>
                <w:rFonts w:ascii="Calibri" w:hAnsi="Calibri"/>
                <w:color w:val="000000"/>
                <w:sz w:val="20"/>
                <w:szCs w:val="20"/>
              </w:rPr>
              <w:t>23,182</w:t>
            </w:r>
          </w:p>
        </w:tc>
      </w:tr>
      <w:tr w:rsidR="00F401BA"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554444" w:rsidP="00A83ABC">
            <w:pPr>
              <w:jc w:val="left"/>
              <w:rPr>
                <w:rFonts w:ascii="Calibri" w:hAnsi="Calibri"/>
                <w:color w:val="000000"/>
                <w:sz w:val="19"/>
                <w:szCs w:val="19"/>
              </w:rPr>
            </w:pPr>
            <w:r w:rsidRPr="00A96CD0">
              <w:rPr>
                <w:rFonts w:ascii="Calibri" w:hAnsi="Calibri"/>
                <w:color w:val="000000"/>
                <w:sz w:val="19"/>
                <w:szCs w:val="19"/>
              </w:rPr>
              <w:t>Total</w:t>
            </w:r>
          </w:p>
        </w:tc>
        <w:tc>
          <w:tcPr>
            <w:tcW w:w="108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4,987,101</w:t>
            </w:r>
          </w:p>
        </w:tc>
        <w:tc>
          <w:tcPr>
            <w:tcW w:w="126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63%</w:t>
            </w:r>
          </w:p>
        </w:tc>
        <w:tc>
          <w:tcPr>
            <w:tcW w:w="1398"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w:t>
            </w:r>
          </w:p>
        </w:tc>
        <w:tc>
          <w:tcPr>
            <w:tcW w:w="1157" w:type="dxa"/>
            <w:tcBorders>
              <w:left w:val="none" w:sz="0" w:space="0" w:color="auto"/>
              <w:right w:val="none" w:sz="0" w:space="0" w:color="auto"/>
            </w:tcBorders>
          </w:tcPr>
          <w:p w:rsidR="00F401BA" w:rsidRPr="00675F85" w:rsidRDefault="009344A3"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Pr>
                <w:rFonts w:ascii="Calibri" w:hAnsi="Calibri"/>
                <w:b/>
                <w:color w:val="000000"/>
                <w:sz w:val="20"/>
                <w:szCs w:val="20"/>
              </w:rPr>
              <w:t>729,849</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5.45%</w:t>
            </w:r>
          </w:p>
        </w:tc>
        <w:tc>
          <w:tcPr>
            <w:tcW w:w="1157"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12.50%</w:t>
            </w:r>
          </w:p>
        </w:tc>
        <w:tc>
          <w:tcPr>
            <w:tcW w:w="1089" w:type="dxa"/>
            <w:tcBorders>
              <w:lef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91,231</w:t>
            </w:r>
          </w:p>
        </w:tc>
      </w:tr>
    </w:tbl>
    <w:p w:rsidR="00D73C1A" w:rsidRPr="00A96CD0" w:rsidRDefault="00D73C1A" w:rsidP="00A83ABC"/>
    <w:p w:rsidR="00EF2CEE" w:rsidRDefault="00EF2CEE" w:rsidP="00A83ABC">
      <w:pPr>
        <w:pStyle w:val="Caption"/>
      </w:pPr>
      <w:bookmarkStart w:id="188" w:name="_Toc412628472"/>
      <w:r>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4</w:t>
      </w:r>
      <w:r w:rsidR="00E2011B">
        <w:rPr>
          <w:noProof/>
        </w:rPr>
        <w:fldChar w:fldCharType="end"/>
      </w:r>
      <w:r>
        <w:t xml:space="preserve">: Eligible Markets for Phase III Residential </w:t>
      </w:r>
      <w:r w:rsidR="00037A03">
        <w:t>DR</w:t>
      </w:r>
      <w:r>
        <w:t xml:space="preserve"> Programs for EDCs – Room A/C</w:t>
      </w:r>
      <w:bookmarkEnd w:id="188"/>
      <w:r>
        <w:t xml:space="preserve"> </w:t>
      </w:r>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170"/>
        <w:gridCol w:w="1080"/>
        <w:gridCol w:w="1260"/>
        <w:gridCol w:w="1433"/>
        <w:gridCol w:w="1148"/>
        <w:gridCol w:w="1148"/>
        <w:gridCol w:w="1148"/>
        <w:gridCol w:w="1081"/>
      </w:tblGrid>
      <w:tr w:rsidR="00D55D55" w:rsidRPr="002F4BE1" w:rsidTr="00C41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rPr>
                <w:sz w:val="18"/>
                <w:szCs w:val="20"/>
              </w:rPr>
            </w:pPr>
            <w:r w:rsidRPr="002F4BE1">
              <w:rPr>
                <w:sz w:val="18"/>
                <w:szCs w:val="20"/>
              </w:rPr>
              <w:t>Name of EDC</w:t>
            </w:r>
          </w:p>
        </w:tc>
        <w:tc>
          <w:tcPr>
            <w:tcW w:w="1080"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Projected Total No. of EDC Residential Customers in 2016</w:t>
            </w:r>
          </w:p>
        </w:tc>
        <w:tc>
          <w:tcPr>
            <w:tcW w:w="1260"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 xml:space="preserve">Percent of Residential Customers with Central </w:t>
            </w:r>
            <w:r w:rsidR="00622FC2">
              <w:rPr>
                <w:sz w:val="18"/>
                <w:szCs w:val="20"/>
              </w:rPr>
              <w:t>A/C</w:t>
            </w:r>
            <w:r w:rsidRPr="002F4BE1">
              <w:rPr>
                <w:sz w:val="18"/>
                <w:szCs w:val="20"/>
              </w:rPr>
              <w:t xml:space="preserve"> Systems from 2014 Baseline Study (%)</w:t>
            </w:r>
          </w:p>
        </w:tc>
        <w:tc>
          <w:tcPr>
            <w:tcW w:w="1433"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 xml:space="preserve">Percent of Customers with Central </w:t>
            </w:r>
            <w:r w:rsidR="00622FC2">
              <w:rPr>
                <w:sz w:val="18"/>
                <w:szCs w:val="20"/>
              </w:rPr>
              <w:t>A/C</w:t>
            </w:r>
            <w:r w:rsidRPr="002F4BE1">
              <w:rPr>
                <w:sz w:val="18"/>
                <w:szCs w:val="20"/>
              </w:rPr>
              <w:t xml:space="preserve"> having Room </w:t>
            </w:r>
            <w:r w:rsidR="00AD2C38">
              <w:rPr>
                <w:sz w:val="18"/>
                <w:szCs w:val="20"/>
              </w:rPr>
              <w:t>A/C’s</w:t>
            </w:r>
            <w:r w:rsidRPr="002F4BE1">
              <w:rPr>
                <w:sz w:val="18"/>
                <w:szCs w:val="20"/>
              </w:rPr>
              <w:t xml:space="preserve"> (%)</w:t>
            </w:r>
          </w:p>
        </w:tc>
        <w:tc>
          <w:tcPr>
            <w:tcW w:w="1148"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Eligible Market for Participation in Load Control Program for Res. Central A/C &amp; Room A/C (No. of Residential Customers)</w:t>
            </w:r>
          </w:p>
        </w:tc>
        <w:tc>
          <w:tcPr>
            <w:tcW w:w="1148"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 xml:space="preserve">Actual Program Participation Rate Achieved During </w:t>
            </w:r>
            <w:r w:rsidR="00A05E93">
              <w:rPr>
                <w:sz w:val="18"/>
                <w:szCs w:val="20"/>
              </w:rPr>
              <w:t xml:space="preserve">Phase I </w:t>
            </w:r>
            <w:r w:rsidRPr="002F4BE1">
              <w:rPr>
                <w:sz w:val="18"/>
                <w:szCs w:val="20"/>
              </w:rPr>
              <w:t xml:space="preserve">of Act 129 </w:t>
            </w:r>
            <w:r w:rsidR="00A05E93">
              <w:rPr>
                <w:sz w:val="18"/>
                <w:szCs w:val="20"/>
              </w:rPr>
              <w:t>for Central A/C Control</w:t>
            </w:r>
          </w:p>
        </w:tc>
        <w:tc>
          <w:tcPr>
            <w:tcW w:w="1148"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Forecast Program Participation Rate for Phase III</w:t>
            </w:r>
          </w:p>
        </w:tc>
        <w:tc>
          <w:tcPr>
            <w:tcW w:w="1081" w:type="dxa"/>
            <w:tcBorders>
              <w:top w:val="none" w:sz="0" w:space="0" w:color="auto"/>
              <w:left w:val="none" w:sz="0" w:space="0" w:color="auto"/>
              <w:bottom w:val="none" w:sz="0" w:space="0" w:color="auto"/>
              <w:right w:val="none" w:sz="0" w:space="0" w:color="auto"/>
            </w:tcBorders>
            <w:shd w:val="clear" w:color="auto" w:fill="448A99"/>
            <w:vAlign w:val="center"/>
          </w:tcPr>
          <w:p w:rsidR="00D55D55" w:rsidRPr="002F4BE1" w:rsidRDefault="00D55D55" w:rsidP="00C41816">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Total Number of Program Participants Forecast for a Phase III Residential Room A/C Control Program</w:t>
            </w:r>
          </w:p>
        </w:tc>
      </w:tr>
      <w:tr w:rsidR="00F401BA" w:rsidRPr="00D55D5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Duquesne</w:t>
            </w:r>
          </w:p>
        </w:tc>
        <w:tc>
          <w:tcPr>
            <w:tcW w:w="108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528,973</w:t>
            </w:r>
          </w:p>
        </w:tc>
        <w:tc>
          <w:tcPr>
            <w:tcW w:w="126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77%</w:t>
            </w:r>
          </w:p>
        </w:tc>
        <w:tc>
          <w:tcPr>
            <w:tcW w:w="1433"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4%</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16,292</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0.45%</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81" w:type="dxa"/>
            <w:tcBorders>
              <w:lef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2,037</w:t>
            </w:r>
          </w:p>
        </w:tc>
      </w:tr>
      <w:tr w:rsidR="00F401BA" w:rsidRPr="00D55D5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Met Ed</w:t>
            </w:r>
          </w:p>
        </w:tc>
        <w:tc>
          <w:tcPr>
            <w:tcW w:w="108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492,237</w:t>
            </w:r>
          </w:p>
        </w:tc>
        <w:tc>
          <w:tcPr>
            <w:tcW w:w="126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61%</w:t>
            </w:r>
          </w:p>
        </w:tc>
        <w:tc>
          <w:tcPr>
            <w:tcW w:w="1433"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8%</w:t>
            </w:r>
          </w:p>
        </w:tc>
        <w:tc>
          <w:tcPr>
            <w:tcW w:w="1148"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24,021</w:t>
            </w:r>
          </w:p>
        </w:tc>
        <w:tc>
          <w:tcPr>
            <w:tcW w:w="1148"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5.3%</w:t>
            </w:r>
          </w:p>
        </w:tc>
        <w:tc>
          <w:tcPr>
            <w:tcW w:w="1148"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81" w:type="dxa"/>
            <w:tcBorders>
              <w:lef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3,003</w:t>
            </w:r>
          </w:p>
        </w:tc>
      </w:tr>
      <w:tr w:rsidR="00F401BA" w:rsidRPr="00D55D5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Penelec</w:t>
            </w:r>
          </w:p>
        </w:tc>
        <w:tc>
          <w:tcPr>
            <w:tcW w:w="108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505,353</w:t>
            </w:r>
          </w:p>
        </w:tc>
        <w:tc>
          <w:tcPr>
            <w:tcW w:w="126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38%</w:t>
            </w:r>
          </w:p>
        </w:tc>
        <w:tc>
          <w:tcPr>
            <w:tcW w:w="1433"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0%</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6.5%</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81" w:type="dxa"/>
            <w:tcBorders>
              <w:lef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r>
      <w:tr w:rsidR="00F401BA" w:rsidRPr="00D55D5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Penn Power</w:t>
            </w:r>
          </w:p>
        </w:tc>
        <w:tc>
          <w:tcPr>
            <w:tcW w:w="108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141,736</w:t>
            </w:r>
          </w:p>
        </w:tc>
        <w:tc>
          <w:tcPr>
            <w:tcW w:w="126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74%</w:t>
            </w:r>
          </w:p>
        </w:tc>
        <w:tc>
          <w:tcPr>
            <w:tcW w:w="1433"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8%</w:t>
            </w:r>
          </w:p>
        </w:tc>
        <w:tc>
          <w:tcPr>
            <w:tcW w:w="1148"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8,391</w:t>
            </w:r>
          </w:p>
        </w:tc>
        <w:tc>
          <w:tcPr>
            <w:tcW w:w="1148"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2.9%</w:t>
            </w:r>
          </w:p>
        </w:tc>
        <w:tc>
          <w:tcPr>
            <w:tcW w:w="1148"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81" w:type="dxa"/>
            <w:tcBorders>
              <w:lef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1,049</w:t>
            </w:r>
          </w:p>
        </w:tc>
      </w:tr>
      <w:tr w:rsidR="00F401BA" w:rsidRPr="00D55D5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West Penn</w:t>
            </w:r>
          </w:p>
        </w:tc>
        <w:tc>
          <w:tcPr>
            <w:tcW w:w="108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624,521</w:t>
            </w:r>
          </w:p>
        </w:tc>
        <w:tc>
          <w:tcPr>
            <w:tcW w:w="126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73%</w:t>
            </w:r>
          </w:p>
        </w:tc>
        <w:tc>
          <w:tcPr>
            <w:tcW w:w="1433"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9%</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41,031</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0.0%</w:t>
            </w:r>
          </w:p>
        </w:tc>
        <w:tc>
          <w:tcPr>
            <w:tcW w:w="1148"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81" w:type="dxa"/>
            <w:tcBorders>
              <w:lef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5,129</w:t>
            </w:r>
          </w:p>
        </w:tc>
      </w:tr>
      <w:tr w:rsidR="00DE6BED"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DE6BED" w:rsidRPr="00A96CD0" w:rsidRDefault="00DE6BED" w:rsidP="00A83ABC">
            <w:pPr>
              <w:jc w:val="left"/>
              <w:rPr>
                <w:b w:val="0"/>
                <w:sz w:val="19"/>
                <w:szCs w:val="19"/>
              </w:rPr>
            </w:pPr>
            <w:r w:rsidRPr="00A96CD0">
              <w:rPr>
                <w:b w:val="0"/>
                <w:sz w:val="19"/>
                <w:szCs w:val="19"/>
              </w:rPr>
              <w:t>PECO</w:t>
            </w:r>
          </w:p>
        </w:tc>
        <w:tc>
          <w:tcPr>
            <w:tcW w:w="1080"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1,438,250</w:t>
            </w:r>
          </w:p>
        </w:tc>
        <w:tc>
          <w:tcPr>
            <w:tcW w:w="1260"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74%</w:t>
            </w:r>
          </w:p>
        </w:tc>
        <w:tc>
          <w:tcPr>
            <w:tcW w:w="1433"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w:t>
            </w:r>
          </w:p>
        </w:tc>
        <w:tc>
          <w:tcPr>
            <w:tcW w:w="1148"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10,643</w:t>
            </w:r>
          </w:p>
        </w:tc>
        <w:tc>
          <w:tcPr>
            <w:tcW w:w="1148"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11.4%</w:t>
            </w:r>
          </w:p>
        </w:tc>
        <w:tc>
          <w:tcPr>
            <w:tcW w:w="1148"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81" w:type="dxa"/>
            <w:tcBorders>
              <w:lef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1,330</w:t>
            </w:r>
          </w:p>
        </w:tc>
      </w:tr>
      <w:tr w:rsidR="00DE6BED" w:rsidRPr="00675F8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DE6BED" w:rsidRPr="00A96CD0" w:rsidRDefault="00DE6BED" w:rsidP="00A83ABC">
            <w:pPr>
              <w:jc w:val="left"/>
              <w:rPr>
                <w:b w:val="0"/>
                <w:sz w:val="19"/>
                <w:szCs w:val="19"/>
              </w:rPr>
            </w:pPr>
            <w:r w:rsidRPr="00A96CD0">
              <w:rPr>
                <w:b w:val="0"/>
                <w:sz w:val="19"/>
                <w:szCs w:val="19"/>
              </w:rPr>
              <w:t>PPL</w:t>
            </w:r>
          </w:p>
        </w:tc>
        <w:tc>
          <w:tcPr>
            <w:tcW w:w="1080"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1,256,031</w:t>
            </w:r>
          </w:p>
        </w:tc>
        <w:tc>
          <w:tcPr>
            <w:tcW w:w="1260"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50%</w:t>
            </w:r>
          </w:p>
        </w:tc>
        <w:tc>
          <w:tcPr>
            <w:tcW w:w="1433"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w:t>
            </w:r>
          </w:p>
        </w:tc>
        <w:tc>
          <w:tcPr>
            <w:tcW w:w="1148"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31,401</w:t>
            </w:r>
          </w:p>
        </w:tc>
        <w:tc>
          <w:tcPr>
            <w:tcW w:w="1148"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7.0%</w:t>
            </w:r>
          </w:p>
        </w:tc>
        <w:tc>
          <w:tcPr>
            <w:tcW w:w="1148"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81" w:type="dxa"/>
            <w:tcBorders>
              <w:lef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3,925</w:t>
            </w:r>
          </w:p>
        </w:tc>
      </w:tr>
      <w:tr w:rsidR="00F401BA"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554444" w:rsidP="00A83ABC">
            <w:pPr>
              <w:jc w:val="left"/>
              <w:rPr>
                <w:sz w:val="19"/>
                <w:szCs w:val="19"/>
              </w:rPr>
            </w:pPr>
            <w:r w:rsidRPr="00A96CD0">
              <w:rPr>
                <w:sz w:val="19"/>
                <w:szCs w:val="19"/>
              </w:rPr>
              <w:t>Total</w:t>
            </w:r>
          </w:p>
        </w:tc>
        <w:tc>
          <w:tcPr>
            <w:tcW w:w="108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4,987,101</w:t>
            </w:r>
          </w:p>
        </w:tc>
        <w:tc>
          <w:tcPr>
            <w:tcW w:w="126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w:t>
            </w:r>
          </w:p>
        </w:tc>
        <w:tc>
          <w:tcPr>
            <w:tcW w:w="1433"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w:t>
            </w:r>
          </w:p>
        </w:tc>
        <w:tc>
          <w:tcPr>
            <w:tcW w:w="1148"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131,779</w:t>
            </w:r>
          </w:p>
        </w:tc>
        <w:tc>
          <w:tcPr>
            <w:tcW w:w="1148"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5.45%</w:t>
            </w:r>
          </w:p>
        </w:tc>
        <w:tc>
          <w:tcPr>
            <w:tcW w:w="1148"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12.50%</w:t>
            </w:r>
          </w:p>
        </w:tc>
        <w:tc>
          <w:tcPr>
            <w:tcW w:w="1081" w:type="dxa"/>
            <w:tcBorders>
              <w:lef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16,472</w:t>
            </w:r>
          </w:p>
        </w:tc>
      </w:tr>
    </w:tbl>
    <w:p w:rsidR="00FA6972" w:rsidRPr="00FA6972" w:rsidRDefault="00FA6972" w:rsidP="00A83ABC"/>
    <w:p w:rsidR="00675F85" w:rsidRDefault="00675F85" w:rsidP="00A83ABC">
      <w:pPr>
        <w:spacing w:after="200"/>
        <w:jc w:val="left"/>
        <w:rPr>
          <w:b/>
          <w:bCs/>
          <w:sz w:val="18"/>
          <w:szCs w:val="18"/>
        </w:rPr>
      </w:pPr>
      <w:bookmarkStart w:id="189" w:name="_Ref407360865"/>
      <w:r>
        <w:br w:type="page"/>
      </w:r>
    </w:p>
    <w:p w:rsidR="00EF2CEE" w:rsidRDefault="00EF2CEE" w:rsidP="00A83ABC">
      <w:pPr>
        <w:pStyle w:val="Caption"/>
      </w:pPr>
      <w:bookmarkStart w:id="190" w:name="_Ref408581815"/>
      <w:bookmarkStart w:id="191" w:name="_Toc412628473"/>
      <w:r>
        <w:lastRenderedPageBreak/>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5</w:t>
      </w:r>
      <w:r w:rsidR="00E2011B">
        <w:rPr>
          <w:noProof/>
        </w:rPr>
        <w:fldChar w:fldCharType="end"/>
      </w:r>
      <w:bookmarkEnd w:id="189"/>
      <w:bookmarkEnd w:id="190"/>
      <w:r>
        <w:t xml:space="preserve">: Eligible Markets for Phase III Residential </w:t>
      </w:r>
      <w:r w:rsidR="00037A03">
        <w:t>DR</w:t>
      </w:r>
      <w:r>
        <w:t xml:space="preserve"> Programs for EDCs – Swimming Pool Pumps</w:t>
      </w:r>
      <w:bookmarkEnd w:id="191"/>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170"/>
        <w:gridCol w:w="1080"/>
        <w:gridCol w:w="1260"/>
        <w:gridCol w:w="1170"/>
        <w:gridCol w:w="208"/>
        <w:gridCol w:w="1162"/>
        <w:gridCol w:w="1162"/>
        <w:gridCol w:w="1162"/>
        <w:gridCol w:w="1094"/>
      </w:tblGrid>
      <w:tr w:rsidR="002F4BE1" w:rsidRPr="002F4BE1" w:rsidTr="00042F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rPr>
                <w:sz w:val="18"/>
                <w:szCs w:val="20"/>
              </w:rPr>
            </w:pPr>
            <w:r w:rsidRPr="002F4BE1">
              <w:rPr>
                <w:sz w:val="18"/>
                <w:szCs w:val="20"/>
              </w:rPr>
              <w:t>Name of EDC</w:t>
            </w:r>
          </w:p>
        </w:tc>
        <w:tc>
          <w:tcPr>
            <w:tcW w:w="1080"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Projected Total No. of EDC Residential Customers in 2016</w:t>
            </w:r>
          </w:p>
        </w:tc>
        <w:tc>
          <w:tcPr>
            <w:tcW w:w="1260"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 xml:space="preserve">Percent of Residential Customers with Central </w:t>
            </w:r>
            <w:r w:rsidR="00622FC2">
              <w:rPr>
                <w:sz w:val="18"/>
                <w:szCs w:val="20"/>
              </w:rPr>
              <w:t>A/C</w:t>
            </w:r>
            <w:r w:rsidRPr="002F4BE1">
              <w:rPr>
                <w:sz w:val="18"/>
                <w:szCs w:val="20"/>
              </w:rPr>
              <w:t xml:space="preserve"> Systems from 2014 Baseline Study (%)</w:t>
            </w:r>
          </w:p>
        </w:tc>
        <w:tc>
          <w:tcPr>
            <w:tcW w:w="1170"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 xml:space="preserve">Percent of Customers with Central </w:t>
            </w:r>
            <w:r w:rsidR="00622FC2">
              <w:rPr>
                <w:sz w:val="18"/>
                <w:szCs w:val="20"/>
              </w:rPr>
              <w:t>A/C</w:t>
            </w:r>
            <w:r w:rsidRPr="002F4BE1">
              <w:rPr>
                <w:sz w:val="18"/>
                <w:szCs w:val="20"/>
              </w:rPr>
              <w:t xml:space="preserve"> having Swimming Pool Pumps (%)</w:t>
            </w:r>
          </w:p>
        </w:tc>
        <w:tc>
          <w:tcPr>
            <w:tcW w:w="1370" w:type="dxa"/>
            <w:gridSpan w:val="2"/>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Eligible Market for Participation in Load Control Program for Res. Central A/C &amp; Swimming Pool Pumps (No. of Residential Customers)</w:t>
            </w:r>
          </w:p>
        </w:tc>
        <w:tc>
          <w:tcPr>
            <w:tcW w:w="1162"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cnfStyle w:val="100000000000" w:firstRow="1" w:lastRow="0" w:firstColumn="0" w:lastColumn="0" w:oddVBand="0" w:evenVBand="0" w:oddHBand="0" w:evenHBand="0" w:firstRowFirstColumn="0" w:firstRowLastColumn="0" w:lastRowFirstColumn="0" w:lastRowLastColumn="0"/>
              <w:rPr>
                <w:sz w:val="18"/>
                <w:szCs w:val="20"/>
              </w:rPr>
            </w:pPr>
            <w:r w:rsidRPr="003D72A9">
              <w:rPr>
                <w:sz w:val="18"/>
                <w:szCs w:val="20"/>
              </w:rPr>
              <w:t xml:space="preserve">Actual Program Participation Rate Achieved During </w:t>
            </w:r>
            <w:r w:rsidR="00A05E93" w:rsidRPr="003D72A9">
              <w:rPr>
                <w:sz w:val="18"/>
                <w:szCs w:val="20"/>
              </w:rPr>
              <w:t>Phase I of Act 129 for Central A/C Control</w:t>
            </w:r>
          </w:p>
        </w:tc>
        <w:tc>
          <w:tcPr>
            <w:tcW w:w="1162"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Forecast Program Participation Rate for Phase III</w:t>
            </w:r>
          </w:p>
        </w:tc>
        <w:tc>
          <w:tcPr>
            <w:tcW w:w="1094" w:type="dxa"/>
            <w:tcBorders>
              <w:top w:val="none" w:sz="0" w:space="0" w:color="auto"/>
              <w:left w:val="none" w:sz="0" w:space="0" w:color="auto"/>
              <w:bottom w:val="none" w:sz="0" w:space="0" w:color="auto"/>
              <w:right w:val="none" w:sz="0" w:space="0" w:color="auto"/>
            </w:tcBorders>
            <w:shd w:val="clear" w:color="auto" w:fill="448A99"/>
            <w:vAlign w:val="center"/>
          </w:tcPr>
          <w:p w:rsidR="002F4BE1" w:rsidRPr="002F4BE1" w:rsidRDefault="002F4BE1" w:rsidP="00042FDD">
            <w:pPr>
              <w:jc w:val="center"/>
              <w:cnfStyle w:val="100000000000" w:firstRow="1" w:lastRow="0" w:firstColumn="0" w:lastColumn="0" w:oddVBand="0" w:evenVBand="0" w:oddHBand="0" w:evenHBand="0" w:firstRowFirstColumn="0" w:firstRowLastColumn="0" w:lastRowFirstColumn="0" w:lastRowLastColumn="0"/>
              <w:rPr>
                <w:sz w:val="18"/>
                <w:szCs w:val="20"/>
              </w:rPr>
            </w:pPr>
            <w:r w:rsidRPr="002F4BE1">
              <w:rPr>
                <w:sz w:val="18"/>
                <w:szCs w:val="20"/>
              </w:rPr>
              <w:t>Total Number of Program Participants Forecast for a Phase III Residential Room A/C Control Program</w:t>
            </w:r>
          </w:p>
        </w:tc>
      </w:tr>
      <w:tr w:rsidR="00F401BA" w:rsidRPr="00D55D5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Duquesne</w:t>
            </w:r>
          </w:p>
        </w:tc>
        <w:tc>
          <w:tcPr>
            <w:tcW w:w="108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528,973</w:t>
            </w:r>
          </w:p>
        </w:tc>
        <w:tc>
          <w:tcPr>
            <w:tcW w:w="126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77%</w:t>
            </w:r>
          </w:p>
        </w:tc>
        <w:tc>
          <w:tcPr>
            <w:tcW w:w="1378" w:type="dxa"/>
            <w:gridSpan w:val="2"/>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0%</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0.45%</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94" w:type="dxa"/>
            <w:tcBorders>
              <w:lef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r>
      <w:tr w:rsidR="00F401BA" w:rsidRPr="00D55D5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Met Ed</w:t>
            </w:r>
          </w:p>
        </w:tc>
        <w:tc>
          <w:tcPr>
            <w:tcW w:w="108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492,237</w:t>
            </w:r>
          </w:p>
        </w:tc>
        <w:tc>
          <w:tcPr>
            <w:tcW w:w="126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61%</w:t>
            </w:r>
          </w:p>
        </w:tc>
        <w:tc>
          <w:tcPr>
            <w:tcW w:w="1378" w:type="dxa"/>
            <w:gridSpan w:val="2"/>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w:t>
            </w:r>
          </w:p>
        </w:tc>
        <w:tc>
          <w:tcPr>
            <w:tcW w:w="1162"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3,003</w:t>
            </w:r>
          </w:p>
        </w:tc>
        <w:tc>
          <w:tcPr>
            <w:tcW w:w="1162"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5.3%</w:t>
            </w:r>
          </w:p>
        </w:tc>
        <w:tc>
          <w:tcPr>
            <w:tcW w:w="1162"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94" w:type="dxa"/>
            <w:tcBorders>
              <w:lef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375</w:t>
            </w:r>
          </w:p>
        </w:tc>
      </w:tr>
      <w:tr w:rsidR="00F401BA" w:rsidRPr="00D55D5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Penelec</w:t>
            </w:r>
          </w:p>
        </w:tc>
        <w:tc>
          <w:tcPr>
            <w:tcW w:w="108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505,353</w:t>
            </w:r>
          </w:p>
        </w:tc>
        <w:tc>
          <w:tcPr>
            <w:tcW w:w="126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38%</w:t>
            </w:r>
          </w:p>
        </w:tc>
        <w:tc>
          <w:tcPr>
            <w:tcW w:w="1378" w:type="dxa"/>
            <w:gridSpan w:val="2"/>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0%</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6.5%</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94" w:type="dxa"/>
            <w:tcBorders>
              <w:lef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r>
      <w:tr w:rsidR="00F401BA" w:rsidRPr="00D55D5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Penn Power</w:t>
            </w:r>
          </w:p>
        </w:tc>
        <w:tc>
          <w:tcPr>
            <w:tcW w:w="108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141,736</w:t>
            </w:r>
          </w:p>
        </w:tc>
        <w:tc>
          <w:tcPr>
            <w:tcW w:w="1260"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74%</w:t>
            </w:r>
          </w:p>
        </w:tc>
        <w:tc>
          <w:tcPr>
            <w:tcW w:w="1378" w:type="dxa"/>
            <w:gridSpan w:val="2"/>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2%</w:t>
            </w:r>
          </w:p>
        </w:tc>
        <w:tc>
          <w:tcPr>
            <w:tcW w:w="1162"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2,098</w:t>
            </w:r>
          </w:p>
        </w:tc>
        <w:tc>
          <w:tcPr>
            <w:tcW w:w="1162"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2.9%</w:t>
            </w:r>
          </w:p>
        </w:tc>
        <w:tc>
          <w:tcPr>
            <w:tcW w:w="1162" w:type="dxa"/>
            <w:tcBorders>
              <w:left w:val="none" w:sz="0" w:space="0" w:color="auto"/>
              <w:righ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94" w:type="dxa"/>
            <w:tcBorders>
              <w:left w:val="none" w:sz="0" w:space="0" w:color="auto"/>
            </w:tcBorders>
          </w:tcPr>
          <w:p w:rsidR="00F401BA" w:rsidRPr="004E5919"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262</w:t>
            </w:r>
          </w:p>
        </w:tc>
      </w:tr>
      <w:tr w:rsidR="00F401BA" w:rsidRPr="00D55D5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F401BA" w:rsidP="00A83ABC">
            <w:pPr>
              <w:jc w:val="left"/>
              <w:rPr>
                <w:b w:val="0"/>
                <w:sz w:val="19"/>
                <w:szCs w:val="19"/>
              </w:rPr>
            </w:pPr>
            <w:r w:rsidRPr="00A96CD0">
              <w:rPr>
                <w:b w:val="0"/>
                <w:sz w:val="19"/>
                <w:szCs w:val="19"/>
              </w:rPr>
              <w:t>FE: West Penn</w:t>
            </w:r>
          </w:p>
        </w:tc>
        <w:tc>
          <w:tcPr>
            <w:tcW w:w="108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624,521</w:t>
            </w:r>
          </w:p>
        </w:tc>
        <w:tc>
          <w:tcPr>
            <w:tcW w:w="1260"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73%</w:t>
            </w:r>
          </w:p>
        </w:tc>
        <w:tc>
          <w:tcPr>
            <w:tcW w:w="1378" w:type="dxa"/>
            <w:gridSpan w:val="2"/>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0%</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n/a</w:t>
            </w:r>
          </w:p>
        </w:tc>
        <w:tc>
          <w:tcPr>
            <w:tcW w:w="1162" w:type="dxa"/>
            <w:tcBorders>
              <w:left w:val="none" w:sz="0" w:space="0" w:color="auto"/>
              <w:righ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94" w:type="dxa"/>
            <w:tcBorders>
              <w:left w:val="none" w:sz="0" w:space="0" w:color="auto"/>
            </w:tcBorders>
          </w:tcPr>
          <w:p w:rsidR="00F401BA" w:rsidRPr="004E5919" w:rsidRDefault="00F401B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r>
      <w:tr w:rsidR="00DE6BED"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DE6BED" w:rsidRPr="00A96CD0" w:rsidRDefault="00DE6BED" w:rsidP="00A83ABC">
            <w:pPr>
              <w:jc w:val="left"/>
              <w:rPr>
                <w:b w:val="0"/>
                <w:sz w:val="19"/>
                <w:szCs w:val="19"/>
              </w:rPr>
            </w:pPr>
            <w:r w:rsidRPr="00A96CD0">
              <w:rPr>
                <w:b w:val="0"/>
                <w:sz w:val="19"/>
                <w:szCs w:val="19"/>
              </w:rPr>
              <w:t>PECO</w:t>
            </w:r>
          </w:p>
        </w:tc>
        <w:tc>
          <w:tcPr>
            <w:tcW w:w="1080"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1,438,250</w:t>
            </w:r>
          </w:p>
        </w:tc>
        <w:tc>
          <w:tcPr>
            <w:tcW w:w="1260"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74%</w:t>
            </w:r>
          </w:p>
        </w:tc>
        <w:tc>
          <w:tcPr>
            <w:tcW w:w="1378" w:type="dxa"/>
            <w:gridSpan w:val="2"/>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0%</w:t>
            </w:r>
          </w:p>
        </w:tc>
        <w:tc>
          <w:tcPr>
            <w:tcW w:w="1162"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c>
          <w:tcPr>
            <w:tcW w:w="1162"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11.4%</w:t>
            </w:r>
          </w:p>
        </w:tc>
        <w:tc>
          <w:tcPr>
            <w:tcW w:w="1162" w:type="dxa"/>
            <w:tcBorders>
              <w:left w:val="none" w:sz="0" w:space="0" w:color="auto"/>
              <w:righ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94" w:type="dxa"/>
            <w:tcBorders>
              <w:left w:val="none" w:sz="0" w:space="0" w:color="auto"/>
            </w:tcBorders>
          </w:tcPr>
          <w:p w:rsidR="00DE6BED" w:rsidRPr="004E5919" w:rsidRDefault="00DE6BED"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w:t>
            </w:r>
          </w:p>
        </w:tc>
      </w:tr>
      <w:tr w:rsidR="00DE6BED" w:rsidRPr="00675F85" w:rsidTr="00A96C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DE6BED" w:rsidRPr="00A96CD0" w:rsidRDefault="00DE6BED" w:rsidP="00A83ABC">
            <w:pPr>
              <w:jc w:val="left"/>
              <w:rPr>
                <w:b w:val="0"/>
                <w:sz w:val="19"/>
                <w:szCs w:val="19"/>
              </w:rPr>
            </w:pPr>
            <w:r w:rsidRPr="00A96CD0">
              <w:rPr>
                <w:b w:val="0"/>
                <w:sz w:val="19"/>
                <w:szCs w:val="19"/>
              </w:rPr>
              <w:t>PPL</w:t>
            </w:r>
          </w:p>
        </w:tc>
        <w:tc>
          <w:tcPr>
            <w:tcW w:w="1080"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1,256,031</w:t>
            </w:r>
          </w:p>
        </w:tc>
        <w:tc>
          <w:tcPr>
            <w:tcW w:w="1260"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50%</w:t>
            </w:r>
          </w:p>
        </w:tc>
        <w:tc>
          <w:tcPr>
            <w:tcW w:w="1378" w:type="dxa"/>
            <w:gridSpan w:val="2"/>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2%</w:t>
            </w:r>
          </w:p>
        </w:tc>
        <w:tc>
          <w:tcPr>
            <w:tcW w:w="1162"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12,560</w:t>
            </w:r>
          </w:p>
        </w:tc>
        <w:tc>
          <w:tcPr>
            <w:tcW w:w="1162"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7.0%</w:t>
            </w:r>
          </w:p>
        </w:tc>
        <w:tc>
          <w:tcPr>
            <w:tcW w:w="1162" w:type="dxa"/>
            <w:tcBorders>
              <w:left w:val="none" w:sz="0" w:space="0" w:color="auto"/>
              <w:righ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12.50%</w:t>
            </w:r>
          </w:p>
        </w:tc>
        <w:tc>
          <w:tcPr>
            <w:tcW w:w="1094" w:type="dxa"/>
            <w:tcBorders>
              <w:left w:val="none" w:sz="0" w:space="0" w:color="auto"/>
            </w:tcBorders>
          </w:tcPr>
          <w:p w:rsidR="00DE6BED" w:rsidRPr="004E5919" w:rsidRDefault="00DE6BED"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E5919">
              <w:rPr>
                <w:rFonts w:ascii="Calibri" w:hAnsi="Calibri"/>
                <w:color w:val="000000"/>
                <w:sz w:val="20"/>
                <w:szCs w:val="20"/>
              </w:rPr>
              <w:t>1,570</w:t>
            </w:r>
          </w:p>
        </w:tc>
      </w:tr>
      <w:tr w:rsidR="00F401BA" w:rsidRPr="00675F85" w:rsidTr="00A96CD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tcPr>
          <w:p w:rsidR="00F401BA" w:rsidRPr="00A96CD0" w:rsidRDefault="00554444" w:rsidP="00A83ABC">
            <w:pPr>
              <w:jc w:val="left"/>
              <w:rPr>
                <w:sz w:val="19"/>
                <w:szCs w:val="19"/>
              </w:rPr>
            </w:pPr>
            <w:r w:rsidRPr="00A96CD0">
              <w:rPr>
                <w:sz w:val="19"/>
                <w:szCs w:val="19"/>
              </w:rPr>
              <w:t>Total</w:t>
            </w:r>
          </w:p>
        </w:tc>
        <w:tc>
          <w:tcPr>
            <w:tcW w:w="108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4,987,101</w:t>
            </w:r>
          </w:p>
        </w:tc>
        <w:tc>
          <w:tcPr>
            <w:tcW w:w="1260"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w:t>
            </w:r>
          </w:p>
        </w:tc>
        <w:tc>
          <w:tcPr>
            <w:tcW w:w="1378" w:type="dxa"/>
            <w:gridSpan w:val="2"/>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w:t>
            </w:r>
          </w:p>
        </w:tc>
        <w:tc>
          <w:tcPr>
            <w:tcW w:w="1162"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17,661</w:t>
            </w:r>
          </w:p>
        </w:tc>
        <w:tc>
          <w:tcPr>
            <w:tcW w:w="1162"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5.45%</w:t>
            </w:r>
          </w:p>
        </w:tc>
        <w:tc>
          <w:tcPr>
            <w:tcW w:w="1162" w:type="dxa"/>
            <w:tcBorders>
              <w:left w:val="none" w:sz="0" w:space="0" w:color="auto"/>
              <w:righ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12.50%</w:t>
            </w:r>
          </w:p>
        </w:tc>
        <w:tc>
          <w:tcPr>
            <w:tcW w:w="1094" w:type="dxa"/>
            <w:tcBorders>
              <w:left w:val="none" w:sz="0" w:space="0" w:color="auto"/>
            </w:tcBorders>
          </w:tcPr>
          <w:p w:rsidR="00F401BA" w:rsidRPr="00675F85" w:rsidRDefault="00F401B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675F85">
              <w:rPr>
                <w:rFonts w:ascii="Calibri" w:hAnsi="Calibri"/>
                <w:b/>
                <w:color w:val="000000"/>
                <w:sz w:val="20"/>
                <w:szCs w:val="20"/>
              </w:rPr>
              <w:t>2,208</w:t>
            </w:r>
          </w:p>
        </w:tc>
      </w:tr>
    </w:tbl>
    <w:p w:rsidR="008778AB" w:rsidRDefault="008778AB" w:rsidP="00A83ABC"/>
    <w:p w:rsidR="008778AB" w:rsidRDefault="008778AB" w:rsidP="00A83ABC">
      <w:pPr>
        <w:pStyle w:val="Heading3"/>
      </w:pPr>
      <w:bookmarkStart w:id="192" w:name="_Toc412628409"/>
      <w:r>
        <w:t>Useful Lives and Failure Rates of Load Control Devices</w:t>
      </w:r>
      <w:bookmarkEnd w:id="192"/>
    </w:p>
    <w:p w:rsidR="005852D3" w:rsidRDefault="005852D3" w:rsidP="00A83ABC">
      <w:r>
        <w:t>Load control device, or switch failure rates were assumed at 3</w:t>
      </w:r>
      <w:r w:rsidR="00B0713A">
        <w:t>%</w:t>
      </w:r>
      <w:r>
        <w:t xml:space="preserve"> per year. This failure rate was obtained from PECO’s benefit/cost analysis for the Company’s A/C Smart Saver program that was included in </w:t>
      </w:r>
      <w:r w:rsidR="00A96CD0">
        <w:t>PECO’s</w:t>
      </w:r>
      <w:r>
        <w:t xml:space="preserve"> Phase II EE&amp;C Plan filing. Following the methodology described above, this 3</w:t>
      </w:r>
      <w:r w:rsidR="00B0713A">
        <w:t>%</w:t>
      </w:r>
      <w:r>
        <w:t xml:space="preserve"> replacement rate was applied for the years 2017 to 2020. The useful life of load control devices was assumed to be 10 years</w:t>
      </w:r>
      <w:r w:rsidR="004108C9">
        <w:t>, in compliance with the PUC’s latest Demand Response Order.</w:t>
      </w:r>
    </w:p>
    <w:p w:rsidR="008778AB" w:rsidRPr="004717AF" w:rsidRDefault="008778AB" w:rsidP="00A83ABC"/>
    <w:p w:rsidR="008778AB" w:rsidRDefault="008778AB" w:rsidP="00A83ABC">
      <w:pPr>
        <w:pStyle w:val="Heading3"/>
      </w:pPr>
      <w:bookmarkStart w:id="193" w:name="_Toc412628410"/>
      <w:r>
        <w:t>Load Control Events and Durations</w:t>
      </w:r>
      <w:bookmarkEnd w:id="193"/>
    </w:p>
    <w:p w:rsidR="008778AB" w:rsidRDefault="005852D3" w:rsidP="00A83ABC">
      <w:r>
        <w:t xml:space="preserve">A maximum </w:t>
      </w:r>
      <w:r w:rsidRPr="008222E8">
        <w:t>of six load</w:t>
      </w:r>
      <w:r>
        <w:t xml:space="preserve"> control events were assumed to occur each cycling season, June through September. The duration of each event was assumed to be </w:t>
      </w:r>
      <w:r w:rsidRPr="008222E8">
        <w:t>four</w:t>
      </w:r>
      <w:r>
        <w:t xml:space="preserve"> hours, yielding a maximum total cycling time of 24 hours per year. The limit of 24 hours of cycling time per year is in compliance with the PUC’s </w:t>
      </w:r>
      <w:r w:rsidR="004108C9">
        <w:t>latest Demand Response</w:t>
      </w:r>
      <w:r>
        <w:t xml:space="preserve"> Order</w:t>
      </w:r>
      <w:r w:rsidR="00476C6F">
        <w:t xml:space="preserve"> </w:t>
      </w:r>
      <w:r w:rsidR="00EF55FF">
        <w:t xml:space="preserve">and was developed by the SWE Team based upon the ELCC analysis discussed in Section </w:t>
      </w:r>
      <w:r w:rsidR="00EF55FF">
        <w:fldChar w:fldCharType="begin"/>
      </w:r>
      <w:r w:rsidR="00EF55FF">
        <w:instrText xml:space="preserve"> REF _Ref406506016 \n \h </w:instrText>
      </w:r>
      <w:r w:rsidR="00EF55FF">
        <w:fldChar w:fldCharType="separate"/>
      </w:r>
      <w:r w:rsidR="00803DBE">
        <w:t>2.7</w:t>
      </w:r>
      <w:r w:rsidR="00EF55FF">
        <w:fldChar w:fldCharType="end"/>
      </w:r>
      <w:r w:rsidR="00F401BA">
        <w:t>.</w:t>
      </w:r>
    </w:p>
    <w:p w:rsidR="008778AB" w:rsidRDefault="008778AB" w:rsidP="00A83ABC"/>
    <w:p w:rsidR="008778AB" w:rsidRDefault="00F478DF" w:rsidP="00A83ABC">
      <w:pPr>
        <w:pStyle w:val="Heading3"/>
      </w:pPr>
      <w:bookmarkStart w:id="194" w:name="_Toc412628411"/>
      <w:r>
        <w:t>Peak Load Reductions p</w:t>
      </w:r>
      <w:r w:rsidR="008778AB">
        <w:t>er Unit Controlled</w:t>
      </w:r>
      <w:bookmarkEnd w:id="194"/>
    </w:p>
    <w:p w:rsidR="008778AB" w:rsidRDefault="008778AB" w:rsidP="00A83ABC">
      <w:r>
        <w:t>The peak load reduction per central A/C unit installed for each EDC was based on the impact e</w:t>
      </w:r>
      <w:r w:rsidR="002143D1">
        <w:t>valuation results from each EDC</w:t>
      </w:r>
      <w:r>
        <w:t xml:space="preserve">s Phase I </w:t>
      </w:r>
      <w:r w:rsidR="005852D3">
        <w:t>DLC</w:t>
      </w:r>
      <w:r>
        <w:t xml:space="preserve"> program. The per unit peak load reduction for electric water heaters, room </w:t>
      </w:r>
      <w:r w:rsidR="00AD2C38">
        <w:t>A/C’s</w:t>
      </w:r>
      <w:r w:rsidR="00A96CD0">
        <w:t>,</w:t>
      </w:r>
      <w:r>
        <w:t xml:space="preserve"> and swimming pool pumps were obtained from a literature search of such programs conducted by the </w:t>
      </w:r>
      <w:r w:rsidR="00EF55FF">
        <w:t>SWE T</w:t>
      </w:r>
      <w:r>
        <w:t>eam.</w:t>
      </w:r>
    </w:p>
    <w:p w:rsidR="00554444" w:rsidRDefault="00554444" w:rsidP="00A83ABC"/>
    <w:p w:rsidR="008778AB" w:rsidRDefault="008778AB" w:rsidP="00A83ABC">
      <w:pPr>
        <w:pStyle w:val="Heading3"/>
      </w:pPr>
      <w:bookmarkStart w:id="195" w:name="_Toc412628412"/>
      <w:r>
        <w:t>Program Costs</w:t>
      </w:r>
      <w:r w:rsidR="00B24684">
        <w:t xml:space="preserve"> and Other Key Input Assumptions</w:t>
      </w:r>
      <w:bookmarkEnd w:id="195"/>
    </w:p>
    <w:p w:rsidR="00EF55FF" w:rsidRDefault="00EF55FF" w:rsidP="00A83ABC">
      <w:r>
        <w:t>For our analysis, expenditures on load control computer equipment and load control switches were expensed, not capitalized, as the cost</w:t>
      </w:r>
      <w:r w:rsidR="00CE0565">
        <w:t>-</w:t>
      </w:r>
      <w:r>
        <w:t xml:space="preserve">effectiveness analysis for Phase III assumes that all costs of Phase </w:t>
      </w:r>
      <w:r>
        <w:lastRenderedPageBreak/>
        <w:t xml:space="preserve">III </w:t>
      </w:r>
      <w:r w:rsidR="00037A03">
        <w:t>DR</w:t>
      </w:r>
      <w:r>
        <w:t xml:space="preserve"> programs need to be incurred and recovered during Phase III. The load control equipment (central computer, load control switches) purchased for the program were expensed in the year in which they were purchased and installed. </w:t>
      </w:r>
    </w:p>
    <w:p w:rsidR="008778AB" w:rsidRDefault="008778AB" w:rsidP="00A83ABC"/>
    <w:p w:rsidR="008778AB" w:rsidRDefault="008778AB" w:rsidP="00A83ABC">
      <w:r>
        <w:t xml:space="preserve">Incentives paid to consumers were assumed to be $40 per cycling season, which were paid out for the four summers during which cycling occurred (2017 </w:t>
      </w:r>
      <w:r w:rsidR="00AB5423">
        <w:t xml:space="preserve">to </w:t>
      </w:r>
      <w:r>
        <w:t xml:space="preserve">2020). This incentive amount is based on a </w:t>
      </w:r>
      <w:r w:rsidR="00EF55FF">
        <w:t>SWE</w:t>
      </w:r>
      <w:r>
        <w:t xml:space="preserve"> </w:t>
      </w:r>
      <w:r w:rsidR="00EF55FF">
        <w:t>T</w:t>
      </w:r>
      <w:r>
        <w:t xml:space="preserve">eam review of typical incentive amounts paid by utilities to participants in residential central </w:t>
      </w:r>
      <w:r w:rsidR="00E26294">
        <w:t>A/C</w:t>
      </w:r>
      <w:r>
        <w:t xml:space="preserve"> cycling programs. </w:t>
      </w:r>
      <w:r w:rsidR="00FC2C8C">
        <w:fldChar w:fldCharType="begin"/>
      </w:r>
      <w:r w:rsidR="00FC2C8C">
        <w:instrText xml:space="preserve"> REF _Ref408327243 \h </w:instrText>
      </w:r>
      <w:r w:rsidR="00FC2C8C">
        <w:fldChar w:fldCharType="separate"/>
      </w:r>
      <w:r w:rsidR="00803DBE" w:rsidRPr="002907FC">
        <w:t xml:space="preserve">Table </w:t>
      </w:r>
      <w:r w:rsidR="00803DBE">
        <w:rPr>
          <w:noProof/>
        </w:rPr>
        <w:t>4</w:t>
      </w:r>
      <w:r w:rsidR="00803DBE">
        <w:noBreakHyphen/>
      </w:r>
      <w:r w:rsidR="00803DBE">
        <w:rPr>
          <w:noProof/>
        </w:rPr>
        <w:t>6</w:t>
      </w:r>
      <w:r w:rsidR="00FC2C8C">
        <w:fldChar w:fldCharType="end"/>
      </w:r>
      <w:r w:rsidR="00FC2C8C">
        <w:t xml:space="preserve"> </w:t>
      </w:r>
      <w:r w:rsidR="00B24684">
        <w:t>below summarizes the key input assumptions for each EDC for the benefit/cost analysis of residential load control programs for Phase III.</w:t>
      </w:r>
    </w:p>
    <w:p w:rsidR="00557119" w:rsidRDefault="00557119" w:rsidP="00A83ABC">
      <w:pPr>
        <w:sectPr w:rsidR="00557119" w:rsidSect="008C3783">
          <w:pgSz w:w="12240" w:h="15840"/>
          <w:pgMar w:top="1440" w:right="1440" w:bottom="1170" w:left="1440" w:header="720" w:footer="720" w:gutter="0"/>
          <w:cols w:space="720"/>
          <w:docGrid w:linePitch="360"/>
        </w:sectPr>
      </w:pPr>
    </w:p>
    <w:p w:rsidR="00B24684" w:rsidRPr="002907FC" w:rsidRDefault="002907FC" w:rsidP="00A83ABC">
      <w:pPr>
        <w:pStyle w:val="Caption"/>
      </w:pPr>
      <w:bookmarkStart w:id="196" w:name="_Ref408327243"/>
      <w:bookmarkStart w:id="197" w:name="_Toc412628474"/>
      <w:r w:rsidRPr="002907FC">
        <w:lastRenderedPageBreak/>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6</w:t>
      </w:r>
      <w:r w:rsidR="00E2011B">
        <w:rPr>
          <w:noProof/>
        </w:rPr>
        <w:fldChar w:fldCharType="end"/>
      </w:r>
      <w:bookmarkEnd w:id="196"/>
      <w:r w:rsidRPr="002907FC">
        <w:t xml:space="preserve">: </w:t>
      </w:r>
      <w:r w:rsidR="00CE0565">
        <w:t>Key Input Assumptions for Cost-</w:t>
      </w:r>
      <w:r w:rsidR="00B24684" w:rsidRPr="002907FC">
        <w:t xml:space="preserve">Effectiveness and Potential Analysis for Phase III Residential </w:t>
      </w:r>
      <w:r w:rsidR="001E7663">
        <w:t>DLC</w:t>
      </w:r>
      <w:r w:rsidR="00B24684" w:rsidRPr="002907FC">
        <w:t xml:space="preserve"> Programs</w:t>
      </w:r>
      <w:bookmarkEnd w:id="197"/>
    </w:p>
    <w:tbl>
      <w:tblPr>
        <w:tblW w:w="15030" w:type="dxa"/>
        <w:tblInd w:w="-52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900"/>
        <w:gridCol w:w="630"/>
        <w:gridCol w:w="630"/>
        <w:gridCol w:w="540"/>
        <w:gridCol w:w="630"/>
        <w:gridCol w:w="990"/>
        <w:gridCol w:w="810"/>
        <w:gridCol w:w="900"/>
        <w:gridCol w:w="810"/>
        <w:gridCol w:w="810"/>
        <w:gridCol w:w="810"/>
        <w:gridCol w:w="810"/>
        <w:gridCol w:w="810"/>
        <w:gridCol w:w="1080"/>
        <w:gridCol w:w="630"/>
        <w:gridCol w:w="900"/>
        <w:gridCol w:w="720"/>
        <w:gridCol w:w="810"/>
        <w:gridCol w:w="810"/>
      </w:tblGrid>
      <w:tr w:rsidR="006C051C" w:rsidRPr="00557119" w:rsidTr="00554444">
        <w:trPr>
          <w:trHeight w:val="300"/>
        </w:trPr>
        <w:tc>
          <w:tcPr>
            <w:tcW w:w="900" w:type="dxa"/>
            <w:shd w:val="clear" w:color="000000" w:fill="448A99"/>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w:t>
            </w:r>
          </w:p>
        </w:tc>
        <w:tc>
          <w:tcPr>
            <w:tcW w:w="2430" w:type="dxa"/>
            <w:gridSpan w:val="4"/>
            <w:shd w:val="clear" w:color="000000" w:fill="448A99"/>
            <w:vAlign w:val="bottom"/>
            <w:hideMark/>
          </w:tcPr>
          <w:p w:rsidR="00557119" w:rsidRDefault="00557119" w:rsidP="00A83ABC">
            <w:pPr>
              <w:jc w:val="center"/>
              <w:rPr>
                <w:rFonts w:eastAsia="Times New Roman" w:cs="Times New Roman"/>
                <w:b/>
                <w:bCs/>
                <w:color w:val="FFFFFF"/>
                <w:sz w:val="16"/>
                <w:szCs w:val="18"/>
              </w:rPr>
            </w:pPr>
            <w:r w:rsidRPr="00557119">
              <w:rPr>
                <w:rFonts w:eastAsia="Times New Roman" w:cs="Times New Roman"/>
                <w:b/>
                <w:bCs/>
                <w:color w:val="FFFFFF"/>
                <w:sz w:val="16"/>
                <w:szCs w:val="18"/>
              </w:rPr>
              <w:t xml:space="preserve">Per Unit Peak kW Reduction </w:t>
            </w:r>
          </w:p>
          <w:p w:rsidR="00557119" w:rsidRPr="00557119" w:rsidRDefault="00557119" w:rsidP="00A83ABC">
            <w:pPr>
              <w:jc w:val="center"/>
              <w:rPr>
                <w:rFonts w:eastAsia="Times New Roman" w:cs="Times New Roman"/>
                <w:b/>
                <w:bCs/>
                <w:color w:val="FFFFFF"/>
                <w:sz w:val="16"/>
                <w:szCs w:val="18"/>
              </w:rPr>
            </w:pPr>
            <w:r w:rsidRPr="00557119">
              <w:rPr>
                <w:rFonts w:eastAsia="Times New Roman" w:cs="Times New Roman"/>
                <w:b/>
                <w:bCs/>
                <w:color w:val="FFFFFF"/>
                <w:sz w:val="16"/>
                <w:szCs w:val="18"/>
              </w:rPr>
              <w:t>(at customer meter):</w:t>
            </w:r>
          </w:p>
        </w:tc>
        <w:tc>
          <w:tcPr>
            <w:tcW w:w="990" w:type="dxa"/>
            <w:shd w:val="clear" w:color="000000" w:fill="448A99"/>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w:t>
            </w:r>
          </w:p>
        </w:tc>
        <w:tc>
          <w:tcPr>
            <w:tcW w:w="900" w:type="dxa"/>
            <w:shd w:val="clear" w:color="000000" w:fill="448A99"/>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108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63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90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72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c>
          <w:tcPr>
            <w:tcW w:w="810" w:type="dxa"/>
            <w:shd w:val="clear" w:color="000000" w:fill="448A99"/>
            <w:noWrap/>
            <w:vAlign w:val="bottom"/>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w:t>
            </w:r>
          </w:p>
        </w:tc>
      </w:tr>
      <w:tr w:rsidR="006C051C" w:rsidRPr="00557119" w:rsidTr="00554444">
        <w:trPr>
          <w:trHeight w:val="763"/>
        </w:trPr>
        <w:tc>
          <w:tcPr>
            <w:tcW w:w="900" w:type="dxa"/>
            <w:shd w:val="clear" w:color="000000" w:fill="448A99"/>
            <w:vAlign w:val="bottom"/>
            <w:hideMark/>
          </w:tcPr>
          <w:p w:rsidR="00557119" w:rsidRPr="00557119" w:rsidRDefault="00557119" w:rsidP="00A83ABC">
            <w:pPr>
              <w:jc w:val="center"/>
              <w:rPr>
                <w:rFonts w:eastAsia="Times New Roman" w:cs="Times New Roman"/>
                <w:color w:val="000000"/>
                <w:sz w:val="13"/>
                <w:szCs w:val="13"/>
              </w:rPr>
            </w:pPr>
            <w:r w:rsidRPr="00557119">
              <w:rPr>
                <w:rFonts w:eastAsia="Times New Roman" w:cs="Times New Roman"/>
                <w:color w:val="000000"/>
                <w:sz w:val="13"/>
                <w:szCs w:val="13"/>
              </w:rPr>
              <w:t> </w:t>
            </w:r>
          </w:p>
        </w:tc>
        <w:tc>
          <w:tcPr>
            <w:tcW w:w="63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Central A/C System</w:t>
            </w:r>
          </w:p>
        </w:tc>
        <w:tc>
          <w:tcPr>
            <w:tcW w:w="63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Electric Water Heater</w:t>
            </w:r>
          </w:p>
        </w:tc>
        <w:tc>
          <w:tcPr>
            <w:tcW w:w="54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Room A/C</w:t>
            </w:r>
          </w:p>
        </w:tc>
        <w:tc>
          <w:tcPr>
            <w:tcW w:w="63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Pool Pump</w:t>
            </w:r>
          </w:p>
        </w:tc>
        <w:tc>
          <w:tcPr>
            <w:tcW w:w="99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Forecast Program Participation Rate for Phase IIII</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 xml:space="preserve">Cost of Load Control Switch </w:t>
            </w:r>
            <w:r w:rsidRPr="00557119">
              <w:rPr>
                <w:rFonts w:eastAsia="Times New Roman" w:cs="Times New Roman"/>
                <w:b/>
                <w:bCs/>
                <w:color w:val="FFFFFF"/>
                <w:sz w:val="11"/>
                <w:szCs w:val="13"/>
              </w:rPr>
              <w:t>(Equipment)</w:t>
            </w:r>
          </w:p>
        </w:tc>
        <w:tc>
          <w:tcPr>
            <w:tcW w:w="90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Installation Cost per Load Control Switch</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Cost of Central Computer for Load Control</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Useful Life of Load Control Equipment (years)</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 xml:space="preserve">Maximum </w:t>
            </w:r>
            <w:r w:rsidR="006C051C">
              <w:rPr>
                <w:rFonts w:eastAsia="Times New Roman" w:cs="Times New Roman"/>
                <w:b/>
                <w:bCs/>
                <w:color w:val="FFFFFF"/>
                <w:sz w:val="13"/>
                <w:szCs w:val="13"/>
              </w:rPr>
              <w:t>A</w:t>
            </w:r>
            <w:r w:rsidRPr="00557119">
              <w:rPr>
                <w:rFonts w:eastAsia="Times New Roman" w:cs="Times New Roman"/>
                <w:b/>
                <w:bCs/>
                <w:color w:val="FFFFFF"/>
                <w:sz w:val="13"/>
                <w:szCs w:val="13"/>
              </w:rPr>
              <w:t xml:space="preserve">nnual </w:t>
            </w:r>
            <w:r w:rsidR="006C051C">
              <w:rPr>
                <w:rFonts w:eastAsia="Times New Roman" w:cs="Times New Roman"/>
                <w:b/>
                <w:bCs/>
                <w:color w:val="FFFFFF"/>
                <w:sz w:val="13"/>
                <w:szCs w:val="13"/>
              </w:rPr>
              <w:t>H</w:t>
            </w:r>
            <w:r w:rsidRPr="00557119">
              <w:rPr>
                <w:rFonts w:eastAsia="Times New Roman" w:cs="Times New Roman"/>
                <w:b/>
                <w:bCs/>
                <w:color w:val="FFFFFF"/>
                <w:sz w:val="13"/>
                <w:szCs w:val="13"/>
              </w:rPr>
              <w:t xml:space="preserve">ours of </w:t>
            </w:r>
            <w:r w:rsidR="006C051C">
              <w:rPr>
                <w:rFonts w:eastAsia="Times New Roman" w:cs="Times New Roman"/>
                <w:b/>
                <w:bCs/>
                <w:color w:val="FFFFFF"/>
                <w:sz w:val="13"/>
                <w:szCs w:val="13"/>
              </w:rPr>
              <w:t>Load C</w:t>
            </w:r>
            <w:r w:rsidRPr="00557119">
              <w:rPr>
                <w:rFonts w:eastAsia="Times New Roman" w:cs="Times New Roman"/>
                <w:b/>
                <w:bCs/>
                <w:color w:val="FFFFFF"/>
                <w:sz w:val="13"/>
                <w:szCs w:val="13"/>
              </w:rPr>
              <w:t>ontrol</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 xml:space="preserve">Annual $ Paid to </w:t>
            </w:r>
            <w:r w:rsidR="006C051C">
              <w:rPr>
                <w:rFonts w:eastAsia="Times New Roman" w:cs="Times New Roman"/>
                <w:b/>
                <w:bCs/>
                <w:color w:val="FFFFFF"/>
                <w:sz w:val="13"/>
                <w:szCs w:val="13"/>
              </w:rPr>
              <w:t>E</w:t>
            </w:r>
            <w:r w:rsidRPr="00557119">
              <w:rPr>
                <w:rFonts w:eastAsia="Times New Roman" w:cs="Times New Roman"/>
                <w:b/>
                <w:bCs/>
                <w:color w:val="FFFFFF"/>
                <w:sz w:val="13"/>
                <w:szCs w:val="13"/>
              </w:rPr>
              <w:t>ach Program Participant ($2016)</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 xml:space="preserve">Annual Participant Cost </w:t>
            </w:r>
            <w:r w:rsidRPr="00557119">
              <w:rPr>
                <w:rFonts w:eastAsia="Times New Roman" w:cs="Times New Roman"/>
                <w:b/>
                <w:bCs/>
                <w:color w:val="FFFFFF"/>
                <w:sz w:val="13"/>
                <w:szCs w:val="13"/>
              </w:rPr>
              <w:br/>
              <w:t>(per unit, $2016)</w:t>
            </w:r>
          </w:p>
        </w:tc>
        <w:tc>
          <w:tcPr>
            <w:tcW w:w="108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Annual Costs - Administration, Marketing, etc.</w:t>
            </w:r>
          </w:p>
        </w:tc>
        <w:tc>
          <w:tcPr>
            <w:tcW w:w="63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Annual Rate of Switch Failure</w:t>
            </w:r>
          </w:p>
        </w:tc>
        <w:tc>
          <w:tcPr>
            <w:tcW w:w="90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Avoided Cost of Generation Capacity ($2016)</w:t>
            </w:r>
          </w:p>
        </w:tc>
        <w:tc>
          <w:tcPr>
            <w:tcW w:w="72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 xml:space="preserve">Avoided Cost of Energy - on Peak </w:t>
            </w:r>
            <w:r w:rsidRPr="00557119">
              <w:rPr>
                <w:rFonts w:eastAsia="Times New Roman" w:cs="Times New Roman"/>
                <w:b/>
                <w:bCs/>
                <w:color w:val="FFFFFF"/>
                <w:sz w:val="11"/>
                <w:szCs w:val="13"/>
              </w:rPr>
              <w:t>($2016 per MWH)</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 xml:space="preserve">Avoided Cost of Energy - off Peak </w:t>
            </w:r>
            <w:r w:rsidRPr="00557119">
              <w:rPr>
                <w:rFonts w:eastAsia="Times New Roman" w:cs="Times New Roman"/>
                <w:b/>
                <w:bCs/>
                <w:color w:val="FFFFFF"/>
                <w:sz w:val="11"/>
                <w:szCs w:val="13"/>
              </w:rPr>
              <w:t>($2016 per MWH)</w:t>
            </w:r>
          </w:p>
        </w:tc>
        <w:tc>
          <w:tcPr>
            <w:tcW w:w="810" w:type="dxa"/>
            <w:shd w:val="clear" w:color="000000" w:fill="448A99"/>
            <w:vAlign w:val="bottom"/>
            <w:hideMark/>
          </w:tcPr>
          <w:p w:rsidR="00557119" w:rsidRPr="00557119" w:rsidRDefault="00557119" w:rsidP="00A83ABC">
            <w:pPr>
              <w:jc w:val="center"/>
              <w:rPr>
                <w:rFonts w:eastAsia="Times New Roman" w:cs="Times New Roman"/>
                <w:b/>
                <w:bCs/>
                <w:color w:val="FFFFFF"/>
                <w:sz w:val="13"/>
                <w:szCs w:val="13"/>
              </w:rPr>
            </w:pPr>
            <w:r w:rsidRPr="00557119">
              <w:rPr>
                <w:rFonts w:eastAsia="Times New Roman" w:cs="Times New Roman"/>
                <w:b/>
                <w:bCs/>
                <w:color w:val="FFFFFF"/>
                <w:sz w:val="13"/>
                <w:szCs w:val="13"/>
              </w:rPr>
              <w:t>Avoided Cost of T&amp;D per kW</w:t>
            </w:r>
            <w:r w:rsidR="002C383C">
              <w:rPr>
                <w:rFonts w:eastAsia="Times New Roman" w:cs="Times New Roman"/>
                <w:b/>
                <w:bCs/>
                <w:color w:val="FFFFFF"/>
                <w:sz w:val="13"/>
                <w:szCs w:val="13"/>
              </w:rPr>
              <w:t>-</w:t>
            </w:r>
            <w:r w:rsidRPr="00557119">
              <w:rPr>
                <w:rFonts w:eastAsia="Times New Roman" w:cs="Times New Roman"/>
                <w:b/>
                <w:bCs/>
                <w:color w:val="FFFFFF"/>
                <w:sz w:val="13"/>
                <w:szCs w:val="13"/>
              </w:rPr>
              <w:t>Year ($2016)</w:t>
            </w:r>
          </w:p>
        </w:tc>
      </w:tr>
      <w:tr w:rsidR="006C051C" w:rsidRPr="00557119" w:rsidTr="00554444">
        <w:trPr>
          <w:trHeight w:val="346"/>
        </w:trPr>
        <w:tc>
          <w:tcPr>
            <w:tcW w:w="900" w:type="dxa"/>
            <w:shd w:val="clear" w:color="auto" w:fill="D2EAF1"/>
            <w:noWrap/>
            <w:vAlign w:val="center"/>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Duquesne</w:t>
            </w:r>
          </w:p>
        </w:tc>
        <w:tc>
          <w:tcPr>
            <w:tcW w:w="630" w:type="dxa"/>
            <w:shd w:val="clear" w:color="auto" w:fill="D2EAF1"/>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0.85</w:t>
            </w:r>
          </w:p>
        </w:tc>
        <w:tc>
          <w:tcPr>
            <w:tcW w:w="630" w:type="dxa"/>
            <w:shd w:val="clear" w:color="auto" w:fill="D2EAF1"/>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0.25</w:t>
            </w:r>
          </w:p>
        </w:tc>
        <w:tc>
          <w:tcPr>
            <w:tcW w:w="540" w:type="dxa"/>
            <w:shd w:val="clear" w:color="auto" w:fill="D2EAF1"/>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0.45</w:t>
            </w:r>
          </w:p>
        </w:tc>
        <w:tc>
          <w:tcPr>
            <w:tcW w:w="630" w:type="dxa"/>
            <w:shd w:val="clear" w:color="auto" w:fill="D2EAF1"/>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1.36</w:t>
            </w:r>
          </w:p>
        </w:tc>
        <w:tc>
          <w:tcPr>
            <w:tcW w:w="990" w:type="dxa"/>
            <w:shd w:val="clear" w:color="auto" w:fill="D2EAF1"/>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12.50%</w:t>
            </w:r>
          </w:p>
        </w:tc>
        <w:tc>
          <w:tcPr>
            <w:tcW w:w="810" w:type="dxa"/>
            <w:shd w:val="clear" w:color="auto" w:fill="D2EAF1"/>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$109</w:t>
            </w:r>
          </w:p>
        </w:tc>
        <w:tc>
          <w:tcPr>
            <w:tcW w:w="900" w:type="dxa"/>
            <w:shd w:val="clear" w:color="auto" w:fill="D2EAF1"/>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$91</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$25,000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24</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$40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$30</w:t>
            </w:r>
          </w:p>
        </w:tc>
        <w:tc>
          <w:tcPr>
            <w:tcW w:w="108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$667,304 </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w:t>
            </w:r>
          </w:p>
        </w:tc>
        <w:tc>
          <w:tcPr>
            <w:tcW w:w="90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$43.38 </w:t>
            </w:r>
          </w:p>
        </w:tc>
        <w:tc>
          <w:tcPr>
            <w:tcW w:w="72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$46.65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$32.85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$13.90 </w:t>
            </w:r>
          </w:p>
        </w:tc>
      </w:tr>
      <w:tr w:rsidR="006C051C" w:rsidRPr="00557119" w:rsidTr="00554444">
        <w:trPr>
          <w:trHeight w:val="346"/>
        </w:trPr>
        <w:tc>
          <w:tcPr>
            <w:tcW w:w="900" w:type="dxa"/>
            <w:shd w:val="clear" w:color="auto" w:fill="auto"/>
            <w:noWrap/>
            <w:vAlign w:val="center"/>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FE: Met-Ed</w:t>
            </w:r>
          </w:p>
        </w:tc>
        <w:tc>
          <w:tcPr>
            <w:tcW w:w="630" w:type="dxa"/>
            <w:shd w:val="clear" w:color="auto" w:fill="auto"/>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0.44</w:t>
            </w:r>
          </w:p>
        </w:tc>
        <w:tc>
          <w:tcPr>
            <w:tcW w:w="630" w:type="dxa"/>
            <w:shd w:val="clear" w:color="auto" w:fill="auto"/>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0.25</w:t>
            </w:r>
          </w:p>
        </w:tc>
        <w:tc>
          <w:tcPr>
            <w:tcW w:w="540" w:type="dxa"/>
            <w:shd w:val="clear" w:color="auto" w:fill="auto"/>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0.45</w:t>
            </w:r>
          </w:p>
        </w:tc>
        <w:tc>
          <w:tcPr>
            <w:tcW w:w="630" w:type="dxa"/>
            <w:shd w:val="clear" w:color="auto" w:fill="auto"/>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1.36</w:t>
            </w:r>
          </w:p>
        </w:tc>
        <w:tc>
          <w:tcPr>
            <w:tcW w:w="990" w:type="dxa"/>
            <w:shd w:val="clear" w:color="auto" w:fill="auto"/>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12.50%</w:t>
            </w:r>
          </w:p>
        </w:tc>
        <w:tc>
          <w:tcPr>
            <w:tcW w:w="810" w:type="dxa"/>
            <w:shd w:val="clear" w:color="auto" w:fill="auto"/>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$109</w:t>
            </w:r>
          </w:p>
        </w:tc>
        <w:tc>
          <w:tcPr>
            <w:tcW w:w="900" w:type="dxa"/>
            <w:shd w:val="clear" w:color="auto" w:fill="auto"/>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$91</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$25,000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24</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$40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$30</w:t>
            </w:r>
          </w:p>
        </w:tc>
        <w:tc>
          <w:tcPr>
            <w:tcW w:w="108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$935,623 </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w:t>
            </w:r>
          </w:p>
        </w:tc>
        <w:tc>
          <w:tcPr>
            <w:tcW w:w="90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$43.38 </w:t>
            </w:r>
          </w:p>
        </w:tc>
        <w:tc>
          <w:tcPr>
            <w:tcW w:w="72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$51.09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$39.83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$40.98 </w:t>
            </w:r>
          </w:p>
        </w:tc>
      </w:tr>
      <w:tr w:rsidR="006C051C" w:rsidRPr="00557119" w:rsidTr="00554444">
        <w:trPr>
          <w:trHeight w:val="346"/>
        </w:trPr>
        <w:tc>
          <w:tcPr>
            <w:tcW w:w="900" w:type="dxa"/>
            <w:shd w:val="clear" w:color="auto" w:fill="D2EAF1"/>
            <w:noWrap/>
            <w:vAlign w:val="center"/>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FE: Penelec</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0.44</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0.25</w:t>
            </w:r>
          </w:p>
        </w:tc>
        <w:tc>
          <w:tcPr>
            <w:tcW w:w="54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0.45</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1.36</w:t>
            </w:r>
          </w:p>
        </w:tc>
        <w:tc>
          <w:tcPr>
            <w:tcW w:w="99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12.50%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$109</w:t>
            </w:r>
          </w:p>
        </w:tc>
        <w:tc>
          <w:tcPr>
            <w:tcW w:w="90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$91</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$25,000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24</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$40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$30</w:t>
            </w:r>
          </w:p>
        </w:tc>
        <w:tc>
          <w:tcPr>
            <w:tcW w:w="108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$512,917 </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w:t>
            </w:r>
          </w:p>
        </w:tc>
        <w:tc>
          <w:tcPr>
            <w:tcW w:w="90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$43.38 </w:t>
            </w:r>
          </w:p>
        </w:tc>
        <w:tc>
          <w:tcPr>
            <w:tcW w:w="72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$49.84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$33.23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$40.98 </w:t>
            </w:r>
          </w:p>
        </w:tc>
      </w:tr>
      <w:tr w:rsidR="006C051C" w:rsidRPr="00557119" w:rsidTr="00554444">
        <w:trPr>
          <w:trHeight w:val="346"/>
        </w:trPr>
        <w:tc>
          <w:tcPr>
            <w:tcW w:w="900" w:type="dxa"/>
            <w:shd w:val="clear" w:color="auto" w:fill="auto"/>
            <w:noWrap/>
            <w:vAlign w:val="center"/>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FE: Penn Power</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0.39</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0.25</w:t>
            </w:r>
          </w:p>
        </w:tc>
        <w:tc>
          <w:tcPr>
            <w:tcW w:w="54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0.45</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1.36</w:t>
            </w:r>
          </w:p>
        </w:tc>
        <w:tc>
          <w:tcPr>
            <w:tcW w:w="99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12.50%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$109</w:t>
            </w:r>
          </w:p>
        </w:tc>
        <w:tc>
          <w:tcPr>
            <w:tcW w:w="90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$91</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$25,000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24</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$40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$30</w:t>
            </w:r>
          </w:p>
        </w:tc>
        <w:tc>
          <w:tcPr>
            <w:tcW w:w="108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$299,029 </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w:t>
            </w:r>
          </w:p>
        </w:tc>
        <w:tc>
          <w:tcPr>
            <w:tcW w:w="90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$41.69 </w:t>
            </w:r>
          </w:p>
        </w:tc>
        <w:tc>
          <w:tcPr>
            <w:tcW w:w="72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$51.25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$31.81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$40.98 </w:t>
            </w:r>
          </w:p>
        </w:tc>
      </w:tr>
      <w:tr w:rsidR="006C051C" w:rsidRPr="00557119" w:rsidTr="00554444">
        <w:trPr>
          <w:trHeight w:val="346"/>
        </w:trPr>
        <w:tc>
          <w:tcPr>
            <w:tcW w:w="900" w:type="dxa"/>
            <w:shd w:val="clear" w:color="auto" w:fill="D2EAF1"/>
            <w:noWrap/>
            <w:vAlign w:val="center"/>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 xml:space="preserve">FE: West Penn </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0.42</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0.25</w:t>
            </w:r>
          </w:p>
        </w:tc>
        <w:tc>
          <w:tcPr>
            <w:tcW w:w="54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0.45</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1.36</w:t>
            </w:r>
          </w:p>
        </w:tc>
        <w:tc>
          <w:tcPr>
            <w:tcW w:w="99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12.50%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$109</w:t>
            </w:r>
          </w:p>
        </w:tc>
        <w:tc>
          <w:tcPr>
            <w:tcW w:w="90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$91</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$25,000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24</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$40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$30</w:t>
            </w:r>
          </w:p>
        </w:tc>
        <w:tc>
          <w:tcPr>
            <w:tcW w:w="108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$1,258,133 </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w:t>
            </w:r>
          </w:p>
        </w:tc>
        <w:tc>
          <w:tcPr>
            <w:tcW w:w="90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$24.67 </w:t>
            </w:r>
          </w:p>
        </w:tc>
        <w:tc>
          <w:tcPr>
            <w:tcW w:w="72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$48.99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$38.44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$40.98 </w:t>
            </w:r>
          </w:p>
        </w:tc>
      </w:tr>
      <w:tr w:rsidR="006C051C" w:rsidRPr="00557119" w:rsidTr="00554444">
        <w:trPr>
          <w:trHeight w:val="346"/>
        </w:trPr>
        <w:tc>
          <w:tcPr>
            <w:tcW w:w="900" w:type="dxa"/>
            <w:shd w:val="clear" w:color="auto" w:fill="auto"/>
            <w:noWrap/>
            <w:vAlign w:val="center"/>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PECO</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0.70</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0.25</w:t>
            </w:r>
          </w:p>
        </w:tc>
        <w:tc>
          <w:tcPr>
            <w:tcW w:w="54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0.45</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1.36</w:t>
            </w:r>
          </w:p>
        </w:tc>
        <w:tc>
          <w:tcPr>
            <w:tcW w:w="99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12.50%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$109</w:t>
            </w:r>
          </w:p>
        </w:tc>
        <w:tc>
          <w:tcPr>
            <w:tcW w:w="90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$91</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$25,000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24</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$40</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$30</w:t>
            </w:r>
          </w:p>
        </w:tc>
        <w:tc>
          <w:tcPr>
            <w:tcW w:w="108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$2,017,632 </w:t>
            </w:r>
          </w:p>
        </w:tc>
        <w:tc>
          <w:tcPr>
            <w:tcW w:w="63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w:t>
            </w:r>
          </w:p>
        </w:tc>
        <w:tc>
          <w:tcPr>
            <w:tcW w:w="90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$43.38 </w:t>
            </w:r>
          </w:p>
        </w:tc>
        <w:tc>
          <w:tcPr>
            <w:tcW w:w="72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$51.56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$37.10 </w:t>
            </w:r>
          </w:p>
        </w:tc>
        <w:tc>
          <w:tcPr>
            <w:tcW w:w="810" w:type="dxa"/>
            <w:shd w:val="clear" w:color="auto" w:fill="auto"/>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$49.27 </w:t>
            </w:r>
          </w:p>
        </w:tc>
      </w:tr>
      <w:tr w:rsidR="006C051C" w:rsidRPr="00557119" w:rsidTr="00554444">
        <w:trPr>
          <w:trHeight w:val="346"/>
        </w:trPr>
        <w:tc>
          <w:tcPr>
            <w:tcW w:w="900" w:type="dxa"/>
            <w:shd w:val="clear" w:color="auto" w:fill="D2EAF1"/>
            <w:noWrap/>
            <w:vAlign w:val="center"/>
            <w:hideMark/>
          </w:tcPr>
          <w:p w:rsidR="00557119" w:rsidRPr="00557119" w:rsidRDefault="00557119" w:rsidP="00A83ABC">
            <w:pPr>
              <w:jc w:val="left"/>
              <w:rPr>
                <w:rFonts w:eastAsia="Times New Roman" w:cs="Times New Roman"/>
                <w:color w:val="000000"/>
                <w:sz w:val="16"/>
                <w:szCs w:val="18"/>
              </w:rPr>
            </w:pPr>
            <w:r w:rsidRPr="00557119">
              <w:rPr>
                <w:rFonts w:eastAsia="Times New Roman" w:cs="Times New Roman"/>
                <w:color w:val="000000"/>
                <w:sz w:val="16"/>
                <w:szCs w:val="18"/>
              </w:rPr>
              <w:t>PPL</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0.63</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0.25</w:t>
            </w:r>
          </w:p>
        </w:tc>
        <w:tc>
          <w:tcPr>
            <w:tcW w:w="54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0.45</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1.36</w:t>
            </w:r>
          </w:p>
        </w:tc>
        <w:tc>
          <w:tcPr>
            <w:tcW w:w="99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12.50%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$109</w:t>
            </w:r>
          </w:p>
        </w:tc>
        <w:tc>
          <w:tcPr>
            <w:tcW w:w="90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$91</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$25,000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10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24</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$40</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$30</w:t>
            </w:r>
          </w:p>
        </w:tc>
        <w:tc>
          <w:tcPr>
            <w:tcW w:w="108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$1,018,816 </w:t>
            </w:r>
          </w:p>
        </w:tc>
        <w:tc>
          <w:tcPr>
            <w:tcW w:w="63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3%</w:t>
            </w:r>
          </w:p>
        </w:tc>
        <w:tc>
          <w:tcPr>
            <w:tcW w:w="90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$43.38 </w:t>
            </w:r>
          </w:p>
        </w:tc>
        <w:tc>
          <w:tcPr>
            <w:tcW w:w="72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$51.01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$30.49 </w:t>
            </w:r>
          </w:p>
        </w:tc>
        <w:tc>
          <w:tcPr>
            <w:tcW w:w="810" w:type="dxa"/>
            <w:shd w:val="clear" w:color="auto" w:fill="D2EAF1"/>
            <w:noWrap/>
            <w:vAlign w:val="bottom"/>
            <w:hideMark/>
          </w:tcPr>
          <w:p w:rsidR="00557119" w:rsidRPr="00557119" w:rsidRDefault="00557119" w:rsidP="00A83ABC">
            <w:pPr>
              <w:jc w:val="center"/>
              <w:rPr>
                <w:rFonts w:eastAsia="Times New Roman" w:cs="Times New Roman"/>
                <w:color w:val="000000"/>
                <w:sz w:val="16"/>
                <w:szCs w:val="18"/>
              </w:rPr>
            </w:pPr>
            <w:r w:rsidRPr="00557119">
              <w:rPr>
                <w:rFonts w:eastAsia="Times New Roman" w:cs="Times New Roman"/>
                <w:color w:val="000000"/>
                <w:sz w:val="16"/>
                <w:szCs w:val="18"/>
              </w:rPr>
              <w:t xml:space="preserve">$20.10 </w:t>
            </w:r>
          </w:p>
        </w:tc>
      </w:tr>
    </w:tbl>
    <w:p w:rsidR="00B24684" w:rsidRDefault="00B24684" w:rsidP="00A83ABC"/>
    <w:p w:rsidR="00557119" w:rsidRDefault="00557119" w:rsidP="00A83ABC">
      <w:pPr>
        <w:sectPr w:rsidR="00557119" w:rsidSect="006C051C">
          <w:headerReference w:type="default" r:id="rId54"/>
          <w:footerReference w:type="default" r:id="rId55"/>
          <w:pgSz w:w="15840" w:h="12240" w:orient="landscape" w:code="1"/>
          <w:pgMar w:top="1440" w:right="1440" w:bottom="1440" w:left="1170" w:header="720" w:footer="720" w:gutter="0"/>
          <w:cols w:space="720"/>
          <w:docGrid w:linePitch="360"/>
        </w:sectPr>
      </w:pPr>
    </w:p>
    <w:p w:rsidR="008778AB" w:rsidRDefault="008778AB" w:rsidP="00A83ABC">
      <w:pPr>
        <w:pStyle w:val="Heading3"/>
      </w:pPr>
      <w:bookmarkStart w:id="198" w:name="_Toc412628413"/>
      <w:r>
        <w:lastRenderedPageBreak/>
        <w:t>Budget Scenarios</w:t>
      </w:r>
      <w:bookmarkEnd w:id="198"/>
    </w:p>
    <w:p w:rsidR="00741A91" w:rsidRDefault="008778AB" w:rsidP="00A83ABC">
      <w:r>
        <w:t xml:space="preserve">For the next step, the </w:t>
      </w:r>
      <w:r w:rsidR="00EF55FF">
        <w:t>SWE</w:t>
      </w:r>
      <w:r>
        <w:t xml:space="preserve"> Team </w:t>
      </w:r>
      <w:r w:rsidR="00200D14">
        <w:t>examined</w:t>
      </w:r>
      <w:r>
        <w:t xml:space="preserve"> scenarios </w:t>
      </w:r>
      <w:r w:rsidR="00200D14">
        <w:t xml:space="preserve">for the Phase III implementation of </w:t>
      </w:r>
      <w:r w:rsidR="00857521">
        <w:t>EE</w:t>
      </w:r>
      <w:r w:rsidR="00200D14">
        <w:t xml:space="preserve"> </w:t>
      </w:r>
      <w:r w:rsidR="00EF55FF">
        <w:t xml:space="preserve">and </w:t>
      </w:r>
      <w:r w:rsidR="00037A03">
        <w:t>DR</w:t>
      </w:r>
      <w:r w:rsidR="00EF55FF">
        <w:t xml:space="preserve"> programs at different budget levels</w:t>
      </w:r>
      <w:r>
        <w:t>.</w:t>
      </w:r>
      <w:r w:rsidR="00741A91">
        <w:t xml:space="preserve"> The SWE Team considered four hypothetical budget allocations of the 2% spending cap.</w:t>
      </w:r>
      <w:r w:rsidR="00741A91">
        <w:rPr>
          <w:rStyle w:val="FootnoteReference"/>
        </w:rPr>
        <w:footnoteReference w:id="109"/>
      </w:r>
      <w:r w:rsidR="00741A91">
        <w:t xml:space="preserve"> (The cap is a percent of EDC annual electric revenues between </w:t>
      </w:r>
      <w:r w:rsidR="00857521">
        <w:t>EE</w:t>
      </w:r>
      <w:r w:rsidR="00741A91">
        <w:t xml:space="preserve"> and DR.</w:t>
      </w:r>
      <w:r w:rsidR="00AB5423">
        <w:t>)</w:t>
      </w:r>
      <w:r w:rsidR="00741A91">
        <w:t xml:space="preserve"> The annual budget available for DR under each scenario is presented in </w:t>
      </w:r>
      <w:r w:rsidR="00DE6BED">
        <w:fldChar w:fldCharType="begin"/>
      </w:r>
      <w:r w:rsidR="00DE6BED">
        <w:instrText xml:space="preserve"> REF _Ref408831796 \h </w:instrText>
      </w:r>
      <w:r w:rsidR="00DE6BED">
        <w:fldChar w:fldCharType="separate"/>
      </w:r>
      <w:r w:rsidR="00803DBE" w:rsidRPr="00DE6BED">
        <w:t xml:space="preserve">Table </w:t>
      </w:r>
      <w:r w:rsidR="00803DBE">
        <w:rPr>
          <w:noProof/>
        </w:rPr>
        <w:t>4</w:t>
      </w:r>
      <w:r w:rsidR="00803DBE">
        <w:noBreakHyphen/>
      </w:r>
      <w:r w:rsidR="00803DBE">
        <w:rPr>
          <w:noProof/>
        </w:rPr>
        <w:t>7</w:t>
      </w:r>
      <w:r w:rsidR="00DE6BED">
        <w:fldChar w:fldCharType="end"/>
      </w:r>
      <w:r w:rsidR="00741A91">
        <w:t>.</w:t>
      </w:r>
    </w:p>
    <w:p w:rsidR="00741A91" w:rsidRPr="0082457F" w:rsidRDefault="00741A91" w:rsidP="00A83ABC"/>
    <w:p w:rsidR="00741A91" w:rsidRPr="00DE6BED" w:rsidRDefault="00DE6BED" w:rsidP="00A83ABC">
      <w:pPr>
        <w:pStyle w:val="Caption"/>
      </w:pPr>
      <w:bookmarkStart w:id="199" w:name="_Ref408831796"/>
      <w:bookmarkStart w:id="200" w:name="_Toc412628475"/>
      <w:r w:rsidRPr="00DE6BED">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7</w:t>
      </w:r>
      <w:r w:rsidR="00E2011B">
        <w:rPr>
          <w:noProof/>
        </w:rPr>
        <w:fldChar w:fldCharType="end"/>
      </w:r>
      <w:bookmarkEnd w:id="199"/>
      <w:r w:rsidRPr="00DE6BED">
        <w:t>:</w:t>
      </w:r>
      <w:r w:rsidR="00741A91" w:rsidRPr="00DE6BED">
        <w:t xml:space="preserve"> Annual DR Budget for Program Potential Scenarios</w:t>
      </w:r>
      <w:bookmarkEnd w:id="200"/>
    </w:p>
    <w:tbl>
      <w:tblPr>
        <w:tblStyle w:val="MediumShading1-Accent5"/>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00"/>
        <w:gridCol w:w="1890"/>
        <w:gridCol w:w="1890"/>
        <w:gridCol w:w="1890"/>
        <w:gridCol w:w="1890"/>
      </w:tblGrid>
      <w:tr w:rsidR="00741A91" w:rsidTr="00A432FE">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741A91" w:rsidRDefault="00741A91" w:rsidP="00A83ABC">
            <w:pPr>
              <w:jc w:val="left"/>
              <w:rPr>
                <w:rFonts w:ascii="Calibri" w:eastAsia="Times New Roman" w:hAnsi="Calibri" w:cs="Times New Roman"/>
                <w:color w:val="FFFFFF"/>
                <w:sz w:val="20"/>
                <w:szCs w:val="20"/>
              </w:rPr>
            </w:pPr>
            <w:r>
              <w:rPr>
                <w:rFonts w:ascii="Calibri" w:eastAsia="Times New Roman" w:hAnsi="Calibri" w:cs="Times New Roman"/>
                <w:color w:val="FFFFFF"/>
                <w:sz w:val="20"/>
                <w:szCs w:val="20"/>
              </w:rPr>
              <w:t>EDC</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741A91" w:rsidRDefault="00741A91"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100% EE,  0% DR</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741A91" w:rsidRDefault="00741A91"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90% EE, 10% DR</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741A91" w:rsidRDefault="00741A91"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85% EE, 15% DR</w:t>
            </w:r>
          </w:p>
        </w:tc>
        <w:tc>
          <w:tcPr>
            <w:tcW w:w="189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741A91" w:rsidRDefault="00741A91"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0"/>
                <w:szCs w:val="20"/>
              </w:rPr>
            </w:pPr>
            <w:r>
              <w:rPr>
                <w:rFonts w:ascii="Calibri" w:eastAsia="Times New Roman" w:hAnsi="Calibri" w:cs="Times New Roman"/>
                <w:color w:val="FFFFFF"/>
                <w:sz w:val="20"/>
                <w:szCs w:val="20"/>
              </w:rPr>
              <w:t>80% EE, 20% DR</w:t>
            </w:r>
          </w:p>
        </w:tc>
      </w:tr>
      <w:tr w:rsidR="00741A91"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Duquesne</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$1,954,595</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$2,931,893</w:t>
            </w:r>
          </w:p>
        </w:tc>
        <w:tc>
          <w:tcPr>
            <w:tcW w:w="1890" w:type="dxa"/>
            <w:tcBorders>
              <w:lef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$3,909,190</w:t>
            </w:r>
          </w:p>
        </w:tc>
      </w:tr>
      <w:tr w:rsidR="00741A91"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FE: Met-Ed</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$2,486,689</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$3,730,034</w:t>
            </w:r>
          </w:p>
        </w:tc>
        <w:tc>
          <w:tcPr>
            <w:tcW w:w="1890" w:type="dxa"/>
            <w:tcBorders>
              <w:lef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$4,973,378</w:t>
            </w:r>
          </w:p>
        </w:tc>
      </w:tr>
      <w:tr w:rsidR="00741A91"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FE: Penelec</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$2,297,474</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$3,446,212</w:t>
            </w:r>
          </w:p>
        </w:tc>
        <w:tc>
          <w:tcPr>
            <w:tcW w:w="1890" w:type="dxa"/>
            <w:tcBorders>
              <w:lef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$4,594,949</w:t>
            </w:r>
          </w:p>
        </w:tc>
      </w:tr>
      <w:tr w:rsidR="00741A91"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FE: Penn Power</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$665,978</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$998,968</w:t>
            </w:r>
          </w:p>
        </w:tc>
        <w:tc>
          <w:tcPr>
            <w:tcW w:w="1890" w:type="dxa"/>
            <w:tcBorders>
              <w:lef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$1,331,957</w:t>
            </w:r>
          </w:p>
        </w:tc>
      </w:tr>
      <w:tr w:rsidR="00741A91"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 xml:space="preserve">FE: West Penn </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$2,356,247</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$3,534,370</w:t>
            </w:r>
          </w:p>
        </w:tc>
        <w:tc>
          <w:tcPr>
            <w:tcW w:w="1890" w:type="dxa"/>
            <w:tcBorders>
              <w:lef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$4,712,494</w:t>
            </w:r>
          </w:p>
        </w:tc>
      </w:tr>
      <w:tr w:rsidR="00741A91"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PECO</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$8,539,516</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$12,809,274</w:t>
            </w:r>
          </w:p>
        </w:tc>
        <w:tc>
          <w:tcPr>
            <w:tcW w:w="1890" w:type="dxa"/>
            <w:tcBorders>
              <w:lef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$17,079,032</w:t>
            </w:r>
          </w:p>
        </w:tc>
      </w:tr>
      <w:tr w:rsidR="00741A91"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 w:val="0"/>
                <w:color w:val="000000"/>
                <w:sz w:val="20"/>
                <w:szCs w:val="20"/>
              </w:rPr>
            </w:pPr>
            <w:r>
              <w:rPr>
                <w:rFonts w:ascii="Calibri" w:eastAsia="Times New Roman" w:hAnsi="Calibri" w:cs="Times New Roman"/>
                <w:b w:val="0"/>
                <w:color w:val="000000"/>
                <w:sz w:val="20"/>
                <w:szCs w:val="20"/>
              </w:rPr>
              <w:t>PPL</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$6,150,138</w:t>
            </w:r>
          </w:p>
        </w:tc>
        <w:tc>
          <w:tcPr>
            <w:tcW w:w="1890" w:type="dxa"/>
            <w:tcBorders>
              <w:left w:val="none" w:sz="0" w:space="0" w:color="auto"/>
              <w:righ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$9,225,206</w:t>
            </w:r>
          </w:p>
        </w:tc>
        <w:tc>
          <w:tcPr>
            <w:tcW w:w="1890" w:type="dxa"/>
            <w:tcBorders>
              <w:left w:val="none" w:sz="0" w:space="0" w:color="auto"/>
            </w:tcBorders>
            <w:noWrap/>
            <w:hideMark/>
          </w:tcPr>
          <w:p w:rsidR="00741A91" w:rsidRDefault="00741A91"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$12,300,275</w:t>
            </w:r>
          </w:p>
        </w:tc>
      </w:tr>
      <w:tr w:rsidR="00741A91"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noWrap/>
            <w:hideMark/>
          </w:tcPr>
          <w:p w:rsidR="00741A91" w:rsidRDefault="00741A91" w:rsidP="00A83ABC">
            <w:pPr>
              <w:jc w:val="left"/>
              <w:rPr>
                <w:rFonts w:ascii="Calibri" w:eastAsia="Times New Roman" w:hAnsi="Calibri" w:cs="Times New Roman"/>
                <w:bCs w:val="0"/>
                <w:color w:val="000000"/>
                <w:sz w:val="20"/>
                <w:szCs w:val="20"/>
              </w:rPr>
            </w:pPr>
            <w:r>
              <w:rPr>
                <w:rFonts w:ascii="Calibri" w:eastAsia="Times New Roman" w:hAnsi="Calibri" w:cs="Times New Roman"/>
                <w:bCs w:val="0"/>
                <w:color w:val="000000"/>
                <w:sz w:val="20"/>
                <w:szCs w:val="20"/>
              </w:rPr>
              <w:t>Statewide</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$0</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$24,450,637</w:t>
            </w:r>
          </w:p>
        </w:tc>
        <w:tc>
          <w:tcPr>
            <w:tcW w:w="1890" w:type="dxa"/>
            <w:tcBorders>
              <w:left w:val="none" w:sz="0" w:space="0" w:color="auto"/>
              <w:righ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$36,675,956</w:t>
            </w:r>
          </w:p>
        </w:tc>
        <w:tc>
          <w:tcPr>
            <w:tcW w:w="1890" w:type="dxa"/>
            <w:tcBorders>
              <w:left w:val="none" w:sz="0" w:space="0" w:color="auto"/>
            </w:tcBorders>
            <w:noWrap/>
            <w:hideMark/>
          </w:tcPr>
          <w:p w:rsidR="00741A91" w:rsidRDefault="00741A91"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$48,901,275</w:t>
            </w:r>
          </w:p>
        </w:tc>
      </w:tr>
    </w:tbl>
    <w:p w:rsidR="008778AB" w:rsidRPr="00554444" w:rsidRDefault="008778AB" w:rsidP="00A83ABC"/>
    <w:p w:rsidR="008778AB" w:rsidRDefault="008778AB" w:rsidP="00A83ABC">
      <w:pPr>
        <w:pStyle w:val="Heading3"/>
      </w:pPr>
      <w:bookmarkStart w:id="201" w:name="_Toc412628414"/>
      <w:r>
        <w:t>Cost</w:t>
      </w:r>
      <w:r w:rsidR="00CE0565">
        <w:t>-</w:t>
      </w:r>
      <w:r w:rsidR="005E02D5">
        <w:t>E</w:t>
      </w:r>
      <w:r>
        <w:t>ffectiveness</w:t>
      </w:r>
      <w:bookmarkEnd w:id="201"/>
    </w:p>
    <w:p w:rsidR="005852D3" w:rsidRDefault="00CE0565" w:rsidP="00A83ABC">
      <w:r>
        <w:t>Cost-</w:t>
      </w:r>
      <w:r w:rsidR="005852D3">
        <w:t xml:space="preserve">effectiveness of residential load control was determined based on screening with the </w:t>
      </w:r>
      <w:r w:rsidR="00CA7A59">
        <w:t>TRC test</w:t>
      </w:r>
      <w:r w:rsidR="005852D3">
        <w:t>. This TRC test was calculated according to the Commission’s latest TRC Test Order. All program costs were escalated each year by the general rate of inflation assumed for this study.</w:t>
      </w:r>
      <w:r w:rsidR="005852D3">
        <w:rPr>
          <w:rStyle w:val="FootnoteReference"/>
        </w:rPr>
        <w:footnoteReference w:id="110"/>
      </w:r>
      <w:r w:rsidR="005852D3">
        <w:t xml:space="preserve"> Benefits modeled included avoided electric generation capacity, energy shifted to off-peak hours, and avoided </w:t>
      </w:r>
      <w:r w:rsidR="00AD2C38">
        <w:t>T&amp;D</w:t>
      </w:r>
      <w:r w:rsidR="005852D3">
        <w:t xml:space="preserve"> costs.</w:t>
      </w:r>
      <w:r w:rsidR="007C0547">
        <w:t xml:space="preserve"> A summary of the cost-effectiveness of a proposed residential DLC program limited to central A/Cs is shown in </w:t>
      </w:r>
      <w:r w:rsidR="007C0547">
        <w:fldChar w:fldCharType="begin"/>
      </w:r>
      <w:r w:rsidR="007C0547">
        <w:instrText xml:space="preserve"> REF _Ref412630119 \h </w:instrText>
      </w:r>
      <w:r w:rsidR="007C0547">
        <w:fldChar w:fldCharType="separate"/>
      </w:r>
      <w:r w:rsidR="00803DBE">
        <w:t xml:space="preserve">Table </w:t>
      </w:r>
      <w:r w:rsidR="00803DBE">
        <w:rPr>
          <w:noProof/>
        </w:rPr>
        <w:t>4</w:t>
      </w:r>
      <w:r w:rsidR="00803DBE">
        <w:noBreakHyphen/>
      </w:r>
      <w:r w:rsidR="00803DBE">
        <w:rPr>
          <w:noProof/>
        </w:rPr>
        <w:t>8</w:t>
      </w:r>
      <w:r w:rsidR="007C0547">
        <w:fldChar w:fldCharType="end"/>
      </w:r>
      <w:r w:rsidR="007C0547">
        <w:t>.</w:t>
      </w:r>
      <w:r w:rsidR="005852D3">
        <w:t xml:space="preserve"> </w:t>
      </w:r>
    </w:p>
    <w:p w:rsidR="005852D3" w:rsidRPr="00554444" w:rsidRDefault="005852D3" w:rsidP="00A83ABC"/>
    <w:p w:rsidR="009D742E" w:rsidRDefault="009D742E" w:rsidP="00A83ABC">
      <w:r w:rsidRPr="009D742E">
        <w:t>Assuming a 12.5</w:t>
      </w:r>
      <w:r w:rsidR="00B0713A">
        <w:t>%</w:t>
      </w:r>
      <w:r w:rsidRPr="009D742E">
        <w:t xml:space="preserve"> market penetration, </w:t>
      </w:r>
      <w:r w:rsidR="00ED2436">
        <w:t>nearly 232</w:t>
      </w:r>
      <w:r w:rsidRPr="009D742E">
        <w:t xml:space="preserve"> MW of peak load could be reduced</w:t>
      </w:r>
      <w:r w:rsidR="007F3829">
        <w:t xml:space="preserve"> statewide</w:t>
      </w:r>
      <w:r w:rsidRPr="009D742E">
        <w:t>. However, this hypothetical program falls short of the cost</w:t>
      </w:r>
      <w:r w:rsidR="00CE0565">
        <w:t>-</w:t>
      </w:r>
      <w:r w:rsidRPr="009D742E">
        <w:t xml:space="preserve">effectiveness hurdle for all EDCs, except PECO. The relatively large number of central </w:t>
      </w:r>
      <w:r w:rsidR="00AD2C38">
        <w:t>A/C’s</w:t>
      </w:r>
      <w:r w:rsidR="005033A7">
        <w:t xml:space="preserve"> already having load control switches from</w:t>
      </w:r>
      <w:r w:rsidRPr="009D742E">
        <w:t xml:space="preserve"> PECO’s Phase I program </w:t>
      </w:r>
      <w:r w:rsidR="00C61EFF">
        <w:t>we</w:t>
      </w:r>
      <w:r w:rsidRPr="009D742E">
        <w:t>re assumed to carry ov</w:t>
      </w:r>
      <w:r w:rsidR="005033A7">
        <w:t xml:space="preserve">er to a Phase III program. Because these load control switches were purchased during Phase I of Act 129, there is no additional cost for these switches in Phase III. As a result, a </w:t>
      </w:r>
      <w:r w:rsidR="005852D3">
        <w:t>DLC</w:t>
      </w:r>
      <w:r w:rsidR="005033A7">
        <w:t xml:space="preserve"> program for PECO for those program participants that already have load control switches on central </w:t>
      </w:r>
      <w:r w:rsidR="00E26294">
        <w:t>A/C</w:t>
      </w:r>
      <w:r w:rsidR="00131664">
        <w:t xml:space="preserve"> units increased </w:t>
      </w:r>
      <w:r w:rsidRPr="009D742E">
        <w:t>the cost</w:t>
      </w:r>
      <w:r w:rsidR="00CE0565">
        <w:t>-</w:t>
      </w:r>
      <w:r w:rsidRPr="009D742E">
        <w:t xml:space="preserve">effectiveness </w:t>
      </w:r>
      <w:r w:rsidR="00ED2436">
        <w:t xml:space="preserve">results to </w:t>
      </w:r>
      <w:r w:rsidRPr="009D742E">
        <w:t>slightly positive (1.0</w:t>
      </w:r>
      <w:r w:rsidR="00497B08">
        <w:t>5</w:t>
      </w:r>
      <w:r w:rsidRPr="009D742E">
        <w:t>)</w:t>
      </w:r>
      <w:r w:rsidR="00AE722D">
        <w:t xml:space="preserve"> for Phase III</w:t>
      </w:r>
      <w:r w:rsidRPr="009D742E">
        <w:t xml:space="preserve">.  </w:t>
      </w:r>
    </w:p>
    <w:p w:rsidR="00ED2436" w:rsidRDefault="00ED2436" w:rsidP="00A83ABC"/>
    <w:p w:rsidR="006C051C" w:rsidRDefault="006C051C" w:rsidP="00A83ABC">
      <w:pPr>
        <w:pStyle w:val="Caption"/>
      </w:pPr>
      <w:bookmarkStart w:id="202" w:name="_Ref408327339"/>
    </w:p>
    <w:p w:rsidR="006C051C" w:rsidRDefault="006C051C" w:rsidP="00A83ABC">
      <w:pPr>
        <w:pStyle w:val="Caption"/>
      </w:pPr>
    </w:p>
    <w:p w:rsidR="00554444" w:rsidRDefault="00554444" w:rsidP="00A83ABC">
      <w:pPr>
        <w:pStyle w:val="Caption"/>
      </w:pPr>
    </w:p>
    <w:p w:rsidR="00554444" w:rsidRPr="00554444" w:rsidRDefault="00554444" w:rsidP="00A83ABC"/>
    <w:p w:rsidR="00240586" w:rsidRPr="009D742E" w:rsidRDefault="00240586" w:rsidP="00A83ABC">
      <w:pPr>
        <w:pStyle w:val="Caption"/>
      </w:pPr>
      <w:bookmarkStart w:id="203" w:name="_Ref412630119"/>
      <w:bookmarkStart w:id="204" w:name="_Toc412628476"/>
      <w:r>
        <w:lastRenderedPageBreak/>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8</w:t>
      </w:r>
      <w:r w:rsidR="00E2011B">
        <w:rPr>
          <w:noProof/>
        </w:rPr>
        <w:fldChar w:fldCharType="end"/>
      </w:r>
      <w:bookmarkEnd w:id="202"/>
      <w:bookmarkEnd w:id="203"/>
      <w:r>
        <w:t xml:space="preserve">: Residential </w:t>
      </w:r>
      <w:r w:rsidR="001E7663">
        <w:t>DLC</w:t>
      </w:r>
      <w:r>
        <w:t xml:space="preserve"> Benefits and Costs – Central </w:t>
      </w:r>
      <w:r w:rsidR="001E7663">
        <w:t>A/C</w:t>
      </w:r>
      <w:r>
        <w:t xml:space="preserve"> Control Only</w:t>
      </w:r>
      <w:bookmarkEnd w:id="204"/>
    </w:p>
    <w:tbl>
      <w:tblPr>
        <w:tblW w:w="9375" w:type="dxa"/>
        <w:tblInd w:w="93"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75"/>
        <w:gridCol w:w="1350"/>
        <w:gridCol w:w="1350"/>
        <w:gridCol w:w="1350"/>
        <w:gridCol w:w="1350"/>
        <w:gridCol w:w="1350"/>
        <w:gridCol w:w="1350"/>
      </w:tblGrid>
      <w:tr w:rsidR="006C051C" w:rsidRPr="006C051C" w:rsidTr="00C41816">
        <w:trPr>
          <w:trHeight w:val="780"/>
        </w:trPr>
        <w:tc>
          <w:tcPr>
            <w:tcW w:w="1275" w:type="dxa"/>
            <w:shd w:val="clear" w:color="000000" w:fill="448A99"/>
            <w:vAlign w:val="center"/>
            <w:hideMark/>
          </w:tcPr>
          <w:p w:rsidR="006C051C" w:rsidRPr="006C051C" w:rsidRDefault="006C051C" w:rsidP="00C41816">
            <w:pPr>
              <w:jc w:val="center"/>
              <w:rPr>
                <w:rFonts w:eastAsia="Times New Roman" w:cs="Times New Roman"/>
                <w:b/>
                <w:bCs/>
                <w:color w:val="FFFFFF"/>
                <w:sz w:val="20"/>
                <w:szCs w:val="20"/>
              </w:rPr>
            </w:pPr>
            <w:r w:rsidRPr="006C051C">
              <w:rPr>
                <w:rFonts w:eastAsia="Times New Roman" w:cs="Times New Roman"/>
                <w:b/>
                <w:bCs/>
                <w:color w:val="FFFFFF"/>
                <w:sz w:val="20"/>
                <w:szCs w:val="20"/>
              </w:rPr>
              <w:t>EDC</w:t>
            </w:r>
          </w:p>
        </w:tc>
        <w:tc>
          <w:tcPr>
            <w:tcW w:w="1350" w:type="dxa"/>
            <w:shd w:val="clear" w:color="000000" w:fill="448A99"/>
            <w:vAlign w:val="center"/>
            <w:hideMark/>
          </w:tcPr>
          <w:p w:rsidR="006C051C" w:rsidRPr="006C051C" w:rsidRDefault="006C051C" w:rsidP="00C41816">
            <w:pPr>
              <w:jc w:val="center"/>
              <w:rPr>
                <w:rFonts w:eastAsia="Times New Roman" w:cs="Times New Roman"/>
                <w:b/>
                <w:bCs/>
                <w:color w:val="FFFFFF"/>
                <w:sz w:val="20"/>
                <w:szCs w:val="20"/>
              </w:rPr>
            </w:pPr>
            <w:r w:rsidRPr="006C051C">
              <w:rPr>
                <w:rFonts w:eastAsia="Times New Roman" w:cs="Times New Roman"/>
                <w:b/>
                <w:bCs/>
                <w:color w:val="FFFFFF"/>
                <w:sz w:val="20"/>
                <w:szCs w:val="20"/>
              </w:rPr>
              <w:t>Number of Program Participants</w:t>
            </w:r>
          </w:p>
        </w:tc>
        <w:tc>
          <w:tcPr>
            <w:tcW w:w="1350" w:type="dxa"/>
            <w:shd w:val="clear" w:color="000000" w:fill="448A99"/>
            <w:vAlign w:val="center"/>
            <w:hideMark/>
          </w:tcPr>
          <w:p w:rsidR="006C051C" w:rsidRDefault="006C051C" w:rsidP="00C41816">
            <w:pPr>
              <w:jc w:val="center"/>
              <w:rPr>
                <w:rFonts w:eastAsia="Times New Roman" w:cs="Times New Roman"/>
                <w:b/>
                <w:bCs/>
                <w:color w:val="FFFFFF"/>
                <w:sz w:val="20"/>
                <w:szCs w:val="20"/>
              </w:rPr>
            </w:pPr>
            <w:r w:rsidRPr="006C051C">
              <w:rPr>
                <w:rFonts w:eastAsia="Times New Roman" w:cs="Times New Roman"/>
                <w:b/>
                <w:bCs/>
                <w:color w:val="FFFFFF"/>
                <w:sz w:val="20"/>
                <w:szCs w:val="20"/>
              </w:rPr>
              <w:t>Average Annual Impact</w:t>
            </w:r>
          </w:p>
          <w:p w:rsidR="006C051C" w:rsidRPr="006C051C" w:rsidRDefault="006C051C" w:rsidP="00C41816">
            <w:pPr>
              <w:jc w:val="center"/>
              <w:rPr>
                <w:rFonts w:eastAsia="Times New Roman" w:cs="Times New Roman"/>
                <w:b/>
                <w:bCs/>
                <w:color w:val="FFFFFF"/>
                <w:sz w:val="20"/>
                <w:szCs w:val="20"/>
              </w:rPr>
            </w:pPr>
            <w:r w:rsidRPr="006C051C">
              <w:rPr>
                <w:rFonts w:eastAsia="Times New Roman" w:cs="Times New Roman"/>
                <w:b/>
                <w:bCs/>
                <w:color w:val="FFFFFF"/>
                <w:sz w:val="20"/>
                <w:szCs w:val="20"/>
              </w:rPr>
              <w:t>(MW at Generation Level)</w:t>
            </w:r>
          </w:p>
        </w:tc>
        <w:tc>
          <w:tcPr>
            <w:tcW w:w="1350" w:type="dxa"/>
            <w:shd w:val="clear" w:color="000000" w:fill="448A99"/>
            <w:vAlign w:val="center"/>
            <w:hideMark/>
          </w:tcPr>
          <w:p w:rsidR="006C051C" w:rsidRPr="006C051C" w:rsidRDefault="00532DDB" w:rsidP="00C41816">
            <w:pPr>
              <w:jc w:val="center"/>
              <w:rPr>
                <w:rFonts w:eastAsia="Times New Roman" w:cs="Times New Roman"/>
                <w:b/>
                <w:bCs/>
                <w:color w:val="FFFFFF"/>
                <w:sz w:val="20"/>
                <w:szCs w:val="20"/>
              </w:rPr>
            </w:pPr>
            <w:r>
              <w:rPr>
                <w:rFonts w:eastAsia="Times New Roman" w:cs="Times New Roman"/>
                <w:b/>
                <w:bCs/>
                <w:color w:val="FFFFFF"/>
                <w:sz w:val="20"/>
                <w:szCs w:val="20"/>
              </w:rPr>
              <w:t>PV</w:t>
            </w:r>
            <w:r w:rsidR="006C051C" w:rsidRPr="006C051C">
              <w:rPr>
                <w:rFonts w:eastAsia="Times New Roman" w:cs="Times New Roman"/>
                <w:b/>
                <w:bCs/>
                <w:color w:val="FFFFFF"/>
                <w:sz w:val="20"/>
                <w:szCs w:val="20"/>
              </w:rPr>
              <w:t xml:space="preserve"> of Program Benefits</w:t>
            </w:r>
          </w:p>
        </w:tc>
        <w:tc>
          <w:tcPr>
            <w:tcW w:w="1350" w:type="dxa"/>
            <w:shd w:val="clear" w:color="000000" w:fill="448A99"/>
            <w:vAlign w:val="center"/>
            <w:hideMark/>
          </w:tcPr>
          <w:p w:rsidR="006C051C" w:rsidRPr="006C051C" w:rsidRDefault="00532DDB" w:rsidP="00C41816">
            <w:pPr>
              <w:jc w:val="center"/>
              <w:rPr>
                <w:rFonts w:eastAsia="Times New Roman" w:cs="Times New Roman"/>
                <w:b/>
                <w:bCs/>
                <w:color w:val="FFFFFF"/>
                <w:sz w:val="20"/>
                <w:szCs w:val="20"/>
              </w:rPr>
            </w:pPr>
            <w:r>
              <w:rPr>
                <w:rFonts w:eastAsia="Times New Roman" w:cs="Times New Roman"/>
                <w:b/>
                <w:bCs/>
                <w:color w:val="FFFFFF"/>
                <w:sz w:val="20"/>
                <w:szCs w:val="20"/>
              </w:rPr>
              <w:t>PV</w:t>
            </w:r>
            <w:r w:rsidR="006C051C" w:rsidRPr="006C051C">
              <w:rPr>
                <w:rFonts w:eastAsia="Times New Roman" w:cs="Times New Roman"/>
                <w:b/>
                <w:bCs/>
                <w:color w:val="FFFFFF"/>
                <w:sz w:val="20"/>
                <w:szCs w:val="20"/>
              </w:rPr>
              <w:t xml:space="preserve"> of Program Costs</w:t>
            </w:r>
          </w:p>
        </w:tc>
        <w:tc>
          <w:tcPr>
            <w:tcW w:w="1350" w:type="dxa"/>
            <w:shd w:val="clear" w:color="000000" w:fill="448A99"/>
            <w:vAlign w:val="center"/>
            <w:hideMark/>
          </w:tcPr>
          <w:p w:rsidR="006C051C" w:rsidRPr="006C051C" w:rsidRDefault="006C051C" w:rsidP="00C41816">
            <w:pPr>
              <w:jc w:val="center"/>
              <w:rPr>
                <w:rFonts w:eastAsia="Times New Roman" w:cs="Times New Roman"/>
                <w:b/>
                <w:bCs/>
                <w:color w:val="FFFFFF"/>
                <w:sz w:val="20"/>
                <w:szCs w:val="20"/>
              </w:rPr>
            </w:pPr>
            <w:r w:rsidRPr="006C051C">
              <w:rPr>
                <w:rFonts w:eastAsia="Times New Roman" w:cs="Times New Roman"/>
                <w:b/>
                <w:bCs/>
                <w:color w:val="FFFFFF"/>
                <w:sz w:val="20"/>
                <w:szCs w:val="20"/>
              </w:rPr>
              <w:t>NPV of Benefits - NPV of Costs</w:t>
            </w:r>
          </w:p>
        </w:tc>
        <w:tc>
          <w:tcPr>
            <w:tcW w:w="1350" w:type="dxa"/>
            <w:shd w:val="clear" w:color="000000" w:fill="448A99"/>
            <w:vAlign w:val="center"/>
            <w:hideMark/>
          </w:tcPr>
          <w:p w:rsidR="006C051C" w:rsidRPr="006C051C" w:rsidRDefault="006C051C" w:rsidP="00C41816">
            <w:pPr>
              <w:jc w:val="center"/>
              <w:rPr>
                <w:rFonts w:eastAsia="Times New Roman" w:cs="Times New Roman"/>
                <w:b/>
                <w:bCs/>
                <w:color w:val="FFFFFF"/>
                <w:sz w:val="20"/>
                <w:szCs w:val="20"/>
              </w:rPr>
            </w:pPr>
            <w:r w:rsidRPr="006C051C">
              <w:rPr>
                <w:rFonts w:eastAsia="Times New Roman" w:cs="Times New Roman"/>
                <w:b/>
                <w:bCs/>
                <w:color w:val="FFFFFF"/>
                <w:sz w:val="20"/>
                <w:szCs w:val="20"/>
              </w:rPr>
              <w:t>Lifetime TRC Ratio</w:t>
            </w:r>
          </w:p>
        </w:tc>
      </w:tr>
      <w:tr w:rsidR="006C051C" w:rsidRPr="006C051C" w:rsidTr="00554444">
        <w:trPr>
          <w:trHeight w:val="346"/>
        </w:trPr>
        <w:tc>
          <w:tcPr>
            <w:tcW w:w="1275" w:type="dxa"/>
            <w:shd w:val="clear" w:color="auto" w:fill="D2EAF1"/>
            <w:hideMark/>
          </w:tcPr>
          <w:p w:rsidR="006C051C" w:rsidRPr="006C051C" w:rsidRDefault="006C051C" w:rsidP="00A83ABC">
            <w:pPr>
              <w:jc w:val="left"/>
              <w:rPr>
                <w:rFonts w:eastAsia="Times New Roman" w:cs="Times New Roman"/>
                <w:bCs/>
                <w:color w:val="000000"/>
                <w:sz w:val="20"/>
                <w:szCs w:val="20"/>
              </w:rPr>
            </w:pPr>
            <w:r w:rsidRPr="006C051C">
              <w:rPr>
                <w:rFonts w:eastAsia="Times New Roman" w:cs="Times New Roman"/>
                <w:bCs/>
                <w:color w:val="000000"/>
                <w:sz w:val="20"/>
                <w:szCs w:val="20"/>
              </w:rPr>
              <w:t>Duquesne</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40,268</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36.75</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$26,890,047</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$35,098,670</w:t>
            </w:r>
          </w:p>
        </w:tc>
        <w:tc>
          <w:tcPr>
            <w:tcW w:w="1350" w:type="dxa"/>
            <w:shd w:val="clear" w:color="auto" w:fill="D2EAF1"/>
            <w:noWrap/>
            <w:hideMark/>
          </w:tcPr>
          <w:p w:rsidR="006C051C" w:rsidRPr="006C051C" w:rsidRDefault="00A432FE" w:rsidP="00A83ABC">
            <w:pPr>
              <w:jc w:val="center"/>
              <w:rPr>
                <w:rFonts w:eastAsia="Times New Roman" w:cs="Times New Roman"/>
                <w:bCs/>
                <w:color w:val="FF0000"/>
                <w:sz w:val="20"/>
                <w:szCs w:val="20"/>
              </w:rPr>
            </w:pPr>
            <w:r>
              <w:rPr>
                <w:rFonts w:eastAsia="Times New Roman" w:cs="Times New Roman"/>
                <w:bCs/>
                <w:color w:val="FF0000"/>
                <w:sz w:val="20"/>
                <w:szCs w:val="20"/>
              </w:rPr>
              <w:t>-</w:t>
            </w:r>
            <w:r w:rsidR="006C051C">
              <w:rPr>
                <w:rFonts w:eastAsia="Times New Roman" w:cs="Times New Roman"/>
                <w:bCs/>
                <w:color w:val="FF0000"/>
                <w:sz w:val="20"/>
                <w:szCs w:val="20"/>
              </w:rPr>
              <w:t>$8,208,624</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0.78</w:t>
            </w:r>
          </w:p>
        </w:tc>
      </w:tr>
      <w:tr w:rsidR="006C051C" w:rsidRPr="006C051C" w:rsidTr="00554444">
        <w:trPr>
          <w:trHeight w:val="346"/>
        </w:trPr>
        <w:tc>
          <w:tcPr>
            <w:tcW w:w="1275" w:type="dxa"/>
            <w:shd w:val="clear" w:color="auto" w:fill="auto"/>
            <w:hideMark/>
          </w:tcPr>
          <w:p w:rsidR="006C051C" w:rsidRPr="006C051C" w:rsidRDefault="008435A8" w:rsidP="00A83ABC">
            <w:pPr>
              <w:jc w:val="left"/>
              <w:rPr>
                <w:rFonts w:eastAsia="Times New Roman" w:cs="Times New Roman"/>
                <w:bCs/>
                <w:color w:val="000000"/>
                <w:sz w:val="20"/>
                <w:szCs w:val="20"/>
              </w:rPr>
            </w:pPr>
            <w:r>
              <w:rPr>
                <w:rFonts w:ascii="Calibri" w:eastAsia="Times New Roman" w:hAnsi="Calibri" w:cs="Times New Roman"/>
                <w:color w:val="000000"/>
                <w:sz w:val="20"/>
                <w:szCs w:val="20"/>
              </w:rPr>
              <w:t xml:space="preserve">FE: </w:t>
            </w:r>
            <w:r w:rsidR="006C051C" w:rsidRPr="006C051C">
              <w:rPr>
                <w:rFonts w:eastAsia="Times New Roman" w:cs="Times New Roman"/>
                <w:bCs/>
                <w:color w:val="000000"/>
                <w:sz w:val="20"/>
                <w:szCs w:val="20"/>
              </w:rPr>
              <w:t>Met Ed</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38,025</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18.03</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$22,718,313</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$35,075,330</w:t>
            </w:r>
          </w:p>
        </w:tc>
        <w:tc>
          <w:tcPr>
            <w:tcW w:w="1350" w:type="dxa"/>
            <w:shd w:val="clear" w:color="auto" w:fill="auto"/>
            <w:noWrap/>
            <w:hideMark/>
          </w:tcPr>
          <w:p w:rsidR="006C051C" w:rsidRPr="006C051C" w:rsidRDefault="00A432FE" w:rsidP="00A83ABC">
            <w:pPr>
              <w:jc w:val="center"/>
              <w:rPr>
                <w:rFonts w:eastAsia="Times New Roman" w:cs="Times New Roman"/>
                <w:bCs/>
                <w:color w:val="FF0000"/>
                <w:sz w:val="20"/>
                <w:szCs w:val="20"/>
              </w:rPr>
            </w:pPr>
            <w:r>
              <w:rPr>
                <w:rFonts w:eastAsia="Times New Roman" w:cs="Times New Roman"/>
                <w:bCs/>
                <w:color w:val="FF0000"/>
                <w:sz w:val="20"/>
                <w:szCs w:val="20"/>
              </w:rPr>
              <w:t>-</w:t>
            </w:r>
            <w:r w:rsidR="006C051C" w:rsidRPr="006C051C">
              <w:rPr>
                <w:rFonts w:eastAsia="Times New Roman" w:cs="Times New Roman"/>
                <w:bCs/>
                <w:color w:val="FF0000"/>
                <w:sz w:val="20"/>
                <w:szCs w:val="20"/>
              </w:rPr>
              <w:t>$</w:t>
            </w:r>
            <w:r w:rsidR="006C051C">
              <w:rPr>
                <w:rFonts w:eastAsia="Times New Roman" w:cs="Times New Roman"/>
                <w:bCs/>
                <w:color w:val="FF0000"/>
                <w:sz w:val="20"/>
                <w:szCs w:val="20"/>
              </w:rPr>
              <w:t>12,357,017</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0.65</w:t>
            </w:r>
          </w:p>
        </w:tc>
      </w:tr>
      <w:tr w:rsidR="006C051C" w:rsidRPr="006C051C" w:rsidTr="00554444">
        <w:trPr>
          <w:trHeight w:val="346"/>
        </w:trPr>
        <w:tc>
          <w:tcPr>
            <w:tcW w:w="1275" w:type="dxa"/>
            <w:shd w:val="clear" w:color="auto" w:fill="D2EAF1"/>
            <w:hideMark/>
          </w:tcPr>
          <w:p w:rsidR="006C051C" w:rsidRPr="006C051C" w:rsidRDefault="008435A8" w:rsidP="00A83ABC">
            <w:pPr>
              <w:jc w:val="left"/>
              <w:rPr>
                <w:rFonts w:eastAsia="Times New Roman" w:cs="Times New Roman"/>
                <w:bCs/>
                <w:color w:val="000000"/>
                <w:sz w:val="20"/>
                <w:szCs w:val="20"/>
              </w:rPr>
            </w:pPr>
            <w:r>
              <w:rPr>
                <w:rFonts w:ascii="Calibri" w:eastAsia="Times New Roman" w:hAnsi="Calibri" w:cs="Times New Roman"/>
                <w:color w:val="000000"/>
                <w:sz w:val="20"/>
                <w:szCs w:val="20"/>
              </w:rPr>
              <w:t xml:space="preserve">FE: </w:t>
            </w:r>
            <w:r w:rsidR="006C051C">
              <w:rPr>
                <w:rFonts w:eastAsia="Times New Roman" w:cs="Times New Roman"/>
                <w:bCs/>
                <w:color w:val="000000"/>
                <w:sz w:val="20"/>
                <w:szCs w:val="20"/>
              </w:rPr>
              <w:t>Pene</w:t>
            </w:r>
            <w:r w:rsidR="006C051C" w:rsidRPr="006C051C">
              <w:rPr>
                <w:rFonts w:eastAsia="Times New Roman" w:cs="Times New Roman"/>
                <w:bCs/>
                <w:color w:val="000000"/>
                <w:sz w:val="20"/>
                <w:szCs w:val="20"/>
              </w:rPr>
              <w:t>lec</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20,846</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10.13</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$12,386,117</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$18,968,416</w:t>
            </w:r>
          </w:p>
        </w:tc>
        <w:tc>
          <w:tcPr>
            <w:tcW w:w="1350" w:type="dxa"/>
            <w:shd w:val="clear" w:color="auto" w:fill="D2EAF1"/>
            <w:noWrap/>
            <w:hideMark/>
          </w:tcPr>
          <w:p w:rsidR="006C051C" w:rsidRPr="006C051C" w:rsidRDefault="00A432FE" w:rsidP="00A83ABC">
            <w:pPr>
              <w:jc w:val="center"/>
              <w:rPr>
                <w:rFonts w:eastAsia="Times New Roman" w:cs="Times New Roman"/>
                <w:bCs/>
                <w:color w:val="FF0000"/>
                <w:sz w:val="20"/>
                <w:szCs w:val="20"/>
              </w:rPr>
            </w:pPr>
            <w:r>
              <w:rPr>
                <w:rFonts w:eastAsia="Times New Roman" w:cs="Times New Roman"/>
                <w:bCs/>
                <w:color w:val="FF0000"/>
                <w:sz w:val="20"/>
                <w:szCs w:val="20"/>
              </w:rPr>
              <w:t>-</w:t>
            </w:r>
            <w:r w:rsidR="006C051C" w:rsidRPr="006C051C">
              <w:rPr>
                <w:rFonts w:eastAsia="Times New Roman" w:cs="Times New Roman"/>
                <w:bCs/>
                <w:color w:val="FF0000"/>
                <w:sz w:val="20"/>
                <w:szCs w:val="20"/>
              </w:rPr>
              <w:t>$</w:t>
            </w:r>
            <w:r w:rsidR="006C051C">
              <w:rPr>
                <w:rFonts w:eastAsia="Times New Roman" w:cs="Times New Roman"/>
                <w:bCs/>
                <w:color w:val="FF0000"/>
                <w:sz w:val="20"/>
                <w:szCs w:val="20"/>
              </w:rPr>
              <w:t>6,582,299</w:t>
            </w:r>
          </w:p>
        </w:tc>
        <w:tc>
          <w:tcPr>
            <w:tcW w:w="1350" w:type="dxa"/>
            <w:shd w:val="clear" w:color="auto" w:fill="D2EAF1"/>
            <w:noWrap/>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0.65</w:t>
            </w:r>
          </w:p>
        </w:tc>
      </w:tr>
      <w:tr w:rsidR="006C051C" w:rsidRPr="006C051C" w:rsidTr="00554444">
        <w:trPr>
          <w:trHeight w:val="346"/>
        </w:trPr>
        <w:tc>
          <w:tcPr>
            <w:tcW w:w="1275" w:type="dxa"/>
            <w:shd w:val="clear" w:color="auto" w:fill="auto"/>
            <w:hideMark/>
          </w:tcPr>
          <w:p w:rsidR="006C051C" w:rsidRPr="006C051C" w:rsidRDefault="008435A8" w:rsidP="00A83ABC">
            <w:pPr>
              <w:jc w:val="left"/>
              <w:rPr>
                <w:rFonts w:eastAsia="Times New Roman" w:cs="Times New Roman"/>
                <w:bCs/>
                <w:color w:val="000000"/>
                <w:sz w:val="20"/>
                <w:szCs w:val="20"/>
              </w:rPr>
            </w:pPr>
            <w:r>
              <w:rPr>
                <w:rFonts w:ascii="Calibri" w:eastAsia="Times New Roman" w:hAnsi="Calibri" w:cs="Times New Roman"/>
                <w:color w:val="000000"/>
                <w:sz w:val="20"/>
                <w:szCs w:val="20"/>
              </w:rPr>
              <w:t xml:space="preserve">FE: </w:t>
            </w:r>
            <w:r w:rsidR="006C051C" w:rsidRPr="006C051C">
              <w:rPr>
                <w:rFonts w:eastAsia="Times New Roman" w:cs="Times New Roman"/>
                <w:bCs/>
                <w:color w:val="000000"/>
                <w:sz w:val="20"/>
                <w:szCs w:val="20"/>
              </w:rPr>
              <w:t>Penn</w:t>
            </w:r>
            <w:r w:rsidR="00D85C97">
              <w:rPr>
                <w:rFonts w:eastAsia="Times New Roman" w:cs="Times New Roman"/>
                <w:bCs/>
                <w:color w:val="000000"/>
                <w:sz w:val="20"/>
                <w:szCs w:val="20"/>
              </w:rPr>
              <w:t xml:space="preserve"> </w:t>
            </w:r>
            <w:r w:rsidR="006C051C" w:rsidRPr="006C051C">
              <w:rPr>
                <w:rFonts w:eastAsia="Times New Roman" w:cs="Times New Roman"/>
                <w:bCs/>
                <w:color w:val="000000"/>
                <w:sz w:val="20"/>
                <w:szCs w:val="20"/>
              </w:rPr>
              <w:t>Power</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12,154</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5.24</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$4,465,010</w:t>
            </w:r>
          </w:p>
        </w:tc>
        <w:tc>
          <w:tcPr>
            <w:tcW w:w="1350" w:type="dxa"/>
            <w:shd w:val="clear" w:color="auto" w:fill="auto"/>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$9,882,516</w:t>
            </w:r>
          </w:p>
        </w:tc>
        <w:tc>
          <w:tcPr>
            <w:tcW w:w="1350" w:type="dxa"/>
            <w:shd w:val="clear" w:color="auto" w:fill="auto"/>
            <w:noWrap/>
            <w:hideMark/>
          </w:tcPr>
          <w:p w:rsidR="006C051C" w:rsidRPr="006C051C" w:rsidRDefault="00A432FE" w:rsidP="00A83ABC">
            <w:pPr>
              <w:jc w:val="center"/>
              <w:rPr>
                <w:rFonts w:eastAsia="Times New Roman" w:cs="Times New Roman"/>
                <w:bCs/>
                <w:color w:val="FF0000"/>
                <w:sz w:val="20"/>
                <w:szCs w:val="20"/>
              </w:rPr>
            </w:pPr>
            <w:r>
              <w:rPr>
                <w:rFonts w:eastAsia="Times New Roman" w:cs="Times New Roman"/>
                <w:bCs/>
                <w:color w:val="FF0000"/>
                <w:sz w:val="20"/>
                <w:szCs w:val="20"/>
              </w:rPr>
              <w:t>-</w:t>
            </w:r>
            <w:r w:rsidR="006C051C" w:rsidRPr="006C051C">
              <w:rPr>
                <w:rFonts w:eastAsia="Times New Roman" w:cs="Times New Roman"/>
                <w:bCs/>
                <w:color w:val="FF0000"/>
                <w:sz w:val="20"/>
                <w:szCs w:val="20"/>
              </w:rPr>
              <w:t>$</w:t>
            </w:r>
            <w:r w:rsidR="006C051C">
              <w:rPr>
                <w:rFonts w:eastAsia="Times New Roman" w:cs="Times New Roman"/>
                <w:bCs/>
                <w:color w:val="FF0000"/>
                <w:sz w:val="20"/>
                <w:szCs w:val="20"/>
              </w:rPr>
              <w:t>5,417,506</w:t>
            </w:r>
          </w:p>
        </w:tc>
        <w:tc>
          <w:tcPr>
            <w:tcW w:w="1350" w:type="dxa"/>
            <w:shd w:val="clear" w:color="auto" w:fill="auto"/>
            <w:noWrap/>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0.45</w:t>
            </w:r>
          </w:p>
        </w:tc>
      </w:tr>
      <w:tr w:rsidR="006C051C" w:rsidRPr="006C051C" w:rsidTr="00554444">
        <w:trPr>
          <w:trHeight w:val="346"/>
        </w:trPr>
        <w:tc>
          <w:tcPr>
            <w:tcW w:w="1275" w:type="dxa"/>
            <w:shd w:val="clear" w:color="auto" w:fill="D2EAF1"/>
            <w:hideMark/>
          </w:tcPr>
          <w:p w:rsidR="006C051C" w:rsidRPr="006C051C" w:rsidRDefault="008435A8" w:rsidP="00A83ABC">
            <w:pPr>
              <w:jc w:val="left"/>
              <w:rPr>
                <w:rFonts w:eastAsia="Times New Roman" w:cs="Times New Roman"/>
                <w:bCs/>
                <w:color w:val="000000"/>
                <w:sz w:val="20"/>
                <w:szCs w:val="20"/>
              </w:rPr>
            </w:pPr>
            <w:r>
              <w:rPr>
                <w:rFonts w:ascii="Calibri" w:eastAsia="Times New Roman" w:hAnsi="Calibri" w:cs="Times New Roman"/>
                <w:color w:val="000000"/>
                <w:sz w:val="20"/>
                <w:szCs w:val="20"/>
              </w:rPr>
              <w:t xml:space="preserve">FE: </w:t>
            </w:r>
            <w:r w:rsidR="006C051C">
              <w:rPr>
                <w:rFonts w:eastAsia="Times New Roman" w:cs="Times New Roman"/>
                <w:bCs/>
                <w:color w:val="000000"/>
                <w:sz w:val="20"/>
                <w:szCs w:val="20"/>
              </w:rPr>
              <w:t>West Penn</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51,133</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23.71</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$30,301,372</w:t>
            </w:r>
          </w:p>
        </w:tc>
        <w:tc>
          <w:tcPr>
            <w:tcW w:w="1350" w:type="dxa"/>
            <w:shd w:val="clear" w:color="auto" w:fill="D2EAF1"/>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$47,164,543</w:t>
            </w:r>
          </w:p>
        </w:tc>
        <w:tc>
          <w:tcPr>
            <w:tcW w:w="1350" w:type="dxa"/>
            <w:shd w:val="clear" w:color="auto" w:fill="D2EAF1"/>
            <w:noWrap/>
            <w:hideMark/>
          </w:tcPr>
          <w:p w:rsidR="006C051C" w:rsidRPr="006C051C" w:rsidRDefault="00A432FE" w:rsidP="00A83ABC">
            <w:pPr>
              <w:jc w:val="center"/>
              <w:rPr>
                <w:rFonts w:eastAsia="Times New Roman" w:cs="Times New Roman"/>
                <w:bCs/>
                <w:color w:val="FF0000"/>
                <w:sz w:val="20"/>
                <w:szCs w:val="20"/>
              </w:rPr>
            </w:pPr>
            <w:r>
              <w:rPr>
                <w:rFonts w:eastAsia="Times New Roman" w:cs="Times New Roman"/>
                <w:bCs/>
                <w:color w:val="FF0000"/>
                <w:sz w:val="20"/>
                <w:szCs w:val="20"/>
              </w:rPr>
              <w:t>-</w:t>
            </w:r>
            <w:r w:rsidR="006C051C" w:rsidRPr="006C051C">
              <w:rPr>
                <w:rFonts w:eastAsia="Times New Roman" w:cs="Times New Roman"/>
                <w:bCs/>
                <w:color w:val="FF0000"/>
                <w:sz w:val="20"/>
                <w:szCs w:val="20"/>
              </w:rPr>
              <w:t>$</w:t>
            </w:r>
            <w:r w:rsidR="006C051C">
              <w:rPr>
                <w:rFonts w:eastAsia="Times New Roman" w:cs="Times New Roman"/>
                <w:bCs/>
                <w:color w:val="FF0000"/>
                <w:sz w:val="20"/>
                <w:szCs w:val="20"/>
              </w:rPr>
              <w:t>16,863,170</w:t>
            </w:r>
          </w:p>
        </w:tc>
        <w:tc>
          <w:tcPr>
            <w:tcW w:w="1350" w:type="dxa"/>
            <w:shd w:val="clear" w:color="auto" w:fill="D2EAF1"/>
            <w:noWrap/>
            <w:hideMark/>
          </w:tcPr>
          <w:p w:rsidR="006C051C" w:rsidRPr="006C051C" w:rsidRDefault="006C051C"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0.64</w:t>
            </w:r>
          </w:p>
        </w:tc>
      </w:tr>
      <w:tr w:rsidR="008435A8" w:rsidRPr="006C051C" w:rsidTr="00554444">
        <w:trPr>
          <w:trHeight w:val="346"/>
        </w:trPr>
        <w:tc>
          <w:tcPr>
            <w:tcW w:w="1275" w:type="dxa"/>
            <w:shd w:val="clear" w:color="auto" w:fill="auto"/>
          </w:tcPr>
          <w:p w:rsidR="008435A8" w:rsidRPr="006C051C" w:rsidRDefault="008435A8" w:rsidP="00A83ABC">
            <w:pPr>
              <w:jc w:val="left"/>
              <w:rPr>
                <w:rFonts w:eastAsia="Times New Roman" w:cs="Times New Roman"/>
                <w:bCs/>
                <w:color w:val="000000"/>
                <w:sz w:val="20"/>
                <w:szCs w:val="20"/>
              </w:rPr>
            </w:pPr>
            <w:r w:rsidRPr="006C051C">
              <w:rPr>
                <w:rFonts w:eastAsia="Times New Roman" w:cs="Times New Roman"/>
                <w:bCs/>
                <w:color w:val="000000"/>
                <w:sz w:val="20"/>
                <w:szCs w:val="20"/>
              </w:rPr>
              <w:t>PECO</w:t>
            </w:r>
          </w:p>
        </w:tc>
        <w:tc>
          <w:tcPr>
            <w:tcW w:w="1350" w:type="dxa"/>
            <w:shd w:val="clear" w:color="auto" w:fill="auto"/>
            <w:noWrap/>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108,049</w:t>
            </w:r>
          </w:p>
        </w:tc>
        <w:tc>
          <w:tcPr>
            <w:tcW w:w="1350" w:type="dxa"/>
            <w:shd w:val="clear" w:color="auto" w:fill="auto"/>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82.20</w:t>
            </w:r>
          </w:p>
        </w:tc>
        <w:tc>
          <w:tcPr>
            <w:tcW w:w="1350" w:type="dxa"/>
            <w:shd w:val="clear" w:color="auto" w:fill="auto"/>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$68,684,924</w:t>
            </w:r>
          </w:p>
        </w:tc>
        <w:tc>
          <w:tcPr>
            <w:tcW w:w="1350" w:type="dxa"/>
            <w:shd w:val="clear" w:color="auto" w:fill="auto"/>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$65,334,434</w:t>
            </w:r>
          </w:p>
        </w:tc>
        <w:tc>
          <w:tcPr>
            <w:tcW w:w="1350" w:type="dxa"/>
            <w:shd w:val="clear" w:color="auto" w:fill="auto"/>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$3,350,490</w:t>
            </w:r>
          </w:p>
        </w:tc>
        <w:tc>
          <w:tcPr>
            <w:tcW w:w="1350" w:type="dxa"/>
            <w:shd w:val="clear" w:color="auto" w:fill="auto"/>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1.05</w:t>
            </w:r>
          </w:p>
        </w:tc>
      </w:tr>
      <w:tr w:rsidR="008435A8" w:rsidRPr="006C051C" w:rsidTr="00554444">
        <w:trPr>
          <w:trHeight w:val="346"/>
        </w:trPr>
        <w:tc>
          <w:tcPr>
            <w:tcW w:w="1275" w:type="dxa"/>
            <w:shd w:val="clear" w:color="auto" w:fill="D2EAF1"/>
          </w:tcPr>
          <w:p w:rsidR="008435A8" w:rsidRPr="006C051C" w:rsidRDefault="008435A8" w:rsidP="00A83ABC">
            <w:pPr>
              <w:jc w:val="left"/>
              <w:rPr>
                <w:rFonts w:eastAsia="Times New Roman" w:cs="Times New Roman"/>
                <w:bCs/>
                <w:color w:val="000000"/>
                <w:sz w:val="20"/>
                <w:szCs w:val="20"/>
              </w:rPr>
            </w:pPr>
            <w:r w:rsidRPr="006C051C">
              <w:rPr>
                <w:rFonts w:eastAsia="Times New Roman" w:cs="Times New Roman"/>
                <w:bCs/>
                <w:color w:val="000000"/>
                <w:sz w:val="20"/>
                <w:szCs w:val="20"/>
              </w:rPr>
              <w:t>PPL</w:t>
            </w:r>
          </w:p>
        </w:tc>
        <w:tc>
          <w:tcPr>
            <w:tcW w:w="1350" w:type="dxa"/>
            <w:shd w:val="clear" w:color="auto" w:fill="D2EAF1"/>
            <w:noWrap/>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80,072</w:t>
            </w:r>
          </w:p>
        </w:tc>
        <w:tc>
          <w:tcPr>
            <w:tcW w:w="1350" w:type="dxa"/>
            <w:shd w:val="clear" w:color="auto" w:fill="D2EAF1"/>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55.46</w:t>
            </w:r>
          </w:p>
        </w:tc>
        <w:tc>
          <w:tcPr>
            <w:tcW w:w="1350" w:type="dxa"/>
            <w:shd w:val="clear" w:color="auto" w:fill="D2EAF1"/>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$48,813,983</w:t>
            </w:r>
          </w:p>
        </w:tc>
        <w:tc>
          <w:tcPr>
            <w:tcW w:w="1350" w:type="dxa"/>
            <w:shd w:val="clear" w:color="auto" w:fill="D2EAF1"/>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$64,151,543</w:t>
            </w:r>
          </w:p>
        </w:tc>
        <w:tc>
          <w:tcPr>
            <w:tcW w:w="1350" w:type="dxa"/>
            <w:shd w:val="clear" w:color="auto" w:fill="D2EAF1"/>
          </w:tcPr>
          <w:p w:rsidR="008435A8" w:rsidRPr="006C051C" w:rsidRDefault="00A432FE" w:rsidP="00A83ABC">
            <w:pPr>
              <w:jc w:val="center"/>
              <w:rPr>
                <w:rFonts w:eastAsia="Times New Roman" w:cs="Times New Roman"/>
                <w:bCs/>
                <w:color w:val="FF0000"/>
                <w:sz w:val="20"/>
                <w:szCs w:val="20"/>
              </w:rPr>
            </w:pPr>
            <w:r>
              <w:rPr>
                <w:rFonts w:eastAsia="Times New Roman" w:cs="Times New Roman"/>
                <w:bCs/>
                <w:color w:val="FF0000"/>
                <w:sz w:val="20"/>
                <w:szCs w:val="20"/>
              </w:rPr>
              <w:t>-</w:t>
            </w:r>
            <w:r w:rsidR="008435A8" w:rsidRPr="006C051C">
              <w:rPr>
                <w:rFonts w:eastAsia="Times New Roman" w:cs="Times New Roman"/>
                <w:bCs/>
                <w:color w:val="FF0000"/>
                <w:sz w:val="20"/>
                <w:szCs w:val="20"/>
              </w:rPr>
              <w:t>$</w:t>
            </w:r>
            <w:r w:rsidR="008435A8">
              <w:rPr>
                <w:rFonts w:eastAsia="Times New Roman" w:cs="Times New Roman"/>
                <w:bCs/>
                <w:color w:val="FF0000"/>
                <w:sz w:val="20"/>
                <w:szCs w:val="20"/>
              </w:rPr>
              <w:t>15,337,560</w:t>
            </w:r>
          </w:p>
        </w:tc>
        <w:tc>
          <w:tcPr>
            <w:tcW w:w="1350" w:type="dxa"/>
            <w:shd w:val="clear" w:color="auto" w:fill="D2EAF1"/>
          </w:tcPr>
          <w:p w:rsidR="008435A8" w:rsidRPr="006C051C" w:rsidRDefault="008435A8" w:rsidP="00A83ABC">
            <w:pPr>
              <w:jc w:val="center"/>
              <w:rPr>
                <w:rFonts w:eastAsia="Times New Roman" w:cs="Times New Roman"/>
                <w:bCs/>
                <w:color w:val="000000"/>
                <w:sz w:val="20"/>
                <w:szCs w:val="20"/>
              </w:rPr>
            </w:pPr>
            <w:r w:rsidRPr="006C051C">
              <w:rPr>
                <w:rFonts w:eastAsia="Times New Roman" w:cs="Times New Roman"/>
                <w:bCs/>
                <w:color w:val="000000"/>
                <w:sz w:val="20"/>
                <w:szCs w:val="20"/>
              </w:rPr>
              <w:t>0.76</w:t>
            </w:r>
          </w:p>
        </w:tc>
      </w:tr>
      <w:tr w:rsidR="006C051C" w:rsidRPr="006C051C" w:rsidTr="00554444">
        <w:trPr>
          <w:trHeight w:val="346"/>
        </w:trPr>
        <w:tc>
          <w:tcPr>
            <w:tcW w:w="1275" w:type="dxa"/>
            <w:shd w:val="clear" w:color="auto" w:fill="auto"/>
            <w:hideMark/>
          </w:tcPr>
          <w:p w:rsidR="006C051C" w:rsidRPr="006C051C" w:rsidRDefault="006C051C" w:rsidP="00A83ABC">
            <w:pPr>
              <w:jc w:val="left"/>
              <w:rPr>
                <w:rFonts w:eastAsia="Times New Roman" w:cs="Times New Roman"/>
                <w:b/>
                <w:bCs/>
                <w:color w:val="000000"/>
                <w:sz w:val="20"/>
                <w:szCs w:val="20"/>
              </w:rPr>
            </w:pPr>
            <w:r w:rsidRPr="006C051C">
              <w:rPr>
                <w:rFonts w:eastAsia="Times New Roman" w:cs="Times New Roman"/>
                <w:b/>
                <w:bCs/>
                <w:color w:val="000000"/>
                <w:sz w:val="20"/>
                <w:szCs w:val="20"/>
              </w:rPr>
              <w:t>Statewide</w:t>
            </w:r>
          </w:p>
        </w:tc>
        <w:tc>
          <w:tcPr>
            <w:tcW w:w="1350" w:type="dxa"/>
            <w:shd w:val="clear" w:color="auto" w:fill="auto"/>
            <w:noWrap/>
            <w:hideMark/>
          </w:tcPr>
          <w:p w:rsidR="006C051C" w:rsidRPr="006C051C" w:rsidRDefault="006C051C" w:rsidP="00A83ABC">
            <w:pPr>
              <w:jc w:val="center"/>
              <w:rPr>
                <w:rFonts w:eastAsia="Times New Roman" w:cs="Times New Roman"/>
                <w:b/>
                <w:bCs/>
                <w:color w:val="000000"/>
                <w:sz w:val="20"/>
                <w:szCs w:val="20"/>
              </w:rPr>
            </w:pPr>
            <w:r w:rsidRPr="006C051C">
              <w:rPr>
                <w:rFonts w:eastAsia="Times New Roman" w:cs="Times New Roman"/>
                <w:b/>
                <w:bCs/>
                <w:color w:val="000000"/>
                <w:sz w:val="20"/>
                <w:szCs w:val="20"/>
              </w:rPr>
              <w:t>350,546</w:t>
            </w:r>
          </w:p>
        </w:tc>
        <w:tc>
          <w:tcPr>
            <w:tcW w:w="1350" w:type="dxa"/>
            <w:shd w:val="clear" w:color="auto" w:fill="auto"/>
            <w:hideMark/>
          </w:tcPr>
          <w:p w:rsidR="006C051C" w:rsidRPr="006C051C" w:rsidRDefault="006C051C" w:rsidP="00A83ABC">
            <w:pPr>
              <w:jc w:val="center"/>
              <w:rPr>
                <w:rFonts w:eastAsia="Times New Roman" w:cs="Times New Roman"/>
                <w:b/>
                <w:bCs/>
                <w:color w:val="000000"/>
                <w:sz w:val="20"/>
                <w:szCs w:val="20"/>
              </w:rPr>
            </w:pPr>
            <w:r w:rsidRPr="006C051C">
              <w:rPr>
                <w:rFonts w:eastAsia="Times New Roman" w:cs="Times New Roman"/>
                <w:b/>
                <w:bCs/>
                <w:color w:val="000000"/>
                <w:sz w:val="20"/>
                <w:szCs w:val="20"/>
              </w:rPr>
              <w:t>231.51</w:t>
            </w:r>
          </w:p>
        </w:tc>
        <w:tc>
          <w:tcPr>
            <w:tcW w:w="1350" w:type="dxa"/>
            <w:shd w:val="clear" w:color="auto" w:fill="auto"/>
            <w:hideMark/>
          </w:tcPr>
          <w:p w:rsidR="006C051C" w:rsidRPr="006C051C" w:rsidRDefault="006C051C" w:rsidP="00A83ABC">
            <w:pPr>
              <w:jc w:val="center"/>
              <w:rPr>
                <w:rFonts w:eastAsia="Times New Roman" w:cs="Times New Roman"/>
                <w:b/>
                <w:bCs/>
                <w:color w:val="000000"/>
                <w:sz w:val="20"/>
                <w:szCs w:val="20"/>
              </w:rPr>
            </w:pPr>
            <w:r w:rsidRPr="006C051C">
              <w:rPr>
                <w:rFonts w:eastAsia="Times New Roman" w:cs="Times New Roman"/>
                <w:b/>
                <w:bCs/>
                <w:color w:val="000000"/>
                <w:sz w:val="20"/>
                <w:szCs w:val="20"/>
              </w:rPr>
              <w:t>$214,259,766</w:t>
            </w:r>
          </w:p>
        </w:tc>
        <w:tc>
          <w:tcPr>
            <w:tcW w:w="1350" w:type="dxa"/>
            <w:shd w:val="clear" w:color="auto" w:fill="auto"/>
            <w:hideMark/>
          </w:tcPr>
          <w:p w:rsidR="006C051C" w:rsidRPr="006C051C" w:rsidRDefault="006C051C" w:rsidP="00A83ABC">
            <w:pPr>
              <w:jc w:val="center"/>
              <w:rPr>
                <w:rFonts w:eastAsia="Times New Roman" w:cs="Times New Roman"/>
                <w:b/>
                <w:bCs/>
                <w:color w:val="000000"/>
                <w:sz w:val="20"/>
                <w:szCs w:val="20"/>
              </w:rPr>
            </w:pPr>
            <w:r w:rsidRPr="006C051C">
              <w:rPr>
                <w:rFonts w:eastAsia="Times New Roman" w:cs="Times New Roman"/>
                <w:b/>
                <w:bCs/>
                <w:color w:val="000000"/>
                <w:sz w:val="20"/>
                <w:szCs w:val="20"/>
              </w:rPr>
              <w:t>$275,675,452</w:t>
            </w:r>
          </w:p>
        </w:tc>
        <w:tc>
          <w:tcPr>
            <w:tcW w:w="1350" w:type="dxa"/>
            <w:shd w:val="clear" w:color="auto" w:fill="auto"/>
            <w:hideMark/>
          </w:tcPr>
          <w:p w:rsidR="006C051C" w:rsidRPr="006C051C" w:rsidRDefault="006C051C" w:rsidP="00A83ABC">
            <w:pPr>
              <w:jc w:val="center"/>
              <w:rPr>
                <w:rFonts w:eastAsia="Times New Roman" w:cs="Times New Roman"/>
                <w:b/>
                <w:bCs/>
                <w:color w:val="FF0000"/>
                <w:sz w:val="20"/>
                <w:szCs w:val="20"/>
              </w:rPr>
            </w:pPr>
            <w:r w:rsidRPr="006C051C">
              <w:rPr>
                <w:rFonts w:eastAsia="Times New Roman" w:cs="Times New Roman"/>
                <w:b/>
                <w:bCs/>
                <w:color w:val="FF0000"/>
                <w:sz w:val="20"/>
                <w:szCs w:val="20"/>
              </w:rPr>
              <w:t>-$61,415,686</w:t>
            </w:r>
          </w:p>
        </w:tc>
        <w:tc>
          <w:tcPr>
            <w:tcW w:w="1350" w:type="dxa"/>
            <w:shd w:val="clear" w:color="auto" w:fill="auto"/>
            <w:hideMark/>
          </w:tcPr>
          <w:p w:rsidR="006C051C" w:rsidRPr="006C051C" w:rsidRDefault="006C051C" w:rsidP="00A83ABC">
            <w:pPr>
              <w:jc w:val="center"/>
              <w:rPr>
                <w:rFonts w:eastAsia="Times New Roman" w:cs="Times New Roman"/>
                <w:b/>
                <w:bCs/>
                <w:color w:val="000000"/>
                <w:sz w:val="20"/>
                <w:szCs w:val="20"/>
              </w:rPr>
            </w:pPr>
            <w:r w:rsidRPr="006C051C">
              <w:rPr>
                <w:rFonts w:eastAsia="Times New Roman" w:cs="Times New Roman"/>
                <w:b/>
                <w:bCs/>
                <w:color w:val="000000"/>
                <w:sz w:val="20"/>
                <w:szCs w:val="20"/>
              </w:rPr>
              <w:t>0.83</w:t>
            </w:r>
          </w:p>
        </w:tc>
      </w:tr>
    </w:tbl>
    <w:p w:rsidR="000B7D39" w:rsidRDefault="000B7D39" w:rsidP="00A83ABC"/>
    <w:p w:rsidR="00EF55FF" w:rsidRDefault="00622FC2" w:rsidP="00A83ABC">
      <w:r>
        <w:t xml:space="preserve">Adding additional end </w:t>
      </w:r>
      <w:r w:rsidR="00EF55FF" w:rsidRPr="00A5388D">
        <w:t>uses decreased</w:t>
      </w:r>
      <w:r w:rsidR="00EF55FF">
        <w:t>,</w:t>
      </w:r>
      <w:r w:rsidR="00EF55FF" w:rsidRPr="00A5388D">
        <w:t xml:space="preserve"> </w:t>
      </w:r>
      <w:r w:rsidR="00EF55FF">
        <w:t xml:space="preserve">rather than improved, </w:t>
      </w:r>
      <w:r w:rsidR="00EF55FF" w:rsidRPr="00A5388D">
        <w:t>the cost</w:t>
      </w:r>
      <w:r w:rsidR="00CE0565">
        <w:t>-</w:t>
      </w:r>
      <w:r w:rsidR="00EF55FF" w:rsidRPr="00A5388D">
        <w:t xml:space="preserve">effectiveness of a potential residential </w:t>
      </w:r>
      <w:r w:rsidR="00037A03">
        <w:t>DR</w:t>
      </w:r>
      <w:r w:rsidR="00EF55FF" w:rsidRPr="00A5388D">
        <w:t xml:space="preserve"> program. </w:t>
      </w:r>
      <w:r w:rsidR="00DE6BED">
        <w:fldChar w:fldCharType="begin"/>
      </w:r>
      <w:r w:rsidR="00DE6BED">
        <w:instrText xml:space="preserve"> REF _Ref408327399 \h </w:instrText>
      </w:r>
      <w:r w:rsidR="00DE6BED">
        <w:fldChar w:fldCharType="separate"/>
      </w:r>
      <w:r w:rsidR="00803DBE">
        <w:t xml:space="preserve">Table </w:t>
      </w:r>
      <w:r w:rsidR="00803DBE">
        <w:rPr>
          <w:noProof/>
        </w:rPr>
        <w:t>4</w:t>
      </w:r>
      <w:r w:rsidR="00803DBE">
        <w:noBreakHyphen/>
      </w:r>
      <w:r w:rsidR="00803DBE">
        <w:rPr>
          <w:noProof/>
        </w:rPr>
        <w:t>9</w:t>
      </w:r>
      <w:r w:rsidR="00DE6BED">
        <w:fldChar w:fldCharType="end"/>
      </w:r>
      <w:r w:rsidR="00DE6BED">
        <w:t xml:space="preserve"> </w:t>
      </w:r>
      <w:r w:rsidR="00EF55FF" w:rsidRPr="00A5388D">
        <w:t>below contains the cost</w:t>
      </w:r>
      <w:r w:rsidR="00CE0565">
        <w:t>-</w:t>
      </w:r>
      <w:r w:rsidR="00EF55FF" w:rsidRPr="00A5388D">
        <w:t>effectiveness of a residential dire</w:t>
      </w:r>
      <w:r>
        <w:t xml:space="preserve">ct control program for four end </w:t>
      </w:r>
      <w:r w:rsidR="00EF55FF" w:rsidRPr="00A5388D">
        <w:t xml:space="preserve">uses: central </w:t>
      </w:r>
      <w:r w:rsidR="00AD2C38">
        <w:t>A/C’s</w:t>
      </w:r>
      <w:r w:rsidR="00EF55FF" w:rsidRPr="00A5388D">
        <w:t xml:space="preserve">, window </w:t>
      </w:r>
      <w:r w:rsidR="00AD2C38">
        <w:t>A/C’s</w:t>
      </w:r>
      <w:r w:rsidR="00EF55FF" w:rsidRPr="00A5388D">
        <w:t xml:space="preserve">, electric water heaters, and </w:t>
      </w:r>
      <w:r w:rsidR="00EF55FF">
        <w:t xml:space="preserve">swimming </w:t>
      </w:r>
      <w:r w:rsidR="00EF55FF" w:rsidRPr="00A5388D">
        <w:t xml:space="preserve">pool pumps. If residences had central </w:t>
      </w:r>
      <w:r w:rsidR="00AD2C38">
        <w:t>A/C’s</w:t>
      </w:r>
      <w:r w:rsidR="00EF55FF" w:rsidRPr="00A5388D">
        <w:t>, the saturation</w:t>
      </w:r>
      <w:r w:rsidR="00EF55FF">
        <w:t>s</w:t>
      </w:r>
      <w:r w:rsidR="00EF55FF" w:rsidRPr="00A5388D">
        <w:t xml:space="preserve"> of the other three end</w:t>
      </w:r>
      <w:r>
        <w:t xml:space="preserve"> </w:t>
      </w:r>
      <w:r w:rsidR="00EF55FF" w:rsidRPr="00A5388D">
        <w:t>uses were applied to project the demand reduction impacts from a proposed load control program</w:t>
      </w:r>
      <w:r w:rsidR="00EF55FF">
        <w:t>.</w:t>
      </w:r>
      <w:r w:rsidR="00EF55FF" w:rsidRPr="00A5388D">
        <w:t xml:space="preserve"> As in the central </w:t>
      </w:r>
      <w:r>
        <w:t>A/C</w:t>
      </w:r>
      <w:r w:rsidR="00EF55FF" w:rsidRPr="00A5388D">
        <w:t xml:space="preserve"> only</w:t>
      </w:r>
      <w:r w:rsidR="00EF55FF">
        <w:t xml:space="preserve"> scenario above, a 12.5</w:t>
      </w:r>
      <w:r w:rsidR="00B0713A">
        <w:t>%</w:t>
      </w:r>
      <w:r w:rsidR="00EF55FF">
        <w:t xml:space="preserve"> </w:t>
      </w:r>
      <w:r w:rsidR="00EF55FF" w:rsidRPr="00A5388D">
        <w:t>penetration rate was assumed</w:t>
      </w:r>
      <w:r>
        <w:t xml:space="preserve"> for these three additional end </w:t>
      </w:r>
      <w:r w:rsidR="00EF55FF" w:rsidRPr="00A5388D">
        <w:t>uses.</w:t>
      </w:r>
      <w:r w:rsidR="00EF55FF">
        <w:t xml:space="preserve"> The results of the benefit/cost analysis for a Phase III load control program for all four end</w:t>
      </w:r>
      <w:r>
        <w:t xml:space="preserve"> </w:t>
      </w:r>
      <w:r w:rsidR="00EF55FF">
        <w:t>uses shows that this program would not be cost</w:t>
      </w:r>
      <w:r w:rsidR="00CE0565">
        <w:t>-</w:t>
      </w:r>
      <w:r w:rsidR="00EF55FF">
        <w:t xml:space="preserve">effective according to screening with the </w:t>
      </w:r>
      <w:r w:rsidR="00CA7A59">
        <w:t>TRC test</w:t>
      </w:r>
      <w:r w:rsidR="00EF55FF">
        <w:t>.</w:t>
      </w:r>
      <w:r w:rsidR="00EF55FF" w:rsidRPr="00A5388D">
        <w:t xml:space="preserve"> </w:t>
      </w:r>
      <w:r w:rsidR="00EF55FF">
        <w:t>The overall statewide TRC ratio for such a program for Phase III is 0.64.</w:t>
      </w:r>
    </w:p>
    <w:p w:rsidR="00A5388D" w:rsidRDefault="00A5388D" w:rsidP="00A83ABC"/>
    <w:p w:rsidR="00240586" w:rsidRDefault="00240586" w:rsidP="00A83ABC">
      <w:pPr>
        <w:pStyle w:val="Caption"/>
      </w:pPr>
      <w:bookmarkStart w:id="205" w:name="_Ref408327399"/>
      <w:bookmarkStart w:id="206" w:name="_Toc412628477"/>
      <w:r>
        <w:t xml:space="preserve">Table </w:t>
      </w:r>
      <w:r w:rsidR="00E2011B">
        <w:fldChar w:fldCharType="begin"/>
      </w:r>
      <w:r w:rsidR="00E2011B">
        <w:instrText xml:space="preserve"> STYLEREF 1 \s </w:instrText>
      </w:r>
      <w:r w:rsidR="00E2011B">
        <w:fldChar w:fldCharType="separate"/>
      </w:r>
      <w:r w:rsidR="00803DBE">
        <w:rPr>
          <w:noProof/>
        </w:rPr>
        <w:t>4</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9</w:t>
      </w:r>
      <w:r w:rsidR="00E2011B">
        <w:rPr>
          <w:noProof/>
        </w:rPr>
        <w:fldChar w:fldCharType="end"/>
      </w:r>
      <w:bookmarkEnd w:id="205"/>
      <w:r>
        <w:t xml:space="preserve">: Residential </w:t>
      </w:r>
      <w:r w:rsidR="001E7663">
        <w:t>DLC</w:t>
      </w:r>
      <w:r>
        <w:t xml:space="preserve"> Benefits and Costs – Control of Central </w:t>
      </w:r>
      <w:r w:rsidR="001E7663">
        <w:t>A/C</w:t>
      </w:r>
      <w:r>
        <w:t xml:space="preserve">, Electric Water Heaters, Room </w:t>
      </w:r>
      <w:r w:rsidR="001E7663">
        <w:t>A/C,</w:t>
      </w:r>
      <w:r>
        <w:t xml:space="preserve"> and Swimming Pool Pumps</w:t>
      </w:r>
      <w:bookmarkEnd w:id="206"/>
    </w:p>
    <w:tbl>
      <w:tblPr>
        <w:tblW w:w="9375" w:type="dxa"/>
        <w:tblInd w:w="93"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5"/>
        <w:gridCol w:w="270"/>
        <w:gridCol w:w="1050"/>
        <w:gridCol w:w="1470"/>
        <w:gridCol w:w="1350"/>
        <w:gridCol w:w="1350"/>
        <w:gridCol w:w="1530"/>
        <w:gridCol w:w="900"/>
      </w:tblGrid>
      <w:tr w:rsidR="008435A8" w:rsidRPr="008435A8" w:rsidTr="006A320B">
        <w:trPr>
          <w:trHeight w:val="780"/>
          <w:tblHeader/>
        </w:trPr>
        <w:tc>
          <w:tcPr>
            <w:tcW w:w="1725" w:type="dxa"/>
            <w:gridSpan w:val="2"/>
            <w:shd w:val="clear" w:color="000000" w:fill="448A99"/>
            <w:vAlign w:val="center"/>
            <w:hideMark/>
          </w:tcPr>
          <w:p w:rsidR="008435A8" w:rsidRPr="008435A8" w:rsidRDefault="008435A8" w:rsidP="006A320B">
            <w:pPr>
              <w:jc w:val="center"/>
              <w:rPr>
                <w:rFonts w:ascii="Calibri" w:eastAsia="Times New Roman" w:hAnsi="Calibri" w:cs="Times New Roman"/>
                <w:b/>
                <w:bCs/>
                <w:color w:val="FFFFFF"/>
                <w:sz w:val="20"/>
                <w:szCs w:val="20"/>
              </w:rPr>
            </w:pPr>
            <w:r w:rsidRPr="008435A8">
              <w:rPr>
                <w:rFonts w:ascii="Calibri" w:eastAsia="Times New Roman" w:hAnsi="Calibri" w:cs="Times New Roman"/>
                <w:b/>
                <w:bCs/>
                <w:color w:val="FFFFFF"/>
                <w:sz w:val="20"/>
                <w:szCs w:val="20"/>
              </w:rPr>
              <w:t>EDC</w:t>
            </w:r>
          </w:p>
        </w:tc>
        <w:tc>
          <w:tcPr>
            <w:tcW w:w="1050" w:type="dxa"/>
            <w:shd w:val="clear" w:color="000000" w:fill="448A99"/>
            <w:vAlign w:val="center"/>
            <w:hideMark/>
          </w:tcPr>
          <w:p w:rsidR="008435A8" w:rsidRPr="008435A8" w:rsidRDefault="008435A8" w:rsidP="006A320B">
            <w:pPr>
              <w:jc w:val="center"/>
              <w:rPr>
                <w:rFonts w:ascii="Calibri" w:eastAsia="Times New Roman" w:hAnsi="Calibri" w:cs="Times New Roman"/>
                <w:b/>
                <w:bCs/>
                <w:color w:val="FFFFFF"/>
                <w:sz w:val="20"/>
                <w:szCs w:val="20"/>
              </w:rPr>
            </w:pPr>
            <w:r w:rsidRPr="008435A8">
              <w:rPr>
                <w:rFonts w:ascii="Calibri" w:eastAsia="Times New Roman" w:hAnsi="Calibri" w:cs="Times New Roman"/>
                <w:b/>
                <w:bCs/>
                <w:color w:val="FFFFFF"/>
                <w:sz w:val="20"/>
                <w:szCs w:val="20"/>
              </w:rPr>
              <w:t>Number of Program Participants</w:t>
            </w:r>
          </w:p>
        </w:tc>
        <w:tc>
          <w:tcPr>
            <w:tcW w:w="1470" w:type="dxa"/>
            <w:shd w:val="clear" w:color="000000" w:fill="448A99"/>
            <w:vAlign w:val="center"/>
            <w:hideMark/>
          </w:tcPr>
          <w:p w:rsidR="00554444" w:rsidRDefault="008435A8" w:rsidP="006A320B">
            <w:pPr>
              <w:jc w:val="center"/>
              <w:rPr>
                <w:rFonts w:ascii="Calibri" w:eastAsia="Times New Roman" w:hAnsi="Calibri" w:cs="Times New Roman"/>
                <w:b/>
                <w:bCs/>
                <w:color w:val="FFFFFF"/>
                <w:sz w:val="20"/>
                <w:szCs w:val="20"/>
              </w:rPr>
            </w:pPr>
            <w:r w:rsidRPr="008435A8">
              <w:rPr>
                <w:rFonts w:ascii="Calibri" w:eastAsia="Times New Roman" w:hAnsi="Calibri" w:cs="Times New Roman"/>
                <w:b/>
                <w:bCs/>
                <w:color w:val="FFFFFF"/>
                <w:sz w:val="20"/>
                <w:szCs w:val="20"/>
              </w:rPr>
              <w:t>Average Annual Impact</w:t>
            </w:r>
          </w:p>
          <w:p w:rsidR="008435A8" w:rsidRPr="008435A8" w:rsidRDefault="008435A8" w:rsidP="006A320B">
            <w:pPr>
              <w:jc w:val="center"/>
              <w:rPr>
                <w:rFonts w:ascii="Calibri" w:eastAsia="Times New Roman" w:hAnsi="Calibri" w:cs="Times New Roman"/>
                <w:b/>
                <w:bCs/>
                <w:color w:val="FFFFFF"/>
                <w:sz w:val="20"/>
                <w:szCs w:val="20"/>
              </w:rPr>
            </w:pPr>
            <w:r w:rsidRPr="008435A8">
              <w:rPr>
                <w:rFonts w:ascii="Calibri" w:eastAsia="Times New Roman" w:hAnsi="Calibri" w:cs="Times New Roman"/>
                <w:b/>
                <w:bCs/>
                <w:color w:val="FFFFFF"/>
                <w:sz w:val="20"/>
                <w:szCs w:val="20"/>
              </w:rPr>
              <w:t>(MW at Generation Level)</w:t>
            </w:r>
          </w:p>
        </w:tc>
        <w:tc>
          <w:tcPr>
            <w:tcW w:w="1350" w:type="dxa"/>
            <w:shd w:val="clear" w:color="000000" w:fill="448A99"/>
            <w:vAlign w:val="center"/>
            <w:hideMark/>
          </w:tcPr>
          <w:p w:rsidR="008435A8" w:rsidRPr="008435A8" w:rsidRDefault="00532DDB" w:rsidP="006A320B">
            <w:pPr>
              <w:jc w:val="cente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PV</w:t>
            </w:r>
            <w:r w:rsidR="008435A8" w:rsidRPr="008435A8">
              <w:rPr>
                <w:rFonts w:ascii="Calibri" w:eastAsia="Times New Roman" w:hAnsi="Calibri" w:cs="Times New Roman"/>
                <w:b/>
                <w:bCs/>
                <w:color w:val="FFFFFF"/>
                <w:sz w:val="20"/>
                <w:szCs w:val="20"/>
              </w:rPr>
              <w:t xml:space="preserve"> of Program Benefits</w:t>
            </w:r>
          </w:p>
        </w:tc>
        <w:tc>
          <w:tcPr>
            <w:tcW w:w="1350" w:type="dxa"/>
            <w:shd w:val="clear" w:color="000000" w:fill="448A99"/>
            <w:vAlign w:val="center"/>
            <w:hideMark/>
          </w:tcPr>
          <w:p w:rsidR="008435A8" w:rsidRPr="008435A8" w:rsidRDefault="00532DDB" w:rsidP="006A320B">
            <w:pPr>
              <w:jc w:val="cente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PV</w:t>
            </w:r>
            <w:r w:rsidR="008435A8" w:rsidRPr="008435A8">
              <w:rPr>
                <w:rFonts w:ascii="Calibri" w:eastAsia="Times New Roman" w:hAnsi="Calibri" w:cs="Times New Roman"/>
                <w:b/>
                <w:bCs/>
                <w:color w:val="FFFFFF"/>
                <w:sz w:val="20"/>
                <w:szCs w:val="20"/>
              </w:rPr>
              <w:t xml:space="preserve"> of Program Costs</w:t>
            </w:r>
          </w:p>
        </w:tc>
        <w:tc>
          <w:tcPr>
            <w:tcW w:w="1530" w:type="dxa"/>
            <w:shd w:val="clear" w:color="000000" w:fill="448A99"/>
            <w:vAlign w:val="center"/>
            <w:hideMark/>
          </w:tcPr>
          <w:p w:rsidR="008435A8" w:rsidRPr="008435A8" w:rsidRDefault="008435A8" w:rsidP="006A320B">
            <w:pPr>
              <w:jc w:val="center"/>
              <w:rPr>
                <w:rFonts w:ascii="Calibri" w:eastAsia="Times New Roman" w:hAnsi="Calibri" w:cs="Times New Roman"/>
                <w:b/>
                <w:bCs/>
                <w:color w:val="FFFFFF"/>
                <w:sz w:val="20"/>
                <w:szCs w:val="20"/>
              </w:rPr>
            </w:pPr>
            <w:r w:rsidRPr="008435A8">
              <w:rPr>
                <w:rFonts w:ascii="Calibri" w:eastAsia="Times New Roman" w:hAnsi="Calibri" w:cs="Times New Roman"/>
                <w:b/>
                <w:bCs/>
                <w:color w:val="FFFFFF"/>
                <w:sz w:val="20"/>
                <w:szCs w:val="20"/>
              </w:rPr>
              <w:t>NPV of Benefits - NPV of Costs</w:t>
            </w:r>
          </w:p>
        </w:tc>
        <w:tc>
          <w:tcPr>
            <w:tcW w:w="900" w:type="dxa"/>
            <w:shd w:val="clear" w:color="000000" w:fill="448A99"/>
            <w:vAlign w:val="center"/>
            <w:hideMark/>
          </w:tcPr>
          <w:p w:rsidR="008435A8" w:rsidRPr="008435A8" w:rsidRDefault="008435A8" w:rsidP="006A320B">
            <w:pPr>
              <w:jc w:val="center"/>
              <w:rPr>
                <w:rFonts w:ascii="Calibri" w:eastAsia="Times New Roman" w:hAnsi="Calibri" w:cs="Times New Roman"/>
                <w:b/>
                <w:bCs/>
                <w:color w:val="FFFFFF"/>
                <w:sz w:val="20"/>
                <w:szCs w:val="20"/>
              </w:rPr>
            </w:pPr>
            <w:r w:rsidRPr="008435A8">
              <w:rPr>
                <w:rFonts w:ascii="Calibri" w:eastAsia="Times New Roman" w:hAnsi="Calibri" w:cs="Times New Roman"/>
                <w:b/>
                <w:bCs/>
                <w:color w:val="FFFFFF"/>
                <w:sz w:val="20"/>
                <w:szCs w:val="20"/>
              </w:rPr>
              <w:t>Lifetime TRC Ratio</w:t>
            </w:r>
          </w:p>
        </w:tc>
      </w:tr>
      <w:tr w:rsidR="008435A8" w:rsidRPr="008435A8" w:rsidTr="006A320B">
        <w:trPr>
          <w:trHeight w:val="346"/>
        </w:trPr>
        <w:tc>
          <w:tcPr>
            <w:tcW w:w="1455" w:type="dxa"/>
            <w:shd w:val="clear" w:color="auto" w:fill="D2EAF1"/>
            <w:vAlign w:val="center"/>
            <w:hideMark/>
          </w:tcPr>
          <w:p w:rsidR="008435A8" w:rsidRPr="008435A8" w:rsidRDefault="008435A8" w:rsidP="006A320B">
            <w:pPr>
              <w:jc w:val="left"/>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Duquesne</w:t>
            </w:r>
          </w:p>
        </w:tc>
        <w:tc>
          <w:tcPr>
            <w:tcW w:w="1320" w:type="dxa"/>
            <w:gridSpan w:val="2"/>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45,986</w:t>
            </w:r>
          </w:p>
        </w:tc>
        <w:tc>
          <w:tcPr>
            <w:tcW w:w="147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38.67</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29,258,689</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50,758,424</w:t>
            </w:r>
          </w:p>
        </w:tc>
        <w:tc>
          <w:tcPr>
            <w:tcW w:w="153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FF0000"/>
                <w:sz w:val="20"/>
                <w:szCs w:val="20"/>
              </w:rPr>
              <w:t>-</w:t>
            </w:r>
            <w:r w:rsidR="006A320B">
              <w:rPr>
                <w:rFonts w:ascii="Calibri" w:eastAsia="Times New Roman" w:hAnsi="Calibri" w:cs="Times New Roman"/>
                <w:color w:val="FF0000"/>
                <w:sz w:val="20"/>
                <w:szCs w:val="20"/>
              </w:rPr>
              <w:t>$</w:t>
            </w:r>
            <w:r w:rsidRPr="008435A8">
              <w:rPr>
                <w:rFonts w:ascii="Calibri" w:eastAsia="Times New Roman" w:hAnsi="Calibri" w:cs="Times New Roman"/>
                <w:color w:val="FF0000"/>
                <w:sz w:val="20"/>
                <w:szCs w:val="20"/>
              </w:rPr>
              <w:t>21,499,735</w:t>
            </w:r>
          </w:p>
        </w:tc>
        <w:tc>
          <w:tcPr>
            <w:tcW w:w="90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0.58</w:t>
            </w:r>
          </w:p>
        </w:tc>
      </w:tr>
      <w:tr w:rsidR="008435A8" w:rsidRPr="008435A8" w:rsidTr="006A320B">
        <w:trPr>
          <w:trHeight w:val="346"/>
        </w:trPr>
        <w:tc>
          <w:tcPr>
            <w:tcW w:w="1455" w:type="dxa"/>
            <w:shd w:val="clear" w:color="auto" w:fill="auto"/>
            <w:vAlign w:val="center"/>
            <w:hideMark/>
          </w:tcPr>
          <w:p w:rsidR="008435A8" w:rsidRPr="008435A8" w:rsidRDefault="008435A8" w:rsidP="006A320B">
            <w:pPr>
              <w:jc w:val="left"/>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FE: Met Ed</w:t>
            </w:r>
          </w:p>
        </w:tc>
        <w:tc>
          <w:tcPr>
            <w:tcW w:w="1320" w:type="dxa"/>
            <w:gridSpan w:val="2"/>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52,475</w:t>
            </w:r>
          </w:p>
        </w:tc>
        <w:tc>
          <w:tcPr>
            <w:tcW w:w="1470" w:type="dxa"/>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22.62</w:t>
            </w:r>
          </w:p>
        </w:tc>
        <w:tc>
          <w:tcPr>
            <w:tcW w:w="1350" w:type="dxa"/>
            <w:shd w:val="clear" w:color="auto" w:fill="auto"/>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29,582,690</w:t>
            </w:r>
          </w:p>
        </w:tc>
        <w:tc>
          <w:tcPr>
            <w:tcW w:w="1350" w:type="dxa"/>
            <w:shd w:val="clear" w:color="auto" w:fill="auto"/>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47,927,900</w:t>
            </w:r>
          </w:p>
        </w:tc>
        <w:tc>
          <w:tcPr>
            <w:tcW w:w="1530" w:type="dxa"/>
            <w:shd w:val="clear" w:color="auto" w:fill="auto"/>
            <w:vAlign w:val="center"/>
            <w:hideMark/>
          </w:tcPr>
          <w:p w:rsidR="008435A8" w:rsidRPr="008435A8" w:rsidRDefault="008435A8" w:rsidP="006A320B">
            <w:pPr>
              <w:jc w:val="center"/>
              <w:rPr>
                <w:rFonts w:ascii="Calibri" w:eastAsia="Times New Roman" w:hAnsi="Calibri" w:cs="Times New Roman"/>
                <w:color w:val="FF0000"/>
                <w:sz w:val="20"/>
                <w:szCs w:val="20"/>
              </w:rPr>
            </w:pPr>
            <w:r w:rsidRPr="008435A8">
              <w:rPr>
                <w:rFonts w:ascii="Calibri" w:eastAsia="Times New Roman" w:hAnsi="Calibri" w:cs="Times New Roman"/>
                <w:color w:val="FF0000"/>
                <w:sz w:val="20"/>
                <w:szCs w:val="20"/>
              </w:rPr>
              <w:t>-</w:t>
            </w:r>
            <w:r w:rsidR="006A320B">
              <w:rPr>
                <w:rFonts w:ascii="Calibri" w:eastAsia="Times New Roman" w:hAnsi="Calibri" w:cs="Times New Roman"/>
                <w:color w:val="FF0000"/>
                <w:sz w:val="20"/>
                <w:szCs w:val="20"/>
              </w:rPr>
              <w:t>$</w:t>
            </w:r>
            <w:r w:rsidRPr="008435A8">
              <w:rPr>
                <w:rFonts w:ascii="Calibri" w:eastAsia="Times New Roman" w:hAnsi="Calibri" w:cs="Times New Roman"/>
                <w:color w:val="FF0000"/>
                <w:sz w:val="20"/>
                <w:szCs w:val="20"/>
              </w:rPr>
              <w:t>18,345,209</w:t>
            </w:r>
          </w:p>
        </w:tc>
        <w:tc>
          <w:tcPr>
            <w:tcW w:w="900" w:type="dxa"/>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0.62</w:t>
            </w:r>
          </w:p>
        </w:tc>
      </w:tr>
      <w:tr w:rsidR="008435A8" w:rsidRPr="008435A8" w:rsidTr="006A320B">
        <w:trPr>
          <w:trHeight w:val="346"/>
        </w:trPr>
        <w:tc>
          <w:tcPr>
            <w:tcW w:w="1455" w:type="dxa"/>
            <w:shd w:val="clear" w:color="auto" w:fill="D2EAF1"/>
            <w:vAlign w:val="center"/>
            <w:hideMark/>
          </w:tcPr>
          <w:p w:rsidR="008435A8" w:rsidRPr="008435A8" w:rsidRDefault="008435A8" w:rsidP="006A320B">
            <w:pPr>
              <w:jc w:val="left"/>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FE: Penelec</w:t>
            </w:r>
          </w:p>
        </w:tc>
        <w:tc>
          <w:tcPr>
            <w:tcW w:w="1320" w:type="dxa"/>
            <w:gridSpan w:val="2"/>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24,494</w:t>
            </w:r>
          </w:p>
        </w:tc>
        <w:tc>
          <w:tcPr>
            <w:tcW w:w="147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10.77</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14,223,266</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22,289,070</w:t>
            </w:r>
          </w:p>
        </w:tc>
        <w:tc>
          <w:tcPr>
            <w:tcW w:w="1530" w:type="dxa"/>
            <w:shd w:val="clear" w:color="auto" w:fill="D2EAF1"/>
            <w:vAlign w:val="center"/>
            <w:hideMark/>
          </w:tcPr>
          <w:p w:rsidR="008435A8" w:rsidRPr="008435A8" w:rsidRDefault="008435A8" w:rsidP="006A320B">
            <w:pPr>
              <w:jc w:val="center"/>
              <w:rPr>
                <w:rFonts w:ascii="Calibri" w:eastAsia="Times New Roman" w:hAnsi="Calibri" w:cs="Times New Roman"/>
                <w:color w:val="FF0000"/>
                <w:sz w:val="20"/>
                <w:szCs w:val="20"/>
              </w:rPr>
            </w:pPr>
            <w:r w:rsidRPr="008435A8">
              <w:rPr>
                <w:rFonts w:ascii="Calibri" w:eastAsia="Times New Roman" w:hAnsi="Calibri" w:cs="Times New Roman"/>
                <w:color w:val="FF0000"/>
                <w:sz w:val="20"/>
                <w:szCs w:val="20"/>
              </w:rPr>
              <w:t>-</w:t>
            </w:r>
            <w:r w:rsidR="006A320B">
              <w:rPr>
                <w:rFonts w:ascii="Calibri" w:eastAsia="Times New Roman" w:hAnsi="Calibri" w:cs="Times New Roman"/>
                <w:color w:val="FF0000"/>
                <w:sz w:val="20"/>
                <w:szCs w:val="20"/>
              </w:rPr>
              <w:t>$</w:t>
            </w:r>
            <w:r w:rsidRPr="008435A8">
              <w:rPr>
                <w:rFonts w:ascii="Calibri" w:eastAsia="Times New Roman" w:hAnsi="Calibri" w:cs="Times New Roman"/>
                <w:color w:val="FF0000"/>
                <w:sz w:val="20"/>
                <w:szCs w:val="20"/>
              </w:rPr>
              <w:t>1,483,504</w:t>
            </w:r>
          </w:p>
        </w:tc>
        <w:tc>
          <w:tcPr>
            <w:tcW w:w="90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0.64</w:t>
            </w:r>
          </w:p>
        </w:tc>
      </w:tr>
      <w:tr w:rsidR="008435A8" w:rsidRPr="008435A8" w:rsidTr="006A320B">
        <w:trPr>
          <w:trHeight w:val="346"/>
        </w:trPr>
        <w:tc>
          <w:tcPr>
            <w:tcW w:w="1455" w:type="dxa"/>
            <w:shd w:val="clear" w:color="auto" w:fill="auto"/>
            <w:vAlign w:val="center"/>
            <w:hideMark/>
          </w:tcPr>
          <w:p w:rsidR="008435A8" w:rsidRPr="008435A8" w:rsidRDefault="008435A8" w:rsidP="006A320B">
            <w:pPr>
              <w:jc w:val="left"/>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FE: Penn</w:t>
            </w:r>
            <w:r w:rsidR="00D85C97">
              <w:rPr>
                <w:rFonts w:ascii="Calibri" w:eastAsia="Times New Roman" w:hAnsi="Calibri" w:cs="Times New Roman"/>
                <w:color w:val="000000"/>
                <w:sz w:val="20"/>
                <w:szCs w:val="20"/>
              </w:rPr>
              <w:t xml:space="preserve"> </w:t>
            </w:r>
            <w:r w:rsidRPr="008435A8">
              <w:rPr>
                <w:rFonts w:ascii="Calibri" w:eastAsia="Times New Roman" w:hAnsi="Calibri" w:cs="Times New Roman"/>
                <w:color w:val="000000"/>
                <w:sz w:val="20"/>
                <w:szCs w:val="20"/>
              </w:rPr>
              <w:t>Power</w:t>
            </w:r>
          </w:p>
        </w:tc>
        <w:tc>
          <w:tcPr>
            <w:tcW w:w="1320" w:type="dxa"/>
            <w:gridSpan w:val="2"/>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16,431</w:t>
            </w:r>
          </w:p>
        </w:tc>
        <w:tc>
          <w:tcPr>
            <w:tcW w:w="1470" w:type="dxa"/>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6.68</w:t>
            </w:r>
          </w:p>
        </w:tc>
        <w:tc>
          <w:tcPr>
            <w:tcW w:w="1350" w:type="dxa"/>
            <w:shd w:val="clear" w:color="auto" w:fill="auto"/>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5,847,328</w:t>
            </w:r>
          </w:p>
        </w:tc>
        <w:tc>
          <w:tcPr>
            <w:tcW w:w="1350" w:type="dxa"/>
            <w:shd w:val="clear" w:color="auto" w:fill="auto"/>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13,421,936</w:t>
            </w:r>
          </w:p>
        </w:tc>
        <w:tc>
          <w:tcPr>
            <w:tcW w:w="1530" w:type="dxa"/>
            <w:shd w:val="clear" w:color="auto" w:fill="auto"/>
            <w:vAlign w:val="center"/>
            <w:hideMark/>
          </w:tcPr>
          <w:p w:rsidR="008435A8" w:rsidRPr="008435A8" w:rsidRDefault="008435A8" w:rsidP="006A320B">
            <w:pPr>
              <w:jc w:val="center"/>
              <w:rPr>
                <w:rFonts w:ascii="Calibri" w:eastAsia="Times New Roman" w:hAnsi="Calibri" w:cs="Times New Roman"/>
                <w:color w:val="FF0000"/>
                <w:sz w:val="20"/>
                <w:szCs w:val="20"/>
              </w:rPr>
            </w:pPr>
            <w:r w:rsidRPr="008435A8">
              <w:rPr>
                <w:rFonts w:ascii="Calibri" w:eastAsia="Times New Roman" w:hAnsi="Calibri" w:cs="Times New Roman"/>
                <w:color w:val="FF0000"/>
                <w:sz w:val="20"/>
                <w:szCs w:val="20"/>
              </w:rPr>
              <w:t>-</w:t>
            </w:r>
            <w:r w:rsidR="006A320B">
              <w:rPr>
                <w:rFonts w:ascii="Calibri" w:eastAsia="Times New Roman" w:hAnsi="Calibri" w:cs="Times New Roman"/>
                <w:color w:val="FF0000"/>
                <w:sz w:val="20"/>
                <w:szCs w:val="20"/>
              </w:rPr>
              <w:t>$</w:t>
            </w:r>
            <w:r w:rsidRPr="008435A8">
              <w:rPr>
                <w:rFonts w:ascii="Calibri" w:eastAsia="Times New Roman" w:hAnsi="Calibri" w:cs="Times New Roman"/>
                <w:color w:val="FF0000"/>
                <w:sz w:val="20"/>
                <w:szCs w:val="20"/>
              </w:rPr>
              <w:t>2,157,102</w:t>
            </w:r>
          </w:p>
        </w:tc>
        <w:tc>
          <w:tcPr>
            <w:tcW w:w="900" w:type="dxa"/>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0.44</w:t>
            </w:r>
          </w:p>
        </w:tc>
      </w:tr>
      <w:tr w:rsidR="008435A8" w:rsidRPr="008435A8" w:rsidTr="006A320B">
        <w:trPr>
          <w:trHeight w:val="346"/>
        </w:trPr>
        <w:tc>
          <w:tcPr>
            <w:tcW w:w="1455" w:type="dxa"/>
            <w:shd w:val="clear" w:color="auto" w:fill="D2EAF1"/>
            <w:vAlign w:val="center"/>
            <w:hideMark/>
          </w:tcPr>
          <w:p w:rsidR="008435A8" w:rsidRPr="008435A8" w:rsidRDefault="008435A8" w:rsidP="006A320B">
            <w:pPr>
              <w:jc w:val="left"/>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FE: West Penn</w:t>
            </w:r>
          </w:p>
        </w:tc>
        <w:tc>
          <w:tcPr>
            <w:tcW w:w="1320" w:type="dxa"/>
            <w:gridSpan w:val="2"/>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70,307</w:t>
            </w:r>
          </w:p>
        </w:tc>
        <w:tc>
          <w:tcPr>
            <w:tcW w:w="147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31.82</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40,701,592</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64,247,612</w:t>
            </w:r>
          </w:p>
        </w:tc>
        <w:tc>
          <w:tcPr>
            <w:tcW w:w="1530" w:type="dxa"/>
            <w:shd w:val="clear" w:color="auto" w:fill="D2EAF1"/>
            <w:vAlign w:val="center"/>
            <w:hideMark/>
          </w:tcPr>
          <w:p w:rsidR="008435A8" w:rsidRPr="008435A8" w:rsidRDefault="008435A8" w:rsidP="006A320B">
            <w:pPr>
              <w:jc w:val="center"/>
              <w:rPr>
                <w:rFonts w:ascii="Calibri" w:eastAsia="Times New Roman" w:hAnsi="Calibri" w:cs="Times New Roman"/>
                <w:color w:val="FF0000"/>
                <w:sz w:val="20"/>
                <w:szCs w:val="20"/>
              </w:rPr>
            </w:pPr>
            <w:r w:rsidRPr="008435A8">
              <w:rPr>
                <w:rFonts w:ascii="Calibri" w:eastAsia="Times New Roman" w:hAnsi="Calibri" w:cs="Times New Roman"/>
                <w:color w:val="FF0000"/>
                <w:sz w:val="20"/>
                <w:szCs w:val="20"/>
              </w:rPr>
              <w:t>-</w:t>
            </w:r>
            <w:r w:rsidR="006A320B">
              <w:rPr>
                <w:rFonts w:ascii="Calibri" w:eastAsia="Times New Roman" w:hAnsi="Calibri" w:cs="Times New Roman"/>
                <w:color w:val="FF0000"/>
                <w:sz w:val="20"/>
                <w:szCs w:val="20"/>
              </w:rPr>
              <w:t>$</w:t>
            </w:r>
            <w:r w:rsidRPr="008435A8">
              <w:rPr>
                <w:rFonts w:ascii="Calibri" w:eastAsia="Times New Roman" w:hAnsi="Calibri" w:cs="Times New Roman"/>
                <w:color w:val="FF0000"/>
                <w:sz w:val="20"/>
                <w:szCs w:val="20"/>
              </w:rPr>
              <w:t>23,546,020</w:t>
            </w:r>
          </w:p>
        </w:tc>
        <w:tc>
          <w:tcPr>
            <w:tcW w:w="90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0.63</w:t>
            </w:r>
          </w:p>
        </w:tc>
      </w:tr>
      <w:tr w:rsidR="008435A8" w:rsidRPr="008435A8" w:rsidTr="006A320B">
        <w:trPr>
          <w:trHeight w:val="346"/>
        </w:trPr>
        <w:tc>
          <w:tcPr>
            <w:tcW w:w="1455" w:type="dxa"/>
            <w:shd w:val="clear" w:color="auto" w:fill="auto"/>
            <w:vAlign w:val="center"/>
            <w:hideMark/>
          </w:tcPr>
          <w:p w:rsidR="008435A8" w:rsidRPr="008435A8" w:rsidRDefault="008435A8" w:rsidP="006A320B">
            <w:pPr>
              <w:jc w:val="left"/>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PECO</w:t>
            </w:r>
          </w:p>
        </w:tc>
        <w:tc>
          <w:tcPr>
            <w:tcW w:w="1320" w:type="dxa"/>
            <w:gridSpan w:val="2"/>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108,049</w:t>
            </w:r>
          </w:p>
        </w:tc>
        <w:tc>
          <w:tcPr>
            <w:tcW w:w="1470" w:type="dxa"/>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95.48</w:t>
            </w:r>
          </w:p>
        </w:tc>
        <w:tc>
          <w:tcPr>
            <w:tcW w:w="1350" w:type="dxa"/>
            <w:shd w:val="clear" w:color="auto" w:fill="auto"/>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87,811,623</w:t>
            </w:r>
          </w:p>
        </w:tc>
        <w:tc>
          <w:tcPr>
            <w:tcW w:w="1350" w:type="dxa"/>
            <w:shd w:val="clear" w:color="auto" w:fill="auto"/>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141,116,016</w:t>
            </w:r>
          </w:p>
        </w:tc>
        <w:tc>
          <w:tcPr>
            <w:tcW w:w="1530" w:type="dxa"/>
            <w:shd w:val="clear" w:color="auto" w:fill="auto"/>
            <w:vAlign w:val="center"/>
            <w:hideMark/>
          </w:tcPr>
          <w:p w:rsidR="008435A8" w:rsidRPr="008435A8" w:rsidRDefault="008435A8" w:rsidP="006A320B">
            <w:pPr>
              <w:jc w:val="center"/>
              <w:rPr>
                <w:rFonts w:ascii="Calibri" w:eastAsia="Times New Roman" w:hAnsi="Calibri" w:cs="Times New Roman"/>
                <w:color w:val="FF0000"/>
                <w:sz w:val="20"/>
                <w:szCs w:val="20"/>
              </w:rPr>
            </w:pPr>
            <w:r w:rsidRPr="008435A8">
              <w:rPr>
                <w:rFonts w:ascii="Calibri" w:eastAsia="Times New Roman" w:hAnsi="Calibri" w:cs="Times New Roman"/>
                <w:color w:val="FF0000"/>
                <w:sz w:val="20"/>
                <w:szCs w:val="20"/>
              </w:rPr>
              <w:t>-</w:t>
            </w:r>
            <w:r w:rsidR="006A320B">
              <w:rPr>
                <w:rFonts w:ascii="Calibri" w:eastAsia="Times New Roman" w:hAnsi="Calibri" w:cs="Times New Roman"/>
                <w:color w:val="FF0000"/>
                <w:sz w:val="20"/>
                <w:szCs w:val="20"/>
              </w:rPr>
              <w:t>$</w:t>
            </w:r>
            <w:r w:rsidRPr="008435A8">
              <w:rPr>
                <w:rFonts w:ascii="Calibri" w:eastAsia="Times New Roman" w:hAnsi="Calibri" w:cs="Times New Roman"/>
                <w:color w:val="FF0000"/>
                <w:sz w:val="20"/>
                <w:szCs w:val="20"/>
              </w:rPr>
              <w:t>53,304,393</w:t>
            </w:r>
          </w:p>
        </w:tc>
        <w:tc>
          <w:tcPr>
            <w:tcW w:w="900" w:type="dxa"/>
            <w:shd w:val="clear" w:color="auto" w:fill="auto"/>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0.62</w:t>
            </w:r>
          </w:p>
        </w:tc>
      </w:tr>
      <w:tr w:rsidR="008435A8" w:rsidRPr="008435A8" w:rsidTr="006A320B">
        <w:trPr>
          <w:trHeight w:val="346"/>
        </w:trPr>
        <w:tc>
          <w:tcPr>
            <w:tcW w:w="1455" w:type="dxa"/>
            <w:shd w:val="clear" w:color="auto" w:fill="D2EAF1"/>
            <w:vAlign w:val="center"/>
            <w:hideMark/>
          </w:tcPr>
          <w:p w:rsidR="008435A8" w:rsidRPr="008435A8" w:rsidRDefault="008435A8" w:rsidP="006A320B">
            <w:pPr>
              <w:jc w:val="left"/>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PPL</w:t>
            </w:r>
          </w:p>
        </w:tc>
        <w:tc>
          <w:tcPr>
            <w:tcW w:w="1320" w:type="dxa"/>
            <w:gridSpan w:val="2"/>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105,046</w:t>
            </w:r>
          </w:p>
        </w:tc>
        <w:tc>
          <w:tcPr>
            <w:tcW w:w="147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63.93</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59,379,084</w:t>
            </w:r>
          </w:p>
        </w:tc>
        <w:tc>
          <w:tcPr>
            <w:tcW w:w="1350" w:type="dxa"/>
            <w:shd w:val="clear" w:color="auto" w:fill="D2EAF1"/>
            <w:vAlign w:val="center"/>
            <w:hideMark/>
          </w:tcPr>
          <w:p w:rsidR="008435A8" w:rsidRPr="008435A8" w:rsidRDefault="006A320B" w:rsidP="006A320B">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8435A8" w:rsidRPr="008435A8">
              <w:rPr>
                <w:rFonts w:ascii="Calibri" w:eastAsia="Times New Roman" w:hAnsi="Calibri" w:cs="Times New Roman"/>
                <w:color w:val="000000"/>
                <w:sz w:val="20"/>
                <w:szCs w:val="20"/>
              </w:rPr>
              <w:t>105,805,641</w:t>
            </w:r>
          </w:p>
        </w:tc>
        <w:tc>
          <w:tcPr>
            <w:tcW w:w="1530" w:type="dxa"/>
            <w:shd w:val="clear" w:color="auto" w:fill="D2EAF1"/>
            <w:vAlign w:val="center"/>
            <w:hideMark/>
          </w:tcPr>
          <w:p w:rsidR="008435A8" w:rsidRPr="008435A8" w:rsidRDefault="008435A8" w:rsidP="006A320B">
            <w:pPr>
              <w:jc w:val="center"/>
              <w:rPr>
                <w:rFonts w:ascii="Calibri" w:eastAsia="Times New Roman" w:hAnsi="Calibri" w:cs="Times New Roman"/>
                <w:color w:val="FF0000"/>
                <w:sz w:val="20"/>
                <w:szCs w:val="20"/>
              </w:rPr>
            </w:pPr>
            <w:r w:rsidRPr="008435A8">
              <w:rPr>
                <w:rFonts w:ascii="Calibri" w:eastAsia="Times New Roman" w:hAnsi="Calibri" w:cs="Times New Roman"/>
                <w:color w:val="FF0000"/>
                <w:sz w:val="20"/>
                <w:szCs w:val="20"/>
              </w:rPr>
              <w:t>-</w:t>
            </w:r>
            <w:r w:rsidR="006A320B">
              <w:rPr>
                <w:rFonts w:ascii="Calibri" w:eastAsia="Times New Roman" w:hAnsi="Calibri" w:cs="Times New Roman"/>
                <w:color w:val="FF0000"/>
                <w:sz w:val="20"/>
                <w:szCs w:val="20"/>
              </w:rPr>
              <w:t>$</w:t>
            </w:r>
            <w:r w:rsidRPr="008435A8">
              <w:rPr>
                <w:rFonts w:ascii="Calibri" w:eastAsia="Times New Roman" w:hAnsi="Calibri" w:cs="Times New Roman"/>
                <w:color w:val="FF0000"/>
                <w:sz w:val="20"/>
                <w:szCs w:val="20"/>
              </w:rPr>
              <w:t>31,088,996</w:t>
            </w:r>
          </w:p>
        </w:tc>
        <w:tc>
          <w:tcPr>
            <w:tcW w:w="900" w:type="dxa"/>
            <w:shd w:val="clear" w:color="auto" w:fill="D2EAF1"/>
            <w:vAlign w:val="center"/>
            <w:hideMark/>
          </w:tcPr>
          <w:p w:rsidR="008435A8" w:rsidRPr="008435A8" w:rsidRDefault="008435A8" w:rsidP="006A320B">
            <w:pPr>
              <w:jc w:val="center"/>
              <w:rPr>
                <w:rFonts w:ascii="Calibri" w:eastAsia="Times New Roman" w:hAnsi="Calibri" w:cs="Times New Roman"/>
                <w:color w:val="000000"/>
                <w:sz w:val="20"/>
                <w:szCs w:val="20"/>
              </w:rPr>
            </w:pPr>
            <w:r w:rsidRPr="008435A8">
              <w:rPr>
                <w:rFonts w:ascii="Calibri" w:eastAsia="Times New Roman" w:hAnsi="Calibri" w:cs="Times New Roman"/>
                <w:color w:val="000000"/>
                <w:sz w:val="20"/>
                <w:szCs w:val="20"/>
              </w:rPr>
              <w:t>0.56</w:t>
            </w:r>
          </w:p>
        </w:tc>
      </w:tr>
      <w:tr w:rsidR="008435A8" w:rsidRPr="008435A8" w:rsidTr="006A320B">
        <w:trPr>
          <w:trHeight w:val="346"/>
        </w:trPr>
        <w:tc>
          <w:tcPr>
            <w:tcW w:w="1455" w:type="dxa"/>
            <w:shd w:val="clear" w:color="auto" w:fill="auto"/>
            <w:hideMark/>
          </w:tcPr>
          <w:p w:rsidR="008435A8" w:rsidRPr="008435A8" w:rsidRDefault="008435A8" w:rsidP="00A83ABC">
            <w:pPr>
              <w:jc w:val="left"/>
              <w:rPr>
                <w:rFonts w:ascii="Calibri" w:eastAsia="Times New Roman" w:hAnsi="Calibri" w:cs="Times New Roman"/>
                <w:b/>
                <w:bCs/>
                <w:color w:val="000000"/>
                <w:sz w:val="20"/>
                <w:szCs w:val="20"/>
              </w:rPr>
            </w:pPr>
            <w:r w:rsidRPr="008435A8">
              <w:rPr>
                <w:rFonts w:ascii="Calibri" w:eastAsia="Times New Roman" w:hAnsi="Calibri" w:cs="Times New Roman"/>
                <w:b/>
                <w:bCs/>
                <w:color w:val="000000"/>
                <w:sz w:val="20"/>
                <w:szCs w:val="20"/>
              </w:rPr>
              <w:t>Statewide</w:t>
            </w:r>
          </w:p>
        </w:tc>
        <w:tc>
          <w:tcPr>
            <w:tcW w:w="1320" w:type="dxa"/>
            <w:gridSpan w:val="2"/>
            <w:shd w:val="clear" w:color="auto" w:fill="auto"/>
            <w:hideMark/>
          </w:tcPr>
          <w:p w:rsidR="008435A8" w:rsidRPr="008435A8" w:rsidRDefault="009344A3" w:rsidP="00A83ABC">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422,478</w:t>
            </w:r>
          </w:p>
        </w:tc>
        <w:tc>
          <w:tcPr>
            <w:tcW w:w="1470" w:type="dxa"/>
            <w:shd w:val="clear" w:color="auto" w:fill="auto"/>
            <w:hideMark/>
          </w:tcPr>
          <w:p w:rsidR="008435A8" w:rsidRPr="008435A8" w:rsidRDefault="008435A8" w:rsidP="00A83ABC">
            <w:pPr>
              <w:jc w:val="center"/>
              <w:rPr>
                <w:rFonts w:ascii="Calibri" w:eastAsia="Times New Roman" w:hAnsi="Calibri" w:cs="Times New Roman"/>
                <w:b/>
                <w:bCs/>
                <w:color w:val="000000"/>
                <w:sz w:val="20"/>
                <w:szCs w:val="20"/>
              </w:rPr>
            </w:pPr>
            <w:r w:rsidRPr="008435A8">
              <w:rPr>
                <w:rFonts w:ascii="Calibri" w:eastAsia="Times New Roman" w:hAnsi="Calibri" w:cs="Times New Roman"/>
                <w:b/>
                <w:bCs/>
                <w:color w:val="000000"/>
                <w:sz w:val="20"/>
                <w:szCs w:val="20"/>
              </w:rPr>
              <w:t>269.98</w:t>
            </w:r>
          </w:p>
        </w:tc>
        <w:tc>
          <w:tcPr>
            <w:tcW w:w="1350" w:type="dxa"/>
            <w:shd w:val="clear" w:color="auto" w:fill="auto"/>
            <w:hideMark/>
          </w:tcPr>
          <w:p w:rsidR="008435A8" w:rsidRPr="008435A8" w:rsidRDefault="006A320B" w:rsidP="00A83ABC">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r w:rsidR="008435A8" w:rsidRPr="008435A8">
              <w:rPr>
                <w:rFonts w:ascii="Calibri" w:eastAsia="Times New Roman" w:hAnsi="Calibri" w:cs="Times New Roman"/>
                <w:b/>
                <w:bCs/>
                <w:color w:val="000000"/>
                <w:sz w:val="20"/>
                <w:szCs w:val="20"/>
              </w:rPr>
              <w:t>266,804,271</w:t>
            </w:r>
          </w:p>
        </w:tc>
        <w:tc>
          <w:tcPr>
            <w:tcW w:w="1350" w:type="dxa"/>
            <w:shd w:val="clear" w:color="auto" w:fill="auto"/>
            <w:hideMark/>
          </w:tcPr>
          <w:p w:rsidR="008435A8" w:rsidRPr="008435A8" w:rsidRDefault="006A320B" w:rsidP="00A83ABC">
            <w:pPr>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r w:rsidR="008435A8" w:rsidRPr="008435A8">
              <w:rPr>
                <w:rFonts w:ascii="Calibri" w:eastAsia="Times New Roman" w:hAnsi="Calibri" w:cs="Times New Roman"/>
                <w:b/>
                <w:bCs/>
                <w:color w:val="000000"/>
                <w:sz w:val="20"/>
                <w:szCs w:val="20"/>
              </w:rPr>
              <w:t>445,566,598</w:t>
            </w:r>
          </w:p>
        </w:tc>
        <w:tc>
          <w:tcPr>
            <w:tcW w:w="1530" w:type="dxa"/>
            <w:shd w:val="clear" w:color="auto" w:fill="auto"/>
            <w:hideMark/>
          </w:tcPr>
          <w:p w:rsidR="008435A8" w:rsidRPr="008435A8" w:rsidRDefault="008435A8" w:rsidP="009344A3">
            <w:pPr>
              <w:jc w:val="center"/>
              <w:rPr>
                <w:rFonts w:ascii="Calibri" w:eastAsia="Times New Roman" w:hAnsi="Calibri" w:cs="Times New Roman"/>
                <w:b/>
                <w:bCs/>
                <w:color w:val="FF0000"/>
                <w:sz w:val="20"/>
                <w:szCs w:val="20"/>
              </w:rPr>
            </w:pPr>
            <w:r w:rsidRPr="008435A8">
              <w:rPr>
                <w:rFonts w:ascii="Calibri" w:eastAsia="Times New Roman" w:hAnsi="Calibri" w:cs="Times New Roman"/>
                <w:b/>
                <w:bCs/>
                <w:color w:val="FF0000"/>
                <w:sz w:val="20"/>
                <w:szCs w:val="20"/>
              </w:rPr>
              <w:t>-</w:t>
            </w:r>
            <w:r w:rsidR="006A320B">
              <w:rPr>
                <w:rFonts w:ascii="Calibri" w:eastAsia="Times New Roman" w:hAnsi="Calibri" w:cs="Times New Roman"/>
                <w:b/>
                <w:bCs/>
                <w:color w:val="FF0000"/>
                <w:sz w:val="20"/>
                <w:szCs w:val="20"/>
              </w:rPr>
              <w:t>$</w:t>
            </w:r>
            <w:r w:rsidR="009344A3">
              <w:rPr>
                <w:rFonts w:ascii="Calibri" w:eastAsia="Times New Roman" w:hAnsi="Calibri" w:cs="Times New Roman"/>
                <w:b/>
                <w:bCs/>
                <w:color w:val="FF0000"/>
                <w:sz w:val="20"/>
                <w:szCs w:val="20"/>
              </w:rPr>
              <w:t>151,424,959</w:t>
            </w:r>
          </w:p>
        </w:tc>
        <w:tc>
          <w:tcPr>
            <w:tcW w:w="900" w:type="dxa"/>
            <w:shd w:val="clear" w:color="auto" w:fill="auto"/>
            <w:hideMark/>
          </w:tcPr>
          <w:p w:rsidR="008435A8" w:rsidRPr="008435A8" w:rsidRDefault="008435A8" w:rsidP="00A83ABC">
            <w:pPr>
              <w:jc w:val="center"/>
              <w:rPr>
                <w:rFonts w:ascii="Calibri" w:eastAsia="Times New Roman" w:hAnsi="Calibri" w:cs="Times New Roman"/>
                <w:b/>
                <w:bCs/>
                <w:color w:val="000000"/>
                <w:sz w:val="20"/>
                <w:szCs w:val="20"/>
              </w:rPr>
            </w:pPr>
            <w:r w:rsidRPr="008435A8">
              <w:rPr>
                <w:rFonts w:ascii="Calibri" w:eastAsia="Times New Roman" w:hAnsi="Calibri" w:cs="Times New Roman"/>
                <w:b/>
                <w:bCs/>
                <w:color w:val="000000"/>
                <w:sz w:val="20"/>
                <w:szCs w:val="20"/>
              </w:rPr>
              <w:t>0.60</w:t>
            </w:r>
          </w:p>
        </w:tc>
      </w:tr>
    </w:tbl>
    <w:p w:rsidR="00EF55FF" w:rsidRDefault="00EF55FF" w:rsidP="00A83ABC">
      <w:r w:rsidRPr="001861D2">
        <w:lastRenderedPageBreak/>
        <w:t xml:space="preserve">The kW reductions per participant for the three non-central </w:t>
      </w:r>
      <w:r w:rsidR="005852D3">
        <w:t>A/C</w:t>
      </w:r>
      <w:r w:rsidRPr="001861D2">
        <w:t xml:space="preserve"> end</w:t>
      </w:r>
      <w:r w:rsidR="00622FC2">
        <w:t xml:space="preserve"> </w:t>
      </w:r>
      <w:r w:rsidRPr="001861D2">
        <w:t xml:space="preserve">uses are </w:t>
      </w:r>
      <w:r>
        <w:t xml:space="preserve">much </w:t>
      </w:r>
      <w:r w:rsidRPr="001861D2">
        <w:t xml:space="preserve">smaller than </w:t>
      </w:r>
      <w:r>
        <w:t xml:space="preserve">for </w:t>
      </w:r>
      <w:r w:rsidRPr="001861D2">
        <w:t xml:space="preserve">the central </w:t>
      </w:r>
      <w:r w:rsidR="00E26294">
        <w:t>A/C</w:t>
      </w:r>
      <w:r w:rsidRPr="001861D2">
        <w:t xml:space="preserve"> </w:t>
      </w:r>
      <w:r>
        <w:t xml:space="preserve">load control program </w:t>
      </w:r>
      <w:r w:rsidRPr="001861D2">
        <w:t xml:space="preserve">participants. The costs of adding load control for window </w:t>
      </w:r>
      <w:r w:rsidR="00AD2C38">
        <w:t>A/C’s</w:t>
      </w:r>
      <w:r w:rsidRPr="001861D2">
        <w:t>, electric water heaters</w:t>
      </w:r>
      <w:r w:rsidR="00AB5423">
        <w:t>,</w:t>
      </w:r>
      <w:r w:rsidRPr="001861D2">
        <w:t xml:space="preserve"> and </w:t>
      </w:r>
      <w:r>
        <w:t xml:space="preserve">swimming </w:t>
      </w:r>
      <w:r w:rsidRPr="001861D2">
        <w:t xml:space="preserve">pool pumps to a proposed central </w:t>
      </w:r>
      <w:r w:rsidR="005852D3">
        <w:t>A/C</w:t>
      </w:r>
      <w:r w:rsidRPr="001861D2">
        <w:t xml:space="preserve"> program outweighed the benefits, further driving the benefit</w:t>
      </w:r>
      <w:r w:rsidR="00AB5423">
        <w:t>/</w:t>
      </w:r>
      <w:r w:rsidRPr="001861D2">
        <w:t>cost ratios for each EDC into negative territory.</w:t>
      </w:r>
    </w:p>
    <w:p w:rsidR="00A5388D" w:rsidRPr="001861D2" w:rsidRDefault="00A5388D" w:rsidP="00A83ABC"/>
    <w:p w:rsidR="001861D2" w:rsidRDefault="001861D2" w:rsidP="00A83ABC">
      <w:pPr>
        <w:spacing w:after="200"/>
        <w:jc w:val="left"/>
      </w:pPr>
      <w:r>
        <w:br w:type="page"/>
      </w:r>
    </w:p>
    <w:p w:rsidR="00E3407C" w:rsidRDefault="002D6436" w:rsidP="00A83ABC">
      <w:pPr>
        <w:pStyle w:val="Heading1"/>
      </w:pPr>
      <w:bookmarkStart w:id="207" w:name="_Toc412628415"/>
      <w:bookmarkStart w:id="208" w:name="_Ref407786636"/>
      <w:r>
        <w:lastRenderedPageBreak/>
        <w:t xml:space="preserve">Small and Medium </w:t>
      </w:r>
      <w:r w:rsidR="00EF55FF">
        <w:t>Commercial</w:t>
      </w:r>
      <w:r>
        <w:t xml:space="preserve"> Direct Load Control</w:t>
      </w:r>
      <w:bookmarkEnd w:id="207"/>
      <w:r>
        <w:t xml:space="preserve"> </w:t>
      </w:r>
      <w:bookmarkEnd w:id="208"/>
    </w:p>
    <w:p w:rsidR="00E3407C" w:rsidRDefault="00821FA3" w:rsidP="00A83ABC">
      <w:pPr>
        <w:pStyle w:val="Heading2"/>
      </w:pPr>
      <w:bookmarkStart w:id="209" w:name="_Toc412628416"/>
      <w:r>
        <w:t>Methodology</w:t>
      </w:r>
      <w:bookmarkEnd w:id="209"/>
    </w:p>
    <w:p w:rsidR="00E02B56" w:rsidRDefault="00821FA3" w:rsidP="00A83ABC">
      <w:pPr>
        <w:adjustRightInd w:val="0"/>
      </w:pPr>
      <w:r>
        <w:t>DLC</w:t>
      </w:r>
      <w:r w:rsidR="00E02B56">
        <w:t xml:space="preserve"> program</w:t>
      </w:r>
      <w:r w:rsidR="00BB2068">
        <w:t xml:space="preserve">s </w:t>
      </w:r>
      <w:r w:rsidR="00E02B56">
        <w:t xml:space="preserve">remotely </w:t>
      </w:r>
      <w:r>
        <w:t xml:space="preserve">manage </w:t>
      </w:r>
      <w:r w:rsidR="00E02B56">
        <w:t>customers’ HVAC demands</w:t>
      </w:r>
      <w:r w:rsidR="00BB2068">
        <w:t xml:space="preserve"> by directly controlling their HVAC systems</w:t>
      </w:r>
      <w:r w:rsidR="00E02B56">
        <w:t>.</w:t>
      </w:r>
      <w:r w:rsidR="001A768D">
        <w:t xml:space="preserve"> </w:t>
      </w:r>
      <w:r w:rsidR="00BB2068">
        <w:t>In exchange for an incentive payment or bill reduction, customers allow EDCs to remotely limit HVAC runtime during peak hours.</w:t>
      </w:r>
      <w:r w:rsidR="001A768D">
        <w:t xml:space="preserve"> </w:t>
      </w:r>
      <w:r w:rsidR="00E02B56">
        <w:t>Our approach for estimating potential for this program rests with identifying the proportion of each customer’s summer peak load consumption that may be associated with the use of their HVAC system for space cooling.</w:t>
      </w:r>
      <w:r w:rsidR="001A768D">
        <w:t xml:space="preserve"> </w:t>
      </w:r>
      <w:r w:rsidR="00E02B56">
        <w:t>We began by selecting customer accounts with a PLC greater than 5 kW, but less than or equal to 75 kW.</w:t>
      </w:r>
      <w:r w:rsidR="001A768D">
        <w:t xml:space="preserve"> </w:t>
      </w:r>
      <w:r w:rsidR="00E02B56">
        <w:t>We assumed accounts with less than 5 kW of PLC are associated with non-premises accounts</w:t>
      </w:r>
      <w:r>
        <w:t>, accounts with very low occupancy and space cooling during summer weekday afternoons</w:t>
      </w:r>
      <w:r w:rsidR="00E02B56">
        <w:t>.</w:t>
      </w:r>
      <w:r w:rsidR="001A768D">
        <w:t xml:space="preserve"> </w:t>
      </w:r>
      <w:r w:rsidR="00E02B56">
        <w:t xml:space="preserve">Those accounts with PLC greater than 75 kW were assigned to the C&amp;I program described in </w:t>
      </w:r>
      <w:r>
        <w:t xml:space="preserve">Section </w:t>
      </w:r>
      <w:r>
        <w:rPr>
          <w:highlight w:val="yellow"/>
        </w:rPr>
        <w:fldChar w:fldCharType="begin"/>
      </w:r>
      <w:r>
        <w:instrText xml:space="preserve"> REF _Ref405962821 \r \h </w:instrText>
      </w:r>
      <w:r w:rsidR="00CF2BE5">
        <w:rPr>
          <w:highlight w:val="yellow"/>
        </w:rPr>
        <w:instrText xml:space="preserve"> \* MERGEFORMAT </w:instrText>
      </w:r>
      <w:r>
        <w:rPr>
          <w:highlight w:val="yellow"/>
        </w:rPr>
      </w:r>
      <w:r>
        <w:rPr>
          <w:highlight w:val="yellow"/>
        </w:rPr>
        <w:fldChar w:fldCharType="separate"/>
      </w:r>
      <w:r w:rsidR="00803DBE">
        <w:t>6</w:t>
      </w:r>
      <w:r>
        <w:rPr>
          <w:highlight w:val="yellow"/>
        </w:rPr>
        <w:fldChar w:fldCharType="end"/>
      </w:r>
      <w:r w:rsidR="00A65803">
        <w:t>.</w:t>
      </w:r>
      <w:r w:rsidR="009157AC">
        <w:t xml:space="preserve"> The approach used to identify economically advantageous customers for DLC varied by EDC depending on data availability. The following sections detail the various approaches used. In each case the intent of the analysis was to identify accounts with enough A</w:t>
      </w:r>
      <w:r w:rsidR="00A244A9">
        <w:t>/</w:t>
      </w:r>
      <w:r w:rsidR="009157AC">
        <w:t xml:space="preserve">C load during peak periods that the benefits from controlling the load would be likely to outweigh the cost of the equipment, installation, and incentive. This step is analogous to the TRC screening procedure used to estimate economic potential for </w:t>
      </w:r>
      <w:r w:rsidR="00857521">
        <w:t>EE</w:t>
      </w:r>
      <w:r w:rsidR="009157AC">
        <w:t xml:space="preserve">. </w:t>
      </w:r>
    </w:p>
    <w:p w:rsidR="00B71588" w:rsidRDefault="00B71588" w:rsidP="00A83ABC">
      <w:pPr>
        <w:adjustRightInd w:val="0"/>
      </w:pPr>
    </w:p>
    <w:p w:rsidR="009157AC" w:rsidRDefault="009157AC" w:rsidP="00A83ABC">
      <w:pPr>
        <w:pStyle w:val="Heading3"/>
      </w:pPr>
      <w:bookmarkStart w:id="210" w:name="_Toc412628417"/>
      <w:r>
        <w:t>PPL</w:t>
      </w:r>
      <w:bookmarkEnd w:id="210"/>
    </w:p>
    <w:p w:rsidR="00E02B56" w:rsidRDefault="00E02B56" w:rsidP="00A83ABC">
      <w:pPr>
        <w:adjustRightInd w:val="0"/>
      </w:pPr>
      <w:r>
        <w:t>PPL is the only EDC that provided interval meter data</w:t>
      </w:r>
      <w:r w:rsidR="00821FA3">
        <w:t xml:space="preserve"> to the SWE </w:t>
      </w:r>
      <w:r w:rsidR="00A244A9">
        <w:t>T</w:t>
      </w:r>
      <w:r w:rsidR="00821FA3">
        <w:t>eam for analysis</w:t>
      </w:r>
      <w:r>
        <w:t>.</w:t>
      </w:r>
      <w:r w:rsidR="001A768D">
        <w:t xml:space="preserve"> </w:t>
      </w:r>
      <w:r w:rsidR="00821FA3">
        <w:t>Hourly outdoor air temperature records from the Allentown weather station were merged with hourly load records for calendar year 2013</w:t>
      </w:r>
      <w:r>
        <w:t>.</w:t>
      </w:r>
      <w:r w:rsidR="001A768D">
        <w:t xml:space="preserve"> </w:t>
      </w:r>
      <w:r w:rsidR="000860B4">
        <w:t xml:space="preserve">Next, a correlation coefficient ρ (rho) was calculated for each account between daily electric consumption and cooling degree days. This statistic falls between -1.0 and 1.0 and represents the extent to which electric loads increase or decrease during hot weather. </w:t>
      </w:r>
      <w:r>
        <w:t>Those cu</w:t>
      </w:r>
      <w:r w:rsidR="00640728">
        <w:t xml:space="preserve">stomers with a </w:t>
      </w:r>
      <w:r w:rsidR="000860B4">
        <w:t>strong positive</w:t>
      </w:r>
      <w:r w:rsidR="00640728">
        <w:t xml:space="preserve"> correlation are </w:t>
      </w:r>
      <w:r w:rsidR="00CF151F">
        <w:t>ideal candidates for a</w:t>
      </w:r>
      <w:r>
        <w:t xml:space="preserve"> DLC program</w:t>
      </w:r>
      <w:r w:rsidR="00CF151F">
        <w:t xml:space="preserve"> because we assume the increased electric consumption on hot days is attributable to </w:t>
      </w:r>
      <w:r w:rsidR="005852D3">
        <w:t>A/C</w:t>
      </w:r>
      <w:r w:rsidR="00CF151F">
        <w:t xml:space="preserve"> that could be curtailed if the site were to enroll in an EDC program</w:t>
      </w:r>
      <w:r>
        <w:t>.</w:t>
      </w:r>
      <w:r w:rsidR="001A768D">
        <w:t xml:space="preserve"> </w:t>
      </w:r>
      <w:r w:rsidR="00CF151F">
        <w:t>C</w:t>
      </w:r>
      <w:r>
        <w:t>ustomers with a correla</w:t>
      </w:r>
      <w:r w:rsidR="00CF151F">
        <w:t>tion coefficient less than 0.3</w:t>
      </w:r>
      <w:r>
        <w:t xml:space="preserve"> </w:t>
      </w:r>
      <w:r w:rsidR="00CF151F">
        <w:t xml:space="preserve">were excluded from the eligible pool of participants. The SWE </w:t>
      </w:r>
      <w:r w:rsidR="00A244A9">
        <w:t>T</w:t>
      </w:r>
      <w:r w:rsidR="00CF151F">
        <w:t>eam then modeled DLC potential for accounts with a correlation coefficient greater than 0.3.</w:t>
      </w:r>
      <w:r w:rsidR="003227B8">
        <w:t xml:space="preserve"> The distribution of customer accounts above and below the threshold is shown in </w:t>
      </w:r>
      <w:r w:rsidR="003227B8">
        <w:fldChar w:fldCharType="begin"/>
      </w:r>
      <w:r w:rsidR="003227B8">
        <w:instrText xml:space="preserve"> REF _Ref405966200 \h </w:instrText>
      </w:r>
      <w:r w:rsidR="00CF2BE5">
        <w:instrText xml:space="preserve"> \* MERGEFORMAT </w:instrText>
      </w:r>
      <w:r w:rsidR="003227B8">
        <w:fldChar w:fldCharType="separate"/>
      </w:r>
      <w:r w:rsidR="00803DBE" w:rsidRPr="0028056B">
        <w:t xml:space="preserve">Figure </w:t>
      </w:r>
      <w:r w:rsidR="00803DBE">
        <w:rPr>
          <w:noProof/>
        </w:rPr>
        <w:t>5</w:t>
      </w:r>
      <w:r w:rsidR="00803DBE">
        <w:rPr>
          <w:noProof/>
        </w:rPr>
        <w:noBreakHyphen/>
        <w:t>1</w:t>
      </w:r>
      <w:r w:rsidR="003227B8">
        <w:fldChar w:fldCharType="end"/>
      </w:r>
      <w:r w:rsidR="003227B8">
        <w:t>.</w:t>
      </w:r>
    </w:p>
    <w:p w:rsidR="003227B8" w:rsidRPr="0028056B" w:rsidRDefault="003227B8" w:rsidP="00A83ABC">
      <w:pPr>
        <w:pStyle w:val="Caption"/>
        <w:keepNext/>
      </w:pPr>
      <w:bookmarkStart w:id="211" w:name="_Ref405966200"/>
      <w:bookmarkStart w:id="212" w:name="_Toc412628514"/>
      <w:r w:rsidRPr="0028056B">
        <w:lastRenderedPageBreak/>
        <w:t xml:space="preserve">Figure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850055">
        <w:noBreakHyphen/>
      </w:r>
      <w:r w:rsidR="00E2011B">
        <w:fldChar w:fldCharType="begin"/>
      </w:r>
      <w:r w:rsidR="00E2011B">
        <w:instrText xml:space="preserve"> SE</w:instrText>
      </w:r>
      <w:r w:rsidR="00E2011B">
        <w:instrText xml:space="preserve">Q Figure \* ARABIC \s 1 </w:instrText>
      </w:r>
      <w:r w:rsidR="00E2011B">
        <w:fldChar w:fldCharType="separate"/>
      </w:r>
      <w:r w:rsidR="00803DBE">
        <w:rPr>
          <w:noProof/>
        </w:rPr>
        <w:t>1</w:t>
      </w:r>
      <w:r w:rsidR="00E2011B">
        <w:rPr>
          <w:noProof/>
        </w:rPr>
        <w:fldChar w:fldCharType="end"/>
      </w:r>
      <w:bookmarkEnd w:id="211"/>
      <w:r w:rsidRPr="0028056B">
        <w:t>: Segmentation of PPL Accounts Based on Weather Sensitivity</w:t>
      </w:r>
      <w:bookmarkEnd w:id="212"/>
      <w:r w:rsidRPr="0028056B">
        <w:t xml:space="preserve"> </w:t>
      </w:r>
    </w:p>
    <w:p w:rsidR="002F2DE2" w:rsidRDefault="002F2DE2" w:rsidP="00C41816">
      <w:pPr>
        <w:adjustRightInd w:val="0"/>
        <w:jc w:val="center"/>
      </w:pPr>
      <w:r>
        <w:rPr>
          <w:noProof/>
        </w:rPr>
        <w:drawing>
          <wp:inline distT="0" distB="0" distL="0" distR="0" wp14:anchorId="0952FE51" wp14:editId="4FF33135">
            <wp:extent cx="4272643" cy="3109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cooling correlation - PPL v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72643" cy="3109535"/>
                    </a:xfrm>
                    <a:prstGeom prst="rect">
                      <a:avLst/>
                    </a:prstGeom>
                  </pic:spPr>
                </pic:pic>
              </a:graphicData>
            </a:graphic>
          </wp:inline>
        </w:drawing>
      </w:r>
    </w:p>
    <w:p w:rsidR="00696FF0" w:rsidRDefault="00696FF0" w:rsidP="00A83ABC">
      <w:pPr>
        <w:adjustRightInd w:val="0"/>
      </w:pPr>
    </w:p>
    <w:p w:rsidR="00CF151F" w:rsidRDefault="002F2DE2" w:rsidP="00A83ABC">
      <w:pPr>
        <w:adjustRightInd w:val="0"/>
      </w:pPr>
      <w:r>
        <w:t>Once the weather sensitive a</w:t>
      </w:r>
      <w:r w:rsidR="003227B8">
        <w:t>ccounts were identified, a series of regression models were developed to estimate weekday afternoon loads as a function of outdoor air temperature and humidity. A separate model was developed for each customer segment for each weekday. The model coefficients were then used to compare predicted loads at peak conditions (as observed July 15</w:t>
      </w:r>
      <w:r w:rsidR="00D019C8">
        <w:t>-</w:t>
      </w:r>
      <w:r w:rsidR="003227B8">
        <w:t xml:space="preserve">19, 2013) to predicted loads at 60 degrees (F) and 40% relative humidity. The premise behind this comparison is that the difference in the two predictions is </w:t>
      </w:r>
      <w:r w:rsidR="005852D3">
        <w:t>A/C</w:t>
      </w:r>
      <w:r w:rsidR="003227B8">
        <w:t xml:space="preserve"> load. </w:t>
      </w:r>
      <w:r w:rsidR="003A5C5F">
        <w:fldChar w:fldCharType="begin"/>
      </w:r>
      <w:r w:rsidR="003A5C5F">
        <w:instrText xml:space="preserve"> REF _Ref405967448 \h </w:instrText>
      </w:r>
      <w:r w:rsidR="00CF2BE5">
        <w:instrText xml:space="preserve"> \* MERGEFORMAT </w:instrText>
      </w:r>
      <w:r w:rsidR="003A5C5F">
        <w:fldChar w:fldCharType="separate"/>
      </w:r>
      <w:r w:rsidR="00803DBE" w:rsidRPr="00FF4EC8">
        <w:t xml:space="preserve">Table </w:t>
      </w:r>
      <w:r w:rsidR="00803DBE">
        <w:rPr>
          <w:noProof/>
        </w:rPr>
        <w:t>5</w:t>
      </w:r>
      <w:r w:rsidR="00803DBE">
        <w:rPr>
          <w:noProof/>
        </w:rPr>
        <w:noBreakHyphen/>
        <w:t>1</w:t>
      </w:r>
      <w:r w:rsidR="003A5C5F">
        <w:fldChar w:fldCharType="end"/>
      </w:r>
      <w:r w:rsidR="00660EDD">
        <w:t xml:space="preserve"> shows the filters and calculations discussed in this section for each weekday aggregated across customer segments. Although these filters reduce the number of eligible accounts significantly, the ‘AC Load per Account’ column shows that the eligible customers that pass the screening have a considerable average cooling load that could be curtailed by an Act 129 DLC program.</w:t>
      </w:r>
    </w:p>
    <w:p w:rsidR="00B71588" w:rsidRDefault="00B71588" w:rsidP="00A83ABC">
      <w:pPr>
        <w:adjustRightInd w:val="0"/>
      </w:pPr>
    </w:p>
    <w:p w:rsidR="003A5C5F" w:rsidRPr="00FF4EC8" w:rsidRDefault="003A5C5F" w:rsidP="00A83ABC">
      <w:pPr>
        <w:pStyle w:val="Caption"/>
        <w:keepNext/>
      </w:pPr>
      <w:bookmarkStart w:id="213" w:name="_Ref405967448"/>
      <w:bookmarkStart w:id="214" w:name="_Toc412628478"/>
      <w:r w:rsidRPr="00FF4EC8">
        <w:t xml:space="preserve">Table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w:t>
      </w:r>
      <w:r w:rsidR="00E2011B">
        <w:rPr>
          <w:noProof/>
        </w:rPr>
        <w:fldChar w:fldCharType="end"/>
      </w:r>
      <w:bookmarkEnd w:id="213"/>
      <w:r w:rsidRPr="00FF4EC8">
        <w:t>:</w:t>
      </w:r>
      <w:r w:rsidR="00FF4EC8" w:rsidRPr="00FF4EC8">
        <w:t xml:space="preserve"> Estimation of </w:t>
      </w:r>
      <w:r w:rsidR="00A244A9" w:rsidRPr="00FF4EC8">
        <w:t>DX</w:t>
      </w:r>
      <w:r w:rsidR="00FF4EC8" w:rsidRPr="00FF4EC8">
        <w:t xml:space="preserve"> Cooling Load </w:t>
      </w:r>
      <w:r w:rsidR="00D019C8">
        <w:t>D</w:t>
      </w:r>
      <w:r w:rsidR="00D019C8" w:rsidRPr="00FF4EC8">
        <w:t xml:space="preserve">uring </w:t>
      </w:r>
      <w:r w:rsidRPr="00FF4EC8">
        <w:t>Peak Conditions</w:t>
      </w:r>
      <w:bookmarkEnd w:id="214"/>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60"/>
        <w:gridCol w:w="1118"/>
        <w:gridCol w:w="1119"/>
        <w:gridCol w:w="1118"/>
        <w:gridCol w:w="1119"/>
        <w:gridCol w:w="1118"/>
        <w:gridCol w:w="1119"/>
        <w:gridCol w:w="1119"/>
      </w:tblGrid>
      <w:tr w:rsidR="00B71588" w:rsidRPr="00B71588" w:rsidTr="00C41816">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448A99"/>
            <w:vAlign w:val="center"/>
            <w:hideMark/>
          </w:tcPr>
          <w:p w:rsidR="003A5C5F" w:rsidRPr="00B71588" w:rsidRDefault="003A5C5F" w:rsidP="00C41816">
            <w:pPr>
              <w:jc w:val="center"/>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Day of Week</w:t>
            </w:r>
          </w:p>
        </w:tc>
        <w:tc>
          <w:tcPr>
            <w:tcW w:w="1118" w:type="dxa"/>
            <w:tcBorders>
              <w:top w:val="none" w:sz="0" w:space="0" w:color="auto"/>
              <w:left w:val="none" w:sz="0" w:space="0" w:color="auto"/>
              <w:bottom w:val="none" w:sz="0" w:space="0" w:color="auto"/>
              <w:right w:val="none" w:sz="0" w:space="0" w:color="auto"/>
            </w:tcBorders>
            <w:shd w:val="clear" w:color="auto" w:fill="448A99"/>
            <w:vAlign w:val="center"/>
            <w:hideMark/>
          </w:tcPr>
          <w:p w:rsidR="003A5C5F" w:rsidRPr="00B71588"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Accounts with PLC &lt; 75 kW</w:t>
            </w:r>
          </w:p>
        </w:tc>
        <w:tc>
          <w:tcPr>
            <w:tcW w:w="1119" w:type="dxa"/>
            <w:tcBorders>
              <w:top w:val="none" w:sz="0" w:space="0" w:color="auto"/>
              <w:left w:val="none" w:sz="0" w:space="0" w:color="auto"/>
              <w:bottom w:val="none" w:sz="0" w:space="0" w:color="auto"/>
              <w:right w:val="none" w:sz="0" w:space="0" w:color="auto"/>
            </w:tcBorders>
            <w:shd w:val="clear" w:color="auto" w:fill="448A99"/>
            <w:vAlign w:val="center"/>
            <w:hideMark/>
          </w:tcPr>
          <w:p w:rsidR="003A5C5F" w:rsidRPr="00B71588"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Accounts with 5 kW &lt; PLC &lt; 75 kW</w:t>
            </w:r>
          </w:p>
        </w:tc>
        <w:tc>
          <w:tcPr>
            <w:tcW w:w="1118" w:type="dxa"/>
            <w:tcBorders>
              <w:top w:val="none" w:sz="0" w:space="0" w:color="auto"/>
              <w:left w:val="none" w:sz="0" w:space="0" w:color="auto"/>
              <w:bottom w:val="none" w:sz="0" w:space="0" w:color="auto"/>
              <w:right w:val="none" w:sz="0" w:space="0" w:color="auto"/>
            </w:tcBorders>
            <w:shd w:val="clear" w:color="auto" w:fill="448A99"/>
            <w:vAlign w:val="center"/>
            <w:hideMark/>
          </w:tcPr>
          <w:p w:rsidR="003A5C5F" w:rsidRPr="00B71588"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Weather Sensitive Accounts</w:t>
            </w:r>
          </w:p>
        </w:tc>
        <w:tc>
          <w:tcPr>
            <w:tcW w:w="1119" w:type="dxa"/>
            <w:tcBorders>
              <w:top w:val="none" w:sz="0" w:space="0" w:color="auto"/>
              <w:left w:val="none" w:sz="0" w:space="0" w:color="auto"/>
              <w:bottom w:val="none" w:sz="0" w:space="0" w:color="auto"/>
              <w:right w:val="none" w:sz="0" w:space="0" w:color="auto"/>
            </w:tcBorders>
            <w:shd w:val="clear" w:color="auto" w:fill="448A99"/>
            <w:vAlign w:val="center"/>
            <w:hideMark/>
          </w:tcPr>
          <w:p w:rsidR="0073339F"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Predicted kW</w:t>
            </w:r>
          </w:p>
          <w:p w:rsidR="003A5C5F" w:rsidRPr="00B71588"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(July 15-19, 2013)</w:t>
            </w:r>
          </w:p>
        </w:tc>
        <w:tc>
          <w:tcPr>
            <w:tcW w:w="1118" w:type="dxa"/>
            <w:tcBorders>
              <w:top w:val="none" w:sz="0" w:space="0" w:color="auto"/>
              <w:left w:val="none" w:sz="0" w:space="0" w:color="auto"/>
              <w:bottom w:val="none" w:sz="0" w:space="0" w:color="auto"/>
              <w:right w:val="none" w:sz="0" w:space="0" w:color="auto"/>
            </w:tcBorders>
            <w:shd w:val="clear" w:color="auto" w:fill="448A99"/>
            <w:vAlign w:val="center"/>
            <w:hideMark/>
          </w:tcPr>
          <w:p w:rsidR="003A5C5F" w:rsidRPr="00B71588"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Predicted kW at 60 Degrees (F)</w:t>
            </w:r>
          </w:p>
        </w:tc>
        <w:tc>
          <w:tcPr>
            <w:tcW w:w="1119" w:type="dxa"/>
            <w:tcBorders>
              <w:top w:val="none" w:sz="0" w:space="0" w:color="auto"/>
              <w:left w:val="none" w:sz="0" w:space="0" w:color="auto"/>
              <w:bottom w:val="none" w:sz="0" w:space="0" w:color="auto"/>
              <w:right w:val="none" w:sz="0" w:space="0" w:color="auto"/>
            </w:tcBorders>
            <w:shd w:val="clear" w:color="auto" w:fill="448A99"/>
            <w:vAlign w:val="center"/>
            <w:hideMark/>
          </w:tcPr>
          <w:p w:rsidR="003A5C5F" w:rsidRPr="00B71588"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AC Load (kW)</w:t>
            </w:r>
          </w:p>
        </w:tc>
        <w:tc>
          <w:tcPr>
            <w:tcW w:w="1119" w:type="dxa"/>
            <w:tcBorders>
              <w:top w:val="none" w:sz="0" w:space="0" w:color="auto"/>
              <w:left w:val="none" w:sz="0" w:space="0" w:color="auto"/>
              <w:bottom w:val="none" w:sz="0" w:space="0" w:color="auto"/>
              <w:right w:val="none" w:sz="0" w:space="0" w:color="auto"/>
            </w:tcBorders>
            <w:shd w:val="clear" w:color="auto" w:fill="448A99"/>
            <w:vAlign w:val="center"/>
            <w:hideMark/>
          </w:tcPr>
          <w:p w:rsidR="003A5C5F" w:rsidRPr="00B71588" w:rsidRDefault="003A5C5F"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B71588">
              <w:rPr>
                <w:rFonts w:ascii="Calibri" w:eastAsia="Times New Roman" w:hAnsi="Calibri" w:cs="Times New Roman"/>
                <w:bCs w:val="0"/>
                <w:color w:val="FFFFFF"/>
                <w:sz w:val="20"/>
                <w:szCs w:val="20"/>
              </w:rPr>
              <w:t>AC Load per Account (kW)</w:t>
            </w:r>
          </w:p>
        </w:tc>
      </w:tr>
      <w:tr w:rsidR="00B71588" w:rsidRPr="00B71588"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60" w:type="dxa"/>
            <w:tcBorders>
              <w:right w:val="none" w:sz="0" w:space="0" w:color="auto"/>
            </w:tcBorders>
            <w:noWrap/>
            <w:hideMark/>
          </w:tcPr>
          <w:p w:rsidR="003A5C5F" w:rsidRPr="00B71588" w:rsidRDefault="003A5C5F" w:rsidP="00A83ABC">
            <w:pPr>
              <w:jc w:val="left"/>
              <w:rPr>
                <w:rFonts w:ascii="Calibri" w:eastAsia="Times New Roman" w:hAnsi="Calibri" w:cs="Times New Roman"/>
                <w:b w:val="0"/>
                <w:color w:val="000000"/>
                <w:sz w:val="20"/>
                <w:szCs w:val="20"/>
              </w:rPr>
            </w:pPr>
            <w:r w:rsidRPr="00B71588">
              <w:rPr>
                <w:rFonts w:ascii="Calibri" w:eastAsia="Times New Roman" w:hAnsi="Calibri" w:cs="Times New Roman"/>
                <w:b w:val="0"/>
                <w:color w:val="000000"/>
                <w:sz w:val="20"/>
                <w:szCs w:val="20"/>
              </w:rPr>
              <w:t>Monday</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160,994</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87,082</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38,843</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631,567</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420,626</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210,941</w:t>
            </w:r>
          </w:p>
        </w:tc>
        <w:tc>
          <w:tcPr>
            <w:tcW w:w="1119" w:type="dxa"/>
            <w:tcBorders>
              <w:lef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5.43</w:t>
            </w:r>
          </w:p>
        </w:tc>
      </w:tr>
      <w:tr w:rsidR="003A5C5F" w:rsidRPr="00B71588"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60" w:type="dxa"/>
            <w:tcBorders>
              <w:right w:val="none" w:sz="0" w:space="0" w:color="auto"/>
            </w:tcBorders>
            <w:noWrap/>
            <w:hideMark/>
          </w:tcPr>
          <w:p w:rsidR="003A5C5F" w:rsidRPr="00B71588" w:rsidRDefault="003A5C5F" w:rsidP="00A83ABC">
            <w:pPr>
              <w:jc w:val="left"/>
              <w:rPr>
                <w:rFonts w:ascii="Calibri" w:eastAsia="Times New Roman" w:hAnsi="Calibri" w:cs="Times New Roman"/>
                <w:b w:val="0"/>
                <w:color w:val="000000"/>
                <w:sz w:val="20"/>
                <w:szCs w:val="20"/>
              </w:rPr>
            </w:pPr>
            <w:r w:rsidRPr="00B71588">
              <w:rPr>
                <w:rFonts w:ascii="Calibri" w:eastAsia="Times New Roman" w:hAnsi="Calibri" w:cs="Times New Roman"/>
                <w:b w:val="0"/>
                <w:color w:val="000000"/>
                <w:sz w:val="20"/>
                <w:szCs w:val="20"/>
              </w:rPr>
              <w:t>Tuesday</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160,994</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87,082</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38,840</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653,325</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437,247</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216,078</w:t>
            </w:r>
          </w:p>
        </w:tc>
        <w:tc>
          <w:tcPr>
            <w:tcW w:w="1119" w:type="dxa"/>
            <w:tcBorders>
              <w:lef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5.56</w:t>
            </w:r>
          </w:p>
        </w:tc>
      </w:tr>
      <w:tr w:rsidR="00B71588" w:rsidRPr="00B71588"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60" w:type="dxa"/>
            <w:tcBorders>
              <w:right w:val="none" w:sz="0" w:space="0" w:color="auto"/>
            </w:tcBorders>
            <w:noWrap/>
            <w:hideMark/>
          </w:tcPr>
          <w:p w:rsidR="003A5C5F" w:rsidRPr="00B71588" w:rsidRDefault="003A5C5F" w:rsidP="00A83ABC">
            <w:pPr>
              <w:jc w:val="left"/>
              <w:rPr>
                <w:rFonts w:ascii="Calibri" w:eastAsia="Times New Roman" w:hAnsi="Calibri" w:cs="Times New Roman"/>
                <w:b w:val="0"/>
                <w:color w:val="000000"/>
                <w:sz w:val="20"/>
                <w:szCs w:val="20"/>
              </w:rPr>
            </w:pPr>
            <w:r w:rsidRPr="00B71588">
              <w:rPr>
                <w:rFonts w:ascii="Calibri" w:eastAsia="Times New Roman" w:hAnsi="Calibri" w:cs="Times New Roman"/>
                <w:b w:val="0"/>
                <w:color w:val="000000"/>
                <w:sz w:val="20"/>
                <w:szCs w:val="20"/>
              </w:rPr>
              <w:t>Wednesday</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160,994</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87,082</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38,830</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656,499</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442,954</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213,545</w:t>
            </w:r>
          </w:p>
        </w:tc>
        <w:tc>
          <w:tcPr>
            <w:tcW w:w="1119" w:type="dxa"/>
            <w:tcBorders>
              <w:lef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5.50</w:t>
            </w:r>
          </w:p>
        </w:tc>
      </w:tr>
      <w:tr w:rsidR="003A5C5F" w:rsidRPr="00B71588"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60" w:type="dxa"/>
            <w:tcBorders>
              <w:right w:val="none" w:sz="0" w:space="0" w:color="auto"/>
            </w:tcBorders>
            <w:noWrap/>
            <w:hideMark/>
          </w:tcPr>
          <w:p w:rsidR="003A5C5F" w:rsidRPr="00B71588" w:rsidRDefault="003A5C5F" w:rsidP="00A83ABC">
            <w:pPr>
              <w:jc w:val="left"/>
              <w:rPr>
                <w:rFonts w:ascii="Calibri" w:eastAsia="Times New Roman" w:hAnsi="Calibri" w:cs="Times New Roman"/>
                <w:b w:val="0"/>
                <w:color w:val="000000"/>
                <w:sz w:val="20"/>
                <w:szCs w:val="20"/>
              </w:rPr>
            </w:pPr>
            <w:r w:rsidRPr="00B71588">
              <w:rPr>
                <w:rFonts w:ascii="Calibri" w:eastAsia="Times New Roman" w:hAnsi="Calibri" w:cs="Times New Roman"/>
                <w:b w:val="0"/>
                <w:color w:val="000000"/>
                <w:sz w:val="20"/>
                <w:szCs w:val="20"/>
              </w:rPr>
              <w:t>Thursday</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160,994</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87,082</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38,823</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678,485</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441,639</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236,847</w:t>
            </w:r>
          </w:p>
        </w:tc>
        <w:tc>
          <w:tcPr>
            <w:tcW w:w="1119" w:type="dxa"/>
            <w:tcBorders>
              <w:left w:val="none" w:sz="0" w:space="0" w:color="auto"/>
            </w:tcBorders>
            <w:noWrap/>
            <w:hideMark/>
          </w:tcPr>
          <w:p w:rsidR="003A5C5F" w:rsidRPr="00B71588" w:rsidRDefault="003A5C5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6.10</w:t>
            </w:r>
          </w:p>
        </w:tc>
      </w:tr>
      <w:tr w:rsidR="00B71588" w:rsidRPr="00B71588"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60" w:type="dxa"/>
            <w:tcBorders>
              <w:right w:val="none" w:sz="0" w:space="0" w:color="auto"/>
            </w:tcBorders>
            <w:noWrap/>
            <w:hideMark/>
          </w:tcPr>
          <w:p w:rsidR="003A5C5F" w:rsidRPr="00B71588" w:rsidRDefault="003A5C5F" w:rsidP="00A83ABC">
            <w:pPr>
              <w:jc w:val="left"/>
              <w:rPr>
                <w:rFonts w:ascii="Calibri" w:eastAsia="Times New Roman" w:hAnsi="Calibri" w:cs="Times New Roman"/>
                <w:b w:val="0"/>
                <w:color w:val="000000"/>
                <w:sz w:val="20"/>
                <w:szCs w:val="20"/>
              </w:rPr>
            </w:pPr>
            <w:r w:rsidRPr="00B71588">
              <w:rPr>
                <w:rFonts w:ascii="Calibri" w:eastAsia="Times New Roman" w:hAnsi="Calibri" w:cs="Times New Roman"/>
                <w:b w:val="0"/>
                <w:color w:val="000000"/>
                <w:sz w:val="20"/>
                <w:szCs w:val="20"/>
              </w:rPr>
              <w:t>Friday</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160,994</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87,082</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38,821</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672,774</w:t>
            </w:r>
          </w:p>
        </w:tc>
        <w:tc>
          <w:tcPr>
            <w:tcW w:w="1118"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429,338</w:t>
            </w:r>
          </w:p>
        </w:tc>
        <w:tc>
          <w:tcPr>
            <w:tcW w:w="1119" w:type="dxa"/>
            <w:tcBorders>
              <w:left w:val="none" w:sz="0" w:space="0" w:color="auto"/>
              <w:righ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243,436</w:t>
            </w:r>
          </w:p>
        </w:tc>
        <w:tc>
          <w:tcPr>
            <w:tcW w:w="1119" w:type="dxa"/>
            <w:tcBorders>
              <w:left w:val="none" w:sz="0" w:space="0" w:color="auto"/>
            </w:tcBorders>
            <w:noWrap/>
            <w:hideMark/>
          </w:tcPr>
          <w:p w:rsidR="003A5C5F" w:rsidRPr="00B71588" w:rsidRDefault="003A5C5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71588">
              <w:rPr>
                <w:rFonts w:ascii="Calibri" w:eastAsia="Times New Roman" w:hAnsi="Calibri" w:cs="Times New Roman"/>
                <w:color w:val="000000"/>
                <w:sz w:val="20"/>
                <w:szCs w:val="20"/>
              </w:rPr>
              <w:t>6.27</w:t>
            </w:r>
          </w:p>
        </w:tc>
      </w:tr>
    </w:tbl>
    <w:p w:rsidR="003227B8" w:rsidRDefault="003227B8" w:rsidP="00A83ABC">
      <w:pPr>
        <w:adjustRightInd w:val="0"/>
      </w:pPr>
    </w:p>
    <w:p w:rsidR="00CF151F" w:rsidRDefault="009157AC" w:rsidP="00A83ABC">
      <w:pPr>
        <w:pStyle w:val="Heading3"/>
      </w:pPr>
      <w:bookmarkStart w:id="215" w:name="_Toc412628418"/>
      <w:r>
        <w:t>PECO and FirstEnergy</w:t>
      </w:r>
      <w:bookmarkEnd w:id="215"/>
    </w:p>
    <w:p w:rsidR="00E3407C" w:rsidRDefault="00035562" w:rsidP="00A83ABC">
      <w:r>
        <w:t xml:space="preserve">PECO and </w:t>
      </w:r>
      <w:r w:rsidR="00D019C8">
        <w:t xml:space="preserve">FE </w:t>
      </w:r>
      <w:r w:rsidR="00E02B56">
        <w:t>provided monthly billing data for our analysis.</w:t>
      </w:r>
      <w:r w:rsidR="001A768D">
        <w:t xml:space="preserve"> </w:t>
      </w:r>
      <w:r>
        <w:t>A PLC for each account was also provided for the 2013/2014 delivery year</w:t>
      </w:r>
      <w:r w:rsidR="00E02B56">
        <w:t>.</w:t>
      </w:r>
      <w:r w:rsidR="001A768D">
        <w:t xml:space="preserve"> </w:t>
      </w:r>
      <w:r w:rsidR="00E02B56">
        <w:t xml:space="preserve">Our approach for selecting candidates for the DLC program is based on customers’ </w:t>
      </w:r>
      <w:r w:rsidR="008D4A01">
        <w:t>ratio of peak demand to base demand</w:t>
      </w:r>
      <w:r w:rsidR="00E02B56">
        <w:t>.</w:t>
      </w:r>
      <w:r w:rsidR="001A768D">
        <w:t xml:space="preserve"> </w:t>
      </w:r>
      <w:r>
        <w:t xml:space="preserve">A </w:t>
      </w:r>
      <w:r w:rsidR="00E02B56">
        <w:t xml:space="preserve">peak demand ratio </w:t>
      </w:r>
      <w:r>
        <w:t xml:space="preserve">was calculated for each account </w:t>
      </w:r>
      <w:r w:rsidR="00E02B56">
        <w:lastRenderedPageBreak/>
        <w:t xml:space="preserve">using consumption in billing period 7 </w:t>
      </w:r>
      <w:r w:rsidR="00F651A6">
        <w:t xml:space="preserve">(July) </w:t>
      </w:r>
      <w:r w:rsidR="00E02B56">
        <w:t xml:space="preserve">as </w:t>
      </w:r>
      <w:r w:rsidR="00471FCF">
        <w:t>the peak period</w:t>
      </w:r>
      <w:r w:rsidR="00E02B56">
        <w:t xml:space="preserve"> and the average of consumption during billing periods 4 and 10 </w:t>
      </w:r>
      <w:r w:rsidR="00F651A6">
        <w:t xml:space="preserve">(April and October) </w:t>
      </w:r>
      <w:r w:rsidR="00E02B56">
        <w:t xml:space="preserve">as the </w:t>
      </w:r>
      <w:r w:rsidR="00471FCF">
        <w:t>base period</w:t>
      </w:r>
      <w:r w:rsidR="00E02B56">
        <w:t>.</w:t>
      </w:r>
      <w:r w:rsidR="001A768D">
        <w:t xml:space="preserve"> </w:t>
      </w:r>
      <w:r w:rsidR="00F651A6">
        <w:t>Accounts</w:t>
      </w:r>
      <w:r w:rsidR="00E02B56">
        <w:t xml:space="preserve"> with a peak to base ratio less than 1.3 </w:t>
      </w:r>
      <w:r w:rsidR="00F651A6">
        <w:t xml:space="preserve">were excluded </w:t>
      </w:r>
      <w:r w:rsidR="00E02B56">
        <w:t xml:space="preserve">under the assumption that these customers </w:t>
      </w:r>
      <w:r w:rsidR="00F651A6">
        <w:t xml:space="preserve">do not use a significant amount of </w:t>
      </w:r>
      <w:r w:rsidR="00622FC2">
        <w:t>A/C</w:t>
      </w:r>
      <w:r w:rsidR="00F651A6">
        <w:t xml:space="preserve">. Each account’s PLC was divided by its peak-to-base ratio to develop a proxy of base load demand and this base load estimate was then subtracted from the PLC to estimate the share of the PLC attributable to </w:t>
      </w:r>
      <w:r w:rsidR="00622FC2">
        <w:t>A/C</w:t>
      </w:r>
      <w:r w:rsidR="00F651A6">
        <w:t>.</w:t>
      </w:r>
      <w:r>
        <w:t xml:space="preserve"> The calculation is shown for a hypothetical customer in </w:t>
      </w:r>
      <w:r>
        <w:fldChar w:fldCharType="begin"/>
      </w:r>
      <w:r>
        <w:instrText xml:space="preserve"> REF _Ref406068261 \h </w:instrText>
      </w:r>
      <w:r w:rsidR="00CF2BE5">
        <w:instrText xml:space="preserve"> \* MERGEFORMAT </w:instrText>
      </w:r>
      <w:r>
        <w:fldChar w:fldCharType="separate"/>
      </w:r>
      <w:r w:rsidR="00803DBE" w:rsidRPr="003E2AA4">
        <w:t xml:space="preserve">Table </w:t>
      </w:r>
      <w:r w:rsidR="00803DBE">
        <w:rPr>
          <w:noProof/>
        </w:rPr>
        <w:t>5</w:t>
      </w:r>
      <w:r w:rsidR="00803DBE">
        <w:rPr>
          <w:noProof/>
        </w:rPr>
        <w:noBreakHyphen/>
        <w:t>2</w:t>
      </w:r>
      <w:r>
        <w:fldChar w:fldCharType="end"/>
      </w:r>
      <w:r>
        <w:t xml:space="preserve">. FirstEnergy provided the SWE </w:t>
      </w:r>
      <w:r w:rsidR="00A244A9">
        <w:t>T</w:t>
      </w:r>
      <w:r>
        <w:t xml:space="preserve">eam with the number of days in each billing period which allowed us to use an average daily kWh figure for April, July, and October in the calculations. </w:t>
      </w:r>
    </w:p>
    <w:p w:rsidR="00B71588" w:rsidRDefault="00B71588" w:rsidP="00A83ABC"/>
    <w:p w:rsidR="00035562" w:rsidRPr="003E2AA4" w:rsidRDefault="00035562" w:rsidP="00A83ABC">
      <w:pPr>
        <w:pStyle w:val="Caption"/>
        <w:keepNext/>
      </w:pPr>
      <w:bookmarkStart w:id="216" w:name="_Ref406068261"/>
      <w:bookmarkStart w:id="217" w:name="_Ref406068253"/>
      <w:bookmarkStart w:id="218" w:name="_Toc412628479"/>
      <w:r w:rsidRPr="003E2AA4">
        <w:t xml:space="preserve">Table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2</w:t>
      </w:r>
      <w:r w:rsidR="00E2011B">
        <w:rPr>
          <w:noProof/>
        </w:rPr>
        <w:fldChar w:fldCharType="end"/>
      </w:r>
      <w:bookmarkEnd w:id="216"/>
      <w:r w:rsidRPr="003E2AA4">
        <w:t>: Sample Calculation of AC Load Available for DLC</w:t>
      </w:r>
      <w:bookmarkEnd w:id="217"/>
      <w:bookmarkEnd w:id="218"/>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392"/>
        <w:gridCol w:w="1218"/>
        <w:gridCol w:w="2070"/>
        <w:gridCol w:w="1440"/>
        <w:gridCol w:w="1440"/>
        <w:gridCol w:w="1800"/>
      </w:tblGrid>
      <w:tr w:rsidR="00035562" w:rsidRPr="00B71588" w:rsidTr="00C41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bottom w:val="none" w:sz="0" w:space="0" w:color="auto"/>
              <w:right w:val="none" w:sz="0" w:space="0" w:color="auto"/>
            </w:tcBorders>
            <w:shd w:val="clear" w:color="auto" w:fill="448A99"/>
            <w:vAlign w:val="center"/>
          </w:tcPr>
          <w:p w:rsidR="00035562" w:rsidRPr="00B71588" w:rsidRDefault="00035562" w:rsidP="00C41816">
            <w:pPr>
              <w:jc w:val="center"/>
              <w:rPr>
                <w:sz w:val="20"/>
              </w:rPr>
            </w:pPr>
            <w:r w:rsidRPr="00B71588">
              <w:rPr>
                <w:sz w:val="20"/>
              </w:rPr>
              <w:t>PLC (kW)</w:t>
            </w:r>
          </w:p>
        </w:tc>
        <w:tc>
          <w:tcPr>
            <w:tcW w:w="1218" w:type="dxa"/>
            <w:tcBorders>
              <w:top w:val="none" w:sz="0" w:space="0" w:color="auto"/>
              <w:left w:val="none" w:sz="0" w:space="0" w:color="auto"/>
              <w:bottom w:val="none" w:sz="0" w:space="0" w:color="auto"/>
              <w:right w:val="none" w:sz="0" w:space="0" w:color="auto"/>
            </w:tcBorders>
            <w:shd w:val="clear" w:color="auto" w:fill="448A99"/>
            <w:vAlign w:val="center"/>
          </w:tcPr>
          <w:p w:rsidR="00035562" w:rsidRPr="00B71588" w:rsidRDefault="00035562" w:rsidP="00C41816">
            <w:pPr>
              <w:jc w:val="center"/>
              <w:cnfStyle w:val="100000000000" w:firstRow="1" w:lastRow="0" w:firstColumn="0" w:lastColumn="0" w:oddVBand="0" w:evenVBand="0" w:oddHBand="0" w:evenHBand="0" w:firstRowFirstColumn="0" w:firstRowLastColumn="0" w:lastRowFirstColumn="0" w:lastRowLastColumn="0"/>
              <w:rPr>
                <w:sz w:val="20"/>
              </w:rPr>
            </w:pPr>
            <w:r w:rsidRPr="00B71588">
              <w:rPr>
                <w:sz w:val="20"/>
              </w:rPr>
              <w:t>July Billed kWh</w:t>
            </w:r>
          </w:p>
        </w:tc>
        <w:tc>
          <w:tcPr>
            <w:tcW w:w="2070" w:type="dxa"/>
            <w:tcBorders>
              <w:top w:val="none" w:sz="0" w:space="0" w:color="auto"/>
              <w:left w:val="none" w:sz="0" w:space="0" w:color="auto"/>
              <w:bottom w:val="none" w:sz="0" w:space="0" w:color="auto"/>
              <w:right w:val="none" w:sz="0" w:space="0" w:color="auto"/>
            </w:tcBorders>
            <w:shd w:val="clear" w:color="auto" w:fill="448A99"/>
            <w:vAlign w:val="center"/>
          </w:tcPr>
          <w:p w:rsidR="0073339F" w:rsidRDefault="00102F2A" w:rsidP="00C41816">
            <w:pPr>
              <w:jc w:val="center"/>
              <w:cnfStyle w:val="100000000000" w:firstRow="1" w:lastRow="0" w:firstColumn="0" w:lastColumn="0" w:oddVBand="0" w:evenVBand="0" w:oddHBand="0" w:evenHBand="0" w:firstRowFirstColumn="0" w:firstRowLastColumn="0" w:lastRowFirstColumn="0" w:lastRowLastColumn="0"/>
              <w:rPr>
                <w:sz w:val="20"/>
              </w:rPr>
            </w:pPr>
            <w:r>
              <w:rPr>
                <w:sz w:val="20"/>
              </w:rPr>
              <w:t>Average</w:t>
            </w:r>
          </w:p>
          <w:p w:rsidR="00035562" w:rsidRPr="00B71588" w:rsidRDefault="00035562" w:rsidP="00C41816">
            <w:pPr>
              <w:jc w:val="center"/>
              <w:cnfStyle w:val="100000000000" w:firstRow="1" w:lastRow="0" w:firstColumn="0" w:lastColumn="0" w:oddVBand="0" w:evenVBand="0" w:oddHBand="0" w:evenHBand="0" w:firstRowFirstColumn="0" w:firstRowLastColumn="0" w:lastRowFirstColumn="0" w:lastRowLastColumn="0"/>
              <w:rPr>
                <w:sz w:val="20"/>
              </w:rPr>
            </w:pPr>
            <w:r w:rsidRPr="00B71588">
              <w:rPr>
                <w:sz w:val="20"/>
              </w:rPr>
              <w:t>(April,</w:t>
            </w:r>
            <w:r w:rsidR="004F2F63">
              <w:rPr>
                <w:sz w:val="20"/>
              </w:rPr>
              <w:t xml:space="preserve"> July,</w:t>
            </w:r>
            <w:r w:rsidRPr="00B71588">
              <w:rPr>
                <w:sz w:val="20"/>
              </w:rPr>
              <w:t xml:space="preserve"> October) Billed kWh</w:t>
            </w:r>
          </w:p>
        </w:tc>
        <w:tc>
          <w:tcPr>
            <w:tcW w:w="1440" w:type="dxa"/>
            <w:tcBorders>
              <w:top w:val="none" w:sz="0" w:space="0" w:color="auto"/>
              <w:left w:val="none" w:sz="0" w:space="0" w:color="auto"/>
              <w:bottom w:val="none" w:sz="0" w:space="0" w:color="auto"/>
              <w:right w:val="none" w:sz="0" w:space="0" w:color="auto"/>
            </w:tcBorders>
            <w:shd w:val="clear" w:color="auto" w:fill="448A99"/>
            <w:vAlign w:val="center"/>
          </w:tcPr>
          <w:p w:rsidR="00035562" w:rsidRPr="00B71588" w:rsidRDefault="00035562" w:rsidP="00C41816">
            <w:pPr>
              <w:jc w:val="center"/>
              <w:cnfStyle w:val="100000000000" w:firstRow="1" w:lastRow="0" w:firstColumn="0" w:lastColumn="0" w:oddVBand="0" w:evenVBand="0" w:oddHBand="0" w:evenHBand="0" w:firstRowFirstColumn="0" w:firstRowLastColumn="0" w:lastRowFirstColumn="0" w:lastRowLastColumn="0"/>
              <w:rPr>
                <w:sz w:val="20"/>
              </w:rPr>
            </w:pPr>
            <w:r w:rsidRPr="00B71588">
              <w:rPr>
                <w:sz w:val="20"/>
              </w:rPr>
              <w:t>Peak-to-Base Ratio</w:t>
            </w:r>
          </w:p>
        </w:tc>
        <w:tc>
          <w:tcPr>
            <w:tcW w:w="1440" w:type="dxa"/>
            <w:tcBorders>
              <w:top w:val="none" w:sz="0" w:space="0" w:color="auto"/>
              <w:left w:val="none" w:sz="0" w:space="0" w:color="auto"/>
              <w:bottom w:val="none" w:sz="0" w:space="0" w:color="auto"/>
              <w:right w:val="none" w:sz="0" w:space="0" w:color="auto"/>
            </w:tcBorders>
            <w:shd w:val="clear" w:color="auto" w:fill="448A99"/>
            <w:vAlign w:val="center"/>
          </w:tcPr>
          <w:p w:rsidR="00035562" w:rsidRPr="00B71588" w:rsidRDefault="00035562" w:rsidP="00C41816">
            <w:pPr>
              <w:jc w:val="center"/>
              <w:cnfStyle w:val="100000000000" w:firstRow="1" w:lastRow="0" w:firstColumn="0" w:lastColumn="0" w:oddVBand="0" w:evenVBand="0" w:oddHBand="0" w:evenHBand="0" w:firstRowFirstColumn="0" w:firstRowLastColumn="0" w:lastRowFirstColumn="0" w:lastRowLastColumn="0"/>
              <w:rPr>
                <w:sz w:val="20"/>
              </w:rPr>
            </w:pPr>
            <w:r w:rsidRPr="00B71588">
              <w:rPr>
                <w:sz w:val="20"/>
              </w:rPr>
              <w:t>Base Load (kW)</w:t>
            </w:r>
          </w:p>
        </w:tc>
        <w:tc>
          <w:tcPr>
            <w:tcW w:w="1800" w:type="dxa"/>
            <w:tcBorders>
              <w:top w:val="none" w:sz="0" w:space="0" w:color="auto"/>
              <w:left w:val="none" w:sz="0" w:space="0" w:color="auto"/>
              <w:bottom w:val="none" w:sz="0" w:space="0" w:color="auto"/>
              <w:right w:val="none" w:sz="0" w:space="0" w:color="auto"/>
            </w:tcBorders>
            <w:shd w:val="clear" w:color="auto" w:fill="448A99"/>
            <w:vAlign w:val="center"/>
          </w:tcPr>
          <w:p w:rsidR="00035562" w:rsidRPr="00B71588" w:rsidRDefault="00035562" w:rsidP="00C41816">
            <w:pPr>
              <w:jc w:val="center"/>
              <w:cnfStyle w:val="100000000000" w:firstRow="1" w:lastRow="0" w:firstColumn="0" w:lastColumn="0" w:oddVBand="0" w:evenVBand="0" w:oddHBand="0" w:evenHBand="0" w:firstRowFirstColumn="0" w:firstRowLastColumn="0" w:lastRowFirstColumn="0" w:lastRowLastColumn="0"/>
              <w:rPr>
                <w:sz w:val="20"/>
              </w:rPr>
            </w:pPr>
            <w:r w:rsidRPr="00B71588">
              <w:rPr>
                <w:sz w:val="20"/>
              </w:rPr>
              <w:t>AC Load (kW)</w:t>
            </w:r>
          </w:p>
        </w:tc>
      </w:tr>
      <w:tr w:rsidR="00035562" w:rsidRPr="00B71588" w:rsidTr="00C41816">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92" w:type="dxa"/>
            <w:tcBorders>
              <w:right w:val="none" w:sz="0" w:space="0" w:color="auto"/>
            </w:tcBorders>
          </w:tcPr>
          <w:p w:rsidR="00035562" w:rsidRPr="00B71588" w:rsidRDefault="00035562" w:rsidP="00A83ABC">
            <w:pPr>
              <w:rPr>
                <w:b w:val="0"/>
                <w:sz w:val="20"/>
              </w:rPr>
            </w:pPr>
            <w:r w:rsidRPr="00B71588">
              <w:rPr>
                <w:b w:val="0"/>
                <w:sz w:val="20"/>
              </w:rPr>
              <w:t>8.0</w:t>
            </w:r>
          </w:p>
        </w:tc>
        <w:tc>
          <w:tcPr>
            <w:tcW w:w="1218" w:type="dxa"/>
            <w:tcBorders>
              <w:left w:val="none" w:sz="0" w:space="0" w:color="auto"/>
              <w:right w:val="none" w:sz="0" w:space="0" w:color="auto"/>
            </w:tcBorders>
          </w:tcPr>
          <w:p w:rsidR="00035562" w:rsidRPr="00B71588" w:rsidRDefault="00035562"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B71588">
              <w:rPr>
                <w:sz w:val="20"/>
              </w:rPr>
              <w:t>6,000</w:t>
            </w:r>
          </w:p>
        </w:tc>
        <w:tc>
          <w:tcPr>
            <w:tcW w:w="2070" w:type="dxa"/>
            <w:tcBorders>
              <w:left w:val="none" w:sz="0" w:space="0" w:color="auto"/>
              <w:right w:val="none" w:sz="0" w:space="0" w:color="auto"/>
            </w:tcBorders>
          </w:tcPr>
          <w:p w:rsidR="00035562" w:rsidRPr="00B71588" w:rsidRDefault="00035562"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B71588">
              <w:rPr>
                <w:sz w:val="20"/>
              </w:rPr>
              <w:t>4,000</w:t>
            </w:r>
          </w:p>
        </w:tc>
        <w:tc>
          <w:tcPr>
            <w:tcW w:w="1440" w:type="dxa"/>
            <w:tcBorders>
              <w:left w:val="none" w:sz="0" w:space="0" w:color="auto"/>
              <w:right w:val="none" w:sz="0" w:space="0" w:color="auto"/>
            </w:tcBorders>
          </w:tcPr>
          <w:p w:rsidR="00035562" w:rsidRPr="00B71588" w:rsidRDefault="00035562"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B71588">
              <w:rPr>
                <w:sz w:val="20"/>
              </w:rPr>
              <w:t>1.5</w:t>
            </w:r>
          </w:p>
        </w:tc>
        <w:tc>
          <w:tcPr>
            <w:tcW w:w="1440" w:type="dxa"/>
            <w:tcBorders>
              <w:left w:val="none" w:sz="0" w:space="0" w:color="auto"/>
              <w:right w:val="none" w:sz="0" w:space="0" w:color="auto"/>
            </w:tcBorders>
          </w:tcPr>
          <w:p w:rsidR="00035562" w:rsidRPr="00B71588" w:rsidRDefault="00035562"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B71588">
              <w:rPr>
                <w:sz w:val="20"/>
              </w:rPr>
              <w:t>5.33</w:t>
            </w:r>
          </w:p>
        </w:tc>
        <w:tc>
          <w:tcPr>
            <w:tcW w:w="1800" w:type="dxa"/>
            <w:tcBorders>
              <w:left w:val="none" w:sz="0" w:space="0" w:color="auto"/>
            </w:tcBorders>
          </w:tcPr>
          <w:p w:rsidR="00035562" w:rsidRPr="00B71588" w:rsidRDefault="00035562"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B71588">
              <w:rPr>
                <w:sz w:val="20"/>
              </w:rPr>
              <w:t>2.67</w:t>
            </w:r>
          </w:p>
        </w:tc>
      </w:tr>
    </w:tbl>
    <w:p w:rsidR="00F651A6" w:rsidRDefault="00F651A6" w:rsidP="00A83ABC"/>
    <w:p w:rsidR="009157AC" w:rsidRDefault="009157AC" w:rsidP="00A83ABC">
      <w:pPr>
        <w:pStyle w:val="Heading3"/>
      </w:pPr>
      <w:bookmarkStart w:id="219" w:name="_Toc412628419"/>
      <w:r>
        <w:t>Duquesne Light</w:t>
      </w:r>
      <w:bookmarkEnd w:id="219"/>
    </w:p>
    <w:p w:rsidR="003E2AA4" w:rsidRDefault="008067E9" w:rsidP="00A83ABC">
      <w:r>
        <w:t xml:space="preserve">Duquesne provided </w:t>
      </w:r>
      <w:r w:rsidR="00986CAC">
        <w:t xml:space="preserve">basic </w:t>
      </w:r>
      <w:r>
        <w:t xml:space="preserve">customer </w:t>
      </w:r>
      <w:r w:rsidR="00986CAC">
        <w:t>account data</w:t>
      </w:r>
      <w:r>
        <w:t xml:space="preserve"> that contained maximum o</w:t>
      </w:r>
      <w:r w:rsidR="00986CAC">
        <w:t>bserved demand from each account</w:t>
      </w:r>
      <w:r w:rsidR="00E5179A">
        <w:t xml:space="preserve"> during </w:t>
      </w:r>
      <w:r w:rsidR="00D019C8">
        <w:t xml:space="preserve">the </w:t>
      </w:r>
      <w:r w:rsidR="00E5179A">
        <w:t>calendar year 2012</w:t>
      </w:r>
      <w:r w:rsidR="00986CAC">
        <w:t xml:space="preserve">. While these data allowed segmentation of customer accounts, the SWE </w:t>
      </w:r>
      <w:r w:rsidR="00A61CA7">
        <w:t xml:space="preserve">Team </w:t>
      </w:r>
      <w:r w:rsidR="00986CAC">
        <w:t xml:space="preserve">developed alternative approaches to estimate </w:t>
      </w:r>
      <w:r w:rsidR="00037A03">
        <w:t>DR</w:t>
      </w:r>
      <w:r w:rsidR="00986CAC">
        <w:t xml:space="preserve"> potential</w:t>
      </w:r>
      <w:r>
        <w:t>.</w:t>
      </w:r>
      <w:r w:rsidR="00986CAC">
        <w:t xml:space="preserve"> </w:t>
      </w:r>
      <w:r w:rsidR="001607DE">
        <w:t xml:space="preserve">The forecast data provided by Duquesne for 2015 to 2025 was </w:t>
      </w:r>
      <w:r w:rsidR="00E5179A">
        <w:t>“back-cast” to 2012</w:t>
      </w:r>
      <w:r w:rsidR="001607DE">
        <w:t xml:space="preserve"> using the average annual growth rate of the forecast. The result is a non-</w:t>
      </w:r>
      <w:r w:rsidR="00E5179A">
        <w:t>residential</w:t>
      </w:r>
      <w:r w:rsidR="001607DE">
        <w:t xml:space="preserve"> </w:t>
      </w:r>
      <w:r w:rsidR="00E5179A">
        <w:t>summer peak load</w:t>
      </w:r>
      <w:r w:rsidR="001607DE">
        <w:t xml:space="preserve"> estimate </w:t>
      </w:r>
      <w:r w:rsidR="0028056B">
        <w:t>of 1,716</w:t>
      </w:r>
      <w:r w:rsidR="001607DE">
        <w:t xml:space="preserve"> MW. This figure is confirmed by non-</w:t>
      </w:r>
      <w:r w:rsidR="00E5179A">
        <w:t>residential peak load allocation</w:t>
      </w:r>
      <w:r w:rsidR="001607DE">
        <w:t xml:space="preserve"> estimates provided to the SWE </w:t>
      </w:r>
      <w:r w:rsidR="00A61CA7">
        <w:t xml:space="preserve">Team </w:t>
      </w:r>
      <w:r w:rsidR="001607DE">
        <w:t>by Duquesne</w:t>
      </w:r>
      <w:r w:rsidR="003E2AA4">
        <w:t xml:space="preserve">. </w:t>
      </w:r>
      <w:r w:rsidR="001607DE">
        <w:t xml:space="preserve">The </w:t>
      </w:r>
      <w:r w:rsidR="00E5179A">
        <w:t>sum of the maximum demand for all non-residential</w:t>
      </w:r>
      <w:r w:rsidR="001607DE">
        <w:t xml:space="preserve"> customer account</w:t>
      </w:r>
      <w:r w:rsidR="00E5179A">
        <w:t>s</w:t>
      </w:r>
      <w:r w:rsidR="001607DE">
        <w:t xml:space="preserve"> provided by Duquesne is</w:t>
      </w:r>
      <w:r w:rsidR="0028056B">
        <w:t xml:space="preserve"> 2,650 MW. The ratio of customer account maximum demand </w:t>
      </w:r>
      <w:r w:rsidR="00E5179A">
        <w:t xml:space="preserve">to peak load share </w:t>
      </w:r>
      <w:r w:rsidR="0028056B">
        <w:t>is 1.5</w:t>
      </w:r>
      <w:r w:rsidR="00E5179A">
        <w:t>77</w:t>
      </w:r>
      <w:r w:rsidR="0028056B">
        <w:t xml:space="preserve">. We apply this factor to the </w:t>
      </w:r>
      <w:r w:rsidR="009D5798">
        <w:t xml:space="preserve">small </w:t>
      </w:r>
      <w:r w:rsidR="00A244A9">
        <w:t xml:space="preserve">and </w:t>
      </w:r>
      <w:r w:rsidR="009D5798">
        <w:t xml:space="preserve">medium commercial </w:t>
      </w:r>
      <w:r w:rsidR="0028056B">
        <w:t>DLC load cutoff points of 5 kW and 75 kW, which returns values of 7.88 kW and 118.28 kW, respectively. We use these scaled cutoff values to assign Duquesne accounts to the</w:t>
      </w:r>
      <w:r w:rsidR="00721067">
        <w:t xml:space="preserve"> DLC program.</w:t>
      </w:r>
      <w:r w:rsidR="004E56B1">
        <w:t xml:space="preserve"> </w:t>
      </w:r>
      <w:r w:rsidR="003E2AA4">
        <w:t>In the absence of account-level PLC estimates from Duquesne, we assigned the average calculated A</w:t>
      </w:r>
      <w:r w:rsidR="00A244A9">
        <w:t>/</w:t>
      </w:r>
      <w:r w:rsidR="003E2AA4">
        <w:t>C load</w:t>
      </w:r>
      <w:r w:rsidR="00E5179A">
        <w:t xml:space="preserve">, by customer segment, </w:t>
      </w:r>
      <w:r w:rsidR="005D4F34">
        <w:t>from all other EDCs to the Duquesne accounts classified as eligible for the DLC program.</w:t>
      </w:r>
    </w:p>
    <w:p w:rsidR="00B71588" w:rsidRDefault="00B71588" w:rsidP="00A83ABC"/>
    <w:p w:rsidR="005A1427" w:rsidRDefault="0081339C" w:rsidP="00A83ABC">
      <w:pPr>
        <w:pStyle w:val="Heading3"/>
      </w:pPr>
      <w:bookmarkStart w:id="220" w:name="_Toc412628420"/>
      <w:r>
        <w:t>Size and Efficiency Assumptions</w:t>
      </w:r>
      <w:bookmarkEnd w:id="220"/>
    </w:p>
    <w:p w:rsidR="004D5B66" w:rsidRDefault="00A244A9" w:rsidP="00A83ABC">
      <w:r>
        <w:t xml:space="preserve">Once an estimate of </w:t>
      </w:r>
      <w:r w:rsidR="00622FC2">
        <w:t>A/C</w:t>
      </w:r>
      <w:r>
        <w:t xml:space="preserve"> load during peaking conditions was developed for each account, the SWE Team used average size and efficiency values collected as part of the Non-Residential End</w:t>
      </w:r>
      <w:r w:rsidR="00B17135">
        <w:t xml:space="preserve"> </w:t>
      </w:r>
      <w:r>
        <w:t>Use Saturation Study</w:t>
      </w:r>
      <w:r>
        <w:rPr>
          <w:rStyle w:val="FootnoteReference"/>
        </w:rPr>
        <w:footnoteReference w:id="111"/>
      </w:r>
      <w:r>
        <w:t xml:space="preserve"> to estimate the number of condensing units present at each location. This step is important because equipment costs for a </w:t>
      </w:r>
      <w:r w:rsidR="005852D3">
        <w:t>DLC</w:t>
      </w:r>
      <w:r>
        <w:t xml:space="preserve"> program are incurred on a per-condensing unit basis rather than a per-site basis. </w:t>
      </w:r>
      <w:r w:rsidR="003F135C">
        <w:t xml:space="preserve"> </w:t>
      </w:r>
    </w:p>
    <w:p w:rsidR="00803DBE" w:rsidRPr="00102F2A" w:rsidRDefault="003F135C" w:rsidP="00803DBE">
      <w:pPr>
        <w:spacing w:after="120"/>
      </w:pPr>
      <w:r>
        <w:fldChar w:fldCharType="begin"/>
      </w:r>
      <w:r>
        <w:instrText xml:space="preserve"> REF _Ref406397304 \h </w:instrText>
      </w:r>
      <w:r w:rsidR="00CF2BE5">
        <w:instrText xml:space="preserve"> \* MERGEFORMAT </w:instrText>
      </w:r>
      <w:r>
        <w:fldChar w:fldCharType="separate"/>
      </w:r>
    </w:p>
    <w:p w:rsidR="003F135C" w:rsidRDefault="00803DBE" w:rsidP="00A83ABC">
      <w:pPr>
        <w:spacing w:after="120"/>
      </w:pPr>
      <w:r w:rsidRPr="004F2C75">
        <w:t>Table</w:t>
      </w:r>
      <w:r w:rsidRPr="004F2C75">
        <w:rPr>
          <w:noProof/>
        </w:rPr>
        <w:t xml:space="preserve"> </w:t>
      </w:r>
      <w:r>
        <w:rPr>
          <w:noProof/>
        </w:rPr>
        <w:t>5</w:t>
      </w:r>
      <w:r>
        <w:rPr>
          <w:noProof/>
        </w:rPr>
        <w:noBreakHyphen/>
        <w:t>3</w:t>
      </w:r>
      <w:r w:rsidR="003F135C">
        <w:fldChar w:fldCharType="end"/>
      </w:r>
      <w:r w:rsidR="003F135C">
        <w:t xml:space="preserve"> shows the capacity and efficiency assumptions for each customer segment. An average duty cycle of 70% was assumed for all accounts</w:t>
      </w:r>
      <w:r w:rsidR="00512D93">
        <w:rPr>
          <w:rStyle w:val="FootnoteReference"/>
        </w:rPr>
        <w:footnoteReference w:id="112"/>
      </w:r>
      <w:r w:rsidR="003F135C">
        <w:t xml:space="preserve">. </w:t>
      </w:r>
    </w:p>
    <w:p w:rsidR="00D019C8" w:rsidRPr="00102F2A" w:rsidRDefault="001B508B" w:rsidP="00A83ABC">
      <m:oMathPara>
        <m:oMath>
          <m:r>
            <w:rPr>
              <w:rFonts w:ascii="Cambria Math" w:hAnsi="Cambria Math"/>
            </w:rPr>
            <m:t xml:space="preserve">Number of AC Units= </m:t>
          </m:r>
          <m:f>
            <m:fPr>
              <m:type m:val="skw"/>
              <m:ctrlPr>
                <w:rPr>
                  <w:rFonts w:ascii="Cambria Math" w:hAnsi="Cambria Math"/>
                  <w:i/>
                </w:rPr>
              </m:ctrlPr>
            </m:fPr>
            <m:num>
              <m:r>
                <w:rPr>
                  <w:rFonts w:ascii="Cambria Math" w:hAnsi="Cambria Math"/>
                </w:rPr>
                <m:t>Peak AC Load</m:t>
              </m:r>
            </m:num>
            <m:den>
              <m:f>
                <m:fPr>
                  <m:ctrlPr>
                    <w:rPr>
                      <w:rFonts w:ascii="Cambria Math" w:hAnsi="Cambria Math"/>
                      <w:i/>
                    </w:rPr>
                  </m:ctrlPr>
                </m:fPr>
                <m:num>
                  <m:r>
                    <w:rPr>
                      <w:rFonts w:ascii="Cambria Math" w:hAnsi="Cambria Math"/>
                    </w:rPr>
                    <m:t>(Capacity*12)</m:t>
                  </m:r>
                </m:num>
                <m:den>
                  <m:r>
                    <w:rPr>
                      <w:rFonts w:ascii="Cambria Math" w:hAnsi="Cambria Math"/>
                    </w:rPr>
                    <m:t>SEER</m:t>
                  </m:r>
                </m:den>
              </m:f>
              <m:r>
                <w:rPr>
                  <w:rFonts w:ascii="Cambria Math" w:hAnsi="Cambria Math"/>
                </w:rPr>
                <m:t>*Duty Cycle</m:t>
              </m:r>
            </m:den>
          </m:f>
        </m:oMath>
      </m:oMathPara>
      <w:bookmarkStart w:id="221" w:name="_Ref406397304"/>
    </w:p>
    <w:p w:rsidR="003F135C" w:rsidRPr="004F2C75" w:rsidRDefault="003F135C" w:rsidP="00A83ABC">
      <w:pPr>
        <w:pStyle w:val="Caption"/>
      </w:pPr>
      <w:bookmarkStart w:id="222" w:name="_Toc412628480"/>
      <w:r w:rsidRPr="004F2C75">
        <w:lastRenderedPageBreak/>
        <w:t xml:space="preserve">Table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3</w:t>
      </w:r>
      <w:r w:rsidR="00E2011B">
        <w:rPr>
          <w:noProof/>
        </w:rPr>
        <w:fldChar w:fldCharType="end"/>
      </w:r>
      <w:bookmarkEnd w:id="221"/>
      <w:r w:rsidRPr="004F2C75">
        <w:t>: Average Size and Efficiency of DX Cooling Equipment by Segment</w:t>
      </w:r>
      <w:bookmarkEnd w:id="222"/>
    </w:p>
    <w:tbl>
      <w:tblPr>
        <w:tblStyle w:val="MediumShading1-Accent5"/>
        <w:tblW w:w="737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427"/>
        <w:gridCol w:w="2471"/>
        <w:gridCol w:w="2472"/>
      </w:tblGrid>
      <w:tr w:rsidR="00BC0320" w:rsidRPr="004F2C75" w:rsidTr="005544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7"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BC0320" w:rsidRPr="004F2C75" w:rsidRDefault="00BC0320" w:rsidP="00A83ABC">
            <w:pPr>
              <w:jc w:val="left"/>
              <w:rPr>
                <w:rFonts w:ascii="Calibri" w:eastAsia="Times New Roman" w:hAnsi="Calibri" w:cs="Times New Roman"/>
                <w:bCs w:val="0"/>
                <w:color w:val="FFFFFF"/>
                <w:sz w:val="20"/>
                <w:szCs w:val="20"/>
              </w:rPr>
            </w:pPr>
            <w:r w:rsidRPr="004F2C75">
              <w:rPr>
                <w:rFonts w:ascii="Calibri" w:eastAsia="Times New Roman" w:hAnsi="Calibri" w:cs="Times New Roman"/>
                <w:bCs w:val="0"/>
                <w:color w:val="FFFFFF"/>
                <w:sz w:val="20"/>
                <w:szCs w:val="20"/>
              </w:rPr>
              <w:t>Customer Segment</w:t>
            </w:r>
          </w:p>
        </w:tc>
        <w:tc>
          <w:tcPr>
            <w:tcW w:w="2471"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BC0320" w:rsidRPr="004F2C75" w:rsidRDefault="00BC0320"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4F2C75">
              <w:rPr>
                <w:rFonts w:ascii="Calibri" w:eastAsia="Times New Roman" w:hAnsi="Calibri" w:cs="Times New Roman"/>
                <w:bCs w:val="0"/>
                <w:color w:val="FFFFFF"/>
                <w:sz w:val="20"/>
                <w:szCs w:val="20"/>
              </w:rPr>
              <w:t>Average Cooling Capacity (Tons)</w:t>
            </w:r>
          </w:p>
        </w:tc>
        <w:tc>
          <w:tcPr>
            <w:tcW w:w="2472"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BC0320" w:rsidRPr="004F2C75" w:rsidRDefault="0062355C"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4F2C75">
              <w:rPr>
                <w:rFonts w:ascii="Calibri" w:eastAsia="Times New Roman" w:hAnsi="Calibri" w:cs="Times New Roman"/>
                <w:bCs w:val="0"/>
                <w:color w:val="FFFFFF"/>
                <w:sz w:val="20"/>
                <w:szCs w:val="20"/>
              </w:rPr>
              <w:t xml:space="preserve">Average </w:t>
            </w:r>
            <w:r>
              <w:rPr>
                <w:rFonts w:ascii="Calibri" w:eastAsia="Times New Roman" w:hAnsi="Calibri" w:cs="Times New Roman"/>
                <w:bCs w:val="0"/>
                <w:color w:val="FFFFFF"/>
                <w:sz w:val="20"/>
                <w:szCs w:val="20"/>
              </w:rPr>
              <w:t xml:space="preserve">Seasonal </w:t>
            </w:r>
            <w:r w:rsidR="00857521">
              <w:rPr>
                <w:rFonts w:ascii="Calibri" w:eastAsia="Times New Roman" w:hAnsi="Calibri" w:cs="Times New Roman"/>
                <w:bCs w:val="0"/>
                <w:color w:val="FFFFFF"/>
                <w:sz w:val="20"/>
                <w:szCs w:val="20"/>
              </w:rPr>
              <w:t>EE</w:t>
            </w:r>
            <w:r>
              <w:rPr>
                <w:rFonts w:ascii="Calibri" w:eastAsia="Times New Roman" w:hAnsi="Calibri" w:cs="Times New Roman"/>
                <w:bCs w:val="0"/>
                <w:color w:val="FFFFFF"/>
                <w:sz w:val="20"/>
                <w:szCs w:val="20"/>
              </w:rPr>
              <w:t xml:space="preserve"> Ratio (</w:t>
            </w:r>
            <w:r w:rsidRPr="004F2C75">
              <w:rPr>
                <w:rFonts w:ascii="Calibri" w:eastAsia="Times New Roman" w:hAnsi="Calibri" w:cs="Times New Roman"/>
                <w:bCs w:val="0"/>
                <w:color w:val="FFFFFF"/>
                <w:sz w:val="20"/>
                <w:szCs w:val="20"/>
              </w:rPr>
              <w:t>SEER</w:t>
            </w:r>
            <w:r>
              <w:rPr>
                <w:rFonts w:ascii="Calibri" w:eastAsia="Times New Roman" w:hAnsi="Calibri" w:cs="Times New Roman"/>
                <w:bCs w:val="0"/>
                <w:color w:val="FFFFFF"/>
                <w:sz w:val="20"/>
                <w:szCs w:val="20"/>
              </w:rPr>
              <w:t>)</w:t>
            </w:r>
          </w:p>
        </w:tc>
      </w:tr>
      <w:tr w:rsidR="00BC0320" w:rsidRPr="004F2C7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Church</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5.9</w:t>
            </w:r>
          </w:p>
        </w:tc>
        <w:tc>
          <w:tcPr>
            <w:tcW w:w="2472" w:type="dxa"/>
            <w:tcBorders>
              <w:lef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12.4</w:t>
            </w:r>
          </w:p>
        </w:tc>
      </w:tr>
      <w:tr w:rsidR="00BC0320" w:rsidRPr="004F2C7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Education</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2.5</w:t>
            </w:r>
          </w:p>
        </w:tc>
        <w:tc>
          <w:tcPr>
            <w:tcW w:w="2472" w:type="dxa"/>
            <w:tcBorders>
              <w:lef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11.6</w:t>
            </w:r>
          </w:p>
        </w:tc>
      </w:tr>
      <w:tr w:rsidR="00BC0320" w:rsidRPr="004F2C7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Grocery</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6.2</w:t>
            </w:r>
          </w:p>
        </w:tc>
        <w:tc>
          <w:tcPr>
            <w:tcW w:w="2472" w:type="dxa"/>
            <w:tcBorders>
              <w:lef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12.6</w:t>
            </w:r>
          </w:p>
        </w:tc>
      </w:tr>
      <w:tr w:rsidR="00BC0320" w:rsidRPr="004F2C7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Health</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7.1</w:t>
            </w:r>
          </w:p>
        </w:tc>
        <w:tc>
          <w:tcPr>
            <w:tcW w:w="2472" w:type="dxa"/>
            <w:tcBorders>
              <w:lef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14.5</w:t>
            </w:r>
          </w:p>
        </w:tc>
      </w:tr>
      <w:tr w:rsidR="00BC0320" w:rsidRPr="004F2C7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Industrial</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5.3</w:t>
            </w:r>
          </w:p>
        </w:tc>
        <w:tc>
          <w:tcPr>
            <w:tcW w:w="2472" w:type="dxa"/>
            <w:tcBorders>
              <w:lef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12.4</w:t>
            </w:r>
          </w:p>
        </w:tc>
      </w:tr>
      <w:tr w:rsidR="00BC0320" w:rsidRPr="004F2C7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Institutional</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5.9</w:t>
            </w:r>
          </w:p>
        </w:tc>
        <w:tc>
          <w:tcPr>
            <w:tcW w:w="2472" w:type="dxa"/>
            <w:tcBorders>
              <w:lef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12.4</w:t>
            </w:r>
          </w:p>
        </w:tc>
      </w:tr>
      <w:tr w:rsidR="00BC0320" w:rsidRPr="004F2C7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Lodging</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3.6</w:t>
            </w:r>
          </w:p>
        </w:tc>
        <w:tc>
          <w:tcPr>
            <w:tcW w:w="2472" w:type="dxa"/>
            <w:tcBorders>
              <w:lef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9.6</w:t>
            </w:r>
          </w:p>
        </w:tc>
      </w:tr>
      <w:tr w:rsidR="00BC0320" w:rsidRPr="004F2C7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Misc</w:t>
            </w:r>
            <w:r w:rsidR="003F135C" w:rsidRPr="004F2C75">
              <w:rPr>
                <w:rFonts w:ascii="Calibri" w:eastAsia="Times New Roman" w:hAnsi="Calibri" w:cs="Times New Roman"/>
                <w:b w:val="0"/>
                <w:color w:val="000000"/>
                <w:sz w:val="20"/>
                <w:szCs w:val="20"/>
              </w:rPr>
              <w:t>ellaneous</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3.6</w:t>
            </w:r>
          </w:p>
        </w:tc>
        <w:tc>
          <w:tcPr>
            <w:tcW w:w="2472" w:type="dxa"/>
            <w:tcBorders>
              <w:lef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9.6</w:t>
            </w:r>
          </w:p>
        </w:tc>
      </w:tr>
      <w:tr w:rsidR="00BC0320" w:rsidRPr="004F2C7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Multifamily</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5.5</w:t>
            </w:r>
          </w:p>
        </w:tc>
        <w:tc>
          <w:tcPr>
            <w:tcW w:w="2472" w:type="dxa"/>
            <w:tcBorders>
              <w:lef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11.9</w:t>
            </w:r>
          </w:p>
        </w:tc>
      </w:tr>
      <w:tr w:rsidR="00BC0320" w:rsidRPr="004F2C7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Office</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5.6</w:t>
            </w:r>
          </w:p>
        </w:tc>
        <w:tc>
          <w:tcPr>
            <w:tcW w:w="2472" w:type="dxa"/>
            <w:tcBorders>
              <w:lef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10.5</w:t>
            </w:r>
          </w:p>
        </w:tc>
      </w:tr>
      <w:tr w:rsidR="00BC0320" w:rsidRPr="004F2C7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Public Service</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4.9</w:t>
            </w:r>
          </w:p>
        </w:tc>
        <w:tc>
          <w:tcPr>
            <w:tcW w:w="2472" w:type="dxa"/>
            <w:tcBorders>
              <w:lef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10.5</w:t>
            </w:r>
          </w:p>
        </w:tc>
      </w:tr>
      <w:tr w:rsidR="00BC0320" w:rsidRPr="004F2C7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Restaurant</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4.0</w:t>
            </w:r>
          </w:p>
        </w:tc>
        <w:tc>
          <w:tcPr>
            <w:tcW w:w="2472" w:type="dxa"/>
            <w:tcBorders>
              <w:lef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11.9</w:t>
            </w:r>
          </w:p>
        </w:tc>
      </w:tr>
      <w:tr w:rsidR="00BC0320" w:rsidRPr="004F2C75" w:rsidTr="005544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Retail</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6.2</w:t>
            </w:r>
          </w:p>
        </w:tc>
        <w:tc>
          <w:tcPr>
            <w:tcW w:w="2472" w:type="dxa"/>
            <w:tcBorders>
              <w:left w:val="none" w:sz="0" w:space="0" w:color="auto"/>
            </w:tcBorders>
            <w:noWrap/>
            <w:hideMark/>
          </w:tcPr>
          <w:p w:rsidR="00BC0320" w:rsidRPr="004F2C75" w:rsidRDefault="00BC0320"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12.6</w:t>
            </w:r>
          </w:p>
        </w:tc>
      </w:tr>
      <w:tr w:rsidR="00BC0320" w:rsidRPr="004F2C75" w:rsidTr="0055444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noWrap/>
            <w:hideMark/>
          </w:tcPr>
          <w:p w:rsidR="00BC0320" w:rsidRPr="004F2C75" w:rsidRDefault="00BC0320" w:rsidP="00A83ABC">
            <w:pPr>
              <w:rPr>
                <w:rFonts w:ascii="Calibri" w:eastAsia="Times New Roman" w:hAnsi="Calibri" w:cs="Times New Roman"/>
                <w:b w:val="0"/>
                <w:color w:val="000000"/>
                <w:sz w:val="20"/>
                <w:szCs w:val="20"/>
              </w:rPr>
            </w:pPr>
            <w:r w:rsidRPr="004F2C75">
              <w:rPr>
                <w:rFonts w:ascii="Calibri" w:eastAsia="Times New Roman" w:hAnsi="Calibri" w:cs="Times New Roman"/>
                <w:b w:val="0"/>
                <w:color w:val="000000"/>
                <w:sz w:val="20"/>
                <w:szCs w:val="20"/>
              </w:rPr>
              <w:t>Warehouse</w:t>
            </w:r>
          </w:p>
        </w:tc>
        <w:tc>
          <w:tcPr>
            <w:tcW w:w="2471" w:type="dxa"/>
            <w:tcBorders>
              <w:left w:val="none" w:sz="0" w:space="0" w:color="auto"/>
              <w:righ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2.5</w:t>
            </w:r>
          </w:p>
        </w:tc>
        <w:tc>
          <w:tcPr>
            <w:tcW w:w="2472" w:type="dxa"/>
            <w:tcBorders>
              <w:left w:val="none" w:sz="0" w:space="0" w:color="auto"/>
            </w:tcBorders>
            <w:noWrap/>
            <w:hideMark/>
          </w:tcPr>
          <w:p w:rsidR="00BC0320" w:rsidRPr="004F2C75" w:rsidRDefault="00BC0320"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4F2C75">
              <w:rPr>
                <w:rFonts w:ascii="Calibri" w:eastAsia="Times New Roman" w:hAnsi="Calibri" w:cs="Times New Roman"/>
                <w:color w:val="000000"/>
                <w:sz w:val="20"/>
                <w:szCs w:val="20"/>
              </w:rPr>
              <w:t>14.4</w:t>
            </w:r>
          </w:p>
        </w:tc>
      </w:tr>
    </w:tbl>
    <w:p w:rsidR="00BC0320" w:rsidRPr="0081339C" w:rsidRDefault="00BC0320" w:rsidP="00A83ABC"/>
    <w:p w:rsidR="00B965B4" w:rsidRPr="004F2C75" w:rsidRDefault="00B965B4" w:rsidP="00A83ABC">
      <w:pPr>
        <w:pStyle w:val="Heading2"/>
      </w:pPr>
      <w:bookmarkStart w:id="223" w:name="_Toc412628421"/>
      <w:r w:rsidRPr="004F2C75">
        <w:t>DLC Benefits and Costs</w:t>
      </w:r>
      <w:bookmarkEnd w:id="223"/>
    </w:p>
    <w:p w:rsidR="0013694B" w:rsidRDefault="0062355C" w:rsidP="00250D48">
      <w:pPr>
        <w:adjustRightInd w:val="0"/>
      </w:pPr>
      <w:r>
        <w:t>The cost and benefit components of the DLC program are more numerous than for the C&amp;I program, yet the calculations are more straightforward. Our potential estimates for DLC are based on screening accounts for those expected to be cost</w:t>
      </w:r>
      <w:r w:rsidR="00CE0565">
        <w:t>-</w:t>
      </w:r>
      <w:r>
        <w:t>effective on the basis of weather sensitivity. The inputs to the cost-benefit analysis of the DLC are presented below in</w:t>
      </w:r>
      <w:r w:rsidR="00B965B4">
        <w:t xml:space="preserve"> </w:t>
      </w:r>
      <w:r w:rsidR="00250D48">
        <w:fldChar w:fldCharType="begin"/>
      </w:r>
      <w:r w:rsidR="00250D48">
        <w:instrText xml:space="preserve"> REF _Ref412630983 \h </w:instrText>
      </w:r>
      <w:r w:rsidR="00250D48">
        <w:fldChar w:fldCharType="separate"/>
      </w:r>
      <w:r w:rsidR="00803DBE" w:rsidRPr="00C90C8E">
        <w:t xml:space="preserve">Table </w:t>
      </w:r>
      <w:r w:rsidR="00803DBE">
        <w:rPr>
          <w:noProof/>
        </w:rPr>
        <w:t>5</w:t>
      </w:r>
      <w:r w:rsidR="00803DBE">
        <w:noBreakHyphen/>
      </w:r>
      <w:r w:rsidR="00803DBE">
        <w:rPr>
          <w:noProof/>
        </w:rPr>
        <w:t>4</w:t>
      </w:r>
      <w:r w:rsidR="00250D48">
        <w:fldChar w:fldCharType="end"/>
      </w:r>
      <w:r w:rsidR="00250D48">
        <w:t>.</w:t>
      </w:r>
      <w:r w:rsidR="00B965B4">
        <w:t xml:space="preserve"> </w:t>
      </w:r>
    </w:p>
    <w:p w:rsidR="002C6372" w:rsidRPr="00D019C8" w:rsidRDefault="002C6372" w:rsidP="00A83ABC">
      <w:bookmarkStart w:id="224" w:name="_Ref406400206"/>
    </w:p>
    <w:p w:rsidR="00D019C8" w:rsidRDefault="00D019C8"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rPr>
          <w:b/>
          <w:bCs/>
          <w:sz w:val="18"/>
          <w:szCs w:val="18"/>
        </w:rPr>
      </w:pPr>
    </w:p>
    <w:p w:rsidR="00427CE3" w:rsidRPr="00C90C8E" w:rsidRDefault="00427CE3" w:rsidP="00A83ABC">
      <w:pPr>
        <w:pStyle w:val="Caption"/>
        <w:keepNext/>
      </w:pPr>
      <w:bookmarkStart w:id="225" w:name="_Ref412630983"/>
      <w:bookmarkStart w:id="226" w:name="_Toc412628481"/>
      <w:r w:rsidRPr="00C90C8E">
        <w:lastRenderedPageBreak/>
        <w:t xml:space="preserve">Table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4</w:t>
      </w:r>
      <w:r w:rsidR="00E2011B">
        <w:rPr>
          <w:noProof/>
        </w:rPr>
        <w:fldChar w:fldCharType="end"/>
      </w:r>
      <w:bookmarkEnd w:id="224"/>
      <w:bookmarkEnd w:id="225"/>
      <w:r w:rsidRPr="00C90C8E">
        <w:t xml:space="preserve">: </w:t>
      </w:r>
      <w:r w:rsidR="0070187F" w:rsidRPr="00C90C8E">
        <w:t>Modeling</w:t>
      </w:r>
      <w:r w:rsidRPr="00C90C8E">
        <w:t xml:space="preserve"> Assumptions for </w:t>
      </w:r>
      <w:r w:rsidR="0070187F" w:rsidRPr="00C90C8E">
        <w:t xml:space="preserve">Commercial </w:t>
      </w:r>
      <w:r w:rsidRPr="00C90C8E">
        <w:t>DLC</w:t>
      </w:r>
      <w:bookmarkEnd w:id="226"/>
    </w:p>
    <w:tbl>
      <w:tblPr>
        <w:tblStyle w:val="MediumShading1-Accent5"/>
        <w:tblW w:w="927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872"/>
        <w:gridCol w:w="1988"/>
        <w:gridCol w:w="4410"/>
      </w:tblGrid>
      <w:tr w:rsidR="00B965B4" w:rsidRPr="00BE6E71" w:rsidTr="00102F2A">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shd w:val="clear" w:color="auto" w:fill="448A99"/>
            <w:vAlign w:val="bottom"/>
            <w:hideMark/>
          </w:tcPr>
          <w:p w:rsidR="00B965B4" w:rsidRPr="00BE6E71" w:rsidRDefault="00B965B4" w:rsidP="00A83ABC">
            <w:pPr>
              <w:jc w:val="left"/>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Item</w:t>
            </w:r>
          </w:p>
        </w:tc>
        <w:tc>
          <w:tcPr>
            <w:tcW w:w="1988" w:type="dxa"/>
            <w:tcBorders>
              <w:top w:val="none" w:sz="0" w:space="0" w:color="auto"/>
              <w:left w:val="none" w:sz="0" w:space="0" w:color="auto"/>
              <w:bottom w:val="none" w:sz="0" w:space="0" w:color="auto"/>
              <w:right w:val="none" w:sz="0" w:space="0" w:color="auto"/>
            </w:tcBorders>
            <w:shd w:val="clear" w:color="auto" w:fill="448A99"/>
            <w:vAlign w:val="bottom"/>
            <w:hideMark/>
          </w:tcPr>
          <w:p w:rsidR="00B965B4" w:rsidRPr="00BE6E71" w:rsidRDefault="00B965B4"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Value</w:t>
            </w:r>
          </w:p>
        </w:tc>
        <w:tc>
          <w:tcPr>
            <w:tcW w:w="4410" w:type="dxa"/>
            <w:tcBorders>
              <w:top w:val="none" w:sz="0" w:space="0" w:color="auto"/>
              <w:left w:val="none" w:sz="0" w:space="0" w:color="auto"/>
              <w:bottom w:val="none" w:sz="0" w:space="0" w:color="auto"/>
              <w:right w:val="none" w:sz="0" w:space="0" w:color="auto"/>
            </w:tcBorders>
            <w:shd w:val="clear" w:color="auto" w:fill="448A99"/>
            <w:vAlign w:val="bottom"/>
            <w:hideMark/>
          </w:tcPr>
          <w:p w:rsidR="00B965B4" w:rsidRPr="00BE6E71" w:rsidRDefault="00B965B4"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Note</w:t>
            </w:r>
          </w:p>
        </w:tc>
      </w:tr>
      <w:tr w:rsidR="00B965B4"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Average Duty Cycle During Peak</w:t>
            </w:r>
          </w:p>
        </w:tc>
        <w:tc>
          <w:tcPr>
            <w:tcW w:w="1988" w:type="dxa"/>
            <w:tcBorders>
              <w:left w:val="none" w:sz="0" w:space="0" w:color="auto"/>
              <w:righ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70%</w:t>
            </w:r>
          </w:p>
        </w:tc>
        <w:tc>
          <w:tcPr>
            <w:tcW w:w="4410" w:type="dxa"/>
            <w:tcBorders>
              <w:left w:val="none" w:sz="0" w:space="0" w:color="auto"/>
            </w:tcBorders>
            <w:hideMark/>
          </w:tcPr>
          <w:p w:rsidR="00B965B4" w:rsidRPr="00BE6E71" w:rsidRDefault="00E5179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Assumed loading of DX equipment</w:t>
            </w:r>
          </w:p>
        </w:tc>
      </w:tr>
      <w:tr w:rsidR="00B965B4" w:rsidRPr="00BE6E71" w:rsidTr="00102F2A">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Participation Rate</w:t>
            </w:r>
          </w:p>
        </w:tc>
        <w:tc>
          <w:tcPr>
            <w:tcW w:w="1988" w:type="dxa"/>
            <w:tcBorders>
              <w:left w:val="none" w:sz="0" w:space="0" w:color="auto"/>
              <w:right w:val="none" w:sz="0" w:space="0" w:color="auto"/>
            </w:tcBorders>
            <w:hideMark/>
          </w:tcPr>
          <w:p w:rsidR="00B965B4" w:rsidRPr="00BE6E71" w:rsidRDefault="00F7683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w:t>
            </w:r>
            <w:r w:rsidR="00B965B4" w:rsidRPr="00BE6E71">
              <w:rPr>
                <w:rFonts w:ascii="Calibri" w:eastAsia="Times New Roman" w:hAnsi="Calibri" w:cs="Calibri"/>
                <w:color w:val="000000"/>
                <w:sz w:val="20"/>
                <w:szCs w:val="20"/>
              </w:rPr>
              <w:t>%</w:t>
            </w:r>
          </w:p>
        </w:tc>
        <w:tc>
          <w:tcPr>
            <w:tcW w:w="4410" w:type="dxa"/>
            <w:tcBorders>
              <w:lef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Annual program enrollment</w:t>
            </w:r>
          </w:p>
        </w:tc>
      </w:tr>
      <w:tr w:rsidR="00B965B4"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Percentage Load Reduction</w:t>
            </w:r>
          </w:p>
        </w:tc>
        <w:tc>
          <w:tcPr>
            <w:tcW w:w="1988" w:type="dxa"/>
            <w:tcBorders>
              <w:left w:val="none" w:sz="0" w:space="0" w:color="auto"/>
              <w:righ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30%</w:t>
            </w:r>
          </w:p>
        </w:tc>
        <w:tc>
          <w:tcPr>
            <w:tcW w:w="4410" w:type="dxa"/>
            <w:tcBorders>
              <w:left w:val="none" w:sz="0" w:space="0" w:color="auto"/>
            </w:tcBorders>
            <w:hideMark/>
          </w:tcPr>
          <w:p w:rsidR="00B965B4" w:rsidRPr="00BE6E71" w:rsidRDefault="00F7683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Load response</w:t>
            </w:r>
            <w:r w:rsidR="00B965B4" w:rsidRPr="00BE6E71">
              <w:rPr>
                <w:rFonts w:ascii="Calibri" w:eastAsia="Times New Roman" w:hAnsi="Calibri" w:cs="Calibri"/>
                <w:color w:val="000000"/>
                <w:sz w:val="20"/>
                <w:szCs w:val="20"/>
              </w:rPr>
              <w:t xml:space="preserve"> per enrollee</w:t>
            </w:r>
          </w:p>
        </w:tc>
      </w:tr>
      <w:tr w:rsidR="00B965B4" w:rsidRPr="00BE6E71" w:rsidTr="00102F2A">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F7683A"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 xml:space="preserve">General </w:t>
            </w:r>
            <w:r w:rsidR="00B965B4" w:rsidRPr="00BE6E71">
              <w:rPr>
                <w:rFonts w:ascii="Calibri" w:eastAsia="Times New Roman" w:hAnsi="Calibri" w:cs="Calibri"/>
                <w:b w:val="0"/>
                <w:color w:val="000000"/>
                <w:sz w:val="20"/>
                <w:szCs w:val="20"/>
              </w:rPr>
              <w:t>Inflation Rate</w:t>
            </w:r>
          </w:p>
        </w:tc>
        <w:tc>
          <w:tcPr>
            <w:tcW w:w="1988" w:type="dxa"/>
            <w:tcBorders>
              <w:left w:val="none" w:sz="0" w:space="0" w:color="auto"/>
              <w:right w:val="none" w:sz="0" w:space="0" w:color="auto"/>
            </w:tcBorders>
            <w:hideMark/>
          </w:tcPr>
          <w:p w:rsidR="00B965B4" w:rsidRPr="00BE6E71" w:rsidRDefault="00F7683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1.74</w:t>
            </w:r>
            <w:r w:rsidR="00B965B4" w:rsidRPr="00BE6E71">
              <w:rPr>
                <w:rFonts w:ascii="Calibri" w:eastAsia="Times New Roman" w:hAnsi="Calibri" w:cs="Calibri"/>
                <w:color w:val="000000"/>
                <w:sz w:val="20"/>
                <w:szCs w:val="20"/>
              </w:rPr>
              <w:t>%</w:t>
            </w:r>
          </w:p>
        </w:tc>
        <w:tc>
          <w:tcPr>
            <w:tcW w:w="4410" w:type="dxa"/>
            <w:tcBorders>
              <w:left w:val="none" w:sz="0" w:space="0" w:color="auto"/>
            </w:tcBorders>
            <w:hideMark/>
          </w:tcPr>
          <w:p w:rsidR="00B965B4" w:rsidRPr="00BE6E71" w:rsidRDefault="009A2C2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9A2C24">
              <w:rPr>
                <w:rFonts w:ascii="Calibri" w:eastAsia="Times New Roman" w:hAnsi="Calibri" w:cs="Calibri"/>
                <w:color w:val="000000"/>
                <w:sz w:val="20"/>
                <w:szCs w:val="20"/>
              </w:rPr>
              <w:t>US Energy Information Administration 2014 Annual Energy Outlook</w:t>
            </w:r>
            <w:r>
              <w:rPr>
                <w:rFonts w:ascii="Calibri" w:eastAsia="Times New Roman" w:hAnsi="Calibri" w:cs="Calibri"/>
                <w:color w:val="000000"/>
                <w:sz w:val="20"/>
                <w:szCs w:val="20"/>
              </w:rPr>
              <w:t xml:space="preserve"> General Rate of Inflation</w:t>
            </w:r>
          </w:p>
        </w:tc>
      </w:tr>
      <w:tr w:rsidR="00B965B4"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F7683A"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 xml:space="preserve">Peak Demand </w:t>
            </w:r>
            <w:r w:rsidR="00B965B4" w:rsidRPr="00BE6E71">
              <w:rPr>
                <w:rFonts w:ascii="Calibri" w:eastAsia="Times New Roman" w:hAnsi="Calibri" w:cs="Calibri"/>
                <w:b w:val="0"/>
                <w:color w:val="000000"/>
                <w:sz w:val="20"/>
                <w:szCs w:val="20"/>
              </w:rPr>
              <w:t>Line Loss Factor</w:t>
            </w:r>
          </w:p>
        </w:tc>
        <w:tc>
          <w:tcPr>
            <w:tcW w:w="1988" w:type="dxa"/>
            <w:tcBorders>
              <w:left w:val="none" w:sz="0" w:space="0" w:color="auto"/>
              <w:right w:val="none" w:sz="0" w:space="0" w:color="auto"/>
            </w:tcBorders>
            <w:hideMark/>
          </w:tcPr>
          <w:p w:rsidR="00B965B4" w:rsidRPr="00BE6E71" w:rsidRDefault="00F7683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5-9%</w:t>
            </w:r>
          </w:p>
        </w:tc>
        <w:tc>
          <w:tcPr>
            <w:tcW w:w="4410" w:type="dxa"/>
            <w:tcBorders>
              <w:lef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Varies by EDC</w:t>
            </w:r>
          </w:p>
        </w:tc>
      </w:tr>
      <w:tr w:rsidR="00B965B4" w:rsidRPr="00BE6E71" w:rsidTr="00102F2A">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Attrition Rate</w:t>
            </w:r>
          </w:p>
        </w:tc>
        <w:tc>
          <w:tcPr>
            <w:tcW w:w="1988" w:type="dxa"/>
            <w:tcBorders>
              <w:left w:val="none" w:sz="0" w:space="0" w:color="auto"/>
              <w:righ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w:t>
            </w:r>
          </w:p>
        </w:tc>
        <w:tc>
          <w:tcPr>
            <w:tcW w:w="4410" w:type="dxa"/>
            <w:tcBorders>
              <w:lef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Annual program drop-outs</w:t>
            </w:r>
          </w:p>
        </w:tc>
      </w:tr>
      <w:tr w:rsidR="00B965B4"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Service Rate</w:t>
            </w:r>
          </w:p>
        </w:tc>
        <w:tc>
          <w:tcPr>
            <w:tcW w:w="1988" w:type="dxa"/>
            <w:tcBorders>
              <w:left w:val="none" w:sz="0" w:space="0" w:color="auto"/>
              <w:righ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w:t>
            </w:r>
          </w:p>
        </w:tc>
        <w:tc>
          <w:tcPr>
            <w:tcW w:w="4410" w:type="dxa"/>
            <w:tcBorders>
              <w:lef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Annual onsite service calls</w:t>
            </w:r>
          </w:p>
        </w:tc>
      </w:tr>
      <w:tr w:rsidR="00B965B4" w:rsidRPr="00BE6E71" w:rsidTr="00102F2A">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Scheduling Rate</w:t>
            </w:r>
          </w:p>
        </w:tc>
        <w:tc>
          <w:tcPr>
            <w:tcW w:w="1988" w:type="dxa"/>
            <w:tcBorders>
              <w:left w:val="none" w:sz="0" w:space="0" w:color="auto"/>
              <w:righ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10%</w:t>
            </w:r>
          </w:p>
        </w:tc>
        <w:tc>
          <w:tcPr>
            <w:tcW w:w="4410" w:type="dxa"/>
            <w:tcBorders>
              <w:left w:val="none" w:sz="0" w:space="0" w:color="auto"/>
            </w:tcBorders>
            <w:hideMark/>
          </w:tcPr>
          <w:p w:rsidR="00B965B4" w:rsidRPr="00BE6E71" w:rsidRDefault="00F7683A"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Percentage of sites requiring call center scheduling</w:t>
            </w:r>
            <w:r w:rsidR="0013694B" w:rsidRPr="00BE6E71">
              <w:rPr>
                <w:rFonts w:ascii="Calibri" w:eastAsia="Times New Roman" w:hAnsi="Calibri" w:cs="Calibri"/>
                <w:color w:val="000000"/>
                <w:sz w:val="20"/>
                <w:szCs w:val="20"/>
              </w:rPr>
              <w:t>. Balance assumed to be self-scheduled online.</w:t>
            </w:r>
          </w:p>
        </w:tc>
      </w:tr>
      <w:tr w:rsidR="00F7683A"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tcPr>
          <w:p w:rsidR="00F7683A" w:rsidRPr="00BE6E71" w:rsidRDefault="00F7683A"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 xml:space="preserve">Walk-Away Rate </w:t>
            </w:r>
          </w:p>
        </w:tc>
        <w:tc>
          <w:tcPr>
            <w:tcW w:w="1988" w:type="dxa"/>
            <w:tcBorders>
              <w:left w:val="none" w:sz="0" w:space="0" w:color="auto"/>
              <w:right w:val="none" w:sz="0" w:space="0" w:color="auto"/>
            </w:tcBorders>
          </w:tcPr>
          <w:p w:rsidR="00F7683A" w:rsidRPr="00BE6E71" w:rsidRDefault="00F7683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2%</w:t>
            </w:r>
          </w:p>
        </w:tc>
        <w:tc>
          <w:tcPr>
            <w:tcW w:w="4410" w:type="dxa"/>
            <w:tcBorders>
              <w:left w:val="none" w:sz="0" w:space="0" w:color="auto"/>
            </w:tcBorders>
          </w:tcPr>
          <w:p w:rsidR="00F7683A" w:rsidRPr="00BE6E71" w:rsidRDefault="0013694B"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Non-eligible units\safety concerns</w:t>
            </w:r>
          </w:p>
        </w:tc>
      </w:tr>
      <w:tr w:rsidR="00B965B4" w:rsidRPr="00BE6E71" w:rsidTr="00102F2A">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F7683A"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Participant Cost</w:t>
            </w:r>
          </w:p>
        </w:tc>
        <w:tc>
          <w:tcPr>
            <w:tcW w:w="1988" w:type="dxa"/>
            <w:tcBorders>
              <w:left w:val="none" w:sz="0" w:space="0" w:color="auto"/>
              <w:righ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75% of incentive value</w:t>
            </w:r>
          </w:p>
        </w:tc>
        <w:tc>
          <w:tcPr>
            <w:tcW w:w="4410" w:type="dxa"/>
            <w:tcBorders>
              <w:left w:val="none" w:sz="0" w:space="0" w:color="auto"/>
            </w:tcBorders>
            <w:hideMark/>
          </w:tcPr>
          <w:p w:rsidR="00B965B4" w:rsidRPr="00BE6E71" w:rsidRDefault="0026459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 xml:space="preserve">Commission Order based on </w:t>
            </w:r>
            <w:r w:rsidR="00B965B4" w:rsidRPr="00BE6E71">
              <w:rPr>
                <w:rFonts w:ascii="Calibri" w:eastAsia="Times New Roman" w:hAnsi="Calibri" w:cs="Calibri"/>
                <w:color w:val="000000"/>
                <w:sz w:val="20"/>
                <w:szCs w:val="20"/>
              </w:rPr>
              <w:t xml:space="preserve">California’s 2010 </w:t>
            </w:r>
            <w:r w:rsidR="00037A03">
              <w:rPr>
                <w:rFonts w:ascii="Calibri" w:eastAsia="Times New Roman" w:hAnsi="Calibri" w:cs="Calibri"/>
                <w:color w:val="000000"/>
                <w:sz w:val="20"/>
                <w:szCs w:val="20"/>
              </w:rPr>
              <w:t>DR</w:t>
            </w:r>
            <w:r w:rsidR="00CE0565">
              <w:rPr>
                <w:rFonts w:ascii="Calibri" w:eastAsia="Times New Roman" w:hAnsi="Calibri" w:cs="Calibri"/>
                <w:color w:val="000000"/>
                <w:sz w:val="20"/>
                <w:szCs w:val="20"/>
              </w:rPr>
              <w:t xml:space="preserve"> Cost-</w:t>
            </w:r>
            <w:r w:rsidR="00B965B4" w:rsidRPr="00BE6E71">
              <w:rPr>
                <w:rFonts w:ascii="Calibri" w:eastAsia="Times New Roman" w:hAnsi="Calibri" w:cs="Calibri"/>
                <w:color w:val="000000"/>
                <w:sz w:val="20"/>
                <w:szCs w:val="20"/>
              </w:rPr>
              <w:t>Effectiveness Protocols</w:t>
            </w:r>
            <w:r w:rsidR="0062355C">
              <w:rPr>
                <w:rStyle w:val="FootnoteReference"/>
                <w:rFonts w:ascii="Calibri" w:eastAsia="Times New Roman" w:hAnsi="Calibri"/>
                <w:color w:val="000000"/>
                <w:sz w:val="20"/>
                <w:szCs w:val="20"/>
              </w:rPr>
              <w:footnoteReference w:id="113"/>
            </w:r>
          </w:p>
        </w:tc>
      </w:tr>
      <w:tr w:rsidR="00B965B4"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Discount Rate</w:t>
            </w:r>
          </w:p>
        </w:tc>
        <w:tc>
          <w:tcPr>
            <w:tcW w:w="1988" w:type="dxa"/>
            <w:tcBorders>
              <w:left w:val="none" w:sz="0" w:space="0" w:color="auto"/>
              <w:righ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7</w:t>
            </w:r>
            <w:r w:rsidR="00F7683A" w:rsidRPr="00BE6E71">
              <w:rPr>
                <w:rFonts w:ascii="Calibri" w:eastAsia="Times New Roman" w:hAnsi="Calibri" w:cs="Calibri"/>
                <w:color w:val="000000"/>
                <w:sz w:val="20"/>
                <w:szCs w:val="20"/>
              </w:rPr>
              <w:t>-9</w:t>
            </w:r>
            <w:r w:rsidRPr="00BE6E71">
              <w:rPr>
                <w:rFonts w:ascii="Calibri" w:eastAsia="Times New Roman" w:hAnsi="Calibri" w:cs="Calibri"/>
                <w:color w:val="000000"/>
                <w:sz w:val="20"/>
                <w:szCs w:val="20"/>
              </w:rPr>
              <w:t>%</w:t>
            </w:r>
          </w:p>
        </w:tc>
        <w:tc>
          <w:tcPr>
            <w:tcW w:w="4410" w:type="dxa"/>
            <w:tcBorders>
              <w:lef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Varies by EDC</w:t>
            </w:r>
          </w:p>
        </w:tc>
      </w:tr>
      <w:tr w:rsidR="00B965B4" w:rsidRPr="00BE6E71" w:rsidTr="00102F2A">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Measure Life</w:t>
            </w:r>
          </w:p>
        </w:tc>
        <w:tc>
          <w:tcPr>
            <w:tcW w:w="1988" w:type="dxa"/>
            <w:tcBorders>
              <w:left w:val="none" w:sz="0" w:space="0" w:color="auto"/>
              <w:righ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10 years</w:t>
            </w:r>
          </w:p>
        </w:tc>
        <w:tc>
          <w:tcPr>
            <w:tcW w:w="4410" w:type="dxa"/>
            <w:tcBorders>
              <w:lef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Assumed equipment life</w:t>
            </w:r>
          </w:p>
        </w:tc>
      </w:tr>
      <w:tr w:rsidR="00B965B4"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Program Start Year</w:t>
            </w:r>
          </w:p>
        </w:tc>
        <w:tc>
          <w:tcPr>
            <w:tcW w:w="1988" w:type="dxa"/>
            <w:tcBorders>
              <w:left w:val="none" w:sz="0" w:space="0" w:color="auto"/>
              <w:right w:val="none" w:sz="0" w:space="0" w:color="auto"/>
            </w:tcBorders>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2016</w:t>
            </w:r>
          </w:p>
        </w:tc>
        <w:tc>
          <w:tcPr>
            <w:tcW w:w="4410" w:type="dxa"/>
            <w:tcBorders>
              <w:left w:val="none" w:sz="0" w:space="0" w:color="auto"/>
            </w:tcBorders>
            <w:hideMark/>
          </w:tcPr>
          <w:p w:rsidR="00B965B4" w:rsidRPr="00BE6E71" w:rsidRDefault="00F7683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Commission Order</w:t>
            </w:r>
            <w:r w:rsidR="004D4BB5">
              <w:rPr>
                <w:rStyle w:val="FootnoteReference"/>
                <w:rFonts w:ascii="Calibri" w:eastAsia="Times New Roman" w:hAnsi="Calibri"/>
                <w:color w:val="000000"/>
                <w:sz w:val="20"/>
                <w:szCs w:val="20"/>
              </w:rPr>
              <w:footnoteReference w:id="114"/>
            </w:r>
          </w:p>
        </w:tc>
      </w:tr>
      <w:tr w:rsidR="00B965B4" w:rsidRPr="00BE6E71" w:rsidTr="00102F2A">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Program Length</w:t>
            </w:r>
          </w:p>
        </w:tc>
        <w:tc>
          <w:tcPr>
            <w:tcW w:w="1988" w:type="dxa"/>
            <w:tcBorders>
              <w:left w:val="none" w:sz="0" w:space="0" w:color="auto"/>
              <w:right w:val="none" w:sz="0" w:space="0" w:color="auto"/>
            </w:tcBorders>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5 years</w:t>
            </w:r>
          </w:p>
        </w:tc>
        <w:tc>
          <w:tcPr>
            <w:tcW w:w="4410" w:type="dxa"/>
            <w:tcBorders>
              <w:left w:val="none" w:sz="0" w:space="0" w:color="auto"/>
            </w:tcBorders>
            <w:hideMark/>
          </w:tcPr>
          <w:p w:rsidR="00B965B4" w:rsidRPr="00BE6E71" w:rsidRDefault="00F0610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Staff Directive</w:t>
            </w:r>
          </w:p>
        </w:tc>
      </w:tr>
      <w:tr w:rsidR="00B965B4" w:rsidRPr="00BE6E71" w:rsidTr="00102F2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hideMark/>
          </w:tcPr>
          <w:p w:rsidR="00B965B4" w:rsidRPr="00BE6E71" w:rsidRDefault="00B965B4" w:rsidP="00A83ABC">
            <w:pPr>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Planning Horizon</w:t>
            </w:r>
          </w:p>
        </w:tc>
        <w:tc>
          <w:tcPr>
            <w:tcW w:w="1988" w:type="dxa"/>
            <w:tcBorders>
              <w:left w:val="none" w:sz="0" w:space="0" w:color="auto"/>
              <w:right w:val="none" w:sz="0" w:space="0" w:color="auto"/>
            </w:tcBorders>
            <w:hideMark/>
          </w:tcPr>
          <w:p w:rsidR="0073339F" w:rsidRDefault="00F7683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15</w:t>
            </w:r>
            <w:r w:rsidR="00B965B4" w:rsidRPr="00BE6E71">
              <w:rPr>
                <w:rFonts w:ascii="Calibri" w:eastAsia="Times New Roman" w:hAnsi="Calibri" w:cs="Calibri"/>
                <w:color w:val="000000"/>
                <w:sz w:val="20"/>
                <w:szCs w:val="20"/>
              </w:rPr>
              <w:t xml:space="preserve"> years</w:t>
            </w:r>
            <w:r w:rsidRPr="00BE6E71">
              <w:rPr>
                <w:rFonts w:ascii="Calibri" w:eastAsia="Times New Roman" w:hAnsi="Calibri" w:cs="Calibri"/>
                <w:color w:val="000000"/>
                <w:sz w:val="20"/>
                <w:szCs w:val="20"/>
              </w:rPr>
              <w:t xml:space="preserve"> </w:t>
            </w:r>
          </w:p>
          <w:p w:rsidR="00B965B4" w:rsidRPr="00BE6E71" w:rsidRDefault="00F7683A"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(Phase Length + Measure Life)</w:t>
            </w:r>
          </w:p>
        </w:tc>
        <w:tc>
          <w:tcPr>
            <w:tcW w:w="4410" w:type="dxa"/>
            <w:tcBorders>
              <w:left w:val="none" w:sz="0" w:space="0" w:color="auto"/>
            </w:tcBorders>
            <w:hideMark/>
          </w:tcPr>
          <w:p w:rsidR="00B965B4" w:rsidRPr="00BE6E71" w:rsidRDefault="00F0610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 xml:space="preserve">Staff Directive and </w:t>
            </w:r>
            <w:r w:rsidR="00F7683A" w:rsidRPr="00BE6E71">
              <w:rPr>
                <w:rFonts w:ascii="Calibri" w:eastAsia="Times New Roman" w:hAnsi="Calibri" w:cs="Calibri"/>
                <w:color w:val="000000"/>
                <w:sz w:val="20"/>
                <w:szCs w:val="20"/>
              </w:rPr>
              <w:t>Commission Order</w:t>
            </w:r>
            <w:r w:rsidR="004D4BB5">
              <w:rPr>
                <w:rStyle w:val="FootnoteReference"/>
                <w:rFonts w:ascii="Calibri" w:eastAsia="Times New Roman" w:hAnsi="Calibri"/>
                <w:color w:val="000000"/>
                <w:sz w:val="20"/>
                <w:szCs w:val="20"/>
              </w:rPr>
              <w:footnoteReference w:id="115"/>
            </w:r>
          </w:p>
        </w:tc>
      </w:tr>
    </w:tbl>
    <w:p w:rsidR="00B965B4" w:rsidRDefault="00B965B4" w:rsidP="00A83ABC"/>
    <w:p w:rsidR="007C0547" w:rsidRDefault="00B965B4" w:rsidP="00250D48">
      <w:r>
        <w:t xml:space="preserve">We assume that a commercial DLC program will not be created in the absence of a companion residential program. Many of the overhead costs for initiating the program are born by the residential program, so the commercial DLC program enjoys </w:t>
      </w:r>
      <w:r w:rsidR="0070187F">
        <w:t xml:space="preserve">some </w:t>
      </w:r>
      <w:r>
        <w:t xml:space="preserve">economies of scale in setup cost savings. </w:t>
      </w:r>
      <w:r w:rsidR="0070187F">
        <w:t>However, t</w:t>
      </w:r>
      <w:r>
        <w:t xml:space="preserve">he unit-based costs </w:t>
      </w:r>
      <w:r w:rsidR="0070187F">
        <w:t xml:space="preserve">and some additional fixed costs </w:t>
      </w:r>
      <w:r>
        <w:t>remain</w:t>
      </w:r>
      <w:r w:rsidR="0070187F">
        <w:t xml:space="preserve"> and are summarized in </w:t>
      </w:r>
      <w:r w:rsidR="00250D48">
        <w:fldChar w:fldCharType="begin"/>
      </w:r>
      <w:r w:rsidR="00250D48">
        <w:instrText xml:space="preserve"> REF _Ref412631000 \h </w:instrText>
      </w:r>
      <w:r w:rsidR="00250D48">
        <w:fldChar w:fldCharType="separate"/>
      </w:r>
      <w:r w:rsidR="00803DBE" w:rsidRPr="00C90C8E">
        <w:t xml:space="preserve">Table </w:t>
      </w:r>
      <w:r w:rsidR="00803DBE">
        <w:rPr>
          <w:noProof/>
        </w:rPr>
        <w:t>5</w:t>
      </w:r>
      <w:r w:rsidR="00803DBE">
        <w:noBreakHyphen/>
      </w:r>
      <w:r w:rsidR="00803DBE">
        <w:rPr>
          <w:noProof/>
        </w:rPr>
        <w:t>5</w:t>
      </w:r>
      <w:r w:rsidR="00250D48">
        <w:fldChar w:fldCharType="end"/>
      </w:r>
      <w:r w:rsidR="00250D48">
        <w:t>.</w:t>
      </w:r>
      <w:bookmarkStart w:id="227" w:name="_Ref406401702"/>
      <w:bookmarkStart w:id="228" w:name="_Toc412628482"/>
    </w:p>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Default="007C0547" w:rsidP="007C0547"/>
    <w:p w:rsidR="007C0547" w:rsidRPr="007C0547" w:rsidRDefault="007C0547" w:rsidP="007C0547"/>
    <w:p w:rsidR="0070187F" w:rsidRPr="00C90C8E" w:rsidRDefault="0070187F" w:rsidP="00A83ABC">
      <w:pPr>
        <w:pStyle w:val="Caption"/>
        <w:keepNext/>
      </w:pPr>
      <w:bookmarkStart w:id="229" w:name="_Ref412631000"/>
      <w:r w:rsidRPr="00C90C8E">
        <w:lastRenderedPageBreak/>
        <w:t xml:space="preserve">Table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5</w:t>
      </w:r>
      <w:r w:rsidR="00E2011B">
        <w:rPr>
          <w:noProof/>
        </w:rPr>
        <w:fldChar w:fldCharType="end"/>
      </w:r>
      <w:bookmarkEnd w:id="227"/>
      <w:bookmarkEnd w:id="229"/>
      <w:r w:rsidRPr="00C90C8E">
        <w:t>: Commercial DLC Cost Inputs</w:t>
      </w:r>
      <w:bookmarkEnd w:id="228"/>
    </w:p>
    <w:tbl>
      <w:tblPr>
        <w:tblStyle w:val="MediumShading1-Accent5"/>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590"/>
        <w:gridCol w:w="2385"/>
        <w:gridCol w:w="2385"/>
      </w:tblGrid>
      <w:tr w:rsidR="00B965B4" w:rsidRPr="00BE6E71" w:rsidTr="00A432F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shd w:val="clear" w:color="auto" w:fill="448A99"/>
            <w:vAlign w:val="bottom"/>
            <w:hideMark/>
          </w:tcPr>
          <w:p w:rsidR="00B965B4" w:rsidRPr="00BE6E71" w:rsidRDefault="00B965B4" w:rsidP="00A83ABC">
            <w:pPr>
              <w:jc w:val="left"/>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Item</w:t>
            </w:r>
          </w:p>
        </w:tc>
        <w:tc>
          <w:tcPr>
            <w:tcW w:w="2385" w:type="dxa"/>
            <w:tcBorders>
              <w:top w:val="none" w:sz="0" w:space="0" w:color="auto"/>
              <w:left w:val="none" w:sz="0" w:space="0" w:color="auto"/>
              <w:bottom w:val="none" w:sz="0" w:space="0" w:color="auto"/>
              <w:right w:val="none" w:sz="0" w:space="0" w:color="auto"/>
            </w:tcBorders>
            <w:shd w:val="clear" w:color="auto" w:fill="448A99"/>
            <w:vAlign w:val="bottom"/>
            <w:hideMark/>
          </w:tcPr>
          <w:p w:rsidR="00B965B4" w:rsidRPr="00BE6E71" w:rsidRDefault="00B965B4"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Value</w:t>
            </w:r>
          </w:p>
        </w:tc>
        <w:tc>
          <w:tcPr>
            <w:tcW w:w="2385" w:type="dxa"/>
            <w:tcBorders>
              <w:top w:val="none" w:sz="0" w:space="0" w:color="auto"/>
              <w:left w:val="none" w:sz="0" w:space="0" w:color="auto"/>
              <w:bottom w:val="none" w:sz="0" w:space="0" w:color="auto"/>
              <w:right w:val="none" w:sz="0" w:space="0" w:color="auto"/>
            </w:tcBorders>
            <w:shd w:val="clear" w:color="auto" w:fill="448A99"/>
            <w:vAlign w:val="bottom"/>
            <w:hideMark/>
          </w:tcPr>
          <w:p w:rsidR="00B965B4" w:rsidRPr="00BE6E71" w:rsidRDefault="0013694B"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Basis</w:t>
            </w:r>
          </w:p>
        </w:tc>
      </w:tr>
      <w:tr w:rsidR="00B965B4" w:rsidRPr="00BE6E71" w:rsidTr="00A432F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Annual Customer Incentive</w:t>
            </w:r>
          </w:p>
        </w:tc>
        <w:tc>
          <w:tcPr>
            <w:tcW w:w="2385" w:type="dxa"/>
            <w:tcBorders>
              <w:left w:val="none" w:sz="0" w:space="0" w:color="auto"/>
              <w:right w:val="none" w:sz="0" w:space="0" w:color="auto"/>
            </w:tcBorders>
            <w:noWrap/>
            <w:hideMark/>
          </w:tcPr>
          <w:p w:rsidR="00B965B4" w:rsidRPr="00BE6E71" w:rsidRDefault="0013694B"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$40</w:t>
            </w:r>
          </w:p>
        </w:tc>
        <w:tc>
          <w:tcPr>
            <w:tcW w:w="2385" w:type="dxa"/>
            <w:tcBorders>
              <w:left w:val="none" w:sz="0" w:space="0" w:color="auto"/>
            </w:tcBorders>
            <w:noWrap/>
            <w:hideMark/>
          </w:tcPr>
          <w:p w:rsidR="00B965B4" w:rsidRPr="00BE6E71" w:rsidRDefault="0013694B"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A</w:t>
            </w:r>
            <w:r w:rsidR="005852D3">
              <w:rPr>
                <w:rFonts w:ascii="Calibri" w:eastAsia="Times New Roman" w:hAnsi="Calibri" w:cs="Calibri"/>
                <w:color w:val="000000"/>
                <w:sz w:val="20"/>
                <w:szCs w:val="20"/>
              </w:rPr>
              <w:t>/</w:t>
            </w:r>
            <w:r w:rsidRPr="00BE6E71">
              <w:rPr>
                <w:rFonts w:ascii="Calibri" w:eastAsia="Times New Roman" w:hAnsi="Calibri" w:cs="Calibri"/>
                <w:color w:val="000000"/>
                <w:sz w:val="20"/>
                <w:szCs w:val="20"/>
              </w:rPr>
              <w:t>C Unit</w:t>
            </w:r>
          </w:p>
        </w:tc>
      </w:tr>
      <w:tr w:rsidR="00B965B4" w:rsidRPr="00BE6E71" w:rsidTr="00A432F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Device Cost</w:t>
            </w:r>
          </w:p>
        </w:tc>
        <w:tc>
          <w:tcPr>
            <w:tcW w:w="2385" w:type="dxa"/>
            <w:tcBorders>
              <w:left w:val="none" w:sz="0" w:space="0" w:color="auto"/>
              <w:right w:val="none" w:sz="0" w:space="0" w:color="auto"/>
            </w:tcBorders>
            <w:noWrap/>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$85</w:t>
            </w:r>
          </w:p>
        </w:tc>
        <w:tc>
          <w:tcPr>
            <w:tcW w:w="2385" w:type="dxa"/>
            <w:tcBorders>
              <w:left w:val="none" w:sz="0" w:space="0" w:color="auto"/>
            </w:tcBorders>
            <w:noWrap/>
            <w:hideMark/>
          </w:tcPr>
          <w:p w:rsidR="00B965B4" w:rsidRPr="00BE6E71" w:rsidRDefault="0013694B"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A</w:t>
            </w:r>
            <w:r w:rsidR="005852D3">
              <w:rPr>
                <w:rFonts w:ascii="Calibri" w:eastAsia="Times New Roman" w:hAnsi="Calibri" w:cs="Calibri"/>
                <w:color w:val="000000"/>
                <w:sz w:val="20"/>
                <w:szCs w:val="20"/>
              </w:rPr>
              <w:t>/</w:t>
            </w:r>
            <w:r w:rsidRPr="00BE6E71">
              <w:rPr>
                <w:rFonts w:ascii="Calibri" w:eastAsia="Times New Roman" w:hAnsi="Calibri" w:cs="Calibri"/>
                <w:color w:val="000000"/>
                <w:sz w:val="20"/>
                <w:szCs w:val="20"/>
              </w:rPr>
              <w:t>C Unit</w:t>
            </w:r>
          </w:p>
        </w:tc>
      </w:tr>
      <w:tr w:rsidR="00B965B4" w:rsidRPr="00BE6E71" w:rsidTr="00A432F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Fixed Cost per Site (Mobilization</w:t>
            </w:r>
            <w:r w:rsidR="0013694B" w:rsidRPr="00BE6E71">
              <w:rPr>
                <w:rFonts w:ascii="Calibri" w:eastAsia="Times New Roman" w:hAnsi="Calibri" w:cs="Calibri"/>
                <w:b w:val="0"/>
                <w:color w:val="000000"/>
                <w:sz w:val="20"/>
                <w:szCs w:val="20"/>
              </w:rPr>
              <w:t xml:space="preserve"> and Install</w:t>
            </w:r>
            <w:r w:rsidRPr="00BE6E71">
              <w:rPr>
                <w:rFonts w:ascii="Calibri" w:eastAsia="Times New Roman" w:hAnsi="Calibri" w:cs="Calibri"/>
                <w:b w:val="0"/>
                <w:color w:val="000000"/>
                <w:sz w:val="20"/>
                <w:szCs w:val="20"/>
              </w:rPr>
              <w:t>)</w:t>
            </w:r>
          </w:p>
        </w:tc>
        <w:tc>
          <w:tcPr>
            <w:tcW w:w="2385" w:type="dxa"/>
            <w:tcBorders>
              <w:left w:val="none" w:sz="0" w:space="0" w:color="auto"/>
              <w:right w:val="none" w:sz="0" w:space="0" w:color="auto"/>
            </w:tcBorders>
            <w:noWrap/>
            <w:hideMark/>
          </w:tcPr>
          <w:p w:rsidR="00B965B4" w:rsidRPr="00BE6E71" w:rsidRDefault="0013694B"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$115</w:t>
            </w:r>
          </w:p>
        </w:tc>
        <w:tc>
          <w:tcPr>
            <w:tcW w:w="2385" w:type="dxa"/>
            <w:tcBorders>
              <w:left w:val="none" w:sz="0" w:space="0" w:color="auto"/>
            </w:tcBorders>
            <w:noWrap/>
            <w:hideMark/>
          </w:tcPr>
          <w:p w:rsidR="00B965B4" w:rsidRPr="00BE6E71" w:rsidRDefault="0013694B"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Site</w:t>
            </w:r>
          </w:p>
        </w:tc>
      </w:tr>
      <w:tr w:rsidR="00B965B4" w:rsidRPr="00BE6E71" w:rsidTr="00A432F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13694B"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 xml:space="preserve">Program </w:t>
            </w:r>
            <w:r w:rsidR="00B965B4" w:rsidRPr="00BE6E71">
              <w:rPr>
                <w:rFonts w:ascii="Calibri" w:eastAsia="Times New Roman" w:hAnsi="Calibri" w:cs="Calibri"/>
                <w:b w:val="0"/>
                <w:color w:val="000000"/>
                <w:sz w:val="20"/>
                <w:szCs w:val="20"/>
              </w:rPr>
              <w:t>Management Fee</w:t>
            </w:r>
          </w:p>
        </w:tc>
        <w:tc>
          <w:tcPr>
            <w:tcW w:w="2385" w:type="dxa"/>
            <w:tcBorders>
              <w:left w:val="none" w:sz="0" w:space="0" w:color="auto"/>
              <w:right w:val="none" w:sz="0" w:space="0" w:color="auto"/>
            </w:tcBorders>
            <w:noWrap/>
            <w:hideMark/>
          </w:tcPr>
          <w:p w:rsidR="00B965B4" w:rsidRPr="00BE6E71" w:rsidRDefault="0013694B"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$25</w:t>
            </w:r>
            <w:r w:rsidR="00B965B4" w:rsidRPr="00BE6E71">
              <w:rPr>
                <w:rFonts w:ascii="Calibri" w:eastAsia="Times New Roman" w:hAnsi="Calibri" w:cs="Calibri"/>
                <w:color w:val="000000"/>
                <w:sz w:val="20"/>
                <w:szCs w:val="20"/>
              </w:rPr>
              <w:t>,000</w:t>
            </w:r>
            <w:r w:rsidRPr="00BE6E71">
              <w:rPr>
                <w:rStyle w:val="FootnoteReference"/>
                <w:rFonts w:ascii="Calibri" w:eastAsia="Times New Roman" w:hAnsi="Calibri"/>
                <w:color w:val="000000"/>
                <w:sz w:val="20"/>
                <w:szCs w:val="20"/>
              </w:rPr>
              <w:footnoteReference w:id="116"/>
            </w:r>
          </w:p>
        </w:tc>
        <w:tc>
          <w:tcPr>
            <w:tcW w:w="2385" w:type="dxa"/>
            <w:tcBorders>
              <w:left w:val="none" w:sz="0" w:space="0" w:color="auto"/>
            </w:tcBorders>
            <w:noWrap/>
            <w:hideMark/>
          </w:tcPr>
          <w:p w:rsidR="00B965B4" w:rsidRPr="00BE6E71" w:rsidRDefault="0013694B"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Annual</w:t>
            </w:r>
          </w:p>
        </w:tc>
      </w:tr>
      <w:tr w:rsidR="00B965B4" w:rsidRPr="00BE6E71" w:rsidTr="00A432F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13694B"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EM&amp;V</w:t>
            </w:r>
          </w:p>
        </w:tc>
        <w:tc>
          <w:tcPr>
            <w:tcW w:w="2385" w:type="dxa"/>
            <w:tcBorders>
              <w:left w:val="none" w:sz="0" w:space="0" w:color="auto"/>
              <w:right w:val="none" w:sz="0" w:space="0" w:color="auto"/>
            </w:tcBorders>
            <w:noWrap/>
            <w:hideMark/>
          </w:tcPr>
          <w:p w:rsidR="00B965B4" w:rsidRPr="00BE6E71" w:rsidRDefault="0013694B"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5% of Program Costs</w:t>
            </w:r>
          </w:p>
        </w:tc>
        <w:tc>
          <w:tcPr>
            <w:tcW w:w="2385" w:type="dxa"/>
            <w:tcBorders>
              <w:left w:val="none" w:sz="0" w:space="0" w:color="auto"/>
            </w:tcBorders>
            <w:noWrap/>
            <w:hideMark/>
          </w:tcPr>
          <w:p w:rsidR="00B965B4" w:rsidRPr="00BE6E71" w:rsidRDefault="0070187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Annual</w:t>
            </w:r>
          </w:p>
        </w:tc>
      </w:tr>
      <w:tr w:rsidR="00B965B4" w:rsidRPr="00BE6E71" w:rsidTr="00A432F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 xml:space="preserve">Marketing </w:t>
            </w:r>
            <w:r w:rsidR="0070187F" w:rsidRPr="00BE6E71">
              <w:rPr>
                <w:rFonts w:ascii="Calibri" w:eastAsia="Times New Roman" w:hAnsi="Calibri" w:cs="Calibri"/>
                <w:b w:val="0"/>
                <w:color w:val="000000"/>
                <w:sz w:val="20"/>
                <w:szCs w:val="20"/>
              </w:rPr>
              <w:t>and Outreach</w:t>
            </w:r>
          </w:p>
        </w:tc>
        <w:tc>
          <w:tcPr>
            <w:tcW w:w="2385" w:type="dxa"/>
            <w:tcBorders>
              <w:left w:val="none" w:sz="0" w:space="0" w:color="auto"/>
              <w:right w:val="none" w:sz="0" w:space="0" w:color="auto"/>
            </w:tcBorders>
            <w:noWrap/>
            <w:hideMark/>
          </w:tcPr>
          <w:p w:rsidR="00B965B4" w:rsidRPr="00BE6E71" w:rsidRDefault="00405D0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$5 per qualified account</w:t>
            </w:r>
          </w:p>
        </w:tc>
        <w:tc>
          <w:tcPr>
            <w:tcW w:w="2385" w:type="dxa"/>
            <w:tcBorders>
              <w:left w:val="none" w:sz="0" w:space="0" w:color="auto"/>
            </w:tcBorders>
            <w:noWrap/>
            <w:hideMark/>
          </w:tcPr>
          <w:p w:rsidR="00B965B4" w:rsidRPr="00BE6E71" w:rsidRDefault="0070187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Annual</w:t>
            </w:r>
          </w:p>
        </w:tc>
      </w:tr>
      <w:tr w:rsidR="00B965B4" w:rsidRPr="00BE6E71" w:rsidTr="00A432F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Incentive Processing Cost</w:t>
            </w:r>
          </w:p>
        </w:tc>
        <w:tc>
          <w:tcPr>
            <w:tcW w:w="2385" w:type="dxa"/>
            <w:tcBorders>
              <w:left w:val="none" w:sz="0" w:space="0" w:color="auto"/>
              <w:right w:val="none" w:sz="0" w:space="0" w:color="auto"/>
            </w:tcBorders>
            <w:noWrap/>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w:t>
            </w:r>
          </w:p>
        </w:tc>
        <w:tc>
          <w:tcPr>
            <w:tcW w:w="2385" w:type="dxa"/>
            <w:tcBorders>
              <w:left w:val="none" w:sz="0" w:space="0" w:color="auto"/>
            </w:tcBorders>
            <w:noWrap/>
            <w:hideMark/>
          </w:tcPr>
          <w:p w:rsidR="00B965B4" w:rsidRPr="00BE6E71" w:rsidRDefault="0070187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Site</w:t>
            </w:r>
          </w:p>
        </w:tc>
      </w:tr>
      <w:tr w:rsidR="00B965B4" w:rsidRPr="00BE6E71" w:rsidTr="00A432F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Enrollment Fee (Marketing Production)</w:t>
            </w:r>
          </w:p>
        </w:tc>
        <w:tc>
          <w:tcPr>
            <w:tcW w:w="2385" w:type="dxa"/>
            <w:tcBorders>
              <w:left w:val="none" w:sz="0" w:space="0" w:color="auto"/>
              <w:right w:val="none" w:sz="0" w:space="0" w:color="auto"/>
            </w:tcBorders>
            <w:noWrap/>
            <w:hideMark/>
          </w:tcPr>
          <w:p w:rsidR="00B965B4" w:rsidRPr="00BE6E71" w:rsidRDefault="0070187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$5</w:t>
            </w:r>
          </w:p>
        </w:tc>
        <w:tc>
          <w:tcPr>
            <w:tcW w:w="2385" w:type="dxa"/>
            <w:tcBorders>
              <w:left w:val="none" w:sz="0" w:space="0" w:color="auto"/>
            </w:tcBorders>
            <w:noWrap/>
            <w:hideMark/>
          </w:tcPr>
          <w:p w:rsidR="00B965B4" w:rsidRPr="00BE6E71" w:rsidRDefault="0070187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Site</w:t>
            </w:r>
          </w:p>
        </w:tc>
      </w:tr>
      <w:tr w:rsidR="00B965B4" w:rsidRPr="00BE6E71" w:rsidTr="00A432F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Service Fee</w:t>
            </w:r>
          </w:p>
        </w:tc>
        <w:tc>
          <w:tcPr>
            <w:tcW w:w="2385" w:type="dxa"/>
            <w:tcBorders>
              <w:left w:val="none" w:sz="0" w:space="0" w:color="auto"/>
              <w:right w:val="none" w:sz="0" w:space="0" w:color="auto"/>
            </w:tcBorders>
            <w:noWrap/>
            <w:hideMark/>
          </w:tcPr>
          <w:p w:rsidR="00B965B4" w:rsidRPr="00BE6E71" w:rsidRDefault="00B965B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$100</w:t>
            </w:r>
          </w:p>
        </w:tc>
        <w:tc>
          <w:tcPr>
            <w:tcW w:w="2385" w:type="dxa"/>
            <w:tcBorders>
              <w:left w:val="none" w:sz="0" w:space="0" w:color="auto"/>
            </w:tcBorders>
            <w:noWrap/>
            <w:hideMark/>
          </w:tcPr>
          <w:p w:rsidR="00B965B4" w:rsidRPr="00BE6E71" w:rsidRDefault="0070187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Site</w:t>
            </w:r>
          </w:p>
        </w:tc>
      </w:tr>
      <w:tr w:rsidR="00B965B4" w:rsidRPr="00BE6E71" w:rsidTr="00A432FE">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B965B4" w:rsidRPr="00BE6E71" w:rsidRDefault="00B965B4"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Scheduling Fee</w:t>
            </w:r>
          </w:p>
        </w:tc>
        <w:tc>
          <w:tcPr>
            <w:tcW w:w="2385" w:type="dxa"/>
            <w:tcBorders>
              <w:left w:val="none" w:sz="0" w:space="0" w:color="auto"/>
              <w:right w:val="none" w:sz="0" w:space="0" w:color="auto"/>
            </w:tcBorders>
            <w:noWrap/>
            <w:hideMark/>
          </w:tcPr>
          <w:p w:rsidR="00B965B4" w:rsidRPr="00BE6E71" w:rsidRDefault="00B965B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$15</w:t>
            </w:r>
          </w:p>
        </w:tc>
        <w:tc>
          <w:tcPr>
            <w:tcW w:w="2385" w:type="dxa"/>
            <w:tcBorders>
              <w:left w:val="none" w:sz="0" w:space="0" w:color="auto"/>
            </w:tcBorders>
            <w:noWrap/>
            <w:hideMark/>
          </w:tcPr>
          <w:p w:rsidR="00B965B4" w:rsidRPr="00BE6E71" w:rsidRDefault="0070187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Site</w:t>
            </w:r>
          </w:p>
        </w:tc>
      </w:tr>
      <w:tr w:rsidR="0070187F" w:rsidRPr="00BE6E71" w:rsidTr="00A432F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0" w:type="dxa"/>
            <w:tcBorders>
              <w:right w:val="none" w:sz="0" w:space="0" w:color="auto"/>
            </w:tcBorders>
            <w:noWrap/>
            <w:hideMark/>
          </w:tcPr>
          <w:p w:rsidR="0070187F" w:rsidRPr="00BE6E71" w:rsidRDefault="0070187F" w:rsidP="00A83ABC">
            <w:pPr>
              <w:jc w:val="left"/>
              <w:rPr>
                <w:rFonts w:ascii="Calibri" w:eastAsia="Times New Roman" w:hAnsi="Calibri" w:cs="Calibri"/>
                <w:b w:val="0"/>
                <w:color w:val="000000"/>
                <w:sz w:val="20"/>
                <w:szCs w:val="20"/>
              </w:rPr>
            </w:pPr>
            <w:r w:rsidRPr="00BE6E71">
              <w:rPr>
                <w:rFonts w:ascii="Calibri" w:eastAsia="Times New Roman" w:hAnsi="Calibri" w:cs="Calibri"/>
                <w:b w:val="0"/>
                <w:color w:val="000000"/>
                <w:sz w:val="20"/>
                <w:szCs w:val="20"/>
              </w:rPr>
              <w:t>Walk-Away Fee</w:t>
            </w:r>
          </w:p>
        </w:tc>
        <w:tc>
          <w:tcPr>
            <w:tcW w:w="2385" w:type="dxa"/>
            <w:tcBorders>
              <w:left w:val="none" w:sz="0" w:space="0" w:color="auto"/>
              <w:right w:val="none" w:sz="0" w:space="0" w:color="auto"/>
            </w:tcBorders>
            <w:noWrap/>
            <w:hideMark/>
          </w:tcPr>
          <w:p w:rsidR="0070187F" w:rsidRPr="00BE6E71" w:rsidRDefault="0070187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$40</w:t>
            </w:r>
          </w:p>
        </w:tc>
        <w:tc>
          <w:tcPr>
            <w:tcW w:w="2385" w:type="dxa"/>
            <w:tcBorders>
              <w:left w:val="none" w:sz="0" w:space="0" w:color="auto"/>
            </w:tcBorders>
            <w:noWrap/>
            <w:hideMark/>
          </w:tcPr>
          <w:p w:rsidR="0070187F" w:rsidRPr="00BE6E71" w:rsidRDefault="0070187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Per Site</w:t>
            </w:r>
          </w:p>
        </w:tc>
      </w:tr>
    </w:tbl>
    <w:p w:rsidR="00B0410A" w:rsidRPr="00B0410A" w:rsidRDefault="00B0410A" w:rsidP="00A83ABC"/>
    <w:p w:rsidR="006B5201" w:rsidRDefault="002D6436" w:rsidP="00A83ABC">
      <w:pPr>
        <w:pStyle w:val="Heading2"/>
      </w:pPr>
      <w:bookmarkStart w:id="230" w:name="_Toc412628422"/>
      <w:r>
        <w:t xml:space="preserve">DLC </w:t>
      </w:r>
      <w:r w:rsidR="006B5201">
        <w:t>Potential by EDC</w:t>
      </w:r>
      <w:bookmarkEnd w:id="230"/>
    </w:p>
    <w:p w:rsidR="003E355C" w:rsidRDefault="003E355C" w:rsidP="00A83ABC">
      <w:r>
        <w:fldChar w:fldCharType="begin"/>
      </w:r>
      <w:r>
        <w:instrText xml:space="preserve"> REF _Ref406949411 \h </w:instrText>
      </w:r>
      <w:r w:rsidR="00CF2BE5">
        <w:instrText xml:space="preserve"> \* MERGEFORMAT </w:instrText>
      </w:r>
      <w:r>
        <w:fldChar w:fldCharType="separate"/>
      </w:r>
      <w:r w:rsidR="00803DBE" w:rsidRPr="00C90C8E">
        <w:t xml:space="preserve">Table </w:t>
      </w:r>
      <w:r w:rsidR="00803DBE">
        <w:rPr>
          <w:noProof/>
        </w:rPr>
        <w:t>5</w:t>
      </w:r>
      <w:r w:rsidR="00803DBE">
        <w:rPr>
          <w:noProof/>
        </w:rPr>
        <w:noBreakHyphen/>
        <w:t>6</w:t>
      </w:r>
      <w:r>
        <w:fldChar w:fldCharType="end"/>
      </w:r>
      <w:r>
        <w:t xml:space="preserve"> shows the results of the SWE </w:t>
      </w:r>
      <w:r w:rsidR="004D4BB5">
        <w:t>T</w:t>
      </w:r>
      <w:r>
        <w:t xml:space="preserve">eam’s analysis of </w:t>
      </w:r>
      <w:r w:rsidR="005852D3">
        <w:t>A/C</w:t>
      </w:r>
      <w:r>
        <w:t xml:space="preserve"> </w:t>
      </w:r>
      <w:r w:rsidR="005852D3">
        <w:t>DLC</w:t>
      </w:r>
      <w:r>
        <w:t xml:space="preserve"> for the small commercial sector. The cumulative number of sites and devices are net </w:t>
      </w:r>
      <w:r w:rsidR="00E57B10">
        <w:t xml:space="preserve">of customer </w:t>
      </w:r>
      <w:r>
        <w:t>attrition and the MW impact figures are</w:t>
      </w:r>
      <w:r w:rsidR="0015652F">
        <w:t xml:space="preserve"> an average value over the five summers in the phase</w:t>
      </w:r>
      <w:r w:rsidR="00E57B10">
        <w:t xml:space="preserve"> presented at the generator level</w:t>
      </w:r>
      <w:r>
        <w:t xml:space="preserve">. </w:t>
      </w:r>
      <w:r w:rsidR="0015652F">
        <w:t>Lifetime TRC ratios assume that funding is available to pay customer incentives after the end of Phase III so that the full effective useful life of the equipment can be realized.</w:t>
      </w:r>
    </w:p>
    <w:p w:rsidR="009A2C24" w:rsidRDefault="009A2C24" w:rsidP="00A83ABC"/>
    <w:p w:rsidR="003E355C" w:rsidRPr="00C90C8E" w:rsidRDefault="003E355C" w:rsidP="00A83ABC">
      <w:pPr>
        <w:pStyle w:val="Caption"/>
        <w:keepNext/>
      </w:pPr>
      <w:bookmarkStart w:id="231" w:name="_Ref406949411"/>
      <w:bookmarkStart w:id="232" w:name="_Toc412628483"/>
      <w:r w:rsidRPr="00C90C8E">
        <w:t xml:space="preserve">Table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6</w:t>
      </w:r>
      <w:r w:rsidR="00E2011B">
        <w:rPr>
          <w:noProof/>
        </w:rPr>
        <w:fldChar w:fldCharType="end"/>
      </w:r>
      <w:bookmarkEnd w:id="231"/>
      <w:r w:rsidRPr="00C90C8E">
        <w:t xml:space="preserve">: Small </w:t>
      </w:r>
      <w:r w:rsidR="00D87D1C">
        <w:t xml:space="preserve">and Medium </w:t>
      </w:r>
      <w:r w:rsidRPr="00C90C8E">
        <w:t xml:space="preserve">Commercial </w:t>
      </w:r>
      <w:r w:rsidR="005852D3">
        <w:t>DLC</w:t>
      </w:r>
      <w:r w:rsidRPr="00C90C8E">
        <w:t xml:space="preserve"> Potential by EDC</w:t>
      </w:r>
      <w:bookmarkEnd w:id="232"/>
    </w:p>
    <w:tbl>
      <w:tblPr>
        <w:tblStyle w:val="MediumShading1-Accent5"/>
        <w:tblW w:w="854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800"/>
        <w:gridCol w:w="1348"/>
        <w:gridCol w:w="1348"/>
        <w:gridCol w:w="1349"/>
        <w:gridCol w:w="1348"/>
        <w:gridCol w:w="1349"/>
      </w:tblGrid>
      <w:tr w:rsidR="005F0179" w:rsidRPr="00BE6E71" w:rsidTr="00C4181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shd w:val="clear" w:color="auto" w:fill="448A99"/>
            <w:vAlign w:val="center"/>
            <w:hideMark/>
          </w:tcPr>
          <w:p w:rsidR="005F0179" w:rsidRPr="00BE6E71" w:rsidRDefault="005F0179" w:rsidP="00C41816">
            <w:pPr>
              <w:jc w:val="center"/>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EDC</w:t>
            </w:r>
          </w:p>
        </w:tc>
        <w:tc>
          <w:tcPr>
            <w:tcW w:w="1348" w:type="dxa"/>
            <w:tcBorders>
              <w:top w:val="none" w:sz="0" w:space="0" w:color="auto"/>
              <w:left w:val="none" w:sz="0" w:space="0" w:color="auto"/>
              <w:bottom w:val="none" w:sz="0" w:space="0" w:color="auto"/>
              <w:right w:val="none" w:sz="0" w:space="0" w:color="auto"/>
            </w:tcBorders>
            <w:shd w:val="clear" w:color="auto" w:fill="448A99"/>
            <w:vAlign w:val="center"/>
            <w:hideMark/>
          </w:tcPr>
          <w:p w:rsidR="005F0179" w:rsidRPr="00BE6E71" w:rsidRDefault="005F0179"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Total Qualified Accounts</w:t>
            </w:r>
          </w:p>
        </w:tc>
        <w:tc>
          <w:tcPr>
            <w:tcW w:w="1348" w:type="dxa"/>
            <w:tcBorders>
              <w:top w:val="none" w:sz="0" w:space="0" w:color="auto"/>
              <w:left w:val="none" w:sz="0" w:space="0" w:color="auto"/>
              <w:bottom w:val="none" w:sz="0" w:space="0" w:color="auto"/>
              <w:right w:val="none" w:sz="0" w:space="0" w:color="auto"/>
            </w:tcBorders>
            <w:shd w:val="clear" w:color="auto" w:fill="448A99"/>
            <w:vAlign w:val="center"/>
            <w:hideMark/>
          </w:tcPr>
          <w:p w:rsidR="005F0179" w:rsidRPr="00BE6E71" w:rsidRDefault="005F0179"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Cumulative Sites</w:t>
            </w:r>
          </w:p>
        </w:tc>
        <w:tc>
          <w:tcPr>
            <w:tcW w:w="1349" w:type="dxa"/>
            <w:tcBorders>
              <w:top w:val="none" w:sz="0" w:space="0" w:color="auto"/>
              <w:left w:val="none" w:sz="0" w:space="0" w:color="auto"/>
              <w:bottom w:val="none" w:sz="0" w:space="0" w:color="auto"/>
              <w:right w:val="none" w:sz="0" w:space="0" w:color="auto"/>
            </w:tcBorders>
            <w:shd w:val="clear" w:color="auto" w:fill="448A99"/>
            <w:vAlign w:val="center"/>
          </w:tcPr>
          <w:p w:rsidR="005F0179" w:rsidRPr="00BE6E71" w:rsidRDefault="005F0179"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Cumulative Devices</w:t>
            </w:r>
          </w:p>
        </w:tc>
        <w:tc>
          <w:tcPr>
            <w:tcW w:w="1348" w:type="dxa"/>
            <w:tcBorders>
              <w:top w:val="none" w:sz="0" w:space="0" w:color="auto"/>
              <w:left w:val="none" w:sz="0" w:space="0" w:color="auto"/>
              <w:bottom w:val="none" w:sz="0" w:space="0" w:color="auto"/>
              <w:right w:val="none" w:sz="0" w:space="0" w:color="auto"/>
            </w:tcBorders>
            <w:shd w:val="clear" w:color="auto" w:fill="448A99"/>
            <w:vAlign w:val="center"/>
            <w:hideMark/>
          </w:tcPr>
          <w:p w:rsidR="005F0179" w:rsidRPr="00BE6E71" w:rsidRDefault="005F0179"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Average Annual Impact (MW)</w:t>
            </w:r>
          </w:p>
        </w:tc>
        <w:tc>
          <w:tcPr>
            <w:tcW w:w="1349" w:type="dxa"/>
            <w:tcBorders>
              <w:top w:val="none" w:sz="0" w:space="0" w:color="auto"/>
              <w:left w:val="none" w:sz="0" w:space="0" w:color="auto"/>
              <w:bottom w:val="none" w:sz="0" w:space="0" w:color="auto"/>
              <w:right w:val="none" w:sz="0" w:space="0" w:color="auto"/>
            </w:tcBorders>
            <w:shd w:val="clear" w:color="auto" w:fill="448A99"/>
            <w:vAlign w:val="center"/>
          </w:tcPr>
          <w:p w:rsidR="005F0179" w:rsidRPr="00BE6E71" w:rsidRDefault="005F0179" w:rsidP="00C418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BE6E71">
              <w:rPr>
                <w:rFonts w:ascii="Calibri" w:eastAsia="Times New Roman" w:hAnsi="Calibri" w:cs="Calibri"/>
                <w:bCs w:val="0"/>
                <w:color w:val="FFFFFF"/>
                <w:sz w:val="20"/>
                <w:szCs w:val="20"/>
              </w:rPr>
              <w:t>Lifetime TRC Ratio</w:t>
            </w:r>
          </w:p>
        </w:tc>
      </w:tr>
      <w:tr w:rsidR="00D87D1C" w:rsidRPr="00BE6E71"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BE6E71" w:rsidRDefault="00D87D1C" w:rsidP="00A83ABC">
            <w:pPr>
              <w:jc w:val="left"/>
              <w:rPr>
                <w:b w:val="0"/>
                <w:sz w:val="20"/>
                <w:szCs w:val="20"/>
              </w:rPr>
            </w:pPr>
            <w:r w:rsidRPr="00BE6E71">
              <w:rPr>
                <w:b w:val="0"/>
                <w:sz w:val="20"/>
                <w:szCs w:val="20"/>
              </w:rPr>
              <w:t>Duquesne</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10,529</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471</w:t>
            </w:r>
          </w:p>
        </w:tc>
        <w:tc>
          <w:tcPr>
            <w:tcW w:w="1349"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829</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0.56</w:t>
            </w:r>
          </w:p>
        </w:tc>
        <w:tc>
          <w:tcPr>
            <w:tcW w:w="1349" w:type="dxa"/>
            <w:tcBorders>
              <w:lef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0.76</w:t>
            </w:r>
          </w:p>
        </w:tc>
      </w:tr>
      <w:tr w:rsidR="00D87D1C" w:rsidRPr="00BE6E71"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BE6E71" w:rsidRDefault="00D87D1C" w:rsidP="00A83ABC">
            <w:pPr>
              <w:jc w:val="left"/>
              <w:rPr>
                <w:b w:val="0"/>
                <w:sz w:val="20"/>
                <w:szCs w:val="20"/>
              </w:rPr>
            </w:pPr>
            <w:r w:rsidRPr="00BE6E71">
              <w:rPr>
                <w:b w:val="0"/>
                <w:sz w:val="20"/>
                <w:szCs w:val="20"/>
              </w:rPr>
              <w:t>FE: Met</w:t>
            </w:r>
            <w:r>
              <w:rPr>
                <w:b w:val="0"/>
                <w:sz w:val="20"/>
                <w:szCs w:val="20"/>
              </w:rPr>
              <w:t>-</w:t>
            </w:r>
            <w:r w:rsidRPr="00BE6E71">
              <w:rPr>
                <w:b w:val="0"/>
                <w:sz w:val="20"/>
                <w:szCs w:val="20"/>
              </w:rPr>
              <w:t>Ed</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7,128</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325</w:t>
            </w:r>
          </w:p>
        </w:tc>
        <w:tc>
          <w:tcPr>
            <w:tcW w:w="1349"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754</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0.52</w:t>
            </w:r>
          </w:p>
        </w:tc>
        <w:tc>
          <w:tcPr>
            <w:tcW w:w="1349" w:type="dxa"/>
            <w:tcBorders>
              <w:lef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0.83</w:t>
            </w:r>
          </w:p>
        </w:tc>
      </w:tr>
      <w:tr w:rsidR="00D87D1C" w:rsidRPr="00BE6E71"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BE6E71" w:rsidRDefault="00D87D1C" w:rsidP="00A83ABC">
            <w:pPr>
              <w:jc w:val="left"/>
              <w:rPr>
                <w:b w:val="0"/>
                <w:sz w:val="20"/>
                <w:szCs w:val="20"/>
              </w:rPr>
            </w:pPr>
            <w:r w:rsidRPr="00BE6E71">
              <w:rPr>
                <w:b w:val="0"/>
                <w:sz w:val="20"/>
                <w:szCs w:val="20"/>
              </w:rPr>
              <w:t>FE: Penelec</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7,120</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321</w:t>
            </w:r>
          </w:p>
        </w:tc>
        <w:tc>
          <w:tcPr>
            <w:tcW w:w="1349"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680</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0.47</w:t>
            </w:r>
          </w:p>
        </w:tc>
        <w:tc>
          <w:tcPr>
            <w:tcW w:w="1349" w:type="dxa"/>
            <w:tcBorders>
              <w:lef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0.77</w:t>
            </w:r>
          </w:p>
        </w:tc>
      </w:tr>
      <w:tr w:rsidR="00D87D1C" w:rsidRPr="00BE6E71"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BE6E71" w:rsidRDefault="00D87D1C" w:rsidP="00A83ABC">
            <w:pPr>
              <w:jc w:val="left"/>
              <w:rPr>
                <w:b w:val="0"/>
                <w:sz w:val="20"/>
                <w:szCs w:val="20"/>
              </w:rPr>
            </w:pPr>
            <w:r w:rsidRPr="00BE6E71">
              <w:rPr>
                <w:b w:val="0"/>
                <w:sz w:val="20"/>
                <w:szCs w:val="20"/>
              </w:rPr>
              <w:t>FE: Penn Power</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2,446</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113</w:t>
            </w:r>
          </w:p>
        </w:tc>
        <w:tc>
          <w:tcPr>
            <w:tcW w:w="1349"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258</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0.17</w:t>
            </w:r>
          </w:p>
        </w:tc>
        <w:tc>
          <w:tcPr>
            <w:tcW w:w="1349" w:type="dxa"/>
            <w:tcBorders>
              <w:lef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0.45</w:t>
            </w:r>
          </w:p>
        </w:tc>
      </w:tr>
      <w:tr w:rsidR="00D87D1C" w:rsidRPr="00BE6E71"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BE6E71" w:rsidRDefault="00D87D1C" w:rsidP="00A83ABC">
            <w:pPr>
              <w:jc w:val="left"/>
              <w:rPr>
                <w:b w:val="0"/>
                <w:sz w:val="20"/>
                <w:szCs w:val="20"/>
              </w:rPr>
            </w:pPr>
            <w:r w:rsidRPr="00BE6E71">
              <w:rPr>
                <w:b w:val="0"/>
                <w:sz w:val="20"/>
                <w:szCs w:val="20"/>
              </w:rPr>
              <w:t>FE: W</w:t>
            </w:r>
            <w:r>
              <w:rPr>
                <w:b w:val="0"/>
                <w:sz w:val="20"/>
                <w:szCs w:val="20"/>
              </w:rPr>
              <w:t>est</w:t>
            </w:r>
            <w:r w:rsidR="00DE6BED">
              <w:rPr>
                <w:b w:val="0"/>
                <w:sz w:val="20"/>
                <w:szCs w:val="20"/>
              </w:rPr>
              <w:t xml:space="preserve"> Penn</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9,492</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438</w:t>
            </w:r>
          </w:p>
        </w:tc>
        <w:tc>
          <w:tcPr>
            <w:tcW w:w="1349"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921</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0.64</w:t>
            </w:r>
          </w:p>
        </w:tc>
        <w:tc>
          <w:tcPr>
            <w:tcW w:w="1349" w:type="dxa"/>
            <w:tcBorders>
              <w:lef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0.85</w:t>
            </w:r>
          </w:p>
        </w:tc>
      </w:tr>
      <w:tr w:rsidR="00D87D1C" w:rsidRPr="00BE6E71"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BE6E71" w:rsidRDefault="00D87D1C" w:rsidP="00A83ABC">
            <w:pPr>
              <w:jc w:val="left"/>
              <w:rPr>
                <w:b w:val="0"/>
                <w:sz w:val="20"/>
                <w:szCs w:val="20"/>
              </w:rPr>
            </w:pPr>
            <w:r w:rsidRPr="00BE6E71">
              <w:rPr>
                <w:b w:val="0"/>
                <w:sz w:val="20"/>
                <w:szCs w:val="20"/>
              </w:rPr>
              <w:t>PECO</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35,880</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3,262</w:t>
            </w:r>
          </w:p>
        </w:tc>
        <w:tc>
          <w:tcPr>
            <w:tcW w:w="1349"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6,099</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5.73</w:t>
            </w:r>
          </w:p>
        </w:tc>
        <w:tc>
          <w:tcPr>
            <w:tcW w:w="1349" w:type="dxa"/>
            <w:tcBorders>
              <w:lef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1.41</w:t>
            </w:r>
          </w:p>
        </w:tc>
      </w:tr>
      <w:tr w:rsidR="00D87D1C" w:rsidRPr="00BE6E71"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BE6E71" w:rsidRDefault="00D87D1C" w:rsidP="00A83ABC">
            <w:pPr>
              <w:jc w:val="left"/>
              <w:rPr>
                <w:b w:val="0"/>
                <w:sz w:val="20"/>
                <w:szCs w:val="20"/>
              </w:rPr>
            </w:pPr>
            <w:r w:rsidRPr="00BE6E71">
              <w:rPr>
                <w:b w:val="0"/>
                <w:sz w:val="20"/>
                <w:szCs w:val="20"/>
              </w:rPr>
              <w:t>PPL</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39,735</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1,833</w:t>
            </w:r>
          </w:p>
        </w:tc>
        <w:tc>
          <w:tcPr>
            <w:tcW w:w="1349"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3,088</w:t>
            </w:r>
          </w:p>
        </w:tc>
        <w:tc>
          <w:tcPr>
            <w:tcW w:w="1348" w:type="dxa"/>
            <w:tcBorders>
              <w:left w:val="none" w:sz="0" w:space="0" w:color="auto"/>
              <w:righ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2.14</w:t>
            </w:r>
          </w:p>
        </w:tc>
        <w:tc>
          <w:tcPr>
            <w:tcW w:w="1349" w:type="dxa"/>
            <w:tcBorders>
              <w:left w:val="none" w:sz="0" w:space="0" w:color="auto"/>
            </w:tcBorders>
          </w:tcPr>
          <w:p w:rsidR="00D87D1C" w:rsidRPr="00BE6E71" w:rsidRDefault="00D87D1C"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BE6E71">
              <w:rPr>
                <w:rFonts w:ascii="Calibri" w:eastAsia="Times New Roman" w:hAnsi="Calibri" w:cs="Calibri"/>
                <w:color w:val="000000"/>
                <w:sz w:val="20"/>
                <w:szCs w:val="20"/>
              </w:rPr>
              <w:t>0.72</w:t>
            </w:r>
          </w:p>
        </w:tc>
      </w:tr>
      <w:tr w:rsidR="00D87D1C" w:rsidRPr="00BE6E71"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D87D1C" w:rsidRPr="00D87D1C" w:rsidRDefault="00D87D1C" w:rsidP="00A83ABC">
            <w:pPr>
              <w:jc w:val="left"/>
              <w:rPr>
                <w:sz w:val="20"/>
              </w:rPr>
            </w:pPr>
            <w:r w:rsidRPr="004E293C">
              <w:rPr>
                <w:sz w:val="20"/>
              </w:rPr>
              <w:t>Statewide</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BE6E71">
              <w:rPr>
                <w:rFonts w:ascii="Calibri" w:eastAsia="Times New Roman" w:hAnsi="Calibri" w:cs="Calibri"/>
                <w:b/>
                <w:color w:val="000000"/>
                <w:sz w:val="20"/>
                <w:szCs w:val="20"/>
              </w:rPr>
              <w:t>112,330</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BE6E71">
              <w:rPr>
                <w:rFonts w:ascii="Calibri" w:eastAsia="Times New Roman" w:hAnsi="Calibri" w:cs="Calibri"/>
                <w:b/>
                <w:color w:val="000000"/>
                <w:sz w:val="20"/>
                <w:szCs w:val="20"/>
              </w:rPr>
              <w:t>6,763</w:t>
            </w:r>
          </w:p>
        </w:tc>
        <w:tc>
          <w:tcPr>
            <w:tcW w:w="1349"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BE6E71">
              <w:rPr>
                <w:rFonts w:ascii="Calibri" w:eastAsia="Times New Roman" w:hAnsi="Calibri" w:cs="Calibri"/>
                <w:b/>
                <w:color w:val="000000"/>
                <w:sz w:val="20"/>
                <w:szCs w:val="20"/>
              </w:rPr>
              <w:t>12,629</w:t>
            </w:r>
          </w:p>
        </w:tc>
        <w:tc>
          <w:tcPr>
            <w:tcW w:w="1348" w:type="dxa"/>
            <w:tcBorders>
              <w:left w:val="none" w:sz="0" w:space="0" w:color="auto"/>
              <w:righ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BE6E71">
              <w:rPr>
                <w:rFonts w:ascii="Calibri" w:eastAsia="Times New Roman" w:hAnsi="Calibri" w:cs="Calibri"/>
                <w:b/>
                <w:color w:val="000000"/>
                <w:sz w:val="20"/>
                <w:szCs w:val="20"/>
              </w:rPr>
              <w:t>10.23</w:t>
            </w:r>
          </w:p>
        </w:tc>
        <w:tc>
          <w:tcPr>
            <w:tcW w:w="1349" w:type="dxa"/>
            <w:tcBorders>
              <w:left w:val="none" w:sz="0" w:space="0" w:color="auto"/>
            </w:tcBorders>
          </w:tcPr>
          <w:p w:rsidR="00D87D1C" w:rsidRPr="00BE6E71" w:rsidRDefault="00D87D1C"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rPr>
            </w:pPr>
            <w:r w:rsidRPr="00BE6E71">
              <w:rPr>
                <w:rFonts w:ascii="Calibri" w:eastAsia="Times New Roman" w:hAnsi="Calibri" w:cs="Calibri"/>
                <w:b/>
                <w:color w:val="000000"/>
                <w:sz w:val="20"/>
                <w:szCs w:val="20"/>
              </w:rPr>
              <w:t>0.97</w:t>
            </w:r>
          </w:p>
        </w:tc>
      </w:tr>
    </w:tbl>
    <w:p w:rsidR="00072D5D" w:rsidRDefault="00072D5D" w:rsidP="00A83ABC"/>
    <w:p w:rsidR="00AE0A3B" w:rsidRDefault="00477EE4" w:rsidP="00A83ABC">
      <w:pPr>
        <w:spacing w:after="120"/>
      </w:pPr>
      <w:r>
        <w:t xml:space="preserve">PECO is the only EDC whose small commercial DLC program shows a TRC ratio greater than 1.0 in </w:t>
      </w:r>
      <w:r>
        <w:fldChar w:fldCharType="begin"/>
      </w:r>
      <w:r>
        <w:instrText xml:space="preserve"> REF _Ref406949411 \h </w:instrText>
      </w:r>
      <w:r w:rsidR="00CF2BE5">
        <w:instrText xml:space="preserve"> \* MERGEFORMAT </w:instrText>
      </w:r>
      <w:r>
        <w:fldChar w:fldCharType="separate"/>
      </w:r>
      <w:r w:rsidR="00803DBE" w:rsidRPr="00C90C8E">
        <w:t xml:space="preserve">Table </w:t>
      </w:r>
      <w:r w:rsidR="00803DBE">
        <w:rPr>
          <w:noProof/>
        </w:rPr>
        <w:t>5</w:t>
      </w:r>
      <w:r w:rsidR="00803DBE">
        <w:rPr>
          <w:noProof/>
        </w:rPr>
        <w:noBreakHyphen/>
        <w:t>6</w:t>
      </w:r>
      <w:r>
        <w:fldChar w:fldCharType="end"/>
      </w:r>
      <w:r>
        <w:t>. This finding is driven by</w:t>
      </w:r>
      <w:r w:rsidR="003A1370">
        <w:t xml:space="preserve"> several</w:t>
      </w:r>
      <w:r>
        <w:t xml:space="preserve"> </w:t>
      </w:r>
      <w:r w:rsidR="00AE0A3B">
        <w:t>key factors.</w:t>
      </w:r>
    </w:p>
    <w:p w:rsidR="0015652F" w:rsidRPr="006A28A6" w:rsidRDefault="00AE0A3B" w:rsidP="00A83ABC">
      <w:pPr>
        <w:pStyle w:val="ListParagraph"/>
        <w:numPr>
          <w:ilvl w:val="0"/>
          <w:numId w:val="10"/>
        </w:numPr>
        <w:spacing w:after="120"/>
        <w:ind w:left="360"/>
        <w:contextualSpacing w:val="0"/>
      </w:pPr>
      <w:r>
        <w:t xml:space="preserve">Based on discussions with PECO program staff, the SWE </w:t>
      </w:r>
      <w:r w:rsidR="00D87D1C">
        <w:t>T</w:t>
      </w:r>
      <w:r>
        <w:t>eam estimate</w:t>
      </w:r>
      <w:r w:rsidR="003A1370">
        <w:t xml:space="preserve">s that PECO will have </w:t>
      </w:r>
      <w:r>
        <w:t>3,443</w:t>
      </w:r>
      <w:r w:rsidR="00477EE4">
        <w:t xml:space="preserve"> </w:t>
      </w:r>
      <w:r w:rsidR="003A1370">
        <w:t xml:space="preserve">load control </w:t>
      </w:r>
      <w:r w:rsidR="00477EE4">
        <w:t xml:space="preserve">devices installed at </w:t>
      </w:r>
      <w:r>
        <w:t>1,981</w:t>
      </w:r>
      <w:r w:rsidR="00477EE4">
        <w:t xml:space="preserve"> sites </w:t>
      </w:r>
      <w:r w:rsidR="003A1370">
        <w:t xml:space="preserve">at the outset of Phase III. There are no Phase III labor or </w:t>
      </w:r>
      <w:r w:rsidR="003A1370">
        <w:lastRenderedPageBreak/>
        <w:t>equipment costs associated with these customers.</w:t>
      </w:r>
      <w:r w:rsidR="00003EC2">
        <w:t xml:space="preserve"> Without these “sunk assets” the TRC ratio of a Phase III program in PECO territory would be </w:t>
      </w:r>
      <w:r w:rsidR="008A5BBE">
        <w:t>1.18</w:t>
      </w:r>
      <w:r w:rsidR="00003EC2">
        <w:t>.</w:t>
      </w:r>
      <w:r w:rsidR="004E56B1">
        <w:t xml:space="preserve"> </w:t>
      </w:r>
      <w:r w:rsidR="00C90C8E" w:rsidRPr="006A28A6">
        <w:t>If no new switches are installed in Phase III, we estimate the TRC ratio for exi</w:t>
      </w:r>
      <w:r w:rsidR="006A28A6" w:rsidRPr="006A28A6">
        <w:t>sting PECO switches will be 1.91</w:t>
      </w:r>
      <w:r w:rsidR="00C90C8E" w:rsidRPr="006A28A6">
        <w:t xml:space="preserve"> for Phase III.</w:t>
      </w:r>
      <w:r w:rsidR="005F15FB" w:rsidRPr="006A28A6">
        <w:t xml:space="preserve"> </w:t>
      </w:r>
    </w:p>
    <w:p w:rsidR="003A1370" w:rsidRDefault="003A1370" w:rsidP="00A83ABC">
      <w:pPr>
        <w:pStyle w:val="ListParagraph"/>
        <w:numPr>
          <w:ilvl w:val="0"/>
          <w:numId w:val="10"/>
        </w:numPr>
        <w:spacing w:after="120"/>
        <w:ind w:left="360"/>
        <w:contextualSpacing w:val="0"/>
      </w:pPr>
      <w:r>
        <w:t xml:space="preserve">PECO has the largest pool of </w:t>
      </w:r>
      <w:r w:rsidR="00D87D1C">
        <w:t>qualified accounts</w:t>
      </w:r>
      <w:r w:rsidR="00FB1C3D">
        <w:rPr>
          <w:rStyle w:val="FootnoteReference"/>
        </w:rPr>
        <w:footnoteReference w:id="117"/>
      </w:r>
      <w:r w:rsidR="00D87D1C">
        <w:t>.</w:t>
      </w:r>
      <w:r w:rsidR="00925E07">
        <w:t xml:space="preserve"> </w:t>
      </w:r>
      <w:r>
        <w:t>As a result, the same penetration rate will result in a greater number of installs and this can overcome some of the fixed program costs.</w:t>
      </w:r>
    </w:p>
    <w:p w:rsidR="00003EC2" w:rsidRDefault="003A1370" w:rsidP="00A83ABC">
      <w:pPr>
        <w:pStyle w:val="ListParagraph"/>
        <w:numPr>
          <w:ilvl w:val="0"/>
          <w:numId w:val="10"/>
        </w:numPr>
        <w:ind w:left="360"/>
      </w:pPr>
      <w:r>
        <w:t xml:space="preserve">PECO has the highest avoided </w:t>
      </w:r>
      <w:r w:rsidR="00AD2C38">
        <w:t>T&amp;D</w:t>
      </w:r>
      <w:r>
        <w:t xml:space="preserve"> capacity costs so a 1 kW load impact is most valuable in PECO territory.</w:t>
      </w:r>
    </w:p>
    <w:p w:rsidR="00BE6E71" w:rsidRDefault="00BE6E71" w:rsidP="00A83ABC"/>
    <w:p w:rsidR="00C914C4" w:rsidRDefault="00C914C4" w:rsidP="00A83ABC">
      <w:r>
        <w:t xml:space="preserve">It is worth noting that the modeling </w:t>
      </w:r>
      <w:r w:rsidR="00D63A76">
        <w:t xml:space="preserve">parameters defined by the Commission’s Final Order on </w:t>
      </w:r>
      <w:r w:rsidR="00037A03">
        <w:t>DR</w:t>
      </w:r>
      <w:r w:rsidR="00925E07">
        <w:rPr>
          <w:rStyle w:val="FootnoteReference"/>
        </w:rPr>
        <w:footnoteReference w:id="118"/>
      </w:r>
      <w:r w:rsidR="00D63A76">
        <w:t xml:space="preserve"> require</w:t>
      </w:r>
      <w:r>
        <w:t xml:space="preserve"> the SWE</w:t>
      </w:r>
      <w:r w:rsidR="00A61CA7">
        <w:t xml:space="preserve"> Team</w:t>
      </w:r>
      <w:r>
        <w:t xml:space="preserve"> to examine hypothetical DLC programs over a five year time horizon</w:t>
      </w:r>
      <w:r w:rsidR="003E2AA4">
        <w:t xml:space="preserve">. </w:t>
      </w:r>
      <w:r>
        <w:t xml:space="preserve">We have assigned DR investments on </w:t>
      </w:r>
      <w:r w:rsidR="00D76F24">
        <w:t xml:space="preserve">an </w:t>
      </w:r>
      <w:r>
        <w:t>annual basis through the year 2020</w:t>
      </w:r>
      <w:r w:rsidR="003E2AA4">
        <w:t xml:space="preserve">. </w:t>
      </w:r>
      <w:r w:rsidR="006A28A6">
        <w:t xml:space="preserve">The DR potential builds each year of the phase as additional customers are recruited and enrolled into the program. </w:t>
      </w:r>
      <w:r>
        <w:t xml:space="preserve">After the program is complete, </w:t>
      </w:r>
      <w:r w:rsidR="005F0F74">
        <w:t xml:space="preserve">recruitment of new participants ceases, and </w:t>
      </w:r>
      <w:r>
        <w:t xml:space="preserve">natural attrition of DLC participants leads to a gradual decrease in </w:t>
      </w:r>
      <w:r w:rsidR="00D76F24">
        <w:t xml:space="preserve">MW </w:t>
      </w:r>
      <w:r>
        <w:t>controlled</w:t>
      </w:r>
      <w:r w:rsidR="003E2AA4">
        <w:t xml:space="preserve">. </w:t>
      </w:r>
      <w:r>
        <w:t xml:space="preserve">We illustrate this effect below in </w:t>
      </w:r>
      <w:r w:rsidR="00D63A76">
        <w:rPr>
          <w:highlight w:val="yellow"/>
        </w:rPr>
        <w:fldChar w:fldCharType="begin"/>
      </w:r>
      <w:r w:rsidR="00D63A76">
        <w:instrText xml:space="preserve"> REF _Ref407084642 \h </w:instrText>
      </w:r>
      <w:r w:rsidR="00CF2BE5">
        <w:rPr>
          <w:highlight w:val="yellow"/>
        </w:rPr>
        <w:instrText xml:space="preserve"> \* MERGEFORMAT </w:instrText>
      </w:r>
      <w:r w:rsidR="00D63A76">
        <w:rPr>
          <w:highlight w:val="yellow"/>
        </w:rPr>
      </w:r>
      <w:r w:rsidR="00D63A76">
        <w:rPr>
          <w:highlight w:val="yellow"/>
        </w:rPr>
        <w:fldChar w:fldCharType="separate"/>
      </w:r>
      <w:r w:rsidR="00803DBE" w:rsidRPr="00D63A76">
        <w:t xml:space="preserve">Figure </w:t>
      </w:r>
      <w:r w:rsidR="00803DBE">
        <w:rPr>
          <w:noProof/>
        </w:rPr>
        <w:t>5</w:t>
      </w:r>
      <w:r w:rsidR="00803DBE">
        <w:rPr>
          <w:noProof/>
        </w:rPr>
        <w:noBreakHyphen/>
        <w:t>2</w:t>
      </w:r>
      <w:r w:rsidR="00D63A76">
        <w:rPr>
          <w:highlight w:val="yellow"/>
        </w:rPr>
        <w:fldChar w:fldCharType="end"/>
      </w:r>
      <w:r>
        <w:t>, using the Penelec results as an example.</w:t>
      </w:r>
    </w:p>
    <w:p w:rsidR="009A2C24" w:rsidRDefault="009A2C24" w:rsidP="00A83ABC"/>
    <w:p w:rsidR="007B2CAF" w:rsidRPr="00D63A76" w:rsidRDefault="007B2CAF" w:rsidP="00A83ABC">
      <w:pPr>
        <w:pStyle w:val="Caption"/>
        <w:keepNext/>
      </w:pPr>
      <w:bookmarkStart w:id="233" w:name="_Ref407084642"/>
      <w:bookmarkStart w:id="234" w:name="_Toc412628515"/>
      <w:r w:rsidRPr="00D63A76">
        <w:t xml:space="preserve">Figure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2</w:t>
      </w:r>
      <w:r w:rsidR="00E2011B">
        <w:rPr>
          <w:noProof/>
        </w:rPr>
        <w:fldChar w:fldCharType="end"/>
      </w:r>
      <w:bookmarkEnd w:id="233"/>
      <w:r w:rsidRPr="00D63A76">
        <w:t xml:space="preserve">: </w:t>
      </w:r>
      <w:r w:rsidR="006A28A6">
        <w:t>MW</w:t>
      </w:r>
      <w:r w:rsidRPr="00D63A76">
        <w:t xml:space="preserve"> Controlled</w:t>
      </w:r>
      <w:r w:rsidR="006A28A6">
        <w:t xml:space="preserve"> by Year - </w:t>
      </w:r>
      <w:r w:rsidRPr="00D63A76">
        <w:t>Penelec</w:t>
      </w:r>
      <w:bookmarkEnd w:id="234"/>
    </w:p>
    <w:p w:rsidR="003E355C" w:rsidRPr="00072D5D" w:rsidRDefault="007B2CAF" w:rsidP="00A83ABC">
      <w:r>
        <w:rPr>
          <w:noProof/>
        </w:rPr>
        <w:drawing>
          <wp:inline distT="0" distB="0" distL="0" distR="0" wp14:anchorId="5739F055" wp14:editId="64C5D04F">
            <wp:extent cx="5443268" cy="331254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0410A" w:rsidRDefault="00B0410A" w:rsidP="00A83ABC">
      <w:pPr>
        <w:pStyle w:val="Heading2"/>
      </w:pPr>
      <w:bookmarkStart w:id="235" w:name="_Toc412628423"/>
      <w:r>
        <w:t>DLC Potential by Market Segment</w:t>
      </w:r>
      <w:bookmarkEnd w:id="235"/>
    </w:p>
    <w:p w:rsidR="00A9631D" w:rsidRDefault="00DE4958" w:rsidP="00A83ABC">
      <w:r>
        <w:t xml:space="preserve">Statewide </w:t>
      </w:r>
      <w:r w:rsidR="005852D3">
        <w:t>DLC</w:t>
      </w:r>
      <w:r w:rsidR="00A9631D">
        <w:t xml:space="preserve"> potential by segment is presented below in </w:t>
      </w:r>
      <w:r>
        <w:fldChar w:fldCharType="begin"/>
      </w:r>
      <w:r>
        <w:instrText xml:space="preserve"> REF _Ref407089606 \h </w:instrText>
      </w:r>
      <w:r w:rsidR="00CF2BE5">
        <w:instrText xml:space="preserve"> \* MERGEFORMAT </w:instrText>
      </w:r>
      <w:r>
        <w:fldChar w:fldCharType="separate"/>
      </w:r>
      <w:r w:rsidR="00803DBE" w:rsidRPr="00A9631D">
        <w:t xml:space="preserve">Figure </w:t>
      </w:r>
      <w:r w:rsidR="00803DBE">
        <w:rPr>
          <w:noProof/>
        </w:rPr>
        <w:t>5</w:t>
      </w:r>
      <w:r w:rsidR="00803DBE">
        <w:rPr>
          <w:noProof/>
        </w:rPr>
        <w:noBreakHyphen/>
        <w:t>3</w:t>
      </w:r>
      <w:r>
        <w:fldChar w:fldCharType="end"/>
      </w:r>
      <w:r>
        <w:t>.</w:t>
      </w:r>
      <w:r w:rsidR="004E56B1">
        <w:t xml:space="preserve"> </w:t>
      </w:r>
      <w:r>
        <w:t>The largest segment is office</w:t>
      </w:r>
      <w:r w:rsidR="004E56B1">
        <w:t>s</w:t>
      </w:r>
      <w:r>
        <w:t>, comprising one third of statewide DLC potential. The education segment has the lowest statewide DLC potential</w:t>
      </w:r>
      <w:r w:rsidR="004E56B1">
        <w:t xml:space="preserve">, which is not surprising given that summer peak hours coincide with summer vacation for most K-12 schools. </w:t>
      </w:r>
      <w:r>
        <w:t>The office segment has the greatest number of premises.</w:t>
      </w:r>
      <w:r w:rsidR="004E56B1">
        <w:t xml:space="preserve"> </w:t>
      </w:r>
      <w:r>
        <w:t>Estimated potential tracks with the most common premises types for the top three segments, where the number of sites dominates potential estimates.</w:t>
      </w:r>
      <w:r w:rsidR="004E56B1">
        <w:t xml:space="preserve"> </w:t>
      </w:r>
      <w:r>
        <w:t xml:space="preserve">This trend begins to diverge after </w:t>
      </w:r>
      <w:r w:rsidR="00026064">
        <w:t xml:space="preserve">the top three premises types, whereby estimated </w:t>
      </w:r>
      <w:r w:rsidR="00622FC2">
        <w:lastRenderedPageBreak/>
        <w:t>A/C</w:t>
      </w:r>
      <w:r w:rsidR="00026064">
        <w:t xml:space="preserve"> load and average condensing units per site begins to exert more influence on segment-level potential.</w:t>
      </w:r>
    </w:p>
    <w:p w:rsidR="004E56B1" w:rsidRDefault="004E56B1" w:rsidP="00A83ABC"/>
    <w:p w:rsidR="00A9631D" w:rsidRPr="00A9631D" w:rsidRDefault="00A9631D" w:rsidP="00A83ABC">
      <w:pPr>
        <w:pStyle w:val="Caption"/>
        <w:keepNext/>
      </w:pPr>
      <w:bookmarkStart w:id="236" w:name="_Ref407089606"/>
      <w:bookmarkStart w:id="237" w:name="_Toc412628516"/>
      <w:r w:rsidRPr="00A9631D">
        <w:t xml:space="preserve">Figure </w:t>
      </w:r>
      <w:r w:rsidR="00E2011B">
        <w:fldChar w:fldCharType="begin"/>
      </w:r>
      <w:r w:rsidR="00E2011B">
        <w:instrText xml:space="preserve"> STYLEREF 1 \s </w:instrText>
      </w:r>
      <w:r w:rsidR="00E2011B">
        <w:fldChar w:fldCharType="separate"/>
      </w:r>
      <w:r w:rsidR="00803DBE">
        <w:rPr>
          <w:noProof/>
        </w:rPr>
        <w:t>5</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3</w:t>
      </w:r>
      <w:r w:rsidR="00E2011B">
        <w:rPr>
          <w:noProof/>
        </w:rPr>
        <w:fldChar w:fldCharType="end"/>
      </w:r>
      <w:bookmarkEnd w:id="236"/>
      <w:r w:rsidRPr="00A9631D">
        <w:t>: Statewide DLC Potential by Segment</w:t>
      </w:r>
      <w:bookmarkEnd w:id="237"/>
    </w:p>
    <w:p w:rsidR="00BF7FC2" w:rsidRDefault="00A9631D" w:rsidP="00A83ABC">
      <w:r>
        <w:rPr>
          <w:noProof/>
        </w:rPr>
        <w:drawing>
          <wp:inline distT="0" distB="0" distL="0" distR="0" wp14:anchorId="13D541F7" wp14:editId="77505D58">
            <wp:extent cx="5943600" cy="3859530"/>
            <wp:effectExtent l="0" t="0" r="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7FC2" w:rsidRDefault="00BF7FC2" w:rsidP="00A83ABC"/>
    <w:p w:rsidR="00BF7FC2" w:rsidRDefault="00BF7FC2" w:rsidP="00A83ABC"/>
    <w:p w:rsidR="00BF7FC2" w:rsidRDefault="00BF7FC2" w:rsidP="00A83ABC"/>
    <w:p w:rsidR="00BF7FC2" w:rsidRDefault="00BF7FC2" w:rsidP="00A83ABC">
      <w:pPr>
        <w:sectPr w:rsidR="00BF7FC2" w:rsidSect="006C051C">
          <w:headerReference w:type="default" r:id="rId59"/>
          <w:footerReference w:type="default" r:id="rId60"/>
          <w:pgSz w:w="12240" w:h="15840"/>
          <w:pgMar w:top="1440" w:right="1440" w:bottom="1170" w:left="1440" w:header="720" w:footer="720" w:gutter="0"/>
          <w:cols w:space="720"/>
          <w:docGrid w:linePitch="360"/>
        </w:sectPr>
      </w:pPr>
    </w:p>
    <w:p w:rsidR="006B5201" w:rsidRDefault="002D6436" w:rsidP="00A83ABC">
      <w:pPr>
        <w:pStyle w:val="Heading1"/>
      </w:pPr>
      <w:bookmarkStart w:id="238" w:name="_Toc412628424"/>
      <w:bookmarkStart w:id="239" w:name="_Ref405559002"/>
      <w:bookmarkStart w:id="240" w:name="_Ref405962821"/>
      <w:r>
        <w:lastRenderedPageBreak/>
        <w:t>Large Commercial and Industrial</w:t>
      </w:r>
      <w:bookmarkEnd w:id="238"/>
      <w:r>
        <w:t xml:space="preserve"> </w:t>
      </w:r>
      <w:bookmarkEnd w:id="239"/>
      <w:bookmarkEnd w:id="240"/>
    </w:p>
    <w:p w:rsidR="006B5201" w:rsidRDefault="00821FA3" w:rsidP="00A83ABC">
      <w:pPr>
        <w:pStyle w:val="Heading2"/>
      </w:pPr>
      <w:bookmarkStart w:id="241" w:name="_Ref406509784"/>
      <w:bookmarkStart w:id="242" w:name="_Toc412628425"/>
      <w:r>
        <w:t>Methodolog</w:t>
      </w:r>
      <w:r w:rsidR="006B5201">
        <w:t>y</w:t>
      </w:r>
      <w:bookmarkEnd w:id="241"/>
      <w:bookmarkEnd w:id="242"/>
    </w:p>
    <w:p w:rsidR="006B5201" w:rsidRDefault="00EF2800" w:rsidP="00A83ABC">
      <w:pPr>
        <w:rPr>
          <w:lang w:eastAsia="x-none"/>
        </w:rPr>
      </w:pPr>
      <w:r>
        <w:rPr>
          <w:lang w:eastAsia="x-none"/>
        </w:rPr>
        <w:t>Customer accounts</w:t>
      </w:r>
      <w:r w:rsidR="007B3A9E">
        <w:rPr>
          <w:lang w:eastAsia="x-none"/>
        </w:rPr>
        <w:t xml:space="preserve"> with a </w:t>
      </w:r>
      <w:r w:rsidR="00D10AE3">
        <w:rPr>
          <w:lang w:eastAsia="x-none"/>
        </w:rPr>
        <w:t>PLC</w:t>
      </w:r>
      <w:r w:rsidR="007B3A9E">
        <w:rPr>
          <w:lang w:eastAsia="x-none"/>
        </w:rPr>
        <w:t xml:space="preserve"> greater than 75 kW </w:t>
      </w:r>
      <w:r>
        <w:rPr>
          <w:lang w:eastAsia="x-none"/>
        </w:rPr>
        <w:t xml:space="preserve">were assigned </w:t>
      </w:r>
      <w:r w:rsidR="007B3A9E">
        <w:rPr>
          <w:lang w:eastAsia="x-none"/>
        </w:rPr>
        <w:t>to a hypothetical C&amp;I program.</w:t>
      </w:r>
      <w:r w:rsidR="001A768D">
        <w:rPr>
          <w:lang w:eastAsia="x-none"/>
        </w:rPr>
        <w:t xml:space="preserve"> </w:t>
      </w:r>
      <w:r w:rsidR="00AE273A">
        <w:rPr>
          <w:lang w:eastAsia="x-none"/>
        </w:rPr>
        <w:t>In addition to accounting for a large share of EDC peak loads, p</w:t>
      </w:r>
      <w:r w:rsidR="007B3A9E">
        <w:rPr>
          <w:lang w:eastAsia="x-none"/>
        </w:rPr>
        <w:t xml:space="preserve">rogram data </w:t>
      </w:r>
      <w:r w:rsidR="00AE273A">
        <w:rPr>
          <w:lang w:eastAsia="x-none"/>
        </w:rPr>
        <w:t>from Phase I of Act 129 and DR program</w:t>
      </w:r>
      <w:r w:rsidR="00D05F3B">
        <w:rPr>
          <w:lang w:eastAsia="x-none"/>
        </w:rPr>
        <w:t>s</w:t>
      </w:r>
      <w:r w:rsidR="00AE273A">
        <w:rPr>
          <w:lang w:eastAsia="x-none"/>
        </w:rPr>
        <w:t xml:space="preserve"> across North America </w:t>
      </w:r>
      <w:r w:rsidR="007B3A9E">
        <w:rPr>
          <w:lang w:eastAsia="x-none"/>
        </w:rPr>
        <w:t xml:space="preserve">indicate </w:t>
      </w:r>
      <w:r w:rsidR="00AE273A">
        <w:rPr>
          <w:lang w:eastAsia="x-none"/>
        </w:rPr>
        <w:t xml:space="preserve">that </w:t>
      </w:r>
      <w:r w:rsidR="007B3A9E">
        <w:rPr>
          <w:lang w:eastAsia="x-none"/>
        </w:rPr>
        <w:t xml:space="preserve">these </w:t>
      </w:r>
      <w:r w:rsidR="00AE273A">
        <w:rPr>
          <w:lang w:eastAsia="x-none"/>
        </w:rPr>
        <w:t xml:space="preserve">large customers </w:t>
      </w:r>
      <w:r w:rsidR="007B3A9E">
        <w:rPr>
          <w:lang w:eastAsia="x-none"/>
        </w:rPr>
        <w:t xml:space="preserve">represent </w:t>
      </w:r>
      <w:r w:rsidR="00AE273A">
        <w:rPr>
          <w:lang w:eastAsia="x-none"/>
        </w:rPr>
        <w:t>a large</w:t>
      </w:r>
      <w:r w:rsidR="007B3A9E">
        <w:rPr>
          <w:lang w:eastAsia="x-none"/>
        </w:rPr>
        <w:t xml:space="preserve"> </w:t>
      </w:r>
      <w:r w:rsidR="00AE273A">
        <w:rPr>
          <w:lang w:eastAsia="x-none"/>
        </w:rPr>
        <w:t xml:space="preserve">share of </w:t>
      </w:r>
      <w:r w:rsidR="00037A03">
        <w:rPr>
          <w:lang w:eastAsia="x-none"/>
        </w:rPr>
        <w:t>DR</w:t>
      </w:r>
      <w:r w:rsidR="00AE273A">
        <w:rPr>
          <w:lang w:eastAsia="x-none"/>
        </w:rPr>
        <w:t xml:space="preserve"> potential which can be aggregated for incentive payments alone</w:t>
      </w:r>
      <w:r w:rsidR="007B3A9E">
        <w:rPr>
          <w:lang w:eastAsia="x-none"/>
        </w:rPr>
        <w:t>.</w:t>
      </w:r>
      <w:r w:rsidR="001A768D">
        <w:rPr>
          <w:lang w:eastAsia="x-none"/>
        </w:rPr>
        <w:t xml:space="preserve"> </w:t>
      </w:r>
      <w:r w:rsidR="00AE273A">
        <w:rPr>
          <w:lang w:eastAsia="x-none"/>
        </w:rPr>
        <w:t xml:space="preserve">Unlike </w:t>
      </w:r>
      <w:r w:rsidR="005852D3">
        <w:rPr>
          <w:lang w:eastAsia="x-none"/>
        </w:rPr>
        <w:t>DLC</w:t>
      </w:r>
      <w:r w:rsidR="00AE273A">
        <w:rPr>
          <w:lang w:eastAsia="x-none"/>
        </w:rPr>
        <w:t xml:space="preserve"> programs, EDCs do not need to incur any capital or labor costs from the installation of equipment to capture load reductions from these customers. </w:t>
      </w:r>
      <w:r w:rsidR="00AE273A">
        <w:rPr>
          <w:highlight w:val="yellow"/>
          <w:lang w:eastAsia="x-none"/>
        </w:rPr>
        <w:fldChar w:fldCharType="begin"/>
      </w:r>
      <w:r w:rsidR="00AE273A">
        <w:rPr>
          <w:lang w:eastAsia="x-none"/>
        </w:rPr>
        <w:instrText xml:space="preserve"> REF _Ref406073048 \h </w:instrText>
      </w:r>
      <w:r w:rsidR="00CF2BE5">
        <w:rPr>
          <w:highlight w:val="yellow"/>
          <w:lang w:eastAsia="x-none"/>
        </w:rPr>
        <w:instrText xml:space="preserve"> \* MERGEFORMAT </w:instrText>
      </w:r>
      <w:r w:rsidR="00AE273A">
        <w:rPr>
          <w:highlight w:val="yellow"/>
          <w:lang w:eastAsia="x-none"/>
        </w:rPr>
      </w:r>
      <w:r w:rsidR="00AE273A">
        <w:rPr>
          <w:highlight w:val="yellow"/>
          <w:lang w:eastAsia="x-none"/>
        </w:rPr>
        <w:fldChar w:fldCharType="separate"/>
      </w:r>
      <w:r w:rsidR="00803DBE" w:rsidRPr="00026064">
        <w:t xml:space="preserve">Figure </w:t>
      </w:r>
      <w:r w:rsidR="00803DBE">
        <w:rPr>
          <w:noProof/>
        </w:rPr>
        <w:t>6</w:t>
      </w:r>
      <w:r w:rsidR="00803DBE">
        <w:rPr>
          <w:noProof/>
        </w:rPr>
        <w:noBreakHyphen/>
        <w:t>1</w:t>
      </w:r>
      <w:r w:rsidR="00AE273A">
        <w:rPr>
          <w:highlight w:val="yellow"/>
          <w:lang w:eastAsia="x-none"/>
        </w:rPr>
        <w:fldChar w:fldCharType="end"/>
      </w:r>
      <w:r w:rsidR="007B3A9E">
        <w:rPr>
          <w:lang w:eastAsia="x-none"/>
        </w:rPr>
        <w:t xml:space="preserve"> presents the quantity of </w:t>
      </w:r>
      <w:r w:rsidR="00037A03">
        <w:rPr>
          <w:lang w:eastAsia="x-none"/>
        </w:rPr>
        <w:t>DR</w:t>
      </w:r>
      <w:r w:rsidR="007B3A9E">
        <w:rPr>
          <w:lang w:eastAsia="x-none"/>
        </w:rPr>
        <w:t xml:space="preserve"> capacity in Phase I relative to the number of participants.</w:t>
      </w:r>
      <w:r w:rsidR="001A768D">
        <w:rPr>
          <w:lang w:eastAsia="x-none"/>
        </w:rPr>
        <w:t xml:space="preserve"> </w:t>
      </w:r>
      <w:r w:rsidR="007B3A9E">
        <w:rPr>
          <w:lang w:eastAsia="x-none"/>
        </w:rPr>
        <w:t xml:space="preserve">This graph indicates that a small number of Phase I participants provided a large share of the statewide load reductions from </w:t>
      </w:r>
      <w:r w:rsidR="00037A03">
        <w:rPr>
          <w:lang w:eastAsia="x-none"/>
        </w:rPr>
        <w:t>DR</w:t>
      </w:r>
      <w:r w:rsidR="007B3A9E">
        <w:rPr>
          <w:lang w:eastAsia="x-none"/>
        </w:rPr>
        <w:t>.</w:t>
      </w:r>
      <w:r w:rsidR="001A768D">
        <w:rPr>
          <w:lang w:eastAsia="x-none"/>
        </w:rPr>
        <w:t xml:space="preserve"> </w:t>
      </w:r>
      <w:r w:rsidR="00FB0678">
        <w:rPr>
          <w:lang w:eastAsia="x-none"/>
        </w:rPr>
        <w:t xml:space="preserve">Even amongst the large accounts, a large share of the </w:t>
      </w:r>
      <w:r w:rsidR="00037A03">
        <w:rPr>
          <w:lang w:eastAsia="x-none"/>
        </w:rPr>
        <w:t>DR</w:t>
      </w:r>
      <w:r w:rsidR="00FB0678">
        <w:rPr>
          <w:lang w:eastAsia="x-none"/>
        </w:rPr>
        <w:t xml:space="preserve"> tends to come from the largest and most savvy customers</w:t>
      </w:r>
      <w:r w:rsidR="007B3A9E">
        <w:rPr>
          <w:lang w:eastAsia="x-none"/>
        </w:rPr>
        <w:t>.</w:t>
      </w:r>
    </w:p>
    <w:p w:rsidR="007B3A9E" w:rsidRDefault="007B3A9E" w:rsidP="00A83ABC">
      <w:pPr>
        <w:rPr>
          <w:lang w:eastAsia="x-none"/>
        </w:rPr>
      </w:pPr>
    </w:p>
    <w:p w:rsidR="00EF2800" w:rsidRPr="00026064" w:rsidRDefault="00EF2800" w:rsidP="00A83ABC">
      <w:pPr>
        <w:pStyle w:val="Caption"/>
        <w:keepNext/>
      </w:pPr>
      <w:bookmarkStart w:id="243" w:name="_Ref406073048"/>
      <w:bookmarkStart w:id="244" w:name="_Toc412628517"/>
      <w:r w:rsidRPr="00026064">
        <w:t xml:space="preserve">Figure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1</w:t>
      </w:r>
      <w:r w:rsidR="00E2011B">
        <w:rPr>
          <w:noProof/>
        </w:rPr>
        <w:fldChar w:fldCharType="end"/>
      </w:r>
      <w:bookmarkEnd w:id="243"/>
      <w:r w:rsidRPr="00026064">
        <w:t xml:space="preserve">: </w:t>
      </w:r>
      <w:r w:rsidR="00AE273A" w:rsidRPr="00026064">
        <w:t>Cumulative Percentage of Phase I Total Reductions vs. Percentage of Customers</w:t>
      </w:r>
      <w:bookmarkEnd w:id="244"/>
    </w:p>
    <w:p w:rsidR="007B3A9E" w:rsidRDefault="00AE273A" w:rsidP="00A83ABC">
      <w:pPr>
        <w:rPr>
          <w:lang w:eastAsia="x-none"/>
        </w:rPr>
      </w:pPr>
      <w:r>
        <w:rPr>
          <w:noProof/>
        </w:rPr>
        <w:drawing>
          <wp:inline distT="0" distB="0" distL="0" distR="0" wp14:anchorId="6119F725" wp14:editId="3C2B4226">
            <wp:extent cx="5793245" cy="2932981"/>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2652" cy="2937744"/>
                    </a:xfrm>
                    <a:prstGeom prst="rect">
                      <a:avLst/>
                    </a:prstGeom>
                    <a:noFill/>
                  </pic:spPr>
                </pic:pic>
              </a:graphicData>
            </a:graphic>
          </wp:inline>
        </w:drawing>
      </w:r>
    </w:p>
    <w:p w:rsidR="00AE273A" w:rsidRDefault="00AE273A" w:rsidP="00A83ABC">
      <w:pPr>
        <w:rPr>
          <w:lang w:eastAsia="x-none"/>
        </w:rPr>
      </w:pPr>
    </w:p>
    <w:p w:rsidR="009F58E6" w:rsidRDefault="00467380" w:rsidP="00A83ABC">
      <w:r>
        <w:t xml:space="preserve">Our estimates of </w:t>
      </w:r>
      <w:r w:rsidR="00037A03">
        <w:t>DR</w:t>
      </w:r>
      <w:r>
        <w:t xml:space="preserve"> potential for C&amp;I </w:t>
      </w:r>
      <w:r w:rsidR="00FB0678">
        <w:t xml:space="preserve">load curtailment </w:t>
      </w:r>
      <w:r>
        <w:t xml:space="preserve">in Phase III are based on the sensitivity of </w:t>
      </w:r>
      <w:r w:rsidR="00037A03">
        <w:t>DR</w:t>
      </w:r>
      <w:r>
        <w:t xml:space="preserve"> </w:t>
      </w:r>
      <w:r w:rsidR="00EF7E9E">
        <w:t>participants</w:t>
      </w:r>
      <w:r>
        <w:t xml:space="preserve"> </w:t>
      </w:r>
      <w:r w:rsidR="00FB0678">
        <w:t xml:space="preserve">(EDC customers) </w:t>
      </w:r>
      <w:r>
        <w:t>to changes in price.</w:t>
      </w:r>
      <w:r w:rsidR="001A768D">
        <w:t xml:space="preserve"> </w:t>
      </w:r>
      <w:r>
        <w:t xml:space="preserve">We have developed estimates of </w:t>
      </w:r>
      <w:r w:rsidR="00037A03">
        <w:t>DR</w:t>
      </w:r>
      <w:r>
        <w:t xml:space="preserve"> price elasticity and applied them to C&amp;I peak loads to determine the change in quantity of DR supplied in response to a range of incentive values.</w:t>
      </w:r>
      <w:r w:rsidR="001A768D">
        <w:t xml:space="preserve"> </w:t>
      </w:r>
      <w:r>
        <w:t>Price elasticity is defined as the percentage change in quantity for a gi</w:t>
      </w:r>
      <w:r w:rsidR="009F58E6">
        <w:t xml:space="preserve">ven percentage change in price as shown in </w:t>
      </w:r>
      <w:r w:rsidR="009F58E6">
        <w:fldChar w:fldCharType="begin"/>
      </w:r>
      <w:r w:rsidR="009F58E6">
        <w:instrText xml:space="preserve"> REF _Ref406508544 \h </w:instrText>
      </w:r>
      <w:r w:rsidR="00CF2BE5">
        <w:instrText xml:space="preserve"> \* MERGEFORMAT </w:instrText>
      </w:r>
      <w:r w:rsidR="009F58E6">
        <w:fldChar w:fldCharType="separate"/>
      </w:r>
      <w:r w:rsidR="00803DBE" w:rsidRPr="00026064">
        <w:t xml:space="preserve">Equation </w:t>
      </w:r>
      <w:r w:rsidR="00803DBE">
        <w:rPr>
          <w:noProof/>
        </w:rPr>
        <w:t>6</w:t>
      </w:r>
      <w:r w:rsidR="00803DBE" w:rsidRPr="00026064">
        <w:rPr>
          <w:noProof/>
        </w:rPr>
        <w:noBreakHyphen/>
      </w:r>
      <w:r w:rsidR="00803DBE">
        <w:rPr>
          <w:noProof/>
        </w:rPr>
        <w:t>1</w:t>
      </w:r>
      <w:r w:rsidR="009F58E6">
        <w:fldChar w:fldCharType="end"/>
      </w:r>
      <w:r w:rsidR="009F58E6">
        <w:t>.</w:t>
      </w:r>
    </w:p>
    <w:p w:rsidR="0053081A" w:rsidRDefault="0053081A" w:rsidP="00A83ABC"/>
    <w:p w:rsidR="009F58E6" w:rsidRPr="00026064" w:rsidRDefault="009F58E6" w:rsidP="00A83ABC">
      <w:pPr>
        <w:pStyle w:val="Caption"/>
        <w:keepNext/>
      </w:pPr>
      <w:bookmarkStart w:id="245" w:name="_Ref406508544"/>
      <w:bookmarkStart w:id="246" w:name="_Toc412628523"/>
      <w:r w:rsidRPr="00026064">
        <w:t xml:space="preserve">Equation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Pr="00026064">
        <w:noBreakHyphen/>
      </w:r>
      <w:r w:rsidR="00E2011B">
        <w:fldChar w:fldCharType="begin"/>
      </w:r>
      <w:r w:rsidR="00E2011B">
        <w:instrText xml:space="preserve"> SEQ Equation \* ARABIC \s 1 </w:instrText>
      </w:r>
      <w:r w:rsidR="00E2011B">
        <w:fldChar w:fldCharType="separate"/>
      </w:r>
      <w:r w:rsidR="00803DBE">
        <w:rPr>
          <w:noProof/>
        </w:rPr>
        <w:t>1</w:t>
      </w:r>
      <w:r w:rsidR="00E2011B">
        <w:rPr>
          <w:noProof/>
        </w:rPr>
        <w:fldChar w:fldCharType="end"/>
      </w:r>
      <w:bookmarkEnd w:id="245"/>
      <w:r w:rsidRPr="00026064">
        <w:t>: Price Elasticity Formula</w:t>
      </w:r>
      <w:bookmarkEnd w:id="246"/>
    </w:p>
    <w:p w:rsidR="00467380" w:rsidRPr="008C53F5" w:rsidRDefault="00467380" w:rsidP="00A83ABC">
      <m:oMathPara>
        <m:oMathParaPr>
          <m:jc m:val="center"/>
        </m:oMathParaPr>
        <m:oMath>
          <m:r>
            <w:rPr>
              <w:rFonts w:ascii="Cambria Math" w:hAnsi="Cambria Math"/>
            </w:rPr>
            <m:t>ϵ=</m:t>
          </m:r>
          <m:f>
            <m:fPr>
              <m:ctrlPr>
                <w:rPr>
                  <w:rFonts w:ascii="Cambria Math" w:hAnsi="Cambria Math"/>
                  <w:i/>
                </w:rPr>
              </m:ctrlPr>
            </m:fPr>
            <m:num>
              <m:r>
                <w:rPr>
                  <w:rFonts w:ascii="Cambria Math" w:hAnsi="Cambria Math"/>
                </w:rPr>
                <m:t>%∆Q</m:t>
              </m:r>
            </m:num>
            <m:den>
              <m:r>
                <w:rPr>
                  <w:rFonts w:ascii="Cambria Math" w:hAnsi="Cambria Math"/>
                </w:rPr>
                <m:t>%∆P</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en>
          </m:f>
        </m:oMath>
      </m:oMathPara>
    </w:p>
    <w:p w:rsidR="0053081A" w:rsidRDefault="0053081A" w:rsidP="00A83ABC"/>
    <w:p w:rsidR="00D87D1C" w:rsidRDefault="00D87D1C" w:rsidP="00A83ABC">
      <w:r>
        <w:t xml:space="preserve">In this equation </w:t>
      </w:r>
      <m:oMath>
        <m:r>
          <w:rPr>
            <w:rFonts w:ascii="Cambria Math" w:hAnsi="Cambria Math"/>
          </w:rPr>
          <m:t>ϵ</m:t>
        </m:r>
      </m:oMath>
      <w:r>
        <w:t xml:space="preserve"> refers to the elasticity of supply for </w:t>
      </w:r>
      <w:r w:rsidR="00037A03">
        <w:t>DR</w:t>
      </w:r>
      <w:r>
        <w:t xml:space="preserve">.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signify the original quantity and price of electricity, and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t xml:space="preserve"> are the new quantity and price (DR incentive payment). The elasticity estimates used in this study are based on data from observed variation in </w:t>
      </w:r>
      <w:r w:rsidR="00037A03">
        <w:t>DR</w:t>
      </w:r>
      <w:r>
        <w:t xml:space="preserve"> incentives and associated program performance from investor-owned utilities across California with a variety of notification times (day-ahead, day-of, and fast response). </w:t>
      </w:r>
    </w:p>
    <w:p w:rsidR="0053081A" w:rsidRDefault="0053081A" w:rsidP="00A83ABC"/>
    <w:p w:rsidR="000A6D0D" w:rsidRDefault="000A6D0D" w:rsidP="00A83ABC">
      <w:r w:rsidRPr="000A6D0D">
        <w:t>The elasticity estimates are based on actual load reduction, incentive level and dispatch data for non-residential DR programs in the state of California. The underlying assumption is that demand reductions were based on overall annual payments and how often the programs have been historically dispatched</w:t>
      </w:r>
      <w:r w:rsidR="003E2AA4">
        <w:t>.</w:t>
      </w:r>
      <w:r w:rsidR="004E56B1">
        <w:t xml:space="preserve"> </w:t>
      </w:r>
      <w:r w:rsidRPr="000A6D0D">
        <w:t>That is, all else being equal customers are more likely to commit to large demand reductions if a program is dispatched infrequently than if it is dispatched more frequently. There are other program design and implementation characteristics that can influence enrollment a</w:t>
      </w:r>
      <w:r>
        <w:t xml:space="preserve">nd demand reduction decisions but the SWE </w:t>
      </w:r>
      <w:r w:rsidR="00D87D1C">
        <w:t>T</w:t>
      </w:r>
      <w:r>
        <w:t>eam believes that payment amount and dispatch frequency are by far the two most important components in customer decision making.</w:t>
      </w:r>
    </w:p>
    <w:p w:rsidR="0053081A" w:rsidRDefault="0053081A" w:rsidP="00A83ABC"/>
    <w:p w:rsidR="00DC1168" w:rsidRDefault="00026064" w:rsidP="00A83ABC">
      <w:r>
        <w:t>To calculate these elasticity values</w:t>
      </w:r>
      <w:r w:rsidR="000A6D0D" w:rsidRPr="000A6D0D">
        <w:t>, load data was taken from annual evaluation results for DR programs in California, which are available publicly.</w:t>
      </w:r>
      <w:r w:rsidR="000A6D0D" w:rsidRPr="000A6D0D">
        <w:rPr>
          <w:rStyle w:val="FootnoteReference"/>
        </w:rPr>
        <w:footnoteReference w:id="119"/>
      </w:r>
      <w:r w:rsidR="004E56B1">
        <w:t xml:space="preserve"> </w:t>
      </w:r>
      <w:r w:rsidR="000A6D0D" w:rsidRPr="000A6D0D">
        <w:t>These estimates are br</w:t>
      </w:r>
      <w:r w:rsidR="00666D61">
        <w:t xml:space="preserve">oken down by customer segment. </w:t>
      </w:r>
      <w:r w:rsidR="000A6D0D" w:rsidRPr="000A6D0D">
        <w:t>In addition, incentive levels for these programs are published on the utility websites, which were also needed t</w:t>
      </w:r>
      <w:r w:rsidR="00666D61">
        <w:t xml:space="preserve">o derive elasticity estimates. </w:t>
      </w:r>
      <w:r w:rsidR="000A6D0D" w:rsidRPr="000A6D0D">
        <w:t>For this analysis, the following programs were studied: the aggregator managed portfolio program (AMP, but known as the DRC program in SCE service territory)</w:t>
      </w:r>
      <w:r w:rsidR="000A6D0D" w:rsidRPr="000A6D0D">
        <w:rPr>
          <w:rStyle w:val="FootnoteReference"/>
        </w:rPr>
        <w:footnoteReference w:id="120"/>
      </w:r>
      <w:r w:rsidR="000A6D0D" w:rsidRPr="000A6D0D">
        <w:t>, the capacity bidding program (CBP)</w:t>
      </w:r>
      <w:r w:rsidR="000A6D0D" w:rsidRPr="000A6D0D">
        <w:rPr>
          <w:rStyle w:val="FootnoteReference"/>
        </w:rPr>
        <w:footnoteReference w:id="121"/>
      </w:r>
      <w:r w:rsidR="000A6D0D" w:rsidRPr="000A6D0D">
        <w:rPr>
          <w:vertAlign w:val="superscript"/>
        </w:rPr>
        <w:t>,</w:t>
      </w:r>
      <w:r w:rsidR="000A6D0D" w:rsidRPr="000A6D0D">
        <w:rPr>
          <w:rStyle w:val="FootnoteReference"/>
        </w:rPr>
        <w:footnoteReference w:id="122"/>
      </w:r>
      <w:r w:rsidR="000A6D0D" w:rsidRPr="000A6D0D">
        <w:t>, the base interruptible program (BIP)</w:t>
      </w:r>
      <w:r w:rsidR="000A6D0D" w:rsidRPr="000A6D0D">
        <w:rPr>
          <w:rStyle w:val="FootnoteReference"/>
        </w:rPr>
        <w:footnoteReference w:id="123"/>
      </w:r>
      <w:r w:rsidR="000A6D0D" w:rsidRPr="000A6D0D">
        <w:rPr>
          <w:vertAlign w:val="superscript"/>
        </w:rPr>
        <w:t>,</w:t>
      </w:r>
      <w:r w:rsidR="000A6D0D" w:rsidRPr="000A6D0D">
        <w:rPr>
          <w:rStyle w:val="FootnoteReference"/>
        </w:rPr>
        <w:footnoteReference w:id="124"/>
      </w:r>
      <w:r w:rsidR="000A6D0D" w:rsidRPr="000A6D0D">
        <w:t>, the demand bidding program (DBP)</w:t>
      </w:r>
      <w:r w:rsidR="000A6D0D" w:rsidRPr="000A6D0D">
        <w:rPr>
          <w:rStyle w:val="FootnoteReference"/>
        </w:rPr>
        <w:footnoteReference w:id="125"/>
      </w:r>
      <w:r w:rsidR="000A6D0D" w:rsidRPr="000A6D0D">
        <w:rPr>
          <w:vertAlign w:val="superscript"/>
        </w:rPr>
        <w:t>,</w:t>
      </w:r>
      <w:r w:rsidR="000A6D0D" w:rsidRPr="000A6D0D">
        <w:rPr>
          <w:rStyle w:val="FootnoteReference"/>
        </w:rPr>
        <w:footnoteReference w:id="126"/>
      </w:r>
      <w:r w:rsidR="000A6D0D" w:rsidRPr="000A6D0D">
        <w:t xml:space="preserve"> and the Peak Day Pricing program (also known as critical peak pricing, or CPP)</w:t>
      </w:r>
      <w:r w:rsidR="000A6D0D" w:rsidRPr="000A6D0D">
        <w:rPr>
          <w:rStyle w:val="FootnoteReference"/>
        </w:rPr>
        <w:footnoteReference w:id="127"/>
      </w:r>
      <w:r w:rsidR="000A6D0D" w:rsidRPr="000A6D0D">
        <w:rPr>
          <w:vertAlign w:val="superscript"/>
        </w:rPr>
        <w:t>,</w:t>
      </w:r>
      <w:r w:rsidR="000A6D0D" w:rsidRPr="000A6D0D">
        <w:rPr>
          <w:rStyle w:val="FootnoteReference"/>
        </w:rPr>
        <w:footnoteReference w:id="128"/>
      </w:r>
      <w:r w:rsidR="003E2AA4">
        <w:t xml:space="preserve">. </w:t>
      </w:r>
      <w:r w:rsidR="000A6D0D" w:rsidRPr="000A6D0D">
        <w:t>This collection of programs includes each of the three types of DR product</w:t>
      </w:r>
      <w:r w:rsidR="00666D61">
        <w:t>s</w:t>
      </w:r>
      <w:r w:rsidR="000A6D0D" w:rsidRPr="000A6D0D">
        <w:t>, and data is available at the industry level</w:t>
      </w:r>
      <w:r w:rsidR="003E2AA4">
        <w:t xml:space="preserve">. </w:t>
      </w:r>
      <w:r w:rsidR="000A6D0D" w:rsidRPr="000A6D0D">
        <w:t>Details about the programs investigated are included in</w:t>
      </w:r>
      <w:r w:rsidR="000A6D0D" w:rsidRPr="00DC1168">
        <w:t xml:space="preserve"> </w:t>
      </w:r>
      <w:r w:rsidR="00DC1168" w:rsidRPr="00DC1168">
        <w:fldChar w:fldCharType="begin"/>
      </w:r>
      <w:r w:rsidR="00DC1168" w:rsidRPr="00DC1168">
        <w:instrText xml:space="preserve"> REF _Ref406077669 \h  \* MERGEFORMAT </w:instrText>
      </w:r>
      <w:r w:rsidR="00DC1168" w:rsidRPr="00DC1168">
        <w:fldChar w:fldCharType="separate"/>
      </w:r>
      <w:r w:rsidR="00803DBE">
        <w:t xml:space="preserve">Table </w:t>
      </w:r>
      <w:r w:rsidR="00803DBE">
        <w:rPr>
          <w:noProof/>
        </w:rPr>
        <w:t>6</w:t>
      </w:r>
      <w:r w:rsidR="00803DBE">
        <w:rPr>
          <w:noProof/>
        </w:rPr>
        <w:noBreakHyphen/>
        <w:t>1</w:t>
      </w:r>
      <w:r w:rsidR="00DC1168" w:rsidRPr="00DC1168">
        <w:fldChar w:fldCharType="end"/>
      </w:r>
      <w:r w:rsidR="00DC1168">
        <w:t>.</w:t>
      </w:r>
      <w:r w:rsidR="005F3FEF">
        <w:t xml:space="preserve"> </w:t>
      </w:r>
      <w:r w:rsidR="00D87D1C">
        <w:t>It is</w:t>
      </w:r>
      <w:r w:rsidR="00865F1F">
        <w:t xml:space="preserve"> important to note that the California programs investigated do not allow on-site generation as a form of </w:t>
      </w:r>
      <w:r w:rsidR="00037A03">
        <w:t>DR</w:t>
      </w:r>
      <w:r w:rsidR="00865F1F">
        <w:t>. As a result</w:t>
      </w:r>
      <w:r w:rsidR="00D05F3B">
        <w:t>,</w:t>
      </w:r>
      <w:r w:rsidR="00865F1F">
        <w:t xml:space="preserve"> the SWE </w:t>
      </w:r>
      <w:r w:rsidR="00A61CA7">
        <w:t xml:space="preserve">Team’s </w:t>
      </w:r>
      <w:r w:rsidR="00865F1F">
        <w:t xml:space="preserve">potential estimates presented in Section </w:t>
      </w:r>
      <w:r w:rsidR="00865F1F">
        <w:fldChar w:fldCharType="begin"/>
      </w:r>
      <w:r w:rsidR="00865F1F">
        <w:instrText xml:space="preserve"> REF _Ref406413683 \r \h </w:instrText>
      </w:r>
      <w:r w:rsidR="00CF2BE5">
        <w:instrText xml:space="preserve"> \* MERGEFORMAT </w:instrText>
      </w:r>
      <w:r w:rsidR="00865F1F">
        <w:fldChar w:fldCharType="separate"/>
      </w:r>
      <w:r w:rsidR="00803DBE">
        <w:t>6.3</w:t>
      </w:r>
      <w:r w:rsidR="00865F1F">
        <w:fldChar w:fldCharType="end"/>
      </w:r>
      <w:r w:rsidR="00865F1F">
        <w:t xml:space="preserve"> do not take into account load reductions which could be achieved through back-up generation.</w:t>
      </w:r>
    </w:p>
    <w:p w:rsidR="0053081A" w:rsidRDefault="0053081A" w:rsidP="00A83ABC"/>
    <w:p w:rsidR="000A6D0D" w:rsidRDefault="000A6D0D" w:rsidP="00A83ABC"/>
    <w:p w:rsidR="007C0547" w:rsidRDefault="007C0547" w:rsidP="00A83ABC"/>
    <w:p w:rsidR="007C0547" w:rsidRDefault="007C0547" w:rsidP="00A83ABC"/>
    <w:p w:rsidR="007C0547" w:rsidRDefault="007C0547" w:rsidP="00A83ABC"/>
    <w:p w:rsidR="007C0547" w:rsidRDefault="007C0547" w:rsidP="00A83ABC"/>
    <w:p w:rsidR="007C0547" w:rsidRDefault="007C0547" w:rsidP="00A83ABC"/>
    <w:p w:rsidR="007C0547" w:rsidRDefault="007C0547" w:rsidP="00A83ABC"/>
    <w:p w:rsidR="007C0547" w:rsidRPr="00DC1168" w:rsidRDefault="007C0547" w:rsidP="00A83ABC">
      <w:pPr>
        <w:rPr>
          <w:rFonts w:eastAsiaTheme="minorEastAsia"/>
        </w:rPr>
      </w:pPr>
    </w:p>
    <w:p w:rsidR="00DC1168" w:rsidRDefault="00DC1168" w:rsidP="00A83ABC">
      <w:pPr>
        <w:pStyle w:val="Caption"/>
        <w:keepNext/>
      </w:pPr>
      <w:bookmarkStart w:id="247" w:name="_Ref406077669"/>
      <w:bookmarkStart w:id="248" w:name="_Toc412628484"/>
      <w:r>
        <w:lastRenderedPageBreak/>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w:t>
      </w:r>
      <w:r w:rsidR="00E2011B">
        <w:rPr>
          <w:noProof/>
        </w:rPr>
        <w:fldChar w:fldCharType="end"/>
      </w:r>
      <w:bookmarkEnd w:id="247"/>
      <w:r>
        <w:t>: California Non-Residential DR Programs</w:t>
      </w:r>
      <w:bookmarkEnd w:id="248"/>
    </w:p>
    <w:tbl>
      <w:tblPr>
        <w:tblStyle w:val="MediumShading1-Accent5"/>
        <w:tblW w:w="895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07"/>
        <w:gridCol w:w="1710"/>
        <w:gridCol w:w="2160"/>
        <w:gridCol w:w="1890"/>
        <w:gridCol w:w="1485"/>
      </w:tblGrid>
      <w:tr w:rsidR="00DC1168" w:rsidRPr="002E0003" w:rsidTr="002C637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7" w:type="dxa"/>
            <w:tcBorders>
              <w:top w:val="none" w:sz="0" w:space="0" w:color="auto"/>
              <w:left w:val="none" w:sz="0" w:space="0" w:color="auto"/>
              <w:bottom w:val="none" w:sz="0" w:space="0" w:color="auto"/>
              <w:right w:val="none" w:sz="0" w:space="0" w:color="auto"/>
            </w:tcBorders>
            <w:shd w:val="clear" w:color="auto" w:fill="448A99"/>
            <w:vAlign w:val="bottom"/>
            <w:hideMark/>
          </w:tcPr>
          <w:p w:rsidR="00DC1168" w:rsidRPr="002E0003" w:rsidRDefault="00DC1168" w:rsidP="00A83ABC">
            <w:pPr>
              <w:jc w:val="left"/>
              <w:rPr>
                <w:rFonts w:ascii="Calibri" w:eastAsia="Times New Roman" w:hAnsi="Calibri" w:cs="Times New Roman"/>
                <w:bCs w:val="0"/>
                <w:color w:val="FFFFFF"/>
                <w:sz w:val="20"/>
                <w:szCs w:val="20"/>
              </w:rPr>
            </w:pPr>
            <w:r w:rsidRPr="002E0003">
              <w:rPr>
                <w:rFonts w:ascii="Calibri" w:eastAsia="Times New Roman" w:hAnsi="Calibri" w:cs="Times New Roman"/>
                <w:bCs w:val="0"/>
                <w:color w:val="FFFFFF"/>
                <w:sz w:val="20"/>
                <w:szCs w:val="20"/>
              </w:rPr>
              <w:t>Program</w:t>
            </w:r>
          </w:p>
        </w:tc>
        <w:tc>
          <w:tcPr>
            <w:tcW w:w="1710" w:type="dxa"/>
            <w:tcBorders>
              <w:top w:val="none" w:sz="0" w:space="0" w:color="auto"/>
              <w:left w:val="none" w:sz="0" w:space="0" w:color="auto"/>
              <w:bottom w:val="none" w:sz="0" w:space="0" w:color="auto"/>
              <w:right w:val="none" w:sz="0" w:space="0" w:color="auto"/>
            </w:tcBorders>
            <w:shd w:val="clear" w:color="auto" w:fill="448A99"/>
            <w:vAlign w:val="bottom"/>
            <w:hideMark/>
          </w:tcPr>
          <w:p w:rsidR="00DC1168" w:rsidRPr="002E0003" w:rsidRDefault="00DC116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2E0003">
              <w:rPr>
                <w:rFonts w:ascii="Calibri" w:eastAsia="Times New Roman" w:hAnsi="Calibri" w:cs="Times New Roman"/>
                <w:bCs w:val="0"/>
                <w:color w:val="FFFFFF"/>
                <w:sz w:val="20"/>
                <w:szCs w:val="20"/>
              </w:rPr>
              <w:t>Program Type</w:t>
            </w:r>
          </w:p>
        </w:tc>
        <w:tc>
          <w:tcPr>
            <w:tcW w:w="2160" w:type="dxa"/>
            <w:tcBorders>
              <w:top w:val="none" w:sz="0" w:space="0" w:color="auto"/>
              <w:left w:val="none" w:sz="0" w:space="0" w:color="auto"/>
              <w:bottom w:val="none" w:sz="0" w:space="0" w:color="auto"/>
              <w:right w:val="none" w:sz="0" w:space="0" w:color="auto"/>
            </w:tcBorders>
            <w:shd w:val="clear" w:color="auto" w:fill="448A99"/>
            <w:vAlign w:val="bottom"/>
            <w:hideMark/>
          </w:tcPr>
          <w:p w:rsidR="00DC1168" w:rsidRPr="002E0003" w:rsidRDefault="00DC116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2E0003">
              <w:rPr>
                <w:rFonts w:ascii="Calibri" w:eastAsia="Times New Roman" w:hAnsi="Calibri" w:cs="Times New Roman"/>
                <w:bCs w:val="0"/>
                <w:color w:val="FFFFFF"/>
                <w:sz w:val="20"/>
                <w:szCs w:val="20"/>
              </w:rPr>
              <w:t>Expected Incentive ($/</w:t>
            </w:r>
            <w:r w:rsidR="002143D1">
              <w:rPr>
                <w:rFonts w:ascii="Calibri" w:eastAsia="Times New Roman" w:hAnsi="Calibri" w:cs="Times New Roman"/>
                <w:bCs w:val="0"/>
                <w:color w:val="FFFFFF"/>
                <w:sz w:val="20"/>
                <w:szCs w:val="20"/>
              </w:rPr>
              <w:t>kW/year</w:t>
            </w:r>
            <w:r w:rsidRPr="002E0003">
              <w:rPr>
                <w:rFonts w:ascii="Calibri" w:eastAsia="Times New Roman" w:hAnsi="Calibri" w:cs="Times New Roman"/>
                <w:bCs w:val="0"/>
                <w:color w:val="FFFFFF"/>
                <w:sz w:val="20"/>
                <w:szCs w:val="20"/>
              </w:rPr>
              <w:t>)</w:t>
            </w:r>
          </w:p>
        </w:tc>
        <w:tc>
          <w:tcPr>
            <w:tcW w:w="1890" w:type="dxa"/>
            <w:tcBorders>
              <w:top w:val="none" w:sz="0" w:space="0" w:color="auto"/>
              <w:left w:val="none" w:sz="0" w:space="0" w:color="auto"/>
              <w:bottom w:val="none" w:sz="0" w:space="0" w:color="auto"/>
              <w:right w:val="none" w:sz="0" w:space="0" w:color="auto"/>
            </w:tcBorders>
            <w:shd w:val="clear" w:color="auto" w:fill="448A99"/>
            <w:vAlign w:val="bottom"/>
            <w:hideMark/>
          </w:tcPr>
          <w:p w:rsidR="00DC1168" w:rsidRPr="002E0003" w:rsidRDefault="00DC116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2E0003">
              <w:rPr>
                <w:rFonts w:ascii="Calibri" w:eastAsia="Times New Roman" w:hAnsi="Calibri" w:cs="Times New Roman"/>
                <w:bCs w:val="0"/>
                <w:color w:val="FFFFFF"/>
                <w:sz w:val="20"/>
                <w:szCs w:val="20"/>
              </w:rPr>
              <w:t>5-Year Average Number of Dispatch Hours</w:t>
            </w:r>
          </w:p>
        </w:tc>
        <w:tc>
          <w:tcPr>
            <w:tcW w:w="1485" w:type="dxa"/>
            <w:tcBorders>
              <w:top w:val="none" w:sz="0" w:space="0" w:color="auto"/>
              <w:left w:val="none" w:sz="0" w:space="0" w:color="auto"/>
              <w:bottom w:val="none" w:sz="0" w:space="0" w:color="auto"/>
              <w:right w:val="none" w:sz="0" w:space="0" w:color="auto"/>
            </w:tcBorders>
            <w:shd w:val="clear" w:color="auto" w:fill="448A99"/>
            <w:vAlign w:val="bottom"/>
            <w:hideMark/>
          </w:tcPr>
          <w:p w:rsidR="00DC1168" w:rsidRPr="002E0003" w:rsidRDefault="00DC116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2E0003">
              <w:rPr>
                <w:rFonts w:ascii="Calibri" w:eastAsia="Times New Roman" w:hAnsi="Calibri" w:cs="Times New Roman"/>
                <w:bCs w:val="0"/>
                <w:color w:val="FFFFFF"/>
                <w:sz w:val="20"/>
                <w:szCs w:val="20"/>
              </w:rPr>
              <w:t>DR Capacity (MW)</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SCE BIP</w:t>
            </w:r>
          </w:p>
        </w:tc>
        <w:tc>
          <w:tcPr>
            <w:tcW w:w="171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Fast Response</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$108.88</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1.2</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573</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PG&amp;E BIP</w:t>
            </w:r>
          </w:p>
        </w:tc>
        <w:tc>
          <w:tcPr>
            <w:tcW w:w="171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Fast Response</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$102.00</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2.1</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221</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PG&amp;E DBP</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$4.50</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9.0</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38</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SCE DBP</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$40.80</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81.6</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83</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SDG&amp;E CPP</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$29.32</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28.0</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17</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PG&amp;E CPP</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$63.84</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60.8</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30</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SDG&amp;E CBP DA</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$55.85</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23.2</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SCE CPP</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$79.17</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57.6</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34</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SCE CBP DA</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$54.03</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58.2</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SCE DRC DA</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$13.37</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14.4</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22</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PG&amp;E CBP DA</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$59.39</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13.4</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20</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PG&amp;E AMP DA</w:t>
            </w:r>
          </w:p>
        </w:tc>
        <w:tc>
          <w:tcPr>
            <w:tcW w:w="1710" w:type="dxa"/>
            <w:tcBorders>
              <w:left w:val="none" w:sz="0" w:space="0" w:color="auto"/>
              <w:right w:val="none" w:sz="0" w:space="0" w:color="auto"/>
            </w:tcBorders>
            <w:noWrap/>
            <w:hideMark/>
          </w:tcPr>
          <w:p w:rsidR="00DC1168" w:rsidRPr="002E0003" w:rsidRDefault="00123C1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Day-Ahead</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$26.59</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6.0</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50</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SDG&amp;E CBP DO</w:t>
            </w:r>
          </w:p>
        </w:tc>
        <w:tc>
          <w:tcPr>
            <w:tcW w:w="171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Day</w:t>
            </w:r>
            <w:r w:rsidR="0073339F">
              <w:rPr>
                <w:rFonts w:ascii="Calibri" w:eastAsia="Times New Roman" w:hAnsi="Calibri" w:cs="Times New Roman"/>
                <w:color w:val="000000"/>
                <w:sz w:val="20"/>
                <w:szCs w:val="20"/>
              </w:rPr>
              <w:t>-</w:t>
            </w:r>
            <w:r w:rsidRPr="002E0003">
              <w:rPr>
                <w:rFonts w:ascii="Calibri" w:eastAsia="Times New Roman" w:hAnsi="Calibri" w:cs="Times New Roman"/>
                <w:color w:val="000000"/>
                <w:sz w:val="20"/>
                <w:szCs w:val="20"/>
              </w:rPr>
              <w:t>Of</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$67.01</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29.0</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10</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SCE CBP DO</w:t>
            </w:r>
          </w:p>
        </w:tc>
        <w:tc>
          <w:tcPr>
            <w:tcW w:w="171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Day</w:t>
            </w:r>
            <w:r w:rsidR="0073339F">
              <w:rPr>
                <w:rFonts w:ascii="Calibri" w:eastAsia="Times New Roman" w:hAnsi="Calibri" w:cs="Times New Roman"/>
                <w:color w:val="000000"/>
                <w:sz w:val="20"/>
                <w:szCs w:val="20"/>
              </w:rPr>
              <w:t>-</w:t>
            </w:r>
            <w:r w:rsidRPr="002E0003">
              <w:rPr>
                <w:rFonts w:ascii="Calibri" w:eastAsia="Times New Roman" w:hAnsi="Calibri" w:cs="Times New Roman"/>
                <w:color w:val="000000"/>
                <w:sz w:val="20"/>
                <w:szCs w:val="20"/>
              </w:rPr>
              <w:t>Of</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$62.11</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17.2</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16</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SCE DRC DO</w:t>
            </w:r>
          </w:p>
        </w:tc>
        <w:tc>
          <w:tcPr>
            <w:tcW w:w="171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Day</w:t>
            </w:r>
            <w:r w:rsidR="0073339F">
              <w:rPr>
                <w:rFonts w:ascii="Calibri" w:eastAsia="Times New Roman" w:hAnsi="Calibri" w:cs="Times New Roman"/>
                <w:color w:val="000000"/>
                <w:sz w:val="20"/>
                <w:szCs w:val="20"/>
              </w:rPr>
              <w:t>-</w:t>
            </w:r>
            <w:r w:rsidRPr="002E0003">
              <w:rPr>
                <w:rFonts w:ascii="Calibri" w:eastAsia="Times New Roman" w:hAnsi="Calibri" w:cs="Times New Roman"/>
                <w:color w:val="000000"/>
                <w:sz w:val="20"/>
                <w:szCs w:val="20"/>
              </w:rPr>
              <w:t>Of</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$20.22</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5.6</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160</w:t>
            </w:r>
          </w:p>
        </w:tc>
      </w:tr>
      <w:tr w:rsidR="00DC116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PG&amp;E CBP DO</w:t>
            </w:r>
          </w:p>
        </w:tc>
        <w:tc>
          <w:tcPr>
            <w:tcW w:w="171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Day</w:t>
            </w:r>
            <w:r w:rsidR="0073339F">
              <w:rPr>
                <w:rFonts w:ascii="Calibri" w:eastAsia="Times New Roman" w:hAnsi="Calibri" w:cs="Times New Roman"/>
                <w:color w:val="000000"/>
                <w:sz w:val="20"/>
                <w:szCs w:val="20"/>
              </w:rPr>
              <w:t>-</w:t>
            </w:r>
            <w:r w:rsidRPr="002E0003">
              <w:rPr>
                <w:rFonts w:ascii="Calibri" w:eastAsia="Times New Roman" w:hAnsi="Calibri" w:cs="Times New Roman"/>
                <w:color w:val="000000"/>
                <w:sz w:val="20"/>
                <w:szCs w:val="20"/>
              </w:rPr>
              <w:t>Of</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$68.32</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13.0</w:t>
            </w:r>
          </w:p>
        </w:tc>
        <w:tc>
          <w:tcPr>
            <w:tcW w:w="1485" w:type="dxa"/>
            <w:tcBorders>
              <w:left w:val="none" w:sz="0" w:space="0" w:color="auto"/>
            </w:tcBorders>
            <w:noWrap/>
            <w:hideMark/>
          </w:tcPr>
          <w:p w:rsidR="00DC1168" w:rsidRPr="002E0003" w:rsidRDefault="00DC116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23</w:t>
            </w:r>
          </w:p>
        </w:tc>
      </w:tr>
      <w:tr w:rsidR="00DC116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07" w:type="dxa"/>
            <w:tcBorders>
              <w:right w:val="none" w:sz="0" w:space="0" w:color="auto"/>
            </w:tcBorders>
            <w:noWrap/>
            <w:hideMark/>
          </w:tcPr>
          <w:p w:rsidR="00DC1168" w:rsidRPr="002E0003" w:rsidRDefault="00DC1168" w:rsidP="00A83ABC">
            <w:pPr>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PG&amp;E AMP DO</w:t>
            </w:r>
          </w:p>
        </w:tc>
        <w:tc>
          <w:tcPr>
            <w:tcW w:w="171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Day</w:t>
            </w:r>
            <w:r w:rsidR="0073339F">
              <w:rPr>
                <w:rFonts w:ascii="Calibri" w:eastAsia="Times New Roman" w:hAnsi="Calibri" w:cs="Times New Roman"/>
                <w:color w:val="000000"/>
                <w:sz w:val="20"/>
                <w:szCs w:val="20"/>
              </w:rPr>
              <w:t>-</w:t>
            </w:r>
            <w:r w:rsidRPr="002E0003">
              <w:rPr>
                <w:rFonts w:ascii="Calibri" w:eastAsia="Times New Roman" w:hAnsi="Calibri" w:cs="Times New Roman"/>
                <w:color w:val="000000"/>
                <w:sz w:val="20"/>
                <w:szCs w:val="20"/>
              </w:rPr>
              <w:t>Of</w:t>
            </w:r>
          </w:p>
        </w:tc>
        <w:tc>
          <w:tcPr>
            <w:tcW w:w="216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$33.63</w:t>
            </w:r>
          </w:p>
        </w:tc>
        <w:tc>
          <w:tcPr>
            <w:tcW w:w="1890" w:type="dxa"/>
            <w:tcBorders>
              <w:left w:val="none" w:sz="0" w:space="0" w:color="auto"/>
              <w:righ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6.4</w:t>
            </w:r>
          </w:p>
        </w:tc>
        <w:tc>
          <w:tcPr>
            <w:tcW w:w="1485" w:type="dxa"/>
            <w:tcBorders>
              <w:left w:val="none" w:sz="0" w:space="0" w:color="auto"/>
            </w:tcBorders>
            <w:noWrap/>
            <w:hideMark/>
          </w:tcPr>
          <w:p w:rsidR="00DC1168" w:rsidRPr="002E0003" w:rsidRDefault="00DC116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130</w:t>
            </w:r>
          </w:p>
        </w:tc>
      </w:tr>
    </w:tbl>
    <w:p w:rsidR="000A6D0D" w:rsidRDefault="000A6D0D" w:rsidP="00A83ABC"/>
    <w:p w:rsidR="005F3FEF" w:rsidRDefault="005F3FEF" w:rsidP="00A83ABC">
      <w:pPr>
        <w:spacing w:after="120"/>
      </w:pPr>
      <w:r>
        <w:t xml:space="preserve">Each of these programs was placed into one of three response time categories depending on the level of advanced notification participants received </w:t>
      </w:r>
      <w:r w:rsidR="009652A2">
        <w:t xml:space="preserve">at </w:t>
      </w:r>
      <w:r>
        <w:t xml:space="preserve">the beginning of a DR event. This </w:t>
      </w:r>
      <w:r w:rsidR="00676578">
        <w:t xml:space="preserve">terminology </w:t>
      </w:r>
      <w:r>
        <w:t>is used frequently in the results section of the report so the products are defined explicitly below.</w:t>
      </w:r>
    </w:p>
    <w:p w:rsidR="005F3FEF" w:rsidRDefault="00123C18" w:rsidP="00A83ABC">
      <w:pPr>
        <w:pStyle w:val="ListParagraph"/>
        <w:numPr>
          <w:ilvl w:val="0"/>
          <w:numId w:val="11"/>
        </w:numPr>
        <w:spacing w:after="120"/>
        <w:ind w:left="360"/>
        <w:contextualSpacing w:val="0"/>
      </w:pPr>
      <w:r>
        <w:rPr>
          <w:rFonts w:ascii="Century Gothic" w:hAnsi="Century Gothic"/>
          <w:b/>
          <w:sz w:val="20"/>
        </w:rPr>
        <w:t>Day-Ahead</w:t>
      </w:r>
      <w:r w:rsidR="009652A2">
        <w:rPr>
          <w:b/>
        </w:rPr>
        <w:t>.</w:t>
      </w:r>
      <w:r w:rsidR="005F3FEF">
        <w:t xml:space="preserve"> </w:t>
      </w:r>
      <w:r w:rsidR="009652A2">
        <w:t>P</w:t>
      </w:r>
      <w:r w:rsidR="005F3FEF">
        <w:t xml:space="preserve">articipants are notified in the afternoon or evening that the following afternoon will be a </w:t>
      </w:r>
      <w:r w:rsidR="00037A03">
        <w:t>DR</w:t>
      </w:r>
      <w:r w:rsidR="005F3FEF">
        <w:t xml:space="preserve"> event. This is typically tied to the release of a day ahead forecast.</w:t>
      </w:r>
    </w:p>
    <w:p w:rsidR="005F3FEF" w:rsidRDefault="005F3FEF" w:rsidP="00A83ABC">
      <w:pPr>
        <w:pStyle w:val="ListParagraph"/>
        <w:numPr>
          <w:ilvl w:val="0"/>
          <w:numId w:val="11"/>
        </w:numPr>
        <w:spacing w:after="120"/>
        <w:ind w:left="360"/>
        <w:contextualSpacing w:val="0"/>
      </w:pPr>
      <w:r w:rsidRPr="00490B88">
        <w:rPr>
          <w:rFonts w:ascii="Century Gothic" w:hAnsi="Century Gothic"/>
          <w:b/>
          <w:sz w:val="20"/>
        </w:rPr>
        <w:t>Day</w:t>
      </w:r>
      <w:r w:rsidR="0073339F">
        <w:rPr>
          <w:rFonts w:ascii="Century Gothic" w:hAnsi="Century Gothic"/>
          <w:b/>
          <w:sz w:val="20"/>
        </w:rPr>
        <w:t>-</w:t>
      </w:r>
      <w:r w:rsidRPr="00490B88">
        <w:rPr>
          <w:rFonts w:ascii="Century Gothic" w:hAnsi="Century Gothic"/>
          <w:b/>
          <w:sz w:val="20"/>
        </w:rPr>
        <w:t>Of</w:t>
      </w:r>
      <w:r w:rsidR="009652A2">
        <w:rPr>
          <w:b/>
        </w:rPr>
        <w:t>.</w:t>
      </w:r>
      <w:r w:rsidRPr="002E0003">
        <w:rPr>
          <w:b/>
        </w:rPr>
        <w:t xml:space="preserve"> </w:t>
      </w:r>
      <w:r w:rsidR="009652A2">
        <w:t>P</w:t>
      </w:r>
      <w:r>
        <w:t xml:space="preserve">articipants are notified in the morning or mid-day that a </w:t>
      </w:r>
      <w:r w:rsidR="00037A03">
        <w:t>DR</w:t>
      </w:r>
      <w:r>
        <w:t xml:space="preserve"> event will be called that afternoon.</w:t>
      </w:r>
    </w:p>
    <w:p w:rsidR="005F3FEF" w:rsidRDefault="00102F2A" w:rsidP="00A83ABC">
      <w:pPr>
        <w:pStyle w:val="ListParagraph"/>
        <w:numPr>
          <w:ilvl w:val="0"/>
          <w:numId w:val="11"/>
        </w:numPr>
        <w:ind w:left="360"/>
      </w:pPr>
      <w:r>
        <w:rPr>
          <w:rFonts w:ascii="Century Gothic" w:hAnsi="Century Gothic"/>
          <w:b/>
          <w:sz w:val="20"/>
        </w:rPr>
        <w:t>F</w:t>
      </w:r>
      <w:r w:rsidR="005F3FEF" w:rsidRPr="00490B88">
        <w:rPr>
          <w:rFonts w:ascii="Century Gothic" w:hAnsi="Century Gothic"/>
          <w:b/>
          <w:sz w:val="20"/>
        </w:rPr>
        <w:t>ast Response</w:t>
      </w:r>
      <w:r w:rsidR="009652A2">
        <w:rPr>
          <w:b/>
        </w:rPr>
        <w:t>.</w:t>
      </w:r>
      <w:r w:rsidR="005F3FEF" w:rsidRPr="002E0003">
        <w:rPr>
          <w:b/>
        </w:rPr>
        <w:t xml:space="preserve"> </w:t>
      </w:r>
      <w:r w:rsidR="009652A2" w:rsidRPr="009652A2">
        <w:t>P</w:t>
      </w:r>
      <w:r w:rsidR="005F3FEF" w:rsidRPr="005F3FEF">
        <w:t>ar</w:t>
      </w:r>
      <w:r w:rsidR="005F3FEF">
        <w:t xml:space="preserve">ticipants are given 1 hour or less notification prior to </w:t>
      </w:r>
      <w:r w:rsidR="00676578">
        <w:t xml:space="preserve">the beginning of a </w:t>
      </w:r>
      <w:r w:rsidR="00037A03">
        <w:t>DR</w:t>
      </w:r>
      <w:r w:rsidR="00676578">
        <w:t xml:space="preserve"> event.</w:t>
      </w:r>
    </w:p>
    <w:p w:rsidR="002E0003" w:rsidRDefault="002E0003" w:rsidP="00A83ABC"/>
    <w:p w:rsidR="00D87D1C" w:rsidRDefault="00D87D1C" w:rsidP="00A83ABC">
      <w:r>
        <w:t xml:space="preserve">Elasticity values were calculated separately for each product and customer type. The natural sign of each value is negative (a reduction in electric consumption), but we have chosen to express them as positive, or the amount of DR that can be expected. The customer taxonomy used in California is not identical to the customer sectors and segments used by the SWE Team in the baseline and market potential studies so some mapping was required. Notice that the elasticity values get smaller as the amount of notification time decreases. </w:t>
      </w:r>
    </w:p>
    <w:p w:rsidR="00676578" w:rsidRDefault="00676578" w:rsidP="00A83ABC"/>
    <w:p w:rsidR="00676578" w:rsidRDefault="00676578" w:rsidP="00A83ABC"/>
    <w:p w:rsidR="007453EA" w:rsidRPr="00026064" w:rsidRDefault="007453EA" w:rsidP="00A83ABC">
      <w:pPr>
        <w:pStyle w:val="Caption"/>
        <w:keepNext/>
      </w:pPr>
      <w:bookmarkStart w:id="249" w:name="_Ref406084005"/>
      <w:bookmarkStart w:id="250" w:name="_Toc412628485"/>
      <w:r w:rsidRPr="00026064">
        <w:lastRenderedPageBreak/>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2</w:t>
      </w:r>
      <w:r w:rsidR="00E2011B">
        <w:rPr>
          <w:noProof/>
        </w:rPr>
        <w:fldChar w:fldCharType="end"/>
      </w:r>
      <w:bookmarkEnd w:id="249"/>
      <w:r w:rsidRPr="00026064">
        <w:t>: Elasticity of Supply Values by Customer Segment and DR Product</w:t>
      </w:r>
      <w:bookmarkEnd w:id="250"/>
    </w:p>
    <w:tbl>
      <w:tblPr>
        <w:tblStyle w:val="MediumShading1-Accent5"/>
        <w:tblW w:w="656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40"/>
        <w:gridCol w:w="1641"/>
        <w:gridCol w:w="1640"/>
        <w:gridCol w:w="1641"/>
      </w:tblGrid>
      <w:tr w:rsidR="00676578" w:rsidRPr="002E0003" w:rsidTr="002C63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676578" w:rsidRPr="002E0003" w:rsidRDefault="00676578" w:rsidP="00A83ABC">
            <w:pPr>
              <w:ind w:leftChars="-8" w:left="-2" w:hangingChars="8" w:hanging="16"/>
              <w:jc w:val="left"/>
              <w:rPr>
                <w:rFonts w:ascii="Calibri" w:eastAsia="Times New Roman" w:hAnsi="Calibri" w:cs="Times New Roman"/>
                <w:iCs/>
                <w:color w:val="FFFFFF"/>
                <w:sz w:val="20"/>
                <w:szCs w:val="20"/>
              </w:rPr>
            </w:pPr>
            <w:r w:rsidRPr="002E0003">
              <w:rPr>
                <w:rFonts w:ascii="Calibri" w:eastAsia="Times New Roman" w:hAnsi="Calibri" w:cs="Times New Roman"/>
                <w:iCs/>
                <w:color w:val="FFFFFF"/>
                <w:sz w:val="20"/>
                <w:szCs w:val="20"/>
              </w:rPr>
              <w:t>Segment</w:t>
            </w:r>
          </w:p>
        </w:tc>
        <w:tc>
          <w:tcPr>
            <w:tcW w:w="1641"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676578" w:rsidRPr="002E0003" w:rsidRDefault="00123C1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Cs/>
                <w:color w:val="FFFFFF"/>
                <w:sz w:val="20"/>
                <w:szCs w:val="20"/>
              </w:rPr>
            </w:pPr>
            <w:r>
              <w:rPr>
                <w:rFonts w:ascii="Calibri" w:eastAsia="Times New Roman" w:hAnsi="Calibri" w:cs="Times New Roman"/>
                <w:iCs/>
                <w:color w:val="FFFFFF"/>
                <w:sz w:val="20"/>
                <w:szCs w:val="20"/>
              </w:rPr>
              <w:t>Day-Ahead</w:t>
            </w:r>
          </w:p>
        </w:tc>
        <w:tc>
          <w:tcPr>
            <w:tcW w:w="164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676578" w:rsidRPr="002E0003" w:rsidRDefault="0073339F"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Cs/>
                <w:color w:val="FFFFFF"/>
                <w:sz w:val="20"/>
                <w:szCs w:val="20"/>
              </w:rPr>
            </w:pPr>
            <w:r>
              <w:rPr>
                <w:rFonts w:ascii="Calibri" w:eastAsia="Times New Roman" w:hAnsi="Calibri" w:cs="Times New Roman"/>
                <w:iCs/>
                <w:color w:val="FFFFFF"/>
                <w:sz w:val="20"/>
                <w:szCs w:val="20"/>
              </w:rPr>
              <w:t>Day-</w:t>
            </w:r>
            <w:r w:rsidR="00676578" w:rsidRPr="002E0003">
              <w:rPr>
                <w:rFonts w:ascii="Calibri" w:eastAsia="Times New Roman" w:hAnsi="Calibri" w:cs="Times New Roman"/>
                <w:iCs/>
                <w:color w:val="FFFFFF"/>
                <w:sz w:val="20"/>
                <w:szCs w:val="20"/>
              </w:rPr>
              <w:t>Of</w:t>
            </w:r>
          </w:p>
        </w:tc>
        <w:tc>
          <w:tcPr>
            <w:tcW w:w="1641"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676578" w:rsidRPr="002E0003" w:rsidRDefault="0067657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Cs/>
                <w:color w:val="FFFFFF"/>
                <w:sz w:val="20"/>
                <w:szCs w:val="20"/>
              </w:rPr>
            </w:pPr>
            <w:r w:rsidRPr="002E0003">
              <w:rPr>
                <w:rFonts w:ascii="Calibri" w:eastAsia="Times New Roman" w:hAnsi="Calibri" w:cs="Times New Roman"/>
                <w:iCs/>
                <w:color w:val="FFFFFF"/>
                <w:sz w:val="20"/>
                <w:szCs w:val="20"/>
              </w:rPr>
              <w:t>Fast Response</w:t>
            </w:r>
          </w:p>
        </w:tc>
      </w:tr>
      <w:tr w:rsidR="0067657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bookmarkStart w:id="251" w:name="RANGE!B16:B29"/>
            <w:bookmarkStart w:id="252" w:name="RANGE!B16:F29"/>
            <w:bookmarkEnd w:id="251"/>
            <w:r w:rsidRPr="002E0003">
              <w:rPr>
                <w:rFonts w:ascii="Calibri" w:eastAsia="Times New Roman" w:hAnsi="Calibri" w:cs="Times New Roman"/>
                <w:b w:val="0"/>
                <w:color w:val="000000"/>
                <w:sz w:val="20"/>
                <w:szCs w:val="20"/>
              </w:rPr>
              <w:t>Church</w:t>
            </w:r>
            <w:bookmarkEnd w:id="252"/>
          </w:p>
        </w:tc>
        <w:tc>
          <w:tcPr>
            <w:tcW w:w="1641"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bookmarkStart w:id="253" w:name="RANGE!C16:D29"/>
            <w:r w:rsidRPr="002E0003">
              <w:rPr>
                <w:rFonts w:ascii="Calibri" w:eastAsia="Times New Roman" w:hAnsi="Calibri" w:cs="Times New Roman"/>
                <w:color w:val="000000"/>
                <w:sz w:val="20"/>
                <w:szCs w:val="20"/>
              </w:rPr>
              <w:t>0.021</w:t>
            </w:r>
            <w:bookmarkEnd w:id="253"/>
          </w:p>
        </w:tc>
        <w:tc>
          <w:tcPr>
            <w:tcW w:w="1640"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bookmarkStart w:id="254" w:name="RANGE!E16:E29"/>
            <w:r w:rsidRPr="002E0003">
              <w:rPr>
                <w:rFonts w:ascii="Calibri" w:eastAsia="Times New Roman" w:hAnsi="Calibri" w:cs="Times New Roman"/>
                <w:color w:val="000000"/>
                <w:sz w:val="20"/>
                <w:szCs w:val="20"/>
              </w:rPr>
              <w:t>0.007</w:t>
            </w:r>
            <w:bookmarkEnd w:id="254"/>
          </w:p>
        </w:tc>
        <w:tc>
          <w:tcPr>
            <w:tcW w:w="1641" w:type="dxa"/>
            <w:tcBorders>
              <w:lef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bookmarkStart w:id="255" w:name="RANGE!F16:F29"/>
            <w:r w:rsidRPr="002E0003">
              <w:rPr>
                <w:rFonts w:ascii="Calibri" w:eastAsia="Times New Roman" w:hAnsi="Calibri" w:cs="Times New Roman"/>
                <w:color w:val="000000"/>
                <w:sz w:val="20"/>
                <w:szCs w:val="20"/>
              </w:rPr>
              <w:t>0.002</w:t>
            </w:r>
            <w:bookmarkEnd w:id="255"/>
          </w:p>
        </w:tc>
      </w:tr>
      <w:tr w:rsidR="0067657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Education</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0.009</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0.003</w:t>
            </w:r>
          </w:p>
        </w:tc>
        <w:tc>
          <w:tcPr>
            <w:tcW w:w="1641" w:type="dxa"/>
            <w:tcBorders>
              <w:lef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0.001</w:t>
            </w:r>
          </w:p>
        </w:tc>
      </w:tr>
      <w:tr w:rsidR="0067657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Grocery</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0.010</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0.009</w:t>
            </w:r>
          </w:p>
        </w:tc>
        <w:tc>
          <w:tcPr>
            <w:tcW w:w="1641" w:type="dxa"/>
            <w:tcBorders>
              <w:lef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0.001</w:t>
            </w:r>
          </w:p>
        </w:tc>
      </w:tr>
      <w:tr w:rsidR="0067657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Health</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0.021</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0.007</w:t>
            </w:r>
          </w:p>
        </w:tc>
        <w:tc>
          <w:tcPr>
            <w:tcW w:w="1641" w:type="dxa"/>
            <w:tcBorders>
              <w:lef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0.002</w:t>
            </w:r>
          </w:p>
        </w:tc>
      </w:tr>
      <w:tr w:rsidR="0067657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Industrial</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0.013</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0.007</w:t>
            </w:r>
          </w:p>
        </w:tc>
        <w:tc>
          <w:tcPr>
            <w:tcW w:w="1641" w:type="dxa"/>
            <w:tcBorders>
              <w:lef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0.003</w:t>
            </w:r>
          </w:p>
        </w:tc>
      </w:tr>
      <w:tr w:rsidR="0067657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Institutional</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0.021</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0.007</w:t>
            </w:r>
          </w:p>
        </w:tc>
        <w:tc>
          <w:tcPr>
            <w:tcW w:w="1641" w:type="dxa"/>
            <w:tcBorders>
              <w:lef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0.002</w:t>
            </w:r>
          </w:p>
        </w:tc>
      </w:tr>
      <w:tr w:rsidR="0067657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Lodging</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0.010</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0.005</w:t>
            </w:r>
          </w:p>
        </w:tc>
        <w:tc>
          <w:tcPr>
            <w:tcW w:w="1641" w:type="dxa"/>
            <w:tcBorders>
              <w:lef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0.002</w:t>
            </w:r>
          </w:p>
        </w:tc>
      </w:tr>
      <w:tr w:rsidR="0067657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Miscellaneous</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0.011</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0.006</w:t>
            </w:r>
          </w:p>
        </w:tc>
        <w:tc>
          <w:tcPr>
            <w:tcW w:w="1641" w:type="dxa"/>
            <w:tcBorders>
              <w:lef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0.006</w:t>
            </w:r>
          </w:p>
        </w:tc>
      </w:tr>
      <w:tr w:rsidR="0067657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Multifamily</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0.011</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0.006</w:t>
            </w:r>
          </w:p>
        </w:tc>
        <w:tc>
          <w:tcPr>
            <w:tcW w:w="1641" w:type="dxa"/>
            <w:tcBorders>
              <w:lef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0.006</w:t>
            </w:r>
          </w:p>
        </w:tc>
      </w:tr>
      <w:tr w:rsidR="0067657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Office</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0.010</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0.005</w:t>
            </w:r>
          </w:p>
        </w:tc>
        <w:tc>
          <w:tcPr>
            <w:tcW w:w="1641" w:type="dxa"/>
            <w:tcBorders>
              <w:lef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0.002</w:t>
            </w:r>
          </w:p>
        </w:tc>
      </w:tr>
      <w:tr w:rsidR="0067657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Public Service</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0.021</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0.007</w:t>
            </w:r>
          </w:p>
        </w:tc>
        <w:tc>
          <w:tcPr>
            <w:tcW w:w="1641" w:type="dxa"/>
            <w:tcBorders>
              <w:lef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0.002</w:t>
            </w:r>
          </w:p>
        </w:tc>
      </w:tr>
      <w:tr w:rsidR="0067657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Restaurant</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0.010</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0.005</w:t>
            </w:r>
          </w:p>
        </w:tc>
        <w:tc>
          <w:tcPr>
            <w:tcW w:w="1641" w:type="dxa"/>
            <w:tcBorders>
              <w:lef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0.002</w:t>
            </w:r>
          </w:p>
        </w:tc>
      </w:tr>
      <w:tr w:rsidR="0067657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Retail</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0.010</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0.009</w:t>
            </w:r>
          </w:p>
        </w:tc>
        <w:tc>
          <w:tcPr>
            <w:tcW w:w="1641" w:type="dxa"/>
            <w:tcBorders>
              <w:left w:val="none" w:sz="0" w:space="0" w:color="auto"/>
            </w:tcBorders>
            <w:noWrap/>
            <w:hideMark/>
          </w:tcPr>
          <w:p w:rsidR="00676578" w:rsidRPr="002E0003" w:rsidRDefault="0067657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0.001</w:t>
            </w:r>
          </w:p>
        </w:tc>
      </w:tr>
      <w:tr w:rsidR="0067657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40" w:type="dxa"/>
            <w:tcBorders>
              <w:right w:val="none" w:sz="0" w:space="0" w:color="auto"/>
            </w:tcBorders>
            <w:noWrap/>
            <w:hideMark/>
          </w:tcPr>
          <w:p w:rsidR="00676578" w:rsidRPr="002E0003" w:rsidRDefault="00676578" w:rsidP="00A83ABC">
            <w:pPr>
              <w:ind w:leftChars="-8" w:left="-2" w:hangingChars="8" w:hanging="16"/>
              <w:rPr>
                <w:rFonts w:ascii="Calibri" w:eastAsia="Times New Roman" w:hAnsi="Calibri" w:cs="Times New Roman"/>
                <w:b w:val="0"/>
                <w:color w:val="000000"/>
                <w:sz w:val="20"/>
                <w:szCs w:val="20"/>
              </w:rPr>
            </w:pPr>
            <w:r w:rsidRPr="002E0003">
              <w:rPr>
                <w:rFonts w:ascii="Calibri" w:eastAsia="Times New Roman" w:hAnsi="Calibri" w:cs="Times New Roman"/>
                <w:b w:val="0"/>
                <w:color w:val="000000"/>
                <w:sz w:val="20"/>
                <w:szCs w:val="20"/>
              </w:rPr>
              <w:t>Warehouse</w:t>
            </w:r>
          </w:p>
        </w:tc>
        <w:tc>
          <w:tcPr>
            <w:tcW w:w="1641"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0.036</w:t>
            </w:r>
          </w:p>
        </w:tc>
        <w:tc>
          <w:tcPr>
            <w:tcW w:w="1640" w:type="dxa"/>
            <w:tcBorders>
              <w:left w:val="none" w:sz="0" w:space="0" w:color="auto"/>
              <w:righ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0.045</w:t>
            </w:r>
          </w:p>
        </w:tc>
        <w:tc>
          <w:tcPr>
            <w:tcW w:w="1641" w:type="dxa"/>
            <w:tcBorders>
              <w:left w:val="none" w:sz="0" w:space="0" w:color="auto"/>
            </w:tcBorders>
            <w:noWrap/>
            <w:hideMark/>
          </w:tcPr>
          <w:p w:rsidR="00676578" w:rsidRPr="002E0003" w:rsidRDefault="0067657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2E0003">
              <w:rPr>
                <w:rFonts w:ascii="Calibri" w:eastAsia="Times New Roman" w:hAnsi="Calibri" w:cs="Times New Roman"/>
                <w:color w:val="000000"/>
                <w:sz w:val="20"/>
                <w:szCs w:val="20"/>
              </w:rPr>
              <w:t>0.003</w:t>
            </w:r>
          </w:p>
        </w:tc>
      </w:tr>
    </w:tbl>
    <w:p w:rsidR="00666D61" w:rsidRDefault="00666D61" w:rsidP="00A83ABC"/>
    <w:p w:rsidR="00467380" w:rsidRDefault="00676578" w:rsidP="00A83ABC">
      <w:pPr>
        <w:spacing w:after="120"/>
      </w:pPr>
      <w:r>
        <w:t>In order to test the external validity of the California elasticity values and determine if it is reasonable to use them in an assessment of DR potential in Pennsylvania</w:t>
      </w:r>
      <w:r w:rsidR="007453EA">
        <w:t xml:space="preserve">, the SWE </w:t>
      </w:r>
      <w:r w:rsidR="00D87D1C">
        <w:t>T</w:t>
      </w:r>
      <w:r w:rsidR="007453EA">
        <w:t xml:space="preserve">eam performed a similar elasticity calculation on publicly available data for the PJM </w:t>
      </w:r>
      <w:r w:rsidR="00E7632F">
        <w:t>BRA</w:t>
      </w:r>
      <w:r w:rsidR="009C799B">
        <w:t xml:space="preserve"> Report</w:t>
      </w:r>
      <w:r w:rsidR="00211AF5">
        <w:rPr>
          <w:rStyle w:val="FootnoteReference"/>
        </w:rPr>
        <w:footnoteReference w:id="129"/>
      </w:r>
      <w:r w:rsidR="009C799B">
        <w:t xml:space="preserve"> for the 2016/2017</w:t>
      </w:r>
      <w:r w:rsidR="007453EA">
        <w:t xml:space="preserve"> delivery year. </w:t>
      </w:r>
      <w:r w:rsidR="00DE7626">
        <w:t xml:space="preserve">PJM does not distinguish between customer types </w:t>
      </w:r>
      <w:r w:rsidR="00211AF5">
        <w:t xml:space="preserve">in its reporting and the notification time is somewhere between </w:t>
      </w:r>
      <w:r w:rsidR="00490B88">
        <w:t>“Fast Response”</w:t>
      </w:r>
      <w:r w:rsidR="00211AF5">
        <w:t xml:space="preserve"> and </w:t>
      </w:r>
      <w:r w:rsidR="00490B88">
        <w:t>“Day</w:t>
      </w:r>
      <w:r w:rsidR="0073339F">
        <w:t>-</w:t>
      </w:r>
      <w:r w:rsidR="00490B88">
        <w:t>Of”</w:t>
      </w:r>
      <w:r w:rsidR="00211AF5">
        <w:t xml:space="preserve">, </w:t>
      </w:r>
      <w:r w:rsidR="00DE7626">
        <w:t xml:space="preserve">so this exercise was </w:t>
      </w:r>
      <w:r w:rsidR="00211AF5">
        <w:t xml:space="preserve">only </w:t>
      </w:r>
      <w:r w:rsidR="00DE7626">
        <w:t>meant to serve as a high-level assumption check.</w:t>
      </w:r>
      <w:r w:rsidR="00211AF5">
        <w:t xml:space="preserve"> Key data inputs and assumptions to the calculation are listed below:</w:t>
      </w:r>
    </w:p>
    <w:p w:rsidR="00D87D1C" w:rsidRDefault="00D87D1C" w:rsidP="00A83ABC">
      <w:pPr>
        <w:pStyle w:val="ListParagraph"/>
        <w:numPr>
          <w:ilvl w:val="0"/>
          <w:numId w:val="12"/>
        </w:numPr>
        <w:spacing w:after="120"/>
        <w:ind w:left="360"/>
        <w:contextualSpacing w:val="0"/>
      </w:pPr>
      <w:r>
        <w:t>A total of 12,412 MW of demand resources cleared in the BRA</w:t>
      </w:r>
      <w:r w:rsidR="00490B88">
        <w:t>.</w:t>
      </w:r>
    </w:p>
    <w:p w:rsidR="00D87D1C" w:rsidRDefault="00D87D1C" w:rsidP="00A83ABC">
      <w:pPr>
        <w:pStyle w:val="ListParagraph"/>
        <w:numPr>
          <w:ilvl w:val="0"/>
          <w:numId w:val="12"/>
        </w:numPr>
        <w:spacing w:after="120"/>
        <w:ind w:left="360"/>
        <w:contextualSpacing w:val="0"/>
      </w:pPr>
      <w:r>
        <w:t>The total payment to these resources is $406 billion and the weighted average clearing price</w:t>
      </w:r>
      <w:r>
        <w:rPr>
          <w:rStyle w:val="FootnoteReference"/>
        </w:rPr>
        <w:footnoteReference w:id="130"/>
      </w:r>
      <w:r>
        <w:t xml:space="preserve"> of these resources was $32,686 per MW</w:t>
      </w:r>
      <w:r w:rsidR="00490B88">
        <w:t>/</w:t>
      </w:r>
      <w:r>
        <w:t>year</w:t>
      </w:r>
      <w:r w:rsidR="00490B88">
        <w:t>.</w:t>
      </w:r>
    </w:p>
    <w:p w:rsidR="00D87D1C" w:rsidRDefault="00E7632F" w:rsidP="00A83ABC">
      <w:pPr>
        <w:pStyle w:val="ListParagraph"/>
        <w:numPr>
          <w:ilvl w:val="0"/>
          <w:numId w:val="12"/>
        </w:numPr>
        <w:spacing w:after="120"/>
        <w:ind w:left="360"/>
        <w:contextualSpacing w:val="0"/>
      </w:pPr>
      <w:r>
        <w:t>Eight</w:t>
      </w:r>
      <w:r w:rsidR="00D87D1C">
        <w:t xml:space="preserve"> hours of assumed dispatch per year. This is an estimate of what customer/CSP</w:t>
      </w:r>
      <w:r w:rsidR="003E2CE0">
        <w:t xml:space="preserve"> </w:t>
      </w:r>
      <w:r w:rsidR="00D87D1C">
        <w:t>assumptions are based on historic dispatch frequency</w:t>
      </w:r>
      <w:r w:rsidR="00490B88">
        <w:t>.</w:t>
      </w:r>
      <w:r w:rsidR="00D87D1C">
        <w:t xml:space="preserve"> </w:t>
      </w:r>
    </w:p>
    <w:p w:rsidR="00D87D1C" w:rsidRDefault="00D87D1C" w:rsidP="00A83ABC">
      <w:pPr>
        <w:pStyle w:val="ListParagraph"/>
        <w:numPr>
          <w:ilvl w:val="0"/>
          <w:numId w:val="12"/>
        </w:numPr>
        <w:spacing w:after="120"/>
        <w:ind w:left="360"/>
        <w:contextualSpacing w:val="0"/>
      </w:pPr>
      <w:r>
        <w:t>Based on the figures in #1-3, the expected incentive payment on a $/MWh basis is $4,086</w:t>
      </w:r>
      <w:r w:rsidR="00490B88">
        <w:t>.</w:t>
      </w:r>
    </w:p>
    <w:p w:rsidR="00D87D1C" w:rsidRDefault="00490B88" w:rsidP="00A83ABC">
      <w:pPr>
        <w:pStyle w:val="ListParagraph"/>
        <w:numPr>
          <w:ilvl w:val="0"/>
          <w:numId w:val="12"/>
        </w:numPr>
        <w:spacing w:after="120"/>
        <w:ind w:left="360"/>
        <w:contextualSpacing w:val="0"/>
      </w:pPr>
      <w:r>
        <w:t>Fifty five percent</w:t>
      </w:r>
      <w:r w:rsidR="00D87D1C">
        <w:t xml:space="preserve"> of PJM’s 160 gigawatt footprint</w:t>
      </w:r>
      <w:r w:rsidR="00102F2A">
        <w:t xml:space="preserve"> </w:t>
      </w:r>
      <w:r w:rsidR="00D87D1C">
        <w:t>are non-residential accounts (88,000 MW)</w:t>
      </w:r>
      <w:r>
        <w:t>.</w:t>
      </w:r>
    </w:p>
    <w:p w:rsidR="002E0003" w:rsidRDefault="00D87D1C" w:rsidP="00A83ABC">
      <w:pPr>
        <w:pStyle w:val="ListParagraph"/>
        <w:numPr>
          <w:ilvl w:val="0"/>
          <w:numId w:val="12"/>
        </w:numPr>
        <w:ind w:left="360"/>
      </w:pPr>
      <w:r>
        <w:t>The average customer facing price of electricity will be $0.10 per kWh in 2016</w:t>
      </w:r>
      <w:r w:rsidR="00E7632F">
        <w:t>.</w:t>
      </w:r>
    </w:p>
    <w:p w:rsidR="00D87D1C" w:rsidRPr="00490B88" w:rsidRDefault="00D87D1C" w:rsidP="00A83ABC"/>
    <w:p w:rsidR="00467380" w:rsidRDefault="003C286C" w:rsidP="00A83ABC">
      <w:pPr>
        <w:spacing w:after="120"/>
      </w:pPr>
      <w:r>
        <w:t>These values are then inserted into the elasticity formula as shown below:</w:t>
      </w:r>
    </w:p>
    <w:p w:rsidR="000A4E88" w:rsidRPr="002C4072" w:rsidRDefault="000A4E88" w:rsidP="00A83ABC">
      <w:pPr>
        <w:rPr>
          <w:rFonts w:eastAsiaTheme="minorEastAsia"/>
        </w:rPr>
      </w:pPr>
      <m:oMathPara>
        <m:oMathParaPr>
          <m:jc m:val="center"/>
        </m:oMathParaPr>
        <m:oMath>
          <m:r>
            <w:rPr>
              <w:rFonts w:ascii="Cambria Math" w:hAnsi="Cambria Math"/>
            </w:rPr>
            <m:t>ϵ=</m:t>
          </m:r>
          <m:f>
            <m:fPr>
              <m:ctrlPr>
                <w:rPr>
                  <w:rFonts w:ascii="Cambria Math" w:hAnsi="Cambria Math"/>
                  <w:i/>
                </w:rPr>
              </m:ctrlPr>
            </m:fPr>
            <m:num>
              <m:r>
                <w:rPr>
                  <w:rFonts w:ascii="Cambria Math" w:hAnsi="Cambria Math"/>
                </w:rPr>
                <m:t>%∆Q</m:t>
              </m:r>
            </m:num>
            <m:den>
              <m:r>
                <w:rPr>
                  <w:rFonts w:ascii="Cambria Math" w:hAnsi="Cambria Math"/>
                </w:rPr>
                <m:t>%∆P</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en>
          </m:f>
        </m:oMath>
      </m:oMathPara>
    </w:p>
    <w:p w:rsidR="009A2C24" w:rsidRPr="009E2819" w:rsidRDefault="009A2C24" w:rsidP="00A83ABC"/>
    <w:p w:rsidR="000A4E88" w:rsidRPr="002C4072" w:rsidRDefault="000A4E88" w:rsidP="00A83ABC">
      <w:pPr>
        <w:rPr>
          <w:rFonts w:eastAsiaTheme="minorEastAsia"/>
        </w:rPr>
      </w:pPr>
      <m:oMathPara>
        <m:oMathParaPr>
          <m:jc m:val="center"/>
        </m:oMathParaPr>
        <m:oMath>
          <m:r>
            <w:rPr>
              <w:rFonts w:ascii="Cambria Math" w:hAnsi="Cambria Math"/>
            </w:rPr>
            <w:lastRenderedPageBreak/>
            <m:t>ϵ=</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88,000-12,412</m:t>
                  </m:r>
                </m:e>
              </m:d>
              <m:r>
                <w:rPr>
                  <w:rFonts w:ascii="Cambria Math" w:hAnsi="Cambria Math"/>
                </w:rPr>
                <m:t>-88,000))/88,000</m:t>
              </m:r>
            </m:num>
            <m:den>
              <m:r>
                <w:rPr>
                  <w:rFonts w:ascii="Cambria Math" w:hAnsi="Cambria Math"/>
                </w:rPr>
                <m:t>($4,086-$100)/$100</m:t>
              </m:r>
            </m:den>
          </m:f>
          <m:r>
            <w:rPr>
              <w:rFonts w:ascii="Cambria Math" w:hAnsi="Cambria Math"/>
            </w:rPr>
            <m:t>= -0.00354</m:t>
          </m:r>
        </m:oMath>
      </m:oMathPara>
    </w:p>
    <w:p w:rsidR="002E0003" w:rsidRDefault="002E0003" w:rsidP="00A83ABC">
      <w:pPr>
        <w:rPr>
          <w:rFonts w:eastAsiaTheme="minorEastAsia"/>
        </w:rPr>
      </w:pPr>
    </w:p>
    <w:p w:rsidR="00D87D1C" w:rsidRDefault="000A4E88" w:rsidP="00A83ABC">
      <w:pPr>
        <w:rPr>
          <w:rFonts w:eastAsiaTheme="minorEastAsia"/>
        </w:rPr>
      </w:pPr>
      <w:r>
        <w:rPr>
          <w:rFonts w:eastAsiaTheme="minorEastAsia"/>
        </w:rPr>
        <w:t xml:space="preserve">After converting the sign to positive, we see that the resulting elasticity value falls roughly in between the </w:t>
      </w:r>
      <w:r w:rsidR="0073339F">
        <w:t>“Day-</w:t>
      </w:r>
      <w:r w:rsidR="00490B88">
        <w:t>Of”</w:t>
      </w:r>
      <w:r>
        <w:rPr>
          <w:rFonts w:eastAsiaTheme="minorEastAsia"/>
        </w:rPr>
        <w:t xml:space="preserve"> and </w:t>
      </w:r>
      <w:r w:rsidR="00490B88">
        <w:t>“Fast Response”</w:t>
      </w:r>
      <w:r>
        <w:rPr>
          <w:rFonts w:eastAsiaTheme="minorEastAsia"/>
        </w:rPr>
        <w:t xml:space="preserve"> values from </w:t>
      </w:r>
      <w:r>
        <w:rPr>
          <w:rFonts w:eastAsiaTheme="minorEastAsia"/>
        </w:rPr>
        <w:fldChar w:fldCharType="begin"/>
      </w:r>
      <w:r>
        <w:rPr>
          <w:rFonts w:eastAsiaTheme="minorEastAsia"/>
        </w:rPr>
        <w:instrText xml:space="preserve"> REF _Ref406084005 \h </w:instrText>
      </w:r>
      <w:r w:rsidR="00CF2BE5">
        <w:rPr>
          <w:rFonts w:eastAsiaTheme="minorEastAsia"/>
        </w:rPr>
        <w:instrText xml:space="preserve"> \* MERGEFORMAT </w:instrText>
      </w:r>
      <w:r>
        <w:rPr>
          <w:rFonts w:eastAsiaTheme="minorEastAsia"/>
        </w:rPr>
      </w:r>
      <w:r>
        <w:rPr>
          <w:rFonts w:eastAsiaTheme="minorEastAsia"/>
        </w:rPr>
        <w:fldChar w:fldCharType="separate"/>
      </w:r>
      <w:r w:rsidR="00803DBE" w:rsidRPr="00026064">
        <w:t xml:space="preserve">Table </w:t>
      </w:r>
      <w:r w:rsidR="00803DBE">
        <w:rPr>
          <w:noProof/>
        </w:rPr>
        <w:t>6</w:t>
      </w:r>
      <w:r w:rsidR="00803DBE">
        <w:rPr>
          <w:noProof/>
        </w:rPr>
        <w:noBreakHyphen/>
        <w:t>2</w:t>
      </w:r>
      <w:r>
        <w:rPr>
          <w:rFonts w:eastAsiaTheme="minorEastAsia"/>
        </w:rPr>
        <w:fldChar w:fldCharType="end"/>
      </w:r>
      <w:r>
        <w:rPr>
          <w:rFonts w:eastAsiaTheme="minorEastAsia"/>
        </w:rPr>
        <w:t xml:space="preserve">, which is exactly the type of DR product being procured by PJM. </w:t>
      </w:r>
      <w:r w:rsidR="00D87D1C">
        <w:rPr>
          <w:rFonts w:eastAsiaTheme="minorEastAsia"/>
        </w:rPr>
        <w:t xml:space="preserve">This exercise gave the SWE Team confidence that the elasticity estimates from California were reasonable to use in Pennsylvania. Even though electric rates are higher in California, we believe that commercial customers face similar tradeoffs with regard to accepting incentives to reduce electric consumptions and negatively impact their primary business model. </w:t>
      </w:r>
    </w:p>
    <w:p w:rsidR="002E0003" w:rsidRPr="00AE0A3B" w:rsidRDefault="002E0003" w:rsidP="00A83ABC">
      <w:pPr>
        <w:rPr>
          <w:rFonts w:eastAsiaTheme="minorEastAsia"/>
        </w:rPr>
      </w:pPr>
    </w:p>
    <w:p w:rsidR="00E86A5B" w:rsidRDefault="00E86A5B" w:rsidP="00A83ABC">
      <w:pPr>
        <w:pStyle w:val="Heading3"/>
      </w:pPr>
      <w:bookmarkStart w:id="256" w:name="_Toc412628426"/>
      <w:r>
        <w:t>Sample Calculation</w:t>
      </w:r>
      <w:bookmarkEnd w:id="256"/>
    </w:p>
    <w:p w:rsidR="00E86A5B" w:rsidRDefault="00026064" w:rsidP="00A83ABC">
      <w:pPr>
        <w:spacing w:after="120"/>
      </w:pPr>
      <w:r>
        <w:t xml:space="preserve">Elasticity values are used to estimate the </w:t>
      </w:r>
      <w:r w:rsidR="00037A03">
        <w:t>DR</w:t>
      </w:r>
      <w:r>
        <w:t xml:space="preserve"> potential for a given incentive level.</w:t>
      </w:r>
      <w:r w:rsidR="004E56B1">
        <w:t xml:space="preserve"> </w:t>
      </w:r>
      <w:r>
        <w:t>Rearranging the elasticity equation,</w:t>
      </w:r>
      <w:r w:rsidR="00081461">
        <w:t xml:space="preserve"> we have the pieces necessary to estimate a change in quantity of DR supplied:</w:t>
      </w:r>
    </w:p>
    <w:p w:rsidR="00026064" w:rsidRPr="002C4072" w:rsidRDefault="00026064" w:rsidP="00A83ABC">
      <w:pPr>
        <w:rPr>
          <w:rFonts w:eastAsiaTheme="minorEastAsia"/>
        </w:rPr>
      </w:pPr>
      <m:oMathPara>
        <m:oMathParaPr>
          <m:jc m:val="center"/>
        </m:oMathParaPr>
        <m:oMath>
          <m:r>
            <w:rPr>
              <w:rFonts w:ascii="Cambria Math" w:hAnsi="Cambria Math"/>
            </w:rPr>
            <m:t>%∆Q=%∆P* ϵ</m:t>
          </m:r>
        </m:oMath>
      </m:oMathPara>
    </w:p>
    <w:p w:rsidR="00026064" w:rsidRPr="00026064" w:rsidRDefault="00026064" w:rsidP="00A83ABC">
      <w:pPr>
        <w:rPr>
          <w:rFonts w:eastAsiaTheme="minorEastAsia"/>
        </w:rPr>
      </w:pPr>
    </w:p>
    <w:p w:rsidR="00026064" w:rsidRPr="002C4072" w:rsidRDefault="00026064" w:rsidP="00A83ABC">
      <m:oMathPara>
        <m:oMathParaPr>
          <m:jc m:val="center"/>
        </m:oMathParaPr>
        <m:oMath>
          <m:r>
            <w:rPr>
              <w:rFonts w:ascii="Cambria Math" w:hAnsi="Cambria Math"/>
            </w:rPr>
            <m:t xml:space="preserve">%∆Q=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um>
            <m:den>
              <m:sSub>
                <m:sSubPr>
                  <m:ctrlPr>
                    <w:rPr>
                      <w:rFonts w:ascii="Cambria Math" w:hAnsi="Cambria Math"/>
                      <w:i/>
                    </w:rPr>
                  </m:ctrlPr>
                </m:sSubPr>
                <m:e>
                  <m:r>
                    <w:rPr>
                      <w:rFonts w:ascii="Cambria Math" w:hAnsi="Cambria Math"/>
                    </w:rPr>
                    <m:t>P</m:t>
                  </m:r>
                </m:e>
                <m:sub>
                  <m:r>
                    <w:rPr>
                      <w:rFonts w:ascii="Cambria Math" w:hAnsi="Cambria Math"/>
                    </w:rPr>
                    <m:t>0</m:t>
                  </m:r>
                </m:sub>
              </m:sSub>
            </m:den>
          </m:f>
          <m:r>
            <w:rPr>
              <w:rFonts w:ascii="Cambria Math" w:eastAsiaTheme="minorEastAsia" w:hAnsi="Cambria Math"/>
            </w:rPr>
            <m:t>* ϵ</m:t>
          </m:r>
        </m:oMath>
      </m:oMathPara>
    </w:p>
    <w:p w:rsidR="00026064" w:rsidRDefault="00026064" w:rsidP="00A83ABC">
      <w:pPr>
        <w:rPr>
          <w:highlight w:val="yellow"/>
        </w:rPr>
      </w:pPr>
    </w:p>
    <w:p w:rsidR="004E56B1" w:rsidRDefault="00081461" w:rsidP="00A83ABC">
      <w:r>
        <w:t>The initial price,</w:t>
      </w:r>
      <w:r w:rsidR="004E56B1">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for ea</w:t>
      </w:r>
      <w:r w:rsidR="002143D1">
        <w:t>ch segment is given by each EDC</w:t>
      </w:r>
      <w:r>
        <w:t>s retail electricity rate</w:t>
      </w:r>
      <w:r w:rsidR="004E56B1">
        <w:t xml:space="preserve"> ($/kWh)</w:t>
      </w:r>
      <w:r>
        <w:t>.</w:t>
      </w:r>
      <w:r w:rsidR="004E56B1">
        <w:t xml:space="preserve"> </w:t>
      </w:r>
      <w:r w:rsidR="00D87D1C">
        <w:t>Most EDC</w:t>
      </w:r>
      <w:r>
        <w:t>s have a separate rate for industrial and commercial accounts.</w:t>
      </w:r>
      <w:r w:rsidR="004E56B1">
        <w:t xml:space="preserve"> </w:t>
      </w:r>
      <w:r>
        <w:t xml:space="preserve">The </w:t>
      </w:r>
      <w:r w:rsidR="004E56B1">
        <w:t xml:space="preserve">new </w:t>
      </w:r>
      <w:r w:rsidR="00C441EB">
        <w:t>price,</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oMath>
      <w:r w:rsidR="00C441EB">
        <w:t xml:space="preserve">, is </w:t>
      </w:r>
      <w:r w:rsidR="004E56B1">
        <w:t>determined</w:t>
      </w:r>
      <w:r w:rsidR="00C441EB">
        <w:t xml:space="preserve"> by the incentive level</w:t>
      </w:r>
      <w:r w:rsidR="004E56B1">
        <w:t xml:space="preserve"> and the number of hours the site will be expected to perform</w:t>
      </w:r>
      <w:r w:rsidR="00C441EB">
        <w:t>.</w:t>
      </w:r>
      <w:r w:rsidR="004E56B1">
        <w:t xml:space="preserve"> </w:t>
      </w:r>
      <w:r w:rsidR="00C441EB">
        <w:t xml:space="preserve">The elasticity values </w:t>
      </w:r>
      <w:r w:rsidR="004E56B1">
        <w:t>used in this study were</w:t>
      </w:r>
      <w:r w:rsidR="00C441EB">
        <w:t xml:space="preserve"> presented in </w:t>
      </w:r>
      <w:r w:rsidR="00C441EB">
        <w:fldChar w:fldCharType="begin"/>
      </w:r>
      <w:r w:rsidR="00C441EB">
        <w:instrText xml:space="preserve"> REF _Ref406084005 \h </w:instrText>
      </w:r>
      <w:r w:rsidR="00CF2BE5">
        <w:instrText xml:space="preserve"> \* MERGEFORMAT </w:instrText>
      </w:r>
      <w:r w:rsidR="00C441EB">
        <w:fldChar w:fldCharType="separate"/>
      </w:r>
      <w:r w:rsidR="00803DBE" w:rsidRPr="00026064">
        <w:t xml:space="preserve">Table </w:t>
      </w:r>
      <w:r w:rsidR="00803DBE">
        <w:rPr>
          <w:noProof/>
        </w:rPr>
        <w:t>6</w:t>
      </w:r>
      <w:r w:rsidR="00803DBE">
        <w:rPr>
          <w:noProof/>
        </w:rPr>
        <w:noBreakHyphen/>
        <w:t>2</w:t>
      </w:r>
      <w:r w:rsidR="00C441EB">
        <w:fldChar w:fldCharType="end"/>
      </w:r>
      <w:r w:rsidR="00C441EB">
        <w:t>.</w:t>
      </w:r>
      <w:r w:rsidR="004E56B1">
        <w:t xml:space="preserve"> A sample calculation is provided below for illustration.</w:t>
      </w:r>
    </w:p>
    <w:p w:rsidR="004E56B1" w:rsidRPr="00FA5C3C" w:rsidRDefault="004E56B1" w:rsidP="00A83ABC"/>
    <w:p w:rsidR="00E86A5B" w:rsidRDefault="004E56B1" w:rsidP="00A83ABC">
      <w:pPr>
        <w:spacing w:after="120"/>
      </w:pPr>
      <w:r>
        <w:t xml:space="preserve">Consider the fast response DR potential for an EDC whose eligible accounts classified as Warehouse represent 5 MW of the summer peak load forecast, have </w:t>
      </w:r>
      <w:r w:rsidR="00C441EB">
        <w:t xml:space="preserve">a retail rate of $0.09 per kWh, a total of 24 </w:t>
      </w:r>
      <w:r w:rsidR="00037A03">
        <w:t>DR</w:t>
      </w:r>
      <w:r w:rsidR="00C441EB">
        <w:t xml:space="preserve"> program hours,</w:t>
      </w:r>
      <w:r w:rsidR="008B0A8E">
        <w:t xml:space="preserve"> and</w:t>
      </w:r>
      <w:r w:rsidR="00C441EB">
        <w:t xml:space="preserve"> an elasticity value of </w:t>
      </w:r>
      <w:r w:rsidR="00016D8B">
        <w:t>-</w:t>
      </w:r>
      <w:r w:rsidR="008B0A8E">
        <w:t xml:space="preserve">0.003 (bottom right cell of </w:t>
      </w:r>
      <w:r w:rsidR="008B0A8E">
        <w:fldChar w:fldCharType="begin"/>
      </w:r>
      <w:r w:rsidR="008B0A8E">
        <w:instrText xml:space="preserve"> REF _Ref406084005 \h </w:instrText>
      </w:r>
      <w:r w:rsidR="00CF2BE5">
        <w:instrText xml:space="preserve"> \* MERGEFORMAT </w:instrText>
      </w:r>
      <w:r w:rsidR="008B0A8E">
        <w:fldChar w:fldCharType="separate"/>
      </w:r>
      <w:r w:rsidR="00803DBE" w:rsidRPr="00026064">
        <w:t xml:space="preserve">Table </w:t>
      </w:r>
      <w:r w:rsidR="00803DBE">
        <w:rPr>
          <w:noProof/>
        </w:rPr>
        <w:t>6</w:t>
      </w:r>
      <w:r w:rsidR="00803DBE">
        <w:rPr>
          <w:noProof/>
        </w:rPr>
        <w:noBreakHyphen/>
        <w:t>2</w:t>
      </w:r>
      <w:r w:rsidR="008B0A8E">
        <w:fldChar w:fldCharType="end"/>
      </w:r>
      <w:r w:rsidR="008B0A8E">
        <w:t>)</w:t>
      </w:r>
      <w:r w:rsidR="00C441EB">
        <w:t>.</w:t>
      </w:r>
      <w:r>
        <w:t xml:space="preserve"> </w:t>
      </w:r>
      <w:r w:rsidR="00D87D1C">
        <w:t>For this calculation we</w:t>
      </w:r>
      <w:r w:rsidR="008B0A8E">
        <w:t xml:space="preserve"> assume that the DR incentive amount is $25 per kW. First we express the incentive on a $/kWh basis to align with the retail rate:</w:t>
      </w:r>
    </w:p>
    <w:p w:rsidR="008B0A8E" w:rsidRPr="002C4072" w:rsidRDefault="00E2011B" w:rsidP="00A83ABC">
      <w:pPr>
        <w:rPr>
          <w:rFonts w:eastAsiaTheme="minorEastAsia"/>
        </w:rPr>
      </w:pPr>
      <m:oMathPara>
        <m:oMathParaPr>
          <m:jc m:val="center"/>
        </m:oMathParaPr>
        <m:oMath>
          <m:f>
            <m:fPr>
              <m:ctrlPr>
                <w:rPr>
                  <w:rFonts w:ascii="Cambria Math" w:hAnsi="Cambria Math"/>
                  <w:i/>
                </w:rPr>
              </m:ctrlPr>
            </m:fPr>
            <m:num>
              <m:r>
                <w:rPr>
                  <w:rFonts w:ascii="Cambria Math" w:hAnsi="Cambria Math"/>
                </w:rPr>
                <m:t>$25</m:t>
              </m:r>
            </m:num>
            <m:den>
              <m:r>
                <w:rPr>
                  <w:rFonts w:ascii="Cambria Math" w:hAnsi="Cambria Math"/>
                </w:rPr>
                <m:t xml:space="preserve">24 </m:t>
              </m:r>
              <m:r>
                <w:rPr>
                  <w:rFonts w:ascii="Cambria Math" w:hAnsi="Cambria Math"/>
                </w:rPr>
                <m:t>hours</m:t>
              </m:r>
            </m:den>
          </m:f>
          <m:r>
            <w:rPr>
              <w:rFonts w:ascii="Cambria Math" w:hAnsi="Cambria Math"/>
            </w:rPr>
            <m:t xml:space="preserve">=$1.0461 incentive per kWh </m:t>
          </m:r>
        </m:oMath>
      </m:oMathPara>
    </w:p>
    <w:p w:rsidR="008B0A8E" w:rsidRDefault="008B0A8E" w:rsidP="00A83ABC"/>
    <w:p w:rsidR="003B5C90" w:rsidRDefault="008B0A8E" w:rsidP="00A83ABC">
      <w:pPr>
        <w:spacing w:after="120"/>
        <w:rPr>
          <w:rFonts w:eastAsiaTheme="minorEastAsia"/>
        </w:rPr>
      </w:pPr>
      <w:r>
        <w:rPr>
          <w:rFonts w:eastAsiaTheme="minorEastAsia"/>
        </w:rPr>
        <w:t xml:space="preserve">Next insert this value and the retail electric into the </w:t>
      </w:r>
      <m:oMath>
        <m:r>
          <w:rPr>
            <w:rFonts w:ascii="Cambria Math" w:hAnsi="Cambria Math"/>
          </w:rPr>
          <m:t>%∆P</m:t>
        </m:r>
      </m:oMath>
      <w:r>
        <w:rPr>
          <w:rFonts w:eastAsiaTheme="minorEastAsia"/>
        </w:rPr>
        <w:t xml:space="preserve"> equation.</w:t>
      </w:r>
    </w:p>
    <w:p w:rsidR="008B0A8E" w:rsidRPr="003B5C90" w:rsidRDefault="008B0A8E" w:rsidP="00A83ABC">
      <w:pPr>
        <w:rPr>
          <w:rFonts w:eastAsiaTheme="minorEastAsia"/>
        </w:rPr>
      </w:pPr>
    </w:p>
    <w:p w:rsidR="00C441EB" w:rsidRPr="002C4072" w:rsidRDefault="00016D8B" w:rsidP="00A83ABC">
      <w:pPr>
        <w:rPr>
          <w:rFonts w:eastAsiaTheme="minorEastAsia"/>
        </w:rPr>
      </w:pPr>
      <m:oMathPara>
        <m:oMathParaPr>
          <m:jc m:val="center"/>
        </m:oMathParaPr>
        <m:oMath>
          <m:r>
            <w:rPr>
              <w:rFonts w:ascii="Cambria Math" w:hAnsi="Cambria Math"/>
            </w:rPr>
            <m:t>%∆Q=</m:t>
          </m:r>
          <m:f>
            <m:fPr>
              <m:ctrlPr>
                <w:rPr>
                  <w:rFonts w:ascii="Cambria Math" w:hAnsi="Cambria Math"/>
                  <w:i/>
                </w:rPr>
              </m:ctrlPr>
            </m:fPr>
            <m:num>
              <m:d>
                <m:dPr>
                  <m:begChr m:val="["/>
                  <m:endChr m:val="]"/>
                  <m:ctrlPr>
                    <w:rPr>
                      <w:rFonts w:ascii="Cambria Math" w:hAnsi="Cambria Math"/>
                      <w:i/>
                    </w:rPr>
                  </m:ctrlPr>
                </m:dPr>
                <m:e>
                  <m:r>
                    <w:rPr>
                      <w:rFonts w:ascii="Cambria Math" w:hAnsi="Cambria Math"/>
                    </w:rPr>
                    <m:t>$1.0461-$0.09</m:t>
                  </m:r>
                </m:e>
              </m:d>
            </m:num>
            <m:den>
              <m:r>
                <w:rPr>
                  <w:rFonts w:ascii="Cambria Math" w:hAnsi="Cambria Math"/>
                </w:rPr>
                <m:t>$0.09</m:t>
              </m:r>
            </m:den>
          </m:f>
          <m:r>
            <w:rPr>
              <w:rFonts w:ascii="Cambria Math" w:hAnsi="Cambria Math"/>
            </w:rPr>
            <m:t>* -0.003</m:t>
          </m:r>
        </m:oMath>
      </m:oMathPara>
    </w:p>
    <w:p w:rsidR="008B0A8E" w:rsidRPr="002C5A82" w:rsidRDefault="008B0A8E" w:rsidP="00A83ABC">
      <w:pPr>
        <w:rPr>
          <w:rFonts w:eastAsiaTheme="minorEastAsia"/>
        </w:rPr>
      </w:pPr>
    </w:p>
    <w:p w:rsidR="002C5A82" w:rsidRDefault="008B0A8E" w:rsidP="00A83ABC">
      <w:pPr>
        <w:spacing w:after="120"/>
        <w:rPr>
          <w:rFonts w:eastAsiaTheme="minorEastAsia"/>
        </w:rPr>
      </w:pPr>
      <w:r>
        <w:rPr>
          <w:rFonts w:eastAsiaTheme="minorEastAsia"/>
        </w:rPr>
        <w:t>We see this is a 1062% change in the value of a kWh reduced</w:t>
      </w:r>
      <w:r>
        <w:rPr>
          <w:rStyle w:val="FootnoteReference"/>
          <w:rFonts w:eastAsiaTheme="minorEastAsia"/>
        </w:rPr>
        <w:footnoteReference w:id="131"/>
      </w:r>
      <w:r>
        <w:rPr>
          <w:rFonts w:eastAsiaTheme="minorEastAsia"/>
        </w:rPr>
        <w:t xml:space="preserve"> for these customers, then multiply by the elasticity value.</w:t>
      </w:r>
    </w:p>
    <w:p w:rsidR="008B0A8E" w:rsidRPr="002C4072" w:rsidRDefault="008B0A8E" w:rsidP="00A83ABC">
      <w:pPr>
        <w:rPr>
          <w:rFonts w:eastAsiaTheme="minorEastAsia"/>
        </w:rPr>
      </w:pPr>
      <m:oMathPara>
        <m:oMathParaPr>
          <m:jc m:val="center"/>
        </m:oMathParaPr>
        <m:oMath>
          <m:r>
            <w:rPr>
              <w:rFonts w:ascii="Cambria Math" w:hAnsi="Cambria Math"/>
            </w:rPr>
            <m:t>%∆Q=1062%* -0.003</m:t>
          </m:r>
        </m:oMath>
      </m:oMathPara>
    </w:p>
    <w:p w:rsidR="008B0A8E" w:rsidRDefault="008B0A8E" w:rsidP="00A83ABC">
      <w:pPr>
        <w:rPr>
          <w:rFonts w:eastAsiaTheme="minorEastAsia"/>
        </w:rPr>
      </w:pPr>
    </w:p>
    <w:p w:rsidR="008B0A8E" w:rsidRDefault="008B0A8E" w:rsidP="00A83ABC">
      <w:pPr>
        <w:spacing w:after="120"/>
        <w:rPr>
          <w:rFonts w:eastAsiaTheme="minorEastAsia"/>
        </w:rPr>
      </w:pPr>
      <w:r>
        <w:rPr>
          <w:rFonts w:eastAsiaTheme="minorEastAsia"/>
        </w:rPr>
        <w:t>Our elasticity assumption tells us this change in price will produce a 3.186% reduction in consumption.</w:t>
      </w:r>
    </w:p>
    <w:p w:rsidR="00C441EB" w:rsidRPr="002C4072" w:rsidRDefault="00016D8B" w:rsidP="00A83ABC">
      <w:pPr>
        <w:rPr>
          <w:rFonts w:eastAsiaTheme="minorEastAsia"/>
        </w:rPr>
      </w:pPr>
      <m:oMathPara>
        <m:oMathParaPr>
          <m:jc m:val="center"/>
        </m:oMathParaPr>
        <m:oMath>
          <m:r>
            <w:rPr>
              <w:rFonts w:ascii="Cambria Math" w:hAnsi="Cambria Math"/>
            </w:rPr>
            <m:t>%∆Q</m:t>
          </m:r>
          <m:r>
            <w:rPr>
              <w:rFonts w:ascii="Cambria Math" w:eastAsiaTheme="minorEastAsia" w:hAnsi="Cambria Math"/>
            </w:rPr>
            <m:t>= -3.186%</m:t>
          </m:r>
        </m:oMath>
      </m:oMathPara>
    </w:p>
    <w:p w:rsidR="002C5A82" w:rsidRDefault="002C5A82" w:rsidP="00A83ABC">
      <w:pPr>
        <w:rPr>
          <w:rFonts w:eastAsiaTheme="minorEastAsia"/>
        </w:rPr>
      </w:pPr>
    </w:p>
    <w:p w:rsidR="00E86148" w:rsidRPr="00E86148" w:rsidRDefault="00E86148" w:rsidP="00A83ABC">
      <w:pPr>
        <w:spacing w:after="120"/>
        <w:rPr>
          <w:rFonts w:eastAsiaTheme="minorEastAsia"/>
        </w:rPr>
      </w:pPr>
      <w:r>
        <w:rPr>
          <w:rFonts w:eastAsiaTheme="minorEastAsia"/>
        </w:rPr>
        <w:lastRenderedPageBreak/>
        <w:t>Our initial reference load (Q</w:t>
      </w:r>
      <w:r>
        <w:rPr>
          <w:rFonts w:eastAsiaTheme="minorEastAsia"/>
          <w:vertAlign w:val="subscript"/>
        </w:rPr>
        <w:t>0</w:t>
      </w:r>
      <w:r>
        <w:rPr>
          <w:rFonts w:eastAsiaTheme="minorEastAsia"/>
        </w:rPr>
        <w:t>) was 5 MW or 5,000 kWh in a given hour. Applying the calculated percent change to the reference load shows a reduction of:</w:t>
      </w:r>
    </w:p>
    <w:p w:rsidR="008B0A8E" w:rsidRPr="002C4072" w:rsidRDefault="00E86148" w:rsidP="00A83ABC">
      <w:pPr>
        <w:rPr>
          <w:rFonts w:eastAsiaTheme="minorEastAsia"/>
        </w:rPr>
      </w:pPr>
      <m:oMathPara>
        <m:oMathParaPr>
          <m:jc m:val="center"/>
        </m:oMathParaPr>
        <m:oMath>
          <m:r>
            <w:rPr>
              <w:rFonts w:ascii="Cambria Math" w:eastAsiaTheme="minorEastAsia" w:hAnsi="Cambria Math"/>
            </w:rPr>
            <m:t xml:space="preserve">5,000 kWh*-3.186%= -159.35 kWh load reduction </m:t>
          </m:r>
        </m:oMath>
      </m:oMathPara>
    </w:p>
    <w:p w:rsidR="00E86148" w:rsidRPr="00E86148" w:rsidRDefault="00E86148" w:rsidP="00A83ABC">
      <w:pPr>
        <w:rPr>
          <w:rFonts w:eastAsiaTheme="minorEastAsia"/>
        </w:rPr>
      </w:pPr>
    </w:p>
    <w:p w:rsidR="00E86148" w:rsidRPr="00E86148" w:rsidRDefault="00E86148" w:rsidP="00A83ABC">
      <w:pPr>
        <w:spacing w:after="120"/>
        <w:rPr>
          <w:rFonts w:eastAsiaTheme="minorEastAsia"/>
        </w:rPr>
      </w:pPr>
      <w:r>
        <w:rPr>
          <w:rFonts w:eastAsiaTheme="minorEastAsia"/>
        </w:rPr>
        <w:t xml:space="preserve">This is expressed as </w:t>
      </w:r>
      <w:r w:rsidRPr="00E86148">
        <w:rPr>
          <w:rFonts w:eastAsiaTheme="minorEastAsia"/>
          <w:u w:val="single"/>
        </w:rPr>
        <w:t xml:space="preserve">0.159 MW of </w:t>
      </w:r>
      <w:r w:rsidR="00037A03">
        <w:rPr>
          <w:rFonts w:eastAsiaTheme="minorEastAsia"/>
          <w:u w:val="single"/>
        </w:rPr>
        <w:t>DR</w:t>
      </w:r>
      <w:r>
        <w:rPr>
          <w:rFonts w:eastAsiaTheme="minorEastAsia"/>
        </w:rPr>
        <w:t xml:space="preserve">. Similarly we could insert our calculated values of </w:t>
      </w:r>
      <m:oMath>
        <m:r>
          <w:rPr>
            <w:rFonts w:ascii="Cambria Math" w:hAnsi="Cambria Math"/>
          </w:rPr>
          <m:t>%∆Q</m:t>
        </m:r>
      </m:oMath>
      <w:r>
        <w:rPr>
          <w:rFonts w:eastAsiaTheme="minorEastAsia"/>
        </w:rPr>
        <w:t xml:space="preserve"> and Q</w:t>
      </w:r>
      <w:r>
        <w:rPr>
          <w:rFonts w:eastAsiaTheme="minorEastAsia"/>
          <w:vertAlign w:val="subscript"/>
        </w:rPr>
        <w:t xml:space="preserve">0 </w:t>
      </w:r>
      <w:r>
        <w:rPr>
          <w:rFonts w:eastAsiaTheme="minorEastAsia"/>
        </w:rPr>
        <w:t>into the equation for Q</w:t>
      </w:r>
      <w:r>
        <w:rPr>
          <w:rFonts w:eastAsiaTheme="minorEastAsia"/>
          <w:vertAlign w:val="subscript"/>
        </w:rPr>
        <w:t>1</w:t>
      </w:r>
      <w:r>
        <w:rPr>
          <w:rFonts w:eastAsiaTheme="minorEastAsia"/>
        </w:rPr>
        <w:t xml:space="preserve"> and arrive at the same result.</w:t>
      </w:r>
    </w:p>
    <w:p w:rsidR="00E86148" w:rsidRPr="002C4072" w:rsidRDefault="00E86148" w:rsidP="00A83ABC">
      <w:pPr>
        <w:rPr>
          <w:rFonts w:eastAsiaTheme="minorEastAsia"/>
        </w:rPr>
      </w:pPr>
      <m:oMathPara>
        <m:oMathParaPr>
          <m:jc m:val="center"/>
        </m:oMathParaPr>
        <m:oMath>
          <m:r>
            <w:rPr>
              <w:rFonts w:ascii="Cambria Math" w:hAnsi="Cambria Math"/>
            </w:rPr>
            <m:t xml:space="preserve">%∆Q=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num>
            <m:den>
              <m:sSub>
                <m:sSubPr>
                  <m:ctrlPr>
                    <w:rPr>
                      <w:rFonts w:ascii="Cambria Math" w:hAnsi="Cambria Math"/>
                      <w:i/>
                    </w:rPr>
                  </m:ctrlPr>
                </m:sSubPr>
                <m:e>
                  <m:r>
                    <w:rPr>
                      <w:rFonts w:ascii="Cambria Math" w:hAnsi="Cambria Math"/>
                    </w:rPr>
                    <m:t>Q</m:t>
                  </m:r>
                </m:e>
                <m:sub>
                  <m:r>
                    <w:rPr>
                      <w:rFonts w:ascii="Cambria Math" w:hAnsi="Cambria Math"/>
                    </w:rPr>
                    <m:t>0</m:t>
                  </m:r>
                </m:sub>
              </m:sSub>
            </m:den>
          </m:f>
        </m:oMath>
      </m:oMathPara>
    </w:p>
    <w:p w:rsidR="00E86148" w:rsidRDefault="00E86148" w:rsidP="00A83ABC">
      <w:pPr>
        <w:rPr>
          <w:rFonts w:eastAsiaTheme="minorEastAsia"/>
        </w:rPr>
      </w:pPr>
    </w:p>
    <w:p w:rsidR="00E86148" w:rsidRPr="002C4072" w:rsidRDefault="00E86148" w:rsidP="00A83ABC">
      <w:pPr>
        <w:rPr>
          <w:rFonts w:eastAsiaTheme="minorEastAsia"/>
        </w:rPr>
      </w:pPr>
      <m:oMathPara>
        <m:oMathParaPr>
          <m:jc m:val="center"/>
        </m:oMathParaPr>
        <m:oMath>
          <m:r>
            <w:rPr>
              <w:rFonts w:ascii="Cambria Math" w:hAnsi="Cambria Math"/>
            </w:rPr>
            <m:t xml:space="preserve">-3.186%=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-5 MW)</m:t>
              </m:r>
            </m:num>
            <m:den>
              <m:r>
                <w:rPr>
                  <w:rFonts w:ascii="Cambria Math" w:hAnsi="Cambria Math"/>
                </w:rPr>
                <m:t>5 MW</m:t>
              </m:r>
            </m:den>
          </m:f>
        </m:oMath>
      </m:oMathPara>
    </w:p>
    <w:p w:rsidR="00E86148" w:rsidRPr="00E86148" w:rsidRDefault="00E86148" w:rsidP="00A83ABC">
      <w:pPr>
        <w:rPr>
          <w:rFonts w:eastAsiaTheme="minorEastAsia"/>
        </w:rPr>
      </w:pPr>
    </w:p>
    <w:p w:rsidR="006B5201" w:rsidRDefault="00E86148" w:rsidP="00A83ABC">
      <w:pPr>
        <w:spacing w:after="120"/>
      </w:pPr>
      <w:r>
        <w:t>Once the algebra is complete, we are left with a result of:</w:t>
      </w:r>
    </w:p>
    <w:p w:rsidR="00E86148" w:rsidRPr="002C4072" w:rsidRDefault="00E2011B" w:rsidP="00A83ABC">
      <w:pPr>
        <w:rPr>
          <w:rFonts w:eastAsiaTheme="minorEastAsia"/>
        </w:rPr>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=4.841 MW</m:t>
          </m:r>
        </m:oMath>
      </m:oMathPara>
    </w:p>
    <w:p w:rsidR="004D5D50" w:rsidRDefault="004D5D50" w:rsidP="00A83ABC">
      <w:pPr>
        <w:rPr>
          <w:rFonts w:eastAsiaTheme="minorEastAsia"/>
        </w:rPr>
      </w:pPr>
    </w:p>
    <w:p w:rsidR="001F76C8" w:rsidRDefault="004D5D50" w:rsidP="00A83ABC">
      <w:pPr>
        <w:rPr>
          <w:rFonts w:eastAsiaTheme="minorEastAsia"/>
        </w:rPr>
      </w:pPr>
      <w:r>
        <w:rPr>
          <w:rFonts w:eastAsiaTheme="minorEastAsia"/>
        </w:rPr>
        <w:t xml:space="preserve">Which is (5 – 4.841) = </w:t>
      </w:r>
      <w:r w:rsidRPr="004D5D50">
        <w:rPr>
          <w:rFonts w:eastAsiaTheme="minorEastAsia"/>
        </w:rPr>
        <w:t>0.159 MW less than the reference load</w:t>
      </w:r>
      <w:r>
        <w:rPr>
          <w:rFonts w:eastAsiaTheme="minorEastAsia"/>
        </w:rPr>
        <w:t xml:space="preserve">, or </w:t>
      </w:r>
      <w:r w:rsidRPr="004D5D50">
        <w:rPr>
          <w:rFonts w:eastAsiaTheme="minorEastAsia"/>
          <w:u w:val="single"/>
        </w:rPr>
        <w:t xml:space="preserve">0.159 MW of </w:t>
      </w:r>
      <w:r w:rsidR="00037A03">
        <w:rPr>
          <w:rFonts w:eastAsiaTheme="minorEastAsia"/>
          <w:u w:val="single"/>
        </w:rPr>
        <w:t>DR</w:t>
      </w:r>
      <w:r>
        <w:rPr>
          <w:rFonts w:eastAsiaTheme="minorEastAsia"/>
        </w:rPr>
        <w:t>.</w:t>
      </w:r>
    </w:p>
    <w:p w:rsidR="001F76C8" w:rsidRDefault="001F76C8" w:rsidP="00A83ABC">
      <w:pPr>
        <w:rPr>
          <w:rFonts w:eastAsiaTheme="minorEastAsia"/>
        </w:rPr>
      </w:pPr>
    </w:p>
    <w:p w:rsidR="001F76C8" w:rsidRDefault="00707BF0" w:rsidP="00A83ABC">
      <w:pPr>
        <w:rPr>
          <w:rFonts w:eastAsiaTheme="minorEastAsia"/>
        </w:rPr>
      </w:pPr>
      <w:r>
        <w:rPr>
          <w:rFonts w:eastAsiaTheme="minorEastAsia"/>
        </w:rPr>
        <w:t xml:space="preserve">The application of these calculations and the subsequent effect of incentive amounts on DR potential are illustrated graphically in </w:t>
      </w:r>
      <w:r>
        <w:rPr>
          <w:rFonts w:eastAsiaTheme="minorEastAsia"/>
        </w:rPr>
        <w:fldChar w:fldCharType="begin"/>
      </w:r>
      <w:r>
        <w:rPr>
          <w:rFonts w:eastAsiaTheme="minorEastAsia"/>
        </w:rPr>
        <w:instrText xml:space="preserve"> REF _Ref407784855 \h </w:instrText>
      </w:r>
      <w:r>
        <w:rPr>
          <w:rFonts w:eastAsiaTheme="minorEastAsia"/>
        </w:rPr>
      </w:r>
      <w:r>
        <w:rPr>
          <w:rFonts w:eastAsiaTheme="minorEastAsia"/>
        </w:rPr>
        <w:fldChar w:fldCharType="separate"/>
      </w:r>
      <w:r w:rsidR="00803DBE">
        <w:t xml:space="preserve">Figure </w:t>
      </w:r>
      <w:r w:rsidR="00803DBE">
        <w:rPr>
          <w:noProof/>
        </w:rPr>
        <w:t>6</w:t>
      </w:r>
      <w:r w:rsidR="00803DBE">
        <w:noBreakHyphen/>
      </w:r>
      <w:r w:rsidR="00803DBE">
        <w:rPr>
          <w:noProof/>
        </w:rPr>
        <w:t>2</w:t>
      </w:r>
      <w:r>
        <w:rPr>
          <w:rFonts w:eastAsiaTheme="minorEastAsia"/>
        </w:rPr>
        <w:fldChar w:fldCharType="end"/>
      </w:r>
      <w:r>
        <w:rPr>
          <w:rFonts w:eastAsiaTheme="minorEastAsia"/>
        </w:rPr>
        <w:t>.</w:t>
      </w:r>
    </w:p>
    <w:p w:rsidR="001F76C8" w:rsidRDefault="001F76C8" w:rsidP="00A83ABC">
      <w:pPr>
        <w:rPr>
          <w:rFonts w:eastAsiaTheme="minorEastAsia"/>
        </w:rPr>
      </w:pPr>
    </w:p>
    <w:p w:rsidR="001F76C8" w:rsidRDefault="001F76C8" w:rsidP="00A83ABC">
      <w:pPr>
        <w:pStyle w:val="Caption"/>
        <w:keepNext/>
      </w:pPr>
      <w:bookmarkStart w:id="257" w:name="_Ref407784855"/>
      <w:bookmarkStart w:id="258" w:name="_Toc412628518"/>
      <w:r>
        <w:t xml:space="preserve">Figure </w:t>
      </w:r>
      <w:r w:rsidR="00E2011B">
        <w:fldChar w:fldCharType="begin"/>
      </w:r>
      <w:r w:rsidR="00E2011B">
        <w:instrText xml:space="preserve"> STYLEREF 1 </w:instrText>
      </w:r>
      <w:r w:rsidR="00E2011B">
        <w:instrText xml:space="preserve">\s </w:instrText>
      </w:r>
      <w:r w:rsidR="00E2011B">
        <w:fldChar w:fldCharType="separate"/>
      </w:r>
      <w:r w:rsidR="00803DBE">
        <w:rPr>
          <w:noProof/>
        </w:rPr>
        <w:t>6</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2</w:t>
      </w:r>
      <w:r w:rsidR="00E2011B">
        <w:rPr>
          <w:noProof/>
        </w:rPr>
        <w:fldChar w:fldCharType="end"/>
      </w:r>
      <w:bookmarkEnd w:id="257"/>
      <w:r>
        <w:t xml:space="preserve">: PECO </w:t>
      </w:r>
      <w:r w:rsidR="00123C18">
        <w:t>Day-Ahead</w:t>
      </w:r>
      <w:r>
        <w:t xml:space="preserve"> DR Potential by Customer Segment and Incentive Amount</w:t>
      </w:r>
      <w:bookmarkEnd w:id="258"/>
    </w:p>
    <w:p w:rsidR="001F76C8" w:rsidRPr="004D5D50" w:rsidRDefault="001F76C8" w:rsidP="00A83ABC">
      <w:pPr>
        <w:rPr>
          <w:rFonts w:eastAsiaTheme="minorEastAsia"/>
        </w:rPr>
      </w:pPr>
      <w:r>
        <w:rPr>
          <w:rFonts w:eastAsiaTheme="minorEastAsia"/>
          <w:noProof/>
        </w:rPr>
        <w:drawing>
          <wp:inline distT="0" distB="0" distL="0" distR="0" wp14:anchorId="7CBE76F1" wp14:editId="31E6063F">
            <wp:extent cx="5791783" cy="2886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151" t="1631" r="1809" b="2494"/>
                    <a:stretch/>
                  </pic:blipFill>
                  <pic:spPr bwMode="auto">
                    <a:xfrm>
                      <a:off x="0" y="0"/>
                      <a:ext cx="5798465" cy="2889405"/>
                    </a:xfrm>
                    <a:prstGeom prst="rect">
                      <a:avLst/>
                    </a:prstGeom>
                    <a:noFill/>
                    <a:ln>
                      <a:noFill/>
                    </a:ln>
                    <a:extLst>
                      <a:ext uri="{53640926-AAD7-44D8-BBD7-CCE9431645EC}">
                        <a14:shadowObscured xmlns:a14="http://schemas.microsoft.com/office/drawing/2010/main"/>
                      </a:ext>
                    </a:extLst>
                  </pic:spPr>
                </pic:pic>
              </a:graphicData>
            </a:graphic>
          </wp:inline>
        </w:drawing>
      </w:r>
    </w:p>
    <w:p w:rsidR="00E86148" w:rsidRDefault="00E86148" w:rsidP="00A83ABC"/>
    <w:p w:rsidR="006B5201" w:rsidRDefault="002D6436" w:rsidP="00A83ABC">
      <w:pPr>
        <w:pStyle w:val="Heading2"/>
      </w:pPr>
      <w:bookmarkStart w:id="259" w:name="_Toc412628427"/>
      <w:r>
        <w:t>C&amp;I</w:t>
      </w:r>
      <w:r w:rsidR="006B5201">
        <w:t xml:space="preserve"> Benefits and Costs</w:t>
      </w:r>
      <w:bookmarkEnd w:id="259"/>
    </w:p>
    <w:p w:rsidR="002E442D" w:rsidRDefault="00D87D1C" w:rsidP="00A83ABC">
      <w:r>
        <w:t xml:space="preserve">Customer incentives are the primary cost of a C&amp;I load curtailment program. There are inherent tradeoffs associated with setting incentives between potential and TRC that must be considered. EDCs could offer generous incentives that would cause customers to flock to the program and produce large estimates of DR potential, but the TRC ratio of such a program would be poor. Conversely, an EDC could elect to offer minimal incentives to customers in order to produce a program with a high TRC ratio, but very few customers would participate and DR potential would be low. While it may be true that setting incentives at a level that produces a TRC ratio of 1.0 would produce the largest DR potential that would </w:t>
      </w:r>
      <w:r>
        <w:lastRenderedPageBreak/>
        <w:t xml:space="preserve">pass the TRC test, this does not mean that we have maximized the value of the program. The TRC ratio only measures the relationship between costs and benefits—it does not provide information that allows us to select the most valuable project from a set of alternatives. The SWE Team’s analysis identifies the incentive amount that maximizes the PVNB. This amount is calculated separately for each EDC and is based on the avoided costs of generation, transmission, and distribution capacity, line loss factors, participant cost assumptions, the distribution of peak load amongst customer segments, and the price elasticity of each segment. The incentive amount that maximizes the </w:t>
      </w:r>
      <w:r w:rsidR="005F3690">
        <w:t>PVNB</w:t>
      </w:r>
      <w:r>
        <w:t xml:space="preserve"> varies by EDC. </w:t>
      </w:r>
      <w:r w:rsidR="005A043C">
        <w:t xml:space="preserve"> </w:t>
      </w:r>
      <w:r w:rsidR="00B177D1">
        <w:fldChar w:fldCharType="begin"/>
      </w:r>
      <w:r w:rsidR="00B177D1">
        <w:instrText xml:space="preserve"> REF _Ref406504681 \h </w:instrText>
      </w:r>
      <w:r w:rsidR="00CF2BE5">
        <w:instrText xml:space="preserve"> \* MERGEFORMAT </w:instrText>
      </w:r>
      <w:r w:rsidR="00B177D1">
        <w:fldChar w:fldCharType="separate"/>
      </w:r>
      <w:r w:rsidR="00803DBE" w:rsidRPr="004D5D50">
        <w:t xml:space="preserve">Figure </w:t>
      </w:r>
      <w:r w:rsidR="00803DBE">
        <w:rPr>
          <w:noProof/>
        </w:rPr>
        <w:t>6</w:t>
      </w:r>
      <w:r w:rsidR="00803DBE">
        <w:rPr>
          <w:noProof/>
        </w:rPr>
        <w:noBreakHyphen/>
        <w:t>3</w:t>
      </w:r>
      <w:r w:rsidR="00B177D1">
        <w:fldChar w:fldCharType="end"/>
      </w:r>
      <w:r w:rsidR="00AA58DD">
        <w:t xml:space="preserve"> shows the</w:t>
      </w:r>
      <w:r w:rsidR="00B177D1">
        <w:t xml:space="preserve"> </w:t>
      </w:r>
      <w:r w:rsidR="00AA58DD">
        <w:t>relationship between incentive amounts, PVNB, TRC graphically</w:t>
      </w:r>
      <w:r w:rsidR="00B177D1">
        <w:t xml:space="preserve">. </w:t>
      </w:r>
      <w:r w:rsidR="00AA58DD">
        <w:t xml:space="preserve">The SWE </w:t>
      </w:r>
      <w:r w:rsidR="00A61CA7">
        <w:t xml:space="preserve">Team’s </w:t>
      </w:r>
      <w:r w:rsidR="00AA58DD">
        <w:t>approach is to select the incentive payment which corresponds to the apex of the PVNB curve.</w:t>
      </w:r>
    </w:p>
    <w:p w:rsidR="002E442D" w:rsidRDefault="002E442D" w:rsidP="00A83ABC"/>
    <w:p w:rsidR="002E442D" w:rsidRPr="004D5D50" w:rsidRDefault="002E442D" w:rsidP="00A83ABC">
      <w:pPr>
        <w:pStyle w:val="Caption"/>
        <w:keepNext/>
      </w:pPr>
      <w:bookmarkStart w:id="260" w:name="_Ref406504681"/>
      <w:bookmarkStart w:id="261" w:name="_Toc412628519"/>
      <w:r w:rsidRPr="004D5D50">
        <w:t xml:space="preserve">Figure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3</w:t>
      </w:r>
      <w:r w:rsidR="00E2011B">
        <w:rPr>
          <w:noProof/>
        </w:rPr>
        <w:fldChar w:fldCharType="end"/>
      </w:r>
      <w:bookmarkEnd w:id="260"/>
      <w:r w:rsidR="00B177D1" w:rsidRPr="004D5D50">
        <w:t>: Relationship b</w:t>
      </w:r>
      <w:r w:rsidRPr="004D5D50">
        <w:t xml:space="preserve">etween PVNB and </w:t>
      </w:r>
      <w:r w:rsidR="00AA58DD" w:rsidRPr="004D5D50">
        <w:t>Incentive Payment</w:t>
      </w:r>
      <w:bookmarkEnd w:id="261"/>
    </w:p>
    <w:p w:rsidR="005A043C" w:rsidRDefault="00AA58DD" w:rsidP="00A83ABC">
      <w:pPr>
        <w:jc w:val="center"/>
      </w:pPr>
      <w:r>
        <w:rPr>
          <w:noProof/>
          <w:sz w:val="16"/>
          <w:szCs w:val="16"/>
        </w:rPr>
        <w:drawing>
          <wp:inline distT="0" distB="0" distL="0" distR="0" wp14:anchorId="608A5AC1" wp14:editId="36C87CF9">
            <wp:extent cx="4822166" cy="350276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NB vs TRC.png"/>
                    <pic:cNvPicPr/>
                  </pic:nvPicPr>
                  <pic:blipFill>
                    <a:blip r:embed="rId29">
                      <a:extLst>
                        <a:ext uri="{28A0092B-C50C-407E-A947-70E740481C1C}">
                          <a14:useLocalDpi xmlns:a14="http://schemas.microsoft.com/office/drawing/2010/main" val="0"/>
                        </a:ext>
                      </a:extLst>
                    </a:blip>
                    <a:stretch>
                      <a:fillRect/>
                    </a:stretch>
                  </pic:blipFill>
                  <pic:spPr>
                    <a:xfrm>
                      <a:off x="0" y="0"/>
                      <a:ext cx="4826815" cy="3506145"/>
                    </a:xfrm>
                    <a:prstGeom prst="rect">
                      <a:avLst/>
                    </a:prstGeom>
                  </pic:spPr>
                </pic:pic>
              </a:graphicData>
            </a:graphic>
          </wp:inline>
        </w:drawing>
      </w:r>
    </w:p>
    <w:p w:rsidR="00B177D1" w:rsidRDefault="00B177D1" w:rsidP="00A83ABC"/>
    <w:p w:rsidR="00803DBE" w:rsidRPr="00803DBE" w:rsidRDefault="00B177D1" w:rsidP="00803DBE">
      <w:r>
        <w:fldChar w:fldCharType="begin"/>
      </w:r>
      <w:r>
        <w:instrText xml:space="preserve"> REF _Ref406505063 \h </w:instrText>
      </w:r>
      <w:r w:rsidR="00CF2BE5">
        <w:instrText xml:space="preserve"> \* MERGEFORMAT </w:instrText>
      </w:r>
      <w:r>
        <w:fldChar w:fldCharType="separate"/>
      </w:r>
    </w:p>
    <w:p w:rsidR="00B177D1" w:rsidRDefault="00803DBE" w:rsidP="00A83ABC">
      <w:r w:rsidRPr="00803DBE">
        <w:rPr>
          <w:bCs/>
        </w:rPr>
        <w:t>Table</w:t>
      </w:r>
      <w:r w:rsidRPr="006547C8">
        <w:t xml:space="preserve"> </w:t>
      </w:r>
      <w:r>
        <w:rPr>
          <w:noProof/>
        </w:rPr>
        <w:t>6</w:t>
      </w:r>
      <w:r>
        <w:rPr>
          <w:noProof/>
        </w:rPr>
        <w:noBreakHyphen/>
        <w:t>3</w:t>
      </w:r>
      <w:r w:rsidR="00B177D1">
        <w:fldChar w:fldCharType="end"/>
      </w:r>
      <w:r w:rsidR="00B177D1">
        <w:t xml:space="preserve"> </w:t>
      </w:r>
      <w:r w:rsidR="00D87D1C">
        <w:t xml:space="preserve">presents the DR incentive payment amounts that maximize PVNB for each EDC in </w:t>
      </w:r>
      <w:r w:rsidR="005F3690">
        <w:t>PY</w:t>
      </w:r>
      <w:r w:rsidR="00D87D1C">
        <w:t xml:space="preserve">8. Incentive payments are escalated annually using the 5-year rolling average of the </w:t>
      </w:r>
      <w:r w:rsidR="007309D6">
        <w:t xml:space="preserve">US </w:t>
      </w:r>
      <w:r w:rsidR="00D87D1C">
        <w:t>Bureau of Labor and Statistics’ (BLS) factor</w:t>
      </w:r>
      <w:r w:rsidR="00D87D1C">
        <w:rPr>
          <w:rStyle w:val="FootnoteReference"/>
        </w:rPr>
        <w:footnoteReference w:id="132"/>
      </w:r>
      <w:r w:rsidR="00D87D1C">
        <w:t xml:space="preserve">. It is also critical to note that the incentive structure modeled by the SWE Team in this study is a reservation payment. This is fundamentally different from the energy payment model the EDCs implemented in Phase I of Act 129 where customers were paid based on performance on an hourly basis. A reservation payment model incents customers to produce the committed load reduction when dispatched and the payment amount does not depend on the number of event hours called. The number of annual hours is still subject to the program design characteristics discussed in Section </w:t>
      </w:r>
      <w:r w:rsidR="00FA7C4B">
        <w:fldChar w:fldCharType="begin"/>
      </w:r>
      <w:r w:rsidR="00FA7C4B">
        <w:instrText xml:space="preserve"> REF _Ref406506016 \r \h </w:instrText>
      </w:r>
      <w:r w:rsidR="00CF2BE5">
        <w:instrText xml:space="preserve"> \* MERGEFORMAT </w:instrText>
      </w:r>
      <w:r w:rsidR="00FA7C4B">
        <w:fldChar w:fldCharType="separate"/>
      </w:r>
      <w:r>
        <w:t>2.7</w:t>
      </w:r>
      <w:r w:rsidR="00FA7C4B">
        <w:fldChar w:fldCharType="end"/>
      </w:r>
      <w:r w:rsidR="00FA7C4B">
        <w:t>.</w:t>
      </w:r>
    </w:p>
    <w:p w:rsidR="002C6372" w:rsidRDefault="002C6372" w:rsidP="00A83ABC">
      <w:pPr>
        <w:spacing w:after="200"/>
        <w:jc w:val="left"/>
        <w:rPr>
          <w:b/>
          <w:bCs/>
          <w:sz w:val="18"/>
          <w:szCs w:val="18"/>
        </w:rPr>
      </w:pPr>
      <w:bookmarkStart w:id="262" w:name="_Ref406505063"/>
    </w:p>
    <w:p w:rsidR="00B177D1" w:rsidRDefault="00B177D1" w:rsidP="00A83ABC">
      <w:pPr>
        <w:pStyle w:val="Caption"/>
        <w:keepNext/>
      </w:pPr>
      <w:bookmarkStart w:id="263" w:name="_Toc412628486"/>
      <w:r w:rsidRPr="006547C8">
        <w:lastRenderedPageBreak/>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3</w:t>
      </w:r>
      <w:r w:rsidR="00E2011B">
        <w:rPr>
          <w:noProof/>
        </w:rPr>
        <w:fldChar w:fldCharType="end"/>
      </w:r>
      <w:bookmarkEnd w:id="262"/>
      <w:r w:rsidRPr="006547C8">
        <w:t>: Program Year 8 Incentive Payments by EDC</w:t>
      </w:r>
      <w:bookmarkEnd w:id="263"/>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385"/>
        <w:gridCol w:w="2385"/>
      </w:tblGrid>
      <w:tr w:rsidR="00B177D1" w:rsidRPr="002E0003" w:rsidTr="002C63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5" w:type="dxa"/>
            <w:tcBorders>
              <w:top w:val="none" w:sz="0" w:space="0" w:color="auto"/>
              <w:left w:val="none" w:sz="0" w:space="0" w:color="auto"/>
              <w:bottom w:val="none" w:sz="0" w:space="0" w:color="auto"/>
              <w:right w:val="none" w:sz="0" w:space="0" w:color="auto"/>
            </w:tcBorders>
            <w:shd w:val="clear" w:color="auto" w:fill="448A99"/>
            <w:vAlign w:val="bottom"/>
          </w:tcPr>
          <w:p w:rsidR="00B177D1" w:rsidRPr="002E0003" w:rsidRDefault="00B177D1" w:rsidP="00A83ABC">
            <w:pPr>
              <w:jc w:val="left"/>
              <w:rPr>
                <w:sz w:val="20"/>
                <w:szCs w:val="20"/>
              </w:rPr>
            </w:pPr>
            <w:r w:rsidRPr="002E0003">
              <w:rPr>
                <w:sz w:val="20"/>
                <w:szCs w:val="20"/>
              </w:rPr>
              <w:t>EDC</w:t>
            </w:r>
          </w:p>
        </w:tc>
        <w:tc>
          <w:tcPr>
            <w:tcW w:w="2385" w:type="dxa"/>
            <w:tcBorders>
              <w:top w:val="none" w:sz="0" w:space="0" w:color="auto"/>
              <w:left w:val="none" w:sz="0" w:space="0" w:color="auto"/>
              <w:bottom w:val="none" w:sz="0" w:space="0" w:color="auto"/>
              <w:right w:val="none" w:sz="0" w:space="0" w:color="auto"/>
            </w:tcBorders>
            <w:shd w:val="clear" w:color="auto" w:fill="448A99"/>
            <w:vAlign w:val="bottom"/>
          </w:tcPr>
          <w:p w:rsidR="00B177D1" w:rsidRPr="002E0003" w:rsidRDefault="00B177D1"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2E0003">
              <w:rPr>
                <w:sz w:val="20"/>
                <w:szCs w:val="20"/>
              </w:rPr>
              <w:t>Incentive Payment ($/</w:t>
            </w:r>
            <w:r w:rsidR="002143D1">
              <w:rPr>
                <w:sz w:val="20"/>
                <w:szCs w:val="20"/>
              </w:rPr>
              <w:t>kW/year</w:t>
            </w:r>
            <w:r w:rsidRPr="002E0003">
              <w:rPr>
                <w:sz w:val="20"/>
                <w:szCs w:val="20"/>
              </w:rPr>
              <w:t>)</w:t>
            </w:r>
          </w:p>
        </w:tc>
      </w:tr>
      <w:tr w:rsidR="00D87D1C"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85" w:type="dxa"/>
            <w:tcBorders>
              <w:right w:val="none" w:sz="0" w:space="0" w:color="auto"/>
            </w:tcBorders>
          </w:tcPr>
          <w:p w:rsidR="00D87D1C" w:rsidRPr="002E0003" w:rsidRDefault="00D87D1C" w:rsidP="00A83ABC">
            <w:pPr>
              <w:rPr>
                <w:b w:val="0"/>
                <w:sz w:val="20"/>
                <w:szCs w:val="20"/>
              </w:rPr>
            </w:pPr>
            <w:r w:rsidRPr="002E0003">
              <w:rPr>
                <w:b w:val="0"/>
                <w:sz w:val="20"/>
                <w:szCs w:val="20"/>
              </w:rPr>
              <w:t>Duquesne</w:t>
            </w:r>
          </w:p>
        </w:tc>
        <w:tc>
          <w:tcPr>
            <w:tcW w:w="2385" w:type="dxa"/>
            <w:tcBorders>
              <w:left w:val="none" w:sz="0" w:space="0" w:color="auto"/>
            </w:tcBorders>
          </w:tcPr>
          <w:p w:rsidR="00D87D1C" w:rsidRPr="002E0003" w:rsidRDefault="00D87D1C"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E0003">
              <w:rPr>
                <w:sz w:val="20"/>
                <w:szCs w:val="20"/>
              </w:rPr>
              <w:t>$48</w:t>
            </w:r>
          </w:p>
        </w:tc>
      </w:tr>
      <w:tr w:rsidR="00D87D1C"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85" w:type="dxa"/>
            <w:tcBorders>
              <w:right w:val="none" w:sz="0" w:space="0" w:color="auto"/>
            </w:tcBorders>
          </w:tcPr>
          <w:p w:rsidR="00D87D1C" w:rsidRPr="002E0003" w:rsidRDefault="00D87D1C" w:rsidP="00A83ABC">
            <w:pPr>
              <w:rPr>
                <w:b w:val="0"/>
                <w:sz w:val="20"/>
                <w:szCs w:val="20"/>
              </w:rPr>
            </w:pPr>
            <w:r w:rsidRPr="002E0003">
              <w:rPr>
                <w:b w:val="0"/>
                <w:sz w:val="20"/>
                <w:szCs w:val="20"/>
              </w:rPr>
              <w:t>FE: Met</w:t>
            </w:r>
            <w:r>
              <w:rPr>
                <w:b w:val="0"/>
                <w:sz w:val="20"/>
                <w:szCs w:val="20"/>
              </w:rPr>
              <w:t>-</w:t>
            </w:r>
            <w:r w:rsidRPr="002E0003">
              <w:rPr>
                <w:b w:val="0"/>
                <w:sz w:val="20"/>
                <w:szCs w:val="20"/>
              </w:rPr>
              <w:t>Ed</w:t>
            </w:r>
          </w:p>
        </w:tc>
        <w:tc>
          <w:tcPr>
            <w:tcW w:w="2385" w:type="dxa"/>
            <w:tcBorders>
              <w:left w:val="none" w:sz="0" w:space="0" w:color="auto"/>
            </w:tcBorders>
          </w:tcPr>
          <w:p w:rsidR="00D87D1C" w:rsidRPr="002E0003" w:rsidRDefault="00D87D1C"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2E0003">
              <w:rPr>
                <w:sz w:val="20"/>
                <w:szCs w:val="20"/>
              </w:rPr>
              <w:t>$42</w:t>
            </w:r>
          </w:p>
        </w:tc>
      </w:tr>
      <w:tr w:rsidR="00D87D1C"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85" w:type="dxa"/>
            <w:tcBorders>
              <w:right w:val="none" w:sz="0" w:space="0" w:color="auto"/>
            </w:tcBorders>
          </w:tcPr>
          <w:p w:rsidR="00D87D1C" w:rsidRPr="002E0003" w:rsidRDefault="00D87D1C" w:rsidP="00A83ABC">
            <w:pPr>
              <w:rPr>
                <w:b w:val="0"/>
                <w:sz w:val="20"/>
                <w:szCs w:val="20"/>
              </w:rPr>
            </w:pPr>
            <w:r w:rsidRPr="002E0003">
              <w:rPr>
                <w:b w:val="0"/>
                <w:sz w:val="20"/>
                <w:szCs w:val="20"/>
              </w:rPr>
              <w:t>FE: Penelec</w:t>
            </w:r>
          </w:p>
        </w:tc>
        <w:tc>
          <w:tcPr>
            <w:tcW w:w="2385" w:type="dxa"/>
            <w:tcBorders>
              <w:left w:val="none" w:sz="0" w:space="0" w:color="auto"/>
            </w:tcBorders>
          </w:tcPr>
          <w:p w:rsidR="00D87D1C" w:rsidRPr="002E0003" w:rsidRDefault="00D87D1C"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E0003">
              <w:rPr>
                <w:sz w:val="20"/>
                <w:szCs w:val="20"/>
              </w:rPr>
              <w:t>$42</w:t>
            </w:r>
          </w:p>
        </w:tc>
      </w:tr>
      <w:tr w:rsidR="00D87D1C"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85" w:type="dxa"/>
            <w:tcBorders>
              <w:right w:val="none" w:sz="0" w:space="0" w:color="auto"/>
            </w:tcBorders>
          </w:tcPr>
          <w:p w:rsidR="00D87D1C" w:rsidRPr="002E0003" w:rsidRDefault="00D87D1C" w:rsidP="00A83ABC">
            <w:pPr>
              <w:rPr>
                <w:b w:val="0"/>
                <w:sz w:val="20"/>
                <w:szCs w:val="20"/>
              </w:rPr>
            </w:pPr>
            <w:r w:rsidRPr="002E0003">
              <w:rPr>
                <w:b w:val="0"/>
                <w:sz w:val="20"/>
                <w:szCs w:val="20"/>
              </w:rPr>
              <w:t>FE: Penn Power</w:t>
            </w:r>
          </w:p>
        </w:tc>
        <w:tc>
          <w:tcPr>
            <w:tcW w:w="2385" w:type="dxa"/>
            <w:tcBorders>
              <w:left w:val="none" w:sz="0" w:space="0" w:color="auto"/>
            </w:tcBorders>
          </w:tcPr>
          <w:p w:rsidR="00D87D1C" w:rsidRPr="002E0003" w:rsidRDefault="00D87D1C"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2E0003">
              <w:rPr>
                <w:sz w:val="20"/>
                <w:szCs w:val="20"/>
              </w:rPr>
              <w:t>$41</w:t>
            </w:r>
          </w:p>
        </w:tc>
      </w:tr>
      <w:tr w:rsidR="00D87D1C"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85" w:type="dxa"/>
            <w:tcBorders>
              <w:right w:val="none" w:sz="0" w:space="0" w:color="auto"/>
            </w:tcBorders>
          </w:tcPr>
          <w:p w:rsidR="00D87D1C" w:rsidRPr="002E0003" w:rsidRDefault="00D87D1C" w:rsidP="00A83ABC">
            <w:pPr>
              <w:rPr>
                <w:b w:val="0"/>
                <w:sz w:val="20"/>
                <w:szCs w:val="20"/>
              </w:rPr>
            </w:pPr>
            <w:r w:rsidRPr="002E0003">
              <w:rPr>
                <w:b w:val="0"/>
                <w:sz w:val="20"/>
                <w:szCs w:val="20"/>
              </w:rPr>
              <w:t>FE: W</w:t>
            </w:r>
            <w:r>
              <w:rPr>
                <w:b w:val="0"/>
                <w:sz w:val="20"/>
                <w:szCs w:val="20"/>
              </w:rPr>
              <w:t>est Penn</w:t>
            </w:r>
          </w:p>
        </w:tc>
        <w:tc>
          <w:tcPr>
            <w:tcW w:w="2385" w:type="dxa"/>
            <w:tcBorders>
              <w:left w:val="none" w:sz="0" w:space="0" w:color="auto"/>
            </w:tcBorders>
          </w:tcPr>
          <w:p w:rsidR="00D87D1C" w:rsidRPr="002E0003" w:rsidRDefault="00D87D1C"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E0003">
              <w:rPr>
                <w:sz w:val="20"/>
                <w:szCs w:val="20"/>
              </w:rPr>
              <w:t>$38</w:t>
            </w:r>
          </w:p>
        </w:tc>
      </w:tr>
      <w:tr w:rsidR="00D87D1C"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85" w:type="dxa"/>
            <w:tcBorders>
              <w:right w:val="none" w:sz="0" w:space="0" w:color="auto"/>
            </w:tcBorders>
          </w:tcPr>
          <w:p w:rsidR="00D87D1C" w:rsidRPr="002E0003" w:rsidRDefault="00D87D1C" w:rsidP="00A83ABC">
            <w:pPr>
              <w:rPr>
                <w:b w:val="0"/>
                <w:sz w:val="20"/>
                <w:szCs w:val="20"/>
              </w:rPr>
            </w:pPr>
            <w:r w:rsidRPr="002E0003">
              <w:rPr>
                <w:b w:val="0"/>
                <w:sz w:val="20"/>
                <w:szCs w:val="20"/>
              </w:rPr>
              <w:t>PECO</w:t>
            </w:r>
          </w:p>
        </w:tc>
        <w:tc>
          <w:tcPr>
            <w:tcW w:w="2385" w:type="dxa"/>
            <w:tcBorders>
              <w:left w:val="none" w:sz="0" w:space="0" w:color="auto"/>
            </w:tcBorders>
          </w:tcPr>
          <w:p w:rsidR="00D87D1C" w:rsidRPr="002E0003" w:rsidRDefault="00D87D1C"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2E0003">
              <w:rPr>
                <w:sz w:val="20"/>
                <w:szCs w:val="20"/>
              </w:rPr>
              <w:t>$49</w:t>
            </w:r>
          </w:p>
        </w:tc>
      </w:tr>
      <w:tr w:rsidR="00D87D1C"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85" w:type="dxa"/>
            <w:tcBorders>
              <w:right w:val="none" w:sz="0" w:space="0" w:color="auto"/>
            </w:tcBorders>
          </w:tcPr>
          <w:p w:rsidR="00D87D1C" w:rsidRPr="002E0003" w:rsidRDefault="00D87D1C" w:rsidP="00A83ABC">
            <w:pPr>
              <w:rPr>
                <w:b w:val="0"/>
                <w:sz w:val="20"/>
                <w:szCs w:val="20"/>
              </w:rPr>
            </w:pPr>
            <w:r w:rsidRPr="002E0003">
              <w:rPr>
                <w:b w:val="0"/>
                <w:sz w:val="20"/>
                <w:szCs w:val="20"/>
              </w:rPr>
              <w:t>PPL</w:t>
            </w:r>
          </w:p>
        </w:tc>
        <w:tc>
          <w:tcPr>
            <w:tcW w:w="2385" w:type="dxa"/>
            <w:tcBorders>
              <w:left w:val="none" w:sz="0" w:space="0" w:color="auto"/>
            </w:tcBorders>
          </w:tcPr>
          <w:p w:rsidR="00D87D1C" w:rsidRPr="002E0003" w:rsidRDefault="00D87D1C"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E0003">
              <w:rPr>
                <w:sz w:val="20"/>
                <w:szCs w:val="20"/>
              </w:rPr>
              <w:t>$24</w:t>
            </w:r>
          </w:p>
        </w:tc>
      </w:tr>
    </w:tbl>
    <w:p w:rsidR="005A043C" w:rsidRDefault="005A043C" w:rsidP="00A83ABC"/>
    <w:p w:rsidR="001D3D37" w:rsidRDefault="00FA7C4B" w:rsidP="00A83ABC">
      <w:r>
        <w:rPr>
          <w:highlight w:val="yellow"/>
        </w:rPr>
        <w:fldChar w:fldCharType="begin"/>
      </w:r>
      <w:r>
        <w:instrText xml:space="preserve"> REF _Ref406506430 \h </w:instrText>
      </w:r>
      <w:r w:rsidR="00CF2BE5">
        <w:rPr>
          <w:highlight w:val="yellow"/>
        </w:rPr>
        <w:instrText xml:space="preserve"> \* MERGEFORMAT </w:instrText>
      </w:r>
      <w:r>
        <w:rPr>
          <w:highlight w:val="yellow"/>
        </w:rPr>
      </w:r>
      <w:r>
        <w:rPr>
          <w:highlight w:val="yellow"/>
        </w:rPr>
        <w:fldChar w:fldCharType="separate"/>
      </w:r>
      <w:r w:rsidR="00803DBE" w:rsidRPr="009370BC">
        <w:t xml:space="preserve">Table </w:t>
      </w:r>
      <w:r w:rsidR="00803DBE">
        <w:rPr>
          <w:noProof/>
        </w:rPr>
        <w:t>6</w:t>
      </w:r>
      <w:r w:rsidR="00803DBE">
        <w:rPr>
          <w:noProof/>
        </w:rPr>
        <w:noBreakHyphen/>
        <w:t>4</w:t>
      </w:r>
      <w:r>
        <w:rPr>
          <w:highlight w:val="yellow"/>
        </w:rPr>
        <w:fldChar w:fldCharType="end"/>
      </w:r>
      <w:r>
        <w:t xml:space="preserve"> </w:t>
      </w:r>
      <w:r w:rsidR="00A02352">
        <w:t xml:space="preserve">summarizes the other assumptions used to produce estimates of C&amp;I </w:t>
      </w:r>
      <w:r w:rsidR="001D3D37">
        <w:t>load curtailment</w:t>
      </w:r>
      <w:r w:rsidR="00A02352">
        <w:t xml:space="preserve"> </w:t>
      </w:r>
      <w:r w:rsidR="001D3D37">
        <w:t>potential</w:t>
      </w:r>
      <w:r w:rsidR="00A02352">
        <w:t>.</w:t>
      </w:r>
      <w:r w:rsidR="00605322">
        <w:t xml:space="preserve"> </w:t>
      </w:r>
      <w:r w:rsidR="001D3D37">
        <w:t xml:space="preserve">Key parameters are discussed in additional detail following the table. </w:t>
      </w:r>
    </w:p>
    <w:p w:rsidR="00AA58DD" w:rsidRDefault="00AA58DD" w:rsidP="00A83ABC"/>
    <w:p w:rsidR="00FA7C4B" w:rsidRPr="009370BC" w:rsidRDefault="00FA7C4B" w:rsidP="00A83ABC">
      <w:pPr>
        <w:pStyle w:val="Caption"/>
        <w:keepNext/>
      </w:pPr>
      <w:bookmarkStart w:id="264" w:name="_Ref406506430"/>
      <w:bookmarkStart w:id="265" w:name="_Toc412628487"/>
      <w:r w:rsidRPr="009370BC">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4</w:t>
      </w:r>
      <w:r w:rsidR="00E2011B">
        <w:rPr>
          <w:noProof/>
        </w:rPr>
        <w:fldChar w:fldCharType="end"/>
      </w:r>
      <w:bookmarkEnd w:id="264"/>
      <w:r w:rsidRPr="009370BC">
        <w:t>: Benefit Cost Assumptions in C&amp;I Load Curtailment Models</w:t>
      </w:r>
      <w:bookmarkEnd w:id="265"/>
    </w:p>
    <w:tbl>
      <w:tblPr>
        <w:tblStyle w:val="MediumShading1-Accent5"/>
        <w:tblW w:w="944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602"/>
        <w:gridCol w:w="2950"/>
        <w:gridCol w:w="3890"/>
      </w:tblGrid>
      <w:tr w:rsidR="0051353E" w:rsidRPr="002E0003" w:rsidTr="002C63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02" w:type="dxa"/>
            <w:tcBorders>
              <w:top w:val="none" w:sz="0" w:space="0" w:color="auto"/>
              <w:left w:val="none" w:sz="0" w:space="0" w:color="auto"/>
              <w:bottom w:val="none" w:sz="0" w:space="0" w:color="auto"/>
              <w:right w:val="none" w:sz="0" w:space="0" w:color="auto"/>
            </w:tcBorders>
            <w:shd w:val="clear" w:color="auto" w:fill="448A99"/>
            <w:vAlign w:val="bottom"/>
            <w:hideMark/>
          </w:tcPr>
          <w:p w:rsidR="0051353E" w:rsidRPr="002E0003" w:rsidRDefault="0051353E" w:rsidP="00A83ABC">
            <w:pPr>
              <w:jc w:val="left"/>
              <w:rPr>
                <w:rFonts w:ascii="Calibri" w:eastAsia="Times New Roman" w:hAnsi="Calibri" w:cs="Calibri"/>
                <w:bCs w:val="0"/>
                <w:color w:val="FFFFFF"/>
                <w:sz w:val="20"/>
                <w:szCs w:val="20"/>
              </w:rPr>
            </w:pPr>
            <w:r w:rsidRPr="002E0003">
              <w:rPr>
                <w:rFonts w:ascii="Calibri" w:eastAsia="Times New Roman" w:hAnsi="Calibri" w:cs="Calibri"/>
                <w:bCs w:val="0"/>
                <w:color w:val="FFFFFF"/>
                <w:sz w:val="20"/>
                <w:szCs w:val="20"/>
              </w:rPr>
              <w:t>Program Variable</w:t>
            </w:r>
          </w:p>
        </w:tc>
        <w:tc>
          <w:tcPr>
            <w:tcW w:w="2950" w:type="dxa"/>
            <w:tcBorders>
              <w:top w:val="none" w:sz="0" w:space="0" w:color="auto"/>
              <w:left w:val="none" w:sz="0" w:space="0" w:color="auto"/>
              <w:bottom w:val="none" w:sz="0" w:space="0" w:color="auto"/>
              <w:right w:val="none" w:sz="0" w:space="0" w:color="auto"/>
            </w:tcBorders>
            <w:shd w:val="clear" w:color="auto" w:fill="448A99"/>
            <w:vAlign w:val="bottom"/>
            <w:hideMark/>
          </w:tcPr>
          <w:p w:rsidR="0051353E" w:rsidRPr="002E0003" w:rsidRDefault="0051353E"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2E0003">
              <w:rPr>
                <w:rFonts w:ascii="Calibri" w:eastAsia="Times New Roman" w:hAnsi="Calibri" w:cs="Calibri"/>
                <w:bCs w:val="0"/>
                <w:color w:val="FFFFFF"/>
                <w:sz w:val="20"/>
                <w:szCs w:val="20"/>
              </w:rPr>
              <w:t>Value</w:t>
            </w:r>
          </w:p>
        </w:tc>
        <w:tc>
          <w:tcPr>
            <w:tcW w:w="3890" w:type="dxa"/>
            <w:tcBorders>
              <w:top w:val="none" w:sz="0" w:space="0" w:color="auto"/>
              <w:left w:val="none" w:sz="0" w:space="0" w:color="auto"/>
              <w:bottom w:val="none" w:sz="0" w:space="0" w:color="auto"/>
              <w:right w:val="none" w:sz="0" w:space="0" w:color="auto"/>
            </w:tcBorders>
            <w:shd w:val="clear" w:color="auto" w:fill="448A99"/>
            <w:vAlign w:val="bottom"/>
            <w:hideMark/>
          </w:tcPr>
          <w:p w:rsidR="0051353E" w:rsidRPr="002E0003" w:rsidRDefault="0051353E"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0"/>
                <w:szCs w:val="20"/>
              </w:rPr>
            </w:pPr>
            <w:r w:rsidRPr="002E0003">
              <w:rPr>
                <w:rFonts w:ascii="Calibri" w:eastAsia="Times New Roman" w:hAnsi="Calibri" w:cs="Calibri"/>
                <w:bCs w:val="0"/>
                <w:color w:val="FFFFFF"/>
                <w:sz w:val="20"/>
                <w:szCs w:val="20"/>
              </w:rPr>
              <w:t>Source</w:t>
            </w:r>
          </w:p>
        </w:tc>
      </w:tr>
      <w:tr w:rsidR="0051353E" w:rsidRPr="0051353E"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Annual Cost Escalation</w:t>
            </w:r>
          </w:p>
        </w:tc>
        <w:tc>
          <w:tcPr>
            <w:tcW w:w="2950" w:type="dxa"/>
            <w:tcBorders>
              <w:left w:val="none" w:sz="0" w:space="0" w:color="auto"/>
              <w:right w:val="none" w:sz="0" w:space="0" w:color="auto"/>
            </w:tcBorders>
            <w:hideMark/>
          </w:tcPr>
          <w:p w:rsidR="0051353E" w:rsidRPr="0051353E" w:rsidRDefault="00743B15"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r w:rsidR="00F06104">
              <w:rPr>
                <w:rFonts w:ascii="Calibri" w:eastAsia="Times New Roman" w:hAnsi="Calibri" w:cs="Calibri"/>
                <w:color w:val="000000"/>
                <w:sz w:val="20"/>
                <w:szCs w:val="20"/>
              </w:rPr>
              <w:t>8</w:t>
            </w:r>
            <w:r>
              <w:rPr>
                <w:rFonts w:ascii="Calibri" w:eastAsia="Times New Roman" w:hAnsi="Calibri" w:cs="Calibri"/>
                <w:color w:val="000000"/>
                <w:sz w:val="20"/>
                <w:szCs w:val="20"/>
              </w:rPr>
              <w:t>7%</w:t>
            </w:r>
          </w:p>
        </w:tc>
        <w:tc>
          <w:tcPr>
            <w:tcW w:w="3890" w:type="dxa"/>
            <w:tcBorders>
              <w:left w:val="none" w:sz="0" w:space="0" w:color="auto"/>
            </w:tcBorders>
            <w:hideMark/>
          </w:tcPr>
          <w:p w:rsidR="0051353E" w:rsidRPr="0051353E" w:rsidRDefault="0051353E"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US Bureau of Labor Statistics Producer Price Index (2010-2014)</w:t>
            </w:r>
          </w:p>
        </w:tc>
      </w:tr>
      <w:tr w:rsidR="0051353E" w:rsidRPr="0051353E"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Discount Rate</w:t>
            </w:r>
          </w:p>
        </w:tc>
        <w:tc>
          <w:tcPr>
            <w:tcW w:w="2950" w:type="dxa"/>
            <w:tcBorders>
              <w:left w:val="none" w:sz="0" w:space="0" w:color="auto"/>
              <w:right w:val="none" w:sz="0" w:space="0" w:color="auto"/>
            </w:tcBorders>
            <w:hideMark/>
          </w:tcPr>
          <w:p w:rsidR="0051353E" w:rsidRPr="0051353E" w:rsidRDefault="00743B1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r w:rsidR="00F06104">
              <w:rPr>
                <w:rFonts w:ascii="Calibri" w:eastAsia="Times New Roman" w:hAnsi="Calibri" w:cs="Calibri"/>
                <w:color w:val="000000"/>
                <w:sz w:val="20"/>
                <w:szCs w:val="20"/>
              </w:rPr>
              <w:t>-9</w:t>
            </w:r>
            <w:r>
              <w:rPr>
                <w:rFonts w:ascii="Calibri" w:eastAsia="Times New Roman" w:hAnsi="Calibri" w:cs="Calibri"/>
                <w:color w:val="000000"/>
                <w:sz w:val="20"/>
                <w:szCs w:val="20"/>
              </w:rPr>
              <w:t>%</w:t>
            </w:r>
            <w:r w:rsidR="00264592">
              <w:rPr>
                <w:rFonts w:ascii="Calibri" w:eastAsia="Times New Roman" w:hAnsi="Calibri" w:cs="Calibri"/>
                <w:color w:val="000000"/>
                <w:sz w:val="20"/>
                <w:szCs w:val="20"/>
              </w:rPr>
              <w:t xml:space="preserve"> (varies by EDC)</w:t>
            </w:r>
          </w:p>
        </w:tc>
        <w:tc>
          <w:tcPr>
            <w:tcW w:w="3890" w:type="dxa"/>
            <w:tcBorders>
              <w:left w:val="none" w:sz="0" w:space="0" w:color="auto"/>
            </w:tcBorders>
            <w:hideMark/>
          </w:tcPr>
          <w:p w:rsidR="0051353E" w:rsidRPr="0051353E" w:rsidRDefault="0026459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EDC Data Request Responses</w:t>
            </w:r>
          </w:p>
        </w:tc>
      </w:tr>
      <w:tr w:rsidR="0051353E" w:rsidRPr="0051353E"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Program Start Year</w:t>
            </w:r>
          </w:p>
        </w:tc>
        <w:tc>
          <w:tcPr>
            <w:tcW w:w="2950" w:type="dxa"/>
            <w:tcBorders>
              <w:left w:val="none" w:sz="0" w:space="0" w:color="auto"/>
              <w:right w:val="none" w:sz="0" w:space="0" w:color="auto"/>
            </w:tcBorders>
            <w:hideMark/>
          </w:tcPr>
          <w:p w:rsidR="0051353E" w:rsidRPr="0051353E" w:rsidRDefault="0051353E"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2016</w:t>
            </w:r>
          </w:p>
        </w:tc>
        <w:tc>
          <w:tcPr>
            <w:tcW w:w="3890" w:type="dxa"/>
            <w:tcBorders>
              <w:left w:val="none" w:sz="0" w:space="0" w:color="auto"/>
            </w:tcBorders>
            <w:hideMark/>
          </w:tcPr>
          <w:p w:rsidR="0051353E" w:rsidRPr="0051353E" w:rsidRDefault="00F0610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Commission </w:t>
            </w:r>
            <w:r w:rsidR="0051353E" w:rsidRPr="0051353E">
              <w:rPr>
                <w:rFonts w:ascii="Calibri" w:eastAsia="Times New Roman" w:hAnsi="Calibri" w:cs="Calibri"/>
                <w:color w:val="000000"/>
                <w:sz w:val="20"/>
                <w:szCs w:val="20"/>
              </w:rPr>
              <w:t>Order</w:t>
            </w:r>
            <w:r w:rsidR="00D87D1C">
              <w:rPr>
                <w:rStyle w:val="FootnoteReference"/>
                <w:rFonts w:ascii="Calibri" w:eastAsia="Times New Roman" w:hAnsi="Calibri"/>
                <w:color w:val="000000"/>
                <w:sz w:val="20"/>
                <w:szCs w:val="20"/>
              </w:rPr>
              <w:footnoteReference w:id="133"/>
            </w:r>
          </w:p>
        </w:tc>
      </w:tr>
      <w:tr w:rsidR="0051353E" w:rsidRPr="0051353E"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Program Length</w:t>
            </w:r>
          </w:p>
        </w:tc>
        <w:tc>
          <w:tcPr>
            <w:tcW w:w="2950" w:type="dxa"/>
            <w:tcBorders>
              <w:left w:val="none" w:sz="0" w:space="0" w:color="auto"/>
              <w:right w:val="none" w:sz="0" w:space="0" w:color="auto"/>
            </w:tcBorders>
            <w:hideMark/>
          </w:tcPr>
          <w:p w:rsidR="0051353E" w:rsidRPr="0051353E" w:rsidRDefault="0051353E"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5 years</w:t>
            </w:r>
          </w:p>
        </w:tc>
        <w:tc>
          <w:tcPr>
            <w:tcW w:w="3890" w:type="dxa"/>
            <w:tcBorders>
              <w:left w:val="none" w:sz="0" w:space="0" w:color="auto"/>
            </w:tcBorders>
            <w:hideMark/>
          </w:tcPr>
          <w:p w:rsidR="0051353E" w:rsidRPr="0051353E" w:rsidRDefault="00F0610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Staff Directive</w:t>
            </w:r>
          </w:p>
        </w:tc>
      </w:tr>
      <w:tr w:rsidR="0051353E" w:rsidRPr="0051353E"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End Year</w:t>
            </w:r>
          </w:p>
        </w:tc>
        <w:tc>
          <w:tcPr>
            <w:tcW w:w="2950" w:type="dxa"/>
            <w:tcBorders>
              <w:left w:val="none" w:sz="0" w:space="0" w:color="auto"/>
              <w:right w:val="none" w:sz="0" w:space="0" w:color="auto"/>
            </w:tcBorders>
            <w:hideMark/>
          </w:tcPr>
          <w:p w:rsidR="0051353E" w:rsidRPr="0051353E" w:rsidRDefault="0051353E"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2020</w:t>
            </w:r>
          </w:p>
        </w:tc>
        <w:tc>
          <w:tcPr>
            <w:tcW w:w="3890" w:type="dxa"/>
            <w:tcBorders>
              <w:left w:val="none" w:sz="0" w:space="0" w:color="auto"/>
            </w:tcBorders>
            <w:hideMark/>
          </w:tcPr>
          <w:p w:rsidR="0051353E" w:rsidRPr="0051353E" w:rsidRDefault="00F0610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Staff Directive</w:t>
            </w:r>
          </w:p>
        </w:tc>
      </w:tr>
      <w:tr w:rsidR="0051353E" w:rsidRPr="0051353E"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 xml:space="preserve">Program Management Budget </w:t>
            </w:r>
            <w:r w:rsidR="00605322" w:rsidRPr="002E0003">
              <w:rPr>
                <w:rFonts w:ascii="Calibri" w:eastAsia="Times New Roman" w:hAnsi="Calibri" w:cs="Calibri"/>
                <w:b w:val="0"/>
                <w:color w:val="000000"/>
                <w:sz w:val="20"/>
                <w:szCs w:val="20"/>
              </w:rPr>
              <w:t>(Non-Incentive Costs)</w:t>
            </w:r>
          </w:p>
        </w:tc>
        <w:tc>
          <w:tcPr>
            <w:tcW w:w="2950" w:type="dxa"/>
            <w:tcBorders>
              <w:left w:val="none" w:sz="0" w:space="0" w:color="auto"/>
              <w:right w:val="none" w:sz="0" w:space="0" w:color="auto"/>
            </w:tcBorders>
            <w:hideMark/>
          </w:tcPr>
          <w:p w:rsidR="0051353E" w:rsidRPr="0051353E" w:rsidRDefault="00743B15"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15%</w:t>
            </w:r>
          </w:p>
        </w:tc>
        <w:tc>
          <w:tcPr>
            <w:tcW w:w="3890" w:type="dxa"/>
            <w:tcBorders>
              <w:left w:val="none" w:sz="0" w:space="0" w:color="auto"/>
            </w:tcBorders>
            <w:hideMark/>
          </w:tcPr>
          <w:p w:rsidR="0051353E" w:rsidRPr="0051353E" w:rsidRDefault="0051353E"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 xml:space="preserve">Phase I </w:t>
            </w:r>
            <w:r w:rsidR="00605322">
              <w:rPr>
                <w:rFonts w:ascii="Calibri" w:eastAsia="Times New Roman" w:hAnsi="Calibri" w:cs="Calibri"/>
                <w:color w:val="000000"/>
                <w:sz w:val="20"/>
                <w:szCs w:val="20"/>
              </w:rPr>
              <w:t>EDC Benefit Cost Reporting</w:t>
            </w:r>
          </w:p>
        </w:tc>
      </w:tr>
      <w:tr w:rsidR="0051353E" w:rsidRPr="0051353E"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 xml:space="preserve">Avoided </w:t>
            </w:r>
            <w:r w:rsidR="00F06104" w:rsidRPr="002E0003">
              <w:rPr>
                <w:rFonts w:ascii="Calibri" w:eastAsia="Times New Roman" w:hAnsi="Calibri" w:cs="Calibri"/>
                <w:b w:val="0"/>
                <w:color w:val="000000"/>
                <w:sz w:val="20"/>
                <w:szCs w:val="20"/>
              </w:rPr>
              <w:t>Cost of Generation Capacity</w:t>
            </w:r>
          </w:p>
        </w:tc>
        <w:tc>
          <w:tcPr>
            <w:tcW w:w="2950" w:type="dxa"/>
            <w:tcBorders>
              <w:left w:val="none" w:sz="0" w:space="0" w:color="auto"/>
              <w:right w:val="none" w:sz="0" w:space="0" w:color="auto"/>
            </w:tcBorders>
            <w:hideMark/>
          </w:tcPr>
          <w:p w:rsidR="0051353E" w:rsidRPr="0051353E" w:rsidRDefault="00F06104"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EDC</w:t>
            </w:r>
            <w:r w:rsidR="0051353E" w:rsidRPr="0051353E">
              <w:rPr>
                <w:rFonts w:ascii="Calibri" w:eastAsia="Times New Roman" w:hAnsi="Calibri" w:cs="Calibri"/>
                <w:color w:val="000000"/>
                <w:sz w:val="20"/>
                <w:szCs w:val="20"/>
              </w:rPr>
              <w:t>-specific</w:t>
            </w:r>
          </w:p>
        </w:tc>
        <w:tc>
          <w:tcPr>
            <w:tcW w:w="3890" w:type="dxa"/>
            <w:tcBorders>
              <w:left w:val="none" w:sz="0" w:space="0" w:color="auto"/>
            </w:tcBorders>
            <w:hideMark/>
          </w:tcPr>
          <w:p w:rsidR="0051353E" w:rsidRPr="0051353E" w:rsidRDefault="0051353E"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 xml:space="preserve">PJM </w:t>
            </w:r>
            <w:r w:rsidR="00E7632F">
              <w:rPr>
                <w:rFonts w:ascii="Calibri" w:eastAsia="Times New Roman" w:hAnsi="Calibri" w:cs="Calibri"/>
                <w:color w:val="000000"/>
                <w:sz w:val="20"/>
                <w:szCs w:val="20"/>
              </w:rPr>
              <w:t>BRA</w:t>
            </w:r>
            <w:r w:rsidRPr="0051353E">
              <w:rPr>
                <w:rFonts w:ascii="Calibri" w:eastAsia="Times New Roman" w:hAnsi="Calibri" w:cs="Calibri"/>
                <w:color w:val="000000"/>
                <w:sz w:val="20"/>
                <w:szCs w:val="20"/>
              </w:rPr>
              <w:t xml:space="preserve"> Results</w:t>
            </w:r>
          </w:p>
        </w:tc>
      </w:tr>
      <w:tr w:rsidR="00F06104" w:rsidRPr="0051353E"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tcPr>
          <w:p w:rsidR="00F06104" w:rsidRPr="002E0003" w:rsidRDefault="00F06104"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 xml:space="preserve">Avoided Cost of </w:t>
            </w:r>
            <w:r w:rsidR="00AD2C38">
              <w:rPr>
                <w:rFonts w:ascii="Calibri" w:eastAsia="Times New Roman" w:hAnsi="Calibri" w:cs="Calibri"/>
                <w:b w:val="0"/>
                <w:color w:val="000000"/>
                <w:sz w:val="20"/>
                <w:szCs w:val="20"/>
              </w:rPr>
              <w:t>T&amp;D</w:t>
            </w:r>
            <w:r w:rsidRPr="002E0003">
              <w:rPr>
                <w:rFonts w:ascii="Calibri" w:eastAsia="Times New Roman" w:hAnsi="Calibri" w:cs="Calibri"/>
                <w:b w:val="0"/>
                <w:color w:val="000000"/>
                <w:sz w:val="20"/>
                <w:szCs w:val="20"/>
              </w:rPr>
              <w:t xml:space="preserve"> Capacity</w:t>
            </w:r>
          </w:p>
        </w:tc>
        <w:tc>
          <w:tcPr>
            <w:tcW w:w="2950" w:type="dxa"/>
            <w:tcBorders>
              <w:left w:val="none" w:sz="0" w:space="0" w:color="auto"/>
              <w:right w:val="none" w:sz="0" w:space="0" w:color="auto"/>
            </w:tcBorders>
          </w:tcPr>
          <w:p w:rsidR="00F06104" w:rsidRPr="0051353E" w:rsidRDefault="008F349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EDC-specific</w:t>
            </w:r>
          </w:p>
        </w:tc>
        <w:tc>
          <w:tcPr>
            <w:tcW w:w="3890" w:type="dxa"/>
            <w:tcBorders>
              <w:left w:val="none" w:sz="0" w:space="0" w:color="auto"/>
            </w:tcBorders>
          </w:tcPr>
          <w:p w:rsidR="00F06104" w:rsidRPr="0051353E" w:rsidRDefault="008F349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SWE </w:t>
            </w:r>
            <w:r w:rsidR="00A61CA7">
              <w:t xml:space="preserve">Team </w:t>
            </w:r>
            <w:r>
              <w:rPr>
                <w:rFonts w:ascii="Calibri" w:eastAsia="Times New Roman" w:hAnsi="Calibri" w:cs="Calibri"/>
                <w:color w:val="000000"/>
                <w:sz w:val="20"/>
                <w:szCs w:val="20"/>
              </w:rPr>
              <w:t xml:space="preserve">Analysis of EDC </w:t>
            </w:r>
            <w:r w:rsidR="00A61CA7">
              <w:rPr>
                <w:rFonts w:ascii="Calibri" w:eastAsia="Times New Roman" w:hAnsi="Calibri" w:cs="Calibri"/>
                <w:color w:val="000000"/>
                <w:sz w:val="20"/>
                <w:szCs w:val="20"/>
              </w:rPr>
              <w:t xml:space="preserve">Capital Investment Plans </w:t>
            </w:r>
            <w:r>
              <w:rPr>
                <w:rFonts w:ascii="Calibri" w:eastAsia="Times New Roman" w:hAnsi="Calibri" w:cs="Calibri"/>
                <w:color w:val="000000"/>
                <w:sz w:val="20"/>
                <w:szCs w:val="20"/>
              </w:rPr>
              <w:t xml:space="preserve">and </w:t>
            </w:r>
            <w:r w:rsidR="00A61CA7">
              <w:rPr>
                <w:rFonts w:ascii="Calibri" w:eastAsia="Times New Roman" w:hAnsi="Calibri" w:cs="Calibri"/>
                <w:color w:val="000000"/>
                <w:sz w:val="20"/>
                <w:szCs w:val="20"/>
              </w:rPr>
              <w:t>Load Growth</w:t>
            </w:r>
          </w:p>
        </w:tc>
      </w:tr>
      <w:tr w:rsidR="00605322" w:rsidRPr="0051353E"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tcPr>
          <w:p w:rsidR="00605322" w:rsidRPr="002E0003" w:rsidRDefault="00605322"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Avoided Cost of Electricity</w:t>
            </w:r>
          </w:p>
        </w:tc>
        <w:tc>
          <w:tcPr>
            <w:tcW w:w="2950" w:type="dxa"/>
            <w:tcBorders>
              <w:left w:val="none" w:sz="0" w:space="0" w:color="auto"/>
              <w:right w:val="none" w:sz="0" w:space="0" w:color="auto"/>
            </w:tcBorders>
          </w:tcPr>
          <w:p w:rsidR="00605322" w:rsidRDefault="0060532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EDC-specific</w:t>
            </w:r>
          </w:p>
        </w:tc>
        <w:tc>
          <w:tcPr>
            <w:tcW w:w="3890" w:type="dxa"/>
            <w:tcBorders>
              <w:left w:val="none" w:sz="0" w:space="0" w:color="auto"/>
            </w:tcBorders>
          </w:tcPr>
          <w:p w:rsidR="00605322" w:rsidRDefault="0060532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Difference between Summer On-Peak and Summer Off-Peak</w:t>
            </w:r>
          </w:p>
        </w:tc>
      </w:tr>
      <w:tr w:rsidR="0051353E" w:rsidRPr="0051353E"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8F3494"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 xml:space="preserve">Retail </w:t>
            </w:r>
            <w:r w:rsidR="0051353E" w:rsidRPr="002E0003">
              <w:rPr>
                <w:rFonts w:ascii="Calibri" w:eastAsia="Times New Roman" w:hAnsi="Calibri" w:cs="Calibri"/>
                <w:b w:val="0"/>
                <w:color w:val="000000"/>
                <w:sz w:val="20"/>
                <w:szCs w:val="20"/>
              </w:rPr>
              <w:t>Electricity Cost ($/MWh)</w:t>
            </w:r>
          </w:p>
        </w:tc>
        <w:tc>
          <w:tcPr>
            <w:tcW w:w="2950" w:type="dxa"/>
            <w:tcBorders>
              <w:left w:val="none" w:sz="0" w:space="0" w:color="auto"/>
              <w:right w:val="none" w:sz="0" w:space="0" w:color="auto"/>
            </w:tcBorders>
            <w:hideMark/>
          </w:tcPr>
          <w:p w:rsidR="0051353E" w:rsidRPr="0051353E" w:rsidRDefault="008F349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Varies by Sector</w:t>
            </w:r>
          </w:p>
        </w:tc>
        <w:tc>
          <w:tcPr>
            <w:tcW w:w="3890" w:type="dxa"/>
            <w:tcBorders>
              <w:left w:val="none" w:sz="0" w:space="0" w:color="auto"/>
            </w:tcBorders>
            <w:hideMark/>
          </w:tcPr>
          <w:p w:rsidR="0051353E" w:rsidRPr="0051353E" w:rsidRDefault="008F3494"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EDC Data Request Responses (FirstEnergy and Duquesne). EIA</w:t>
            </w:r>
            <w:r>
              <w:rPr>
                <w:rStyle w:val="FootnoteReference"/>
                <w:rFonts w:ascii="Calibri" w:eastAsia="Times New Roman" w:hAnsi="Calibri"/>
                <w:color w:val="000000"/>
                <w:sz w:val="20"/>
                <w:szCs w:val="20"/>
              </w:rPr>
              <w:footnoteReference w:id="134"/>
            </w:r>
            <w:r>
              <w:rPr>
                <w:rFonts w:ascii="Calibri" w:eastAsia="Times New Roman" w:hAnsi="Calibri" w:cs="Calibri"/>
                <w:color w:val="000000"/>
                <w:sz w:val="20"/>
                <w:szCs w:val="20"/>
              </w:rPr>
              <w:t xml:space="preserve"> data (PECO and PPL)</w:t>
            </w:r>
          </w:p>
        </w:tc>
      </w:tr>
      <w:tr w:rsidR="0051353E" w:rsidRPr="0051353E"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264592"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Incentive Payment ($/kW</w:t>
            </w:r>
            <w:r w:rsidR="0051353E" w:rsidRPr="002E0003">
              <w:rPr>
                <w:rFonts w:ascii="Calibri" w:eastAsia="Times New Roman" w:hAnsi="Calibri" w:cs="Calibri"/>
                <w:b w:val="0"/>
                <w:color w:val="000000"/>
                <w:sz w:val="20"/>
                <w:szCs w:val="20"/>
              </w:rPr>
              <w:t>)</w:t>
            </w:r>
          </w:p>
        </w:tc>
        <w:tc>
          <w:tcPr>
            <w:tcW w:w="2950" w:type="dxa"/>
            <w:tcBorders>
              <w:left w:val="none" w:sz="0" w:space="0" w:color="auto"/>
              <w:right w:val="none" w:sz="0" w:space="0" w:color="auto"/>
            </w:tcBorders>
            <w:hideMark/>
          </w:tcPr>
          <w:p w:rsidR="0051353E" w:rsidRPr="0051353E" w:rsidRDefault="0051353E"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w:t>
            </w:r>
            <w:r w:rsidR="00221CBF">
              <w:rPr>
                <w:rFonts w:ascii="Calibri" w:eastAsia="Times New Roman" w:hAnsi="Calibri" w:cs="Calibri"/>
                <w:color w:val="000000"/>
                <w:sz w:val="20"/>
                <w:szCs w:val="20"/>
              </w:rPr>
              <w:t>24</w:t>
            </w:r>
            <w:r w:rsidR="00264592">
              <w:rPr>
                <w:rFonts w:ascii="Calibri" w:eastAsia="Times New Roman" w:hAnsi="Calibri" w:cs="Calibri"/>
                <w:color w:val="000000"/>
                <w:sz w:val="20"/>
                <w:szCs w:val="20"/>
              </w:rPr>
              <w:t>-$</w:t>
            </w:r>
            <w:r w:rsidR="00221CBF">
              <w:rPr>
                <w:rFonts w:ascii="Calibri" w:eastAsia="Times New Roman" w:hAnsi="Calibri" w:cs="Calibri"/>
                <w:color w:val="000000"/>
                <w:sz w:val="20"/>
                <w:szCs w:val="20"/>
              </w:rPr>
              <w:t>49</w:t>
            </w:r>
          </w:p>
        </w:tc>
        <w:tc>
          <w:tcPr>
            <w:tcW w:w="3890" w:type="dxa"/>
            <w:tcBorders>
              <w:left w:val="none" w:sz="0" w:space="0" w:color="auto"/>
            </w:tcBorders>
            <w:hideMark/>
          </w:tcPr>
          <w:p w:rsidR="0051353E" w:rsidRPr="0051353E" w:rsidRDefault="0051353E"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1353E">
              <w:rPr>
                <w:rFonts w:ascii="Calibri" w:eastAsia="Times New Roman" w:hAnsi="Calibri" w:cs="Calibri"/>
                <w:color w:val="000000"/>
                <w:sz w:val="20"/>
                <w:szCs w:val="20"/>
              </w:rPr>
              <w:t>Cost-Benefit Simulations</w:t>
            </w:r>
          </w:p>
        </w:tc>
      </w:tr>
      <w:tr w:rsidR="0051353E" w:rsidRPr="0051353E"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264592"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Participant Cost</w:t>
            </w:r>
          </w:p>
        </w:tc>
        <w:tc>
          <w:tcPr>
            <w:tcW w:w="2950" w:type="dxa"/>
            <w:tcBorders>
              <w:left w:val="none" w:sz="0" w:space="0" w:color="auto"/>
              <w:right w:val="none" w:sz="0" w:space="0" w:color="auto"/>
            </w:tcBorders>
            <w:hideMark/>
          </w:tcPr>
          <w:p w:rsidR="0051353E" w:rsidRPr="0051353E" w:rsidRDefault="0026459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r w:rsidR="00743B15">
              <w:rPr>
                <w:rFonts w:ascii="Calibri" w:eastAsia="Times New Roman" w:hAnsi="Calibri" w:cs="Calibri"/>
                <w:color w:val="000000"/>
                <w:sz w:val="20"/>
                <w:szCs w:val="20"/>
              </w:rPr>
              <w:t>5%</w:t>
            </w:r>
            <w:r w:rsidR="00652487">
              <w:rPr>
                <w:rFonts w:ascii="Calibri" w:eastAsia="Times New Roman" w:hAnsi="Calibri" w:cs="Calibri"/>
                <w:color w:val="000000"/>
                <w:sz w:val="20"/>
                <w:szCs w:val="20"/>
              </w:rPr>
              <w:t xml:space="preserve"> of incentive</w:t>
            </w:r>
          </w:p>
        </w:tc>
        <w:tc>
          <w:tcPr>
            <w:tcW w:w="3890" w:type="dxa"/>
            <w:tcBorders>
              <w:left w:val="none" w:sz="0" w:space="0" w:color="auto"/>
            </w:tcBorders>
            <w:hideMark/>
          </w:tcPr>
          <w:p w:rsidR="0051353E" w:rsidRPr="0051353E" w:rsidRDefault="00264592"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Commission Order based on California’s 2010 </w:t>
            </w:r>
            <w:r w:rsidR="00037A03">
              <w:rPr>
                <w:rFonts w:ascii="Calibri" w:eastAsia="Times New Roman" w:hAnsi="Calibri" w:cs="Calibri"/>
                <w:color w:val="000000"/>
                <w:sz w:val="20"/>
                <w:szCs w:val="20"/>
              </w:rPr>
              <w:t>DR</w:t>
            </w:r>
            <w:r>
              <w:rPr>
                <w:rFonts w:ascii="Calibri" w:eastAsia="Times New Roman" w:hAnsi="Calibri" w:cs="Calibri"/>
                <w:color w:val="000000"/>
                <w:sz w:val="20"/>
                <w:szCs w:val="20"/>
              </w:rPr>
              <w:t xml:space="preserve"> Cost</w:t>
            </w:r>
            <w:r w:rsidR="00CE0565">
              <w:rPr>
                <w:rFonts w:ascii="Calibri" w:eastAsia="Times New Roman" w:hAnsi="Calibri" w:cs="Calibri"/>
                <w:color w:val="000000"/>
                <w:sz w:val="20"/>
                <w:szCs w:val="20"/>
              </w:rPr>
              <w:t>-</w:t>
            </w:r>
            <w:r>
              <w:rPr>
                <w:rFonts w:ascii="Calibri" w:eastAsia="Times New Roman" w:hAnsi="Calibri" w:cs="Calibri"/>
                <w:color w:val="000000"/>
                <w:sz w:val="20"/>
                <w:szCs w:val="20"/>
              </w:rPr>
              <w:t>Effectiveness Protocols</w:t>
            </w:r>
          </w:p>
        </w:tc>
      </w:tr>
      <w:tr w:rsidR="0051353E" w:rsidRPr="0051353E"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02" w:type="dxa"/>
            <w:tcBorders>
              <w:right w:val="none" w:sz="0" w:space="0" w:color="auto"/>
            </w:tcBorders>
            <w:hideMark/>
          </w:tcPr>
          <w:p w:rsidR="0051353E" w:rsidRPr="002E0003" w:rsidRDefault="0051353E" w:rsidP="00A83ABC">
            <w:pPr>
              <w:jc w:val="left"/>
              <w:rPr>
                <w:rFonts w:ascii="Calibri" w:eastAsia="Times New Roman" w:hAnsi="Calibri" w:cs="Calibri"/>
                <w:b w:val="0"/>
                <w:color w:val="000000"/>
                <w:sz w:val="20"/>
                <w:szCs w:val="20"/>
              </w:rPr>
            </w:pPr>
            <w:r w:rsidRPr="002E0003">
              <w:rPr>
                <w:rFonts w:ascii="Calibri" w:eastAsia="Times New Roman" w:hAnsi="Calibri" w:cs="Calibri"/>
                <w:b w:val="0"/>
                <w:color w:val="000000"/>
                <w:sz w:val="20"/>
                <w:szCs w:val="20"/>
              </w:rPr>
              <w:t>Line Losses</w:t>
            </w:r>
          </w:p>
        </w:tc>
        <w:tc>
          <w:tcPr>
            <w:tcW w:w="2950" w:type="dxa"/>
            <w:tcBorders>
              <w:left w:val="none" w:sz="0" w:space="0" w:color="auto"/>
              <w:right w:val="none" w:sz="0" w:space="0" w:color="auto"/>
            </w:tcBorders>
            <w:hideMark/>
          </w:tcPr>
          <w:p w:rsidR="0051353E" w:rsidRPr="0051353E" w:rsidRDefault="0026459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4-8% (varies by EDC and sector)</w:t>
            </w:r>
          </w:p>
        </w:tc>
        <w:tc>
          <w:tcPr>
            <w:tcW w:w="3890" w:type="dxa"/>
            <w:tcBorders>
              <w:left w:val="none" w:sz="0" w:space="0" w:color="auto"/>
            </w:tcBorders>
            <w:hideMark/>
          </w:tcPr>
          <w:p w:rsidR="0051353E" w:rsidRPr="0051353E" w:rsidRDefault="00264592"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EDC Data Request Responses</w:t>
            </w:r>
          </w:p>
        </w:tc>
      </w:tr>
    </w:tbl>
    <w:p w:rsidR="0051353E" w:rsidRDefault="0051353E" w:rsidP="00A83ABC"/>
    <w:p w:rsidR="001D3D37" w:rsidRDefault="001D3D37" w:rsidP="00A83ABC">
      <w:r>
        <w:t xml:space="preserve">The SWE </w:t>
      </w:r>
      <w:r w:rsidR="00D87D1C">
        <w:t>T</w:t>
      </w:r>
      <w:r>
        <w:t>eam assumed that all energy saved during event dispatch will be recovered by participants during off</w:t>
      </w:r>
      <w:r w:rsidR="00BE6EE3">
        <w:t>-</w:t>
      </w:r>
      <w:r>
        <w:t xml:space="preserve">peak hours so an avoided cost of energy value equal to the difference between summer on-peak and summer off-peak prices was applied to each kWh reduced. This assumption is likely an oversimplification of a complex issue because whether or not DR events produce a net energy savings or </w:t>
      </w:r>
      <w:r w:rsidR="00BE6EE3">
        <w:lastRenderedPageBreak/>
        <w:t xml:space="preserve">is </w:t>
      </w:r>
      <w:r>
        <w:t>not dependent on the type of process curtailed in the facility. However, as avoided energy benefits currently account for less than 0.5% of total benefits</w:t>
      </w:r>
      <w:r w:rsidR="009F58E6">
        <w:rPr>
          <w:rStyle w:val="FootnoteReference"/>
        </w:rPr>
        <w:footnoteReference w:id="135"/>
      </w:r>
      <w:r>
        <w:t xml:space="preserve"> this was deemed a conservative assumption that would not materially affect the outcome of the study.</w:t>
      </w:r>
    </w:p>
    <w:p w:rsidR="009F58E6" w:rsidRDefault="009F58E6" w:rsidP="00A83ABC"/>
    <w:p w:rsidR="005A71A5" w:rsidRDefault="009F58E6" w:rsidP="00A83ABC">
      <w:r>
        <w:t>The retail rate of electricity is an important component of potential estimates (P</w:t>
      </w:r>
      <w:r>
        <w:rPr>
          <w:vertAlign w:val="subscript"/>
        </w:rPr>
        <w:t xml:space="preserve">0 </w:t>
      </w:r>
      <w:r>
        <w:t xml:space="preserve">in </w:t>
      </w:r>
      <w:r>
        <w:fldChar w:fldCharType="begin"/>
      </w:r>
      <w:r>
        <w:instrText xml:space="preserve"> REF _Ref406508544 \h </w:instrText>
      </w:r>
      <w:r w:rsidR="00CF2BE5">
        <w:instrText xml:space="preserve"> \* MERGEFORMAT </w:instrText>
      </w:r>
      <w:r>
        <w:fldChar w:fldCharType="separate"/>
      </w:r>
      <w:r w:rsidR="00803DBE" w:rsidRPr="00026064">
        <w:t xml:space="preserve">Equation </w:t>
      </w:r>
      <w:r w:rsidR="00803DBE">
        <w:rPr>
          <w:noProof/>
        </w:rPr>
        <w:t>6</w:t>
      </w:r>
      <w:r w:rsidR="00803DBE" w:rsidRPr="00026064">
        <w:rPr>
          <w:noProof/>
        </w:rPr>
        <w:noBreakHyphen/>
      </w:r>
      <w:r w:rsidR="00803DBE">
        <w:rPr>
          <w:noProof/>
        </w:rPr>
        <w:t>1</w:t>
      </w:r>
      <w:r>
        <w:fldChar w:fldCharType="end"/>
      </w:r>
      <w:r>
        <w:t xml:space="preserve">). </w:t>
      </w:r>
      <w:r w:rsidR="00BE6EE3">
        <w:t xml:space="preserve">Since </w:t>
      </w:r>
      <w:r w:rsidR="00CC2CB8">
        <w:t>Pennsylvania allows customers to choose the company who generates the electricity supplied to their home or business</w:t>
      </w:r>
      <w:r w:rsidR="00BE6EE3">
        <w:t>,</w:t>
      </w:r>
      <w:r w:rsidR="00CC2CB8">
        <w:t xml:space="preserve"> the ultimate rate paid for electricity is somewhat dependent on the EGS each customer selects. The SWE Team used average rates as supplied by EDCs or gathered from</w:t>
      </w:r>
      <w:r w:rsidR="00BE6EE3">
        <w:t xml:space="preserve"> </w:t>
      </w:r>
      <w:r w:rsidR="00CC2CB8">
        <w:t xml:space="preserve">EIA data. Separate retail rates were used for </w:t>
      </w:r>
      <w:r w:rsidR="008D678D">
        <w:t>C&amp;I</w:t>
      </w:r>
      <w:r w:rsidR="00CC2CB8">
        <w:t xml:space="preserve"> accounts.</w:t>
      </w:r>
    </w:p>
    <w:p w:rsidR="002E0003" w:rsidRDefault="002E0003" w:rsidP="00A83ABC"/>
    <w:p w:rsidR="009F58E6" w:rsidRPr="009F58E6" w:rsidRDefault="005A71A5" w:rsidP="00A83ABC">
      <w:r>
        <w:t xml:space="preserve">The SWE </w:t>
      </w:r>
      <w:r w:rsidR="00A61CA7">
        <w:t xml:space="preserve">Team </w:t>
      </w:r>
      <w:r>
        <w:t xml:space="preserve">analysis of avoided </w:t>
      </w:r>
      <w:r w:rsidR="00AD2C38">
        <w:t>T&amp;D</w:t>
      </w:r>
      <w:r>
        <w:t xml:space="preserve"> capacity costs presented in </w:t>
      </w:r>
      <w:r w:rsidR="003E355C" w:rsidRPr="003E355C">
        <w:t xml:space="preserve">Section </w:t>
      </w:r>
      <w:r w:rsidR="003E355C" w:rsidRPr="003E355C">
        <w:fldChar w:fldCharType="begin"/>
      </w:r>
      <w:r w:rsidR="003E355C" w:rsidRPr="003E355C">
        <w:instrText xml:space="preserve"> REF _Ref406614169 \r \h </w:instrText>
      </w:r>
      <w:r w:rsidR="003E355C">
        <w:instrText xml:space="preserve"> \* MERGEFORMAT </w:instrText>
      </w:r>
      <w:r w:rsidR="003E355C" w:rsidRPr="003E355C">
        <w:fldChar w:fldCharType="separate"/>
      </w:r>
      <w:r w:rsidR="00803DBE">
        <w:t>2.8</w:t>
      </w:r>
      <w:r w:rsidR="003E355C" w:rsidRPr="003E355C">
        <w:fldChar w:fldCharType="end"/>
      </w:r>
      <w:r>
        <w:t xml:space="preserve"> distinguishes between </w:t>
      </w:r>
      <w:r w:rsidR="00AD2C38">
        <w:t>T&amp;D</w:t>
      </w:r>
      <w:r>
        <w:t xml:space="preserve"> investments where EDC-supplied data was sufficiently granular. Both the avoided </w:t>
      </w:r>
      <w:r w:rsidR="00AD2C38">
        <w:t>T&amp;D</w:t>
      </w:r>
      <w:r>
        <w:t xml:space="preserve"> cost</w:t>
      </w:r>
      <w:r w:rsidR="00BE6EE3">
        <w:t>s</w:t>
      </w:r>
      <w:r>
        <w:t xml:space="preserve"> were applied to load reduction from the </w:t>
      </w:r>
      <w:r w:rsidR="00BE6EE3">
        <w:t xml:space="preserve">commercial </w:t>
      </w:r>
      <w:r>
        <w:t>customer segments. Industrial customers only received the avoided cost of transmission capacity under the assumption that many industrial accounts receive high voltage service</w:t>
      </w:r>
      <w:r w:rsidR="00A1246F">
        <w:t xml:space="preserve">, often very close to transmission lines. The SWE </w:t>
      </w:r>
      <w:r w:rsidR="00A61CA7">
        <w:t xml:space="preserve">Team </w:t>
      </w:r>
      <w:r w:rsidR="00A1246F">
        <w:t>felt that</w:t>
      </w:r>
      <w:r>
        <w:t xml:space="preserve"> </w:t>
      </w:r>
      <w:r w:rsidR="00A1246F">
        <w:t xml:space="preserve">because these large industrials </w:t>
      </w:r>
      <w:r>
        <w:t xml:space="preserve">are </w:t>
      </w:r>
      <w:r w:rsidR="00BE6EE3">
        <w:t>mostly</w:t>
      </w:r>
      <w:r>
        <w:t xml:space="preserve"> </w:t>
      </w:r>
      <w:r w:rsidR="00A1246F">
        <w:t>removed from the distribution system it would be inappropriate to assume any distribution projects could be avoided or deferred because of DR impacts from large industrial accounts.</w:t>
      </w:r>
      <w:r w:rsidR="00AA58DD">
        <w:t xml:space="preserve"> Separate line loss values were also applied to the </w:t>
      </w:r>
      <w:r w:rsidR="008D678D">
        <w:t>C&amp;I</w:t>
      </w:r>
      <w:r w:rsidR="00AA58DD">
        <w:t xml:space="preserve"> segments where available for similar reason</w:t>
      </w:r>
      <w:r w:rsidR="00BE6EE3">
        <w:t>s</w:t>
      </w:r>
      <w:r w:rsidR="00AA58DD">
        <w:t>.</w:t>
      </w:r>
    </w:p>
    <w:p w:rsidR="00BF2769" w:rsidRDefault="00BF2769" w:rsidP="00A83ABC"/>
    <w:p w:rsidR="00BF2769" w:rsidRDefault="00BF2769" w:rsidP="00A83ABC">
      <w:pPr>
        <w:pStyle w:val="Heading2"/>
      </w:pPr>
      <w:bookmarkStart w:id="266" w:name="_Ref406411969"/>
      <w:bookmarkStart w:id="267" w:name="_Ref406413683"/>
      <w:bookmarkStart w:id="268" w:name="_Toc412628428"/>
      <w:r>
        <w:t>C&amp;I Potential by EDC</w:t>
      </w:r>
      <w:bookmarkEnd w:id="266"/>
      <w:bookmarkEnd w:id="267"/>
      <w:bookmarkEnd w:id="268"/>
    </w:p>
    <w:p w:rsidR="00545599" w:rsidRDefault="00E061E0" w:rsidP="00A83ABC">
      <w:r w:rsidRPr="00EA4771">
        <w:fldChar w:fldCharType="begin"/>
      </w:r>
      <w:r w:rsidRPr="00EA4771">
        <w:instrText xml:space="preserve"> REF _Ref406917406 \h </w:instrText>
      </w:r>
      <w:r w:rsidR="00CF2BE5">
        <w:instrText xml:space="preserve"> \* MERGEFORMAT </w:instrText>
      </w:r>
      <w:r w:rsidRPr="00EA4771">
        <w:fldChar w:fldCharType="separate"/>
      </w:r>
      <w:r w:rsidR="00803DBE" w:rsidRPr="009370BC">
        <w:t xml:space="preserve">Table </w:t>
      </w:r>
      <w:r w:rsidR="00803DBE">
        <w:rPr>
          <w:noProof/>
        </w:rPr>
        <w:t>6</w:t>
      </w:r>
      <w:r w:rsidR="00803DBE">
        <w:rPr>
          <w:noProof/>
        </w:rPr>
        <w:noBreakHyphen/>
        <w:t>5</w:t>
      </w:r>
      <w:r w:rsidRPr="00EA4771">
        <w:fldChar w:fldCharType="end"/>
      </w:r>
      <w:r w:rsidRPr="00EA4771">
        <w:t xml:space="preserve"> </w:t>
      </w:r>
      <w:r w:rsidR="00EA4771">
        <w:t xml:space="preserve">presents the average annual </w:t>
      </w:r>
      <w:r w:rsidR="00037A03">
        <w:t>DR</w:t>
      </w:r>
      <w:r w:rsidR="00EA4771">
        <w:t xml:space="preserve"> potential for each of the three DR products by EDC. For each company, </w:t>
      </w:r>
      <w:r w:rsidR="00037A03">
        <w:t>DR</w:t>
      </w:r>
      <w:r w:rsidR="00451923">
        <w:t xml:space="preserve"> potential is greatest when participants are notified the day before an event call.</w:t>
      </w:r>
      <w:r w:rsidR="005E7C6A">
        <w:t xml:space="preserve"> The MW potential estimates presented in </w:t>
      </w:r>
      <w:r w:rsidR="005E7C6A">
        <w:fldChar w:fldCharType="begin"/>
      </w:r>
      <w:r w:rsidR="005E7C6A">
        <w:instrText xml:space="preserve"> REF _Ref406917406 \h </w:instrText>
      </w:r>
      <w:r w:rsidR="00CF2BE5">
        <w:instrText xml:space="preserve"> \* MERGEFORMAT </w:instrText>
      </w:r>
      <w:r w:rsidR="005E7C6A">
        <w:fldChar w:fldCharType="separate"/>
      </w:r>
      <w:r w:rsidR="00803DBE" w:rsidRPr="009370BC">
        <w:t xml:space="preserve">Table </w:t>
      </w:r>
      <w:r w:rsidR="00803DBE">
        <w:rPr>
          <w:noProof/>
        </w:rPr>
        <w:t>6</w:t>
      </w:r>
      <w:r w:rsidR="00803DBE">
        <w:rPr>
          <w:noProof/>
        </w:rPr>
        <w:noBreakHyphen/>
        <w:t>5</w:t>
      </w:r>
      <w:r w:rsidR="005E7C6A">
        <w:fldChar w:fldCharType="end"/>
      </w:r>
      <w:r w:rsidR="005E7C6A">
        <w:t xml:space="preserve"> are average annual figures. Because </w:t>
      </w:r>
      <w:r w:rsidR="00325B3B">
        <w:t>EDC peak</w:t>
      </w:r>
      <w:r w:rsidR="009A6034">
        <w:t xml:space="preserve"> load forecast</w:t>
      </w:r>
      <w:r w:rsidR="00325B3B">
        <w:t>s</w:t>
      </w:r>
      <w:r w:rsidR="009A6034">
        <w:t xml:space="preserve"> </w:t>
      </w:r>
      <w:r w:rsidR="00EA3C8F">
        <w:t xml:space="preserve">escalate at a slower rate than </w:t>
      </w:r>
      <w:r w:rsidR="009A6034">
        <w:t xml:space="preserve">avoided costs, there are subtle differences in the annual estimates, </w:t>
      </w:r>
      <w:r w:rsidR="00CC2CB8">
        <w:t>with later years sh</w:t>
      </w:r>
      <w:r w:rsidR="00EA3C8F">
        <w:t>owing slightly less potential than the early years of Phase III.</w:t>
      </w:r>
      <w:r w:rsidR="00D31B6A">
        <w:t xml:space="preserve"> These are estimates of full potential, prior to consideration of available funding or overlap with</w:t>
      </w:r>
      <w:r w:rsidR="00D25B55">
        <w:t xml:space="preserve"> PJM </w:t>
      </w:r>
      <w:r w:rsidR="00037A03">
        <w:t>DR</w:t>
      </w:r>
      <w:r w:rsidR="00D25B55">
        <w:t xml:space="preserve"> enrollment, </w:t>
      </w:r>
      <w:r w:rsidR="00D25B55" w:rsidRPr="00315F28">
        <w:t>and adjusted for line losses for presentation at the generator level.</w:t>
      </w:r>
    </w:p>
    <w:p w:rsidR="002E0003" w:rsidRPr="00EA4771" w:rsidRDefault="002E0003" w:rsidP="00A83ABC"/>
    <w:p w:rsidR="00F41FA6" w:rsidRPr="009370BC" w:rsidRDefault="00F41FA6" w:rsidP="00A83ABC">
      <w:pPr>
        <w:pStyle w:val="Caption"/>
        <w:keepNext/>
      </w:pPr>
      <w:bookmarkStart w:id="269" w:name="_Ref406917406"/>
      <w:bookmarkStart w:id="270" w:name="_Toc412628488"/>
      <w:r w:rsidRPr="009370BC">
        <w:t xml:space="preserve">Table </w:t>
      </w:r>
      <w:r w:rsidR="00E2011B">
        <w:fldChar w:fldCharType="begin"/>
      </w:r>
      <w:r w:rsidR="00E2011B">
        <w:instrText xml:space="preserve"> STYLEREF 1 \s</w:instrText>
      </w:r>
      <w:r w:rsidR="00E2011B">
        <w:instrText xml:space="preserve">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5</w:t>
      </w:r>
      <w:r w:rsidR="00E2011B">
        <w:rPr>
          <w:noProof/>
        </w:rPr>
        <w:fldChar w:fldCharType="end"/>
      </w:r>
      <w:bookmarkEnd w:id="269"/>
      <w:r w:rsidRPr="009370BC">
        <w:t>: Phase III Achievable Potential Estimates by EDC and DR Product Type (MW/year)</w:t>
      </w:r>
      <w:bookmarkEnd w:id="270"/>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800"/>
        <w:gridCol w:w="1710"/>
        <w:gridCol w:w="1710"/>
        <w:gridCol w:w="1890"/>
      </w:tblGrid>
      <w:tr w:rsidR="00F41FA6" w:rsidRPr="002E0003" w:rsidTr="002C637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shd w:val="clear" w:color="auto" w:fill="448A99"/>
          </w:tcPr>
          <w:p w:rsidR="00B20340" w:rsidRPr="002E0003" w:rsidRDefault="00B20340" w:rsidP="00A83ABC">
            <w:pPr>
              <w:rPr>
                <w:sz w:val="20"/>
              </w:rPr>
            </w:pPr>
            <w:r w:rsidRPr="002E0003">
              <w:rPr>
                <w:sz w:val="20"/>
              </w:rPr>
              <w:t>EDC</w:t>
            </w:r>
          </w:p>
        </w:tc>
        <w:tc>
          <w:tcPr>
            <w:tcW w:w="1710" w:type="dxa"/>
            <w:tcBorders>
              <w:top w:val="none" w:sz="0" w:space="0" w:color="auto"/>
              <w:left w:val="none" w:sz="0" w:space="0" w:color="auto"/>
              <w:bottom w:val="none" w:sz="0" w:space="0" w:color="auto"/>
              <w:right w:val="none" w:sz="0" w:space="0" w:color="auto"/>
            </w:tcBorders>
            <w:shd w:val="clear" w:color="auto" w:fill="448A99"/>
          </w:tcPr>
          <w:p w:rsidR="00B20340" w:rsidRPr="002E0003" w:rsidRDefault="00123C18" w:rsidP="00A83ABC">
            <w:pPr>
              <w:jc w:val="center"/>
              <w:cnfStyle w:val="100000000000" w:firstRow="1" w:lastRow="0" w:firstColumn="0" w:lastColumn="0" w:oddVBand="0" w:evenVBand="0" w:oddHBand="0" w:evenHBand="0" w:firstRowFirstColumn="0" w:firstRowLastColumn="0" w:lastRowFirstColumn="0" w:lastRowLastColumn="0"/>
              <w:rPr>
                <w:sz w:val="20"/>
              </w:rPr>
            </w:pPr>
            <w:r>
              <w:rPr>
                <w:sz w:val="20"/>
              </w:rPr>
              <w:t>Day-Ahead</w:t>
            </w:r>
          </w:p>
        </w:tc>
        <w:tc>
          <w:tcPr>
            <w:tcW w:w="1710" w:type="dxa"/>
            <w:tcBorders>
              <w:top w:val="none" w:sz="0" w:space="0" w:color="auto"/>
              <w:left w:val="none" w:sz="0" w:space="0" w:color="auto"/>
              <w:bottom w:val="none" w:sz="0" w:space="0" w:color="auto"/>
              <w:right w:val="none" w:sz="0" w:space="0" w:color="auto"/>
            </w:tcBorders>
            <w:shd w:val="clear" w:color="auto" w:fill="448A99"/>
          </w:tcPr>
          <w:p w:rsidR="00B20340" w:rsidRPr="002E0003" w:rsidRDefault="00B20340"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2E0003">
              <w:rPr>
                <w:sz w:val="20"/>
              </w:rPr>
              <w:t>Day-Of</w:t>
            </w:r>
          </w:p>
        </w:tc>
        <w:tc>
          <w:tcPr>
            <w:tcW w:w="1890" w:type="dxa"/>
            <w:tcBorders>
              <w:top w:val="none" w:sz="0" w:space="0" w:color="auto"/>
              <w:left w:val="none" w:sz="0" w:space="0" w:color="auto"/>
              <w:bottom w:val="none" w:sz="0" w:space="0" w:color="auto"/>
              <w:right w:val="none" w:sz="0" w:space="0" w:color="auto"/>
            </w:tcBorders>
            <w:shd w:val="clear" w:color="auto" w:fill="448A99"/>
          </w:tcPr>
          <w:p w:rsidR="00B20340" w:rsidRPr="002E0003" w:rsidRDefault="00B20340" w:rsidP="00A83ABC">
            <w:pPr>
              <w:jc w:val="center"/>
              <w:cnfStyle w:val="100000000000" w:firstRow="1" w:lastRow="0" w:firstColumn="0" w:lastColumn="0" w:oddVBand="0" w:evenVBand="0" w:oddHBand="0" w:evenHBand="0" w:firstRowFirstColumn="0" w:firstRowLastColumn="0" w:lastRowFirstColumn="0" w:lastRowLastColumn="0"/>
              <w:rPr>
                <w:sz w:val="20"/>
              </w:rPr>
            </w:pPr>
            <w:r w:rsidRPr="002E0003">
              <w:rPr>
                <w:sz w:val="20"/>
              </w:rPr>
              <w:t>Fast Response</w:t>
            </w:r>
          </w:p>
        </w:tc>
      </w:tr>
      <w:tr w:rsidR="00CC2CB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b w:val="0"/>
                <w:sz w:val="20"/>
              </w:rPr>
            </w:pPr>
            <w:r w:rsidRPr="002E0003">
              <w:rPr>
                <w:b w:val="0"/>
                <w:sz w:val="20"/>
              </w:rPr>
              <w:t>Duquesne</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426</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201</w:t>
            </w:r>
          </w:p>
        </w:tc>
        <w:tc>
          <w:tcPr>
            <w:tcW w:w="1890" w:type="dxa"/>
            <w:tcBorders>
              <w:lef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67</w:t>
            </w:r>
          </w:p>
        </w:tc>
      </w:tr>
      <w:tr w:rsidR="00CC2CB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b w:val="0"/>
                <w:sz w:val="20"/>
              </w:rPr>
            </w:pPr>
            <w:r w:rsidRPr="002E0003">
              <w:rPr>
                <w:b w:val="0"/>
                <w:sz w:val="20"/>
              </w:rPr>
              <w:t>FE: Met-Ed</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265</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126</w:t>
            </w:r>
          </w:p>
        </w:tc>
        <w:tc>
          <w:tcPr>
            <w:tcW w:w="1890" w:type="dxa"/>
            <w:tcBorders>
              <w:lef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40</w:t>
            </w:r>
          </w:p>
        </w:tc>
      </w:tr>
      <w:tr w:rsidR="00CC2CB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b w:val="0"/>
                <w:sz w:val="20"/>
              </w:rPr>
            </w:pPr>
            <w:r w:rsidRPr="002E0003">
              <w:rPr>
                <w:b w:val="0"/>
                <w:sz w:val="20"/>
              </w:rPr>
              <w:t>FE: Penelec</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261</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123</w:t>
            </w:r>
          </w:p>
        </w:tc>
        <w:tc>
          <w:tcPr>
            <w:tcW w:w="1890" w:type="dxa"/>
            <w:tcBorders>
              <w:lef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41</w:t>
            </w:r>
          </w:p>
        </w:tc>
      </w:tr>
      <w:tr w:rsidR="00CC2CB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b w:val="0"/>
                <w:sz w:val="20"/>
              </w:rPr>
            </w:pPr>
            <w:r w:rsidRPr="002E0003">
              <w:rPr>
                <w:b w:val="0"/>
                <w:sz w:val="20"/>
              </w:rPr>
              <w:t>FE: Penn Power</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122</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58</w:t>
            </w:r>
          </w:p>
        </w:tc>
        <w:tc>
          <w:tcPr>
            <w:tcW w:w="1890" w:type="dxa"/>
            <w:tcBorders>
              <w:lef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20</w:t>
            </w:r>
          </w:p>
        </w:tc>
      </w:tr>
      <w:tr w:rsidR="00CC2CB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b w:val="0"/>
                <w:sz w:val="20"/>
              </w:rPr>
            </w:pPr>
            <w:r w:rsidRPr="002E0003">
              <w:rPr>
                <w:b w:val="0"/>
                <w:sz w:val="20"/>
              </w:rPr>
              <w:t>FE: W</w:t>
            </w:r>
            <w:r>
              <w:rPr>
                <w:b w:val="0"/>
                <w:sz w:val="20"/>
              </w:rPr>
              <w:t>est Penn</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498</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231</w:t>
            </w:r>
          </w:p>
        </w:tc>
        <w:tc>
          <w:tcPr>
            <w:tcW w:w="1890" w:type="dxa"/>
            <w:tcBorders>
              <w:lef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80</w:t>
            </w:r>
          </w:p>
        </w:tc>
      </w:tr>
      <w:tr w:rsidR="00CC2CB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b w:val="0"/>
                <w:sz w:val="20"/>
              </w:rPr>
            </w:pPr>
            <w:r w:rsidRPr="002E0003">
              <w:rPr>
                <w:b w:val="0"/>
                <w:sz w:val="20"/>
              </w:rPr>
              <w:t>PECO</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912</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428</w:t>
            </w:r>
          </w:p>
        </w:tc>
        <w:tc>
          <w:tcPr>
            <w:tcW w:w="1890" w:type="dxa"/>
            <w:tcBorders>
              <w:lef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sz w:val="20"/>
              </w:rPr>
            </w:pPr>
            <w:r w:rsidRPr="002E0003">
              <w:rPr>
                <w:sz w:val="20"/>
              </w:rPr>
              <w:t>168</w:t>
            </w:r>
          </w:p>
        </w:tc>
      </w:tr>
      <w:tr w:rsidR="00CC2CB8" w:rsidRPr="002E000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b w:val="0"/>
                <w:sz w:val="20"/>
              </w:rPr>
            </w:pPr>
            <w:r w:rsidRPr="002E0003">
              <w:rPr>
                <w:b w:val="0"/>
                <w:sz w:val="20"/>
              </w:rPr>
              <w:t>PPL</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732</w:t>
            </w:r>
          </w:p>
        </w:tc>
        <w:tc>
          <w:tcPr>
            <w:tcW w:w="1710" w:type="dxa"/>
            <w:tcBorders>
              <w:left w:val="none" w:sz="0" w:space="0" w:color="auto"/>
              <w:righ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386</w:t>
            </w:r>
          </w:p>
        </w:tc>
        <w:tc>
          <w:tcPr>
            <w:tcW w:w="1890" w:type="dxa"/>
            <w:tcBorders>
              <w:left w:val="none" w:sz="0" w:space="0" w:color="auto"/>
            </w:tcBorders>
          </w:tcPr>
          <w:p w:rsidR="00CC2CB8" w:rsidRPr="002E0003" w:rsidRDefault="00CC2CB8" w:rsidP="00A83ABC">
            <w:pPr>
              <w:jc w:val="center"/>
              <w:cnfStyle w:val="000000100000" w:firstRow="0" w:lastRow="0" w:firstColumn="0" w:lastColumn="0" w:oddVBand="0" w:evenVBand="0" w:oddHBand="1" w:evenHBand="0" w:firstRowFirstColumn="0" w:firstRowLastColumn="0" w:lastRowFirstColumn="0" w:lastRowLastColumn="0"/>
              <w:rPr>
                <w:sz w:val="20"/>
              </w:rPr>
            </w:pPr>
            <w:r w:rsidRPr="002E0003">
              <w:rPr>
                <w:sz w:val="20"/>
              </w:rPr>
              <w:t>115</w:t>
            </w:r>
          </w:p>
        </w:tc>
      </w:tr>
      <w:tr w:rsidR="00CC2CB8" w:rsidRPr="002E000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rsidR="00CC2CB8" w:rsidRPr="002E0003" w:rsidRDefault="00CC2CB8" w:rsidP="00A83ABC">
            <w:pPr>
              <w:rPr>
                <w:sz w:val="20"/>
              </w:rPr>
            </w:pPr>
            <w:r w:rsidRPr="002E0003">
              <w:rPr>
                <w:sz w:val="20"/>
              </w:rPr>
              <w:t>Statewide</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b/>
                <w:sz w:val="20"/>
              </w:rPr>
            </w:pPr>
            <w:r w:rsidRPr="002E0003">
              <w:rPr>
                <w:b/>
                <w:sz w:val="20"/>
              </w:rPr>
              <w:t>3,216</w:t>
            </w:r>
          </w:p>
        </w:tc>
        <w:tc>
          <w:tcPr>
            <w:tcW w:w="1710" w:type="dxa"/>
            <w:tcBorders>
              <w:left w:val="none" w:sz="0" w:space="0" w:color="auto"/>
              <w:righ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b/>
                <w:sz w:val="20"/>
              </w:rPr>
            </w:pPr>
            <w:r w:rsidRPr="002E0003">
              <w:rPr>
                <w:b/>
                <w:sz w:val="20"/>
              </w:rPr>
              <w:t>1,552</w:t>
            </w:r>
          </w:p>
        </w:tc>
        <w:tc>
          <w:tcPr>
            <w:tcW w:w="1890" w:type="dxa"/>
            <w:tcBorders>
              <w:left w:val="none" w:sz="0" w:space="0" w:color="auto"/>
            </w:tcBorders>
          </w:tcPr>
          <w:p w:rsidR="00CC2CB8" w:rsidRPr="002E0003" w:rsidRDefault="00CC2CB8" w:rsidP="00A83ABC">
            <w:pPr>
              <w:jc w:val="center"/>
              <w:cnfStyle w:val="000000010000" w:firstRow="0" w:lastRow="0" w:firstColumn="0" w:lastColumn="0" w:oddVBand="0" w:evenVBand="0" w:oddHBand="0" w:evenHBand="1" w:firstRowFirstColumn="0" w:firstRowLastColumn="0" w:lastRowFirstColumn="0" w:lastRowLastColumn="0"/>
              <w:rPr>
                <w:b/>
                <w:sz w:val="20"/>
              </w:rPr>
            </w:pPr>
            <w:r w:rsidRPr="002E0003">
              <w:rPr>
                <w:b/>
                <w:sz w:val="20"/>
              </w:rPr>
              <w:t>532</w:t>
            </w:r>
          </w:p>
        </w:tc>
      </w:tr>
    </w:tbl>
    <w:p w:rsidR="002E0003" w:rsidRDefault="002E0003" w:rsidP="00A83ABC"/>
    <w:p w:rsidR="005E7C6A" w:rsidRDefault="005E7C6A" w:rsidP="00A83ABC">
      <w:r>
        <w:fldChar w:fldCharType="begin"/>
      </w:r>
      <w:r>
        <w:instrText xml:space="preserve"> REF _Ref406919843 \h </w:instrText>
      </w:r>
      <w:r w:rsidR="00CF2BE5">
        <w:instrText xml:space="preserve"> \* MERGEFORMAT </w:instrText>
      </w:r>
      <w:r>
        <w:fldChar w:fldCharType="separate"/>
      </w:r>
      <w:r w:rsidR="00803DBE" w:rsidRPr="00D837FD">
        <w:t xml:space="preserve">Figure </w:t>
      </w:r>
      <w:r w:rsidR="00803DBE">
        <w:rPr>
          <w:noProof/>
        </w:rPr>
        <w:t>6</w:t>
      </w:r>
      <w:r w:rsidR="00803DBE">
        <w:rPr>
          <w:noProof/>
        </w:rPr>
        <w:noBreakHyphen/>
        <w:t>4</w:t>
      </w:r>
      <w:r>
        <w:fldChar w:fldCharType="end"/>
      </w:r>
      <w:r>
        <w:t xml:space="preserve"> shows the </w:t>
      </w:r>
      <w:r w:rsidR="00037A03">
        <w:t>DR</w:t>
      </w:r>
      <w:r w:rsidR="00D31B6A">
        <w:t xml:space="preserve"> potential estimates expressed as a percent reduction. The </w:t>
      </w:r>
      <w:r w:rsidR="00151E3A">
        <w:t xml:space="preserve">numerator of each percentage is the value shown in </w:t>
      </w:r>
      <w:r w:rsidR="00151E3A">
        <w:fldChar w:fldCharType="begin"/>
      </w:r>
      <w:r w:rsidR="00151E3A">
        <w:instrText xml:space="preserve"> REF _Ref406917406 \h </w:instrText>
      </w:r>
      <w:r w:rsidR="00CF2BE5">
        <w:instrText xml:space="preserve"> \* MERGEFORMAT </w:instrText>
      </w:r>
      <w:r w:rsidR="00151E3A">
        <w:fldChar w:fldCharType="separate"/>
      </w:r>
      <w:r w:rsidR="00803DBE" w:rsidRPr="009370BC">
        <w:t xml:space="preserve">Table </w:t>
      </w:r>
      <w:r w:rsidR="00803DBE">
        <w:rPr>
          <w:noProof/>
        </w:rPr>
        <w:t>6</w:t>
      </w:r>
      <w:r w:rsidR="00803DBE">
        <w:rPr>
          <w:noProof/>
        </w:rPr>
        <w:noBreakHyphen/>
        <w:t>5</w:t>
      </w:r>
      <w:r w:rsidR="00151E3A">
        <w:fldChar w:fldCharType="end"/>
      </w:r>
      <w:r w:rsidR="00151E3A">
        <w:t xml:space="preserve"> and the denominator is the share of the summer peak load forecast attributable to accounts with a PLC greater than 75 kW as shown in </w:t>
      </w:r>
      <w:r w:rsidR="00151E3A">
        <w:fldChar w:fldCharType="begin"/>
      </w:r>
      <w:r w:rsidR="00151E3A">
        <w:instrText xml:space="preserve"> REF _Ref406920339 \h </w:instrText>
      </w:r>
      <w:r w:rsidR="00CF2BE5">
        <w:instrText xml:space="preserve"> \* MERGEFORMAT </w:instrText>
      </w:r>
      <w:r w:rsidR="00151E3A">
        <w:fldChar w:fldCharType="separate"/>
      </w:r>
      <w:r w:rsidR="00803DBE" w:rsidRPr="00D63A76">
        <w:t xml:space="preserve">Table </w:t>
      </w:r>
      <w:r w:rsidR="00803DBE">
        <w:rPr>
          <w:noProof/>
        </w:rPr>
        <w:t>2</w:t>
      </w:r>
      <w:r w:rsidR="00803DBE">
        <w:rPr>
          <w:noProof/>
        </w:rPr>
        <w:noBreakHyphen/>
        <w:t>3</w:t>
      </w:r>
      <w:r w:rsidR="00151E3A">
        <w:fldChar w:fldCharType="end"/>
      </w:r>
      <w:r w:rsidR="00151E3A">
        <w:t xml:space="preserve">. The combination of low retail electric rates and high incentive payments driven by T&amp;D avoided costs give western EDCs </w:t>
      </w:r>
      <w:r w:rsidR="00151E3A">
        <w:lastRenderedPageBreak/>
        <w:t xml:space="preserve">the highest DR potential estimates </w:t>
      </w:r>
      <w:r w:rsidR="00736D72">
        <w:t xml:space="preserve">on a percentage basis. </w:t>
      </w:r>
      <w:r w:rsidR="003A1370">
        <w:t xml:space="preserve">Recall that </w:t>
      </w:r>
      <w:r w:rsidR="00BE6EE3">
        <w:t xml:space="preserve">industrial </w:t>
      </w:r>
      <w:r w:rsidR="003A1370">
        <w:t>customers were only allocated avoided generation and transmissi</w:t>
      </w:r>
      <w:r w:rsidR="00CC2CB8">
        <w:t xml:space="preserve">on capacity benefits. Duquesne’s </w:t>
      </w:r>
      <w:r w:rsidR="003A1370">
        <w:t xml:space="preserve">avoided T&amp;D benefits were all from transmission </w:t>
      </w:r>
      <w:r w:rsidR="00003EC2">
        <w:t>and this led to increased incentive amounts and DR potential for its industrial customer base.</w:t>
      </w:r>
      <w:r w:rsidR="003A1370">
        <w:t xml:space="preserve"> </w:t>
      </w:r>
    </w:p>
    <w:p w:rsidR="009A2C24" w:rsidRPr="005E7C6A" w:rsidRDefault="009A2C24" w:rsidP="00A83ABC"/>
    <w:p w:rsidR="004D6F52" w:rsidRPr="00D837FD" w:rsidRDefault="004D6F52" w:rsidP="00A83ABC">
      <w:pPr>
        <w:pStyle w:val="Caption"/>
        <w:keepNext/>
      </w:pPr>
      <w:bookmarkStart w:id="271" w:name="_Ref406919843"/>
      <w:bookmarkStart w:id="272" w:name="_Toc412628520"/>
      <w:r w:rsidRPr="00D837FD">
        <w:t xml:space="preserve">Figure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4</w:t>
      </w:r>
      <w:r w:rsidR="00E2011B">
        <w:rPr>
          <w:noProof/>
        </w:rPr>
        <w:fldChar w:fldCharType="end"/>
      </w:r>
      <w:bookmarkEnd w:id="271"/>
      <w:r w:rsidRPr="00D837FD">
        <w:t>: Percent Reduction by DR Product and EDC</w:t>
      </w:r>
      <w:bookmarkEnd w:id="272"/>
    </w:p>
    <w:p w:rsidR="00EA4771" w:rsidRDefault="00B91E64" w:rsidP="00A83ABC">
      <w:pPr>
        <w:rPr>
          <w:highlight w:val="yellow"/>
        </w:rPr>
      </w:pPr>
      <w:r>
        <w:rPr>
          <w:noProof/>
        </w:rPr>
        <w:drawing>
          <wp:inline distT="0" distB="0" distL="0" distR="0" wp14:anchorId="18093818" wp14:editId="34B9B7FA">
            <wp:extent cx="5943600" cy="290322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E0003" w:rsidRDefault="002E0003" w:rsidP="00A83ABC">
      <w:pPr>
        <w:rPr>
          <w:highlight w:val="yellow"/>
        </w:rPr>
      </w:pPr>
    </w:p>
    <w:p w:rsidR="002D15F0" w:rsidRDefault="00736D72" w:rsidP="00A83ABC">
      <w:r w:rsidRPr="00736D72">
        <w:t>O</w:t>
      </w:r>
      <w:r>
        <w:t xml:space="preserve">ne implication of </w:t>
      </w:r>
      <w:r w:rsidR="002D15F0">
        <w:t xml:space="preserve">the decision to model an incentive payment that maximizes the </w:t>
      </w:r>
      <w:r w:rsidR="00BE6EE3">
        <w:t>PVNB</w:t>
      </w:r>
      <w:r w:rsidR="002D15F0">
        <w:t xml:space="preserve"> is that TRC ratios are homogenous across EDCs and DR product types. </w:t>
      </w:r>
      <w:r w:rsidR="002D15F0">
        <w:fldChar w:fldCharType="begin"/>
      </w:r>
      <w:r w:rsidR="002D15F0">
        <w:instrText xml:space="preserve"> REF _Ref406922052 \h </w:instrText>
      </w:r>
      <w:r w:rsidR="00CF2BE5">
        <w:instrText xml:space="preserve"> \* MERGEFORMAT </w:instrText>
      </w:r>
      <w:r w:rsidR="002D15F0">
        <w:fldChar w:fldCharType="separate"/>
      </w:r>
      <w:r w:rsidR="00803DBE" w:rsidRPr="00221CBF">
        <w:t xml:space="preserve">Table </w:t>
      </w:r>
      <w:r w:rsidR="00803DBE">
        <w:rPr>
          <w:noProof/>
        </w:rPr>
        <w:t>6</w:t>
      </w:r>
      <w:r w:rsidR="00803DBE">
        <w:rPr>
          <w:noProof/>
        </w:rPr>
        <w:noBreakHyphen/>
        <w:t>6</w:t>
      </w:r>
      <w:r w:rsidR="002D15F0">
        <w:fldChar w:fldCharType="end"/>
      </w:r>
      <w:r w:rsidR="002D15F0">
        <w:t xml:space="preserve"> shows the modeled TRC ratios for each DR product type by EDC. </w:t>
      </w:r>
    </w:p>
    <w:p w:rsidR="002E0003" w:rsidRDefault="002E0003" w:rsidP="00A83ABC"/>
    <w:p w:rsidR="002D15F0" w:rsidRPr="00221CBF" w:rsidRDefault="002D15F0" w:rsidP="00A83ABC">
      <w:pPr>
        <w:pStyle w:val="Caption"/>
        <w:keepNext/>
      </w:pPr>
      <w:bookmarkStart w:id="273" w:name="_Ref406922052"/>
      <w:bookmarkStart w:id="274" w:name="_Toc412628489"/>
      <w:r w:rsidRPr="00221CBF">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6</w:t>
      </w:r>
      <w:r w:rsidR="00E2011B">
        <w:rPr>
          <w:noProof/>
        </w:rPr>
        <w:fldChar w:fldCharType="end"/>
      </w:r>
      <w:bookmarkEnd w:id="273"/>
      <w:r w:rsidRPr="00221CBF">
        <w:t>: Phase III TRC Ratios by EDC and DR Product Type</w:t>
      </w:r>
      <w:bookmarkEnd w:id="274"/>
    </w:p>
    <w:tbl>
      <w:tblPr>
        <w:tblStyle w:val="MediumShading1-Accent5"/>
        <w:tblW w:w="4700"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430"/>
        <w:gridCol w:w="2191"/>
        <w:gridCol w:w="2191"/>
        <w:gridCol w:w="2189"/>
      </w:tblGrid>
      <w:tr w:rsidR="006503C4" w:rsidRPr="006503C4" w:rsidTr="002C63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2D15F0" w:rsidRPr="006503C4" w:rsidRDefault="002D15F0" w:rsidP="00A83ABC">
            <w:pPr>
              <w:jc w:val="left"/>
              <w:rPr>
                <w:rFonts w:ascii="Calibri" w:eastAsia="Times New Roman" w:hAnsi="Calibri" w:cs="Times New Roman"/>
                <w:bCs w:val="0"/>
                <w:sz w:val="20"/>
              </w:rPr>
            </w:pPr>
            <w:r w:rsidRPr="006503C4">
              <w:rPr>
                <w:rFonts w:ascii="Calibri" w:eastAsia="Times New Roman" w:hAnsi="Calibri" w:cs="Times New Roman"/>
                <w:bCs w:val="0"/>
                <w:sz w:val="20"/>
              </w:rPr>
              <w:t>EDC</w:t>
            </w:r>
          </w:p>
        </w:tc>
        <w:tc>
          <w:tcPr>
            <w:tcW w:w="1217"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2D15F0" w:rsidRPr="006503C4" w:rsidRDefault="00123C1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rPr>
            </w:pPr>
            <w:r>
              <w:rPr>
                <w:rFonts w:ascii="Calibri" w:eastAsia="Times New Roman" w:hAnsi="Calibri" w:cs="Times New Roman"/>
                <w:bCs w:val="0"/>
                <w:sz w:val="20"/>
              </w:rPr>
              <w:t>Day-Ahead</w:t>
            </w:r>
          </w:p>
        </w:tc>
        <w:tc>
          <w:tcPr>
            <w:tcW w:w="1217"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2D15F0" w:rsidRPr="006503C4" w:rsidRDefault="002D15F0"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rPr>
            </w:pPr>
            <w:r w:rsidRPr="006503C4">
              <w:rPr>
                <w:rFonts w:ascii="Calibri" w:eastAsia="Times New Roman" w:hAnsi="Calibri" w:cs="Times New Roman"/>
                <w:bCs w:val="0"/>
                <w:sz w:val="20"/>
              </w:rPr>
              <w:t>Day</w:t>
            </w:r>
            <w:r w:rsidR="0073339F">
              <w:rPr>
                <w:rFonts w:ascii="Calibri" w:eastAsia="Times New Roman" w:hAnsi="Calibri" w:cs="Times New Roman"/>
                <w:bCs w:val="0"/>
                <w:sz w:val="20"/>
              </w:rPr>
              <w:t>-</w:t>
            </w:r>
            <w:r w:rsidRPr="006503C4">
              <w:rPr>
                <w:rFonts w:ascii="Calibri" w:eastAsia="Times New Roman" w:hAnsi="Calibri" w:cs="Times New Roman"/>
                <w:bCs w:val="0"/>
                <w:sz w:val="20"/>
              </w:rPr>
              <w:t>Of</w:t>
            </w:r>
          </w:p>
        </w:tc>
        <w:tc>
          <w:tcPr>
            <w:tcW w:w="1216"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2D15F0" w:rsidRPr="006503C4" w:rsidRDefault="002D15F0"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rPr>
            </w:pPr>
            <w:r w:rsidRPr="006503C4">
              <w:rPr>
                <w:rFonts w:ascii="Calibri" w:eastAsia="Times New Roman" w:hAnsi="Calibri" w:cs="Times New Roman"/>
                <w:bCs w:val="0"/>
                <w:sz w:val="20"/>
              </w:rPr>
              <w:t>Fast Response</w:t>
            </w:r>
          </w:p>
        </w:tc>
      </w:tr>
      <w:tr w:rsidR="00CC2CB8" w:rsidRPr="006503C4"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50" w:type="pct"/>
            <w:tcBorders>
              <w:right w:val="none" w:sz="0" w:space="0" w:color="auto"/>
            </w:tcBorders>
            <w:noWrap/>
            <w:hideMark/>
          </w:tcPr>
          <w:p w:rsidR="00CC2CB8" w:rsidRPr="006503C4" w:rsidRDefault="00CC2CB8" w:rsidP="00A83ABC">
            <w:pPr>
              <w:rPr>
                <w:rFonts w:ascii="Calibri" w:eastAsia="Times New Roman" w:hAnsi="Calibri" w:cs="Times New Roman"/>
                <w:b w:val="0"/>
                <w:color w:val="000000"/>
                <w:sz w:val="20"/>
              </w:rPr>
            </w:pPr>
            <w:r w:rsidRPr="006503C4">
              <w:rPr>
                <w:rFonts w:ascii="Calibri" w:eastAsia="Times New Roman" w:hAnsi="Calibri" w:cs="Times New Roman"/>
                <w:b w:val="0"/>
                <w:color w:val="000000"/>
                <w:sz w:val="20"/>
              </w:rPr>
              <w:t>Duquesne</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1.94</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1.94</w:t>
            </w:r>
          </w:p>
        </w:tc>
        <w:tc>
          <w:tcPr>
            <w:tcW w:w="1216" w:type="pct"/>
            <w:tcBorders>
              <w:lef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1.94</w:t>
            </w:r>
          </w:p>
        </w:tc>
      </w:tr>
      <w:tr w:rsidR="00CC2CB8" w:rsidRPr="006503C4"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50" w:type="pct"/>
            <w:tcBorders>
              <w:right w:val="none" w:sz="0" w:space="0" w:color="auto"/>
            </w:tcBorders>
            <w:noWrap/>
            <w:hideMark/>
          </w:tcPr>
          <w:p w:rsidR="00CC2CB8" w:rsidRPr="006503C4" w:rsidRDefault="00CC2CB8" w:rsidP="00A83ABC">
            <w:pPr>
              <w:rPr>
                <w:rFonts w:ascii="Calibri" w:eastAsia="Times New Roman" w:hAnsi="Calibri" w:cs="Times New Roman"/>
                <w:b w:val="0"/>
                <w:color w:val="000000"/>
                <w:sz w:val="20"/>
              </w:rPr>
            </w:pPr>
            <w:r>
              <w:rPr>
                <w:rFonts w:ascii="Calibri" w:eastAsia="Times New Roman" w:hAnsi="Calibri" w:cs="Times New Roman"/>
                <w:b w:val="0"/>
                <w:color w:val="000000"/>
                <w:sz w:val="20"/>
              </w:rPr>
              <w:t xml:space="preserve">FE: </w:t>
            </w:r>
            <w:r w:rsidRPr="006503C4">
              <w:rPr>
                <w:rFonts w:ascii="Calibri" w:eastAsia="Times New Roman" w:hAnsi="Calibri" w:cs="Times New Roman"/>
                <w:b w:val="0"/>
                <w:color w:val="000000"/>
                <w:sz w:val="20"/>
              </w:rPr>
              <w:t>Met-Ed</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1.90</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2.01</w:t>
            </w:r>
          </w:p>
        </w:tc>
        <w:tc>
          <w:tcPr>
            <w:tcW w:w="1216" w:type="pct"/>
            <w:tcBorders>
              <w:left w:val="none" w:sz="0" w:space="0" w:color="auto"/>
            </w:tcBorders>
            <w:noWrap/>
            <w:hideMark/>
          </w:tcPr>
          <w:p w:rsidR="00CC2CB8" w:rsidRPr="006503C4" w:rsidRDefault="00CC2CB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1.95</w:t>
            </w:r>
          </w:p>
        </w:tc>
      </w:tr>
      <w:tr w:rsidR="00CC2CB8" w:rsidRPr="006503C4"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50" w:type="pct"/>
            <w:tcBorders>
              <w:right w:val="none" w:sz="0" w:space="0" w:color="auto"/>
            </w:tcBorders>
            <w:noWrap/>
            <w:hideMark/>
          </w:tcPr>
          <w:p w:rsidR="00CC2CB8" w:rsidRPr="006503C4" w:rsidRDefault="00CC2CB8" w:rsidP="00A83ABC">
            <w:pPr>
              <w:rPr>
                <w:rFonts w:ascii="Calibri" w:eastAsia="Times New Roman" w:hAnsi="Calibri" w:cs="Times New Roman"/>
                <w:b w:val="0"/>
                <w:color w:val="000000"/>
                <w:sz w:val="20"/>
              </w:rPr>
            </w:pPr>
            <w:r>
              <w:rPr>
                <w:rFonts w:ascii="Calibri" w:eastAsia="Times New Roman" w:hAnsi="Calibri" w:cs="Times New Roman"/>
                <w:b w:val="0"/>
                <w:color w:val="000000"/>
                <w:sz w:val="20"/>
              </w:rPr>
              <w:t xml:space="preserve">FE: </w:t>
            </w:r>
            <w:r w:rsidRPr="006503C4">
              <w:rPr>
                <w:rFonts w:ascii="Calibri" w:eastAsia="Times New Roman" w:hAnsi="Calibri" w:cs="Times New Roman"/>
                <w:b w:val="0"/>
                <w:color w:val="000000"/>
                <w:sz w:val="20"/>
              </w:rPr>
              <w:t>Penelec</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1.92</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1.98</w:t>
            </w:r>
          </w:p>
        </w:tc>
        <w:tc>
          <w:tcPr>
            <w:tcW w:w="1216" w:type="pct"/>
            <w:tcBorders>
              <w:lef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1.93</w:t>
            </w:r>
          </w:p>
        </w:tc>
      </w:tr>
      <w:tr w:rsidR="00CC2CB8" w:rsidRPr="006503C4"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50" w:type="pct"/>
            <w:tcBorders>
              <w:right w:val="none" w:sz="0" w:space="0" w:color="auto"/>
            </w:tcBorders>
            <w:noWrap/>
            <w:hideMark/>
          </w:tcPr>
          <w:p w:rsidR="00CC2CB8" w:rsidRPr="006503C4" w:rsidRDefault="00CC2CB8" w:rsidP="00A83ABC">
            <w:pPr>
              <w:rPr>
                <w:rFonts w:ascii="Calibri" w:eastAsia="Times New Roman" w:hAnsi="Calibri" w:cs="Times New Roman"/>
                <w:b w:val="0"/>
                <w:color w:val="000000"/>
                <w:sz w:val="20"/>
              </w:rPr>
            </w:pPr>
            <w:r>
              <w:rPr>
                <w:rFonts w:ascii="Calibri" w:eastAsia="Times New Roman" w:hAnsi="Calibri" w:cs="Times New Roman"/>
                <w:b w:val="0"/>
                <w:color w:val="000000"/>
                <w:sz w:val="20"/>
              </w:rPr>
              <w:t xml:space="preserve">FE: </w:t>
            </w:r>
            <w:r w:rsidRPr="006503C4">
              <w:rPr>
                <w:rFonts w:ascii="Calibri" w:eastAsia="Times New Roman" w:hAnsi="Calibri" w:cs="Times New Roman"/>
                <w:b w:val="0"/>
                <w:color w:val="000000"/>
                <w:sz w:val="20"/>
              </w:rPr>
              <w:t>Penn Power</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1.93</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2.03</w:t>
            </w:r>
          </w:p>
        </w:tc>
        <w:tc>
          <w:tcPr>
            <w:tcW w:w="1216" w:type="pct"/>
            <w:tcBorders>
              <w:left w:val="none" w:sz="0" w:space="0" w:color="auto"/>
            </w:tcBorders>
            <w:noWrap/>
            <w:hideMark/>
          </w:tcPr>
          <w:p w:rsidR="00CC2CB8" w:rsidRPr="006503C4" w:rsidRDefault="00CC2CB8"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2.00</w:t>
            </w:r>
          </w:p>
        </w:tc>
      </w:tr>
      <w:tr w:rsidR="007309D6" w:rsidRPr="006503C4"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50" w:type="pct"/>
            <w:tcBorders>
              <w:right w:val="none" w:sz="0" w:space="0" w:color="auto"/>
            </w:tcBorders>
            <w:noWrap/>
          </w:tcPr>
          <w:p w:rsidR="007309D6" w:rsidRPr="006503C4" w:rsidRDefault="007309D6" w:rsidP="00A83ABC">
            <w:pPr>
              <w:rPr>
                <w:rFonts w:ascii="Calibri" w:eastAsia="Times New Roman" w:hAnsi="Calibri" w:cs="Times New Roman"/>
                <w:b w:val="0"/>
                <w:color w:val="000000"/>
                <w:sz w:val="20"/>
              </w:rPr>
            </w:pPr>
            <w:r>
              <w:rPr>
                <w:rFonts w:ascii="Calibri" w:eastAsia="Times New Roman" w:hAnsi="Calibri" w:cs="Times New Roman"/>
                <w:b w:val="0"/>
                <w:color w:val="000000"/>
                <w:sz w:val="20"/>
              </w:rPr>
              <w:t xml:space="preserve">FE: </w:t>
            </w:r>
            <w:r w:rsidRPr="006503C4">
              <w:rPr>
                <w:rFonts w:ascii="Calibri" w:eastAsia="Times New Roman" w:hAnsi="Calibri" w:cs="Times New Roman"/>
                <w:b w:val="0"/>
                <w:color w:val="000000"/>
                <w:sz w:val="20"/>
              </w:rPr>
              <w:t>West Penn</w:t>
            </w:r>
          </w:p>
        </w:tc>
        <w:tc>
          <w:tcPr>
            <w:tcW w:w="1217" w:type="pct"/>
            <w:tcBorders>
              <w:left w:val="none" w:sz="0" w:space="0" w:color="auto"/>
              <w:right w:val="none" w:sz="0" w:space="0" w:color="auto"/>
            </w:tcBorders>
            <w:noWrap/>
          </w:tcPr>
          <w:p w:rsidR="007309D6" w:rsidRPr="006503C4" w:rsidRDefault="007309D6"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1.94</w:t>
            </w:r>
          </w:p>
        </w:tc>
        <w:tc>
          <w:tcPr>
            <w:tcW w:w="1217" w:type="pct"/>
            <w:tcBorders>
              <w:left w:val="none" w:sz="0" w:space="0" w:color="auto"/>
              <w:right w:val="none" w:sz="0" w:space="0" w:color="auto"/>
            </w:tcBorders>
            <w:noWrap/>
          </w:tcPr>
          <w:p w:rsidR="007309D6" w:rsidRPr="006503C4" w:rsidRDefault="007309D6"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2.02</w:t>
            </w:r>
          </w:p>
        </w:tc>
        <w:tc>
          <w:tcPr>
            <w:tcW w:w="1216" w:type="pct"/>
            <w:tcBorders>
              <w:left w:val="none" w:sz="0" w:space="0" w:color="auto"/>
            </w:tcBorders>
            <w:noWrap/>
          </w:tcPr>
          <w:p w:rsidR="007309D6" w:rsidRPr="006503C4" w:rsidRDefault="007309D6"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1.98</w:t>
            </w:r>
          </w:p>
        </w:tc>
      </w:tr>
      <w:tr w:rsidR="007309D6" w:rsidRPr="006503C4"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50" w:type="pct"/>
            <w:tcBorders>
              <w:right w:val="none" w:sz="0" w:space="0" w:color="auto"/>
            </w:tcBorders>
            <w:noWrap/>
          </w:tcPr>
          <w:p w:rsidR="007309D6" w:rsidRPr="006503C4" w:rsidRDefault="007309D6" w:rsidP="00A83ABC">
            <w:pPr>
              <w:rPr>
                <w:rFonts w:ascii="Calibri" w:eastAsia="Times New Roman" w:hAnsi="Calibri" w:cs="Times New Roman"/>
                <w:b w:val="0"/>
                <w:color w:val="000000"/>
                <w:sz w:val="20"/>
              </w:rPr>
            </w:pPr>
            <w:r w:rsidRPr="006503C4">
              <w:rPr>
                <w:rFonts w:ascii="Calibri" w:eastAsia="Times New Roman" w:hAnsi="Calibri" w:cs="Times New Roman"/>
                <w:b w:val="0"/>
                <w:color w:val="000000"/>
                <w:sz w:val="20"/>
              </w:rPr>
              <w:t>PECO</w:t>
            </w:r>
          </w:p>
        </w:tc>
        <w:tc>
          <w:tcPr>
            <w:tcW w:w="1217" w:type="pct"/>
            <w:tcBorders>
              <w:left w:val="none" w:sz="0" w:space="0" w:color="auto"/>
              <w:right w:val="none" w:sz="0" w:space="0" w:color="auto"/>
            </w:tcBorders>
            <w:noWrap/>
          </w:tcPr>
          <w:p w:rsidR="007309D6" w:rsidRPr="006503C4" w:rsidRDefault="007309D6"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1.92</w:t>
            </w:r>
          </w:p>
        </w:tc>
        <w:tc>
          <w:tcPr>
            <w:tcW w:w="1217" w:type="pct"/>
            <w:tcBorders>
              <w:left w:val="none" w:sz="0" w:space="0" w:color="auto"/>
              <w:right w:val="none" w:sz="0" w:space="0" w:color="auto"/>
            </w:tcBorders>
            <w:noWrap/>
          </w:tcPr>
          <w:p w:rsidR="007309D6" w:rsidRPr="006503C4" w:rsidRDefault="007309D6"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1.98</w:t>
            </w:r>
          </w:p>
        </w:tc>
        <w:tc>
          <w:tcPr>
            <w:tcW w:w="1216" w:type="pct"/>
            <w:tcBorders>
              <w:left w:val="none" w:sz="0" w:space="0" w:color="auto"/>
            </w:tcBorders>
            <w:noWrap/>
          </w:tcPr>
          <w:p w:rsidR="007309D6" w:rsidRPr="006503C4" w:rsidRDefault="007309D6"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1.99</w:t>
            </w:r>
          </w:p>
        </w:tc>
      </w:tr>
      <w:tr w:rsidR="00CC2CB8" w:rsidRPr="006503C4"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50" w:type="pct"/>
            <w:tcBorders>
              <w:right w:val="none" w:sz="0" w:space="0" w:color="auto"/>
            </w:tcBorders>
            <w:noWrap/>
            <w:hideMark/>
          </w:tcPr>
          <w:p w:rsidR="00CC2CB8" w:rsidRPr="006503C4" w:rsidRDefault="00CC2CB8" w:rsidP="00A83ABC">
            <w:pPr>
              <w:rPr>
                <w:rFonts w:ascii="Calibri" w:eastAsia="Times New Roman" w:hAnsi="Calibri" w:cs="Times New Roman"/>
                <w:b w:val="0"/>
                <w:color w:val="000000"/>
                <w:sz w:val="20"/>
              </w:rPr>
            </w:pPr>
            <w:r w:rsidRPr="006503C4">
              <w:rPr>
                <w:rFonts w:ascii="Calibri" w:eastAsia="Times New Roman" w:hAnsi="Calibri" w:cs="Times New Roman"/>
                <w:b w:val="0"/>
                <w:color w:val="000000"/>
                <w:sz w:val="20"/>
              </w:rPr>
              <w:t>PPL</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1.88</w:t>
            </w:r>
          </w:p>
        </w:tc>
        <w:tc>
          <w:tcPr>
            <w:tcW w:w="1217" w:type="pct"/>
            <w:tcBorders>
              <w:left w:val="none" w:sz="0" w:space="0" w:color="auto"/>
              <w:righ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1.97</w:t>
            </w:r>
          </w:p>
        </w:tc>
        <w:tc>
          <w:tcPr>
            <w:tcW w:w="1216" w:type="pct"/>
            <w:tcBorders>
              <w:left w:val="none" w:sz="0" w:space="0" w:color="auto"/>
            </w:tcBorders>
            <w:noWrap/>
            <w:hideMark/>
          </w:tcPr>
          <w:p w:rsidR="00CC2CB8" w:rsidRPr="006503C4" w:rsidRDefault="00CC2CB8"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6503C4">
              <w:rPr>
                <w:rFonts w:ascii="Calibri" w:eastAsia="Times New Roman" w:hAnsi="Calibri" w:cs="Times New Roman"/>
                <w:color w:val="000000"/>
                <w:sz w:val="20"/>
              </w:rPr>
              <w:t>1.91</w:t>
            </w:r>
          </w:p>
        </w:tc>
      </w:tr>
    </w:tbl>
    <w:p w:rsidR="002D15F0" w:rsidRPr="00736D72" w:rsidRDefault="002D15F0" w:rsidP="00A83ABC"/>
    <w:p w:rsidR="00865F1F" w:rsidRDefault="00F901E5" w:rsidP="00A83ABC">
      <w:pPr>
        <w:spacing w:after="120"/>
        <w:rPr>
          <w:noProof/>
        </w:rPr>
      </w:pPr>
      <w:r>
        <w:t>While the TRC ratios of various DR notification approaches were very similar, the total EDC expenditures to harvest the available load are quite different because of the variance in potential.</w:t>
      </w:r>
      <w:r w:rsidR="00BC3193">
        <w:t xml:space="preserve"> </w:t>
      </w:r>
      <w:r w:rsidR="00FA5C3C">
        <w:fldChar w:fldCharType="begin"/>
      </w:r>
      <w:r w:rsidR="00FA5C3C">
        <w:instrText xml:space="preserve"> REF _Ref408327847 \h </w:instrText>
      </w:r>
      <w:r w:rsidR="00FA5C3C">
        <w:fldChar w:fldCharType="separate"/>
      </w:r>
      <w:r w:rsidR="00803DBE">
        <w:t xml:space="preserve">Table </w:t>
      </w:r>
      <w:r w:rsidR="00803DBE">
        <w:rPr>
          <w:noProof/>
        </w:rPr>
        <w:t>6</w:t>
      </w:r>
      <w:r w:rsidR="00803DBE">
        <w:noBreakHyphen/>
      </w:r>
      <w:r w:rsidR="00803DBE">
        <w:rPr>
          <w:noProof/>
        </w:rPr>
        <w:t>7</w:t>
      </w:r>
      <w:r w:rsidR="00FA5C3C">
        <w:fldChar w:fldCharType="end"/>
      </w:r>
      <w:r w:rsidR="00FA5C3C">
        <w:t xml:space="preserve"> </w:t>
      </w:r>
      <w:r w:rsidR="00681D86">
        <w:t xml:space="preserve">shows the 5-year Phase III EDC expenditures, TRC costs, and the </w:t>
      </w:r>
      <w:r w:rsidR="00BE6EE3">
        <w:t>PVNB</w:t>
      </w:r>
      <w:r w:rsidR="00681D86">
        <w:t xml:space="preserve"> for each DR product type by EDC. The parameters shown in </w:t>
      </w:r>
      <w:r w:rsidR="00FA5C3C">
        <w:fldChar w:fldCharType="begin"/>
      </w:r>
      <w:r w:rsidR="00FA5C3C">
        <w:instrText xml:space="preserve"> REF _Ref408327847 \h </w:instrText>
      </w:r>
      <w:r w:rsidR="00FA5C3C">
        <w:fldChar w:fldCharType="separate"/>
      </w:r>
      <w:r w:rsidR="00803DBE">
        <w:t xml:space="preserve">Table </w:t>
      </w:r>
      <w:r w:rsidR="00803DBE">
        <w:rPr>
          <w:noProof/>
        </w:rPr>
        <w:t>6</w:t>
      </w:r>
      <w:r w:rsidR="00803DBE">
        <w:noBreakHyphen/>
      </w:r>
      <w:r w:rsidR="00803DBE">
        <w:rPr>
          <w:noProof/>
        </w:rPr>
        <w:t>7</w:t>
      </w:r>
      <w:r w:rsidR="00FA5C3C">
        <w:fldChar w:fldCharType="end"/>
      </w:r>
      <w:r w:rsidR="00FA5C3C">
        <w:t xml:space="preserve"> </w:t>
      </w:r>
      <w:r w:rsidR="00681D86">
        <w:t>are defined below for reference.</w:t>
      </w:r>
    </w:p>
    <w:p w:rsidR="00F901E5" w:rsidRDefault="00681D86" w:rsidP="00A83ABC">
      <w:pPr>
        <w:pStyle w:val="ListParagraph"/>
        <w:numPr>
          <w:ilvl w:val="0"/>
          <w:numId w:val="13"/>
        </w:numPr>
        <w:spacing w:after="120"/>
        <w:ind w:left="360"/>
        <w:contextualSpacing w:val="0"/>
      </w:pPr>
      <w:r w:rsidRPr="00F478DF">
        <w:rPr>
          <w:rFonts w:ascii="Century Gothic" w:hAnsi="Century Gothic"/>
          <w:b/>
          <w:sz w:val="21"/>
          <w:szCs w:val="21"/>
        </w:rPr>
        <w:t>Scenario Spend</w:t>
      </w:r>
      <w:r>
        <w:t xml:space="preserve"> – the cost incurred by the EDC over the five-year phase to capture the available potential. This is the sum of annual budgets, without discounting.</w:t>
      </w:r>
    </w:p>
    <w:p w:rsidR="00681D86" w:rsidRDefault="00681D86" w:rsidP="00A83ABC">
      <w:pPr>
        <w:pStyle w:val="ListParagraph"/>
        <w:numPr>
          <w:ilvl w:val="0"/>
          <w:numId w:val="13"/>
        </w:numPr>
        <w:spacing w:after="120"/>
        <w:ind w:left="360"/>
        <w:contextualSpacing w:val="0"/>
      </w:pPr>
      <w:r w:rsidRPr="00F478DF">
        <w:rPr>
          <w:rFonts w:ascii="Century Gothic" w:hAnsi="Century Gothic"/>
          <w:b/>
          <w:sz w:val="21"/>
          <w:szCs w:val="21"/>
        </w:rPr>
        <w:lastRenderedPageBreak/>
        <w:t>PV Costs</w:t>
      </w:r>
      <w:r w:rsidRPr="006503C4">
        <w:rPr>
          <w:b/>
        </w:rPr>
        <w:t xml:space="preserve"> </w:t>
      </w:r>
      <w:r>
        <w:t>– the present value of TRC costs. This is different from the scenario spend because of discounting and the Commission’s directive to only include 75% of the incentive amount as participant cost in the TRC test.</w:t>
      </w:r>
    </w:p>
    <w:p w:rsidR="00681D86" w:rsidRDefault="00681D86" w:rsidP="00A83ABC">
      <w:pPr>
        <w:pStyle w:val="ListParagraph"/>
        <w:numPr>
          <w:ilvl w:val="0"/>
          <w:numId w:val="13"/>
        </w:numPr>
        <w:spacing w:after="120"/>
        <w:ind w:left="360"/>
        <w:contextualSpacing w:val="0"/>
      </w:pPr>
      <w:r w:rsidRPr="00F478DF">
        <w:rPr>
          <w:rFonts w:ascii="Century Gothic" w:hAnsi="Century Gothic"/>
          <w:b/>
          <w:sz w:val="21"/>
          <w:szCs w:val="21"/>
        </w:rPr>
        <w:t>PV Benefits</w:t>
      </w:r>
      <w:r w:rsidRPr="006503C4">
        <w:rPr>
          <w:b/>
        </w:rPr>
        <w:t xml:space="preserve"> </w:t>
      </w:r>
      <w:r>
        <w:t xml:space="preserve">– the present value of TRC benefits. </w:t>
      </w:r>
    </w:p>
    <w:p w:rsidR="00F901E5" w:rsidRDefault="00681D86" w:rsidP="00A83ABC">
      <w:pPr>
        <w:pStyle w:val="ListParagraph"/>
        <w:numPr>
          <w:ilvl w:val="0"/>
          <w:numId w:val="13"/>
        </w:numPr>
        <w:ind w:left="360"/>
      </w:pPr>
      <w:r w:rsidRPr="00F478DF">
        <w:rPr>
          <w:rFonts w:ascii="Century Gothic" w:hAnsi="Century Gothic"/>
          <w:b/>
          <w:sz w:val="21"/>
          <w:szCs w:val="21"/>
        </w:rPr>
        <w:t>Phase III PVNB</w:t>
      </w:r>
      <w:r w:rsidRPr="006503C4">
        <w:rPr>
          <w:b/>
        </w:rPr>
        <w:t xml:space="preserve"> – </w:t>
      </w:r>
      <w:r>
        <w:t>the present value of benefits, net costs. PV Benefits – PV Costs.</w:t>
      </w:r>
    </w:p>
    <w:p w:rsidR="006503C4" w:rsidRDefault="006503C4" w:rsidP="00A83ABC">
      <w:bookmarkStart w:id="275" w:name="_Ref406922875"/>
    </w:p>
    <w:p w:rsidR="00BC3193" w:rsidRDefault="00BC3193" w:rsidP="00A83ABC">
      <w:pPr>
        <w:pStyle w:val="Caption"/>
        <w:keepNext/>
      </w:pPr>
      <w:bookmarkStart w:id="276" w:name="_Ref408327847"/>
      <w:bookmarkStart w:id="277" w:name="_Toc412628490"/>
      <w:r>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7</w:t>
      </w:r>
      <w:r w:rsidR="00E2011B">
        <w:rPr>
          <w:noProof/>
        </w:rPr>
        <w:fldChar w:fldCharType="end"/>
      </w:r>
      <w:bookmarkEnd w:id="275"/>
      <w:bookmarkEnd w:id="276"/>
      <w:r>
        <w:t xml:space="preserve">: </w:t>
      </w:r>
      <w:r w:rsidR="00037A03">
        <w:t>DR</w:t>
      </w:r>
      <w:r>
        <w:t xml:space="preserve"> Financials by EDC and Product</w:t>
      </w:r>
      <w:bookmarkEnd w:id="277"/>
    </w:p>
    <w:tbl>
      <w:tblPr>
        <w:tblStyle w:val="MediumShading1-Accent5"/>
        <w:tblW w:w="4371"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85"/>
        <w:gridCol w:w="1719"/>
        <w:gridCol w:w="1723"/>
        <w:gridCol w:w="1723"/>
        <w:gridCol w:w="1721"/>
      </w:tblGrid>
      <w:tr w:rsidR="00BC3193" w:rsidRPr="00835093" w:rsidTr="002C6372">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887"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F901E5" w:rsidRPr="00835093" w:rsidRDefault="00F901E5" w:rsidP="00A83ABC">
            <w:pPr>
              <w:jc w:val="left"/>
              <w:rPr>
                <w:rFonts w:ascii="Calibri" w:eastAsia="Times New Roman" w:hAnsi="Calibri" w:cs="Times New Roman"/>
                <w:bCs w:val="0"/>
                <w:color w:val="FFFFFF"/>
                <w:sz w:val="20"/>
                <w:szCs w:val="20"/>
              </w:rPr>
            </w:pPr>
            <w:r w:rsidRPr="00835093">
              <w:rPr>
                <w:rFonts w:ascii="Calibri" w:eastAsia="Times New Roman" w:hAnsi="Calibri" w:cs="Times New Roman"/>
                <w:bCs w:val="0"/>
                <w:color w:val="FFFFFF"/>
                <w:sz w:val="20"/>
                <w:szCs w:val="20"/>
              </w:rPr>
              <w:t>EDC</w:t>
            </w:r>
          </w:p>
        </w:tc>
        <w:tc>
          <w:tcPr>
            <w:tcW w:w="1027"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F901E5" w:rsidRPr="00835093" w:rsidRDefault="00F901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835093">
              <w:rPr>
                <w:rFonts w:ascii="Calibri" w:eastAsia="Times New Roman" w:hAnsi="Calibri" w:cs="Times New Roman"/>
                <w:bCs w:val="0"/>
                <w:color w:val="FFFFFF"/>
                <w:sz w:val="20"/>
                <w:szCs w:val="20"/>
              </w:rPr>
              <w:t>Parameter</w:t>
            </w:r>
          </w:p>
        </w:tc>
        <w:tc>
          <w:tcPr>
            <w:tcW w:w="1029"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F901E5" w:rsidRPr="00835093" w:rsidRDefault="00123C18"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Pr>
                <w:rFonts w:ascii="Calibri" w:eastAsia="Times New Roman" w:hAnsi="Calibri" w:cs="Times New Roman"/>
                <w:bCs w:val="0"/>
                <w:color w:val="FFFFFF"/>
                <w:sz w:val="20"/>
                <w:szCs w:val="20"/>
              </w:rPr>
              <w:t>Day-Ahead</w:t>
            </w:r>
          </w:p>
        </w:tc>
        <w:tc>
          <w:tcPr>
            <w:tcW w:w="1029"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F901E5" w:rsidRPr="00835093" w:rsidRDefault="00F901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835093">
              <w:rPr>
                <w:rFonts w:ascii="Calibri" w:eastAsia="Times New Roman" w:hAnsi="Calibri" w:cs="Times New Roman"/>
                <w:bCs w:val="0"/>
                <w:color w:val="FFFFFF"/>
                <w:sz w:val="20"/>
                <w:szCs w:val="20"/>
              </w:rPr>
              <w:t>Day</w:t>
            </w:r>
            <w:r w:rsidR="0073339F">
              <w:rPr>
                <w:rFonts w:ascii="Calibri" w:eastAsia="Times New Roman" w:hAnsi="Calibri" w:cs="Times New Roman"/>
                <w:bCs w:val="0"/>
                <w:color w:val="FFFFFF"/>
                <w:sz w:val="20"/>
                <w:szCs w:val="20"/>
              </w:rPr>
              <w:t>-</w:t>
            </w:r>
            <w:r w:rsidRPr="00835093">
              <w:rPr>
                <w:rFonts w:ascii="Calibri" w:eastAsia="Times New Roman" w:hAnsi="Calibri" w:cs="Times New Roman"/>
                <w:bCs w:val="0"/>
                <w:color w:val="FFFFFF"/>
                <w:sz w:val="20"/>
                <w:szCs w:val="20"/>
              </w:rPr>
              <w:t>Of</w:t>
            </w:r>
          </w:p>
        </w:tc>
        <w:tc>
          <w:tcPr>
            <w:tcW w:w="1028" w:type="pct"/>
            <w:tcBorders>
              <w:top w:val="none" w:sz="0" w:space="0" w:color="auto"/>
              <w:left w:val="none" w:sz="0" w:space="0" w:color="auto"/>
              <w:bottom w:val="none" w:sz="0" w:space="0" w:color="auto"/>
              <w:right w:val="none" w:sz="0" w:space="0" w:color="auto"/>
            </w:tcBorders>
            <w:shd w:val="clear" w:color="auto" w:fill="448A99"/>
            <w:noWrap/>
            <w:vAlign w:val="bottom"/>
            <w:hideMark/>
          </w:tcPr>
          <w:p w:rsidR="00F901E5" w:rsidRPr="00835093" w:rsidRDefault="00F901E5"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szCs w:val="20"/>
              </w:rPr>
            </w:pPr>
            <w:r w:rsidRPr="00835093">
              <w:rPr>
                <w:rFonts w:ascii="Calibri" w:eastAsia="Times New Roman" w:hAnsi="Calibri" w:cs="Times New Roman"/>
                <w:bCs w:val="0"/>
                <w:color w:val="FFFFFF"/>
                <w:sz w:val="20"/>
                <w:szCs w:val="20"/>
              </w:rPr>
              <w:t>Fast Response</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Duquesne</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Scenario Spend</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$123,129,469</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$58,101,105</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$19,501,745</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Duquesne</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Benefits</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$163,446,783</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$77,125,852</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$25,887,437</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Duquesne</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Costs</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$84,213,258</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$39,738,079</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$13,338,161</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Duquesne</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Phase III PVNB</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$79,233,525</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$37,387,773</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$12,549,276</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Met-Ed</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Scenario Spend</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$67,089,778</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$31,796,669</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$10,193,520</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Met-Ed</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Benefits</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$87,014,563</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$43,731,788</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$13,620,089</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Met-Ed</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Costs</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$45,897,658</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$21,753,731</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$6,973,910</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Met-Ed</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Phase III PVNB</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$41,116,905</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$21,978,057</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$6,646,179</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Penelec</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Scenario Spend</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$65,433,538</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$30,959,262</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$10,337,269</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Penelec</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Benefits</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$85,998,896</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$41,962,479</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$13,674,061</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Penelec</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Costs</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$44,869,943</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$21,230,662</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$7,088,898</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Penelec</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Phase III PVNB</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$41,128,953</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$20,731,817</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$6,585,163</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Penn Power</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Scenario Spend</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$30,037,504</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$14,134,757</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$4,975,185</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Penn Power</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Benefits</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$37,463,490</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$18,509,860</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$6,434,142</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Penn Power</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Costs</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$19,380,826</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$9,120,479</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$3,210,248</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Penn Power</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Phase III PVNB</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$18,082,664</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$9,389,381</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$3,223,895</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West Penn</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Scenario Spend</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$114,245,420</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$52,899,197</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$18,279,548</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West Penn</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Benefits</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$150,300,985</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$72,409,614</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$24,565,696</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West Penn</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Costs</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$77,565,587</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$35,916,078</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$12,410,957</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Pr>
                <w:rFonts w:eastAsia="Times New Roman" w:cs="Times New Roman"/>
                <w:b w:val="0"/>
                <w:color w:val="000000"/>
                <w:sz w:val="20"/>
                <w:szCs w:val="20"/>
              </w:rPr>
              <w:t xml:space="preserve">FE: </w:t>
            </w:r>
            <w:r w:rsidRPr="00835093">
              <w:rPr>
                <w:rFonts w:eastAsia="Times New Roman" w:cs="Times New Roman"/>
                <w:b w:val="0"/>
                <w:color w:val="000000"/>
                <w:sz w:val="20"/>
                <w:szCs w:val="20"/>
              </w:rPr>
              <w:t>West Penn</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Phase III PVNB</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$72,735,398</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$36,493,536</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$12,154,739</w:t>
            </w:r>
          </w:p>
        </w:tc>
      </w:tr>
      <w:tr w:rsidR="00BC3193"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hideMark/>
          </w:tcPr>
          <w:p w:rsidR="00F901E5" w:rsidRPr="00835093" w:rsidRDefault="00F901E5" w:rsidP="00A83ABC">
            <w:pPr>
              <w:rPr>
                <w:rFonts w:eastAsia="Times New Roman" w:cs="Times New Roman"/>
                <w:b w:val="0"/>
                <w:color w:val="000000"/>
                <w:sz w:val="20"/>
                <w:szCs w:val="20"/>
              </w:rPr>
            </w:pPr>
            <w:r w:rsidRPr="00835093">
              <w:rPr>
                <w:rFonts w:eastAsia="Times New Roman" w:cs="Times New Roman"/>
                <w:b w:val="0"/>
                <w:color w:val="000000"/>
                <w:sz w:val="20"/>
                <w:szCs w:val="20"/>
              </w:rPr>
              <w:t>PECO</w:t>
            </w:r>
          </w:p>
        </w:tc>
        <w:tc>
          <w:tcPr>
            <w:tcW w:w="1027" w:type="pct"/>
            <w:tcBorders>
              <w:left w:val="none" w:sz="0" w:space="0" w:color="auto"/>
              <w:righ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Scenario Spend</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$267,806,019</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$125,723,868</w:t>
            </w:r>
          </w:p>
        </w:tc>
        <w:tc>
          <w:tcPr>
            <w:tcW w:w="1028" w:type="pct"/>
            <w:tcBorders>
              <w:lef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$49,311,442</w:t>
            </w:r>
          </w:p>
        </w:tc>
      </w:tr>
      <w:tr w:rsidR="00BC3193"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hideMark/>
          </w:tcPr>
          <w:p w:rsidR="00F901E5" w:rsidRPr="00835093" w:rsidRDefault="00F901E5" w:rsidP="00A83ABC">
            <w:pPr>
              <w:rPr>
                <w:rFonts w:eastAsia="Times New Roman" w:cs="Times New Roman"/>
                <w:b w:val="0"/>
                <w:color w:val="000000"/>
                <w:sz w:val="20"/>
                <w:szCs w:val="20"/>
              </w:rPr>
            </w:pPr>
            <w:r w:rsidRPr="00835093">
              <w:rPr>
                <w:rFonts w:eastAsia="Times New Roman" w:cs="Times New Roman"/>
                <w:b w:val="0"/>
                <w:color w:val="000000"/>
                <w:sz w:val="20"/>
                <w:szCs w:val="20"/>
              </w:rPr>
              <w:t>PECO</w:t>
            </w:r>
          </w:p>
        </w:tc>
        <w:tc>
          <w:tcPr>
            <w:tcW w:w="1027" w:type="pct"/>
            <w:tcBorders>
              <w:left w:val="none" w:sz="0" w:space="0" w:color="auto"/>
              <w:righ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Benefits</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$352,140,276</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$170,366,398</w:t>
            </w:r>
          </w:p>
        </w:tc>
        <w:tc>
          <w:tcPr>
            <w:tcW w:w="1028" w:type="pct"/>
            <w:tcBorders>
              <w:lef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$67,244,140</w:t>
            </w:r>
          </w:p>
        </w:tc>
      </w:tr>
      <w:tr w:rsidR="00BC3193"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hideMark/>
          </w:tcPr>
          <w:p w:rsidR="00F901E5" w:rsidRPr="00835093" w:rsidRDefault="00F901E5" w:rsidP="00A83ABC">
            <w:pPr>
              <w:rPr>
                <w:rFonts w:eastAsia="Times New Roman" w:cs="Times New Roman"/>
                <w:b w:val="0"/>
                <w:color w:val="000000"/>
                <w:sz w:val="20"/>
                <w:szCs w:val="20"/>
              </w:rPr>
            </w:pPr>
            <w:r w:rsidRPr="00835093">
              <w:rPr>
                <w:rFonts w:eastAsia="Times New Roman" w:cs="Times New Roman"/>
                <w:b w:val="0"/>
                <w:color w:val="000000"/>
                <w:sz w:val="20"/>
                <w:szCs w:val="20"/>
              </w:rPr>
              <w:t>PECO</w:t>
            </w:r>
          </w:p>
        </w:tc>
        <w:tc>
          <w:tcPr>
            <w:tcW w:w="1027" w:type="pct"/>
            <w:tcBorders>
              <w:left w:val="none" w:sz="0" w:space="0" w:color="auto"/>
              <w:righ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Costs</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$183,240,405</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$86,025,197</w:t>
            </w:r>
          </w:p>
        </w:tc>
        <w:tc>
          <w:tcPr>
            <w:tcW w:w="1028" w:type="pct"/>
            <w:tcBorders>
              <w:left w:val="none" w:sz="0" w:space="0" w:color="auto"/>
            </w:tcBorders>
            <w:noWrap/>
            <w:hideMark/>
          </w:tcPr>
          <w:p w:rsidR="00F901E5" w:rsidRPr="006503C4" w:rsidRDefault="00F901E5"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$33,740,820</w:t>
            </w:r>
          </w:p>
        </w:tc>
      </w:tr>
      <w:tr w:rsidR="00BC3193"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hideMark/>
          </w:tcPr>
          <w:p w:rsidR="00F901E5" w:rsidRPr="00835093" w:rsidRDefault="00F901E5" w:rsidP="00A83ABC">
            <w:pPr>
              <w:rPr>
                <w:rFonts w:eastAsia="Times New Roman" w:cs="Times New Roman"/>
                <w:b w:val="0"/>
                <w:color w:val="000000"/>
                <w:sz w:val="20"/>
                <w:szCs w:val="20"/>
              </w:rPr>
            </w:pPr>
            <w:r w:rsidRPr="00835093">
              <w:rPr>
                <w:rFonts w:eastAsia="Times New Roman" w:cs="Times New Roman"/>
                <w:b w:val="0"/>
                <w:color w:val="000000"/>
                <w:sz w:val="20"/>
                <w:szCs w:val="20"/>
              </w:rPr>
              <w:t>PECO</w:t>
            </w:r>
          </w:p>
        </w:tc>
        <w:tc>
          <w:tcPr>
            <w:tcW w:w="1027" w:type="pct"/>
            <w:tcBorders>
              <w:left w:val="none" w:sz="0" w:space="0" w:color="auto"/>
              <w:righ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Phase III PVNB</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$168,899,871</w:t>
            </w:r>
          </w:p>
        </w:tc>
        <w:tc>
          <w:tcPr>
            <w:tcW w:w="1029" w:type="pct"/>
            <w:tcBorders>
              <w:left w:val="none" w:sz="0" w:space="0" w:color="auto"/>
              <w:righ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$84,341,202</w:t>
            </w:r>
          </w:p>
        </w:tc>
        <w:tc>
          <w:tcPr>
            <w:tcW w:w="1028" w:type="pct"/>
            <w:tcBorders>
              <w:left w:val="none" w:sz="0" w:space="0" w:color="auto"/>
            </w:tcBorders>
            <w:noWrap/>
            <w:hideMark/>
          </w:tcPr>
          <w:p w:rsidR="00F901E5" w:rsidRPr="006503C4" w:rsidRDefault="00F901E5"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$33,503,320</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PPL</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Scenario Spend</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$150,057,450</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$79,086,130</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$23,518,897</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PPL</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Benefits</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$190,794,338</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$105,580,984</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$30,405,615</w:t>
            </w:r>
          </w:p>
        </w:tc>
      </w:tr>
      <w:tr w:rsidR="00337CFF" w:rsidRPr="006503C4" w:rsidTr="002C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PPL</w:t>
            </w:r>
          </w:p>
        </w:tc>
        <w:tc>
          <w:tcPr>
            <w:tcW w:w="1027"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PV Costs</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$101,498,879</w:t>
            </w:r>
          </w:p>
        </w:tc>
        <w:tc>
          <w:tcPr>
            <w:tcW w:w="1029" w:type="pct"/>
            <w:tcBorders>
              <w:left w:val="none" w:sz="0" w:space="0" w:color="auto"/>
              <w:righ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$53,495,327</w:t>
            </w:r>
          </w:p>
        </w:tc>
        <w:tc>
          <w:tcPr>
            <w:tcW w:w="1028" w:type="pct"/>
            <w:tcBorders>
              <w:left w:val="none" w:sz="0" w:space="0" w:color="auto"/>
            </w:tcBorders>
            <w:noWrap/>
          </w:tcPr>
          <w:p w:rsidR="00337CFF" w:rsidRPr="006503C4" w:rsidRDefault="00337CFF" w:rsidP="00A83AB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$15,908,618</w:t>
            </w:r>
          </w:p>
        </w:tc>
      </w:tr>
      <w:tr w:rsidR="00337CFF" w:rsidRPr="006503C4" w:rsidTr="002C6372">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87" w:type="pct"/>
            <w:tcBorders>
              <w:right w:val="none" w:sz="0" w:space="0" w:color="auto"/>
            </w:tcBorders>
            <w:noWrap/>
          </w:tcPr>
          <w:p w:rsidR="00337CFF" w:rsidRPr="00835093" w:rsidRDefault="00337CFF" w:rsidP="00A83ABC">
            <w:pPr>
              <w:rPr>
                <w:rFonts w:eastAsia="Times New Roman" w:cs="Times New Roman"/>
                <w:b w:val="0"/>
                <w:color w:val="000000"/>
                <w:sz w:val="20"/>
                <w:szCs w:val="20"/>
              </w:rPr>
            </w:pPr>
            <w:r w:rsidRPr="00835093">
              <w:rPr>
                <w:rFonts w:eastAsia="Times New Roman" w:cs="Times New Roman"/>
                <w:b w:val="0"/>
                <w:color w:val="000000"/>
                <w:sz w:val="20"/>
                <w:szCs w:val="20"/>
              </w:rPr>
              <w:t>PPL</w:t>
            </w:r>
          </w:p>
        </w:tc>
        <w:tc>
          <w:tcPr>
            <w:tcW w:w="1027"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Phase III PVNB</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$89,295,459</w:t>
            </w:r>
          </w:p>
        </w:tc>
        <w:tc>
          <w:tcPr>
            <w:tcW w:w="1029" w:type="pct"/>
            <w:tcBorders>
              <w:left w:val="none" w:sz="0" w:space="0" w:color="auto"/>
              <w:righ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$52,085,658</w:t>
            </w:r>
          </w:p>
        </w:tc>
        <w:tc>
          <w:tcPr>
            <w:tcW w:w="1028" w:type="pct"/>
            <w:tcBorders>
              <w:left w:val="none" w:sz="0" w:space="0" w:color="auto"/>
            </w:tcBorders>
            <w:noWrap/>
          </w:tcPr>
          <w:p w:rsidR="00337CFF" w:rsidRPr="006503C4" w:rsidRDefault="00337CFF" w:rsidP="00A83AB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6503C4">
              <w:rPr>
                <w:rFonts w:eastAsia="Times New Roman" w:cs="Times New Roman"/>
                <w:color w:val="000000"/>
                <w:sz w:val="20"/>
                <w:szCs w:val="20"/>
              </w:rPr>
              <w:t>$14,496,997</w:t>
            </w:r>
          </w:p>
        </w:tc>
      </w:tr>
    </w:tbl>
    <w:p w:rsidR="00F901E5" w:rsidRDefault="00F901E5" w:rsidP="00A83ABC"/>
    <w:p w:rsidR="00C56300" w:rsidRDefault="00C56300" w:rsidP="00A83ABC">
      <w:r>
        <w:lastRenderedPageBreak/>
        <w:t xml:space="preserve">Although clearly profitable, the level of expenditure required to capture all of the load curtailment potential in the Commonwealth is quite high. For the </w:t>
      </w:r>
      <w:r w:rsidR="00CF78C2">
        <w:t>“</w:t>
      </w:r>
      <w:r w:rsidR="00123C18">
        <w:t>Day-Ahead</w:t>
      </w:r>
      <w:r w:rsidR="00CF78C2">
        <w:t>”</w:t>
      </w:r>
      <w:r>
        <w:t xml:space="preserve"> product, the statewide spending total would equal $818 million over the five years of Phase III. This is over </w:t>
      </w:r>
      <w:r w:rsidR="00BE6EE3">
        <w:t>two thirds</w:t>
      </w:r>
      <w:r>
        <w:t xml:space="preserve"> of the available DSM funding under Act 129. For Duquesne, spending for the </w:t>
      </w:r>
      <w:r w:rsidR="00CF78C2">
        <w:t>“</w:t>
      </w:r>
      <w:r w:rsidR="00123C18">
        <w:t>Day-Ahead</w:t>
      </w:r>
      <w:r w:rsidR="00CF78C2">
        <w:t>”</w:t>
      </w:r>
      <w:r>
        <w:t xml:space="preserve"> scenario would exceed the entire 2% funding cap allocated by Act 129. </w:t>
      </w:r>
    </w:p>
    <w:p w:rsidR="00E774A3" w:rsidRDefault="00E774A3" w:rsidP="00A83ABC"/>
    <w:p w:rsidR="00ED7736" w:rsidRDefault="00ED7736" w:rsidP="00A83ABC">
      <w:r>
        <w:t xml:space="preserve">While the full estimates of potential presented in this section are informative and a necessary step in the analysis, they do </w:t>
      </w:r>
      <w:r w:rsidR="006A320B">
        <w:t xml:space="preserve">not </w:t>
      </w:r>
      <w:r>
        <w:t xml:space="preserve">take into account the fact that much of the </w:t>
      </w:r>
      <w:r w:rsidR="00037A03">
        <w:t>DR</w:t>
      </w:r>
      <w:r>
        <w:t xml:space="preserve"> potential in the Commonwealth is aggregated under PJM’s </w:t>
      </w:r>
      <w:r w:rsidR="00037A03">
        <w:t>DR</w:t>
      </w:r>
      <w:r>
        <w:t xml:space="preserve"> offerings. Section </w:t>
      </w:r>
      <w:r>
        <w:fldChar w:fldCharType="begin"/>
      </w:r>
      <w:r>
        <w:instrText xml:space="preserve"> REF _Ref406929432 \r \h </w:instrText>
      </w:r>
      <w:r w:rsidR="00CF2BE5">
        <w:instrText xml:space="preserve"> \* MERGEFORMAT </w:instrText>
      </w:r>
      <w:r>
        <w:fldChar w:fldCharType="separate"/>
      </w:r>
      <w:r w:rsidR="00803DBE">
        <w:t>6.5</w:t>
      </w:r>
      <w:r>
        <w:fldChar w:fldCharType="end"/>
      </w:r>
      <w:r>
        <w:t xml:space="preserve"> addresses the volume of DR currently enrolled in PJM’s Emergency Load Response program and how this affects load curtailment potential estimates. Section </w:t>
      </w:r>
      <w:r>
        <w:fldChar w:fldCharType="begin"/>
      </w:r>
      <w:r>
        <w:instrText xml:space="preserve"> REF _Ref406929595 \r \h </w:instrText>
      </w:r>
      <w:r w:rsidR="00CF2BE5">
        <w:instrText xml:space="preserve"> \* MERGEFORMAT </w:instrText>
      </w:r>
      <w:r>
        <w:fldChar w:fldCharType="separate"/>
      </w:r>
      <w:r w:rsidR="00803DBE">
        <w:t>7</w:t>
      </w:r>
      <w:r>
        <w:fldChar w:fldCharType="end"/>
      </w:r>
      <w:r>
        <w:t xml:space="preserve"> then incorporates additional program budget constraints.</w:t>
      </w:r>
    </w:p>
    <w:p w:rsidR="00530996" w:rsidRDefault="00530996" w:rsidP="00A83ABC"/>
    <w:p w:rsidR="00C56300" w:rsidRDefault="00AE0A3B" w:rsidP="00A83ABC">
      <w:pPr>
        <w:rPr>
          <w:rFonts w:eastAsiaTheme="minorEastAsia"/>
        </w:rPr>
      </w:pPr>
      <w:r>
        <w:rPr>
          <w:rFonts w:eastAsiaTheme="minorEastAsia"/>
        </w:rPr>
        <w:t xml:space="preserve">One caveat to note when reviewing these estimates of DR potential is the fact that Pennsylvania electric rates are structured in a way that promotes a transparent form of </w:t>
      </w:r>
      <w:r w:rsidR="00037A03">
        <w:rPr>
          <w:rFonts w:eastAsiaTheme="minorEastAsia"/>
        </w:rPr>
        <w:t>DR</w:t>
      </w:r>
      <w:r>
        <w:rPr>
          <w:rFonts w:eastAsiaTheme="minorEastAsia"/>
        </w:rPr>
        <w:t xml:space="preserve"> that may cannibalize Act 129 potential. As discussed in Section </w:t>
      </w:r>
      <w:r>
        <w:rPr>
          <w:rFonts w:eastAsiaTheme="minorEastAsia"/>
        </w:rPr>
        <w:fldChar w:fldCharType="begin"/>
      </w:r>
      <w:r>
        <w:rPr>
          <w:rFonts w:eastAsiaTheme="minorEastAsia"/>
        </w:rPr>
        <w:instrText xml:space="preserve"> REF _Ref406918845 \r \h </w:instrText>
      </w:r>
      <w:r w:rsidR="00CF2BE5">
        <w:rPr>
          <w:rFonts w:eastAsiaTheme="minorEastAsia"/>
        </w:rPr>
        <w:instrText xml:space="preserve"> \* MERGEFORMAT </w:instrText>
      </w:r>
      <w:r>
        <w:rPr>
          <w:rFonts w:eastAsiaTheme="minorEastAsia"/>
        </w:rPr>
      </w:r>
      <w:r>
        <w:rPr>
          <w:rFonts w:eastAsiaTheme="minorEastAsia"/>
        </w:rPr>
        <w:fldChar w:fldCharType="separate"/>
      </w:r>
      <w:r w:rsidR="00803DBE">
        <w:rPr>
          <w:rFonts w:eastAsiaTheme="minorEastAsia"/>
        </w:rPr>
        <w:t>2.4</w:t>
      </w:r>
      <w:r>
        <w:rPr>
          <w:rFonts w:eastAsiaTheme="minorEastAsia"/>
        </w:rPr>
        <w:fldChar w:fldCharType="end"/>
      </w:r>
      <w:r>
        <w:rPr>
          <w:rFonts w:eastAsiaTheme="minorEastAsia"/>
        </w:rPr>
        <w:t>, some EDCs and EGSs use observed loads during the 5CP hours to allocate capacity obligations to its customers. These charges can represent up to 30% of the annual electric charge for a facility so savvy businesses actively manage loads on peak summer days to intentionally lower their obligation and associated charges. The extent to which these practices occur is difficult to quantify as there are no enrollment or incentive records.</w:t>
      </w:r>
    </w:p>
    <w:p w:rsidR="00E774A3" w:rsidRPr="00AE0A3B" w:rsidRDefault="00E774A3" w:rsidP="00A83ABC">
      <w:pPr>
        <w:rPr>
          <w:rFonts w:eastAsiaTheme="minorEastAsia"/>
        </w:rPr>
      </w:pPr>
    </w:p>
    <w:p w:rsidR="00E86A5B" w:rsidRDefault="00E86A5B" w:rsidP="00A83ABC">
      <w:pPr>
        <w:pStyle w:val="Heading2"/>
      </w:pPr>
      <w:bookmarkStart w:id="278" w:name="_Toc412628429"/>
      <w:r>
        <w:t>C&amp;I Potential by Market Segment</w:t>
      </w:r>
      <w:bookmarkEnd w:id="278"/>
    </w:p>
    <w:p w:rsidR="006B5201" w:rsidRDefault="005B4E0C" w:rsidP="00A83ABC">
      <w:r>
        <w:fldChar w:fldCharType="begin"/>
      </w:r>
      <w:r>
        <w:instrText xml:space="preserve"> REF _Ref406932281 \h </w:instrText>
      </w:r>
      <w:r w:rsidR="00CF2BE5">
        <w:instrText xml:space="preserve"> \* MERGEFORMAT </w:instrText>
      </w:r>
      <w:r>
        <w:fldChar w:fldCharType="separate"/>
      </w:r>
      <w:r w:rsidR="00803DBE" w:rsidRPr="00D837FD">
        <w:t xml:space="preserve">Figure </w:t>
      </w:r>
      <w:r w:rsidR="00803DBE">
        <w:rPr>
          <w:noProof/>
        </w:rPr>
        <w:t>6</w:t>
      </w:r>
      <w:r w:rsidR="00803DBE">
        <w:rPr>
          <w:noProof/>
        </w:rPr>
        <w:noBreakHyphen/>
        <w:t>5</w:t>
      </w:r>
      <w:r>
        <w:fldChar w:fldCharType="end"/>
      </w:r>
      <w:r>
        <w:t xml:space="preserve"> shows the average annual statewide load curtailment potential broken up by customer segment. The </w:t>
      </w:r>
      <w:r w:rsidR="00AF7E71">
        <w:t xml:space="preserve">industrial </w:t>
      </w:r>
      <w:r>
        <w:t xml:space="preserve">customer base is </w:t>
      </w:r>
      <w:r w:rsidR="00CC2CB8">
        <w:t xml:space="preserve">a </w:t>
      </w:r>
      <w:r>
        <w:t xml:space="preserve">leading contributor for </w:t>
      </w:r>
      <w:r w:rsidR="00D91B6E">
        <w:t xml:space="preserve">each of the three notification types considered. </w:t>
      </w:r>
      <w:r w:rsidR="00FD60AA">
        <w:t xml:space="preserve">The distribution of potential </w:t>
      </w:r>
      <w:r w:rsidR="009A6034">
        <w:t>within each DR type was similar across EDCs</w:t>
      </w:r>
      <w:r w:rsidR="003E2AA4">
        <w:t xml:space="preserve">. </w:t>
      </w:r>
    </w:p>
    <w:p w:rsidR="005B4E0C" w:rsidRDefault="005B4E0C" w:rsidP="00A83ABC"/>
    <w:p w:rsidR="005B4E0C" w:rsidRPr="00D837FD" w:rsidRDefault="005B4E0C" w:rsidP="00A83ABC">
      <w:pPr>
        <w:pStyle w:val="Caption"/>
        <w:keepNext/>
      </w:pPr>
      <w:bookmarkStart w:id="279" w:name="_Ref406932281"/>
      <w:bookmarkStart w:id="280" w:name="_Toc412628521"/>
      <w:r w:rsidRPr="00D837FD">
        <w:t xml:space="preserve">Figure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5</w:t>
      </w:r>
      <w:r w:rsidR="00E2011B">
        <w:rPr>
          <w:noProof/>
        </w:rPr>
        <w:fldChar w:fldCharType="end"/>
      </w:r>
      <w:bookmarkEnd w:id="279"/>
      <w:r w:rsidRPr="00D837FD">
        <w:t>: Annual Statewide Load Curtailment Potential by Customer Type</w:t>
      </w:r>
      <w:bookmarkEnd w:id="280"/>
    </w:p>
    <w:p w:rsidR="006B5201" w:rsidRDefault="005B4E0C" w:rsidP="00A83ABC">
      <w:r>
        <w:rPr>
          <w:noProof/>
        </w:rPr>
        <w:drawing>
          <wp:inline distT="0" distB="0" distL="0" distR="0" wp14:anchorId="48D1F0FF" wp14:editId="39173131">
            <wp:extent cx="6036906" cy="316307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l="1652" t="1961" r="1053" b="2970"/>
                    <a:stretch/>
                  </pic:blipFill>
                  <pic:spPr bwMode="auto">
                    <a:xfrm>
                      <a:off x="0" y="0"/>
                      <a:ext cx="6050312" cy="3170102"/>
                    </a:xfrm>
                    <a:prstGeom prst="rect">
                      <a:avLst/>
                    </a:prstGeom>
                    <a:noFill/>
                    <a:ln>
                      <a:noFill/>
                    </a:ln>
                    <a:extLst>
                      <a:ext uri="{53640926-AAD7-44D8-BBD7-CCE9431645EC}">
                        <a14:shadowObscured xmlns:a14="http://schemas.microsoft.com/office/drawing/2010/main"/>
                      </a:ext>
                    </a:extLst>
                  </pic:spPr>
                </pic:pic>
              </a:graphicData>
            </a:graphic>
          </wp:inline>
        </w:drawing>
      </w:r>
    </w:p>
    <w:p w:rsidR="006B5201" w:rsidRDefault="006B5201" w:rsidP="00A83ABC"/>
    <w:p w:rsidR="006B5201" w:rsidRDefault="00B20340" w:rsidP="00A83ABC">
      <w:pPr>
        <w:pStyle w:val="Heading2"/>
      </w:pPr>
      <w:bookmarkStart w:id="281" w:name="_Ref406929432"/>
      <w:bookmarkStart w:id="282" w:name="_Toc412628430"/>
      <w:r>
        <w:lastRenderedPageBreak/>
        <w:t>PJM Commitments</w:t>
      </w:r>
      <w:bookmarkEnd w:id="281"/>
      <w:bookmarkEnd w:id="282"/>
      <w:r>
        <w:t xml:space="preserve"> </w:t>
      </w:r>
    </w:p>
    <w:p w:rsidR="00B20340" w:rsidRDefault="00B20340" w:rsidP="00A83ABC">
      <w:r>
        <w:t xml:space="preserve">The estimates of </w:t>
      </w:r>
      <w:r w:rsidR="00037A03">
        <w:t>DR</w:t>
      </w:r>
      <w:r>
        <w:t xml:space="preserve"> presented in Section </w:t>
      </w:r>
      <w:r>
        <w:fldChar w:fldCharType="begin"/>
      </w:r>
      <w:r>
        <w:instrText xml:space="preserve"> REF _Ref406411969 \r \h </w:instrText>
      </w:r>
      <w:r w:rsidR="00CF2BE5">
        <w:instrText xml:space="preserve"> \* MERGEFORMAT </w:instrText>
      </w:r>
      <w:r>
        <w:fldChar w:fldCharType="separate"/>
      </w:r>
      <w:r w:rsidR="00803DBE">
        <w:t>6.3</w:t>
      </w:r>
      <w:r>
        <w:fldChar w:fldCharType="end"/>
      </w:r>
      <w:r>
        <w:t xml:space="preserve"> represent the </w:t>
      </w:r>
      <w:r w:rsidR="00F41FA6">
        <w:t xml:space="preserve">total achievable DR potential for customers with a </w:t>
      </w:r>
      <w:r w:rsidR="00D10AE3">
        <w:t>PLC</w:t>
      </w:r>
      <w:r w:rsidR="00F41FA6">
        <w:t xml:space="preserve"> greater than 75 kW. </w:t>
      </w:r>
      <w:r w:rsidR="00865F1F">
        <w:t xml:space="preserve">These are the MW reductions the SWE </w:t>
      </w:r>
      <w:r w:rsidR="00A61CA7">
        <w:t xml:space="preserve">Team </w:t>
      </w:r>
      <w:r w:rsidR="00865F1F">
        <w:t xml:space="preserve">estimates the EDCs could achieve with an unconstrained budget, with economically efficient incentive payments, and absent any restrictions on customer enrollment. As we consider program potential for a potential Phase III C&amp;I </w:t>
      </w:r>
      <w:r w:rsidR="00985548">
        <w:t>load curtailment program</w:t>
      </w:r>
      <w:r w:rsidR="00865F1F">
        <w:t>, an enormous restriction on customer enrollment must be factored in.</w:t>
      </w:r>
    </w:p>
    <w:p w:rsidR="00700410" w:rsidRDefault="00700410" w:rsidP="00A83ABC"/>
    <w:p w:rsidR="00865F1F" w:rsidRDefault="00865F1F" w:rsidP="00A83ABC">
      <w:pPr>
        <w:spacing w:after="120"/>
      </w:pPr>
      <w:r>
        <w:t xml:space="preserve">The Commission’s Final Order on </w:t>
      </w:r>
      <w:r w:rsidR="00037A03">
        <w:t>DR</w:t>
      </w:r>
      <w:r>
        <w:t xml:space="preserve"> directed the SWE </w:t>
      </w:r>
      <w:r w:rsidR="00A61CA7">
        <w:t xml:space="preserve">Team </w:t>
      </w:r>
      <w:r>
        <w:t>to “</w:t>
      </w:r>
      <w:r w:rsidRPr="00C5006E">
        <w:rPr>
          <w:i/>
        </w:rPr>
        <w:t xml:space="preserve">disallow dual participation when it performs its LC analysis as part of its </w:t>
      </w:r>
      <w:r w:rsidR="00037A03">
        <w:rPr>
          <w:i/>
        </w:rPr>
        <w:t>DR</w:t>
      </w:r>
      <w:r w:rsidRPr="00C5006E">
        <w:rPr>
          <w:i/>
        </w:rPr>
        <w:t xml:space="preserve"> Potential Study</w:t>
      </w:r>
      <w:r>
        <w:t>.”</w:t>
      </w:r>
      <w:r w:rsidR="0086287B">
        <w:rPr>
          <w:rStyle w:val="FootnoteReference"/>
        </w:rPr>
        <w:footnoteReference w:id="136"/>
      </w:r>
      <w:r w:rsidR="0086287B">
        <w:t xml:space="preserve"> </w:t>
      </w:r>
      <w:r w:rsidR="0038395D">
        <w:t>This need for mutual exclusivity is contentious as the</w:t>
      </w:r>
      <w:r w:rsidR="00C5006E">
        <w:t xml:space="preserve"> mechanisms of producing benefits to ratepayers of the Commonwealth differ </w:t>
      </w:r>
      <w:r w:rsidR="0038395D">
        <w:t xml:space="preserve">somewhat between the programs. </w:t>
      </w:r>
      <w:r w:rsidR="00C5006E">
        <w:t>PJM uses DR to meet the reliability</w:t>
      </w:r>
      <w:r w:rsidR="0038395D">
        <w:t xml:space="preserve"> requirement for a given year. T</w:t>
      </w:r>
      <w:r w:rsidR="00C5006E">
        <w:t xml:space="preserve">he prospective Act 129 program relies on actual load reductions in a given year lowering </w:t>
      </w:r>
      <w:r w:rsidR="0038395D">
        <w:t>resource requirement in future years. Policy implications aside,</w:t>
      </w:r>
      <w:r w:rsidR="00C5006E">
        <w:t xml:space="preserve"> </w:t>
      </w:r>
      <w:r w:rsidR="0038395D">
        <w:t>t</w:t>
      </w:r>
      <w:r w:rsidR="0086287B">
        <w:t xml:space="preserve">his directive adds a layer of complexity to the estimation of </w:t>
      </w:r>
      <w:r w:rsidR="00D837FD">
        <w:t xml:space="preserve">Act 129 </w:t>
      </w:r>
      <w:r w:rsidR="0086287B">
        <w:t>DR potential for the following reasons:</w:t>
      </w:r>
    </w:p>
    <w:p w:rsidR="002C4072" w:rsidRDefault="002C4072" w:rsidP="00A83ABC">
      <w:pPr>
        <w:pStyle w:val="ListParagraph"/>
        <w:numPr>
          <w:ilvl w:val="0"/>
          <w:numId w:val="14"/>
        </w:numPr>
        <w:spacing w:after="120"/>
        <w:ind w:left="360"/>
        <w:contextualSpacing w:val="0"/>
      </w:pPr>
      <w:r>
        <w:t xml:space="preserve">PJM’s Base Residual Auction (BRA) has been held for the delivery years coinciding with the first two program years of a potential Phase III of Act 129. </w:t>
      </w:r>
    </w:p>
    <w:p w:rsidR="002C4072" w:rsidRPr="00A57907" w:rsidRDefault="002C4072" w:rsidP="00A83ABC">
      <w:pPr>
        <w:pStyle w:val="ListParagraph"/>
        <w:numPr>
          <w:ilvl w:val="0"/>
          <w:numId w:val="14"/>
        </w:numPr>
        <w:spacing w:after="120"/>
        <w:ind w:left="360"/>
        <w:contextualSpacing w:val="0"/>
      </w:pPr>
      <w:r>
        <w:t>The current volume (MW) of DR commitments by EDC are known for these two delivery years, but the participating accounts supplying the load reductions will not be known by the EDCs until the delivery year in question.</w:t>
      </w:r>
    </w:p>
    <w:p w:rsidR="002C4072" w:rsidRDefault="002C4072" w:rsidP="00A83ABC">
      <w:pPr>
        <w:pStyle w:val="ListParagraph"/>
        <w:numPr>
          <w:ilvl w:val="0"/>
          <w:numId w:val="14"/>
        </w:numPr>
        <w:spacing w:after="120"/>
        <w:ind w:left="360"/>
        <w:contextualSpacing w:val="0"/>
      </w:pPr>
      <w:r>
        <w:t>Although small, relative to the BRA, PJM holds incremental capacity auctions prior to the delivery during which additional demand resources may commit load reductions, or committed resources can sell their positions. Historically, incremental auctions have lowered the committed MW from DR in Pennsylvania.</w:t>
      </w:r>
    </w:p>
    <w:p w:rsidR="002C4072" w:rsidRDefault="002C4072" w:rsidP="00A83ABC">
      <w:pPr>
        <w:pStyle w:val="ListParagraph"/>
        <w:numPr>
          <w:ilvl w:val="0"/>
          <w:numId w:val="14"/>
        </w:numPr>
        <w:spacing w:after="120"/>
        <w:ind w:left="360"/>
        <w:contextualSpacing w:val="0"/>
      </w:pPr>
      <w:r>
        <w:t>The BRA for the PJM delivery year corresponding to Act 129 PY10-PY12</w:t>
      </w:r>
      <w:r>
        <w:rPr>
          <w:rStyle w:val="FootnoteReference"/>
        </w:rPr>
        <w:footnoteReference w:id="137"/>
      </w:r>
      <w:r>
        <w:t xml:space="preserve"> had not occurred at the time of this study. Consequently, there are not currently any DR commitments in the PJM Emergency program and all load reductions are potentially available for Act 129 DR. However, historic analysis shows that if PJM markets continue to operate in a “business-as-usual” fashion a large number of MW will be committed by Pennsylvania businesses.</w:t>
      </w:r>
    </w:p>
    <w:p w:rsidR="00700410" w:rsidRDefault="002C4072" w:rsidP="00A83ABC">
      <w:pPr>
        <w:pStyle w:val="ListParagraph"/>
        <w:numPr>
          <w:ilvl w:val="0"/>
          <w:numId w:val="14"/>
        </w:numPr>
        <w:spacing w:after="120"/>
        <w:ind w:left="360"/>
        <w:contextualSpacing w:val="0"/>
      </w:pPr>
      <w:r>
        <w:t xml:space="preserve">There is considerable uncertainty regarding what DR in wholesale markets will look like during Phase III of Act 129. The vacation of </w:t>
      </w:r>
      <w:r w:rsidRPr="002C4072">
        <w:rPr>
          <w:rStyle w:val="Strong"/>
          <w:rFonts w:cs="Arial"/>
          <w:b w:val="0"/>
          <w:szCs w:val="20"/>
          <w:lang w:val="en"/>
        </w:rPr>
        <w:t>Federal Energy Regulatory Commission</w:t>
      </w:r>
      <w:r w:rsidRPr="002C4072">
        <w:rPr>
          <w:sz w:val="24"/>
        </w:rPr>
        <w:t xml:space="preserve"> (</w:t>
      </w:r>
      <w:r>
        <w:t>FERC) Order 745 and subsequent extrapolation of this ruling to forward capacity markets has led to speculation about continuing to allow DR participants to act as supply-side resources. PJM’s recent white paper</w:t>
      </w:r>
      <w:r>
        <w:rPr>
          <w:rStyle w:val="FootnoteReference"/>
        </w:rPr>
        <w:footnoteReference w:id="138"/>
      </w:r>
      <w:r>
        <w:t xml:space="preserve"> on the topic speculated “</w:t>
      </w:r>
      <w:r w:rsidRPr="002C4072">
        <w:rPr>
          <w:i/>
        </w:rPr>
        <w:t>PJM’s markets would not separately compensate demand as a supply-side resource. The economics and incentives in having demand participate would result from avoided costs and obligations. State programs, of course, could offer added incentives to both wholesale and retail market participants.</w:t>
      </w:r>
      <w:r>
        <w:t>”</w:t>
      </w:r>
    </w:p>
    <w:p w:rsidR="002C4072" w:rsidRDefault="002C4072" w:rsidP="00A83ABC"/>
    <w:p w:rsidR="00B31875" w:rsidRDefault="00C5006E" w:rsidP="00A83ABC">
      <w:r>
        <w:t xml:space="preserve">With these challenges in mind, the SWE </w:t>
      </w:r>
      <w:r w:rsidR="00A61CA7">
        <w:t xml:space="preserve">Team </w:t>
      </w:r>
      <w:r>
        <w:t xml:space="preserve">elected to implement a simple approach to net </w:t>
      </w:r>
      <w:r w:rsidR="00A479EA">
        <w:t xml:space="preserve">out </w:t>
      </w:r>
      <w:r>
        <w:t xml:space="preserve">potential from customers enrolled in PJM programs. </w:t>
      </w:r>
      <w:r w:rsidR="00A479EA">
        <w:t>Two sce</w:t>
      </w:r>
      <w:r w:rsidR="002C4072">
        <w:t>narios were considered: a “business as usual” case which</w:t>
      </w:r>
      <w:r w:rsidR="00A479EA">
        <w:t xml:space="preserve"> assumes historical DR commitments will enroll in the PJM forward capacity market </w:t>
      </w:r>
      <w:r w:rsidR="00A479EA">
        <w:lastRenderedPageBreak/>
        <w:t>and a</w:t>
      </w:r>
      <w:r w:rsidR="002C4072">
        <w:t xml:space="preserve"> “wholesale changes”</w:t>
      </w:r>
      <w:r w:rsidR="00A479EA">
        <w:t xml:space="preserve"> scenario where the PJM DR market essentially vanishes after the 2017/2018 delivery year.</w:t>
      </w:r>
    </w:p>
    <w:p w:rsidR="00B31875" w:rsidRPr="002C6372" w:rsidRDefault="00B31875" w:rsidP="00A83ABC"/>
    <w:p w:rsidR="00545599" w:rsidRDefault="00B31875" w:rsidP="00A83ABC">
      <w:r>
        <w:fldChar w:fldCharType="begin"/>
      </w:r>
      <w:r>
        <w:instrText xml:space="preserve"> REF _Ref408382368 \h </w:instrText>
      </w:r>
      <w:r>
        <w:fldChar w:fldCharType="separate"/>
      </w:r>
      <w:r w:rsidR="00803DBE" w:rsidRPr="00D837FD">
        <w:t xml:space="preserve">Table </w:t>
      </w:r>
      <w:r w:rsidR="00803DBE">
        <w:rPr>
          <w:noProof/>
        </w:rPr>
        <w:t>6</w:t>
      </w:r>
      <w:r w:rsidR="00803DBE">
        <w:noBreakHyphen/>
      </w:r>
      <w:r w:rsidR="00803DBE">
        <w:rPr>
          <w:noProof/>
        </w:rPr>
        <w:t>8</w:t>
      </w:r>
      <w:r>
        <w:fldChar w:fldCharType="end"/>
      </w:r>
      <w:r>
        <w:t xml:space="preserve"> </w:t>
      </w:r>
      <w:r w:rsidR="00C5006E">
        <w:t>shows the MW commitments by EDC for the first two years of Phase III</w:t>
      </w:r>
      <w:r w:rsidR="00A479EA">
        <w:t xml:space="preserve"> based on cleared offers in the PJM’s </w:t>
      </w:r>
      <w:r w:rsidR="00795096">
        <w:t>BRAs</w:t>
      </w:r>
      <w:r w:rsidR="00C5006E">
        <w:t xml:space="preserve">. </w:t>
      </w:r>
      <w:r w:rsidR="00A479EA">
        <w:t xml:space="preserve">In </w:t>
      </w:r>
      <w:r w:rsidR="002C4072">
        <w:t>the “wholesale changes” scenario</w:t>
      </w:r>
      <w:r w:rsidR="00A479EA">
        <w:t>, t</w:t>
      </w:r>
      <w:r w:rsidR="00C5006E">
        <w:t xml:space="preserve">hese </w:t>
      </w:r>
      <w:r w:rsidR="002C4072">
        <w:t xml:space="preserve">are the </w:t>
      </w:r>
      <w:r w:rsidR="00C5006E">
        <w:t xml:space="preserve">amounts subtracted from the </w:t>
      </w:r>
      <w:r w:rsidR="00D837FD">
        <w:t>total</w:t>
      </w:r>
      <w:r w:rsidR="00C5006E">
        <w:t xml:space="preserve"> potential for each DR product</w:t>
      </w:r>
      <w:r w:rsidR="00A479EA">
        <w:t xml:space="preserve"> on annual basis</w:t>
      </w:r>
      <w:r w:rsidR="00C5006E">
        <w:t xml:space="preserve">. This approach does not account for the differences in dispatch frequency, duration, and notification between the PJM emergency program and a potential Act 129 program. </w:t>
      </w:r>
      <w:r w:rsidR="0038395D">
        <w:t>That is, the same customer may commit more load</w:t>
      </w:r>
      <w:r w:rsidR="002C4072">
        <w:t xml:space="preserve"> reduction</w:t>
      </w:r>
      <w:r w:rsidR="0038395D">
        <w:t xml:space="preserve"> to the PJM emergency program because of the historically infrequent dispatch compared to an Act 129 program where dispatch is expected to be more frequent. Conversely</w:t>
      </w:r>
      <w:r w:rsidR="00AF7E71">
        <w:t>,</w:t>
      </w:r>
      <w:r w:rsidR="0038395D">
        <w:t xml:space="preserve"> the additional notification time of an Act 129 day-ahead or day-of program could attract larger commitments from customers because of the ability to schedule processes around event dispatch.</w:t>
      </w:r>
      <w:bookmarkStart w:id="283" w:name="_Ref406414576"/>
    </w:p>
    <w:p w:rsidR="002C6372" w:rsidRPr="00AD7E52" w:rsidRDefault="002C6372" w:rsidP="00A83ABC"/>
    <w:p w:rsidR="0086287B" w:rsidRPr="00D837FD" w:rsidRDefault="0086287B" w:rsidP="00A83ABC">
      <w:pPr>
        <w:pStyle w:val="Caption"/>
        <w:keepNext/>
      </w:pPr>
      <w:bookmarkStart w:id="284" w:name="_Ref408327919"/>
      <w:bookmarkStart w:id="285" w:name="_Ref408382368"/>
      <w:bookmarkStart w:id="286" w:name="_Toc412628491"/>
      <w:r w:rsidRPr="00D837FD">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8</w:t>
      </w:r>
      <w:r w:rsidR="00E2011B">
        <w:rPr>
          <w:noProof/>
        </w:rPr>
        <w:fldChar w:fldCharType="end"/>
      </w:r>
      <w:bookmarkEnd w:id="283"/>
      <w:bookmarkEnd w:id="284"/>
      <w:bookmarkEnd w:id="285"/>
      <w:r w:rsidRPr="00D837FD">
        <w:t>: Demand Resources Committed in PJM’s BRA by Delivery Year</w:t>
      </w:r>
      <w:bookmarkEnd w:id="286"/>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880"/>
        <w:gridCol w:w="1770"/>
        <w:gridCol w:w="1770"/>
        <w:gridCol w:w="1770"/>
      </w:tblGrid>
      <w:tr w:rsidR="0038395D" w:rsidRPr="00700410" w:rsidTr="002C6372">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right w:val="none" w:sz="0" w:space="0" w:color="auto"/>
            </w:tcBorders>
            <w:shd w:val="clear" w:color="auto" w:fill="448A99"/>
            <w:vAlign w:val="bottom"/>
            <w:hideMark/>
          </w:tcPr>
          <w:p w:rsidR="0038395D" w:rsidRPr="00700410" w:rsidRDefault="0038395D" w:rsidP="00A83ABC">
            <w:pPr>
              <w:jc w:val="left"/>
              <w:rPr>
                <w:rFonts w:ascii="Calibri" w:eastAsia="Times New Roman" w:hAnsi="Calibri" w:cs="Times New Roman"/>
                <w:bCs w:val="0"/>
                <w:color w:val="FFFFFF"/>
                <w:sz w:val="20"/>
              </w:rPr>
            </w:pPr>
            <w:r w:rsidRPr="00700410">
              <w:rPr>
                <w:rFonts w:ascii="Calibri" w:eastAsia="Times New Roman" w:hAnsi="Calibri" w:cs="Times New Roman"/>
                <w:bCs w:val="0"/>
                <w:color w:val="FFFFFF"/>
                <w:sz w:val="20"/>
              </w:rPr>
              <w:t>EDC</w:t>
            </w:r>
          </w:p>
        </w:tc>
        <w:tc>
          <w:tcPr>
            <w:tcW w:w="177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38395D" w:rsidRPr="00700410" w:rsidRDefault="0038395D"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rPr>
            </w:pPr>
            <w:r w:rsidRPr="00700410">
              <w:rPr>
                <w:rFonts w:ascii="Calibri" w:eastAsia="Times New Roman" w:hAnsi="Calibri" w:cs="Times New Roman"/>
                <w:bCs w:val="0"/>
                <w:color w:val="FFFFFF"/>
                <w:sz w:val="20"/>
              </w:rPr>
              <w:t>2016/2017 (PY8)</w:t>
            </w:r>
          </w:p>
        </w:tc>
        <w:tc>
          <w:tcPr>
            <w:tcW w:w="177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38395D" w:rsidRPr="00700410" w:rsidRDefault="0038395D"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rPr>
            </w:pPr>
            <w:r w:rsidRPr="00700410">
              <w:rPr>
                <w:rFonts w:ascii="Calibri" w:eastAsia="Times New Roman" w:hAnsi="Calibri" w:cs="Times New Roman"/>
                <w:bCs w:val="0"/>
                <w:color w:val="FFFFFF"/>
                <w:sz w:val="20"/>
              </w:rPr>
              <w:t>2017/2018 (PY9)</w:t>
            </w:r>
          </w:p>
        </w:tc>
        <w:tc>
          <w:tcPr>
            <w:tcW w:w="1770" w:type="dxa"/>
            <w:tcBorders>
              <w:top w:val="none" w:sz="0" w:space="0" w:color="auto"/>
              <w:left w:val="none" w:sz="0" w:space="0" w:color="auto"/>
              <w:bottom w:val="none" w:sz="0" w:space="0" w:color="auto"/>
              <w:right w:val="none" w:sz="0" w:space="0" w:color="auto"/>
            </w:tcBorders>
            <w:shd w:val="clear" w:color="auto" w:fill="448A99"/>
            <w:vAlign w:val="bottom"/>
          </w:tcPr>
          <w:p w:rsidR="0038395D" w:rsidRPr="00700410" w:rsidRDefault="0038395D"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rPr>
            </w:pPr>
            <w:r w:rsidRPr="00700410">
              <w:rPr>
                <w:rFonts w:ascii="Calibri" w:eastAsia="Times New Roman" w:hAnsi="Calibri" w:cs="Times New Roman"/>
                <w:bCs w:val="0"/>
                <w:color w:val="FFFFFF"/>
                <w:sz w:val="20"/>
              </w:rPr>
              <w:t>PY10, PY11, PY12</w:t>
            </w:r>
          </w:p>
        </w:tc>
      </w:tr>
      <w:tr w:rsidR="00337CFF" w:rsidRPr="00700410"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tcPr>
          <w:p w:rsidR="00337CFF" w:rsidRPr="00700410" w:rsidRDefault="00337CFF" w:rsidP="00A83ABC">
            <w:pPr>
              <w:jc w:val="left"/>
              <w:rPr>
                <w:rFonts w:ascii="Calibri" w:eastAsia="Times New Roman" w:hAnsi="Calibri" w:cs="Times New Roman"/>
                <w:b w:val="0"/>
                <w:bCs w:val="0"/>
                <w:color w:val="000000"/>
                <w:sz w:val="20"/>
              </w:rPr>
            </w:pPr>
            <w:r w:rsidRPr="00700410">
              <w:rPr>
                <w:rFonts w:ascii="Calibri" w:eastAsia="Times New Roman" w:hAnsi="Calibri" w:cs="Times New Roman"/>
                <w:b w:val="0"/>
                <w:bCs w:val="0"/>
                <w:color w:val="000000"/>
                <w:sz w:val="20"/>
              </w:rPr>
              <w:t>Duquesne</w:t>
            </w:r>
          </w:p>
        </w:tc>
        <w:tc>
          <w:tcPr>
            <w:tcW w:w="1770" w:type="dxa"/>
            <w:tcBorders>
              <w:left w:val="none" w:sz="0" w:space="0" w:color="auto"/>
              <w:right w:val="none" w:sz="0" w:space="0" w:color="auto"/>
            </w:tcBorders>
            <w:noWrap/>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143.1</w:t>
            </w:r>
          </w:p>
        </w:tc>
        <w:tc>
          <w:tcPr>
            <w:tcW w:w="1770" w:type="dxa"/>
            <w:tcBorders>
              <w:left w:val="none" w:sz="0" w:space="0" w:color="auto"/>
              <w:right w:val="none" w:sz="0" w:space="0" w:color="auto"/>
            </w:tcBorders>
            <w:noWrap/>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161.4</w:t>
            </w:r>
          </w:p>
        </w:tc>
        <w:tc>
          <w:tcPr>
            <w:tcW w:w="1770" w:type="dxa"/>
            <w:tcBorders>
              <w:left w:val="none" w:sz="0" w:space="0" w:color="auto"/>
            </w:tcBorders>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N/A</w:t>
            </w:r>
          </w:p>
        </w:tc>
      </w:tr>
      <w:tr w:rsidR="00337CFF" w:rsidRPr="00700410"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tcPr>
          <w:p w:rsidR="00337CFF" w:rsidRPr="00700410" w:rsidRDefault="00337CFF" w:rsidP="00A83ABC">
            <w:pPr>
              <w:jc w:val="left"/>
              <w:rPr>
                <w:rFonts w:ascii="Calibri" w:eastAsia="Times New Roman" w:hAnsi="Calibri" w:cs="Times New Roman"/>
                <w:b w:val="0"/>
                <w:bCs w:val="0"/>
                <w:color w:val="000000"/>
                <w:sz w:val="20"/>
              </w:rPr>
            </w:pPr>
            <w:r>
              <w:rPr>
                <w:rFonts w:ascii="Calibri" w:eastAsia="Times New Roman" w:hAnsi="Calibri" w:cs="Times New Roman"/>
                <w:b w:val="0"/>
                <w:bCs w:val="0"/>
                <w:color w:val="000000"/>
                <w:sz w:val="20"/>
              </w:rPr>
              <w:t xml:space="preserve">FE: </w:t>
            </w:r>
            <w:r w:rsidRPr="00700410">
              <w:rPr>
                <w:rFonts w:ascii="Calibri" w:eastAsia="Times New Roman" w:hAnsi="Calibri" w:cs="Times New Roman"/>
                <w:b w:val="0"/>
                <w:bCs w:val="0"/>
                <w:color w:val="000000"/>
                <w:sz w:val="20"/>
              </w:rPr>
              <w:t>Met-Ed</w:t>
            </w:r>
          </w:p>
        </w:tc>
        <w:tc>
          <w:tcPr>
            <w:tcW w:w="1770" w:type="dxa"/>
            <w:tcBorders>
              <w:left w:val="none" w:sz="0" w:space="0" w:color="auto"/>
              <w:right w:val="none" w:sz="0" w:space="0" w:color="auto"/>
            </w:tcBorders>
            <w:noWrap/>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313.6</w:t>
            </w:r>
          </w:p>
        </w:tc>
        <w:tc>
          <w:tcPr>
            <w:tcW w:w="1770" w:type="dxa"/>
            <w:tcBorders>
              <w:left w:val="none" w:sz="0" w:space="0" w:color="auto"/>
              <w:right w:val="none" w:sz="0" w:space="0" w:color="auto"/>
            </w:tcBorders>
            <w:noWrap/>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298.9</w:t>
            </w:r>
          </w:p>
        </w:tc>
        <w:tc>
          <w:tcPr>
            <w:tcW w:w="1770" w:type="dxa"/>
            <w:tcBorders>
              <w:left w:val="none" w:sz="0" w:space="0" w:color="auto"/>
            </w:tcBorders>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N/A</w:t>
            </w:r>
          </w:p>
        </w:tc>
      </w:tr>
      <w:tr w:rsidR="0038395D" w:rsidRPr="00700410"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hideMark/>
          </w:tcPr>
          <w:p w:rsidR="0038395D" w:rsidRPr="00700410" w:rsidRDefault="00337CFF" w:rsidP="00A83ABC">
            <w:pPr>
              <w:jc w:val="left"/>
              <w:rPr>
                <w:rFonts w:ascii="Calibri" w:eastAsia="Times New Roman" w:hAnsi="Calibri" w:cs="Times New Roman"/>
                <w:b w:val="0"/>
                <w:bCs w:val="0"/>
                <w:color w:val="000000"/>
                <w:sz w:val="20"/>
              </w:rPr>
            </w:pPr>
            <w:r>
              <w:rPr>
                <w:rFonts w:ascii="Calibri" w:eastAsia="Times New Roman" w:hAnsi="Calibri" w:cs="Times New Roman"/>
                <w:b w:val="0"/>
                <w:bCs w:val="0"/>
                <w:color w:val="000000"/>
                <w:sz w:val="20"/>
              </w:rPr>
              <w:t xml:space="preserve">FE: </w:t>
            </w:r>
            <w:r w:rsidR="0038395D" w:rsidRPr="00700410">
              <w:rPr>
                <w:rFonts w:ascii="Calibri" w:eastAsia="Times New Roman" w:hAnsi="Calibri" w:cs="Times New Roman"/>
                <w:b w:val="0"/>
                <w:bCs w:val="0"/>
                <w:color w:val="000000"/>
                <w:sz w:val="20"/>
              </w:rPr>
              <w:t>Penelec</w:t>
            </w:r>
          </w:p>
        </w:tc>
        <w:tc>
          <w:tcPr>
            <w:tcW w:w="1770" w:type="dxa"/>
            <w:tcBorders>
              <w:left w:val="none" w:sz="0" w:space="0" w:color="auto"/>
              <w:right w:val="none" w:sz="0" w:space="0" w:color="auto"/>
            </w:tcBorders>
            <w:noWrap/>
            <w:hideMark/>
          </w:tcPr>
          <w:p w:rsidR="0038395D" w:rsidRPr="00700410" w:rsidRDefault="0038395D"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431.5</w:t>
            </w:r>
          </w:p>
        </w:tc>
        <w:tc>
          <w:tcPr>
            <w:tcW w:w="1770" w:type="dxa"/>
            <w:tcBorders>
              <w:left w:val="none" w:sz="0" w:space="0" w:color="auto"/>
              <w:right w:val="none" w:sz="0" w:space="0" w:color="auto"/>
            </w:tcBorders>
            <w:noWrap/>
            <w:hideMark/>
          </w:tcPr>
          <w:p w:rsidR="0038395D" w:rsidRPr="00700410" w:rsidRDefault="0038395D"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356.8</w:t>
            </w:r>
          </w:p>
        </w:tc>
        <w:tc>
          <w:tcPr>
            <w:tcW w:w="1770" w:type="dxa"/>
            <w:tcBorders>
              <w:left w:val="none" w:sz="0" w:space="0" w:color="auto"/>
            </w:tcBorders>
          </w:tcPr>
          <w:p w:rsidR="0038395D" w:rsidRPr="00700410" w:rsidRDefault="0038395D"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N/A</w:t>
            </w:r>
          </w:p>
        </w:tc>
      </w:tr>
      <w:tr w:rsidR="00337CFF" w:rsidRPr="00700410"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tcPr>
          <w:p w:rsidR="00337CFF" w:rsidRPr="00700410" w:rsidRDefault="00337CFF" w:rsidP="00A83ABC">
            <w:pPr>
              <w:jc w:val="left"/>
              <w:rPr>
                <w:rFonts w:ascii="Calibri" w:eastAsia="Times New Roman" w:hAnsi="Calibri" w:cs="Times New Roman"/>
                <w:b w:val="0"/>
                <w:bCs w:val="0"/>
                <w:color w:val="000000"/>
                <w:sz w:val="20"/>
              </w:rPr>
            </w:pPr>
            <w:r>
              <w:rPr>
                <w:rFonts w:ascii="Calibri" w:eastAsia="Times New Roman" w:hAnsi="Calibri" w:cs="Times New Roman"/>
                <w:b w:val="0"/>
                <w:bCs w:val="0"/>
                <w:color w:val="000000"/>
                <w:sz w:val="20"/>
              </w:rPr>
              <w:t xml:space="preserve">FE: </w:t>
            </w:r>
            <w:r w:rsidRPr="00700410">
              <w:rPr>
                <w:rFonts w:ascii="Calibri" w:eastAsia="Times New Roman" w:hAnsi="Calibri" w:cs="Times New Roman"/>
                <w:b w:val="0"/>
                <w:bCs w:val="0"/>
                <w:color w:val="000000"/>
                <w:sz w:val="20"/>
              </w:rPr>
              <w:t>Penn Power</w:t>
            </w:r>
            <w:r w:rsidRPr="00700410">
              <w:rPr>
                <w:rStyle w:val="FootnoteReference"/>
                <w:rFonts w:ascii="Calibri" w:eastAsia="Times New Roman" w:hAnsi="Calibri"/>
                <w:b w:val="0"/>
                <w:bCs w:val="0"/>
                <w:color w:val="000000"/>
                <w:sz w:val="20"/>
              </w:rPr>
              <w:footnoteReference w:id="139"/>
            </w:r>
          </w:p>
        </w:tc>
        <w:tc>
          <w:tcPr>
            <w:tcW w:w="1770" w:type="dxa"/>
            <w:tcBorders>
              <w:left w:val="none" w:sz="0" w:space="0" w:color="auto"/>
              <w:right w:val="none" w:sz="0" w:space="0" w:color="auto"/>
            </w:tcBorders>
            <w:noWrap/>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126.8</w:t>
            </w:r>
          </w:p>
        </w:tc>
        <w:tc>
          <w:tcPr>
            <w:tcW w:w="1770" w:type="dxa"/>
            <w:tcBorders>
              <w:left w:val="none" w:sz="0" w:space="0" w:color="auto"/>
              <w:right w:val="none" w:sz="0" w:space="0" w:color="auto"/>
            </w:tcBorders>
            <w:noWrap/>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71.4</w:t>
            </w:r>
          </w:p>
        </w:tc>
        <w:tc>
          <w:tcPr>
            <w:tcW w:w="1770" w:type="dxa"/>
            <w:tcBorders>
              <w:left w:val="none" w:sz="0" w:space="0" w:color="auto"/>
            </w:tcBorders>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N/A</w:t>
            </w:r>
          </w:p>
        </w:tc>
      </w:tr>
      <w:tr w:rsidR="00337CFF" w:rsidRPr="00700410"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tcPr>
          <w:p w:rsidR="00337CFF" w:rsidRPr="00700410" w:rsidRDefault="00337CFF" w:rsidP="00A83ABC">
            <w:pPr>
              <w:jc w:val="left"/>
              <w:rPr>
                <w:rFonts w:ascii="Calibri" w:eastAsia="Times New Roman" w:hAnsi="Calibri" w:cs="Times New Roman"/>
                <w:b w:val="0"/>
                <w:bCs w:val="0"/>
                <w:color w:val="000000"/>
                <w:sz w:val="20"/>
              </w:rPr>
            </w:pPr>
            <w:r>
              <w:rPr>
                <w:rFonts w:ascii="Calibri" w:eastAsia="Times New Roman" w:hAnsi="Calibri" w:cs="Times New Roman"/>
                <w:b w:val="0"/>
                <w:bCs w:val="0"/>
                <w:color w:val="000000"/>
                <w:sz w:val="20"/>
              </w:rPr>
              <w:t xml:space="preserve">FE: </w:t>
            </w:r>
            <w:r w:rsidRPr="00700410">
              <w:rPr>
                <w:rFonts w:ascii="Calibri" w:eastAsia="Times New Roman" w:hAnsi="Calibri" w:cs="Times New Roman"/>
                <w:b w:val="0"/>
                <w:bCs w:val="0"/>
                <w:color w:val="000000"/>
                <w:sz w:val="20"/>
              </w:rPr>
              <w:t>West Penn Power</w:t>
            </w:r>
            <w:r w:rsidRPr="00700410">
              <w:rPr>
                <w:rStyle w:val="FootnoteReference"/>
                <w:rFonts w:ascii="Calibri" w:eastAsia="Times New Roman" w:hAnsi="Calibri"/>
                <w:b w:val="0"/>
                <w:bCs w:val="0"/>
                <w:color w:val="000000"/>
                <w:sz w:val="20"/>
              </w:rPr>
              <w:footnoteReference w:id="140"/>
            </w:r>
          </w:p>
        </w:tc>
        <w:tc>
          <w:tcPr>
            <w:tcW w:w="1770" w:type="dxa"/>
            <w:tcBorders>
              <w:left w:val="none" w:sz="0" w:space="0" w:color="auto"/>
              <w:right w:val="none" w:sz="0" w:space="0" w:color="auto"/>
            </w:tcBorders>
            <w:noWrap/>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376.5</w:t>
            </w:r>
          </w:p>
        </w:tc>
        <w:tc>
          <w:tcPr>
            <w:tcW w:w="1770" w:type="dxa"/>
            <w:tcBorders>
              <w:left w:val="none" w:sz="0" w:space="0" w:color="auto"/>
              <w:right w:val="none" w:sz="0" w:space="0" w:color="auto"/>
            </w:tcBorders>
            <w:noWrap/>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510.9</w:t>
            </w:r>
          </w:p>
        </w:tc>
        <w:tc>
          <w:tcPr>
            <w:tcW w:w="1770" w:type="dxa"/>
            <w:tcBorders>
              <w:left w:val="none" w:sz="0" w:space="0" w:color="auto"/>
            </w:tcBorders>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N/A</w:t>
            </w:r>
          </w:p>
        </w:tc>
      </w:tr>
      <w:tr w:rsidR="00337CFF" w:rsidRPr="0083509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tcPr>
          <w:p w:rsidR="00337CFF" w:rsidRPr="00700410" w:rsidRDefault="00337CFF" w:rsidP="00A83ABC">
            <w:pPr>
              <w:jc w:val="left"/>
              <w:rPr>
                <w:rFonts w:ascii="Calibri" w:eastAsia="Times New Roman" w:hAnsi="Calibri" w:cs="Times New Roman"/>
                <w:b w:val="0"/>
                <w:bCs w:val="0"/>
                <w:color w:val="000000"/>
                <w:sz w:val="20"/>
              </w:rPr>
            </w:pPr>
            <w:r w:rsidRPr="00700410">
              <w:rPr>
                <w:rFonts w:ascii="Calibri" w:eastAsia="Times New Roman" w:hAnsi="Calibri" w:cs="Times New Roman"/>
                <w:b w:val="0"/>
                <w:bCs w:val="0"/>
                <w:color w:val="000000"/>
                <w:sz w:val="20"/>
              </w:rPr>
              <w:t>PECO</w:t>
            </w:r>
          </w:p>
        </w:tc>
        <w:tc>
          <w:tcPr>
            <w:tcW w:w="1770" w:type="dxa"/>
            <w:tcBorders>
              <w:left w:val="none" w:sz="0" w:space="0" w:color="auto"/>
              <w:right w:val="none" w:sz="0" w:space="0" w:color="auto"/>
            </w:tcBorders>
            <w:noWrap/>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531.1</w:t>
            </w:r>
          </w:p>
        </w:tc>
        <w:tc>
          <w:tcPr>
            <w:tcW w:w="1770" w:type="dxa"/>
            <w:tcBorders>
              <w:left w:val="none" w:sz="0" w:space="0" w:color="auto"/>
              <w:right w:val="none" w:sz="0" w:space="0" w:color="auto"/>
            </w:tcBorders>
            <w:noWrap/>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480.0</w:t>
            </w:r>
          </w:p>
        </w:tc>
        <w:tc>
          <w:tcPr>
            <w:tcW w:w="1770" w:type="dxa"/>
            <w:tcBorders>
              <w:left w:val="none" w:sz="0" w:space="0" w:color="auto"/>
            </w:tcBorders>
          </w:tcPr>
          <w:p w:rsidR="00337CFF" w:rsidRPr="00700410" w:rsidRDefault="00337CF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N/A</w:t>
            </w:r>
          </w:p>
        </w:tc>
      </w:tr>
      <w:tr w:rsidR="00337CFF" w:rsidRPr="00835093" w:rsidTr="002C637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tcPr>
          <w:p w:rsidR="00337CFF" w:rsidRPr="00700410" w:rsidRDefault="00337CFF" w:rsidP="00A83ABC">
            <w:pPr>
              <w:jc w:val="left"/>
              <w:rPr>
                <w:rFonts w:ascii="Calibri" w:eastAsia="Times New Roman" w:hAnsi="Calibri" w:cs="Times New Roman"/>
                <w:b w:val="0"/>
                <w:bCs w:val="0"/>
                <w:color w:val="000000"/>
                <w:sz w:val="20"/>
              </w:rPr>
            </w:pPr>
            <w:r w:rsidRPr="00700410">
              <w:rPr>
                <w:rFonts w:ascii="Calibri" w:eastAsia="Times New Roman" w:hAnsi="Calibri" w:cs="Times New Roman"/>
                <w:b w:val="0"/>
                <w:bCs w:val="0"/>
                <w:color w:val="000000"/>
                <w:sz w:val="20"/>
              </w:rPr>
              <w:t>PPL</w:t>
            </w:r>
          </w:p>
        </w:tc>
        <w:tc>
          <w:tcPr>
            <w:tcW w:w="1770" w:type="dxa"/>
            <w:tcBorders>
              <w:left w:val="none" w:sz="0" w:space="0" w:color="auto"/>
              <w:right w:val="none" w:sz="0" w:space="0" w:color="auto"/>
            </w:tcBorders>
            <w:noWrap/>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998.2</w:t>
            </w:r>
          </w:p>
        </w:tc>
        <w:tc>
          <w:tcPr>
            <w:tcW w:w="1770" w:type="dxa"/>
            <w:tcBorders>
              <w:left w:val="none" w:sz="0" w:space="0" w:color="auto"/>
              <w:right w:val="none" w:sz="0" w:space="0" w:color="auto"/>
            </w:tcBorders>
            <w:noWrap/>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686.2</w:t>
            </w:r>
          </w:p>
        </w:tc>
        <w:tc>
          <w:tcPr>
            <w:tcW w:w="1770" w:type="dxa"/>
            <w:tcBorders>
              <w:left w:val="none" w:sz="0" w:space="0" w:color="auto"/>
            </w:tcBorders>
          </w:tcPr>
          <w:p w:rsidR="00337CFF" w:rsidRPr="00700410" w:rsidRDefault="00337CF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00410">
              <w:rPr>
                <w:rFonts w:ascii="Calibri" w:eastAsia="Times New Roman" w:hAnsi="Calibri" w:cs="Times New Roman"/>
                <w:color w:val="000000"/>
                <w:sz w:val="20"/>
              </w:rPr>
              <w:t>N/A</w:t>
            </w:r>
          </w:p>
        </w:tc>
      </w:tr>
      <w:tr w:rsidR="0038395D" w:rsidRPr="00835093" w:rsidTr="002C637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noWrap/>
          </w:tcPr>
          <w:p w:rsidR="0038395D" w:rsidRPr="00835093" w:rsidRDefault="0038395D" w:rsidP="00A83ABC">
            <w:pPr>
              <w:jc w:val="left"/>
              <w:rPr>
                <w:rFonts w:ascii="Calibri" w:eastAsia="Times New Roman" w:hAnsi="Calibri" w:cs="Times New Roman"/>
                <w:bCs w:val="0"/>
                <w:color w:val="000000"/>
                <w:sz w:val="20"/>
              </w:rPr>
            </w:pPr>
            <w:r w:rsidRPr="00835093">
              <w:rPr>
                <w:rFonts w:ascii="Calibri" w:eastAsia="Times New Roman" w:hAnsi="Calibri" w:cs="Times New Roman"/>
                <w:bCs w:val="0"/>
                <w:color w:val="000000"/>
                <w:sz w:val="20"/>
              </w:rPr>
              <w:t>Statewide Total</w:t>
            </w:r>
          </w:p>
        </w:tc>
        <w:tc>
          <w:tcPr>
            <w:tcW w:w="1770" w:type="dxa"/>
            <w:tcBorders>
              <w:left w:val="none" w:sz="0" w:space="0" w:color="auto"/>
              <w:right w:val="none" w:sz="0" w:space="0" w:color="auto"/>
            </w:tcBorders>
            <w:noWrap/>
          </w:tcPr>
          <w:p w:rsidR="0038395D" w:rsidRPr="00835093" w:rsidRDefault="0038395D"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rPr>
            </w:pPr>
            <w:r w:rsidRPr="00835093">
              <w:rPr>
                <w:rFonts w:ascii="Calibri" w:eastAsia="Times New Roman" w:hAnsi="Calibri" w:cs="Times New Roman"/>
                <w:b/>
                <w:color w:val="000000"/>
                <w:sz w:val="20"/>
              </w:rPr>
              <w:t>2,920.9</w:t>
            </w:r>
          </w:p>
        </w:tc>
        <w:tc>
          <w:tcPr>
            <w:tcW w:w="1770" w:type="dxa"/>
            <w:tcBorders>
              <w:left w:val="none" w:sz="0" w:space="0" w:color="auto"/>
              <w:right w:val="none" w:sz="0" w:space="0" w:color="auto"/>
            </w:tcBorders>
            <w:noWrap/>
          </w:tcPr>
          <w:p w:rsidR="0038395D" w:rsidRPr="00835093" w:rsidRDefault="0038395D"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rPr>
            </w:pPr>
            <w:r w:rsidRPr="00835093">
              <w:rPr>
                <w:rFonts w:ascii="Calibri" w:eastAsia="Times New Roman" w:hAnsi="Calibri" w:cs="Times New Roman"/>
                <w:b/>
                <w:color w:val="000000"/>
                <w:sz w:val="20"/>
              </w:rPr>
              <w:t>2,565.6</w:t>
            </w:r>
          </w:p>
        </w:tc>
        <w:tc>
          <w:tcPr>
            <w:tcW w:w="1770" w:type="dxa"/>
            <w:tcBorders>
              <w:left w:val="none" w:sz="0" w:space="0" w:color="auto"/>
            </w:tcBorders>
          </w:tcPr>
          <w:p w:rsidR="0038395D" w:rsidRPr="00835093" w:rsidRDefault="0038395D"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rPr>
            </w:pPr>
            <w:r w:rsidRPr="00835093">
              <w:rPr>
                <w:rFonts w:ascii="Calibri" w:eastAsia="Times New Roman" w:hAnsi="Calibri" w:cs="Times New Roman"/>
                <w:b/>
                <w:color w:val="000000"/>
                <w:sz w:val="20"/>
              </w:rPr>
              <w:t>N/A</w:t>
            </w:r>
          </w:p>
        </w:tc>
      </w:tr>
    </w:tbl>
    <w:p w:rsidR="006B5201" w:rsidRDefault="006B5201" w:rsidP="00A83ABC"/>
    <w:p w:rsidR="008C53F5" w:rsidRDefault="00A479EA" w:rsidP="00A83ABC">
      <w:r>
        <w:t xml:space="preserve">The values shown in </w:t>
      </w:r>
      <w:r>
        <w:fldChar w:fldCharType="begin"/>
      </w:r>
      <w:r>
        <w:instrText xml:space="preserve"> REF _Ref408382368 \h </w:instrText>
      </w:r>
      <w:r>
        <w:fldChar w:fldCharType="separate"/>
      </w:r>
      <w:r w:rsidR="00803DBE" w:rsidRPr="00D837FD">
        <w:t xml:space="preserve">Table </w:t>
      </w:r>
      <w:r w:rsidR="00803DBE">
        <w:rPr>
          <w:noProof/>
        </w:rPr>
        <w:t>6</w:t>
      </w:r>
      <w:r w:rsidR="00803DBE">
        <w:noBreakHyphen/>
      </w:r>
      <w:r w:rsidR="00803DBE">
        <w:rPr>
          <w:noProof/>
        </w:rPr>
        <w:t>8</w:t>
      </w:r>
      <w:r>
        <w:fldChar w:fldCharType="end"/>
      </w:r>
      <w:r>
        <w:t xml:space="preserve"> are actual commitments. Since the BRAs for the PJM delivery year’s corresponding to Act 129 program years 10, 11, and 12 have not yet occurred, the current DR commitments in PJM for those years is 0 MW for each EDC. </w:t>
      </w:r>
      <w:r w:rsidR="0055442F">
        <w:t xml:space="preserve">The PY8 and PY9 commitments can go up or down at incremental auctions prior to the delivery. </w:t>
      </w:r>
      <w:r>
        <w:t xml:space="preserve">However, historical </w:t>
      </w:r>
      <w:r w:rsidR="0055442F">
        <w:t>results indicate that commitments are reduced at incremental auctions</w:t>
      </w:r>
      <w:r>
        <w:t>.</w:t>
      </w:r>
      <w:r w:rsidR="008C53F5">
        <w:t xml:space="preserve"> The values shown in </w:t>
      </w:r>
      <w:r w:rsidR="008C53F5">
        <w:fldChar w:fldCharType="begin"/>
      </w:r>
      <w:r w:rsidR="008C53F5">
        <w:instrText xml:space="preserve"> REF _Ref408327919 \h </w:instrText>
      </w:r>
      <w:r w:rsidR="008C53F5">
        <w:fldChar w:fldCharType="separate"/>
      </w:r>
      <w:r w:rsidR="00803DBE" w:rsidRPr="00D837FD">
        <w:t xml:space="preserve">Table </w:t>
      </w:r>
      <w:r w:rsidR="00803DBE">
        <w:rPr>
          <w:noProof/>
        </w:rPr>
        <w:t>6</w:t>
      </w:r>
      <w:r w:rsidR="00803DBE">
        <w:noBreakHyphen/>
      </w:r>
      <w:r w:rsidR="00803DBE">
        <w:rPr>
          <w:noProof/>
        </w:rPr>
        <w:t>8</w:t>
      </w:r>
      <w:r w:rsidR="008C53F5">
        <w:fldChar w:fldCharType="end"/>
      </w:r>
      <w:r w:rsidR="008C53F5">
        <w:t xml:space="preserve"> were used in the SWE’s “wholesale changes” scenario which assumes that the PJM DR markets will no longer be in place beginning in the 2018/2019 delivery year.</w:t>
      </w:r>
    </w:p>
    <w:p w:rsidR="008C53F5" w:rsidRDefault="008C53F5" w:rsidP="00A83ABC"/>
    <w:p w:rsidR="00A479EA" w:rsidRDefault="008C53F5" w:rsidP="00A83ABC">
      <w:r>
        <w:t>The SWE also considered</w:t>
      </w:r>
      <w:r w:rsidR="00A479EA">
        <w:t xml:space="preserve"> </w:t>
      </w:r>
      <w:r>
        <w:t>a</w:t>
      </w:r>
      <w:r w:rsidR="00A479EA">
        <w:t xml:space="preserve"> “</w:t>
      </w:r>
      <w:r w:rsidR="00AF7E71">
        <w:t>business-</w:t>
      </w:r>
      <w:r w:rsidR="00A479EA">
        <w:t>as</w:t>
      </w:r>
      <w:r w:rsidR="00AF7E71">
        <w:t>-u</w:t>
      </w:r>
      <w:r w:rsidR="00A479EA">
        <w:t>sual” scenario</w:t>
      </w:r>
      <w:r>
        <w:t xml:space="preserve"> which assumes that the historic DR participation levels in PJM’s forward capacity market will continue for Phase III of Act 129. </w:t>
      </w:r>
      <w:r w:rsidR="00A479EA">
        <w:t xml:space="preserve">The SWE </w:t>
      </w:r>
      <w:r w:rsidR="00A61CA7">
        <w:t xml:space="preserve">Team </w:t>
      </w:r>
      <w:r w:rsidR="00A479EA">
        <w:t xml:space="preserve">averaged the </w:t>
      </w:r>
      <w:r>
        <w:t xml:space="preserve">DR </w:t>
      </w:r>
      <w:r w:rsidR="00A479EA">
        <w:t xml:space="preserve">commitments for the last </w:t>
      </w:r>
      <w:r>
        <w:t>three PJM delivery years (2012/2013, 2013/2014, and 2014/2015)</w:t>
      </w:r>
      <w:r w:rsidR="00A479EA">
        <w:t xml:space="preserve">, by EDC, to estimate the magnitude of these commitments in </w:t>
      </w:r>
      <w:r>
        <w:t>Phase III</w:t>
      </w:r>
      <w:r w:rsidR="00A479EA">
        <w:t xml:space="preserve">. The statewide result is presented in </w:t>
      </w:r>
      <w:r w:rsidR="00A479EA">
        <w:fldChar w:fldCharType="begin"/>
      </w:r>
      <w:r w:rsidR="00A479EA">
        <w:instrText xml:space="preserve"> REF _Ref408572748 \h </w:instrText>
      </w:r>
      <w:r w:rsidR="00A479EA">
        <w:fldChar w:fldCharType="separate"/>
      </w:r>
      <w:r w:rsidR="00803DBE">
        <w:t xml:space="preserve">Figure </w:t>
      </w:r>
      <w:r w:rsidR="00803DBE">
        <w:rPr>
          <w:noProof/>
        </w:rPr>
        <w:t>6</w:t>
      </w:r>
      <w:r w:rsidR="00803DBE">
        <w:noBreakHyphen/>
      </w:r>
      <w:r w:rsidR="00803DBE">
        <w:rPr>
          <w:noProof/>
        </w:rPr>
        <w:t>6</w:t>
      </w:r>
      <w:r w:rsidR="00A479EA">
        <w:fldChar w:fldCharType="end"/>
      </w:r>
      <w:r w:rsidR="00545599">
        <w:t>.</w:t>
      </w:r>
    </w:p>
    <w:p w:rsidR="00A479EA" w:rsidRDefault="00A479EA" w:rsidP="00A83ABC">
      <w:pPr>
        <w:pStyle w:val="Caption"/>
        <w:keepNext/>
      </w:pPr>
      <w:bookmarkStart w:id="287" w:name="_Ref408572748"/>
      <w:bookmarkStart w:id="288" w:name="_Toc412628522"/>
      <w:r>
        <w:lastRenderedPageBreak/>
        <w:t xml:space="preserve">Figure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850055">
        <w:noBreakHyphen/>
      </w:r>
      <w:r w:rsidR="00E2011B">
        <w:fldChar w:fldCharType="begin"/>
      </w:r>
      <w:r w:rsidR="00E2011B">
        <w:instrText xml:space="preserve"> SEQ Figure \* ARABIC \s 1 </w:instrText>
      </w:r>
      <w:r w:rsidR="00E2011B">
        <w:fldChar w:fldCharType="separate"/>
      </w:r>
      <w:r w:rsidR="00803DBE">
        <w:rPr>
          <w:noProof/>
        </w:rPr>
        <w:t>6</w:t>
      </w:r>
      <w:r w:rsidR="00E2011B">
        <w:rPr>
          <w:noProof/>
        </w:rPr>
        <w:fldChar w:fldCharType="end"/>
      </w:r>
      <w:bookmarkEnd w:id="287"/>
      <w:r>
        <w:t xml:space="preserve">: Statewide Historical and Projected DR Commitments in PJM </w:t>
      </w:r>
      <w:r w:rsidR="00AF7E71">
        <w:t>BRA</w:t>
      </w:r>
      <w:bookmarkEnd w:id="288"/>
    </w:p>
    <w:p w:rsidR="0055442F" w:rsidRDefault="00460ED6" w:rsidP="00545599">
      <w:pPr>
        <w:jc w:val="center"/>
      </w:pPr>
      <w:r>
        <w:rPr>
          <w:noProof/>
        </w:rPr>
        <w:drawing>
          <wp:inline distT="0" distB="0" distL="0" distR="0" wp14:anchorId="7DFA3EF4" wp14:editId="044E1CFE">
            <wp:extent cx="5257800" cy="2775431"/>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1500" cy="2777384"/>
                    </a:xfrm>
                    <a:prstGeom prst="rect">
                      <a:avLst/>
                    </a:prstGeom>
                    <a:noFill/>
                  </pic:spPr>
                </pic:pic>
              </a:graphicData>
            </a:graphic>
          </wp:inline>
        </w:drawing>
      </w:r>
    </w:p>
    <w:p w:rsidR="006A320B" w:rsidRDefault="0046382F" w:rsidP="00A83ABC">
      <w:r>
        <w:t xml:space="preserve">The SWE </w:t>
      </w:r>
      <w:r w:rsidR="00260F6F">
        <w:t>T</w:t>
      </w:r>
      <w:r>
        <w:t>eam believes a day-ahead notification program is the most logical option for an Act 129 load curtailment program. In addition to having the largest load reduction potential, it is most different from the PJM Emergency DR product, which is very much a Fast Response program. Offering a different DR product could appeal to customers with different DR pref</w:t>
      </w:r>
      <w:r w:rsidR="00A113EA">
        <w:t xml:space="preserve">erences and make the two programs more complimentary than competitive. </w:t>
      </w:r>
    </w:p>
    <w:p w:rsidR="00803DBE" w:rsidRDefault="008C53F5" w:rsidP="00A83ABC">
      <w:r>
        <w:fldChar w:fldCharType="begin"/>
      </w:r>
      <w:r>
        <w:instrText xml:space="preserve"> REF _Ref408574008 \h </w:instrText>
      </w:r>
      <w:r>
        <w:fldChar w:fldCharType="separate"/>
      </w:r>
      <w:r w:rsidR="00803DBE">
        <w:t>d Duquesne service territories. Instances where PJM commitments exceed the SWE Team’s estimate of day-ahead notification potential are presented in red.</w:t>
      </w:r>
    </w:p>
    <w:p w:rsidR="00803DBE" w:rsidRPr="00C91B17" w:rsidRDefault="00803DBE" w:rsidP="00A83ABC"/>
    <w:p w:rsidR="008C53F5" w:rsidRDefault="00803DBE" w:rsidP="00A83ABC">
      <w:r>
        <w:t xml:space="preserve">Table </w:t>
      </w:r>
      <w:r>
        <w:rPr>
          <w:noProof/>
        </w:rPr>
        <w:t>6</w:t>
      </w:r>
      <w:r>
        <w:noBreakHyphen/>
      </w:r>
      <w:r>
        <w:rPr>
          <w:noProof/>
        </w:rPr>
        <w:t>9</w:t>
      </w:r>
      <w:r w:rsidR="008C53F5">
        <w:fldChar w:fldCharType="end"/>
      </w:r>
      <w:r w:rsidR="008C53F5">
        <w:t xml:space="preserve"> shows the SWE Team’s estimates of the Act 129 DR p</w:t>
      </w:r>
      <w:r w:rsidR="006A320B">
        <w:t>otential and TRC ratios for a d</w:t>
      </w:r>
      <w:r w:rsidR="008C53F5">
        <w:t>ay</w:t>
      </w:r>
      <w:r w:rsidR="006A320B">
        <w:t>-a</w:t>
      </w:r>
      <w:r w:rsidR="008C53F5">
        <w:t xml:space="preserve">head notification program assuming the projected DR commitments shown in </w:t>
      </w:r>
      <w:r w:rsidR="008C53F5">
        <w:fldChar w:fldCharType="begin"/>
      </w:r>
      <w:r w:rsidR="008C53F5">
        <w:instrText xml:space="preserve"> REF _Ref408572748 \h </w:instrText>
      </w:r>
      <w:r w:rsidR="008C53F5">
        <w:fldChar w:fldCharType="separate"/>
      </w:r>
      <w:r>
        <w:t xml:space="preserve">Figure </w:t>
      </w:r>
      <w:r>
        <w:rPr>
          <w:noProof/>
        </w:rPr>
        <w:t>6</w:t>
      </w:r>
      <w:r>
        <w:noBreakHyphen/>
      </w:r>
      <w:r>
        <w:rPr>
          <w:noProof/>
        </w:rPr>
        <w:t>6</w:t>
      </w:r>
      <w:r w:rsidR="008C53F5">
        <w:fldChar w:fldCharType="end"/>
      </w:r>
      <w:r w:rsidR="00C91B17">
        <w:t xml:space="preserve"> and the associated TRC ratios</w:t>
      </w:r>
      <w:r w:rsidR="008C53F5">
        <w:t xml:space="preserve">. </w:t>
      </w:r>
      <w:r w:rsidR="00C91B17">
        <w:t>T</w:t>
      </w:r>
      <w:r w:rsidR="008C53F5">
        <w:t>his “b</w:t>
      </w:r>
      <w:r w:rsidR="0017350E">
        <w:t xml:space="preserve">usiness as </w:t>
      </w:r>
      <w:r w:rsidR="008C53F5">
        <w:t xml:space="preserve">usual” scenario shows that </w:t>
      </w:r>
      <w:r w:rsidR="00C91B17">
        <w:t xml:space="preserve">there is </w:t>
      </w:r>
      <w:r w:rsidR="008C53F5">
        <w:t xml:space="preserve">C&amp;I load curtailment potential beyond the PJM programs </w:t>
      </w:r>
      <w:r w:rsidR="00C91B17">
        <w:t>for all EDCs other than Penelec, but is most concentrated in</w:t>
      </w:r>
      <w:r w:rsidR="008C53F5">
        <w:t xml:space="preserve"> PECO an</w:t>
      </w:r>
      <w:bookmarkStart w:id="289" w:name="_Ref408574008"/>
      <w:r w:rsidR="00C91B17">
        <w:t>d Duquesne service territories. Instances where PJM commitments exce</w:t>
      </w:r>
      <w:r w:rsidR="006A320B">
        <w:t>ed the SWE Team’s estimate of day-ahead</w:t>
      </w:r>
      <w:r w:rsidR="00C91B17">
        <w:t xml:space="preserve"> notification potential are presented in red.</w:t>
      </w:r>
    </w:p>
    <w:p w:rsidR="00C91B17" w:rsidRPr="00C91B17" w:rsidRDefault="00C91B17" w:rsidP="00A83ABC"/>
    <w:p w:rsidR="008C53F5" w:rsidRDefault="008C53F5" w:rsidP="00A83ABC">
      <w:pPr>
        <w:pStyle w:val="Caption"/>
      </w:pPr>
      <w:bookmarkStart w:id="290" w:name="_Ref412474637"/>
      <w:bookmarkStart w:id="291" w:name="_Toc412628492"/>
      <w:r>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w:instrText>
      </w:r>
      <w:r w:rsidR="00E2011B">
        <w:instrText xml:space="preserve"> \* ARABIC \s 1 </w:instrText>
      </w:r>
      <w:r w:rsidR="00E2011B">
        <w:fldChar w:fldCharType="separate"/>
      </w:r>
      <w:r w:rsidR="00803DBE">
        <w:rPr>
          <w:noProof/>
        </w:rPr>
        <w:t>9</w:t>
      </w:r>
      <w:r w:rsidR="00E2011B">
        <w:rPr>
          <w:noProof/>
        </w:rPr>
        <w:fldChar w:fldCharType="end"/>
      </w:r>
      <w:bookmarkEnd w:id="289"/>
      <w:bookmarkEnd w:id="290"/>
      <w:r>
        <w:t>: Day-Ahead</w:t>
      </w:r>
      <w:r w:rsidRPr="00D837FD">
        <w:t xml:space="preserve"> MW Potential Net of </w:t>
      </w:r>
      <w:r>
        <w:t xml:space="preserve">Projected </w:t>
      </w:r>
      <w:r w:rsidRPr="00D837FD">
        <w:t>PJM Commitments</w:t>
      </w:r>
      <w:bookmarkEnd w:id="291"/>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966"/>
        <w:gridCol w:w="1251"/>
        <w:gridCol w:w="1251"/>
        <w:gridCol w:w="1252"/>
        <w:gridCol w:w="1252"/>
        <w:gridCol w:w="1252"/>
        <w:gridCol w:w="1244"/>
      </w:tblGrid>
      <w:tr w:rsidR="008C53F5" w:rsidRPr="00F478DF" w:rsidTr="00173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448A99"/>
            <w:vAlign w:val="center"/>
          </w:tcPr>
          <w:p w:rsidR="008C53F5" w:rsidRPr="00F478DF" w:rsidRDefault="008C53F5" w:rsidP="00A83ABC">
            <w:pPr>
              <w:jc w:val="center"/>
              <w:rPr>
                <w:sz w:val="20"/>
                <w:szCs w:val="20"/>
              </w:rPr>
            </w:pPr>
            <w:r w:rsidRPr="00F478DF">
              <w:rPr>
                <w:sz w:val="20"/>
                <w:szCs w:val="20"/>
              </w:rPr>
              <w:t>EDC</w:t>
            </w:r>
          </w:p>
        </w:tc>
        <w:tc>
          <w:tcPr>
            <w:tcW w:w="1251" w:type="dxa"/>
            <w:tcBorders>
              <w:top w:val="none" w:sz="0" w:space="0" w:color="auto"/>
              <w:left w:val="none" w:sz="0" w:space="0" w:color="auto"/>
              <w:bottom w:val="none" w:sz="0" w:space="0" w:color="auto"/>
              <w:right w:val="none" w:sz="0" w:space="0" w:color="auto"/>
            </w:tcBorders>
            <w:shd w:val="clear" w:color="auto" w:fill="448A99"/>
            <w:vAlign w:val="center"/>
          </w:tcPr>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2016</w:t>
            </w:r>
          </w:p>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(PY8)</w:t>
            </w:r>
          </w:p>
        </w:tc>
        <w:tc>
          <w:tcPr>
            <w:tcW w:w="1251" w:type="dxa"/>
            <w:tcBorders>
              <w:top w:val="none" w:sz="0" w:space="0" w:color="auto"/>
              <w:left w:val="none" w:sz="0" w:space="0" w:color="auto"/>
              <w:bottom w:val="none" w:sz="0" w:space="0" w:color="auto"/>
              <w:right w:val="none" w:sz="0" w:space="0" w:color="auto"/>
            </w:tcBorders>
            <w:shd w:val="clear" w:color="auto" w:fill="448A99"/>
            <w:vAlign w:val="center"/>
          </w:tcPr>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2017</w:t>
            </w:r>
          </w:p>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(PY9)</w:t>
            </w:r>
          </w:p>
        </w:tc>
        <w:tc>
          <w:tcPr>
            <w:tcW w:w="1252" w:type="dxa"/>
            <w:tcBorders>
              <w:top w:val="none" w:sz="0" w:space="0" w:color="auto"/>
              <w:left w:val="none" w:sz="0" w:space="0" w:color="auto"/>
              <w:bottom w:val="none" w:sz="0" w:space="0" w:color="auto"/>
              <w:right w:val="none" w:sz="0" w:space="0" w:color="auto"/>
            </w:tcBorders>
            <w:shd w:val="clear" w:color="auto" w:fill="448A99"/>
            <w:vAlign w:val="center"/>
          </w:tcPr>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2018</w:t>
            </w:r>
          </w:p>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(PY10)</w:t>
            </w:r>
          </w:p>
        </w:tc>
        <w:tc>
          <w:tcPr>
            <w:tcW w:w="1252" w:type="dxa"/>
            <w:tcBorders>
              <w:top w:val="none" w:sz="0" w:space="0" w:color="auto"/>
              <w:left w:val="none" w:sz="0" w:space="0" w:color="auto"/>
              <w:bottom w:val="none" w:sz="0" w:space="0" w:color="auto"/>
              <w:right w:val="none" w:sz="0" w:space="0" w:color="auto"/>
            </w:tcBorders>
            <w:shd w:val="clear" w:color="auto" w:fill="448A99"/>
            <w:vAlign w:val="center"/>
          </w:tcPr>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2019</w:t>
            </w:r>
          </w:p>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(PY11)</w:t>
            </w:r>
          </w:p>
        </w:tc>
        <w:tc>
          <w:tcPr>
            <w:tcW w:w="1252" w:type="dxa"/>
            <w:tcBorders>
              <w:top w:val="none" w:sz="0" w:space="0" w:color="auto"/>
              <w:left w:val="none" w:sz="0" w:space="0" w:color="auto"/>
              <w:bottom w:val="none" w:sz="0" w:space="0" w:color="auto"/>
              <w:right w:val="none" w:sz="0" w:space="0" w:color="auto"/>
            </w:tcBorders>
            <w:shd w:val="clear" w:color="auto" w:fill="448A99"/>
            <w:vAlign w:val="center"/>
          </w:tcPr>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2020</w:t>
            </w:r>
          </w:p>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8DF">
              <w:rPr>
                <w:sz w:val="20"/>
                <w:szCs w:val="20"/>
              </w:rPr>
              <w:t>(PY12)</w:t>
            </w:r>
          </w:p>
        </w:tc>
        <w:tc>
          <w:tcPr>
            <w:tcW w:w="1244" w:type="dxa"/>
            <w:tcBorders>
              <w:top w:val="none" w:sz="0" w:space="0" w:color="auto"/>
              <w:left w:val="none" w:sz="0" w:space="0" w:color="auto"/>
              <w:bottom w:val="none" w:sz="0" w:space="0" w:color="auto"/>
              <w:right w:val="none" w:sz="0" w:space="0" w:color="auto"/>
            </w:tcBorders>
            <w:shd w:val="clear" w:color="auto" w:fill="448A99"/>
            <w:vAlign w:val="center"/>
          </w:tcPr>
          <w:p w:rsidR="008C53F5"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TRC</w:t>
            </w:r>
          </w:p>
          <w:p w:rsidR="008C53F5" w:rsidRPr="00F478DF" w:rsidRDefault="008C53F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Ratio</w:t>
            </w:r>
          </w:p>
        </w:tc>
      </w:tr>
      <w:tr w:rsidR="00C91B17" w:rsidRPr="00F478DF"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b w:val="0"/>
                <w:color w:val="000000"/>
                <w:sz w:val="20"/>
                <w:szCs w:val="20"/>
              </w:rPr>
            </w:pPr>
            <w:r w:rsidRPr="0017350E">
              <w:rPr>
                <w:b w:val="0"/>
                <w:color w:val="000000"/>
                <w:sz w:val="20"/>
                <w:szCs w:val="20"/>
              </w:rPr>
              <w:t>Duquesne</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319</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324</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323</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321</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318</w:t>
            </w:r>
          </w:p>
        </w:tc>
        <w:tc>
          <w:tcPr>
            <w:tcW w:w="1244" w:type="dxa"/>
            <w:tcBorders>
              <w:left w:val="none" w:sz="0" w:space="0" w:color="auto"/>
            </w:tcBorders>
            <w:vAlign w:val="center"/>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1.94</w:t>
            </w:r>
          </w:p>
        </w:tc>
      </w:tr>
      <w:tr w:rsidR="00C91B17" w:rsidRPr="00F478DF"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b w:val="0"/>
                <w:color w:val="000000"/>
                <w:sz w:val="20"/>
                <w:szCs w:val="20"/>
              </w:rPr>
            </w:pPr>
            <w:r w:rsidRPr="0017350E">
              <w:rPr>
                <w:b w:val="0"/>
                <w:color w:val="000000"/>
                <w:sz w:val="20"/>
                <w:szCs w:val="20"/>
              </w:rPr>
              <w:t>FE: Met-Ed</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50</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52</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51</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49</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48</w:t>
            </w:r>
          </w:p>
        </w:tc>
        <w:tc>
          <w:tcPr>
            <w:tcW w:w="1244" w:type="dxa"/>
            <w:tcBorders>
              <w:left w:val="none" w:sz="0" w:space="0" w:color="auto"/>
            </w:tcBorders>
            <w:vAlign w:val="center"/>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350E">
              <w:rPr>
                <w:sz w:val="20"/>
                <w:szCs w:val="20"/>
              </w:rPr>
              <w:t>1.90</w:t>
            </w:r>
          </w:p>
        </w:tc>
      </w:tr>
      <w:tr w:rsidR="00C91B17" w:rsidRPr="00F478DF"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b w:val="0"/>
                <w:color w:val="000000"/>
                <w:sz w:val="20"/>
                <w:szCs w:val="20"/>
              </w:rPr>
            </w:pPr>
            <w:r w:rsidRPr="0017350E">
              <w:rPr>
                <w:b w:val="0"/>
                <w:color w:val="000000"/>
                <w:sz w:val="20"/>
                <w:szCs w:val="20"/>
              </w:rPr>
              <w:t>FE: Penelec</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-33</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-31</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-36</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-41</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color w:val="FF0000"/>
                <w:sz w:val="20"/>
                <w:szCs w:val="20"/>
              </w:rPr>
              <w:t>-46</w:t>
            </w:r>
          </w:p>
        </w:tc>
        <w:tc>
          <w:tcPr>
            <w:tcW w:w="1244" w:type="dxa"/>
            <w:tcBorders>
              <w:left w:val="none" w:sz="0" w:space="0" w:color="auto"/>
            </w:tcBorders>
            <w:vAlign w:val="center"/>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350E">
              <w:rPr>
                <w:sz w:val="20"/>
                <w:szCs w:val="20"/>
              </w:rPr>
              <w:t>0.0</w:t>
            </w:r>
          </w:p>
        </w:tc>
      </w:tr>
      <w:tr w:rsidR="00C91B17" w:rsidRPr="00F478DF"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b w:val="0"/>
                <w:color w:val="000000"/>
                <w:sz w:val="20"/>
                <w:szCs w:val="20"/>
              </w:rPr>
            </w:pPr>
            <w:r w:rsidRPr="0017350E">
              <w:rPr>
                <w:b w:val="0"/>
                <w:color w:val="000000"/>
                <w:sz w:val="20"/>
                <w:szCs w:val="20"/>
              </w:rPr>
              <w:t>FE: Penn Power</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67</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68</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66</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64</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62</w:t>
            </w:r>
          </w:p>
        </w:tc>
        <w:tc>
          <w:tcPr>
            <w:tcW w:w="1244" w:type="dxa"/>
            <w:tcBorders>
              <w:left w:val="none" w:sz="0" w:space="0" w:color="auto"/>
            </w:tcBorders>
            <w:vAlign w:val="center"/>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1.93</w:t>
            </w:r>
          </w:p>
        </w:tc>
      </w:tr>
      <w:tr w:rsidR="00C91B17" w:rsidRPr="00F478DF"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b w:val="0"/>
                <w:color w:val="000000"/>
                <w:sz w:val="20"/>
                <w:szCs w:val="20"/>
              </w:rPr>
            </w:pPr>
            <w:r w:rsidRPr="0017350E">
              <w:rPr>
                <w:b w:val="0"/>
                <w:color w:val="000000"/>
                <w:sz w:val="20"/>
                <w:szCs w:val="20"/>
              </w:rPr>
              <w:t>FE: West Penn</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153</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157</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154</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155</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155</w:t>
            </w:r>
          </w:p>
        </w:tc>
        <w:tc>
          <w:tcPr>
            <w:tcW w:w="1244" w:type="dxa"/>
            <w:tcBorders>
              <w:left w:val="none" w:sz="0" w:space="0" w:color="auto"/>
            </w:tcBorders>
            <w:vAlign w:val="center"/>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1.94</w:t>
            </w:r>
          </w:p>
        </w:tc>
      </w:tr>
      <w:tr w:rsidR="00C91B17" w:rsidRPr="00F478DF"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b w:val="0"/>
                <w:color w:val="000000"/>
                <w:sz w:val="20"/>
                <w:szCs w:val="20"/>
              </w:rPr>
            </w:pPr>
            <w:r w:rsidRPr="0017350E">
              <w:rPr>
                <w:b w:val="0"/>
                <w:color w:val="000000"/>
                <w:sz w:val="20"/>
                <w:szCs w:val="20"/>
              </w:rPr>
              <w:t>PECO</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494</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499</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488</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474</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460</w:t>
            </w:r>
          </w:p>
        </w:tc>
        <w:tc>
          <w:tcPr>
            <w:tcW w:w="1244" w:type="dxa"/>
            <w:tcBorders>
              <w:left w:val="none" w:sz="0" w:space="0" w:color="auto"/>
            </w:tcBorders>
            <w:vAlign w:val="center"/>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17350E">
              <w:rPr>
                <w:color w:val="000000"/>
                <w:sz w:val="20"/>
                <w:szCs w:val="20"/>
              </w:rPr>
              <w:t>1.69</w:t>
            </w:r>
          </w:p>
        </w:tc>
      </w:tr>
      <w:tr w:rsidR="00C91B17" w:rsidRPr="00F478DF"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b w:val="0"/>
                <w:color w:val="000000"/>
                <w:sz w:val="20"/>
                <w:szCs w:val="20"/>
              </w:rPr>
            </w:pPr>
            <w:r w:rsidRPr="0017350E">
              <w:rPr>
                <w:b w:val="0"/>
                <w:color w:val="000000"/>
                <w:sz w:val="20"/>
                <w:szCs w:val="20"/>
              </w:rPr>
              <w:t>PPL</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93</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99</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94</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95</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7350E">
              <w:rPr>
                <w:color w:val="000000"/>
                <w:sz w:val="20"/>
                <w:szCs w:val="20"/>
              </w:rPr>
              <w:t>95</w:t>
            </w:r>
          </w:p>
        </w:tc>
        <w:tc>
          <w:tcPr>
            <w:tcW w:w="1244" w:type="dxa"/>
            <w:tcBorders>
              <w:left w:val="none" w:sz="0" w:space="0" w:color="auto"/>
            </w:tcBorders>
            <w:vAlign w:val="center"/>
          </w:tcPr>
          <w:p w:rsidR="00C91B17" w:rsidRPr="0017350E" w:rsidRDefault="00C91B17" w:rsidP="00A83ABC">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17350E">
              <w:rPr>
                <w:sz w:val="20"/>
                <w:szCs w:val="20"/>
              </w:rPr>
              <w:t>1.88</w:t>
            </w:r>
          </w:p>
        </w:tc>
      </w:tr>
      <w:tr w:rsidR="00C91B17" w:rsidRPr="00F478DF"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vAlign w:val="center"/>
            <w:hideMark/>
          </w:tcPr>
          <w:p w:rsidR="00C91B17" w:rsidRPr="0017350E" w:rsidRDefault="00C91B17" w:rsidP="00A83ABC">
            <w:pPr>
              <w:jc w:val="left"/>
              <w:rPr>
                <w:color w:val="000000"/>
                <w:sz w:val="20"/>
                <w:szCs w:val="20"/>
              </w:rPr>
            </w:pPr>
            <w:r w:rsidRPr="0017350E">
              <w:rPr>
                <w:color w:val="000000"/>
                <w:sz w:val="20"/>
                <w:szCs w:val="20"/>
              </w:rPr>
              <w:t>Statewide</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1,142</w:t>
            </w:r>
          </w:p>
        </w:tc>
        <w:tc>
          <w:tcPr>
            <w:tcW w:w="1251"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1,168</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1,139</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1,117</w:t>
            </w:r>
          </w:p>
        </w:tc>
        <w:tc>
          <w:tcPr>
            <w:tcW w:w="1252" w:type="dxa"/>
            <w:tcBorders>
              <w:left w:val="none" w:sz="0" w:space="0" w:color="auto"/>
              <w:right w:val="none" w:sz="0" w:space="0" w:color="auto"/>
            </w:tcBorders>
            <w:vAlign w:val="center"/>
            <w:hideMark/>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17350E">
              <w:rPr>
                <w:b/>
                <w:bCs/>
                <w:color w:val="000000"/>
                <w:sz w:val="20"/>
                <w:szCs w:val="20"/>
              </w:rPr>
              <w:t>1,091</w:t>
            </w:r>
          </w:p>
        </w:tc>
        <w:tc>
          <w:tcPr>
            <w:tcW w:w="1244" w:type="dxa"/>
            <w:tcBorders>
              <w:left w:val="none" w:sz="0" w:space="0" w:color="auto"/>
            </w:tcBorders>
            <w:vAlign w:val="center"/>
          </w:tcPr>
          <w:p w:rsidR="00C91B17" w:rsidRPr="0017350E" w:rsidRDefault="00C91B17" w:rsidP="00A83ABC">
            <w:pPr>
              <w:jc w:val="center"/>
              <w:cnfStyle w:val="000000010000" w:firstRow="0" w:lastRow="0" w:firstColumn="0" w:lastColumn="0" w:oddVBand="0" w:evenVBand="0" w:oddHBand="0" w:evenHBand="1" w:firstRowFirstColumn="0" w:firstRowLastColumn="0" w:lastRowFirstColumn="0" w:lastRowLastColumn="0"/>
              <w:rPr>
                <w:b/>
                <w:bCs/>
                <w:color w:val="FF0000"/>
                <w:sz w:val="20"/>
                <w:szCs w:val="20"/>
              </w:rPr>
            </w:pPr>
            <w:r w:rsidRPr="0017350E">
              <w:rPr>
                <w:b/>
                <w:bCs/>
                <w:sz w:val="20"/>
                <w:szCs w:val="20"/>
              </w:rPr>
              <w:t>1.78</w:t>
            </w:r>
          </w:p>
        </w:tc>
      </w:tr>
    </w:tbl>
    <w:p w:rsidR="008C53F5" w:rsidRDefault="008C53F5" w:rsidP="00A83ABC"/>
    <w:p w:rsidR="006B5201" w:rsidRDefault="00A113EA" w:rsidP="00A83ABC">
      <w:r>
        <w:fldChar w:fldCharType="begin"/>
      </w:r>
      <w:r>
        <w:instrText xml:space="preserve"> REF _Ref406764109 \h </w:instrText>
      </w:r>
      <w:r w:rsidR="00CF2BE5">
        <w:instrText xml:space="preserve"> \* MERGEFORMAT </w:instrText>
      </w:r>
      <w:r>
        <w:fldChar w:fldCharType="separate"/>
      </w:r>
      <w:r w:rsidR="00803DBE" w:rsidRPr="00D837FD">
        <w:t xml:space="preserve">Table </w:t>
      </w:r>
      <w:r w:rsidR="00803DBE">
        <w:rPr>
          <w:noProof/>
        </w:rPr>
        <w:t>6</w:t>
      </w:r>
      <w:r w:rsidR="00803DBE">
        <w:rPr>
          <w:noProof/>
        </w:rPr>
        <w:noBreakHyphen/>
        <w:t>10</w:t>
      </w:r>
      <w:r>
        <w:fldChar w:fldCharType="end"/>
      </w:r>
      <w:r>
        <w:t xml:space="preserve"> shows the SWE </w:t>
      </w:r>
      <w:r w:rsidR="00260F6F">
        <w:t>T</w:t>
      </w:r>
      <w:r>
        <w:t xml:space="preserve">eam’s estimate of DR potential, by year, </w:t>
      </w:r>
      <w:r w:rsidR="00C91B17">
        <w:t>for the “wholesale changes” scenario</w:t>
      </w:r>
      <w:r>
        <w:t>.</w:t>
      </w:r>
      <w:r w:rsidR="0019263E">
        <w:t xml:space="preserve"> </w:t>
      </w:r>
      <w:r w:rsidR="00C91B17">
        <w:t xml:space="preserve">This analysis relies on the PJM commitment values shown in </w:t>
      </w:r>
      <w:r w:rsidR="00C91B17">
        <w:fldChar w:fldCharType="begin"/>
      </w:r>
      <w:r w:rsidR="00C91B17">
        <w:instrText xml:space="preserve"> REF _Ref408327919 \h </w:instrText>
      </w:r>
      <w:r w:rsidR="00C91B17">
        <w:fldChar w:fldCharType="separate"/>
      </w:r>
      <w:r w:rsidR="00803DBE" w:rsidRPr="00D837FD">
        <w:t xml:space="preserve">Table </w:t>
      </w:r>
      <w:r w:rsidR="00803DBE">
        <w:rPr>
          <w:noProof/>
        </w:rPr>
        <w:t>6</w:t>
      </w:r>
      <w:r w:rsidR="00803DBE">
        <w:noBreakHyphen/>
      </w:r>
      <w:r w:rsidR="00803DBE">
        <w:rPr>
          <w:noProof/>
        </w:rPr>
        <w:t>8</w:t>
      </w:r>
      <w:r w:rsidR="00C91B17">
        <w:fldChar w:fldCharType="end"/>
      </w:r>
      <w:r w:rsidR="00C91B17">
        <w:t xml:space="preserve">. Potential estimates for PY8 and PY9 are lower in </w:t>
      </w:r>
      <w:r w:rsidR="00C91B17">
        <w:fldChar w:fldCharType="begin"/>
      </w:r>
      <w:r w:rsidR="00C91B17">
        <w:instrText xml:space="preserve"> REF _Ref406764109 \h </w:instrText>
      </w:r>
      <w:r w:rsidR="00C91B17">
        <w:fldChar w:fldCharType="separate"/>
      </w:r>
      <w:r w:rsidR="00803DBE" w:rsidRPr="00D837FD">
        <w:t xml:space="preserve">Table </w:t>
      </w:r>
      <w:r w:rsidR="00803DBE">
        <w:rPr>
          <w:noProof/>
        </w:rPr>
        <w:t>6</w:t>
      </w:r>
      <w:r w:rsidR="00803DBE">
        <w:noBreakHyphen/>
      </w:r>
      <w:r w:rsidR="00803DBE">
        <w:rPr>
          <w:noProof/>
        </w:rPr>
        <w:t>10</w:t>
      </w:r>
      <w:r w:rsidR="00C91B17">
        <w:fldChar w:fldCharType="end"/>
      </w:r>
      <w:r w:rsidR="00C91B17">
        <w:t xml:space="preserve"> because</w:t>
      </w:r>
      <w:r w:rsidR="00F86BD6">
        <w:t xml:space="preserve"> the reduction in DR commitments which has historically </w:t>
      </w:r>
      <w:r w:rsidR="00F86BD6">
        <w:lastRenderedPageBreak/>
        <w:t xml:space="preserve">happened at incremental auctions is not reflected. </w:t>
      </w:r>
      <w:r w:rsidR="00C91B17">
        <w:t xml:space="preserve">Estimated </w:t>
      </w:r>
      <w:r w:rsidR="007A4373">
        <w:t>TRC ratios for the five-year phase are also presented.</w:t>
      </w:r>
    </w:p>
    <w:p w:rsidR="007D6409" w:rsidRDefault="007D6409" w:rsidP="00A83ABC"/>
    <w:p w:rsidR="00A113EA" w:rsidRPr="00D837FD" w:rsidRDefault="00A113EA" w:rsidP="00A83ABC">
      <w:pPr>
        <w:pStyle w:val="Caption"/>
        <w:keepNext/>
      </w:pPr>
      <w:bookmarkStart w:id="292" w:name="_Ref406764109"/>
      <w:bookmarkStart w:id="293" w:name="_Ref406937112"/>
      <w:bookmarkStart w:id="294" w:name="_Toc412628493"/>
      <w:r w:rsidRPr="00D837FD">
        <w:t xml:space="preserve">Table </w:t>
      </w:r>
      <w:r w:rsidR="00E2011B">
        <w:fldChar w:fldCharType="begin"/>
      </w:r>
      <w:r w:rsidR="00E2011B">
        <w:instrText xml:space="preserve"> STYLEREF 1 \s </w:instrText>
      </w:r>
      <w:r w:rsidR="00E2011B">
        <w:fldChar w:fldCharType="separate"/>
      </w:r>
      <w:r w:rsidR="00803DBE">
        <w:rPr>
          <w:noProof/>
        </w:rPr>
        <w:t>6</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10</w:t>
      </w:r>
      <w:r w:rsidR="00E2011B">
        <w:rPr>
          <w:noProof/>
        </w:rPr>
        <w:fldChar w:fldCharType="end"/>
      </w:r>
      <w:bookmarkEnd w:id="292"/>
      <w:r w:rsidRPr="00D837FD">
        <w:t xml:space="preserve">: </w:t>
      </w:r>
      <w:r w:rsidR="00123C18">
        <w:t>Day-Ahead</w:t>
      </w:r>
      <w:r w:rsidRPr="00D837FD">
        <w:t xml:space="preserve"> MW Potential Net of </w:t>
      </w:r>
      <w:r w:rsidR="00A479EA">
        <w:t xml:space="preserve">Current </w:t>
      </w:r>
      <w:r w:rsidRPr="00D837FD">
        <w:t>PJM Commitments</w:t>
      </w:r>
      <w:bookmarkEnd w:id="293"/>
      <w:bookmarkEnd w:id="294"/>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966"/>
        <w:gridCol w:w="1251"/>
        <w:gridCol w:w="1251"/>
        <w:gridCol w:w="1252"/>
        <w:gridCol w:w="1252"/>
        <w:gridCol w:w="1252"/>
        <w:gridCol w:w="1244"/>
      </w:tblGrid>
      <w:tr w:rsidR="007A4373" w:rsidRPr="00530996" w:rsidTr="002C6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shd w:val="clear" w:color="auto" w:fill="448A99"/>
            <w:vAlign w:val="bottom"/>
          </w:tcPr>
          <w:p w:rsidR="007A4373" w:rsidRPr="00530996" w:rsidRDefault="007A4373" w:rsidP="00A83ABC">
            <w:pPr>
              <w:jc w:val="left"/>
              <w:rPr>
                <w:sz w:val="20"/>
                <w:szCs w:val="20"/>
              </w:rPr>
            </w:pPr>
            <w:r w:rsidRPr="00530996">
              <w:rPr>
                <w:sz w:val="20"/>
                <w:szCs w:val="20"/>
              </w:rPr>
              <w:t>EDC</w:t>
            </w:r>
          </w:p>
        </w:tc>
        <w:tc>
          <w:tcPr>
            <w:tcW w:w="1251" w:type="dxa"/>
            <w:tcBorders>
              <w:top w:val="none" w:sz="0" w:space="0" w:color="auto"/>
              <w:left w:val="none" w:sz="0" w:space="0" w:color="auto"/>
              <w:bottom w:val="none" w:sz="0" w:space="0" w:color="auto"/>
              <w:right w:val="none" w:sz="0" w:space="0" w:color="auto"/>
            </w:tcBorders>
            <w:shd w:val="clear" w:color="auto" w:fill="448A99"/>
            <w:vAlign w:val="bottom"/>
          </w:tcPr>
          <w:p w:rsidR="007A4373"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2016</w:t>
            </w:r>
          </w:p>
          <w:p w:rsidR="007A4373" w:rsidRPr="00530996"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(PY8)</w:t>
            </w:r>
          </w:p>
        </w:tc>
        <w:tc>
          <w:tcPr>
            <w:tcW w:w="1251" w:type="dxa"/>
            <w:tcBorders>
              <w:top w:val="none" w:sz="0" w:space="0" w:color="auto"/>
              <w:left w:val="none" w:sz="0" w:space="0" w:color="auto"/>
              <w:bottom w:val="none" w:sz="0" w:space="0" w:color="auto"/>
              <w:right w:val="none" w:sz="0" w:space="0" w:color="auto"/>
            </w:tcBorders>
            <w:shd w:val="clear" w:color="auto" w:fill="448A99"/>
            <w:vAlign w:val="bottom"/>
          </w:tcPr>
          <w:p w:rsidR="007A4373"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2017</w:t>
            </w:r>
          </w:p>
          <w:p w:rsidR="007A4373" w:rsidRPr="00530996"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(PY9)</w:t>
            </w:r>
          </w:p>
        </w:tc>
        <w:tc>
          <w:tcPr>
            <w:tcW w:w="1252" w:type="dxa"/>
            <w:tcBorders>
              <w:top w:val="none" w:sz="0" w:space="0" w:color="auto"/>
              <w:left w:val="none" w:sz="0" w:space="0" w:color="auto"/>
              <w:bottom w:val="none" w:sz="0" w:space="0" w:color="auto"/>
              <w:right w:val="none" w:sz="0" w:space="0" w:color="auto"/>
            </w:tcBorders>
            <w:shd w:val="clear" w:color="auto" w:fill="448A99"/>
            <w:vAlign w:val="bottom"/>
          </w:tcPr>
          <w:p w:rsidR="007A4373"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2018</w:t>
            </w:r>
          </w:p>
          <w:p w:rsidR="007A4373" w:rsidRPr="00530996"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(PY10)</w:t>
            </w:r>
          </w:p>
        </w:tc>
        <w:tc>
          <w:tcPr>
            <w:tcW w:w="1252" w:type="dxa"/>
            <w:tcBorders>
              <w:top w:val="none" w:sz="0" w:space="0" w:color="auto"/>
              <w:left w:val="none" w:sz="0" w:space="0" w:color="auto"/>
              <w:bottom w:val="none" w:sz="0" w:space="0" w:color="auto"/>
              <w:right w:val="none" w:sz="0" w:space="0" w:color="auto"/>
            </w:tcBorders>
            <w:shd w:val="clear" w:color="auto" w:fill="448A99"/>
            <w:vAlign w:val="bottom"/>
          </w:tcPr>
          <w:p w:rsidR="007A4373"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2019</w:t>
            </w:r>
          </w:p>
          <w:p w:rsidR="007A4373" w:rsidRPr="00530996"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(PY11)</w:t>
            </w:r>
          </w:p>
        </w:tc>
        <w:tc>
          <w:tcPr>
            <w:tcW w:w="1252" w:type="dxa"/>
            <w:tcBorders>
              <w:top w:val="none" w:sz="0" w:space="0" w:color="auto"/>
              <w:left w:val="none" w:sz="0" w:space="0" w:color="auto"/>
              <w:bottom w:val="none" w:sz="0" w:space="0" w:color="auto"/>
              <w:right w:val="none" w:sz="0" w:space="0" w:color="auto"/>
            </w:tcBorders>
            <w:shd w:val="clear" w:color="auto" w:fill="448A99"/>
            <w:vAlign w:val="bottom"/>
          </w:tcPr>
          <w:p w:rsidR="007A4373"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2020</w:t>
            </w:r>
          </w:p>
          <w:p w:rsidR="007A4373" w:rsidRPr="00530996"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530996">
              <w:rPr>
                <w:sz w:val="20"/>
                <w:szCs w:val="20"/>
              </w:rPr>
              <w:t>(PY12)</w:t>
            </w:r>
          </w:p>
        </w:tc>
        <w:tc>
          <w:tcPr>
            <w:tcW w:w="1244" w:type="dxa"/>
            <w:tcBorders>
              <w:top w:val="none" w:sz="0" w:space="0" w:color="auto"/>
              <w:left w:val="none" w:sz="0" w:space="0" w:color="auto"/>
              <w:bottom w:val="none" w:sz="0" w:space="0" w:color="auto"/>
              <w:right w:val="none" w:sz="0" w:space="0" w:color="auto"/>
            </w:tcBorders>
            <w:shd w:val="clear" w:color="auto" w:fill="448A99"/>
            <w:vAlign w:val="bottom"/>
          </w:tcPr>
          <w:p w:rsidR="007A4373"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TRC</w:t>
            </w:r>
          </w:p>
          <w:p w:rsidR="007A4373" w:rsidRPr="00530996" w:rsidRDefault="007A4373"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Ratio</w:t>
            </w:r>
          </w:p>
        </w:tc>
      </w:tr>
      <w:tr w:rsidR="007A4373" w:rsidRPr="00530996"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 w:val="0"/>
                <w:color w:val="000000"/>
                <w:sz w:val="20"/>
                <w:szCs w:val="20"/>
              </w:rPr>
            </w:pPr>
            <w:r w:rsidRPr="00530996">
              <w:rPr>
                <w:rFonts w:ascii="Calibri" w:eastAsia="Times New Roman" w:hAnsi="Calibri" w:cs="Times New Roman"/>
                <w:b w:val="0"/>
                <w:color w:val="000000"/>
                <w:sz w:val="20"/>
                <w:szCs w:val="20"/>
              </w:rPr>
              <w:t>Duquesne</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281</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268</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427</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426</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423</w:t>
            </w:r>
          </w:p>
        </w:tc>
        <w:tc>
          <w:tcPr>
            <w:tcW w:w="1244" w:type="dxa"/>
            <w:tcBorders>
              <w:left w:val="none" w:sz="0" w:space="0" w:color="auto"/>
            </w:tcBorders>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1.94</w:t>
            </w:r>
          </w:p>
        </w:tc>
      </w:tr>
      <w:tr w:rsidR="007A4373" w:rsidRPr="00530996"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 w:val="0"/>
                <w:color w:val="000000"/>
                <w:sz w:val="20"/>
                <w:szCs w:val="20"/>
              </w:rPr>
            </w:pPr>
            <w:r w:rsidRPr="00530996">
              <w:rPr>
                <w:rFonts w:ascii="Calibri" w:eastAsia="Times New Roman" w:hAnsi="Calibri" w:cs="Times New Roman"/>
                <w:b w:val="0"/>
                <w:color w:val="000000"/>
                <w:sz w:val="20"/>
                <w:szCs w:val="20"/>
              </w:rPr>
              <w:t>FE: Met-Ed</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sz w:val="20"/>
                <w:szCs w:val="20"/>
              </w:rPr>
            </w:pPr>
            <w:r>
              <w:rPr>
                <w:rFonts w:ascii="Calibri" w:eastAsia="Times New Roman" w:hAnsi="Calibri" w:cs="Times New Roman"/>
                <w:color w:val="FF0000"/>
                <w:sz w:val="20"/>
                <w:szCs w:val="20"/>
              </w:rPr>
              <w:t>-48</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FF0000"/>
                <w:sz w:val="20"/>
                <w:szCs w:val="20"/>
              </w:rPr>
              <w:t>-32</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266</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264</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263</w:t>
            </w:r>
          </w:p>
        </w:tc>
        <w:tc>
          <w:tcPr>
            <w:tcW w:w="1244" w:type="dxa"/>
            <w:tcBorders>
              <w:left w:val="none" w:sz="0" w:space="0" w:color="auto"/>
            </w:tcBorders>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1.90</w:t>
            </w:r>
          </w:p>
        </w:tc>
      </w:tr>
      <w:tr w:rsidR="007A4373" w:rsidRPr="00530996"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 w:val="0"/>
                <w:color w:val="000000"/>
                <w:sz w:val="20"/>
                <w:szCs w:val="20"/>
              </w:rPr>
            </w:pPr>
            <w:r w:rsidRPr="00530996">
              <w:rPr>
                <w:rFonts w:ascii="Calibri" w:eastAsia="Times New Roman" w:hAnsi="Calibri" w:cs="Times New Roman"/>
                <w:b w:val="0"/>
                <w:color w:val="000000"/>
                <w:sz w:val="20"/>
                <w:szCs w:val="20"/>
              </w:rPr>
              <w:t>FE: Penelec</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szCs w:val="20"/>
              </w:rPr>
            </w:pPr>
            <w:r>
              <w:rPr>
                <w:rFonts w:ascii="Calibri" w:eastAsia="Times New Roman" w:hAnsi="Calibri" w:cs="Times New Roman"/>
                <w:color w:val="FF0000"/>
                <w:sz w:val="20"/>
                <w:szCs w:val="20"/>
              </w:rPr>
              <w:t>-166</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FF0000"/>
                <w:sz w:val="20"/>
                <w:szCs w:val="20"/>
              </w:rPr>
              <w:t>-90</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262</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257</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252</w:t>
            </w:r>
          </w:p>
        </w:tc>
        <w:tc>
          <w:tcPr>
            <w:tcW w:w="1244" w:type="dxa"/>
            <w:tcBorders>
              <w:left w:val="none" w:sz="0" w:space="0" w:color="auto"/>
            </w:tcBorders>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1.92</w:t>
            </w:r>
          </w:p>
        </w:tc>
      </w:tr>
      <w:tr w:rsidR="007A4373" w:rsidRPr="00530996"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 w:val="0"/>
                <w:color w:val="000000"/>
                <w:sz w:val="20"/>
                <w:szCs w:val="20"/>
              </w:rPr>
            </w:pPr>
            <w:r w:rsidRPr="00530996">
              <w:rPr>
                <w:rFonts w:ascii="Calibri" w:eastAsia="Times New Roman" w:hAnsi="Calibri" w:cs="Times New Roman"/>
                <w:b w:val="0"/>
                <w:color w:val="000000"/>
                <w:sz w:val="20"/>
                <w:szCs w:val="20"/>
              </w:rPr>
              <w:t>FE: Penn Power</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FF0000"/>
                <w:sz w:val="20"/>
                <w:szCs w:val="20"/>
              </w:rPr>
              <w:t>-3</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53</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123</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121</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119</w:t>
            </w:r>
          </w:p>
        </w:tc>
        <w:tc>
          <w:tcPr>
            <w:tcW w:w="1244" w:type="dxa"/>
            <w:tcBorders>
              <w:left w:val="none" w:sz="0" w:space="0" w:color="auto"/>
            </w:tcBorders>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1.93</w:t>
            </w:r>
          </w:p>
        </w:tc>
      </w:tr>
      <w:tr w:rsidR="007A4373" w:rsidRPr="00530996"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 w:val="0"/>
                <w:color w:val="000000"/>
                <w:sz w:val="20"/>
                <w:szCs w:val="20"/>
              </w:rPr>
            </w:pPr>
            <w:r w:rsidRPr="00530996">
              <w:rPr>
                <w:rFonts w:ascii="Calibri" w:eastAsia="Times New Roman" w:hAnsi="Calibri" w:cs="Times New Roman"/>
                <w:b w:val="0"/>
                <w:color w:val="000000"/>
                <w:sz w:val="20"/>
                <w:szCs w:val="20"/>
              </w:rPr>
              <w:t>FE: W</w:t>
            </w:r>
            <w:r>
              <w:rPr>
                <w:rFonts w:ascii="Calibri" w:eastAsia="Times New Roman" w:hAnsi="Calibri" w:cs="Times New Roman"/>
                <w:b w:val="0"/>
                <w:color w:val="000000"/>
                <w:sz w:val="20"/>
                <w:szCs w:val="20"/>
              </w:rPr>
              <w:t>est Penn</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120</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FF0000"/>
                <w:sz w:val="20"/>
                <w:szCs w:val="20"/>
              </w:rPr>
              <w:t>-10</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498</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499</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499</w:t>
            </w:r>
          </w:p>
        </w:tc>
        <w:tc>
          <w:tcPr>
            <w:tcW w:w="1244" w:type="dxa"/>
            <w:tcBorders>
              <w:left w:val="none" w:sz="0" w:space="0" w:color="auto"/>
            </w:tcBorders>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1.94</w:t>
            </w:r>
          </w:p>
        </w:tc>
      </w:tr>
      <w:tr w:rsidR="007A4373" w:rsidRPr="00530996"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 w:val="0"/>
                <w:color w:val="000000"/>
                <w:sz w:val="20"/>
                <w:szCs w:val="20"/>
              </w:rPr>
            </w:pPr>
            <w:r w:rsidRPr="00530996">
              <w:rPr>
                <w:rFonts w:ascii="Calibri" w:eastAsia="Times New Roman" w:hAnsi="Calibri" w:cs="Times New Roman"/>
                <w:b w:val="0"/>
                <w:color w:val="000000"/>
                <w:sz w:val="20"/>
                <w:szCs w:val="20"/>
              </w:rPr>
              <w:t>PECO</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392</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448</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917</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903</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889</w:t>
            </w:r>
          </w:p>
        </w:tc>
        <w:tc>
          <w:tcPr>
            <w:tcW w:w="1244" w:type="dxa"/>
            <w:tcBorders>
              <w:left w:val="none" w:sz="0" w:space="0" w:color="auto"/>
            </w:tcBorders>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1.69</w:t>
            </w:r>
          </w:p>
        </w:tc>
      </w:tr>
      <w:tr w:rsidR="007A4373" w:rsidRPr="00530996" w:rsidTr="0054559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 w:val="0"/>
                <w:color w:val="000000"/>
                <w:sz w:val="20"/>
                <w:szCs w:val="20"/>
              </w:rPr>
            </w:pPr>
            <w:r w:rsidRPr="00530996">
              <w:rPr>
                <w:rFonts w:ascii="Calibri" w:eastAsia="Times New Roman" w:hAnsi="Calibri" w:cs="Times New Roman"/>
                <w:b w:val="0"/>
                <w:color w:val="000000"/>
                <w:sz w:val="20"/>
                <w:szCs w:val="20"/>
              </w:rPr>
              <w:t>PPL</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FF0000"/>
                <w:sz w:val="20"/>
                <w:szCs w:val="20"/>
              </w:rPr>
              <w:t>-269</w:t>
            </w:r>
          </w:p>
        </w:tc>
        <w:tc>
          <w:tcPr>
            <w:tcW w:w="1251"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50</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731</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732</w:t>
            </w:r>
          </w:p>
        </w:tc>
        <w:tc>
          <w:tcPr>
            <w:tcW w:w="1252" w:type="dxa"/>
            <w:tcBorders>
              <w:left w:val="none" w:sz="0" w:space="0" w:color="auto"/>
              <w:right w:val="none" w:sz="0" w:space="0" w:color="auto"/>
            </w:tcBorders>
            <w:hideMark/>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30996">
              <w:rPr>
                <w:rFonts w:ascii="Calibri" w:eastAsia="Times New Roman" w:hAnsi="Calibri" w:cs="Times New Roman"/>
                <w:color w:val="000000"/>
                <w:sz w:val="20"/>
                <w:szCs w:val="20"/>
              </w:rPr>
              <w:t>731</w:t>
            </w:r>
          </w:p>
        </w:tc>
        <w:tc>
          <w:tcPr>
            <w:tcW w:w="1244" w:type="dxa"/>
            <w:tcBorders>
              <w:left w:val="none" w:sz="0" w:space="0" w:color="auto"/>
            </w:tcBorders>
          </w:tcPr>
          <w:p w:rsidR="007A4373" w:rsidRPr="00530996" w:rsidRDefault="007A4373"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1.88</w:t>
            </w:r>
          </w:p>
        </w:tc>
      </w:tr>
      <w:tr w:rsidR="007A4373" w:rsidRPr="00530996" w:rsidTr="00545599">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966" w:type="dxa"/>
            <w:tcBorders>
              <w:right w:val="none" w:sz="0" w:space="0" w:color="auto"/>
            </w:tcBorders>
            <w:hideMark/>
          </w:tcPr>
          <w:p w:rsidR="007A4373" w:rsidRPr="00530996" w:rsidRDefault="007A4373" w:rsidP="00A83ABC">
            <w:pPr>
              <w:rPr>
                <w:rFonts w:ascii="Calibri" w:eastAsia="Times New Roman" w:hAnsi="Calibri" w:cs="Times New Roman"/>
                <w:bCs w:val="0"/>
                <w:color w:val="000000"/>
                <w:sz w:val="20"/>
                <w:szCs w:val="20"/>
              </w:rPr>
            </w:pPr>
            <w:r w:rsidRPr="00530996">
              <w:rPr>
                <w:rFonts w:ascii="Calibri" w:eastAsia="Times New Roman" w:hAnsi="Calibri" w:cs="Times New Roman"/>
                <w:bCs w:val="0"/>
                <w:color w:val="000000"/>
                <w:sz w:val="20"/>
                <w:szCs w:val="20"/>
              </w:rPr>
              <w:t>Statewide</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530996">
              <w:rPr>
                <w:rFonts w:ascii="Calibri" w:eastAsia="Times New Roman" w:hAnsi="Calibri" w:cs="Times New Roman"/>
                <w:b/>
                <w:bCs/>
                <w:color w:val="000000"/>
                <w:sz w:val="20"/>
                <w:szCs w:val="20"/>
              </w:rPr>
              <w:t>306</w:t>
            </w:r>
          </w:p>
        </w:tc>
        <w:tc>
          <w:tcPr>
            <w:tcW w:w="1251"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530996">
              <w:rPr>
                <w:rFonts w:ascii="Calibri" w:eastAsia="Times New Roman" w:hAnsi="Calibri" w:cs="Times New Roman"/>
                <w:b/>
                <w:bCs/>
                <w:color w:val="000000"/>
                <w:sz w:val="20"/>
                <w:szCs w:val="20"/>
              </w:rPr>
              <w:t>687</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530996">
              <w:rPr>
                <w:rFonts w:ascii="Calibri" w:eastAsia="Times New Roman" w:hAnsi="Calibri" w:cs="Times New Roman"/>
                <w:b/>
                <w:bCs/>
                <w:color w:val="000000"/>
                <w:sz w:val="20"/>
                <w:szCs w:val="20"/>
              </w:rPr>
              <w:t>3,224</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530996">
              <w:rPr>
                <w:rFonts w:ascii="Calibri" w:eastAsia="Times New Roman" w:hAnsi="Calibri" w:cs="Times New Roman"/>
                <w:b/>
                <w:bCs/>
                <w:color w:val="000000"/>
                <w:sz w:val="20"/>
                <w:szCs w:val="20"/>
              </w:rPr>
              <w:t>3,202</w:t>
            </w:r>
          </w:p>
        </w:tc>
        <w:tc>
          <w:tcPr>
            <w:tcW w:w="1252" w:type="dxa"/>
            <w:tcBorders>
              <w:left w:val="none" w:sz="0" w:space="0" w:color="auto"/>
              <w:right w:val="none" w:sz="0" w:space="0" w:color="auto"/>
            </w:tcBorders>
            <w:hideMark/>
          </w:tcPr>
          <w:p w:rsidR="007A4373" w:rsidRPr="00530996"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530996">
              <w:rPr>
                <w:rFonts w:ascii="Calibri" w:eastAsia="Times New Roman" w:hAnsi="Calibri" w:cs="Times New Roman"/>
                <w:b/>
                <w:bCs/>
                <w:color w:val="000000"/>
                <w:sz w:val="20"/>
                <w:szCs w:val="20"/>
              </w:rPr>
              <w:t>3,175</w:t>
            </w:r>
          </w:p>
        </w:tc>
        <w:tc>
          <w:tcPr>
            <w:tcW w:w="1244" w:type="dxa"/>
            <w:tcBorders>
              <w:left w:val="none" w:sz="0" w:space="0" w:color="auto"/>
            </w:tcBorders>
          </w:tcPr>
          <w:p w:rsidR="007A4373" w:rsidRPr="007A4373" w:rsidRDefault="007A4373"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szCs w:val="20"/>
              </w:rPr>
            </w:pPr>
            <w:r w:rsidRPr="007A4373">
              <w:rPr>
                <w:rFonts w:ascii="Calibri" w:eastAsia="Times New Roman" w:hAnsi="Calibri" w:cs="Times New Roman"/>
                <w:b/>
                <w:bCs/>
                <w:color w:val="000000"/>
                <w:sz w:val="20"/>
                <w:szCs w:val="20"/>
              </w:rPr>
              <w:t>1.82</w:t>
            </w:r>
          </w:p>
        </w:tc>
      </w:tr>
    </w:tbl>
    <w:p w:rsidR="00F2658F" w:rsidRDefault="00F2658F" w:rsidP="00A83ABC"/>
    <w:p w:rsidR="00842178" w:rsidRDefault="00842178" w:rsidP="00A83ABC"/>
    <w:p w:rsidR="00A479EA" w:rsidRDefault="00DB2BA1" w:rsidP="00A83ABC">
      <w:r>
        <w:fldChar w:fldCharType="begin"/>
      </w:r>
      <w:r>
        <w:instrText xml:space="preserve"> REF _Ref406764109 \h </w:instrText>
      </w:r>
      <w:r w:rsidR="00CF2BE5">
        <w:instrText xml:space="preserve"> \* MERGEFORMAT </w:instrText>
      </w:r>
      <w:r>
        <w:fldChar w:fldCharType="separate"/>
      </w:r>
      <w:r w:rsidR="00803DBE" w:rsidRPr="00D837FD">
        <w:t xml:space="preserve">Table </w:t>
      </w:r>
      <w:r w:rsidR="00803DBE">
        <w:rPr>
          <w:noProof/>
        </w:rPr>
        <w:t>6</w:t>
      </w:r>
      <w:r w:rsidR="00803DBE">
        <w:rPr>
          <w:noProof/>
        </w:rPr>
        <w:noBreakHyphen/>
        <w:t>10</w:t>
      </w:r>
      <w:r>
        <w:fldChar w:fldCharType="end"/>
      </w:r>
      <w:r>
        <w:t xml:space="preserve"> tells a much different story </w:t>
      </w:r>
      <w:r w:rsidR="00C91B17">
        <w:t xml:space="preserve">than </w:t>
      </w:r>
      <w:r w:rsidR="00C91B17">
        <w:fldChar w:fldCharType="begin"/>
      </w:r>
      <w:r w:rsidR="00C91B17">
        <w:instrText xml:space="preserve"> REF _Ref412474637 \h </w:instrText>
      </w:r>
      <w:r w:rsidR="00C91B17">
        <w:fldChar w:fldCharType="separate"/>
      </w:r>
      <w:r w:rsidR="00803DBE">
        <w:t xml:space="preserve">Table </w:t>
      </w:r>
      <w:r w:rsidR="00803DBE">
        <w:rPr>
          <w:noProof/>
        </w:rPr>
        <w:t>6</w:t>
      </w:r>
      <w:r w:rsidR="00803DBE">
        <w:noBreakHyphen/>
      </w:r>
      <w:r w:rsidR="00803DBE">
        <w:rPr>
          <w:noProof/>
        </w:rPr>
        <w:t>9</w:t>
      </w:r>
      <w:r w:rsidR="00C91B17">
        <w:fldChar w:fldCharType="end"/>
      </w:r>
      <w:r w:rsidR="00C91B17">
        <w:t xml:space="preserve"> </w:t>
      </w:r>
      <w:r>
        <w:t xml:space="preserve">in </w:t>
      </w:r>
      <w:r w:rsidR="00996169">
        <w:t xml:space="preserve">program years </w:t>
      </w:r>
      <w:r>
        <w:t xml:space="preserve">10, 11, and 12 </w:t>
      </w:r>
      <w:r w:rsidR="00C91B17">
        <w:t xml:space="preserve"> </w:t>
      </w:r>
      <w:r>
        <w:t xml:space="preserve">because PJM’s </w:t>
      </w:r>
      <w:r w:rsidR="00E7632F">
        <w:t>BRA</w:t>
      </w:r>
      <w:r>
        <w:t xml:space="preserve"> has not yet taken place so there are no MW commitments from </w:t>
      </w:r>
      <w:r w:rsidR="00037A03">
        <w:t>DR</w:t>
      </w:r>
      <w:r>
        <w:t xml:space="preserve"> to net out of Act 129 potential. </w:t>
      </w:r>
    </w:p>
    <w:p w:rsidR="00E439B7" w:rsidRDefault="00E439B7" w:rsidP="00A83ABC">
      <w:r>
        <w:t xml:space="preserve">If “business-as-usual” </w:t>
      </w:r>
      <w:r w:rsidR="00037A03">
        <w:t>DR</w:t>
      </w:r>
      <w:r>
        <w:t xml:space="preserve"> practices do not continue at PJM because of court rulings or revisions to market architecture and </w:t>
      </w:r>
      <w:r w:rsidR="00037A03">
        <w:t>DR</w:t>
      </w:r>
      <w:r>
        <w:t xml:space="preserve"> is no longer able to participate as a supply-side resource in PJM’s forward capacity market, the findings in </w:t>
      </w:r>
      <w:r>
        <w:fldChar w:fldCharType="begin"/>
      </w:r>
      <w:r>
        <w:instrText xml:space="preserve"> REF _Ref406764109 \h </w:instrText>
      </w:r>
      <w:r w:rsidR="00CF2BE5">
        <w:instrText xml:space="preserve"> \* MERGEFORMAT </w:instrText>
      </w:r>
      <w:r>
        <w:fldChar w:fldCharType="separate"/>
      </w:r>
      <w:r w:rsidR="00803DBE" w:rsidRPr="00D837FD">
        <w:t xml:space="preserve">Table </w:t>
      </w:r>
      <w:r w:rsidR="00803DBE">
        <w:rPr>
          <w:noProof/>
        </w:rPr>
        <w:t>6</w:t>
      </w:r>
      <w:r w:rsidR="00803DBE">
        <w:rPr>
          <w:noProof/>
        </w:rPr>
        <w:noBreakHyphen/>
        <w:t>10</w:t>
      </w:r>
      <w:r>
        <w:fldChar w:fldCharType="end"/>
      </w:r>
      <w:r>
        <w:t xml:space="preserve"> </w:t>
      </w:r>
      <w:r w:rsidR="00F86BD6">
        <w:t>could become an accurate representation of the DR potential available to Act 129 in PY10-PY12</w:t>
      </w:r>
      <w:r>
        <w:t xml:space="preserve">. </w:t>
      </w:r>
      <w:r w:rsidR="00F86BD6">
        <w:t>If this outcome materializes, t</w:t>
      </w:r>
      <w:r>
        <w:t xml:space="preserve">he SWE </w:t>
      </w:r>
      <w:r w:rsidR="00A61CA7">
        <w:t xml:space="preserve">Team </w:t>
      </w:r>
      <w:r>
        <w:t xml:space="preserve">believes it would be incumbent upon the Commission to enact an Act 129 load curtailment program to harness the tremendous pool of </w:t>
      </w:r>
      <w:r w:rsidR="00037A03">
        <w:t>DR</w:t>
      </w:r>
      <w:r>
        <w:t xml:space="preserve"> potential available in Commonwealth. Our analysis shows that the benefits of such a program would nearly double the costs. Pennsylvania businesses who supply DR to the wholesale markets will be</w:t>
      </w:r>
      <w:r w:rsidR="00506E99">
        <w:t xml:space="preserve"> eager</w:t>
      </w:r>
      <w:r>
        <w:t xml:space="preserve"> for a </w:t>
      </w:r>
      <w:r w:rsidR="00506E99">
        <w:t xml:space="preserve">way to replace PJM revenues and an Act 129 program would help insulate ratepayers from the price spikes that would result in PJM filling resource requirements without </w:t>
      </w:r>
      <w:r w:rsidR="00037A03">
        <w:t>DR</w:t>
      </w:r>
      <w:r w:rsidR="00506E99">
        <w:rPr>
          <w:rStyle w:val="FootnoteReference"/>
        </w:rPr>
        <w:footnoteReference w:id="141"/>
      </w:r>
      <w:r w:rsidR="00506E99">
        <w:t xml:space="preserve">. If this outcome were to materialize, an Act 129 load curtailment program would be an important way to engage </w:t>
      </w:r>
      <w:r w:rsidR="00985548">
        <w:t>l</w:t>
      </w:r>
      <w:r w:rsidR="008D678D">
        <w:t>arge C&amp;I</w:t>
      </w:r>
      <w:r w:rsidR="00506E99">
        <w:t xml:space="preserve"> accounts who may otherwise be interested in opting out of Act 129 programs.</w:t>
      </w:r>
    </w:p>
    <w:p w:rsidR="00850055" w:rsidRDefault="00850055" w:rsidP="00A83ABC"/>
    <w:p w:rsidR="00F2658F" w:rsidRPr="00AE0A3B" w:rsidRDefault="0015640C" w:rsidP="00A83ABC">
      <w:r>
        <w:br w:type="page"/>
      </w:r>
    </w:p>
    <w:p w:rsidR="00BF7FC2" w:rsidRDefault="00BF7FC2" w:rsidP="00A83ABC">
      <w:pPr>
        <w:pStyle w:val="Heading1"/>
      </w:pPr>
      <w:bookmarkStart w:id="295" w:name="_Ref406929595"/>
      <w:bookmarkStart w:id="296" w:name="_Toc412628431"/>
      <w:r>
        <w:lastRenderedPageBreak/>
        <w:t>Program Potential Estimates</w:t>
      </w:r>
      <w:bookmarkEnd w:id="295"/>
      <w:bookmarkEnd w:id="296"/>
    </w:p>
    <w:p w:rsidR="00BF7FC2" w:rsidRDefault="00037A03" w:rsidP="00A83ABC">
      <w:pPr>
        <w:pStyle w:val="Heading2"/>
      </w:pPr>
      <w:bookmarkStart w:id="297" w:name="_Toc412628432"/>
      <w:r>
        <w:t>DR</w:t>
      </w:r>
      <w:r w:rsidR="00BF7FC2">
        <w:t xml:space="preserve"> Program Potential</w:t>
      </w:r>
      <w:bookmarkEnd w:id="297"/>
    </w:p>
    <w:p w:rsidR="000B7D39" w:rsidRDefault="00656881" w:rsidP="00A83ABC">
      <w:pPr>
        <w:spacing w:after="120"/>
      </w:pPr>
      <w:r>
        <w:t xml:space="preserve">The TUS </w:t>
      </w:r>
      <w:r w:rsidR="0045410E">
        <w:t xml:space="preserve">staff </w:t>
      </w:r>
      <w:r>
        <w:t xml:space="preserve">directed the SWE </w:t>
      </w:r>
      <w:r w:rsidR="00260F6F">
        <w:t>T</w:t>
      </w:r>
      <w:r>
        <w:t xml:space="preserve">eam to consider four distinct program potential scenarios as part of its </w:t>
      </w:r>
      <w:r w:rsidR="00BF7D7A">
        <w:t xml:space="preserve">EE and DR potential studies. Each scenario considers a different funding split between </w:t>
      </w:r>
      <w:r w:rsidR="00857521">
        <w:t>EE</w:t>
      </w:r>
      <w:r w:rsidR="00BF7D7A">
        <w:t xml:space="preserve"> and </w:t>
      </w:r>
      <w:r w:rsidR="00037A03">
        <w:t>DR</w:t>
      </w:r>
      <w:r w:rsidR="00BF7D7A">
        <w:t xml:space="preserve">. </w:t>
      </w:r>
    </w:p>
    <w:p w:rsidR="00656881" w:rsidRDefault="00656881" w:rsidP="00A83ABC">
      <w:pPr>
        <w:pStyle w:val="ListParagraph"/>
        <w:numPr>
          <w:ilvl w:val="0"/>
          <w:numId w:val="32"/>
        </w:numPr>
        <w:spacing w:after="120"/>
        <w:ind w:left="360"/>
        <w:contextualSpacing w:val="0"/>
      </w:pPr>
      <w:r>
        <w:t xml:space="preserve">100% spending on </w:t>
      </w:r>
      <w:r w:rsidR="00857521">
        <w:t>EE</w:t>
      </w:r>
      <w:r>
        <w:t xml:space="preserve">, 0% on </w:t>
      </w:r>
      <w:r w:rsidR="00037A03">
        <w:t>DR</w:t>
      </w:r>
    </w:p>
    <w:p w:rsidR="00656881" w:rsidRDefault="00656881" w:rsidP="00A83ABC">
      <w:pPr>
        <w:pStyle w:val="ListParagraph"/>
        <w:numPr>
          <w:ilvl w:val="0"/>
          <w:numId w:val="32"/>
        </w:numPr>
        <w:spacing w:after="120"/>
        <w:ind w:left="360"/>
        <w:contextualSpacing w:val="0"/>
      </w:pPr>
      <w:r>
        <w:t xml:space="preserve">90% spending on </w:t>
      </w:r>
      <w:r w:rsidR="00857521">
        <w:t>EE</w:t>
      </w:r>
      <w:r>
        <w:t xml:space="preserve">, </w:t>
      </w:r>
      <w:r w:rsidR="00BF7D7A">
        <w:t>1</w:t>
      </w:r>
      <w:r>
        <w:t xml:space="preserve">0% on </w:t>
      </w:r>
      <w:r w:rsidR="00037A03">
        <w:t>DR</w:t>
      </w:r>
    </w:p>
    <w:p w:rsidR="00656881" w:rsidRDefault="00BF7D7A" w:rsidP="00A83ABC">
      <w:pPr>
        <w:pStyle w:val="ListParagraph"/>
        <w:numPr>
          <w:ilvl w:val="0"/>
          <w:numId w:val="32"/>
        </w:numPr>
        <w:spacing w:after="120"/>
        <w:ind w:left="360"/>
        <w:contextualSpacing w:val="0"/>
      </w:pPr>
      <w:r>
        <w:t>85</w:t>
      </w:r>
      <w:r w:rsidR="00656881">
        <w:t xml:space="preserve">% </w:t>
      </w:r>
      <w:r>
        <w:t xml:space="preserve">spending on </w:t>
      </w:r>
      <w:r w:rsidR="00857521">
        <w:t>EE</w:t>
      </w:r>
      <w:r>
        <w:t>, 15</w:t>
      </w:r>
      <w:r w:rsidR="00656881">
        <w:t xml:space="preserve">% on </w:t>
      </w:r>
      <w:r w:rsidR="00037A03">
        <w:t>DR</w:t>
      </w:r>
    </w:p>
    <w:p w:rsidR="00656881" w:rsidRDefault="00BF7D7A" w:rsidP="00A83ABC">
      <w:pPr>
        <w:pStyle w:val="ListParagraph"/>
        <w:numPr>
          <w:ilvl w:val="0"/>
          <w:numId w:val="32"/>
        </w:numPr>
        <w:ind w:left="360"/>
      </w:pPr>
      <w:r>
        <w:t>8</w:t>
      </w:r>
      <w:r w:rsidR="00656881">
        <w:t xml:space="preserve">0% spending on </w:t>
      </w:r>
      <w:r w:rsidR="00857521">
        <w:t>EE</w:t>
      </w:r>
      <w:r w:rsidR="00656881">
        <w:t xml:space="preserve">, </w:t>
      </w:r>
      <w:r>
        <w:t>2</w:t>
      </w:r>
      <w:r w:rsidR="00656881">
        <w:t xml:space="preserve">0% on </w:t>
      </w:r>
      <w:r w:rsidR="00037A03">
        <w:t>DR</w:t>
      </w:r>
      <w:r w:rsidR="00A9613A">
        <w:t>.</w:t>
      </w:r>
    </w:p>
    <w:p w:rsidR="00656881" w:rsidRDefault="00656881" w:rsidP="00A83ABC">
      <w:pPr>
        <w:pStyle w:val="ListParagraph"/>
      </w:pPr>
    </w:p>
    <w:p w:rsidR="00260F6F" w:rsidRDefault="00BF7D7A" w:rsidP="00A83ABC">
      <w:pPr>
        <w:spacing w:after="120"/>
      </w:pPr>
      <w:r>
        <w:t xml:space="preserve">The exact dollar </w:t>
      </w:r>
      <w:r w:rsidR="00745FDF">
        <w:t>amounts available to fund DR under each scenario were</w:t>
      </w:r>
      <w:r>
        <w:t xml:space="preserve"> presented in</w:t>
      </w:r>
      <w:r w:rsidR="003D490E">
        <w:t xml:space="preserve"> </w:t>
      </w:r>
      <w:r w:rsidR="00F93F90">
        <w:fldChar w:fldCharType="begin"/>
      </w:r>
      <w:r w:rsidR="00F93F90">
        <w:instrText xml:space="preserve"> REF _Ref409005077 \h </w:instrText>
      </w:r>
      <w:r w:rsidR="00F93F90">
        <w:fldChar w:fldCharType="separate"/>
      </w:r>
      <w:r w:rsidR="00803DBE" w:rsidRPr="009370BC">
        <w:t xml:space="preserve">Table </w:t>
      </w:r>
      <w:r w:rsidR="00803DBE">
        <w:rPr>
          <w:noProof/>
        </w:rPr>
        <w:t>2</w:t>
      </w:r>
      <w:r w:rsidR="00803DBE">
        <w:noBreakHyphen/>
      </w:r>
      <w:r w:rsidR="00803DBE">
        <w:rPr>
          <w:noProof/>
        </w:rPr>
        <w:t>1</w:t>
      </w:r>
      <w:r w:rsidR="00F93F90">
        <w:fldChar w:fldCharType="end"/>
      </w:r>
      <w:r w:rsidR="003D490E">
        <w:t xml:space="preserve">. </w:t>
      </w:r>
      <w:r w:rsidR="00104EF2">
        <w:t xml:space="preserve">For a specific annual level of DR funding, </w:t>
      </w:r>
      <w:r w:rsidR="008D6A51">
        <w:t>T</w:t>
      </w:r>
      <w:r w:rsidR="00260F6F">
        <w:t xml:space="preserve">he SWE </w:t>
      </w:r>
      <w:r w:rsidR="00A61CA7">
        <w:t xml:space="preserve">Team </w:t>
      </w:r>
      <w:r w:rsidR="00260F6F">
        <w:t xml:space="preserve">calculated the potential that could be captured by </w:t>
      </w:r>
      <w:r w:rsidR="00104EF2">
        <w:t xml:space="preserve">dividing </w:t>
      </w:r>
      <w:r w:rsidR="00260F6F">
        <w:t xml:space="preserve">the </w:t>
      </w:r>
      <w:r w:rsidR="00104EF2">
        <w:t xml:space="preserve">annual funding level by the DR </w:t>
      </w:r>
      <w:r w:rsidR="00260F6F">
        <w:t>acquisition cost ($/</w:t>
      </w:r>
      <w:r w:rsidR="002143D1">
        <w:t>MW/year</w:t>
      </w:r>
      <w:r w:rsidR="00260F6F">
        <w:t>)</w:t>
      </w:r>
      <w:r w:rsidR="00104EF2">
        <w:t>.</w:t>
      </w:r>
      <w:r w:rsidR="00260F6F">
        <w:t xml:space="preserve"> For example, consider an EDC program that could achieve 200 MW of load reduction each year of Phase III and to do so would cost $8 million each year. Over a potential five year </w:t>
      </w:r>
      <w:r w:rsidR="0073339F">
        <w:t>p</w:t>
      </w:r>
      <w:r w:rsidR="00260F6F">
        <w:t>hase the total load impact would be 1,000 MW</w:t>
      </w:r>
      <w:r w:rsidR="00CF78C2">
        <w:t>/</w:t>
      </w:r>
      <w:r w:rsidR="00260F6F">
        <w:t xml:space="preserve">year and the expenditures would be $40 million and the cost per MW reduction achieved would be $40,000. If this EDC only had a $15 million Phase III budget for </w:t>
      </w:r>
      <w:r w:rsidR="00037A03">
        <w:t>DR</w:t>
      </w:r>
      <w:r w:rsidR="00260F6F">
        <w:t>, the program potential estimate would be:</w:t>
      </w:r>
    </w:p>
    <w:p w:rsidR="00560CA0" w:rsidRPr="00204CA6" w:rsidRDefault="00E2011B" w:rsidP="00A83ABC">
      <m:oMathPara>
        <m:oMathParaPr>
          <m:jc m:val="center"/>
        </m:oMathParaPr>
        <m:oMath>
          <m:f>
            <m:fPr>
              <m:type m:val="skw"/>
              <m:ctrlPr>
                <w:rPr>
                  <w:rFonts w:ascii="Cambria Math" w:hAnsi="Cambria Math"/>
                  <w:i/>
                </w:rPr>
              </m:ctrlPr>
            </m:fPr>
            <m:num>
              <m:r>
                <w:rPr>
                  <w:rFonts w:ascii="Cambria Math" w:hAnsi="Cambria Math"/>
                </w:rPr>
                <m:t xml:space="preserve">$15,000,000 </m:t>
              </m:r>
            </m:num>
            <m:den>
              <m:r>
                <w:rPr>
                  <w:rFonts w:ascii="Cambria Math" w:hAnsi="Cambria Math"/>
                </w:rPr>
                <m:t xml:space="preserve">$40,000 </m:t>
              </m:r>
            </m:den>
          </m:f>
          <m:r>
            <w:rPr>
              <w:rFonts w:ascii="Cambria Math" w:hAnsi="Cambria Math"/>
            </w:rPr>
            <m:t>=375 MW (or 75 MW Average Annual)</m:t>
          </m:r>
        </m:oMath>
      </m:oMathPara>
    </w:p>
    <w:p w:rsidR="00BF7D7A" w:rsidRDefault="00BF7D7A" w:rsidP="00A83ABC"/>
    <w:p w:rsidR="009A3400" w:rsidRDefault="00260F6F" w:rsidP="00A83ABC">
      <w:r>
        <w:t xml:space="preserve">The SWE </w:t>
      </w:r>
      <w:r w:rsidR="00A61CA7">
        <w:t xml:space="preserve">Team </w:t>
      </w:r>
      <w:r>
        <w:t xml:space="preserve">analysis in Section </w:t>
      </w:r>
      <w:r>
        <w:fldChar w:fldCharType="begin"/>
      </w:r>
      <w:r>
        <w:instrText xml:space="preserve"> REF _Ref405559002 \n \h </w:instrText>
      </w:r>
      <w:r>
        <w:fldChar w:fldCharType="separate"/>
      </w:r>
      <w:r w:rsidR="00803DBE">
        <w:t>6</w:t>
      </w:r>
      <w:r>
        <w:fldChar w:fldCharType="end"/>
      </w:r>
      <w:r>
        <w:t xml:space="preserve"> found cost-effective load curtailment potential for each of the seven EDCs</w:t>
      </w:r>
      <w:r w:rsidR="00FB1C3D">
        <w:rPr>
          <w:rStyle w:val="FootnoteReference"/>
        </w:rPr>
        <w:footnoteReference w:id="142"/>
      </w:r>
      <w:r>
        <w:t xml:space="preserve"> beyond what is currently committed in PJM’s forward capacity market. </w:t>
      </w:r>
      <w:r w:rsidR="005C53E0">
        <w:t xml:space="preserve">This Act 129 DR potential is mostly concentrated in the last three years of Phase III because the </w:t>
      </w:r>
      <w:r w:rsidR="00E7632F">
        <w:t>BRA</w:t>
      </w:r>
      <w:r w:rsidR="005C53E0">
        <w:t xml:space="preserve"> for these delivery years has not yet occurred. Section </w:t>
      </w:r>
      <w:r w:rsidR="005C53E0">
        <w:fldChar w:fldCharType="begin"/>
      </w:r>
      <w:r w:rsidR="005C53E0">
        <w:instrText xml:space="preserve"> REF _Ref406929432 \r \h </w:instrText>
      </w:r>
      <w:r w:rsidR="00CF2BE5">
        <w:instrText xml:space="preserve"> \* MERGEFORMAT </w:instrText>
      </w:r>
      <w:r w:rsidR="005C53E0">
        <w:fldChar w:fldCharType="separate"/>
      </w:r>
      <w:r w:rsidR="00803DBE">
        <w:t>6.5</w:t>
      </w:r>
      <w:r w:rsidR="005C53E0">
        <w:fldChar w:fldCharType="end"/>
      </w:r>
      <w:r w:rsidR="005C53E0">
        <w:t xml:space="preserve"> explored the uncertainty associated with the volume of DR that will commit in PJM for these years and what will remain available for an Ac</w:t>
      </w:r>
      <w:r w:rsidR="00850055">
        <w:t xml:space="preserve">t 129 load curtailment program and also presented a </w:t>
      </w:r>
      <w:r w:rsidR="009A3400">
        <w:t>“</w:t>
      </w:r>
      <w:r w:rsidR="00CF78C2">
        <w:t>business-</w:t>
      </w:r>
      <w:r w:rsidR="009A3400">
        <w:t>as</w:t>
      </w:r>
      <w:r w:rsidR="00CF78C2">
        <w:t>-u</w:t>
      </w:r>
      <w:r w:rsidR="009A3400">
        <w:t>sual” scenario which assumes historic PJM participations will continue. This section presents DR program potential for both scenarios.</w:t>
      </w:r>
    </w:p>
    <w:p w:rsidR="009A3400" w:rsidRDefault="009A3400" w:rsidP="00A83ABC"/>
    <w:p w:rsidR="00857DFB" w:rsidRDefault="005C53E0" w:rsidP="00A83ABC">
      <w:r>
        <w:t xml:space="preserve">Using the Act 129 </w:t>
      </w:r>
      <w:r w:rsidR="00CF78C2">
        <w:t>“</w:t>
      </w:r>
      <w:r w:rsidR="00123C18">
        <w:t>Day-Ahead</w:t>
      </w:r>
      <w:r w:rsidR="00CF78C2">
        <w:t>”</w:t>
      </w:r>
      <w:r>
        <w:t xml:space="preserve"> load curtailment potential estimates from </w:t>
      </w:r>
      <w:r>
        <w:fldChar w:fldCharType="begin"/>
      </w:r>
      <w:r>
        <w:instrText xml:space="preserve"> REF _Ref406764109 \h </w:instrText>
      </w:r>
      <w:r w:rsidR="00CF2BE5">
        <w:instrText xml:space="preserve"> \* MERGEFORMAT </w:instrText>
      </w:r>
      <w:r>
        <w:fldChar w:fldCharType="separate"/>
      </w:r>
      <w:r w:rsidR="00803DBE" w:rsidRPr="00D837FD">
        <w:t xml:space="preserve">Table </w:t>
      </w:r>
      <w:r w:rsidR="00803DBE">
        <w:rPr>
          <w:noProof/>
        </w:rPr>
        <w:t>6</w:t>
      </w:r>
      <w:r w:rsidR="00803DBE">
        <w:rPr>
          <w:noProof/>
        </w:rPr>
        <w:noBreakHyphen/>
        <w:t>10</w:t>
      </w:r>
      <w:r>
        <w:fldChar w:fldCharType="end"/>
      </w:r>
      <w:r>
        <w:t xml:space="preserve"> and the modeled acquisition cost for each program year, by EDC, the SWE </w:t>
      </w:r>
      <w:r w:rsidR="00A61CA7">
        <w:t xml:space="preserve">Team </w:t>
      </w:r>
      <w:r>
        <w:t xml:space="preserve">calculated </w:t>
      </w:r>
      <w:r w:rsidR="00D85131">
        <w:t xml:space="preserve">the </w:t>
      </w:r>
      <w:r>
        <w:t>weighted average Phase III load curtailment acquisition costs</w:t>
      </w:r>
      <w:r w:rsidR="00D85131">
        <w:t xml:space="preserve"> shown in </w:t>
      </w:r>
      <w:r w:rsidR="00250D48">
        <w:fldChar w:fldCharType="begin"/>
      </w:r>
      <w:r w:rsidR="00250D48">
        <w:instrText xml:space="preserve"> REF _Ref412631042 \h </w:instrText>
      </w:r>
      <w:r w:rsidR="00250D48">
        <w:fldChar w:fldCharType="separate"/>
      </w:r>
      <w:r w:rsidR="00803DBE" w:rsidRPr="00D85131">
        <w:t xml:space="preserve">Table </w:t>
      </w:r>
      <w:r w:rsidR="00803DBE">
        <w:rPr>
          <w:noProof/>
        </w:rPr>
        <w:t>7</w:t>
      </w:r>
      <w:r w:rsidR="00803DBE">
        <w:noBreakHyphen/>
      </w:r>
      <w:r w:rsidR="00803DBE">
        <w:rPr>
          <w:noProof/>
        </w:rPr>
        <w:t>1</w:t>
      </w:r>
      <w:r w:rsidR="00250D48">
        <w:fldChar w:fldCharType="end"/>
      </w:r>
      <w:r w:rsidR="00250D48">
        <w:t xml:space="preserve"> </w:t>
      </w:r>
      <w:r w:rsidR="00D85131">
        <w:t xml:space="preserve">For each of the EDCs other than PECO, the C&amp;I load curtailment values from </w:t>
      </w:r>
      <w:r w:rsidR="00250D48">
        <w:fldChar w:fldCharType="begin"/>
      </w:r>
      <w:r w:rsidR="00250D48">
        <w:instrText xml:space="preserve"> REF _Ref412631042 \h </w:instrText>
      </w:r>
      <w:r w:rsidR="00250D48">
        <w:fldChar w:fldCharType="separate"/>
      </w:r>
      <w:r w:rsidR="00803DBE" w:rsidRPr="00D85131">
        <w:t xml:space="preserve">Table </w:t>
      </w:r>
      <w:r w:rsidR="00803DBE">
        <w:rPr>
          <w:noProof/>
        </w:rPr>
        <w:t>7</w:t>
      </w:r>
      <w:r w:rsidR="00803DBE">
        <w:noBreakHyphen/>
      </w:r>
      <w:r w:rsidR="00803DBE">
        <w:rPr>
          <w:noProof/>
        </w:rPr>
        <w:t>1</w:t>
      </w:r>
      <w:r w:rsidR="00250D48">
        <w:fldChar w:fldCharType="end"/>
      </w:r>
      <w:r w:rsidR="00250D48">
        <w:t xml:space="preserve"> </w:t>
      </w:r>
      <w:r w:rsidR="00D85131">
        <w:t xml:space="preserve">and </w:t>
      </w:r>
      <w:r w:rsidR="00250D48">
        <w:t xml:space="preserve">the </w:t>
      </w:r>
      <w:r w:rsidR="00D85131">
        <w:t xml:space="preserve">associated costs and benefits are the sole driver of </w:t>
      </w:r>
      <w:r w:rsidR="008F44EC">
        <w:t xml:space="preserve">the </w:t>
      </w:r>
      <w:r w:rsidR="00D85131">
        <w:t xml:space="preserve">program potential </w:t>
      </w:r>
      <w:r w:rsidR="008F44EC">
        <w:t xml:space="preserve">estimates in </w:t>
      </w:r>
      <w:r w:rsidR="00DF01B1">
        <w:fldChar w:fldCharType="begin"/>
      </w:r>
      <w:r w:rsidR="00DF01B1">
        <w:instrText xml:space="preserve"> REF _Ref408387708 \h </w:instrText>
      </w:r>
      <w:r w:rsidR="00DF01B1">
        <w:fldChar w:fldCharType="separate"/>
      </w:r>
      <w:r w:rsidR="00803DBE" w:rsidRPr="00D85131">
        <w:t xml:space="preserve">Table </w:t>
      </w:r>
      <w:r w:rsidR="00803DBE">
        <w:rPr>
          <w:noProof/>
        </w:rPr>
        <w:t>7</w:t>
      </w:r>
      <w:r w:rsidR="00803DBE">
        <w:noBreakHyphen/>
      </w:r>
      <w:r w:rsidR="00803DBE">
        <w:rPr>
          <w:noProof/>
        </w:rPr>
        <w:t>4</w:t>
      </w:r>
      <w:r w:rsidR="00DF01B1">
        <w:fldChar w:fldCharType="end"/>
      </w:r>
      <w:r w:rsidR="00DF01B1">
        <w:t xml:space="preserve"> </w:t>
      </w:r>
      <w:r w:rsidR="00D85131">
        <w:t xml:space="preserve">and </w:t>
      </w:r>
      <w:r w:rsidR="008F44EC">
        <w:t xml:space="preserve">the benefit cost information in </w:t>
      </w:r>
      <w:r w:rsidR="008F44EC">
        <w:fldChar w:fldCharType="begin"/>
      </w:r>
      <w:r w:rsidR="008F44EC">
        <w:instrText xml:space="preserve"> REF _Ref407115347 \h </w:instrText>
      </w:r>
      <w:r w:rsidR="00CF2BE5">
        <w:instrText xml:space="preserve"> \* MERGEFORMAT </w:instrText>
      </w:r>
      <w:r w:rsidR="008F44EC">
        <w:fldChar w:fldCharType="separate"/>
      </w:r>
      <w:r w:rsidR="00803DBE" w:rsidRPr="00D85131">
        <w:t xml:space="preserve">Table </w:t>
      </w:r>
      <w:r w:rsidR="00803DBE">
        <w:rPr>
          <w:noProof/>
        </w:rPr>
        <w:t>7</w:t>
      </w:r>
      <w:r w:rsidR="00803DBE">
        <w:rPr>
          <w:noProof/>
        </w:rPr>
        <w:noBreakHyphen/>
        <w:t>5</w:t>
      </w:r>
      <w:r w:rsidR="008F44EC">
        <w:fldChar w:fldCharType="end"/>
      </w:r>
      <w:r w:rsidR="008F44EC">
        <w:t>.</w:t>
      </w:r>
    </w:p>
    <w:p w:rsidR="00102F2A" w:rsidRDefault="00102F2A" w:rsidP="00A83ABC">
      <w:pPr>
        <w:spacing w:after="200"/>
        <w:jc w:val="left"/>
        <w:rPr>
          <w:b/>
          <w:bCs/>
          <w:sz w:val="18"/>
          <w:szCs w:val="18"/>
        </w:rPr>
      </w:pPr>
      <w:bookmarkStart w:id="298" w:name="_Ref407114725"/>
    </w:p>
    <w:p w:rsidR="008D19F8" w:rsidRDefault="008D19F8" w:rsidP="00A83ABC">
      <w:pPr>
        <w:spacing w:after="200"/>
        <w:jc w:val="left"/>
        <w:rPr>
          <w:b/>
          <w:bCs/>
          <w:sz w:val="18"/>
          <w:szCs w:val="18"/>
        </w:rPr>
      </w:pPr>
    </w:p>
    <w:p w:rsidR="008D19F8" w:rsidRDefault="008D19F8" w:rsidP="00A83ABC">
      <w:pPr>
        <w:spacing w:after="200"/>
        <w:jc w:val="left"/>
        <w:rPr>
          <w:b/>
          <w:bCs/>
          <w:sz w:val="18"/>
          <w:szCs w:val="18"/>
        </w:rPr>
      </w:pPr>
    </w:p>
    <w:p w:rsidR="008D19F8" w:rsidRDefault="008D19F8" w:rsidP="00A83ABC">
      <w:pPr>
        <w:spacing w:after="200"/>
        <w:jc w:val="left"/>
        <w:rPr>
          <w:b/>
          <w:bCs/>
          <w:sz w:val="18"/>
          <w:szCs w:val="18"/>
        </w:rPr>
      </w:pPr>
    </w:p>
    <w:p w:rsidR="008D19F8" w:rsidRDefault="008D19F8" w:rsidP="00A83ABC">
      <w:pPr>
        <w:spacing w:after="200"/>
        <w:jc w:val="left"/>
        <w:rPr>
          <w:b/>
          <w:bCs/>
          <w:sz w:val="18"/>
          <w:szCs w:val="18"/>
        </w:rPr>
      </w:pPr>
    </w:p>
    <w:p w:rsidR="008D19F8" w:rsidRDefault="008D19F8" w:rsidP="00A83ABC">
      <w:pPr>
        <w:spacing w:after="200"/>
        <w:jc w:val="left"/>
        <w:rPr>
          <w:b/>
          <w:bCs/>
          <w:sz w:val="18"/>
          <w:szCs w:val="18"/>
        </w:rPr>
      </w:pPr>
    </w:p>
    <w:p w:rsidR="00D85131" w:rsidRPr="00D85131" w:rsidRDefault="00D85131" w:rsidP="00A83ABC">
      <w:pPr>
        <w:pStyle w:val="Caption"/>
        <w:keepNext/>
      </w:pPr>
      <w:bookmarkStart w:id="299" w:name="_Ref412631042"/>
      <w:bookmarkStart w:id="300" w:name="_Toc412628494"/>
      <w:r w:rsidRPr="00D85131">
        <w:lastRenderedPageBreak/>
        <w:t xml:space="preserve">Table </w:t>
      </w:r>
      <w:r w:rsidR="00E2011B">
        <w:fldChar w:fldCharType="begin"/>
      </w:r>
      <w:r w:rsidR="00E2011B">
        <w:instrText xml:space="preserve"> STYLEREF 1 \s </w:instrText>
      </w:r>
      <w:r w:rsidR="00E2011B">
        <w:fldChar w:fldCharType="separate"/>
      </w:r>
      <w:r w:rsidR="00803DBE">
        <w:rPr>
          <w:noProof/>
        </w:rPr>
        <w:t>7</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1</w:t>
      </w:r>
      <w:r w:rsidR="00E2011B">
        <w:rPr>
          <w:noProof/>
        </w:rPr>
        <w:fldChar w:fldCharType="end"/>
      </w:r>
      <w:bookmarkEnd w:id="298"/>
      <w:bookmarkEnd w:id="299"/>
      <w:r w:rsidRPr="00D85131">
        <w:t xml:space="preserve">: Average </w:t>
      </w:r>
      <w:r w:rsidRPr="005856EB">
        <w:t xml:space="preserve">Annual </w:t>
      </w:r>
      <w:r>
        <w:t xml:space="preserve">Phase III </w:t>
      </w:r>
      <w:r w:rsidRPr="005856EB">
        <w:t>Load</w:t>
      </w:r>
      <w:r>
        <w:t xml:space="preserve"> Curtailment Acquisition Costs</w:t>
      </w:r>
      <w:bookmarkEnd w:id="300"/>
      <w:r>
        <w:t xml:space="preserve"> </w:t>
      </w:r>
    </w:p>
    <w:tbl>
      <w:tblPr>
        <w:tblStyle w:val="MediumShading1-Accent5"/>
        <w:tblW w:w="5557"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277"/>
        <w:gridCol w:w="3280"/>
      </w:tblGrid>
      <w:tr w:rsidR="005856EB" w:rsidRPr="00453F69" w:rsidTr="00453F6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77" w:type="dxa"/>
            <w:tcBorders>
              <w:top w:val="none" w:sz="0" w:space="0" w:color="auto"/>
              <w:left w:val="none" w:sz="0" w:space="0" w:color="auto"/>
              <w:bottom w:val="none" w:sz="0" w:space="0" w:color="auto"/>
              <w:right w:val="none" w:sz="0" w:space="0" w:color="auto"/>
            </w:tcBorders>
            <w:shd w:val="clear" w:color="auto" w:fill="448A99"/>
            <w:noWrap/>
            <w:hideMark/>
          </w:tcPr>
          <w:p w:rsidR="005856EB" w:rsidRPr="00453F69" w:rsidRDefault="005856EB" w:rsidP="00A83ABC">
            <w:pPr>
              <w:rPr>
                <w:rFonts w:ascii="Calibri" w:eastAsia="Times New Roman" w:hAnsi="Calibri" w:cs="Times New Roman"/>
                <w:bCs w:val="0"/>
                <w:color w:val="FFFFFF"/>
                <w:sz w:val="20"/>
              </w:rPr>
            </w:pPr>
            <w:r w:rsidRPr="00453F69">
              <w:rPr>
                <w:rFonts w:ascii="Calibri" w:eastAsia="Times New Roman" w:hAnsi="Calibri" w:cs="Times New Roman"/>
                <w:bCs w:val="0"/>
                <w:color w:val="FFFFFF"/>
                <w:sz w:val="20"/>
              </w:rPr>
              <w:t>EDC</w:t>
            </w:r>
          </w:p>
        </w:tc>
        <w:tc>
          <w:tcPr>
            <w:tcW w:w="3280" w:type="dxa"/>
            <w:tcBorders>
              <w:top w:val="none" w:sz="0" w:space="0" w:color="auto"/>
              <w:left w:val="none" w:sz="0" w:space="0" w:color="auto"/>
              <w:bottom w:val="none" w:sz="0" w:space="0" w:color="auto"/>
              <w:right w:val="none" w:sz="0" w:space="0" w:color="auto"/>
            </w:tcBorders>
            <w:shd w:val="clear" w:color="auto" w:fill="448A99"/>
            <w:noWrap/>
            <w:hideMark/>
          </w:tcPr>
          <w:p w:rsidR="005856EB" w:rsidRPr="00453F69" w:rsidRDefault="005856EB"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rPr>
            </w:pPr>
            <w:r w:rsidRPr="00453F69">
              <w:rPr>
                <w:rFonts w:ascii="Calibri" w:eastAsia="Times New Roman" w:hAnsi="Calibri" w:cs="Times New Roman"/>
                <w:bCs w:val="0"/>
                <w:color w:val="FFFFFF"/>
                <w:sz w:val="20"/>
              </w:rPr>
              <w:t>Acquisition Cost ($/</w:t>
            </w:r>
            <w:r w:rsidR="002143D1">
              <w:rPr>
                <w:rFonts w:ascii="Calibri" w:eastAsia="Times New Roman" w:hAnsi="Calibri" w:cs="Times New Roman"/>
                <w:bCs w:val="0"/>
                <w:color w:val="FFFFFF"/>
                <w:sz w:val="20"/>
              </w:rPr>
              <w:t>MW/year</w:t>
            </w:r>
            <w:r w:rsidRPr="00453F69">
              <w:rPr>
                <w:rFonts w:ascii="Calibri" w:eastAsia="Times New Roman" w:hAnsi="Calibri" w:cs="Times New Roman"/>
                <w:bCs w:val="0"/>
                <w:color w:val="FFFFFF"/>
                <w:sz w:val="20"/>
              </w:rPr>
              <w:t>)</w:t>
            </w:r>
          </w:p>
        </w:tc>
      </w:tr>
      <w:tr w:rsidR="00260F6F" w:rsidRPr="00453F69"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hideMark/>
          </w:tcPr>
          <w:p w:rsidR="00260F6F" w:rsidRPr="00453F69" w:rsidRDefault="00260F6F" w:rsidP="00A83ABC">
            <w:pPr>
              <w:rPr>
                <w:rFonts w:ascii="Calibri" w:eastAsia="Times New Roman" w:hAnsi="Calibri" w:cs="Times New Roman"/>
                <w:b w:val="0"/>
                <w:color w:val="000000"/>
                <w:sz w:val="20"/>
              </w:rPr>
            </w:pPr>
            <w:r w:rsidRPr="00453F69">
              <w:rPr>
                <w:rFonts w:ascii="Calibri" w:eastAsia="Times New Roman" w:hAnsi="Calibri" w:cs="Times New Roman"/>
                <w:b w:val="0"/>
                <w:color w:val="000000"/>
                <w:sz w:val="20"/>
              </w:rPr>
              <w:t>Duquesne</w:t>
            </w:r>
          </w:p>
        </w:tc>
        <w:tc>
          <w:tcPr>
            <w:tcW w:w="3280" w:type="dxa"/>
            <w:tcBorders>
              <w:left w:val="none" w:sz="0" w:space="0" w:color="auto"/>
            </w:tcBorders>
            <w:noWrap/>
            <w:hideMark/>
          </w:tcPr>
          <w:p w:rsidR="00260F6F" w:rsidRPr="00453F69"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453F69">
              <w:rPr>
                <w:rFonts w:ascii="Calibri" w:eastAsia="Times New Roman" w:hAnsi="Calibri" w:cs="Times New Roman"/>
                <w:color w:val="000000"/>
                <w:sz w:val="20"/>
              </w:rPr>
              <w:t>$57,976</w:t>
            </w:r>
          </w:p>
        </w:tc>
      </w:tr>
      <w:tr w:rsidR="00260F6F" w:rsidRPr="00453F69" w:rsidTr="00C655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hideMark/>
          </w:tcPr>
          <w:p w:rsidR="00260F6F" w:rsidRPr="00453F69" w:rsidRDefault="00260F6F" w:rsidP="00A83ABC">
            <w:pPr>
              <w:rPr>
                <w:rFonts w:ascii="Calibri" w:eastAsia="Times New Roman" w:hAnsi="Calibri" w:cs="Times New Roman"/>
                <w:b w:val="0"/>
                <w:color w:val="000000"/>
                <w:sz w:val="20"/>
              </w:rPr>
            </w:pPr>
            <w:r w:rsidRPr="00453F69">
              <w:rPr>
                <w:rFonts w:ascii="Calibri" w:eastAsia="Times New Roman" w:hAnsi="Calibri" w:cs="Times New Roman"/>
                <w:b w:val="0"/>
                <w:color w:val="000000"/>
                <w:sz w:val="20"/>
              </w:rPr>
              <w:t>FE: Met-Ed</w:t>
            </w:r>
          </w:p>
        </w:tc>
        <w:tc>
          <w:tcPr>
            <w:tcW w:w="3280" w:type="dxa"/>
            <w:tcBorders>
              <w:left w:val="none" w:sz="0" w:space="0" w:color="auto"/>
            </w:tcBorders>
            <w:noWrap/>
            <w:hideMark/>
          </w:tcPr>
          <w:p w:rsidR="00260F6F" w:rsidRPr="00453F69" w:rsidRDefault="00260F6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453F69">
              <w:rPr>
                <w:rFonts w:ascii="Calibri" w:eastAsia="Times New Roman" w:hAnsi="Calibri" w:cs="Times New Roman"/>
                <w:color w:val="000000"/>
                <w:sz w:val="20"/>
              </w:rPr>
              <w:t>$51,210</w:t>
            </w:r>
          </w:p>
        </w:tc>
      </w:tr>
      <w:tr w:rsidR="00260F6F" w:rsidRPr="00453F69"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hideMark/>
          </w:tcPr>
          <w:p w:rsidR="00260F6F" w:rsidRPr="00453F69" w:rsidRDefault="00260F6F" w:rsidP="00A83ABC">
            <w:pPr>
              <w:rPr>
                <w:rFonts w:ascii="Calibri" w:eastAsia="Times New Roman" w:hAnsi="Calibri" w:cs="Times New Roman"/>
                <w:b w:val="0"/>
                <w:color w:val="000000"/>
                <w:sz w:val="20"/>
              </w:rPr>
            </w:pPr>
            <w:r w:rsidRPr="00453F69">
              <w:rPr>
                <w:rFonts w:ascii="Calibri" w:eastAsia="Times New Roman" w:hAnsi="Calibri" w:cs="Times New Roman"/>
                <w:b w:val="0"/>
                <w:color w:val="000000"/>
                <w:sz w:val="20"/>
              </w:rPr>
              <w:t>FE: Penelec</w:t>
            </w:r>
          </w:p>
        </w:tc>
        <w:tc>
          <w:tcPr>
            <w:tcW w:w="3280" w:type="dxa"/>
            <w:tcBorders>
              <w:left w:val="none" w:sz="0" w:space="0" w:color="auto"/>
            </w:tcBorders>
            <w:noWrap/>
            <w:hideMark/>
          </w:tcPr>
          <w:p w:rsidR="00260F6F" w:rsidRPr="00453F69"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453F69">
              <w:rPr>
                <w:rFonts w:ascii="Calibri" w:eastAsia="Times New Roman" w:hAnsi="Calibri" w:cs="Times New Roman"/>
                <w:color w:val="000000"/>
                <w:sz w:val="20"/>
              </w:rPr>
              <w:t>$50,782</w:t>
            </w:r>
          </w:p>
        </w:tc>
      </w:tr>
      <w:tr w:rsidR="00260F6F" w:rsidRPr="00453F69" w:rsidTr="00C655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hideMark/>
          </w:tcPr>
          <w:p w:rsidR="00260F6F" w:rsidRPr="00453F69" w:rsidRDefault="00260F6F" w:rsidP="00A83ABC">
            <w:pPr>
              <w:rPr>
                <w:rFonts w:ascii="Calibri" w:eastAsia="Times New Roman" w:hAnsi="Calibri" w:cs="Times New Roman"/>
                <w:b w:val="0"/>
                <w:color w:val="000000"/>
                <w:sz w:val="20"/>
              </w:rPr>
            </w:pPr>
            <w:r w:rsidRPr="00453F69">
              <w:rPr>
                <w:rFonts w:ascii="Calibri" w:eastAsia="Times New Roman" w:hAnsi="Calibri" w:cs="Times New Roman"/>
                <w:b w:val="0"/>
                <w:color w:val="000000"/>
                <w:sz w:val="20"/>
              </w:rPr>
              <w:t>FE: Penn Power</w:t>
            </w:r>
          </w:p>
        </w:tc>
        <w:tc>
          <w:tcPr>
            <w:tcW w:w="3280" w:type="dxa"/>
            <w:tcBorders>
              <w:left w:val="none" w:sz="0" w:space="0" w:color="auto"/>
            </w:tcBorders>
            <w:noWrap/>
            <w:hideMark/>
          </w:tcPr>
          <w:p w:rsidR="00260F6F" w:rsidRPr="00453F69" w:rsidRDefault="00260F6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453F69">
              <w:rPr>
                <w:rFonts w:ascii="Calibri" w:eastAsia="Times New Roman" w:hAnsi="Calibri" w:cs="Times New Roman"/>
                <w:color w:val="000000"/>
                <w:sz w:val="20"/>
              </w:rPr>
              <w:t>$49,349</w:t>
            </w:r>
          </w:p>
        </w:tc>
      </w:tr>
      <w:tr w:rsidR="00260F6F" w:rsidRPr="00453F69"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hideMark/>
          </w:tcPr>
          <w:p w:rsidR="00260F6F" w:rsidRPr="00453F69" w:rsidRDefault="00260F6F" w:rsidP="00A83ABC">
            <w:pPr>
              <w:rPr>
                <w:rFonts w:ascii="Calibri" w:eastAsia="Times New Roman" w:hAnsi="Calibri" w:cs="Times New Roman"/>
                <w:b w:val="0"/>
                <w:color w:val="000000"/>
                <w:sz w:val="20"/>
              </w:rPr>
            </w:pPr>
            <w:r w:rsidRPr="00453F69">
              <w:rPr>
                <w:rFonts w:ascii="Calibri" w:eastAsia="Times New Roman" w:hAnsi="Calibri" w:cs="Times New Roman"/>
                <w:b w:val="0"/>
                <w:color w:val="000000"/>
                <w:sz w:val="20"/>
              </w:rPr>
              <w:t>FE: W</w:t>
            </w:r>
            <w:r>
              <w:rPr>
                <w:rFonts w:ascii="Calibri" w:eastAsia="Times New Roman" w:hAnsi="Calibri" w:cs="Times New Roman"/>
                <w:b w:val="0"/>
                <w:color w:val="000000"/>
                <w:sz w:val="20"/>
              </w:rPr>
              <w:t>est Penn</w:t>
            </w:r>
          </w:p>
        </w:tc>
        <w:tc>
          <w:tcPr>
            <w:tcW w:w="3280" w:type="dxa"/>
            <w:tcBorders>
              <w:left w:val="none" w:sz="0" w:space="0" w:color="auto"/>
            </w:tcBorders>
            <w:noWrap/>
            <w:hideMark/>
          </w:tcPr>
          <w:p w:rsidR="00260F6F" w:rsidRPr="00453F69"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453F69">
              <w:rPr>
                <w:rFonts w:ascii="Calibri" w:eastAsia="Times New Roman" w:hAnsi="Calibri" w:cs="Times New Roman"/>
                <w:color w:val="000000"/>
                <w:sz w:val="20"/>
              </w:rPr>
              <w:t>$46,203</w:t>
            </w:r>
          </w:p>
        </w:tc>
      </w:tr>
      <w:tr w:rsidR="00260F6F" w:rsidRPr="00453F69" w:rsidTr="00C655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hideMark/>
          </w:tcPr>
          <w:p w:rsidR="00260F6F" w:rsidRPr="00453F69" w:rsidRDefault="00260F6F" w:rsidP="00A83ABC">
            <w:pPr>
              <w:rPr>
                <w:rFonts w:ascii="Calibri" w:eastAsia="Times New Roman" w:hAnsi="Calibri" w:cs="Times New Roman"/>
                <w:b w:val="0"/>
                <w:color w:val="000000"/>
                <w:sz w:val="20"/>
              </w:rPr>
            </w:pPr>
            <w:r w:rsidRPr="00453F69">
              <w:rPr>
                <w:rFonts w:ascii="Calibri" w:eastAsia="Times New Roman" w:hAnsi="Calibri" w:cs="Times New Roman"/>
                <w:b w:val="0"/>
                <w:color w:val="000000"/>
                <w:sz w:val="20"/>
              </w:rPr>
              <w:t>PECO</w:t>
            </w:r>
          </w:p>
        </w:tc>
        <w:tc>
          <w:tcPr>
            <w:tcW w:w="3280" w:type="dxa"/>
            <w:tcBorders>
              <w:left w:val="none" w:sz="0" w:space="0" w:color="auto"/>
            </w:tcBorders>
            <w:noWrap/>
            <w:hideMark/>
          </w:tcPr>
          <w:p w:rsidR="00260F6F" w:rsidRPr="00453F69" w:rsidRDefault="00260F6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rPr>
            </w:pPr>
            <w:r w:rsidRPr="00453F69">
              <w:rPr>
                <w:rFonts w:ascii="Calibri" w:eastAsia="Times New Roman" w:hAnsi="Calibri" w:cs="Times New Roman"/>
                <w:color w:val="000000"/>
                <w:sz w:val="20"/>
              </w:rPr>
              <w:t>$58,893</w:t>
            </w:r>
          </w:p>
        </w:tc>
      </w:tr>
      <w:tr w:rsidR="00260F6F" w:rsidRPr="00453F69"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hideMark/>
          </w:tcPr>
          <w:p w:rsidR="00260F6F" w:rsidRPr="00453F69" w:rsidRDefault="00260F6F" w:rsidP="00A83ABC">
            <w:pPr>
              <w:rPr>
                <w:rFonts w:ascii="Calibri" w:eastAsia="Times New Roman" w:hAnsi="Calibri" w:cs="Times New Roman"/>
                <w:b w:val="0"/>
                <w:color w:val="000000"/>
                <w:sz w:val="20"/>
              </w:rPr>
            </w:pPr>
            <w:r w:rsidRPr="00453F69">
              <w:rPr>
                <w:rFonts w:ascii="Calibri" w:eastAsia="Times New Roman" w:hAnsi="Calibri" w:cs="Times New Roman"/>
                <w:b w:val="0"/>
                <w:color w:val="000000"/>
                <w:sz w:val="20"/>
              </w:rPr>
              <w:t>PPL</w:t>
            </w:r>
          </w:p>
        </w:tc>
        <w:tc>
          <w:tcPr>
            <w:tcW w:w="3280" w:type="dxa"/>
            <w:tcBorders>
              <w:left w:val="none" w:sz="0" w:space="0" w:color="auto"/>
            </w:tcBorders>
            <w:noWrap/>
            <w:hideMark/>
          </w:tcPr>
          <w:p w:rsidR="00260F6F" w:rsidRPr="00453F69"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453F69">
              <w:rPr>
                <w:rFonts w:ascii="Calibri" w:eastAsia="Times New Roman" w:hAnsi="Calibri" w:cs="Times New Roman"/>
                <w:color w:val="000000"/>
                <w:sz w:val="20"/>
              </w:rPr>
              <w:t>$41,622</w:t>
            </w:r>
          </w:p>
        </w:tc>
      </w:tr>
      <w:tr w:rsidR="00260F6F" w:rsidRPr="00453F69" w:rsidTr="00C6552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noWrap/>
          </w:tcPr>
          <w:p w:rsidR="00260F6F" w:rsidRPr="00453F69" w:rsidRDefault="00260F6F" w:rsidP="00A83ABC">
            <w:pPr>
              <w:rPr>
                <w:rFonts w:ascii="Calibri" w:eastAsia="Times New Roman" w:hAnsi="Calibri" w:cs="Times New Roman"/>
                <w:color w:val="000000"/>
                <w:sz w:val="20"/>
              </w:rPr>
            </w:pPr>
            <w:r w:rsidRPr="00453F69">
              <w:rPr>
                <w:rFonts w:ascii="Calibri" w:eastAsia="Times New Roman" w:hAnsi="Calibri" w:cs="Times New Roman"/>
                <w:color w:val="000000"/>
                <w:sz w:val="20"/>
              </w:rPr>
              <w:t>Statewide Average</w:t>
            </w:r>
          </w:p>
        </w:tc>
        <w:tc>
          <w:tcPr>
            <w:tcW w:w="3280" w:type="dxa"/>
            <w:tcBorders>
              <w:left w:val="none" w:sz="0" w:space="0" w:color="auto"/>
            </w:tcBorders>
            <w:noWrap/>
          </w:tcPr>
          <w:p w:rsidR="00260F6F" w:rsidRPr="00453F69" w:rsidRDefault="00260F6F" w:rsidP="00A83A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20"/>
              </w:rPr>
            </w:pPr>
            <w:r w:rsidRPr="00453F69">
              <w:rPr>
                <w:rFonts w:ascii="Calibri" w:eastAsia="Times New Roman" w:hAnsi="Calibri" w:cs="Times New Roman"/>
                <w:b/>
                <w:color w:val="000000"/>
                <w:sz w:val="20"/>
              </w:rPr>
              <w:t>$52,310</w:t>
            </w:r>
          </w:p>
        </w:tc>
      </w:tr>
    </w:tbl>
    <w:p w:rsidR="005856EB" w:rsidRDefault="005856EB" w:rsidP="00A83ABC"/>
    <w:p w:rsidR="00656881" w:rsidRPr="00AD7E52" w:rsidRDefault="001C6F7C" w:rsidP="00A83ABC">
      <w:r w:rsidRPr="00AD7E52">
        <w:t xml:space="preserve">The acquisition cost of residential DLC, small commercial DLC, and C&amp;I load curtailment programs vary. For </w:t>
      </w:r>
      <w:r w:rsidR="005856EB" w:rsidRPr="00AD7E52">
        <w:t>PECO, which has</w:t>
      </w:r>
      <w:r w:rsidRPr="00AD7E52">
        <w:t xml:space="preserve"> cost-effective </w:t>
      </w:r>
      <w:r w:rsidR="00037A03" w:rsidRPr="00AD7E52">
        <w:t>DR</w:t>
      </w:r>
      <w:r w:rsidRPr="00AD7E52">
        <w:t xml:space="preserve"> potential in multiple </w:t>
      </w:r>
      <w:r w:rsidR="00D85131" w:rsidRPr="00AD7E52">
        <w:t>DR program types</w:t>
      </w:r>
      <w:r w:rsidRPr="00AD7E52">
        <w:t xml:space="preserve">, the SWE </w:t>
      </w:r>
      <w:r w:rsidR="00260F6F" w:rsidRPr="00AD7E52">
        <w:t>T</w:t>
      </w:r>
      <w:r w:rsidRPr="00AD7E52">
        <w:t>eam calculated a we</w:t>
      </w:r>
      <w:r w:rsidR="005856EB" w:rsidRPr="00AD7E52">
        <w:t>ighted average acquisition cost across program types to estimate the average annual savings potential which could be achieved at the various DR spending levels.</w:t>
      </w:r>
      <w:r w:rsidR="00857DFB" w:rsidRPr="00AD7E52">
        <w:t xml:space="preserve"> </w:t>
      </w:r>
      <w:r w:rsidR="004D2875">
        <w:t>Results of the “business as usual” PJM scenario were used for this calculation and t</w:t>
      </w:r>
      <w:r w:rsidR="00857DFB" w:rsidRPr="00AD7E52">
        <w:t xml:space="preserve">he input figures and result are shown in </w:t>
      </w:r>
      <w:r w:rsidR="00857DFB" w:rsidRPr="00AD7E52">
        <w:fldChar w:fldCharType="begin"/>
      </w:r>
      <w:r w:rsidR="00857DFB" w:rsidRPr="00AD7E52">
        <w:instrText xml:space="preserve"> REF _Ref407785324 \h </w:instrText>
      </w:r>
      <w:r w:rsidR="00857DFB" w:rsidRPr="00AD7E52">
        <w:fldChar w:fldCharType="separate"/>
      </w:r>
      <w:r w:rsidR="00803DBE">
        <w:t xml:space="preserve">Table </w:t>
      </w:r>
      <w:r w:rsidR="00803DBE">
        <w:rPr>
          <w:noProof/>
        </w:rPr>
        <w:t>7</w:t>
      </w:r>
      <w:r w:rsidR="00803DBE">
        <w:noBreakHyphen/>
      </w:r>
      <w:r w:rsidR="00803DBE">
        <w:rPr>
          <w:noProof/>
        </w:rPr>
        <w:t>2</w:t>
      </w:r>
      <w:r w:rsidR="00857DFB" w:rsidRPr="00AD7E52">
        <w:fldChar w:fldCharType="end"/>
      </w:r>
      <w:r w:rsidR="00857DFB" w:rsidRPr="00AD7E52">
        <w:t>.</w:t>
      </w:r>
    </w:p>
    <w:p w:rsidR="001F76C8" w:rsidRPr="00AD7E52" w:rsidRDefault="001F76C8" w:rsidP="00A83ABC"/>
    <w:p w:rsidR="00857DFB" w:rsidRDefault="00857DFB" w:rsidP="00A83ABC">
      <w:pPr>
        <w:pStyle w:val="Caption"/>
        <w:keepNext/>
      </w:pPr>
      <w:bookmarkStart w:id="301" w:name="_Ref407785324"/>
      <w:bookmarkStart w:id="302" w:name="_Toc412628495"/>
      <w:r>
        <w:t xml:space="preserve">Table </w:t>
      </w:r>
      <w:r w:rsidR="00E2011B">
        <w:fldChar w:fldCharType="begin"/>
      </w:r>
      <w:r w:rsidR="00E2011B">
        <w:instrText xml:space="preserve"> STYLEREF 1 \s </w:instrText>
      </w:r>
      <w:r w:rsidR="00E2011B">
        <w:fldChar w:fldCharType="separate"/>
      </w:r>
      <w:r w:rsidR="00803DBE">
        <w:rPr>
          <w:noProof/>
        </w:rPr>
        <w:t>7</w:t>
      </w:r>
      <w:r w:rsidR="00E2011B">
        <w:rPr>
          <w:noProof/>
        </w:rPr>
        <w:fldChar w:fldCharType="end"/>
      </w:r>
      <w:r w:rsidR="00F30AE2">
        <w:noBreakHyphen/>
      </w:r>
      <w:r w:rsidR="00E2011B">
        <w:fldChar w:fldCharType="begin"/>
      </w:r>
      <w:r w:rsidR="00E2011B">
        <w:instrText xml:space="preserve"> </w:instrText>
      </w:r>
      <w:r w:rsidR="00E2011B">
        <w:instrText xml:space="preserve">SEQ Table \* ARABIC \s 1 </w:instrText>
      </w:r>
      <w:r w:rsidR="00E2011B">
        <w:fldChar w:fldCharType="separate"/>
      </w:r>
      <w:r w:rsidR="00803DBE">
        <w:rPr>
          <w:noProof/>
        </w:rPr>
        <w:t>2</w:t>
      </w:r>
      <w:r w:rsidR="00E2011B">
        <w:rPr>
          <w:noProof/>
        </w:rPr>
        <w:fldChar w:fldCharType="end"/>
      </w:r>
      <w:bookmarkEnd w:id="301"/>
      <w:r>
        <w:t>: PECO Acquisition Cost Calculation</w:t>
      </w:r>
      <w:bookmarkEnd w:id="302"/>
    </w:p>
    <w:tbl>
      <w:tblPr>
        <w:tblStyle w:val="MediumShading1-Accent5"/>
        <w:tblW w:w="837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278"/>
        <w:gridCol w:w="2042"/>
        <w:gridCol w:w="1890"/>
        <w:gridCol w:w="2160"/>
      </w:tblGrid>
      <w:tr w:rsidR="001F76C8" w:rsidRPr="00453F69" w:rsidTr="00C6552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cBorders>
            <w:shd w:val="clear" w:color="auto" w:fill="448A99"/>
            <w:noWrap/>
            <w:vAlign w:val="bottom"/>
          </w:tcPr>
          <w:p w:rsidR="001F76C8" w:rsidRPr="00453F69" w:rsidRDefault="00857DFB" w:rsidP="00A83ABC">
            <w:pPr>
              <w:jc w:val="left"/>
              <w:rPr>
                <w:rFonts w:ascii="Calibri" w:eastAsia="Times New Roman" w:hAnsi="Calibri" w:cs="Times New Roman"/>
                <w:bCs w:val="0"/>
                <w:color w:val="FFFFFF"/>
                <w:sz w:val="20"/>
              </w:rPr>
            </w:pPr>
            <w:r>
              <w:rPr>
                <w:rFonts w:ascii="Calibri" w:eastAsia="Times New Roman" w:hAnsi="Calibri" w:cs="Times New Roman"/>
                <w:bCs w:val="0"/>
                <w:color w:val="FFFFFF"/>
                <w:sz w:val="20"/>
              </w:rPr>
              <w:t>PECO Program</w:t>
            </w:r>
          </w:p>
        </w:tc>
        <w:tc>
          <w:tcPr>
            <w:tcW w:w="2042" w:type="dxa"/>
            <w:tcBorders>
              <w:top w:val="none" w:sz="0" w:space="0" w:color="auto"/>
              <w:left w:val="none" w:sz="0" w:space="0" w:color="auto"/>
              <w:bottom w:val="none" w:sz="0" w:space="0" w:color="auto"/>
              <w:right w:val="none" w:sz="0" w:space="0" w:color="auto"/>
            </w:tcBorders>
            <w:shd w:val="clear" w:color="auto" w:fill="448A99"/>
            <w:noWrap/>
            <w:vAlign w:val="bottom"/>
          </w:tcPr>
          <w:p w:rsidR="001F76C8" w:rsidRPr="00453F69" w:rsidRDefault="00857DFB"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rPr>
            </w:pPr>
            <w:r>
              <w:rPr>
                <w:rFonts w:ascii="Calibri" w:eastAsia="Times New Roman" w:hAnsi="Calibri" w:cs="Times New Roman"/>
                <w:bCs w:val="0"/>
                <w:color w:val="FFFFFF"/>
                <w:sz w:val="20"/>
              </w:rPr>
              <w:t>5-Year MW Potential</w:t>
            </w:r>
          </w:p>
        </w:tc>
        <w:tc>
          <w:tcPr>
            <w:tcW w:w="1890" w:type="dxa"/>
            <w:tcBorders>
              <w:top w:val="none" w:sz="0" w:space="0" w:color="auto"/>
              <w:left w:val="none" w:sz="0" w:space="0" w:color="auto"/>
              <w:bottom w:val="none" w:sz="0" w:space="0" w:color="auto"/>
              <w:right w:val="none" w:sz="0" w:space="0" w:color="auto"/>
            </w:tcBorders>
            <w:shd w:val="clear" w:color="auto" w:fill="448A99"/>
            <w:vAlign w:val="bottom"/>
          </w:tcPr>
          <w:p w:rsidR="001F76C8" w:rsidRPr="00453F69" w:rsidRDefault="00857DFB"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rPr>
            </w:pPr>
            <w:r>
              <w:rPr>
                <w:rFonts w:ascii="Calibri" w:eastAsia="Times New Roman" w:hAnsi="Calibri" w:cs="Times New Roman"/>
                <w:bCs w:val="0"/>
                <w:color w:val="FFFFFF"/>
                <w:sz w:val="20"/>
              </w:rPr>
              <w:t>5-Year Costs</w:t>
            </w:r>
          </w:p>
        </w:tc>
        <w:tc>
          <w:tcPr>
            <w:tcW w:w="2160" w:type="dxa"/>
            <w:tcBorders>
              <w:top w:val="none" w:sz="0" w:space="0" w:color="auto"/>
              <w:left w:val="none" w:sz="0" w:space="0" w:color="auto"/>
              <w:bottom w:val="none" w:sz="0" w:space="0" w:color="auto"/>
              <w:right w:val="none" w:sz="0" w:space="0" w:color="auto"/>
            </w:tcBorders>
            <w:shd w:val="clear" w:color="auto" w:fill="448A99"/>
            <w:vAlign w:val="bottom"/>
          </w:tcPr>
          <w:p w:rsidR="001F76C8" w:rsidRPr="00453F69" w:rsidRDefault="00857DFB" w:rsidP="00A83A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sz w:val="20"/>
              </w:rPr>
            </w:pPr>
            <w:r>
              <w:rPr>
                <w:rFonts w:ascii="Calibri" w:eastAsia="Times New Roman" w:hAnsi="Calibri" w:cs="Times New Roman"/>
                <w:bCs w:val="0"/>
                <w:color w:val="FFFFFF"/>
                <w:sz w:val="20"/>
              </w:rPr>
              <w:t>Acquisition Cost ($/</w:t>
            </w:r>
            <w:r w:rsidR="002143D1">
              <w:rPr>
                <w:rFonts w:ascii="Calibri" w:eastAsia="Times New Roman" w:hAnsi="Calibri" w:cs="Times New Roman"/>
                <w:bCs w:val="0"/>
                <w:color w:val="FFFFFF"/>
                <w:sz w:val="20"/>
              </w:rPr>
              <w:t>MW/year</w:t>
            </w:r>
            <w:r>
              <w:rPr>
                <w:rFonts w:ascii="Calibri" w:eastAsia="Times New Roman" w:hAnsi="Calibri" w:cs="Times New Roman"/>
                <w:bCs w:val="0"/>
                <w:color w:val="FFFFFF"/>
                <w:sz w:val="20"/>
              </w:rPr>
              <w:t>)</w:t>
            </w:r>
          </w:p>
        </w:tc>
      </w:tr>
      <w:tr w:rsidR="004D2875" w:rsidRPr="00453F69"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8" w:type="dxa"/>
            <w:tcBorders>
              <w:right w:val="none" w:sz="0" w:space="0" w:color="auto"/>
            </w:tcBorders>
            <w:noWrap/>
            <w:vAlign w:val="bottom"/>
          </w:tcPr>
          <w:p w:rsidR="004D2875" w:rsidRPr="001F76C8" w:rsidRDefault="004D2875" w:rsidP="00A83ABC">
            <w:pPr>
              <w:jc w:val="left"/>
              <w:rPr>
                <w:rFonts w:ascii="Calibri" w:eastAsia="Times New Roman" w:hAnsi="Calibri" w:cs="Times New Roman"/>
                <w:b w:val="0"/>
                <w:color w:val="000000"/>
                <w:sz w:val="20"/>
                <w:szCs w:val="20"/>
              </w:rPr>
            </w:pPr>
            <w:r w:rsidRPr="001F76C8">
              <w:rPr>
                <w:rFonts w:ascii="Calibri" w:eastAsia="Times New Roman" w:hAnsi="Calibri" w:cs="Times New Roman"/>
                <w:b w:val="0"/>
                <w:color w:val="000000"/>
                <w:sz w:val="20"/>
                <w:szCs w:val="20"/>
              </w:rPr>
              <w:t>Load Curtailment</w:t>
            </w:r>
          </w:p>
        </w:tc>
        <w:tc>
          <w:tcPr>
            <w:tcW w:w="2042" w:type="dxa"/>
            <w:tcBorders>
              <w:left w:val="none" w:sz="0" w:space="0" w:color="auto"/>
              <w:right w:val="none" w:sz="0" w:space="0" w:color="auto"/>
            </w:tcBorders>
            <w:noWrap/>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2,414</w:t>
            </w:r>
          </w:p>
        </w:tc>
        <w:tc>
          <w:tcPr>
            <w:tcW w:w="1890" w:type="dxa"/>
            <w:tcBorders>
              <w:left w:val="none" w:sz="0" w:space="0" w:color="auto"/>
              <w:right w:val="none" w:sz="0" w:space="0" w:color="auto"/>
            </w:tcBorders>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$142,167,801</w:t>
            </w:r>
          </w:p>
        </w:tc>
        <w:tc>
          <w:tcPr>
            <w:tcW w:w="2160" w:type="dxa"/>
            <w:tcBorders>
              <w:left w:val="none" w:sz="0" w:space="0" w:color="auto"/>
            </w:tcBorders>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$58,893</w:t>
            </w:r>
          </w:p>
        </w:tc>
      </w:tr>
      <w:tr w:rsidR="004D2875" w:rsidRPr="00453F69" w:rsidTr="004D2875">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8" w:type="dxa"/>
            <w:tcBorders>
              <w:right w:val="none" w:sz="0" w:space="0" w:color="auto"/>
            </w:tcBorders>
            <w:noWrap/>
            <w:vAlign w:val="bottom"/>
          </w:tcPr>
          <w:p w:rsidR="004D2875" w:rsidRPr="001F76C8" w:rsidRDefault="004D2875" w:rsidP="00A83ABC">
            <w:pPr>
              <w:jc w:val="left"/>
              <w:rPr>
                <w:rFonts w:ascii="Calibri" w:eastAsia="Times New Roman" w:hAnsi="Calibri" w:cs="Times New Roman"/>
                <w:b w:val="0"/>
                <w:color w:val="000000"/>
                <w:sz w:val="20"/>
                <w:szCs w:val="20"/>
              </w:rPr>
            </w:pPr>
            <w:r w:rsidRPr="001F76C8">
              <w:rPr>
                <w:rFonts w:ascii="Calibri" w:eastAsia="Times New Roman" w:hAnsi="Calibri" w:cs="Times New Roman"/>
                <w:b w:val="0"/>
                <w:color w:val="000000"/>
                <w:sz w:val="20"/>
                <w:szCs w:val="20"/>
              </w:rPr>
              <w:t xml:space="preserve">Small </w:t>
            </w:r>
            <w:r>
              <w:rPr>
                <w:rFonts w:ascii="Calibri" w:eastAsia="Times New Roman" w:hAnsi="Calibri" w:cs="Times New Roman"/>
                <w:b w:val="0"/>
                <w:color w:val="000000"/>
                <w:sz w:val="20"/>
                <w:szCs w:val="20"/>
              </w:rPr>
              <w:t>Business</w:t>
            </w:r>
            <w:r w:rsidRPr="001F76C8">
              <w:rPr>
                <w:rFonts w:ascii="Calibri" w:eastAsia="Times New Roman" w:hAnsi="Calibri" w:cs="Times New Roman"/>
                <w:b w:val="0"/>
                <w:color w:val="000000"/>
                <w:sz w:val="20"/>
                <w:szCs w:val="20"/>
              </w:rPr>
              <w:t xml:space="preserve"> DLC</w:t>
            </w:r>
          </w:p>
        </w:tc>
        <w:tc>
          <w:tcPr>
            <w:tcW w:w="2042" w:type="dxa"/>
            <w:tcBorders>
              <w:left w:val="none" w:sz="0" w:space="0" w:color="auto"/>
              <w:right w:val="none" w:sz="0" w:space="0" w:color="auto"/>
            </w:tcBorders>
            <w:noWrap/>
            <w:vAlign w:val="center"/>
          </w:tcPr>
          <w:p w:rsidR="004D2875" w:rsidRPr="004D2875" w:rsidRDefault="004D2875"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29</w:t>
            </w:r>
          </w:p>
        </w:tc>
        <w:tc>
          <w:tcPr>
            <w:tcW w:w="1890" w:type="dxa"/>
            <w:tcBorders>
              <w:left w:val="none" w:sz="0" w:space="0" w:color="auto"/>
              <w:right w:val="none" w:sz="0" w:space="0" w:color="auto"/>
            </w:tcBorders>
            <w:vAlign w:val="center"/>
          </w:tcPr>
          <w:p w:rsidR="004D2875" w:rsidRPr="004D2875" w:rsidRDefault="004D2875"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$3,013,153</w:t>
            </w:r>
          </w:p>
        </w:tc>
        <w:tc>
          <w:tcPr>
            <w:tcW w:w="2160" w:type="dxa"/>
            <w:tcBorders>
              <w:left w:val="none" w:sz="0" w:space="0" w:color="auto"/>
            </w:tcBorders>
            <w:vAlign w:val="center"/>
          </w:tcPr>
          <w:p w:rsidR="004D2875" w:rsidRPr="004D2875" w:rsidRDefault="004D2875"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$105,222</w:t>
            </w:r>
          </w:p>
        </w:tc>
      </w:tr>
      <w:tr w:rsidR="004D2875" w:rsidRPr="00453F69"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8" w:type="dxa"/>
            <w:tcBorders>
              <w:right w:val="none" w:sz="0" w:space="0" w:color="auto"/>
            </w:tcBorders>
            <w:noWrap/>
            <w:vAlign w:val="bottom"/>
          </w:tcPr>
          <w:p w:rsidR="004D2875" w:rsidRPr="001F76C8" w:rsidRDefault="004D2875" w:rsidP="00A83ABC">
            <w:pPr>
              <w:jc w:val="left"/>
              <w:rPr>
                <w:rFonts w:ascii="Calibri" w:eastAsia="Times New Roman" w:hAnsi="Calibri" w:cs="Times New Roman"/>
                <w:b w:val="0"/>
                <w:color w:val="000000"/>
                <w:sz w:val="20"/>
                <w:szCs w:val="20"/>
              </w:rPr>
            </w:pPr>
            <w:r w:rsidRPr="001F76C8">
              <w:rPr>
                <w:rFonts w:ascii="Calibri" w:eastAsia="Times New Roman" w:hAnsi="Calibri" w:cs="Times New Roman"/>
                <w:b w:val="0"/>
                <w:color w:val="000000"/>
                <w:sz w:val="20"/>
                <w:szCs w:val="20"/>
              </w:rPr>
              <w:t>Residential DLC</w:t>
            </w:r>
          </w:p>
        </w:tc>
        <w:tc>
          <w:tcPr>
            <w:tcW w:w="2042" w:type="dxa"/>
            <w:tcBorders>
              <w:left w:val="none" w:sz="0" w:space="0" w:color="auto"/>
              <w:right w:val="none" w:sz="0" w:space="0" w:color="auto"/>
            </w:tcBorders>
            <w:noWrap/>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392</w:t>
            </w:r>
          </w:p>
        </w:tc>
        <w:tc>
          <w:tcPr>
            <w:tcW w:w="1890" w:type="dxa"/>
            <w:tcBorders>
              <w:left w:val="none" w:sz="0" w:space="0" w:color="auto"/>
              <w:right w:val="none" w:sz="0" w:space="0" w:color="auto"/>
            </w:tcBorders>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$36,960,776</w:t>
            </w:r>
          </w:p>
        </w:tc>
        <w:tc>
          <w:tcPr>
            <w:tcW w:w="2160" w:type="dxa"/>
            <w:tcBorders>
              <w:left w:val="none" w:sz="0" w:space="0" w:color="auto"/>
            </w:tcBorders>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$94,300</w:t>
            </w:r>
          </w:p>
        </w:tc>
      </w:tr>
      <w:tr w:rsidR="004D2875" w:rsidRPr="00453F69" w:rsidTr="004D2875">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78" w:type="dxa"/>
            <w:tcBorders>
              <w:right w:val="none" w:sz="0" w:space="0" w:color="auto"/>
            </w:tcBorders>
            <w:noWrap/>
            <w:vAlign w:val="bottom"/>
          </w:tcPr>
          <w:p w:rsidR="004D2875" w:rsidRPr="001F76C8" w:rsidRDefault="004D2875" w:rsidP="00A83ABC">
            <w:pPr>
              <w:jc w:val="left"/>
              <w:rPr>
                <w:rFonts w:ascii="Calibri" w:eastAsia="Times New Roman" w:hAnsi="Calibri" w:cs="Times New Roman"/>
                <w:color w:val="000000"/>
                <w:sz w:val="20"/>
                <w:szCs w:val="20"/>
              </w:rPr>
            </w:pPr>
            <w:r w:rsidRPr="001F76C8">
              <w:rPr>
                <w:rFonts w:ascii="Calibri" w:eastAsia="Times New Roman" w:hAnsi="Calibri" w:cs="Times New Roman"/>
                <w:color w:val="000000"/>
                <w:sz w:val="20"/>
                <w:szCs w:val="20"/>
              </w:rPr>
              <w:t>Total</w:t>
            </w:r>
          </w:p>
        </w:tc>
        <w:tc>
          <w:tcPr>
            <w:tcW w:w="2042" w:type="dxa"/>
            <w:tcBorders>
              <w:left w:val="none" w:sz="0" w:space="0" w:color="auto"/>
              <w:right w:val="none" w:sz="0" w:space="0" w:color="auto"/>
            </w:tcBorders>
            <w:noWrap/>
            <w:vAlign w:val="center"/>
          </w:tcPr>
          <w:p w:rsidR="004D2875" w:rsidRPr="004D2875" w:rsidRDefault="004D2875"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4D2875">
              <w:rPr>
                <w:rFonts w:ascii="Calibri" w:hAnsi="Calibri"/>
                <w:b/>
                <w:bCs/>
                <w:color w:val="000000"/>
                <w:sz w:val="20"/>
                <w:szCs w:val="20"/>
              </w:rPr>
              <w:t>2,835</w:t>
            </w:r>
          </w:p>
        </w:tc>
        <w:tc>
          <w:tcPr>
            <w:tcW w:w="1890" w:type="dxa"/>
            <w:tcBorders>
              <w:left w:val="none" w:sz="0" w:space="0" w:color="auto"/>
              <w:right w:val="none" w:sz="0" w:space="0" w:color="auto"/>
            </w:tcBorders>
            <w:vAlign w:val="center"/>
          </w:tcPr>
          <w:p w:rsidR="004D2875" w:rsidRPr="004D2875" w:rsidRDefault="004D2875"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4D2875">
              <w:rPr>
                <w:rFonts w:ascii="Calibri" w:hAnsi="Calibri"/>
                <w:b/>
                <w:bCs/>
                <w:color w:val="000000"/>
                <w:sz w:val="20"/>
                <w:szCs w:val="20"/>
              </w:rPr>
              <w:t>182,141,730</w:t>
            </w:r>
          </w:p>
        </w:tc>
        <w:tc>
          <w:tcPr>
            <w:tcW w:w="2160" w:type="dxa"/>
            <w:tcBorders>
              <w:left w:val="none" w:sz="0" w:space="0" w:color="auto"/>
            </w:tcBorders>
            <w:vAlign w:val="center"/>
          </w:tcPr>
          <w:p w:rsidR="004D2875" w:rsidRPr="004D2875" w:rsidRDefault="004D2875"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4D2875">
              <w:rPr>
                <w:rFonts w:ascii="Calibri" w:hAnsi="Calibri"/>
                <w:b/>
                <w:bCs/>
                <w:color w:val="000000"/>
                <w:sz w:val="20"/>
                <w:szCs w:val="20"/>
              </w:rPr>
              <w:t>$64,257</w:t>
            </w:r>
          </w:p>
        </w:tc>
      </w:tr>
    </w:tbl>
    <w:p w:rsidR="00DF01B1" w:rsidRDefault="00DF01B1" w:rsidP="00A83ABC"/>
    <w:p w:rsidR="004D2875" w:rsidRDefault="004D2875" w:rsidP="00A83ABC"/>
    <w:p w:rsidR="004D2875" w:rsidRDefault="004D2875" w:rsidP="00A83ABC">
      <w:r>
        <w:fldChar w:fldCharType="begin"/>
      </w:r>
      <w:r>
        <w:instrText xml:space="preserve"> REF _Ref408576289 \h </w:instrText>
      </w:r>
      <w:r>
        <w:fldChar w:fldCharType="separate"/>
      </w:r>
      <w:r w:rsidR="00803DBE">
        <w:t xml:space="preserve">Table </w:t>
      </w:r>
      <w:r w:rsidR="00803DBE">
        <w:rPr>
          <w:noProof/>
        </w:rPr>
        <w:t>7</w:t>
      </w:r>
      <w:r w:rsidR="00803DBE">
        <w:noBreakHyphen/>
      </w:r>
      <w:r w:rsidR="00803DBE">
        <w:rPr>
          <w:noProof/>
        </w:rPr>
        <w:t>3</w:t>
      </w:r>
      <w:r>
        <w:fldChar w:fldCharType="end"/>
      </w:r>
      <w:r>
        <w:t xml:space="preserve"> shows the Phase III DR potential for the “business as usual” scenario. Penelec, PPL, and Met-Ed</w:t>
      </w:r>
      <w:r w:rsidRPr="004D2875">
        <w:t xml:space="preserve"> potential estimates are </w:t>
      </w:r>
      <w:r>
        <w:t>presented in red for certain</w:t>
      </w:r>
      <w:r w:rsidRPr="004D2875">
        <w:t xml:space="preserve"> scenario</w:t>
      </w:r>
      <w:r>
        <w:t xml:space="preserve">s where the EDC </w:t>
      </w:r>
      <w:r w:rsidRPr="004D2875">
        <w:t xml:space="preserve">would run out of load curtailment potential before exhausting the allocated funding. Duquesne, PECO, </w:t>
      </w:r>
      <w:r w:rsidR="001C3844">
        <w:t xml:space="preserve">West Penn, </w:t>
      </w:r>
      <w:r w:rsidRPr="004D2875">
        <w:t xml:space="preserve">and Penn Power could each spend the entirety of a 10%, 15%, or 20% funding allocation on cost-effective DR potential net of </w:t>
      </w:r>
      <w:r w:rsidR="001C3844">
        <w:t>“business as usual” estimates of PJM commitments</w:t>
      </w:r>
      <w:r w:rsidRPr="004D2875">
        <w:t>. For PECO, a portion of this potential could be achieved by the residential sector, or from a small and medium commercial DLC program.</w:t>
      </w:r>
    </w:p>
    <w:p w:rsidR="004D2875" w:rsidRDefault="004D2875" w:rsidP="00A83ABC"/>
    <w:p w:rsidR="004D2875" w:rsidRDefault="004D2875" w:rsidP="00A83ABC"/>
    <w:p w:rsidR="004D2875" w:rsidRDefault="004D2875" w:rsidP="00A83ABC"/>
    <w:p w:rsidR="004D2875" w:rsidRDefault="004D2875" w:rsidP="00A83ABC"/>
    <w:p w:rsidR="004D2875" w:rsidRDefault="004D2875" w:rsidP="00A83ABC"/>
    <w:p w:rsidR="00250D48" w:rsidRDefault="00250D48" w:rsidP="00A83ABC"/>
    <w:p w:rsidR="004D2875" w:rsidRDefault="004D2875" w:rsidP="00A83ABC"/>
    <w:p w:rsidR="004D2875" w:rsidRDefault="004D2875" w:rsidP="00A83ABC"/>
    <w:p w:rsidR="004D2875" w:rsidRDefault="004D2875" w:rsidP="00A83ABC"/>
    <w:p w:rsidR="004D2875" w:rsidRDefault="004D2875" w:rsidP="00A83ABC"/>
    <w:p w:rsidR="004D2875" w:rsidRDefault="004D2875" w:rsidP="00A83ABC">
      <w:pPr>
        <w:pStyle w:val="Caption"/>
        <w:keepNext/>
      </w:pPr>
      <w:bookmarkStart w:id="303" w:name="_Ref408576289"/>
      <w:bookmarkStart w:id="304" w:name="_Toc412628496"/>
      <w:r>
        <w:lastRenderedPageBreak/>
        <w:t xml:space="preserve">Table </w:t>
      </w:r>
      <w:r w:rsidR="00E2011B">
        <w:fldChar w:fldCharType="begin"/>
      </w:r>
      <w:r w:rsidR="00E2011B">
        <w:instrText xml:space="preserve"> STYLEREF 1 \s </w:instrText>
      </w:r>
      <w:r w:rsidR="00E2011B">
        <w:fldChar w:fldCharType="separate"/>
      </w:r>
      <w:r w:rsidR="00803DBE">
        <w:rPr>
          <w:noProof/>
        </w:rPr>
        <w:t>7</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3</w:t>
      </w:r>
      <w:r w:rsidR="00E2011B">
        <w:rPr>
          <w:noProof/>
        </w:rPr>
        <w:fldChar w:fldCharType="end"/>
      </w:r>
      <w:bookmarkEnd w:id="303"/>
      <w:r>
        <w:t xml:space="preserve">: Phase III DR </w:t>
      </w:r>
      <w:r w:rsidRPr="00D85131">
        <w:t>Program Potential</w:t>
      </w:r>
      <w:r>
        <w:t xml:space="preserve"> – Net of Projected PJM Commitments</w:t>
      </w:r>
      <w:bookmarkEnd w:id="304"/>
    </w:p>
    <w:tbl>
      <w:tblPr>
        <w:tblStyle w:val="LightList-Accent5"/>
        <w:tblW w:w="0" w:type="auto"/>
        <w:tblInd w:w="108" w:type="dxa"/>
        <w:tblBorders>
          <w:insideH w:val="single" w:sz="4" w:space="0" w:color="448A99"/>
          <w:insideV w:val="single" w:sz="4" w:space="0" w:color="448A99"/>
        </w:tblBorders>
        <w:tblLook w:val="04A0" w:firstRow="1" w:lastRow="0" w:firstColumn="1" w:lastColumn="0" w:noHBand="0" w:noVBand="1"/>
      </w:tblPr>
      <w:tblGrid>
        <w:gridCol w:w="1659"/>
        <w:gridCol w:w="1851"/>
        <w:gridCol w:w="2070"/>
        <w:gridCol w:w="1800"/>
        <w:gridCol w:w="2088"/>
      </w:tblGrid>
      <w:tr w:rsidR="004D2875" w:rsidRPr="0031271C" w:rsidTr="004D2875">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659" w:type="dxa"/>
            <w:shd w:val="clear" w:color="auto" w:fill="448A99"/>
            <w:vAlign w:val="center"/>
          </w:tcPr>
          <w:p w:rsidR="004D2875" w:rsidRPr="0031271C" w:rsidRDefault="004D2875" w:rsidP="00A83ABC">
            <w:pPr>
              <w:jc w:val="center"/>
              <w:rPr>
                <w:sz w:val="20"/>
                <w:szCs w:val="20"/>
              </w:rPr>
            </w:pPr>
            <w:r>
              <w:rPr>
                <w:sz w:val="20"/>
                <w:szCs w:val="20"/>
              </w:rPr>
              <w:t>EDC</w:t>
            </w:r>
          </w:p>
        </w:tc>
        <w:tc>
          <w:tcPr>
            <w:tcW w:w="1851" w:type="dxa"/>
            <w:shd w:val="clear" w:color="auto" w:fill="448A99"/>
            <w:vAlign w:val="center"/>
          </w:tcPr>
          <w:p w:rsidR="004D2875" w:rsidRPr="0031271C" w:rsidRDefault="004D287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5-Year DR Spending Ceiling</w:t>
            </w:r>
          </w:p>
        </w:tc>
        <w:tc>
          <w:tcPr>
            <w:tcW w:w="2070" w:type="dxa"/>
            <w:shd w:val="clear" w:color="auto" w:fill="448A99"/>
            <w:vAlign w:val="center"/>
          </w:tcPr>
          <w:p w:rsidR="004D2875" w:rsidRDefault="004D287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Program Acquisition Costs ($/MW/year)</w:t>
            </w:r>
          </w:p>
        </w:tc>
        <w:tc>
          <w:tcPr>
            <w:tcW w:w="1800" w:type="dxa"/>
            <w:shd w:val="clear" w:color="auto" w:fill="448A99"/>
            <w:vAlign w:val="center"/>
          </w:tcPr>
          <w:p w:rsidR="004D2875" w:rsidRPr="0031271C" w:rsidRDefault="004D287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Average Annual Potential Savings (MW)</w:t>
            </w:r>
          </w:p>
        </w:tc>
        <w:tc>
          <w:tcPr>
            <w:tcW w:w="2088" w:type="dxa"/>
            <w:shd w:val="clear" w:color="auto" w:fill="448A99"/>
          </w:tcPr>
          <w:p w:rsidR="004D2875" w:rsidRDefault="004D287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Reduction Relative to 2007-2008 Peak Demand</w:t>
            </w:r>
          </w:p>
        </w:tc>
      </w:tr>
      <w:tr w:rsidR="001C3844" w:rsidRPr="00337CFF" w:rsidTr="001C38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68" w:type="dxa"/>
            <w:gridSpan w:val="5"/>
            <w:shd w:val="clear" w:color="auto" w:fill="9C9393"/>
            <w:vAlign w:val="center"/>
          </w:tcPr>
          <w:p w:rsidR="001C3844" w:rsidRPr="00337CFF" w:rsidRDefault="001C3844" w:rsidP="00A83ABC">
            <w:pPr>
              <w:jc w:val="left"/>
              <w:rPr>
                <w:rFonts w:ascii="Calibri" w:hAnsi="Calibri"/>
                <w:color w:val="FFFFFF" w:themeColor="background1"/>
                <w:sz w:val="20"/>
                <w:szCs w:val="20"/>
              </w:rPr>
            </w:pPr>
            <w:r w:rsidRPr="00337CFF">
              <w:rPr>
                <w:rFonts w:ascii="Calibri" w:hAnsi="Calibri"/>
                <w:color w:val="FFFFFF" w:themeColor="background1"/>
                <w:sz w:val="20"/>
                <w:szCs w:val="20"/>
              </w:rPr>
              <w:t>2016-2020 – 10% DR Spending</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Duquesne</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$9,772,976</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$57,976</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34</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1.3%</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Met-Ed</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$12,433,446</w:t>
            </w:r>
          </w:p>
        </w:tc>
        <w:tc>
          <w:tcPr>
            <w:tcW w:w="207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$51,210</w:t>
            </w:r>
          </w:p>
        </w:tc>
        <w:tc>
          <w:tcPr>
            <w:tcW w:w="180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49</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1.8%</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Penelec</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$11,487,372</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$50,782</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0</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0.0%</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Penn Power</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$3,329,892</w:t>
            </w:r>
          </w:p>
        </w:tc>
        <w:tc>
          <w:tcPr>
            <w:tcW w:w="207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$49,349</w:t>
            </w:r>
          </w:p>
        </w:tc>
        <w:tc>
          <w:tcPr>
            <w:tcW w:w="180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13</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1.4%</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West Penn</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$11,781,234</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$46,203</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51</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1.5%</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PECO</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$42,697,579</w:t>
            </w:r>
          </w:p>
        </w:tc>
        <w:tc>
          <w:tcPr>
            <w:tcW w:w="2070" w:type="dxa"/>
            <w:shd w:val="clear" w:color="auto" w:fill="auto"/>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$64,257</w:t>
            </w:r>
          </w:p>
        </w:tc>
        <w:tc>
          <w:tcPr>
            <w:tcW w:w="1800" w:type="dxa"/>
            <w:shd w:val="clear" w:color="auto" w:fill="auto"/>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133</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1.7%</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PPL</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$30,750,688</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$41,622</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95</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1.4%</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color w:val="000000"/>
                <w:sz w:val="20"/>
                <w:szCs w:val="20"/>
              </w:rPr>
            </w:pPr>
            <w:r w:rsidRPr="004D2875">
              <w:rPr>
                <w:rFonts w:ascii="Calibri" w:hAnsi="Calibri"/>
                <w:bCs w:val="0"/>
                <w:color w:val="000000"/>
                <w:sz w:val="20"/>
                <w:szCs w:val="20"/>
              </w:rPr>
              <w:t>Statewide</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$122,253,187</w:t>
            </w:r>
          </w:p>
        </w:tc>
        <w:tc>
          <w:tcPr>
            <w:tcW w:w="207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$52,310</w:t>
            </w:r>
          </w:p>
        </w:tc>
        <w:tc>
          <w:tcPr>
            <w:tcW w:w="1800" w:type="dxa"/>
            <w:shd w:val="clear" w:color="auto" w:fill="auto"/>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sidRPr="004D2875">
              <w:rPr>
                <w:rFonts w:ascii="Calibri" w:hAnsi="Calibri"/>
                <w:b/>
                <w:bCs/>
                <w:color w:val="000000"/>
                <w:sz w:val="20"/>
                <w:szCs w:val="20"/>
              </w:rPr>
              <w:t>375</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1.4%</w:t>
            </w:r>
          </w:p>
        </w:tc>
      </w:tr>
      <w:tr w:rsidR="001C3844" w:rsidRPr="00337CFF" w:rsidTr="001C3844">
        <w:trPr>
          <w:trHeight w:val="346"/>
        </w:trPr>
        <w:tc>
          <w:tcPr>
            <w:cnfStyle w:val="001000000000" w:firstRow="0" w:lastRow="0" w:firstColumn="1" w:lastColumn="0" w:oddVBand="0" w:evenVBand="0" w:oddHBand="0" w:evenHBand="0" w:firstRowFirstColumn="0" w:firstRowLastColumn="0" w:lastRowFirstColumn="0" w:lastRowLastColumn="0"/>
            <w:tcW w:w="9468" w:type="dxa"/>
            <w:gridSpan w:val="5"/>
            <w:shd w:val="clear" w:color="auto" w:fill="9C9393"/>
            <w:vAlign w:val="center"/>
          </w:tcPr>
          <w:p w:rsidR="001C3844" w:rsidRPr="00337CFF" w:rsidRDefault="001C3844" w:rsidP="00A83ABC">
            <w:pPr>
              <w:jc w:val="left"/>
              <w:rPr>
                <w:rFonts w:ascii="Calibri" w:hAnsi="Calibri"/>
                <w:color w:val="FFFFFF" w:themeColor="background1"/>
                <w:sz w:val="20"/>
                <w:szCs w:val="20"/>
              </w:rPr>
            </w:pPr>
            <w:r w:rsidRPr="00337CFF">
              <w:rPr>
                <w:rFonts w:ascii="Calibri" w:hAnsi="Calibri"/>
                <w:color w:val="FFFFFF" w:themeColor="background1"/>
                <w:sz w:val="20"/>
                <w:szCs w:val="20"/>
              </w:rPr>
              <w:t>2016-2020 – 15% DR Spending</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Duquesne</w:t>
            </w:r>
          </w:p>
        </w:tc>
        <w:tc>
          <w:tcPr>
            <w:tcW w:w="1851"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$14,659,464</w:t>
            </w:r>
          </w:p>
        </w:tc>
        <w:tc>
          <w:tcPr>
            <w:tcW w:w="207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$57,976</w:t>
            </w:r>
          </w:p>
        </w:tc>
        <w:tc>
          <w:tcPr>
            <w:tcW w:w="180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51</w:t>
            </w:r>
          </w:p>
        </w:tc>
        <w:tc>
          <w:tcPr>
            <w:tcW w:w="2088"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2.0%</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Met-Ed</w:t>
            </w:r>
          </w:p>
        </w:tc>
        <w:tc>
          <w:tcPr>
            <w:tcW w:w="1851"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$18,650,169</w:t>
            </w:r>
          </w:p>
        </w:tc>
        <w:tc>
          <w:tcPr>
            <w:tcW w:w="2070"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$51,210</w:t>
            </w:r>
          </w:p>
        </w:tc>
        <w:tc>
          <w:tcPr>
            <w:tcW w:w="1800"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50</w:t>
            </w:r>
          </w:p>
        </w:tc>
        <w:tc>
          <w:tcPr>
            <w:tcW w:w="2088"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1.9%</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Penelec</w:t>
            </w:r>
          </w:p>
        </w:tc>
        <w:tc>
          <w:tcPr>
            <w:tcW w:w="1851"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$17,231,058</w:t>
            </w:r>
          </w:p>
        </w:tc>
        <w:tc>
          <w:tcPr>
            <w:tcW w:w="207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$50,782</w:t>
            </w:r>
          </w:p>
        </w:tc>
        <w:tc>
          <w:tcPr>
            <w:tcW w:w="180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0</w:t>
            </w:r>
          </w:p>
        </w:tc>
        <w:tc>
          <w:tcPr>
            <w:tcW w:w="2088"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0.0%</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Penn Power</w:t>
            </w:r>
          </w:p>
        </w:tc>
        <w:tc>
          <w:tcPr>
            <w:tcW w:w="1851"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$4,994,838</w:t>
            </w:r>
          </w:p>
        </w:tc>
        <w:tc>
          <w:tcPr>
            <w:tcW w:w="2070"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$49,349</w:t>
            </w:r>
          </w:p>
        </w:tc>
        <w:tc>
          <w:tcPr>
            <w:tcW w:w="1800"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20</w:t>
            </w:r>
          </w:p>
        </w:tc>
        <w:tc>
          <w:tcPr>
            <w:tcW w:w="2088"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2.1%</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West Penn</w:t>
            </w:r>
          </w:p>
        </w:tc>
        <w:tc>
          <w:tcPr>
            <w:tcW w:w="1851"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$17,671,851</w:t>
            </w:r>
          </w:p>
        </w:tc>
        <w:tc>
          <w:tcPr>
            <w:tcW w:w="207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$46,203</w:t>
            </w:r>
          </w:p>
        </w:tc>
        <w:tc>
          <w:tcPr>
            <w:tcW w:w="180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76</w:t>
            </w:r>
          </w:p>
        </w:tc>
        <w:tc>
          <w:tcPr>
            <w:tcW w:w="2088"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2.2%</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PECO</w:t>
            </w:r>
          </w:p>
        </w:tc>
        <w:tc>
          <w:tcPr>
            <w:tcW w:w="1851"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$64,046,369</w:t>
            </w:r>
          </w:p>
        </w:tc>
        <w:tc>
          <w:tcPr>
            <w:tcW w:w="2070" w:type="dxa"/>
            <w:shd w:val="clear" w:color="auto" w:fill="auto"/>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$64,257</w:t>
            </w:r>
          </w:p>
        </w:tc>
        <w:tc>
          <w:tcPr>
            <w:tcW w:w="1800" w:type="dxa"/>
            <w:shd w:val="clear" w:color="auto" w:fill="auto"/>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199</w:t>
            </w:r>
          </w:p>
        </w:tc>
        <w:tc>
          <w:tcPr>
            <w:tcW w:w="2088"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2.5%</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PPL</w:t>
            </w:r>
          </w:p>
        </w:tc>
        <w:tc>
          <w:tcPr>
            <w:tcW w:w="1851"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$46,126,032</w:t>
            </w:r>
          </w:p>
        </w:tc>
        <w:tc>
          <w:tcPr>
            <w:tcW w:w="207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$41,622</w:t>
            </w:r>
          </w:p>
        </w:tc>
        <w:tc>
          <w:tcPr>
            <w:tcW w:w="1800"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95</w:t>
            </w:r>
          </w:p>
        </w:tc>
        <w:tc>
          <w:tcPr>
            <w:tcW w:w="2088" w:type="dxa"/>
            <w:shd w:val="clear" w:color="auto" w:fill="D2EAF1"/>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1.4%</w:t>
            </w:r>
          </w:p>
        </w:tc>
      </w:tr>
      <w:tr w:rsidR="004D2875" w:rsidRPr="00BF7FC2"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color w:val="000000"/>
                <w:sz w:val="20"/>
                <w:szCs w:val="20"/>
              </w:rPr>
            </w:pPr>
            <w:r w:rsidRPr="004D2875">
              <w:rPr>
                <w:rFonts w:ascii="Calibri" w:hAnsi="Calibri"/>
                <w:bCs w:val="0"/>
                <w:color w:val="000000"/>
                <w:sz w:val="20"/>
                <w:szCs w:val="20"/>
              </w:rPr>
              <w:t>Statewide</w:t>
            </w:r>
          </w:p>
        </w:tc>
        <w:tc>
          <w:tcPr>
            <w:tcW w:w="1851"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$183,379,781</w:t>
            </w:r>
          </w:p>
        </w:tc>
        <w:tc>
          <w:tcPr>
            <w:tcW w:w="2070"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$52,310</w:t>
            </w:r>
          </w:p>
        </w:tc>
        <w:tc>
          <w:tcPr>
            <w:tcW w:w="1800" w:type="dxa"/>
            <w:shd w:val="clear" w:color="auto" w:fill="auto"/>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4D2875">
              <w:rPr>
                <w:rFonts w:ascii="Calibri" w:hAnsi="Calibri"/>
                <w:b/>
                <w:bCs/>
                <w:color w:val="000000"/>
                <w:sz w:val="20"/>
                <w:szCs w:val="20"/>
              </w:rPr>
              <w:t>492</w:t>
            </w:r>
          </w:p>
        </w:tc>
        <w:tc>
          <w:tcPr>
            <w:tcW w:w="2088" w:type="dxa"/>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1.9%</w:t>
            </w:r>
          </w:p>
        </w:tc>
      </w:tr>
      <w:tr w:rsidR="001C3844" w:rsidRPr="00337CFF"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468" w:type="dxa"/>
            <w:gridSpan w:val="5"/>
            <w:shd w:val="clear" w:color="auto" w:fill="9C9393"/>
            <w:vAlign w:val="center"/>
          </w:tcPr>
          <w:p w:rsidR="001C3844" w:rsidRPr="00337CFF" w:rsidRDefault="001C3844" w:rsidP="00A83ABC">
            <w:pPr>
              <w:jc w:val="left"/>
              <w:rPr>
                <w:rFonts w:ascii="Calibri" w:hAnsi="Calibri"/>
                <w:color w:val="FFFFFF" w:themeColor="background1"/>
                <w:sz w:val="20"/>
                <w:szCs w:val="20"/>
              </w:rPr>
            </w:pPr>
            <w:r w:rsidRPr="00337CFF">
              <w:rPr>
                <w:rFonts w:ascii="Calibri" w:hAnsi="Calibri"/>
                <w:color w:val="FFFFFF" w:themeColor="background1"/>
                <w:sz w:val="20"/>
                <w:szCs w:val="20"/>
              </w:rPr>
              <w:t>2016-2020 – 20% DR Spending</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Duquesne</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$19,545,952</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$57,976</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67</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2.7%</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Met-Ed</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$24,866,892</w:t>
            </w:r>
          </w:p>
        </w:tc>
        <w:tc>
          <w:tcPr>
            <w:tcW w:w="207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$51,210</w:t>
            </w:r>
          </w:p>
        </w:tc>
        <w:tc>
          <w:tcPr>
            <w:tcW w:w="180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50</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1.9%</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Penelec</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$22,974,744</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$50,782</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0</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0.0%</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Penn Power</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$6,659,784</w:t>
            </w:r>
          </w:p>
        </w:tc>
        <w:tc>
          <w:tcPr>
            <w:tcW w:w="207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$49,349</w:t>
            </w:r>
          </w:p>
        </w:tc>
        <w:tc>
          <w:tcPr>
            <w:tcW w:w="180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27</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2.8%</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FE: West Penn</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$23,562,468</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$46,203</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102</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2.9%</w:t>
            </w:r>
          </w:p>
        </w:tc>
      </w:tr>
      <w:tr w:rsidR="004D2875" w:rsidRPr="0031271C"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PECO</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$85,395,159</w:t>
            </w:r>
          </w:p>
        </w:tc>
        <w:tc>
          <w:tcPr>
            <w:tcW w:w="2070" w:type="dxa"/>
            <w:shd w:val="clear" w:color="auto" w:fill="auto"/>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$64,257</w:t>
            </w:r>
          </w:p>
        </w:tc>
        <w:tc>
          <w:tcPr>
            <w:tcW w:w="1800" w:type="dxa"/>
            <w:shd w:val="clear" w:color="auto" w:fill="auto"/>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266</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3.4%</w:t>
            </w:r>
          </w:p>
        </w:tc>
      </w:tr>
      <w:tr w:rsidR="004D2875" w:rsidRPr="0031271C" w:rsidTr="004D2875">
        <w:trPr>
          <w:trHeight w:val="346"/>
        </w:trPr>
        <w:tc>
          <w:tcPr>
            <w:cnfStyle w:val="001000000000" w:firstRow="0" w:lastRow="0" w:firstColumn="1" w:lastColumn="0" w:oddVBand="0" w:evenVBand="0" w:oddHBand="0" w:evenHBand="0" w:firstRowFirstColumn="0" w:firstRowLastColumn="0" w:lastRowFirstColumn="0" w:lastRowLastColumn="0"/>
            <w:tcW w:w="1659" w:type="dxa"/>
            <w:shd w:val="clear" w:color="auto" w:fill="D2EAF1"/>
          </w:tcPr>
          <w:p w:rsidR="004D2875" w:rsidRPr="004D2875" w:rsidRDefault="004D2875" w:rsidP="00A83ABC">
            <w:pPr>
              <w:jc w:val="left"/>
              <w:rPr>
                <w:rFonts w:ascii="Calibri" w:hAnsi="Calibri"/>
                <w:b w:val="0"/>
                <w:color w:val="000000"/>
                <w:sz w:val="20"/>
                <w:szCs w:val="20"/>
              </w:rPr>
            </w:pPr>
            <w:r w:rsidRPr="004D2875">
              <w:rPr>
                <w:rFonts w:ascii="Calibri" w:hAnsi="Calibri"/>
                <w:b w:val="0"/>
                <w:bCs w:val="0"/>
                <w:color w:val="000000"/>
                <w:sz w:val="20"/>
                <w:szCs w:val="20"/>
              </w:rPr>
              <w:t>PPL</w:t>
            </w:r>
          </w:p>
        </w:tc>
        <w:tc>
          <w:tcPr>
            <w:tcW w:w="1851"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$61,501,376</w:t>
            </w:r>
          </w:p>
        </w:tc>
        <w:tc>
          <w:tcPr>
            <w:tcW w:w="207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$41,622</w:t>
            </w:r>
          </w:p>
        </w:tc>
        <w:tc>
          <w:tcPr>
            <w:tcW w:w="1800"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FF0000"/>
                <w:sz w:val="20"/>
                <w:szCs w:val="20"/>
              </w:rPr>
            </w:pPr>
            <w:r w:rsidRPr="004D2875">
              <w:rPr>
                <w:rFonts w:ascii="Calibri" w:hAnsi="Calibri"/>
                <w:b/>
                <w:bCs/>
                <w:color w:val="FF0000"/>
                <w:sz w:val="20"/>
                <w:szCs w:val="20"/>
              </w:rPr>
              <w:t>95</w:t>
            </w:r>
          </w:p>
        </w:tc>
        <w:tc>
          <w:tcPr>
            <w:tcW w:w="2088" w:type="dxa"/>
            <w:shd w:val="clear" w:color="auto" w:fill="D2EAF1"/>
            <w:vAlign w:val="center"/>
          </w:tcPr>
          <w:p w:rsidR="004D2875" w:rsidRPr="004D2875" w:rsidRDefault="004D2875"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D2875">
              <w:rPr>
                <w:rFonts w:ascii="Calibri" w:hAnsi="Calibri"/>
                <w:color w:val="000000"/>
                <w:sz w:val="20"/>
                <w:szCs w:val="20"/>
              </w:rPr>
              <w:t>1.4%</w:t>
            </w:r>
          </w:p>
        </w:tc>
      </w:tr>
      <w:tr w:rsidR="004D2875" w:rsidRPr="00BF7FC2" w:rsidTr="004D287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59" w:type="dxa"/>
          </w:tcPr>
          <w:p w:rsidR="004D2875" w:rsidRPr="004D2875" w:rsidRDefault="004D2875" w:rsidP="00A83ABC">
            <w:pPr>
              <w:jc w:val="left"/>
              <w:rPr>
                <w:rFonts w:ascii="Calibri" w:hAnsi="Calibri"/>
                <w:color w:val="000000"/>
                <w:sz w:val="20"/>
                <w:szCs w:val="20"/>
              </w:rPr>
            </w:pPr>
            <w:r w:rsidRPr="004D2875">
              <w:rPr>
                <w:rFonts w:ascii="Calibri" w:hAnsi="Calibri"/>
                <w:bCs w:val="0"/>
                <w:color w:val="000000"/>
                <w:sz w:val="20"/>
                <w:szCs w:val="20"/>
              </w:rPr>
              <w:t>Statewide</w:t>
            </w:r>
          </w:p>
        </w:tc>
        <w:tc>
          <w:tcPr>
            <w:tcW w:w="1851"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$244,506,374</w:t>
            </w:r>
          </w:p>
        </w:tc>
        <w:tc>
          <w:tcPr>
            <w:tcW w:w="2070"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$52,310</w:t>
            </w:r>
          </w:p>
        </w:tc>
        <w:tc>
          <w:tcPr>
            <w:tcW w:w="1800" w:type="dxa"/>
            <w:shd w:val="clear" w:color="auto" w:fill="auto"/>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sidRPr="004D2875">
              <w:rPr>
                <w:rFonts w:ascii="Calibri" w:hAnsi="Calibri"/>
                <w:b/>
                <w:bCs/>
                <w:color w:val="000000"/>
                <w:sz w:val="20"/>
                <w:szCs w:val="20"/>
              </w:rPr>
              <w:t>607</w:t>
            </w:r>
          </w:p>
        </w:tc>
        <w:tc>
          <w:tcPr>
            <w:tcW w:w="2088" w:type="dxa"/>
            <w:vAlign w:val="center"/>
          </w:tcPr>
          <w:p w:rsidR="004D2875" w:rsidRPr="004D2875" w:rsidRDefault="004D2875"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D2875">
              <w:rPr>
                <w:rFonts w:ascii="Calibri" w:hAnsi="Calibri"/>
                <w:b/>
                <w:color w:val="000000"/>
                <w:sz w:val="20"/>
                <w:szCs w:val="20"/>
              </w:rPr>
              <w:t>2.3%</w:t>
            </w:r>
          </w:p>
        </w:tc>
      </w:tr>
    </w:tbl>
    <w:p w:rsidR="004D2875" w:rsidRDefault="004D2875" w:rsidP="00A83ABC"/>
    <w:p w:rsidR="008F44EC" w:rsidRDefault="00DF01B1" w:rsidP="00A83ABC">
      <w:r>
        <w:fldChar w:fldCharType="begin"/>
      </w:r>
      <w:r>
        <w:instrText xml:space="preserve"> REF _Ref408387708 \h </w:instrText>
      </w:r>
      <w:r>
        <w:fldChar w:fldCharType="separate"/>
      </w:r>
      <w:r w:rsidR="00803DBE" w:rsidRPr="00D85131">
        <w:t xml:space="preserve">Table </w:t>
      </w:r>
      <w:r w:rsidR="00803DBE">
        <w:rPr>
          <w:noProof/>
        </w:rPr>
        <w:t>7</w:t>
      </w:r>
      <w:r w:rsidR="00803DBE">
        <w:noBreakHyphen/>
      </w:r>
      <w:r w:rsidR="00803DBE">
        <w:rPr>
          <w:noProof/>
        </w:rPr>
        <w:t>4</w:t>
      </w:r>
      <w:r>
        <w:fldChar w:fldCharType="end"/>
      </w:r>
      <w:r>
        <w:t xml:space="preserve"> </w:t>
      </w:r>
      <w:r w:rsidR="004A6375">
        <w:t xml:space="preserve">shows the average annual </w:t>
      </w:r>
      <w:r w:rsidR="00037A03">
        <w:t>DR</w:t>
      </w:r>
      <w:r w:rsidR="004A6375">
        <w:t xml:space="preserve"> potential, by EDC, for each level of DR spending.</w:t>
      </w:r>
      <w:r w:rsidR="009A3400">
        <w:t xml:space="preserve"> </w:t>
      </w:r>
      <w:r w:rsidR="009A3400">
        <w:fldChar w:fldCharType="begin"/>
      </w:r>
      <w:r w:rsidR="009A3400">
        <w:instrText xml:space="preserve"> REF _Ref407115334 \h </w:instrText>
      </w:r>
      <w:r w:rsidR="009A3400">
        <w:fldChar w:fldCharType="separate"/>
      </w:r>
      <w:r w:rsidR="00803DBE" w:rsidRPr="00D85131">
        <w:t xml:space="preserve">Table </w:t>
      </w:r>
      <w:r w:rsidR="00803DBE">
        <w:rPr>
          <w:noProof/>
        </w:rPr>
        <w:t>7</w:t>
      </w:r>
      <w:r w:rsidR="00803DBE">
        <w:noBreakHyphen/>
      </w:r>
      <w:r w:rsidR="00803DBE">
        <w:rPr>
          <w:noProof/>
        </w:rPr>
        <w:t>4</w:t>
      </w:r>
      <w:r w:rsidR="009A3400">
        <w:fldChar w:fldCharType="end"/>
      </w:r>
      <w:r w:rsidR="001C3844">
        <w:t xml:space="preserve"> assumes the “wholesale changes” scenario where </w:t>
      </w:r>
      <w:r w:rsidR="009A3400">
        <w:t>there is no PJM DR in PY10, PY11, and PY12.</w:t>
      </w:r>
      <w:r w:rsidR="004A6375">
        <w:t xml:space="preserve"> The </w:t>
      </w:r>
      <w:r w:rsidR="009A3400">
        <w:t>funding split</w:t>
      </w:r>
      <w:r w:rsidR="004A6375">
        <w:t xml:space="preserve"> with 100% spending on </w:t>
      </w:r>
      <w:r w:rsidR="00857521">
        <w:t>EE</w:t>
      </w:r>
      <w:r w:rsidR="004A6375">
        <w:t xml:space="preserve"> has been omitted from the table as the </w:t>
      </w:r>
      <w:r w:rsidR="00037A03">
        <w:t>DR</w:t>
      </w:r>
      <w:r w:rsidR="004A6375">
        <w:t xml:space="preserve"> potential for that scenario is 0 MW for all EDCs.</w:t>
      </w:r>
      <w:r w:rsidR="00836346">
        <w:t xml:space="preserve"> Program potential estimates assume </w:t>
      </w:r>
      <w:r w:rsidR="00CF78C2">
        <w:t>“</w:t>
      </w:r>
      <w:r w:rsidR="00123C18">
        <w:t>Day-Ahead</w:t>
      </w:r>
      <w:r w:rsidR="00CF78C2">
        <w:t>”</w:t>
      </w:r>
      <w:r w:rsidR="00836346">
        <w:t xml:space="preserve"> event notification for C&amp;I load curtailment programs.</w:t>
      </w:r>
      <w:r w:rsidR="00797E21">
        <w:t xml:space="preserve"> The estimates of DR potential presented in </w:t>
      </w:r>
      <w:r w:rsidR="00797E21">
        <w:fldChar w:fldCharType="begin"/>
      </w:r>
      <w:r w:rsidR="00797E21">
        <w:instrText xml:space="preserve"> REF _Ref407115334 \h </w:instrText>
      </w:r>
      <w:r w:rsidR="00797E21">
        <w:fldChar w:fldCharType="separate"/>
      </w:r>
      <w:r w:rsidR="00803DBE" w:rsidRPr="00D85131">
        <w:t xml:space="preserve">Table </w:t>
      </w:r>
      <w:r w:rsidR="00803DBE">
        <w:rPr>
          <w:noProof/>
        </w:rPr>
        <w:t>7</w:t>
      </w:r>
      <w:r w:rsidR="00803DBE">
        <w:noBreakHyphen/>
      </w:r>
      <w:r w:rsidR="00803DBE">
        <w:rPr>
          <w:noProof/>
        </w:rPr>
        <w:t>4</w:t>
      </w:r>
      <w:r w:rsidR="00797E21">
        <w:fldChar w:fldCharType="end"/>
      </w:r>
      <w:r w:rsidR="00797E21">
        <w:t xml:space="preserve"> reflect a scenario where the PJM DR markets disappear after the 2017/2018 delivery year and all of the load curtailment </w:t>
      </w:r>
      <w:r w:rsidR="00797E21">
        <w:lastRenderedPageBreak/>
        <w:t>potential in the Commonwealth is available for an Act 129 DR program. This scenario may become a reality depending on the outcome of certain legal battles and market reforms.</w:t>
      </w:r>
    </w:p>
    <w:p w:rsidR="00D85131" w:rsidRDefault="00D85131" w:rsidP="00A83ABC"/>
    <w:p w:rsidR="00656881" w:rsidRPr="00D85131" w:rsidRDefault="00656881" w:rsidP="00A83ABC">
      <w:pPr>
        <w:pStyle w:val="Caption"/>
        <w:keepNext/>
      </w:pPr>
      <w:bookmarkStart w:id="305" w:name="_Ref407115334"/>
      <w:bookmarkStart w:id="306" w:name="_Ref408387708"/>
      <w:bookmarkStart w:id="307" w:name="_Toc412628497"/>
      <w:r w:rsidRPr="00D85131">
        <w:t xml:space="preserve">Table </w:t>
      </w:r>
      <w:r w:rsidR="00E2011B">
        <w:fldChar w:fldCharType="begin"/>
      </w:r>
      <w:r w:rsidR="00E2011B">
        <w:instrText xml:space="preserve"> </w:instrText>
      </w:r>
      <w:r w:rsidR="00E2011B">
        <w:instrText xml:space="preserve">STYLEREF 1 \s </w:instrText>
      </w:r>
      <w:r w:rsidR="00E2011B">
        <w:fldChar w:fldCharType="separate"/>
      </w:r>
      <w:r w:rsidR="00803DBE">
        <w:rPr>
          <w:noProof/>
        </w:rPr>
        <w:t>7</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4</w:t>
      </w:r>
      <w:r w:rsidR="00E2011B">
        <w:rPr>
          <w:noProof/>
        </w:rPr>
        <w:fldChar w:fldCharType="end"/>
      </w:r>
      <w:bookmarkEnd w:id="305"/>
      <w:bookmarkEnd w:id="306"/>
      <w:r w:rsidRPr="00D85131">
        <w:t xml:space="preserve">: </w:t>
      </w:r>
      <w:r w:rsidR="00D85131">
        <w:t xml:space="preserve">Phase III </w:t>
      </w:r>
      <w:r w:rsidR="00037A03">
        <w:t>DR</w:t>
      </w:r>
      <w:r w:rsidR="00D85131">
        <w:t xml:space="preserve"> </w:t>
      </w:r>
      <w:r w:rsidRPr="00D85131">
        <w:t>Program Potential</w:t>
      </w:r>
      <w:r w:rsidR="009A3400">
        <w:t xml:space="preserve"> – Net of </w:t>
      </w:r>
      <w:r w:rsidR="001C3844">
        <w:t xml:space="preserve">Only </w:t>
      </w:r>
      <w:r w:rsidR="009A3400">
        <w:t>Current PJM Commitments</w:t>
      </w:r>
      <w:bookmarkEnd w:id="307"/>
      <w:r w:rsidR="001C3844">
        <w:t xml:space="preserve"> </w:t>
      </w:r>
    </w:p>
    <w:tbl>
      <w:tblPr>
        <w:tblStyle w:val="LightList-Accent5"/>
        <w:tblW w:w="0" w:type="auto"/>
        <w:tblInd w:w="108" w:type="dxa"/>
        <w:tblBorders>
          <w:insideH w:val="single" w:sz="4" w:space="0" w:color="448A99"/>
          <w:insideV w:val="single" w:sz="4" w:space="0" w:color="448A99"/>
        </w:tblBorders>
        <w:tblLook w:val="04A0" w:firstRow="1" w:lastRow="0" w:firstColumn="1" w:lastColumn="0" w:noHBand="0" w:noVBand="1"/>
      </w:tblPr>
      <w:tblGrid>
        <w:gridCol w:w="1529"/>
        <w:gridCol w:w="1950"/>
        <w:gridCol w:w="1875"/>
        <w:gridCol w:w="2118"/>
        <w:gridCol w:w="1996"/>
      </w:tblGrid>
      <w:tr w:rsidR="001C3844" w:rsidRPr="0031271C" w:rsidTr="001C3844">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529" w:type="dxa"/>
            <w:shd w:val="clear" w:color="auto" w:fill="448A99"/>
            <w:vAlign w:val="bottom"/>
          </w:tcPr>
          <w:p w:rsidR="001C3844" w:rsidRPr="0031271C" w:rsidRDefault="001C3844" w:rsidP="00A83ABC">
            <w:pPr>
              <w:jc w:val="left"/>
              <w:rPr>
                <w:sz w:val="20"/>
                <w:szCs w:val="20"/>
              </w:rPr>
            </w:pPr>
            <w:r>
              <w:rPr>
                <w:sz w:val="20"/>
                <w:szCs w:val="20"/>
              </w:rPr>
              <w:t>EDC</w:t>
            </w:r>
          </w:p>
        </w:tc>
        <w:tc>
          <w:tcPr>
            <w:tcW w:w="1950" w:type="dxa"/>
            <w:shd w:val="clear" w:color="auto" w:fill="448A99"/>
            <w:vAlign w:val="bottom"/>
          </w:tcPr>
          <w:p w:rsidR="001C3844" w:rsidRPr="0031271C" w:rsidRDefault="001C3844"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5-Year DR Spending Ceiling</w:t>
            </w:r>
          </w:p>
        </w:tc>
        <w:tc>
          <w:tcPr>
            <w:tcW w:w="1875" w:type="dxa"/>
            <w:shd w:val="clear" w:color="auto" w:fill="448A99"/>
            <w:vAlign w:val="bottom"/>
          </w:tcPr>
          <w:p w:rsidR="001C3844" w:rsidRDefault="001C3844"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Program Acquisition Costs ($/MW/year)</w:t>
            </w:r>
          </w:p>
        </w:tc>
        <w:tc>
          <w:tcPr>
            <w:tcW w:w="2118" w:type="dxa"/>
            <w:shd w:val="clear" w:color="auto" w:fill="448A99"/>
            <w:vAlign w:val="bottom"/>
          </w:tcPr>
          <w:p w:rsidR="001C3844" w:rsidRPr="0031271C" w:rsidRDefault="001C3844"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Average Annual Potential Savings (MW)</w:t>
            </w:r>
          </w:p>
        </w:tc>
        <w:tc>
          <w:tcPr>
            <w:tcW w:w="1996" w:type="dxa"/>
            <w:shd w:val="clear" w:color="auto" w:fill="448A99"/>
          </w:tcPr>
          <w:p w:rsidR="001C3844" w:rsidRDefault="001C3844"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Reduction Relative to 2007-2008 Peak Demand</w:t>
            </w:r>
          </w:p>
        </w:tc>
      </w:tr>
      <w:tr w:rsidR="001C3844" w:rsidRPr="00337CFF"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468" w:type="dxa"/>
            <w:gridSpan w:val="5"/>
            <w:shd w:val="clear" w:color="auto" w:fill="9C9393"/>
          </w:tcPr>
          <w:p w:rsidR="001C3844" w:rsidRPr="00337CFF" w:rsidRDefault="001C3844" w:rsidP="00A83ABC">
            <w:pPr>
              <w:jc w:val="left"/>
              <w:rPr>
                <w:rFonts w:ascii="Calibri" w:hAnsi="Calibri"/>
                <w:color w:val="FFFFFF" w:themeColor="background1"/>
                <w:sz w:val="20"/>
                <w:szCs w:val="20"/>
              </w:rPr>
            </w:pPr>
            <w:r w:rsidRPr="00337CFF">
              <w:rPr>
                <w:rFonts w:ascii="Calibri" w:hAnsi="Calibri"/>
                <w:color w:val="FFFFFF" w:themeColor="background1"/>
                <w:sz w:val="20"/>
                <w:szCs w:val="20"/>
              </w:rPr>
              <w:t>2016-2020 – 10% DR Spending</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Duquesne</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$9,772,976</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$57,976</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34</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Met-Ed</w:t>
            </w:r>
          </w:p>
        </w:tc>
        <w:tc>
          <w:tcPr>
            <w:tcW w:w="1950"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$12,433,446</w:t>
            </w:r>
          </w:p>
        </w:tc>
        <w:tc>
          <w:tcPr>
            <w:tcW w:w="1875"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$51,210</w:t>
            </w:r>
          </w:p>
        </w:tc>
        <w:tc>
          <w:tcPr>
            <w:tcW w:w="2118"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49</w:t>
            </w:r>
          </w:p>
        </w:tc>
        <w:tc>
          <w:tcPr>
            <w:tcW w:w="1996"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Penelec</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$11,487,372</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$50,782</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45</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Penn Power</w:t>
            </w:r>
          </w:p>
        </w:tc>
        <w:tc>
          <w:tcPr>
            <w:tcW w:w="1950"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$3,329,892</w:t>
            </w:r>
          </w:p>
        </w:tc>
        <w:tc>
          <w:tcPr>
            <w:tcW w:w="1875"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$49,349</w:t>
            </w:r>
          </w:p>
        </w:tc>
        <w:tc>
          <w:tcPr>
            <w:tcW w:w="2118"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w:t>
            </w:r>
          </w:p>
        </w:tc>
        <w:tc>
          <w:tcPr>
            <w:tcW w:w="1996"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W</w:t>
            </w:r>
            <w:r>
              <w:rPr>
                <w:rFonts w:ascii="Calibri" w:hAnsi="Calibri"/>
                <w:b w:val="0"/>
                <w:bCs w:val="0"/>
                <w:color w:val="000000"/>
                <w:sz w:val="20"/>
                <w:szCs w:val="20"/>
              </w:rPr>
              <w:t>est Penn</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$11,781,234</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$46,203</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PECO</w:t>
            </w:r>
          </w:p>
        </w:tc>
        <w:tc>
          <w:tcPr>
            <w:tcW w:w="1950"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$42,697,579</w:t>
            </w:r>
          </w:p>
        </w:tc>
        <w:tc>
          <w:tcPr>
            <w:tcW w:w="1875" w:type="dxa"/>
            <w:shd w:val="clear" w:color="auto" w:fill="auto"/>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$64,257</w:t>
            </w:r>
          </w:p>
        </w:tc>
        <w:tc>
          <w:tcPr>
            <w:tcW w:w="2118" w:type="dxa"/>
            <w:shd w:val="clear" w:color="auto" w:fill="auto"/>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133</w:t>
            </w:r>
          </w:p>
        </w:tc>
        <w:tc>
          <w:tcPr>
            <w:tcW w:w="1996"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1.7%</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PPL</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$30,750,688</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$41,622</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148</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color w:val="000000"/>
                <w:sz w:val="20"/>
                <w:szCs w:val="20"/>
              </w:rPr>
            </w:pPr>
            <w:r w:rsidRPr="005B1398">
              <w:rPr>
                <w:rFonts w:ascii="Calibri" w:hAnsi="Calibri"/>
                <w:bCs w:val="0"/>
                <w:color w:val="000000"/>
                <w:sz w:val="20"/>
                <w:szCs w:val="20"/>
              </w:rPr>
              <w:t>Statewide</w:t>
            </w:r>
          </w:p>
        </w:tc>
        <w:tc>
          <w:tcPr>
            <w:tcW w:w="1950" w:type="dxa"/>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$122,253,187</w:t>
            </w:r>
          </w:p>
        </w:tc>
        <w:tc>
          <w:tcPr>
            <w:tcW w:w="1875" w:type="dxa"/>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$52,310</w:t>
            </w:r>
          </w:p>
        </w:tc>
        <w:tc>
          <w:tcPr>
            <w:tcW w:w="2118" w:type="dxa"/>
            <w:shd w:val="clear" w:color="auto" w:fill="auto"/>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sidRPr="001C3844">
              <w:rPr>
                <w:rFonts w:ascii="Calibri" w:hAnsi="Calibri"/>
                <w:b/>
                <w:bCs/>
                <w:color w:val="000000"/>
                <w:sz w:val="20"/>
                <w:szCs w:val="20"/>
              </w:rPr>
              <w:t>473</w:t>
            </w:r>
          </w:p>
        </w:tc>
        <w:tc>
          <w:tcPr>
            <w:tcW w:w="1996" w:type="dxa"/>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1.8%</w:t>
            </w:r>
          </w:p>
        </w:tc>
      </w:tr>
      <w:tr w:rsidR="001C3844" w:rsidRPr="00337CFF" w:rsidTr="001C3844">
        <w:trPr>
          <w:trHeight w:val="346"/>
        </w:trPr>
        <w:tc>
          <w:tcPr>
            <w:cnfStyle w:val="001000000000" w:firstRow="0" w:lastRow="0" w:firstColumn="1" w:lastColumn="0" w:oddVBand="0" w:evenVBand="0" w:oddHBand="0" w:evenHBand="0" w:firstRowFirstColumn="0" w:firstRowLastColumn="0" w:lastRowFirstColumn="0" w:lastRowLastColumn="0"/>
            <w:tcW w:w="9468" w:type="dxa"/>
            <w:gridSpan w:val="5"/>
            <w:shd w:val="clear" w:color="auto" w:fill="9C9393"/>
          </w:tcPr>
          <w:p w:rsidR="001C3844" w:rsidRPr="00337CFF" w:rsidRDefault="001C3844" w:rsidP="00A83ABC">
            <w:pPr>
              <w:jc w:val="left"/>
              <w:rPr>
                <w:rFonts w:ascii="Calibri" w:hAnsi="Calibri"/>
                <w:color w:val="FFFFFF" w:themeColor="background1"/>
                <w:sz w:val="20"/>
                <w:szCs w:val="20"/>
              </w:rPr>
            </w:pPr>
            <w:r w:rsidRPr="00337CFF">
              <w:rPr>
                <w:rFonts w:ascii="Calibri" w:hAnsi="Calibri"/>
                <w:color w:val="FFFFFF" w:themeColor="background1"/>
                <w:sz w:val="20"/>
                <w:szCs w:val="20"/>
              </w:rPr>
              <w:t>2016-2020 – 15% DR Spending</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Duquesne</w:t>
            </w:r>
          </w:p>
        </w:tc>
        <w:tc>
          <w:tcPr>
            <w:tcW w:w="1950"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$14,659,464</w:t>
            </w:r>
          </w:p>
        </w:tc>
        <w:tc>
          <w:tcPr>
            <w:tcW w:w="1875"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$57,976</w:t>
            </w:r>
          </w:p>
        </w:tc>
        <w:tc>
          <w:tcPr>
            <w:tcW w:w="2118"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w:t>
            </w:r>
          </w:p>
        </w:tc>
        <w:tc>
          <w:tcPr>
            <w:tcW w:w="1996"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Met-Ed</w:t>
            </w:r>
          </w:p>
        </w:tc>
        <w:tc>
          <w:tcPr>
            <w:tcW w:w="1950"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$18,650,169</w:t>
            </w:r>
          </w:p>
        </w:tc>
        <w:tc>
          <w:tcPr>
            <w:tcW w:w="1875"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$51,210</w:t>
            </w:r>
          </w:p>
        </w:tc>
        <w:tc>
          <w:tcPr>
            <w:tcW w:w="2118"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73</w:t>
            </w:r>
          </w:p>
        </w:tc>
        <w:tc>
          <w:tcPr>
            <w:tcW w:w="1996"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Penelec</w:t>
            </w:r>
          </w:p>
        </w:tc>
        <w:tc>
          <w:tcPr>
            <w:tcW w:w="1950"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$17,231,058</w:t>
            </w:r>
          </w:p>
        </w:tc>
        <w:tc>
          <w:tcPr>
            <w:tcW w:w="1875"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$50,782</w:t>
            </w:r>
          </w:p>
        </w:tc>
        <w:tc>
          <w:tcPr>
            <w:tcW w:w="2118"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68</w:t>
            </w:r>
          </w:p>
        </w:tc>
        <w:tc>
          <w:tcPr>
            <w:tcW w:w="1996"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Penn Power</w:t>
            </w:r>
          </w:p>
        </w:tc>
        <w:tc>
          <w:tcPr>
            <w:tcW w:w="1950"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$4,994,838</w:t>
            </w:r>
          </w:p>
        </w:tc>
        <w:tc>
          <w:tcPr>
            <w:tcW w:w="1875"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$49,349</w:t>
            </w:r>
          </w:p>
        </w:tc>
        <w:tc>
          <w:tcPr>
            <w:tcW w:w="2118"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w:t>
            </w:r>
          </w:p>
        </w:tc>
        <w:tc>
          <w:tcPr>
            <w:tcW w:w="1996"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2.1%</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W</w:t>
            </w:r>
            <w:r>
              <w:rPr>
                <w:rFonts w:ascii="Calibri" w:hAnsi="Calibri"/>
                <w:b w:val="0"/>
                <w:bCs w:val="0"/>
                <w:color w:val="000000"/>
                <w:sz w:val="20"/>
                <w:szCs w:val="20"/>
              </w:rPr>
              <w:t>est Penn</w:t>
            </w:r>
          </w:p>
        </w:tc>
        <w:tc>
          <w:tcPr>
            <w:tcW w:w="1950"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$17,671,851</w:t>
            </w:r>
          </w:p>
        </w:tc>
        <w:tc>
          <w:tcPr>
            <w:tcW w:w="1875"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$46,203</w:t>
            </w:r>
          </w:p>
        </w:tc>
        <w:tc>
          <w:tcPr>
            <w:tcW w:w="2118"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76</w:t>
            </w:r>
          </w:p>
        </w:tc>
        <w:tc>
          <w:tcPr>
            <w:tcW w:w="1996"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PECO</w:t>
            </w:r>
          </w:p>
        </w:tc>
        <w:tc>
          <w:tcPr>
            <w:tcW w:w="1950"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$64,046,369</w:t>
            </w:r>
          </w:p>
        </w:tc>
        <w:tc>
          <w:tcPr>
            <w:tcW w:w="1875" w:type="dxa"/>
            <w:shd w:val="clear" w:color="auto" w:fill="auto"/>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$64,257</w:t>
            </w:r>
          </w:p>
        </w:tc>
        <w:tc>
          <w:tcPr>
            <w:tcW w:w="2118" w:type="dxa"/>
            <w:shd w:val="clear" w:color="auto" w:fill="auto"/>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199</w:t>
            </w:r>
          </w:p>
        </w:tc>
        <w:tc>
          <w:tcPr>
            <w:tcW w:w="1996" w:type="dxa"/>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PPL</w:t>
            </w:r>
          </w:p>
        </w:tc>
        <w:tc>
          <w:tcPr>
            <w:tcW w:w="1950"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$46,126,032</w:t>
            </w:r>
          </w:p>
        </w:tc>
        <w:tc>
          <w:tcPr>
            <w:tcW w:w="1875"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$41,622</w:t>
            </w:r>
          </w:p>
        </w:tc>
        <w:tc>
          <w:tcPr>
            <w:tcW w:w="2118"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222</w:t>
            </w:r>
          </w:p>
        </w:tc>
        <w:tc>
          <w:tcPr>
            <w:tcW w:w="1996" w:type="dxa"/>
            <w:shd w:val="clear" w:color="auto" w:fill="D2EAF1"/>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3.4%</w:t>
            </w:r>
          </w:p>
        </w:tc>
      </w:tr>
      <w:tr w:rsidR="001C3844" w:rsidRPr="00BF7FC2"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color w:val="000000"/>
                <w:sz w:val="20"/>
                <w:szCs w:val="20"/>
              </w:rPr>
            </w:pPr>
            <w:r w:rsidRPr="005B1398">
              <w:rPr>
                <w:rFonts w:ascii="Calibri" w:hAnsi="Calibri"/>
                <w:bCs w:val="0"/>
                <w:color w:val="000000"/>
                <w:sz w:val="20"/>
                <w:szCs w:val="20"/>
              </w:rPr>
              <w:t>Statewide</w:t>
            </w:r>
          </w:p>
        </w:tc>
        <w:tc>
          <w:tcPr>
            <w:tcW w:w="1950" w:type="dxa"/>
            <w:vAlign w:val="center"/>
          </w:tcPr>
          <w:p w:rsidR="001C3844" w:rsidRP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$183,379,781</w:t>
            </w:r>
          </w:p>
        </w:tc>
        <w:tc>
          <w:tcPr>
            <w:tcW w:w="1875" w:type="dxa"/>
            <w:vAlign w:val="center"/>
          </w:tcPr>
          <w:p w:rsidR="001C3844" w:rsidRP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$52,310</w:t>
            </w:r>
          </w:p>
        </w:tc>
        <w:tc>
          <w:tcPr>
            <w:tcW w:w="2118" w:type="dxa"/>
            <w:shd w:val="clear" w:color="auto" w:fill="auto"/>
            <w:vAlign w:val="center"/>
          </w:tcPr>
          <w:p w:rsidR="001C3844" w:rsidRP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709</w:t>
            </w:r>
          </w:p>
        </w:tc>
        <w:tc>
          <w:tcPr>
            <w:tcW w:w="1996" w:type="dxa"/>
            <w:vAlign w:val="center"/>
          </w:tcPr>
          <w:p w:rsidR="001C3844" w:rsidRP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2.7%</w:t>
            </w:r>
          </w:p>
        </w:tc>
      </w:tr>
      <w:tr w:rsidR="001C3844" w:rsidRPr="00337CFF"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468" w:type="dxa"/>
            <w:gridSpan w:val="5"/>
            <w:shd w:val="clear" w:color="auto" w:fill="9C9393"/>
          </w:tcPr>
          <w:p w:rsidR="001C3844" w:rsidRPr="00337CFF" w:rsidRDefault="001C3844" w:rsidP="00A83ABC">
            <w:pPr>
              <w:jc w:val="left"/>
              <w:rPr>
                <w:rFonts w:ascii="Calibri" w:hAnsi="Calibri"/>
                <w:color w:val="FFFFFF" w:themeColor="background1"/>
                <w:sz w:val="20"/>
                <w:szCs w:val="20"/>
              </w:rPr>
            </w:pPr>
            <w:r w:rsidRPr="00337CFF">
              <w:rPr>
                <w:rFonts w:ascii="Calibri" w:hAnsi="Calibri"/>
                <w:color w:val="FFFFFF" w:themeColor="background1"/>
                <w:sz w:val="20"/>
                <w:szCs w:val="20"/>
              </w:rPr>
              <w:t>2016-2020 – 20% DR Spending</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Duquesne</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$19,545,952</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$57,976</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67</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2.7%</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Met-Ed</w:t>
            </w:r>
          </w:p>
        </w:tc>
        <w:tc>
          <w:tcPr>
            <w:tcW w:w="1950"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$24,866,892</w:t>
            </w:r>
          </w:p>
        </w:tc>
        <w:tc>
          <w:tcPr>
            <w:tcW w:w="1875"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$51,210</w:t>
            </w:r>
          </w:p>
        </w:tc>
        <w:tc>
          <w:tcPr>
            <w:tcW w:w="2118"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97</w:t>
            </w:r>
          </w:p>
        </w:tc>
        <w:tc>
          <w:tcPr>
            <w:tcW w:w="1996"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3.7%</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Penelec</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$22,974,744</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$50,782</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90</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3.8%</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Penn Power</w:t>
            </w:r>
          </w:p>
        </w:tc>
        <w:tc>
          <w:tcPr>
            <w:tcW w:w="1950"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$6,659,784</w:t>
            </w:r>
          </w:p>
        </w:tc>
        <w:tc>
          <w:tcPr>
            <w:tcW w:w="1875"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$49,349</w:t>
            </w:r>
          </w:p>
        </w:tc>
        <w:tc>
          <w:tcPr>
            <w:tcW w:w="2118"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27</w:t>
            </w:r>
          </w:p>
        </w:tc>
        <w:tc>
          <w:tcPr>
            <w:tcW w:w="1996"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FE: W</w:t>
            </w:r>
            <w:r>
              <w:rPr>
                <w:rFonts w:ascii="Calibri" w:hAnsi="Calibri"/>
                <w:b w:val="0"/>
                <w:bCs w:val="0"/>
                <w:color w:val="000000"/>
                <w:sz w:val="20"/>
                <w:szCs w:val="20"/>
              </w:rPr>
              <w:t>est Penn</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$23,562,468</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$46,203</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102</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2.9%</w:t>
            </w:r>
          </w:p>
        </w:tc>
      </w:tr>
      <w:tr w:rsidR="001C3844" w:rsidRPr="0031271C"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PECO</w:t>
            </w:r>
          </w:p>
        </w:tc>
        <w:tc>
          <w:tcPr>
            <w:tcW w:w="1950"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$85,395,159</w:t>
            </w:r>
          </w:p>
        </w:tc>
        <w:tc>
          <w:tcPr>
            <w:tcW w:w="1875" w:type="dxa"/>
            <w:shd w:val="clear" w:color="auto" w:fill="auto"/>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$64,257</w:t>
            </w:r>
          </w:p>
        </w:tc>
        <w:tc>
          <w:tcPr>
            <w:tcW w:w="2118" w:type="dxa"/>
            <w:shd w:val="clear" w:color="auto" w:fill="auto"/>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266</w:t>
            </w:r>
          </w:p>
        </w:tc>
        <w:tc>
          <w:tcPr>
            <w:tcW w:w="1996" w:type="dxa"/>
            <w:vAlign w:val="center"/>
          </w:tcPr>
          <w:p w:rsid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3.4%</w:t>
            </w:r>
          </w:p>
        </w:tc>
      </w:tr>
      <w:tr w:rsidR="001C3844" w:rsidRPr="0031271C" w:rsidTr="001C3844">
        <w:trPr>
          <w:trHeight w:val="346"/>
        </w:trPr>
        <w:tc>
          <w:tcPr>
            <w:cnfStyle w:val="001000000000" w:firstRow="0" w:lastRow="0" w:firstColumn="1" w:lastColumn="0" w:oddVBand="0" w:evenVBand="0" w:oddHBand="0" w:evenHBand="0" w:firstRowFirstColumn="0" w:firstRowLastColumn="0" w:lastRowFirstColumn="0" w:lastRowLastColumn="0"/>
            <w:tcW w:w="1529" w:type="dxa"/>
            <w:shd w:val="clear" w:color="auto" w:fill="D2EAF1"/>
          </w:tcPr>
          <w:p w:rsidR="001C3844" w:rsidRPr="005B1398" w:rsidRDefault="001C3844" w:rsidP="00A83ABC">
            <w:pPr>
              <w:jc w:val="left"/>
              <w:rPr>
                <w:rFonts w:ascii="Calibri" w:hAnsi="Calibri"/>
                <w:b w:val="0"/>
                <w:color w:val="000000"/>
                <w:sz w:val="20"/>
                <w:szCs w:val="20"/>
              </w:rPr>
            </w:pPr>
            <w:r w:rsidRPr="005B1398">
              <w:rPr>
                <w:rFonts w:ascii="Calibri" w:hAnsi="Calibri"/>
                <w:b w:val="0"/>
                <w:bCs w:val="0"/>
                <w:color w:val="000000"/>
                <w:sz w:val="20"/>
                <w:szCs w:val="20"/>
              </w:rPr>
              <w:t>PPL</w:t>
            </w:r>
          </w:p>
        </w:tc>
        <w:tc>
          <w:tcPr>
            <w:tcW w:w="1950"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$61,501,376</w:t>
            </w:r>
          </w:p>
        </w:tc>
        <w:tc>
          <w:tcPr>
            <w:tcW w:w="1875"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$41,622</w:t>
            </w:r>
          </w:p>
        </w:tc>
        <w:tc>
          <w:tcPr>
            <w:tcW w:w="2118"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296</w:t>
            </w:r>
          </w:p>
        </w:tc>
        <w:tc>
          <w:tcPr>
            <w:tcW w:w="1996" w:type="dxa"/>
            <w:shd w:val="clear" w:color="auto" w:fill="D2EAF1"/>
            <w:vAlign w:val="center"/>
          </w:tcPr>
          <w:p w:rsidR="001C3844" w:rsidRDefault="001C3844"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4.5%</w:t>
            </w:r>
          </w:p>
        </w:tc>
      </w:tr>
      <w:tr w:rsidR="001C3844" w:rsidRPr="00BF7FC2" w:rsidTr="001C384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9" w:type="dxa"/>
          </w:tcPr>
          <w:p w:rsidR="001C3844" w:rsidRPr="005B1398" w:rsidRDefault="001C3844" w:rsidP="00A83ABC">
            <w:pPr>
              <w:jc w:val="left"/>
              <w:rPr>
                <w:rFonts w:ascii="Calibri" w:hAnsi="Calibri"/>
                <w:color w:val="000000"/>
                <w:sz w:val="20"/>
                <w:szCs w:val="20"/>
              </w:rPr>
            </w:pPr>
            <w:r w:rsidRPr="005B1398">
              <w:rPr>
                <w:rFonts w:ascii="Calibri" w:hAnsi="Calibri"/>
                <w:bCs w:val="0"/>
                <w:color w:val="000000"/>
                <w:sz w:val="20"/>
                <w:szCs w:val="20"/>
              </w:rPr>
              <w:t>Statewide</w:t>
            </w:r>
          </w:p>
        </w:tc>
        <w:tc>
          <w:tcPr>
            <w:tcW w:w="1950" w:type="dxa"/>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$244,506,374</w:t>
            </w:r>
          </w:p>
        </w:tc>
        <w:tc>
          <w:tcPr>
            <w:tcW w:w="1875" w:type="dxa"/>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$52,310</w:t>
            </w:r>
          </w:p>
        </w:tc>
        <w:tc>
          <w:tcPr>
            <w:tcW w:w="2118" w:type="dxa"/>
            <w:shd w:val="clear" w:color="auto" w:fill="auto"/>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945</w:t>
            </w:r>
          </w:p>
        </w:tc>
        <w:tc>
          <w:tcPr>
            <w:tcW w:w="1996" w:type="dxa"/>
            <w:vAlign w:val="center"/>
          </w:tcPr>
          <w:p w:rsidR="001C3844" w:rsidRPr="001C3844" w:rsidRDefault="001C3844"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1C3844">
              <w:rPr>
                <w:rFonts w:ascii="Calibri" w:hAnsi="Calibri"/>
                <w:b/>
                <w:color w:val="000000"/>
                <w:sz w:val="20"/>
                <w:szCs w:val="20"/>
              </w:rPr>
              <w:t>3.6%</w:t>
            </w:r>
          </w:p>
        </w:tc>
      </w:tr>
    </w:tbl>
    <w:p w:rsidR="00797E21" w:rsidRDefault="00797E21" w:rsidP="00A83ABC"/>
    <w:p w:rsidR="00797E21" w:rsidRPr="00797E21" w:rsidRDefault="00797E21" w:rsidP="00A83ABC"/>
    <w:p w:rsidR="00BF7FC2" w:rsidRDefault="00037A03" w:rsidP="00A83ABC">
      <w:pPr>
        <w:pStyle w:val="Heading2"/>
      </w:pPr>
      <w:bookmarkStart w:id="308" w:name="_Toc412628433"/>
      <w:r>
        <w:lastRenderedPageBreak/>
        <w:t>DR</w:t>
      </w:r>
      <w:r w:rsidR="00796F35">
        <w:t xml:space="preserve"> </w:t>
      </w:r>
      <w:r w:rsidR="00BF7FC2">
        <w:t>Program Potential Benefits and Costs</w:t>
      </w:r>
      <w:bookmarkEnd w:id="308"/>
    </w:p>
    <w:p w:rsidR="00836346" w:rsidRDefault="00836346" w:rsidP="00A83ABC">
      <w:r>
        <w:t>Th</w:t>
      </w:r>
      <w:r w:rsidR="00796F35">
        <w:t xml:space="preserve">e financials associated with each program potential scenario shown in </w:t>
      </w:r>
      <w:r w:rsidR="00DF01B1">
        <w:fldChar w:fldCharType="begin"/>
      </w:r>
      <w:r w:rsidR="00DF01B1">
        <w:instrText xml:space="preserve"> REF _Ref408387708 \h </w:instrText>
      </w:r>
      <w:r w:rsidR="00DF01B1">
        <w:fldChar w:fldCharType="separate"/>
      </w:r>
      <w:r w:rsidR="00803DBE" w:rsidRPr="00D85131">
        <w:t xml:space="preserve">Table </w:t>
      </w:r>
      <w:r w:rsidR="00803DBE">
        <w:rPr>
          <w:noProof/>
        </w:rPr>
        <w:t>7</w:t>
      </w:r>
      <w:r w:rsidR="00803DBE">
        <w:noBreakHyphen/>
      </w:r>
      <w:r w:rsidR="00803DBE">
        <w:rPr>
          <w:noProof/>
        </w:rPr>
        <w:t>4</w:t>
      </w:r>
      <w:r w:rsidR="00DF01B1">
        <w:fldChar w:fldCharType="end"/>
      </w:r>
      <w:r w:rsidR="00DF01B1">
        <w:t xml:space="preserve"> </w:t>
      </w:r>
      <w:r w:rsidR="00796F35">
        <w:t xml:space="preserve">are presented in </w:t>
      </w:r>
      <w:r w:rsidR="00796F35">
        <w:fldChar w:fldCharType="begin"/>
      </w:r>
      <w:r w:rsidR="00796F35">
        <w:instrText xml:space="preserve"> REF _Ref407115347 \h </w:instrText>
      </w:r>
      <w:r w:rsidR="00CF2BE5">
        <w:instrText xml:space="preserve"> \* MERGEFORMAT </w:instrText>
      </w:r>
      <w:r w:rsidR="00796F35">
        <w:fldChar w:fldCharType="separate"/>
      </w:r>
      <w:r w:rsidR="00803DBE" w:rsidRPr="00D85131">
        <w:t xml:space="preserve">Table </w:t>
      </w:r>
      <w:r w:rsidR="00803DBE">
        <w:rPr>
          <w:noProof/>
        </w:rPr>
        <w:t>7</w:t>
      </w:r>
      <w:r w:rsidR="00803DBE">
        <w:rPr>
          <w:noProof/>
        </w:rPr>
        <w:noBreakHyphen/>
        <w:t>5</w:t>
      </w:r>
      <w:r w:rsidR="00796F35">
        <w:fldChar w:fldCharType="end"/>
      </w:r>
      <w:r w:rsidR="00256484">
        <w:t xml:space="preserve">. TRC ratios hold constant as </w:t>
      </w:r>
      <w:r w:rsidR="00037A03">
        <w:t>DR</w:t>
      </w:r>
      <w:r w:rsidR="00256484">
        <w:t xml:space="preserve"> funding increases, while the TRC costs, benefits and net benefits (benefits minus costs) increase linearly. The results of each EE/DR funding scenario are combined with similar results from the </w:t>
      </w:r>
      <w:r w:rsidR="00857521">
        <w:t>EE</w:t>
      </w:r>
      <w:r w:rsidR="00256484">
        <w:t xml:space="preserve"> market potential study in Section </w:t>
      </w:r>
      <w:r w:rsidR="00256484">
        <w:fldChar w:fldCharType="begin"/>
      </w:r>
      <w:r w:rsidR="00256484">
        <w:instrText xml:space="preserve"> REF _Ref407120181 \r \h </w:instrText>
      </w:r>
      <w:r w:rsidR="00D16A3D">
        <w:instrText xml:space="preserve"> \* MERGEFORMAT </w:instrText>
      </w:r>
      <w:r w:rsidR="00256484">
        <w:fldChar w:fldCharType="separate"/>
      </w:r>
      <w:r w:rsidR="00803DBE">
        <w:t>7.3</w:t>
      </w:r>
      <w:r w:rsidR="00256484">
        <w:fldChar w:fldCharType="end"/>
      </w:r>
      <w:r w:rsidR="00256484">
        <w:t>.</w:t>
      </w:r>
      <w:r w:rsidR="00DA31B7">
        <w:t xml:space="preserve"> Only the scenario where PJM DR goes away after the 2017/2018 delivery year is presented in </w:t>
      </w:r>
      <w:r w:rsidR="00DA31B7">
        <w:fldChar w:fldCharType="begin"/>
      </w:r>
      <w:r w:rsidR="00DA31B7">
        <w:instrText xml:space="preserve"> REF _Ref407115347 \h </w:instrText>
      </w:r>
      <w:r w:rsidR="00DA31B7">
        <w:fldChar w:fldCharType="separate"/>
      </w:r>
      <w:r w:rsidR="00803DBE" w:rsidRPr="00D85131">
        <w:t xml:space="preserve">Table </w:t>
      </w:r>
      <w:r w:rsidR="00803DBE">
        <w:rPr>
          <w:noProof/>
        </w:rPr>
        <w:t>7</w:t>
      </w:r>
      <w:r w:rsidR="00803DBE">
        <w:noBreakHyphen/>
      </w:r>
      <w:r w:rsidR="00803DBE">
        <w:rPr>
          <w:noProof/>
        </w:rPr>
        <w:t>5</w:t>
      </w:r>
      <w:r w:rsidR="00DA31B7">
        <w:fldChar w:fldCharType="end"/>
      </w:r>
      <w:r w:rsidR="00DA31B7">
        <w:t>. For the “</w:t>
      </w:r>
      <w:r w:rsidR="00CF78C2">
        <w:t>business-</w:t>
      </w:r>
      <w:r w:rsidR="00DA31B7">
        <w:t>as</w:t>
      </w:r>
      <w:r w:rsidR="00CF78C2">
        <w:t>-u</w:t>
      </w:r>
      <w:r w:rsidR="00DA31B7">
        <w:t xml:space="preserve">sual” scenario, the TRC ratios for West Penn, Penn Power, </w:t>
      </w:r>
      <w:r w:rsidR="00745FDF">
        <w:t xml:space="preserve">Met-Ed, PPL, </w:t>
      </w:r>
      <w:r w:rsidR="00DA31B7">
        <w:t>Duquesne, and PECO</w:t>
      </w:r>
      <w:r w:rsidR="00745FDF">
        <w:t xml:space="preserve"> are the same and the TRC ratio for</w:t>
      </w:r>
      <w:r w:rsidR="00DA31B7">
        <w:t xml:space="preserve"> </w:t>
      </w:r>
      <w:r w:rsidR="00745FDF">
        <w:t>Penelec is</w:t>
      </w:r>
      <w:r w:rsidR="00DA31B7">
        <w:t xml:space="preserve"> zero because there is no cost-effective DR potential net of project</w:t>
      </w:r>
      <w:r w:rsidR="00DB4738">
        <w:t>ed</w:t>
      </w:r>
      <w:r w:rsidR="00DA31B7">
        <w:t xml:space="preserve"> PJM participation.</w:t>
      </w:r>
    </w:p>
    <w:p w:rsidR="00836346" w:rsidRDefault="00836346" w:rsidP="00A83ABC"/>
    <w:p w:rsidR="00D85131" w:rsidRPr="00D85131" w:rsidRDefault="00D85131" w:rsidP="00A83ABC">
      <w:pPr>
        <w:pStyle w:val="Caption"/>
        <w:keepNext/>
      </w:pPr>
      <w:bookmarkStart w:id="309" w:name="_Ref407115347"/>
      <w:bookmarkStart w:id="310" w:name="_Toc412628498"/>
      <w:r w:rsidRPr="00D85131">
        <w:t xml:space="preserve">Table </w:t>
      </w:r>
      <w:r w:rsidR="00E2011B">
        <w:fldChar w:fldCharType="begin"/>
      </w:r>
      <w:r w:rsidR="00E2011B">
        <w:instrText xml:space="preserve"> STYLEREF 1 \s </w:instrText>
      </w:r>
      <w:r w:rsidR="00E2011B">
        <w:fldChar w:fldCharType="separate"/>
      </w:r>
      <w:r w:rsidR="00803DBE">
        <w:rPr>
          <w:noProof/>
        </w:rPr>
        <w:t>7</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5</w:t>
      </w:r>
      <w:r w:rsidR="00E2011B">
        <w:rPr>
          <w:noProof/>
        </w:rPr>
        <w:fldChar w:fldCharType="end"/>
      </w:r>
      <w:bookmarkEnd w:id="309"/>
      <w:r w:rsidRPr="00D85131">
        <w:t xml:space="preserve">: TRC Costs and Benefits for </w:t>
      </w:r>
      <w:r w:rsidR="00037A03">
        <w:t>DR</w:t>
      </w:r>
      <w:r w:rsidRPr="00D85131">
        <w:t xml:space="preserve"> Program Potential Scenarios</w:t>
      </w:r>
      <w:bookmarkEnd w:id="310"/>
    </w:p>
    <w:tbl>
      <w:tblPr>
        <w:tblStyle w:val="LightList-Accent5"/>
        <w:tblW w:w="0" w:type="auto"/>
        <w:tblInd w:w="108" w:type="dxa"/>
        <w:tblBorders>
          <w:insideH w:val="single" w:sz="4" w:space="0" w:color="448A99"/>
          <w:insideV w:val="single" w:sz="4" w:space="0" w:color="448A99"/>
        </w:tblBorders>
        <w:tblLook w:val="04A0" w:firstRow="1" w:lastRow="0" w:firstColumn="1" w:lastColumn="0" w:noHBand="0" w:noVBand="1"/>
      </w:tblPr>
      <w:tblGrid>
        <w:gridCol w:w="1440"/>
        <w:gridCol w:w="90"/>
        <w:gridCol w:w="2160"/>
        <w:gridCol w:w="1980"/>
        <w:gridCol w:w="2340"/>
        <w:gridCol w:w="1350"/>
      </w:tblGrid>
      <w:tr w:rsidR="000B7D39" w:rsidRPr="0031271C" w:rsidTr="00C65527">
        <w:trPr>
          <w:cnfStyle w:val="100000000000" w:firstRow="1" w:lastRow="0" w:firstColumn="0" w:lastColumn="0" w:oddVBand="0" w:evenVBand="0" w:oddHBand="0" w:evenHBand="0" w:firstRowFirstColumn="0" w:firstRowLastColumn="0" w:lastRowFirstColumn="0" w:lastRowLastColumn="0"/>
          <w:trHeight w:hRule="exact" w:val="352"/>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448A99"/>
            <w:vAlign w:val="bottom"/>
          </w:tcPr>
          <w:p w:rsidR="000B7D39" w:rsidRPr="0031271C" w:rsidRDefault="00D85131" w:rsidP="00A83ABC">
            <w:pPr>
              <w:jc w:val="left"/>
              <w:rPr>
                <w:sz w:val="20"/>
                <w:szCs w:val="20"/>
              </w:rPr>
            </w:pPr>
            <w:r>
              <w:rPr>
                <w:sz w:val="20"/>
                <w:szCs w:val="20"/>
              </w:rPr>
              <w:t>EDC</w:t>
            </w:r>
          </w:p>
        </w:tc>
        <w:tc>
          <w:tcPr>
            <w:tcW w:w="2250" w:type="dxa"/>
            <w:gridSpan w:val="2"/>
            <w:shd w:val="clear" w:color="auto" w:fill="448A99"/>
            <w:vAlign w:val="bottom"/>
          </w:tcPr>
          <w:p w:rsidR="000B7D39" w:rsidRPr="0031271C" w:rsidRDefault="00836346"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NPV Costs</w:t>
            </w:r>
          </w:p>
        </w:tc>
        <w:tc>
          <w:tcPr>
            <w:tcW w:w="1980" w:type="dxa"/>
            <w:shd w:val="clear" w:color="auto" w:fill="448A99"/>
            <w:vAlign w:val="bottom"/>
          </w:tcPr>
          <w:p w:rsidR="000B7D39" w:rsidRDefault="000B7D39"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NPV Benefits</w:t>
            </w:r>
          </w:p>
        </w:tc>
        <w:tc>
          <w:tcPr>
            <w:tcW w:w="2340" w:type="dxa"/>
            <w:shd w:val="clear" w:color="auto" w:fill="448A99"/>
            <w:vAlign w:val="bottom"/>
          </w:tcPr>
          <w:p w:rsidR="000B7D39" w:rsidRPr="0031271C" w:rsidRDefault="00796F35"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 Net</w:t>
            </w:r>
            <w:r w:rsidR="00836346">
              <w:rPr>
                <w:sz w:val="20"/>
                <w:szCs w:val="20"/>
              </w:rPr>
              <w:t xml:space="preserve"> Benefits</w:t>
            </w:r>
          </w:p>
        </w:tc>
        <w:tc>
          <w:tcPr>
            <w:tcW w:w="1350" w:type="dxa"/>
            <w:shd w:val="clear" w:color="auto" w:fill="448A99"/>
            <w:vAlign w:val="bottom"/>
          </w:tcPr>
          <w:p w:rsidR="000B7D39" w:rsidRPr="0031271C" w:rsidRDefault="000B7D39"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TRC BC Ratio</w:t>
            </w:r>
          </w:p>
        </w:tc>
      </w:tr>
      <w:tr w:rsidR="000B7D39"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360" w:type="dxa"/>
            <w:gridSpan w:val="6"/>
            <w:tcBorders>
              <w:top w:val="none" w:sz="0" w:space="0" w:color="auto"/>
              <w:left w:val="none" w:sz="0" w:space="0" w:color="auto"/>
              <w:bottom w:val="none" w:sz="0" w:space="0" w:color="auto"/>
              <w:right w:val="none" w:sz="0" w:space="0" w:color="auto"/>
            </w:tcBorders>
            <w:shd w:val="clear" w:color="auto" w:fill="9C9393"/>
          </w:tcPr>
          <w:p w:rsidR="000B7D39" w:rsidRDefault="000B7D39" w:rsidP="00A83ABC">
            <w:pPr>
              <w:jc w:val="left"/>
              <w:rPr>
                <w:color w:val="FFFFFF" w:themeColor="background1"/>
                <w:sz w:val="20"/>
                <w:szCs w:val="20"/>
              </w:rPr>
            </w:pPr>
            <w:r>
              <w:rPr>
                <w:color w:val="FFFFFF" w:themeColor="background1"/>
                <w:sz w:val="20"/>
                <w:szCs w:val="20"/>
              </w:rPr>
              <w:t xml:space="preserve">2016-2020 – </w:t>
            </w:r>
            <w:r w:rsidR="00D85131">
              <w:rPr>
                <w:color w:val="FFFFFF" w:themeColor="background1"/>
                <w:sz w:val="20"/>
                <w:szCs w:val="20"/>
              </w:rPr>
              <w:t>10% DR Spending</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Duquesne</w:t>
            </w:r>
          </w:p>
        </w:tc>
        <w:tc>
          <w:tcPr>
            <w:tcW w:w="216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$6,684,136</w:t>
            </w:r>
          </w:p>
        </w:tc>
        <w:tc>
          <w:tcPr>
            <w:tcW w:w="198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$12,973,023</w:t>
            </w:r>
          </w:p>
        </w:tc>
        <w:tc>
          <w:tcPr>
            <w:tcW w:w="234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$6,288,887</w:t>
            </w:r>
          </w:p>
        </w:tc>
        <w:tc>
          <w:tcPr>
            <w:tcW w:w="135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1.94</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Met-Ed</w:t>
            </w:r>
          </w:p>
        </w:tc>
        <w:tc>
          <w:tcPr>
            <w:tcW w:w="216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$8,506,006</w:t>
            </w:r>
          </w:p>
        </w:tc>
        <w:tc>
          <w:tcPr>
            <w:tcW w:w="198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$16,126,017</w:t>
            </w:r>
          </w:p>
        </w:tc>
        <w:tc>
          <w:tcPr>
            <w:tcW w:w="234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$7,620,011</w:t>
            </w:r>
          </w:p>
        </w:tc>
        <w:tc>
          <w:tcPr>
            <w:tcW w:w="1350" w:type="dxa"/>
            <w:tcBorders>
              <w:top w:val="none" w:sz="0" w:space="0" w:color="auto"/>
              <w:bottom w:val="none" w:sz="0" w:space="0" w:color="auto"/>
              <w:right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1.90</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Penelec</w:t>
            </w:r>
          </w:p>
        </w:tc>
        <w:tc>
          <w:tcPr>
            <w:tcW w:w="216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$7,877,271</w:t>
            </w:r>
          </w:p>
        </w:tc>
        <w:tc>
          <w:tcPr>
            <w:tcW w:w="198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$15,097,782</w:t>
            </w:r>
          </w:p>
        </w:tc>
        <w:tc>
          <w:tcPr>
            <w:tcW w:w="234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$7,220,511</w:t>
            </w:r>
          </w:p>
        </w:tc>
        <w:tc>
          <w:tcPr>
            <w:tcW w:w="135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1.92</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Penn Power</w:t>
            </w:r>
          </w:p>
        </w:tc>
        <w:tc>
          <w:tcPr>
            <w:tcW w:w="216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$2,148,516</w:t>
            </w:r>
          </w:p>
        </w:tc>
        <w:tc>
          <w:tcPr>
            <w:tcW w:w="198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$4,153,121</w:t>
            </w:r>
          </w:p>
        </w:tc>
        <w:tc>
          <w:tcPr>
            <w:tcW w:w="234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$2,004,605</w:t>
            </w:r>
          </w:p>
        </w:tc>
        <w:tc>
          <w:tcPr>
            <w:tcW w:w="1350" w:type="dxa"/>
            <w:tcBorders>
              <w:top w:val="none" w:sz="0" w:space="0" w:color="auto"/>
              <w:bottom w:val="none" w:sz="0" w:space="0" w:color="auto"/>
              <w:right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1.93</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bottom w:val="single" w:sz="4" w:space="0" w:color="448A99"/>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W</w:t>
            </w:r>
            <w:r>
              <w:rPr>
                <w:rFonts w:ascii="Calibri" w:hAnsi="Calibri"/>
                <w:b w:val="0"/>
                <w:bCs w:val="0"/>
                <w:color w:val="000000"/>
                <w:sz w:val="20"/>
                <w:szCs w:val="20"/>
              </w:rPr>
              <w:t>est Penn</w:t>
            </w:r>
          </w:p>
        </w:tc>
        <w:tc>
          <w:tcPr>
            <w:tcW w:w="216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$7,998,731</w:t>
            </w:r>
          </w:p>
        </w:tc>
        <w:tc>
          <w:tcPr>
            <w:tcW w:w="198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$15,499,362</w:t>
            </w:r>
          </w:p>
        </w:tc>
        <w:tc>
          <w:tcPr>
            <w:tcW w:w="234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$7,500,631</w:t>
            </w:r>
          </w:p>
        </w:tc>
        <w:tc>
          <w:tcPr>
            <w:tcW w:w="135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1.94</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shd w:val="clear" w:color="auto" w:fill="auto"/>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PECO</w:t>
            </w:r>
          </w:p>
        </w:tc>
        <w:tc>
          <w:tcPr>
            <w:tcW w:w="2160" w:type="dxa"/>
            <w:tcBorders>
              <w:top w:val="none" w:sz="0" w:space="0" w:color="auto"/>
              <w:bottom w:val="none" w:sz="0" w:space="0" w:color="auto"/>
            </w:tcBorders>
            <w:shd w:val="clear" w:color="auto" w:fill="auto"/>
          </w:tcPr>
          <w:p w:rsidR="00260F6F" w:rsidRPr="00CC5A01"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C5A01">
              <w:rPr>
                <w:rFonts w:ascii="Calibri" w:hAnsi="Calibri"/>
                <w:color w:val="000000"/>
                <w:sz w:val="20"/>
                <w:szCs w:val="20"/>
              </w:rPr>
              <w:t>$34,907,800</w:t>
            </w:r>
          </w:p>
        </w:tc>
        <w:tc>
          <w:tcPr>
            <w:tcW w:w="1980" w:type="dxa"/>
            <w:tcBorders>
              <w:top w:val="none" w:sz="0" w:space="0" w:color="auto"/>
              <w:bottom w:val="none" w:sz="0" w:space="0" w:color="auto"/>
            </w:tcBorders>
            <w:shd w:val="clear" w:color="auto" w:fill="auto"/>
          </w:tcPr>
          <w:p w:rsidR="00260F6F" w:rsidRPr="00CC5A01"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C5A01">
              <w:rPr>
                <w:rFonts w:ascii="Calibri" w:hAnsi="Calibri"/>
                <w:color w:val="000000"/>
                <w:sz w:val="20"/>
                <w:szCs w:val="20"/>
              </w:rPr>
              <w:t>$58,978,910</w:t>
            </w:r>
          </w:p>
        </w:tc>
        <w:tc>
          <w:tcPr>
            <w:tcW w:w="2340" w:type="dxa"/>
            <w:tcBorders>
              <w:top w:val="none" w:sz="0" w:space="0" w:color="auto"/>
              <w:bottom w:val="none" w:sz="0" w:space="0" w:color="auto"/>
            </w:tcBorders>
            <w:shd w:val="clear" w:color="auto" w:fill="auto"/>
          </w:tcPr>
          <w:p w:rsidR="00260F6F" w:rsidRPr="00CC5A01"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C5A01">
              <w:rPr>
                <w:rFonts w:ascii="Calibri" w:hAnsi="Calibri"/>
                <w:color w:val="000000"/>
                <w:sz w:val="20"/>
                <w:szCs w:val="20"/>
              </w:rPr>
              <w:t>$24,071,110</w:t>
            </w:r>
          </w:p>
        </w:tc>
        <w:tc>
          <w:tcPr>
            <w:tcW w:w="1350" w:type="dxa"/>
            <w:tcBorders>
              <w:top w:val="none" w:sz="0" w:space="0" w:color="auto"/>
              <w:bottom w:val="none" w:sz="0" w:space="0" w:color="auto"/>
              <w:right w:val="none" w:sz="0" w:space="0" w:color="auto"/>
            </w:tcBorders>
            <w:shd w:val="clear" w:color="auto" w:fill="auto"/>
          </w:tcPr>
          <w:p w:rsidR="00260F6F" w:rsidRPr="00CC5A01"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C5A01">
              <w:rPr>
                <w:rFonts w:ascii="Calibri" w:hAnsi="Calibri"/>
                <w:color w:val="000000"/>
                <w:sz w:val="20"/>
                <w:szCs w:val="20"/>
              </w:rPr>
              <w:t>1.69</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bottom w:val="single" w:sz="4" w:space="0" w:color="448A99"/>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PPL</w:t>
            </w:r>
          </w:p>
        </w:tc>
        <w:tc>
          <w:tcPr>
            <w:tcW w:w="216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$20,799,769</w:t>
            </w:r>
          </w:p>
        </w:tc>
        <w:tc>
          <w:tcPr>
            <w:tcW w:w="198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$39,098,740</w:t>
            </w:r>
          </w:p>
        </w:tc>
        <w:tc>
          <w:tcPr>
            <w:tcW w:w="234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$18,298,970</w:t>
            </w:r>
          </w:p>
        </w:tc>
        <w:tc>
          <w:tcPr>
            <w:tcW w:w="135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1.88</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shd w:val="clear" w:color="auto" w:fill="auto"/>
          </w:tcPr>
          <w:p w:rsidR="00260F6F" w:rsidRPr="005B1398" w:rsidRDefault="00260F6F" w:rsidP="00A83ABC">
            <w:pPr>
              <w:jc w:val="left"/>
              <w:rPr>
                <w:rFonts w:ascii="Calibri" w:hAnsi="Calibri"/>
                <w:color w:val="000000"/>
                <w:sz w:val="20"/>
                <w:szCs w:val="20"/>
              </w:rPr>
            </w:pPr>
            <w:r w:rsidRPr="005B1398">
              <w:rPr>
                <w:rFonts w:ascii="Calibri" w:hAnsi="Calibri"/>
                <w:bCs w:val="0"/>
                <w:color w:val="000000"/>
                <w:sz w:val="20"/>
                <w:szCs w:val="20"/>
              </w:rPr>
              <w:t>Statewide</w:t>
            </w:r>
          </w:p>
        </w:tc>
        <w:tc>
          <w:tcPr>
            <w:tcW w:w="216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$88,922,229</w:t>
            </w:r>
          </w:p>
        </w:tc>
        <w:tc>
          <w:tcPr>
            <w:tcW w:w="198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$161,926,954</w:t>
            </w:r>
          </w:p>
        </w:tc>
        <w:tc>
          <w:tcPr>
            <w:tcW w:w="234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$73,004,725</w:t>
            </w:r>
          </w:p>
        </w:tc>
        <w:tc>
          <w:tcPr>
            <w:tcW w:w="1350" w:type="dxa"/>
            <w:tcBorders>
              <w:top w:val="none" w:sz="0" w:space="0" w:color="auto"/>
              <w:bottom w:val="none" w:sz="0" w:space="0" w:color="auto"/>
              <w:right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1.82</w:t>
            </w:r>
          </w:p>
        </w:tc>
      </w:tr>
      <w:tr w:rsidR="00CC5A01" w:rsidTr="00C65527">
        <w:trPr>
          <w:trHeight w:val="346"/>
        </w:trPr>
        <w:tc>
          <w:tcPr>
            <w:cnfStyle w:val="001000000000" w:firstRow="0" w:lastRow="0" w:firstColumn="1" w:lastColumn="0" w:oddVBand="0" w:evenVBand="0" w:oddHBand="0" w:evenHBand="0" w:firstRowFirstColumn="0" w:firstRowLastColumn="0" w:lastRowFirstColumn="0" w:lastRowLastColumn="0"/>
            <w:tcW w:w="9360" w:type="dxa"/>
            <w:gridSpan w:val="6"/>
            <w:shd w:val="clear" w:color="auto" w:fill="9C9393"/>
          </w:tcPr>
          <w:p w:rsidR="00CC5A01" w:rsidRDefault="00CC5A01" w:rsidP="00A83ABC">
            <w:pPr>
              <w:jc w:val="left"/>
              <w:rPr>
                <w:color w:val="FFFFFF" w:themeColor="background1"/>
                <w:sz w:val="20"/>
                <w:szCs w:val="20"/>
              </w:rPr>
            </w:pPr>
            <w:r>
              <w:rPr>
                <w:color w:val="FFFFFF" w:themeColor="background1"/>
                <w:sz w:val="20"/>
                <w:szCs w:val="20"/>
              </w:rPr>
              <w:t>2016-2020 – 15% DR Spending</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Duquesne</w:t>
            </w:r>
          </w:p>
        </w:tc>
        <w:tc>
          <w:tcPr>
            <w:tcW w:w="2160" w:type="dxa"/>
            <w:tcBorders>
              <w:top w:val="none" w:sz="0" w:space="0" w:color="auto"/>
              <w:bottom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$10,026,204</w:t>
            </w:r>
          </w:p>
        </w:tc>
        <w:tc>
          <w:tcPr>
            <w:tcW w:w="1980" w:type="dxa"/>
            <w:tcBorders>
              <w:top w:val="none" w:sz="0" w:space="0" w:color="auto"/>
              <w:bottom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$19,459,535</w:t>
            </w:r>
          </w:p>
        </w:tc>
        <w:tc>
          <w:tcPr>
            <w:tcW w:w="2340" w:type="dxa"/>
            <w:tcBorders>
              <w:top w:val="none" w:sz="0" w:space="0" w:color="auto"/>
              <w:bottom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$9,433,331</w:t>
            </w:r>
          </w:p>
        </w:tc>
        <w:tc>
          <w:tcPr>
            <w:tcW w:w="1350" w:type="dxa"/>
            <w:tcBorders>
              <w:top w:val="none" w:sz="0" w:space="0" w:color="auto"/>
              <w:bottom w:val="none" w:sz="0" w:space="0" w:color="auto"/>
              <w:right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1.94</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Met-Ed</w:t>
            </w:r>
          </w:p>
        </w:tc>
        <w:tc>
          <w:tcPr>
            <w:tcW w:w="216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$12,759,009</w:t>
            </w:r>
          </w:p>
        </w:tc>
        <w:tc>
          <w:tcPr>
            <w:tcW w:w="198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$24,189,025</w:t>
            </w:r>
          </w:p>
        </w:tc>
        <w:tc>
          <w:tcPr>
            <w:tcW w:w="234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$11,430,016</w:t>
            </w:r>
          </w:p>
        </w:tc>
        <w:tc>
          <w:tcPr>
            <w:tcW w:w="135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1.90</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Penelec</w:t>
            </w:r>
          </w:p>
        </w:tc>
        <w:tc>
          <w:tcPr>
            <w:tcW w:w="2160" w:type="dxa"/>
            <w:tcBorders>
              <w:top w:val="none" w:sz="0" w:space="0" w:color="auto"/>
              <w:bottom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$11,815,907</w:t>
            </w:r>
          </w:p>
        </w:tc>
        <w:tc>
          <w:tcPr>
            <w:tcW w:w="1980" w:type="dxa"/>
            <w:tcBorders>
              <w:top w:val="none" w:sz="0" w:space="0" w:color="auto"/>
              <w:bottom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$22,646,673</w:t>
            </w:r>
          </w:p>
        </w:tc>
        <w:tc>
          <w:tcPr>
            <w:tcW w:w="2340" w:type="dxa"/>
            <w:tcBorders>
              <w:top w:val="none" w:sz="0" w:space="0" w:color="auto"/>
              <w:bottom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$10,830,767</w:t>
            </w:r>
          </w:p>
        </w:tc>
        <w:tc>
          <w:tcPr>
            <w:tcW w:w="1350" w:type="dxa"/>
            <w:tcBorders>
              <w:top w:val="none" w:sz="0" w:space="0" w:color="auto"/>
              <w:bottom w:val="none" w:sz="0" w:space="0" w:color="auto"/>
              <w:right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1.92</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Penn Power</w:t>
            </w:r>
          </w:p>
        </w:tc>
        <w:tc>
          <w:tcPr>
            <w:tcW w:w="216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$3,222,774</w:t>
            </w:r>
          </w:p>
        </w:tc>
        <w:tc>
          <w:tcPr>
            <w:tcW w:w="198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$6,229,681</w:t>
            </w:r>
          </w:p>
        </w:tc>
        <w:tc>
          <w:tcPr>
            <w:tcW w:w="234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$3,006,907</w:t>
            </w:r>
          </w:p>
        </w:tc>
        <w:tc>
          <w:tcPr>
            <w:tcW w:w="1350" w:type="dxa"/>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1.93</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single" w:sz="4" w:space="0" w:color="448A99"/>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W</w:t>
            </w:r>
            <w:r>
              <w:rPr>
                <w:rFonts w:ascii="Calibri" w:hAnsi="Calibri"/>
                <w:b w:val="0"/>
                <w:bCs w:val="0"/>
                <w:color w:val="000000"/>
                <w:sz w:val="20"/>
                <w:szCs w:val="20"/>
              </w:rPr>
              <w:t>est Penn</w:t>
            </w:r>
          </w:p>
        </w:tc>
        <w:tc>
          <w:tcPr>
            <w:tcW w:w="2160" w:type="dxa"/>
            <w:tcBorders>
              <w:top w:val="none" w:sz="0" w:space="0" w:color="auto"/>
              <w:bottom w:val="single" w:sz="4" w:space="0" w:color="448A99"/>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$11,998,096</w:t>
            </w:r>
          </w:p>
        </w:tc>
        <w:tc>
          <w:tcPr>
            <w:tcW w:w="1980" w:type="dxa"/>
            <w:tcBorders>
              <w:top w:val="none" w:sz="0" w:space="0" w:color="auto"/>
              <w:bottom w:val="single" w:sz="4" w:space="0" w:color="448A99"/>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$23,249,042</w:t>
            </w:r>
          </w:p>
        </w:tc>
        <w:tc>
          <w:tcPr>
            <w:tcW w:w="2340" w:type="dxa"/>
            <w:tcBorders>
              <w:top w:val="none" w:sz="0" w:space="0" w:color="auto"/>
              <w:bottom w:val="single" w:sz="4" w:space="0" w:color="448A99"/>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$11,250,947</w:t>
            </w:r>
          </w:p>
        </w:tc>
        <w:tc>
          <w:tcPr>
            <w:tcW w:w="1350" w:type="dxa"/>
            <w:tcBorders>
              <w:top w:val="none" w:sz="0" w:space="0" w:color="auto"/>
              <w:bottom w:val="single" w:sz="4" w:space="0" w:color="448A99"/>
              <w:right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1.94</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shd w:val="clear" w:color="auto" w:fill="auto"/>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PECO</w:t>
            </w:r>
          </w:p>
        </w:tc>
        <w:tc>
          <w:tcPr>
            <w:tcW w:w="216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$52,361,700</w:t>
            </w:r>
          </w:p>
        </w:tc>
        <w:tc>
          <w:tcPr>
            <w:tcW w:w="198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$88,468,366</w:t>
            </w:r>
          </w:p>
        </w:tc>
        <w:tc>
          <w:tcPr>
            <w:tcW w:w="234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$36,106,666</w:t>
            </w:r>
          </w:p>
        </w:tc>
        <w:tc>
          <w:tcPr>
            <w:tcW w:w="135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1.69</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single" w:sz="4" w:space="0" w:color="448A99"/>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PPL</w:t>
            </w:r>
          </w:p>
        </w:tc>
        <w:tc>
          <w:tcPr>
            <w:tcW w:w="2160" w:type="dxa"/>
            <w:tcBorders>
              <w:top w:val="none" w:sz="0" w:space="0" w:color="auto"/>
              <w:bottom w:val="single" w:sz="4" w:space="0" w:color="448A99"/>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$31,199,654</w:t>
            </w:r>
          </w:p>
        </w:tc>
        <w:tc>
          <w:tcPr>
            <w:tcW w:w="1980" w:type="dxa"/>
            <w:tcBorders>
              <w:top w:val="none" w:sz="0" w:space="0" w:color="auto"/>
              <w:bottom w:val="single" w:sz="4" w:space="0" w:color="448A99"/>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$58,648,109</w:t>
            </w:r>
          </w:p>
        </w:tc>
        <w:tc>
          <w:tcPr>
            <w:tcW w:w="2340" w:type="dxa"/>
            <w:tcBorders>
              <w:top w:val="none" w:sz="0" w:space="0" w:color="auto"/>
              <w:bottom w:val="single" w:sz="4" w:space="0" w:color="448A99"/>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$27,448,455</w:t>
            </w:r>
          </w:p>
        </w:tc>
        <w:tc>
          <w:tcPr>
            <w:tcW w:w="1350" w:type="dxa"/>
            <w:tcBorders>
              <w:top w:val="none" w:sz="0" w:space="0" w:color="auto"/>
              <w:bottom w:val="single" w:sz="4" w:space="0" w:color="448A99"/>
              <w:right w:val="none" w:sz="0" w:space="0" w:color="auto"/>
            </w:tcBorders>
            <w:shd w:val="clear" w:color="auto" w:fill="D2EAF1"/>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1.88</w:t>
            </w:r>
          </w:p>
        </w:tc>
      </w:tr>
      <w:tr w:rsidR="00260F6F" w:rsidRPr="00BF7FC2"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shd w:val="clear" w:color="auto" w:fill="auto"/>
          </w:tcPr>
          <w:p w:rsidR="00260F6F" w:rsidRPr="005B1398" w:rsidRDefault="00260F6F" w:rsidP="00A83ABC">
            <w:pPr>
              <w:jc w:val="left"/>
              <w:rPr>
                <w:rFonts w:ascii="Calibri" w:hAnsi="Calibri"/>
                <w:color w:val="000000"/>
                <w:sz w:val="20"/>
                <w:szCs w:val="20"/>
              </w:rPr>
            </w:pPr>
            <w:r w:rsidRPr="005B1398">
              <w:rPr>
                <w:rFonts w:ascii="Calibri" w:hAnsi="Calibri"/>
                <w:bCs w:val="0"/>
                <w:color w:val="000000"/>
                <w:sz w:val="20"/>
                <w:szCs w:val="20"/>
              </w:rPr>
              <w:t>Statewide</w:t>
            </w:r>
          </w:p>
        </w:tc>
        <w:tc>
          <w:tcPr>
            <w:tcW w:w="216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$133,383,344</w:t>
            </w:r>
          </w:p>
        </w:tc>
        <w:tc>
          <w:tcPr>
            <w:tcW w:w="198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$242,890,431</w:t>
            </w:r>
          </w:p>
        </w:tc>
        <w:tc>
          <w:tcPr>
            <w:tcW w:w="234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$109,507,087</w:t>
            </w:r>
          </w:p>
        </w:tc>
        <w:tc>
          <w:tcPr>
            <w:tcW w:w="1350" w:type="dxa"/>
            <w:shd w:val="clear" w:color="auto" w:fill="auto"/>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1.82</w:t>
            </w:r>
          </w:p>
        </w:tc>
      </w:tr>
      <w:tr w:rsidR="00CC5A01"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360" w:type="dxa"/>
            <w:gridSpan w:val="6"/>
            <w:tcBorders>
              <w:top w:val="none" w:sz="0" w:space="0" w:color="auto"/>
              <w:left w:val="none" w:sz="0" w:space="0" w:color="auto"/>
              <w:bottom w:val="none" w:sz="0" w:space="0" w:color="auto"/>
              <w:right w:val="none" w:sz="0" w:space="0" w:color="auto"/>
            </w:tcBorders>
            <w:shd w:val="clear" w:color="auto" w:fill="9C9393"/>
          </w:tcPr>
          <w:p w:rsidR="00CC5A01" w:rsidRDefault="00CC5A01" w:rsidP="00A83ABC">
            <w:pPr>
              <w:jc w:val="left"/>
              <w:rPr>
                <w:color w:val="FFFFFF" w:themeColor="background1"/>
                <w:sz w:val="20"/>
                <w:szCs w:val="20"/>
              </w:rPr>
            </w:pPr>
            <w:r>
              <w:rPr>
                <w:color w:val="FFFFFF" w:themeColor="background1"/>
                <w:sz w:val="20"/>
                <w:szCs w:val="20"/>
              </w:rPr>
              <w:t>2016-2020 – 20% DR Spending</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Duquesne</w:t>
            </w:r>
          </w:p>
        </w:tc>
        <w:tc>
          <w:tcPr>
            <w:tcW w:w="216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$13,368,272</w:t>
            </w:r>
          </w:p>
        </w:tc>
        <w:tc>
          <w:tcPr>
            <w:tcW w:w="198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$25,946,046</w:t>
            </w:r>
          </w:p>
        </w:tc>
        <w:tc>
          <w:tcPr>
            <w:tcW w:w="234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$12,577,774</w:t>
            </w:r>
          </w:p>
        </w:tc>
        <w:tc>
          <w:tcPr>
            <w:tcW w:w="135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1.94</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Met-Ed</w:t>
            </w:r>
          </w:p>
        </w:tc>
        <w:tc>
          <w:tcPr>
            <w:tcW w:w="216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$17,012,012</w:t>
            </w:r>
          </w:p>
        </w:tc>
        <w:tc>
          <w:tcPr>
            <w:tcW w:w="198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$32,252,033</w:t>
            </w:r>
          </w:p>
        </w:tc>
        <w:tc>
          <w:tcPr>
            <w:tcW w:w="234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$15,240,021</w:t>
            </w:r>
          </w:p>
        </w:tc>
        <w:tc>
          <w:tcPr>
            <w:tcW w:w="1350" w:type="dxa"/>
            <w:tcBorders>
              <w:top w:val="none" w:sz="0" w:space="0" w:color="auto"/>
              <w:bottom w:val="none" w:sz="0" w:space="0" w:color="auto"/>
              <w:right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1.90</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Penelec</w:t>
            </w:r>
          </w:p>
        </w:tc>
        <w:tc>
          <w:tcPr>
            <w:tcW w:w="216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$15,754,543</w:t>
            </w:r>
          </w:p>
        </w:tc>
        <w:tc>
          <w:tcPr>
            <w:tcW w:w="198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$30,195,565</w:t>
            </w:r>
          </w:p>
        </w:tc>
        <w:tc>
          <w:tcPr>
            <w:tcW w:w="234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$14,441,022</w:t>
            </w:r>
          </w:p>
        </w:tc>
        <w:tc>
          <w:tcPr>
            <w:tcW w:w="1350" w:type="dxa"/>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1.92</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Penn Power</w:t>
            </w:r>
          </w:p>
        </w:tc>
        <w:tc>
          <w:tcPr>
            <w:tcW w:w="216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$4,297,032</w:t>
            </w:r>
          </w:p>
        </w:tc>
        <w:tc>
          <w:tcPr>
            <w:tcW w:w="198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$8,306,241</w:t>
            </w:r>
          </w:p>
        </w:tc>
        <w:tc>
          <w:tcPr>
            <w:tcW w:w="2340" w:type="dxa"/>
            <w:tcBorders>
              <w:top w:val="none" w:sz="0" w:space="0" w:color="auto"/>
              <w:bottom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$4,009,209</w:t>
            </w:r>
          </w:p>
        </w:tc>
        <w:tc>
          <w:tcPr>
            <w:tcW w:w="1350" w:type="dxa"/>
            <w:tcBorders>
              <w:top w:val="none" w:sz="0" w:space="0" w:color="auto"/>
              <w:bottom w:val="none" w:sz="0" w:space="0" w:color="auto"/>
              <w:right w:val="none" w:sz="0" w:space="0" w:color="auto"/>
            </w:tcBorders>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1.93</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bottom w:val="single" w:sz="4" w:space="0" w:color="448A99"/>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FE: W</w:t>
            </w:r>
            <w:r>
              <w:rPr>
                <w:rFonts w:ascii="Calibri" w:hAnsi="Calibri"/>
                <w:b w:val="0"/>
                <w:bCs w:val="0"/>
                <w:color w:val="000000"/>
                <w:sz w:val="20"/>
                <w:szCs w:val="20"/>
              </w:rPr>
              <w:t>est Penn</w:t>
            </w:r>
          </w:p>
        </w:tc>
        <w:tc>
          <w:tcPr>
            <w:tcW w:w="216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$15,997,461</w:t>
            </w:r>
          </w:p>
        </w:tc>
        <w:tc>
          <w:tcPr>
            <w:tcW w:w="198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$30,998,723</w:t>
            </w:r>
          </w:p>
        </w:tc>
        <w:tc>
          <w:tcPr>
            <w:tcW w:w="234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$15,001,262</w:t>
            </w:r>
          </w:p>
        </w:tc>
        <w:tc>
          <w:tcPr>
            <w:tcW w:w="135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1.94</w:t>
            </w:r>
          </w:p>
        </w:tc>
      </w:tr>
      <w:tr w:rsidR="00260F6F" w:rsidRPr="0031271C"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shd w:val="clear" w:color="auto" w:fill="auto"/>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PECO</w:t>
            </w:r>
          </w:p>
        </w:tc>
        <w:tc>
          <w:tcPr>
            <w:tcW w:w="216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$69,815,600</w:t>
            </w:r>
          </w:p>
        </w:tc>
        <w:tc>
          <w:tcPr>
            <w:tcW w:w="198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$117,957,821</w:t>
            </w:r>
          </w:p>
        </w:tc>
        <w:tc>
          <w:tcPr>
            <w:tcW w:w="234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$48,142,221</w:t>
            </w:r>
          </w:p>
        </w:tc>
        <w:tc>
          <w:tcPr>
            <w:tcW w:w="1350" w:type="dxa"/>
            <w:tcBorders>
              <w:top w:val="none" w:sz="0" w:space="0" w:color="auto"/>
              <w:bottom w:val="none" w:sz="0" w:space="0" w:color="auto"/>
              <w:right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1.69</w:t>
            </w:r>
          </w:p>
        </w:tc>
      </w:tr>
      <w:tr w:rsidR="00260F6F" w:rsidRPr="0031271C" w:rsidTr="00C65527">
        <w:trPr>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bottom w:val="single" w:sz="4" w:space="0" w:color="448A99"/>
            </w:tcBorders>
            <w:shd w:val="clear" w:color="auto" w:fill="D2EAF1"/>
          </w:tcPr>
          <w:p w:rsidR="00260F6F" w:rsidRPr="005B1398" w:rsidRDefault="00260F6F" w:rsidP="00A83ABC">
            <w:pPr>
              <w:jc w:val="left"/>
              <w:rPr>
                <w:rFonts w:ascii="Calibri" w:hAnsi="Calibri"/>
                <w:b w:val="0"/>
                <w:color w:val="000000"/>
                <w:sz w:val="20"/>
                <w:szCs w:val="20"/>
              </w:rPr>
            </w:pPr>
            <w:r w:rsidRPr="005B1398">
              <w:rPr>
                <w:rFonts w:ascii="Calibri" w:hAnsi="Calibri"/>
                <w:b w:val="0"/>
                <w:bCs w:val="0"/>
                <w:color w:val="000000"/>
                <w:sz w:val="20"/>
                <w:szCs w:val="20"/>
              </w:rPr>
              <w:t>PPL</w:t>
            </w:r>
          </w:p>
        </w:tc>
        <w:tc>
          <w:tcPr>
            <w:tcW w:w="216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$41,599,539</w:t>
            </w:r>
          </w:p>
        </w:tc>
        <w:tc>
          <w:tcPr>
            <w:tcW w:w="198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$78,197,479</w:t>
            </w:r>
          </w:p>
        </w:tc>
        <w:tc>
          <w:tcPr>
            <w:tcW w:w="234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$36,597,940</w:t>
            </w:r>
          </w:p>
        </w:tc>
        <w:tc>
          <w:tcPr>
            <w:tcW w:w="1350" w:type="dxa"/>
            <w:tcBorders>
              <w:bottom w:val="single" w:sz="4" w:space="0" w:color="448A99"/>
            </w:tcBorders>
            <w:shd w:val="clear" w:color="auto" w:fill="D2EAF1"/>
          </w:tcPr>
          <w:p w:rsidR="00260F6F" w:rsidRDefault="00260F6F" w:rsidP="00A83A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1.88</w:t>
            </w:r>
          </w:p>
        </w:tc>
      </w:tr>
      <w:tr w:rsidR="00260F6F" w:rsidRPr="00BF7FC2" w:rsidTr="00C6552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0" w:type="dxa"/>
            <w:gridSpan w:val="2"/>
            <w:tcBorders>
              <w:top w:val="none" w:sz="0" w:space="0" w:color="auto"/>
              <w:left w:val="none" w:sz="0" w:space="0" w:color="auto"/>
              <w:bottom w:val="none" w:sz="0" w:space="0" w:color="auto"/>
            </w:tcBorders>
            <w:shd w:val="clear" w:color="auto" w:fill="auto"/>
          </w:tcPr>
          <w:p w:rsidR="00260F6F" w:rsidRPr="005B1398" w:rsidRDefault="00260F6F" w:rsidP="00A83ABC">
            <w:pPr>
              <w:jc w:val="left"/>
              <w:rPr>
                <w:rFonts w:ascii="Calibri" w:hAnsi="Calibri"/>
                <w:color w:val="000000"/>
                <w:sz w:val="20"/>
                <w:szCs w:val="20"/>
              </w:rPr>
            </w:pPr>
            <w:r w:rsidRPr="005B1398">
              <w:rPr>
                <w:rFonts w:ascii="Calibri" w:hAnsi="Calibri"/>
                <w:bCs w:val="0"/>
                <w:color w:val="000000"/>
                <w:sz w:val="20"/>
                <w:szCs w:val="20"/>
              </w:rPr>
              <w:t>Statewide</w:t>
            </w:r>
          </w:p>
        </w:tc>
        <w:tc>
          <w:tcPr>
            <w:tcW w:w="216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$177,844,459</w:t>
            </w:r>
          </w:p>
        </w:tc>
        <w:tc>
          <w:tcPr>
            <w:tcW w:w="198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$323,853,909</w:t>
            </w:r>
          </w:p>
        </w:tc>
        <w:tc>
          <w:tcPr>
            <w:tcW w:w="2340" w:type="dxa"/>
            <w:tcBorders>
              <w:top w:val="none" w:sz="0" w:space="0" w:color="auto"/>
              <w:bottom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$146,009,450</w:t>
            </w:r>
          </w:p>
        </w:tc>
        <w:tc>
          <w:tcPr>
            <w:tcW w:w="1350" w:type="dxa"/>
            <w:tcBorders>
              <w:top w:val="none" w:sz="0" w:space="0" w:color="auto"/>
              <w:bottom w:val="none" w:sz="0" w:space="0" w:color="auto"/>
              <w:right w:val="none" w:sz="0" w:space="0" w:color="auto"/>
            </w:tcBorders>
            <w:shd w:val="clear" w:color="auto" w:fill="auto"/>
          </w:tcPr>
          <w:p w:rsidR="00260F6F" w:rsidRDefault="00260F6F"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1.82</w:t>
            </w:r>
          </w:p>
        </w:tc>
      </w:tr>
    </w:tbl>
    <w:p w:rsidR="00BF7FC2" w:rsidRDefault="00BF7FC2" w:rsidP="00A83ABC"/>
    <w:p w:rsidR="00BF7FC2" w:rsidRDefault="00256484" w:rsidP="00A83ABC">
      <w:pPr>
        <w:pStyle w:val="Heading2"/>
      </w:pPr>
      <w:bookmarkStart w:id="311" w:name="_Ref407120181"/>
      <w:bookmarkStart w:id="312" w:name="_Toc412628434"/>
      <w:r>
        <w:t xml:space="preserve">Energy Efficiency and </w:t>
      </w:r>
      <w:r w:rsidR="00857521">
        <w:t xml:space="preserve">Demand Response </w:t>
      </w:r>
      <w:r>
        <w:t>Funding Scenarios</w:t>
      </w:r>
      <w:bookmarkEnd w:id="311"/>
      <w:bookmarkEnd w:id="312"/>
    </w:p>
    <w:p w:rsidR="00282ED2" w:rsidRDefault="00E35E28" w:rsidP="00A83ABC">
      <w:r>
        <w:t xml:space="preserve">The Commission will face a key question when authoring an Implementation Order for Phase III of Act 129 and setting conservation targets for the EDCs. How should the 2% funding cap be allocated between </w:t>
      </w:r>
      <w:r w:rsidR="00857521">
        <w:t>EE</w:t>
      </w:r>
      <w:r>
        <w:t xml:space="preserve"> and </w:t>
      </w:r>
      <w:r w:rsidR="00037A03">
        <w:t>DR</w:t>
      </w:r>
      <w:r>
        <w:t xml:space="preserve"> programs? With the exception of PECO, </w:t>
      </w:r>
      <w:r w:rsidR="008D678D">
        <w:t>DLC</w:t>
      </w:r>
      <w:r>
        <w:t xml:space="preserve"> does not appear to be a viable option for Pennsylvania EDCs. </w:t>
      </w:r>
      <w:r w:rsidR="001E6CB8">
        <w:t>We have also established that if “business-as-usual” DR operations continue in PJM’s forward capacity market, a large share of the DR potential in the state will commit load reductions to the wholesale market.</w:t>
      </w:r>
      <w:r w:rsidR="00282ED2">
        <w:t xml:space="preserve"> However, if court rulings or revisions to market architecture remove DR as a potential supply-side resource and Act 129 load curtailment program could insulate Pennsylvania ratepayers from adv</w:t>
      </w:r>
      <w:r w:rsidR="005B680D">
        <w:t>erse effects to electric prices.</w:t>
      </w:r>
    </w:p>
    <w:p w:rsidR="005B680D" w:rsidRDefault="005B680D" w:rsidP="00A83ABC"/>
    <w:p w:rsidR="005B680D" w:rsidRDefault="005B680D" w:rsidP="00A83ABC">
      <w:r>
        <w:fldChar w:fldCharType="begin"/>
      </w:r>
      <w:r>
        <w:instrText xml:space="preserve"> REF _Ref407789122 \h </w:instrText>
      </w:r>
      <w:r w:rsidR="005414F9">
        <w:instrText xml:space="preserve"> \* MERGEFORMAT </w:instrText>
      </w:r>
      <w:r>
        <w:fldChar w:fldCharType="separate"/>
      </w:r>
      <w:r w:rsidR="00803DBE">
        <w:t xml:space="preserve">Table </w:t>
      </w:r>
      <w:r w:rsidR="00803DBE">
        <w:rPr>
          <w:noProof/>
        </w:rPr>
        <w:t>7</w:t>
      </w:r>
      <w:r w:rsidR="00803DBE">
        <w:rPr>
          <w:noProof/>
        </w:rPr>
        <w:noBreakHyphen/>
        <w:t>6</w:t>
      </w:r>
      <w:r>
        <w:fldChar w:fldCharType="end"/>
      </w:r>
      <w:r>
        <w:t xml:space="preserve"> shows the TRC costs, TRC benefits, TRC ratio, and </w:t>
      </w:r>
      <w:r w:rsidR="00DB4738">
        <w:t>PVNB</w:t>
      </w:r>
      <w:r>
        <w:t xml:space="preserve"> for each of the four </w:t>
      </w:r>
      <w:r w:rsidR="00857521">
        <w:t>EE</w:t>
      </w:r>
      <w:r>
        <w:t>/</w:t>
      </w:r>
      <w:r w:rsidR="00037A03">
        <w:t>DR</w:t>
      </w:r>
      <w:r>
        <w:t xml:space="preserve"> funding splits by EDC and at the statewide level. </w:t>
      </w:r>
      <w:r w:rsidR="00DA31B7">
        <w:t xml:space="preserve">To provide the most comprehensive comparison of DR and EE, we have used the </w:t>
      </w:r>
      <w:r w:rsidR="00745FDF">
        <w:t xml:space="preserve">“wholesale changes” </w:t>
      </w:r>
      <w:r w:rsidR="00DA31B7">
        <w:t xml:space="preserve">DR scenario which assumes there is no PJM DR in PY10, PY11, and PY12. </w:t>
      </w:r>
      <w:r>
        <w:t xml:space="preserve">Our analysis shows that </w:t>
      </w:r>
      <w:r w:rsidR="00857521">
        <w:t>EE</w:t>
      </w:r>
      <w:r>
        <w:t xml:space="preserve"> provides a </w:t>
      </w:r>
      <w:r w:rsidR="005414F9">
        <w:t xml:space="preserve">slightly </w:t>
      </w:r>
      <w:r>
        <w:t>better return on investment for Pennsylvania ratepayers than</w:t>
      </w:r>
      <w:r w:rsidR="005414F9">
        <w:t xml:space="preserve"> </w:t>
      </w:r>
      <w:r w:rsidR="00037A03">
        <w:t>DR</w:t>
      </w:r>
      <w:r w:rsidR="005414F9">
        <w:t xml:space="preserve">. </w:t>
      </w:r>
      <w:r>
        <w:t xml:space="preserve">Given the uncertainty associated with DR participation in PJM’s wholesale markets and whether enough </w:t>
      </w:r>
      <w:r w:rsidR="00037A03">
        <w:t>DR</w:t>
      </w:r>
      <w:r>
        <w:t xml:space="preserve"> potential will even be available for Act 129 DR to utilize these funds, we believe that </w:t>
      </w:r>
      <w:r w:rsidR="00857521">
        <w:t>EE</w:t>
      </w:r>
      <w:r>
        <w:t xml:space="preserve"> is a safer investment of the 2% DSM funding cap set forth in the legislation.</w:t>
      </w:r>
    </w:p>
    <w:p w:rsidR="005B680D" w:rsidRDefault="005B680D" w:rsidP="00A83ABC">
      <w:pPr>
        <w:jc w:val="left"/>
      </w:pPr>
    </w:p>
    <w:p w:rsidR="005B680D" w:rsidRDefault="005B680D" w:rsidP="00A83ABC">
      <w:pPr>
        <w:pStyle w:val="Caption"/>
        <w:keepNext/>
      </w:pPr>
      <w:bookmarkStart w:id="313" w:name="_Ref407789122"/>
      <w:bookmarkStart w:id="314" w:name="_Toc412628499"/>
      <w:r>
        <w:t xml:space="preserve">Table </w:t>
      </w:r>
      <w:r w:rsidR="00E2011B">
        <w:fldChar w:fldCharType="begin"/>
      </w:r>
      <w:r w:rsidR="00E2011B">
        <w:instrText xml:space="preserve"> STYLEREF 1 \s </w:instrText>
      </w:r>
      <w:r w:rsidR="00E2011B">
        <w:fldChar w:fldCharType="separate"/>
      </w:r>
      <w:r w:rsidR="00803DBE">
        <w:rPr>
          <w:noProof/>
        </w:rPr>
        <w:t>7</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6</w:t>
      </w:r>
      <w:r w:rsidR="00E2011B">
        <w:rPr>
          <w:noProof/>
        </w:rPr>
        <w:fldChar w:fldCharType="end"/>
      </w:r>
      <w:bookmarkEnd w:id="313"/>
      <w:r>
        <w:t xml:space="preserve">: TRC Costs and Benefits for Energy Efficiency and </w:t>
      </w:r>
      <w:r w:rsidR="00037A03">
        <w:t>DR</w:t>
      </w:r>
      <w:r w:rsidR="003D7322">
        <w:t xml:space="preserve"> Funding Allocation Scenarios</w:t>
      </w:r>
      <w:bookmarkEnd w:id="314"/>
    </w:p>
    <w:tbl>
      <w:tblPr>
        <w:tblStyle w:val="MediumShading1-Accent5"/>
        <w:tblW w:w="4926"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27"/>
        <w:gridCol w:w="1625"/>
        <w:gridCol w:w="1530"/>
        <w:gridCol w:w="1530"/>
        <w:gridCol w:w="1858"/>
        <w:gridCol w:w="1364"/>
      </w:tblGrid>
      <w:tr w:rsidR="005414F9" w:rsidRPr="00530996" w:rsidTr="00745F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448A99"/>
            <w:vAlign w:val="bottom"/>
          </w:tcPr>
          <w:p w:rsidR="005414F9" w:rsidRPr="00530996" w:rsidRDefault="005414F9" w:rsidP="00A83ABC">
            <w:pPr>
              <w:jc w:val="left"/>
              <w:rPr>
                <w:sz w:val="20"/>
                <w:szCs w:val="20"/>
              </w:rPr>
            </w:pPr>
            <w:r>
              <w:rPr>
                <w:sz w:val="20"/>
                <w:szCs w:val="20"/>
              </w:rPr>
              <w:t>Scenario (EE/DR)</w:t>
            </w:r>
            <w:r w:rsidR="00260F6F">
              <w:rPr>
                <w:sz w:val="20"/>
                <w:szCs w:val="20"/>
              </w:rPr>
              <w:t xml:space="preserve"> %</w:t>
            </w:r>
          </w:p>
        </w:tc>
        <w:tc>
          <w:tcPr>
            <w:tcW w:w="861" w:type="pct"/>
            <w:tcBorders>
              <w:top w:val="none" w:sz="0" w:space="0" w:color="auto"/>
              <w:left w:val="none" w:sz="0" w:space="0" w:color="auto"/>
              <w:bottom w:val="none" w:sz="0" w:space="0" w:color="auto"/>
              <w:right w:val="none" w:sz="0" w:space="0" w:color="auto"/>
            </w:tcBorders>
            <w:shd w:val="clear" w:color="auto" w:fill="448A99"/>
            <w:vAlign w:val="bottom"/>
          </w:tcPr>
          <w:p w:rsidR="005414F9" w:rsidRDefault="005414F9" w:rsidP="00A83ABC">
            <w:pPr>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EDC</w:t>
            </w:r>
          </w:p>
        </w:tc>
        <w:tc>
          <w:tcPr>
            <w:tcW w:w="811" w:type="pct"/>
            <w:tcBorders>
              <w:top w:val="none" w:sz="0" w:space="0" w:color="auto"/>
              <w:left w:val="none" w:sz="0" w:space="0" w:color="auto"/>
              <w:bottom w:val="none" w:sz="0" w:space="0" w:color="auto"/>
              <w:right w:val="none" w:sz="0" w:space="0" w:color="auto"/>
            </w:tcBorders>
            <w:shd w:val="clear" w:color="auto" w:fill="448A99"/>
            <w:vAlign w:val="bottom"/>
          </w:tcPr>
          <w:p w:rsidR="005414F9" w:rsidRPr="00530996" w:rsidRDefault="005414F9"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NPV Costs</w:t>
            </w:r>
            <w:r w:rsidR="00745FDF">
              <w:rPr>
                <w:sz w:val="20"/>
                <w:szCs w:val="20"/>
              </w:rPr>
              <w:t xml:space="preserve"> ($Million)</w:t>
            </w:r>
          </w:p>
        </w:tc>
        <w:tc>
          <w:tcPr>
            <w:tcW w:w="811" w:type="pct"/>
            <w:tcBorders>
              <w:top w:val="none" w:sz="0" w:space="0" w:color="auto"/>
              <w:left w:val="none" w:sz="0" w:space="0" w:color="auto"/>
              <w:bottom w:val="none" w:sz="0" w:space="0" w:color="auto"/>
              <w:right w:val="none" w:sz="0" w:space="0" w:color="auto"/>
            </w:tcBorders>
            <w:shd w:val="clear" w:color="auto" w:fill="448A99"/>
            <w:vAlign w:val="bottom"/>
          </w:tcPr>
          <w:p w:rsidR="005414F9" w:rsidRPr="00530996" w:rsidRDefault="005414F9"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NPV Benefits</w:t>
            </w:r>
            <w:r w:rsidR="00745FDF">
              <w:rPr>
                <w:sz w:val="20"/>
                <w:szCs w:val="20"/>
              </w:rPr>
              <w:t xml:space="preserve"> ($Million)</w:t>
            </w:r>
          </w:p>
        </w:tc>
        <w:tc>
          <w:tcPr>
            <w:tcW w:w="985" w:type="pct"/>
            <w:tcBorders>
              <w:top w:val="none" w:sz="0" w:space="0" w:color="auto"/>
              <w:left w:val="none" w:sz="0" w:space="0" w:color="auto"/>
              <w:bottom w:val="none" w:sz="0" w:space="0" w:color="auto"/>
              <w:right w:val="none" w:sz="0" w:space="0" w:color="auto"/>
            </w:tcBorders>
            <w:shd w:val="clear" w:color="auto" w:fill="448A99"/>
            <w:vAlign w:val="bottom"/>
          </w:tcPr>
          <w:p w:rsidR="005414F9" w:rsidRPr="00530996" w:rsidRDefault="005414F9"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 of Net Benefits</w:t>
            </w:r>
            <w:r w:rsidR="00745FDF">
              <w:rPr>
                <w:sz w:val="20"/>
                <w:szCs w:val="20"/>
              </w:rPr>
              <w:t xml:space="preserve"> ($Million)</w:t>
            </w:r>
          </w:p>
        </w:tc>
        <w:tc>
          <w:tcPr>
            <w:tcW w:w="723" w:type="pct"/>
            <w:tcBorders>
              <w:top w:val="none" w:sz="0" w:space="0" w:color="auto"/>
              <w:left w:val="none" w:sz="0" w:space="0" w:color="auto"/>
              <w:bottom w:val="none" w:sz="0" w:space="0" w:color="auto"/>
              <w:right w:val="none" w:sz="0" w:space="0" w:color="auto"/>
            </w:tcBorders>
            <w:shd w:val="clear" w:color="auto" w:fill="448A99"/>
            <w:vAlign w:val="bottom"/>
          </w:tcPr>
          <w:p w:rsidR="005414F9" w:rsidRPr="00530996" w:rsidRDefault="005414F9"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Scenario TRC</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val="restart"/>
            <w:tcBorders>
              <w:right w:val="none" w:sz="0" w:space="0" w:color="auto"/>
            </w:tcBorders>
            <w:shd w:val="clear" w:color="auto" w:fill="9C9393"/>
            <w:vAlign w:val="center"/>
          </w:tcPr>
          <w:p w:rsidR="00745FDF" w:rsidRPr="00C65527" w:rsidRDefault="00745FDF" w:rsidP="00A83ABC">
            <w:pPr>
              <w:jc w:val="center"/>
              <w:rPr>
                <w:rFonts w:eastAsia="Times New Roman" w:cs="Times New Roman"/>
                <w:bCs w:val="0"/>
                <w:color w:val="FFFFFF" w:themeColor="background1"/>
                <w:sz w:val="20"/>
                <w:szCs w:val="20"/>
              </w:rPr>
            </w:pPr>
            <w:r w:rsidRPr="00C65527">
              <w:rPr>
                <w:rFonts w:eastAsia="Times New Roman" w:cs="Times New Roman"/>
                <w:bCs w:val="0"/>
                <w:color w:val="FFFFFF" w:themeColor="background1"/>
                <w:sz w:val="20"/>
                <w:szCs w:val="20"/>
              </w:rPr>
              <w:t>100/0</w:t>
            </w: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Duquesne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$143.71</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$300.93</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$157.22</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2.09</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Met-Ed</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$168.93</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$325.03</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$156.10</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1.92</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Penelec</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$159.66</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$277.79</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$118.13</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1.74</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Penn Power</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$43.05</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$72.48</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$29.44</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1.68</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West Penn</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$153.53</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$275.02</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$121.50</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1.79</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PECO</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$600.11</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$1,162.94</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$562.83</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1.94</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PPL</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$423.00</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$770.05</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$347.05</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1.82</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noWrap/>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bCs/>
                <w:color w:val="000000"/>
                <w:sz w:val="20"/>
                <w:szCs w:val="20"/>
              </w:rPr>
              <w:t>Statewide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$1,692</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$3,184</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$1,492</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1.88</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val="restart"/>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b w:val="0"/>
                <w:bCs w:val="0"/>
                <w:color w:val="FFFFFF" w:themeColor="background1"/>
                <w:sz w:val="20"/>
                <w:szCs w:val="20"/>
              </w:rPr>
            </w:pPr>
            <w:r w:rsidRPr="00337CFF">
              <w:rPr>
                <w:rFonts w:eastAsia="Times New Roman" w:cs="Times New Roman"/>
                <w:color w:val="FFFFFF" w:themeColor="background1"/>
                <w:sz w:val="20"/>
                <w:szCs w:val="20"/>
              </w:rPr>
              <w:t>90/10</w:t>
            </w: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Duquesne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$136.03</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$283.81</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$147.79</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2.09</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Met-Ed</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$160.55</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$308.65</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$148.11</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1.92</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Penelec</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$151.57</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$265.11</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$113.54</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1.75</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Penn Power</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$40.89</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$69.39</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$28.50</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1.70</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West Penn</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$146.17</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$263.02</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$116.85</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1.80</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PECO</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$575.00</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$1,105.62</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$530.62</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1.92</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PPL</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$401.50</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$732.14</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$330.65</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1.82</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noWrap/>
            <w:vAlign w:val="center"/>
            <w:hideMark/>
          </w:tcPr>
          <w:p w:rsidR="00745FDF" w:rsidRPr="00337CFF" w:rsidRDefault="00745FDF" w:rsidP="00A83ABC">
            <w:pPr>
              <w:jc w:val="center"/>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bCs/>
                <w:color w:val="000000"/>
                <w:sz w:val="20"/>
                <w:szCs w:val="20"/>
              </w:rPr>
              <w:t>Statewide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$1,612</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$3,028</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$1,416</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1.88</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val="restart"/>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b w:val="0"/>
                <w:bCs w:val="0"/>
                <w:color w:val="FFFFFF" w:themeColor="background1"/>
                <w:sz w:val="20"/>
                <w:szCs w:val="20"/>
              </w:rPr>
            </w:pPr>
            <w:r w:rsidRPr="00337CFF">
              <w:rPr>
                <w:rFonts w:eastAsia="Times New Roman" w:cs="Times New Roman"/>
                <w:color w:val="FFFFFF" w:themeColor="background1"/>
                <w:sz w:val="20"/>
                <w:szCs w:val="20"/>
              </w:rPr>
              <w:t>85/15</w:t>
            </w: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Duquesne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$132.18</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$275.25</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$143.07</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2.08</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337CFF" w:rsidRDefault="00745FDF" w:rsidP="00A83ABC">
            <w:pPr>
              <w:jc w:val="left"/>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Met-Ed</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$156.35</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$300.46</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$144.11</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1.92</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337CFF" w:rsidRDefault="00745FDF" w:rsidP="00A83ABC">
            <w:pPr>
              <w:jc w:val="left"/>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Penelec</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$147.53</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$258.77</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$111.24</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1.75</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337CFF" w:rsidRDefault="00745FDF" w:rsidP="00A83ABC">
            <w:pPr>
              <w:jc w:val="left"/>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Penn Power</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$39.81</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$67.84</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$28.03</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1.70</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337CFF" w:rsidRDefault="00745FDF" w:rsidP="00A83ABC">
            <w:pPr>
              <w:jc w:val="left"/>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West Penn</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$142.50</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$257.02</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$114.52</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1.80</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337CFF" w:rsidRDefault="00745FDF" w:rsidP="00A83ABC">
            <w:pPr>
              <w:jc w:val="left"/>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PECO</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$562.45</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$1,076.97</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$514.51</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1.91</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337CFF" w:rsidRDefault="00745FDF" w:rsidP="00A83ABC">
            <w:pPr>
              <w:jc w:val="left"/>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PPL</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$390.75</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$713.19</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$322.44</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1.83</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noWrap/>
            <w:hideMark/>
          </w:tcPr>
          <w:p w:rsidR="00745FDF" w:rsidRPr="00337CFF" w:rsidRDefault="00745FDF" w:rsidP="00A83ABC">
            <w:pPr>
              <w:jc w:val="left"/>
              <w:rPr>
                <w:rFonts w:eastAsia="Times New Roman" w:cs="Times New Roman"/>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bCs/>
                <w:color w:val="000000"/>
                <w:sz w:val="20"/>
                <w:szCs w:val="20"/>
              </w:rPr>
              <w:t>Statewide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$1,572</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$2,950</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$1,378</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1.88</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val="restart"/>
            <w:tcBorders>
              <w:right w:val="none" w:sz="0" w:space="0" w:color="auto"/>
            </w:tcBorders>
            <w:shd w:val="clear" w:color="auto" w:fill="9C9393"/>
            <w:vAlign w:val="center"/>
            <w:hideMark/>
          </w:tcPr>
          <w:p w:rsidR="00745FDF" w:rsidRPr="00337CFF" w:rsidRDefault="00745FDF" w:rsidP="00A83ABC">
            <w:pPr>
              <w:jc w:val="center"/>
              <w:rPr>
                <w:rFonts w:eastAsia="Times New Roman" w:cs="Times New Roman"/>
                <w:b w:val="0"/>
                <w:bCs w:val="0"/>
                <w:color w:val="FFFFFF" w:themeColor="background1"/>
                <w:sz w:val="20"/>
                <w:szCs w:val="20"/>
              </w:rPr>
            </w:pPr>
            <w:r w:rsidRPr="00337CFF">
              <w:rPr>
                <w:rFonts w:eastAsia="Times New Roman" w:cs="Times New Roman"/>
                <w:color w:val="FFFFFF" w:themeColor="background1"/>
                <w:sz w:val="20"/>
                <w:szCs w:val="20"/>
              </w:rPr>
              <w:lastRenderedPageBreak/>
              <w:t>80/20</w:t>
            </w:r>
          </w:p>
          <w:p w:rsidR="00745FDF" w:rsidRPr="00337CFF" w:rsidRDefault="00745FDF" w:rsidP="00A83ABC">
            <w:pPr>
              <w:jc w:val="center"/>
              <w:rPr>
                <w:rFonts w:eastAsia="Times New Roman" w:cs="Times New Roman"/>
                <w:b w:val="0"/>
                <w:bCs w:val="0"/>
                <w:color w:val="FFFFFF" w:themeColor="background1"/>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Duquesne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$128.34</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$266.69</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$138.35</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2.08</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5414F9" w:rsidRDefault="00745FDF" w:rsidP="00A83ABC">
            <w:pPr>
              <w:jc w:val="left"/>
              <w:rPr>
                <w:rFonts w:eastAsia="Times New Roman" w:cs="Times New Roman"/>
                <w:color w:val="000000"/>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Met-Ed</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$152.16</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$292.28</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$140.12</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1.92</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5414F9" w:rsidRDefault="00745FDF" w:rsidP="00A83ABC">
            <w:pPr>
              <w:jc w:val="left"/>
              <w:rPr>
                <w:rFonts w:eastAsia="Times New Roman" w:cs="Times New Roman"/>
                <w:color w:val="000000"/>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Penelec</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$143.48</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$252.43</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$108.94</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1.76</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5414F9" w:rsidRDefault="00745FDF" w:rsidP="00A83ABC">
            <w:pPr>
              <w:jc w:val="left"/>
              <w:rPr>
                <w:rFonts w:eastAsia="Times New Roman" w:cs="Times New Roman"/>
                <w:color w:val="000000"/>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FE: Penn Power</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$38.73</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$66.29</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$27.56</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1.71</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5414F9" w:rsidRDefault="00745FDF" w:rsidP="00A83ABC">
            <w:pPr>
              <w:jc w:val="left"/>
              <w:rPr>
                <w:rFonts w:eastAsia="Times New Roman" w:cs="Times New Roman"/>
                <w:color w:val="000000"/>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FE: West Penn</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$138.82</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$251.02</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$112.20</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1.81</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5414F9" w:rsidRDefault="00745FDF" w:rsidP="00A83ABC">
            <w:pPr>
              <w:jc w:val="left"/>
              <w:rPr>
                <w:rFonts w:eastAsia="Times New Roman" w:cs="Times New Roman"/>
                <w:color w:val="000000"/>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bCs/>
                <w:color w:val="000000"/>
                <w:sz w:val="20"/>
                <w:szCs w:val="20"/>
              </w:rPr>
              <w:t>PECO</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$549.90</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$1,048.31</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$498.41</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204CA6">
              <w:rPr>
                <w:color w:val="000000"/>
                <w:sz w:val="20"/>
                <w:szCs w:val="20"/>
              </w:rPr>
              <w:t>1.91</w:t>
            </w:r>
          </w:p>
        </w:tc>
      </w:tr>
      <w:tr w:rsidR="00745FDF" w:rsidRPr="005414F9" w:rsidTr="00204CA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hideMark/>
          </w:tcPr>
          <w:p w:rsidR="00745FDF" w:rsidRPr="005414F9" w:rsidRDefault="00745FDF" w:rsidP="00A83ABC">
            <w:pPr>
              <w:jc w:val="left"/>
              <w:rPr>
                <w:rFonts w:eastAsia="Times New Roman" w:cs="Times New Roman"/>
                <w:color w:val="000000"/>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bCs/>
                <w:color w:val="000000"/>
                <w:sz w:val="20"/>
                <w:szCs w:val="20"/>
              </w:rPr>
              <w:t>PPL</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$380.00</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$694.24</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$314.24</w:t>
            </w:r>
          </w:p>
        </w:tc>
        <w:tc>
          <w:tcPr>
            <w:tcW w:w="723" w:type="pct"/>
            <w:tcBorders>
              <w:left w:val="none" w:sz="0" w:space="0" w:color="auto"/>
            </w:tcBorders>
            <w:noWrap/>
            <w:vAlign w:val="center"/>
            <w:hideMark/>
          </w:tcPr>
          <w:p w:rsidR="00745FDF" w:rsidRPr="00204CA6" w:rsidRDefault="00745FDF" w:rsidP="00A83A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4CA6">
              <w:rPr>
                <w:color w:val="000000"/>
                <w:sz w:val="20"/>
                <w:szCs w:val="20"/>
              </w:rPr>
              <w:t>1.83</w:t>
            </w:r>
          </w:p>
        </w:tc>
      </w:tr>
      <w:tr w:rsidR="00745FDF" w:rsidRPr="005414F9" w:rsidTr="00204CA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9" w:type="pct"/>
            <w:vMerge/>
            <w:tcBorders>
              <w:right w:val="none" w:sz="0" w:space="0" w:color="auto"/>
            </w:tcBorders>
            <w:shd w:val="clear" w:color="auto" w:fill="9C9393"/>
            <w:noWrap/>
            <w:hideMark/>
          </w:tcPr>
          <w:p w:rsidR="00745FDF" w:rsidRPr="005414F9" w:rsidRDefault="00745FDF" w:rsidP="00A83ABC">
            <w:pPr>
              <w:jc w:val="left"/>
              <w:rPr>
                <w:rFonts w:eastAsia="Times New Roman" w:cs="Times New Roman"/>
                <w:color w:val="000000"/>
                <w:sz w:val="20"/>
                <w:szCs w:val="20"/>
              </w:rPr>
            </w:pPr>
          </w:p>
        </w:tc>
        <w:tc>
          <w:tcPr>
            <w:tcW w:w="861" w:type="pct"/>
            <w:tcBorders>
              <w:left w:val="none" w:sz="0" w:space="0" w:color="auto"/>
              <w:right w:val="none" w:sz="0" w:space="0" w:color="auto"/>
            </w:tcBorders>
            <w:noWrap/>
            <w:hideMark/>
          </w:tcPr>
          <w:p w:rsidR="00745FDF" w:rsidRPr="00204CA6" w:rsidRDefault="00745FDF" w:rsidP="00A83ABC">
            <w:pPr>
              <w:jc w:val="lef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bCs/>
                <w:color w:val="000000"/>
                <w:sz w:val="20"/>
                <w:szCs w:val="20"/>
              </w:rPr>
              <w:t>Statewide</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$1,531</w:t>
            </w:r>
          </w:p>
        </w:tc>
        <w:tc>
          <w:tcPr>
            <w:tcW w:w="811"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$2,871</w:t>
            </w:r>
          </w:p>
        </w:tc>
        <w:tc>
          <w:tcPr>
            <w:tcW w:w="985" w:type="pct"/>
            <w:tcBorders>
              <w:left w:val="none" w:sz="0" w:space="0" w:color="auto"/>
              <w:righ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$1,340</w:t>
            </w:r>
          </w:p>
        </w:tc>
        <w:tc>
          <w:tcPr>
            <w:tcW w:w="723" w:type="pct"/>
            <w:tcBorders>
              <w:left w:val="none" w:sz="0" w:space="0" w:color="auto"/>
            </w:tcBorders>
            <w:noWrap/>
            <w:vAlign w:val="center"/>
            <w:hideMark/>
          </w:tcPr>
          <w:p w:rsidR="00745FDF" w:rsidRPr="00204CA6" w:rsidRDefault="00745FDF" w:rsidP="00A83ABC">
            <w:pPr>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204CA6">
              <w:rPr>
                <w:b/>
                <w:color w:val="000000"/>
                <w:sz w:val="20"/>
                <w:szCs w:val="20"/>
              </w:rPr>
              <w:t>1.87</w:t>
            </w:r>
          </w:p>
        </w:tc>
      </w:tr>
    </w:tbl>
    <w:p w:rsidR="00DF01B1" w:rsidRDefault="00DF01B1" w:rsidP="00A83ABC"/>
    <w:p w:rsidR="00745FDF" w:rsidRPr="00250D48" w:rsidRDefault="005414F9" w:rsidP="00A83ABC">
      <w:pPr>
        <w:spacing w:after="200"/>
        <w:jc w:val="left"/>
      </w:pPr>
      <w:r>
        <w:t>The</w:t>
      </w:r>
      <w:r w:rsidR="003D7322">
        <w:t xml:space="preserve"> potential energy and peak demand savings associated with each of the four funding allocations over a five-year Phase III are presented in</w:t>
      </w:r>
      <w:r w:rsidR="00AE3246">
        <w:t xml:space="preserve"> </w:t>
      </w:r>
      <w:r w:rsidR="00250D48">
        <w:fldChar w:fldCharType="begin"/>
      </w:r>
      <w:r w:rsidR="00250D48">
        <w:instrText xml:space="preserve"> REF _Ref412455879 \h </w:instrText>
      </w:r>
      <w:r w:rsidR="00250D48">
        <w:fldChar w:fldCharType="separate"/>
      </w:r>
      <w:r w:rsidR="00803DBE">
        <w:t xml:space="preserve">Table </w:t>
      </w:r>
      <w:r w:rsidR="00803DBE">
        <w:rPr>
          <w:noProof/>
        </w:rPr>
        <w:t>7</w:t>
      </w:r>
      <w:r w:rsidR="00803DBE">
        <w:noBreakHyphen/>
      </w:r>
      <w:r w:rsidR="00803DBE">
        <w:rPr>
          <w:noProof/>
        </w:rPr>
        <w:t>7</w:t>
      </w:r>
      <w:r w:rsidR="00250D48">
        <w:fldChar w:fldCharType="end"/>
      </w:r>
      <w:r w:rsidR="00250D48">
        <w:t xml:space="preserve">. </w:t>
      </w:r>
      <w:r w:rsidR="00EA67A9">
        <w:t xml:space="preserve">Peak demand savings are presented separately for </w:t>
      </w:r>
      <w:r w:rsidR="00857521">
        <w:t>EE</w:t>
      </w:r>
      <w:r w:rsidR="00EA67A9">
        <w:t xml:space="preserve"> and demand savings because of </w:t>
      </w:r>
      <w:r w:rsidR="00DF11DF">
        <w:t xml:space="preserve">subtle </w:t>
      </w:r>
      <w:r w:rsidR="00EA67A9">
        <w:t xml:space="preserve">differences in definition. For </w:t>
      </w:r>
      <w:r w:rsidR="00857521">
        <w:t>EE</w:t>
      </w:r>
      <w:r w:rsidR="00EA67A9">
        <w:t xml:space="preserve">, only the first-year peak demand reductions resulting from installations in that program year are counted, but demand savings typically last for many years. For </w:t>
      </w:r>
      <w:r w:rsidR="00037A03">
        <w:t>DR</w:t>
      </w:r>
      <w:r w:rsidR="00EA67A9">
        <w:t xml:space="preserve">, the expected reductions in each of the five program years are averaged. </w:t>
      </w:r>
      <w:r w:rsidR="00745FDF">
        <w:t xml:space="preserve">The DR potential column in </w:t>
      </w:r>
      <w:r w:rsidR="00745FDF">
        <w:fldChar w:fldCharType="begin"/>
      </w:r>
      <w:r w:rsidR="00745FDF">
        <w:instrText xml:space="preserve"> REF _Ref412455879 \h </w:instrText>
      </w:r>
      <w:r w:rsidR="00745FDF">
        <w:fldChar w:fldCharType="separate"/>
      </w:r>
      <w:r w:rsidR="00803DBE">
        <w:t xml:space="preserve">Table </w:t>
      </w:r>
      <w:r w:rsidR="00803DBE">
        <w:rPr>
          <w:noProof/>
        </w:rPr>
        <w:t>7</w:t>
      </w:r>
      <w:r w:rsidR="00803DBE">
        <w:noBreakHyphen/>
      </w:r>
      <w:r w:rsidR="00803DBE">
        <w:rPr>
          <w:noProof/>
        </w:rPr>
        <w:t>7</w:t>
      </w:r>
      <w:r w:rsidR="00745FDF">
        <w:fldChar w:fldCharType="end"/>
      </w:r>
      <w:r w:rsidR="00745FDF">
        <w:t xml:space="preserve"> is net of “business as usual” projections of PJM commitments. </w:t>
      </w:r>
      <w:r w:rsidR="00DA31B7">
        <w:t xml:space="preserve">PECO could achieve the MW savings from DR from one of three DR program types. While the </w:t>
      </w:r>
      <w:r w:rsidR="0045410E">
        <w:t xml:space="preserve">SWE </w:t>
      </w:r>
      <w:r w:rsidR="00A61CA7">
        <w:t>T</w:t>
      </w:r>
      <w:r w:rsidR="00DA31B7">
        <w:t>eam used a weighted average acquisition cost from the three program types to estimate potential, how the load reductions would be achieved would be a program design decision for PECO.</w:t>
      </w:r>
      <w:r w:rsidR="00745FDF">
        <w:t xml:space="preserve"> DR savings amount shown in red in </w:t>
      </w:r>
      <w:r w:rsidR="00745FDF">
        <w:fldChar w:fldCharType="begin"/>
      </w:r>
      <w:r w:rsidR="00745FDF">
        <w:instrText xml:space="preserve"> REF _Ref412455879 \h </w:instrText>
      </w:r>
      <w:r w:rsidR="00745FDF">
        <w:fldChar w:fldCharType="separate"/>
      </w:r>
      <w:r w:rsidR="00803DBE">
        <w:t xml:space="preserve">Table </w:t>
      </w:r>
      <w:r w:rsidR="00803DBE">
        <w:rPr>
          <w:noProof/>
        </w:rPr>
        <w:t>7</w:t>
      </w:r>
      <w:r w:rsidR="00803DBE">
        <w:noBreakHyphen/>
      </w:r>
      <w:r w:rsidR="00803DBE">
        <w:rPr>
          <w:noProof/>
        </w:rPr>
        <w:t>7</w:t>
      </w:r>
      <w:r w:rsidR="00745FDF">
        <w:fldChar w:fldCharType="end"/>
      </w:r>
      <w:r w:rsidR="00745FDF">
        <w:t xml:space="preserve"> indicate that DR potential, rather than DR funding, is the constraining factor.</w:t>
      </w:r>
    </w:p>
    <w:p w:rsidR="003D7322" w:rsidRDefault="003D7322" w:rsidP="00A83ABC"/>
    <w:p w:rsidR="00C65527" w:rsidRDefault="00C65527" w:rsidP="00A83ABC">
      <w:pPr>
        <w:spacing w:after="200"/>
        <w:jc w:val="left"/>
      </w:pPr>
      <w:bookmarkStart w:id="315" w:name="_Ref408585612"/>
      <w:bookmarkStart w:id="316" w:name="_Toc407808797"/>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pPr>
    </w:p>
    <w:p w:rsidR="007C0547" w:rsidRDefault="007C0547" w:rsidP="00A83ABC">
      <w:pPr>
        <w:spacing w:after="200"/>
        <w:jc w:val="left"/>
        <w:rPr>
          <w:b/>
          <w:bCs/>
          <w:sz w:val="18"/>
          <w:szCs w:val="18"/>
        </w:rPr>
      </w:pPr>
    </w:p>
    <w:p w:rsidR="00260F6F" w:rsidRDefault="00260F6F" w:rsidP="00A83ABC">
      <w:pPr>
        <w:pStyle w:val="Caption"/>
      </w:pPr>
      <w:bookmarkStart w:id="317" w:name="_Ref412455879"/>
      <w:bookmarkStart w:id="318" w:name="_Toc412628500"/>
      <w:r>
        <w:lastRenderedPageBreak/>
        <w:t xml:space="preserve">Table </w:t>
      </w:r>
      <w:r w:rsidR="00E2011B">
        <w:fldChar w:fldCharType="begin"/>
      </w:r>
      <w:r w:rsidR="00E2011B">
        <w:instrText xml:space="preserve"> STYLEREF 1 \s </w:instrText>
      </w:r>
      <w:r w:rsidR="00E2011B">
        <w:fldChar w:fldCharType="separate"/>
      </w:r>
      <w:r w:rsidR="00803DBE">
        <w:rPr>
          <w:noProof/>
        </w:rPr>
        <w:t>7</w:t>
      </w:r>
      <w:r w:rsidR="00E2011B">
        <w:rPr>
          <w:noProof/>
        </w:rPr>
        <w:fldChar w:fldCharType="end"/>
      </w:r>
      <w:r w:rsidR="00F30AE2">
        <w:noBreakHyphen/>
      </w:r>
      <w:r w:rsidR="00E2011B">
        <w:fldChar w:fldCharType="begin"/>
      </w:r>
      <w:r w:rsidR="00E2011B">
        <w:instrText xml:space="preserve"> SEQ Table \* ARABIC \s 1 </w:instrText>
      </w:r>
      <w:r w:rsidR="00E2011B">
        <w:fldChar w:fldCharType="separate"/>
      </w:r>
      <w:r w:rsidR="00803DBE">
        <w:rPr>
          <w:noProof/>
        </w:rPr>
        <w:t>7</w:t>
      </w:r>
      <w:r w:rsidR="00E2011B">
        <w:rPr>
          <w:noProof/>
        </w:rPr>
        <w:fldChar w:fldCharType="end"/>
      </w:r>
      <w:bookmarkEnd w:id="315"/>
      <w:bookmarkEnd w:id="317"/>
      <w:r>
        <w:t xml:space="preserve">: Energy and Demand Impacts for Energy Efficiency and </w:t>
      </w:r>
      <w:r w:rsidR="00037A03">
        <w:t>DR</w:t>
      </w:r>
      <w:r>
        <w:t xml:space="preserve"> Funding Allocation Scenarios</w:t>
      </w:r>
      <w:bookmarkEnd w:id="316"/>
      <w:bookmarkEnd w:id="318"/>
    </w:p>
    <w:tbl>
      <w:tblPr>
        <w:tblStyle w:val="MediumShading1-Accent5"/>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144"/>
        <w:gridCol w:w="1825"/>
        <w:gridCol w:w="2204"/>
        <w:gridCol w:w="2202"/>
        <w:gridCol w:w="2201"/>
      </w:tblGrid>
      <w:tr w:rsidR="00B1748A" w:rsidRPr="00530996" w:rsidTr="00B174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 w:type="pct"/>
            <w:shd w:val="clear" w:color="auto" w:fill="448A99"/>
            <w:vAlign w:val="center"/>
          </w:tcPr>
          <w:p w:rsidR="00B1748A" w:rsidRPr="00530996" w:rsidRDefault="00B1748A" w:rsidP="00A83ABC">
            <w:pPr>
              <w:jc w:val="center"/>
              <w:rPr>
                <w:sz w:val="20"/>
                <w:szCs w:val="20"/>
              </w:rPr>
            </w:pPr>
            <w:r>
              <w:rPr>
                <w:sz w:val="20"/>
                <w:szCs w:val="20"/>
              </w:rPr>
              <w:t>Scenario (EE/DR)</w:t>
            </w:r>
          </w:p>
        </w:tc>
        <w:tc>
          <w:tcPr>
            <w:tcW w:w="953" w:type="pct"/>
            <w:shd w:val="clear" w:color="auto" w:fill="448A99"/>
            <w:vAlign w:val="center"/>
          </w:tcPr>
          <w:p w:rsidR="00B1748A" w:rsidRDefault="00B1748A"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EDC</w:t>
            </w:r>
          </w:p>
        </w:tc>
        <w:tc>
          <w:tcPr>
            <w:tcW w:w="1151" w:type="pct"/>
            <w:shd w:val="clear" w:color="auto" w:fill="448A99"/>
            <w:vAlign w:val="center"/>
          </w:tcPr>
          <w:p w:rsidR="00B1748A" w:rsidRPr="00530996" w:rsidRDefault="00B1748A"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Sum of Incremental Annual MWh Savings from EE</w:t>
            </w:r>
          </w:p>
        </w:tc>
        <w:tc>
          <w:tcPr>
            <w:tcW w:w="1150" w:type="pct"/>
            <w:shd w:val="clear" w:color="auto" w:fill="448A99"/>
            <w:vAlign w:val="center"/>
          </w:tcPr>
          <w:p w:rsidR="00B1748A" w:rsidRPr="00530996" w:rsidRDefault="00B1748A"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Sum of Incremental Annual MW Savings from EE</w:t>
            </w:r>
          </w:p>
        </w:tc>
        <w:tc>
          <w:tcPr>
            <w:tcW w:w="1149" w:type="pct"/>
            <w:shd w:val="clear" w:color="auto" w:fill="448A99"/>
            <w:vAlign w:val="center"/>
          </w:tcPr>
          <w:p w:rsidR="00B1748A" w:rsidRPr="00530996" w:rsidRDefault="00B1748A" w:rsidP="00A83AB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Average Annual MW Savings from DR</w:t>
            </w:r>
            <w:r w:rsidR="00545599">
              <w:rPr>
                <w:rStyle w:val="FootnoteReference"/>
                <w:sz w:val="20"/>
                <w:szCs w:val="20"/>
              </w:rPr>
              <w:footnoteReference w:id="143"/>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val="restart"/>
            <w:shd w:val="clear" w:color="auto" w:fill="9C9393"/>
            <w:vAlign w:val="center"/>
            <w:hideMark/>
          </w:tcPr>
          <w:p w:rsidR="00B1748A" w:rsidRPr="00C65527" w:rsidRDefault="00B1748A" w:rsidP="00A83ABC">
            <w:pPr>
              <w:jc w:val="center"/>
              <w:rPr>
                <w:rFonts w:eastAsia="Times New Roman" w:cs="Times New Roman"/>
                <w:bCs w:val="0"/>
                <w:color w:val="FFFFFF" w:themeColor="background1"/>
                <w:sz w:val="20"/>
                <w:szCs w:val="20"/>
              </w:rPr>
            </w:pPr>
            <w:r w:rsidRPr="00C65527">
              <w:rPr>
                <w:rFonts w:eastAsia="Times New Roman" w:cs="Times New Roman"/>
                <w:bCs w:val="0"/>
                <w:color w:val="FFFFFF" w:themeColor="background1"/>
                <w:sz w:val="20"/>
                <w:szCs w:val="20"/>
              </w:rPr>
              <w:t>100/0</w:t>
            </w: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Duquesne</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522,837</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77</w:t>
            </w:r>
          </w:p>
        </w:tc>
        <w:tc>
          <w:tcPr>
            <w:tcW w:w="1149" w:type="pct"/>
            <w:noWrap/>
            <w:vAlign w:val="center"/>
            <w:hideMark/>
          </w:tcPr>
          <w:p w:rsidR="00B1748A" w:rsidRPr="00EA67A9"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67A9">
              <w:rPr>
                <w:rFonts w:ascii="Calibri" w:hAnsi="Calibri"/>
                <w:color w:val="000000"/>
                <w:sz w:val="20"/>
                <w:szCs w:val="20"/>
              </w:rPr>
              <w:t>0</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Met-Ed</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682,474</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91</w:t>
            </w:r>
          </w:p>
        </w:tc>
        <w:tc>
          <w:tcPr>
            <w:tcW w:w="1149" w:type="pct"/>
            <w:noWrap/>
            <w:vAlign w:val="center"/>
            <w:hideMark/>
          </w:tcPr>
          <w:p w:rsidR="00B1748A" w:rsidRPr="00EA67A9"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EA67A9">
              <w:rPr>
                <w:rFonts w:ascii="Calibri" w:hAnsi="Calibri"/>
                <w:color w:val="000000"/>
                <w:sz w:val="20"/>
                <w:szCs w:val="20"/>
              </w:rPr>
              <w:t>0</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Penelec</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598,704</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80</w:t>
            </w:r>
          </w:p>
        </w:tc>
        <w:tc>
          <w:tcPr>
            <w:tcW w:w="1149" w:type="pct"/>
            <w:noWrap/>
            <w:vAlign w:val="center"/>
            <w:hideMark/>
          </w:tcPr>
          <w:p w:rsidR="00B1748A" w:rsidRPr="00EA67A9"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67A9">
              <w:rPr>
                <w:rFonts w:ascii="Calibri" w:hAnsi="Calibri"/>
                <w:color w:val="000000"/>
                <w:sz w:val="20"/>
                <w:szCs w:val="20"/>
              </w:rPr>
              <w:t>0</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Penn Power</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189,107</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25</w:t>
            </w:r>
          </w:p>
        </w:tc>
        <w:tc>
          <w:tcPr>
            <w:tcW w:w="1149" w:type="pct"/>
            <w:noWrap/>
            <w:vAlign w:val="center"/>
            <w:hideMark/>
          </w:tcPr>
          <w:p w:rsidR="00B1748A" w:rsidRPr="00EA67A9"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EA67A9">
              <w:rPr>
                <w:rFonts w:ascii="Calibri" w:hAnsi="Calibri"/>
                <w:color w:val="000000"/>
                <w:sz w:val="20"/>
                <w:szCs w:val="20"/>
              </w:rPr>
              <w:t>0</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WPP</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650,760</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81</w:t>
            </w:r>
          </w:p>
        </w:tc>
        <w:tc>
          <w:tcPr>
            <w:tcW w:w="1149" w:type="pct"/>
            <w:noWrap/>
            <w:vAlign w:val="center"/>
            <w:hideMark/>
          </w:tcPr>
          <w:p w:rsidR="00B1748A" w:rsidRPr="00EA67A9"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67A9">
              <w:rPr>
                <w:rFonts w:ascii="Calibri" w:hAnsi="Calibri"/>
                <w:color w:val="000000"/>
                <w:sz w:val="20"/>
                <w:szCs w:val="20"/>
              </w:rPr>
              <w:t>0</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PECO</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2,311,387</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330</w:t>
            </w:r>
          </w:p>
        </w:tc>
        <w:tc>
          <w:tcPr>
            <w:tcW w:w="1149" w:type="pct"/>
            <w:noWrap/>
            <w:vAlign w:val="center"/>
            <w:hideMark/>
          </w:tcPr>
          <w:p w:rsidR="00B1748A" w:rsidRPr="00EA67A9"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EA67A9">
              <w:rPr>
                <w:rFonts w:ascii="Calibri" w:hAnsi="Calibri"/>
                <w:color w:val="000000"/>
                <w:sz w:val="20"/>
                <w:szCs w:val="20"/>
              </w:rPr>
              <w:t>0</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PPL</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1,674,191</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232</w:t>
            </w:r>
          </w:p>
        </w:tc>
        <w:tc>
          <w:tcPr>
            <w:tcW w:w="1149" w:type="pct"/>
            <w:noWrap/>
            <w:vAlign w:val="center"/>
            <w:hideMark/>
          </w:tcPr>
          <w:p w:rsidR="00B1748A" w:rsidRPr="00EA67A9"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67A9">
              <w:rPr>
                <w:rFonts w:ascii="Calibri" w:hAnsi="Calibri"/>
                <w:color w:val="000000"/>
                <w:sz w:val="20"/>
                <w:szCs w:val="20"/>
              </w:rPr>
              <w:t>0</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noWrap/>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rPr>
            </w:pPr>
            <w:r w:rsidRPr="003D7322">
              <w:rPr>
                <w:rFonts w:eastAsia="Times New Roman" w:cs="Times New Roman"/>
                <w:b/>
                <w:bCs/>
                <w:color w:val="000000"/>
                <w:sz w:val="20"/>
                <w:szCs w:val="20"/>
              </w:rPr>
              <w:t>Statewide</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6,629,460</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916</w:t>
            </w:r>
          </w:p>
        </w:tc>
        <w:tc>
          <w:tcPr>
            <w:tcW w:w="1149" w:type="pct"/>
            <w:noWrap/>
            <w:vAlign w:val="center"/>
            <w:hideMark/>
          </w:tcPr>
          <w:p w:rsidR="00B1748A" w:rsidRPr="00EA67A9"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 w:val="20"/>
                <w:szCs w:val="20"/>
              </w:rPr>
            </w:pPr>
            <w:r w:rsidRPr="00EA67A9">
              <w:rPr>
                <w:rFonts w:ascii="Calibri" w:hAnsi="Calibri"/>
                <w:b/>
                <w:color w:val="000000"/>
                <w:sz w:val="20"/>
                <w:szCs w:val="20"/>
              </w:rPr>
              <w:t>0</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val="restart"/>
            <w:shd w:val="clear" w:color="auto" w:fill="9C9393"/>
            <w:vAlign w:val="center"/>
            <w:hideMark/>
          </w:tcPr>
          <w:p w:rsidR="00B1748A" w:rsidRPr="00E2119D" w:rsidRDefault="00B1748A" w:rsidP="00A83ABC">
            <w:pPr>
              <w:jc w:val="center"/>
              <w:rPr>
                <w:rFonts w:eastAsia="Times New Roman" w:cs="Times New Roman"/>
                <w:b w:val="0"/>
                <w:bCs w:val="0"/>
                <w:color w:val="FFFFFF" w:themeColor="background1"/>
                <w:sz w:val="20"/>
                <w:szCs w:val="20"/>
              </w:rPr>
            </w:pPr>
            <w:r w:rsidRPr="00E2119D">
              <w:rPr>
                <w:rFonts w:eastAsia="Times New Roman" w:cs="Times New Roman"/>
                <w:color w:val="FFFFFF" w:themeColor="background1"/>
                <w:sz w:val="20"/>
                <w:szCs w:val="20"/>
              </w:rPr>
              <w:t>90/10</w:t>
            </w: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Duquesne</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470,553</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70</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34</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Met-Ed</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614,226</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82</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49</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Penelec</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538,834</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72</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0</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Penn Power</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170,196</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23</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13</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WPP</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585,684</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73</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PECO</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2,080,248</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297</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133</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PPL</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1,506,772</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209</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95</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noWrap/>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rPr>
            </w:pPr>
            <w:r w:rsidRPr="003D7322">
              <w:rPr>
                <w:rFonts w:eastAsia="Times New Roman" w:cs="Times New Roman"/>
                <w:b/>
                <w:bCs/>
                <w:color w:val="000000"/>
                <w:sz w:val="20"/>
                <w:szCs w:val="20"/>
              </w:rPr>
              <w:t>Statewide</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5,966,514</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824</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375</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val="restart"/>
            <w:shd w:val="clear" w:color="auto" w:fill="9C9393"/>
            <w:vAlign w:val="center"/>
            <w:hideMark/>
          </w:tcPr>
          <w:p w:rsidR="00B1748A" w:rsidRPr="00E2119D" w:rsidRDefault="00B1748A" w:rsidP="00A83ABC">
            <w:pPr>
              <w:jc w:val="center"/>
              <w:rPr>
                <w:rFonts w:eastAsia="Times New Roman" w:cs="Times New Roman"/>
                <w:b w:val="0"/>
                <w:bCs w:val="0"/>
                <w:color w:val="FFFFFF" w:themeColor="background1"/>
                <w:sz w:val="20"/>
                <w:szCs w:val="20"/>
              </w:rPr>
            </w:pPr>
            <w:r w:rsidRPr="00E2119D">
              <w:rPr>
                <w:rFonts w:eastAsia="Times New Roman" w:cs="Times New Roman"/>
                <w:color w:val="FFFFFF" w:themeColor="background1"/>
                <w:sz w:val="20"/>
                <w:szCs w:val="20"/>
              </w:rPr>
              <w:t>85/15</w:t>
            </w: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Duquesne</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444,411</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66</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51</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Met-Ed</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580,103</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78</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50</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Penelec</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508,898</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68</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0</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Penn Power</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160,741</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21</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20</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WPP</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553,146</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69</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76</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PECO</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1,964,679</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280</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199</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PPL</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1,423,062</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197</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95</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noWrap/>
            <w:vAlign w:val="center"/>
            <w:hideMark/>
          </w:tcPr>
          <w:p w:rsidR="00B1748A" w:rsidRPr="00E2119D" w:rsidRDefault="00B1748A" w:rsidP="00A83ABC">
            <w:pPr>
              <w:jc w:val="center"/>
              <w:rPr>
                <w:rFonts w:eastAsia="Times New Roman" w:cs="Times New Roman"/>
                <w:color w:val="FFFFFF" w:themeColor="background1"/>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rPr>
            </w:pPr>
            <w:r w:rsidRPr="003D7322">
              <w:rPr>
                <w:rFonts w:eastAsia="Times New Roman" w:cs="Times New Roman"/>
                <w:b/>
                <w:bCs/>
                <w:color w:val="000000"/>
                <w:sz w:val="20"/>
                <w:szCs w:val="20"/>
              </w:rPr>
              <w:t>Statewide</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5,635,041</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779</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492</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val="restart"/>
            <w:shd w:val="clear" w:color="auto" w:fill="9C9393"/>
            <w:vAlign w:val="center"/>
            <w:hideMark/>
          </w:tcPr>
          <w:p w:rsidR="00B1748A" w:rsidRPr="00E2119D" w:rsidRDefault="00B1748A" w:rsidP="00A83ABC">
            <w:pPr>
              <w:jc w:val="center"/>
              <w:rPr>
                <w:rFonts w:eastAsia="Times New Roman" w:cs="Times New Roman"/>
                <w:b w:val="0"/>
                <w:bCs w:val="0"/>
                <w:color w:val="FFFFFF" w:themeColor="background1"/>
                <w:sz w:val="20"/>
                <w:szCs w:val="20"/>
              </w:rPr>
            </w:pPr>
            <w:r w:rsidRPr="00E2119D">
              <w:rPr>
                <w:rFonts w:eastAsia="Times New Roman" w:cs="Times New Roman"/>
                <w:color w:val="FFFFFF" w:themeColor="background1"/>
                <w:sz w:val="20"/>
                <w:szCs w:val="20"/>
              </w:rPr>
              <w:t>80/20</w:t>
            </w:r>
          </w:p>
          <w:p w:rsidR="00B1748A" w:rsidRPr="00E2119D" w:rsidRDefault="00B1748A" w:rsidP="00A83ABC">
            <w:pPr>
              <w:jc w:val="center"/>
              <w:rPr>
                <w:rFonts w:eastAsia="Times New Roman" w:cs="Times New Roman"/>
                <w:b w:val="0"/>
                <w:bCs w:val="0"/>
                <w:color w:val="FFFFFF" w:themeColor="background1"/>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Duquesne</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418,269</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62</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67</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hideMark/>
          </w:tcPr>
          <w:p w:rsidR="00B1748A" w:rsidRPr="005414F9" w:rsidRDefault="00B1748A" w:rsidP="00A83ABC">
            <w:pPr>
              <w:jc w:val="left"/>
              <w:rPr>
                <w:rFonts w:eastAsia="Times New Roman" w:cs="Times New Roman"/>
                <w:color w:val="000000"/>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Met-Ed</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545,979</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73</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50</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hideMark/>
          </w:tcPr>
          <w:p w:rsidR="00B1748A" w:rsidRPr="005414F9" w:rsidRDefault="00B1748A" w:rsidP="00A83ABC">
            <w:pPr>
              <w:jc w:val="left"/>
              <w:rPr>
                <w:rFonts w:eastAsia="Times New Roman" w:cs="Times New Roman"/>
                <w:color w:val="000000"/>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Penelec</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478,963</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64</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0</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hideMark/>
          </w:tcPr>
          <w:p w:rsidR="00B1748A" w:rsidRPr="005414F9" w:rsidRDefault="00B1748A" w:rsidP="00A83ABC">
            <w:pPr>
              <w:jc w:val="left"/>
              <w:rPr>
                <w:rFonts w:eastAsia="Times New Roman" w:cs="Times New Roman"/>
                <w:color w:val="000000"/>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Penn Power</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151,286</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20</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27</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hideMark/>
          </w:tcPr>
          <w:p w:rsidR="00B1748A" w:rsidRPr="005414F9" w:rsidRDefault="00B1748A" w:rsidP="00A83ABC">
            <w:pPr>
              <w:jc w:val="left"/>
              <w:rPr>
                <w:rFonts w:eastAsia="Times New Roman" w:cs="Times New Roman"/>
                <w:color w:val="000000"/>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FE: WPP</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520,608</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65</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102</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hideMark/>
          </w:tcPr>
          <w:p w:rsidR="00B1748A" w:rsidRPr="005414F9" w:rsidRDefault="00B1748A" w:rsidP="00A83ABC">
            <w:pPr>
              <w:jc w:val="left"/>
              <w:rPr>
                <w:rFonts w:eastAsia="Times New Roman" w:cs="Times New Roman"/>
                <w:color w:val="000000"/>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PECO</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1,849,110</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264</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266</w:t>
            </w:r>
          </w:p>
        </w:tc>
      </w:tr>
      <w:tr w:rsidR="00B1748A" w:rsidRPr="005414F9" w:rsidTr="00204CA6">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hideMark/>
          </w:tcPr>
          <w:p w:rsidR="00B1748A" w:rsidRPr="005414F9" w:rsidRDefault="00B1748A" w:rsidP="00A83ABC">
            <w:pPr>
              <w:jc w:val="left"/>
              <w:rPr>
                <w:rFonts w:eastAsia="Times New Roman" w:cs="Times New Roman"/>
                <w:color w:val="000000"/>
                <w:sz w:val="20"/>
                <w:szCs w:val="20"/>
              </w:rPr>
            </w:pPr>
          </w:p>
        </w:tc>
        <w:tc>
          <w:tcPr>
            <w:tcW w:w="953" w:type="pct"/>
            <w:noWrap/>
            <w:vAlign w:val="center"/>
            <w:hideMark/>
          </w:tcPr>
          <w:p w:rsidR="00B1748A" w:rsidRPr="003D7322" w:rsidRDefault="00B1748A" w:rsidP="00A83AB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7322">
              <w:rPr>
                <w:rFonts w:eastAsia="Times New Roman" w:cs="Times New Roman"/>
                <w:color w:val="000000"/>
                <w:sz w:val="20"/>
                <w:szCs w:val="20"/>
              </w:rPr>
              <w:t>PPL</w:t>
            </w:r>
          </w:p>
        </w:tc>
        <w:tc>
          <w:tcPr>
            <w:tcW w:w="1151"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1,339,353</w:t>
            </w:r>
          </w:p>
        </w:tc>
        <w:tc>
          <w:tcPr>
            <w:tcW w:w="1150" w:type="pct"/>
            <w:noWrap/>
            <w:vAlign w:val="center"/>
            <w:hideMark/>
          </w:tcPr>
          <w:p w:rsidR="00B1748A" w:rsidRPr="003D7322"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D7322">
              <w:rPr>
                <w:rFonts w:ascii="Calibri" w:hAnsi="Calibri"/>
                <w:color w:val="000000"/>
                <w:sz w:val="20"/>
                <w:szCs w:val="20"/>
              </w:rPr>
              <w:t>185</w:t>
            </w:r>
          </w:p>
        </w:tc>
        <w:tc>
          <w:tcPr>
            <w:tcW w:w="1149" w:type="pct"/>
            <w:noWrap/>
            <w:vAlign w:val="center"/>
            <w:hideMark/>
          </w:tcPr>
          <w:p w:rsidR="00B1748A" w:rsidRDefault="00B1748A" w:rsidP="00A83ABC">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FF0000"/>
                <w:sz w:val="20"/>
                <w:szCs w:val="20"/>
              </w:rPr>
            </w:pPr>
            <w:r>
              <w:rPr>
                <w:rFonts w:ascii="Calibri" w:hAnsi="Calibri"/>
                <w:b/>
                <w:bCs/>
                <w:color w:val="FF0000"/>
                <w:sz w:val="20"/>
                <w:szCs w:val="20"/>
              </w:rPr>
              <w:t>95</w:t>
            </w:r>
          </w:p>
        </w:tc>
      </w:tr>
      <w:tr w:rsidR="00B1748A" w:rsidRPr="005414F9" w:rsidTr="00204CA6">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7" w:type="pct"/>
            <w:vMerge/>
            <w:shd w:val="clear" w:color="auto" w:fill="9C9393"/>
            <w:noWrap/>
            <w:hideMark/>
          </w:tcPr>
          <w:p w:rsidR="00B1748A" w:rsidRPr="005414F9" w:rsidRDefault="00B1748A" w:rsidP="00A83ABC">
            <w:pPr>
              <w:jc w:val="left"/>
              <w:rPr>
                <w:rFonts w:eastAsia="Times New Roman" w:cs="Times New Roman"/>
                <w:color w:val="000000"/>
                <w:sz w:val="20"/>
                <w:szCs w:val="20"/>
              </w:rPr>
            </w:pPr>
          </w:p>
        </w:tc>
        <w:tc>
          <w:tcPr>
            <w:tcW w:w="953" w:type="pct"/>
            <w:noWrap/>
            <w:vAlign w:val="center"/>
            <w:hideMark/>
          </w:tcPr>
          <w:p w:rsidR="00B1748A" w:rsidRPr="003D7322" w:rsidRDefault="00B1748A" w:rsidP="00A83ABC">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rPr>
            </w:pPr>
            <w:r w:rsidRPr="003D7322">
              <w:rPr>
                <w:rFonts w:eastAsia="Times New Roman" w:cs="Times New Roman"/>
                <w:b/>
                <w:bCs/>
                <w:color w:val="000000"/>
                <w:sz w:val="20"/>
                <w:szCs w:val="20"/>
              </w:rPr>
              <w:t>Statewide</w:t>
            </w:r>
          </w:p>
        </w:tc>
        <w:tc>
          <w:tcPr>
            <w:tcW w:w="1151"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5,303,568</w:t>
            </w:r>
          </w:p>
        </w:tc>
        <w:tc>
          <w:tcPr>
            <w:tcW w:w="1150" w:type="pct"/>
            <w:noWrap/>
            <w:vAlign w:val="center"/>
            <w:hideMark/>
          </w:tcPr>
          <w:p w:rsidR="00B1748A" w:rsidRPr="003D7322"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sidRPr="003D7322">
              <w:rPr>
                <w:rFonts w:ascii="Calibri" w:hAnsi="Calibri"/>
                <w:b/>
                <w:bCs/>
                <w:color w:val="000000"/>
                <w:sz w:val="20"/>
                <w:szCs w:val="20"/>
              </w:rPr>
              <w:t>733</w:t>
            </w:r>
          </w:p>
        </w:tc>
        <w:tc>
          <w:tcPr>
            <w:tcW w:w="1149" w:type="pct"/>
            <w:noWrap/>
            <w:vAlign w:val="center"/>
            <w:hideMark/>
          </w:tcPr>
          <w:p w:rsidR="00B1748A" w:rsidRDefault="00B1748A" w:rsidP="00A83ABC">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z w:val="20"/>
                <w:szCs w:val="20"/>
              </w:rPr>
            </w:pPr>
            <w:r>
              <w:rPr>
                <w:rFonts w:ascii="Calibri" w:hAnsi="Calibri"/>
                <w:b/>
                <w:bCs/>
                <w:color w:val="000000"/>
                <w:sz w:val="20"/>
                <w:szCs w:val="20"/>
              </w:rPr>
              <w:t>607</w:t>
            </w:r>
          </w:p>
        </w:tc>
      </w:tr>
    </w:tbl>
    <w:p w:rsidR="003D7322" w:rsidRPr="005414F9" w:rsidRDefault="003D7322" w:rsidP="00A83ABC"/>
    <w:sectPr w:rsidR="003D7322" w:rsidRPr="005414F9" w:rsidSect="00282ED2">
      <w:pgSz w:w="12240" w:h="15840"/>
      <w:pgMar w:top="1440" w:right="1440" w:bottom="1170" w:left="1440" w:header="720" w:footer="5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FDD" w:rsidRDefault="00042FDD" w:rsidP="00403D74">
      <w:r>
        <w:separator/>
      </w:r>
    </w:p>
  </w:endnote>
  <w:endnote w:type="continuationSeparator" w:id="0">
    <w:p w:rsidR="00042FDD" w:rsidRDefault="00042FDD" w:rsidP="00403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font334">
    <w:altName w:val="Times New Roman"/>
    <w:panose1 w:val="00000000000000000000"/>
    <w:charset w:val="00"/>
    <w:family w:val="auto"/>
    <w:notTrueType/>
    <w:pitch w:val="default"/>
    <w:sig w:usb0="000000DB" w:usb1="00000159" w:usb2="00000000" w:usb3="00000001" w:csb0="00000000" w:csb1="00004819"/>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JDAOP K+ Frutiger LT Std">
    <w:altName w:val="Cambri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Default="00042FDD">
    <w:pPr>
      <w:pStyle w:val="Footer"/>
    </w:pPr>
  </w:p>
  <w:p w:rsidR="00042FDD" w:rsidRPr="00403D74" w:rsidRDefault="00042FDD" w:rsidP="005F7D14">
    <w:pPr>
      <w:pStyle w:val="Footer"/>
      <w:pBdr>
        <w:top w:val="single" w:sz="4" w:space="1" w:color="auto"/>
      </w:pBdr>
      <w:rPr>
        <w:rFonts w:ascii="Century Gothic" w:hAnsi="Century Gothic"/>
        <w:b/>
        <w:sz w:val="16"/>
      </w:rPr>
    </w:pPr>
    <w:r>
      <w:rPr>
        <w:rFonts w:ascii="Century Gothic" w:hAnsi="Century Gothic"/>
        <w:smallCaps/>
        <w:sz w:val="16"/>
      </w:rPr>
      <w:t xml:space="preserve">Act 129 | </w:t>
    </w: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E2011B">
      <w:rPr>
        <w:rFonts w:ascii="Century Gothic" w:hAnsi="Century Gothic"/>
        <w:b/>
        <w:noProof/>
        <w:color w:val="448A99"/>
        <w:sz w:val="16"/>
      </w:rPr>
      <w:t>0</w:t>
    </w:r>
    <w:r w:rsidRPr="00360EF8">
      <w:rPr>
        <w:rFonts w:ascii="Century Gothic" w:hAnsi="Century Gothic"/>
        <w:b/>
        <w:noProof/>
        <w:color w:val="448A99"/>
        <w:sz w:val="16"/>
      </w:rPr>
      <w:fldChar w:fldCharType="end"/>
    </w:r>
  </w:p>
  <w:p w:rsidR="00042FDD" w:rsidRPr="005F7D14" w:rsidRDefault="00042FDD" w:rsidP="005F7D14">
    <w:pPr>
      <w:pStyle w:val="Footer"/>
    </w:pPr>
  </w:p>
  <w:p w:rsidR="00042FDD" w:rsidRPr="005F7D14" w:rsidRDefault="00042FDD" w:rsidP="005F7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Pr="00403D74" w:rsidRDefault="00042FDD" w:rsidP="00977947">
    <w:pPr>
      <w:pStyle w:val="Footer"/>
      <w:pBdr>
        <w:top w:val="single" w:sz="4" w:space="1" w:color="auto"/>
      </w:pBdr>
      <w:rPr>
        <w:rFonts w:ascii="Century Gothic" w:hAnsi="Century Gothic"/>
        <w:b/>
        <w:sz w:val="16"/>
      </w:rPr>
    </w:pPr>
    <w:r>
      <w:rPr>
        <w:rFonts w:ascii="Century Gothic" w:hAnsi="Century Gothic"/>
        <w:smallCaps/>
        <w:sz w:val="16"/>
      </w:rPr>
      <w:t xml:space="preserve">Act 129 | </w:t>
    </w: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CE0AEF">
      <w:rPr>
        <w:rFonts w:ascii="Century Gothic" w:hAnsi="Century Gothic"/>
        <w:b/>
        <w:sz w:val="16"/>
      </w:rPr>
      <w:fldChar w:fldCharType="begin"/>
    </w:r>
    <w:r w:rsidRPr="00CE0AEF">
      <w:rPr>
        <w:rFonts w:ascii="Century Gothic" w:hAnsi="Century Gothic"/>
        <w:b/>
        <w:sz w:val="16"/>
      </w:rPr>
      <w:instrText xml:space="preserve"> PAGE   \* MERGEFORMAT </w:instrText>
    </w:r>
    <w:r w:rsidRPr="00CE0AEF">
      <w:rPr>
        <w:rFonts w:ascii="Century Gothic" w:hAnsi="Century Gothic"/>
        <w:b/>
        <w:sz w:val="16"/>
      </w:rPr>
      <w:fldChar w:fldCharType="separate"/>
    </w:r>
    <w:r w:rsidR="00E2011B">
      <w:rPr>
        <w:rFonts w:ascii="Century Gothic" w:hAnsi="Century Gothic"/>
        <w:b/>
        <w:noProof/>
        <w:sz w:val="16"/>
      </w:rPr>
      <w:t>i</w:t>
    </w:r>
    <w:r w:rsidRPr="00CE0AEF">
      <w:rPr>
        <w:rFonts w:ascii="Century Gothic" w:hAnsi="Century Gothic"/>
        <w:b/>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Pr="00403D74" w:rsidRDefault="00042FDD" w:rsidP="00977947">
    <w:pPr>
      <w:pStyle w:val="Footer"/>
      <w:pBdr>
        <w:top w:val="single" w:sz="4" w:space="1" w:color="auto"/>
      </w:pBdr>
      <w:rPr>
        <w:rFonts w:ascii="Century Gothic" w:hAnsi="Century Gothic"/>
        <w:b/>
        <w:sz w:val="16"/>
      </w:rPr>
    </w:pPr>
    <w:r>
      <w:rPr>
        <w:rFonts w:ascii="Century Gothic" w:hAnsi="Century Gothic"/>
        <w:smallCaps/>
        <w:sz w:val="16"/>
      </w:rPr>
      <w:t xml:space="preserve">Act 129 | </w:t>
    </w: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CE0AEF">
      <w:rPr>
        <w:rFonts w:ascii="Century Gothic" w:hAnsi="Century Gothic"/>
        <w:b/>
        <w:sz w:val="16"/>
      </w:rPr>
      <w:fldChar w:fldCharType="begin"/>
    </w:r>
    <w:r w:rsidRPr="00CE0AEF">
      <w:rPr>
        <w:rFonts w:ascii="Century Gothic" w:hAnsi="Century Gothic"/>
        <w:b/>
        <w:sz w:val="16"/>
      </w:rPr>
      <w:instrText xml:space="preserve"> PAGE   \* MERGEFORMAT </w:instrText>
    </w:r>
    <w:r w:rsidRPr="00CE0AEF">
      <w:rPr>
        <w:rFonts w:ascii="Century Gothic" w:hAnsi="Century Gothic"/>
        <w:b/>
        <w:sz w:val="16"/>
      </w:rPr>
      <w:fldChar w:fldCharType="separate"/>
    </w:r>
    <w:r w:rsidR="00E2011B">
      <w:rPr>
        <w:rFonts w:ascii="Century Gothic" w:hAnsi="Century Gothic"/>
        <w:b/>
        <w:noProof/>
        <w:sz w:val="16"/>
      </w:rPr>
      <w:t>61</w:t>
    </w:r>
    <w:r w:rsidRPr="00CE0AEF">
      <w:rPr>
        <w:rFonts w:ascii="Century Gothic" w:hAnsi="Century Gothic"/>
        <w:b/>
        <w:noProof/>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Pr="00403D74" w:rsidRDefault="00042FDD" w:rsidP="00977947">
    <w:pPr>
      <w:pStyle w:val="Footer"/>
      <w:pBdr>
        <w:top w:val="single" w:sz="4" w:space="1" w:color="auto"/>
      </w:pBdr>
      <w:rPr>
        <w:rFonts w:ascii="Century Gothic" w:hAnsi="Century Gothic"/>
        <w:b/>
        <w:sz w:val="16"/>
      </w:rPr>
    </w:pPr>
    <w:r>
      <w:rPr>
        <w:rFonts w:ascii="Century Gothic" w:hAnsi="Century Gothic"/>
        <w:smallCaps/>
        <w:sz w:val="16"/>
      </w:rPr>
      <w:t xml:space="preserve">Act 129 | </w:t>
    </w: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CE0AEF">
      <w:rPr>
        <w:rFonts w:ascii="Century Gothic" w:hAnsi="Century Gothic"/>
        <w:b/>
        <w:sz w:val="16"/>
      </w:rPr>
      <w:fldChar w:fldCharType="begin"/>
    </w:r>
    <w:r w:rsidRPr="00CE0AEF">
      <w:rPr>
        <w:rFonts w:ascii="Century Gothic" w:hAnsi="Century Gothic"/>
        <w:b/>
        <w:sz w:val="16"/>
      </w:rPr>
      <w:instrText xml:space="preserve"> PAGE   \* MERGEFORMAT </w:instrText>
    </w:r>
    <w:r w:rsidRPr="00CE0AEF">
      <w:rPr>
        <w:rFonts w:ascii="Century Gothic" w:hAnsi="Century Gothic"/>
        <w:b/>
        <w:sz w:val="16"/>
      </w:rPr>
      <w:fldChar w:fldCharType="separate"/>
    </w:r>
    <w:r w:rsidR="00E2011B">
      <w:rPr>
        <w:rFonts w:ascii="Century Gothic" w:hAnsi="Century Gothic"/>
        <w:b/>
        <w:noProof/>
        <w:sz w:val="16"/>
      </w:rPr>
      <w:t>96</w:t>
    </w:r>
    <w:r w:rsidRPr="00CE0AEF">
      <w:rPr>
        <w:rFonts w:ascii="Century Gothic" w:hAnsi="Century Gothic"/>
        <w:b/>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FDD" w:rsidRDefault="00042FDD" w:rsidP="00403D74">
      <w:r>
        <w:separator/>
      </w:r>
    </w:p>
  </w:footnote>
  <w:footnote w:type="continuationSeparator" w:id="0">
    <w:p w:rsidR="00042FDD" w:rsidRDefault="00042FDD" w:rsidP="00403D74">
      <w:r>
        <w:continuationSeparator/>
      </w:r>
    </w:p>
  </w:footnote>
  <w:footnote w:id="1">
    <w:p w:rsidR="00042FDD" w:rsidRPr="00123C18" w:rsidRDefault="00042FDD" w:rsidP="00123C18">
      <w:pPr>
        <w:pStyle w:val="FootnoteText"/>
        <w:jc w:val="left"/>
        <w:rPr>
          <w:rFonts w:ascii="Arial Narrow" w:hAnsi="Arial Narrow"/>
          <w:sz w:val="18"/>
        </w:rPr>
      </w:pPr>
      <w:r w:rsidRPr="00123C18">
        <w:rPr>
          <w:rStyle w:val="FootnoteReference"/>
          <w:rFonts w:ascii="Arial Narrow" w:hAnsi="Arial Narrow"/>
          <w:sz w:val="18"/>
        </w:rPr>
        <w:footnoteRef/>
      </w:r>
      <w:r w:rsidRPr="00123C18">
        <w:rPr>
          <w:rFonts w:ascii="Arial Narrow" w:hAnsi="Arial Narrow"/>
          <w:sz w:val="18"/>
        </w:rPr>
        <w:t xml:space="preserve"> Pennsylvania Public Utility Commission Total Resource Cost Test Order August 31, 2012</w:t>
      </w:r>
      <w:r>
        <w:rPr>
          <w:rFonts w:ascii="Arial Narrow" w:hAnsi="Arial Narrow"/>
          <w:sz w:val="18"/>
        </w:rPr>
        <w:t>.</w:t>
      </w:r>
    </w:p>
  </w:footnote>
  <w:footnote w:id="2">
    <w:p w:rsidR="00042FDD" w:rsidRPr="008C3783" w:rsidRDefault="00042FDD" w:rsidP="005A1EE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r>
        <w:rPr>
          <w:rFonts w:ascii="Arial Narrow" w:hAnsi="Arial Narrow"/>
          <w:sz w:val="18"/>
          <w:szCs w:val="18"/>
        </w:rPr>
        <w:t>Ibid.</w:t>
      </w:r>
    </w:p>
  </w:footnote>
  <w:footnote w:id="3">
    <w:p w:rsidR="00042FDD" w:rsidRPr="008C3783" w:rsidRDefault="00042FDD" w:rsidP="005A1EE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Ibid.</w:t>
      </w:r>
    </w:p>
  </w:footnote>
  <w:footnote w:id="4">
    <w:p w:rsidR="00042FDD" w:rsidRPr="008C3783" w:rsidRDefault="00042FDD" w:rsidP="005A1EE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Ibid.</w:t>
      </w:r>
    </w:p>
  </w:footnote>
  <w:footnote w:id="5">
    <w:p w:rsidR="00042FDD" w:rsidRPr="00C84324" w:rsidRDefault="00042FDD" w:rsidP="001A2A28">
      <w:pPr>
        <w:pStyle w:val="FootnoteText"/>
        <w:jc w:val="left"/>
        <w:rPr>
          <w:rFonts w:ascii="Arial Narrow" w:hAnsi="Arial Narrow"/>
          <w:sz w:val="18"/>
          <w:szCs w:val="18"/>
        </w:rPr>
      </w:pPr>
      <w:r w:rsidRPr="00C84324">
        <w:rPr>
          <w:rStyle w:val="FootnoteReference"/>
          <w:rFonts w:ascii="Arial Narrow" w:hAnsi="Arial Narrow"/>
          <w:sz w:val="18"/>
          <w:szCs w:val="18"/>
        </w:rPr>
        <w:footnoteRef/>
      </w:r>
      <w:r w:rsidRPr="00C84324">
        <w:rPr>
          <w:rFonts w:ascii="Arial Narrow" w:hAnsi="Arial Narrow"/>
          <w:sz w:val="18"/>
          <w:szCs w:val="18"/>
        </w:rPr>
        <w:t xml:space="preserve"> Ibid</w:t>
      </w:r>
      <w:r w:rsidRPr="00C84324">
        <w:rPr>
          <w:rFonts w:ascii="Arial Narrow" w:hAnsi="Arial Narrow"/>
          <w:i/>
          <w:sz w:val="18"/>
          <w:szCs w:val="18"/>
        </w:rPr>
        <w:t>.</w:t>
      </w:r>
      <w:r w:rsidRPr="00C84324">
        <w:rPr>
          <w:rFonts w:ascii="Arial Narrow" w:hAnsi="Arial Narrow"/>
          <w:sz w:val="18"/>
          <w:szCs w:val="18"/>
        </w:rPr>
        <w:t xml:space="preserve"> </w:t>
      </w:r>
    </w:p>
  </w:footnote>
  <w:footnote w:id="6">
    <w:p w:rsidR="00042FDD" w:rsidRPr="00C84324" w:rsidRDefault="00042FDD" w:rsidP="001A2A28">
      <w:pPr>
        <w:pStyle w:val="FootnoteText"/>
        <w:jc w:val="left"/>
        <w:rPr>
          <w:rFonts w:ascii="Arial Narrow" w:hAnsi="Arial Narrow"/>
          <w:sz w:val="18"/>
          <w:szCs w:val="18"/>
        </w:rPr>
      </w:pPr>
      <w:r w:rsidRPr="00C84324">
        <w:rPr>
          <w:rStyle w:val="FootnoteReference"/>
          <w:rFonts w:ascii="Arial Narrow" w:hAnsi="Arial Narrow"/>
          <w:sz w:val="18"/>
          <w:szCs w:val="18"/>
        </w:rPr>
        <w:footnoteRef/>
      </w:r>
      <w:r w:rsidRPr="00C84324">
        <w:rPr>
          <w:rFonts w:ascii="Arial Narrow" w:hAnsi="Arial Narrow"/>
          <w:sz w:val="18"/>
          <w:szCs w:val="18"/>
        </w:rPr>
        <w:t xml:space="preserve"> Ibid. </w:t>
      </w:r>
    </w:p>
  </w:footnote>
  <w:footnote w:id="7">
    <w:p w:rsidR="00042FDD" w:rsidRPr="00C84324" w:rsidRDefault="00042FDD" w:rsidP="001A2A28">
      <w:pPr>
        <w:pStyle w:val="FootnoteText"/>
        <w:jc w:val="left"/>
        <w:rPr>
          <w:rFonts w:ascii="Arial Narrow" w:hAnsi="Arial Narrow"/>
          <w:sz w:val="18"/>
          <w:szCs w:val="18"/>
        </w:rPr>
      </w:pPr>
      <w:r w:rsidRPr="00C84324">
        <w:rPr>
          <w:rStyle w:val="FootnoteReference"/>
          <w:rFonts w:ascii="Arial Narrow" w:hAnsi="Arial Narrow"/>
          <w:sz w:val="18"/>
          <w:szCs w:val="18"/>
        </w:rPr>
        <w:footnoteRef/>
      </w:r>
      <w:r w:rsidRPr="00C84324">
        <w:rPr>
          <w:rFonts w:ascii="Arial Narrow" w:hAnsi="Arial Narrow"/>
          <w:sz w:val="18"/>
          <w:szCs w:val="18"/>
        </w:rPr>
        <w:t xml:space="preserve"> Ibid.</w:t>
      </w:r>
    </w:p>
  </w:footnote>
  <w:footnote w:id="8">
    <w:p w:rsidR="00042FDD" w:rsidRPr="00C84324" w:rsidRDefault="00042FDD" w:rsidP="001A2A28">
      <w:pPr>
        <w:pStyle w:val="FootnoteText"/>
        <w:jc w:val="left"/>
        <w:rPr>
          <w:rFonts w:ascii="Arial Narrow" w:hAnsi="Arial Narrow"/>
          <w:sz w:val="18"/>
          <w:szCs w:val="18"/>
        </w:rPr>
      </w:pPr>
      <w:r w:rsidRPr="00C84324">
        <w:rPr>
          <w:rStyle w:val="FootnoteReference"/>
          <w:rFonts w:ascii="Arial Narrow" w:hAnsi="Arial Narrow"/>
          <w:sz w:val="18"/>
          <w:szCs w:val="18"/>
        </w:rPr>
        <w:footnoteRef/>
      </w:r>
      <w:r w:rsidRPr="00C84324">
        <w:rPr>
          <w:rFonts w:ascii="Arial Narrow" w:hAnsi="Arial Narrow"/>
          <w:sz w:val="18"/>
          <w:szCs w:val="18"/>
        </w:rPr>
        <w:t xml:space="preserve"> Ibid.</w:t>
      </w:r>
    </w:p>
  </w:footnote>
  <w:footnote w:id="9">
    <w:p w:rsidR="00042FDD" w:rsidRPr="00C84324" w:rsidRDefault="00042FDD" w:rsidP="001A2A28">
      <w:pPr>
        <w:pStyle w:val="FootnoteText"/>
        <w:jc w:val="left"/>
        <w:rPr>
          <w:rFonts w:ascii="Arial Narrow" w:hAnsi="Arial Narrow"/>
          <w:sz w:val="18"/>
          <w:szCs w:val="18"/>
        </w:rPr>
      </w:pPr>
      <w:r w:rsidRPr="00C84324">
        <w:rPr>
          <w:rStyle w:val="FootnoteReference"/>
          <w:rFonts w:ascii="Arial Narrow" w:hAnsi="Arial Narrow"/>
          <w:sz w:val="18"/>
          <w:szCs w:val="18"/>
        </w:rPr>
        <w:footnoteRef/>
      </w:r>
      <w:r w:rsidRPr="00C84324">
        <w:rPr>
          <w:rFonts w:ascii="Arial Narrow" w:hAnsi="Arial Narrow"/>
          <w:sz w:val="18"/>
          <w:szCs w:val="18"/>
        </w:rPr>
        <w:t xml:space="preserve"> Ibid.</w:t>
      </w:r>
    </w:p>
  </w:footnote>
  <w:footnote w:id="10">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See the Pennsylvania Public </w:t>
      </w:r>
      <w:r>
        <w:rPr>
          <w:rFonts w:ascii="Arial Narrow" w:hAnsi="Arial Narrow"/>
          <w:sz w:val="18"/>
          <w:szCs w:val="18"/>
        </w:rPr>
        <w:t>Utility</w:t>
      </w:r>
      <w:r w:rsidRPr="008C3783">
        <w:rPr>
          <w:rFonts w:ascii="Arial Narrow" w:hAnsi="Arial Narrow"/>
          <w:sz w:val="18"/>
          <w:szCs w:val="18"/>
        </w:rPr>
        <w:t xml:space="preserve"> Commission Demand Response Order dated February 20, 2014, at 20 (Docket Nos.  M</w:t>
      </w:r>
      <w:r w:rsidRPr="008C3783">
        <w:rPr>
          <w:rFonts w:ascii="Arial Narrow" w:hAnsi="Arial Narrow"/>
          <w:sz w:val="18"/>
          <w:szCs w:val="18"/>
        </w:rPr>
        <w:noBreakHyphen/>
        <w:t>2012</w:t>
      </w:r>
      <w:r w:rsidRPr="008C3783">
        <w:rPr>
          <w:rFonts w:ascii="Arial Narrow" w:hAnsi="Arial Narrow"/>
          <w:sz w:val="18"/>
          <w:szCs w:val="18"/>
        </w:rPr>
        <w:noBreakHyphen/>
        <w:t>2289411</w:t>
      </w:r>
      <w:r>
        <w:rPr>
          <w:rFonts w:ascii="Arial Narrow" w:hAnsi="Arial Narrow"/>
          <w:sz w:val="18"/>
          <w:szCs w:val="18"/>
        </w:rPr>
        <w:t xml:space="preserve"> </w:t>
      </w:r>
      <w:r w:rsidRPr="008C3783">
        <w:rPr>
          <w:rFonts w:ascii="Arial Narrow" w:hAnsi="Arial Narrow"/>
          <w:sz w:val="18"/>
          <w:szCs w:val="18"/>
        </w:rPr>
        <w:t>and M-2008-2069887).</w:t>
      </w:r>
    </w:p>
  </w:footnote>
  <w:footnote w:id="11">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Final Order entered February 20, 2014 at </w:t>
      </w:r>
      <w:r w:rsidRPr="008C3783">
        <w:rPr>
          <w:rFonts w:ascii="Arial Narrow" w:hAnsi="Arial Narrow"/>
          <w:iCs/>
          <w:sz w:val="18"/>
          <w:szCs w:val="18"/>
        </w:rPr>
        <w:t xml:space="preserve">page 17, </w:t>
      </w:r>
      <w:hyperlink r:id="rId1"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1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seven EDCs with Act 129 Energy Efficiency and Conservation obligations are Duquesne Light Company (Duquesne); Metropolitan Edison Company (Met-Ed), Pennsylvania Electric Company (Penelec), Pennsylvania Power Company (Penn Power), West Penn Power Company (West Penn) (collectively, these are FirstEnergy </w:t>
      </w:r>
      <w:r>
        <w:rPr>
          <w:rFonts w:ascii="Arial Narrow" w:hAnsi="Arial Narrow"/>
          <w:sz w:val="18"/>
          <w:szCs w:val="18"/>
        </w:rPr>
        <w:t xml:space="preserve">(FE) </w:t>
      </w:r>
      <w:r w:rsidRPr="008C3783">
        <w:rPr>
          <w:rFonts w:ascii="Arial Narrow" w:hAnsi="Arial Narrow"/>
          <w:sz w:val="18"/>
          <w:szCs w:val="18"/>
        </w:rPr>
        <w:t>companies); PECO Energy Company (PECO); and PPL Electric Utilities Corporation (PPL).</w:t>
      </w:r>
    </w:p>
  </w:footnote>
  <w:footnote w:id="13">
    <w:p w:rsidR="00042FDD" w:rsidRPr="008C3783" w:rsidRDefault="00042FDD" w:rsidP="008C3783">
      <w:pPr>
        <w:pStyle w:val="Comment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r w:rsidRPr="008C3783">
        <w:rPr>
          <w:rFonts w:ascii="Arial Narrow" w:hAnsi="Arial Narrow" w:cs="Courier New"/>
          <w:sz w:val="18"/>
          <w:szCs w:val="18"/>
        </w:rPr>
        <w:t>Pennsylvania Act 129, enacted in 2008, states that “The total cost of any plan required under this section shall not exceed 2% of the electric distribution company’s total annual revenue as of December 31, 2006”.</w:t>
      </w:r>
      <w:r w:rsidRPr="008C3783">
        <w:rPr>
          <w:rFonts w:ascii="Arial Narrow" w:hAnsi="Arial Narrow"/>
          <w:sz w:val="18"/>
          <w:szCs w:val="18"/>
        </w:rPr>
        <w:t xml:space="preserve"> See 66 Pa. C.S. </w:t>
      </w:r>
      <w:r w:rsidRPr="008C3783">
        <w:rPr>
          <w:rFonts w:ascii="Arial Narrow" w:hAnsi="Arial Narrow" w:cstheme="minorHAnsi"/>
          <w:sz w:val="18"/>
          <w:szCs w:val="18"/>
        </w:rPr>
        <w:t>§</w:t>
      </w:r>
      <w:r w:rsidRPr="008C3783">
        <w:rPr>
          <w:rFonts w:ascii="Arial Narrow" w:hAnsi="Arial Narrow"/>
          <w:sz w:val="18"/>
          <w:szCs w:val="18"/>
        </w:rPr>
        <w:t xml:space="preserve"> 2806.1(g)</w:t>
      </w:r>
    </w:p>
  </w:footnote>
  <w:footnote w:id="14">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2" w:history="1">
        <w:r w:rsidRPr="008C3783">
          <w:rPr>
            <w:rStyle w:val="Hyperlink"/>
            <w:rFonts w:ascii="Arial Narrow" w:hAnsi="Arial Narrow"/>
            <w:sz w:val="18"/>
            <w:szCs w:val="18"/>
          </w:rPr>
          <w:t>http://www.puc.pa.gov/pcdocs/1269801.doc</w:t>
        </w:r>
      </w:hyperlink>
    </w:p>
  </w:footnote>
  <w:footnote w:id="15">
    <w:p w:rsidR="00042FDD" w:rsidRPr="004E050E" w:rsidRDefault="00042FDD" w:rsidP="004E050E">
      <w:pPr>
        <w:pStyle w:val="FootnoteText"/>
        <w:jc w:val="left"/>
        <w:rPr>
          <w:rFonts w:ascii="Arial Narrow" w:hAnsi="Arial Narrow"/>
          <w:sz w:val="18"/>
          <w:szCs w:val="18"/>
        </w:rPr>
      </w:pPr>
      <w:r w:rsidRPr="004E050E">
        <w:rPr>
          <w:rStyle w:val="FootnoteReference"/>
          <w:rFonts w:ascii="Arial Narrow" w:hAnsi="Arial Narrow"/>
          <w:sz w:val="18"/>
          <w:szCs w:val="18"/>
        </w:rPr>
        <w:footnoteRef/>
      </w:r>
      <w:r w:rsidRPr="004E050E">
        <w:rPr>
          <w:rFonts w:ascii="Arial Narrow" w:hAnsi="Arial Narrow"/>
          <w:sz w:val="18"/>
          <w:szCs w:val="18"/>
        </w:rPr>
        <w:t xml:space="preserve"> The amount of generation capacity an Electricity Distribution Company determines it must acquire on behalf of its customers.  PLC values may be expressed per account or in aggregate.  For example, PLC may be expressed for each account or totaled for a given economic activity. </w:t>
      </w:r>
    </w:p>
  </w:footnote>
  <w:footnote w:id="16">
    <w:p w:rsidR="00042FDD" w:rsidRPr="008C3783" w:rsidRDefault="00042FDD" w:rsidP="002F1FC5">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w:t>
      </w:r>
      <w:r>
        <w:rPr>
          <w:rFonts w:ascii="Arial Narrow" w:hAnsi="Arial Narrow"/>
          <w:sz w:val="18"/>
          <w:szCs w:val="18"/>
        </w:rPr>
        <w:t>Total Resource Cost (TRC) test</w:t>
      </w:r>
      <w:r w:rsidRPr="008C3783">
        <w:rPr>
          <w:rFonts w:ascii="Arial Narrow" w:hAnsi="Arial Narrow"/>
          <w:sz w:val="18"/>
          <w:szCs w:val="18"/>
        </w:rPr>
        <w:t xml:space="preserve"> is a cost</w:t>
      </w:r>
      <w:r>
        <w:rPr>
          <w:rFonts w:ascii="Arial Narrow" w:hAnsi="Arial Narrow"/>
          <w:sz w:val="18"/>
          <w:szCs w:val="18"/>
        </w:rPr>
        <w:t xml:space="preserve"> </w:t>
      </w:r>
      <w:r w:rsidRPr="008C3783">
        <w:rPr>
          <w:rFonts w:ascii="Arial Narrow" w:hAnsi="Arial Narrow"/>
          <w:sz w:val="18"/>
          <w:szCs w:val="18"/>
        </w:rPr>
        <w:t>effectiveness test that measures the net direct economic impact to the utility service territory, state, or region. The Commission’s August 2012 TRC Order details the method and assumptions to be used when calculating the TRC test for EE&amp;C portfolios implemented under Act 129. The results of the TRC test are to be expressed as both a net</w:t>
      </w:r>
      <w:r>
        <w:rPr>
          <w:rFonts w:ascii="Arial Narrow" w:hAnsi="Arial Narrow"/>
          <w:sz w:val="18"/>
          <w:szCs w:val="18"/>
        </w:rPr>
        <w:t>-</w:t>
      </w:r>
      <w:r w:rsidRPr="008C3783">
        <w:rPr>
          <w:rFonts w:ascii="Arial Narrow" w:hAnsi="Arial Narrow"/>
          <w:sz w:val="18"/>
          <w:szCs w:val="18"/>
        </w:rPr>
        <w:t>present value and a benefit</w:t>
      </w:r>
      <w:r>
        <w:rPr>
          <w:rFonts w:ascii="Arial Narrow" w:hAnsi="Arial Narrow"/>
          <w:sz w:val="18"/>
          <w:szCs w:val="18"/>
        </w:rPr>
        <w:t>/</w:t>
      </w:r>
      <w:r w:rsidRPr="008C3783">
        <w:rPr>
          <w:rFonts w:ascii="Arial Narrow" w:hAnsi="Arial Narrow"/>
          <w:sz w:val="18"/>
          <w:szCs w:val="18"/>
        </w:rPr>
        <w:t>cost ratio.</w:t>
      </w:r>
    </w:p>
  </w:footnote>
  <w:footnote w:id="1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In a mandatory design EDCs would penalize customers financially for non-performance during DR events.</w:t>
      </w:r>
    </w:p>
  </w:footnote>
  <w:footnote w:id="1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A measure of the relative importance of hours of availability for DR dispatch. Hours where load is highest have the highest contribution to ELCC</w:t>
      </w:r>
    </w:p>
  </w:footnote>
  <w:footnote w:id="1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3" w:history="1">
        <w:r w:rsidRPr="008C3783">
          <w:rPr>
            <w:rStyle w:val="Hyperlink"/>
            <w:rFonts w:ascii="Arial Narrow" w:hAnsi="Arial Narrow"/>
            <w:sz w:val="18"/>
            <w:szCs w:val="18"/>
          </w:rPr>
          <w:t>www.puc.state.pa.us/Electric/pdf/Act129/SWE-2014_PA_Statewide_Act129_Residential_Baseline_Study.pdf</w:t>
        </w:r>
      </w:hyperlink>
      <w:r w:rsidRPr="008C3783">
        <w:rPr>
          <w:rFonts w:ascii="Arial Narrow" w:hAnsi="Arial Narrow"/>
          <w:sz w:val="18"/>
          <w:szCs w:val="18"/>
        </w:rPr>
        <w:t xml:space="preserve">  </w:t>
      </w:r>
    </w:p>
  </w:footnote>
  <w:footnote w:id="2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2012 PA Total Resource Cost Test Order, August 31, 2012, Docket No. M-2012-2300653. </w:t>
      </w:r>
    </w:p>
  </w:footnote>
  <w:footnote w:id="21">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data source for the long-term (2014 to 2034) general rate of US inflation was the </w:t>
      </w:r>
      <w:r w:rsidRPr="00294983">
        <w:rPr>
          <w:rFonts w:ascii="Arial Narrow" w:hAnsi="Arial Narrow"/>
          <w:bCs/>
          <w:sz w:val="18"/>
          <w:szCs w:val="18"/>
          <w:u w:val="single"/>
        </w:rPr>
        <w:t>US Energy Information Administration</w:t>
      </w:r>
      <w:r w:rsidRPr="008C3783">
        <w:rPr>
          <w:rFonts w:ascii="Arial Narrow" w:hAnsi="Arial Narrow"/>
          <w:sz w:val="18"/>
          <w:szCs w:val="18"/>
        </w:rPr>
        <w:t xml:space="preserve"> 2014 Annual Energy Outlook data table titled “ Macroeconomic Indicators”, from the Reference Case provided in Excel row 21. The price index used was the US Gross Domestic Product Price Index. The 1.74% annual rate of inflation was calculated by the Study Team from the forecast provided in this Table.</w:t>
      </w:r>
    </w:p>
  </w:footnote>
  <w:footnote w:id="22">
    <w:p w:rsidR="00042FDD" w:rsidRPr="008C3783" w:rsidRDefault="00042FDD" w:rsidP="008C3783">
      <w:pPr>
        <w:pStyle w:val="Comment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SWE </w:t>
      </w:r>
      <w:r>
        <w:rPr>
          <w:rFonts w:ascii="Arial Narrow" w:hAnsi="Arial Narrow"/>
          <w:sz w:val="18"/>
          <w:szCs w:val="18"/>
        </w:rPr>
        <w:t xml:space="preserve">Team </w:t>
      </w:r>
      <w:r w:rsidRPr="008C3783">
        <w:rPr>
          <w:rFonts w:ascii="Arial Narrow" w:hAnsi="Arial Narrow"/>
          <w:sz w:val="18"/>
          <w:szCs w:val="18"/>
        </w:rPr>
        <w:t xml:space="preserve">notes that the reason there was a relatively large number of load control switches remaining in the PECO territory is because PECO purchased them while the other EDCs rented or leased this equipment. </w:t>
      </w:r>
    </w:p>
  </w:footnote>
  <w:footnote w:id="2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Net</w:t>
      </w:r>
      <w:r>
        <w:rPr>
          <w:rFonts w:ascii="Arial Narrow" w:hAnsi="Arial Narrow"/>
          <w:sz w:val="18"/>
          <w:szCs w:val="18"/>
        </w:rPr>
        <w:t>-</w:t>
      </w:r>
      <w:r w:rsidRPr="008C3783">
        <w:rPr>
          <w:rFonts w:ascii="Arial Narrow" w:hAnsi="Arial Narrow"/>
          <w:sz w:val="18"/>
          <w:szCs w:val="18"/>
        </w:rPr>
        <w:t>Present Value</w:t>
      </w:r>
    </w:p>
  </w:footnote>
  <w:footnote w:id="24">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cs="Times New Roman"/>
          <w:sz w:val="18"/>
          <w:szCs w:val="18"/>
        </w:rPr>
        <w:t xml:space="preserve"> DR Final Order entered February 20, 2014 at </w:t>
      </w:r>
      <w:r w:rsidRPr="008C3783">
        <w:rPr>
          <w:rFonts w:ascii="Arial Narrow" w:hAnsi="Arial Narrow" w:cs="Times New Roman"/>
          <w:iCs/>
          <w:sz w:val="18"/>
          <w:szCs w:val="18"/>
        </w:rPr>
        <w:t>page 57</w:t>
      </w:r>
      <w:r w:rsidRPr="008C3783">
        <w:rPr>
          <w:rFonts w:ascii="Arial Narrow" w:hAnsi="Arial Narrow" w:cs="Times New Roman"/>
          <w:sz w:val="18"/>
          <w:szCs w:val="18"/>
        </w:rPr>
        <w:t xml:space="preserve">, </w:t>
      </w:r>
      <w:hyperlink r:id="rId4"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 xml:space="preserve">. </w:t>
      </w:r>
    </w:p>
  </w:footnote>
  <w:footnote w:id="25">
    <w:p w:rsidR="00042FDD" w:rsidRPr="0082377B" w:rsidRDefault="00042FDD">
      <w:pPr>
        <w:pStyle w:val="FootnoteText"/>
        <w:rPr>
          <w:rFonts w:ascii="Arial Narrow" w:hAnsi="Arial Narrow"/>
          <w:sz w:val="18"/>
        </w:rPr>
      </w:pPr>
      <w:r w:rsidRPr="0082377B">
        <w:rPr>
          <w:rStyle w:val="FootnoteReference"/>
          <w:rFonts w:ascii="Arial Narrow" w:hAnsi="Arial Narrow"/>
          <w:b/>
          <w:sz w:val="18"/>
        </w:rPr>
        <w:footnoteRef/>
      </w:r>
      <w:r w:rsidRPr="0082377B">
        <w:rPr>
          <w:rFonts w:ascii="Arial Narrow" w:hAnsi="Arial Narrow"/>
          <w:b/>
          <w:sz w:val="18"/>
        </w:rPr>
        <w:t xml:space="preserve"> </w:t>
      </w:r>
      <w:r w:rsidRPr="0082377B">
        <w:rPr>
          <w:rStyle w:val="GlossaryTermChar"/>
          <w:rFonts w:ascii="Arial Narrow" w:hAnsi="Arial Narrow"/>
          <w:sz w:val="18"/>
        </w:rPr>
        <w:t>Program Year (PY):</w:t>
      </w:r>
      <w:r w:rsidRPr="0082377B">
        <w:rPr>
          <w:rFonts w:ascii="Arial Narrow" w:hAnsi="Arial Narrow"/>
          <w:sz w:val="18"/>
        </w:rPr>
        <w:t xml:space="preserve"> Defined as the period between June 1st and May 31st of the current reporting period</w:t>
      </w:r>
      <w:r>
        <w:rPr>
          <w:rFonts w:ascii="Arial Narrow" w:hAnsi="Arial Narrow"/>
          <w:sz w:val="18"/>
        </w:rPr>
        <w:t>, (see glossary)</w:t>
      </w:r>
      <w:r w:rsidRPr="0082377B">
        <w:rPr>
          <w:rFonts w:ascii="Arial Narrow" w:hAnsi="Arial Narrow"/>
          <w:sz w:val="18"/>
        </w:rPr>
        <w:t>.</w:t>
      </w:r>
    </w:p>
  </w:footnote>
  <w:footnote w:id="26">
    <w:p w:rsidR="00042FDD" w:rsidRPr="008C3783" w:rsidRDefault="00042FDD" w:rsidP="008C3783">
      <w:pPr>
        <w:pStyle w:val="FootnoteText"/>
        <w:jc w:val="left"/>
        <w:rPr>
          <w:rFonts w:ascii="Arial Narrow" w:hAnsi="Arial Narrow"/>
          <w:sz w:val="18"/>
          <w:szCs w:val="18"/>
        </w:rPr>
      </w:pPr>
      <w:r w:rsidRPr="008C3783">
        <w:rPr>
          <w:rFonts w:ascii="Arial Narrow" w:hAnsi="Arial Narrow"/>
          <w:sz w:val="18"/>
          <w:szCs w:val="18"/>
          <w:vertAlign w:val="superscript"/>
        </w:rPr>
        <w:footnoteRef/>
      </w:r>
      <w:r w:rsidRPr="008C3783">
        <w:rPr>
          <w:rFonts w:ascii="Arial Narrow" w:hAnsi="Arial Narrow"/>
          <w:sz w:val="18"/>
          <w:szCs w:val="18"/>
        </w:rPr>
        <w:t xml:space="preserve"> </w:t>
      </w:r>
      <w:hyperlink r:id="rId5" w:history="1">
        <w:r w:rsidRPr="008C3783">
          <w:rPr>
            <w:rStyle w:val="Hyperlink"/>
            <w:rFonts w:ascii="Arial Narrow" w:hAnsi="Arial Narrow"/>
            <w:color w:val="auto"/>
            <w:sz w:val="18"/>
            <w:szCs w:val="18"/>
          </w:rPr>
          <w:t>http://www.pjm.com/~/media/documents/reports/20141007-pjm-whitepaper-on-the-evolution-of-demand-response-in-the-pjm-wholesale-market.ashx</w:t>
        </w:r>
      </w:hyperlink>
    </w:p>
  </w:footnote>
  <w:footnote w:id="27">
    <w:p w:rsidR="00042FDD" w:rsidRPr="00041E64" w:rsidRDefault="00042FDD" w:rsidP="007D0103">
      <w:pPr>
        <w:pStyle w:val="FootnoteText"/>
        <w:rPr>
          <w:rStyle w:val="FootnoteReference"/>
        </w:rPr>
      </w:pPr>
      <w:r>
        <w:rPr>
          <w:rStyle w:val="FootnoteReference"/>
        </w:rPr>
        <w:footnoteRef/>
      </w:r>
      <w:r>
        <w:t xml:space="preserve"> </w:t>
      </w:r>
      <w:r w:rsidRPr="00041E64">
        <w:rPr>
          <w:rFonts w:ascii="Arial Narrow" w:hAnsi="Arial Narrow"/>
          <w:sz w:val="18"/>
          <w:szCs w:val="18"/>
        </w:rPr>
        <w:t>This approach</w:t>
      </w:r>
      <w:r w:rsidRPr="00041E64">
        <w:rPr>
          <w:rStyle w:val="FootnoteReference"/>
          <w:rFonts w:ascii="Arial Narrow" w:hAnsi="Arial Narrow"/>
          <w:sz w:val="18"/>
          <w:szCs w:val="18"/>
          <w:vertAlign w:val="baseline"/>
        </w:rPr>
        <w:t xml:space="preserve"> takes into account the reduction in commitment which has historically occurred at incremental auctions</w:t>
      </w:r>
      <w:r w:rsidRPr="00041E64">
        <w:rPr>
          <w:rStyle w:val="FootnoteReference"/>
          <w:rFonts w:ascii="Arial Narrow" w:hAnsi="Arial Narrow"/>
          <w:sz w:val="18"/>
          <w:szCs w:val="18"/>
        </w:rPr>
        <w:t xml:space="preserve"> </w:t>
      </w:r>
    </w:p>
  </w:footnote>
  <w:footnote w:id="2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has been the single largest asset in PJM’s forward capacity market, accounting for over 10,000 MW of supply.</w:t>
      </w:r>
    </w:p>
  </w:footnote>
  <w:footnote w:id="29">
    <w:p w:rsidR="00042FDD" w:rsidRPr="00123C18" w:rsidRDefault="00042FDD" w:rsidP="008C3783">
      <w:pPr>
        <w:pStyle w:val="FootnoteText"/>
        <w:jc w:val="left"/>
        <w:rPr>
          <w:rFonts w:ascii="Arial Narrow" w:hAnsi="Arial Narrow"/>
          <w:sz w:val="18"/>
          <w:szCs w:val="18"/>
        </w:rPr>
      </w:pPr>
      <w:r w:rsidRPr="00123C18">
        <w:rPr>
          <w:rStyle w:val="FootnoteReference"/>
          <w:rFonts w:ascii="Arial Narrow" w:hAnsi="Arial Narrow"/>
          <w:sz w:val="18"/>
          <w:szCs w:val="18"/>
        </w:rPr>
        <w:footnoteRef/>
      </w:r>
      <w:r w:rsidRPr="00123C18">
        <w:rPr>
          <w:rFonts w:ascii="Arial Narrow" w:hAnsi="Arial Narrow"/>
          <w:sz w:val="18"/>
          <w:szCs w:val="18"/>
        </w:rPr>
        <w:t xml:space="preserve"> The SWE </w:t>
      </w:r>
      <w:r>
        <w:rPr>
          <w:rFonts w:ascii="Arial Narrow" w:hAnsi="Arial Narrow"/>
          <w:sz w:val="18"/>
          <w:szCs w:val="18"/>
        </w:rPr>
        <w:t xml:space="preserve">Team </w:t>
      </w:r>
      <w:r w:rsidRPr="00123C18">
        <w:rPr>
          <w:rFonts w:ascii="Arial Narrow" w:hAnsi="Arial Narrow"/>
          <w:sz w:val="18"/>
          <w:szCs w:val="18"/>
        </w:rPr>
        <w:t xml:space="preserve">recommends that PECO only be allowed to conduct a load control program during Phase III for control of central </w:t>
      </w:r>
      <w:r>
        <w:rPr>
          <w:rFonts w:ascii="Arial Narrow" w:hAnsi="Arial Narrow"/>
          <w:sz w:val="18"/>
          <w:szCs w:val="18"/>
        </w:rPr>
        <w:t>A/C</w:t>
      </w:r>
      <w:r w:rsidRPr="00123C18">
        <w:rPr>
          <w:rFonts w:ascii="Arial Narrow" w:hAnsi="Arial Narrow"/>
          <w:sz w:val="18"/>
          <w:szCs w:val="18"/>
        </w:rPr>
        <w:t xml:space="preserve"> equipment in the residential and small commercial sectors.</w:t>
      </w:r>
    </w:p>
  </w:footnote>
  <w:footnote w:id="3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Wholesale price suppression effects were not included in the benefits stream for DR in this study per the Commission’s February 20, 2014 Order.</w:t>
      </w:r>
    </w:p>
  </w:footnote>
  <w:footnote w:id="3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In some cases the demand forecasts provided by the EDCs did not extend until 2030 so a growth rate was applied to estimate forecast values for years at the end of the study horizon. The Commission’s Order directed the SWE </w:t>
      </w:r>
      <w:r>
        <w:rPr>
          <w:rFonts w:ascii="Arial Narrow" w:hAnsi="Arial Narrow"/>
          <w:sz w:val="18"/>
          <w:szCs w:val="18"/>
        </w:rPr>
        <w:t xml:space="preserve">Team </w:t>
      </w:r>
      <w:r w:rsidRPr="008C3783">
        <w:rPr>
          <w:rFonts w:ascii="Arial Narrow" w:hAnsi="Arial Narrow"/>
          <w:sz w:val="18"/>
          <w:szCs w:val="18"/>
        </w:rPr>
        <w:t>to look at a 10 year measure life for DLC equipment. If a switch was installed in 2020 the equipment would not reach its useful life until 2030.</w:t>
      </w:r>
    </w:p>
    <w:p w:rsidR="00042FDD" w:rsidRPr="008C3783" w:rsidRDefault="00042FDD" w:rsidP="008C3783">
      <w:pPr>
        <w:pStyle w:val="FootnoteText"/>
        <w:jc w:val="left"/>
        <w:rPr>
          <w:rFonts w:ascii="Arial Narrow" w:hAnsi="Arial Narrow"/>
          <w:sz w:val="18"/>
          <w:szCs w:val="18"/>
        </w:rPr>
      </w:pPr>
    </w:p>
  </w:footnote>
  <w:footnote w:id="3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6" w:history="1">
        <w:r w:rsidRPr="008C3783">
          <w:rPr>
            <w:rStyle w:val="Hyperlink"/>
            <w:rFonts w:ascii="Arial Narrow" w:hAnsi="Arial Narrow"/>
            <w:sz w:val="18"/>
            <w:szCs w:val="18"/>
          </w:rPr>
          <w:t>http://www.epa.gov/cleanenergy/documents/suca/vision.pdf</w:t>
        </w:r>
      </w:hyperlink>
      <w:r w:rsidRPr="008C3783">
        <w:rPr>
          <w:rFonts w:ascii="Arial Narrow" w:hAnsi="Arial Narrow"/>
          <w:sz w:val="18"/>
          <w:szCs w:val="18"/>
        </w:rPr>
        <w:t xml:space="preserve"> </w:t>
      </w:r>
    </w:p>
  </w:footnote>
  <w:footnote w:id="3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SWE </w:t>
      </w:r>
      <w:r>
        <w:rPr>
          <w:rFonts w:ascii="Arial Narrow" w:hAnsi="Arial Narrow"/>
          <w:sz w:val="18"/>
          <w:szCs w:val="18"/>
        </w:rPr>
        <w:t xml:space="preserve">Team </w:t>
      </w:r>
      <w:r w:rsidRPr="008C3783">
        <w:rPr>
          <w:rFonts w:ascii="Arial Narrow" w:hAnsi="Arial Narrow"/>
          <w:sz w:val="18"/>
          <w:szCs w:val="18"/>
        </w:rPr>
        <w:t xml:space="preserve">also notes that DR programs can help to reduce future costs of </w:t>
      </w:r>
      <w:r>
        <w:rPr>
          <w:rFonts w:ascii="Arial Narrow" w:hAnsi="Arial Narrow"/>
          <w:sz w:val="18"/>
          <w:szCs w:val="18"/>
        </w:rPr>
        <w:t>T&amp;D</w:t>
      </w:r>
      <w:r w:rsidRPr="008C3783">
        <w:rPr>
          <w:rFonts w:ascii="Arial Narrow" w:hAnsi="Arial Narrow"/>
          <w:sz w:val="18"/>
          <w:szCs w:val="18"/>
        </w:rPr>
        <w:t xml:space="preserve"> facilities.</w:t>
      </w:r>
    </w:p>
  </w:footnote>
  <w:footnote w:id="34">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Final Order entered February 20, 2014 at </w:t>
      </w:r>
      <w:r w:rsidRPr="008C3783">
        <w:rPr>
          <w:rFonts w:ascii="Arial Narrow" w:hAnsi="Arial Narrow"/>
          <w:iCs/>
          <w:sz w:val="18"/>
          <w:szCs w:val="18"/>
        </w:rPr>
        <w:t xml:space="preserve">page 50, </w:t>
      </w:r>
      <w:hyperlink r:id="rId7"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3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provided its own peak load forecast which it believed to be more accurate than the PJM forecast. The SWE </w:t>
      </w:r>
      <w:r>
        <w:rPr>
          <w:rFonts w:ascii="Arial Narrow" w:hAnsi="Arial Narrow"/>
          <w:sz w:val="18"/>
          <w:szCs w:val="18"/>
        </w:rPr>
        <w:t>Team</w:t>
      </w:r>
      <w:r w:rsidRPr="008C3783">
        <w:rPr>
          <w:rFonts w:ascii="Arial Narrow" w:hAnsi="Arial Narrow"/>
          <w:sz w:val="18"/>
          <w:szCs w:val="18"/>
        </w:rPr>
        <w:t xml:space="preserve"> elected to use the PECO forecast instead of the PJM forecast because the PECO forecast is based on more in-depth knowledge of business expansions, closures, and upcoming cogeneration within the service territory.  </w:t>
      </w:r>
    </w:p>
  </w:footnote>
  <w:footnote w:id="36">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2014 report utilized in this study is available at </w:t>
      </w:r>
      <w:hyperlink r:id="rId8" w:history="1">
        <w:r w:rsidRPr="008C3783">
          <w:rPr>
            <w:rStyle w:val="Hyperlink"/>
            <w:rFonts w:ascii="Arial Narrow" w:hAnsi="Arial Narrow"/>
            <w:sz w:val="18"/>
            <w:szCs w:val="18"/>
          </w:rPr>
          <w:t>http://www.pjm.com/~/media/documents/reports/2014-load-forecast-report.ashx</w:t>
        </w:r>
      </w:hyperlink>
    </w:p>
  </w:footnote>
  <w:footnote w:id="37">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9"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38">
    <w:p w:rsidR="00042FDD" w:rsidRDefault="00042FDD">
      <w:pPr>
        <w:pStyle w:val="FootnoteText"/>
      </w:pPr>
      <w:r>
        <w:rPr>
          <w:rStyle w:val="FootnoteReference"/>
        </w:rPr>
        <w:footnoteRef/>
      </w:r>
      <w:r>
        <w:t xml:space="preserve"> </w:t>
      </w:r>
      <w:r w:rsidRPr="008C3783">
        <w:rPr>
          <w:rFonts w:ascii="Arial Narrow" w:hAnsi="Arial Narrow"/>
          <w:sz w:val="18"/>
          <w:szCs w:val="18"/>
        </w:rPr>
        <w:t xml:space="preserve">DR Final Order entered February 20, 2014 at </w:t>
      </w:r>
      <w:r>
        <w:rPr>
          <w:rFonts w:ascii="Arial Narrow" w:hAnsi="Arial Narrow"/>
          <w:iCs/>
          <w:sz w:val="18"/>
          <w:szCs w:val="18"/>
        </w:rPr>
        <w:t>page 32</w:t>
      </w:r>
      <w:r w:rsidRPr="008C3783">
        <w:rPr>
          <w:rFonts w:ascii="Arial Narrow" w:hAnsi="Arial Narrow"/>
          <w:iCs/>
          <w:sz w:val="18"/>
          <w:szCs w:val="18"/>
        </w:rPr>
        <w:t xml:space="preserve">, </w:t>
      </w:r>
      <w:hyperlink r:id="rId10" w:history="1">
        <w:r w:rsidRPr="008C3783">
          <w:rPr>
            <w:rStyle w:val="Hyperlink"/>
            <w:rFonts w:ascii="Arial Narrow" w:hAnsi="Arial Narrow"/>
            <w:sz w:val="18"/>
            <w:szCs w:val="18"/>
          </w:rPr>
          <w:t>http://www.puc.pa.gov/pcdocs/1269801.doc</w:t>
        </w:r>
      </w:hyperlink>
    </w:p>
  </w:footnote>
  <w:footnote w:id="39">
    <w:p w:rsidR="00042FDD" w:rsidRPr="00E97EB3" w:rsidRDefault="00042FDD" w:rsidP="00E97EB3">
      <w:pPr>
        <w:pStyle w:val="FootnoteText"/>
        <w:jc w:val="left"/>
        <w:rPr>
          <w:rFonts w:ascii="Arial Narrow" w:hAnsi="Arial Narrow"/>
          <w:sz w:val="18"/>
        </w:rPr>
      </w:pPr>
      <w:r w:rsidRPr="00E97EB3">
        <w:rPr>
          <w:rStyle w:val="FootnoteReference"/>
          <w:rFonts w:ascii="Arial Narrow" w:hAnsi="Arial Narrow"/>
          <w:sz w:val="18"/>
        </w:rPr>
        <w:footnoteRef/>
      </w:r>
      <w:r w:rsidRPr="00E97EB3">
        <w:rPr>
          <w:rFonts w:ascii="Arial Narrow" w:hAnsi="Arial Narrow"/>
          <w:sz w:val="18"/>
        </w:rPr>
        <w:t xml:space="preserve"> Present value of expected total net benefits</w:t>
      </w:r>
      <w:r>
        <w:rPr>
          <w:rFonts w:ascii="Arial Narrow" w:hAnsi="Arial Narrow"/>
          <w:sz w:val="18"/>
        </w:rPr>
        <w:t>.</w:t>
      </w:r>
    </w:p>
  </w:footnote>
  <w:footnote w:id="40">
    <w:p w:rsidR="00042FDD" w:rsidRDefault="00042FDD">
      <w:pPr>
        <w:pStyle w:val="FootnoteText"/>
      </w:pPr>
      <w:r>
        <w:rPr>
          <w:rStyle w:val="FootnoteReference"/>
        </w:rPr>
        <w:footnoteRef/>
      </w:r>
      <w:r>
        <w:t xml:space="preserve"> </w:t>
      </w:r>
      <w:r w:rsidRPr="008C3783">
        <w:rPr>
          <w:rFonts w:ascii="Arial Narrow" w:hAnsi="Arial Narrow"/>
          <w:sz w:val="18"/>
          <w:szCs w:val="18"/>
        </w:rPr>
        <w:t xml:space="preserve">DR Final Order entered February 20, 2014, </w:t>
      </w:r>
      <w:hyperlink r:id="rId11"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4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Per the 2013 TRC Order, this escalation factor was calculated as the 5-year average of the BLS Electric Power Generation Transmission Distribution (GTD) sector price index (BLS factor: NAICS 221110)</w:t>
      </w:r>
    </w:p>
  </w:footnote>
  <w:footnote w:id="4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In a mandatory design EDCs would penalize customers financially for non-performance during DR events.</w:t>
      </w:r>
    </w:p>
  </w:footnote>
  <w:footnote w:id="4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In this context “program design” refers to a unique combination of dispatch threshold, event start hour, event duration, and maximum number of events per year</w:t>
      </w:r>
    </w:p>
  </w:footnote>
  <w:footnote w:id="4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term “target load,” is used solely to define the output of our simulation, and should not be interpreted as a quantified demand reduction target for Phase III. We use the term “target load,” only because of its ease of use when examining the simulation output.</w:t>
      </w:r>
    </w:p>
  </w:footnote>
  <w:footnote w:id="4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This report refers to hours on a 1 to 24 basis. Hour 17 is the hour from 4:00 p</w:t>
      </w:r>
      <w:r>
        <w:rPr>
          <w:rFonts w:ascii="Arial Narrow" w:hAnsi="Arial Narrow"/>
          <w:sz w:val="18"/>
          <w:szCs w:val="18"/>
        </w:rPr>
        <w:t>.</w:t>
      </w:r>
      <w:r w:rsidRPr="008C3783">
        <w:rPr>
          <w:rFonts w:ascii="Arial Narrow" w:hAnsi="Arial Narrow"/>
          <w:sz w:val="18"/>
          <w:szCs w:val="18"/>
        </w:rPr>
        <w:t>m</w:t>
      </w:r>
      <w:r>
        <w:rPr>
          <w:rFonts w:ascii="Arial Narrow" w:hAnsi="Arial Narrow"/>
          <w:sz w:val="18"/>
          <w:szCs w:val="18"/>
        </w:rPr>
        <w:t>.</w:t>
      </w:r>
      <w:r w:rsidRPr="008C3783">
        <w:rPr>
          <w:rFonts w:ascii="Arial Narrow" w:hAnsi="Arial Narrow"/>
          <w:sz w:val="18"/>
          <w:szCs w:val="18"/>
        </w:rPr>
        <w:t xml:space="preserve"> to 5:00 p</w:t>
      </w:r>
      <w:r>
        <w:rPr>
          <w:rFonts w:ascii="Arial Narrow" w:hAnsi="Arial Narrow"/>
          <w:sz w:val="18"/>
          <w:szCs w:val="18"/>
        </w:rPr>
        <w:t>.</w:t>
      </w:r>
      <w:r w:rsidRPr="008C3783">
        <w:rPr>
          <w:rFonts w:ascii="Arial Narrow" w:hAnsi="Arial Narrow"/>
          <w:sz w:val="18"/>
          <w:szCs w:val="18"/>
        </w:rPr>
        <w:t>m</w:t>
      </w:r>
      <w:r>
        <w:rPr>
          <w:rFonts w:ascii="Arial Narrow" w:hAnsi="Arial Narrow"/>
          <w:sz w:val="18"/>
          <w:szCs w:val="18"/>
        </w:rPr>
        <w:t>.</w:t>
      </w:r>
    </w:p>
  </w:footnote>
  <w:footnote w:id="46">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Final Order entered February 20, 2014 at </w:t>
      </w:r>
      <w:r w:rsidRPr="008C3783">
        <w:rPr>
          <w:rFonts w:ascii="Arial Narrow" w:hAnsi="Arial Narrow"/>
          <w:iCs/>
          <w:sz w:val="18"/>
          <w:szCs w:val="18"/>
        </w:rPr>
        <w:t xml:space="preserve">page 50, </w:t>
      </w:r>
      <w:hyperlink r:id="rId12"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4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These benefits are likely to be more direct for customers with interval meters. EDCs without interval meters use a stock load shape by rate class to assign PLC rather than the actual metered load for the site.</w:t>
      </w:r>
    </w:p>
  </w:footnote>
  <w:footnote w:id="4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PJM. 1999-2014. “Previous Load Forecast Reports.” PJM Website accessed 09/24/2014. </w:t>
      </w:r>
      <w:hyperlink r:id="rId13" w:history="1">
        <w:r w:rsidRPr="008C3783">
          <w:rPr>
            <w:rStyle w:val="Hyperlink"/>
            <w:rFonts w:ascii="Arial Narrow" w:hAnsi="Arial Narrow"/>
            <w:sz w:val="18"/>
            <w:szCs w:val="18"/>
          </w:rPr>
          <w:t>http://www.pjm.com/planning/resource-adequacy-planning/load-forecast-dev-process/prev-load-reports.aspx</w:t>
        </w:r>
      </w:hyperlink>
    </w:p>
  </w:footnote>
  <w:footnote w:id="4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PJM. 2009. “Executive Summary.” 2009 PJM Load Forecast Report. File accessed via PJM website 09/24/2014. http://www.pjm.com/~/media/documents/reports/2009-pjm-load-report.ashx</w:t>
      </w:r>
    </w:p>
  </w:footnote>
  <w:footnote w:id="5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r w:rsidRPr="00280E20">
        <w:rPr>
          <w:rFonts w:ascii="Arial Narrow" w:hAnsi="Arial Narrow"/>
          <w:sz w:val="18"/>
          <w:szCs w:val="18"/>
        </w:rPr>
        <w:t>Hours are presented on a 1 to 24 basis so Hour 15 is the hour from 2</w:t>
      </w:r>
      <w:r>
        <w:rPr>
          <w:rFonts w:ascii="Arial Narrow" w:hAnsi="Arial Narrow"/>
          <w:sz w:val="18"/>
          <w:szCs w:val="18"/>
        </w:rPr>
        <w:t>:</w:t>
      </w:r>
      <w:r w:rsidRPr="00280E20">
        <w:rPr>
          <w:rFonts w:ascii="Arial Narrow" w:hAnsi="Arial Narrow"/>
          <w:sz w:val="18"/>
          <w:szCs w:val="18"/>
        </w:rPr>
        <w:t>00 p</w:t>
      </w:r>
      <w:r>
        <w:rPr>
          <w:rFonts w:ascii="Arial Narrow" w:hAnsi="Arial Narrow"/>
          <w:sz w:val="18"/>
          <w:szCs w:val="18"/>
        </w:rPr>
        <w:t>.</w:t>
      </w:r>
      <w:r w:rsidRPr="00280E20">
        <w:rPr>
          <w:rFonts w:ascii="Arial Narrow" w:hAnsi="Arial Narrow"/>
          <w:sz w:val="18"/>
          <w:szCs w:val="18"/>
        </w:rPr>
        <w:t>m</w:t>
      </w:r>
      <w:r>
        <w:rPr>
          <w:rFonts w:ascii="Arial Narrow" w:hAnsi="Arial Narrow"/>
          <w:sz w:val="18"/>
          <w:szCs w:val="18"/>
        </w:rPr>
        <w:t>.</w:t>
      </w:r>
      <w:r w:rsidRPr="00280E20">
        <w:rPr>
          <w:rFonts w:ascii="Arial Narrow" w:hAnsi="Arial Narrow"/>
          <w:sz w:val="18"/>
          <w:szCs w:val="18"/>
        </w:rPr>
        <w:t xml:space="preserve"> to 3:00 p</w:t>
      </w:r>
      <w:r>
        <w:rPr>
          <w:rFonts w:ascii="Arial Narrow" w:hAnsi="Arial Narrow"/>
          <w:sz w:val="18"/>
          <w:szCs w:val="18"/>
        </w:rPr>
        <w:t>.</w:t>
      </w:r>
      <w:r w:rsidRPr="00280E20">
        <w:rPr>
          <w:rFonts w:ascii="Arial Narrow" w:hAnsi="Arial Narrow"/>
          <w:sz w:val="18"/>
          <w:szCs w:val="18"/>
        </w:rPr>
        <w:t>m</w:t>
      </w:r>
      <w:r>
        <w:rPr>
          <w:rFonts w:ascii="Arial Narrow" w:hAnsi="Arial Narrow"/>
          <w:sz w:val="18"/>
          <w:szCs w:val="18"/>
        </w:rPr>
        <w:t>.</w:t>
      </w:r>
      <w:r w:rsidRPr="00280E20">
        <w:rPr>
          <w:rFonts w:ascii="Arial Narrow" w:hAnsi="Arial Narrow"/>
          <w:sz w:val="18"/>
          <w:szCs w:val="18"/>
        </w:rPr>
        <w:t xml:space="preserve"> and Hour 17 is the hour from 4:00 p</w:t>
      </w:r>
      <w:r>
        <w:rPr>
          <w:rFonts w:ascii="Arial Narrow" w:hAnsi="Arial Narrow"/>
          <w:sz w:val="18"/>
          <w:szCs w:val="18"/>
        </w:rPr>
        <w:t>.</w:t>
      </w:r>
      <w:r w:rsidRPr="00280E20">
        <w:rPr>
          <w:rFonts w:ascii="Arial Narrow" w:hAnsi="Arial Narrow"/>
          <w:sz w:val="18"/>
          <w:szCs w:val="18"/>
        </w:rPr>
        <w:t>m</w:t>
      </w:r>
      <w:r>
        <w:rPr>
          <w:rFonts w:ascii="Arial Narrow" w:hAnsi="Arial Narrow"/>
          <w:sz w:val="18"/>
          <w:szCs w:val="18"/>
        </w:rPr>
        <w:t>.</w:t>
      </w:r>
      <w:r w:rsidRPr="00280E20">
        <w:rPr>
          <w:rFonts w:ascii="Arial Narrow" w:hAnsi="Arial Narrow"/>
          <w:sz w:val="18"/>
          <w:szCs w:val="18"/>
        </w:rPr>
        <w:t xml:space="preserve"> to 5:00 p</w:t>
      </w:r>
      <w:r>
        <w:rPr>
          <w:rFonts w:ascii="Arial Narrow" w:hAnsi="Arial Narrow"/>
          <w:sz w:val="18"/>
          <w:szCs w:val="18"/>
        </w:rPr>
        <w:t>.</w:t>
      </w:r>
      <w:r w:rsidRPr="00280E20">
        <w:rPr>
          <w:rFonts w:ascii="Arial Narrow" w:hAnsi="Arial Narrow"/>
          <w:sz w:val="18"/>
          <w:szCs w:val="18"/>
        </w:rPr>
        <w:t>m</w:t>
      </w:r>
      <w:r>
        <w:rPr>
          <w:rFonts w:ascii="Arial Narrow" w:hAnsi="Arial Narrow"/>
          <w:sz w:val="18"/>
          <w:szCs w:val="18"/>
        </w:rPr>
        <w:t>.</w:t>
      </w:r>
    </w:p>
  </w:footnote>
  <w:footnote w:id="5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Section </w:t>
      </w:r>
      <w:r w:rsidRPr="008C3783">
        <w:rPr>
          <w:rFonts w:ascii="Arial Narrow" w:hAnsi="Arial Narrow"/>
          <w:sz w:val="18"/>
          <w:szCs w:val="18"/>
        </w:rPr>
        <w:fldChar w:fldCharType="begin"/>
      </w:r>
      <w:r w:rsidRPr="008C3783">
        <w:rPr>
          <w:rFonts w:ascii="Arial Narrow" w:hAnsi="Arial Narrow"/>
          <w:sz w:val="18"/>
          <w:szCs w:val="18"/>
        </w:rPr>
        <w:instrText xml:space="preserve"> REF _Ref405556839 \r \h  \* MERGEFORMAT </w:instrText>
      </w:r>
      <w:r w:rsidRPr="008C3783">
        <w:rPr>
          <w:rFonts w:ascii="Arial Narrow" w:hAnsi="Arial Narrow"/>
          <w:sz w:val="18"/>
          <w:szCs w:val="18"/>
        </w:rPr>
      </w:r>
      <w:r w:rsidRPr="008C3783">
        <w:rPr>
          <w:rFonts w:ascii="Arial Narrow" w:hAnsi="Arial Narrow"/>
          <w:sz w:val="18"/>
          <w:szCs w:val="18"/>
        </w:rPr>
        <w:fldChar w:fldCharType="separate"/>
      </w:r>
      <w:r w:rsidR="00803DBE">
        <w:rPr>
          <w:rFonts w:ascii="Arial Narrow" w:hAnsi="Arial Narrow"/>
          <w:sz w:val="18"/>
          <w:szCs w:val="18"/>
        </w:rPr>
        <w:t>2.7.5</w:t>
      </w:r>
      <w:r w:rsidRPr="008C3783">
        <w:rPr>
          <w:rFonts w:ascii="Arial Narrow" w:hAnsi="Arial Narrow"/>
          <w:sz w:val="18"/>
          <w:szCs w:val="18"/>
        </w:rPr>
        <w:fldChar w:fldCharType="end"/>
      </w:r>
      <w:r w:rsidRPr="008C3783">
        <w:rPr>
          <w:rFonts w:ascii="Arial Narrow" w:hAnsi="Arial Narrow"/>
          <w:sz w:val="18"/>
          <w:szCs w:val="18"/>
        </w:rPr>
        <w:t xml:space="preserve"> includes a table indicating the number of days in each year that exceeded the dispatch criteria, which range from 90% to 97% of projected annual system peak.</w:t>
      </w:r>
    </w:p>
  </w:footnote>
  <w:footnote w:id="52">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Final Order entered February 20, 2014, </w:t>
      </w:r>
      <w:hyperlink r:id="rId14"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5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There are residential DR programs, such as Critical Peak Pricing, that require customer notification of events. However, the SWE </w:t>
      </w:r>
      <w:r>
        <w:rPr>
          <w:rFonts w:ascii="Arial Narrow" w:hAnsi="Arial Narrow"/>
          <w:sz w:val="18"/>
          <w:szCs w:val="18"/>
        </w:rPr>
        <w:t>Team</w:t>
      </w:r>
      <w:r w:rsidRPr="008C3783">
        <w:rPr>
          <w:rFonts w:ascii="Arial Narrow" w:hAnsi="Arial Narrow"/>
          <w:sz w:val="18"/>
          <w:szCs w:val="18"/>
        </w:rPr>
        <w:t xml:space="preserve"> has been instructed to only evaluate direct control residential programs, which do not require customer notification.</w:t>
      </w:r>
    </w:p>
  </w:footnote>
  <w:footnote w:id="5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simulation results shown in </w:t>
      </w:r>
      <w:r w:rsidRPr="008C3783">
        <w:rPr>
          <w:rFonts w:ascii="Arial Narrow" w:hAnsi="Arial Narrow"/>
          <w:sz w:val="18"/>
          <w:szCs w:val="18"/>
        </w:rPr>
        <w:fldChar w:fldCharType="begin"/>
      </w:r>
      <w:r w:rsidRPr="008C3783">
        <w:rPr>
          <w:rFonts w:ascii="Arial Narrow" w:hAnsi="Arial Narrow"/>
          <w:sz w:val="18"/>
          <w:szCs w:val="18"/>
        </w:rPr>
        <w:instrText xml:space="preserve"> REF _Ref399857714 \h  \* MERGEFORMAT </w:instrText>
      </w:r>
      <w:r w:rsidRPr="008C3783">
        <w:rPr>
          <w:rFonts w:ascii="Arial Narrow" w:hAnsi="Arial Narrow"/>
          <w:sz w:val="18"/>
          <w:szCs w:val="18"/>
        </w:rPr>
      </w:r>
      <w:r w:rsidRPr="008C3783">
        <w:rPr>
          <w:rFonts w:ascii="Arial Narrow" w:hAnsi="Arial Narrow"/>
          <w:sz w:val="18"/>
          <w:szCs w:val="18"/>
        </w:rPr>
        <w:fldChar w:fldCharType="separate"/>
      </w:r>
      <w:r w:rsidR="00803DBE" w:rsidRPr="00803DBE">
        <w:rPr>
          <w:rFonts w:ascii="Arial Narrow" w:hAnsi="Arial Narrow"/>
          <w:sz w:val="18"/>
          <w:szCs w:val="18"/>
        </w:rPr>
        <w:t xml:space="preserve">Table </w:t>
      </w:r>
      <w:r w:rsidR="00803DBE" w:rsidRPr="00803DBE">
        <w:rPr>
          <w:rFonts w:ascii="Arial Narrow" w:hAnsi="Arial Narrow"/>
          <w:noProof/>
          <w:sz w:val="18"/>
          <w:szCs w:val="18"/>
        </w:rPr>
        <w:t>2</w:t>
      </w:r>
      <w:r w:rsidR="00803DBE" w:rsidRPr="00803DBE">
        <w:rPr>
          <w:rFonts w:ascii="Arial Narrow" w:hAnsi="Arial Narrow"/>
          <w:noProof/>
          <w:sz w:val="18"/>
          <w:szCs w:val="18"/>
        </w:rPr>
        <w:noBreakHyphen/>
        <w:t>8</w:t>
      </w:r>
      <w:r w:rsidRPr="008C3783">
        <w:rPr>
          <w:rFonts w:ascii="Arial Narrow" w:hAnsi="Arial Narrow"/>
          <w:sz w:val="18"/>
          <w:szCs w:val="18"/>
        </w:rPr>
        <w:fldChar w:fldCharType="end"/>
      </w:r>
      <w:r w:rsidRPr="008C3783">
        <w:rPr>
          <w:rFonts w:ascii="Arial Narrow" w:hAnsi="Arial Narrow"/>
          <w:sz w:val="18"/>
          <w:szCs w:val="18"/>
        </w:rPr>
        <w:t xml:space="preserve"> are a subset of the total 1,600 potential programs included in the simulation. </w:t>
      </w:r>
      <w:r>
        <w:rPr>
          <w:rFonts w:ascii="Arial Narrow" w:hAnsi="Arial Narrow"/>
          <w:sz w:val="18"/>
          <w:szCs w:val="18"/>
        </w:rPr>
        <w:t>The SWE Team has</w:t>
      </w:r>
      <w:r w:rsidRPr="008C3783">
        <w:rPr>
          <w:rFonts w:ascii="Arial Narrow" w:hAnsi="Arial Narrow"/>
          <w:sz w:val="18"/>
          <w:szCs w:val="18"/>
        </w:rPr>
        <w:t xml:space="preserve"> assumed that program budgets would limit the total number of potential event</w:t>
      </w:r>
      <w:r>
        <w:rPr>
          <w:rFonts w:ascii="Arial Narrow" w:hAnsi="Arial Narrow"/>
          <w:sz w:val="18"/>
          <w:szCs w:val="18"/>
        </w:rPr>
        <w:t xml:space="preserve"> </w:t>
      </w:r>
      <w:r w:rsidRPr="008C3783">
        <w:rPr>
          <w:rFonts w:ascii="Arial Narrow" w:hAnsi="Arial Narrow"/>
          <w:sz w:val="18"/>
          <w:szCs w:val="18"/>
        </w:rPr>
        <w:t xml:space="preserve">hours to 24. </w:t>
      </w:r>
    </w:p>
  </w:footnote>
  <w:footnote w:id="5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Source: </w:t>
      </w:r>
      <w:hyperlink r:id="rId15" w:history="1">
        <w:r w:rsidRPr="008C3783">
          <w:rPr>
            <w:rStyle w:val="Hyperlink"/>
            <w:rFonts w:ascii="Arial Narrow" w:hAnsi="Arial Narrow"/>
            <w:sz w:val="18"/>
            <w:szCs w:val="18"/>
          </w:rPr>
          <w:t>http://www.ethree.com/CPUC/E3_Avoided_Costs_Final.pdf</w:t>
        </w:r>
      </w:hyperlink>
      <w:r w:rsidRPr="008C3783">
        <w:rPr>
          <w:rFonts w:ascii="Arial Narrow" w:hAnsi="Arial Narrow"/>
          <w:sz w:val="18"/>
          <w:szCs w:val="18"/>
        </w:rPr>
        <w:t xml:space="preserve"> </w:t>
      </w:r>
    </w:p>
  </w:footnote>
  <w:footnote w:id="56">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Source: </w:t>
      </w:r>
      <w:hyperlink r:id="rId16" w:history="1">
        <w:r w:rsidRPr="008C3783">
          <w:rPr>
            <w:rStyle w:val="Hyperlink"/>
            <w:rFonts w:ascii="Arial Narrow" w:hAnsi="Arial Narrow"/>
            <w:sz w:val="18"/>
            <w:szCs w:val="18"/>
          </w:rPr>
          <w:t>http://www.hydro.mb.ca/regulatory_affairs/electric/gra_2012_2013/Appendix_35.pdf</w:t>
        </w:r>
      </w:hyperlink>
      <w:r w:rsidRPr="008C3783">
        <w:rPr>
          <w:rFonts w:ascii="Arial Narrow" w:hAnsi="Arial Narrow"/>
          <w:sz w:val="18"/>
          <w:szCs w:val="18"/>
        </w:rPr>
        <w:t xml:space="preserve"> </w:t>
      </w:r>
    </w:p>
  </w:footnote>
  <w:footnote w:id="5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Source:  </w:t>
      </w:r>
      <w:hyperlink r:id="rId17" w:history="1">
        <w:r w:rsidRPr="008C3783">
          <w:rPr>
            <w:rStyle w:val="Hyperlink"/>
            <w:rFonts w:ascii="Arial Narrow" w:hAnsi="Arial Narrow"/>
            <w:sz w:val="18"/>
            <w:szCs w:val="18"/>
          </w:rPr>
          <w:t>http://www.mass.gov/eea/docs/dpu/energy-efficiency/avoided-energy-supply-costs-in-new-england/2005-avoided-energy-supply-costs-report.pdf</w:t>
        </w:r>
      </w:hyperlink>
      <w:r w:rsidRPr="008C3783">
        <w:rPr>
          <w:rFonts w:ascii="Arial Narrow" w:hAnsi="Arial Narrow"/>
          <w:sz w:val="18"/>
          <w:szCs w:val="18"/>
        </w:rPr>
        <w:t xml:space="preserve"> </w:t>
      </w:r>
    </w:p>
  </w:footnote>
  <w:footnote w:id="5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Source: </w:t>
      </w:r>
      <w:hyperlink r:id="rId18" w:history="1">
        <w:r w:rsidRPr="008C3783">
          <w:rPr>
            <w:rStyle w:val="Hyperlink"/>
            <w:rFonts w:ascii="Arial Narrow" w:hAnsi="Arial Narrow"/>
            <w:sz w:val="18"/>
            <w:szCs w:val="18"/>
          </w:rPr>
          <w:t>http://energy.pace.edu/sites/default/files/publications/11-23-Deployment-of-Distributed-Generation-for-Grid-Support-Final.pdf</w:t>
        </w:r>
      </w:hyperlink>
      <w:r w:rsidRPr="008C3783">
        <w:rPr>
          <w:rFonts w:ascii="Arial Narrow" w:hAnsi="Arial Narrow"/>
          <w:sz w:val="18"/>
          <w:szCs w:val="18"/>
        </w:rPr>
        <w:t xml:space="preserve"> </w:t>
      </w:r>
    </w:p>
  </w:footnote>
  <w:footnote w:id="5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Source: </w:t>
      </w:r>
      <w:hyperlink r:id="rId19" w:history="1">
        <w:r w:rsidRPr="008C3783">
          <w:rPr>
            <w:rStyle w:val="Hyperlink"/>
            <w:rFonts w:ascii="Arial Narrow" w:hAnsi="Arial Narrow"/>
            <w:sz w:val="18"/>
            <w:szCs w:val="18"/>
          </w:rPr>
          <w:t>http://www.synapse-energy.com/Downloads/SynapseReport.2011-07.AESC.AESC-Study-2011.11-014.pdf</w:t>
        </w:r>
      </w:hyperlink>
      <w:r w:rsidRPr="008C3783">
        <w:rPr>
          <w:rFonts w:ascii="Arial Narrow" w:hAnsi="Arial Narrow"/>
          <w:sz w:val="18"/>
          <w:szCs w:val="18"/>
        </w:rPr>
        <w:t xml:space="preserve"> </w:t>
      </w:r>
    </w:p>
  </w:footnote>
  <w:footnote w:id="6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Source: </w:t>
      </w:r>
      <w:hyperlink r:id="rId20" w:history="1">
        <w:r w:rsidRPr="008C3783">
          <w:rPr>
            <w:rStyle w:val="Hyperlink"/>
            <w:rFonts w:ascii="Arial Narrow" w:hAnsi="Arial Narrow"/>
            <w:sz w:val="18"/>
            <w:szCs w:val="18"/>
          </w:rPr>
          <w:t>http://www.rieermc.ri.gov/documents/2013%20Evaluation%20Studies/AESC%20Report%20-%20With%20Appendices%20Attached.pdf</w:t>
        </w:r>
      </w:hyperlink>
      <w:r w:rsidRPr="008C3783">
        <w:rPr>
          <w:rFonts w:ascii="Arial Narrow" w:hAnsi="Arial Narrow"/>
          <w:sz w:val="18"/>
          <w:szCs w:val="18"/>
        </w:rPr>
        <w:t xml:space="preserve"> </w:t>
      </w:r>
    </w:p>
  </w:footnote>
  <w:footnote w:id="6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EmPower Maryland 2015-2017 Cost</w:t>
      </w:r>
      <w:r>
        <w:rPr>
          <w:rFonts w:ascii="Arial Narrow" w:hAnsi="Arial Narrow"/>
          <w:sz w:val="18"/>
          <w:szCs w:val="18"/>
        </w:rPr>
        <w:t>-</w:t>
      </w:r>
      <w:r w:rsidRPr="008C3783">
        <w:rPr>
          <w:rFonts w:ascii="Arial Narrow" w:hAnsi="Arial Narrow"/>
          <w:sz w:val="18"/>
          <w:szCs w:val="18"/>
        </w:rPr>
        <w:t>Effectiveness Framework, released by the Maryland Energy Administration, August 18, 2014.</w:t>
      </w:r>
    </w:p>
  </w:footnote>
  <w:footnote w:id="6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T&amp;D Avoided Cost Study, prepared by Navigant Consulting, November 10, 2014.</w:t>
      </w:r>
    </w:p>
  </w:footnote>
  <w:footnote w:id="63">
    <w:p w:rsidR="00042FDD" w:rsidRPr="00E97EB3" w:rsidRDefault="00042FDD">
      <w:pPr>
        <w:pStyle w:val="FootnoteText"/>
        <w:rPr>
          <w:rFonts w:ascii="Arial Narrow" w:hAnsi="Arial Narrow"/>
          <w:sz w:val="18"/>
        </w:rPr>
      </w:pPr>
      <w:r w:rsidRPr="00E97EB3">
        <w:rPr>
          <w:rStyle w:val="FootnoteReference"/>
          <w:rFonts w:ascii="Arial Narrow" w:hAnsi="Arial Narrow"/>
          <w:sz w:val="18"/>
        </w:rPr>
        <w:footnoteRef/>
      </w:r>
      <w:r w:rsidRPr="00E97EB3">
        <w:rPr>
          <w:rFonts w:ascii="Arial Narrow" w:hAnsi="Arial Narrow"/>
          <w:sz w:val="18"/>
        </w:rPr>
        <w:t xml:space="preserve"> MWA is an abbreviation for Megawatt Amperes.</w:t>
      </w:r>
    </w:p>
  </w:footnote>
  <w:footnote w:id="6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Manitoba Hydro Study at page 10.</w:t>
      </w:r>
    </w:p>
  </w:footnote>
  <w:footnote w:id="6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July 2011 Synapse Study at page 6-71.</w:t>
      </w:r>
    </w:p>
  </w:footnote>
  <w:footnote w:id="66">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2013 Synapse Study at page A-10.</w:t>
      </w:r>
    </w:p>
  </w:footnote>
  <w:footnote w:id="67">
    <w:p w:rsidR="00042FDD" w:rsidRPr="008C3783" w:rsidRDefault="00042FDD" w:rsidP="008C3783">
      <w:pPr>
        <w:pStyle w:val="Comment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During early June 2014, the SWE Team worked closely with TUS staff to phrase our data request to ask EDCs for information on where new transmission or distribution lines or transformers are being constructed, or where existing lines are being upgraded. The SWE Team also conducted </w:t>
      </w:r>
      <w:r>
        <w:rPr>
          <w:rFonts w:ascii="Arial Narrow" w:hAnsi="Arial Narrow"/>
          <w:sz w:val="18"/>
          <w:szCs w:val="18"/>
        </w:rPr>
        <w:t xml:space="preserve">a </w:t>
      </w:r>
      <w:r w:rsidRPr="008C3783">
        <w:rPr>
          <w:rFonts w:ascii="Arial Narrow" w:hAnsi="Arial Narrow"/>
          <w:sz w:val="18"/>
          <w:szCs w:val="18"/>
        </w:rPr>
        <w:t>teleconference with EDC staff to better understand the amount of the planned new T&amp;D infrastructure that is needed to address load growth as opposed to reliability. The SWE Team also issued supplemental data requests as needed to collect the information needed to develop the forecast of avoided T&amp;D costs.</w:t>
      </w:r>
    </w:p>
    <w:p w:rsidR="00042FDD" w:rsidRPr="008C3783" w:rsidRDefault="00042FDD" w:rsidP="008C3783">
      <w:pPr>
        <w:pStyle w:val="FootnoteText"/>
        <w:jc w:val="left"/>
        <w:rPr>
          <w:rFonts w:ascii="Arial Narrow" w:hAnsi="Arial Narrow"/>
          <w:sz w:val="18"/>
          <w:szCs w:val="18"/>
        </w:rPr>
      </w:pPr>
    </w:p>
  </w:footnote>
  <w:footnote w:id="6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See 66 Pa. C.S. § 2806.1(d).</w:t>
      </w:r>
    </w:p>
  </w:footnote>
  <w:footnote w:id="6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21" w:history="1">
        <w:r w:rsidRPr="008C3783">
          <w:rPr>
            <w:rStyle w:val="Hyperlink"/>
            <w:rFonts w:ascii="Arial Narrow" w:hAnsi="Arial Narrow"/>
            <w:sz w:val="18"/>
            <w:szCs w:val="18"/>
          </w:rPr>
          <w:t>http://www.puc.pa.gov/pcdocs/1256728.docx</w:t>
        </w:r>
      </w:hyperlink>
    </w:p>
  </w:footnote>
  <w:footnote w:id="7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Duquesne response to 6/12/2014 Demand Response Study Data Request, Request #2</w:t>
      </w:r>
    </w:p>
  </w:footnote>
  <w:footnote w:id="71">
    <w:p w:rsidR="00042FDD" w:rsidRPr="00554444" w:rsidRDefault="00042FDD" w:rsidP="008C3783">
      <w:pPr>
        <w:pStyle w:val="FootnoteText"/>
        <w:jc w:val="left"/>
        <w:rPr>
          <w:rFonts w:ascii="Arial Narrow" w:hAnsi="Arial Narrow"/>
          <w:sz w:val="18"/>
          <w:szCs w:val="18"/>
        </w:rPr>
      </w:pPr>
      <w:r w:rsidRPr="00554444">
        <w:rPr>
          <w:rStyle w:val="FootnoteReference"/>
          <w:rFonts w:ascii="Arial Narrow" w:hAnsi="Arial Narrow"/>
          <w:sz w:val="18"/>
          <w:szCs w:val="18"/>
        </w:rPr>
        <w:footnoteRef/>
      </w:r>
      <w:r w:rsidRPr="00554444">
        <w:rPr>
          <w:rFonts w:ascii="Arial Narrow" w:hAnsi="Arial Narrow"/>
          <w:sz w:val="18"/>
          <w:szCs w:val="18"/>
        </w:rPr>
        <w:t xml:space="preserve"> Duquesne response to 6/12/2014 SWE Demand Response Study Data Request, Request #9</w:t>
      </w:r>
    </w:p>
  </w:footnote>
  <w:footnote w:id="72">
    <w:p w:rsidR="00042FDD" w:rsidRPr="00F46D54" w:rsidRDefault="00042FDD" w:rsidP="008C3783">
      <w:pPr>
        <w:pStyle w:val="FootnoteText"/>
        <w:jc w:val="left"/>
        <w:rPr>
          <w:rFonts w:ascii="Arial Narrow" w:hAnsi="Arial Narrow"/>
          <w:sz w:val="18"/>
          <w:szCs w:val="18"/>
        </w:rPr>
      </w:pPr>
      <w:r w:rsidRPr="00554444">
        <w:rPr>
          <w:rStyle w:val="FootnoteReference"/>
          <w:rFonts w:ascii="Arial Narrow" w:hAnsi="Arial Narrow"/>
          <w:sz w:val="18"/>
          <w:szCs w:val="18"/>
        </w:rPr>
        <w:footnoteRef/>
      </w:r>
      <w:r w:rsidRPr="00554444">
        <w:rPr>
          <w:rFonts w:ascii="Arial Narrow" w:hAnsi="Arial Narrow"/>
          <w:sz w:val="18"/>
          <w:szCs w:val="18"/>
        </w:rPr>
        <w:t xml:space="preserve"> </w:t>
      </w:r>
      <w:r w:rsidRPr="00F46D54">
        <w:rPr>
          <w:rFonts w:ascii="Arial Narrow" w:hAnsi="Arial Narrow"/>
          <w:sz w:val="18"/>
          <w:szCs w:val="18"/>
        </w:rPr>
        <w:t xml:space="preserve">Duquesne’s response to the SWE Supplemental DR Study data request states that “As a result of the DR residential program run in </w:t>
      </w:r>
      <w:r>
        <w:rPr>
          <w:rFonts w:ascii="Arial Narrow" w:hAnsi="Arial Narrow"/>
          <w:sz w:val="18"/>
          <w:szCs w:val="18"/>
        </w:rPr>
        <w:t>Phase I</w:t>
      </w:r>
      <w:r w:rsidRPr="00F46D54">
        <w:rPr>
          <w:rFonts w:ascii="Arial Narrow" w:hAnsi="Arial Narrow"/>
          <w:sz w:val="18"/>
          <w:szCs w:val="18"/>
        </w:rPr>
        <w:t xml:space="preserve"> EE&amp;C, Duquesne Light owns the installed control switches for residential air conditioning units”.</w:t>
      </w:r>
    </w:p>
  </w:footnote>
  <w:footnote w:id="7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See </w:t>
      </w:r>
      <w:hyperlink r:id="rId22" w:history="1">
        <w:r w:rsidRPr="008C3783">
          <w:rPr>
            <w:rStyle w:val="Hyperlink"/>
            <w:rFonts w:ascii="Arial Narrow" w:hAnsi="Arial Narrow"/>
            <w:sz w:val="18"/>
            <w:szCs w:val="18"/>
          </w:rPr>
          <w:t>https://www.duquesnelight.com/WattChoices/default.cfm</w:t>
        </w:r>
      </w:hyperlink>
    </w:p>
  </w:footnote>
  <w:footnote w:id="7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t>3</w:t>
      </w:r>
      <w:r w:rsidRPr="008C3783">
        <w:rPr>
          <w:rFonts w:ascii="Arial Narrow" w:hAnsi="Arial Narrow"/>
          <w:sz w:val="18"/>
          <w:szCs w:val="18"/>
        </w:rPr>
        <w:t xml:space="preserve"> Duquesne Final Phase I Annual Report, page 77</w:t>
      </w:r>
    </w:p>
  </w:footnote>
  <w:footnote w:id="7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Duquesne Final Phase I Annual Report, page 75</w:t>
      </w:r>
    </w:p>
  </w:footnote>
  <w:footnote w:id="76">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Duquesne response to 6/12/2014 DR Study Data Request, Request #18</w:t>
      </w:r>
    </w:p>
  </w:footnote>
  <w:footnote w:id="7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Duquesne Final Phase I Annual Report, page 9</w:t>
      </w:r>
    </w:p>
  </w:footnote>
  <w:footnote w:id="7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response to 6/12/2014 Demand Response Study Data Request, Request #2</w:t>
      </w:r>
    </w:p>
  </w:footnote>
  <w:footnote w:id="7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response to 6/12/2014 SWE Demand Response Study Data Request, Request #9</w:t>
      </w:r>
    </w:p>
  </w:footnote>
  <w:footnote w:id="8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PA EDC Response to SWE Supplemental Data Request, request #7</w:t>
      </w:r>
    </w:p>
  </w:footnote>
  <w:footnote w:id="8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Met Ed Final </w:t>
      </w:r>
      <w:r>
        <w:rPr>
          <w:rFonts w:ascii="Arial Narrow" w:hAnsi="Arial Narrow"/>
          <w:sz w:val="18"/>
          <w:szCs w:val="18"/>
        </w:rPr>
        <w:t>Phase I</w:t>
      </w:r>
      <w:r w:rsidRPr="008C3783">
        <w:rPr>
          <w:rFonts w:ascii="Arial Narrow" w:hAnsi="Arial Narrow"/>
          <w:sz w:val="18"/>
          <w:szCs w:val="18"/>
        </w:rPr>
        <w:t xml:space="preserve"> Annual Report, page 38</w:t>
      </w:r>
    </w:p>
  </w:footnote>
  <w:footnote w:id="8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Met Ed Final </w:t>
      </w:r>
      <w:r>
        <w:rPr>
          <w:rFonts w:ascii="Arial Narrow" w:hAnsi="Arial Narrow"/>
          <w:sz w:val="18"/>
          <w:szCs w:val="18"/>
        </w:rPr>
        <w:t>Phase I</w:t>
      </w:r>
      <w:r w:rsidRPr="008C3783">
        <w:rPr>
          <w:rFonts w:ascii="Arial Narrow" w:hAnsi="Arial Narrow"/>
          <w:sz w:val="18"/>
          <w:szCs w:val="18"/>
        </w:rPr>
        <w:t xml:space="preserve"> Annual Report, page 38</w:t>
      </w:r>
    </w:p>
  </w:footnote>
  <w:footnote w:id="8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PA EDC Response to SWE Supplemental Data Request, request #6</w:t>
      </w:r>
    </w:p>
  </w:footnote>
  <w:footnote w:id="8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Met Ed Final </w:t>
      </w:r>
      <w:r>
        <w:rPr>
          <w:rFonts w:ascii="Arial Narrow" w:hAnsi="Arial Narrow"/>
          <w:sz w:val="18"/>
          <w:szCs w:val="18"/>
        </w:rPr>
        <w:t>Phase I</w:t>
      </w:r>
      <w:r w:rsidRPr="008C3783">
        <w:rPr>
          <w:rFonts w:ascii="Arial Narrow" w:hAnsi="Arial Narrow"/>
          <w:sz w:val="18"/>
          <w:szCs w:val="18"/>
        </w:rPr>
        <w:t xml:space="preserve"> Annual Report, page 11</w:t>
      </w:r>
    </w:p>
  </w:footnote>
  <w:footnote w:id="85">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response to 6/12/2014 Demand Response Study Data Request, Request #2</w:t>
      </w:r>
    </w:p>
  </w:footnote>
  <w:footnote w:id="86">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response to 6/12/2014 SWE Demand Response Study Data Request, Request #9</w:t>
      </w:r>
    </w:p>
  </w:footnote>
  <w:footnote w:id="87">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response to 6/12/2014 DR Study Data Request, Request #2</w:t>
      </w:r>
    </w:p>
  </w:footnote>
  <w:footnote w:id="88">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response to 6/12/2014 SWE DR Study Data Request, Request #9</w:t>
      </w:r>
    </w:p>
  </w:footnote>
  <w:footnote w:id="89">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PA EDC Response to SWE Supplemental Data Request, request #7</w:t>
      </w:r>
    </w:p>
  </w:footnote>
  <w:footnote w:id="90">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PP Final </w:t>
      </w:r>
      <w:r>
        <w:rPr>
          <w:rFonts w:ascii="Arial Narrow" w:hAnsi="Arial Narrow"/>
          <w:sz w:val="18"/>
          <w:szCs w:val="18"/>
        </w:rPr>
        <w:t>Phase I</w:t>
      </w:r>
      <w:r w:rsidRPr="008C3783">
        <w:rPr>
          <w:rFonts w:ascii="Arial Narrow" w:hAnsi="Arial Narrow"/>
          <w:sz w:val="18"/>
          <w:szCs w:val="18"/>
        </w:rPr>
        <w:t xml:space="preserve"> Annual Report, page 35</w:t>
      </w:r>
    </w:p>
  </w:footnote>
  <w:footnote w:id="91">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PP Final </w:t>
      </w:r>
      <w:r>
        <w:rPr>
          <w:rFonts w:ascii="Arial Narrow" w:hAnsi="Arial Narrow"/>
          <w:sz w:val="18"/>
          <w:szCs w:val="18"/>
        </w:rPr>
        <w:t>Phase I</w:t>
      </w:r>
      <w:r w:rsidRPr="008C3783">
        <w:rPr>
          <w:rFonts w:ascii="Arial Narrow" w:hAnsi="Arial Narrow"/>
          <w:sz w:val="18"/>
          <w:szCs w:val="18"/>
        </w:rPr>
        <w:t xml:space="preserve"> Annual Report, page 35</w:t>
      </w:r>
    </w:p>
  </w:footnote>
  <w:footnote w:id="92">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FE PA EDC Response to SWE Supplemental Data Request, request #6</w:t>
      </w:r>
    </w:p>
  </w:footnote>
  <w:footnote w:id="93">
    <w:p w:rsidR="00042FDD" w:rsidRPr="008C3783" w:rsidRDefault="00042FDD" w:rsidP="00E954EC">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PP Final </w:t>
      </w:r>
      <w:r>
        <w:rPr>
          <w:rFonts w:ascii="Arial Narrow" w:hAnsi="Arial Narrow"/>
          <w:sz w:val="18"/>
          <w:szCs w:val="18"/>
        </w:rPr>
        <w:t>Phase I</w:t>
      </w:r>
      <w:r w:rsidRPr="008C3783">
        <w:rPr>
          <w:rFonts w:ascii="Arial Narrow" w:hAnsi="Arial Narrow"/>
          <w:sz w:val="18"/>
          <w:szCs w:val="18"/>
        </w:rPr>
        <w:t xml:space="preserve"> Annual Report, page 11</w:t>
      </w:r>
    </w:p>
  </w:footnote>
  <w:footnote w:id="9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response to 6/12/2014 DR Study Data Request, Request #2</w:t>
      </w:r>
    </w:p>
  </w:footnote>
  <w:footnote w:id="9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response to 6/12/2014 SWE DR Study Data Request, Request #9</w:t>
      </w:r>
    </w:p>
  </w:footnote>
  <w:footnote w:id="96">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respon</w:t>
      </w:r>
      <w:r>
        <w:rPr>
          <w:rFonts w:ascii="Arial Narrow" w:hAnsi="Arial Narrow"/>
          <w:sz w:val="18"/>
          <w:szCs w:val="18"/>
        </w:rPr>
        <w:t>se</w:t>
      </w:r>
      <w:r w:rsidRPr="008C3783">
        <w:rPr>
          <w:rFonts w:ascii="Arial Narrow" w:hAnsi="Arial Narrow"/>
          <w:sz w:val="18"/>
          <w:szCs w:val="18"/>
        </w:rPr>
        <w:t xml:space="preserve"> to SWE Supplemental Data Response Data Request, Request #7a</w:t>
      </w:r>
    </w:p>
  </w:footnote>
  <w:footnote w:id="9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Final Annual Report PY4, page 155</w:t>
      </w:r>
    </w:p>
  </w:footnote>
  <w:footnote w:id="9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Final Annual Report PY4, page 158</w:t>
      </w:r>
    </w:p>
  </w:footnote>
  <w:footnote w:id="9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response to 6/12/2014 DR Study Data Request, Request #9</w:t>
      </w:r>
    </w:p>
  </w:footnote>
  <w:footnote w:id="10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PECO Final Annual Report PY4, page 149</w:t>
      </w:r>
    </w:p>
  </w:footnote>
  <w:footnote w:id="10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hyperlink r:id="rId23" w:history="1">
        <w:r w:rsidRPr="008C3783">
          <w:rPr>
            <w:rStyle w:val="Hyperlink"/>
            <w:rFonts w:ascii="Arial Narrow" w:hAnsi="Arial Narrow"/>
            <w:sz w:val="18"/>
            <w:szCs w:val="18"/>
          </w:rPr>
          <w:t>https://www.peco.com/CustomerService/RatesandPricing/RateInformation/Documents/PDF/New%20Filings/PECO%20Act%20129%20PY4%20Annual%20Report%20Fin%2011%2015%202013.pdf</w:t>
        </w:r>
      </w:hyperlink>
      <w:r w:rsidRPr="008C3783">
        <w:rPr>
          <w:rFonts w:ascii="Arial Narrow" w:hAnsi="Arial Narrow"/>
          <w:sz w:val="18"/>
          <w:szCs w:val="18"/>
        </w:rPr>
        <w:t xml:space="preserve"> </w:t>
      </w:r>
    </w:p>
  </w:footnote>
  <w:footnote w:id="10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PPL response to 6/12/2014 DR Study Data Request, Request #2</w:t>
      </w:r>
    </w:p>
  </w:footnote>
  <w:footnote w:id="10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PPL response to 6/12/2014 SWE DR Study Data Request, Request #9</w:t>
      </w:r>
    </w:p>
  </w:footnote>
  <w:footnote w:id="104">
    <w:p w:rsidR="00042FDD" w:rsidRPr="00433CF8" w:rsidRDefault="00042FDD" w:rsidP="00433CF8">
      <w:pPr>
        <w:pStyle w:val="FootnoteText"/>
        <w:jc w:val="left"/>
        <w:rPr>
          <w:rFonts w:ascii="Arial Narrow" w:hAnsi="Arial Narrow"/>
          <w:sz w:val="18"/>
        </w:rPr>
      </w:pPr>
      <w:r w:rsidRPr="00433CF8">
        <w:rPr>
          <w:rStyle w:val="FootnoteReference"/>
          <w:rFonts w:ascii="Arial Narrow" w:hAnsi="Arial Narrow"/>
          <w:sz w:val="18"/>
        </w:rPr>
        <w:footnoteRef/>
      </w:r>
      <w:r w:rsidRPr="00433CF8">
        <w:rPr>
          <w:rFonts w:ascii="Arial Narrow" w:hAnsi="Arial Narrow"/>
          <w:sz w:val="18"/>
        </w:rPr>
        <w:t xml:space="preserve"> </w:t>
      </w:r>
      <w:hyperlink r:id="rId24" w:history="1">
        <w:r w:rsidRPr="00433CF8">
          <w:rPr>
            <w:rStyle w:val="Hyperlink"/>
            <w:rFonts w:ascii="Arial Narrow" w:hAnsi="Arial Narrow"/>
            <w:sz w:val="18"/>
          </w:rPr>
          <w:t>https://www.epowerpeaksaver.com/</w:t>
        </w:r>
      </w:hyperlink>
    </w:p>
  </w:footnote>
  <w:footnote w:id="10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t>39</w:t>
      </w:r>
      <w:r w:rsidRPr="008C3783">
        <w:rPr>
          <w:rFonts w:ascii="Arial Narrow" w:hAnsi="Arial Narrow"/>
          <w:sz w:val="18"/>
          <w:szCs w:val="18"/>
        </w:rPr>
        <w:t xml:space="preserve"> PPL Final Phase I Annual Report, page 133</w:t>
      </w:r>
    </w:p>
  </w:footnote>
  <w:footnote w:id="106">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t>40</w:t>
      </w:r>
      <w:r w:rsidRPr="008C3783">
        <w:rPr>
          <w:rFonts w:ascii="Arial Narrow" w:hAnsi="Arial Narrow"/>
          <w:sz w:val="18"/>
          <w:szCs w:val="18"/>
        </w:rPr>
        <w:t xml:space="preserve"> PPL response to 6/12/2014 DR Study Data Request, Request #18</w:t>
      </w:r>
    </w:p>
  </w:footnote>
  <w:footnote w:id="10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PPL Final Phase I Annual Report, page 3</w:t>
      </w:r>
    </w:p>
  </w:footnote>
  <w:footnote w:id="10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t>42</w:t>
      </w:r>
      <w:r w:rsidRPr="008C3783">
        <w:rPr>
          <w:rFonts w:ascii="Arial Narrow" w:hAnsi="Arial Narrow"/>
          <w:sz w:val="18"/>
          <w:szCs w:val="18"/>
        </w:rPr>
        <w:t xml:space="preserve"> PPL response to SWE 6/12/2014 DR Study Data Request, request #4.</w:t>
      </w:r>
    </w:p>
  </w:footnote>
  <w:footnote w:id="109">
    <w:p w:rsidR="00042FDD" w:rsidRPr="008C3783" w:rsidRDefault="00042FDD" w:rsidP="00554444">
      <w:pPr>
        <w:pStyle w:val="Comment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r w:rsidRPr="008C3783">
        <w:rPr>
          <w:rFonts w:ascii="Arial Narrow" w:hAnsi="Arial Narrow" w:cs="Courier New"/>
          <w:sz w:val="18"/>
          <w:szCs w:val="18"/>
        </w:rPr>
        <w:t>Pennsylvania Act 129, enacted in 2008, states that “The total cost of any plan required under this section shall not exceed 2% of the electric distribution company’s total annual revenue as of December 31, 2006”.</w:t>
      </w:r>
      <w:r w:rsidRPr="008C3783">
        <w:rPr>
          <w:rFonts w:ascii="Arial Narrow" w:hAnsi="Arial Narrow"/>
          <w:sz w:val="18"/>
          <w:szCs w:val="18"/>
        </w:rPr>
        <w:t xml:space="preserve"> See 66 Pa. C.S. </w:t>
      </w:r>
      <w:r w:rsidRPr="008C3783">
        <w:rPr>
          <w:rFonts w:ascii="Arial Narrow" w:hAnsi="Arial Narrow" w:cstheme="minorHAnsi"/>
          <w:sz w:val="18"/>
          <w:szCs w:val="18"/>
        </w:rPr>
        <w:t>§</w:t>
      </w:r>
      <w:r w:rsidRPr="008C3783">
        <w:rPr>
          <w:rFonts w:ascii="Arial Narrow" w:hAnsi="Arial Narrow"/>
          <w:sz w:val="18"/>
          <w:szCs w:val="18"/>
        </w:rPr>
        <w:t xml:space="preserve"> 2806.1(g)</w:t>
      </w:r>
    </w:p>
  </w:footnote>
  <w:footnote w:id="110">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The data source for the long-term (2014 to 2034) general rate of US inflation was the </w:t>
      </w:r>
      <w:r w:rsidRPr="00554444">
        <w:rPr>
          <w:rFonts w:ascii="Arial Narrow" w:hAnsi="Arial Narrow"/>
          <w:bCs/>
          <w:sz w:val="18"/>
          <w:szCs w:val="18"/>
          <w:u w:val="single"/>
        </w:rPr>
        <w:t>US Energy Information Administration</w:t>
      </w:r>
      <w:r w:rsidRPr="008C3783">
        <w:rPr>
          <w:rFonts w:ascii="Arial Narrow" w:hAnsi="Arial Narrow"/>
          <w:sz w:val="18"/>
          <w:szCs w:val="18"/>
        </w:rPr>
        <w:t xml:space="preserve"> 2014 Annual Energy Outlook data table titled “ Macroeconomic Indicators”, from the Reference Case provided in Excel row 21. The price index used was the US Gross Domestic Product Price Index. The 1.74% annual rate of inflation was calculated by the Study Team from the forecast provided in this Table.</w:t>
      </w:r>
    </w:p>
    <w:p w:rsidR="00042FDD" w:rsidRPr="008C3783" w:rsidRDefault="00042FDD" w:rsidP="008C3783">
      <w:pPr>
        <w:pStyle w:val="FootnoteText"/>
        <w:jc w:val="left"/>
        <w:rPr>
          <w:rFonts w:ascii="Arial Narrow" w:hAnsi="Arial Narrow"/>
          <w:sz w:val="18"/>
          <w:szCs w:val="18"/>
        </w:rPr>
      </w:pPr>
    </w:p>
  </w:footnote>
  <w:footnote w:id="11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25" w:history="1">
        <w:r w:rsidRPr="008C3783">
          <w:rPr>
            <w:rStyle w:val="Hyperlink"/>
            <w:rFonts w:ascii="Arial Narrow" w:hAnsi="Arial Narrow"/>
            <w:sz w:val="18"/>
            <w:szCs w:val="18"/>
          </w:rPr>
          <w:t>http://www.puc.state.pa.us/Electric/pdf/Act129/SWE-2014_PA_Statewide_Act129_Non-Residential_EndUse_Saturation_Study.pdf</w:t>
        </w:r>
      </w:hyperlink>
      <w:r w:rsidRPr="008C3783">
        <w:rPr>
          <w:rFonts w:ascii="Arial Narrow" w:hAnsi="Arial Narrow"/>
          <w:sz w:val="18"/>
          <w:szCs w:val="18"/>
        </w:rPr>
        <w:t xml:space="preserve">  Table 4-</w:t>
      </w:r>
      <w:r w:rsidRPr="008C3783">
        <w:rPr>
          <w:rFonts w:ascii="Arial Narrow" w:hAnsi="Arial Narrow"/>
          <w:sz w:val="18"/>
          <w:szCs w:val="18"/>
          <w:vertAlign w:val="superscript"/>
        </w:rPr>
        <w:t>16</w:t>
      </w:r>
      <w:r w:rsidRPr="008C3783">
        <w:rPr>
          <w:rFonts w:ascii="Arial Narrow" w:hAnsi="Arial Narrow"/>
          <w:sz w:val="18"/>
          <w:szCs w:val="18"/>
        </w:rPr>
        <w:t xml:space="preserve"> DX Cooling Parameters. Page 58.</w:t>
      </w:r>
    </w:p>
  </w:footnote>
  <w:footnote w:id="11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This assumed duty cycle is higher than the coincidence factor (CF) values in the 2015 Pennsylvania TRM for most building types. The weather sensitivity filters applied to EDC customer databases should ensure that the eligible customers for the small commercial DLC program have above average cooling tendencies.</w:t>
      </w:r>
    </w:p>
  </w:footnote>
  <w:footnote w:id="11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http://www.cpuc.ca.gov/PUC/energy/Demand+Response/Cost-Effectiveness.htm</w:t>
      </w:r>
    </w:p>
  </w:footnote>
  <w:footnote w:id="114">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Final Order entered February 20, 2014, </w:t>
      </w:r>
      <w:hyperlink r:id="rId26"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115">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Final Order entered February 20, 2014, </w:t>
      </w:r>
      <w:hyperlink r:id="rId27"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116">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This value represents additional cost/fees for a commercial component. The residential DLC program is assumed to carry most of the fixed program costs.</w:t>
      </w:r>
    </w:p>
  </w:footnote>
  <w:footnote w:id="11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A qualified account is defined as a site with a summer </w:t>
      </w:r>
      <w:r>
        <w:rPr>
          <w:rFonts w:ascii="Arial Narrow" w:hAnsi="Arial Narrow"/>
          <w:sz w:val="18"/>
          <w:szCs w:val="18"/>
        </w:rPr>
        <w:t>PLC</w:t>
      </w:r>
      <w:r w:rsidRPr="008C3783">
        <w:rPr>
          <w:rFonts w:ascii="Arial Narrow" w:hAnsi="Arial Narrow"/>
          <w:sz w:val="18"/>
          <w:szCs w:val="18"/>
        </w:rPr>
        <w:t xml:space="preserve"> between 5 kW and 75 kW that is weather sensitive (electric consumption increases during hot weather).</w:t>
      </w:r>
    </w:p>
  </w:footnote>
  <w:footnote w:id="118">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28"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11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California utilities are required to estimate the reductions attained for each event given the conditions during the event and share of resources dispatched. </w:t>
      </w:r>
    </w:p>
  </w:footnote>
  <w:footnote w:id="120">
    <w:p w:rsidR="00042FDD" w:rsidRPr="008C3783" w:rsidRDefault="00042FDD" w:rsidP="008C3783">
      <w:pPr>
        <w:pStyle w:val="FootnoteText"/>
        <w:jc w:val="left"/>
        <w:rPr>
          <w:rFonts w:ascii="Arial Narrow" w:hAnsi="Arial Narrow"/>
          <w:i/>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Braithwait, Hansen, and Armstrong, </w:t>
      </w:r>
      <w:r w:rsidRPr="008C3783">
        <w:rPr>
          <w:rFonts w:ascii="Arial Narrow" w:hAnsi="Arial Narrow"/>
          <w:i/>
          <w:sz w:val="18"/>
          <w:szCs w:val="18"/>
        </w:rPr>
        <w:t xml:space="preserve">2012 Statewide Load Impact Evaluation of California's Aggregator DR Programs Volume 1: </w:t>
      </w:r>
      <w:r w:rsidRPr="008B670F">
        <w:rPr>
          <w:rFonts w:ascii="Arial Narrow" w:hAnsi="Arial Narrow"/>
          <w:i/>
          <w:sz w:val="18"/>
          <w:szCs w:val="18"/>
        </w:rPr>
        <w:t>Ex Post</w:t>
      </w:r>
      <w:r w:rsidRPr="008C3783">
        <w:rPr>
          <w:rFonts w:ascii="Arial Narrow" w:hAnsi="Arial Narrow"/>
          <w:i/>
          <w:sz w:val="18"/>
          <w:szCs w:val="18"/>
        </w:rPr>
        <w:t xml:space="preserve"> and </w:t>
      </w:r>
      <w:r w:rsidRPr="008B670F">
        <w:rPr>
          <w:rFonts w:ascii="Arial Narrow" w:hAnsi="Arial Narrow"/>
          <w:i/>
          <w:sz w:val="18"/>
          <w:szCs w:val="18"/>
        </w:rPr>
        <w:t>Ex Ante</w:t>
      </w:r>
      <w:r w:rsidRPr="008C3783">
        <w:rPr>
          <w:rFonts w:ascii="Arial Narrow" w:hAnsi="Arial Narrow"/>
          <w:i/>
          <w:sz w:val="18"/>
          <w:szCs w:val="18"/>
        </w:rPr>
        <w:t xml:space="preserve"> Results</w:t>
      </w:r>
    </w:p>
  </w:footnote>
  <w:footnote w:id="121">
    <w:p w:rsidR="00042FDD" w:rsidRPr="008B670F"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r w:rsidRPr="008B670F">
        <w:rPr>
          <w:rFonts w:ascii="Arial Narrow" w:hAnsi="Arial Narrow"/>
          <w:sz w:val="18"/>
          <w:szCs w:val="18"/>
        </w:rPr>
        <w:t>Ibid</w:t>
      </w:r>
    </w:p>
  </w:footnote>
  <w:footnote w:id="12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PG&amp;E CBP Program: </w:t>
      </w:r>
      <w:hyperlink r:id="rId29" w:history="1">
        <w:r w:rsidRPr="008C3783">
          <w:rPr>
            <w:rStyle w:val="Hyperlink"/>
            <w:rFonts w:ascii="Arial Narrow" w:hAnsi="Arial Narrow"/>
            <w:sz w:val="18"/>
            <w:szCs w:val="18"/>
          </w:rPr>
          <w:t>http://www.pge.com/tariffs/tm2/pdf/ELEC_SCHEDS_E-CBP.pdf</w:t>
        </w:r>
      </w:hyperlink>
      <w:r w:rsidRPr="008C3783">
        <w:rPr>
          <w:rFonts w:ascii="Arial Narrow" w:hAnsi="Arial Narrow"/>
          <w:sz w:val="18"/>
          <w:szCs w:val="18"/>
        </w:rPr>
        <w:t xml:space="preserve">; SCE CBP Program: </w:t>
      </w:r>
      <w:hyperlink r:id="rId30" w:history="1">
        <w:r w:rsidRPr="008C3783">
          <w:rPr>
            <w:rStyle w:val="Hyperlink"/>
            <w:rFonts w:ascii="Arial Narrow" w:hAnsi="Arial Narrow"/>
            <w:sz w:val="18"/>
            <w:szCs w:val="18"/>
          </w:rPr>
          <w:t>https://www.sce.com/NR/sc3/tm2/pdf/ce293.pdf</w:t>
        </w:r>
      </w:hyperlink>
      <w:r w:rsidRPr="008C3783">
        <w:rPr>
          <w:rFonts w:ascii="Arial Narrow" w:hAnsi="Arial Narrow"/>
          <w:sz w:val="18"/>
          <w:szCs w:val="18"/>
        </w:rPr>
        <w:t xml:space="preserve">; SDG&amp;E CBP Program: </w:t>
      </w:r>
      <w:hyperlink r:id="rId31" w:history="1">
        <w:r w:rsidRPr="008C3783">
          <w:rPr>
            <w:rStyle w:val="Hyperlink"/>
            <w:rFonts w:ascii="Arial Narrow" w:hAnsi="Arial Narrow"/>
            <w:sz w:val="18"/>
            <w:szCs w:val="18"/>
          </w:rPr>
          <w:t>https://www.sdge.com/sites/default/files/documents/1557147468/Capacity%20Bidding%20Program%20Tariff.pdf</w:t>
        </w:r>
      </w:hyperlink>
      <w:r w:rsidRPr="008C3783">
        <w:rPr>
          <w:rFonts w:ascii="Arial Narrow" w:hAnsi="Arial Narrow"/>
          <w:sz w:val="18"/>
          <w:szCs w:val="18"/>
        </w:rPr>
        <w:t xml:space="preserve"> </w:t>
      </w:r>
    </w:p>
  </w:footnote>
  <w:footnote w:id="123">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George, Schellenberg, Savage, </w:t>
      </w:r>
      <w:r w:rsidRPr="008C3783">
        <w:rPr>
          <w:rFonts w:ascii="Arial Narrow" w:hAnsi="Arial Narrow"/>
          <w:i/>
          <w:sz w:val="18"/>
          <w:szCs w:val="18"/>
        </w:rPr>
        <w:t>2012 Load Impact Evaluation of California's Statewide Base Interruptible Program</w:t>
      </w:r>
    </w:p>
  </w:footnote>
  <w:footnote w:id="12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PG&amp;E BIP Program: </w:t>
      </w:r>
      <w:hyperlink r:id="rId32" w:history="1">
        <w:r w:rsidRPr="008C3783">
          <w:rPr>
            <w:rStyle w:val="Hyperlink"/>
            <w:rFonts w:ascii="Arial Narrow" w:hAnsi="Arial Narrow"/>
            <w:sz w:val="18"/>
            <w:szCs w:val="18"/>
          </w:rPr>
          <w:t>http://www.pge.com/mybusiness/energysavingsrebates/demandresponse/baseinterruptible/</w:t>
        </w:r>
      </w:hyperlink>
      <w:r w:rsidRPr="008C3783">
        <w:rPr>
          <w:rFonts w:ascii="Arial Narrow" w:hAnsi="Arial Narrow"/>
          <w:sz w:val="18"/>
          <w:szCs w:val="18"/>
        </w:rPr>
        <w:t xml:space="preserve">; SCE BIP Program: </w:t>
      </w:r>
      <w:hyperlink r:id="rId33" w:history="1">
        <w:r w:rsidRPr="008C3783">
          <w:rPr>
            <w:rStyle w:val="Hyperlink"/>
            <w:rFonts w:ascii="Arial Narrow" w:hAnsi="Arial Narrow"/>
            <w:sz w:val="18"/>
            <w:szCs w:val="18"/>
          </w:rPr>
          <w:t>https://www.sce.com/NR/sc3/tm2/pdf/CE195-12.pdf</w:t>
        </w:r>
      </w:hyperlink>
      <w:r w:rsidRPr="008C3783">
        <w:rPr>
          <w:rFonts w:ascii="Arial Narrow" w:hAnsi="Arial Narrow"/>
          <w:sz w:val="18"/>
          <w:szCs w:val="18"/>
        </w:rPr>
        <w:t xml:space="preserve"> </w:t>
      </w:r>
    </w:p>
  </w:footnote>
  <w:footnote w:id="12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Hansen , Braithwait, and Armstrong, </w:t>
      </w:r>
      <w:r w:rsidRPr="008C3783">
        <w:rPr>
          <w:rFonts w:ascii="Arial Narrow" w:hAnsi="Arial Narrow"/>
          <w:i/>
          <w:sz w:val="18"/>
          <w:szCs w:val="18"/>
        </w:rPr>
        <w:t xml:space="preserve">2012 Load Impact Evaluation of California Statewide Demand Bidding Programs (DBP) for Non-Residential Customers: </w:t>
      </w:r>
      <w:r w:rsidRPr="008B670F">
        <w:rPr>
          <w:rFonts w:ascii="Arial Narrow" w:hAnsi="Arial Narrow"/>
          <w:i/>
          <w:sz w:val="18"/>
          <w:szCs w:val="18"/>
        </w:rPr>
        <w:t>Ex Post</w:t>
      </w:r>
      <w:r w:rsidRPr="008C3783">
        <w:rPr>
          <w:rFonts w:ascii="Arial Narrow" w:hAnsi="Arial Narrow"/>
          <w:i/>
          <w:sz w:val="18"/>
          <w:szCs w:val="18"/>
        </w:rPr>
        <w:t xml:space="preserve"> and </w:t>
      </w:r>
      <w:r w:rsidRPr="008B670F">
        <w:rPr>
          <w:rFonts w:ascii="Arial Narrow" w:hAnsi="Arial Narrow"/>
          <w:i/>
          <w:sz w:val="18"/>
          <w:szCs w:val="18"/>
        </w:rPr>
        <w:t>Ex Ante</w:t>
      </w:r>
      <w:r w:rsidRPr="008C3783">
        <w:rPr>
          <w:rFonts w:ascii="Arial Narrow" w:hAnsi="Arial Narrow"/>
          <w:i/>
          <w:sz w:val="18"/>
          <w:szCs w:val="18"/>
        </w:rPr>
        <w:t xml:space="preserve"> Report</w:t>
      </w:r>
    </w:p>
  </w:footnote>
  <w:footnote w:id="126">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PG&amp;E DBP Program: </w:t>
      </w:r>
      <w:hyperlink r:id="rId34" w:history="1">
        <w:r w:rsidRPr="008C3783">
          <w:rPr>
            <w:rStyle w:val="Hyperlink"/>
            <w:rFonts w:ascii="Arial Narrow" w:hAnsi="Arial Narrow"/>
            <w:sz w:val="18"/>
            <w:szCs w:val="18"/>
          </w:rPr>
          <w:t>http://www.pge.com/mybusiness/energysavingsrebates/demandresponse/dbp/</w:t>
        </w:r>
      </w:hyperlink>
      <w:r w:rsidRPr="008C3783">
        <w:rPr>
          <w:rFonts w:ascii="Arial Narrow" w:hAnsi="Arial Narrow"/>
          <w:sz w:val="18"/>
          <w:szCs w:val="18"/>
        </w:rPr>
        <w:t xml:space="preserve">; SCE DBP Program: </w:t>
      </w:r>
      <w:hyperlink r:id="rId35" w:history="1">
        <w:r w:rsidRPr="008C3783">
          <w:rPr>
            <w:rStyle w:val="Hyperlink"/>
            <w:rFonts w:ascii="Arial Narrow" w:hAnsi="Arial Narrow"/>
            <w:sz w:val="18"/>
            <w:szCs w:val="18"/>
          </w:rPr>
          <w:t>https://www.sce.com/NR/sc3/tm2/pdf/ce185.pdf</w:t>
        </w:r>
      </w:hyperlink>
      <w:r w:rsidRPr="008C3783">
        <w:rPr>
          <w:rFonts w:ascii="Arial Narrow" w:hAnsi="Arial Narrow"/>
          <w:sz w:val="18"/>
          <w:szCs w:val="18"/>
        </w:rPr>
        <w:t xml:space="preserve"> </w:t>
      </w:r>
    </w:p>
  </w:footnote>
  <w:footnote w:id="127">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Bode, Churchwell and George, </w:t>
      </w:r>
      <w:r w:rsidRPr="008C3783">
        <w:rPr>
          <w:rFonts w:ascii="Arial Narrow" w:hAnsi="Arial Narrow"/>
          <w:i/>
          <w:sz w:val="18"/>
          <w:szCs w:val="18"/>
        </w:rPr>
        <w:t>2012 California Statewide Non-residential Critical Peak Pricing Evaluation</w:t>
      </w:r>
    </w:p>
  </w:footnote>
  <w:footnote w:id="128">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PG&amp;E CPP Program: </w:t>
      </w:r>
      <w:hyperlink r:id="rId36" w:history="1">
        <w:r w:rsidRPr="008C3783">
          <w:rPr>
            <w:rStyle w:val="Hyperlink"/>
            <w:rFonts w:ascii="Arial Narrow" w:hAnsi="Arial Narrow"/>
            <w:sz w:val="18"/>
            <w:szCs w:val="18"/>
          </w:rPr>
          <w:t>http://www.pge.com/mybusiness/energysavingsrebates/timevaryingpricing/peakdaypricing/charges/</w:t>
        </w:r>
      </w:hyperlink>
      <w:r w:rsidRPr="008C3783">
        <w:rPr>
          <w:rFonts w:ascii="Arial Narrow" w:hAnsi="Arial Narrow"/>
          <w:sz w:val="18"/>
          <w:szCs w:val="18"/>
        </w:rPr>
        <w:t xml:space="preserve">; SCE CPP Program: </w:t>
      </w:r>
      <w:hyperlink r:id="rId37" w:history="1">
        <w:r w:rsidRPr="008C3783">
          <w:rPr>
            <w:rStyle w:val="Hyperlink"/>
            <w:rFonts w:ascii="Arial Narrow" w:hAnsi="Arial Narrow"/>
            <w:sz w:val="18"/>
            <w:szCs w:val="18"/>
          </w:rPr>
          <w:t>https://www.sce.com/NR/sc3/tm2/pdf/ce300.pdf</w:t>
        </w:r>
      </w:hyperlink>
      <w:r w:rsidRPr="008C3783">
        <w:rPr>
          <w:rFonts w:ascii="Arial Narrow" w:hAnsi="Arial Narrow"/>
          <w:sz w:val="18"/>
          <w:szCs w:val="18"/>
        </w:rPr>
        <w:t xml:space="preserve">; SDG&amp;E CPP Program: </w:t>
      </w:r>
      <w:hyperlink r:id="rId38" w:history="1">
        <w:r w:rsidRPr="008C3783">
          <w:rPr>
            <w:rStyle w:val="Hyperlink"/>
            <w:rFonts w:ascii="Arial Narrow" w:hAnsi="Arial Narrow"/>
            <w:sz w:val="18"/>
            <w:szCs w:val="18"/>
          </w:rPr>
          <w:t>http://regarchive.sdge.com/tm2/pdf/ELEC_ELEC-SCHEDS_EECC-CPP-D.pdf</w:t>
        </w:r>
      </w:hyperlink>
      <w:r w:rsidRPr="008C3783">
        <w:rPr>
          <w:rFonts w:ascii="Arial Narrow" w:hAnsi="Arial Narrow"/>
          <w:sz w:val="18"/>
          <w:szCs w:val="18"/>
        </w:rPr>
        <w:t xml:space="preserve"> </w:t>
      </w:r>
    </w:p>
  </w:footnote>
  <w:footnote w:id="12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w:t>
      </w:r>
      <w:hyperlink r:id="rId39" w:history="1">
        <w:r w:rsidRPr="008C3783">
          <w:rPr>
            <w:rStyle w:val="Hyperlink"/>
            <w:rFonts w:ascii="Arial Narrow" w:hAnsi="Arial Narrow"/>
            <w:sz w:val="18"/>
            <w:szCs w:val="18"/>
          </w:rPr>
          <w:t>http://www.pjm.com/~/media/markets-ops/rpm/rpm-auction-info/2016-2017-base-residual-auction-report.ashx</w:t>
        </w:r>
      </w:hyperlink>
    </w:p>
  </w:footnote>
  <w:footnote w:id="13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Individual DR offer prices would be the more precise input to use in these calculations. Since this analysis was only intended to be a high-level assumption check and not the primary driver of potential estimates, clearing price was a reasonable proxy.</w:t>
      </w:r>
    </w:p>
  </w:footnote>
  <w:footnote w:id="13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Absent DR</w:t>
      </w:r>
      <w:r>
        <w:rPr>
          <w:rFonts w:ascii="Arial Narrow" w:hAnsi="Arial Narrow"/>
          <w:sz w:val="18"/>
          <w:szCs w:val="18"/>
        </w:rPr>
        <w:t>,</w:t>
      </w:r>
      <w:r w:rsidRPr="008C3783">
        <w:rPr>
          <w:rFonts w:ascii="Arial Narrow" w:hAnsi="Arial Narrow"/>
          <w:sz w:val="18"/>
          <w:szCs w:val="18"/>
        </w:rPr>
        <w:t xml:space="preserve"> the customer would save the retail rate ($0.09) for not consuming a 1 kWh </w:t>
      </w:r>
    </w:p>
  </w:footnote>
  <w:footnote w:id="132">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Bureau of Labor Statistics’ Electric Power Generation Transmission Distribution (GTD) sector price index (BLS factor: NAICS 221110). 2013 TRC Order, page 34. </w:t>
      </w:r>
    </w:p>
  </w:footnote>
  <w:footnote w:id="133">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Final Order entered February 20, 2014, </w:t>
      </w:r>
      <w:hyperlink r:id="rId40" w:history="1">
        <w:r w:rsidRPr="008C3783">
          <w:rPr>
            <w:rStyle w:val="Hyperlink"/>
            <w:rFonts w:ascii="Arial Narrow" w:hAnsi="Arial Narrow"/>
            <w:sz w:val="18"/>
            <w:szCs w:val="18"/>
          </w:rPr>
          <w:t>http://www.puc.pa.gov/pcdocs/1269801.doc</w:t>
        </w:r>
      </w:hyperlink>
      <w:r w:rsidRPr="008C3783">
        <w:rPr>
          <w:rFonts w:ascii="Arial Narrow" w:hAnsi="Arial Narrow"/>
          <w:sz w:val="18"/>
          <w:szCs w:val="18"/>
        </w:rPr>
        <w:t>.</w:t>
      </w:r>
    </w:p>
  </w:footnote>
  <w:footnote w:id="134">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US Energy Information Administration</w:t>
      </w:r>
      <w:r>
        <w:rPr>
          <w:rFonts w:ascii="Arial Narrow" w:hAnsi="Arial Narrow"/>
          <w:sz w:val="18"/>
          <w:szCs w:val="18"/>
        </w:rPr>
        <w:t xml:space="preserve"> (EIA)</w:t>
      </w:r>
      <w:r w:rsidRPr="008C3783">
        <w:rPr>
          <w:rFonts w:ascii="Arial Narrow" w:hAnsi="Arial Narrow"/>
          <w:sz w:val="18"/>
          <w:szCs w:val="18"/>
        </w:rPr>
        <w:t xml:space="preserve"> Average Retail Price of Electricity to Ultimate Customers by End-Use Sector. </w:t>
      </w:r>
      <w:hyperlink r:id="rId41" w:history="1">
        <w:r w:rsidRPr="008C3783">
          <w:rPr>
            <w:rStyle w:val="Hyperlink"/>
            <w:rFonts w:ascii="Arial Narrow" w:hAnsi="Arial Narrow"/>
            <w:sz w:val="18"/>
            <w:szCs w:val="18"/>
          </w:rPr>
          <w:t>http://www.eia.gov/electricity/monthly/epm_table_grapher.cfm?t=epmt_5_6_a</w:t>
        </w:r>
      </w:hyperlink>
    </w:p>
  </w:footnote>
  <w:footnote w:id="135">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Avoided energy costs would represent approximately 1% of total benefits if the SWE </w:t>
      </w:r>
      <w:r>
        <w:rPr>
          <w:rFonts w:ascii="Arial Narrow" w:hAnsi="Arial Narrow"/>
          <w:sz w:val="18"/>
          <w:szCs w:val="18"/>
        </w:rPr>
        <w:t xml:space="preserve">Team </w:t>
      </w:r>
      <w:r w:rsidRPr="008C3783">
        <w:rPr>
          <w:rFonts w:ascii="Arial Narrow" w:hAnsi="Arial Narrow"/>
          <w:sz w:val="18"/>
          <w:szCs w:val="18"/>
        </w:rPr>
        <w:t xml:space="preserve">assumed that no energy was recovered. </w:t>
      </w:r>
    </w:p>
  </w:footnote>
  <w:footnote w:id="136">
    <w:p w:rsidR="00042FDD" w:rsidRPr="008C3783" w:rsidRDefault="00042FDD" w:rsidP="008C3783">
      <w:pPr>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cs="Times New Roman"/>
          <w:sz w:val="18"/>
          <w:szCs w:val="18"/>
        </w:rPr>
        <w:t xml:space="preserve"> DR Final Order entered February 20, 2014 at </w:t>
      </w:r>
      <w:r w:rsidRPr="008C3783">
        <w:rPr>
          <w:rFonts w:ascii="Arial Narrow" w:hAnsi="Arial Narrow" w:cs="Times New Roman"/>
          <w:iCs/>
          <w:sz w:val="18"/>
          <w:szCs w:val="18"/>
        </w:rPr>
        <w:t xml:space="preserve">page 57, </w:t>
      </w:r>
      <w:hyperlink r:id="rId42" w:history="1">
        <w:r w:rsidRPr="008C3783">
          <w:rPr>
            <w:rStyle w:val="Hyperlink"/>
            <w:rFonts w:ascii="Arial Narrow" w:hAnsi="Arial Narrow"/>
            <w:sz w:val="18"/>
            <w:szCs w:val="18"/>
          </w:rPr>
          <w:t>http://www.puc.pa.gov/pcdocs/1269801.doc</w:t>
        </w:r>
      </w:hyperlink>
      <w:r w:rsidRPr="008C3783">
        <w:rPr>
          <w:rFonts w:ascii="Arial Narrow" w:hAnsi="Arial Narrow" w:cs="Times New Roman"/>
          <w:sz w:val="18"/>
          <w:szCs w:val="18"/>
        </w:rPr>
        <w:t>.</w:t>
      </w:r>
    </w:p>
  </w:footnote>
  <w:footnote w:id="137">
    <w:p w:rsidR="00042FDD" w:rsidRPr="0082377B" w:rsidRDefault="00042FDD" w:rsidP="002C4072">
      <w:pPr>
        <w:pStyle w:val="FootnoteText"/>
        <w:rPr>
          <w:rFonts w:ascii="Arial Narrow" w:hAnsi="Arial Narrow"/>
          <w:sz w:val="18"/>
        </w:rPr>
      </w:pPr>
      <w:r w:rsidRPr="0082377B">
        <w:rPr>
          <w:rStyle w:val="FootnoteReference"/>
          <w:rFonts w:ascii="Arial Narrow" w:hAnsi="Arial Narrow"/>
          <w:b/>
          <w:sz w:val="18"/>
        </w:rPr>
        <w:footnoteRef/>
      </w:r>
      <w:r w:rsidRPr="0082377B">
        <w:rPr>
          <w:rFonts w:ascii="Arial Narrow" w:hAnsi="Arial Narrow"/>
          <w:b/>
          <w:sz w:val="18"/>
        </w:rPr>
        <w:t xml:space="preserve"> </w:t>
      </w:r>
      <w:r w:rsidRPr="0082377B">
        <w:rPr>
          <w:rStyle w:val="GlossaryTermChar"/>
          <w:rFonts w:ascii="Arial Narrow" w:hAnsi="Arial Narrow"/>
          <w:sz w:val="18"/>
        </w:rPr>
        <w:t>Program Year (PY):</w:t>
      </w:r>
      <w:r w:rsidRPr="0082377B">
        <w:rPr>
          <w:rFonts w:ascii="Arial Narrow" w:hAnsi="Arial Narrow"/>
          <w:sz w:val="18"/>
        </w:rPr>
        <w:t xml:space="preserve"> Defined as the period between June 1st and May 31st of the current reporting period</w:t>
      </w:r>
      <w:r>
        <w:rPr>
          <w:rFonts w:ascii="Arial Narrow" w:hAnsi="Arial Narrow"/>
          <w:sz w:val="18"/>
        </w:rPr>
        <w:t>, (see glossary)</w:t>
      </w:r>
      <w:r w:rsidRPr="0082377B">
        <w:rPr>
          <w:rFonts w:ascii="Arial Narrow" w:hAnsi="Arial Narrow"/>
          <w:sz w:val="18"/>
        </w:rPr>
        <w:t>.</w:t>
      </w:r>
    </w:p>
  </w:footnote>
  <w:footnote w:id="138">
    <w:p w:rsidR="00042FDD" w:rsidRPr="008C3783" w:rsidRDefault="00042FDD" w:rsidP="002C4072">
      <w:pPr>
        <w:pStyle w:val="FootnoteText"/>
        <w:jc w:val="left"/>
        <w:rPr>
          <w:rFonts w:ascii="Arial Narrow" w:hAnsi="Arial Narrow"/>
          <w:sz w:val="18"/>
          <w:szCs w:val="18"/>
        </w:rPr>
      </w:pPr>
      <w:r w:rsidRPr="008C3783">
        <w:rPr>
          <w:rFonts w:ascii="Arial Narrow" w:hAnsi="Arial Narrow"/>
          <w:sz w:val="18"/>
          <w:szCs w:val="18"/>
          <w:vertAlign w:val="superscript"/>
        </w:rPr>
        <w:footnoteRef/>
      </w:r>
      <w:r w:rsidRPr="008C3783">
        <w:rPr>
          <w:rFonts w:ascii="Arial Narrow" w:hAnsi="Arial Narrow"/>
          <w:sz w:val="18"/>
          <w:szCs w:val="18"/>
        </w:rPr>
        <w:t xml:space="preserve"> </w:t>
      </w:r>
      <w:hyperlink r:id="rId43" w:history="1">
        <w:r w:rsidRPr="008C3783">
          <w:rPr>
            <w:rStyle w:val="Hyperlink"/>
            <w:rFonts w:ascii="Arial Narrow" w:hAnsi="Arial Narrow"/>
            <w:color w:val="auto"/>
            <w:sz w:val="18"/>
            <w:szCs w:val="18"/>
          </w:rPr>
          <w:t>http://www.pjm.com/~/media/documents/reports/20141007-pjm-whitepaper-on-the-evolution-of-demand-response-in-the-pjm-wholesale-market.ashx</w:t>
        </w:r>
      </w:hyperlink>
    </w:p>
  </w:footnote>
  <w:footnote w:id="139">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Assumes Penn Power represents 7% of the DR commitments in the ATSI zone based on PJM Load Response Activity Reports for the 2013/201</w:t>
      </w:r>
      <w:r>
        <w:rPr>
          <w:rFonts w:ascii="Arial Narrow" w:hAnsi="Arial Narrow"/>
          <w:sz w:val="18"/>
          <w:szCs w:val="18"/>
        </w:rPr>
        <w:t>4 and 2014/2015 delivery years.</w:t>
      </w:r>
    </w:p>
  </w:footnote>
  <w:footnote w:id="140">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Assumes West Penn Power represents 55% of the DR commitments in the APS zone based on PJM Load Response Activity Reports for the 2013/2014 and 2014/2015 delivery years.</w:t>
      </w:r>
    </w:p>
  </w:footnote>
  <w:footnote w:id="141">
    <w:p w:rsidR="00042FDD" w:rsidRPr="008C3783" w:rsidRDefault="00042FDD" w:rsidP="008C3783">
      <w:pPr>
        <w:pStyle w:val="FootnoteText"/>
        <w:jc w:val="left"/>
        <w:rPr>
          <w:rFonts w:ascii="Arial Narrow" w:hAnsi="Arial Narrow"/>
          <w:sz w:val="18"/>
          <w:szCs w:val="18"/>
        </w:rPr>
      </w:pPr>
      <w:r w:rsidRPr="008C3783">
        <w:rPr>
          <w:rStyle w:val="FootnoteReference"/>
          <w:rFonts w:ascii="Arial Narrow" w:hAnsi="Arial Narrow"/>
          <w:sz w:val="18"/>
          <w:szCs w:val="18"/>
        </w:rPr>
        <w:footnoteRef/>
      </w:r>
      <w:r w:rsidRPr="008C3783">
        <w:rPr>
          <w:rFonts w:ascii="Arial Narrow" w:hAnsi="Arial Narrow"/>
          <w:sz w:val="18"/>
          <w:szCs w:val="18"/>
        </w:rPr>
        <w:t xml:space="preserve"> DR has been the single largest asset in PJM’s forward capacity market, accounting for over 10,000 MW of supply.</w:t>
      </w:r>
    </w:p>
  </w:footnote>
  <w:footnote w:id="142">
    <w:p w:rsidR="00042FDD" w:rsidRPr="00337CFF" w:rsidRDefault="00042FDD">
      <w:pPr>
        <w:pStyle w:val="FootnoteText"/>
        <w:rPr>
          <w:rFonts w:ascii="Arial Narrow" w:hAnsi="Arial Narrow"/>
          <w:sz w:val="18"/>
          <w:szCs w:val="18"/>
        </w:rPr>
      </w:pPr>
      <w:r>
        <w:rPr>
          <w:rStyle w:val="FootnoteReference"/>
        </w:rPr>
        <w:footnoteRef/>
      </w:r>
      <w:r>
        <w:t xml:space="preserve"> </w:t>
      </w:r>
      <w:r w:rsidRPr="00337CFF">
        <w:rPr>
          <w:rFonts w:ascii="Arial Narrow" w:hAnsi="Arial Narrow"/>
          <w:sz w:val="18"/>
          <w:szCs w:val="18"/>
        </w:rPr>
        <w:t>When projection</w:t>
      </w:r>
      <w:r>
        <w:rPr>
          <w:rFonts w:ascii="Arial Narrow" w:hAnsi="Arial Narrow"/>
          <w:sz w:val="18"/>
          <w:szCs w:val="18"/>
        </w:rPr>
        <w:t>s</w:t>
      </w:r>
      <w:r w:rsidRPr="00337CFF">
        <w:rPr>
          <w:rFonts w:ascii="Arial Narrow" w:hAnsi="Arial Narrow"/>
          <w:sz w:val="18"/>
          <w:szCs w:val="18"/>
        </w:rPr>
        <w:t xml:space="preserve"> of PJM DR in PY10, PY11, and PY12 were added, only four EDCs showed incremental load curtailment potential.</w:t>
      </w:r>
    </w:p>
  </w:footnote>
  <w:footnote w:id="143">
    <w:p w:rsidR="00042FDD" w:rsidRDefault="00042FDD">
      <w:pPr>
        <w:pStyle w:val="FootnoteText"/>
      </w:pPr>
      <w:r>
        <w:rPr>
          <w:rStyle w:val="FootnoteReference"/>
        </w:rPr>
        <w:footnoteRef/>
      </w:r>
      <w:r>
        <w:t xml:space="preserve"> Assumes a five-year performance 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Pr="005608C5" w:rsidRDefault="00042FDD" w:rsidP="005608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Pr="00977947" w:rsidRDefault="00042FDD" w:rsidP="00977947">
    <w:pPr>
      <w:pStyle w:val="Header"/>
      <w:pBdr>
        <w:bottom w:val="single" w:sz="4" w:space="1" w:color="auto"/>
      </w:pBdr>
      <w:rPr>
        <w:rFonts w:ascii="Century Gothic" w:hAnsi="Century Gothic"/>
        <w:sz w:val="16"/>
      </w:rPr>
    </w:pPr>
    <w:r w:rsidRPr="00977947">
      <w:rPr>
        <w:rFonts w:ascii="Century Gothic" w:hAnsi="Century Gothic"/>
        <w:b/>
        <w:smallCaps/>
        <w:sz w:val="18"/>
      </w:rPr>
      <w:t xml:space="preserve">Pennsylvania </w:t>
    </w:r>
    <w:r>
      <w:rPr>
        <w:rFonts w:ascii="Century Gothic" w:hAnsi="Century Gothic"/>
        <w:b/>
        <w:smallCaps/>
        <w:sz w:val="18"/>
      </w:rPr>
      <w:t>DR Potential</w:t>
    </w:r>
    <w:r w:rsidRPr="00977947">
      <w:rPr>
        <w:rFonts w:ascii="Century Gothic" w:hAnsi="Century Gothic"/>
        <w:smallCaps/>
        <w:sz w:val="18"/>
      </w:rPr>
      <w:tab/>
    </w:r>
    <w:r w:rsidR="001B1C28">
      <w:rPr>
        <w:rFonts w:ascii="Century Gothic" w:hAnsi="Century Gothic"/>
        <w:sz w:val="16"/>
      </w:rPr>
      <w:tab/>
      <w:t>Febr</w:t>
    </w:r>
    <w:r>
      <w:rPr>
        <w:rFonts w:ascii="Century Gothic" w:hAnsi="Century Gothic"/>
        <w:sz w:val="16"/>
      </w:rPr>
      <w:t>uary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Pr="00977947" w:rsidRDefault="00042FDD" w:rsidP="00977947">
    <w:pPr>
      <w:pStyle w:val="Header"/>
      <w:pBdr>
        <w:bottom w:val="single" w:sz="4" w:space="1" w:color="auto"/>
      </w:pBdr>
      <w:rPr>
        <w:rFonts w:ascii="Century Gothic" w:hAnsi="Century Gothic"/>
        <w:sz w:val="16"/>
      </w:rPr>
    </w:pPr>
    <w:r w:rsidRPr="00977947">
      <w:rPr>
        <w:rFonts w:ascii="Century Gothic" w:hAnsi="Century Gothic"/>
        <w:b/>
        <w:smallCaps/>
        <w:sz w:val="18"/>
      </w:rPr>
      <w:t xml:space="preserve">Pennsylvania </w:t>
    </w:r>
    <w:r>
      <w:rPr>
        <w:rFonts w:ascii="Century Gothic" w:hAnsi="Century Gothic"/>
        <w:b/>
        <w:smallCaps/>
        <w:sz w:val="18"/>
      </w:rPr>
      <w:t>DR Potential</w:t>
    </w:r>
    <w:r w:rsidRPr="00977947">
      <w:rPr>
        <w:rFonts w:ascii="Century Gothic" w:hAnsi="Century Gothic"/>
        <w:smallCaps/>
        <w:sz w:val="18"/>
      </w:rPr>
      <w:tab/>
    </w:r>
    <w:r w:rsidR="001B1C28">
      <w:rPr>
        <w:rFonts w:ascii="Century Gothic" w:hAnsi="Century Gothic"/>
        <w:sz w:val="16"/>
      </w:rPr>
      <w:tab/>
    </w:r>
    <w:r w:rsidR="001B1C28">
      <w:rPr>
        <w:rFonts w:ascii="Century Gothic" w:hAnsi="Century Gothic"/>
        <w:sz w:val="16"/>
      </w:rPr>
      <w:tab/>
    </w:r>
    <w:r w:rsidR="001B1C28">
      <w:rPr>
        <w:rFonts w:ascii="Century Gothic" w:hAnsi="Century Gothic"/>
        <w:sz w:val="16"/>
      </w:rPr>
      <w:tab/>
    </w:r>
    <w:r w:rsidR="001B1C28">
      <w:rPr>
        <w:rFonts w:ascii="Century Gothic" w:hAnsi="Century Gothic"/>
        <w:sz w:val="16"/>
      </w:rPr>
      <w:tab/>
      <w:t xml:space="preserve">            Febr</w:t>
    </w:r>
    <w:r>
      <w:rPr>
        <w:rFonts w:ascii="Century Gothic" w:hAnsi="Century Gothic"/>
        <w:sz w:val="16"/>
      </w:rPr>
      <w:t>uary 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FDD" w:rsidRPr="00977947" w:rsidRDefault="00042FDD" w:rsidP="00977947">
    <w:pPr>
      <w:pStyle w:val="Header"/>
      <w:pBdr>
        <w:bottom w:val="single" w:sz="4" w:space="1" w:color="auto"/>
      </w:pBdr>
      <w:rPr>
        <w:rFonts w:ascii="Century Gothic" w:hAnsi="Century Gothic"/>
        <w:sz w:val="16"/>
      </w:rPr>
    </w:pPr>
    <w:r w:rsidRPr="00977947">
      <w:rPr>
        <w:rFonts w:ascii="Century Gothic" w:hAnsi="Century Gothic"/>
        <w:b/>
        <w:smallCaps/>
        <w:sz w:val="18"/>
      </w:rPr>
      <w:t xml:space="preserve">Pennsylvania </w:t>
    </w:r>
    <w:r>
      <w:rPr>
        <w:rFonts w:ascii="Century Gothic" w:hAnsi="Century Gothic"/>
        <w:b/>
        <w:smallCaps/>
        <w:sz w:val="18"/>
      </w:rPr>
      <w:t>DR Potential</w:t>
    </w:r>
    <w:r w:rsidRPr="00977947">
      <w:rPr>
        <w:rFonts w:ascii="Century Gothic" w:hAnsi="Century Gothic"/>
        <w:smallCaps/>
        <w:sz w:val="18"/>
      </w:rPr>
      <w:tab/>
    </w:r>
    <w:r w:rsidR="001B1C28">
      <w:rPr>
        <w:rFonts w:ascii="Century Gothic" w:hAnsi="Century Gothic"/>
        <w:sz w:val="16"/>
      </w:rPr>
      <w:tab/>
      <w:t>Febr</w:t>
    </w:r>
    <w:r>
      <w:rPr>
        <w:rFonts w:ascii="Century Gothic" w:hAnsi="Century Gothic"/>
        <w:sz w:val="16"/>
      </w:rPr>
      <w:t>uary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1F0E"/>
    <w:multiLevelType w:val="multilevel"/>
    <w:tmpl w:val="513240F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22D2831"/>
    <w:multiLevelType w:val="hybridMultilevel"/>
    <w:tmpl w:val="2E5CD18A"/>
    <w:name w:val="Heading 43"/>
    <w:lvl w:ilvl="0" w:tplc="AA24BA06">
      <w:start w:val="1"/>
      <w:numFmt w:val="bullet"/>
      <w:lvlText w:val=""/>
      <w:lvlJc w:val="left"/>
      <w:pPr>
        <w:ind w:left="720" w:hanging="360"/>
      </w:pPr>
      <w:rPr>
        <w:rFonts w:ascii="Wingdings" w:hAnsi="Wingdings" w:hint="default"/>
        <w:color w:val="448A99"/>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82F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722663A"/>
    <w:multiLevelType w:val="hybridMultilevel"/>
    <w:tmpl w:val="2452DC54"/>
    <w:lvl w:ilvl="0" w:tplc="AA24BA06">
      <w:start w:val="1"/>
      <w:numFmt w:val="bullet"/>
      <w:lvlText w:val=""/>
      <w:lvlJc w:val="left"/>
      <w:pPr>
        <w:ind w:left="720" w:hanging="360"/>
      </w:pPr>
      <w:rPr>
        <w:rFonts w:ascii="Wingdings" w:hAnsi="Wingdings" w:hint="default"/>
        <w:color w:val="448A99"/>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A12C3"/>
    <w:multiLevelType w:val="hybridMultilevel"/>
    <w:tmpl w:val="CCA6876E"/>
    <w:lvl w:ilvl="0" w:tplc="BC2A0FFC">
      <w:start w:val="1"/>
      <w:numFmt w:val="decimal"/>
      <w:lvlText w:val="%1)"/>
      <w:lvlJc w:val="left"/>
      <w:pPr>
        <w:ind w:left="720" w:hanging="360"/>
      </w:pPr>
      <w:rPr>
        <w:rFonts w:ascii="Century Gothic" w:hAnsi="Century Gothic"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0797D"/>
    <w:multiLevelType w:val="hybridMultilevel"/>
    <w:tmpl w:val="286C404C"/>
    <w:lvl w:ilvl="0" w:tplc="AA24BA06">
      <w:start w:val="1"/>
      <w:numFmt w:val="bullet"/>
      <w:lvlText w:val=""/>
      <w:lvlJc w:val="left"/>
      <w:pPr>
        <w:ind w:left="720" w:hanging="360"/>
      </w:pPr>
      <w:rPr>
        <w:rFonts w:ascii="Wingdings" w:hAnsi="Wingdings" w:hint="default"/>
        <w:color w:val="448A99"/>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707EB"/>
    <w:multiLevelType w:val="hybridMultilevel"/>
    <w:tmpl w:val="89A4CCB6"/>
    <w:lvl w:ilvl="0" w:tplc="DC52BCAC">
      <w:start w:val="1"/>
      <w:numFmt w:val="decimal"/>
      <w:lvlText w:val="%1)"/>
      <w:lvlJc w:val="left"/>
      <w:pPr>
        <w:ind w:left="720" w:hanging="360"/>
      </w:pPr>
      <w:rPr>
        <w:rFonts w:ascii="Century Gothic" w:hAnsi="Century Gothic"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781CD8"/>
    <w:multiLevelType w:val="hybridMultilevel"/>
    <w:tmpl w:val="EB0E1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4310E1"/>
    <w:multiLevelType w:val="hybridMultilevel"/>
    <w:tmpl w:val="81B8EF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F15E58"/>
    <w:multiLevelType w:val="hybridMultilevel"/>
    <w:tmpl w:val="46F0CC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23F656F"/>
    <w:multiLevelType w:val="hybridMultilevel"/>
    <w:tmpl w:val="51C456F4"/>
    <w:lvl w:ilvl="0" w:tplc="0409000F">
      <w:start w:val="1"/>
      <w:numFmt w:val="decimal"/>
      <w:lvlText w:val="%1."/>
      <w:lvlJc w:val="left"/>
      <w:pPr>
        <w:ind w:left="720" w:hanging="360"/>
      </w:pPr>
      <w:rPr>
        <w:rFont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4400AE"/>
    <w:multiLevelType w:val="hybridMultilevel"/>
    <w:tmpl w:val="6902E84C"/>
    <w:lvl w:ilvl="0" w:tplc="BC2A0FFC">
      <w:start w:val="1"/>
      <w:numFmt w:val="decimal"/>
      <w:lvlText w:val="%1)"/>
      <w:lvlJc w:val="left"/>
      <w:pPr>
        <w:ind w:left="1080" w:hanging="360"/>
      </w:pPr>
      <w:rPr>
        <w:rFonts w:ascii="Century Gothic" w:hAnsi="Century Gothic"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4026C0"/>
    <w:multiLevelType w:val="hybridMultilevel"/>
    <w:tmpl w:val="28A24A12"/>
    <w:lvl w:ilvl="0" w:tplc="147654D2">
      <w:start w:val="1"/>
      <w:numFmt w:val="decimal"/>
      <w:lvlText w:val="%1)"/>
      <w:lvlJc w:val="left"/>
      <w:pPr>
        <w:ind w:left="720" w:hanging="360"/>
      </w:pPr>
      <w:rPr>
        <w:rFonts w:ascii="Century Gothic" w:hAnsi="Century Gothic"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621EFA"/>
    <w:multiLevelType w:val="multilevel"/>
    <w:tmpl w:val="9D068948"/>
    <w:name w:val="Heading 4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504"/>
        </w:tabs>
        <w:ind w:left="0" w:firstLine="0"/>
      </w:pPr>
      <w:rPr>
        <w:rFonts w:hint="default"/>
      </w:rPr>
    </w:lvl>
    <w:lvl w:ilvl="2">
      <w:start w:val="1"/>
      <w:numFmt w:val="decimal"/>
      <w:lvlText w:val="%1.%2.%3"/>
      <w:lvlJc w:val="left"/>
      <w:pPr>
        <w:tabs>
          <w:tab w:val="num" w:pos="576"/>
        </w:tabs>
        <w:ind w:left="0" w:firstLine="0"/>
      </w:pPr>
      <w:rPr>
        <w:rFonts w:ascii="Arial" w:hAnsi="Arial" w:cs="Arial"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3">
      <w:start w:val="1"/>
      <w:numFmt w:val="decimal"/>
      <w:pStyle w:val="HeadingNumber04"/>
      <w:lvlText w:val="%1.%2.%3.%4"/>
      <w:lvlJc w:val="left"/>
      <w:pPr>
        <w:tabs>
          <w:tab w:val="num" w:pos="648"/>
        </w:tabs>
        <w:ind w:left="0" w:firstLine="0"/>
      </w:pPr>
      <w:rPr>
        <w:rFonts w:hint="default"/>
        <w:color w:val="auto"/>
      </w:rPr>
    </w:lvl>
    <w:lvl w:ilvl="4">
      <w:start w:val="1"/>
      <w:numFmt w:val="decimal"/>
      <w:lvlText w:val="%1.%2.%3.%4.%5"/>
      <w:lvlJc w:val="left"/>
      <w:pPr>
        <w:tabs>
          <w:tab w:val="num" w:pos="792"/>
        </w:tabs>
        <w:ind w:left="0" w:firstLine="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412D28D9"/>
    <w:multiLevelType w:val="hybridMultilevel"/>
    <w:tmpl w:val="92704C90"/>
    <w:lvl w:ilvl="0" w:tplc="BC2A0FFC">
      <w:start w:val="1"/>
      <w:numFmt w:val="decimal"/>
      <w:lvlText w:val="%1)"/>
      <w:lvlJc w:val="left"/>
      <w:pPr>
        <w:ind w:left="1800" w:hanging="360"/>
      </w:pPr>
      <w:rPr>
        <w:rFonts w:ascii="Century Gothic" w:hAnsi="Century Gothic" w:hint="default"/>
        <w:b/>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A0D142C"/>
    <w:multiLevelType w:val="hybridMultilevel"/>
    <w:tmpl w:val="300E100E"/>
    <w:name w:val="Heading 432"/>
    <w:lvl w:ilvl="0" w:tplc="AA24BA06">
      <w:start w:val="1"/>
      <w:numFmt w:val="bullet"/>
      <w:lvlText w:val=""/>
      <w:lvlJc w:val="left"/>
      <w:pPr>
        <w:ind w:left="1080" w:hanging="360"/>
      </w:pPr>
      <w:rPr>
        <w:rFonts w:ascii="Wingdings" w:hAnsi="Wingdings" w:hint="default"/>
        <w:color w:val="448A99"/>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C133425"/>
    <w:multiLevelType w:val="multilevel"/>
    <w:tmpl w:val="110A303A"/>
    <w:lvl w:ilvl="0">
      <w:start w:val="1"/>
      <w:numFmt w:val="decimal"/>
      <w:pStyle w:val="HeadingNumber01"/>
      <w:suff w:val="space"/>
      <w:lvlText w:val="%1.0"/>
      <w:lvlJc w:val="left"/>
      <w:pPr>
        <w:ind w:left="360" w:hanging="360"/>
      </w:pPr>
      <w:rPr>
        <w:rFonts w:hint="default"/>
      </w:rPr>
    </w:lvl>
    <w:lvl w:ilvl="1">
      <w:start w:val="1"/>
      <w:numFmt w:val="decimal"/>
      <w:pStyle w:val="HeadingNumber02"/>
      <w:suff w:val="space"/>
      <w:lvlText w:val="%1.%2"/>
      <w:lvlJc w:val="left"/>
      <w:pPr>
        <w:ind w:left="0" w:firstLine="0"/>
      </w:pPr>
      <w:rPr>
        <w:rFonts w:hint="default"/>
      </w:rPr>
    </w:lvl>
    <w:lvl w:ilvl="2">
      <w:start w:val="1"/>
      <w:numFmt w:val="decimal"/>
      <w:pStyle w:val="HeadingNumber03"/>
      <w:suff w:val="space"/>
      <w:lvlText w:val="%1.%2.%3"/>
      <w:lvlJc w:val="left"/>
      <w:pPr>
        <w:ind w:left="1152" w:hanging="720"/>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C3E37BB"/>
    <w:multiLevelType w:val="hybridMultilevel"/>
    <w:tmpl w:val="7952C6DE"/>
    <w:lvl w:ilvl="0" w:tplc="BC2A0FFC">
      <w:start w:val="1"/>
      <w:numFmt w:val="decimal"/>
      <w:lvlText w:val="%1)"/>
      <w:lvlJc w:val="left"/>
      <w:pPr>
        <w:ind w:left="720" w:hanging="360"/>
      </w:pPr>
      <w:rPr>
        <w:rFonts w:ascii="Century Gothic" w:hAnsi="Century Gothic"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806A2D"/>
    <w:multiLevelType w:val="hybridMultilevel"/>
    <w:tmpl w:val="59F8D096"/>
    <w:lvl w:ilvl="0" w:tplc="BC2A0FFC">
      <w:start w:val="1"/>
      <w:numFmt w:val="decimal"/>
      <w:lvlText w:val="%1)"/>
      <w:lvlJc w:val="left"/>
      <w:pPr>
        <w:ind w:left="720" w:hanging="360"/>
      </w:pPr>
      <w:rPr>
        <w:rFonts w:ascii="Century Gothic" w:hAnsi="Century Gothic"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682C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5F25BD7"/>
    <w:multiLevelType w:val="multilevel"/>
    <w:tmpl w:val="514095A2"/>
    <w:lvl w:ilvl="0">
      <w:start w:val="1"/>
      <w:numFmt w:val="decimal"/>
      <w:pStyle w:val="Heading1"/>
      <w:suff w:val="space"/>
      <w:lvlText w:val="%1"/>
      <w:lvlJc w:val="left"/>
      <w:pPr>
        <w:ind w:left="0" w:firstLine="0"/>
      </w:pPr>
      <w:rPr>
        <w:rFonts w:ascii="Britannic Bold" w:hAnsi="Britannic Bold" w:hint="default"/>
        <w:b w:val="0"/>
        <w:bCs w:val="0"/>
        <w:i w:val="0"/>
        <w:iCs w:val="0"/>
        <w:caps w:val="0"/>
        <w:smallCaps w:val="0"/>
        <w:strike w:val="0"/>
        <w:dstrike w:val="0"/>
        <w:noProof w:val="0"/>
        <w:vanish w:val="0"/>
        <w:color w:val="FFFFFF" w:themeColor="background1"/>
        <w:spacing w:val="0"/>
        <w:kern w:val="0"/>
        <w:position w:val="0"/>
        <w:sz w:val="52"/>
        <w:szCs w:val="52"/>
        <w:u w:val="none"/>
        <w:effect w:val="none"/>
        <w:vertAlign w:val="baseline"/>
        <w:em w:val="none"/>
        <w:specVanish w:val="0"/>
        <w14:glow w14:rad="0">
          <w14:srgbClr w14:val="000000"/>
        </w14:glow>
        <w14:shadow w14:blurRad="50800" w14:dist="38100" w14:dir="13500000" w14:sx="100000" w14:sy="100000" w14:kx="0" w14:ky="0" w14:algn="br">
          <w14:srgbClr w14:val="000000">
            <w14:alpha w14:val="60000"/>
          </w14:srgbClr>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rPr>
    </w:lvl>
    <w:lvl w:ilvl="2">
      <w:start w:val="1"/>
      <w:numFmt w:val="decimal"/>
      <w:pStyle w:val="Heading3"/>
      <w:lvlText w:val="%1.%2.%3"/>
      <w:lvlJc w:val="left"/>
      <w:pPr>
        <w:tabs>
          <w:tab w:val="num" w:pos="576"/>
        </w:tabs>
        <w:ind w:left="0" w:firstLine="0"/>
      </w:pPr>
      <w:rPr>
        <w:rFonts w:ascii="Century Gothic" w:hAnsi="Century Gothic" w:cs="Arial" w:hint="default"/>
        <w:b/>
        <w:bCs w:val="0"/>
        <w:i w:val="0"/>
        <w:iCs w:val="0"/>
        <w:caps w:val="0"/>
        <w:smallCaps w:val="0"/>
        <w:strike w:val="0"/>
        <w:dstrike w:val="0"/>
        <w:noProof w:val="0"/>
        <w:snapToGrid w:val="0"/>
        <w:vanish w:val="0"/>
        <w:color w:val="448A99"/>
        <w:spacing w:val="0"/>
        <w:w w:val="0"/>
        <w:kern w:val="0"/>
        <w:position w:val="0"/>
        <w:szCs w:val="0"/>
        <w:u w:val="none"/>
        <w:vertAlign w:val="baseline"/>
        <w:em w:val="none"/>
      </w:rPr>
    </w:lvl>
    <w:lvl w:ilvl="3">
      <w:start w:val="1"/>
      <w:numFmt w:val="decimal"/>
      <w:pStyle w:val="Heading4"/>
      <w:lvlText w:val="%1.%2.%3.%4"/>
      <w:lvlJc w:val="left"/>
      <w:pPr>
        <w:tabs>
          <w:tab w:val="num" w:pos="648"/>
        </w:tabs>
        <w:ind w:left="0" w:firstLine="0"/>
      </w:pPr>
      <w:rPr>
        <w:rFonts w:hint="default"/>
      </w:rPr>
    </w:lvl>
    <w:lvl w:ilvl="4">
      <w:start w:val="1"/>
      <w:numFmt w:val="decimal"/>
      <w:lvlText w:val="%1.%2.%3.%4.%5"/>
      <w:lvlJc w:val="left"/>
      <w:pPr>
        <w:tabs>
          <w:tab w:val="num" w:pos="792"/>
        </w:tabs>
        <w:ind w:left="0" w:firstLine="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nsid w:val="586E4EBB"/>
    <w:multiLevelType w:val="hybridMultilevel"/>
    <w:tmpl w:val="6180D78C"/>
    <w:lvl w:ilvl="0" w:tplc="BC2A0FFC">
      <w:start w:val="1"/>
      <w:numFmt w:val="decimal"/>
      <w:lvlText w:val="%1)"/>
      <w:lvlJc w:val="left"/>
      <w:pPr>
        <w:ind w:left="720" w:hanging="360"/>
      </w:pPr>
      <w:rPr>
        <w:rFonts w:ascii="Century Gothic" w:hAnsi="Century Gothic"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C407E"/>
    <w:multiLevelType w:val="hybridMultilevel"/>
    <w:tmpl w:val="E07A3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E1B0820"/>
    <w:multiLevelType w:val="multilevel"/>
    <w:tmpl w:val="D1EE4882"/>
    <w:lvl w:ilvl="0">
      <w:start w:val="1"/>
      <w:numFmt w:val="bullet"/>
      <w:pStyle w:val="b"/>
      <w:lvlText w:val=""/>
      <w:lvlJc w:val="left"/>
      <w:pPr>
        <w:ind w:left="630" w:hanging="360"/>
      </w:pPr>
      <w:rPr>
        <w:rFonts w:ascii="Wingdings" w:hAnsi="Wingdings" w:hint="default"/>
      </w:rPr>
    </w:lvl>
    <w:lvl w:ilvl="1">
      <w:start w:val="1"/>
      <w:numFmt w:val="bullet"/>
      <w:lvlText w:val="-"/>
      <w:lvlJc w:val="left"/>
      <w:pPr>
        <w:ind w:left="1440" w:hanging="360"/>
      </w:pPr>
      <w:rPr>
        <w:rFonts w:ascii="font334" w:hAnsi="font334"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1800"/>
        </w:tabs>
        <w:ind w:left="2160" w:hanging="360"/>
      </w:pPr>
      <w:rPr>
        <w:rFonts w:ascii="font334" w:hAnsi="font334" w:hint="default"/>
      </w:rPr>
    </w:lvl>
    <w:lvl w:ilvl="4">
      <w:start w:val="1"/>
      <w:numFmt w:val="bullet"/>
      <w:lvlText w:val=""/>
      <w:lvlJc w:val="left"/>
      <w:pPr>
        <w:ind w:left="2520" w:hanging="360"/>
      </w:pPr>
      <w:rPr>
        <w:rFonts w:ascii="Wingdings" w:hAnsi="Wingdings" w:hint="default"/>
      </w:rPr>
    </w:lvl>
    <w:lvl w:ilvl="5">
      <w:start w:val="1"/>
      <w:numFmt w:val="bullet"/>
      <w:lvlText w:val="-"/>
      <w:lvlJc w:val="left"/>
      <w:pPr>
        <w:ind w:left="2880" w:hanging="360"/>
      </w:pPr>
      <w:rPr>
        <w:rFonts w:ascii="font334" w:hAnsi="font334"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EF35D1C"/>
    <w:multiLevelType w:val="hybridMultilevel"/>
    <w:tmpl w:val="85DCB9DE"/>
    <w:lvl w:ilvl="0" w:tplc="AA24BA06">
      <w:start w:val="1"/>
      <w:numFmt w:val="bullet"/>
      <w:lvlText w:val=""/>
      <w:lvlJc w:val="left"/>
      <w:pPr>
        <w:ind w:left="720" w:hanging="360"/>
      </w:pPr>
      <w:rPr>
        <w:rFonts w:ascii="Wingdings" w:hAnsi="Wingdings" w:hint="default"/>
        <w:color w:val="448A99"/>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23B3A"/>
    <w:multiLevelType w:val="hybridMultilevel"/>
    <w:tmpl w:val="4C1887B0"/>
    <w:lvl w:ilvl="0" w:tplc="FC5878CA">
      <w:start w:val="1"/>
      <w:numFmt w:val="decimal"/>
      <w:lvlText w:val="%1)"/>
      <w:lvlJc w:val="left"/>
      <w:pPr>
        <w:ind w:left="720" w:hanging="360"/>
      </w:pPr>
      <w:rPr>
        <w:rFonts w:ascii="Century Gothic" w:hAnsi="Century Gothic"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F16ACC"/>
    <w:multiLevelType w:val="hybridMultilevel"/>
    <w:tmpl w:val="EE76A78A"/>
    <w:lvl w:ilvl="0" w:tplc="E72E7190">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157E1E"/>
    <w:multiLevelType w:val="hybridMultilevel"/>
    <w:tmpl w:val="5CB05E7E"/>
    <w:lvl w:ilvl="0" w:tplc="6862EF22">
      <w:start w:val="1"/>
      <w:numFmt w:val="decimal"/>
      <w:lvlText w:val="%1)"/>
      <w:lvlJc w:val="left"/>
      <w:pPr>
        <w:ind w:left="720" w:hanging="360"/>
      </w:pPr>
      <w:rPr>
        <w:rFonts w:ascii="Century Gothic" w:hAnsi="Century Gothic"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0"/>
  </w:num>
  <w:num w:numId="3">
    <w:abstractNumId w:val="16"/>
  </w:num>
  <w:num w:numId="4">
    <w:abstractNumId w:val="13"/>
  </w:num>
  <w:num w:numId="5">
    <w:abstractNumId w:val="23"/>
  </w:num>
  <w:num w:numId="6">
    <w:abstractNumId w:val="3"/>
  </w:num>
  <w:num w:numId="7">
    <w:abstractNumId w:val="18"/>
  </w:num>
  <w:num w:numId="8">
    <w:abstractNumId w:val="24"/>
  </w:num>
  <w:num w:numId="9">
    <w:abstractNumId w:val="27"/>
  </w:num>
  <w:num w:numId="10">
    <w:abstractNumId w:val="25"/>
  </w:num>
  <w:num w:numId="11">
    <w:abstractNumId w:val="1"/>
  </w:num>
  <w:num w:numId="12">
    <w:abstractNumId w:val="6"/>
  </w:num>
  <w:num w:numId="13">
    <w:abstractNumId w:val="15"/>
  </w:num>
  <w:num w:numId="14">
    <w:abstractNumId w:val="5"/>
  </w:num>
  <w:num w:numId="15">
    <w:abstractNumId w:val="12"/>
  </w:num>
  <w:num w:numId="16">
    <w:abstractNumId w:val="0"/>
  </w:num>
  <w:num w:numId="17">
    <w:abstractNumId w:val="9"/>
  </w:num>
  <w:num w:numId="18">
    <w:abstractNumId w:val="26"/>
  </w:num>
  <w:num w:numId="19">
    <w:abstractNumId w:val="8"/>
  </w:num>
  <w:num w:numId="20">
    <w:abstractNumId w:val="10"/>
  </w:num>
  <w:num w:numId="21">
    <w:abstractNumId w:val="22"/>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0"/>
    <w:lvlOverride w:ilvl="0">
      <w:lvl w:ilvl="0">
        <w:start w:val="1"/>
        <w:numFmt w:val="decimal"/>
        <w:pStyle w:val="Heading1"/>
        <w:lvlText w:val="%1"/>
        <w:lvlJc w:val="left"/>
        <w:pPr>
          <w:tabs>
            <w:tab w:val="num" w:pos="360"/>
          </w:tabs>
          <w:ind w:left="0" w:firstLine="0"/>
        </w:pPr>
        <w:rPr>
          <w:rFonts w:ascii="Britannic Bold" w:hAnsi="Britannic Bold" w:hint="default"/>
          <w:b w:val="0"/>
          <w:bCs w:val="0"/>
          <w:i w:val="0"/>
          <w:iCs w:val="0"/>
          <w:caps w:val="0"/>
          <w:smallCaps w:val="0"/>
          <w:strike w:val="0"/>
          <w:dstrike w:val="0"/>
          <w:vanish w:val="0"/>
          <w:color w:val="FFFFFF" w:themeColor="background1"/>
          <w:spacing w:val="0"/>
          <w:kern w:val="0"/>
          <w:position w:val="0"/>
          <w:sz w:val="52"/>
          <w:szCs w:val="52"/>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lvlText w:val="%1.%2.%3"/>
        <w:lvlJc w:val="left"/>
        <w:pPr>
          <w:tabs>
            <w:tab w:val="num" w:pos="576"/>
          </w:tabs>
          <w:ind w:left="0" w:firstLine="0"/>
        </w:pPr>
        <w:rPr>
          <w:rFonts w:ascii="Arial" w:hAnsi="Arial" w:cs="Arial" w:hint="default"/>
          <w:b/>
          <w:bCs w:val="0"/>
          <w:i w:val="0"/>
          <w:iCs w:val="0"/>
          <w:caps w:val="0"/>
          <w:smallCaps w:val="0"/>
          <w:strike w:val="0"/>
          <w:dstrike w:val="0"/>
          <w:snapToGrid w:val="0"/>
          <w:vanish w:val="0"/>
          <w:color w:val="448A99"/>
          <w:spacing w:val="0"/>
          <w:w w:val="0"/>
          <w:kern w:val="0"/>
          <w:position w:val="0"/>
          <w:szCs w:val="0"/>
          <w:u w:val="none"/>
          <w:vertAlign w:val="baseline"/>
          <w:em w:val="none"/>
        </w:rPr>
      </w:lvl>
    </w:lvlOverride>
    <w:lvlOverride w:ilvl="3">
      <w:lvl w:ilvl="3">
        <w:start w:val="1"/>
        <w:numFmt w:val="decimal"/>
        <w:pStyle w:val="Heading4"/>
        <w:lvlText w:val="%1.%2.%3.%4"/>
        <w:lvlJc w:val="left"/>
        <w:pPr>
          <w:tabs>
            <w:tab w:val="num" w:pos="648"/>
          </w:tabs>
          <w:ind w:left="0" w:firstLine="0"/>
        </w:pPr>
        <w:rPr>
          <w:rFonts w:hint="default"/>
        </w:rPr>
      </w:lvl>
    </w:lvlOverride>
    <w:lvlOverride w:ilvl="4">
      <w:lvl w:ilvl="4">
        <w:start w:val="1"/>
        <w:numFmt w:val="decimal"/>
        <w:lvlText w:val="%1.%2.%3.%4.%5"/>
        <w:lvlJc w:val="left"/>
        <w:pPr>
          <w:tabs>
            <w:tab w:val="num" w:pos="792"/>
          </w:tabs>
          <w:ind w:left="0" w:firstLine="0"/>
        </w:pPr>
        <w:rPr>
          <w:rFonts w:hint="default"/>
        </w:rPr>
      </w:lvl>
    </w:lvlOverride>
    <w:lvlOverride w:ilvl="5">
      <w:lvl w:ilvl="5">
        <w:start w:val="1"/>
        <w:numFmt w:val="decimal"/>
        <w:lvlText w:val="%1.%2.%3.%4.%5.%6"/>
        <w:lvlJc w:val="left"/>
        <w:pPr>
          <w:tabs>
            <w:tab w:val="num" w:pos="4680"/>
          </w:tabs>
          <w:ind w:left="4680" w:hanging="1080"/>
        </w:pPr>
        <w:rPr>
          <w:rFonts w:hint="default"/>
        </w:rPr>
      </w:lvl>
    </w:lvlOverride>
    <w:lvlOverride w:ilvl="6">
      <w:lvl w:ilvl="6">
        <w:start w:val="1"/>
        <w:numFmt w:val="decimal"/>
        <w:lvlText w:val="%1.%2.%3.%4.%5.%6.%7"/>
        <w:lvlJc w:val="left"/>
        <w:pPr>
          <w:tabs>
            <w:tab w:val="num" w:pos="5760"/>
          </w:tabs>
          <w:ind w:left="5760" w:hanging="1440"/>
        </w:pPr>
        <w:rPr>
          <w:rFonts w:hint="default"/>
        </w:rPr>
      </w:lvl>
    </w:lvlOverride>
    <w:lvlOverride w:ilvl="7">
      <w:lvl w:ilvl="7">
        <w:start w:val="1"/>
        <w:numFmt w:val="decimal"/>
        <w:lvlText w:val="%1.%2.%3.%4.%5.%6.%7.%8"/>
        <w:lvlJc w:val="left"/>
        <w:pPr>
          <w:tabs>
            <w:tab w:val="num" w:pos="6480"/>
          </w:tabs>
          <w:ind w:left="6480" w:hanging="1440"/>
        </w:pPr>
        <w:rPr>
          <w:rFonts w:hint="default"/>
        </w:rPr>
      </w:lvl>
    </w:lvlOverride>
    <w:lvlOverride w:ilvl="8">
      <w:lvl w:ilvl="8">
        <w:start w:val="1"/>
        <w:numFmt w:val="decimal"/>
        <w:lvlText w:val="%1.%2.%3.%4.%5.%6.%7.%8.%9"/>
        <w:lvlJc w:val="left"/>
        <w:pPr>
          <w:tabs>
            <w:tab w:val="num" w:pos="7560"/>
          </w:tabs>
          <w:ind w:left="7560" w:hanging="1800"/>
        </w:pPr>
        <w:rPr>
          <w:rFonts w:hint="default"/>
        </w:rPr>
      </w:lvl>
    </w:lvlOverride>
  </w:num>
  <w:num w:numId="25">
    <w:abstractNumId w:val="11"/>
  </w:num>
  <w:num w:numId="26">
    <w:abstractNumId w:val="14"/>
  </w:num>
  <w:num w:numId="27">
    <w:abstractNumId w:val="4"/>
  </w:num>
  <w:num w:numId="28">
    <w:abstractNumId w:val="21"/>
  </w:num>
  <w:num w:numId="29">
    <w:abstractNumId w:val="19"/>
  </w:num>
  <w:num w:numId="30">
    <w:abstractNumId w:val="20"/>
    <w:lvlOverride w:ilvl="0">
      <w:lvl w:ilvl="0">
        <w:start w:val="1"/>
        <w:numFmt w:val="decimal"/>
        <w:pStyle w:val="Heading1"/>
        <w:suff w:val="space"/>
        <w:lvlText w:val="%1"/>
        <w:lvlJc w:val="left"/>
        <w:pPr>
          <w:ind w:left="0" w:firstLine="0"/>
        </w:pPr>
        <w:rPr>
          <w:rFonts w:ascii="Britannic Bold" w:hAnsi="Britannic Bold" w:hint="default"/>
          <w:b w:val="0"/>
          <w:bCs w:val="0"/>
          <w:i w:val="0"/>
          <w:iCs w:val="0"/>
          <w:caps w:val="0"/>
          <w:smallCaps w:val="0"/>
          <w:strike w:val="0"/>
          <w:dstrike w:val="0"/>
          <w:vanish w:val="0"/>
          <w:color w:val="FFFFFF" w:themeColor="background1"/>
          <w:spacing w:val="0"/>
          <w:kern w:val="0"/>
          <w:position w:val="0"/>
          <w:sz w:val="52"/>
          <w:szCs w:val="52"/>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lvlText w:val="%1.%2.%3"/>
        <w:lvlJc w:val="left"/>
        <w:pPr>
          <w:tabs>
            <w:tab w:val="num" w:pos="576"/>
          </w:tabs>
          <w:ind w:left="0" w:firstLine="0"/>
        </w:pPr>
        <w:rPr>
          <w:rFonts w:ascii="Century Gothic" w:hAnsi="Century Gothic" w:cs="Arial" w:hint="default"/>
          <w:b/>
          <w:bCs w:val="0"/>
          <w:i w:val="0"/>
          <w:iCs w:val="0"/>
          <w:caps w:val="0"/>
          <w:smallCaps w:val="0"/>
          <w:strike w:val="0"/>
          <w:dstrike w:val="0"/>
          <w:snapToGrid w:val="0"/>
          <w:vanish w:val="0"/>
          <w:color w:val="448A99"/>
          <w:spacing w:val="0"/>
          <w:w w:val="0"/>
          <w:kern w:val="0"/>
          <w:position w:val="0"/>
          <w:szCs w:val="0"/>
          <w:u w:val="none"/>
          <w:vertAlign w:val="baseline"/>
          <w:em w:val="none"/>
        </w:rPr>
      </w:lvl>
    </w:lvlOverride>
    <w:lvlOverride w:ilvl="3">
      <w:lvl w:ilvl="3">
        <w:start w:val="1"/>
        <w:numFmt w:val="decimal"/>
        <w:pStyle w:val="Heading4"/>
        <w:suff w:val="space"/>
        <w:lvlText w:val="%1.%2.%3.%4"/>
        <w:lvlJc w:val="left"/>
        <w:pPr>
          <w:ind w:left="0" w:firstLine="0"/>
        </w:pPr>
        <w:rPr>
          <w:rFonts w:hint="default"/>
          <w:i/>
          <w:color w:val="auto"/>
        </w:rPr>
      </w:lvl>
    </w:lvlOverride>
    <w:lvlOverride w:ilvl="4">
      <w:lvl w:ilvl="4">
        <w:start w:val="1"/>
        <w:numFmt w:val="decimal"/>
        <w:lvlText w:val="%1.%2.%3.%4.%5"/>
        <w:lvlJc w:val="left"/>
        <w:pPr>
          <w:tabs>
            <w:tab w:val="num" w:pos="792"/>
          </w:tabs>
          <w:ind w:left="0" w:firstLine="0"/>
        </w:pPr>
        <w:rPr>
          <w:rFonts w:hint="default"/>
        </w:rPr>
      </w:lvl>
    </w:lvlOverride>
    <w:lvlOverride w:ilvl="5">
      <w:lvl w:ilvl="5">
        <w:start w:val="1"/>
        <w:numFmt w:val="decimal"/>
        <w:lvlText w:val="%1.%2.%3.%4.%5.%6"/>
        <w:lvlJc w:val="left"/>
        <w:pPr>
          <w:tabs>
            <w:tab w:val="num" w:pos="4680"/>
          </w:tabs>
          <w:ind w:left="4680" w:hanging="1080"/>
        </w:pPr>
        <w:rPr>
          <w:rFonts w:hint="default"/>
        </w:rPr>
      </w:lvl>
    </w:lvlOverride>
    <w:lvlOverride w:ilvl="6">
      <w:lvl w:ilvl="6">
        <w:start w:val="1"/>
        <w:numFmt w:val="decimal"/>
        <w:lvlText w:val="%1.%2.%3.%4.%5.%6.%7"/>
        <w:lvlJc w:val="left"/>
        <w:pPr>
          <w:tabs>
            <w:tab w:val="num" w:pos="5760"/>
          </w:tabs>
          <w:ind w:left="5760" w:hanging="1440"/>
        </w:pPr>
        <w:rPr>
          <w:rFonts w:hint="default"/>
        </w:rPr>
      </w:lvl>
    </w:lvlOverride>
    <w:lvlOverride w:ilvl="7">
      <w:lvl w:ilvl="7">
        <w:start w:val="1"/>
        <w:numFmt w:val="decimal"/>
        <w:lvlText w:val="%1.%2.%3.%4.%5.%6.%7.%8"/>
        <w:lvlJc w:val="left"/>
        <w:pPr>
          <w:tabs>
            <w:tab w:val="num" w:pos="6480"/>
          </w:tabs>
          <w:ind w:left="6480" w:hanging="1440"/>
        </w:pPr>
        <w:rPr>
          <w:rFonts w:hint="default"/>
        </w:rPr>
      </w:lvl>
    </w:lvlOverride>
    <w:lvlOverride w:ilvl="8">
      <w:lvl w:ilvl="8">
        <w:start w:val="1"/>
        <w:numFmt w:val="decimal"/>
        <w:lvlText w:val="%1.%2.%3.%4.%5.%6.%7.%8.%9"/>
        <w:lvlJc w:val="left"/>
        <w:pPr>
          <w:tabs>
            <w:tab w:val="num" w:pos="7560"/>
          </w:tabs>
          <w:ind w:left="7560" w:hanging="1800"/>
        </w:pPr>
        <w:rPr>
          <w:rFonts w:hint="default"/>
        </w:rPr>
      </w:lvl>
    </w:lvlOverride>
  </w:num>
  <w:num w:numId="31">
    <w:abstractNumId w:val="2"/>
  </w:num>
  <w:num w:numId="3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124"/>
    <w:rsid w:val="00003EC2"/>
    <w:rsid w:val="00004C53"/>
    <w:rsid w:val="00005A43"/>
    <w:rsid w:val="00005F25"/>
    <w:rsid w:val="00011303"/>
    <w:rsid w:val="00014A36"/>
    <w:rsid w:val="00016D8B"/>
    <w:rsid w:val="000204E3"/>
    <w:rsid w:val="00020918"/>
    <w:rsid w:val="00021AE6"/>
    <w:rsid w:val="00023C4C"/>
    <w:rsid w:val="000257B0"/>
    <w:rsid w:val="00026064"/>
    <w:rsid w:val="00027678"/>
    <w:rsid w:val="00031D42"/>
    <w:rsid w:val="00032E76"/>
    <w:rsid w:val="00033AC1"/>
    <w:rsid w:val="00034937"/>
    <w:rsid w:val="00035162"/>
    <w:rsid w:val="00035562"/>
    <w:rsid w:val="0003653D"/>
    <w:rsid w:val="00037A03"/>
    <w:rsid w:val="00041E64"/>
    <w:rsid w:val="00042FDD"/>
    <w:rsid w:val="000534CD"/>
    <w:rsid w:val="00053FCC"/>
    <w:rsid w:val="00056361"/>
    <w:rsid w:val="0005698E"/>
    <w:rsid w:val="00056B8C"/>
    <w:rsid w:val="000638CE"/>
    <w:rsid w:val="00063DBA"/>
    <w:rsid w:val="00064F02"/>
    <w:rsid w:val="00066BE0"/>
    <w:rsid w:val="00067454"/>
    <w:rsid w:val="00067B7E"/>
    <w:rsid w:val="00070270"/>
    <w:rsid w:val="00072D5D"/>
    <w:rsid w:val="00076BA5"/>
    <w:rsid w:val="00080614"/>
    <w:rsid w:val="0008127F"/>
    <w:rsid w:val="00081461"/>
    <w:rsid w:val="00083258"/>
    <w:rsid w:val="00085C85"/>
    <w:rsid w:val="000860B4"/>
    <w:rsid w:val="00086DAB"/>
    <w:rsid w:val="00090F5D"/>
    <w:rsid w:val="00093FBB"/>
    <w:rsid w:val="000A27E7"/>
    <w:rsid w:val="000A3FC0"/>
    <w:rsid w:val="000A4D58"/>
    <w:rsid w:val="000A4D7C"/>
    <w:rsid w:val="000A4E88"/>
    <w:rsid w:val="000A6D0D"/>
    <w:rsid w:val="000B3C2E"/>
    <w:rsid w:val="000B4462"/>
    <w:rsid w:val="000B7D39"/>
    <w:rsid w:val="000D0706"/>
    <w:rsid w:val="000D0C57"/>
    <w:rsid w:val="000D1A5D"/>
    <w:rsid w:val="000D5992"/>
    <w:rsid w:val="000D7E01"/>
    <w:rsid w:val="000E10EF"/>
    <w:rsid w:val="000E21BB"/>
    <w:rsid w:val="000E3716"/>
    <w:rsid w:val="000E4D52"/>
    <w:rsid w:val="000E5956"/>
    <w:rsid w:val="000E5A92"/>
    <w:rsid w:val="000E5C98"/>
    <w:rsid w:val="000F2F46"/>
    <w:rsid w:val="000F38AD"/>
    <w:rsid w:val="000F4A74"/>
    <w:rsid w:val="000F517F"/>
    <w:rsid w:val="001004B0"/>
    <w:rsid w:val="00100771"/>
    <w:rsid w:val="00102F2A"/>
    <w:rsid w:val="00104EF2"/>
    <w:rsid w:val="001115EC"/>
    <w:rsid w:val="00111BEB"/>
    <w:rsid w:val="001207D0"/>
    <w:rsid w:val="00123C18"/>
    <w:rsid w:val="001259C2"/>
    <w:rsid w:val="00130936"/>
    <w:rsid w:val="001311D1"/>
    <w:rsid w:val="00131664"/>
    <w:rsid w:val="0013456D"/>
    <w:rsid w:val="0013694B"/>
    <w:rsid w:val="00146081"/>
    <w:rsid w:val="00151E3A"/>
    <w:rsid w:val="00152180"/>
    <w:rsid w:val="0015640C"/>
    <w:rsid w:val="0015652F"/>
    <w:rsid w:val="00157CC8"/>
    <w:rsid w:val="001607DE"/>
    <w:rsid w:val="00161A54"/>
    <w:rsid w:val="00162EA5"/>
    <w:rsid w:val="00171002"/>
    <w:rsid w:val="0017350E"/>
    <w:rsid w:val="0017566E"/>
    <w:rsid w:val="001816FF"/>
    <w:rsid w:val="00183731"/>
    <w:rsid w:val="00183794"/>
    <w:rsid w:val="00183F4F"/>
    <w:rsid w:val="001861D2"/>
    <w:rsid w:val="00186B10"/>
    <w:rsid w:val="0019263E"/>
    <w:rsid w:val="00192C4D"/>
    <w:rsid w:val="001A2A28"/>
    <w:rsid w:val="001A4C83"/>
    <w:rsid w:val="001A70F2"/>
    <w:rsid w:val="001A768D"/>
    <w:rsid w:val="001B01F1"/>
    <w:rsid w:val="001B065B"/>
    <w:rsid w:val="001B1C28"/>
    <w:rsid w:val="001B4EFA"/>
    <w:rsid w:val="001B508B"/>
    <w:rsid w:val="001B5F04"/>
    <w:rsid w:val="001C10E0"/>
    <w:rsid w:val="001C3844"/>
    <w:rsid w:val="001C3BF8"/>
    <w:rsid w:val="001C4539"/>
    <w:rsid w:val="001C6F7C"/>
    <w:rsid w:val="001D09DF"/>
    <w:rsid w:val="001D0AD5"/>
    <w:rsid w:val="001D113C"/>
    <w:rsid w:val="001D138D"/>
    <w:rsid w:val="001D1A0B"/>
    <w:rsid w:val="001D335B"/>
    <w:rsid w:val="001D3B6D"/>
    <w:rsid w:val="001D3D37"/>
    <w:rsid w:val="001D5ED5"/>
    <w:rsid w:val="001E232E"/>
    <w:rsid w:val="001E549C"/>
    <w:rsid w:val="001E6CB8"/>
    <w:rsid w:val="001E7663"/>
    <w:rsid w:val="001F025B"/>
    <w:rsid w:val="001F2749"/>
    <w:rsid w:val="001F4D1A"/>
    <w:rsid w:val="001F6758"/>
    <w:rsid w:val="001F76C8"/>
    <w:rsid w:val="00200D14"/>
    <w:rsid w:val="0020488E"/>
    <w:rsid w:val="00204CA6"/>
    <w:rsid w:val="0020692C"/>
    <w:rsid w:val="00206B4D"/>
    <w:rsid w:val="00210471"/>
    <w:rsid w:val="002105B0"/>
    <w:rsid w:val="0021060F"/>
    <w:rsid w:val="00211AF5"/>
    <w:rsid w:val="00213BCA"/>
    <w:rsid w:val="002142A9"/>
    <w:rsid w:val="002143D1"/>
    <w:rsid w:val="00215B2D"/>
    <w:rsid w:val="0021675B"/>
    <w:rsid w:val="00216DA0"/>
    <w:rsid w:val="0021705D"/>
    <w:rsid w:val="00220036"/>
    <w:rsid w:val="00221CBF"/>
    <w:rsid w:val="002229FC"/>
    <w:rsid w:val="00225029"/>
    <w:rsid w:val="002275E3"/>
    <w:rsid w:val="00227B43"/>
    <w:rsid w:val="00230CF1"/>
    <w:rsid w:val="0023165E"/>
    <w:rsid w:val="002324F5"/>
    <w:rsid w:val="00232FFC"/>
    <w:rsid w:val="0023308B"/>
    <w:rsid w:val="00237F6D"/>
    <w:rsid w:val="00240586"/>
    <w:rsid w:val="00250D48"/>
    <w:rsid w:val="00251854"/>
    <w:rsid w:val="00256484"/>
    <w:rsid w:val="002569CF"/>
    <w:rsid w:val="002571EE"/>
    <w:rsid w:val="00260827"/>
    <w:rsid w:val="00260BC4"/>
    <w:rsid w:val="00260F6F"/>
    <w:rsid w:val="00264592"/>
    <w:rsid w:val="00264B9F"/>
    <w:rsid w:val="00272105"/>
    <w:rsid w:val="0027365F"/>
    <w:rsid w:val="0028056B"/>
    <w:rsid w:val="00280B88"/>
    <w:rsid w:val="00280E20"/>
    <w:rsid w:val="00281B7F"/>
    <w:rsid w:val="00282A1B"/>
    <w:rsid w:val="00282ED2"/>
    <w:rsid w:val="0028301F"/>
    <w:rsid w:val="002877E0"/>
    <w:rsid w:val="00287D16"/>
    <w:rsid w:val="002907FC"/>
    <w:rsid w:val="002909D0"/>
    <w:rsid w:val="002917FB"/>
    <w:rsid w:val="00291D9E"/>
    <w:rsid w:val="00292031"/>
    <w:rsid w:val="002948AB"/>
    <w:rsid w:val="00294983"/>
    <w:rsid w:val="00294B1D"/>
    <w:rsid w:val="002977D3"/>
    <w:rsid w:val="00297A0A"/>
    <w:rsid w:val="00297CEC"/>
    <w:rsid w:val="002A445E"/>
    <w:rsid w:val="002B69D9"/>
    <w:rsid w:val="002B6C8C"/>
    <w:rsid w:val="002C0CDD"/>
    <w:rsid w:val="002C1517"/>
    <w:rsid w:val="002C17ED"/>
    <w:rsid w:val="002C1953"/>
    <w:rsid w:val="002C383C"/>
    <w:rsid w:val="002C4072"/>
    <w:rsid w:val="002C5A82"/>
    <w:rsid w:val="002C6372"/>
    <w:rsid w:val="002C6D71"/>
    <w:rsid w:val="002D0AD2"/>
    <w:rsid w:val="002D14A2"/>
    <w:rsid w:val="002D15F0"/>
    <w:rsid w:val="002D3648"/>
    <w:rsid w:val="002D57B8"/>
    <w:rsid w:val="002D5A62"/>
    <w:rsid w:val="002D5EBB"/>
    <w:rsid w:val="002D6167"/>
    <w:rsid w:val="002D6436"/>
    <w:rsid w:val="002D7EE4"/>
    <w:rsid w:val="002E0003"/>
    <w:rsid w:val="002E05C6"/>
    <w:rsid w:val="002E442D"/>
    <w:rsid w:val="002E63F9"/>
    <w:rsid w:val="002F1F18"/>
    <w:rsid w:val="002F1FC5"/>
    <w:rsid w:val="002F218A"/>
    <w:rsid w:val="002F2DE2"/>
    <w:rsid w:val="002F4BE1"/>
    <w:rsid w:val="002F761C"/>
    <w:rsid w:val="003029CC"/>
    <w:rsid w:val="00302AB0"/>
    <w:rsid w:val="00304407"/>
    <w:rsid w:val="0030508C"/>
    <w:rsid w:val="0031025D"/>
    <w:rsid w:val="0031271C"/>
    <w:rsid w:val="003137B3"/>
    <w:rsid w:val="00314FBC"/>
    <w:rsid w:val="00315F28"/>
    <w:rsid w:val="0032125C"/>
    <w:rsid w:val="0032135C"/>
    <w:rsid w:val="003221E5"/>
    <w:rsid w:val="003227B8"/>
    <w:rsid w:val="0032483A"/>
    <w:rsid w:val="00324D1D"/>
    <w:rsid w:val="00325B3B"/>
    <w:rsid w:val="00326FBD"/>
    <w:rsid w:val="0032721A"/>
    <w:rsid w:val="00331332"/>
    <w:rsid w:val="0033300A"/>
    <w:rsid w:val="00337CFF"/>
    <w:rsid w:val="00341F7F"/>
    <w:rsid w:val="00344A09"/>
    <w:rsid w:val="003458D7"/>
    <w:rsid w:val="003470A0"/>
    <w:rsid w:val="003475E8"/>
    <w:rsid w:val="003477F0"/>
    <w:rsid w:val="00347CBF"/>
    <w:rsid w:val="0035102B"/>
    <w:rsid w:val="00354484"/>
    <w:rsid w:val="00355844"/>
    <w:rsid w:val="00356894"/>
    <w:rsid w:val="00360EF8"/>
    <w:rsid w:val="003610BB"/>
    <w:rsid w:val="00361A46"/>
    <w:rsid w:val="003643BE"/>
    <w:rsid w:val="0036473C"/>
    <w:rsid w:val="00367895"/>
    <w:rsid w:val="00371188"/>
    <w:rsid w:val="00375DCB"/>
    <w:rsid w:val="003772D0"/>
    <w:rsid w:val="00377703"/>
    <w:rsid w:val="00382C39"/>
    <w:rsid w:val="0038359F"/>
    <w:rsid w:val="0038395D"/>
    <w:rsid w:val="00387BDD"/>
    <w:rsid w:val="003901B6"/>
    <w:rsid w:val="003A1370"/>
    <w:rsid w:val="003A394E"/>
    <w:rsid w:val="003A4950"/>
    <w:rsid w:val="003A5C5F"/>
    <w:rsid w:val="003A76A0"/>
    <w:rsid w:val="003B436C"/>
    <w:rsid w:val="003B5C90"/>
    <w:rsid w:val="003C22EB"/>
    <w:rsid w:val="003C286C"/>
    <w:rsid w:val="003C40EC"/>
    <w:rsid w:val="003C4DEF"/>
    <w:rsid w:val="003C4E06"/>
    <w:rsid w:val="003D490E"/>
    <w:rsid w:val="003D72A9"/>
    <w:rsid w:val="003D7322"/>
    <w:rsid w:val="003E2AA4"/>
    <w:rsid w:val="003E2CE0"/>
    <w:rsid w:val="003E355C"/>
    <w:rsid w:val="003E6183"/>
    <w:rsid w:val="003E6C36"/>
    <w:rsid w:val="003E6D11"/>
    <w:rsid w:val="003F135C"/>
    <w:rsid w:val="003F3BF3"/>
    <w:rsid w:val="003F77C5"/>
    <w:rsid w:val="00400388"/>
    <w:rsid w:val="00401310"/>
    <w:rsid w:val="004019E6"/>
    <w:rsid w:val="0040263E"/>
    <w:rsid w:val="00402735"/>
    <w:rsid w:val="00403D74"/>
    <w:rsid w:val="00404F86"/>
    <w:rsid w:val="00405D0F"/>
    <w:rsid w:val="004066FD"/>
    <w:rsid w:val="004108C9"/>
    <w:rsid w:val="00416641"/>
    <w:rsid w:val="004228D6"/>
    <w:rsid w:val="0042606A"/>
    <w:rsid w:val="00427CE3"/>
    <w:rsid w:val="004303C4"/>
    <w:rsid w:val="00431489"/>
    <w:rsid w:val="00433CEE"/>
    <w:rsid w:val="00433CF8"/>
    <w:rsid w:val="00434C16"/>
    <w:rsid w:val="004413F2"/>
    <w:rsid w:val="00441D23"/>
    <w:rsid w:val="004421F6"/>
    <w:rsid w:val="00442A32"/>
    <w:rsid w:val="00444AC7"/>
    <w:rsid w:val="00450093"/>
    <w:rsid w:val="004507BF"/>
    <w:rsid w:val="00451923"/>
    <w:rsid w:val="00453F69"/>
    <w:rsid w:val="0045410E"/>
    <w:rsid w:val="00455B46"/>
    <w:rsid w:val="004571C0"/>
    <w:rsid w:val="00460ED6"/>
    <w:rsid w:val="0046382F"/>
    <w:rsid w:val="0046447C"/>
    <w:rsid w:val="004661EA"/>
    <w:rsid w:val="00467380"/>
    <w:rsid w:val="00471FCF"/>
    <w:rsid w:val="0047436E"/>
    <w:rsid w:val="00476C6F"/>
    <w:rsid w:val="00477EE4"/>
    <w:rsid w:val="004808A1"/>
    <w:rsid w:val="004822C1"/>
    <w:rsid w:val="00486DCA"/>
    <w:rsid w:val="0049014A"/>
    <w:rsid w:val="00490B88"/>
    <w:rsid w:val="0049120E"/>
    <w:rsid w:val="004920E4"/>
    <w:rsid w:val="00492395"/>
    <w:rsid w:val="00496DAD"/>
    <w:rsid w:val="00497B08"/>
    <w:rsid w:val="004A0696"/>
    <w:rsid w:val="004A2466"/>
    <w:rsid w:val="004A4136"/>
    <w:rsid w:val="004A58DD"/>
    <w:rsid w:val="004A6375"/>
    <w:rsid w:val="004B2F77"/>
    <w:rsid w:val="004B57F4"/>
    <w:rsid w:val="004C18CF"/>
    <w:rsid w:val="004C37A4"/>
    <w:rsid w:val="004C4A16"/>
    <w:rsid w:val="004D13F3"/>
    <w:rsid w:val="004D1476"/>
    <w:rsid w:val="004D2875"/>
    <w:rsid w:val="004D404A"/>
    <w:rsid w:val="004D4BB5"/>
    <w:rsid w:val="004D5B66"/>
    <w:rsid w:val="004D5D50"/>
    <w:rsid w:val="004D6F52"/>
    <w:rsid w:val="004D7625"/>
    <w:rsid w:val="004E050E"/>
    <w:rsid w:val="004E0C23"/>
    <w:rsid w:val="004E0D2E"/>
    <w:rsid w:val="004E34E6"/>
    <w:rsid w:val="004E47B8"/>
    <w:rsid w:val="004E48F0"/>
    <w:rsid w:val="004E56B1"/>
    <w:rsid w:val="004E5919"/>
    <w:rsid w:val="004E647D"/>
    <w:rsid w:val="004E678D"/>
    <w:rsid w:val="004E6DB0"/>
    <w:rsid w:val="004F01C7"/>
    <w:rsid w:val="004F0D26"/>
    <w:rsid w:val="004F299E"/>
    <w:rsid w:val="004F2C75"/>
    <w:rsid w:val="004F2F63"/>
    <w:rsid w:val="004F6BCF"/>
    <w:rsid w:val="00500818"/>
    <w:rsid w:val="00502F9F"/>
    <w:rsid w:val="005033A7"/>
    <w:rsid w:val="00504DA7"/>
    <w:rsid w:val="00506E99"/>
    <w:rsid w:val="00512D93"/>
    <w:rsid w:val="0051353E"/>
    <w:rsid w:val="00523DB7"/>
    <w:rsid w:val="005263EC"/>
    <w:rsid w:val="00526DF1"/>
    <w:rsid w:val="0053081A"/>
    <w:rsid w:val="00530996"/>
    <w:rsid w:val="00530B9C"/>
    <w:rsid w:val="00531AFA"/>
    <w:rsid w:val="00532862"/>
    <w:rsid w:val="00532DDB"/>
    <w:rsid w:val="0054066A"/>
    <w:rsid w:val="005414F9"/>
    <w:rsid w:val="00544444"/>
    <w:rsid w:val="00545599"/>
    <w:rsid w:val="00546FD8"/>
    <w:rsid w:val="005506F5"/>
    <w:rsid w:val="0055442F"/>
    <w:rsid w:val="00554444"/>
    <w:rsid w:val="00557119"/>
    <w:rsid w:val="005573D3"/>
    <w:rsid w:val="005608C5"/>
    <w:rsid w:val="00560CA0"/>
    <w:rsid w:val="00570067"/>
    <w:rsid w:val="00570C99"/>
    <w:rsid w:val="005729D6"/>
    <w:rsid w:val="00575CA4"/>
    <w:rsid w:val="005825AA"/>
    <w:rsid w:val="00583A74"/>
    <w:rsid w:val="00583EBC"/>
    <w:rsid w:val="00584938"/>
    <w:rsid w:val="005852D3"/>
    <w:rsid w:val="005856EB"/>
    <w:rsid w:val="00586868"/>
    <w:rsid w:val="0058741E"/>
    <w:rsid w:val="00587D48"/>
    <w:rsid w:val="00587F7C"/>
    <w:rsid w:val="00590412"/>
    <w:rsid w:val="0059158B"/>
    <w:rsid w:val="0059185C"/>
    <w:rsid w:val="00596616"/>
    <w:rsid w:val="005A043C"/>
    <w:rsid w:val="005A1427"/>
    <w:rsid w:val="005A1EE3"/>
    <w:rsid w:val="005A71A5"/>
    <w:rsid w:val="005B0E8A"/>
    <w:rsid w:val="005B100D"/>
    <w:rsid w:val="005B1398"/>
    <w:rsid w:val="005B1E37"/>
    <w:rsid w:val="005B247A"/>
    <w:rsid w:val="005B2E48"/>
    <w:rsid w:val="005B4E0C"/>
    <w:rsid w:val="005B65CC"/>
    <w:rsid w:val="005B680D"/>
    <w:rsid w:val="005B6A87"/>
    <w:rsid w:val="005C11DF"/>
    <w:rsid w:val="005C20AA"/>
    <w:rsid w:val="005C53E0"/>
    <w:rsid w:val="005D048A"/>
    <w:rsid w:val="005D08F6"/>
    <w:rsid w:val="005D4F34"/>
    <w:rsid w:val="005D5708"/>
    <w:rsid w:val="005D5FF5"/>
    <w:rsid w:val="005E002A"/>
    <w:rsid w:val="005E02D5"/>
    <w:rsid w:val="005E3A53"/>
    <w:rsid w:val="005E7C6A"/>
    <w:rsid w:val="005F0179"/>
    <w:rsid w:val="005F0EC6"/>
    <w:rsid w:val="005F0F74"/>
    <w:rsid w:val="005F151D"/>
    <w:rsid w:val="005F15FB"/>
    <w:rsid w:val="005F3690"/>
    <w:rsid w:val="005F3FEF"/>
    <w:rsid w:val="005F6AE1"/>
    <w:rsid w:val="005F7BC5"/>
    <w:rsid w:val="005F7D14"/>
    <w:rsid w:val="00600360"/>
    <w:rsid w:val="0060395A"/>
    <w:rsid w:val="0060408E"/>
    <w:rsid w:val="00605322"/>
    <w:rsid w:val="00606782"/>
    <w:rsid w:val="0061192C"/>
    <w:rsid w:val="00613115"/>
    <w:rsid w:val="006133A0"/>
    <w:rsid w:val="006157AC"/>
    <w:rsid w:val="00621357"/>
    <w:rsid w:val="00622FC2"/>
    <w:rsid w:val="0062355C"/>
    <w:rsid w:val="006359B8"/>
    <w:rsid w:val="00636990"/>
    <w:rsid w:val="0063756B"/>
    <w:rsid w:val="00640728"/>
    <w:rsid w:val="00643364"/>
    <w:rsid w:val="00643808"/>
    <w:rsid w:val="00643942"/>
    <w:rsid w:val="006454DA"/>
    <w:rsid w:val="006470CF"/>
    <w:rsid w:val="006503C4"/>
    <w:rsid w:val="00652487"/>
    <w:rsid w:val="00652B87"/>
    <w:rsid w:val="006547C8"/>
    <w:rsid w:val="00656881"/>
    <w:rsid w:val="00660EDD"/>
    <w:rsid w:val="00665516"/>
    <w:rsid w:val="00666956"/>
    <w:rsid w:val="00666D61"/>
    <w:rsid w:val="006740AF"/>
    <w:rsid w:val="00675F85"/>
    <w:rsid w:val="00676578"/>
    <w:rsid w:val="00677F73"/>
    <w:rsid w:val="00681D86"/>
    <w:rsid w:val="00682654"/>
    <w:rsid w:val="006829BC"/>
    <w:rsid w:val="00684C5E"/>
    <w:rsid w:val="0068522B"/>
    <w:rsid w:val="00687A98"/>
    <w:rsid w:val="00696FF0"/>
    <w:rsid w:val="006A0404"/>
    <w:rsid w:val="006A0B4F"/>
    <w:rsid w:val="006A28A6"/>
    <w:rsid w:val="006A2D08"/>
    <w:rsid w:val="006A320B"/>
    <w:rsid w:val="006B1373"/>
    <w:rsid w:val="006B31F3"/>
    <w:rsid w:val="006B5201"/>
    <w:rsid w:val="006C051C"/>
    <w:rsid w:val="006C7072"/>
    <w:rsid w:val="006D311C"/>
    <w:rsid w:val="006D61CD"/>
    <w:rsid w:val="006D6418"/>
    <w:rsid w:val="006E1694"/>
    <w:rsid w:val="006E2124"/>
    <w:rsid w:val="006E2A36"/>
    <w:rsid w:val="006E74BF"/>
    <w:rsid w:val="006F3057"/>
    <w:rsid w:val="006F38B6"/>
    <w:rsid w:val="006F3B9B"/>
    <w:rsid w:val="006F6CE9"/>
    <w:rsid w:val="00700410"/>
    <w:rsid w:val="007006AA"/>
    <w:rsid w:val="0070187F"/>
    <w:rsid w:val="007027FE"/>
    <w:rsid w:val="00702BF4"/>
    <w:rsid w:val="00702C79"/>
    <w:rsid w:val="00704611"/>
    <w:rsid w:val="00707BF0"/>
    <w:rsid w:val="00710FF5"/>
    <w:rsid w:val="0071144F"/>
    <w:rsid w:val="007119CE"/>
    <w:rsid w:val="00715A97"/>
    <w:rsid w:val="00720A22"/>
    <w:rsid w:val="00721067"/>
    <w:rsid w:val="0072353A"/>
    <w:rsid w:val="007257F4"/>
    <w:rsid w:val="0073034E"/>
    <w:rsid w:val="007306EC"/>
    <w:rsid w:val="007309D6"/>
    <w:rsid w:val="00732202"/>
    <w:rsid w:val="007323EE"/>
    <w:rsid w:val="007332FC"/>
    <w:rsid w:val="0073339F"/>
    <w:rsid w:val="007340FB"/>
    <w:rsid w:val="00736D72"/>
    <w:rsid w:val="00740416"/>
    <w:rsid w:val="00741A91"/>
    <w:rsid w:val="00743B15"/>
    <w:rsid w:val="007453EA"/>
    <w:rsid w:val="00745FDF"/>
    <w:rsid w:val="00751682"/>
    <w:rsid w:val="00751D58"/>
    <w:rsid w:val="00753B57"/>
    <w:rsid w:val="00755E97"/>
    <w:rsid w:val="00755EF7"/>
    <w:rsid w:val="00757647"/>
    <w:rsid w:val="007607F3"/>
    <w:rsid w:val="00763757"/>
    <w:rsid w:val="007637CF"/>
    <w:rsid w:val="00763FEF"/>
    <w:rsid w:val="00767867"/>
    <w:rsid w:val="00770B11"/>
    <w:rsid w:val="00776412"/>
    <w:rsid w:val="00782942"/>
    <w:rsid w:val="00782E15"/>
    <w:rsid w:val="00785B3E"/>
    <w:rsid w:val="00792357"/>
    <w:rsid w:val="00793720"/>
    <w:rsid w:val="00795096"/>
    <w:rsid w:val="007965C1"/>
    <w:rsid w:val="00796EBF"/>
    <w:rsid w:val="00796F35"/>
    <w:rsid w:val="00797E21"/>
    <w:rsid w:val="007A4373"/>
    <w:rsid w:val="007A4F01"/>
    <w:rsid w:val="007A558D"/>
    <w:rsid w:val="007A789F"/>
    <w:rsid w:val="007B2CAF"/>
    <w:rsid w:val="007B3A9E"/>
    <w:rsid w:val="007B4AE0"/>
    <w:rsid w:val="007B4F2C"/>
    <w:rsid w:val="007B5C1B"/>
    <w:rsid w:val="007B643C"/>
    <w:rsid w:val="007C0547"/>
    <w:rsid w:val="007C1A77"/>
    <w:rsid w:val="007C3147"/>
    <w:rsid w:val="007C328A"/>
    <w:rsid w:val="007C4219"/>
    <w:rsid w:val="007D0103"/>
    <w:rsid w:val="007D13BF"/>
    <w:rsid w:val="007D6409"/>
    <w:rsid w:val="007E397A"/>
    <w:rsid w:val="007F0B4C"/>
    <w:rsid w:val="007F1EB9"/>
    <w:rsid w:val="007F3829"/>
    <w:rsid w:val="007F473C"/>
    <w:rsid w:val="007F5375"/>
    <w:rsid w:val="007F53E6"/>
    <w:rsid w:val="00800462"/>
    <w:rsid w:val="0080257E"/>
    <w:rsid w:val="00803A3F"/>
    <w:rsid w:val="00803DBE"/>
    <w:rsid w:val="008055DA"/>
    <w:rsid w:val="008067E9"/>
    <w:rsid w:val="0080690E"/>
    <w:rsid w:val="008072A3"/>
    <w:rsid w:val="00812885"/>
    <w:rsid w:val="0081339C"/>
    <w:rsid w:val="00813FE4"/>
    <w:rsid w:val="00821C71"/>
    <w:rsid w:val="00821FA3"/>
    <w:rsid w:val="00822B19"/>
    <w:rsid w:val="0082377B"/>
    <w:rsid w:val="0082456D"/>
    <w:rsid w:val="00825CB3"/>
    <w:rsid w:val="00826C86"/>
    <w:rsid w:val="00833E4A"/>
    <w:rsid w:val="00834A8E"/>
    <w:rsid w:val="00835093"/>
    <w:rsid w:val="00836346"/>
    <w:rsid w:val="00842178"/>
    <w:rsid w:val="00843531"/>
    <w:rsid w:val="008435A8"/>
    <w:rsid w:val="00844B75"/>
    <w:rsid w:val="00844BA9"/>
    <w:rsid w:val="008456FC"/>
    <w:rsid w:val="00846240"/>
    <w:rsid w:val="00850055"/>
    <w:rsid w:val="00857521"/>
    <w:rsid w:val="00857DFB"/>
    <w:rsid w:val="00861A7C"/>
    <w:rsid w:val="0086287B"/>
    <w:rsid w:val="00865F1F"/>
    <w:rsid w:val="008778AB"/>
    <w:rsid w:val="00880260"/>
    <w:rsid w:val="00880C74"/>
    <w:rsid w:val="008816DB"/>
    <w:rsid w:val="0088266D"/>
    <w:rsid w:val="00886534"/>
    <w:rsid w:val="00886D31"/>
    <w:rsid w:val="00887E49"/>
    <w:rsid w:val="00895E53"/>
    <w:rsid w:val="008A1807"/>
    <w:rsid w:val="008A4745"/>
    <w:rsid w:val="008A5BBE"/>
    <w:rsid w:val="008A772E"/>
    <w:rsid w:val="008B0A8E"/>
    <w:rsid w:val="008B45E3"/>
    <w:rsid w:val="008B5322"/>
    <w:rsid w:val="008B670F"/>
    <w:rsid w:val="008C3783"/>
    <w:rsid w:val="008C4104"/>
    <w:rsid w:val="008C4566"/>
    <w:rsid w:val="008C53F5"/>
    <w:rsid w:val="008C724C"/>
    <w:rsid w:val="008D19F8"/>
    <w:rsid w:val="008D244B"/>
    <w:rsid w:val="008D359C"/>
    <w:rsid w:val="008D4A01"/>
    <w:rsid w:val="008D55AB"/>
    <w:rsid w:val="008D678D"/>
    <w:rsid w:val="008D6A51"/>
    <w:rsid w:val="008D7724"/>
    <w:rsid w:val="008E0B32"/>
    <w:rsid w:val="008E74DA"/>
    <w:rsid w:val="008F15A7"/>
    <w:rsid w:val="008F3494"/>
    <w:rsid w:val="008F39AB"/>
    <w:rsid w:val="008F3A05"/>
    <w:rsid w:val="008F44EC"/>
    <w:rsid w:val="008F69E1"/>
    <w:rsid w:val="008F7D06"/>
    <w:rsid w:val="009009A1"/>
    <w:rsid w:val="00903D36"/>
    <w:rsid w:val="00910FEB"/>
    <w:rsid w:val="009114DD"/>
    <w:rsid w:val="00911C18"/>
    <w:rsid w:val="009127A3"/>
    <w:rsid w:val="00913402"/>
    <w:rsid w:val="00913926"/>
    <w:rsid w:val="009157AC"/>
    <w:rsid w:val="00916EF7"/>
    <w:rsid w:val="00922A36"/>
    <w:rsid w:val="00923DF1"/>
    <w:rsid w:val="00925E07"/>
    <w:rsid w:val="00927438"/>
    <w:rsid w:val="00927ED5"/>
    <w:rsid w:val="00930E2D"/>
    <w:rsid w:val="009330CF"/>
    <w:rsid w:val="00933579"/>
    <w:rsid w:val="0093428B"/>
    <w:rsid w:val="009344A3"/>
    <w:rsid w:val="00936D7C"/>
    <w:rsid w:val="009370BC"/>
    <w:rsid w:val="009374D2"/>
    <w:rsid w:val="00937799"/>
    <w:rsid w:val="0094239B"/>
    <w:rsid w:val="00942C46"/>
    <w:rsid w:val="00942EA6"/>
    <w:rsid w:val="009466D9"/>
    <w:rsid w:val="00946843"/>
    <w:rsid w:val="009500BA"/>
    <w:rsid w:val="00950DB9"/>
    <w:rsid w:val="009522B0"/>
    <w:rsid w:val="009530D2"/>
    <w:rsid w:val="0095463F"/>
    <w:rsid w:val="00955CFC"/>
    <w:rsid w:val="00961F0E"/>
    <w:rsid w:val="009626FE"/>
    <w:rsid w:val="009652A2"/>
    <w:rsid w:val="009672E9"/>
    <w:rsid w:val="00972997"/>
    <w:rsid w:val="009759BA"/>
    <w:rsid w:val="00977947"/>
    <w:rsid w:val="00981646"/>
    <w:rsid w:val="00985548"/>
    <w:rsid w:val="00986CAC"/>
    <w:rsid w:val="00987F9B"/>
    <w:rsid w:val="00990D1A"/>
    <w:rsid w:val="0099197E"/>
    <w:rsid w:val="00991CAE"/>
    <w:rsid w:val="009926FF"/>
    <w:rsid w:val="0099272E"/>
    <w:rsid w:val="00996169"/>
    <w:rsid w:val="009A27E2"/>
    <w:rsid w:val="009A29B4"/>
    <w:rsid w:val="009A2C24"/>
    <w:rsid w:val="009A3400"/>
    <w:rsid w:val="009A6034"/>
    <w:rsid w:val="009A6889"/>
    <w:rsid w:val="009A6C25"/>
    <w:rsid w:val="009A6D3D"/>
    <w:rsid w:val="009A7FA0"/>
    <w:rsid w:val="009B0088"/>
    <w:rsid w:val="009B5FE4"/>
    <w:rsid w:val="009B6461"/>
    <w:rsid w:val="009B66FB"/>
    <w:rsid w:val="009C0153"/>
    <w:rsid w:val="009C028F"/>
    <w:rsid w:val="009C5C2C"/>
    <w:rsid w:val="009C64D0"/>
    <w:rsid w:val="009C799B"/>
    <w:rsid w:val="009D0842"/>
    <w:rsid w:val="009D2C1F"/>
    <w:rsid w:val="009D318D"/>
    <w:rsid w:val="009D5798"/>
    <w:rsid w:val="009D742E"/>
    <w:rsid w:val="009E1479"/>
    <w:rsid w:val="009F05A7"/>
    <w:rsid w:val="009F20B9"/>
    <w:rsid w:val="009F38C6"/>
    <w:rsid w:val="009F58E6"/>
    <w:rsid w:val="00A02352"/>
    <w:rsid w:val="00A044EB"/>
    <w:rsid w:val="00A05E93"/>
    <w:rsid w:val="00A05FD7"/>
    <w:rsid w:val="00A06570"/>
    <w:rsid w:val="00A10B6E"/>
    <w:rsid w:val="00A113EA"/>
    <w:rsid w:val="00A11600"/>
    <w:rsid w:val="00A1246F"/>
    <w:rsid w:val="00A153EA"/>
    <w:rsid w:val="00A158B7"/>
    <w:rsid w:val="00A205B6"/>
    <w:rsid w:val="00A229D3"/>
    <w:rsid w:val="00A244A9"/>
    <w:rsid w:val="00A2671F"/>
    <w:rsid w:val="00A314F7"/>
    <w:rsid w:val="00A32F30"/>
    <w:rsid w:val="00A432FE"/>
    <w:rsid w:val="00A465BF"/>
    <w:rsid w:val="00A4672A"/>
    <w:rsid w:val="00A46BF7"/>
    <w:rsid w:val="00A479EA"/>
    <w:rsid w:val="00A5388D"/>
    <w:rsid w:val="00A53BD9"/>
    <w:rsid w:val="00A54A79"/>
    <w:rsid w:val="00A5522D"/>
    <w:rsid w:val="00A57907"/>
    <w:rsid w:val="00A604D6"/>
    <w:rsid w:val="00A60793"/>
    <w:rsid w:val="00A61CA7"/>
    <w:rsid w:val="00A61F7D"/>
    <w:rsid w:val="00A63876"/>
    <w:rsid w:val="00A65803"/>
    <w:rsid w:val="00A66EFF"/>
    <w:rsid w:val="00A67696"/>
    <w:rsid w:val="00A71D69"/>
    <w:rsid w:val="00A741E5"/>
    <w:rsid w:val="00A80479"/>
    <w:rsid w:val="00A80935"/>
    <w:rsid w:val="00A83ABC"/>
    <w:rsid w:val="00A91FFC"/>
    <w:rsid w:val="00A92C90"/>
    <w:rsid w:val="00A9613A"/>
    <w:rsid w:val="00A9631D"/>
    <w:rsid w:val="00A96B8D"/>
    <w:rsid w:val="00A96CD0"/>
    <w:rsid w:val="00A96E92"/>
    <w:rsid w:val="00AA1650"/>
    <w:rsid w:val="00AA1FB4"/>
    <w:rsid w:val="00AA58DD"/>
    <w:rsid w:val="00AA6C97"/>
    <w:rsid w:val="00AB3457"/>
    <w:rsid w:val="00AB46EA"/>
    <w:rsid w:val="00AB4FEE"/>
    <w:rsid w:val="00AB5423"/>
    <w:rsid w:val="00AB64AA"/>
    <w:rsid w:val="00AC08DB"/>
    <w:rsid w:val="00AC3787"/>
    <w:rsid w:val="00AC4175"/>
    <w:rsid w:val="00AC658C"/>
    <w:rsid w:val="00AD078B"/>
    <w:rsid w:val="00AD2C38"/>
    <w:rsid w:val="00AD2D5C"/>
    <w:rsid w:val="00AD2E99"/>
    <w:rsid w:val="00AD3422"/>
    <w:rsid w:val="00AD7E52"/>
    <w:rsid w:val="00AE0A3B"/>
    <w:rsid w:val="00AE198E"/>
    <w:rsid w:val="00AE1BCE"/>
    <w:rsid w:val="00AE273A"/>
    <w:rsid w:val="00AE3246"/>
    <w:rsid w:val="00AE4009"/>
    <w:rsid w:val="00AE722D"/>
    <w:rsid w:val="00AF0057"/>
    <w:rsid w:val="00AF175F"/>
    <w:rsid w:val="00AF7E71"/>
    <w:rsid w:val="00B001EB"/>
    <w:rsid w:val="00B0410A"/>
    <w:rsid w:val="00B0713A"/>
    <w:rsid w:val="00B0772D"/>
    <w:rsid w:val="00B11F56"/>
    <w:rsid w:val="00B17135"/>
    <w:rsid w:val="00B1748A"/>
    <w:rsid w:val="00B177D1"/>
    <w:rsid w:val="00B20340"/>
    <w:rsid w:val="00B24684"/>
    <w:rsid w:val="00B25FE2"/>
    <w:rsid w:val="00B30322"/>
    <w:rsid w:val="00B31875"/>
    <w:rsid w:val="00B31E8A"/>
    <w:rsid w:val="00B416FB"/>
    <w:rsid w:val="00B42528"/>
    <w:rsid w:val="00B43CA8"/>
    <w:rsid w:val="00B463ED"/>
    <w:rsid w:val="00B522B6"/>
    <w:rsid w:val="00B5665B"/>
    <w:rsid w:val="00B573B2"/>
    <w:rsid w:val="00B67ACF"/>
    <w:rsid w:val="00B71588"/>
    <w:rsid w:val="00B72F37"/>
    <w:rsid w:val="00B77C6B"/>
    <w:rsid w:val="00B80C3D"/>
    <w:rsid w:val="00B8151D"/>
    <w:rsid w:val="00B82A70"/>
    <w:rsid w:val="00B84D8D"/>
    <w:rsid w:val="00B84EF4"/>
    <w:rsid w:val="00B8640C"/>
    <w:rsid w:val="00B91E64"/>
    <w:rsid w:val="00B921AA"/>
    <w:rsid w:val="00B94AD1"/>
    <w:rsid w:val="00B965B4"/>
    <w:rsid w:val="00BA2485"/>
    <w:rsid w:val="00BB2068"/>
    <w:rsid w:val="00BB79A3"/>
    <w:rsid w:val="00BC0320"/>
    <w:rsid w:val="00BC0F1A"/>
    <w:rsid w:val="00BC165D"/>
    <w:rsid w:val="00BC1F36"/>
    <w:rsid w:val="00BC2254"/>
    <w:rsid w:val="00BC2F10"/>
    <w:rsid w:val="00BC3193"/>
    <w:rsid w:val="00BC36D0"/>
    <w:rsid w:val="00BC5C37"/>
    <w:rsid w:val="00BC6F2C"/>
    <w:rsid w:val="00BD0A81"/>
    <w:rsid w:val="00BD3227"/>
    <w:rsid w:val="00BD4DCB"/>
    <w:rsid w:val="00BD70C1"/>
    <w:rsid w:val="00BE1301"/>
    <w:rsid w:val="00BE34CB"/>
    <w:rsid w:val="00BE6E71"/>
    <w:rsid w:val="00BE6EE3"/>
    <w:rsid w:val="00BE7AEC"/>
    <w:rsid w:val="00BF1C7B"/>
    <w:rsid w:val="00BF2769"/>
    <w:rsid w:val="00BF390D"/>
    <w:rsid w:val="00BF7D7A"/>
    <w:rsid w:val="00BF7FC2"/>
    <w:rsid w:val="00C02815"/>
    <w:rsid w:val="00C03B8E"/>
    <w:rsid w:val="00C04D12"/>
    <w:rsid w:val="00C05F12"/>
    <w:rsid w:val="00C064F2"/>
    <w:rsid w:val="00C06E5D"/>
    <w:rsid w:val="00C124E7"/>
    <w:rsid w:val="00C1407B"/>
    <w:rsid w:val="00C21CDD"/>
    <w:rsid w:val="00C25AD2"/>
    <w:rsid w:val="00C26687"/>
    <w:rsid w:val="00C33C0B"/>
    <w:rsid w:val="00C41816"/>
    <w:rsid w:val="00C441EB"/>
    <w:rsid w:val="00C4439E"/>
    <w:rsid w:val="00C46952"/>
    <w:rsid w:val="00C47CC3"/>
    <w:rsid w:val="00C5006E"/>
    <w:rsid w:val="00C50205"/>
    <w:rsid w:val="00C52819"/>
    <w:rsid w:val="00C55AE1"/>
    <w:rsid w:val="00C56300"/>
    <w:rsid w:val="00C56A43"/>
    <w:rsid w:val="00C61004"/>
    <w:rsid w:val="00C61EFF"/>
    <w:rsid w:val="00C653CA"/>
    <w:rsid w:val="00C65527"/>
    <w:rsid w:val="00C721E5"/>
    <w:rsid w:val="00C7297E"/>
    <w:rsid w:val="00C74AEB"/>
    <w:rsid w:val="00C7612F"/>
    <w:rsid w:val="00C76EFD"/>
    <w:rsid w:val="00C76F6E"/>
    <w:rsid w:val="00C84324"/>
    <w:rsid w:val="00C85C3A"/>
    <w:rsid w:val="00C90C8E"/>
    <w:rsid w:val="00C914C4"/>
    <w:rsid w:val="00C91B17"/>
    <w:rsid w:val="00C92728"/>
    <w:rsid w:val="00C94CE6"/>
    <w:rsid w:val="00C978F2"/>
    <w:rsid w:val="00CA0F28"/>
    <w:rsid w:val="00CA23C3"/>
    <w:rsid w:val="00CA2F53"/>
    <w:rsid w:val="00CA3FBE"/>
    <w:rsid w:val="00CA60B6"/>
    <w:rsid w:val="00CA723A"/>
    <w:rsid w:val="00CA7A59"/>
    <w:rsid w:val="00CB03D7"/>
    <w:rsid w:val="00CB099A"/>
    <w:rsid w:val="00CB59F0"/>
    <w:rsid w:val="00CB5ECF"/>
    <w:rsid w:val="00CB6154"/>
    <w:rsid w:val="00CC213A"/>
    <w:rsid w:val="00CC2318"/>
    <w:rsid w:val="00CC2CB8"/>
    <w:rsid w:val="00CC368D"/>
    <w:rsid w:val="00CC505F"/>
    <w:rsid w:val="00CC5A01"/>
    <w:rsid w:val="00CC6B58"/>
    <w:rsid w:val="00CD0CD4"/>
    <w:rsid w:val="00CD2389"/>
    <w:rsid w:val="00CD4F04"/>
    <w:rsid w:val="00CD632F"/>
    <w:rsid w:val="00CE0565"/>
    <w:rsid w:val="00CE0AEF"/>
    <w:rsid w:val="00CE1920"/>
    <w:rsid w:val="00CE35CF"/>
    <w:rsid w:val="00CE35EB"/>
    <w:rsid w:val="00CE489A"/>
    <w:rsid w:val="00CE5A48"/>
    <w:rsid w:val="00CF151F"/>
    <w:rsid w:val="00CF2678"/>
    <w:rsid w:val="00CF2BE5"/>
    <w:rsid w:val="00CF5F08"/>
    <w:rsid w:val="00CF78C2"/>
    <w:rsid w:val="00D019C8"/>
    <w:rsid w:val="00D02198"/>
    <w:rsid w:val="00D05F3B"/>
    <w:rsid w:val="00D0695A"/>
    <w:rsid w:val="00D10AE3"/>
    <w:rsid w:val="00D1152B"/>
    <w:rsid w:val="00D15B6A"/>
    <w:rsid w:val="00D15F89"/>
    <w:rsid w:val="00D16A3D"/>
    <w:rsid w:val="00D174FE"/>
    <w:rsid w:val="00D177F5"/>
    <w:rsid w:val="00D20624"/>
    <w:rsid w:val="00D25B55"/>
    <w:rsid w:val="00D2602C"/>
    <w:rsid w:val="00D31B6A"/>
    <w:rsid w:val="00D34A94"/>
    <w:rsid w:val="00D367B7"/>
    <w:rsid w:val="00D370C8"/>
    <w:rsid w:val="00D402F9"/>
    <w:rsid w:val="00D4111B"/>
    <w:rsid w:val="00D44037"/>
    <w:rsid w:val="00D446E8"/>
    <w:rsid w:val="00D52FDA"/>
    <w:rsid w:val="00D5366F"/>
    <w:rsid w:val="00D55564"/>
    <w:rsid w:val="00D55D55"/>
    <w:rsid w:val="00D57684"/>
    <w:rsid w:val="00D57A9A"/>
    <w:rsid w:val="00D6174F"/>
    <w:rsid w:val="00D63A76"/>
    <w:rsid w:val="00D6412A"/>
    <w:rsid w:val="00D67009"/>
    <w:rsid w:val="00D6785F"/>
    <w:rsid w:val="00D67B22"/>
    <w:rsid w:val="00D67E45"/>
    <w:rsid w:val="00D70B4D"/>
    <w:rsid w:val="00D71D8E"/>
    <w:rsid w:val="00D72635"/>
    <w:rsid w:val="00D72A69"/>
    <w:rsid w:val="00D7311D"/>
    <w:rsid w:val="00D73C1A"/>
    <w:rsid w:val="00D749FB"/>
    <w:rsid w:val="00D76F24"/>
    <w:rsid w:val="00D837FD"/>
    <w:rsid w:val="00D83B66"/>
    <w:rsid w:val="00D8472B"/>
    <w:rsid w:val="00D85131"/>
    <w:rsid w:val="00D85457"/>
    <w:rsid w:val="00D854EC"/>
    <w:rsid w:val="00D858E3"/>
    <w:rsid w:val="00D85C97"/>
    <w:rsid w:val="00D8780C"/>
    <w:rsid w:val="00D87D1C"/>
    <w:rsid w:val="00D91B6E"/>
    <w:rsid w:val="00D92A1E"/>
    <w:rsid w:val="00D97D50"/>
    <w:rsid w:val="00DA054F"/>
    <w:rsid w:val="00DA2D09"/>
    <w:rsid w:val="00DA31B7"/>
    <w:rsid w:val="00DB0B32"/>
    <w:rsid w:val="00DB2BA1"/>
    <w:rsid w:val="00DB4738"/>
    <w:rsid w:val="00DB5A24"/>
    <w:rsid w:val="00DC1168"/>
    <w:rsid w:val="00DD26CD"/>
    <w:rsid w:val="00DD2C38"/>
    <w:rsid w:val="00DD4714"/>
    <w:rsid w:val="00DD47C6"/>
    <w:rsid w:val="00DD68C5"/>
    <w:rsid w:val="00DE028B"/>
    <w:rsid w:val="00DE23B1"/>
    <w:rsid w:val="00DE32AE"/>
    <w:rsid w:val="00DE4958"/>
    <w:rsid w:val="00DE4ED4"/>
    <w:rsid w:val="00DE51D6"/>
    <w:rsid w:val="00DE6BED"/>
    <w:rsid w:val="00DE7626"/>
    <w:rsid w:val="00DF01B1"/>
    <w:rsid w:val="00DF11DF"/>
    <w:rsid w:val="00DF1CFF"/>
    <w:rsid w:val="00DF28F1"/>
    <w:rsid w:val="00DF5B7E"/>
    <w:rsid w:val="00E02B56"/>
    <w:rsid w:val="00E04DA2"/>
    <w:rsid w:val="00E061E0"/>
    <w:rsid w:val="00E10F40"/>
    <w:rsid w:val="00E12B7E"/>
    <w:rsid w:val="00E2011B"/>
    <w:rsid w:val="00E20731"/>
    <w:rsid w:val="00E20A50"/>
    <w:rsid w:val="00E2108B"/>
    <w:rsid w:val="00E2119D"/>
    <w:rsid w:val="00E26294"/>
    <w:rsid w:val="00E26478"/>
    <w:rsid w:val="00E27E1A"/>
    <w:rsid w:val="00E3407C"/>
    <w:rsid w:val="00E35E28"/>
    <w:rsid w:val="00E4112E"/>
    <w:rsid w:val="00E416A5"/>
    <w:rsid w:val="00E439B7"/>
    <w:rsid w:val="00E5179A"/>
    <w:rsid w:val="00E5396B"/>
    <w:rsid w:val="00E53D09"/>
    <w:rsid w:val="00E54A2A"/>
    <w:rsid w:val="00E578CC"/>
    <w:rsid w:val="00E57B10"/>
    <w:rsid w:val="00E62CFF"/>
    <w:rsid w:val="00E70F7A"/>
    <w:rsid w:val="00E712A9"/>
    <w:rsid w:val="00E72E45"/>
    <w:rsid w:val="00E739CF"/>
    <w:rsid w:val="00E74C0F"/>
    <w:rsid w:val="00E7632F"/>
    <w:rsid w:val="00E774A3"/>
    <w:rsid w:val="00E80B95"/>
    <w:rsid w:val="00E86148"/>
    <w:rsid w:val="00E86A5B"/>
    <w:rsid w:val="00E87F48"/>
    <w:rsid w:val="00E90B34"/>
    <w:rsid w:val="00E954EC"/>
    <w:rsid w:val="00E965F9"/>
    <w:rsid w:val="00E97EB3"/>
    <w:rsid w:val="00EA083D"/>
    <w:rsid w:val="00EA2A60"/>
    <w:rsid w:val="00EA3C8F"/>
    <w:rsid w:val="00EA4771"/>
    <w:rsid w:val="00EA67A9"/>
    <w:rsid w:val="00EA74AB"/>
    <w:rsid w:val="00EB1496"/>
    <w:rsid w:val="00EB3B1F"/>
    <w:rsid w:val="00EC096E"/>
    <w:rsid w:val="00EC1224"/>
    <w:rsid w:val="00EC2D3C"/>
    <w:rsid w:val="00EC4CEE"/>
    <w:rsid w:val="00ED2436"/>
    <w:rsid w:val="00ED7736"/>
    <w:rsid w:val="00EF14AA"/>
    <w:rsid w:val="00EF2391"/>
    <w:rsid w:val="00EF2800"/>
    <w:rsid w:val="00EF2CEE"/>
    <w:rsid w:val="00EF3AC7"/>
    <w:rsid w:val="00EF55FF"/>
    <w:rsid w:val="00EF7CDD"/>
    <w:rsid w:val="00EF7E9E"/>
    <w:rsid w:val="00F03BC4"/>
    <w:rsid w:val="00F04CEB"/>
    <w:rsid w:val="00F06104"/>
    <w:rsid w:val="00F06531"/>
    <w:rsid w:val="00F22367"/>
    <w:rsid w:val="00F237E3"/>
    <w:rsid w:val="00F2658F"/>
    <w:rsid w:val="00F27CB2"/>
    <w:rsid w:val="00F30AE2"/>
    <w:rsid w:val="00F32F98"/>
    <w:rsid w:val="00F401BA"/>
    <w:rsid w:val="00F41FA6"/>
    <w:rsid w:val="00F4270D"/>
    <w:rsid w:val="00F44D12"/>
    <w:rsid w:val="00F46D54"/>
    <w:rsid w:val="00F478DF"/>
    <w:rsid w:val="00F50D74"/>
    <w:rsid w:val="00F52C68"/>
    <w:rsid w:val="00F5448D"/>
    <w:rsid w:val="00F625C3"/>
    <w:rsid w:val="00F651A6"/>
    <w:rsid w:val="00F727B9"/>
    <w:rsid w:val="00F73E0B"/>
    <w:rsid w:val="00F73FC5"/>
    <w:rsid w:val="00F7683A"/>
    <w:rsid w:val="00F81AAE"/>
    <w:rsid w:val="00F84066"/>
    <w:rsid w:val="00F86BD6"/>
    <w:rsid w:val="00F86FFD"/>
    <w:rsid w:val="00F9000A"/>
    <w:rsid w:val="00F901E5"/>
    <w:rsid w:val="00F9073D"/>
    <w:rsid w:val="00F93329"/>
    <w:rsid w:val="00F93F90"/>
    <w:rsid w:val="00F954EA"/>
    <w:rsid w:val="00F957C8"/>
    <w:rsid w:val="00F95DB6"/>
    <w:rsid w:val="00FA156F"/>
    <w:rsid w:val="00FA1CAC"/>
    <w:rsid w:val="00FA1DE0"/>
    <w:rsid w:val="00FA2983"/>
    <w:rsid w:val="00FA2D25"/>
    <w:rsid w:val="00FA4957"/>
    <w:rsid w:val="00FA58C8"/>
    <w:rsid w:val="00FA5C3C"/>
    <w:rsid w:val="00FA6972"/>
    <w:rsid w:val="00FA7593"/>
    <w:rsid w:val="00FA7C4B"/>
    <w:rsid w:val="00FB0678"/>
    <w:rsid w:val="00FB12B7"/>
    <w:rsid w:val="00FB19BF"/>
    <w:rsid w:val="00FB1C3D"/>
    <w:rsid w:val="00FB74A2"/>
    <w:rsid w:val="00FC0DB2"/>
    <w:rsid w:val="00FC1F1D"/>
    <w:rsid w:val="00FC2B3C"/>
    <w:rsid w:val="00FC2C8C"/>
    <w:rsid w:val="00FC2C95"/>
    <w:rsid w:val="00FC55BC"/>
    <w:rsid w:val="00FC6FBA"/>
    <w:rsid w:val="00FD21B2"/>
    <w:rsid w:val="00FD259B"/>
    <w:rsid w:val="00FD4ABC"/>
    <w:rsid w:val="00FD5DD5"/>
    <w:rsid w:val="00FD60AA"/>
    <w:rsid w:val="00FD78F7"/>
    <w:rsid w:val="00FD7B10"/>
    <w:rsid w:val="00FF181C"/>
    <w:rsid w:val="00FF4EC8"/>
    <w:rsid w:val="00FF7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942"/>
    <w:pPr>
      <w:spacing w:after="0" w:line="240" w:lineRule="auto"/>
      <w:jc w:val="both"/>
    </w:pPr>
  </w:style>
  <w:style w:type="paragraph" w:styleId="Heading1">
    <w:name w:val="heading 1"/>
    <w:basedOn w:val="Normal"/>
    <w:next w:val="Normal"/>
    <w:link w:val="Heading1Char"/>
    <w:uiPriority w:val="1"/>
    <w:qFormat/>
    <w:rsid w:val="00880260"/>
    <w:pPr>
      <w:keepNext/>
      <w:numPr>
        <w:numId w:val="2"/>
      </w:numPr>
      <w:shd w:val="clear" w:color="auto" w:fill="448A99"/>
      <w:overflowPunct w:val="0"/>
      <w:autoSpaceDE w:val="0"/>
      <w:autoSpaceDN w:val="0"/>
      <w:adjustRightInd w:val="0"/>
      <w:spacing w:after="120"/>
      <w:textAlignment w:val="baseline"/>
      <w:outlineLvl w:val="0"/>
    </w:pPr>
    <w:rPr>
      <w:rFonts w:ascii="Century Gothic" w:hAnsi="Century Gothic"/>
      <w:b/>
      <w:bCs/>
      <w:smallCaps/>
      <w:color w:val="FFFFFF" w:themeColor="background1"/>
      <w:kern w:val="32"/>
      <w:sz w:val="30"/>
      <w:szCs w:val="30"/>
      <w14:shadow w14:blurRad="50800" w14:dist="38100" w14:dir="13500000" w14:sx="100000" w14:sy="100000" w14:kx="0" w14:ky="0" w14:algn="br">
        <w14:srgbClr w14:val="000000">
          <w14:alpha w14:val="60000"/>
        </w14:srgbClr>
      </w14:shadow>
    </w:rPr>
  </w:style>
  <w:style w:type="paragraph" w:styleId="Heading2">
    <w:name w:val="heading 2"/>
    <w:basedOn w:val="Normal"/>
    <w:next w:val="Normal"/>
    <w:link w:val="Heading2Char"/>
    <w:uiPriority w:val="1"/>
    <w:qFormat/>
    <w:rsid w:val="007F1EB9"/>
    <w:pPr>
      <w:keepNext/>
      <w:numPr>
        <w:ilvl w:val="1"/>
        <w:numId w:val="2"/>
      </w:numPr>
      <w:tabs>
        <w:tab w:val="left" w:pos="907"/>
      </w:tabs>
      <w:overflowPunct w:val="0"/>
      <w:autoSpaceDE w:val="0"/>
      <w:autoSpaceDN w:val="0"/>
      <w:adjustRightInd w:val="0"/>
      <w:spacing w:after="120"/>
      <w:textAlignment w:val="baseline"/>
      <w:outlineLvl w:val="1"/>
    </w:pPr>
    <w:rPr>
      <w:rFonts w:ascii="Century Gothic" w:hAnsi="Century Gothic"/>
      <w:b/>
      <w:bCs/>
      <w:iCs/>
      <w:smallCaps/>
      <w:sz w:val="24"/>
      <w:szCs w:val="28"/>
    </w:rPr>
  </w:style>
  <w:style w:type="paragraph" w:styleId="Heading3">
    <w:name w:val="heading 3"/>
    <w:basedOn w:val="Normal"/>
    <w:next w:val="Normal"/>
    <w:link w:val="Heading3Char"/>
    <w:autoRedefine/>
    <w:uiPriority w:val="1"/>
    <w:qFormat/>
    <w:rsid w:val="00BE1301"/>
    <w:pPr>
      <w:keepNext/>
      <w:numPr>
        <w:ilvl w:val="2"/>
        <w:numId w:val="30"/>
      </w:numPr>
      <w:overflowPunct w:val="0"/>
      <w:autoSpaceDE w:val="0"/>
      <w:autoSpaceDN w:val="0"/>
      <w:adjustRightInd w:val="0"/>
      <w:spacing w:after="120"/>
      <w:textAlignment w:val="baseline"/>
      <w:outlineLvl w:val="2"/>
    </w:pPr>
    <w:rPr>
      <w:rFonts w:ascii="Century Gothic" w:eastAsiaTheme="majorEastAsia" w:hAnsi="Century Gothic" w:cstheme="majorBidi"/>
      <w:b/>
      <w:bCs/>
      <w:color w:val="448A99"/>
      <w:sz w:val="21"/>
      <w:szCs w:val="21"/>
    </w:rPr>
  </w:style>
  <w:style w:type="paragraph" w:styleId="Heading4">
    <w:name w:val="heading 4"/>
    <w:basedOn w:val="Heading3"/>
    <w:next w:val="Normal"/>
    <w:link w:val="Heading4Char"/>
    <w:uiPriority w:val="9"/>
    <w:unhideWhenUsed/>
    <w:rsid w:val="00416641"/>
    <w:pPr>
      <w:numPr>
        <w:ilvl w:val="3"/>
      </w:numPr>
      <w:outlineLvl w:val="3"/>
    </w:pPr>
    <w:rPr>
      <w:rFonts w:eastAsia="Times New Roman"/>
      <w:i/>
      <w:color w:val="auto"/>
      <w:sz w:val="20"/>
    </w:rPr>
  </w:style>
  <w:style w:type="paragraph" w:styleId="Heading5">
    <w:name w:val="heading 5"/>
    <w:basedOn w:val="Normal"/>
    <w:next w:val="Normal"/>
    <w:link w:val="Heading5Char"/>
    <w:uiPriority w:val="9"/>
    <w:unhideWhenUsed/>
    <w:rsid w:val="008E74D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0260"/>
    <w:rPr>
      <w:rFonts w:ascii="Century Gothic" w:hAnsi="Century Gothic"/>
      <w:b/>
      <w:bCs/>
      <w:smallCaps/>
      <w:color w:val="FFFFFF" w:themeColor="background1"/>
      <w:kern w:val="32"/>
      <w:sz w:val="30"/>
      <w:szCs w:val="30"/>
      <w:shd w:val="clear" w:color="auto" w:fill="448A99"/>
      <w14:shadow w14:blurRad="50800" w14:dist="38100" w14:dir="13500000" w14:sx="100000" w14:sy="100000" w14:kx="0" w14:ky="0" w14:algn="br">
        <w14:srgbClr w14:val="000000">
          <w14:alpha w14:val="60000"/>
        </w14:srgbClr>
      </w14:shadow>
    </w:rPr>
  </w:style>
  <w:style w:type="character" w:customStyle="1" w:styleId="Heading2Char">
    <w:name w:val="Heading 2 Char"/>
    <w:link w:val="Heading2"/>
    <w:uiPriority w:val="1"/>
    <w:rsid w:val="007F1EB9"/>
    <w:rPr>
      <w:rFonts w:ascii="Century Gothic" w:hAnsi="Century Gothic"/>
      <w:b/>
      <w:bCs/>
      <w:iCs/>
      <w:smallCaps/>
      <w:sz w:val="24"/>
      <w:szCs w:val="28"/>
    </w:rPr>
  </w:style>
  <w:style w:type="character" w:customStyle="1" w:styleId="Heading3Char">
    <w:name w:val="Heading 3 Char"/>
    <w:link w:val="Heading3"/>
    <w:uiPriority w:val="1"/>
    <w:rsid w:val="00BE1301"/>
    <w:rPr>
      <w:rFonts w:ascii="Century Gothic" w:eastAsiaTheme="majorEastAsia" w:hAnsi="Century Gothic" w:cstheme="majorBidi"/>
      <w:b/>
      <w:bCs/>
      <w:color w:val="448A99"/>
      <w:sz w:val="21"/>
      <w:szCs w:val="21"/>
    </w:rPr>
  </w:style>
  <w:style w:type="paragraph" w:customStyle="1" w:styleId="HeadingNumber01">
    <w:name w:val="Heading Number01"/>
    <w:basedOn w:val="ListParagraph"/>
    <w:link w:val="HeadingNumber01Char"/>
    <w:rsid w:val="00927ED5"/>
    <w:pPr>
      <w:numPr>
        <w:numId w:val="3"/>
      </w:numPr>
      <w:spacing w:after="120"/>
      <w:contextualSpacing w:val="0"/>
    </w:pPr>
    <w:rPr>
      <w:rFonts w:ascii="Cambria" w:hAnsi="Cambria"/>
      <w:b/>
      <w:color w:val="448A99"/>
      <w:sz w:val="32"/>
    </w:rPr>
  </w:style>
  <w:style w:type="character" w:customStyle="1" w:styleId="HeadingNumber01Char">
    <w:name w:val="Heading Number01 Char"/>
    <w:basedOn w:val="DefaultParagraphFont"/>
    <w:link w:val="HeadingNumber01"/>
    <w:rsid w:val="00927ED5"/>
    <w:rPr>
      <w:rFonts w:ascii="Cambria" w:hAnsi="Cambria"/>
      <w:b/>
      <w:color w:val="448A99"/>
      <w:sz w:val="32"/>
    </w:rPr>
  </w:style>
  <w:style w:type="paragraph" w:styleId="ListParagraph">
    <w:name w:val="List Paragraph"/>
    <w:basedOn w:val="Normal"/>
    <w:uiPriority w:val="34"/>
    <w:qFormat/>
    <w:rsid w:val="00927ED5"/>
    <w:pPr>
      <w:ind w:left="720"/>
      <w:contextualSpacing/>
    </w:pPr>
  </w:style>
  <w:style w:type="paragraph" w:customStyle="1" w:styleId="HeadingNumber02">
    <w:name w:val="Heading Number02"/>
    <w:basedOn w:val="ListParagraph"/>
    <w:link w:val="HeadingNumber02Char"/>
    <w:rsid w:val="00927ED5"/>
    <w:pPr>
      <w:numPr>
        <w:ilvl w:val="1"/>
        <w:numId w:val="3"/>
      </w:numPr>
      <w:spacing w:after="120"/>
      <w:contextualSpacing w:val="0"/>
    </w:pPr>
    <w:rPr>
      <w:rFonts w:ascii="Cambria" w:hAnsi="Cambria"/>
      <w:b/>
      <w:color w:val="448A99"/>
      <w:sz w:val="24"/>
    </w:rPr>
  </w:style>
  <w:style w:type="character" w:customStyle="1" w:styleId="HeadingNumber02Char">
    <w:name w:val="Heading Number02 Char"/>
    <w:basedOn w:val="DefaultParagraphFont"/>
    <w:link w:val="HeadingNumber02"/>
    <w:rsid w:val="00927ED5"/>
    <w:rPr>
      <w:rFonts w:ascii="Cambria" w:hAnsi="Cambria"/>
      <w:b/>
      <w:color w:val="448A99"/>
      <w:sz w:val="24"/>
    </w:rPr>
  </w:style>
  <w:style w:type="paragraph" w:customStyle="1" w:styleId="HeadingNumber03">
    <w:name w:val="Heading Number03"/>
    <w:basedOn w:val="ListParagraph"/>
    <w:link w:val="HeadingNumber03Char"/>
    <w:rsid w:val="00927ED5"/>
    <w:pPr>
      <w:numPr>
        <w:ilvl w:val="2"/>
        <w:numId w:val="3"/>
      </w:numPr>
      <w:spacing w:after="120"/>
      <w:contextualSpacing w:val="0"/>
    </w:pPr>
    <w:rPr>
      <w:rFonts w:ascii="Cambria" w:hAnsi="Cambria"/>
      <w:b/>
    </w:rPr>
  </w:style>
  <w:style w:type="character" w:customStyle="1" w:styleId="HeadingNumber03Char">
    <w:name w:val="Heading Number03 Char"/>
    <w:basedOn w:val="DefaultParagraphFont"/>
    <w:link w:val="HeadingNumber03"/>
    <w:rsid w:val="00927ED5"/>
    <w:rPr>
      <w:rFonts w:ascii="Cambria" w:hAnsi="Cambria"/>
      <w:b/>
    </w:rPr>
  </w:style>
  <w:style w:type="paragraph" w:customStyle="1" w:styleId="HeadingNumber04">
    <w:name w:val="Heading Number04"/>
    <w:basedOn w:val="ListParagraph"/>
    <w:link w:val="HeadingNumber04Char"/>
    <w:qFormat/>
    <w:rsid w:val="008E74DA"/>
    <w:pPr>
      <w:numPr>
        <w:ilvl w:val="3"/>
        <w:numId w:val="4"/>
      </w:numPr>
      <w:spacing w:after="120"/>
      <w:contextualSpacing w:val="0"/>
    </w:pPr>
    <w:rPr>
      <w:rFonts w:ascii="Century Gothic" w:hAnsi="Century Gothic"/>
      <w:sz w:val="20"/>
    </w:rPr>
  </w:style>
  <w:style w:type="character" w:customStyle="1" w:styleId="HeadingNumber04Char">
    <w:name w:val="Heading Number04 Char"/>
    <w:basedOn w:val="DefaultParagraphFont"/>
    <w:link w:val="HeadingNumber04"/>
    <w:rsid w:val="008E74DA"/>
    <w:rPr>
      <w:rFonts w:ascii="Century Gothic" w:hAnsi="Century Gothic"/>
      <w:sz w:val="20"/>
    </w:rPr>
  </w:style>
  <w:style w:type="paragraph" w:styleId="TOC1">
    <w:name w:val="toc 1"/>
    <w:basedOn w:val="Normal"/>
    <w:next w:val="Normal"/>
    <w:autoRedefine/>
    <w:uiPriority w:val="39"/>
    <w:unhideWhenUsed/>
    <w:rsid w:val="00EF7CDD"/>
    <w:pPr>
      <w:tabs>
        <w:tab w:val="left" w:pos="270"/>
        <w:tab w:val="right" w:leader="dot" w:pos="9350"/>
      </w:tabs>
      <w:spacing w:before="160" w:after="100"/>
    </w:pPr>
    <w:rPr>
      <w:rFonts w:ascii="Century Gothic" w:hAnsi="Century Gothic"/>
      <w:b/>
      <w:smallCaps/>
    </w:rPr>
  </w:style>
  <w:style w:type="paragraph" w:styleId="TOC2">
    <w:name w:val="toc 2"/>
    <w:basedOn w:val="Normal"/>
    <w:next w:val="Normal"/>
    <w:autoRedefine/>
    <w:uiPriority w:val="39"/>
    <w:unhideWhenUsed/>
    <w:rsid w:val="009530D2"/>
    <w:pPr>
      <w:spacing w:after="40"/>
      <w:ind w:left="216"/>
    </w:pPr>
    <w:rPr>
      <w:rFonts w:ascii="Century Gothic" w:hAnsi="Century Gothic"/>
      <w:sz w:val="20"/>
    </w:rPr>
  </w:style>
  <w:style w:type="character" w:styleId="Hyperlink">
    <w:name w:val="Hyperlink"/>
    <w:basedOn w:val="DefaultParagraphFont"/>
    <w:uiPriority w:val="99"/>
    <w:unhideWhenUsed/>
    <w:rsid w:val="00403D74"/>
    <w:rPr>
      <w:color w:val="0000FF" w:themeColor="hyperlink"/>
      <w:u w:val="single"/>
    </w:rPr>
  </w:style>
  <w:style w:type="paragraph" w:styleId="Header">
    <w:name w:val="header"/>
    <w:basedOn w:val="Normal"/>
    <w:link w:val="HeaderChar"/>
    <w:uiPriority w:val="99"/>
    <w:unhideWhenUsed/>
    <w:rsid w:val="00403D74"/>
    <w:pPr>
      <w:tabs>
        <w:tab w:val="center" w:pos="4680"/>
        <w:tab w:val="right" w:pos="9360"/>
      </w:tabs>
    </w:pPr>
  </w:style>
  <w:style w:type="character" w:customStyle="1" w:styleId="HeaderChar">
    <w:name w:val="Header Char"/>
    <w:basedOn w:val="DefaultParagraphFont"/>
    <w:link w:val="Header"/>
    <w:uiPriority w:val="99"/>
    <w:rsid w:val="00403D74"/>
  </w:style>
  <w:style w:type="paragraph" w:styleId="Footer">
    <w:name w:val="footer"/>
    <w:basedOn w:val="Normal"/>
    <w:link w:val="FooterChar"/>
    <w:uiPriority w:val="99"/>
    <w:unhideWhenUsed/>
    <w:rsid w:val="00403D74"/>
    <w:pPr>
      <w:tabs>
        <w:tab w:val="center" w:pos="4680"/>
        <w:tab w:val="right" w:pos="9360"/>
      </w:tabs>
    </w:pPr>
  </w:style>
  <w:style w:type="character" w:customStyle="1" w:styleId="FooterChar">
    <w:name w:val="Footer Char"/>
    <w:basedOn w:val="DefaultParagraphFont"/>
    <w:link w:val="Footer"/>
    <w:uiPriority w:val="99"/>
    <w:rsid w:val="00403D74"/>
  </w:style>
  <w:style w:type="character" w:customStyle="1" w:styleId="Heading4Char">
    <w:name w:val="Heading 4 Char"/>
    <w:basedOn w:val="DefaultParagraphFont"/>
    <w:link w:val="Heading4"/>
    <w:uiPriority w:val="9"/>
    <w:rsid w:val="00416641"/>
    <w:rPr>
      <w:rFonts w:ascii="Century Gothic" w:eastAsia="Times New Roman" w:hAnsi="Century Gothic" w:cstheme="majorBidi"/>
      <w:b/>
      <w:bCs/>
      <w:i/>
      <w:sz w:val="20"/>
      <w:szCs w:val="21"/>
    </w:rPr>
  </w:style>
  <w:style w:type="character" w:customStyle="1" w:styleId="Heading5Char">
    <w:name w:val="Heading 5 Char"/>
    <w:basedOn w:val="DefaultParagraphFont"/>
    <w:link w:val="Heading5"/>
    <w:uiPriority w:val="9"/>
    <w:rsid w:val="008E74DA"/>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9D5798"/>
    <w:pPr>
      <w:tabs>
        <w:tab w:val="left" w:pos="1080"/>
        <w:tab w:val="right" w:leader="dot" w:pos="9350"/>
      </w:tabs>
      <w:spacing w:after="40"/>
      <w:ind w:left="446"/>
    </w:pPr>
    <w:rPr>
      <w:rFonts w:ascii="Century Gothic" w:hAnsi="Century Gothic"/>
      <w:i/>
      <w:sz w:val="18"/>
    </w:rPr>
  </w:style>
  <w:style w:type="paragraph" w:styleId="Title">
    <w:name w:val="Title"/>
    <w:basedOn w:val="Normal"/>
    <w:next w:val="Normal"/>
    <w:link w:val="TitleChar"/>
    <w:uiPriority w:val="10"/>
    <w:qFormat/>
    <w:rsid w:val="00E12B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12B7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12B7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12B7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E12B7E"/>
    <w:rPr>
      <w:rFonts w:ascii="Tahoma" w:hAnsi="Tahoma" w:cs="Tahoma"/>
      <w:sz w:val="16"/>
      <w:szCs w:val="16"/>
    </w:rPr>
  </w:style>
  <w:style w:type="character" w:customStyle="1" w:styleId="BalloonTextChar">
    <w:name w:val="Balloon Text Char"/>
    <w:basedOn w:val="DefaultParagraphFont"/>
    <w:link w:val="BalloonText"/>
    <w:uiPriority w:val="99"/>
    <w:semiHidden/>
    <w:rsid w:val="00E12B7E"/>
    <w:rPr>
      <w:rFonts w:ascii="Tahoma" w:hAnsi="Tahoma" w:cs="Tahoma"/>
      <w:sz w:val="16"/>
      <w:szCs w:val="16"/>
    </w:rPr>
  </w:style>
  <w:style w:type="table" w:styleId="LightList-Accent5">
    <w:name w:val="Light List Accent 5"/>
    <w:basedOn w:val="TableNormal"/>
    <w:uiPriority w:val="61"/>
    <w:rsid w:val="0031271C"/>
    <w:pPr>
      <w:spacing w:after="0" w:line="240" w:lineRule="auto"/>
    </w:p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99"/>
    <w:rsid w:val="00312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Char2 Char"/>
    <w:basedOn w:val="Normal"/>
    <w:link w:val="FootnoteTextChar"/>
    <w:uiPriority w:val="99"/>
    <w:rsid w:val="0095463F"/>
    <w:rPr>
      <w:rFonts w:ascii="Times New Roman" w:eastAsia="Times New Roman" w:hAnsi="Times New Roman" w:cs="Times New Roman"/>
      <w:sz w:val="20"/>
      <w:szCs w:val="20"/>
    </w:rPr>
  </w:style>
  <w:style w:type="character" w:customStyle="1" w:styleId="FootnoteTextChar">
    <w:name w:val="Footnote Text Char"/>
    <w:aliases w:val="Footnote Text1 Char Char,Footnote Text Char Ch Char,Footnote Text Char Ch Char Char Char Char,Footnote Text Char Ch Char Char Char1,Footnote Text1 Char Char Char Char,Char2 Char Char"/>
    <w:basedOn w:val="DefaultParagraphFont"/>
    <w:link w:val="FootnoteText"/>
    <w:uiPriority w:val="99"/>
    <w:rsid w:val="0095463F"/>
    <w:rPr>
      <w:rFonts w:ascii="Times New Roman" w:eastAsia="Times New Roman" w:hAnsi="Times New Roman" w:cs="Times New Roman"/>
      <w:sz w:val="20"/>
      <w:szCs w:val="20"/>
    </w:rPr>
  </w:style>
  <w:style w:type="character" w:styleId="FootnoteReference">
    <w:name w:val="footnote reference"/>
    <w:uiPriority w:val="99"/>
    <w:rsid w:val="0095463F"/>
    <w:rPr>
      <w:rFonts w:cs="Times New Roman"/>
      <w:vertAlign w:val="superscript"/>
    </w:rPr>
  </w:style>
  <w:style w:type="character" w:styleId="CommentReference">
    <w:name w:val="annotation reference"/>
    <w:basedOn w:val="DefaultParagraphFont"/>
    <w:uiPriority w:val="99"/>
    <w:unhideWhenUsed/>
    <w:rsid w:val="00F625C3"/>
    <w:rPr>
      <w:sz w:val="16"/>
      <w:szCs w:val="16"/>
    </w:rPr>
  </w:style>
  <w:style w:type="paragraph" w:customStyle="1" w:styleId="b">
    <w:name w:val="b"/>
    <w:aliases w:val="bullet,Body,Bullet,bullets,body,bd,b-heading 1/heading 2,heading1body-heading2body,b2,b1,Bullet 1,he... + Black"/>
    <w:link w:val="bChar"/>
    <w:qFormat/>
    <w:rsid w:val="00F625C3"/>
    <w:pPr>
      <w:numPr>
        <w:numId w:val="5"/>
      </w:numPr>
      <w:spacing w:after="120" w:line="240" w:lineRule="auto"/>
      <w:ind w:left="720"/>
    </w:pPr>
    <w:rPr>
      <w:rFonts w:ascii="Calibri" w:eastAsia="Times New Roman" w:hAnsi="Calibri" w:cs="Arial"/>
    </w:rPr>
  </w:style>
  <w:style w:type="character" w:customStyle="1" w:styleId="bChar">
    <w:name w:val="b Char"/>
    <w:aliases w:val="bullet Char,Body Char Char,bullet Char Char,Body Char,Bullet Char,bullets Char,body Char,bd Char,b-heading 1/heading 2 Char,heading1body-heading2body Char,he... + Black Char,bullet + Times New Roman Char,10 pt Char,Left:  0&quot; Char"/>
    <w:link w:val="b"/>
    <w:rsid w:val="00F625C3"/>
    <w:rPr>
      <w:rFonts w:ascii="Calibri" w:eastAsia="Times New Roman" w:hAnsi="Calibri" w:cs="Arial"/>
    </w:rPr>
  </w:style>
  <w:style w:type="paragraph" w:customStyle="1" w:styleId="Default">
    <w:name w:val="Default"/>
    <w:rsid w:val="00A044EB"/>
    <w:pPr>
      <w:autoSpaceDE w:val="0"/>
      <w:autoSpaceDN w:val="0"/>
      <w:adjustRightInd w:val="0"/>
      <w:spacing w:after="0" w:line="240" w:lineRule="auto"/>
    </w:pPr>
    <w:rPr>
      <w:rFonts w:ascii="JDAOP K+ Frutiger LT Std" w:eastAsia="Times New Roman" w:hAnsi="JDAOP K+ Frutiger LT Std" w:cs="JDAOP K+ Frutiger LT Std"/>
      <w:color w:val="000000"/>
      <w:sz w:val="24"/>
      <w:szCs w:val="24"/>
    </w:rPr>
  </w:style>
  <w:style w:type="paragraph" w:styleId="CommentText">
    <w:name w:val="annotation text"/>
    <w:basedOn w:val="Normal"/>
    <w:link w:val="CommentTextChar"/>
    <w:uiPriority w:val="99"/>
    <w:unhideWhenUsed/>
    <w:rsid w:val="00FC0DB2"/>
    <w:rPr>
      <w:sz w:val="20"/>
      <w:szCs w:val="20"/>
    </w:rPr>
  </w:style>
  <w:style w:type="character" w:customStyle="1" w:styleId="CommentTextChar">
    <w:name w:val="Comment Text Char"/>
    <w:basedOn w:val="DefaultParagraphFont"/>
    <w:link w:val="CommentText"/>
    <w:uiPriority w:val="99"/>
    <w:rsid w:val="00FC0DB2"/>
    <w:rPr>
      <w:sz w:val="20"/>
      <w:szCs w:val="20"/>
    </w:rPr>
  </w:style>
  <w:style w:type="paragraph" w:styleId="CommentSubject">
    <w:name w:val="annotation subject"/>
    <w:basedOn w:val="CommentText"/>
    <w:next w:val="CommentText"/>
    <w:link w:val="CommentSubjectChar"/>
    <w:uiPriority w:val="99"/>
    <w:semiHidden/>
    <w:unhideWhenUsed/>
    <w:rsid w:val="00FC0DB2"/>
    <w:rPr>
      <w:b/>
      <w:bCs/>
    </w:rPr>
  </w:style>
  <w:style w:type="character" w:customStyle="1" w:styleId="CommentSubjectChar">
    <w:name w:val="Comment Subject Char"/>
    <w:basedOn w:val="CommentTextChar"/>
    <w:link w:val="CommentSubject"/>
    <w:uiPriority w:val="99"/>
    <w:semiHidden/>
    <w:rsid w:val="00FC0DB2"/>
    <w:rPr>
      <w:b/>
      <w:bCs/>
      <w:sz w:val="20"/>
      <w:szCs w:val="20"/>
    </w:rPr>
  </w:style>
  <w:style w:type="paragraph" w:customStyle="1" w:styleId="Table">
    <w:name w:val="Table"/>
    <w:basedOn w:val="Caption"/>
    <w:qFormat/>
    <w:rsid w:val="00586868"/>
    <w:pPr>
      <w:jc w:val="center"/>
    </w:pPr>
    <w:rPr>
      <w:rFonts w:ascii="Garamond" w:eastAsia="Times New Roman" w:hAnsi="Garamond" w:cs="Times New Roman"/>
      <w:sz w:val="20"/>
      <w:lang w:val="x-none" w:eastAsia="x-none"/>
    </w:rPr>
  </w:style>
  <w:style w:type="paragraph" w:styleId="Caption">
    <w:name w:val="caption"/>
    <w:aliases w:val="caption,Figure"/>
    <w:basedOn w:val="Normal"/>
    <w:next w:val="Normal"/>
    <w:link w:val="CaptionChar"/>
    <w:uiPriority w:val="35"/>
    <w:unhideWhenUsed/>
    <w:qFormat/>
    <w:rsid w:val="00CF2BE5"/>
    <w:pPr>
      <w:spacing w:after="120"/>
    </w:pPr>
    <w:rPr>
      <w:b/>
      <w:bCs/>
      <w:sz w:val="18"/>
      <w:szCs w:val="18"/>
    </w:rPr>
  </w:style>
  <w:style w:type="character" w:customStyle="1" w:styleId="CaptionChar">
    <w:name w:val="Caption Char"/>
    <w:aliases w:val="caption Char,Figure Char"/>
    <w:link w:val="Caption"/>
    <w:uiPriority w:val="35"/>
    <w:locked/>
    <w:rsid w:val="00CF2BE5"/>
    <w:rPr>
      <w:b/>
      <w:bCs/>
      <w:sz w:val="18"/>
      <w:szCs w:val="18"/>
    </w:rPr>
  </w:style>
  <w:style w:type="character" w:styleId="FollowedHyperlink">
    <w:name w:val="FollowedHyperlink"/>
    <w:basedOn w:val="DefaultParagraphFont"/>
    <w:uiPriority w:val="99"/>
    <w:semiHidden/>
    <w:unhideWhenUsed/>
    <w:rsid w:val="007F53E6"/>
    <w:rPr>
      <w:color w:val="800080" w:themeColor="followedHyperlink"/>
      <w:u w:val="single"/>
    </w:rPr>
  </w:style>
  <w:style w:type="table" w:styleId="LightList-Accent1">
    <w:name w:val="Light List Accent 1"/>
    <w:basedOn w:val="TableNormal"/>
    <w:uiPriority w:val="61"/>
    <w:rsid w:val="00D67E4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Paragraph">
    <w:name w:val="Body Paragraph"/>
    <w:link w:val="BodyParagraphChar"/>
    <w:qFormat/>
    <w:rsid w:val="000A6D0D"/>
    <w:pPr>
      <w:spacing w:after="240" w:line="312" w:lineRule="auto"/>
    </w:pPr>
    <w:rPr>
      <w:rFonts w:ascii="Verdana" w:eastAsiaTheme="minorEastAsia" w:hAnsi="Verdana"/>
      <w:sz w:val="18"/>
    </w:rPr>
  </w:style>
  <w:style w:type="character" w:customStyle="1" w:styleId="BodyParagraphChar">
    <w:name w:val="Body Paragraph Char"/>
    <w:basedOn w:val="DefaultParagraphFont"/>
    <w:link w:val="BodyParagraph"/>
    <w:rsid w:val="000A6D0D"/>
    <w:rPr>
      <w:rFonts w:ascii="Verdana" w:eastAsiaTheme="minorEastAsia" w:hAnsi="Verdana"/>
      <w:sz w:val="18"/>
    </w:rPr>
  </w:style>
  <w:style w:type="character" w:styleId="PlaceholderText">
    <w:name w:val="Placeholder Text"/>
    <w:basedOn w:val="DefaultParagraphFont"/>
    <w:uiPriority w:val="99"/>
    <w:semiHidden/>
    <w:rsid w:val="001B508B"/>
    <w:rPr>
      <w:color w:val="808080"/>
    </w:rPr>
  </w:style>
  <w:style w:type="table" w:styleId="MediumShading1-Accent5">
    <w:name w:val="Medium Shading 1 Accent 5"/>
    <w:basedOn w:val="TableNormal"/>
    <w:uiPriority w:val="63"/>
    <w:rsid w:val="00CF2BE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40263E"/>
    <w:pPr>
      <w:spacing w:after="60"/>
    </w:pPr>
    <w:rPr>
      <w:rFonts w:ascii="Century Gothic" w:hAnsi="Century Gothic"/>
      <w:sz w:val="18"/>
    </w:rPr>
  </w:style>
  <w:style w:type="table" w:customStyle="1" w:styleId="MediumShading1-Accent11">
    <w:name w:val="Medium Shading 1 - Accent 11"/>
    <w:basedOn w:val="TableNormal"/>
    <w:uiPriority w:val="63"/>
    <w:rsid w:val="00583EBC"/>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CC505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476C6F"/>
    <w:pPr>
      <w:spacing w:after="0" w:line="240" w:lineRule="auto"/>
    </w:pPr>
  </w:style>
  <w:style w:type="character" w:styleId="Strong">
    <w:name w:val="Strong"/>
    <w:basedOn w:val="DefaultParagraphFont"/>
    <w:uiPriority w:val="22"/>
    <w:qFormat/>
    <w:rsid w:val="001A2A28"/>
    <w:rPr>
      <w:b/>
      <w:bCs/>
    </w:rPr>
  </w:style>
  <w:style w:type="paragraph" w:customStyle="1" w:styleId="GlossaryTerm">
    <w:name w:val="GlossaryTerm"/>
    <w:basedOn w:val="Normal"/>
    <w:link w:val="GlossaryTermChar"/>
    <w:qFormat/>
    <w:rsid w:val="0082377B"/>
    <w:pPr>
      <w:spacing w:after="120"/>
    </w:pPr>
  </w:style>
  <w:style w:type="character" w:customStyle="1" w:styleId="GlossaryTermChar">
    <w:name w:val="GlossaryTerm Char"/>
    <w:basedOn w:val="DefaultParagraphFont"/>
    <w:link w:val="GlossaryTerm"/>
    <w:rsid w:val="00823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942"/>
    <w:pPr>
      <w:spacing w:after="0" w:line="240" w:lineRule="auto"/>
      <w:jc w:val="both"/>
    </w:pPr>
  </w:style>
  <w:style w:type="paragraph" w:styleId="Heading1">
    <w:name w:val="heading 1"/>
    <w:basedOn w:val="Normal"/>
    <w:next w:val="Normal"/>
    <w:link w:val="Heading1Char"/>
    <w:uiPriority w:val="1"/>
    <w:qFormat/>
    <w:rsid w:val="00880260"/>
    <w:pPr>
      <w:keepNext/>
      <w:numPr>
        <w:numId w:val="2"/>
      </w:numPr>
      <w:shd w:val="clear" w:color="auto" w:fill="448A99"/>
      <w:overflowPunct w:val="0"/>
      <w:autoSpaceDE w:val="0"/>
      <w:autoSpaceDN w:val="0"/>
      <w:adjustRightInd w:val="0"/>
      <w:spacing w:after="120"/>
      <w:textAlignment w:val="baseline"/>
      <w:outlineLvl w:val="0"/>
    </w:pPr>
    <w:rPr>
      <w:rFonts w:ascii="Century Gothic" w:hAnsi="Century Gothic"/>
      <w:b/>
      <w:bCs/>
      <w:smallCaps/>
      <w:color w:val="FFFFFF" w:themeColor="background1"/>
      <w:kern w:val="32"/>
      <w:sz w:val="30"/>
      <w:szCs w:val="30"/>
      <w14:shadow w14:blurRad="50800" w14:dist="38100" w14:dir="13500000" w14:sx="100000" w14:sy="100000" w14:kx="0" w14:ky="0" w14:algn="br">
        <w14:srgbClr w14:val="000000">
          <w14:alpha w14:val="60000"/>
        </w14:srgbClr>
      </w14:shadow>
    </w:rPr>
  </w:style>
  <w:style w:type="paragraph" w:styleId="Heading2">
    <w:name w:val="heading 2"/>
    <w:basedOn w:val="Normal"/>
    <w:next w:val="Normal"/>
    <w:link w:val="Heading2Char"/>
    <w:uiPriority w:val="1"/>
    <w:qFormat/>
    <w:rsid w:val="007F1EB9"/>
    <w:pPr>
      <w:keepNext/>
      <w:numPr>
        <w:ilvl w:val="1"/>
        <w:numId w:val="2"/>
      </w:numPr>
      <w:tabs>
        <w:tab w:val="left" w:pos="907"/>
      </w:tabs>
      <w:overflowPunct w:val="0"/>
      <w:autoSpaceDE w:val="0"/>
      <w:autoSpaceDN w:val="0"/>
      <w:adjustRightInd w:val="0"/>
      <w:spacing w:after="120"/>
      <w:textAlignment w:val="baseline"/>
      <w:outlineLvl w:val="1"/>
    </w:pPr>
    <w:rPr>
      <w:rFonts w:ascii="Century Gothic" w:hAnsi="Century Gothic"/>
      <w:b/>
      <w:bCs/>
      <w:iCs/>
      <w:smallCaps/>
      <w:sz w:val="24"/>
      <w:szCs w:val="28"/>
    </w:rPr>
  </w:style>
  <w:style w:type="paragraph" w:styleId="Heading3">
    <w:name w:val="heading 3"/>
    <w:basedOn w:val="Normal"/>
    <w:next w:val="Normal"/>
    <w:link w:val="Heading3Char"/>
    <w:autoRedefine/>
    <w:uiPriority w:val="1"/>
    <w:qFormat/>
    <w:rsid w:val="00BE1301"/>
    <w:pPr>
      <w:keepNext/>
      <w:numPr>
        <w:ilvl w:val="2"/>
        <w:numId w:val="30"/>
      </w:numPr>
      <w:overflowPunct w:val="0"/>
      <w:autoSpaceDE w:val="0"/>
      <w:autoSpaceDN w:val="0"/>
      <w:adjustRightInd w:val="0"/>
      <w:spacing w:after="120"/>
      <w:textAlignment w:val="baseline"/>
      <w:outlineLvl w:val="2"/>
    </w:pPr>
    <w:rPr>
      <w:rFonts w:ascii="Century Gothic" w:eastAsiaTheme="majorEastAsia" w:hAnsi="Century Gothic" w:cstheme="majorBidi"/>
      <w:b/>
      <w:bCs/>
      <w:color w:val="448A99"/>
      <w:sz w:val="21"/>
      <w:szCs w:val="21"/>
    </w:rPr>
  </w:style>
  <w:style w:type="paragraph" w:styleId="Heading4">
    <w:name w:val="heading 4"/>
    <w:basedOn w:val="Heading3"/>
    <w:next w:val="Normal"/>
    <w:link w:val="Heading4Char"/>
    <w:uiPriority w:val="9"/>
    <w:unhideWhenUsed/>
    <w:rsid w:val="00416641"/>
    <w:pPr>
      <w:numPr>
        <w:ilvl w:val="3"/>
      </w:numPr>
      <w:outlineLvl w:val="3"/>
    </w:pPr>
    <w:rPr>
      <w:rFonts w:eastAsia="Times New Roman"/>
      <w:i/>
      <w:color w:val="auto"/>
      <w:sz w:val="20"/>
    </w:rPr>
  </w:style>
  <w:style w:type="paragraph" w:styleId="Heading5">
    <w:name w:val="heading 5"/>
    <w:basedOn w:val="Normal"/>
    <w:next w:val="Normal"/>
    <w:link w:val="Heading5Char"/>
    <w:uiPriority w:val="9"/>
    <w:unhideWhenUsed/>
    <w:rsid w:val="008E74D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0260"/>
    <w:rPr>
      <w:rFonts w:ascii="Century Gothic" w:hAnsi="Century Gothic"/>
      <w:b/>
      <w:bCs/>
      <w:smallCaps/>
      <w:color w:val="FFFFFF" w:themeColor="background1"/>
      <w:kern w:val="32"/>
      <w:sz w:val="30"/>
      <w:szCs w:val="30"/>
      <w:shd w:val="clear" w:color="auto" w:fill="448A99"/>
      <w14:shadow w14:blurRad="50800" w14:dist="38100" w14:dir="13500000" w14:sx="100000" w14:sy="100000" w14:kx="0" w14:ky="0" w14:algn="br">
        <w14:srgbClr w14:val="000000">
          <w14:alpha w14:val="60000"/>
        </w14:srgbClr>
      </w14:shadow>
    </w:rPr>
  </w:style>
  <w:style w:type="character" w:customStyle="1" w:styleId="Heading2Char">
    <w:name w:val="Heading 2 Char"/>
    <w:link w:val="Heading2"/>
    <w:uiPriority w:val="1"/>
    <w:rsid w:val="007F1EB9"/>
    <w:rPr>
      <w:rFonts w:ascii="Century Gothic" w:hAnsi="Century Gothic"/>
      <w:b/>
      <w:bCs/>
      <w:iCs/>
      <w:smallCaps/>
      <w:sz w:val="24"/>
      <w:szCs w:val="28"/>
    </w:rPr>
  </w:style>
  <w:style w:type="character" w:customStyle="1" w:styleId="Heading3Char">
    <w:name w:val="Heading 3 Char"/>
    <w:link w:val="Heading3"/>
    <w:uiPriority w:val="1"/>
    <w:rsid w:val="00BE1301"/>
    <w:rPr>
      <w:rFonts w:ascii="Century Gothic" w:eastAsiaTheme="majorEastAsia" w:hAnsi="Century Gothic" w:cstheme="majorBidi"/>
      <w:b/>
      <w:bCs/>
      <w:color w:val="448A99"/>
      <w:sz w:val="21"/>
      <w:szCs w:val="21"/>
    </w:rPr>
  </w:style>
  <w:style w:type="paragraph" w:customStyle="1" w:styleId="HeadingNumber01">
    <w:name w:val="Heading Number01"/>
    <w:basedOn w:val="ListParagraph"/>
    <w:link w:val="HeadingNumber01Char"/>
    <w:rsid w:val="00927ED5"/>
    <w:pPr>
      <w:numPr>
        <w:numId w:val="3"/>
      </w:numPr>
      <w:spacing w:after="120"/>
      <w:contextualSpacing w:val="0"/>
    </w:pPr>
    <w:rPr>
      <w:rFonts w:ascii="Cambria" w:hAnsi="Cambria"/>
      <w:b/>
      <w:color w:val="448A99"/>
      <w:sz w:val="32"/>
    </w:rPr>
  </w:style>
  <w:style w:type="character" w:customStyle="1" w:styleId="HeadingNumber01Char">
    <w:name w:val="Heading Number01 Char"/>
    <w:basedOn w:val="DefaultParagraphFont"/>
    <w:link w:val="HeadingNumber01"/>
    <w:rsid w:val="00927ED5"/>
    <w:rPr>
      <w:rFonts w:ascii="Cambria" w:hAnsi="Cambria"/>
      <w:b/>
      <w:color w:val="448A99"/>
      <w:sz w:val="32"/>
    </w:rPr>
  </w:style>
  <w:style w:type="paragraph" w:styleId="ListParagraph">
    <w:name w:val="List Paragraph"/>
    <w:basedOn w:val="Normal"/>
    <w:uiPriority w:val="34"/>
    <w:qFormat/>
    <w:rsid w:val="00927ED5"/>
    <w:pPr>
      <w:ind w:left="720"/>
      <w:contextualSpacing/>
    </w:pPr>
  </w:style>
  <w:style w:type="paragraph" w:customStyle="1" w:styleId="HeadingNumber02">
    <w:name w:val="Heading Number02"/>
    <w:basedOn w:val="ListParagraph"/>
    <w:link w:val="HeadingNumber02Char"/>
    <w:rsid w:val="00927ED5"/>
    <w:pPr>
      <w:numPr>
        <w:ilvl w:val="1"/>
        <w:numId w:val="3"/>
      </w:numPr>
      <w:spacing w:after="120"/>
      <w:contextualSpacing w:val="0"/>
    </w:pPr>
    <w:rPr>
      <w:rFonts w:ascii="Cambria" w:hAnsi="Cambria"/>
      <w:b/>
      <w:color w:val="448A99"/>
      <w:sz w:val="24"/>
    </w:rPr>
  </w:style>
  <w:style w:type="character" w:customStyle="1" w:styleId="HeadingNumber02Char">
    <w:name w:val="Heading Number02 Char"/>
    <w:basedOn w:val="DefaultParagraphFont"/>
    <w:link w:val="HeadingNumber02"/>
    <w:rsid w:val="00927ED5"/>
    <w:rPr>
      <w:rFonts w:ascii="Cambria" w:hAnsi="Cambria"/>
      <w:b/>
      <w:color w:val="448A99"/>
      <w:sz w:val="24"/>
    </w:rPr>
  </w:style>
  <w:style w:type="paragraph" w:customStyle="1" w:styleId="HeadingNumber03">
    <w:name w:val="Heading Number03"/>
    <w:basedOn w:val="ListParagraph"/>
    <w:link w:val="HeadingNumber03Char"/>
    <w:rsid w:val="00927ED5"/>
    <w:pPr>
      <w:numPr>
        <w:ilvl w:val="2"/>
        <w:numId w:val="3"/>
      </w:numPr>
      <w:spacing w:after="120"/>
      <w:contextualSpacing w:val="0"/>
    </w:pPr>
    <w:rPr>
      <w:rFonts w:ascii="Cambria" w:hAnsi="Cambria"/>
      <w:b/>
    </w:rPr>
  </w:style>
  <w:style w:type="character" w:customStyle="1" w:styleId="HeadingNumber03Char">
    <w:name w:val="Heading Number03 Char"/>
    <w:basedOn w:val="DefaultParagraphFont"/>
    <w:link w:val="HeadingNumber03"/>
    <w:rsid w:val="00927ED5"/>
    <w:rPr>
      <w:rFonts w:ascii="Cambria" w:hAnsi="Cambria"/>
      <w:b/>
    </w:rPr>
  </w:style>
  <w:style w:type="paragraph" w:customStyle="1" w:styleId="HeadingNumber04">
    <w:name w:val="Heading Number04"/>
    <w:basedOn w:val="ListParagraph"/>
    <w:link w:val="HeadingNumber04Char"/>
    <w:qFormat/>
    <w:rsid w:val="008E74DA"/>
    <w:pPr>
      <w:numPr>
        <w:ilvl w:val="3"/>
        <w:numId w:val="4"/>
      </w:numPr>
      <w:spacing w:after="120"/>
      <w:contextualSpacing w:val="0"/>
    </w:pPr>
    <w:rPr>
      <w:rFonts w:ascii="Century Gothic" w:hAnsi="Century Gothic"/>
      <w:sz w:val="20"/>
    </w:rPr>
  </w:style>
  <w:style w:type="character" w:customStyle="1" w:styleId="HeadingNumber04Char">
    <w:name w:val="Heading Number04 Char"/>
    <w:basedOn w:val="DefaultParagraphFont"/>
    <w:link w:val="HeadingNumber04"/>
    <w:rsid w:val="008E74DA"/>
    <w:rPr>
      <w:rFonts w:ascii="Century Gothic" w:hAnsi="Century Gothic"/>
      <w:sz w:val="20"/>
    </w:rPr>
  </w:style>
  <w:style w:type="paragraph" w:styleId="TOC1">
    <w:name w:val="toc 1"/>
    <w:basedOn w:val="Normal"/>
    <w:next w:val="Normal"/>
    <w:autoRedefine/>
    <w:uiPriority w:val="39"/>
    <w:unhideWhenUsed/>
    <w:rsid w:val="00EF7CDD"/>
    <w:pPr>
      <w:tabs>
        <w:tab w:val="left" w:pos="270"/>
        <w:tab w:val="right" w:leader="dot" w:pos="9350"/>
      </w:tabs>
      <w:spacing w:before="160" w:after="100"/>
    </w:pPr>
    <w:rPr>
      <w:rFonts w:ascii="Century Gothic" w:hAnsi="Century Gothic"/>
      <w:b/>
      <w:smallCaps/>
    </w:rPr>
  </w:style>
  <w:style w:type="paragraph" w:styleId="TOC2">
    <w:name w:val="toc 2"/>
    <w:basedOn w:val="Normal"/>
    <w:next w:val="Normal"/>
    <w:autoRedefine/>
    <w:uiPriority w:val="39"/>
    <w:unhideWhenUsed/>
    <w:rsid w:val="009530D2"/>
    <w:pPr>
      <w:spacing w:after="40"/>
      <w:ind w:left="216"/>
    </w:pPr>
    <w:rPr>
      <w:rFonts w:ascii="Century Gothic" w:hAnsi="Century Gothic"/>
      <w:sz w:val="20"/>
    </w:rPr>
  </w:style>
  <w:style w:type="character" w:styleId="Hyperlink">
    <w:name w:val="Hyperlink"/>
    <w:basedOn w:val="DefaultParagraphFont"/>
    <w:uiPriority w:val="99"/>
    <w:unhideWhenUsed/>
    <w:rsid w:val="00403D74"/>
    <w:rPr>
      <w:color w:val="0000FF" w:themeColor="hyperlink"/>
      <w:u w:val="single"/>
    </w:rPr>
  </w:style>
  <w:style w:type="paragraph" w:styleId="Header">
    <w:name w:val="header"/>
    <w:basedOn w:val="Normal"/>
    <w:link w:val="HeaderChar"/>
    <w:uiPriority w:val="99"/>
    <w:unhideWhenUsed/>
    <w:rsid w:val="00403D74"/>
    <w:pPr>
      <w:tabs>
        <w:tab w:val="center" w:pos="4680"/>
        <w:tab w:val="right" w:pos="9360"/>
      </w:tabs>
    </w:pPr>
  </w:style>
  <w:style w:type="character" w:customStyle="1" w:styleId="HeaderChar">
    <w:name w:val="Header Char"/>
    <w:basedOn w:val="DefaultParagraphFont"/>
    <w:link w:val="Header"/>
    <w:uiPriority w:val="99"/>
    <w:rsid w:val="00403D74"/>
  </w:style>
  <w:style w:type="paragraph" w:styleId="Footer">
    <w:name w:val="footer"/>
    <w:basedOn w:val="Normal"/>
    <w:link w:val="FooterChar"/>
    <w:uiPriority w:val="99"/>
    <w:unhideWhenUsed/>
    <w:rsid w:val="00403D74"/>
    <w:pPr>
      <w:tabs>
        <w:tab w:val="center" w:pos="4680"/>
        <w:tab w:val="right" w:pos="9360"/>
      </w:tabs>
    </w:pPr>
  </w:style>
  <w:style w:type="character" w:customStyle="1" w:styleId="FooterChar">
    <w:name w:val="Footer Char"/>
    <w:basedOn w:val="DefaultParagraphFont"/>
    <w:link w:val="Footer"/>
    <w:uiPriority w:val="99"/>
    <w:rsid w:val="00403D74"/>
  </w:style>
  <w:style w:type="character" w:customStyle="1" w:styleId="Heading4Char">
    <w:name w:val="Heading 4 Char"/>
    <w:basedOn w:val="DefaultParagraphFont"/>
    <w:link w:val="Heading4"/>
    <w:uiPriority w:val="9"/>
    <w:rsid w:val="00416641"/>
    <w:rPr>
      <w:rFonts w:ascii="Century Gothic" w:eastAsia="Times New Roman" w:hAnsi="Century Gothic" w:cstheme="majorBidi"/>
      <w:b/>
      <w:bCs/>
      <w:i/>
      <w:sz w:val="20"/>
      <w:szCs w:val="21"/>
    </w:rPr>
  </w:style>
  <w:style w:type="character" w:customStyle="1" w:styleId="Heading5Char">
    <w:name w:val="Heading 5 Char"/>
    <w:basedOn w:val="DefaultParagraphFont"/>
    <w:link w:val="Heading5"/>
    <w:uiPriority w:val="9"/>
    <w:rsid w:val="008E74DA"/>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9D5798"/>
    <w:pPr>
      <w:tabs>
        <w:tab w:val="left" w:pos="1080"/>
        <w:tab w:val="right" w:leader="dot" w:pos="9350"/>
      </w:tabs>
      <w:spacing w:after="40"/>
      <w:ind w:left="446"/>
    </w:pPr>
    <w:rPr>
      <w:rFonts w:ascii="Century Gothic" w:hAnsi="Century Gothic"/>
      <w:i/>
      <w:sz w:val="18"/>
    </w:rPr>
  </w:style>
  <w:style w:type="paragraph" w:styleId="Title">
    <w:name w:val="Title"/>
    <w:basedOn w:val="Normal"/>
    <w:next w:val="Normal"/>
    <w:link w:val="TitleChar"/>
    <w:uiPriority w:val="10"/>
    <w:qFormat/>
    <w:rsid w:val="00E12B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12B7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12B7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12B7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E12B7E"/>
    <w:rPr>
      <w:rFonts w:ascii="Tahoma" w:hAnsi="Tahoma" w:cs="Tahoma"/>
      <w:sz w:val="16"/>
      <w:szCs w:val="16"/>
    </w:rPr>
  </w:style>
  <w:style w:type="character" w:customStyle="1" w:styleId="BalloonTextChar">
    <w:name w:val="Balloon Text Char"/>
    <w:basedOn w:val="DefaultParagraphFont"/>
    <w:link w:val="BalloonText"/>
    <w:uiPriority w:val="99"/>
    <w:semiHidden/>
    <w:rsid w:val="00E12B7E"/>
    <w:rPr>
      <w:rFonts w:ascii="Tahoma" w:hAnsi="Tahoma" w:cs="Tahoma"/>
      <w:sz w:val="16"/>
      <w:szCs w:val="16"/>
    </w:rPr>
  </w:style>
  <w:style w:type="table" w:styleId="LightList-Accent5">
    <w:name w:val="Light List Accent 5"/>
    <w:basedOn w:val="TableNormal"/>
    <w:uiPriority w:val="61"/>
    <w:rsid w:val="0031271C"/>
    <w:pPr>
      <w:spacing w:after="0" w:line="240" w:lineRule="auto"/>
    </w:p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99"/>
    <w:rsid w:val="00312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Char2 Char"/>
    <w:basedOn w:val="Normal"/>
    <w:link w:val="FootnoteTextChar"/>
    <w:uiPriority w:val="99"/>
    <w:rsid w:val="0095463F"/>
    <w:rPr>
      <w:rFonts w:ascii="Times New Roman" w:eastAsia="Times New Roman" w:hAnsi="Times New Roman" w:cs="Times New Roman"/>
      <w:sz w:val="20"/>
      <w:szCs w:val="20"/>
    </w:rPr>
  </w:style>
  <w:style w:type="character" w:customStyle="1" w:styleId="FootnoteTextChar">
    <w:name w:val="Footnote Text Char"/>
    <w:aliases w:val="Footnote Text1 Char Char,Footnote Text Char Ch Char,Footnote Text Char Ch Char Char Char Char,Footnote Text Char Ch Char Char Char1,Footnote Text1 Char Char Char Char,Char2 Char Char"/>
    <w:basedOn w:val="DefaultParagraphFont"/>
    <w:link w:val="FootnoteText"/>
    <w:uiPriority w:val="99"/>
    <w:rsid w:val="0095463F"/>
    <w:rPr>
      <w:rFonts w:ascii="Times New Roman" w:eastAsia="Times New Roman" w:hAnsi="Times New Roman" w:cs="Times New Roman"/>
      <w:sz w:val="20"/>
      <w:szCs w:val="20"/>
    </w:rPr>
  </w:style>
  <w:style w:type="character" w:styleId="FootnoteReference">
    <w:name w:val="footnote reference"/>
    <w:uiPriority w:val="99"/>
    <w:rsid w:val="0095463F"/>
    <w:rPr>
      <w:rFonts w:cs="Times New Roman"/>
      <w:vertAlign w:val="superscript"/>
    </w:rPr>
  </w:style>
  <w:style w:type="character" w:styleId="CommentReference">
    <w:name w:val="annotation reference"/>
    <w:basedOn w:val="DefaultParagraphFont"/>
    <w:uiPriority w:val="99"/>
    <w:unhideWhenUsed/>
    <w:rsid w:val="00F625C3"/>
    <w:rPr>
      <w:sz w:val="16"/>
      <w:szCs w:val="16"/>
    </w:rPr>
  </w:style>
  <w:style w:type="paragraph" w:customStyle="1" w:styleId="b">
    <w:name w:val="b"/>
    <w:aliases w:val="bullet,Body,Bullet,bullets,body,bd,b-heading 1/heading 2,heading1body-heading2body,b2,b1,Bullet 1,he... + Black"/>
    <w:link w:val="bChar"/>
    <w:qFormat/>
    <w:rsid w:val="00F625C3"/>
    <w:pPr>
      <w:numPr>
        <w:numId w:val="5"/>
      </w:numPr>
      <w:spacing w:after="120" w:line="240" w:lineRule="auto"/>
      <w:ind w:left="720"/>
    </w:pPr>
    <w:rPr>
      <w:rFonts w:ascii="Calibri" w:eastAsia="Times New Roman" w:hAnsi="Calibri" w:cs="Arial"/>
    </w:rPr>
  </w:style>
  <w:style w:type="character" w:customStyle="1" w:styleId="bChar">
    <w:name w:val="b Char"/>
    <w:aliases w:val="bullet Char,Body Char Char,bullet Char Char,Body Char,Bullet Char,bullets Char,body Char,bd Char,b-heading 1/heading 2 Char,heading1body-heading2body Char,he... + Black Char,bullet + Times New Roman Char,10 pt Char,Left:  0&quot; Char"/>
    <w:link w:val="b"/>
    <w:rsid w:val="00F625C3"/>
    <w:rPr>
      <w:rFonts w:ascii="Calibri" w:eastAsia="Times New Roman" w:hAnsi="Calibri" w:cs="Arial"/>
    </w:rPr>
  </w:style>
  <w:style w:type="paragraph" w:customStyle="1" w:styleId="Default">
    <w:name w:val="Default"/>
    <w:rsid w:val="00A044EB"/>
    <w:pPr>
      <w:autoSpaceDE w:val="0"/>
      <w:autoSpaceDN w:val="0"/>
      <w:adjustRightInd w:val="0"/>
      <w:spacing w:after="0" w:line="240" w:lineRule="auto"/>
    </w:pPr>
    <w:rPr>
      <w:rFonts w:ascii="JDAOP K+ Frutiger LT Std" w:eastAsia="Times New Roman" w:hAnsi="JDAOP K+ Frutiger LT Std" w:cs="JDAOP K+ Frutiger LT Std"/>
      <w:color w:val="000000"/>
      <w:sz w:val="24"/>
      <w:szCs w:val="24"/>
    </w:rPr>
  </w:style>
  <w:style w:type="paragraph" w:styleId="CommentText">
    <w:name w:val="annotation text"/>
    <w:basedOn w:val="Normal"/>
    <w:link w:val="CommentTextChar"/>
    <w:uiPriority w:val="99"/>
    <w:unhideWhenUsed/>
    <w:rsid w:val="00FC0DB2"/>
    <w:rPr>
      <w:sz w:val="20"/>
      <w:szCs w:val="20"/>
    </w:rPr>
  </w:style>
  <w:style w:type="character" w:customStyle="1" w:styleId="CommentTextChar">
    <w:name w:val="Comment Text Char"/>
    <w:basedOn w:val="DefaultParagraphFont"/>
    <w:link w:val="CommentText"/>
    <w:uiPriority w:val="99"/>
    <w:rsid w:val="00FC0DB2"/>
    <w:rPr>
      <w:sz w:val="20"/>
      <w:szCs w:val="20"/>
    </w:rPr>
  </w:style>
  <w:style w:type="paragraph" w:styleId="CommentSubject">
    <w:name w:val="annotation subject"/>
    <w:basedOn w:val="CommentText"/>
    <w:next w:val="CommentText"/>
    <w:link w:val="CommentSubjectChar"/>
    <w:uiPriority w:val="99"/>
    <w:semiHidden/>
    <w:unhideWhenUsed/>
    <w:rsid w:val="00FC0DB2"/>
    <w:rPr>
      <w:b/>
      <w:bCs/>
    </w:rPr>
  </w:style>
  <w:style w:type="character" w:customStyle="1" w:styleId="CommentSubjectChar">
    <w:name w:val="Comment Subject Char"/>
    <w:basedOn w:val="CommentTextChar"/>
    <w:link w:val="CommentSubject"/>
    <w:uiPriority w:val="99"/>
    <w:semiHidden/>
    <w:rsid w:val="00FC0DB2"/>
    <w:rPr>
      <w:b/>
      <w:bCs/>
      <w:sz w:val="20"/>
      <w:szCs w:val="20"/>
    </w:rPr>
  </w:style>
  <w:style w:type="paragraph" w:customStyle="1" w:styleId="Table">
    <w:name w:val="Table"/>
    <w:basedOn w:val="Caption"/>
    <w:qFormat/>
    <w:rsid w:val="00586868"/>
    <w:pPr>
      <w:jc w:val="center"/>
    </w:pPr>
    <w:rPr>
      <w:rFonts w:ascii="Garamond" w:eastAsia="Times New Roman" w:hAnsi="Garamond" w:cs="Times New Roman"/>
      <w:sz w:val="20"/>
      <w:lang w:val="x-none" w:eastAsia="x-none"/>
    </w:rPr>
  </w:style>
  <w:style w:type="paragraph" w:styleId="Caption">
    <w:name w:val="caption"/>
    <w:aliases w:val="caption,Figure"/>
    <w:basedOn w:val="Normal"/>
    <w:next w:val="Normal"/>
    <w:link w:val="CaptionChar"/>
    <w:uiPriority w:val="35"/>
    <w:unhideWhenUsed/>
    <w:qFormat/>
    <w:rsid w:val="00CF2BE5"/>
    <w:pPr>
      <w:spacing w:after="120"/>
    </w:pPr>
    <w:rPr>
      <w:b/>
      <w:bCs/>
      <w:sz w:val="18"/>
      <w:szCs w:val="18"/>
    </w:rPr>
  </w:style>
  <w:style w:type="character" w:customStyle="1" w:styleId="CaptionChar">
    <w:name w:val="Caption Char"/>
    <w:aliases w:val="caption Char,Figure Char"/>
    <w:link w:val="Caption"/>
    <w:uiPriority w:val="35"/>
    <w:locked/>
    <w:rsid w:val="00CF2BE5"/>
    <w:rPr>
      <w:b/>
      <w:bCs/>
      <w:sz w:val="18"/>
      <w:szCs w:val="18"/>
    </w:rPr>
  </w:style>
  <w:style w:type="character" w:styleId="FollowedHyperlink">
    <w:name w:val="FollowedHyperlink"/>
    <w:basedOn w:val="DefaultParagraphFont"/>
    <w:uiPriority w:val="99"/>
    <w:semiHidden/>
    <w:unhideWhenUsed/>
    <w:rsid w:val="007F53E6"/>
    <w:rPr>
      <w:color w:val="800080" w:themeColor="followedHyperlink"/>
      <w:u w:val="single"/>
    </w:rPr>
  </w:style>
  <w:style w:type="table" w:styleId="LightList-Accent1">
    <w:name w:val="Light List Accent 1"/>
    <w:basedOn w:val="TableNormal"/>
    <w:uiPriority w:val="61"/>
    <w:rsid w:val="00D67E4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Paragraph">
    <w:name w:val="Body Paragraph"/>
    <w:link w:val="BodyParagraphChar"/>
    <w:qFormat/>
    <w:rsid w:val="000A6D0D"/>
    <w:pPr>
      <w:spacing w:after="240" w:line="312" w:lineRule="auto"/>
    </w:pPr>
    <w:rPr>
      <w:rFonts w:ascii="Verdana" w:eastAsiaTheme="minorEastAsia" w:hAnsi="Verdana"/>
      <w:sz w:val="18"/>
    </w:rPr>
  </w:style>
  <w:style w:type="character" w:customStyle="1" w:styleId="BodyParagraphChar">
    <w:name w:val="Body Paragraph Char"/>
    <w:basedOn w:val="DefaultParagraphFont"/>
    <w:link w:val="BodyParagraph"/>
    <w:rsid w:val="000A6D0D"/>
    <w:rPr>
      <w:rFonts w:ascii="Verdana" w:eastAsiaTheme="minorEastAsia" w:hAnsi="Verdana"/>
      <w:sz w:val="18"/>
    </w:rPr>
  </w:style>
  <w:style w:type="character" w:styleId="PlaceholderText">
    <w:name w:val="Placeholder Text"/>
    <w:basedOn w:val="DefaultParagraphFont"/>
    <w:uiPriority w:val="99"/>
    <w:semiHidden/>
    <w:rsid w:val="001B508B"/>
    <w:rPr>
      <w:color w:val="808080"/>
    </w:rPr>
  </w:style>
  <w:style w:type="table" w:styleId="MediumShading1-Accent5">
    <w:name w:val="Medium Shading 1 Accent 5"/>
    <w:basedOn w:val="TableNormal"/>
    <w:uiPriority w:val="63"/>
    <w:rsid w:val="00CF2BE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40263E"/>
    <w:pPr>
      <w:spacing w:after="60"/>
    </w:pPr>
    <w:rPr>
      <w:rFonts w:ascii="Century Gothic" w:hAnsi="Century Gothic"/>
      <w:sz w:val="18"/>
    </w:rPr>
  </w:style>
  <w:style w:type="table" w:customStyle="1" w:styleId="MediumShading1-Accent11">
    <w:name w:val="Medium Shading 1 - Accent 11"/>
    <w:basedOn w:val="TableNormal"/>
    <w:uiPriority w:val="63"/>
    <w:rsid w:val="00583EBC"/>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CC505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476C6F"/>
    <w:pPr>
      <w:spacing w:after="0" w:line="240" w:lineRule="auto"/>
    </w:pPr>
  </w:style>
  <w:style w:type="character" w:styleId="Strong">
    <w:name w:val="Strong"/>
    <w:basedOn w:val="DefaultParagraphFont"/>
    <w:uiPriority w:val="22"/>
    <w:qFormat/>
    <w:rsid w:val="001A2A28"/>
    <w:rPr>
      <w:b/>
      <w:bCs/>
    </w:rPr>
  </w:style>
  <w:style w:type="paragraph" w:customStyle="1" w:styleId="GlossaryTerm">
    <w:name w:val="GlossaryTerm"/>
    <w:basedOn w:val="Normal"/>
    <w:link w:val="GlossaryTermChar"/>
    <w:qFormat/>
    <w:rsid w:val="0082377B"/>
    <w:pPr>
      <w:spacing w:after="120"/>
    </w:pPr>
  </w:style>
  <w:style w:type="character" w:customStyle="1" w:styleId="GlossaryTermChar">
    <w:name w:val="GlossaryTerm Char"/>
    <w:basedOn w:val="DefaultParagraphFont"/>
    <w:link w:val="GlossaryTerm"/>
    <w:rsid w:val="00823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6040">
      <w:bodyDiv w:val="1"/>
      <w:marLeft w:val="0"/>
      <w:marRight w:val="0"/>
      <w:marTop w:val="0"/>
      <w:marBottom w:val="0"/>
      <w:divBdr>
        <w:top w:val="none" w:sz="0" w:space="0" w:color="auto"/>
        <w:left w:val="none" w:sz="0" w:space="0" w:color="auto"/>
        <w:bottom w:val="none" w:sz="0" w:space="0" w:color="auto"/>
        <w:right w:val="none" w:sz="0" w:space="0" w:color="auto"/>
      </w:divBdr>
    </w:div>
    <w:div w:id="24135241">
      <w:bodyDiv w:val="1"/>
      <w:marLeft w:val="0"/>
      <w:marRight w:val="0"/>
      <w:marTop w:val="0"/>
      <w:marBottom w:val="0"/>
      <w:divBdr>
        <w:top w:val="none" w:sz="0" w:space="0" w:color="auto"/>
        <w:left w:val="none" w:sz="0" w:space="0" w:color="auto"/>
        <w:bottom w:val="none" w:sz="0" w:space="0" w:color="auto"/>
        <w:right w:val="none" w:sz="0" w:space="0" w:color="auto"/>
      </w:divBdr>
    </w:div>
    <w:div w:id="46071829">
      <w:bodyDiv w:val="1"/>
      <w:marLeft w:val="0"/>
      <w:marRight w:val="0"/>
      <w:marTop w:val="0"/>
      <w:marBottom w:val="0"/>
      <w:divBdr>
        <w:top w:val="none" w:sz="0" w:space="0" w:color="auto"/>
        <w:left w:val="none" w:sz="0" w:space="0" w:color="auto"/>
        <w:bottom w:val="none" w:sz="0" w:space="0" w:color="auto"/>
        <w:right w:val="none" w:sz="0" w:space="0" w:color="auto"/>
      </w:divBdr>
    </w:div>
    <w:div w:id="69889977">
      <w:bodyDiv w:val="1"/>
      <w:marLeft w:val="0"/>
      <w:marRight w:val="0"/>
      <w:marTop w:val="0"/>
      <w:marBottom w:val="0"/>
      <w:divBdr>
        <w:top w:val="none" w:sz="0" w:space="0" w:color="auto"/>
        <w:left w:val="none" w:sz="0" w:space="0" w:color="auto"/>
        <w:bottom w:val="none" w:sz="0" w:space="0" w:color="auto"/>
        <w:right w:val="none" w:sz="0" w:space="0" w:color="auto"/>
      </w:divBdr>
    </w:div>
    <w:div w:id="78063740">
      <w:bodyDiv w:val="1"/>
      <w:marLeft w:val="0"/>
      <w:marRight w:val="0"/>
      <w:marTop w:val="0"/>
      <w:marBottom w:val="0"/>
      <w:divBdr>
        <w:top w:val="none" w:sz="0" w:space="0" w:color="auto"/>
        <w:left w:val="none" w:sz="0" w:space="0" w:color="auto"/>
        <w:bottom w:val="none" w:sz="0" w:space="0" w:color="auto"/>
        <w:right w:val="none" w:sz="0" w:space="0" w:color="auto"/>
      </w:divBdr>
    </w:div>
    <w:div w:id="156655390">
      <w:bodyDiv w:val="1"/>
      <w:marLeft w:val="0"/>
      <w:marRight w:val="0"/>
      <w:marTop w:val="0"/>
      <w:marBottom w:val="0"/>
      <w:divBdr>
        <w:top w:val="none" w:sz="0" w:space="0" w:color="auto"/>
        <w:left w:val="none" w:sz="0" w:space="0" w:color="auto"/>
        <w:bottom w:val="none" w:sz="0" w:space="0" w:color="auto"/>
        <w:right w:val="none" w:sz="0" w:space="0" w:color="auto"/>
      </w:divBdr>
    </w:div>
    <w:div w:id="228804705">
      <w:bodyDiv w:val="1"/>
      <w:marLeft w:val="0"/>
      <w:marRight w:val="0"/>
      <w:marTop w:val="0"/>
      <w:marBottom w:val="0"/>
      <w:divBdr>
        <w:top w:val="none" w:sz="0" w:space="0" w:color="auto"/>
        <w:left w:val="none" w:sz="0" w:space="0" w:color="auto"/>
        <w:bottom w:val="none" w:sz="0" w:space="0" w:color="auto"/>
        <w:right w:val="none" w:sz="0" w:space="0" w:color="auto"/>
      </w:divBdr>
    </w:div>
    <w:div w:id="320819630">
      <w:bodyDiv w:val="1"/>
      <w:marLeft w:val="0"/>
      <w:marRight w:val="0"/>
      <w:marTop w:val="0"/>
      <w:marBottom w:val="0"/>
      <w:divBdr>
        <w:top w:val="none" w:sz="0" w:space="0" w:color="auto"/>
        <w:left w:val="none" w:sz="0" w:space="0" w:color="auto"/>
        <w:bottom w:val="none" w:sz="0" w:space="0" w:color="auto"/>
        <w:right w:val="none" w:sz="0" w:space="0" w:color="auto"/>
      </w:divBdr>
    </w:div>
    <w:div w:id="375397963">
      <w:bodyDiv w:val="1"/>
      <w:marLeft w:val="0"/>
      <w:marRight w:val="0"/>
      <w:marTop w:val="0"/>
      <w:marBottom w:val="0"/>
      <w:divBdr>
        <w:top w:val="none" w:sz="0" w:space="0" w:color="auto"/>
        <w:left w:val="none" w:sz="0" w:space="0" w:color="auto"/>
        <w:bottom w:val="none" w:sz="0" w:space="0" w:color="auto"/>
        <w:right w:val="none" w:sz="0" w:space="0" w:color="auto"/>
      </w:divBdr>
    </w:div>
    <w:div w:id="410010346">
      <w:bodyDiv w:val="1"/>
      <w:marLeft w:val="0"/>
      <w:marRight w:val="0"/>
      <w:marTop w:val="0"/>
      <w:marBottom w:val="0"/>
      <w:divBdr>
        <w:top w:val="none" w:sz="0" w:space="0" w:color="auto"/>
        <w:left w:val="none" w:sz="0" w:space="0" w:color="auto"/>
        <w:bottom w:val="none" w:sz="0" w:space="0" w:color="auto"/>
        <w:right w:val="none" w:sz="0" w:space="0" w:color="auto"/>
      </w:divBdr>
    </w:div>
    <w:div w:id="447428215">
      <w:bodyDiv w:val="1"/>
      <w:marLeft w:val="0"/>
      <w:marRight w:val="0"/>
      <w:marTop w:val="0"/>
      <w:marBottom w:val="0"/>
      <w:divBdr>
        <w:top w:val="none" w:sz="0" w:space="0" w:color="auto"/>
        <w:left w:val="none" w:sz="0" w:space="0" w:color="auto"/>
        <w:bottom w:val="none" w:sz="0" w:space="0" w:color="auto"/>
        <w:right w:val="none" w:sz="0" w:space="0" w:color="auto"/>
      </w:divBdr>
    </w:div>
    <w:div w:id="472211535">
      <w:bodyDiv w:val="1"/>
      <w:marLeft w:val="0"/>
      <w:marRight w:val="0"/>
      <w:marTop w:val="0"/>
      <w:marBottom w:val="0"/>
      <w:divBdr>
        <w:top w:val="none" w:sz="0" w:space="0" w:color="auto"/>
        <w:left w:val="none" w:sz="0" w:space="0" w:color="auto"/>
        <w:bottom w:val="none" w:sz="0" w:space="0" w:color="auto"/>
        <w:right w:val="none" w:sz="0" w:space="0" w:color="auto"/>
      </w:divBdr>
    </w:div>
    <w:div w:id="488400983">
      <w:bodyDiv w:val="1"/>
      <w:marLeft w:val="0"/>
      <w:marRight w:val="0"/>
      <w:marTop w:val="0"/>
      <w:marBottom w:val="0"/>
      <w:divBdr>
        <w:top w:val="none" w:sz="0" w:space="0" w:color="auto"/>
        <w:left w:val="none" w:sz="0" w:space="0" w:color="auto"/>
        <w:bottom w:val="none" w:sz="0" w:space="0" w:color="auto"/>
        <w:right w:val="none" w:sz="0" w:space="0" w:color="auto"/>
      </w:divBdr>
    </w:div>
    <w:div w:id="532575670">
      <w:bodyDiv w:val="1"/>
      <w:marLeft w:val="0"/>
      <w:marRight w:val="0"/>
      <w:marTop w:val="0"/>
      <w:marBottom w:val="0"/>
      <w:divBdr>
        <w:top w:val="none" w:sz="0" w:space="0" w:color="auto"/>
        <w:left w:val="none" w:sz="0" w:space="0" w:color="auto"/>
        <w:bottom w:val="none" w:sz="0" w:space="0" w:color="auto"/>
        <w:right w:val="none" w:sz="0" w:space="0" w:color="auto"/>
      </w:divBdr>
    </w:div>
    <w:div w:id="567228009">
      <w:bodyDiv w:val="1"/>
      <w:marLeft w:val="0"/>
      <w:marRight w:val="0"/>
      <w:marTop w:val="0"/>
      <w:marBottom w:val="0"/>
      <w:divBdr>
        <w:top w:val="none" w:sz="0" w:space="0" w:color="auto"/>
        <w:left w:val="none" w:sz="0" w:space="0" w:color="auto"/>
        <w:bottom w:val="none" w:sz="0" w:space="0" w:color="auto"/>
        <w:right w:val="none" w:sz="0" w:space="0" w:color="auto"/>
      </w:divBdr>
    </w:div>
    <w:div w:id="602152311">
      <w:bodyDiv w:val="1"/>
      <w:marLeft w:val="0"/>
      <w:marRight w:val="0"/>
      <w:marTop w:val="0"/>
      <w:marBottom w:val="0"/>
      <w:divBdr>
        <w:top w:val="none" w:sz="0" w:space="0" w:color="auto"/>
        <w:left w:val="none" w:sz="0" w:space="0" w:color="auto"/>
        <w:bottom w:val="none" w:sz="0" w:space="0" w:color="auto"/>
        <w:right w:val="none" w:sz="0" w:space="0" w:color="auto"/>
      </w:divBdr>
    </w:div>
    <w:div w:id="612789835">
      <w:bodyDiv w:val="1"/>
      <w:marLeft w:val="0"/>
      <w:marRight w:val="0"/>
      <w:marTop w:val="0"/>
      <w:marBottom w:val="0"/>
      <w:divBdr>
        <w:top w:val="none" w:sz="0" w:space="0" w:color="auto"/>
        <w:left w:val="none" w:sz="0" w:space="0" w:color="auto"/>
        <w:bottom w:val="none" w:sz="0" w:space="0" w:color="auto"/>
        <w:right w:val="none" w:sz="0" w:space="0" w:color="auto"/>
      </w:divBdr>
    </w:div>
    <w:div w:id="617027944">
      <w:bodyDiv w:val="1"/>
      <w:marLeft w:val="0"/>
      <w:marRight w:val="0"/>
      <w:marTop w:val="0"/>
      <w:marBottom w:val="0"/>
      <w:divBdr>
        <w:top w:val="none" w:sz="0" w:space="0" w:color="auto"/>
        <w:left w:val="none" w:sz="0" w:space="0" w:color="auto"/>
        <w:bottom w:val="none" w:sz="0" w:space="0" w:color="auto"/>
        <w:right w:val="none" w:sz="0" w:space="0" w:color="auto"/>
      </w:divBdr>
    </w:div>
    <w:div w:id="628819645">
      <w:bodyDiv w:val="1"/>
      <w:marLeft w:val="0"/>
      <w:marRight w:val="0"/>
      <w:marTop w:val="0"/>
      <w:marBottom w:val="0"/>
      <w:divBdr>
        <w:top w:val="none" w:sz="0" w:space="0" w:color="auto"/>
        <w:left w:val="none" w:sz="0" w:space="0" w:color="auto"/>
        <w:bottom w:val="none" w:sz="0" w:space="0" w:color="auto"/>
        <w:right w:val="none" w:sz="0" w:space="0" w:color="auto"/>
      </w:divBdr>
    </w:div>
    <w:div w:id="667246857">
      <w:bodyDiv w:val="1"/>
      <w:marLeft w:val="0"/>
      <w:marRight w:val="0"/>
      <w:marTop w:val="0"/>
      <w:marBottom w:val="0"/>
      <w:divBdr>
        <w:top w:val="none" w:sz="0" w:space="0" w:color="auto"/>
        <w:left w:val="none" w:sz="0" w:space="0" w:color="auto"/>
        <w:bottom w:val="none" w:sz="0" w:space="0" w:color="auto"/>
        <w:right w:val="none" w:sz="0" w:space="0" w:color="auto"/>
      </w:divBdr>
    </w:div>
    <w:div w:id="747382435">
      <w:bodyDiv w:val="1"/>
      <w:marLeft w:val="0"/>
      <w:marRight w:val="0"/>
      <w:marTop w:val="0"/>
      <w:marBottom w:val="0"/>
      <w:divBdr>
        <w:top w:val="none" w:sz="0" w:space="0" w:color="auto"/>
        <w:left w:val="none" w:sz="0" w:space="0" w:color="auto"/>
        <w:bottom w:val="none" w:sz="0" w:space="0" w:color="auto"/>
        <w:right w:val="none" w:sz="0" w:space="0" w:color="auto"/>
      </w:divBdr>
    </w:div>
    <w:div w:id="756946063">
      <w:bodyDiv w:val="1"/>
      <w:marLeft w:val="0"/>
      <w:marRight w:val="0"/>
      <w:marTop w:val="0"/>
      <w:marBottom w:val="0"/>
      <w:divBdr>
        <w:top w:val="none" w:sz="0" w:space="0" w:color="auto"/>
        <w:left w:val="none" w:sz="0" w:space="0" w:color="auto"/>
        <w:bottom w:val="none" w:sz="0" w:space="0" w:color="auto"/>
        <w:right w:val="none" w:sz="0" w:space="0" w:color="auto"/>
      </w:divBdr>
    </w:div>
    <w:div w:id="764232303">
      <w:bodyDiv w:val="1"/>
      <w:marLeft w:val="0"/>
      <w:marRight w:val="0"/>
      <w:marTop w:val="0"/>
      <w:marBottom w:val="0"/>
      <w:divBdr>
        <w:top w:val="none" w:sz="0" w:space="0" w:color="auto"/>
        <w:left w:val="none" w:sz="0" w:space="0" w:color="auto"/>
        <w:bottom w:val="none" w:sz="0" w:space="0" w:color="auto"/>
        <w:right w:val="none" w:sz="0" w:space="0" w:color="auto"/>
      </w:divBdr>
    </w:div>
    <w:div w:id="788746182">
      <w:bodyDiv w:val="1"/>
      <w:marLeft w:val="0"/>
      <w:marRight w:val="0"/>
      <w:marTop w:val="0"/>
      <w:marBottom w:val="0"/>
      <w:divBdr>
        <w:top w:val="none" w:sz="0" w:space="0" w:color="auto"/>
        <w:left w:val="none" w:sz="0" w:space="0" w:color="auto"/>
        <w:bottom w:val="none" w:sz="0" w:space="0" w:color="auto"/>
        <w:right w:val="none" w:sz="0" w:space="0" w:color="auto"/>
      </w:divBdr>
    </w:div>
    <w:div w:id="789857278">
      <w:bodyDiv w:val="1"/>
      <w:marLeft w:val="0"/>
      <w:marRight w:val="0"/>
      <w:marTop w:val="0"/>
      <w:marBottom w:val="0"/>
      <w:divBdr>
        <w:top w:val="none" w:sz="0" w:space="0" w:color="auto"/>
        <w:left w:val="none" w:sz="0" w:space="0" w:color="auto"/>
        <w:bottom w:val="none" w:sz="0" w:space="0" w:color="auto"/>
        <w:right w:val="none" w:sz="0" w:space="0" w:color="auto"/>
      </w:divBdr>
    </w:div>
    <w:div w:id="839000603">
      <w:bodyDiv w:val="1"/>
      <w:marLeft w:val="0"/>
      <w:marRight w:val="0"/>
      <w:marTop w:val="0"/>
      <w:marBottom w:val="0"/>
      <w:divBdr>
        <w:top w:val="none" w:sz="0" w:space="0" w:color="auto"/>
        <w:left w:val="none" w:sz="0" w:space="0" w:color="auto"/>
        <w:bottom w:val="none" w:sz="0" w:space="0" w:color="auto"/>
        <w:right w:val="none" w:sz="0" w:space="0" w:color="auto"/>
      </w:divBdr>
    </w:div>
    <w:div w:id="843207679">
      <w:bodyDiv w:val="1"/>
      <w:marLeft w:val="0"/>
      <w:marRight w:val="0"/>
      <w:marTop w:val="0"/>
      <w:marBottom w:val="0"/>
      <w:divBdr>
        <w:top w:val="none" w:sz="0" w:space="0" w:color="auto"/>
        <w:left w:val="none" w:sz="0" w:space="0" w:color="auto"/>
        <w:bottom w:val="none" w:sz="0" w:space="0" w:color="auto"/>
        <w:right w:val="none" w:sz="0" w:space="0" w:color="auto"/>
      </w:divBdr>
    </w:div>
    <w:div w:id="887033655">
      <w:bodyDiv w:val="1"/>
      <w:marLeft w:val="0"/>
      <w:marRight w:val="0"/>
      <w:marTop w:val="0"/>
      <w:marBottom w:val="0"/>
      <w:divBdr>
        <w:top w:val="none" w:sz="0" w:space="0" w:color="auto"/>
        <w:left w:val="none" w:sz="0" w:space="0" w:color="auto"/>
        <w:bottom w:val="none" w:sz="0" w:space="0" w:color="auto"/>
        <w:right w:val="none" w:sz="0" w:space="0" w:color="auto"/>
      </w:divBdr>
    </w:div>
    <w:div w:id="894126593">
      <w:bodyDiv w:val="1"/>
      <w:marLeft w:val="0"/>
      <w:marRight w:val="0"/>
      <w:marTop w:val="0"/>
      <w:marBottom w:val="0"/>
      <w:divBdr>
        <w:top w:val="none" w:sz="0" w:space="0" w:color="auto"/>
        <w:left w:val="none" w:sz="0" w:space="0" w:color="auto"/>
        <w:bottom w:val="none" w:sz="0" w:space="0" w:color="auto"/>
        <w:right w:val="none" w:sz="0" w:space="0" w:color="auto"/>
      </w:divBdr>
    </w:div>
    <w:div w:id="933247407">
      <w:bodyDiv w:val="1"/>
      <w:marLeft w:val="0"/>
      <w:marRight w:val="0"/>
      <w:marTop w:val="0"/>
      <w:marBottom w:val="0"/>
      <w:divBdr>
        <w:top w:val="none" w:sz="0" w:space="0" w:color="auto"/>
        <w:left w:val="none" w:sz="0" w:space="0" w:color="auto"/>
        <w:bottom w:val="none" w:sz="0" w:space="0" w:color="auto"/>
        <w:right w:val="none" w:sz="0" w:space="0" w:color="auto"/>
      </w:divBdr>
    </w:div>
    <w:div w:id="941109070">
      <w:bodyDiv w:val="1"/>
      <w:marLeft w:val="0"/>
      <w:marRight w:val="0"/>
      <w:marTop w:val="0"/>
      <w:marBottom w:val="0"/>
      <w:divBdr>
        <w:top w:val="none" w:sz="0" w:space="0" w:color="auto"/>
        <w:left w:val="none" w:sz="0" w:space="0" w:color="auto"/>
        <w:bottom w:val="none" w:sz="0" w:space="0" w:color="auto"/>
        <w:right w:val="none" w:sz="0" w:space="0" w:color="auto"/>
      </w:divBdr>
    </w:div>
    <w:div w:id="972565136">
      <w:bodyDiv w:val="1"/>
      <w:marLeft w:val="0"/>
      <w:marRight w:val="0"/>
      <w:marTop w:val="0"/>
      <w:marBottom w:val="0"/>
      <w:divBdr>
        <w:top w:val="none" w:sz="0" w:space="0" w:color="auto"/>
        <w:left w:val="none" w:sz="0" w:space="0" w:color="auto"/>
        <w:bottom w:val="none" w:sz="0" w:space="0" w:color="auto"/>
        <w:right w:val="none" w:sz="0" w:space="0" w:color="auto"/>
      </w:divBdr>
    </w:div>
    <w:div w:id="1013993943">
      <w:bodyDiv w:val="1"/>
      <w:marLeft w:val="0"/>
      <w:marRight w:val="0"/>
      <w:marTop w:val="0"/>
      <w:marBottom w:val="0"/>
      <w:divBdr>
        <w:top w:val="none" w:sz="0" w:space="0" w:color="auto"/>
        <w:left w:val="none" w:sz="0" w:space="0" w:color="auto"/>
        <w:bottom w:val="none" w:sz="0" w:space="0" w:color="auto"/>
        <w:right w:val="none" w:sz="0" w:space="0" w:color="auto"/>
      </w:divBdr>
    </w:div>
    <w:div w:id="1016924664">
      <w:bodyDiv w:val="1"/>
      <w:marLeft w:val="0"/>
      <w:marRight w:val="0"/>
      <w:marTop w:val="0"/>
      <w:marBottom w:val="0"/>
      <w:divBdr>
        <w:top w:val="none" w:sz="0" w:space="0" w:color="auto"/>
        <w:left w:val="none" w:sz="0" w:space="0" w:color="auto"/>
        <w:bottom w:val="none" w:sz="0" w:space="0" w:color="auto"/>
        <w:right w:val="none" w:sz="0" w:space="0" w:color="auto"/>
      </w:divBdr>
    </w:div>
    <w:div w:id="1020936299">
      <w:bodyDiv w:val="1"/>
      <w:marLeft w:val="0"/>
      <w:marRight w:val="0"/>
      <w:marTop w:val="0"/>
      <w:marBottom w:val="0"/>
      <w:divBdr>
        <w:top w:val="none" w:sz="0" w:space="0" w:color="auto"/>
        <w:left w:val="none" w:sz="0" w:space="0" w:color="auto"/>
        <w:bottom w:val="none" w:sz="0" w:space="0" w:color="auto"/>
        <w:right w:val="none" w:sz="0" w:space="0" w:color="auto"/>
      </w:divBdr>
    </w:div>
    <w:div w:id="1021131213">
      <w:bodyDiv w:val="1"/>
      <w:marLeft w:val="0"/>
      <w:marRight w:val="0"/>
      <w:marTop w:val="0"/>
      <w:marBottom w:val="0"/>
      <w:divBdr>
        <w:top w:val="none" w:sz="0" w:space="0" w:color="auto"/>
        <w:left w:val="none" w:sz="0" w:space="0" w:color="auto"/>
        <w:bottom w:val="none" w:sz="0" w:space="0" w:color="auto"/>
        <w:right w:val="none" w:sz="0" w:space="0" w:color="auto"/>
      </w:divBdr>
    </w:div>
    <w:div w:id="1068847298">
      <w:bodyDiv w:val="1"/>
      <w:marLeft w:val="0"/>
      <w:marRight w:val="0"/>
      <w:marTop w:val="0"/>
      <w:marBottom w:val="0"/>
      <w:divBdr>
        <w:top w:val="none" w:sz="0" w:space="0" w:color="auto"/>
        <w:left w:val="none" w:sz="0" w:space="0" w:color="auto"/>
        <w:bottom w:val="none" w:sz="0" w:space="0" w:color="auto"/>
        <w:right w:val="none" w:sz="0" w:space="0" w:color="auto"/>
      </w:divBdr>
    </w:div>
    <w:div w:id="1090464238">
      <w:bodyDiv w:val="1"/>
      <w:marLeft w:val="0"/>
      <w:marRight w:val="0"/>
      <w:marTop w:val="0"/>
      <w:marBottom w:val="0"/>
      <w:divBdr>
        <w:top w:val="none" w:sz="0" w:space="0" w:color="auto"/>
        <w:left w:val="none" w:sz="0" w:space="0" w:color="auto"/>
        <w:bottom w:val="none" w:sz="0" w:space="0" w:color="auto"/>
        <w:right w:val="none" w:sz="0" w:space="0" w:color="auto"/>
      </w:divBdr>
    </w:div>
    <w:div w:id="1091118363">
      <w:bodyDiv w:val="1"/>
      <w:marLeft w:val="0"/>
      <w:marRight w:val="0"/>
      <w:marTop w:val="0"/>
      <w:marBottom w:val="0"/>
      <w:divBdr>
        <w:top w:val="none" w:sz="0" w:space="0" w:color="auto"/>
        <w:left w:val="none" w:sz="0" w:space="0" w:color="auto"/>
        <w:bottom w:val="none" w:sz="0" w:space="0" w:color="auto"/>
        <w:right w:val="none" w:sz="0" w:space="0" w:color="auto"/>
      </w:divBdr>
    </w:div>
    <w:div w:id="1100955355">
      <w:bodyDiv w:val="1"/>
      <w:marLeft w:val="0"/>
      <w:marRight w:val="0"/>
      <w:marTop w:val="0"/>
      <w:marBottom w:val="0"/>
      <w:divBdr>
        <w:top w:val="none" w:sz="0" w:space="0" w:color="auto"/>
        <w:left w:val="none" w:sz="0" w:space="0" w:color="auto"/>
        <w:bottom w:val="none" w:sz="0" w:space="0" w:color="auto"/>
        <w:right w:val="none" w:sz="0" w:space="0" w:color="auto"/>
      </w:divBdr>
    </w:div>
    <w:div w:id="1105883143">
      <w:bodyDiv w:val="1"/>
      <w:marLeft w:val="0"/>
      <w:marRight w:val="0"/>
      <w:marTop w:val="0"/>
      <w:marBottom w:val="0"/>
      <w:divBdr>
        <w:top w:val="none" w:sz="0" w:space="0" w:color="auto"/>
        <w:left w:val="none" w:sz="0" w:space="0" w:color="auto"/>
        <w:bottom w:val="none" w:sz="0" w:space="0" w:color="auto"/>
        <w:right w:val="none" w:sz="0" w:space="0" w:color="auto"/>
      </w:divBdr>
    </w:div>
    <w:div w:id="1109281252">
      <w:bodyDiv w:val="1"/>
      <w:marLeft w:val="0"/>
      <w:marRight w:val="0"/>
      <w:marTop w:val="0"/>
      <w:marBottom w:val="0"/>
      <w:divBdr>
        <w:top w:val="none" w:sz="0" w:space="0" w:color="auto"/>
        <w:left w:val="none" w:sz="0" w:space="0" w:color="auto"/>
        <w:bottom w:val="none" w:sz="0" w:space="0" w:color="auto"/>
        <w:right w:val="none" w:sz="0" w:space="0" w:color="auto"/>
      </w:divBdr>
    </w:div>
    <w:div w:id="1117027497">
      <w:bodyDiv w:val="1"/>
      <w:marLeft w:val="0"/>
      <w:marRight w:val="0"/>
      <w:marTop w:val="0"/>
      <w:marBottom w:val="0"/>
      <w:divBdr>
        <w:top w:val="none" w:sz="0" w:space="0" w:color="auto"/>
        <w:left w:val="none" w:sz="0" w:space="0" w:color="auto"/>
        <w:bottom w:val="none" w:sz="0" w:space="0" w:color="auto"/>
        <w:right w:val="none" w:sz="0" w:space="0" w:color="auto"/>
      </w:divBdr>
    </w:div>
    <w:div w:id="1127508402">
      <w:bodyDiv w:val="1"/>
      <w:marLeft w:val="0"/>
      <w:marRight w:val="0"/>
      <w:marTop w:val="0"/>
      <w:marBottom w:val="0"/>
      <w:divBdr>
        <w:top w:val="none" w:sz="0" w:space="0" w:color="auto"/>
        <w:left w:val="none" w:sz="0" w:space="0" w:color="auto"/>
        <w:bottom w:val="none" w:sz="0" w:space="0" w:color="auto"/>
        <w:right w:val="none" w:sz="0" w:space="0" w:color="auto"/>
      </w:divBdr>
    </w:div>
    <w:div w:id="1263535193">
      <w:bodyDiv w:val="1"/>
      <w:marLeft w:val="0"/>
      <w:marRight w:val="0"/>
      <w:marTop w:val="0"/>
      <w:marBottom w:val="0"/>
      <w:divBdr>
        <w:top w:val="none" w:sz="0" w:space="0" w:color="auto"/>
        <w:left w:val="none" w:sz="0" w:space="0" w:color="auto"/>
        <w:bottom w:val="none" w:sz="0" w:space="0" w:color="auto"/>
        <w:right w:val="none" w:sz="0" w:space="0" w:color="auto"/>
      </w:divBdr>
    </w:div>
    <w:div w:id="1296718598">
      <w:bodyDiv w:val="1"/>
      <w:marLeft w:val="0"/>
      <w:marRight w:val="0"/>
      <w:marTop w:val="0"/>
      <w:marBottom w:val="0"/>
      <w:divBdr>
        <w:top w:val="none" w:sz="0" w:space="0" w:color="auto"/>
        <w:left w:val="none" w:sz="0" w:space="0" w:color="auto"/>
        <w:bottom w:val="none" w:sz="0" w:space="0" w:color="auto"/>
        <w:right w:val="none" w:sz="0" w:space="0" w:color="auto"/>
      </w:divBdr>
    </w:div>
    <w:div w:id="1329753087">
      <w:bodyDiv w:val="1"/>
      <w:marLeft w:val="0"/>
      <w:marRight w:val="0"/>
      <w:marTop w:val="0"/>
      <w:marBottom w:val="0"/>
      <w:divBdr>
        <w:top w:val="none" w:sz="0" w:space="0" w:color="auto"/>
        <w:left w:val="none" w:sz="0" w:space="0" w:color="auto"/>
        <w:bottom w:val="none" w:sz="0" w:space="0" w:color="auto"/>
        <w:right w:val="none" w:sz="0" w:space="0" w:color="auto"/>
      </w:divBdr>
    </w:div>
    <w:div w:id="1353652008">
      <w:bodyDiv w:val="1"/>
      <w:marLeft w:val="0"/>
      <w:marRight w:val="0"/>
      <w:marTop w:val="0"/>
      <w:marBottom w:val="0"/>
      <w:divBdr>
        <w:top w:val="none" w:sz="0" w:space="0" w:color="auto"/>
        <w:left w:val="none" w:sz="0" w:space="0" w:color="auto"/>
        <w:bottom w:val="none" w:sz="0" w:space="0" w:color="auto"/>
        <w:right w:val="none" w:sz="0" w:space="0" w:color="auto"/>
      </w:divBdr>
    </w:div>
    <w:div w:id="1354303187">
      <w:bodyDiv w:val="1"/>
      <w:marLeft w:val="0"/>
      <w:marRight w:val="0"/>
      <w:marTop w:val="0"/>
      <w:marBottom w:val="0"/>
      <w:divBdr>
        <w:top w:val="none" w:sz="0" w:space="0" w:color="auto"/>
        <w:left w:val="none" w:sz="0" w:space="0" w:color="auto"/>
        <w:bottom w:val="none" w:sz="0" w:space="0" w:color="auto"/>
        <w:right w:val="none" w:sz="0" w:space="0" w:color="auto"/>
      </w:divBdr>
    </w:div>
    <w:div w:id="1400438956">
      <w:bodyDiv w:val="1"/>
      <w:marLeft w:val="0"/>
      <w:marRight w:val="0"/>
      <w:marTop w:val="0"/>
      <w:marBottom w:val="0"/>
      <w:divBdr>
        <w:top w:val="none" w:sz="0" w:space="0" w:color="auto"/>
        <w:left w:val="none" w:sz="0" w:space="0" w:color="auto"/>
        <w:bottom w:val="none" w:sz="0" w:space="0" w:color="auto"/>
        <w:right w:val="none" w:sz="0" w:space="0" w:color="auto"/>
      </w:divBdr>
    </w:div>
    <w:div w:id="1435712470">
      <w:bodyDiv w:val="1"/>
      <w:marLeft w:val="0"/>
      <w:marRight w:val="0"/>
      <w:marTop w:val="0"/>
      <w:marBottom w:val="0"/>
      <w:divBdr>
        <w:top w:val="none" w:sz="0" w:space="0" w:color="auto"/>
        <w:left w:val="none" w:sz="0" w:space="0" w:color="auto"/>
        <w:bottom w:val="none" w:sz="0" w:space="0" w:color="auto"/>
        <w:right w:val="none" w:sz="0" w:space="0" w:color="auto"/>
      </w:divBdr>
    </w:div>
    <w:div w:id="1556117183">
      <w:bodyDiv w:val="1"/>
      <w:marLeft w:val="0"/>
      <w:marRight w:val="0"/>
      <w:marTop w:val="0"/>
      <w:marBottom w:val="0"/>
      <w:divBdr>
        <w:top w:val="none" w:sz="0" w:space="0" w:color="auto"/>
        <w:left w:val="none" w:sz="0" w:space="0" w:color="auto"/>
        <w:bottom w:val="none" w:sz="0" w:space="0" w:color="auto"/>
        <w:right w:val="none" w:sz="0" w:space="0" w:color="auto"/>
      </w:divBdr>
    </w:div>
    <w:div w:id="1567645858">
      <w:bodyDiv w:val="1"/>
      <w:marLeft w:val="0"/>
      <w:marRight w:val="0"/>
      <w:marTop w:val="0"/>
      <w:marBottom w:val="0"/>
      <w:divBdr>
        <w:top w:val="none" w:sz="0" w:space="0" w:color="auto"/>
        <w:left w:val="none" w:sz="0" w:space="0" w:color="auto"/>
        <w:bottom w:val="none" w:sz="0" w:space="0" w:color="auto"/>
        <w:right w:val="none" w:sz="0" w:space="0" w:color="auto"/>
      </w:divBdr>
    </w:div>
    <w:div w:id="1746606378">
      <w:bodyDiv w:val="1"/>
      <w:marLeft w:val="0"/>
      <w:marRight w:val="0"/>
      <w:marTop w:val="0"/>
      <w:marBottom w:val="0"/>
      <w:divBdr>
        <w:top w:val="none" w:sz="0" w:space="0" w:color="auto"/>
        <w:left w:val="none" w:sz="0" w:space="0" w:color="auto"/>
        <w:bottom w:val="none" w:sz="0" w:space="0" w:color="auto"/>
        <w:right w:val="none" w:sz="0" w:space="0" w:color="auto"/>
      </w:divBdr>
    </w:div>
    <w:div w:id="1753701513">
      <w:bodyDiv w:val="1"/>
      <w:marLeft w:val="0"/>
      <w:marRight w:val="0"/>
      <w:marTop w:val="0"/>
      <w:marBottom w:val="0"/>
      <w:divBdr>
        <w:top w:val="none" w:sz="0" w:space="0" w:color="auto"/>
        <w:left w:val="none" w:sz="0" w:space="0" w:color="auto"/>
        <w:bottom w:val="none" w:sz="0" w:space="0" w:color="auto"/>
        <w:right w:val="none" w:sz="0" w:space="0" w:color="auto"/>
      </w:divBdr>
    </w:div>
    <w:div w:id="1769235999">
      <w:bodyDiv w:val="1"/>
      <w:marLeft w:val="0"/>
      <w:marRight w:val="0"/>
      <w:marTop w:val="0"/>
      <w:marBottom w:val="0"/>
      <w:divBdr>
        <w:top w:val="none" w:sz="0" w:space="0" w:color="auto"/>
        <w:left w:val="none" w:sz="0" w:space="0" w:color="auto"/>
        <w:bottom w:val="none" w:sz="0" w:space="0" w:color="auto"/>
        <w:right w:val="none" w:sz="0" w:space="0" w:color="auto"/>
      </w:divBdr>
    </w:div>
    <w:div w:id="1771274171">
      <w:bodyDiv w:val="1"/>
      <w:marLeft w:val="0"/>
      <w:marRight w:val="0"/>
      <w:marTop w:val="0"/>
      <w:marBottom w:val="0"/>
      <w:divBdr>
        <w:top w:val="none" w:sz="0" w:space="0" w:color="auto"/>
        <w:left w:val="none" w:sz="0" w:space="0" w:color="auto"/>
        <w:bottom w:val="none" w:sz="0" w:space="0" w:color="auto"/>
        <w:right w:val="none" w:sz="0" w:space="0" w:color="auto"/>
      </w:divBdr>
    </w:div>
    <w:div w:id="1787653389">
      <w:bodyDiv w:val="1"/>
      <w:marLeft w:val="0"/>
      <w:marRight w:val="0"/>
      <w:marTop w:val="0"/>
      <w:marBottom w:val="0"/>
      <w:divBdr>
        <w:top w:val="none" w:sz="0" w:space="0" w:color="auto"/>
        <w:left w:val="none" w:sz="0" w:space="0" w:color="auto"/>
        <w:bottom w:val="none" w:sz="0" w:space="0" w:color="auto"/>
        <w:right w:val="none" w:sz="0" w:space="0" w:color="auto"/>
      </w:divBdr>
    </w:div>
    <w:div w:id="1813523605">
      <w:bodyDiv w:val="1"/>
      <w:marLeft w:val="0"/>
      <w:marRight w:val="0"/>
      <w:marTop w:val="0"/>
      <w:marBottom w:val="0"/>
      <w:divBdr>
        <w:top w:val="none" w:sz="0" w:space="0" w:color="auto"/>
        <w:left w:val="none" w:sz="0" w:space="0" w:color="auto"/>
        <w:bottom w:val="none" w:sz="0" w:space="0" w:color="auto"/>
        <w:right w:val="none" w:sz="0" w:space="0" w:color="auto"/>
      </w:divBdr>
    </w:div>
    <w:div w:id="1844083994">
      <w:bodyDiv w:val="1"/>
      <w:marLeft w:val="0"/>
      <w:marRight w:val="0"/>
      <w:marTop w:val="0"/>
      <w:marBottom w:val="0"/>
      <w:divBdr>
        <w:top w:val="none" w:sz="0" w:space="0" w:color="auto"/>
        <w:left w:val="none" w:sz="0" w:space="0" w:color="auto"/>
        <w:bottom w:val="none" w:sz="0" w:space="0" w:color="auto"/>
        <w:right w:val="none" w:sz="0" w:space="0" w:color="auto"/>
      </w:divBdr>
    </w:div>
    <w:div w:id="1855457946">
      <w:bodyDiv w:val="1"/>
      <w:marLeft w:val="0"/>
      <w:marRight w:val="0"/>
      <w:marTop w:val="0"/>
      <w:marBottom w:val="0"/>
      <w:divBdr>
        <w:top w:val="none" w:sz="0" w:space="0" w:color="auto"/>
        <w:left w:val="none" w:sz="0" w:space="0" w:color="auto"/>
        <w:bottom w:val="none" w:sz="0" w:space="0" w:color="auto"/>
        <w:right w:val="none" w:sz="0" w:space="0" w:color="auto"/>
      </w:divBdr>
    </w:div>
    <w:div w:id="1857695571">
      <w:bodyDiv w:val="1"/>
      <w:marLeft w:val="0"/>
      <w:marRight w:val="0"/>
      <w:marTop w:val="0"/>
      <w:marBottom w:val="0"/>
      <w:divBdr>
        <w:top w:val="none" w:sz="0" w:space="0" w:color="auto"/>
        <w:left w:val="none" w:sz="0" w:space="0" w:color="auto"/>
        <w:bottom w:val="none" w:sz="0" w:space="0" w:color="auto"/>
        <w:right w:val="none" w:sz="0" w:space="0" w:color="auto"/>
      </w:divBdr>
    </w:div>
    <w:div w:id="1858998885">
      <w:bodyDiv w:val="1"/>
      <w:marLeft w:val="0"/>
      <w:marRight w:val="0"/>
      <w:marTop w:val="0"/>
      <w:marBottom w:val="0"/>
      <w:divBdr>
        <w:top w:val="none" w:sz="0" w:space="0" w:color="auto"/>
        <w:left w:val="none" w:sz="0" w:space="0" w:color="auto"/>
        <w:bottom w:val="none" w:sz="0" w:space="0" w:color="auto"/>
        <w:right w:val="none" w:sz="0" w:space="0" w:color="auto"/>
      </w:divBdr>
    </w:div>
    <w:div w:id="1894805376">
      <w:bodyDiv w:val="1"/>
      <w:marLeft w:val="0"/>
      <w:marRight w:val="0"/>
      <w:marTop w:val="0"/>
      <w:marBottom w:val="0"/>
      <w:divBdr>
        <w:top w:val="none" w:sz="0" w:space="0" w:color="auto"/>
        <w:left w:val="none" w:sz="0" w:space="0" w:color="auto"/>
        <w:bottom w:val="none" w:sz="0" w:space="0" w:color="auto"/>
        <w:right w:val="none" w:sz="0" w:space="0" w:color="auto"/>
      </w:divBdr>
    </w:div>
    <w:div w:id="1897282020">
      <w:bodyDiv w:val="1"/>
      <w:marLeft w:val="0"/>
      <w:marRight w:val="0"/>
      <w:marTop w:val="0"/>
      <w:marBottom w:val="0"/>
      <w:divBdr>
        <w:top w:val="none" w:sz="0" w:space="0" w:color="auto"/>
        <w:left w:val="none" w:sz="0" w:space="0" w:color="auto"/>
        <w:bottom w:val="none" w:sz="0" w:space="0" w:color="auto"/>
        <w:right w:val="none" w:sz="0" w:space="0" w:color="auto"/>
      </w:divBdr>
    </w:div>
    <w:div w:id="1921669015">
      <w:bodyDiv w:val="1"/>
      <w:marLeft w:val="0"/>
      <w:marRight w:val="0"/>
      <w:marTop w:val="0"/>
      <w:marBottom w:val="0"/>
      <w:divBdr>
        <w:top w:val="none" w:sz="0" w:space="0" w:color="auto"/>
        <w:left w:val="none" w:sz="0" w:space="0" w:color="auto"/>
        <w:bottom w:val="none" w:sz="0" w:space="0" w:color="auto"/>
        <w:right w:val="none" w:sz="0" w:space="0" w:color="auto"/>
      </w:divBdr>
    </w:div>
    <w:div w:id="1951160161">
      <w:bodyDiv w:val="1"/>
      <w:marLeft w:val="0"/>
      <w:marRight w:val="0"/>
      <w:marTop w:val="0"/>
      <w:marBottom w:val="0"/>
      <w:divBdr>
        <w:top w:val="none" w:sz="0" w:space="0" w:color="auto"/>
        <w:left w:val="none" w:sz="0" w:space="0" w:color="auto"/>
        <w:bottom w:val="none" w:sz="0" w:space="0" w:color="auto"/>
        <w:right w:val="none" w:sz="0" w:space="0" w:color="auto"/>
      </w:divBdr>
    </w:div>
    <w:div w:id="1951890970">
      <w:bodyDiv w:val="1"/>
      <w:marLeft w:val="0"/>
      <w:marRight w:val="0"/>
      <w:marTop w:val="0"/>
      <w:marBottom w:val="0"/>
      <w:divBdr>
        <w:top w:val="none" w:sz="0" w:space="0" w:color="auto"/>
        <w:left w:val="none" w:sz="0" w:space="0" w:color="auto"/>
        <w:bottom w:val="none" w:sz="0" w:space="0" w:color="auto"/>
        <w:right w:val="none" w:sz="0" w:space="0" w:color="auto"/>
      </w:divBdr>
    </w:div>
    <w:div w:id="2013602756">
      <w:bodyDiv w:val="1"/>
      <w:marLeft w:val="0"/>
      <w:marRight w:val="0"/>
      <w:marTop w:val="0"/>
      <w:marBottom w:val="0"/>
      <w:divBdr>
        <w:top w:val="none" w:sz="0" w:space="0" w:color="auto"/>
        <w:left w:val="none" w:sz="0" w:space="0" w:color="auto"/>
        <w:bottom w:val="none" w:sz="0" w:space="0" w:color="auto"/>
        <w:right w:val="none" w:sz="0" w:space="0" w:color="auto"/>
      </w:divBdr>
    </w:div>
    <w:div w:id="2018262949">
      <w:bodyDiv w:val="1"/>
      <w:marLeft w:val="0"/>
      <w:marRight w:val="0"/>
      <w:marTop w:val="0"/>
      <w:marBottom w:val="0"/>
      <w:divBdr>
        <w:top w:val="none" w:sz="0" w:space="0" w:color="auto"/>
        <w:left w:val="none" w:sz="0" w:space="0" w:color="auto"/>
        <w:bottom w:val="none" w:sz="0" w:space="0" w:color="auto"/>
        <w:right w:val="none" w:sz="0" w:space="0" w:color="auto"/>
      </w:divBdr>
    </w:div>
    <w:div w:id="2026635672">
      <w:bodyDiv w:val="1"/>
      <w:marLeft w:val="0"/>
      <w:marRight w:val="0"/>
      <w:marTop w:val="0"/>
      <w:marBottom w:val="0"/>
      <w:divBdr>
        <w:top w:val="none" w:sz="0" w:space="0" w:color="auto"/>
        <w:left w:val="none" w:sz="0" w:space="0" w:color="auto"/>
        <w:bottom w:val="none" w:sz="0" w:space="0" w:color="auto"/>
        <w:right w:val="none" w:sz="0" w:space="0" w:color="auto"/>
      </w:divBdr>
    </w:div>
    <w:div w:id="2055040707">
      <w:bodyDiv w:val="1"/>
      <w:marLeft w:val="0"/>
      <w:marRight w:val="0"/>
      <w:marTop w:val="0"/>
      <w:marBottom w:val="0"/>
      <w:divBdr>
        <w:top w:val="none" w:sz="0" w:space="0" w:color="auto"/>
        <w:left w:val="none" w:sz="0" w:space="0" w:color="auto"/>
        <w:bottom w:val="none" w:sz="0" w:space="0" w:color="auto"/>
        <w:right w:val="none" w:sz="0" w:space="0" w:color="auto"/>
      </w:divBdr>
    </w:div>
    <w:div w:id="2077122480">
      <w:bodyDiv w:val="1"/>
      <w:marLeft w:val="0"/>
      <w:marRight w:val="0"/>
      <w:marTop w:val="0"/>
      <w:marBottom w:val="0"/>
      <w:divBdr>
        <w:top w:val="none" w:sz="0" w:space="0" w:color="auto"/>
        <w:left w:val="none" w:sz="0" w:space="0" w:color="auto"/>
        <w:bottom w:val="none" w:sz="0" w:space="0" w:color="auto"/>
        <w:right w:val="none" w:sz="0" w:space="0" w:color="auto"/>
      </w:divBdr>
    </w:div>
    <w:div w:id="2078283542">
      <w:bodyDiv w:val="1"/>
      <w:marLeft w:val="0"/>
      <w:marRight w:val="0"/>
      <w:marTop w:val="0"/>
      <w:marBottom w:val="0"/>
      <w:divBdr>
        <w:top w:val="none" w:sz="0" w:space="0" w:color="auto"/>
        <w:left w:val="none" w:sz="0" w:space="0" w:color="auto"/>
        <w:bottom w:val="none" w:sz="0" w:space="0" w:color="auto"/>
        <w:right w:val="none" w:sz="0" w:space="0" w:color="auto"/>
      </w:divBdr>
    </w:div>
    <w:div w:id="2083406445">
      <w:bodyDiv w:val="1"/>
      <w:marLeft w:val="0"/>
      <w:marRight w:val="0"/>
      <w:marTop w:val="0"/>
      <w:marBottom w:val="0"/>
      <w:divBdr>
        <w:top w:val="none" w:sz="0" w:space="0" w:color="auto"/>
        <w:left w:val="none" w:sz="0" w:space="0" w:color="auto"/>
        <w:bottom w:val="none" w:sz="0" w:space="0" w:color="auto"/>
        <w:right w:val="none" w:sz="0" w:space="0" w:color="auto"/>
      </w:divBdr>
    </w:div>
    <w:div w:id="2117363138">
      <w:bodyDiv w:val="1"/>
      <w:marLeft w:val="0"/>
      <w:marRight w:val="0"/>
      <w:marTop w:val="0"/>
      <w:marBottom w:val="0"/>
      <w:divBdr>
        <w:top w:val="none" w:sz="0" w:space="0" w:color="auto"/>
        <w:left w:val="none" w:sz="0" w:space="0" w:color="auto"/>
        <w:bottom w:val="none" w:sz="0" w:space="0" w:color="auto"/>
        <w:right w:val="none" w:sz="0" w:space="0" w:color="auto"/>
      </w:divBdr>
    </w:div>
    <w:div w:id="213806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www.duquesnelight.com/WattChoices/files/EECPlan_20100915.pdf" TargetMode="External"/><Relationship Id="rId21" Type="http://schemas.microsoft.com/office/2007/relationships/hdphoto" Target="media/hdphoto2.wdp"/><Relationship Id="rId34" Type="http://schemas.openxmlformats.org/officeDocument/2006/relationships/image" Target="media/image12.png"/><Relationship Id="rId42" Type="http://schemas.openxmlformats.org/officeDocument/2006/relationships/hyperlink" Target="https://www.fes.com/content/fes/home/residential/offers.html" TargetMode="External"/><Relationship Id="rId47" Type="http://schemas.openxmlformats.org/officeDocument/2006/relationships/hyperlink" Target="https://www.peco.com/Savings/ProgramsandRebates/Residential/Pages/PECOSmartACSaver.aspx" TargetMode="External"/><Relationship Id="rId50" Type="http://schemas.openxmlformats.org/officeDocument/2006/relationships/hyperlink" Target="http://www.pennsylvaniapeaksaver.com/" TargetMode="External"/><Relationship Id="rId55" Type="http://schemas.openxmlformats.org/officeDocument/2006/relationships/footer" Target="footer3.xml"/><Relationship Id="rId63"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pexanalyticsllc.com" TargetMode="External"/><Relationship Id="rId20" Type="http://schemas.openxmlformats.org/officeDocument/2006/relationships/image" Target="media/image6.jpeg"/><Relationship Id="rId29" Type="http://schemas.openxmlformats.org/officeDocument/2006/relationships/image" Target="media/image8.png"/><Relationship Id="rId41" Type="http://schemas.openxmlformats.org/officeDocument/2006/relationships/hyperlink" Target="https://www.duquesnelight.com/WattChoices/default.cfm" TargetMode="External"/><Relationship Id="rId54" Type="http://schemas.openxmlformats.org/officeDocument/2006/relationships/header" Target="header3.xml"/><Relationship Id="rId62"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duquesnelight.com/WattChoices/files/EECPlan_20100915.pdf" TargetMode="External"/><Relationship Id="rId45" Type="http://schemas.openxmlformats.org/officeDocument/2006/relationships/hyperlink" Target="https://www.peco.com/Savings/ProgramsandRebates/Residential/Pages/PECOSmartACSaver.aspx" TargetMode="External"/><Relationship Id="rId53" Type="http://schemas.openxmlformats.org/officeDocument/2006/relationships/hyperlink" Target="http://www.pennsylvaniapeaksaver.com/" TargetMode="External"/><Relationship Id="rId58" Type="http://schemas.openxmlformats.org/officeDocument/2006/relationships/chart" Target="charts/chart6.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chart" Target="charts/chart2.xml"/><Relationship Id="rId36" Type="http://schemas.openxmlformats.org/officeDocument/2006/relationships/image" Target="media/image14.png"/><Relationship Id="rId49" Type="http://schemas.openxmlformats.org/officeDocument/2006/relationships/hyperlink" Target="http://www.pennsylvaniapeaksaver.com/" TargetMode="External"/><Relationship Id="rId57" Type="http://schemas.openxmlformats.org/officeDocument/2006/relationships/chart" Target="charts/chart5.xml"/><Relationship Id="rId61" Type="http://schemas.openxmlformats.org/officeDocument/2006/relationships/image" Target="media/image17.gif"/><Relationship Id="rId10" Type="http://schemas.openxmlformats.org/officeDocument/2006/relationships/image" Target="media/image1.png"/><Relationship Id="rId19" Type="http://schemas.openxmlformats.org/officeDocument/2006/relationships/hyperlink" Target="http://www.puc.state.pa.us" TargetMode="External"/><Relationship Id="rId31" Type="http://schemas.openxmlformats.org/officeDocument/2006/relationships/chart" Target="charts/chart3.xml"/><Relationship Id="rId44" Type="http://schemas.openxmlformats.org/officeDocument/2006/relationships/hyperlink" Target="https://www.fes.com/content/fes/home/residential/offers.html" TargetMode="External"/><Relationship Id="rId52" Type="http://schemas.openxmlformats.org/officeDocument/2006/relationships/hyperlink" Target="http://www.pennsylvaniapeaksaver.com/" TargetMode="External"/><Relationship Id="rId60" Type="http://schemas.openxmlformats.org/officeDocument/2006/relationships/footer" Target="footer4.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exant.com" TargetMode="External"/><Relationship Id="rId14" Type="http://schemas.openxmlformats.org/officeDocument/2006/relationships/hyperlink" Target="http://www.researchintoaction.com" TargetMode="External"/><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www.fes.com/content/fes/home/residential/offers.html" TargetMode="External"/><Relationship Id="rId48" Type="http://schemas.openxmlformats.org/officeDocument/2006/relationships/hyperlink" Target="http://www.pennsylvaniapeaksaver.com/" TargetMode="External"/><Relationship Id="rId56" Type="http://schemas.openxmlformats.org/officeDocument/2006/relationships/image" Target="media/image16.png"/><Relationship Id="rId64" Type="http://schemas.openxmlformats.org/officeDocument/2006/relationships/image" Target="media/image19.gif"/><Relationship Id="rId8" Type="http://schemas.openxmlformats.org/officeDocument/2006/relationships/endnotes" Target="endnotes.xml"/><Relationship Id="rId51" Type="http://schemas.openxmlformats.org/officeDocument/2006/relationships/hyperlink" Target="http://lancasteronline.com/business/ppl-will-pay-to-control-your-air-conditioner/article_89b9adbf-efd7-583d-bb31-df7e52aeed20.html" TargetMode="External"/><Relationship Id="rId3" Type="http://schemas.openxmlformats.org/officeDocument/2006/relationships/styles" Target="styles.xml"/><Relationship Id="rId12" Type="http://schemas.openxmlformats.org/officeDocument/2006/relationships/hyperlink" Target="http://www.gdsassociates.com"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chart" Target="charts/chart4.xml"/><Relationship Id="rId46" Type="http://schemas.openxmlformats.org/officeDocument/2006/relationships/hyperlink" Target="https://www.peco.com/Savings/ProgramsandRebates/Residential/Pages/PECOSmartACSaver.aspx" TargetMode="External"/><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pjm.com/~/media/documents/reports/2014-load-forecast-report.ashx" TargetMode="External"/><Relationship Id="rId13" Type="http://schemas.openxmlformats.org/officeDocument/2006/relationships/hyperlink" Target="http://www.pjm.com/planning/resource-adequacy-planning/load-forecast-dev-process/prev-load-reports.aspx" TargetMode="External"/><Relationship Id="rId18" Type="http://schemas.openxmlformats.org/officeDocument/2006/relationships/hyperlink" Target="http://energy.pace.edu/sites/default/files/publications/11-23-Deployment-of-Distributed-Generation-for-Grid-Support-Final.pdf" TargetMode="External"/><Relationship Id="rId26" Type="http://schemas.openxmlformats.org/officeDocument/2006/relationships/hyperlink" Target="http://www.puc.pa.gov/pcdocs/1269801.doc" TargetMode="External"/><Relationship Id="rId39" Type="http://schemas.openxmlformats.org/officeDocument/2006/relationships/hyperlink" Target="http://www.pjm.com/~/media/markets-ops/rpm/rpm-auction-info/2016-2017-base-residual-auction-report.ashx" TargetMode="External"/><Relationship Id="rId3" Type="http://schemas.openxmlformats.org/officeDocument/2006/relationships/hyperlink" Target="http://www.puc.state.pa.us/Electric/pdf/Act129/SWE-2014_PA_Statewide_Act129_Residential_Baseline_Study.pdf" TargetMode="External"/><Relationship Id="rId21" Type="http://schemas.openxmlformats.org/officeDocument/2006/relationships/hyperlink" Target="http://www.puc.pa.gov/pcdocs/1256728.docx" TargetMode="External"/><Relationship Id="rId34" Type="http://schemas.openxmlformats.org/officeDocument/2006/relationships/hyperlink" Target="http://www.pge.com/mybusiness/energysavingsrebates/demandresponse/dbp/" TargetMode="External"/><Relationship Id="rId42" Type="http://schemas.openxmlformats.org/officeDocument/2006/relationships/hyperlink" Target="http://www.puc.pa.gov/pcdocs/1269801.doc" TargetMode="External"/><Relationship Id="rId7" Type="http://schemas.openxmlformats.org/officeDocument/2006/relationships/hyperlink" Target="http://www.puc.pa.gov/pcdocs/1269801.doc" TargetMode="External"/><Relationship Id="rId12" Type="http://schemas.openxmlformats.org/officeDocument/2006/relationships/hyperlink" Target="http://www.puc.pa.gov/pcdocs/1269801.doc" TargetMode="External"/><Relationship Id="rId17" Type="http://schemas.openxmlformats.org/officeDocument/2006/relationships/hyperlink" Target="http://www.mass.gov/eea/docs/dpu/energy-efficiency/avoided-energy-supply-costs-in-new-england/2005-avoided-energy-supply-costs-report.pdf" TargetMode="External"/><Relationship Id="rId25" Type="http://schemas.openxmlformats.org/officeDocument/2006/relationships/hyperlink" Target="http://www.puc.state.pa.us/Electric/pdf/Act129/SWE-2014_PA_Statewide_Act129_Non-Residential_EndUse_Saturation_Study.pdf" TargetMode="External"/><Relationship Id="rId33" Type="http://schemas.openxmlformats.org/officeDocument/2006/relationships/hyperlink" Target="https://www.sce.com/NR/sc3/tm2/pdf/CE195-12.pdf" TargetMode="External"/><Relationship Id="rId38" Type="http://schemas.openxmlformats.org/officeDocument/2006/relationships/hyperlink" Target="http://regarchive.sdge.com/tm2/pdf/ELEC_ELEC-SCHEDS_EECC-CPP-D.pdf" TargetMode="External"/><Relationship Id="rId2" Type="http://schemas.openxmlformats.org/officeDocument/2006/relationships/hyperlink" Target="http://www.puc.pa.gov/pcdocs/1269801.doc" TargetMode="External"/><Relationship Id="rId16" Type="http://schemas.openxmlformats.org/officeDocument/2006/relationships/hyperlink" Target="http://www.hydro.mb.ca/regulatory_affairs/electric/gra_2012_2013/Appendix_35.pdf" TargetMode="External"/><Relationship Id="rId20" Type="http://schemas.openxmlformats.org/officeDocument/2006/relationships/hyperlink" Target="http://www.rieermc.ri.gov/documents/2013%20Evaluation%20Studies/AESC%20Report%20-%20With%20Appendices%20Attached.pdf" TargetMode="External"/><Relationship Id="rId29" Type="http://schemas.openxmlformats.org/officeDocument/2006/relationships/hyperlink" Target="http://www.pge.com/tariffs/tm2/pdf/ELEC_SCHEDS_E-CBP.pdf" TargetMode="External"/><Relationship Id="rId41" Type="http://schemas.openxmlformats.org/officeDocument/2006/relationships/hyperlink" Target="http://www.eia.gov/electricity/monthly/epm_table_grapher.cfm?t=epmt_5_6_a" TargetMode="External"/><Relationship Id="rId1" Type="http://schemas.openxmlformats.org/officeDocument/2006/relationships/hyperlink" Target="http://www.puc.pa.gov/pcdocs/1269801.doc" TargetMode="External"/><Relationship Id="rId6" Type="http://schemas.openxmlformats.org/officeDocument/2006/relationships/hyperlink" Target="http://www.epa.gov/cleanenergy/documents/suca/vision.pdf" TargetMode="External"/><Relationship Id="rId11" Type="http://schemas.openxmlformats.org/officeDocument/2006/relationships/hyperlink" Target="http://www.puc.pa.gov/pcdocs/1269801.doc" TargetMode="External"/><Relationship Id="rId24" Type="http://schemas.openxmlformats.org/officeDocument/2006/relationships/hyperlink" Target="https://www.epowerpeaksaver.com/" TargetMode="External"/><Relationship Id="rId32" Type="http://schemas.openxmlformats.org/officeDocument/2006/relationships/hyperlink" Target="http://www.pge.com/mybusiness/energysavingsrebates/demandresponse/baseinterruptible/" TargetMode="External"/><Relationship Id="rId37" Type="http://schemas.openxmlformats.org/officeDocument/2006/relationships/hyperlink" Target="https://www.sce.com/NR/sc3/tm2/pdf/ce300.pdf" TargetMode="External"/><Relationship Id="rId40" Type="http://schemas.openxmlformats.org/officeDocument/2006/relationships/hyperlink" Target="http://www.puc.pa.gov/pcdocs/1269801.doc" TargetMode="External"/><Relationship Id="rId5" Type="http://schemas.openxmlformats.org/officeDocument/2006/relationships/hyperlink" Target="http://www.pjm.com/~/media/documents/reports/20141007-pjm-whitepaper-on-the-evolution-of-demand-response-in-the-pjm-wholesale-market.ashx" TargetMode="External"/><Relationship Id="rId15" Type="http://schemas.openxmlformats.org/officeDocument/2006/relationships/hyperlink" Target="http://www.ethree.com/CPUC/E3_Avoided_Costs_Final.pdf" TargetMode="External"/><Relationship Id="rId23" Type="http://schemas.openxmlformats.org/officeDocument/2006/relationships/hyperlink" Target="https://www.peco.com/CustomerService/RatesandPricing/RateInformation/Documents/PDF/New%20Filings/PECO%20Act%20129%20PY4%20Annual%20Report%20Fin%2011%2015%202013.pdf" TargetMode="External"/><Relationship Id="rId28" Type="http://schemas.openxmlformats.org/officeDocument/2006/relationships/hyperlink" Target="http://www.puc.pa.gov/pcdocs/1269801.doc" TargetMode="External"/><Relationship Id="rId36" Type="http://schemas.openxmlformats.org/officeDocument/2006/relationships/hyperlink" Target="http://www.pge.com/mybusiness/energysavingsrebates/timevaryingpricing/peakdaypricing/charges/" TargetMode="External"/><Relationship Id="rId10" Type="http://schemas.openxmlformats.org/officeDocument/2006/relationships/hyperlink" Target="http://www.puc.pa.gov/pcdocs/1269801.doc" TargetMode="External"/><Relationship Id="rId19" Type="http://schemas.openxmlformats.org/officeDocument/2006/relationships/hyperlink" Target="http://www.synapse-energy.com/Downloads/SynapseReport.2011-07.AESC.AESC-Study-2011.11-014.pdf" TargetMode="External"/><Relationship Id="rId31" Type="http://schemas.openxmlformats.org/officeDocument/2006/relationships/hyperlink" Target="https://www.sdge.com/sites/default/files/documents/1557147468/Capacity%20Bidding%20Program%20Tariff.pdf" TargetMode="External"/><Relationship Id="rId4" Type="http://schemas.openxmlformats.org/officeDocument/2006/relationships/hyperlink" Target="http://www.puc.pa.gov/pcdocs/1269801.doc" TargetMode="External"/><Relationship Id="rId9" Type="http://schemas.openxmlformats.org/officeDocument/2006/relationships/hyperlink" Target="http://www.puc.pa.gov/pcdocs/1269801.doc" TargetMode="External"/><Relationship Id="rId14" Type="http://schemas.openxmlformats.org/officeDocument/2006/relationships/hyperlink" Target="http://www.puc.pa.gov/pcdocs/1269801.doc" TargetMode="External"/><Relationship Id="rId22" Type="http://schemas.openxmlformats.org/officeDocument/2006/relationships/hyperlink" Target="https://www.duquesnelight.com/WattChoices/default.cfm" TargetMode="External"/><Relationship Id="rId27" Type="http://schemas.openxmlformats.org/officeDocument/2006/relationships/hyperlink" Target="http://www.puc.pa.gov/pcdocs/1269801.doc" TargetMode="External"/><Relationship Id="rId30" Type="http://schemas.openxmlformats.org/officeDocument/2006/relationships/hyperlink" Target="https://www.sce.com/NR/sc3/tm2/pdf/ce293.pdf" TargetMode="External"/><Relationship Id="rId35" Type="http://schemas.openxmlformats.org/officeDocument/2006/relationships/hyperlink" Target="https://www.sce.com/NR/sc3/tm2/pdf/ce185.pdf" TargetMode="External"/><Relationship Id="rId43" Type="http://schemas.openxmlformats.org/officeDocument/2006/relationships/hyperlink" Target="http://www.pjm.com/~/media/documents/reports/20141007-pjm-whitepaper-on-the-evolution-of-demand-response-in-the-pjm-wholesale-market.ash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childs\Desktop\Copy%20of%20PA%20Report%20Table%20Template%20(1-5YR10Y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childs\Desktop\Copy%20of%20PA%20Report%20Table%20Template%20(1-5YR10Y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hlfps05\EECM\P&amp;E%20Projects\PA%20SWE%20Phase%20II\Demand%20Response%20Potential%20Study\Reporting\Tables%20and%20Figures\ELCC%20Output%20(Start%20Time%20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childs\Desktop\Copy%20of%20PA%20Report%20Table%20Template%20(1-5YR10Y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hlfps05\eecm\P&amp;E%20Projects\PA%20SWE%20Phase%20II\Demand%20Response%20Potential%20Study\Modeling\EDC%20Models\FINAL%20Models\FINAL%20EDC%20MODELS\PN_model_12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childs\Desktop\FINAL%20EDC%20MODELS\Statewide%20Results%20Summa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ytie.ruditys\AppData\Local\Microsoft\Windows\Temporary%20Internet%20Files\Content.Outlook\ISX68XGE\Statewide%20Results%20Summary%20-%20DR%20and%20DR+E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
          <c:y val="4.716981132075472E-2"/>
          <c:w val="0.98932432304373141"/>
          <c:h val="0.95275961967018274"/>
        </c:manualLayout>
      </c:layout>
      <c:pie3DChart>
        <c:varyColors val="1"/>
        <c:ser>
          <c:idx val="0"/>
          <c:order val="0"/>
          <c:spPr>
            <a:effectLst>
              <a:outerShdw blurRad="50800" dist="38100" dir="16200000" rotWithShape="0">
                <a:prstClr val="black">
                  <a:alpha val="40000"/>
                </a:prstClr>
              </a:outerShdw>
            </a:effectLst>
          </c:spPr>
          <c:dPt>
            <c:idx val="0"/>
            <c:bubble3D val="0"/>
          </c:dPt>
          <c:dPt>
            <c:idx val="1"/>
            <c:bubble3D val="0"/>
          </c:dPt>
          <c:dPt>
            <c:idx val="2"/>
            <c:bubble3D val="0"/>
          </c:dPt>
          <c:dLbls>
            <c:dLbl>
              <c:idx val="0"/>
              <c:numFmt formatCode="0%" sourceLinked="0"/>
              <c:spPr/>
              <c:txPr>
                <a:bodyPr/>
                <a:lstStyle/>
                <a:p>
                  <a:pPr>
                    <a:defRPr sz="850" b="1">
                      <a:solidFill>
                        <a:schemeClr val="bg1"/>
                      </a:solidFill>
                    </a:defRPr>
                  </a:pPr>
                  <a:endParaRPr lang="en-US"/>
                </a:p>
              </c:txPr>
              <c:dLblPos val="inEnd"/>
              <c:showLegendKey val="0"/>
              <c:showVal val="0"/>
              <c:showCatName val="1"/>
              <c:showSerName val="0"/>
              <c:showPercent val="1"/>
              <c:showBubbleSize val="0"/>
            </c:dLbl>
            <c:dLbl>
              <c:idx val="1"/>
              <c:numFmt formatCode="0%" sourceLinked="0"/>
              <c:spPr>
                <a:noFill/>
                <a:ln>
                  <a:noFill/>
                </a:ln>
                <a:effectLst/>
              </c:spPr>
              <c:txPr>
                <a:bodyPr/>
                <a:lstStyle/>
                <a:p>
                  <a:pPr>
                    <a:defRPr sz="850" b="1">
                      <a:solidFill>
                        <a:schemeClr val="bg1"/>
                      </a:solidFill>
                    </a:defRPr>
                  </a:pPr>
                  <a:endParaRPr lang="en-US"/>
                </a:p>
              </c:txPr>
              <c:dLblPos val="inEnd"/>
              <c:showLegendKey val="0"/>
              <c:showVal val="0"/>
              <c:showCatName val="1"/>
              <c:showSerName val="0"/>
              <c:showPercent val="1"/>
              <c:showBubbleSize val="0"/>
            </c:dLbl>
            <c:numFmt formatCode="0%" sourceLinked="0"/>
            <c:spPr>
              <a:noFill/>
              <a:ln>
                <a:noFill/>
              </a:ln>
              <a:effectLst/>
            </c:spPr>
            <c:txPr>
              <a:bodyPr/>
              <a:lstStyle/>
              <a:p>
                <a:pPr>
                  <a:defRPr sz="850" b="1"/>
                </a:pPr>
                <a:endParaRPr lang="en-US"/>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'Executive Summary'!$B$25:$B$27</c:f>
              <c:strCache>
                <c:ptCount val="3"/>
                <c:pt idx="0">
                  <c:v>Residential</c:v>
                </c:pt>
                <c:pt idx="1">
                  <c:v>Commercial</c:v>
                </c:pt>
                <c:pt idx="2">
                  <c:v>Industrial</c:v>
                </c:pt>
              </c:strCache>
            </c:strRef>
          </c:cat>
          <c:val>
            <c:numRef>
              <c:f>'Executive Summary'!$G$25:$G$27</c:f>
              <c:numCache>
                <c:formatCode>0.0000</c:formatCode>
                <c:ptCount val="3"/>
                <c:pt idx="0">
                  <c:v>42.639119451363818</c:v>
                </c:pt>
                <c:pt idx="1">
                  <c:v>38.244119155717563</c:v>
                </c:pt>
                <c:pt idx="2">
                  <c:v>19.116761392918619</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237545464056471"/>
          <c:y val="0"/>
          <c:w val="0.87245079164586958"/>
          <c:h val="1"/>
        </c:manualLayout>
      </c:layout>
      <c:bar3DChart>
        <c:barDir val="bar"/>
        <c:grouping val="clustered"/>
        <c:varyColors val="0"/>
        <c:ser>
          <c:idx val="4"/>
          <c:order val="0"/>
          <c:spPr>
            <a:solidFill>
              <a:srgbClr val="448A99"/>
            </a:solidFill>
          </c:spPr>
          <c:invertIfNegative val="0"/>
          <c:dLbls>
            <c:dLbl>
              <c:idx val="0"/>
              <c:layout>
                <c:manualLayout>
                  <c:x val="-2.1590098882652881E-3"/>
                  <c:y val="2.65027346161538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180197765305761E-3"/>
                  <c:y val="4.41708765553401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20856121801281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590098882652881E-3"/>
                  <c:y val="2.208561218012816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180197765305761E-3"/>
                  <c:y val="2.20856121801281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590098882652881E-3"/>
                  <c:y val="1.76684897441025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3180197765305761E-3"/>
                  <c:y val="1.766848974410253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180197765305761E-3"/>
                  <c:y val="1.325136730807689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180197765305761E-3"/>
                  <c:y val="1.32513673080768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581390703927262E-17"/>
                  <c:y val="-8.834244872051266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3180197765305371E-3"/>
                  <c:y val="-8.834244872051186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180197765305761E-3"/>
                  <c:y val="-8.834244872051266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3180197765305761E-3"/>
                  <c:y val="-8.8342448720512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solidFill>
                      <a:srgbClr val="BD431E"/>
                    </a:solidFill>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'Executive Summary'!$B$85:$B$97</c:f>
              <c:strCache>
                <c:ptCount val="13"/>
                <c:pt idx="0">
                  <c:v>Office</c:v>
                </c:pt>
                <c:pt idx="1">
                  <c:v>Misc.</c:v>
                </c:pt>
                <c:pt idx="2">
                  <c:v>Retail</c:v>
                </c:pt>
                <c:pt idx="3">
                  <c:v>Education</c:v>
                </c:pt>
                <c:pt idx="4">
                  <c:v>Health</c:v>
                </c:pt>
                <c:pt idx="5">
                  <c:v>Grocery</c:v>
                </c:pt>
                <c:pt idx="6">
                  <c:v>Warehouse</c:v>
                </c:pt>
                <c:pt idx="7">
                  <c:v>Restaurant</c:v>
                </c:pt>
                <c:pt idx="8">
                  <c:v>Public Service</c:v>
                </c:pt>
                <c:pt idx="9">
                  <c:v>Institutional</c:v>
                </c:pt>
                <c:pt idx="10">
                  <c:v>Lodging</c:v>
                </c:pt>
                <c:pt idx="11">
                  <c:v>Multifamily</c:v>
                </c:pt>
                <c:pt idx="12">
                  <c:v>Church</c:v>
                </c:pt>
              </c:strCache>
            </c:strRef>
          </c:cat>
          <c:val>
            <c:numRef>
              <c:f>'Executive Summary'!$D$85:$D$97</c:f>
              <c:numCache>
                <c:formatCode>0%</c:formatCode>
                <c:ptCount val="13"/>
                <c:pt idx="0">
                  <c:v>0.19605928818674004</c:v>
                </c:pt>
                <c:pt idx="1">
                  <c:v>0.17937339131978344</c:v>
                </c:pt>
                <c:pt idx="2">
                  <c:v>0.10836957486464897</c:v>
                </c:pt>
                <c:pt idx="3">
                  <c:v>0.1060619508298571</c:v>
                </c:pt>
                <c:pt idx="4">
                  <c:v>9.0796130292003202E-2</c:v>
                </c:pt>
                <c:pt idx="5">
                  <c:v>6.5146001597585865E-2</c:v>
                </c:pt>
                <c:pt idx="6">
                  <c:v>5.493920298216029E-2</c:v>
                </c:pt>
                <c:pt idx="7">
                  <c:v>5.3075352800213013E-2</c:v>
                </c:pt>
                <c:pt idx="8">
                  <c:v>4.5708706842992809E-2</c:v>
                </c:pt>
                <c:pt idx="9">
                  <c:v>2.7247714564657851E-2</c:v>
                </c:pt>
                <c:pt idx="10">
                  <c:v>2.6005147776692997E-2</c:v>
                </c:pt>
                <c:pt idx="11">
                  <c:v>2.5295109612141653E-2</c:v>
                </c:pt>
                <c:pt idx="12">
                  <c:v>2.1922428330522766E-2</c:v>
                </c:pt>
              </c:numCache>
            </c:numRef>
          </c:val>
        </c:ser>
        <c:dLbls>
          <c:showLegendKey val="0"/>
          <c:showVal val="1"/>
          <c:showCatName val="0"/>
          <c:showSerName val="0"/>
          <c:showPercent val="0"/>
          <c:showBubbleSize val="0"/>
        </c:dLbls>
        <c:gapWidth val="150"/>
        <c:shape val="box"/>
        <c:axId val="30514176"/>
        <c:axId val="30521600"/>
        <c:axId val="0"/>
      </c:bar3DChart>
      <c:catAx>
        <c:axId val="30514176"/>
        <c:scaling>
          <c:orientation val="maxMin"/>
        </c:scaling>
        <c:delete val="0"/>
        <c:axPos val="l"/>
        <c:title>
          <c:tx>
            <c:rich>
              <a:bodyPr rot="-5400000" vert="horz"/>
              <a:lstStyle/>
              <a:p>
                <a:pPr>
                  <a:defRPr sz="1000"/>
                </a:pPr>
                <a:r>
                  <a:rPr lang="en-US" sz="1000"/>
                  <a:t>Commercial Segment</a:t>
                </a:r>
              </a:p>
            </c:rich>
          </c:tx>
          <c:layout>
            <c:manualLayout>
              <c:xMode val="edge"/>
              <c:yMode val="edge"/>
              <c:x val="1.7336339400434456E-2"/>
              <c:y val="0.23858093897203247"/>
            </c:manualLayout>
          </c:layout>
          <c:overlay val="0"/>
        </c:title>
        <c:numFmt formatCode="General" sourceLinked="1"/>
        <c:majorTickMark val="out"/>
        <c:minorTickMark val="none"/>
        <c:tickLblPos val="nextTo"/>
        <c:txPr>
          <a:bodyPr/>
          <a:lstStyle/>
          <a:p>
            <a:pPr>
              <a:defRPr sz="750" b="1"/>
            </a:pPr>
            <a:endParaRPr lang="en-US"/>
          </a:p>
        </c:txPr>
        <c:crossAx val="30521600"/>
        <c:crosses val="autoZero"/>
        <c:auto val="1"/>
        <c:lblAlgn val="ctr"/>
        <c:lblOffset val="100"/>
        <c:noMultiLvlLbl val="0"/>
      </c:catAx>
      <c:valAx>
        <c:axId val="30521600"/>
        <c:scaling>
          <c:orientation val="minMax"/>
        </c:scaling>
        <c:delete val="1"/>
        <c:axPos val="t"/>
        <c:numFmt formatCode="0%" sourceLinked="1"/>
        <c:majorTickMark val="out"/>
        <c:minorTickMark val="none"/>
        <c:tickLblPos val="nextTo"/>
        <c:crossAx val="3051417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Sheet1!$L$1</c:f>
              <c:strCache>
                <c:ptCount val="1"/>
                <c:pt idx="0">
                  <c:v>effectiveness</c:v>
                </c:pt>
              </c:strCache>
            </c:strRef>
          </c:tx>
          <c:spPr>
            <a:solidFill>
              <a:srgbClr val="448A99"/>
            </a:solidFill>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Sheet1!$K$2:$K$6</c:f>
              <c:strCache>
                <c:ptCount val="5"/>
                <c:pt idx="0">
                  <c:v>13 to 15</c:v>
                </c:pt>
                <c:pt idx="1">
                  <c:v>14 to 16</c:v>
                </c:pt>
                <c:pt idx="2">
                  <c:v>15 to 17</c:v>
                </c:pt>
                <c:pt idx="3">
                  <c:v>16 to 18</c:v>
                </c:pt>
                <c:pt idx="4">
                  <c:v>17 to 19</c:v>
                </c:pt>
              </c:strCache>
            </c:strRef>
          </c:cat>
          <c:val>
            <c:numRef>
              <c:f>Sheet1!$L$2:$L$6</c:f>
              <c:numCache>
                <c:formatCode>0.0%</c:formatCode>
                <c:ptCount val="5"/>
                <c:pt idx="0">
                  <c:v>0.16614889999999999</c:v>
                </c:pt>
                <c:pt idx="1">
                  <c:v>0.20426130000000001</c:v>
                </c:pt>
                <c:pt idx="2">
                  <c:v>0.2250231</c:v>
                </c:pt>
                <c:pt idx="3">
                  <c:v>0.22912379999999999</c:v>
                </c:pt>
                <c:pt idx="4">
                  <c:v>0.21357600000000002</c:v>
                </c:pt>
              </c:numCache>
            </c:numRef>
          </c:val>
        </c:ser>
        <c:dLbls>
          <c:showLegendKey val="0"/>
          <c:showVal val="0"/>
          <c:showCatName val="0"/>
          <c:showSerName val="0"/>
          <c:showPercent val="0"/>
          <c:showBubbleSize val="0"/>
        </c:dLbls>
        <c:gapWidth val="75"/>
        <c:axId val="30415488"/>
        <c:axId val="30438144"/>
      </c:barChart>
      <c:catAx>
        <c:axId val="30415488"/>
        <c:scaling>
          <c:orientation val="minMax"/>
        </c:scaling>
        <c:delete val="0"/>
        <c:axPos val="b"/>
        <c:title>
          <c:tx>
            <c:rich>
              <a:bodyPr/>
              <a:lstStyle/>
              <a:p>
                <a:pPr>
                  <a:defRPr sz="1200"/>
                </a:pPr>
                <a:r>
                  <a:rPr lang="en-US" sz="1200"/>
                  <a:t>Event Window</a:t>
                </a:r>
              </a:p>
            </c:rich>
          </c:tx>
          <c:layout>
            <c:manualLayout>
              <c:xMode val="edge"/>
              <c:yMode val="edge"/>
              <c:x val="0.47162309711286088"/>
              <c:y val="0.91732928120827006"/>
            </c:manualLayout>
          </c:layout>
          <c:overlay val="0"/>
          <c:spPr>
            <a:ln>
              <a:noFill/>
            </a:ln>
          </c:spPr>
        </c:title>
        <c:numFmt formatCode="h:mm" sourceLinked="1"/>
        <c:majorTickMark val="out"/>
        <c:minorTickMark val="none"/>
        <c:tickLblPos val="nextTo"/>
        <c:crossAx val="30438144"/>
        <c:crosses val="autoZero"/>
        <c:auto val="1"/>
        <c:lblAlgn val="ctr"/>
        <c:lblOffset val="100"/>
        <c:noMultiLvlLbl val="0"/>
      </c:catAx>
      <c:valAx>
        <c:axId val="30438144"/>
        <c:scaling>
          <c:orientation val="minMax"/>
        </c:scaling>
        <c:delete val="0"/>
        <c:axPos val="l"/>
        <c:majorGridlines/>
        <c:title>
          <c:tx>
            <c:rich>
              <a:bodyPr rot="-5400000" vert="horz"/>
              <a:lstStyle/>
              <a:p>
                <a:pPr>
                  <a:defRPr sz="1200"/>
                </a:pPr>
                <a:r>
                  <a:rPr lang="en-US" sz="1200"/>
                  <a:t>ELCC (%)</a:t>
                </a:r>
              </a:p>
            </c:rich>
          </c:tx>
          <c:layout>
            <c:manualLayout>
              <c:xMode val="edge"/>
              <c:yMode val="edge"/>
              <c:x val="1.5555555555555555E-2"/>
              <c:y val="0.3451673803932403"/>
            </c:manualLayout>
          </c:layout>
          <c:overlay val="0"/>
        </c:title>
        <c:numFmt formatCode="0%" sourceLinked="0"/>
        <c:majorTickMark val="out"/>
        <c:minorTickMark val="none"/>
        <c:tickLblPos val="nextTo"/>
        <c:crossAx val="3041548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ln>
          <a:solidFill>
            <a:schemeClr val="tx1"/>
          </a:solidFill>
        </a:ln>
      </c:spPr>
    </c:sideWall>
    <c:backWall>
      <c:thickness val="0"/>
      <c:spPr>
        <a:ln>
          <a:solidFill>
            <a:schemeClr val="tx1"/>
          </a:solidFill>
        </a:ln>
      </c:spPr>
    </c:backWall>
    <c:plotArea>
      <c:layout>
        <c:manualLayout>
          <c:layoutTarget val="inner"/>
          <c:xMode val="edge"/>
          <c:yMode val="edge"/>
          <c:x val="0.14055012418749671"/>
          <c:y val="4.0694943343562419E-2"/>
          <c:w val="0.82590554137085814"/>
          <c:h val="0.82901104155149485"/>
        </c:manualLayout>
      </c:layout>
      <c:area3DChart>
        <c:grouping val="stacked"/>
        <c:varyColors val="0"/>
        <c:ser>
          <c:idx val="1"/>
          <c:order val="0"/>
          <c:tx>
            <c:strRef>
              <c:f>'Load Data'!$C$13</c:f>
              <c:strCache>
                <c:ptCount val="1"/>
                <c:pt idx="0">
                  <c:v>Residential</c:v>
                </c:pt>
              </c:strCache>
            </c:strRef>
          </c:tx>
          <c:spPr>
            <a:solidFill>
              <a:srgbClr val="448A99"/>
            </a:solidFill>
          </c:spPr>
          <c:cat>
            <c:numRef>
              <c:f>'Load Data'!$B$14:$B$23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'Load Data'!$C$14:$C$23</c:f>
              <c:numCache>
                <c:formatCode>0</c:formatCode>
                <c:ptCount val="10"/>
                <c:pt idx="0" formatCode="General">
                  <c:v>12664</c:v>
                </c:pt>
                <c:pt idx="1">
                  <c:v>12770</c:v>
                </c:pt>
                <c:pt idx="2">
                  <c:v>12834</c:v>
                </c:pt>
                <c:pt idx="3">
                  <c:v>12901</c:v>
                </c:pt>
                <c:pt idx="4">
                  <c:v>12961</c:v>
                </c:pt>
                <c:pt idx="5">
                  <c:v>13012</c:v>
                </c:pt>
                <c:pt idx="6">
                  <c:v>13063</c:v>
                </c:pt>
                <c:pt idx="7">
                  <c:v>13107</c:v>
                </c:pt>
                <c:pt idx="8">
                  <c:v>13164</c:v>
                </c:pt>
                <c:pt idx="9">
                  <c:v>13224</c:v>
                </c:pt>
              </c:numCache>
            </c:numRef>
          </c:val>
        </c:ser>
        <c:ser>
          <c:idx val="2"/>
          <c:order val="1"/>
          <c:tx>
            <c:strRef>
              <c:f>'Load Data'!$D$13</c:f>
              <c:strCache>
                <c:ptCount val="1"/>
                <c:pt idx="0">
                  <c:v>Commercial</c:v>
                </c:pt>
              </c:strCache>
            </c:strRef>
          </c:tx>
          <c:spPr>
            <a:solidFill>
              <a:srgbClr val="ED9E3E"/>
            </a:solidFill>
          </c:spPr>
          <c:cat>
            <c:numRef>
              <c:f>'Load Data'!$B$14:$B$23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'Load Data'!$D$14:$D$23</c:f>
              <c:numCache>
                <c:formatCode>0</c:formatCode>
                <c:ptCount val="10"/>
                <c:pt idx="0" formatCode="General">
                  <c:v>11357</c:v>
                </c:pt>
                <c:pt idx="1">
                  <c:v>11450</c:v>
                </c:pt>
                <c:pt idx="2">
                  <c:v>11507</c:v>
                </c:pt>
                <c:pt idx="3">
                  <c:v>11567</c:v>
                </c:pt>
                <c:pt idx="4">
                  <c:v>11620</c:v>
                </c:pt>
                <c:pt idx="5">
                  <c:v>11665</c:v>
                </c:pt>
                <c:pt idx="6">
                  <c:v>11710</c:v>
                </c:pt>
                <c:pt idx="7">
                  <c:v>11748</c:v>
                </c:pt>
                <c:pt idx="8">
                  <c:v>11799</c:v>
                </c:pt>
                <c:pt idx="9">
                  <c:v>11852</c:v>
                </c:pt>
              </c:numCache>
            </c:numRef>
          </c:val>
        </c:ser>
        <c:ser>
          <c:idx val="3"/>
          <c:order val="2"/>
          <c:tx>
            <c:strRef>
              <c:f>'Load Data'!$E$13</c:f>
              <c:strCache>
                <c:ptCount val="1"/>
                <c:pt idx="0">
                  <c:v>Industrial</c:v>
                </c:pt>
              </c:strCache>
            </c:strRef>
          </c:tx>
          <c:spPr>
            <a:solidFill>
              <a:srgbClr val="BD431E"/>
            </a:solidFill>
          </c:spPr>
          <c:cat>
            <c:numRef>
              <c:f>'Load Data'!$B$14:$B$23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'Load Data'!$E$14:$E$23</c:f>
              <c:numCache>
                <c:formatCode>0</c:formatCode>
                <c:ptCount val="10"/>
                <c:pt idx="0" formatCode="General">
                  <c:v>5679</c:v>
                </c:pt>
                <c:pt idx="1">
                  <c:v>5729</c:v>
                </c:pt>
                <c:pt idx="2">
                  <c:v>5757</c:v>
                </c:pt>
                <c:pt idx="3">
                  <c:v>5787</c:v>
                </c:pt>
                <c:pt idx="4">
                  <c:v>5814</c:v>
                </c:pt>
                <c:pt idx="5">
                  <c:v>5839</c:v>
                </c:pt>
                <c:pt idx="6">
                  <c:v>5864</c:v>
                </c:pt>
                <c:pt idx="7">
                  <c:v>5884</c:v>
                </c:pt>
                <c:pt idx="8">
                  <c:v>5910</c:v>
                </c:pt>
                <c:pt idx="9">
                  <c:v>5937</c:v>
                </c:pt>
              </c:numCache>
            </c:numRef>
          </c:val>
        </c:ser>
        <c:dLbls>
          <c:showLegendKey val="0"/>
          <c:showVal val="0"/>
          <c:showCatName val="0"/>
          <c:showSerName val="0"/>
          <c:showPercent val="0"/>
          <c:showBubbleSize val="0"/>
        </c:dLbls>
        <c:axId val="30292224"/>
        <c:axId val="30294016"/>
        <c:axId val="0"/>
      </c:area3DChart>
      <c:catAx>
        <c:axId val="30292224"/>
        <c:scaling>
          <c:orientation val="minMax"/>
        </c:scaling>
        <c:delete val="0"/>
        <c:axPos val="b"/>
        <c:numFmt formatCode="General" sourceLinked="1"/>
        <c:majorTickMark val="out"/>
        <c:minorTickMark val="none"/>
        <c:tickLblPos val="nextTo"/>
        <c:crossAx val="30294016"/>
        <c:crosses val="autoZero"/>
        <c:auto val="1"/>
        <c:lblAlgn val="ctr"/>
        <c:lblOffset val="100"/>
        <c:noMultiLvlLbl val="0"/>
      </c:catAx>
      <c:valAx>
        <c:axId val="30294016"/>
        <c:scaling>
          <c:orientation val="minMax"/>
        </c:scaling>
        <c:delete val="0"/>
        <c:axPos val="l"/>
        <c:majorGridlines/>
        <c:title>
          <c:tx>
            <c:rich>
              <a:bodyPr rot="-5400000" vert="horz"/>
              <a:lstStyle/>
              <a:p>
                <a:pPr>
                  <a:defRPr/>
                </a:pPr>
                <a:r>
                  <a:rPr lang="en-US"/>
                  <a:t>Peak</a:t>
                </a:r>
                <a:r>
                  <a:rPr lang="en-US" baseline="0"/>
                  <a:t> Load</a:t>
                </a:r>
                <a:r>
                  <a:rPr lang="en-US"/>
                  <a:t> (MW)</a:t>
                </a:r>
              </a:p>
            </c:rich>
          </c:tx>
          <c:overlay val="0"/>
        </c:title>
        <c:numFmt formatCode="#,##0" sourceLinked="0"/>
        <c:majorTickMark val="out"/>
        <c:minorTickMark val="none"/>
        <c:tickLblPos val="nextTo"/>
        <c:crossAx val="30292224"/>
        <c:crosses val="autoZero"/>
        <c:crossBetween val="midCat"/>
      </c:valAx>
    </c:plotArea>
    <c:legend>
      <c:legendPos val="b"/>
      <c:overlay val="0"/>
      <c:txPr>
        <a:bodyPr/>
        <a:lstStyle/>
        <a:p>
          <a:pPr>
            <a:defRPr b="1"/>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solidFill>
          <a:schemeClr val="bg1">
            <a:lumMod val="95000"/>
          </a:schemeClr>
        </a:solidFill>
        <a:ln w="25400">
          <a:noFill/>
        </a:ln>
      </c:spPr>
    </c:sideWall>
    <c:backWall>
      <c:thickness val="0"/>
      <c:spPr>
        <a:solidFill>
          <a:schemeClr val="bg1">
            <a:lumMod val="95000"/>
          </a:schemeClr>
        </a:solidFill>
        <a:ln w="25400">
          <a:noFill/>
        </a:ln>
      </c:spPr>
    </c:backWall>
    <c:plotArea>
      <c:layout>
        <c:manualLayout>
          <c:layoutTarget val="inner"/>
          <c:xMode val="edge"/>
          <c:yMode val="edge"/>
          <c:x val="6.5716587902708457E-2"/>
          <c:y val="4.2571011062267523E-2"/>
          <c:w val="0.93428338373242303"/>
          <c:h val="0.84150826047050864"/>
        </c:manualLayout>
      </c:layout>
      <c:bar3DChart>
        <c:barDir val="col"/>
        <c:grouping val="clustered"/>
        <c:varyColors val="0"/>
        <c:ser>
          <c:idx val="1"/>
          <c:order val="0"/>
          <c:tx>
            <c:strRef>
              <c:f>'SME DLC'!$B$58</c:f>
              <c:strCache>
                <c:ptCount val="1"/>
                <c:pt idx="0">
                  <c:v>MW Controlled</c:v>
                </c:pt>
              </c:strCache>
            </c:strRef>
          </c:tx>
          <c:spPr>
            <a:solidFill>
              <a:srgbClr val="448A99"/>
            </a:solidFill>
          </c:spPr>
          <c:invertIfNegative val="0"/>
          <c:dLbls>
            <c:dLbl>
              <c:idx val="0"/>
              <c:layout>
                <c:manualLayout>
                  <c:x val="2.3331572136444503E-2"/>
                  <c:y val="-7.667824991252943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998414922800097E-2"/>
                  <c:y val="-7.667824991252943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332100495511152E-2"/>
                  <c:y val="-3.833912495626436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332100495511152E-2"/>
                  <c:y val="-3.833912495626471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331572136444503E-2"/>
                  <c:y val="7.667824991252943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33157213644450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BD431E"/>
                    </a:solidFill>
                    <a:effectLst>
                      <a:outerShdw blurRad="63500" sx="102000" sy="102000" algn="ctr"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'SME DLC'!$C$36:$H$36</c:f>
              <c:numCache>
                <c:formatCode>General</c:formatCode>
                <c:ptCount val="6"/>
                <c:pt idx="0">
                  <c:v>2016</c:v>
                </c:pt>
                <c:pt idx="1">
                  <c:v>2017</c:v>
                </c:pt>
                <c:pt idx="2">
                  <c:v>2018</c:v>
                </c:pt>
                <c:pt idx="3">
                  <c:v>2019</c:v>
                </c:pt>
                <c:pt idx="4">
                  <c:v>2020</c:v>
                </c:pt>
                <c:pt idx="5">
                  <c:v>2021</c:v>
                </c:pt>
              </c:numCache>
            </c:numRef>
          </c:cat>
          <c:val>
            <c:numRef>
              <c:f>'SME DLC'!$C$58:$H$58</c:f>
              <c:numCache>
                <c:formatCode>_(* #,##0.00_);_(* \(#,##0.00\);_(* "-"??_);_(@_)</c:formatCode>
                <c:ptCount val="6"/>
                <c:pt idx="0">
                  <c:v>0.16388139164716287</c:v>
                </c:pt>
                <c:pt idx="1">
                  <c:v>0.32198085704242518</c:v>
                </c:pt>
                <c:pt idx="2">
                  <c:v>0.47401412029320555</c:v>
                </c:pt>
                <c:pt idx="3">
                  <c:v>0.62003049713178682</c:v>
                </c:pt>
                <c:pt idx="4">
                  <c:v>0.76027066301465707</c:v>
                </c:pt>
                <c:pt idx="5">
                  <c:v>0.73746254312421744</c:v>
                </c:pt>
              </c:numCache>
            </c:numRef>
          </c:val>
        </c:ser>
        <c:dLbls>
          <c:showLegendKey val="0"/>
          <c:showVal val="0"/>
          <c:showCatName val="0"/>
          <c:showSerName val="0"/>
          <c:showPercent val="0"/>
          <c:showBubbleSize val="0"/>
        </c:dLbls>
        <c:gapWidth val="44"/>
        <c:shape val="box"/>
        <c:axId val="30327552"/>
        <c:axId val="30329472"/>
        <c:axId val="0"/>
      </c:bar3DChart>
      <c:catAx>
        <c:axId val="30327552"/>
        <c:scaling>
          <c:orientation val="minMax"/>
        </c:scaling>
        <c:delete val="0"/>
        <c:axPos val="b"/>
        <c:title>
          <c:tx>
            <c:rich>
              <a:bodyPr/>
              <a:lstStyle/>
              <a:p>
                <a:pPr>
                  <a:defRPr/>
                </a:pPr>
                <a:r>
                  <a:rPr lang="en-US"/>
                  <a:t>Study Year</a:t>
                </a:r>
              </a:p>
            </c:rich>
          </c:tx>
          <c:overlay val="0"/>
        </c:title>
        <c:numFmt formatCode="General" sourceLinked="1"/>
        <c:majorTickMark val="out"/>
        <c:minorTickMark val="none"/>
        <c:tickLblPos val="nextTo"/>
        <c:crossAx val="30329472"/>
        <c:crosses val="autoZero"/>
        <c:auto val="1"/>
        <c:lblAlgn val="ctr"/>
        <c:lblOffset val="100"/>
        <c:noMultiLvlLbl val="0"/>
      </c:catAx>
      <c:valAx>
        <c:axId val="30329472"/>
        <c:scaling>
          <c:orientation val="minMax"/>
        </c:scaling>
        <c:delete val="0"/>
        <c:axPos val="l"/>
        <c:majorGridlines>
          <c:spPr>
            <a:ln>
              <a:solidFill>
                <a:srgbClr val="78C0D4"/>
              </a:solidFill>
            </a:ln>
          </c:spPr>
        </c:majorGridlines>
        <c:title>
          <c:tx>
            <c:rich>
              <a:bodyPr rot="-5400000" vert="horz"/>
              <a:lstStyle/>
              <a:p>
                <a:pPr>
                  <a:defRPr/>
                </a:pPr>
                <a:r>
                  <a:rPr lang="en-US"/>
                  <a:t>MW Controlled</a:t>
                </a:r>
              </a:p>
            </c:rich>
          </c:tx>
          <c:layout>
            <c:manualLayout>
              <c:xMode val="edge"/>
              <c:yMode val="edge"/>
              <c:x val="2.4116578496594331E-2"/>
              <c:y val="0.29498001304284815"/>
            </c:manualLayout>
          </c:layout>
          <c:overlay val="0"/>
        </c:title>
        <c:numFmt formatCode="_(* #,##0.0_);_(* \(#,##0.0\);_(* &quot;-&quot;?_);_(@_)" sourceLinked="0"/>
        <c:majorTickMark val="out"/>
        <c:minorTickMark val="none"/>
        <c:tickLblPos val="nextTo"/>
        <c:crossAx val="30327552"/>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10506729927989771"/>
          <c:y val="9.5682634932232682E-2"/>
          <c:w val="0.59117487717881423"/>
          <c:h val="0.90127088013307322"/>
        </c:manualLayout>
      </c:layout>
      <c:pie3DChart>
        <c:varyColors val="1"/>
        <c:ser>
          <c:idx val="0"/>
          <c:order val="0"/>
          <c:tx>
            <c:strRef>
              <c:f>'Small Biz DLC'!$Z$2</c:f>
              <c:strCache>
                <c:ptCount val="1"/>
                <c:pt idx="0">
                  <c:v>DLC Potential (kW)</c:v>
                </c:pt>
              </c:strCache>
            </c:strRef>
          </c:tx>
          <c:dLbls>
            <c:dLbl>
              <c:idx val="0"/>
              <c:spPr/>
              <c:txPr>
                <a:bodyPr/>
                <a:lstStyle/>
                <a:p>
                  <a:pPr>
                    <a:defRPr sz="850" b="1">
                      <a:solidFill>
                        <a:schemeClr val="bg1"/>
                      </a:solidFill>
                    </a:defRPr>
                  </a:pPr>
                  <a:endParaRPr lang="en-US"/>
                </a:p>
              </c:txPr>
              <c:dLblPos val="bestFit"/>
              <c:showLegendKey val="0"/>
              <c:showVal val="0"/>
              <c:showCatName val="1"/>
              <c:showSerName val="0"/>
              <c:showPercent val="1"/>
              <c:showBubbleSize val="0"/>
            </c:dLbl>
            <c:dLbl>
              <c:idx val="1"/>
              <c:spPr/>
              <c:txPr>
                <a:bodyPr/>
                <a:lstStyle/>
                <a:p>
                  <a:pPr>
                    <a:defRPr sz="850" b="1">
                      <a:solidFill>
                        <a:schemeClr val="bg1"/>
                      </a:solidFill>
                    </a:defRPr>
                  </a:pPr>
                  <a:endParaRPr lang="en-US"/>
                </a:p>
              </c:txPr>
              <c:dLblPos val="bestFit"/>
              <c:showLegendKey val="0"/>
              <c:showVal val="0"/>
              <c:showCatName val="1"/>
              <c:showSerName val="0"/>
              <c:showPercent val="1"/>
              <c:showBubbleSize val="0"/>
            </c:dLbl>
            <c:dLbl>
              <c:idx val="2"/>
              <c:spPr/>
              <c:txPr>
                <a:bodyPr/>
                <a:lstStyle/>
                <a:p>
                  <a:pPr>
                    <a:defRPr sz="850" b="1">
                      <a:solidFill>
                        <a:schemeClr val="bg1"/>
                      </a:solidFill>
                    </a:defRPr>
                  </a:pPr>
                  <a:endParaRPr lang="en-US"/>
                </a:p>
              </c:txPr>
              <c:dLblPos val="bestFit"/>
              <c:showLegendKey val="0"/>
              <c:showVal val="0"/>
              <c:showCatName val="1"/>
              <c:showSerName val="0"/>
              <c:showPercent val="1"/>
              <c:showBubbleSize val="0"/>
            </c:dLbl>
            <c:dLbl>
              <c:idx val="3"/>
              <c:spPr>
                <a:noFill/>
                <a:ln>
                  <a:noFill/>
                </a:ln>
                <a:effectLst/>
              </c:spPr>
              <c:txPr>
                <a:bodyPr/>
                <a:lstStyle/>
                <a:p>
                  <a:pPr>
                    <a:defRPr sz="850" b="1">
                      <a:solidFill>
                        <a:schemeClr val="bg1"/>
                      </a:solidFill>
                    </a:defRPr>
                  </a:pPr>
                  <a:endParaRPr lang="en-US"/>
                </a:p>
              </c:txPr>
              <c:dLblPos val="bestFit"/>
              <c:showLegendKey val="0"/>
              <c:showVal val="0"/>
              <c:showCatName val="1"/>
              <c:showSerName val="0"/>
              <c:showPercent val="1"/>
              <c:showBubbleSize val="0"/>
            </c:dLbl>
            <c:dLbl>
              <c:idx val="4"/>
              <c:spPr>
                <a:noFill/>
                <a:ln>
                  <a:noFill/>
                </a:ln>
                <a:effectLst/>
              </c:spPr>
              <c:txPr>
                <a:bodyPr/>
                <a:lstStyle/>
                <a:p>
                  <a:pPr>
                    <a:defRPr sz="850" b="1">
                      <a:solidFill>
                        <a:schemeClr val="bg1"/>
                      </a:solidFill>
                    </a:defRPr>
                  </a:pPr>
                  <a:endParaRPr lang="en-US"/>
                </a:p>
              </c:txPr>
              <c:dLblPos val="bestFit"/>
              <c:showLegendKey val="0"/>
              <c:showVal val="0"/>
              <c:showCatName val="1"/>
              <c:showSerName val="0"/>
              <c:showPercent val="1"/>
              <c:showBubbleSize val="0"/>
            </c:dLbl>
            <c:dLbl>
              <c:idx val="11"/>
              <c:layout>
                <c:manualLayout>
                  <c:x val="3.3499899051080112E-2"/>
                  <c:y val="-9.4289852221708693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2"/>
              <c:layout>
                <c:manualLayout>
                  <c:x val="0.11079665522578909"/>
                  <c:y val="-2.0116292980252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3"/>
              <c:layout>
                <c:manualLayout>
                  <c:x val="0.19448717948717947"/>
                  <c:y val="3.1098653888123216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50" b="1"/>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'Small Biz DLC'!$Y$3:$Y$16</c:f>
              <c:strCache>
                <c:ptCount val="14"/>
                <c:pt idx="0">
                  <c:v>Office</c:v>
                </c:pt>
                <c:pt idx="1">
                  <c:v>Misc</c:v>
                </c:pt>
                <c:pt idx="2">
                  <c:v>Retail</c:v>
                </c:pt>
                <c:pt idx="3">
                  <c:v>Industrial</c:v>
                </c:pt>
                <c:pt idx="4">
                  <c:v>Restaurant</c:v>
                </c:pt>
                <c:pt idx="5">
                  <c:v>Public Service</c:v>
                </c:pt>
                <c:pt idx="6">
                  <c:v>Church</c:v>
                </c:pt>
                <c:pt idx="7">
                  <c:v>Grocery</c:v>
                </c:pt>
                <c:pt idx="8">
                  <c:v>Institutional</c:v>
                </c:pt>
                <c:pt idx="9">
                  <c:v>Multifamily</c:v>
                </c:pt>
                <c:pt idx="10">
                  <c:v>Warehouse</c:v>
                </c:pt>
                <c:pt idx="11">
                  <c:v>Health</c:v>
                </c:pt>
                <c:pt idx="12">
                  <c:v>Lodging</c:v>
                </c:pt>
                <c:pt idx="13">
                  <c:v>Education</c:v>
                </c:pt>
              </c:strCache>
            </c:strRef>
          </c:cat>
          <c:val>
            <c:numRef>
              <c:f>'Small Biz DLC'!$Z$3:$Z$16</c:f>
              <c:numCache>
                <c:formatCode>_(* #,##0_);_(* \(#,##0\);_(* "-"??_);_(@_)</c:formatCode>
                <c:ptCount val="14"/>
                <c:pt idx="0">
                  <c:v>3141.8573755606089</c:v>
                </c:pt>
                <c:pt idx="1">
                  <c:v>1317.1316026990185</c:v>
                </c:pt>
                <c:pt idx="2">
                  <c:v>1166.4616713297339</c:v>
                </c:pt>
                <c:pt idx="3">
                  <c:v>637.42469846842312</c:v>
                </c:pt>
                <c:pt idx="4">
                  <c:v>615.67517846877274</c:v>
                </c:pt>
                <c:pt idx="5">
                  <c:v>612.26099287895408</c:v>
                </c:pt>
                <c:pt idx="6">
                  <c:v>595.58654812957718</c:v>
                </c:pt>
                <c:pt idx="7">
                  <c:v>368.34740848990225</c:v>
                </c:pt>
                <c:pt idx="8">
                  <c:v>347.27198801039975</c:v>
                </c:pt>
                <c:pt idx="9">
                  <c:v>204.00766253566945</c:v>
                </c:pt>
                <c:pt idx="10">
                  <c:v>189.41178142935379</c:v>
                </c:pt>
                <c:pt idx="11">
                  <c:v>158.85415068925337</c:v>
                </c:pt>
                <c:pt idx="12">
                  <c:v>107.79961581691992</c:v>
                </c:pt>
                <c:pt idx="13">
                  <c:v>87.622771503814306</c:v>
                </c:pt>
              </c:numCache>
            </c:numRef>
          </c:val>
        </c:ser>
        <c:dLbls>
          <c:showLegendKey val="0"/>
          <c:showVal val="0"/>
          <c:showCatName val="0"/>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268288833942121"/>
          <c:y val="5.1400554097404488E-2"/>
          <c:w val="0.85557728747091744"/>
          <c:h val="0.79745174367658789"/>
        </c:manualLayout>
      </c:layout>
      <c:barChart>
        <c:barDir val="col"/>
        <c:grouping val="clustered"/>
        <c:varyColors val="0"/>
        <c:ser>
          <c:idx val="0"/>
          <c:order val="0"/>
          <c:tx>
            <c:strRef>
              <c:f>'[Statewide Results Summary - DR and DR+EE.xlsx]LC Impacts'!$Q$16</c:f>
              <c:strCache>
                <c:ptCount val="1"/>
                <c:pt idx="0">
                  <c:v>Day Ahead</c:v>
                </c:pt>
              </c:strCache>
            </c:strRef>
          </c:tx>
          <c:spPr>
            <a:solidFill>
              <a:srgbClr val="448A99"/>
            </a:solidFill>
          </c:spPr>
          <c:invertIfNegative val="0"/>
          <c:cat>
            <c:strRef>
              <c:f>'[Statewide Results Summary - DR and DR+EE.xlsx]LC Impacts'!$P$17:$P$22</c:f>
              <c:strCache>
                <c:ptCount val="6"/>
                <c:pt idx="0">
                  <c:v>Duquesne</c:v>
                </c:pt>
                <c:pt idx="1">
                  <c:v>FE: Met-Ed</c:v>
                </c:pt>
                <c:pt idx="2">
                  <c:v>FE: Penelec</c:v>
                </c:pt>
                <c:pt idx="3">
                  <c:v>FE: Penn Power</c:v>
                </c:pt>
                <c:pt idx="4">
                  <c:v>FE: West Penn</c:v>
                </c:pt>
                <c:pt idx="5">
                  <c:v>PECO</c:v>
                </c:pt>
              </c:strCache>
            </c:strRef>
          </c:cat>
          <c:val>
            <c:numRef>
              <c:f>'[Statewide Results Summary - DR and DR+EE.xlsx]LC Impacts'!$Q$17:$Q$22</c:f>
              <c:numCache>
                <c:formatCode>0%</c:formatCode>
                <c:ptCount val="6"/>
                <c:pt idx="0">
                  <c:v>0.31742060972225844</c:v>
                </c:pt>
                <c:pt idx="1">
                  <c:v>0.22411829799318028</c:v>
                </c:pt>
                <c:pt idx="2">
                  <c:v>0.22082529603516687</c:v>
                </c:pt>
                <c:pt idx="3">
                  <c:v>0.33178681953974465</c:v>
                </c:pt>
                <c:pt idx="4">
                  <c:v>0.29257984240274965</c:v>
                </c:pt>
                <c:pt idx="5">
                  <c:v>0.26276752620744631</c:v>
                </c:pt>
              </c:numCache>
            </c:numRef>
          </c:val>
        </c:ser>
        <c:ser>
          <c:idx val="1"/>
          <c:order val="1"/>
          <c:tx>
            <c:strRef>
              <c:f>'[Statewide Results Summary - DR and DR+EE.xlsx]LC Impacts'!$R$16</c:f>
              <c:strCache>
                <c:ptCount val="1"/>
                <c:pt idx="0">
                  <c:v>Day Of</c:v>
                </c:pt>
              </c:strCache>
            </c:strRef>
          </c:tx>
          <c:spPr>
            <a:solidFill>
              <a:srgbClr val="ED9E3E"/>
            </a:solidFill>
          </c:spPr>
          <c:invertIfNegative val="0"/>
          <c:cat>
            <c:strRef>
              <c:f>'[Statewide Results Summary - DR and DR+EE.xlsx]LC Impacts'!$P$17:$P$22</c:f>
              <c:strCache>
                <c:ptCount val="6"/>
                <c:pt idx="0">
                  <c:v>Duquesne</c:v>
                </c:pt>
                <c:pt idx="1">
                  <c:v>FE: Met-Ed</c:v>
                </c:pt>
                <c:pt idx="2">
                  <c:v>FE: Penelec</c:v>
                </c:pt>
                <c:pt idx="3">
                  <c:v>FE: Penn Power</c:v>
                </c:pt>
                <c:pt idx="4">
                  <c:v>FE: West Penn</c:v>
                </c:pt>
                <c:pt idx="5">
                  <c:v>PECO</c:v>
                </c:pt>
              </c:strCache>
            </c:strRef>
          </c:cat>
          <c:val>
            <c:numRef>
              <c:f>'[Statewide Results Summary - DR and DR+EE.xlsx]LC Impacts'!$R$17:$R$22</c:f>
              <c:numCache>
                <c:formatCode>0%</c:formatCode>
                <c:ptCount val="6"/>
                <c:pt idx="0">
                  <c:v>0.14978144343215272</c:v>
                </c:pt>
                <c:pt idx="1">
                  <c:v>0.10621963523172176</c:v>
                </c:pt>
                <c:pt idx="2">
                  <c:v>0.10448161570377584</c:v>
                </c:pt>
                <c:pt idx="3">
                  <c:v>0.15612935955540902</c:v>
                </c:pt>
                <c:pt idx="4">
                  <c:v>0.13547401085702226</c:v>
                </c:pt>
                <c:pt idx="5">
                  <c:v>0.12335864822942115</c:v>
                </c:pt>
              </c:numCache>
            </c:numRef>
          </c:val>
        </c:ser>
        <c:ser>
          <c:idx val="2"/>
          <c:order val="2"/>
          <c:tx>
            <c:strRef>
              <c:f>'[Statewide Results Summary - DR and DR+EE.xlsx]LC Impacts'!$S$16</c:f>
              <c:strCache>
                <c:ptCount val="1"/>
                <c:pt idx="0">
                  <c:v>Fast Response</c:v>
                </c:pt>
              </c:strCache>
            </c:strRef>
          </c:tx>
          <c:spPr>
            <a:solidFill>
              <a:srgbClr val="BD431E"/>
            </a:solidFill>
          </c:spPr>
          <c:invertIfNegative val="0"/>
          <c:cat>
            <c:strRef>
              <c:f>'[Statewide Results Summary - DR and DR+EE.xlsx]LC Impacts'!$P$17:$P$22</c:f>
              <c:strCache>
                <c:ptCount val="6"/>
                <c:pt idx="0">
                  <c:v>Duquesne</c:v>
                </c:pt>
                <c:pt idx="1">
                  <c:v>FE: Met-Ed</c:v>
                </c:pt>
                <c:pt idx="2">
                  <c:v>FE: Penelec</c:v>
                </c:pt>
                <c:pt idx="3">
                  <c:v>FE: Penn Power</c:v>
                </c:pt>
                <c:pt idx="4">
                  <c:v>FE: West Penn</c:v>
                </c:pt>
                <c:pt idx="5">
                  <c:v>PECO</c:v>
                </c:pt>
              </c:strCache>
            </c:strRef>
          </c:cat>
          <c:val>
            <c:numRef>
              <c:f>'[Statewide Results Summary - DR and DR+EE.xlsx]LC Impacts'!$S$17:$S$22</c:f>
              <c:numCache>
                <c:formatCode>0%</c:formatCode>
                <c:ptCount val="6"/>
                <c:pt idx="0">
                  <c:v>5.0274422080435116E-2</c:v>
                </c:pt>
                <c:pt idx="1">
                  <c:v>3.4052372191014167E-2</c:v>
                </c:pt>
                <c:pt idx="2">
                  <c:v>3.4886312873741748E-2</c:v>
                </c:pt>
                <c:pt idx="3">
                  <c:v>5.4954778958780454E-2</c:v>
                </c:pt>
                <c:pt idx="4">
                  <c:v>4.6813634523847389E-2</c:v>
                </c:pt>
                <c:pt idx="5">
                  <c:v>4.8383754569118143E-2</c:v>
                </c:pt>
              </c:numCache>
            </c:numRef>
          </c:val>
        </c:ser>
        <c:dLbls>
          <c:showLegendKey val="0"/>
          <c:showVal val="0"/>
          <c:showCatName val="0"/>
          <c:showSerName val="0"/>
          <c:showPercent val="0"/>
          <c:showBubbleSize val="0"/>
        </c:dLbls>
        <c:gapWidth val="66"/>
        <c:axId val="32210304"/>
        <c:axId val="32212480"/>
      </c:barChart>
      <c:catAx>
        <c:axId val="32210304"/>
        <c:scaling>
          <c:orientation val="minMax"/>
        </c:scaling>
        <c:delete val="0"/>
        <c:axPos val="b"/>
        <c:title>
          <c:tx>
            <c:rich>
              <a:bodyPr/>
              <a:lstStyle/>
              <a:p>
                <a:pPr>
                  <a:defRPr/>
                </a:pPr>
                <a:r>
                  <a:rPr lang="en-US"/>
                  <a:t>EDC</a:t>
                </a:r>
              </a:p>
            </c:rich>
          </c:tx>
          <c:overlay val="0"/>
        </c:title>
        <c:majorTickMark val="out"/>
        <c:minorTickMark val="none"/>
        <c:tickLblPos val="nextTo"/>
        <c:txPr>
          <a:bodyPr/>
          <a:lstStyle/>
          <a:p>
            <a:pPr>
              <a:defRPr sz="900"/>
            </a:pPr>
            <a:endParaRPr lang="en-US"/>
          </a:p>
        </c:txPr>
        <c:crossAx val="32212480"/>
        <c:crosses val="autoZero"/>
        <c:auto val="1"/>
        <c:lblAlgn val="ctr"/>
        <c:lblOffset val="100"/>
        <c:noMultiLvlLbl val="0"/>
      </c:catAx>
      <c:valAx>
        <c:axId val="32212480"/>
        <c:scaling>
          <c:orientation val="minMax"/>
        </c:scaling>
        <c:delete val="0"/>
        <c:axPos val="l"/>
        <c:majorGridlines/>
        <c:title>
          <c:tx>
            <c:rich>
              <a:bodyPr rot="-5400000" vert="horz"/>
              <a:lstStyle/>
              <a:p>
                <a:pPr>
                  <a:defRPr/>
                </a:pPr>
                <a:r>
                  <a:rPr lang="en-US"/>
                  <a:t>Percent Reduction of Qualified Load</a:t>
                </a:r>
              </a:p>
            </c:rich>
          </c:tx>
          <c:layout>
            <c:manualLayout>
              <c:xMode val="edge"/>
              <c:yMode val="edge"/>
              <c:x val="1.836859934898305E-2"/>
              <c:y val="0.1457793870056219"/>
            </c:manualLayout>
          </c:layout>
          <c:overlay val="0"/>
        </c:title>
        <c:numFmt formatCode="0%" sourceLinked="1"/>
        <c:majorTickMark val="out"/>
        <c:minorTickMark val="none"/>
        <c:tickLblPos val="nextTo"/>
        <c:crossAx val="32210304"/>
        <c:crosses val="autoZero"/>
        <c:crossBetween val="between"/>
      </c:valAx>
      <c:spPr>
        <a:noFill/>
      </c:spPr>
    </c:plotArea>
    <c:legend>
      <c:legendPos val="r"/>
      <c:layout>
        <c:manualLayout>
          <c:xMode val="edge"/>
          <c:yMode val="edge"/>
          <c:x val="0.28100850742777617"/>
          <c:y val="1.9069202383998556E-2"/>
          <c:w val="0.16425897430405226"/>
          <c:h val="0.35927007373306363"/>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23158-0EEE-4C7B-AC90-C78185DB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39507</Words>
  <Characters>225196</Characters>
  <Application>Microsoft Office Word</Application>
  <DocSecurity>4</DocSecurity>
  <Lines>1876</Lines>
  <Paragraphs>528</Paragraphs>
  <ScaleCrop>false</ScaleCrop>
  <HeadingPairs>
    <vt:vector size="2" baseType="variant">
      <vt:variant>
        <vt:lpstr>Title</vt:lpstr>
      </vt:variant>
      <vt:variant>
        <vt:i4>1</vt:i4>
      </vt:variant>
    </vt:vector>
  </HeadingPairs>
  <TitlesOfParts>
    <vt:vector size="1" baseType="lpstr">
      <vt:lpstr>Energy Efficiency Potential Study</vt:lpstr>
    </vt:vector>
  </TitlesOfParts>
  <Company>GDS Associates, Inc.</Company>
  <LinksUpToDate>false</LinksUpToDate>
  <CharactersWithSpaces>264175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Potential Study</dc:title>
  <dc:creator>Kaytie Ruditys</dc:creator>
  <cp:lastModifiedBy>megagood</cp:lastModifiedBy>
  <cp:revision>2</cp:revision>
  <cp:lastPrinted>2015-02-25T19:03:00Z</cp:lastPrinted>
  <dcterms:created xsi:type="dcterms:W3CDTF">2015-02-25T20:26:00Z</dcterms:created>
  <dcterms:modified xsi:type="dcterms:W3CDTF">2015-02-25T20:26:00Z</dcterms:modified>
</cp:coreProperties>
</file>