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E22" w:rsidRPr="003609EB" w:rsidRDefault="00A33E22">
      <w:pPr>
        <w:widowControl/>
        <w:tabs>
          <w:tab w:val="center" w:pos="4680"/>
        </w:tabs>
        <w:jc w:val="both"/>
        <w:rPr>
          <w:rFonts w:ascii="Times New Roman" w:hAnsi="Times New Roman"/>
          <w:b/>
          <w:szCs w:val="24"/>
        </w:rPr>
      </w:pPr>
      <w:r w:rsidRPr="003609EB">
        <w:rPr>
          <w:rFonts w:ascii="Times New Roman" w:hAnsi="Times New Roman"/>
          <w:szCs w:val="24"/>
        </w:rPr>
        <w:tab/>
      </w:r>
      <w:r w:rsidRPr="003609EB">
        <w:rPr>
          <w:rFonts w:ascii="Times New Roman" w:hAnsi="Times New Roman"/>
          <w:b/>
          <w:szCs w:val="24"/>
        </w:rPr>
        <w:t>BEFORE THE</w:t>
      </w:r>
    </w:p>
    <w:p w:rsidR="00A33E22" w:rsidRPr="003609EB" w:rsidRDefault="00A33E22">
      <w:pPr>
        <w:widowControl/>
        <w:tabs>
          <w:tab w:val="center" w:pos="4680"/>
        </w:tabs>
        <w:jc w:val="both"/>
        <w:rPr>
          <w:rFonts w:ascii="Times New Roman" w:hAnsi="Times New Roman"/>
          <w:szCs w:val="24"/>
        </w:rPr>
      </w:pPr>
      <w:r w:rsidRPr="003609EB">
        <w:rPr>
          <w:rFonts w:ascii="Times New Roman" w:hAnsi="Times New Roman"/>
          <w:b/>
          <w:szCs w:val="24"/>
        </w:rPr>
        <w:tab/>
        <w:t>PENNSYLVANIA PUBLIC UTILITY COMMISSION</w:t>
      </w:r>
    </w:p>
    <w:p w:rsidR="00A33E22" w:rsidRPr="003609EB" w:rsidRDefault="00A33E22" w:rsidP="001C7923">
      <w:pPr>
        <w:widowControl/>
        <w:rPr>
          <w:rFonts w:ascii="Times New Roman" w:hAnsi="Times New Roman"/>
          <w:szCs w:val="24"/>
        </w:rPr>
      </w:pPr>
    </w:p>
    <w:p w:rsidR="00A33E22" w:rsidRPr="003609EB" w:rsidRDefault="00A33E22" w:rsidP="001C7923">
      <w:pPr>
        <w:widowControl/>
        <w:rPr>
          <w:rFonts w:ascii="Times New Roman" w:hAnsi="Times New Roman"/>
          <w:szCs w:val="24"/>
        </w:rPr>
      </w:pPr>
    </w:p>
    <w:p w:rsidR="00A33E22" w:rsidRPr="003609EB" w:rsidRDefault="00A33E22" w:rsidP="001C7923">
      <w:pPr>
        <w:widowControl/>
        <w:rPr>
          <w:rFonts w:ascii="Times New Roman" w:hAnsi="Times New Roman"/>
          <w:szCs w:val="24"/>
        </w:rPr>
      </w:pPr>
    </w:p>
    <w:p w:rsidR="003E7DFC" w:rsidRPr="003609EB" w:rsidRDefault="00DA67F5" w:rsidP="001C7923">
      <w:pPr>
        <w:widowControl/>
        <w:rPr>
          <w:rFonts w:ascii="Times New Roman" w:hAnsi="Times New Roman"/>
          <w:szCs w:val="24"/>
        </w:rPr>
      </w:pPr>
      <w:r>
        <w:rPr>
          <w:rFonts w:ascii="Times New Roman" w:hAnsi="Times New Roman"/>
          <w:szCs w:val="24"/>
        </w:rPr>
        <w:t>Obioma Iro-Nwokeukwu</w:t>
      </w:r>
      <w:r w:rsidR="003E7DFC" w:rsidRPr="003609EB">
        <w:rPr>
          <w:rFonts w:ascii="Times New Roman" w:hAnsi="Times New Roman"/>
          <w:szCs w:val="24"/>
        </w:rPr>
        <w:tab/>
      </w:r>
      <w:r w:rsidR="003E7DFC" w:rsidRPr="003609EB">
        <w:rPr>
          <w:rFonts w:ascii="Times New Roman" w:hAnsi="Times New Roman"/>
          <w:szCs w:val="24"/>
        </w:rPr>
        <w:tab/>
      </w:r>
      <w:r w:rsidR="003E7DFC" w:rsidRPr="003609EB">
        <w:rPr>
          <w:rFonts w:ascii="Times New Roman" w:hAnsi="Times New Roman"/>
          <w:szCs w:val="24"/>
        </w:rPr>
        <w:tab/>
      </w:r>
      <w:r w:rsidR="003E7DFC" w:rsidRPr="003609EB">
        <w:rPr>
          <w:rFonts w:ascii="Times New Roman" w:hAnsi="Times New Roman"/>
          <w:szCs w:val="24"/>
        </w:rPr>
        <w:tab/>
        <w:t>:</w:t>
      </w:r>
    </w:p>
    <w:p w:rsidR="00A33E22" w:rsidRPr="003609EB" w:rsidRDefault="00A33E22" w:rsidP="001C7923">
      <w:pPr>
        <w:widowControl/>
        <w:ind w:firstLine="5040"/>
        <w:rPr>
          <w:rFonts w:ascii="Times New Roman" w:hAnsi="Times New Roman"/>
          <w:szCs w:val="24"/>
        </w:rPr>
      </w:pPr>
      <w:r w:rsidRPr="003609EB">
        <w:rPr>
          <w:rFonts w:ascii="Times New Roman" w:hAnsi="Times New Roman"/>
          <w:szCs w:val="24"/>
        </w:rPr>
        <w:t>:</w:t>
      </w:r>
    </w:p>
    <w:p w:rsidR="00A33E22" w:rsidRPr="003609EB" w:rsidRDefault="00A33E22" w:rsidP="00907B1F">
      <w:pPr>
        <w:widowControl/>
        <w:ind w:firstLine="720"/>
        <w:rPr>
          <w:rFonts w:ascii="Times New Roman" w:hAnsi="Times New Roman"/>
          <w:szCs w:val="24"/>
        </w:rPr>
      </w:pPr>
      <w:r w:rsidRPr="003609EB">
        <w:rPr>
          <w:rFonts w:ascii="Times New Roman" w:hAnsi="Times New Roman"/>
          <w:szCs w:val="24"/>
        </w:rPr>
        <w:t>v.</w:t>
      </w:r>
      <w:r w:rsidRPr="003609EB">
        <w:rPr>
          <w:rFonts w:ascii="Times New Roman" w:hAnsi="Times New Roman"/>
          <w:szCs w:val="24"/>
        </w:rPr>
        <w:tab/>
      </w:r>
      <w:r w:rsidRPr="003609EB">
        <w:rPr>
          <w:rFonts w:ascii="Times New Roman" w:hAnsi="Times New Roman"/>
          <w:szCs w:val="24"/>
        </w:rPr>
        <w:tab/>
      </w:r>
      <w:r w:rsidRPr="003609EB">
        <w:rPr>
          <w:rFonts w:ascii="Times New Roman" w:hAnsi="Times New Roman"/>
          <w:szCs w:val="24"/>
        </w:rPr>
        <w:tab/>
      </w:r>
      <w:r w:rsidRPr="003609EB">
        <w:rPr>
          <w:rFonts w:ascii="Times New Roman" w:hAnsi="Times New Roman"/>
          <w:szCs w:val="24"/>
        </w:rPr>
        <w:tab/>
      </w:r>
      <w:r w:rsidRPr="003609EB">
        <w:rPr>
          <w:rFonts w:ascii="Times New Roman" w:hAnsi="Times New Roman"/>
          <w:szCs w:val="24"/>
        </w:rPr>
        <w:tab/>
      </w:r>
      <w:r w:rsidR="00907B1F" w:rsidRPr="003609EB">
        <w:rPr>
          <w:rFonts w:ascii="Times New Roman" w:hAnsi="Times New Roman"/>
          <w:szCs w:val="24"/>
        </w:rPr>
        <w:tab/>
      </w:r>
      <w:r w:rsidRPr="003609EB">
        <w:rPr>
          <w:rFonts w:ascii="Times New Roman" w:hAnsi="Times New Roman"/>
          <w:szCs w:val="24"/>
        </w:rPr>
        <w:t>:</w:t>
      </w:r>
      <w:r w:rsidR="00E44955" w:rsidRPr="003609EB">
        <w:rPr>
          <w:rFonts w:ascii="Times New Roman" w:hAnsi="Times New Roman"/>
          <w:szCs w:val="24"/>
        </w:rPr>
        <w:tab/>
      </w:r>
      <w:r w:rsidR="00907B1F" w:rsidRPr="003609EB">
        <w:rPr>
          <w:rFonts w:ascii="Times New Roman" w:hAnsi="Times New Roman"/>
          <w:szCs w:val="24"/>
        </w:rPr>
        <w:tab/>
      </w:r>
      <w:r w:rsidR="008A49BF" w:rsidRPr="003609EB">
        <w:rPr>
          <w:rFonts w:ascii="Times New Roman" w:hAnsi="Times New Roman"/>
          <w:szCs w:val="24"/>
        </w:rPr>
        <w:t>C-20</w:t>
      </w:r>
      <w:r w:rsidR="00AC5895">
        <w:rPr>
          <w:rFonts w:ascii="Times New Roman" w:hAnsi="Times New Roman"/>
          <w:szCs w:val="24"/>
        </w:rPr>
        <w:t>1</w:t>
      </w:r>
      <w:r w:rsidR="00DA67F5">
        <w:rPr>
          <w:rFonts w:ascii="Times New Roman" w:hAnsi="Times New Roman"/>
          <w:szCs w:val="24"/>
        </w:rPr>
        <w:t>1</w:t>
      </w:r>
      <w:r w:rsidR="008A49BF" w:rsidRPr="003609EB">
        <w:rPr>
          <w:rFonts w:ascii="Times New Roman" w:hAnsi="Times New Roman"/>
          <w:szCs w:val="24"/>
        </w:rPr>
        <w:t>-2</w:t>
      </w:r>
      <w:r w:rsidR="00340F02">
        <w:rPr>
          <w:rFonts w:ascii="Times New Roman" w:hAnsi="Times New Roman"/>
          <w:szCs w:val="24"/>
        </w:rPr>
        <w:t>2</w:t>
      </w:r>
      <w:r w:rsidR="00DA67F5">
        <w:rPr>
          <w:rFonts w:ascii="Times New Roman" w:hAnsi="Times New Roman"/>
          <w:szCs w:val="24"/>
        </w:rPr>
        <w:t>47079</w:t>
      </w:r>
    </w:p>
    <w:p w:rsidR="00A33E22" w:rsidRPr="003609EB" w:rsidRDefault="00A33E22" w:rsidP="001C7923">
      <w:pPr>
        <w:widowControl/>
        <w:ind w:firstLine="5040"/>
        <w:rPr>
          <w:rFonts w:ascii="Times New Roman" w:hAnsi="Times New Roman"/>
          <w:szCs w:val="24"/>
        </w:rPr>
      </w:pPr>
      <w:r w:rsidRPr="003609EB">
        <w:rPr>
          <w:rFonts w:ascii="Times New Roman" w:hAnsi="Times New Roman"/>
          <w:szCs w:val="24"/>
        </w:rPr>
        <w:t>:</w:t>
      </w:r>
    </w:p>
    <w:p w:rsidR="00A33E22" w:rsidRDefault="00DA67F5" w:rsidP="009B32A2">
      <w:pPr>
        <w:widowControl/>
        <w:rPr>
          <w:rFonts w:ascii="Times New Roman" w:hAnsi="Times New Roman"/>
          <w:szCs w:val="24"/>
        </w:rPr>
      </w:pPr>
      <w:r>
        <w:rPr>
          <w:rFonts w:ascii="Times New Roman" w:hAnsi="Times New Roman"/>
          <w:szCs w:val="24"/>
        </w:rPr>
        <w:t>Philadelphia Gas Works</w:t>
      </w:r>
      <w:r w:rsidR="008A49BF" w:rsidRPr="003609EB">
        <w:rPr>
          <w:rFonts w:ascii="Times New Roman" w:hAnsi="Times New Roman"/>
          <w:szCs w:val="24"/>
        </w:rPr>
        <w:tab/>
      </w:r>
      <w:r w:rsidR="008A49BF" w:rsidRPr="003609EB">
        <w:rPr>
          <w:rFonts w:ascii="Times New Roman" w:hAnsi="Times New Roman"/>
          <w:szCs w:val="24"/>
        </w:rPr>
        <w:tab/>
      </w:r>
      <w:r w:rsidR="00A33E22" w:rsidRPr="003609EB">
        <w:rPr>
          <w:rFonts w:ascii="Times New Roman" w:hAnsi="Times New Roman"/>
          <w:szCs w:val="24"/>
        </w:rPr>
        <w:tab/>
      </w:r>
      <w:r w:rsidR="00A33E22" w:rsidRPr="003609EB">
        <w:rPr>
          <w:rFonts w:ascii="Times New Roman" w:hAnsi="Times New Roman"/>
          <w:szCs w:val="24"/>
        </w:rPr>
        <w:tab/>
        <w:t>:</w:t>
      </w:r>
    </w:p>
    <w:p w:rsidR="009B32A2" w:rsidRDefault="009B32A2" w:rsidP="009B32A2">
      <w:pPr>
        <w:widowControl/>
        <w:rPr>
          <w:rFonts w:ascii="Times New Roman" w:hAnsi="Times New Roman"/>
          <w:szCs w:val="24"/>
        </w:rPr>
      </w:pPr>
    </w:p>
    <w:p w:rsidR="009B32A2" w:rsidRDefault="009B32A2" w:rsidP="009B32A2">
      <w:pPr>
        <w:widowControl/>
        <w:rPr>
          <w:rFonts w:ascii="Times New Roman" w:hAnsi="Times New Roman"/>
          <w:szCs w:val="24"/>
        </w:rPr>
      </w:pPr>
    </w:p>
    <w:p w:rsidR="009B32A2" w:rsidRDefault="009B32A2" w:rsidP="009B32A2">
      <w:pPr>
        <w:widowControl/>
        <w:rPr>
          <w:rFonts w:ascii="Times New Roman" w:hAnsi="Times New Roman"/>
          <w:szCs w:val="24"/>
        </w:rPr>
      </w:pPr>
    </w:p>
    <w:p w:rsidR="00A33E22" w:rsidRDefault="00C202E5" w:rsidP="003C0974">
      <w:pPr>
        <w:widowControl/>
        <w:tabs>
          <w:tab w:val="center" w:pos="4680"/>
        </w:tabs>
        <w:jc w:val="center"/>
        <w:rPr>
          <w:rFonts w:ascii="Times New Roman" w:hAnsi="Times New Roman"/>
          <w:b/>
          <w:szCs w:val="24"/>
          <w:u w:val="single"/>
        </w:rPr>
      </w:pPr>
      <w:r>
        <w:rPr>
          <w:rFonts w:ascii="Times New Roman" w:hAnsi="Times New Roman"/>
          <w:b/>
          <w:szCs w:val="24"/>
          <w:u w:val="single"/>
        </w:rPr>
        <w:t>INITIAL DECISION</w:t>
      </w:r>
    </w:p>
    <w:p w:rsidR="00CA0D80" w:rsidRDefault="00CA0D80" w:rsidP="003C0974">
      <w:pPr>
        <w:widowControl/>
        <w:tabs>
          <w:tab w:val="center" w:pos="4680"/>
        </w:tabs>
        <w:jc w:val="center"/>
        <w:rPr>
          <w:rFonts w:ascii="Times New Roman" w:hAnsi="Times New Roman"/>
          <w:b/>
          <w:szCs w:val="24"/>
          <w:u w:val="single"/>
        </w:rPr>
      </w:pPr>
    </w:p>
    <w:p w:rsidR="00CA0D80" w:rsidRDefault="00CA0D80" w:rsidP="003C0974">
      <w:pPr>
        <w:widowControl/>
        <w:tabs>
          <w:tab w:val="center" w:pos="4680"/>
        </w:tabs>
        <w:jc w:val="center"/>
        <w:rPr>
          <w:rFonts w:ascii="Times New Roman" w:hAnsi="Times New Roman"/>
          <w:b/>
          <w:szCs w:val="24"/>
          <w:u w:val="single"/>
        </w:rPr>
      </w:pPr>
    </w:p>
    <w:p w:rsidR="00A15C91" w:rsidRPr="00A15C91" w:rsidRDefault="00A15C91" w:rsidP="00A15C91">
      <w:pPr>
        <w:jc w:val="center"/>
        <w:rPr>
          <w:rFonts w:ascii="Times New Roman" w:hAnsi="Times New Roman"/>
        </w:rPr>
      </w:pPr>
      <w:r w:rsidRPr="00A15C91">
        <w:rPr>
          <w:rFonts w:ascii="Times New Roman" w:hAnsi="Times New Roman"/>
        </w:rPr>
        <w:t>Before</w:t>
      </w:r>
    </w:p>
    <w:p w:rsidR="00A15C91" w:rsidRPr="00A15C91" w:rsidRDefault="00A15C91" w:rsidP="00A15C91">
      <w:pPr>
        <w:jc w:val="center"/>
        <w:rPr>
          <w:rFonts w:ascii="Times New Roman" w:hAnsi="Times New Roman"/>
        </w:rPr>
      </w:pPr>
      <w:r>
        <w:rPr>
          <w:rFonts w:ascii="Times New Roman" w:hAnsi="Times New Roman"/>
        </w:rPr>
        <w:t>Conrad A. Johnson</w:t>
      </w:r>
    </w:p>
    <w:p w:rsidR="00A15C91" w:rsidRDefault="00A15C91" w:rsidP="00A15C91">
      <w:pPr>
        <w:jc w:val="center"/>
        <w:rPr>
          <w:rFonts w:ascii="Times New Roman" w:hAnsi="Times New Roman"/>
        </w:rPr>
      </w:pPr>
      <w:r w:rsidRPr="00A15C91">
        <w:rPr>
          <w:rFonts w:ascii="Times New Roman" w:hAnsi="Times New Roman"/>
        </w:rPr>
        <w:t>Administrative Law Judge</w:t>
      </w:r>
    </w:p>
    <w:p w:rsidR="00CA0D80" w:rsidRDefault="00CA0D80" w:rsidP="00A15C91">
      <w:pPr>
        <w:jc w:val="center"/>
        <w:rPr>
          <w:rFonts w:ascii="Times New Roman" w:hAnsi="Times New Roman"/>
        </w:rPr>
      </w:pPr>
    </w:p>
    <w:p w:rsidR="00CA0D80" w:rsidRDefault="00CA0D80" w:rsidP="00A15C91">
      <w:pPr>
        <w:jc w:val="center"/>
        <w:rPr>
          <w:rFonts w:ascii="Times New Roman" w:hAnsi="Times New Roman"/>
        </w:rPr>
      </w:pPr>
    </w:p>
    <w:p w:rsidR="00C202E5" w:rsidRPr="00DF6BF6" w:rsidRDefault="00C202E5" w:rsidP="00C202E5">
      <w:pPr>
        <w:widowControl/>
        <w:spacing w:line="360" w:lineRule="auto"/>
        <w:rPr>
          <w:rFonts w:ascii="Times New Roman" w:hAnsi="Times New Roman"/>
          <w:color w:val="000000" w:themeColor="text1"/>
          <w:szCs w:val="24"/>
        </w:rPr>
      </w:pPr>
      <w:r>
        <w:rPr>
          <w:rFonts w:ascii="Times New Roman" w:hAnsi="Times New Roman"/>
          <w:szCs w:val="24"/>
        </w:rPr>
        <w:tab/>
      </w:r>
      <w:r>
        <w:rPr>
          <w:rFonts w:ascii="Times New Roman" w:hAnsi="Times New Roman"/>
          <w:szCs w:val="24"/>
        </w:rPr>
        <w:tab/>
        <w:t xml:space="preserve">This decision dismisses the formal complaint because Complainant failed to carry her burden of proving that Respondent provided her unreasonable service </w:t>
      </w:r>
      <w:r w:rsidR="005B09ED" w:rsidRPr="00DF6BF6">
        <w:rPr>
          <w:rFonts w:ascii="Times New Roman" w:hAnsi="Times New Roman"/>
          <w:color w:val="000000" w:themeColor="text1"/>
          <w:szCs w:val="24"/>
        </w:rPr>
        <w:t>or that there were incorrect charges on her bill.</w:t>
      </w:r>
    </w:p>
    <w:p w:rsidR="00C202E5" w:rsidRDefault="00C202E5" w:rsidP="00C202E5">
      <w:pPr>
        <w:widowControl/>
        <w:spacing w:line="360" w:lineRule="auto"/>
        <w:rPr>
          <w:rFonts w:ascii="Times New Roman" w:hAnsi="Times New Roman"/>
          <w:szCs w:val="24"/>
        </w:rPr>
      </w:pPr>
    </w:p>
    <w:p w:rsidR="003C0974" w:rsidRDefault="00810F22" w:rsidP="008F24F6">
      <w:pPr>
        <w:widowControl/>
        <w:spacing w:line="360" w:lineRule="auto"/>
        <w:jc w:val="center"/>
        <w:rPr>
          <w:rFonts w:ascii="Times New Roman" w:hAnsi="Times New Roman"/>
          <w:szCs w:val="24"/>
          <w:u w:val="single"/>
        </w:rPr>
      </w:pPr>
      <w:r w:rsidRPr="003609EB">
        <w:rPr>
          <w:rFonts w:ascii="Times New Roman" w:hAnsi="Times New Roman"/>
          <w:szCs w:val="24"/>
          <w:u w:val="single"/>
        </w:rPr>
        <w:t>HISTORY OF THE PROCEEDING</w:t>
      </w:r>
    </w:p>
    <w:p w:rsidR="00180EEB" w:rsidRDefault="00180EEB" w:rsidP="008F24F6">
      <w:pPr>
        <w:widowControl/>
        <w:spacing w:line="360" w:lineRule="auto"/>
        <w:jc w:val="center"/>
        <w:rPr>
          <w:rFonts w:ascii="Times New Roman" w:hAnsi="Times New Roman"/>
          <w:szCs w:val="24"/>
          <w:u w:val="single"/>
        </w:rPr>
      </w:pPr>
    </w:p>
    <w:p w:rsidR="004C223C" w:rsidRDefault="004C223C" w:rsidP="00C8265A">
      <w:pPr>
        <w:widowControl/>
        <w:spacing w:line="360" w:lineRule="auto"/>
        <w:ind w:firstLine="1440"/>
        <w:rPr>
          <w:rFonts w:ascii="Times New Roman" w:hAnsi="Times New Roman"/>
          <w:szCs w:val="24"/>
        </w:rPr>
      </w:pPr>
      <w:r>
        <w:rPr>
          <w:rFonts w:ascii="Times New Roman" w:hAnsi="Times New Roman"/>
          <w:szCs w:val="24"/>
        </w:rPr>
        <w:t xml:space="preserve">On June 3, 2011, Obioma Iro-Nwokeukwu (Complainant or </w:t>
      </w:r>
      <w:r w:rsidR="00B96F34">
        <w:rPr>
          <w:rFonts w:ascii="Times New Roman" w:hAnsi="Times New Roman"/>
          <w:szCs w:val="24"/>
        </w:rPr>
        <w:t xml:space="preserve">Dr. </w:t>
      </w:r>
      <w:proofErr w:type="gramStart"/>
      <w:r>
        <w:rPr>
          <w:rFonts w:ascii="Times New Roman" w:hAnsi="Times New Roman"/>
          <w:szCs w:val="24"/>
        </w:rPr>
        <w:t>Iro</w:t>
      </w:r>
      <w:proofErr w:type="gramEnd"/>
      <w:r w:rsidR="00B96F34">
        <w:rPr>
          <w:rFonts w:ascii="Times New Roman" w:hAnsi="Times New Roman"/>
          <w:szCs w:val="24"/>
        </w:rPr>
        <w:t>) fi</w:t>
      </w:r>
      <w:r>
        <w:rPr>
          <w:rFonts w:ascii="Times New Roman" w:hAnsi="Times New Roman"/>
          <w:szCs w:val="24"/>
        </w:rPr>
        <w:t xml:space="preserve">led a </w:t>
      </w:r>
      <w:r w:rsidR="00B96F34">
        <w:rPr>
          <w:rFonts w:ascii="Times New Roman" w:hAnsi="Times New Roman"/>
          <w:szCs w:val="24"/>
        </w:rPr>
        <w:t>f</w:t>
      </w:r>
      <w:r w:rsidR="007F6D7C" w:rsidRPr="003609EB">
        <w:rPr>
          <w:rFonts w:ascii="Times New Roman" w:hAnsi="Times New Roman"/>
          <w:szCs w:val="24"/>
        </w:rPr>
        <w:t xml:space="preserve">ormal </w:t>
      </w:r>
      <w:r w:rsidR="00B96F34">
        <w:rPr>
          <w:rFonts w:ascii="Times New Roman" w:hAnsi="Times New Roman"/>
          <w:szCs w:val="24"/>
        </w:rPr>
        <w:t>c</w:t>
      </w:r>
      <w:r w:rsidR="004C09CC" w:rsidRPr="003609EB">
        <w:rPr>
          <w:rFonts w:ascii="Times New Roman" w:hAnsi="Times New Roman"/>
          <w:szCs w:val="24"/>
        </w:rPr>
        <w:t>omplaint</w:t>
      </w:r>
      <w:r w:rsidR="007F6D7C" w:rsidRPr="003609EB">
        <w:rPr>
          <w:rFonts w:ascii="Times New Roman" w:hAnsi="Times New Roman"/>
          <w:szCs w:val="24"/>
        </w:rPr>
        <w:t xml:space="preserve"> against </w:t>
      </w:r>
      <w:r>
        <w:rPr>
          <w:rFonts w:ascii="Times New Roman" w:hAnsi="Times New Roman"/>
          <w:szCs w:val="24"/>
        </w:rPr>
        <w:t>Philadelphia Gas Works (</w:t>
      </w:r>
      <w:r w:rsidR="007F6D7C" w:rsidRPr="003609EB">
        <w:rPr>
          <w:rFonts w:ascii="Times New Roman" w:hAnsi="Times New Roman"/>
          <w:szCs w:val="24"/>
        </w:rPr>
        <w:t>Respondent</w:t>
      </w:r>
      <w:r w:rsidR="00065AF9">
        <w:rPr>
          <w:rFonts w:ascii="Times New Roman" w:hAnsi="Times New Roman"/>
          <w:szCs w:val="24"/>
        </w:rPr>
        <w:t xml:space="preserve"> </w:t>
      </w:r>
      <w:r>
        <w:rPr>
          <w:rFonts w:ascii="Times New Roman" w:hAnsi="Times New Roman"/>
          <w:szCs w:val="24"/>
        </w:rPr>
        <w:t xml:space="preserve">or PGW) and generally alleged there were incorrect charges on her bill. </w:t>
      </w:r>
      <w:r w:rsidR="00055FE0">
        <w:rPr>
          <w:rFonts w:ascii="Times New Roman" w:hAnsi="Times New Roman"/>
          <w:szCs w:val="24"/>
        </w:rPr>
        <w:t xml:space="preserve"> </w:t>
      </w:r>
      <w:r>
        <w:rPr>
          <w:rFonts w:ascii="Times New Roman" w:hAnsi="Times New Roman"/>
          <w:szCs w:val="24"/>
        </w:rPr>
        <w:t>Complainant</w:t>
      </w:r>
      <w:r w:rsidR="00043657">
        <w:rPr>
          <w:rFonts w:ascii="Times New Roman" w:hAnsi="Times New Roman"/>
          <w:szCs w:val="24"/>
        </w:rPr>
        <w:t xml:space="preserve"> </w:t>
      </w:r>
      <w:r w:rsidR="00055FE0">
        <w:rPr>
          <w:rFonts w:ascii="Times New Roman" w:hAnsi="Times New Roman"/>
          <w:szCs w:val="24"/>
        </w:rPr>
        <w:t xml:space="preserve">more specifically </w:t>
      </w:r>
      <w:r>
        <w:rPr>
          <w:rFonts w:ascii="Times New Roman" w:hAnsi="Times New Roman"/>
          <w:szCs w:val="24"/>
        </w:rPr>
        <w:t>alleged:</w:t>
      </w:r>
    </w:p>
    <w:p w:rsidR="009D435C" w:rsidRDefault="009D435C" w:rsidP="00C8265A">
      <w:pPr>
        <w:widowControl/>
        <w:spacing w:line="360" w:lineRule="auto"/>
        <w:ind w:left="1440" w:right="1080"/>
        <w:contextualSpacing/>
        <w:rPr>
          <w:rFonts w:ascii="Times New Roman" w:hAnsi="Times New Roman"/>
          <w:szCs w:val="24"/>
        </w:rPr>
      </w:pPr>
    </w:p>
    <w:p w:rsidR="00043657" w:rsidRDefault="00043657" w:rsidP="00043657">
      <w:pPr>
        <w:widowControl/>
        <w:ind w:left="1440" w:right="1080"/>
        <w:contextualSpacing/>
        <w:rPr>
          <w:rFonts w:ascii="Times New Roman" w:hAnsi="Times New Roman"/>
          <w:szCs w:val="24"/>
        </w:rPr>
      </w:pPr>
      <w:r>
        <w:rPr>
          <w:rFonts w:ascii="Times New Roman" w:hAnsi="Times New Roman"/>
          <w:szCs w:val="24"/>
        </w:rPr>
        <w:t xml:space="preserve">PGW in Philadelphia placed a lien on my property on 51 E. High </w:t>
      </w:r>
      <w:r w:rsidR="00055FE0">
        <w:rPr>
          <w:rFonts w:ascii="Times New Roman" w:hAnsi="Times New Roman"/>
          <w:szCs w:val="24"/>
        </w:rPr>
        <w:t>S</w:t>
      </w:r>
      <w:r>
        <w:rPr>
          <w:rFonts w:ascii="Times New Roman" w:hAnsi="Times New Roman"/>
          <w:szCs w:val="24"/>
        </w:rPr>
        <w:t xml:space="preserve">treet for nonpayment of gas bills by my tenant. </w:t>
      </w:r>
      <w:r w:rsidR="00B0619A">
        <w:rPr>
          <w:rFonts w:ascii="Times New Roman" w:hAnsi="Times New Roman"/>
          <w:szCs w:val="24"/>
        </w:rPr>
        <w:t xml:space="preserve"> </w:t>
      </w:r>
      <w:r>
        <w:rPr>
          <w:rFonts w:ascii="Times New Roman" w:hAnsi="Times New Roman"/>
          <w:szCs w:val="24"/>
        </w:rPr>
        <w:t>I did not get this information until the tenant ha</w:t>
      </w:r>
      <w:r w:rsidR="007B6E4E">
        <w:rPr>
          <w:rFonts w:ascii="Times New Roman" w:hAnsi="Times New Roman"/>
          <w:szCs w:val="24"/>
        </w:rPr>
        <w:t>d</w:t>
      </w:r>
      <w:r>
        <w:rPr>
          <w:rFonts w:ascii="Times New Roman" w:hAnsi="Times New Roman"/>
          <w:szCs w:val="24"/>
        </w:rPr>
        <w:t xml:space="preserve"> moved out. </w:t>
      </w:r>
      <w:r w:rsidR="00B0619A">
        <w:rPr>
          <w:rFonts w:ascii="Times New Roman" w:hAnsi="Times New Roman"/>
          <w:szCs w:val="24"/>
        </w:rPr>
        <w:t xml:space="preserve"> </w:t>
      </w:r>
      <w:r>
        <w:rPr>
          <w:rFonts w:ascii="Times New Roman" w:hAnsi="Times New Roman"/>
          <w:szCs w:val="24"/>
        </w:rPr>
        <w:t>She moved out in February</w:t>
      </w:r>
      <w:r w:rsidR="00A75B0C">
        <w:rPr>
          <w:rFonts w:ascii="Times New Roman" w:hAnsi="Times New Roman"/>
          <w:szCs w:val="24"/>
        </w:rPr>
        <w:t xml:space="preserve"> [201</w:t>
      </w:r>
      <w:r w:rsidR="00B0619A">
        <w:rPr>
          <w:rFonts w:ascii="Times New Roman" w:hAnsi="Times New Roman"/>
          <w:szCs w:val="24"/>
        </w:rPr>
        <w:t>1</w:t>
      </w:r>
      <w:r w:rsidR="00A75B0C">
        <w:rPr>
          <w:rFonts w:ascii="Times New Roman" w:hAnsi="Times New Roman"/>
          <w:szCs w:val="24"/>
        </w:rPr>
        <w:t>]</w:t>
      </w:r>
      <w:r>
        <w:rPr>
          <w:rFonts w:ascii="Times New Roman" w:hAnsi="Times New Roman"/>
          <w:szCs w:val="24"/>
        </w:rPr>
        <w:t xml:space="preserve">, and PGW notified me in March </w:t>
      </w:r>
      <w:r w:rsidR="00A75B0C">
        <w:rPr>
          <w:rFonts w:ascii="Times New Roman" w:hAnsi="Times New Roman"/>
          <w:szCs w:val="24"/>
        </w:rPr>
        <w:t xml:space="preserve">[2011] </w:t>
      </w:r>
      <w:r>
        <w:rPr>
          <w:rFonts w:ascii="Times New Roman" w:hAnsi="Times New Roman"/>
          <w:szCs w:val="24"/>
        </w:rPr>
        <w:t>even though I belong to the l</w:t>
      </w:r>
      <w:r w:rsidR="004C223C">
        <w:rPr>
          <w:rFonts w:ascii="Times New Roman" w:hAnsi="Times New Roman"/>
          <w:szCs w:val="24"/>
        </w:rPr>
        <w:t xml:space="preserve">andlord </w:t>
      </w:r>
      <w:r>
        <w:rPr>
          <w:rFonts w:ascii="Times New Roman" w:hAnsi="Times New Roman"/>
          <w:szCs w:val="24"/>
        </w:rPr>
        <w:t>c</w:t>
      </w:r>
      <w:r w:rsidR="004C223C">
        <w:rPr>
          <w:rFonts w:ascii="Times New Roman" w:hAnsi="Times New Roman"/>
          <w:szCs w:val="24"/>
        </w:rPr>
        <w:t xml:space="preserve">ooperation </w:t>
      </w:r>
      <w:r>
        <w:rPr>
          <w:rFonts w:ascii="Times New Roman" w:hAnsi="Times New Roman"/>
          <w:szCs w:val="24"/>
        </w:rPr>
        <w:t>p</w:t>
      </w:r>
      <w:r w:rsidR="004C223C">
        <w:rPr>
          <w:rFonts w:ascii="Times New Roman" w:hAnsi="Times New Roman"/>
          <w:szCs w:val="24"/>
        </w:rPr>
        <w:t>rogram</w:t>
      </w:r>
      <w:r w:rsidR="00FB3D4B">
        <w:rPr>
          <w:rFonts w:ascii="Times New Roman" w:hAnsi="Times New Roman"/>
          <w:szCs w:val="24"/>
        </w:rPr>
        <w:t xml:space="preserve"> </w:t>
      </w:r>
      <w:r w:rsidR="005E5841" w:rsidRPr="00DF6BF6">
        <w:rPr>
          <w:rFonts w:ascii="Times New Roman" w:hAnsi="Times New Roman"/>
          <w:color w:val="000000" w:themeColor="text1"/>
          <w:szCs w:val="24"/>
        </w:rPr>
        <w:t>[LCP]</w:t>
      </w:r>
      <w:r w:rsidR="004C223C" w:rsidRPr="00DF6BF6">
        <w:rPr>
          <w:rFonts w:ascii="Times New Roman" w:hAnsi="Times New Roman"/>
          <w:color w:val="000000" w:themeColor="text1"/>
          <w:szCs w:val="24"/>
        </w:rPr>
        <w:t>.</w:t>
      </w:r>
    </w:p>
    <w:p w:rsidR="00043657" w:rsidRDefault="004C223C" w:rsidP="00043657">
      <w:pPr>
        <w:widowControl/>
        <w:ind w:left="1440" w:right="1080"/>
        <w:contextualSpacing/>
        <w:rPr>
          <w:rFonts w:ascii="Times New Roman" w:hAnsi="Times New Roman"/>
          <w:szCs w:val="24"/>
        </w:rPr>
      </w:pPr>
      <w:r>
        <w:rPr>
          <w:rFonts w:ascii="Times New Roman" w:hAnsi="Times New Roman"/>
          <w:szCs w:val="24"/>
        </w:rPr>
        <w:t xml:space="preserve"> </w:t>
      </w:r>
    </w:p>
    <w:p w:rsidR="00043657" w:rsidRDefault="00043657" w:rsidP="00043657">
      <w:pPr>
        <w:widowControl/>
        <w:ind w:left="1440" w:right="1080"/>
        <w:contextualSpacing/>
        <w:rPr>
          <w:rFonts w:ascii="Times New Roman" w:hAnsi="Times New Roman"/>
          <w:szCs w:val="24"/>
        </w:rPr>
      </w:pPr>
      <w:r>
        <w:rPr>
          <w:rFonts w:ascii="Times New Roman" w:hAnsi="Times New Roman"/>
          <w:szCs w:val="24"/>
        </w:rPr>
        <w:t xml:space="preserve">The problem was that I lost my password and could not access the site to renew my membership. </w:t>
      </w:r>
      <w:r w:rsidR="00AC7E16">
        <w:rPr>
          <w:rFonts w:ascii="Times New Roman" w:hAnsi="Times New Roman"/>
          <w:szCs w:val="24"/>
        </w:rPr>
        <w:t xml:space="preserve"> </w:t>
      </w:r>
      <w:r>
        <w:rPr>
          <w:rFonts w:ascii="Times New Roman" w:hAnsi="Times New Roman"/>
          <w:szCs w:val="24"/>
        </w:rPr>
        <w:t xml:space="preserve">When I try to add myself as a new member the system would not allow me on grounds that I was already a </w:t>
      </w:r>
      <w:r>
        <w:rPr>
          <w:rFonts w:ascii="Times New Roman" w:hAnsi="Times New Roman"/>
          <w:szCs w:val="24"/>
        </w:rPr>
        <w:lastRenderedPageBreak/>
        <w:t>member.</w:t>
      </w:r>
      <w:r w:rsidR="00AC7E16">
        <w:rPr>
          <w:rFonts w:ascii="Times New Roman" w:hAnsi="Times New Roman"/>
          <w:szCs w:val="24"/>
        </w:rPr>
        <w:t xml:space="preserve"> </w:t>
      </w:r>
      <w:r>
        <w:rPr>
          <w:rFonts w:ascii="Times New Roman" w:hAnsi="Times New Roman"/>
          <w:szCs w:val="24"/>
        </w:rPr>
        <w:t xml:space="preserve"> I advised PGW through pgworks.com of this problem in May of last year </w:t>
      </w:r>
      <w:r w:rsidR="008D2E55">
        <w:rPr>
          <w:rFonts w:ascii="Times New Roman" w:hAnsi="Times New Roman"/>
          <w:szCs w:val="24"/>
        </w:rPr>
        <w:t xml:space="preserve">[2010] </w:t>
      </w:r>
      <w:r>
        <w:rPr>
          <w:rFonts w:ascii="Times New Roman" w:hAnsi="Times New Roman"/>
          <w:szCs w:val="24"/>
        </w:rPr>
        <w:t>but did not g</w:t>
      </w:r>
      <w:r w:rsidR="00055FE0">
        <w:rPr>
          <w:rFonts w:ascii="Times New Roman" w:hAnsi="Times New Roman"/>
          <w:szCs w:val="24"/>
        </w:rPr>
        <w:t>et</w:t>
      </w:r>
      <w:r>
        <w:rPr>
          <w:rFonts w:ascii="Times New Roman" w:hAnsi="Times New Roman"/>
          <w:szCs w:val="24"/>
        </w:rPr>
        <w:t xml:space="preserve"> a response.</w:t>
      </w:r>
    </w:p>
    <w:p w:rsidR="00043657" w:rsidRDefault="00043657" w:rsidP="00CA0D80">
      <w:pPr>
        <w:widowControl/>
        <w:spacing w:line="360" w:lineRule="auto"/>
        <w:ind w:left="1440" w:right="1080"/>
        <w:contextualSpacing/>
        <w:rPr>
          <w:rFonts w:ascii="Times New Roman" w:hAnsi="Times New Roman"/>
          <w:szCs w:val="24"/>
        </w:rPr>
      </w:pPr>
    </w:p>
    <w:p w:rsidR="007B6E4E" w:rsidRDefault="00043657" w:rsidP="00043657">
      <w:pPr>
        <w:widowControl/>
        <w:spacing w:line="360" w:lineRule="auto"/>
        <w:ind w:right="1080"/>
        <w:rPr>
          <w:rFonts w:ascii="Times New Roman" w:hAnsi="Times New Roman"/>
          <w:szCs w:val="24"/>
        </w:rPr>
      </w:pPr>
      <w:proofErr w:type="gramStart"/>
      <w:r>
        <w:rPr>
          <w:rFonts w:ascii="Times New Roman" w:hAnsi="Times New Roman"/>
          <w:szCs w:val="24"/>
        </w:rPr>
        <w:t>Complaint ¶</w:t>
      </w:r>
      <w:r w:rsidR="007B6E4E">
        <w:rPr>
          <w:rFonts w:ascii="Times New Roman" w:hAnsi="Times New Roman"/>
          <w:szCs w:val="24"/>
        </w:rPr>
        <w:t xml:space="preserve"> </w:t>
      </w:r>
      <w:r>
        <w:rPr>
          <w:rFonts w:ascii="Times New Roman" w:hAnsi="Times New Roman"/>
          <w:szCs w:val="24"/>
        </w:rPr>
        <w:t>4B and Attachment.</w:t>
      </w:r>
      <w:proofErr w:type="gramEnd"/>
      <w:r>
        <w:rPr>
          <w:rFonts w:ascii="Times New Roman" w:hAnsi="Times New Roman"/>
          <w:szCs w:val="24"/>
        </w:rPr>
        <w:t xml:space="preserve">  In her request for relief, Complain</w:t>
      </w:r>
      <w:r w:rsidR="00A75B0C">
        <w:rPr>
          <w:rFonts w:ascii="Times New Roman" w:hAnsi="Times New Roman"/>
          <w:szCs w:val="24"/>
        </w:rPr>
        <w:t>an</w:t>
      </w:r>
      <w:r>
        <w:rPr>
          <w:rFonts w:ascii="Times New Roman" w:hAnsi="Times New Roman"/>
          <w:szCs w:val="24"/>
        </w:rPr>
        <w:t>t assert</w:t>
      </w:r>
      <w:r w:rsidR="007B6E4E">
        <w:rPr>
          <w:rFonts w:ascii="Times New Roman" w:hAnsi="Times New Roman"/>
          <w:szCs w:val="24"/>
        </w:rPr>
        <w:t xml:space="preserve">ed the </w:t>
      </w:r>
    </w:p>
    <w:p w:rsidR="00043657" w:rsidRDefault="007B6E4E" w:rsidP="00043657">
      <w:pPr>
        <w:widowControl/>
        <w:spacing w:line="360" w:lineRule="auto"/>
        <w:ind w:right="1080"/>
        <w:rPr>
          <w:rFonts w:ascii="Times New Roman" w:hAnsi="Times New Roman"/>
          <w:szCs w:val="24"/>
        </w:rPr>
      </w:pPr>
      <w:proofErr w:type="gramStart"/>
      <w:r>
        <w:rPr>
          <w:rFonts w:ascii="Times New Roman" w:hAnsi="Times New Roman"/>
          <w:szCs w:val="24"/>
        </w:rPr>
        <w:t>following</w:t>
      </w:r>
      <w:proofErr w:type="gramEnd"/>
      <w:r w:rsidR="00043657">
        <w:rPr>
          <w:rFonts w:ascii="Times New Roman" w:hAnsi="Times New Roman"/>
          <w:szCs w:val="24"/>
        </w:rPr>
        <w:t>:</w:t>
      </w:r>
    </w:p>
    <w:p w:rsidR="00022D91" w:rsidRDefault="00022D91" w:rsidP="00C8265A">
      <w:pPr>
        <w:widowControl/>
        <w:spacing w:line="360" w:lineRule="auto"/>
        <w:ind w:right="1080"/>
        <w:rPr>
          <w:rFonts w:ascii="Times New Roman" w:hAnsi="Times New Roman"/>
          <w:szCs w:val="24"/>
        </w:rPr>
      </w:pPr>
    </w:p>
    <w:p w:rsidR="009D435C" w:rsidRDefault="00022D91" w:rsidP="009D435C">
      <w:pPr>
        <w:widowControl/>
        <w:ind w:left="1440" w:right="1080"/>
        <w:rPr>
          <w:rFonts w:ascii="Times New Roman" w:hAnsi="Times New Roman"/>
          <w:szCs w:val="24"/>
        </w:rPr>
      </w:pPr>
      <w:r>
        <w:rPr>
          <w:rFonts w:ascii="Times New Roman" w:hAnsi="Times New Roman"/>
          <w:szCs w:val="24"/>
        </w:rPr>
        <w:t>Remove lien from my property.</w:t>
      </w:r>
      <w:r w:rsidR="0078771F">
        <w:rPr>
          <w:rFonts w:ascii="Times New Roman" w:hAnsi="Times New Roman"/>
          <w:szCs w:val="24"/>
        </w:rPr>
        <w:t xml:space="preserve"> </w:t>
      </w:r>
      <w:r>
        <w:rPr>
          <w:rFonts w:ascii="Times New Roman" w:hAnsi="Times New Roman"/>
          <w:szCs w:val="24"/>
        </w:rPr>
        <w:t xml:space="preserve"> PGW nee</w:t>
      </w:r>
      <w:r w:rsidR="00065AF9">
        <w:rPr>
          <w:rFonts w:ascii="Times New Roman" w:hAnsi="Times New Roman"/>
          <w:szCs w:val="24"/>
        </w:rPr>
        <w:t>d</w:t>
      </w:r>
      <w:r>
        <w:rPr>
          <w:rFonts w:ascii="Times New Roman" w:hAnsi="Times New Roman"/>
          <w:szCs w:val="24"/>
        </w:rPr>
        <w:t>s to be proactive in answering emails.</w:t>
      </w:r>
      <w:r w:rsidR="009D435C">
        <w:rPr>
          <w:rFonts w:ascii="Times New Roman" w:hAnsi="Times New Roman"/>
          <w:szCs w:val="24"/>
        </w:rPr>
        <w:t xml:space="preserve"> </w:t>
      </w:r>
    </w:p>
    <w:p w:rsidR="00022D91" w:rsidRDefault="00022D91" w:rsidP="009D435C">
      <w:pPr>
        <w:widowControl/>
        <w:spacing w:line="360" w:lineRule="auto"/>
        <w:ind w:left="1440" w:right="1080"/>
        <w:rPr>
          <w:rFonts w:ascii="Times New Roman" w:hAnsi="Times New Roman"/>
          <w:szCs w:val="24"/>
        </w:rPr>
      </w:pPr>
    </w:p>
    <w:p w:rsidR="00376754" w:rsidRDefault="00022D91" w:rsidP="00022D91">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Under separate cover letters, each dated July 7, 2011, PGW filed and served an Answer to the Complaint and Preliminary Objections</w:t>
      </w:r>
      <w:r w:rsidR="00376754">
        <w:rPr>
          <w:rFonts w:ascii="Times New Roman" w:hAnsi="Times New Roman"/>
          <w:szCs w:val="24"/>
        </w:rPr>
        <w:t xml:space="preserve"> (P.O.)</w:t>
      </w:r>
      <w:r>
        <w:rPr>
          <w:rFonts w:ascii="Times New Roman" w:hAnsi="Times New Roman"/>
          <w:szCs w:val="24"/>
        </w:rPr>
        <w:t xml:space="preserve">.  </w:t>
      </w:r>
      <w:r w:rsidR="00376754">
        <w:rPr>
          <w:rFonts w:ascii="Times New Roman" w:hAnsi="Times New Roman"/>
          <w:szCs w:val="24"/>
        </w:rPr>
        <w:t xml:space="preserve">As the bases for its </w:t>
      </w:r>
      <w:r w:rsidR="00963F32">
        <w:rPr>
          <w:rFonts w:ascii="Times New Roman" w:hAnsi="Times New Roman"/>
          <w:szCs w:val="24"/>
        </w:rPr>
        <w:t xml:space="preserve">objections, </w:t>
      </w:r>
      <w:r w:rsidR="00376754">
        <w:rPr>
          <w:rFonts w:ascii="Times New Roman" w:hAnsi="Times New Roman"/>
          <w:szCs w:val="24"/>
        </w:rPr>
        <w:t>PGW</w:t>
      </w:r>
      <w:r w:rsidR="00963F32">
        <w:rPr>
          <w:rFonts w:ascii="Times New Roman" w:hAnsi="Times New Roman"/>
          <w:szCs w:val="24"/>
        </w:rPr>
        <w:t xml:space="preserve"> in part allege</w:t>
      </w:r>
      <w:r w:rsidR="007B6E4E">
        <w:rPr>
          <w:rFonts w:ascii="Times New Roman" w:hAnsi="Times New Roman"/>
          <w:szCs w:val="24"/>
        </w:rPr>
        <w:t>d the following:</w:t>
      </w:r>
    </w:p>
    <w:p w:rsidR="00A97F5A" w:rsidRDefault="00A97F5A" w:rsidP="00376754">
      <w:pPr>
        <w:widowControl/>
        <w:ind w:left="1440" w:right="1080"/>
        <w:rPr>
          <w:rFonts w:ascii="Times New Roman" w:hAnsi="Times New Roman"/>
          <w:szCs w:val="24"/>
        </w:rPr>
      </w:pPr>
      <w:r>
        <w:rPr>
          <w:rFonts w:ascii="Times New Roman" w:hAnsi="Times New Roman"/>
          <w:szCs w:val="24"/>
        </w:rPr>
        <w:t>…</w:t>
      </w:r>
    </w:p>
    <w:p w:rsidR="00A97F5A" w:rsidRDefault="00A97F5A" w:rsidP="00376754">
      <w:pPr>
        <w:widowControl/>
        <w:ind w:left="1440" w:right="1080"/>
        <w:rPr>
          <w:rFonts w:ascii="Times New Roman" w:hAnsi="Times New Roman"/>
          <w:szCs w:val="24"/>
        </w:rPr>
      </w:pPr>
    </w:p>
    <w:p w:rsidR="00376754" w:rsidRDefault="00376754" w:rsidP="00376754">
      <w:pPr>
        <w:widowControl/>
        <w:ind w:left="1440" w:right="1080"/>
        <w:rPr>
          <w:rFonts w:ascii="Times New Roman" w:hAnsi="Times New Roman"/>
          <w:szCs w:val="24"/>
        </w:rPr>
      </w:pPr>
      <w:r>
        <w:rPr>
          <w:rFonts w:ascii="Times New Roman" w:hAnsi="Times New Roman"/>
          <w:szCs w:val="24"/>
        </w:rPr>
        <w:t>2.</w:t>
      </w:r>
      <w:r>
        <w:rPr>
          <w:rFonts w:ascii="Times New Roman" w:hAnsi="Times New Roman"/>
          <w:szCs w:val="24"/>
        </w:rPr>
        <w:tab/>
        <w:t>The Complain</w:t>
      </w:r>
      <w:r w:rsidR="00055FE0">
        <w:rPr>
          <w:rFonts w:ascii="Times New Roman" w:hAnsi="Times New Roman"/>
          <w:szCs w:val="24"/>
        </w:rPr>
        <w:t>an</w:t>
      </w:r>
      <w:r>
        <w:rPr>
          <w:rFonts w:ascii="Times New Roman" w:hAnsi="Times New Roman"/>
          <w:szCs w:val="24"/>
        </w:rPr>
        <w:t>t avers that PGW notified her of the lien after her tenant moved from the Subject Property (51 E. High Street, Philadelphia, Pennsylvania).</w:t>
      </w:r>
    </w:p>
    <w:p w:rsidR="00376754" w:rsidRDefault="00376754" w:rsidP="00376754">
      <w:pPr>
        <w:widowControl/>
        <w:ind w:left="1440" w:right="1080"/>
        <w:rPr>
          <w:rFonts w:ascii="Times New Roman" w:hAnsi="Times New Roman"/>
          <w:szCs w:val="24"/>
        </w:rPr>
      </w:pPr>
      <w:r>
        <w:rPr>
          <w:rFonts w:ascii="Times New Roman" w:hAnsi="Times New Roman"/>
          <w:szCs w:val="24"/>
        </w:rPr>
        <w:t xml:space="preserve"> </w:t>
      </w:r>
    </w:p>
    <w:p w:rsidR="00376754" w:rsidRDefault="00376754" w:rsidP="00376754">
      <w:pPr>
        <w:widowControl/>
        <w:ind w:left="1440" w:right="1080"/>
        <w:rPr>
          <w:rFonts w:ascii="Times New Roman" w:hAnsi="Times New Roman"/>
          <w:szCs w:val="24"/>
        </w:rPr>
      </w:pPr>
      <w:r>
        <w:rPr>
          <w:rFonts w:ascii="Times New Roman" w:hAnsi="Times New Roman"/>
          <w:szCs w:val="24"/>
        </w:rPr>
        <w:t>3.</w:t>
      </w:r>
      <w:r>
        <w:rPr>
          <w:rFonts w:ascii="Times New Roman" w:hAnsi="Times New Roman"/>
          <w:szCs w:val="24"/>
        </w:rPr>
        <w:tab/>
        <w:t xml:space="preserve">For the following period from June 2010 through January 2011, the Complainant’s tenant owed $1,449.95 for unpaid gas service to the </w:t>
      </w:r>
      <w:r w:rsidR="00055FE0">
        <w:rPr>
          <w:rFonts w:ascii="Times New Roman" w:hAnsi="Times New Roman"/>
          <w:szCs w:val="24"/>
        </w:rPr>
        <w:t>S</w:t>
      </w:r>
      <w:r>
        <w:rPr>
          <w:rFonts w:ascii="Times New Roman" w:hAnsi="Times New Roman"/>
          <w:szCs w:val="24"/>
        </w:rPr>
        <w:t>ubject Property under an account where the Complainant’s tenant was the Customer of Record.</w:t>
      </w:r>
    </w:p>
    <w:p w:rsidR="00376754" w:rsidRDefault="00376754" w:rsidP="00376754">
      <w:pPr>
        <w:widowControl/>
        <w:ind w:left="1440" w:right="1080"/>
        <w:rPr>
          <w:rFonts w:ascii="Times New Roman" w:hAnsi="Times New Roman"/>
          <w:szCs w:val="24"/>
        </w:rPr>
      </w:pPr>
    </w:p>
    <w:p w:rsidR="00376754" w:rsidRDefault="00963F32" w:rsidP="00376754">
      <w:pPr>
        <w:widowControl/>
        <w:ind w:left="1440" w:right="1080"/>
        <w:rPr>
          <w:rFonts w:ascii="Times New Roman" w:hAnsi="Times New Roman"/>
          <w:szCs w:val="24"/>
        </w:rPr>
      </w:pPr>
      <w:r>
        <w:rPr>
          <w:rFonts w:ascii="Times New Roman" w:hAnsi="Times New Roman"/>
          <w:szCs w:val="24"/>
        </w:rPr>
        <w:t>4.</w:t>
      </w:r>
      <w:r>
        <w:rPr>
          <w:rFonts w:ascii="Times New Roman" w:hAnsi="Times New Roman"/>
          <w:szCs w:val="24"/>
        </w:rPr>
        <w:tab/>
        <w:t>The City of Philadelphia, as owner of PGW, has filed municipal liens upon the Subject Property for the unpaid debt for gas service to the Subject Propert</w:t>
      </w:r>
      <w:r w:rsidR="00B0619A">
        <w:rPr>
          <w:rFonts w:ascii="Times New Roman" w:hAnsi="Times New Roman"/>
          <w:szCs w:val="24"/>
        </w:rPr>
        <w:t>ies</w:t>
      </w:r>
      <w:r>
        <w:rPr>
          <w:rFonts w:ascii="Times New Roman" w:hAnsi="Times New Roman"/>
          <w:szCs w:val="24"/>
        </w:rPr>
        <w:t xml:space="preserve"> on the accounts of the Complainant’s Commercial tenants, pursuant to the Municipal </w:t>
      </w:r>
      <w:r w:rsidR="00055FE0">
        <w:rPr>
          <w:rFonts w:ascii="Times New Roman" w:hAnsi="Times New Roman"/>
          <w:szCs w:val="24"/>
        </w:rPr>
        <w:t>C</w:t>
      </w:r>
      <w:r>
        <w:rPr>
          <w:rFonts w:ascii="Times New Roman" w:hAnsi="Times New Roman"/>
          <w:szCs w:val="24"/>
        </w:rPr>
        <w:t xml:space="preserve">laim and Tax Lien Law, Act 153 of 1923, P.L. 207, 53 P.S. § 7101, et. </w:t>
      </w:r>
      <w:proofErr w:type="gramStart"/>
      <w:r>
        <w:rPr>
          <w:rFonts w:ascii="Times New Roman" w:hAnsi="Times New Roman"/>
          <w:szCs w:val="24"/>
        </w:rPr>
        <w:t>seq. (Municipal Lien Act).</w:t>
      </w:r>
      <w:proofErr w:type="gramEnd"/>
      <w:r>
        <w:rPr>
          <w:rFonts w:ascii="Times New Roman" w:hAnsi="Times New Roman"/>
          <w:szCs w:val="24"/>
        </w:rPr>
        <w:t xml:space="preserve">  Under the Municipal Lien Act, the City of Philadelphia</w:t>
      </w:r>
      <w:r w:rsidR="00055FE0">
        <w:rPr>
          <w:rFonts w:ascii="Times New Roman" w:hAnsi="Times New Roman"/>
          <w:szCs w:val="24"/>
        </w:rPr>
        <w:t xml:space="preserve"> </w:t>
      </w:r>
      <w:r>
        <w:rPr>
          <w:rFonts w:ascii="Times New Roman" w:hAnsi="Times New Roman"/>
          <w:szCs w:val="24"/>
        </w:rPr>
        <w:t>as owner of PGW has the right to collect on municipal claims owed to PGW for gas service to a Service Address.</w:t>
      </w:r>
    </w:p>
    <w:p w:rsidR="00963F32" w:rsidRDefault="00963F32" w:rsidP="00376754">
      <w:pPr>
        <w:widowControl/>
        <w:ind w:left="1440" w:right="1080"/>
        <w:rPr>
          <w:rFonts w:ascii="Times New Roman" w:hAnsi="Times New Roman"/>
          <w:szCs w:val="24"/>
        </w:rPr>
      </w:pPr>
    </w:p>
    <w:p w:rsidR="00A97F5A" w:rsidRDefault="00963F32" w:rsidP="00376754">
      <w:pPr>
        <w:widowControl/>
        <w:ind w:left="1440" w:right="1080"/>
        <w:rPr>
          <w:rFonts w:ascii="Times New Roman" w:hAnsi="Times New Roman"/>
          <w:szCs w:val="24"/>
        </w:rPr>
      </w:pPr>
      <w:r>
        <w:rPr>
          <w:rFonts w:ascii="Times New Roman" w:hAnsi="Times New Roman"/>
          <w:szCs w:val="24"/>
        </w:rPr>
        <w:t>5.</w:t>
      </w:r>
      <w:r>
        <w:rPr>
          <w:rFonts w:ascii="Times New Roman" w:hAnsi="Times New Roman"/>
          <w:szCs w:val="24"/>
        </w:rPr>
        <w:tab/>
        <w:t xml:space="preserve">The Complainant requests relief in the form of a Commission order to PGW to remove the liens against the Subject Property. </w:t>
      </w:r>
      <w:r w:rsidR="00376754">
        <w:rPr>
          <w:rFonts w:ascii="Times New Roman" w:hAnsi="Times New Roman"/>
          <w:szCs w:val="24"/>
        </w:rPr>
        <w:t xml:space="preserve"> </w:t>
      </w:r>
    </w:p>
    <w:p w:rsidR="00A97F5A" w:rsidRDefault="00A97F5A" w:rsidP="00376754">
      <w:pPr>
        <w:widowControl/>
        <w:ind w:left="1440" w:right="1080"/>
        <w:rPr>
          <w:rFonts w:ascii="Times New Roman" w:hAnsi="Times New Roman"/>
          <w:szCs w:val="24"/>
        </w:rPr>
      </w:pPr>
    </w:p>
    <w:p w:rsidR="00A97F5A" w:rsidRDefault="00A97F5A" w:rsidP="00376754">
      <w:pPr>
        <w:widowControl/>
        <w:ind w:left="1440" w:right="1080"/>
        <w:rPr>
          <w:rFonts w:ascii="Times New Roman" w:hAnsi="Times New Roman"/>
          <w:szCs w:val="24"/>
        </w:rPr>
      </w:pPr>
      <w:r>
        <w:rPr>
          <w:rFonts w:ascii="Times New Roman" w:hAnsi="Times New Roman"/>
          <w:szCs w:val="24"/>
        </w:rPr>
        <w:t>…</w:t>
      </w:r>
    </w:p>
    <w:p w:rsidR="00A97F5A" w:rsidRDefault="00A97F5A" w:rsidP="00376754">
      <w:pPr>
        <w:widowControl/>
        <w:ind w:left="1440" w:right="1080"/>
        <w:rPr>
          <w:rFonts w:ascii="Times New Roman" w:hAnsi="Times New Roman"/>
          <w:szCs w:val="24"/>
        </w:rPr>
      </w:pPr>
    </w:p>
    <w:p w:rsidR="00A97F5A" w:rsidRDefault="00A97F5A" w:rsidP="00376754">
      <w:pPr>
        <w:widowControl/>
        <w:ind w:left="1440" w:right="1080"/>
        <w:rPr>
          <w:rFonts w:ascii="Times New Roman" w:hAnsi="Times New Roman"/>
          <w:szCs w:val="24"/>
        </w:rPr>
      </w:pPr>
      <w:r>
        <w:rPr>
          <w:rFonts w:ascii="Times New Roman" w:hAnsi="Times New Roman"/>
          <w:szCs w:val="24"/>
        </w:rPr>
        <w:t>10.</w:t>
      </w:r>
      <w:r>
        <w:rPr>
          <w:rFonts w:ascii="Times New Roman" w:hAnsi="Times New Roman"/>
          <w:szCs w:val="24"/>
        </w:rPr>
        <w:tab/>
        <w:t>The Complainant disputes the imposition of the lien because she did not incur the debt for gas service</w:t>
      </w:r>
      <w:r w:rsidR="00F7675A">
        <w:rPr>
          <w:rFonts w:ascii="Times New Roman" w:hAnsi="Times New Roman"/>
          <w:szCs w:val="24"/>
        </w:rPr>
        <w:t>.</w:t>
      </w:r>
    </w:p>
    <w:p w:rsidR="00A97F5A" w:rsidRDefault="00A97F5A" w:rsidP="00376754">
      <w:pPr>
        <w:widowControl/>
        <w:ind w:left="1440" w:right="1080"/>
        <w:rPr>
          <w:rFonts w:ascii="Times New Roman" w:hAnsi="Times New Roman"/>
          <w:szCs w:val="24"/>
        </w:rPr>
      </w:pPr>
    </w:p>
    <w:p w:rsidR="00A97F5A" w:rsidRDefault="00A97F5A" w:rsidP="00376754">
      <w:pPr>
        <w:widowControl/>
        <w:ind w:left="1440" w:right="1080"/>
        <w:rPr>
          <w:rFonts w:ascii="Times New Roman" w:hAnsi="Times New Roman"/>
          <w:szCs w:val="24"/>
        </w:rPr>
      </w:pPr>
      <w:r>
        <w:rPr>
          <w:rFonts w:ascii="Times New Roman" w:hAnsi="Times New Roman"/>
          <w:szCs w:val="24"/>
        </w:rPr>
        <w:t>11.</w:t>
      </w:r>
      <w:r>
        <w:rPr>
          <w:rFonts w:ascii="Times New Roman" w:hAnsi="Times New Roman"/>
          <w:szCs w:val="24"/>
        </w:rPr>
        <w:tab/>
        <w:t xml:space="preserve">The nature of a lien is such that it encumbers the real estate, regardless who caused the event, which results in the imposition of a </w:t>
      </w:r>
      <w:r>
        <w:rPr>
          <w:rFonts w:ascii="Times New Roman" w:hAnsi="Times New Roman"/>
          <w:szCs w:val="24"/>
        </w:rPr>
        <w:lastRenderedPageBreak/>
        <w:t>municipal claim.  PGW may colle</w:t>
      </w:r>
      <w:r w:rsidR="003E299C">
        <w:rPr>
          <w:rFonts w:ascii="Times New Roman" w:hAnsi="Times New Roman"/>
          <w:szCs w:val="24"/>
        </w:rPr>
        <w:t>c</w:t>
      </w:r>
      <w:r>
        <w:rPr>
          <w:rFonts w:ascii="Times New Roman" w:hAnsi="Times New Roman"/>
          <w:szCs w:val="24"/>
        </w:rPr>
        <w:t>t as a municipal claim, unpaid debt for gas service rendered, even when the gas service was not rendered to the owner of the property.</w:t>
      </w:r>
      <w:r w:rsidR="00503D12">
        <w:rPr>
          <w:rFonts w:ascii="Times New Roman" w:hAnsi="Times New Roman"/>
          <w:szCs w:val="24"/>
        </w:rPr>
        <w:t xml:space="preserve"> </w:t>
      </w:r>
      <w:r>
        <w:rPr>
          <w:rFonts w:ascii="Times New Roman" w:hAnsi="Times New Roman"/>
          <w:szCs w:val="24"/>
        </w:rPr>
        <w:t xml:space="preserve"> </w:t>
      </w:r>
      <w:proofErr w:type="gramStart"/>
      <w:r>
        <w:rPr>
          <w:rFonts w:ascii="Times New Roman" w:hAnsi="Times New Roman"/>
          <w:i/>
          <w:szCs w:val="24"/>
        </w:rPr>
        <w:t xml:space="preserve">Newberry Township v. Ray </w:t>
      </w:r>
      <w:proofErr w:type="spellStart"/>
      <w:r>
        <w:rPr>
          <w:rFonts w:ascii="Times New Roman" w:hAnsi="Times New Roman"/>
          <w:i/>
          <w:szCs w:val="24"/>
        </w:rPr>
        <w:t>Stambaugh</w:t>
      </w:r>
      <w:proofErr w:type="spellEnd"/>
      <w:r>
        <w:rPr>
          <w:rFonts w:ascii="Times New Roman" w:hAnsi="Times New Roman"/>
          <w:i/>
          <w:szCs w:val="24"/>
        </w:rPr>
        <w:t xml:space="preserve">, </w:t>
      </w:r>
      <w:r>
        <w:rPr>
          <w:rFonts w:ascii="Times New Roman" w:hAnsi="Times New Roman"/>
          <w:szCs w:val="24"/>
        </w:rPr>
        <w:t>848 A.2d 173 (</w:t>
      </w:r>
      <w:proofErr w:type="spellStart"/>
      <w:r>
        <w:rPr>
          <w:rFonts w:ascii="Times New Roman" w:hAnsi="Times New Roman"/>
          <w:szCs w:val="24"/>
        </w:rPr>
        <w:t>Pa.Cmwlth</w:t>
      </w:r>
      <w:proofErr w:type="spellEnd"/>
      <w:r>
        <w:rPr>
          <w:rFonts w:ascii="Times New Roman" w:hAnsi="Times New Roman"/>
          <w:szCs w:val="24"/>
        </w:rPr>
        <w:t>. 2000).</w:t>
      </w:r>
      <w:proofErr w:type="gramEnd"/>
    </w:p>
    <w:p w:rsidR="00A97F5A" w:rsidRDefault="00A97F5A" w:rsidP="00376754">
      <w:pPr>
        <w:widowControl/>
        <w:ind w:left="1440" w:right="1080"/>
        <w:rPr>
          <w:rFonts w:ascii="Times New Roman" w:hAnsi="Times New Roman"/>
          <w:szCs w:val="24"/>
        </w:rPr>
      </w:pPr>
    </w:p>
    <w:p w:rsidR="00A97F5A" w:rsidRDefault="00C24D44" w:rsidP="00A97F5A">
      <w:pPr>
        <w:widowControl/>
        <w:spacing w:line="360" w:lineRule="auto"/>
        <w:ind w:right="1080"/>
        <w:rPr>
          <w:rFonts w:ascii="Times New Roman" w:hAnsi="Times New Roman"/>
          <w:szCs w:val="24"/>
        </w:rPr>
      </w:pPr>
      <w:proofErr w:type="gramStart"/>
      <w:r>
        <w:rPr>
          <w:rFonts w:ascii="Times New Roman" w:hAnsi="Times New Roman"/>
          <w:szCs w:val="24"/>
        </w:rPr>
        <w:t>P.O.</w:t>
      </w:r>
      <w:proofErr w:type="gramEnd"/>
      <w:r w:rsidR="00A97F5A">
        <w:rPr>
          <w:rFonts w:ascii="Times New Roman" w:hAnsi="Times New Roman"/>
          <w:szCs w:val="24"/>
        </w:rPr>
        <w:t xml:space="preserve">  ¶¶ 2-5;</w:t>
      </w:r>
      <w:r w:rsidR="00055FE0">
        <w:rPr>
          <w:rFonts w:ascii="Times New Roman" w:hAnsi="Times New Roman"/>
          <w:szCs w:val="24"/>
        </w:rPr>
        <w:t xml:space="preserve"> </w:t>
      </w:r>
      <w:r w:rsidR="00A97F5A">
        <w:rPr>
          <w:rFonts w:ascii="Times New Roman" w:hAnsi="Times New Roman"/>
          <w:szCs w:val="24"/>
        </w:rPr>
        <w:t>10-11.</w:t>
      </w:r>
    </w:p>
    <w:p w:rsidR="00481C49" w:rsidRDefault="00481C49" w:rsidP="00A97F5A">
      <w:pPr>
        <w:widowControl/>
        <w:spacing w:line="360" w:lineRule="auto"/>
        <w:ind w:right="1080"/>
        <w:rPr>
          <w:rFonts w:ascii="Times New Roman" w:hAnsi="Times New Roman"/>
          <w:szCs w:val="24"/>
        </w:rPr>
      </w:pPr>
    </w:p>
    <w:p w:rsidR="0069730A" w:rsidRDefault="00B71BDF" w:rsidP="00481C49">
      <w:pPr>
        <w:widowControl/>
        <w:spacing w:line="360" w:lineRule="auto"/>
        <w:rPr>
          <w:rFonts w:ascii="Times New Roman" w:hAnsi="Times New Roman"/>
          <w:szCs w:val="24"/>
        </w:rPr>
      </w:pPr>
      <w:r>
        <w:rPr>
          <w:rFonts w:ascii="Times New Roman" w:hAnsi="Times New Roman"/>
          <w:szCs w:val="24"/>
        </w:rPr>
        <w:tab/>
      </w:r>
      <w:r>
        <w:rPr>
          <w:rFonts w:ascii="Times New Roman" w:hAnsi="Times New Roman"/>
          <w:szCs w:val="24"/>
        </w:rPr>
        <w:tab/>
        <w:t>PGW contend</w:t>
      </w:r>
      <w:r w:rsidR="007B6E4E">
        <w:rPr>
          <w:rFonts w:ascii="Times New Roman" w:hAnsi="Times New Roman"/>
          <w:szCs w:val="24"/>
        </w:rPr>
        <w:t>ed that</w:t>
      </w:r>
      <w:r>
        <w:rPr>
          <w:rFonts w:ascii="Times New Roman" w:hAnsi="Times New Roman"/>
          <w:szCs w:val="24"/>
        </w:rPr>
        <w:t xml:space="preserve"> the Commission lack</w:t>
      </w:r>
      <w:r w:rsidR="007B6E4E">
        <w:rPr>
          <w:rFonts w:ascii="Times New Roman" w:hAnsi="Times New Roman"/>
          <w:szCs w:val="24"/>
        </w:rPr>
        <w:t>ed</w:t>
      </w:r>
      <w:r>
        <w:rPr>
          <w:rFonts w:ascii="Times New Roman" w:hAnsi="Times New Roman"/>
          <w:szCs w:val="24"/>
        </w:rPr>
        <w:t xml:space="preserve"> subject matter jurisdiction over the municipal lien.  </w:t>
      </w:r>
      <w:r w:rsidR="00B03B27">
        <w:rPr>
          <w:rFonts w:ascii="Times New Roman" w:hAnsi="Times New Roman"/>
          <w:szCs w:val="24"/>
        </w:rPr>
        <w:t>PGW assert</w:t>
      </w:r>
      <w:r w:rsidR="007B6E4E">
        <w:rPr>
          <w:rFonts w:ascii="Times New Roman" w:hAnsi="Times New Roman"/>
          <w:szCs w:val="24"/>
        </w:rPr>
        <w:t>ed</w:t>
      </w:r>
      <w:r w:rsidR="00B03B27">
        <w:rPr>
          <w:rFonts w:ascii="Times New Roman" w:hAnsi="Times New Roman"/>
          <w:szCs w:val="24"/>
        </w:rPr>
        <w:t xml:space="preserve"> that </w:t>
      </w:r>
      <w:r>
        <w:rPr>
          <w:rFonts w:ascii="Times New Roman" w:hAnsi="Times New Roman"/>
          <w:szCs w:val="24"/>
        </w:rPr>
        <w:t xml:space="preserve">Complainant’s request for relief should be stricken as </w:t>
      </w:r>
      <w:r w:rsidR="00A75B0C">
        <w:rPr>
          <w:rFonts w:ascii="Times New Roman" w:hAnsi="Times New Roman"/>
          <w:szCs w:val="24"/>
        </w:rPr>
        <w:t>“</w:t>
      </w:r>
      <w:r>
        <w:rPr>
          <w:rFonts w:ascii="Times New Roman" w:hAnsi="Times New Roman"/>
          <w:szCs w:val="24"/>
        </w:rPr>
        <w:t>i</w:t>
      </w:r>
      <w:r w:rsidR="00456FBF">
        <w:rPr>
          <w:rFonts w:ascii="Times New Roman" w:hAnsi="Times New Roman"/>
          <w:szCs w:val="24"/>
        </w:rPr>
        <w:t>m</w:t>
      </w:r>
      <w:r>
        <w:rPr>
          <w:rFonts w:ascii="Times New Roman" w:hAnsi="Times New Roman"/>
          <w:szCs w:val="24"/>
        </w:rPr>
        <w:t xml:space="preserve">pertinent </w:t>
      </w:r>
      <w:r w:rsidR="00A75B0C">
        <w:rPr>
          <w:rFonts w:ascii="Times New Roman" w:hAnsi="Times New Roman"/>
          <w:szCs w:val="24"/>
        </w:rPr>
        <w:t xml:space="preserve">matter,” </w:t>
      </w:r>
      <w:r w:rsidR="00C24D44">
        <w:rPr>
          <w:rFonts w:ascii="Times New Roman" w:hAnsi="Times New Roman"/>
          <w:szCs w:val="24"/>
        </w:rPr>
        <w:t>P.O.</w:t>
      </w:r>
      <w:r w:rsidR="00A75B0C">
        <w:rPr>
          <w:rFonts w:ascii="Times New Roman" w:hAnsi="Times New Roman"/>
          <w:szCs w:val="24"/>
        </w:rPr>
        <w:t xml:space="preserve">  ¶13, </w:t>
      </w:r>
      <w:r w:rsidR="0069730A">
        <w:rPr>
          <w:rFonts w:ascii="Times New Roman" w:hAnsi="Times New Roman"/>
          <w:szCs w:val="24"/>
        </w:rPr>
        <w:t xml:space="preserve">pursuant to </w:t>
      </w:r>
      <w:r w:rsidR="00456FBF">
        <w:rPr>
          <w:rFonts w:ascii="Times New Roman" w:hAnsi="Times New Roman"/>
          <w:szCs w:val="24"/>
        </w:rPr>
        <w:t>Section 5.101(a</w:t>
      </w:r>
      <w:proofErr w:type="gramStart"/>
      <w:r w:rsidR="00456FBF">
        <w:rPr>
          <w:rFonts w:ascii="Times New Roman" w:hAnsi="Times New Roman"/>
          <w:szCs w:val="24"/>
        </w:rPr>
        <w:t>)(</w:t>
      </w:r>
      <w:proofErr w:type="gramEnd"/>
      <w:r w:rsidR="00456FBF">
        <w:rPr>
          <w:rFonts w:ascii="Times New Roman" w:hAnsi="Times New Roman"/>
          <w:szCs w:val="24"/>
        </w:rPr>
        <w:t>2)</w:t>
      </w:r>
      <w:r w:rsidR="00B03B27">
        <w:rPr>
          <w:rFonts w:ascii="Times New Roman" w:hAnsi="Times New Roman"/>
          <w:szCs w:val="24"/>
        </w:rPr>
        <w:t xml:space="preserve"> of the Co</w:t>
      </w:r>
      <w:r w:rsidR="0069730A">
        <w:rPr>
          <w:rFonts w:ascii="Times New Roman" w:hAnsi="Times New Roman"/>
          <w:szCs w:val="24"/>
        </w:rPr>
        <w:t xml:space="preserve">mmission’s </w:t>
      </w:r>
      <w:r w:rsidR="00481C49">
        <w:rPr>
          <w:rFonts w:ascii="Times New Roman" w:hAnsi="Times New Roman"/>
          <w:szCs w:val="24"/>
        </w:rPr>
        <w:t>Rules of Administrative Practice and Procedure</w:t>
      </w:r>
      <w:r w:rsidR="00055FE0">
        <w:rPr>
          <w:rFonts w:ascii="Times New Roman" w:hAnsi="Times New Roman"/>
          <w:szCs w:val="24"/>
        </w:rPr>
        <w:t xml:space="preserve"> (Rules)</w:t>
      </w:r>
      <w:r w:rsidR="00481C49">
        <w:rPr>
          <w:rFonts w:ascii="Times New Roman" w:hAnsi="Times New Roman"/>
          <w:szCs w:val="24"/>
        </w:rPr>
        <w:t xml:space="preserve">, </w:t>
      </w:r>
      <w:r w:rsidR="0069730A">
        <w:rPr>
          <w:rFonts w:ascii="Times New Roman" w:hAnsi="Times New Roman"/>
          <w:szCs w:val="24"/>
        </w:rPr>
        <w:t xml:space="preserve">52 </w:t>
      </w:r>
      <w:proofErr w:type="spellStart"/>
      <w:r w:rsidR="0069730A">
        <w:rPr>
          <w:rFonts w:ascii="Times New Roman" w:hAnsi="Times New Roman"/>
          <w:szCs w:val="24"/>
        </w:rPr>
        <w:t>Pa.Code</w:t>
      </w:r>
      <w:proofErr w:type="spellEnd"/>
      <w:r w:rsidR="0069730A">
        <w:rPr>
          <w:rFonts w:ascii="Times New Roman" w:hAnsi="Times New Roman"/>
          <w:szCs w:val="24"/>
        </w:rPr>
        <w:t xml:space="preserve"> § 5.101(a)(2), and therefore</w:t>
      </w:r>
      <w:r w:rsidR="00B03B27">
        <w:rPr>
          <w:rFonts w:ascii="Times New Roman" w:hAnsi="Times New Roman"/>
          <w:szCs w:val="24"/>
        </w:rPr>
        <w:t xml:space="preserve">, </w:t>
      </w:r>
      <w:r w:rsidR="0069730A">
        <w:rPr>
          <w:rFonts w:ascii="Times New Roman" w:hAnsi="Times New Roman"/>
          <w:szCs w:val="24"/>
        </w:rPr>
        <w:t>the Complaint should be dismissed.</w:t>
      </w:r>
    </w:p>
    <w:p w:rsidR="00481C49" w:rsidRDefault="00481C49" w:rsidP="00481C49">
      <w:pPr>
        <w:widowControl/>
        <w:spacing w:line="360" w:lineRule="auto"/>
        <w:rPr>
          <w:rFonts w:ascii="Times New Roman" w:hAnsi="Times New Roman"/>
          <w:szCs w:val="24"/>
        </w:rPr>
      </w:pPr>
    </w:p>
    <w:p w:rsidR="000948D0" w:rsidRDefault="00481C49" w:rsidP="00481C49">
      <w:pPr>
        <w:widowControl/>
        <w:spacing w:line="360" w:lineRule="auto"/>
        <w:ind w:firstLine="1440"/>
        <w:rPr>
          <w:rFonts w:ascii="Times New Roman" w:hAnsi="Times New Roman"/>
          <w:szCs w:val="24"/>
        </w:rPr>
      </w:pPr>
      <w:r>
        <w:rPr>
          <w:rFonts w:ascii="Times New Roman" w:hAnsi="Times New Roman"/>
          <w:szCs w:val="24"/>
        </w:rPr>
        <w:t>The Preliminary Objections were endorsed with a Notice to Plead.  However, Complainant did not file a response within the ten</w:t>
      </w:r>
      <w:r w:rsidR="00A75B0C">
        <w:rPr>
          <w:rFonts w:ascii="Times New Roman" w:hAnsi="Times New Roman"/>
          <w:szCs w:val="24"/>
        </w:rPr>
        <w:t>-</w:t>
      </w:r>
      <w:r>
        <w:rPr>
          <w:rFonts w:ascii="Times New Roman" w:hAnsi="Times New Roman"/>
          <w:szCs w:val="24"/>
        </w:rPr>
        <w:t xml:space="preserve">day period provided under Section 5.101(b) of the Commission’s Rules.  </w:t>
      </w:r>
      <w:proofErr w:type="gramStart"/>
      <w:r w:rsidRPr="00065AF9">
        <w:rPr>
          <w:rFonts w:ascii="Times New Roman" w:hAnsi="Times New Roman"/>
          <w:szCs w:val="24"/>
        </w:rPr>
        <w:t xml:space="preserve">52 </w:t>
      </w:r>
      <w:proofErr w:type="spellStart"/>
      <w:r w:rsidRPr="00065AF9">
        <w:rPr>
          <w:rFonts w:ascii="Times New Roman" w:hAnsi="Times New Roman"/>
          <w:szCs w:val="24"/>
        </w:rPr>
        <w:t>Pa.Code</w:t>
      </w:r>
      <w:proofErr w:type="spellEnd"/>
      <w:r w:rsidRPr="00065AF9">
        <w:rPr>
          <w:rFonts w:ascii="Times New Roman" w:hAnsi="Times New Roman"/>
          <w:szCs w:val="24"/>
        </w:rPr>
        <w:t xml:space="preserve"> § 5.101(b).</w:t>
      </w:r>
      <w:proofErr w:type="gramEnd"/>
      <w:r w:rsidR="003628F1">
        <w:rPr>
          <w:rFonts w:ascii="Times New Roman" w:hAnsi="Times New Roman"/>
          <w:szCs w:val="24"/>
        </w:rPr>
        <w:t xml:space="preserve">  On August 25, 2</w:t>
      </w:r>
      <w:r w:rsidR="00F90719">
        <w:rPr>
          <w:rFonts w:ascii="Times New Roman" w:hAnsi="Times New Roman"/>
          <w:szCs w:val="24"/>
        </w:rPr>
        <w:t>011, the Preliminary O</w:t>
      </w:r>
      <w:r w:rsidR="003628F1">
        <w:rPr>
          <w:rFonts w:ascii="Times New Roman" w:hAnsi="Times New Roman"/>
          <w:szCs w:val="24"/>
        </w:rPr>
        <w:t xml:space="preserve">bjections were assigned to me for ruling. </w:t>
      </w:r>
    </w:p>
    <w:p w:rsidR="003628F1" w:rsidRDefault="003628F1" w:rsidP="00481C49">
      <w:pPr>
        <w:widowControl/>
        <w:spacing w:line="360" w:lineRule="auto"/>
        <w:ind w:firstLine="1440"/>
        <w:rPr>
          <w:rFonts w:ascii="Times New Roman" w:hAnsi="Times New Roman"/>
          <w:szCs w:val="24"/>
        </w:rPr>
      </w:pPr>
    </w:p>
    <w:p w:rsidR="00481C49" w:rsidRDefault="000948D0" w:rsidP="00481C49">
      <w:pPr>
        <w:widowControl/>
        <w:spacing w:line="360" w:lineRule="auto"/>
        <w:ind w:firstLine="1440"/>
        <w:rPr>
          <w:rFonts w:ascii="Times New Roman" w:hAnsi="Times New Roman"/>
          <w:szCs w:val="24"/>
        </w:rPr>
      </w:pPr>
      <w:r>
        <w:rPr>
          <w:rFonts w:ascii="Times New Roman" w:hAnsi="Times New Roman"/>
          <w:szCs w:val="24"/>
        </w:rPr>
        <w:t>On December 28, 2011, I issued an Order Granting in Part and Denying in Part Respondent’s Preliminary Objections.  The P.O. w</w:t>
      </w:r>
      <w:r w:rsidR="0078771F">
        <w:rPr>
          <w:rFonts w:ascii="Times New Roman" w:hAnsi="Times New Roman"/>
          <w:szCs w:val="24"/>
        </w:rPr>
        <w:t>as</w:t>
      </w:r>
      <w:r>
        <w:rPr>
          <w:rFonts w:ascii="Times New Roman" w:hAnsi="Times New Roman"/>
          <w:szCs w:val="24"/>
        </w:rPr>
        <w:t xml:space="preserve"> </w:t>
      </w:r>
      <w:r w:rsidR="000B0F20">
        <w:rPr>
          <w:rFonts w:ascii="Times New Roman" w:hAnsi="Times New Roman"/>
          <w:szCs w:val="24"/>
        </w:rPr>
        <w:t>grant</w:t>
      </w:r>
      <w:r>
        <w:rPr>
          <w:rFonts w:ascii="Times New Roman" w:hAnsi="Times New Roman"/>
          <w:szCs w:val="24"/>
        </w:rPr>
        <w:t xml:space="preserve">ed to the extent that Complainant’s request for removal of the municipal lien was </w:t>
      </w:r>
      <w:r w:rsidR="0078771F">
        <w:rPr>
          <w:rFonts w:ascii="Times New Roman" w:hAnsi="Times New Roman"/>
          <w:szCs w:val="24"/>
        </w:rPr>
        <w:t xml:space="preserve">a </w:t>
      </w:r>
      <w:r w:rsidR="00B96F34">
        <w:rPr>
          <w:rFonts w:ascii="Times New Roman" w:hAnsi="Times New Roman"/>
          <w:szCs w:val="24"/>
        </w:rPr>
        <w:t>matter</w:t>
      </w:r>
      <w:r>
        <w:rPr>
          <w:rFonts w:ascii="Times New Roman" w:hAnsi="Times New Roman"/>
          <w:szCs w:val="24"/>
        </w:rPr>
        <w:t xml:space="preserve"> exclusively within the jurisdiction of the Court of Common Pleas of Philadelphia County and not within the Commission’s jurisdiction.</w:t>
      </w:r>
      <w:r w:rsidRPr="000B0F20">
        <w:rPr>
          <w:rStyle w:val="FootnoteReference"/>
          <w:rFonts w:ascii="Times New Roman" w:hAnsi="Times New Roman"/>
          <w:sz w:val="20"/>
          <w:vertAlign w:val="superscript"/>
        </w:rPr>
        <w:footnoteReference w:id="1"/>
      </w:r>
    </w:p>
    <w:p w:rsidR="00481C49" w:rsidRDefault="000B0F20" w:rsidP="00481C49">
      <w:pPr>
        <w:widowControl/>
        <w:spacing w:line="360" w:lineRule="auto"/>
        <w:rPr>
          <w:rFonts w:ascii="Times New Roman" w:hAnsi="Times New Roman"/>
          <w:szCs w:val="24"/>
        </w:rPr>
      </w:pPr>
      <w:r>
        <w:rPr>
          <w:rFonts w:ascii="Times New Roman" w:hAnsi="Times New Roman"/>
          <w:szCs w:val="24"/>
        </w:rPr>
        <w:t xml:space="preserve">The P.O. </w:t>
      </w:r>
      <w:r w:rsidR="0078771F">
        <w:rPr>
          <w:rFonts w:ascii="Times New Roman" w:hAnsi="Times New Roman"/>
          <w:szCs w:val="24"/>
        </w:rPr>
        <w:t>was</w:t>
      </w:r>
      <w:r>
        <w:rPr>
          <w:rFonts w:ascii="Times New Roman" w:hAnsi="Times New Roman"/>
          <w:szCs w:val="24"/>
        </w:rPr>
        <w:t xml:space="preserve"> denied to the extent that Complainant </w:t>
      </w:r>
      <w:r w:rsidR="00B96F34">
        <w:rPr>
          <w:rFonts w:ascii="Times New Roman" w:hAnsi="Times New Roman"/>
          <w:szCs w:val="24"/>
        </w:rPr>
        <w:t>alleged</w:t>
      </w:r>
      <w:r>
        <w:rPr>
          <w:rFonts w:ascii="Times New Roman" w:hAnsi="Times New Roman"/>
          <w:szCs w:val="24"/>
        </w:rPr>
        <w:t xml:space="preserve"> quality of utility service </w:t>
      </w:r>
      <w:r w:rsidR="00B96F34">
        <w:rPr>
          <w:rFonts w:ascii="Times New Roman" w:hAnsi="Times New Roman"/>
          <w:szCs w:val="24"/>
        </w:rPr>
        <w:t>matter</w:t>
      </w:r>
      <w:r>
        <w:rPr>
          <w:rFonts w:ascii="Times New Roman" w:hAnsi="Times New Roman"/>
          <w:szCs w:val="24"/>
        </w:rPr>
        <w:t>s under Section 1501 of the Public Utility Code (Code), 66 Pa.C.S. § 1501.</w:t>
      </w:r>
      <w:r w:rsidR="003F3463" w:rsidRPr="003F3463">
        <w:rPr>
          <w:rStyle w:val="FootnoteReference"/>
          <w:rFonts w:ascii="Times New Roman" w:hAnsi="Times New Roman"/>
          <w:szCs w:val="24"/>
          <w:vertAlign w:val="superscript"/>
        </w:rPr>
        <w:footnoteReference w:id="2"/>
      </w:r>
      <w:r w:rsidR="003628F1" w:rsidRPr="003F3463">
        <w:rPr>
          <w:rFonts w:ascii="Times New Roman" w:hAnsi="Times New Roman"/>
          <w:szCs w:val="24"/>
          <w:vertAlign w:val="superscript"/>
        </w:rPr>
        <w:t xml:space="preserve"> </w:t>
      </w:r>
      <w:r w:rsidR="003628F1">
        <w:rPr>
          <w:rFonts w:ascii="Times New Roman" w:hAnsi="Times New Roman"/>
          <w:szCs w:val="24"/>
        </w:rPr>
        <w:t xml:space="preserve"> Accordingly the order directed that the complaint be scheduled for hearing on the issue of reasonableness of service.</w:t>
      </w:r>
    </w:p>
    <w:p w:rsidR="003628F1" w:rsidRDefault="003628F1" w:rsidP="00AD0DBE">
      <w:pPr>
        <w:widowControl/>
        <w:spacing w:line="360" w:lineRule="auto"/>
        <w:rPr>
          <w:rFonts w:ascii="Times New Roman" w:hAnsi="Times New Roman"/>
          <w:szCs w:val="24"/>
        </w:rPr>
      </w:pPr>
    </w:p>
    <w:p w:rsidR="00BC6DC5" w:rsidRDefault="003628F1" w:rsidP="00AD0DBE">
      <w:pPr>
        <w:spacing w:line="360" w:lineRule="auto"/>
        <w:rPr>
          <w:rFonts w:ascii="Times New Roman" w:hAnsi="Times New Roman"/>
        </w:rPr>
      </w:pPr>
      <w:r>
        <w:rPr>
          <w:rFonts w:ascii="Times New Roman" w:hAnsi="Times New Roman"/>
          <w:szCs w:val="24"/>
        </w:rPr>
        <w:tab/>
      </w:r>
      <w:r>
        <w:rPr>
          <w:rFonts w:ascii="Times New Roman" w:hAnsi="Times New Roman"/>
          <w:szCs w:val="24"/>
        </w:rPr>
        <w:tab/>
        <w:t xml:space="preserve">By Hearing Notice dated January 5, 2012, the parties were informed that a telephonic hearing was scheduled on the complaint for March 8, 2012. </w:t>
      </w:r>
      <w:r w:rsidR="00AD0DBE">
        <w:rPr>
          <w:rFonts w:ascii="Times New Roman" w:hAnsi="Times New Roman"/>
          <w:szCs w:val="24"/>
        </w:rPr>
        <w:t xml:space="preserve"> On January 6, 2012, I </w:t>
      </w:r>
      <w:r w:rsidR="00AD0DBE">
        <w:rPr>
          <w:rFonts w:ascii="Times New Roman" w:hAnsi="Times New Roman"/>
          <w:szCs w:val="24"/>
        </w:rPr>
        <w:lastRenderedPageBreak/>
        <w:t xml:space="preserve">issued a Prehearing Order advising the parties of the applicable procedural rules. </w:t>
      </w:r>
      <w:r w:rsidR="00503D12">
        <w:rPr>
          <w:rFonts w:ascii="Times New Roman" w:hAnsi="Times New Roman"/>
          <w:szCs w:val="24"/>
        </w:rPr>
        <w:t xml:space="preserve"> </w:t>
      </w:r>
      <w:r w:rsidR="00AD0DBE" w:rsidRPr="00AD0DBE">
        <w:rPr>
          <w:rFonts w:ascii="Times New Roman" w:hAnsi="Times New Roman"/>
        </w:rPr>
        <w:t xml:space="preserve">The hearing was held as scheduled.  </w:t>
      </w:r>
      <w:r w:rsidR="00AD0DBE">
        <w:rPr>
          <w:rFonts w:ascii="Times New Roman" w:hAnsi="Times New Roman"/>
        </w:rPr>
        <w:t xml:space="preserve">Dr. </w:t>
      </w:r>
      <w:proofErr w:type="gramStart"/>
      <w:r w:rsidR="00AD0DBE">
        <w:rPr>
          <w:rFonts w:ascii="Times New Roman" w:hAnsi="Times New Roman"/>
        </w:rPr>
        <w:t>Iro</w:t>
      </w:r>
      <w:proofErr w:type="gramEnd"/>
      <w:r w:rsidR="00AD0DBE">
        <w:rPr>
          <w:rFonts w:ascii="Times New Roman" w:hAnsi="Times New Roman"/>
        </w:rPr>
        <w:t xml:space="preserve"> </w:t>
      </w:r>
      <w:r w:rsidR="00AD0DBE" w:rsidRPr="00AD0DBE">
        <w:rPr>
          <w:rFonts w:ascii="Times New Roman" w:hAnsi="Times New Roman"/>
        </w:rPr>
        <w:t xml:space="preserve">was self-represented and testified on her own behalf.  She </w:t>
      </w:r>
      <w:r w:rsidR="00AD0DBE">
        <w:rPr>
          <w:rFonts w:ascii="Times New Roman" w:hAnsi="Times New Roman"/>
        </w:rPr>
        <w:t xml:space="preserve">offered Exhibits A through D, which were admitted into the record.  </w:t>
      </w:r>
      <w:r w:rsidR="00AD0DBE" w:rsidRPr="00AD0DBE">
        <w:rPr>
          <w:rFonts w:ascii="Times New Roman" w:hAnsi="Times New Roman"/>
        </w:rPr>
        <w:t xml:space="preserve">PGW was represented by </w:t>
      </w:r>
      <w:proofErr w:type="spellStart"/>
      <w:r w:rsidR="00AD0DBE" w:rsidRPr="00AD0DBE">
        <w:rPr>
          <w:rFonts w:ascii="Times New Roman" w:hAnsi="Times New Roman"/>
        </w:rPr>
        <w:t>Laureto</w:t>
      </w:r>
      <w:proofErr w:type="spellEnd"/>
      <w:r w:rsidR="00AD0DBE" w:rsidRPr="00AD0DBE">
        <w:rPr>
          <w:rFonts w:ascii="Times New Roman" w:hAnsi="Times New Roman"/>
        </w:rPr>
        <w:t xml:space="preserve"> Farinas, Esquire. </w:t>
      </w:r>
      <w:r w:rsidR="008D2E55">
        <w:rPr>
          <w:rFonts w:ascii="Times New Roman" w:hAnsi="Times New Roman"/>
        </w:rPr>
        <w:t xml:space="preserve"> </w:t>
      </w:r>
      <w:r w:rsidR="00AD0DBE" w:rsidRPr="00AD0DBE">
        <w:rPr>
          <w:rFonts w:ascii="Times New Roman" w:hAnsi="Times New Roman"/>
        </w:rPr>
        <w:t xml:space="preserve">Two witnesses testified on behalf of </w:t>
      </w:r>
      <w:r w:rsidR="00AD0DBE">
        <w:rPr>
          <w:rFonts w:ascii="Times New Roman" w:hAnsi="Times New Roman"/>
        </w:rPr>
        <w:t xml:space="preserve">PGW, Orlando Rosario, </w:t>
      </w:r>
      <w:proofErr w:type="gramStart"/>
      <w:r w:rsidR="00AD0DBE">
        <w:rPr>
          <w:rFonts w:ascii="Times New Roman" w:hAnsi="Times New Roman"/>
        </w:rPr>
        <w:t>Project</w:t>
      </w:r>
      <w:proofErr w:type="gramEnd"/>
      <w:r w:rsidR="00AD0DBE">
        <w:rPr>
          <w:rFonts w:ascii="Times New Roman" w:hAnsi="Times New Roman"/>
        </w:rPr>
        <w:t xml:space="preserve"> Manager for the LCP, and </w:t>
      </w:r>
      <w:r w:rsidR="008D2E55">
        <w:rPr>
          <w:rFonts w:ascii="Times New Roman" w:hAnsi="Times New Roman"/>
        </w:rPr>
        <w:t xml:space="preserve">Customer Review Officer </w:t>
      </w:r>
      <w:r w:rsidR="00AD0DBE">
        <w:rPr>
          <w:rFonts w:ascii="Times New Roman" w:hAnsi="Times New Roman"/>
        </w:rPr>
        <w:t>Susan Kelly.  PGW offered Exhibits 2, 3, 6</w:t>
      </w:r>
      <w:r w:rsidR="00C328FA">
        <w:rPr>
          <w:rFonts w:ascii="Times New Roman" w:hAnsi="Times New Roman"/>
        </w:rPr>
        <w:t>, 7</w:t>
      </w:r>
      <w:r w:rsidR="00AD0DBE">
        <w:rPr>
          <w:rFonts w:ascii="Times New Roman" w:hAnsi="Times New Roman"/>
        </w:rPr>
        <w:t xml:space="preserve"> and 8, which were admitted into the record. </w:t>
      </w:r>
      <w:r w:rsidR="00AD0DBE" w:rsidRPr="00AD0DBE">
        <w:rPr>
          <w:rFonts w:ascii="Times New Roman" w:hAnsi="Times New Roman"/>
        </w:rPr>
        <w:t xml:space="preserve"> </w:t>
      </w:r>
      <w:r w:rsidR="00AD0DBE" w:rsidRPr="008D2E55">
        <w:rPr>
          <w:rFonts w:ascii="Times New Roman" w:hAnsi="Times New Roman"/>
        </w:rPr>
        <w:t>T</w:t>
      </w:r>
      <w:r w:rsidR="00AD0DBE" w:rsidRPr="00BC6DC5">
        <w:rPr>
          <w:rFonts w:ascii="Times New Roman" w:hAnsi="Times New Roman"/>
        </w:rPr>
        <w:t xml:space="preserve">he hearing resulted in a transcript of 123 pages, </w:t>
      </w:r>
      <w:r w:rsidR="00BC6DC5" w:rsidRPr="00BC6DC5">
        <w:rPr>
          <w:rFonts w:ascii="Times New Roman" w:hAnsi="Times New Roman"/>
        </w:rPr>
        <w:t>which I received on April 6, 2012.</w:t>
      </w:r>
      <w:r w:rsidR="008D2E55">
        <w:rPr>
          <w:rFonts w:ascii="Times New Roman" w:hAnsi="Times New Roman"/>
        </w:rPr>
        <w:t xml:space="preserve"> </w:t>
      </w:r>
      <w:r w:rsidR="00BC6DC5" w:rsidRPr="00BC6DC5">
        <w:rPr>
          <w:rFonts w:ascii="Times New Roman" w:hAnsi="Times New Roman"/>
        </w:rPr>
        <w:t xml:space="preserve"> The record closed on April 6, 2012.  This case is procedurally ready for ruling.</w:t>
      </w:r>
    </w:p>
    <w:p w:rsidR="00BC6DC5" w:rsidRDefault="00BC6DC5" w:rsidP="00AD0DBE">
      <w:pPr>
        <w:spacing w:line="360" w:lineRule="auto"/>
        <w:rPr>
          <w:rFonts w:ascii="Times New Roman" w:hAnsi="Times New Roman"/>
        </w:rPr>
      </w:pPr>
    </w:p>
    <w:p w:rsidR="00AD0DBE" w:rsidRPr="00BC6DC5" w:rsidRDefault="00BC6DC5" w:rsidP="00BC6DC5">
      <w:pPr>
        <w:spacing w:line="360" w:lineRule="auto"/>
        <w:jc w:val="center"/>
        <w:rPr>
          <w:rFonts w:ascii="Times New Roman" w:hAnsi="Times New Roman"/>
        </w:rPr>
      </w:pPr>
      <w:r>
        <w:rPr>
          <w:rFonts w:ascii="Times New Roman" w:hAnsi="Times New Roman"/>
        </w:rPr>
        <w:t>FINDINGS OF FACT</w:t>
      </w:r>
    </w:p>
    <w:p w:rsidR="003628F1" w:rsidRPr="00BC6DC5" w:rsidRDefault="003628F1" w:rsidP="00481C49">
      <w:pPr>
        <w:widowControl/>
        <w:spacing w:line="360" w:lineRule="auto"/>
        <w:rPr>
          <w:rFonts w:ascii="Times New Roman" w:hAnsi="Times New Roman"/>
          <w:szCs w:val="24"/>
        </w:rPr>
      </w:pPr>
    </w:p>
    <w:p w:rsidR="0056409E" w:rsidRDefault="0056409E" w:rsidP="0056409E">
      <w:pPr>
        <w:widowControl/>
        <w:tabs>
          <w:tab w:val="left" w:pos="1440"/>
        </w:tabs>
        <w:spacing w:line="360" w:lineRule="auto"/>
        <w:rPr>
          <w:rFonts w:ascii="Times New Roman" w:hAnsi="Times New Roman"/>
          <w:snapToGrid/>
        </w:rPr>
      </w:pPr>
      <w:r w:rsidRPr="0056409E">
        <w:rPr>
          <w:rFonts w:ascii="Times New Roman" w:hAnsi="Times New Roman"/>
          <w:snapToGrid/>
        </w:rPr>
        <w:tab/>
        <w:t>1.</w:t>
      </w:r>
      <w:r w:rsidRPr="0056409E">
        <w:rPr>
          <w:rFonts w:ascii="Times New Roman" w:hAnsi="Times New Roman"/>
          <w:snapToGrid/>
        </w:rPr>
        <w:tab/>
        <w:t>Complainant</w:t>
      </w:r>
      <w:r>
        <w:rPr>
          <w:rFonts w:ascii="Times New Roman" w:hAnsi="Times New Roman"/>
          <w:snapToGrid/>
        </w:rPr>
        <w:t xml:space="preserve"> Obioma Iro-Nwokeukwu</w:t>
      </w:r>
      <w:r w:rsidR="00164770">
        <w:rPr>
          <w:rFonts w:ascii="Times New Roman" w:hAnsi="Times New Roman"/>
          <w:snapToGrid/>
        </w:rPr>
        <w:t xml:space="preserve">, </w:t>
      </w:r>
      <w:r w:rsidR="00B97C79">
        <w:rPr>
          <w:rFonts w:ascii="Times New Roman" w:hAnsi="Times New Roman"/>
          <w:snapToGrid/>
        </w:rPr>
        <w:t xml:space="preserve">a physician </w:t>
      </w:r>
      <w:r w:rsidR="00726A52">
        <w:rPr>
          <w:rFonts w:ascii="Times New Roman" w:hAnsi="Times New Roman"/>
          <w:snapToGrid/>
        </w:rPr>
        <w:t>(Dr. Iro)</w:t>
      </w:r>
      <w:r w:rsidR="00B97C79">
        <w:rPr>
          <w:rFonts w:ascii="Times New Roman" w:hAnsi="Times New Roman"/>
          <w:snapToGrid/>
        </w:rPr>
        <w:t>,</w:t>
      </w:r>
      <w:r>
        <w:rPr>
          <w:rFonts w:ascii="Times New Roman" w:hAnsi="Times New Roman"/>
          <w:snapToGrid/>
        </w:rPr>
        <w:t xml:space="preserve"> resides at 510</w:t>
      </w:r>
      <w:r w:rsidR="0078771F">
        <w:rPr>
          <w:rFonts w:ascii="Times New Roman" w:hAnsi="Times New Roman"/>
          <w:snapToGrid/>
        </w:rPr>
        <w:t xml:space="preserve"> </w:t>
      </w:r>
      <w:r>
        <w:rPr>
          <w:rFonts w:ascii="Times New Roman" w:hAnsi="Times New Roman"/>
          <w:snapToGrid/>
        </w:rPr>
        <w:t>Burnham Road, Philadelphia</w:t>
      </w:r>
      <w:r w:rsidRPr="0056409E">
        <w:rPr>
          <w:rFonts w:ascii="Times New Roman" w:hAnsi="Times New Roman"/>
          <w:snapToGrid/>
        </w:rPr>
        <w:t xml:space="preserve">, </w:t>
      </w:r>
      <w:r>
        <w:rPr>
          <w:rFonts w:ascii="Times New Roman" w:hAnsi="Times New Roman"/>
          <w:snapToGrid/>
        </w:rPr>
        <w:t>Pennsylvania 19119</w:t>
      </w:r>
      <w:r w:rsidR="0035278C">
        <w:rPr>
          <w:rFonts w:ascii="Times New Roman" w:hAnsi="Times New Roman"/>
          <w:snapToGrid/>
        </w:rPr>
        <w:t xml:space="preserve"> (home address)</w:t>
      </w:r>
      <w:r>
        <w:rPr>
          <w:rFonts w:ascii="Times New Roman" w:hAnsi="Times New Roman"/>
          <w:snapToGrid/>
        </w:rPr>
        <w:t xml:space="preserve">. </w:t>
      </w:r>
      <w:r w:rsidR="00B97C79">
        <w:rPr>
          <w:rFonts w:ascii="Times New Roman" w:hAnsi="Times New Roman"/>
          <w:snapToGrid/>
        </w:rPr>
        <w:t xml:space="preserve"> </w:t>
      </w:r>
      <w:proofErr w:type="gramStart"/>
      <w:r w:rsidR="00B97C79">
        <w:rPr>
          <w:rFonts w:ascii="Times New Roman" w:hAnsi="Times New Roman"/>
          <w:snapToGrid/>
        </w:rPr>
        <w:t>Tr. 9, 23.</w:t>
      </w:r>
      <w:proofErr w:type="gramEnd"/>
      <w:r w:rsidR="00B97C79">
        <w:rPr>
          <w:rFonts w:ascii="Times New Roman" w:hAnsi="Times New Roman"/>
          <w:snapToGrid/>
        </w:rPr>
        <w:t xml:space="preserve"> </w:t>
      </w:r>
    </w:p>
    <w:p w:rsidR="0056409E" w:rsidRDefault="0056409E" w:rsidP="0056409E">
      <w:pPr>
        <w:widowControl/>
        <w:tabs>
          <w:tab w:val="left" w:pos="1440"/>
        </w:tabs>
        <w:spacing w:line="360" w:lineRule="auto"/>
        <w:rPr>
          <w:rFonts w:ascii="Times New Roman" w:hAnsi="Times New Roman"/>
          <w:snapToGrid/>
        </w:rPr>
      </w:pPr>
    </w:p>
    <w:p w:rsidR="00726A52" w:rsidRPr="00726A52" w:rsidRDefault="0056409E" w:rsidP="00726A52">
      <w:pPr>
        <w:spacing w:line="360" w:lineRule="auto"/>
        <w:ind w:firstLine="1440"/>
        <w:contextualSpacing/>
        <w:rPr>
          <w:rFonts w:ascii="Times New Roman" w:hAnsi="Times New Roman"/>
          <w:szCs w:val="24"/>
        </w:rPr>
      </w:pPr>
      <w:r>
        <w:rPr>
          <w:rFonts w:ascii="Times New Roman" w:hAnsi="Times New Roman"/>
          <w:snapToGrid/>
        </w:rPr>
        <w:t>2.</w:t>
      </w:r>
      <w:r>
        <w:rPr>
          <w:rFonts w:ascii="Times New Roman" w:hAnsi="Times New Roman"/>
          <w:snapToGrid/>
        </w:rPr>
        <w:tab/>
        <w:t xml:space="preserve"> Respondent</w:t>
      </w:r>
      <w:r w:rsidR="00726A52">
        <w:rPr>
          <w:rFonts w:ascii="Times New Roman" w:hAnsi="Times New Roman"/>
          <w:snapToGrid/>
        </w:rPr>
        <w:t xml:space="preserve"> Philadelphia Gas Works (PGW) </w:t>
      </w:r>
      <w:r w:rsidR="00726A52" w:rsidRPr="00726A52">
        <w:rPr>
          <w:rFonts w:ascii="Times New Roman" w:hAnsi="Times New Roman"/>
          <w:szCs w:val="24"/>
        </w:rPr>
        <w:t>is a jurisdictional public utility providing gas service to Pennsylvania customers.  Answer ¶ 2.</w:t>
      </w:r>
    </w:p>
    <w:p w:rsidR="0056409E" w:rsidRDefault="0056409E" w:rsidP="0056409E">
      <w:pPr>
        <w:widowControl/>
        <w:tabs>
          <w:tab w:val="left" w:pos="1440"/>
        </w:tabs>
        <w:spacing w:line="360" w:lineRule="auto"/>
        <w:rPr>
          <w:rFonts w:ascii="Times New Roman" w:hAnsi="Times New Roman"/>
          <w:snapToGrid/>
        </w:rPr>
      </w:pPr>
    </w:p>
    <w:p w:rsidR="00021C4E" w:rsidRDefault="00B97C79" w:rsidP="0056409E">
      <w:pPr>
        <w:widowControl/>
        <w:tabs>
          <w:tab w:val="left" w:pos="1440"/>
        </w:tabs>
        <w:spacing w:line="360" w:lineRule="auto"/>
        <w:rPr>
          <w:rFonts w:ascii="Times New Roman" w:hAnsi="Times New Roman"/>
          <w:snapToGrid/>
        </w:rPr>
      </w:pPr>
      <w:r>
        <w:rPr>
          <w:rFonts w:ascii="Times New Roman" w:hAnsi="Times New Roman"/>
          <w:snapToGrid/>
        </w:rPr>
        <w:tab/>
        <w:t>3.</w:t>
      </w:r>
      <w:r>
        <w:rPr>
          <w:rFonts w:ascii="Times New Roman" w:hAnsi="Times New Roman"/>
          <w:snapToGrid/>
        </w:rPr>
        <w:tab/>
        <w:t xml:space="preserve">Dr. Iro is the owner and landlord of </w:t>
      </w:r>
      <w:r w:rsidR="004E2AF6">
        <w:rPr>
          <w:rFonts w:ascii="Times New Roman" w:hAnsi="Times New Roman"/>
          <w:snapToGrid/>
        </w:rPr>
        <w:t xml:space="preserve">residential </w:t>
      </w:r>
      <w:r>
        <w:rPr>
          <w:rFonts w:ascii="Times New Roman" w:hAnsi="Times New Roman"/>
          <w:snapToGrid/>
        </w:rPr>
        <w:t xml:space="preserve">property located at </w:t>
      </w:r>
    </w:p>
    <w:p w:rsidR="00B97C79" w:rsidRPr="0056409E" w:rsidRDefault="00B97C79" w:rsidP="0056409E">
      <w:pPr>
        <w:widowControl/>
        <w:tabs>
          <w:tab w:val="left" w:pos="1440"/>
        </w:tabs>
        <w:spacing w:line="360" w:lineRule="auto"/>
        <w:rPr>
          <w:rFonts w:ascii="Times New Roman" w:hAnsi="Times New Roman"/>
          <w:snapToGrid/>
        </w:rPr>
      </w:pPr>
      <w:r>
        <w:rPr>
          <w:rFonts w:ascii="Times New Roman" w:hAnsi="Times New Roman"/>
          <w:snapToGrid/>
        </w:rPr>
        <w:t>51 E. High Street, Philadelphia, Pennsylvania</w:t>
      </w:r>
      <w:r w:rsidR="005E36FD">
        <w:rPr>
          <w:rFonts w:ascii="Times New Roman" w:hAnsi="Times New Roman"/>
          <w:snapToGrid/>
        </w:rPr>
        <w:t xml:space="preserve"> (High Street)</w:t>
      </w:r>
      <w:r>
        <w:rPr>
          <w:rFonts w:ascii="Times New Roman" w:hAnsi="Times New Roman"/>
          <w:snapToGrid/>
        </w:rPr>
        <w:t xml:space="preserve">. </w:t>
      </w:r>
      <w:r w:rsidR="00021C4E">
        <w:rPr>
          <w:rFonts w:ascii="Times New Roman" w:hAnsi="Times New Roman"/>
          <w:snapToGrid/>
        </w:rPr>
        <w:t xml:space="preserve"> </w:t>
      </w:r>
      <w:r>
        <w:rPr>
          <w:rFonts w:ascii="Times New Roman" w:hAnsi="Times New Roman"/>
          <w:snapToGrid/>
        </w:rPr>
        <w:t>Tr.</w:t>
      </w:r>
      <w:r w:rsidR="005E36FD">
        <w:rPr>
          <w:rFonts w:ascii="Times New Roman" w:hAnsi="Times New Roman"/>
          <w:snapToGrid/>
        </w:rPr>
        <w:t xml:space="preserve"> 22; Exhibit B.</w:t>
      </w:r>
    </w:p>
    <w:p w:rsidR="000B0F20" w:rsidRPr="00BC6DC5" w:rsidRDefault="000B0F20" w:rsidP="00481C49">
      <w:pPr>
        <w:widowControl/>
        <w:spacing w:line="360" w:lineRule="auto"/>
        <w:rPr>
          <w:rFonts w:ascii="Times New Roman" w:hAnsi="Times New Roman"/>
          <w:szCs w:val="24"/>
        </w:rPr>
      </w:pPr>
    </w:p>
    <w:p w:rsidR="000B0F20" w:rsidRDefault="005E36FD" w:rsidP="00481C49">
      <w:pPr>
        <w:widowControl/>
        <w:spacing w:line="360" w:lineRule="auto"/>
        <w:rPr>
          <w:rFonts w:ascii="Times New Roman" w:hAnsi="Times New Roman"/>
          <w:snapToGrid/>
        </w:rPr>
      </w:pPr>
      <w:r>
        <w:rPr>
          <w:rFonts w:ascii="Times New Roman" w:hAnsi="Times New Roman"/>
          <w:szCs w:val="24"/>
        </w:rPr>
        <w:tab/>
      </w:r>
      <w:r>
        <w:rPr>
          <w:rFonts w:ascii="Times New Roman" w:hAnsi="Times New Roman"/>
          <w:szCs w:val="24"/>
        </w:rPr>
        <w:tab/>
        <w:t>4.</w:t>
      </w:r>
      <w:r>
        <w:rPr>
          <w:rFonts w:ascii="Times New Roman" w:hAnsi="Times New Roman"/>
          <w:szCs w:val="24"/>
        </w:rPr>
        <w:tab/>
      </w:r>
      <w:r>
        <w:rPr>
          <w:rFonts w:ascii="Times New Roman" w:hAnsi="Times New Roman"/>
          <w:snapToGrid/>
        </w:rPr>
        <w:t xml:space="preserve">Dr. Iro is the owner and landlord of </w:t>
      </w:r>
      <w:r w:rsidR="004E2AF6">
        <w:rPr>
          <w:rFonts w:ascii="Times New Roman" w:hAnsi="Times New Roman"/>
          <w:snapToGrid/>
        </w:rPr>
        <w:t xml:space="preserve">the residential </w:t>
      </w:r>
      <w:r>
        <w:rPr>
          <w:rFonts w:ascii="Times New Roman" w:hAnsi="Times New Roman"/>
          <w:snapToGrid/>
        </w:rPr>
        <w:t>property located at 5510 Greene Street, Philadelphia, Pennsylvania (Green</w:t>
      </w:r>
      <w:r w:rsidR="00863957">
        <w:rPr>
          <w:rFonts w:ascii="Times New Roman" w:hAnsi="Times New Roman"/>
          <w:snapToGrid/>
        </w:rPr>
        <w:t>e</w:t>
      </w:r>
      <w:r>
        <w:rPr>
          <w:rFonts w:ascii="Times New Roman" w:hAnsi="Times New Roman"/>
          <w:snapToGrid/>
        </w:rPr>
        <w:t xml:space="preserve"> Street). </w:t>
      </w:r>
      <w:r w:rsidR="00021C4E">
        <w:rPr>
          <w:rFonts w:ascii="Times New Roman" w:hAnsi="Times New Roman"/>
          <w:snapToGrid/>
        </w:rPr>
        <w:t xml:space="preserve"> </w:t>
      </w:r>
      <w:r>
        <w:rPr>
          <w:rFonts w:ascii="Times New Roman" w:hAnsi="Times New Roman"/>
          <w:snapToGrid/>
        </w:rPr>
        <w:t>Tr. 22; Exhibit</w:t>
      </w:r>
      <w:r w:rsidR="00C328FA">
        <w:rPr>
          <w:rFonts w:ascii="Times New Roman" w:hAnsi="Times New Roman"/>
          <w:snapToGrid/>
        </w:rPr>
        <w:t xml:space="preserve"> C.</w:t>
      </w:r>
    </w:p>
    <w:p w:rsidR="007422DE" w:rsidRDefault="007422DE" w:rsidP="00481C49">
      <w:pPr>
        <w:widowControl/>
        <w:spacing w:line="360" w:lineRule="auto"/>
        <w:rPr>
          <w:rFonts w:ascii="Times New Roman" w:hAnsi="Times New Roman"/>
          <w:snapToGrid/>
        </w:rPr>
      </w:pPr>
    </w:p>
    <w:p w:rsidR="00CA62F7" w:rsidRDefault="007422DE" w:rsidP="00481C49">
      <w:pPr>
        <w:widowControl/>
        <w:spacing w:line="360" w:lineRule="auto"/>
        <w:rPr>
          <w:rFonts w:ascii="Times New Roman" w:hAnsi="Times New Roman"/>
          <w:snapToGrid/>
        </w:rPr>
      </w:pPr>
      <w:r>
        <w:rPr>
          <w:rFonts w:ascii="Times New Roman" w:hAnsi="Times New Roman"/>
          <w:snapToGrid/>
        </w:rPr>
        <w:tab/>
      </w:r>
      <w:r>
        <w:rPr>
          <w:rFonts w:ascii="Times New Roman" w:hAnsi="Times New Roman"/>
          <w:snapToGrid/>
        </w:rPr>
        <w:tab/>
        <w:t>5.</w:t>
      </w:r>
      <w:r w:rsidR="00CA62F7">
        <w:rPr>
          <w:rFonts w:ascii="Times New Roman" w:hAnsi="Times New Roman"/>
          <w:snapToGrid/>
        </w:rPr>
        <w:tab/>
        <w:t>PGW provides gas service to Dr. Iro’s home address, High Street and Greene Street.  Answer ¶¶ 1-4.</w:t>
      </w:r>
    </w:p>
    <w:p w:rsidR="00CA62F7" w:rsidRDefault="00CA62F7" w:rsidP="00481C49">
      <w:pPr>
        <w:widowControl/>
        <w:spacing w:line="360" w:lineRule="auto"/>
        <w:rPr>
          <w:rFonts w:ascii="Times New Roman" w:hAnsi="Times New Roman"/>
          <w:snapToGrid/>
        </w:rPr>
      </w:pPr>
    </w:p>
    <w:p w:rsidR="008B2795" w:rsidRDefault="00CA62F7" w:rsidP="00481C49">
      <w:pPr>
        <w:widowControl/>
        <w:spacing w:line="360" w:lineRule="auto"/>
        <w:rPr>
          <w:rFonts w:ascii="Times New Roman" w:hAnsi="Times New Roman"/>
          <w:snapToGrid/>
        </w:rPr>
      </w:pPr>
      <w:r>
        <w:rPr>
          <w:rFonts w:ascii="Times New Roman" w:hAnsi="Times New Roman"/>
          <w:snapToGrid/>
        </w:rPr>
        <w:tab/>
      </w:r>
      <w:r>
        <w:rPr>
          <w:rFonts w:ascii="Times New Roman" w:hAnsi="Times New Roman"/>
          <w:snapToGrid/>
        </w:rPr>
        <w:tab/>
        <w:t>6.</w:t>
      </w:r>
      <w:r>
        <w:rPr>
          <w:rFonts w:ascii="Times New Roman" w:hAnsi="Times New Roman"/>
          <w:snapToGrid/>
        </w:rPr>
        <w:tab/>
      </w:r>
      <w:r w:rsidR="008B2795">
        <w:rPr>
          <w:rFonts w:ascii="Times New Roman" w:hAnsi="Times New Roman"/>
          <w:snapToGrid/>
        </w:rPr>
        <w:t xml:space="preserve">Dr. Iro as a landlord is required to purchase </w:t>
      </w:r>
      <w:r w:rsidR="007F2FBF">
        <w:rPr>
          <w:rFonts w:ascii="Times New Roman" w:hAnsi="Times New Roman"/>
          <w:snapToGrid/>
        </w:rPr>
        <w:t xml:space="preserve">a rental license </w:t>
      </w:r>
      <w:r w:rsidR="008B2795">
        <w:rPr>
          <w:rFonts w:ascii="Times New Roman" w:hAnsi="Times New Roman"/>
          <w:snapToGrid/>
        </w:rPr>
        <w:t>from the</w:t>
      </w:r>
      <w:r w:rsidR="008B2795" w:rsidRPr="008B2795">
        <w:rPr>
          <w:rFonts w:ascii="Times New Roman" w:hAnsi="Times New Roman"/>
          <w:snapToGrid/>
        </w:rPr>
        <w:t xml:space="preserve"> </w:t>
      </w:r>
      <w:r w:rsidR="008B2795">
        <w:rPr>
          <w:rFonts w:ascii="Times New Roman" w:hAnsi="Times New Roman"/>
          <w:snapToGrid/>
        </w:rPr>
        <w:t xml:space="preserve">City of Philadelphia’s Department of Licenses &amp; Inspections </w:t>
      </w:r>
      <w:r w:rsidR="00476921">
        <w:rPr>
          <w:rFonts w:ascii="Times New Roman" w:hAnsi="Times New Roman"/>
          <w:snapToGrid/>
        </w:rPr>
        <w:t>(License Department)</w:t>
      </w:r>
      <w:r w:rsidR="008B2795">
        <w:rPr>
          <w:rFonts w:ascii="Times New Roman" w:hAnsi="Times New Roman"/>
          <w:snapToGrid/>
        </w:rPr>
        <w:t xml:space="preserve"> for each of her rental properties. </w:t>
      </w:r>
      <w:r w:rsidR="00021C4E">
        <w:rPr>
          <w:rFonts w:ascii="Times New Roman" w:hAnsi="Times New Roman"/>
          <w:snapToGrid/>
        </w:rPr>
        <w:t xml:space="preserve"> </w:t>
      </w:r>
      <w:r w:rsidR="008B2795">
        <w:rPr>
          <w:rFonts w:ascii="Times New Roman" w:hAnsi="Times New Roman"/>
          <w:snapToGrid/>
        </w:rPr>
        <w:t>Tr. 63-64.  The license fee for each rental property is $50.00</w:t>
      </w:r>
      <w:r w:rsidR="001B4BC8">
        <w:rPr>
          <w:rFonts w:ascii="Times New Roman" w:hAnsi="Times New Roman"/>
          <w:snapToGrid/>
        </w:rPr>
        <w:t xml:space="preserve"> per rental unit</w:t>
      </w:r>
      <w:r w:rsidR="008B2795">
        <w:rPr>
          <w:rFonts w:ascii="Times New Roman" w:hAnsi="Times New Roman"/>
          <w:snapToGrid/>
        </w:rPr>
        <w:t xml:space="preserve">.  </w:t>
      </w:r>
      <w:r w:rsidR="008B2795" w:rsidRPr="00F90719">
        <w:rPr>
          <w:rFonts w:ascii="Times New Roman" w:hAnsi="Times New Roman"/>
          <w:i/>
          <w:snapToGrid/>
        </w:rPr>
        <w:t>Id</w:t>
      </w:r>
      <w:r w:rsidR="008B2795">
        <w:rPr>
          <w:rFonts w:ascii="Times New Roman" w:hAnsi="Times New Roman"/>
          <w:snapToGrid/>
        </w:rPr>
        <w:t>.</w:t>
      </w:r>
      <w:r w:rsidR="00D36C72">
        <w:rPr>
          <w:rFonts w:ascii="Times New Roman" w:hAnsi="Times New Roman"/>
          <w:snapToGrid/>
        </w:rPr>
        <w:t xml:space="preserve">  Each rental property is assigned a separate license number.  Exhibit B, pp. 2-3.</w:t>
      </w:r>
    </w:p>
    <w:p w:rsidR="008B2795" w:rsidRDefault="008B2795" w:rsidP="00481C49">
      <w:pPr>
        <w:widowControl/>
        <w:spacing w:line="360" w:lineRule="auto"/>
        <w:rPr>
          <w:rFonts w:ascii="Times New Roman" w:hAnsi="Times New Roman"/>
          <w:snapToGrid/>
        </w:rPr>
      </w:pPr>
    </w:p>
    <w:p w:rsidR="007F2FBF" w:rsidRDefault="008B2795" w:rsidP="00481C49">
      <w:pPr>
        <w:widowControl/>
        <w:spacing w:line="360" w:lineRule="auto"/>
        <w:rPr>
          <w:rFonts w:ascii="Times New Roman" w:hAnsi="Times New Roman"/>
          <w:snapToGrid/>
        </w:rPr>
      </w:pPr>
      <w:r>
        <w:rPr>
          <w:rFonts w:ascii="Times New Roman" w:hAnsi="Times New Roman"/>
          <w:snapToGrid/>
        </w:rPr>
        <w:lastRenderedPageBreak/>
        <w:tab/>
      </w:r>
      <w:r>
        <w:rPr>
          <w:rFonts w:ascii="Times New Roman" w:hAnsi="Times New Roman"/>
          <w:snapToGrid/>
        </w:rPr>
        <w:tab/>
      </w:r>
      <w:r w:rsidR="00CA62F7">
        <w:rPr>
          <w:rFonts w:ascii="Times New Roman" w:hAnsi="Times New Roman"/>
          <w:snapToGrid/>
        </w:rPr>
        <w:t>7</w:t>
      </w:r>
      <w:r>
        <w:rPr>
          <w:rFonts w:ascii="Times New Roman" w:hAnsi="Times New Roman"/>
          <w:snapToGrid/>
        </w:rPr>
        <w:t>.</w:t>
      </w:r>
      <w:r>
        <w:rPr>
          <w:rFonts w:ascii="Times New Roman" w:hAnsi="Times New Roman"/>
          <w:snapToGrid/>
        </w:rPr>
        <w:tab/>
      </w:r>
      <w:r w:rsidR="007F2FBF">
        <w:rPr>
          <w:rFonts w:ascii="Times New Roman" w:hAnsi="Times New Roman"/>
          <w:snapToGrid/>
        </w:rPr>
        <w:t xml:space="preserve">PGW has a Landlord Cooperation Program (LCP) under which landlords can register their actively licensed residential property </w:t>
      </w:r>
      <w:r w:rsidR="00C13280">
        <w:rPr>
          <w:rFonts w:ascii="Times New Roman" w:hAnsi="Times New Roman"/>
          <w:snapToGrid/>
        </w:rPr>
        <w:t xml:space="preserve">and </w:t>
      </w:r>
      <w:r w:rsidR="007F2FBF">
        <w:rPr>
          <w:rFonts w:ascii="Times New Roman" w:hAnsi="Times New Roman"/>
          <w:snapToGrid/>
        </w:rPr>
        <w:t xml:space="preserve">thereby receive protection from the City of Philadelphia placing </w:t>
      </w:r>
      <w:r w:rsidR="009067FF">
        <w:rPr>
          <w:rFonts w:ascii="Times New Roman" w:hAnsi="Times New Roman"/>
          <w:snapToGrid/>
        </w:rPr>
        <w:t xml:space="preserve">a municipal </w:t>
      </w:r>
      <w:r w:rsidR="007F2FBF">
        <w:rPr>
          <w:rFonts w:ascii="Times New Roman" w:hAnsi="Times New Roman"/>
          <w:snapToGrid/>
        </w:rPr>
        <w:t>lien on the property fo</w:t>
      </w:r>
      <w:r w:rsidR="009067FF">
        <w:rPr>
          <w:rFonts w:ascii="Times New Roman" w:hAnsi="Times New Roman"/>
          <w:snapToGrid/>
        </w:rPr>
        <w:t>r</w:t>
      </w:r>
      <w:r w:rsidR="007F2FBF">
        <w:rPr>
          <w:rFonts w:ascii="Times New Roman" w:hAnsi="Times New Roman"/>
          <w:snapToGrid/>
        </w:rPr>
        <w:t xml:space="preserve"> a tenant’s unpaid gas service</w:t>
      </w:r>
      <w:r w:rsidR="00C13280">
        <w:rPr>
          <w:rFonts w:ascii="Times New Roman" w:hAnsi="Times New Roman"/>
          <w:snapToGrid/>
        </w:rPr>
        <w:t>s.</w:t>
      </w:r>
      <w:r w:rsidR="007F2FBF">
        <w:rPr>
          <w:rFonts w:ascii="Times New Roman" w:hAnsi="Times New Roman"/>
          <w:snapToGrid/>
        </w:rPr>
        <w:t xml:space="preserve">  </w:t>
      </w:r>
      <w:proofErr w:type="gramStart"/>
      <w:r w:rsidR="007F2FBF">
        <w:rPr>
          <w:rFonts w:ascii="Times New Roman" w:hAnsi="Times New Roman"/>
          <w:snapToGrid/>
        </w:rPr>
        <w:t xml:space="preserve">Tr. </w:t>
      </w:r>
      <w:r w:rsidR="009067FF">
        <w:rPr>
          <w:rFonts w:ascii="Times New Roman" w:hAnsi="Times New Roman"/>
          <w:snapToGrid/>
        </w:rPr>
        <w:t xml:space="preserve">69, </w:t>
      </w:r>
      <w:r w:rsidR="007F2FBF">
        <w:rPr>
          <w:rFonts w:ascii="Times New Roman" w:hAnsi="Times New Roman"/>
          <w:snapToGrid/>
        </w:rPr>
        <w:t>101.</w:t>
      </w:r>
      <w:proofErr w:type="gramEnd"/>
    </w:p>
    <w:p w:rsidR="007F2FBF" w:rsidRDefault="007F2FBF" w:rsidP="00481C49">
      <w:pPr>
        <w:widowControl/>
        <w:spacing w:line="360" w:lineRule="auto"/>
        <w:rPr>
          <w:rFonts w:ascii="Times New Roman" w:hAnsi="Times New Roman"/>
          <w:snapToGrid/>
        </w:rPr>
      </w:pPr>
    </w:p>
    <w:p w:rsidR="007F2FBF" w:rsidRPr="009067FF" w:rsidRDefault="007F2FBF" w:rsidP="00481C49">
      <w:pPr>
        <w:widowControl/>
        <w:spacing w:line="360" w:lineRule="auto"/>
        <w:rPr>
          <w:rFonts w:ascii="Times New Roman" w:hAnsi="Times New Roman"/>
          <w:strike/>
          <w:snapToGrid/>
        </w:rPr>
      </w:pPr>
      <w:r w:rsidRPr="009067FF">
        <w:rPr>
          <w:rFonts w:ascii="Times New Roman" w:hAnsi="Times New Roman"/>
          <w:snapToGrid/>
        </w:rPr>
        <w:tab/>
      </w:r>
      <w:r w:rsidRPr="009067FF">
        <w:rPr>
          <w:rFonts w:ascii="Times New Roman" w:hAnsi="Times New Roman"/>
          <w:snapToGrid/>
        </w:rPr>
        <w:tab/>
      </w:r>
      <w:r w:rsidR="00B3372A">
        <w:rPr>
          <w:rFonts w:ascii="Times New Roman" w:hAnsi="Times New Roman"/>
          <w:snapToGrid/>
        </w:rPr>
        <w:t>8</w:t>
      </w:r>
      <w:r w:rsidRPr="009067FF">
        <w:rPr>
          <w:rFonts w:ascii="Times New Roman" w:hAnsi="Times New Roman"/>
          <w:snapToGrid/>
        </w:rPr>
        <w:t>.</w:t>
      </w:r>
      <w:r w:rsidRPr="009067FF">
        <w:rPr>
          <w:rFonts w:ascii="Times New Roman" w:hAnsi="Times New Roman"/>
          <w:snapToGrid/>
        </w:rPr>
        <w:tab/>
        <w:t xml:space="preserve"> In return f</w:t>
      </w:r>
      <w:r w:rsidR="00B3372A">
        <w:rPr>
          <w:rFonts w:ascii="Times New Roman" w:hAnsi="Times New Roman"/>
          <w:snapToGrid/>
        </w:rPr>
        <w:t>or</w:t>
      </w:r>
      <w:r w:rsidRPr="009067FF">
        <w:rPr>
          <w:rFonts w:ascii="Times New Roman" w:hAnsi="Times New Roman"/>
          <w:snapToGrid/>
        </w:rPr>
        <w:t xml:space="preserve"> receiving </w:t>
      </w:r>
      <w:r w:rsidR="00C13280">
        <w:rPr>
          <w:rFonts w:ascii="Times New Roman" w:hAnsi="Times New Roman"/>
          <w:snapToGrid/>
        </w:rPr>
        <w:t xml:space="preserve">municipal </w:t>
      </w:r>
      <w:r w:rsidRPr="009067FF">
        <w:rPr>
          <w:rFonts w:ascii="Times New Roman" w:hAnsi="Times New Roman"/>
          <w:snapToGrid/>
        </w:rPr>
        <w:t>lien</w:t>
      </w:r>
      <w:r w:rsidR="009067FF" w:rsidRPr="009067FF">
        <w:rPr>
          <w:rFonts w:ascii="Times New Roman" w:hAnsi="Times New Roman"/>
          <w:snapToGrid/>
        </w:rPr>
        <w:t>s</w:t>
      </w:r>
      <w:r w:rsidR="00F90719">
        <w:rPr>
          <w:rFonts w:ascii="Times New Roman" w:hAnsi="Times New Roman"/>
          <w:snapToGrid/>
        </w:rPr>
        <w:t>’</w:t>
      </w:r>
      <w:r w:rsidR="009067FF" w:rsidRPr="009067FF">
        <w:rPr>
          <w:rFonts w:ascii="Times New Roman" w:hAnsi="Times New Roman"/>
          <w:snapToGrid/>
        </w:rPr>
        <w:t xml:space="preserve"> </w:t>
      </w:r>
      <w:r w:rsidR="00B3372A">
        <w:rPr>
          <w:rFonts w:ascii="Times New Roman" w:hAnsi="Times New Roman"/>
          <w:snapToGrid/>
        </w:rPr>
        <w:t xml:space="preserve">protection, </w:t>
      </w:r>
      <w:r w:rsidR="009067FF" w:rsidRPr="009067FF">
        <w:rPr>
          <w:rFonts w:ascii="Times New Roman" w:hAnsi="Times New Roman"/>
          <w:snapToGrid/>
        </w:rPr>
        <w:t xml:space="preserve">landlords who have registered their property </w:t>
      </w:r>
      <w:r w:rsidR="00863957">
        <w:rPr>
          <w:rFonts w:ascii="Times New Roman" w:hAnsi="Times New Roman"/>
          <w:snapToGrid/>
        </w:rPr>
        <w:t>with</w:t>
      </w:r>
      <w:r w:rsidR="009067FF" w:rsidRPr="009067FF">
        <w:rPr>
          <w:rFonts w:ascii="Times New Roman" w:hAnsi="Times New Roman"/>
          <w:snapToGrid/>
        </w:rPr>
        <w:t xml:space="preserve"> </w:t>
      </w:r>
      <w:r w:rsidR="0041798E">
        <w:rPr>
          <w:rFonts w:ascii="Times New Roman" w:hAnsi="Times New Roman"/>
          <w:snapToGrid/>
        </w:rPr>
        <w:t>PGW’s</w:t>
      </w:r>
      <w:r w:rsidR="009067FF" w:rsidRPr="009067FF">
        <w:rPr>
          <w:rFonts w:ascii="Times New Roman" w:hAnsi="Times New Roman"/>
          <w:snapToGrid/>
        </w:rPr>
        <w:t xml:space="preserve"> LCP agree to provide PGW access </w:t>
      </w:r>
      <w:r w:rsidR="007615F9">
        <w:rPr>
          <w:rFonts w:ascii="Times New Roman" w:hAnsi="Times New Roman"/>
          <w:snapToGrid/>
        </w:rPr>
        <w:t xml:space="preserve">to </w:t>
      </w:r>
      <w:r w:rsidR="009067FF" w:rsidRPr="009067FF">
        <w:rPr>
          <w:rFonts w:ascii="Times New Roman" w:hAnsi="Times New Roman"/>
          <w:snapToGrid/>
        </w:rPr>
        <w:t>the property in order to maint</w:t>
      </w:r>
      <w:r w:rsidR="00F567DD">
        <w:rPr>
          <w:rFonts w:ascii="Times New Roman" w:hAnsi="Times New Roman"/>
          <w:snapToGrid/>
        </w:rPr>
        <w:t>ain</w:t>
      </w:r>
      <w:r w:rsidR="009067FF" w:rsidRPr="009067FF">
        <w:rPr>
          <w:rFonts w:ascii="Times New Roman" w:hAnsi="Times New Roman"/>
          <w:snapToGrid/>
        </w:rPr>
        <w:t xml:space="preserve"> the meter, perform emergency work or terminate service</w:t>
      </w:r>
      <w:r w:rsidR="00C13280">
        <w:rPr>
          <w:rFonts w:ascii="Times New Roman" w:hAnsi="Times New Roman"/>
          <w:snapToGrid/>
        </w:rPr>
        <w:t xml:space="preserve"> for a tenant’s unpaid balance</w:t>
      </w:r>
      <w:r w:rsidR="009067FF" w:rsidRPr="009067FF">
        <w:rPr>
          <w:rFonts w:ascii="Times New Roman" w:hAnsi="Times New Roman"/>
          <w:snapToGrid/>
        </w:rPr>
        <w:t>.</w:t>
      </w:r>
      <w:r w:rsidR="00863957">
        <w:rPr>
          <w:rFonts w:ascii="Times New Roman" w:hAnsi="Times New Roman"/>
          <w:snapToGrid/>
        </w:rPr>
        <w:t xml:space="preserve"> </w:t>
      </w:r>
      <w:r w:rsidR="009067FF" w:rsidRPr="009067FF">
        <w:rPr>
          <w:rFonts w:ascii="Times New Roman" w:hAnsi="Times New Roman"/>
          <w:snapToGrid/>
        </w:rPr>
        <w:t xml:space="preserve"> Tr. 101-102. </w:t>
      </w:r>
    </w:p>
    <w:p w:rsidR="004E2AF6" w:rsidRDefault="004E2AF6" w:rsidP="00481C49">
      <w:pPr>
        <w:widowControl/>
        <w:spacing w:line="360" w:lineRule="auto"/>
        <w:rPr>
          <w:rFonts w:ascii="Times New Roman" w:hAnsi="Times New Roman"/>
          <w:snapToGrid/>
        </w:rPr>
      </w:pPr>
    </w:p>
    <w:p w:rsidR="000A5830" w:rsidRDefault="004E2AF6" w:rsidP="00600C40">
      <w:pPr>
        <w:widowControl/>
        <w:spacing w:line="360" w:lineRule="auto"/>
        <w:rPr>
          <w:rFonts w:ascii="Times New Roman" w:hAnsi="Times New Roman"/>
          <w:snapToGrid/>
        </w:rPr>
      </w:pPr>
      <w:r>
        <w:rPr>
          <w:rFonts w:ascii="Times New Roman" w:hAnsi="Times New Roman"/>
          <w:snapToGrid/>
        </w:rPr>
        <w:tab/>
      </w:r>
      <w:r>
        <w:rPr>
          <w:rFonts w:ascii="Times New Roman" w:hAnsi="Times New Roman"/>
          <w:snapToGrid/>
        </w:rPr>
        <w:tab/>
      </w:r>
      <w:r w:rsidR="00B3372A">
        <w:rPr>
          <w:rFonts w:ascii="Times New Roman" w:hAnsi="Times New Roman"/>
          <w:snapToGrid/>
        </w:rPr>
        <w:t>9</w:t>
      </w:r>
      <w:r>
        <w:rPr>
          <w:rFonts w:ascii="Times New Roman" w:hAnsi="Times New Roman"/>
          <w:snapToGrid/>
        </w:rPr>
        <w:t>.</w:t>
      </w:r>
      <w:r w:rsidR="00600C40">
        <w:rPr>
          <w:rFonts w:ascii="Times New Roman" w:hAnsi="Times New Roman"/>
          <w:snapToGrid/>
        </w:rPr>
        <w:tab/>
      </w:r>
      <w:r w:rsidR="000A5830">
        <w:rPr>
          <w:rFonts w:ascii="Times New Roman" w:hAnsi="Times New Roman"/>
          <w:snapToGrid/>
        </w:rPr>
        <w:t>PGW’s LCP is a web</w:t>
      </w:r>
      <w:r w:rsidR="00F716D4">
        <w:rPr>
          <w:rFonts w:ascii="Times New Roman" w:hAnsi="Times New Roman"/>
          <w:snapToGrid/>
        </w:rPr>
        <w:t xml:space="preserve"> based program </w:t>
      </w:r>
      <w:r w:rsidR="00863957">
        <w:rPr>
          <w:rFonts w:ascii="Times New Roman" w:hAnsi="Times New Roman"/>
          <w:snapToGrid/>
        </w:rPr>
        <w:t>through</w:t>
      </w:r>
      <w:r w:rsidR="00F716D4">
        <w:rPr>
          <w:rFonts w:ascii="Times New Roman" w:hAnsi="Times New Roman"/>
          <w:snapToGrid/>
        </w:rPr>
        <w:t xml:space="preserve"> which landlords are able to log on to PGW’s website and create a LCP account with a username and password</w:t>
      </w:r>
      <w:r w:rsidR="007615F9">
        <w:rPr>
          <w:rFonts w:ascii="Times New Roman" w:hAnsi="Times New Roman"/>
          <w:snapToGrid/>
        </w:rPr>
        <w:t xml:space="preserve"> and register their rental property</w:t>
      </w:r>
      <w:r w:rsidR="00F716D4">
        <w:rPr>
          <w:rFonts w:ascii="Times New Roman" w:hAnsi="Times New Roman"/>
          <w:snapToGrid/>
        </w:rPr>
        <w:t>.  Tr. 74</w:t>
      </w:r>
      <w:r w:rsidR="007615F9">
        <w:rPr>
          <w:rFonts w:ascii="Times New Roman" w:hAnsi="Times New Roman"/>
          <w:snapToGrid/>
        </w:rPr>
        <w:t xml:space="preserve">; Exhibits D and </w:t>
      </w:r>
      <w:r w:rsidR="0041798E">
        <w:rPr>
          <w:rFonts w:ascii="Times New Roman" w:hAnsi="Times New Roman"/>
          <w:snapToGrid/>
        </w:rPr>
        <w:t>7, p.</w:t>
      </w:r>
      <w:r w:rsidR="00F90719">
        <w:rPr>
          <w:rFonts w:ascii="Times New Roman" w:hAnsi="Times New Roman"/>
          <w:snapToGrid/>
        </w:rPr>
        <w:t xml:space="preserve"> </w:t>
      </w:r>
      <w:r w:rsidR="0041798E">
        <w:rPr>
          <w:rFonts w:ascii="Times New Roman" w:hAnsi="Times New Roman"/>
          <w:snapToGrid/>
        </w:rPr>
        <w:t>1</w:t>
      </w:r>
      <w:r w:rsidR="00F716D4">
        <w:rPr>
          <w:rFonts w:ascii="Times New Roman" w:hAnsi="Times New Roman"/>
          <w:snapToGrid/>
        </w:rPr>
        <w:t>.</w:t>
      </w:r>
    </w:p>
    <w:p w:rsidR="0041798E" w:rsidRDefault="0041798E" w:rsidP="00600C40">
      <w:pPr>
        <w:widowControl/>
        <w:spacing w:line="360" w:lineRule="auto"/>
        <w:rPr>
          <w:rFonts w:ascii="Times New Roman" w:hAnsi="Times New Roman"/>
          <w:snapToGrid/>
        </w:rPr>
      </w:pPr>
    </w:p>
    <w:p w:rsidR="0041798E" w:rsidRDefault="0041798E" w:rsidP="00600C40">
      <w:pPr>
        <w:widowControl/>
        <w:spacing w:line="360" w:lineRule="auto"/>
        <w:rPr>
          <w:rFonts w:ascii="Times New Roman" w:hAnsi="Times New Roman"/>
          <w:snapToGrid/>
        </w:rPr>
      </w:pPr>
      <w:r>
        <w:rPr>
          <w:rFonts w:ascii="Times New Roman" w:hAnsi="Times New Roman"/>
          <w:snapToGrid/>
        </w:rPr>
        <w:tab/>
      </w:r>
      <w:r>
        <w:rPr>
          <w:rFonts w:ascii="Times New Roman" w:hAnsi="Times New Roman"/>
          <w:snapToGrid/>
        </w:rPr>
        <w:tab/>
      </w:r>
      <w:r w:rsidR="00B3372A">
        <w:rPr>
          <w:rFonts w:ascii="Times New Roman" w:hAnsi="Times New Roman"/>
          <w:snapToGrid/>
        </w:rPr>
        <w:t>10</w:t>
      </w:r>
      <w:r>
        <w:rPr>
          <w:rFonts w:ascii="Times New Roman" w:hAnsi="Times New Roman"/>
          <w:snapToGrid/>
        </w:rPr>
        <w:t>.</w:t>
      </w:r>
      <w:r>
        <w:rPr>
          <w:rFonts w:ascii="Times New Roman" w:hAnsi="Times New Roman"/>
          <w:snapToGrid/>
        </w:rPr>
        <w:tab/>
        <w:t xml:space="preserve">Under the terms and conditions of PGW’s LCP, </w:t>
      </w:r>
      <w:r w:rsidR="00B3372A">
        <w:rPr>
          <w:rFonts w:ascii="Times New Roman" w:hAnsi="Times New Roman"/>
          <w:snapToGrid/>
        </w:rPr>
        <w:t xml:space="preserve">a </w:t>
      </w:r>
      <w:r>
        <w:rPr>
          <w:rFonts w:ascii="Times New Roman" w:hAnsi="Times New Roman"/>
          <w:snapToGrid/>
        </w:rPr>
        <w:t>landlord when enrolling in the LCP must provide an active email address</w:t>
      </w:r>
      <w:r w:rsidR="00E46340">
        <w:rPr>
          <w:rFonts w:ascii="Times New Roman" w:hAnsi="Times New Roman"/>
          <w:snapToGrid/>
        </w:rPr>
        <w:t xml:space="preserve">; email is </w:t>
      </w:r>
      <w:r>
        <w:rPr>
          <w:rFonts w:ascii="Times New Roman" w:hAnsi="Times New Roman"/>
          <w:snapToGrid/>
        </w:rPr>
        <w:t>PGW</w:t>
      </w:r>
      <w:r w:rsidR="00E46340">
        <w:rPr>
          <w:rFonts w:ascii="Times New Roman" w:hAnsi="Times New Roman"/>
          <w:snapToGrid/>
        </w:rPr>
        <w:t xml:space="preserve">’s primary means of communicating with </w:t>
      </w:r>
      <w:r>
        <w:rPr>
          <w:rFonts w:ascii="Times New Roman" w:hAnsi="Times New Roman"/>
          <w:snapToGrid/>
        </w:rPr>
        <w:t>landlord</w:t>
      </w:r>
      <w:r w:rsidR="00F90719">
        <w:rPr>
          <w:rFonts w:ascii="Times New Roman" w:hAnsi="Times New Roman"/>
          <w:snapToGrid/>
        </w:rPr>
        <w:t>s</w:t>
      </w:r>
      <w:r>
        <w:rPr>
          <w:rFonts w:ascii="Times New Roman" w:hAnsi="Times New Roman"/>
          <w:snapToGrid/>
        </w:rPr>
        <w:t xml:space="preserve"> concerning th</w:t>
      </w:r>
      <w:r w:rsidR="00E46340">
        <w:rPr>
          <w:rFonts w:ascii="Times New Roman" w:hAnsi="Times New Roman"/>
          <w:snapToGrid/>
        </w:rPr>
        <w:t>eir participation in the</w:t>
      </w:r>
      <w:r>
        <w:rPr>
          <w:rFonts w:ascii="Times New Roman" w:hAnsi="Times New Roman"/>
          <w:snapToGrid/>
        </w:rPr>
        <w:t xml:space="preserve"> LCP.  Tr. 82-83.</w:t>
      </w:r>
    </w:p>
    <w:p w:rsidR="00F716D4" w:rsidRDefault="00F716D4" w:rsidP="00600C40">
      <w:pPr>
        <w:widowControl/>
        <w:spacing w:line="360" w:lineRule="auto"/>
        <w:rPr>
          <w:rFonts w:ascii="Times New Roman" w:hAnsi="Times New Roman"/>
          <w:snapToGrid/>
        </w:rPr>
      </w:pPr>
    </w:p>
    <w:p w:rsidR="00C560F0" w:rsidRDefault="00C13280" w:rsidP="00600C40">
      <w:pPr>
        <w:widowControl/>
        <w:spacing w:line="360" w:lineRule="auto"/>
        <w:rPr>
          <w:rFonts w:ascii="Times New Roman" w:hAnsi="Times New Roman"/>
          <w:snapToGrid/>
        </w:rPr>
      </w:pPr>
      <w:r>
        <w:rPr>
          <w:rFonts w:ascii="Times New Roman" w:hAnsi="Times New Roman"/>
          <w:snapToGrid/>
        </w:rPr>
        <w:tab/>
      </w:r>
      <w:r>
        <w:rPr>
          <w:rFonts w:ascii="Times New Roman" w:hAnsi="Times New Roman"/>
          <w:snapToGrid/>
        </w:rPr>
        <w:tab/>
      </w:r>
      <w:r w:rsidR="00B3372A">
        <w:rPr>
          <w:rFonts w:ascii="Times New Roman" w:hAnsi="Times New Roman"/>
          <w:snapToGrid/>
        </w:rPr>
        <w:t>11</w:t>
      </w:r>
      <w:r w:rsidR="00085A47">
        <w:rPr>
          <w:rFonts w:ascii="Times New Roman" w:hAnsi="Times New Roman"/>
          <w:snapToGrid/>
        </w:rPr>
        <w:t>.</w:t>
      </w:r>
      <w:r w:rsidR="00085A47">
        <w:rPr>
          <w:rFonts w:ascii="Times New Roman" w:hAnsi="Times New Roman"/>
          <w:snapToGrid/>
        </w:rPr>
        <w:tab/>
        <w:t xml:space="preserve">PGW’s LCP </w:t>
      </w:r>
      <w:r w:rsidR="00AF2DF0">
        <w:rPr>
          <w:rFonts w:ascii="Times New Roman" w:hAnsi="Times New Roman"/>
          <w:snapToGrid/>
        </w:rPr>
        <w:t xml:space="preserve">is </w:t>
      </w:r>
      <w:r w:rsidR="00085A47">
        <w:rPr>
          <w:rFonts w:ascii="Times New Roman" w:hAnsi="Times New Roman"/>
          <w:snapToGrid/>
        </w:rPr>
        <w:t xml:space="preserve">web based </w:t>
      </w:r>
      <w:r w:rsidR="00AF2DF0">
        <w:rPr>
          <w:rFonts w:ascii="Times New Roman" w:hAnsi="Times New Roman"/>
          <w:snapToGrid/>
        </w:rPr>
        <w:t>a</w:t>
      </w:r>
      <w:r w:rsidR="00085A47">
        <w:rPr>
          <w:rFonts w:ascii="Times New Roman" w:hAnsi="Times New Roman"/>
          <w:snapToGrid/>
        </w:rPr>
        <w:t xml:space="preserve">s part of </w:t>
      </w:r>
      <w:r w:rsidR="00AF2DF0">
        <w:rPr>
          <w:rFonts w:ascii="Times New Roman" w:hAnsi="Times New Roman"/>
          <w:snapToGrid/>
        </w:rPr>
        <w:t>PGW</w:t>
      </w:r>
      <w:r w:rsidR="00085A47">
        <w:rPr>
          <w:rFonts w:ascii="Times New Roman" w:hAnsi="Times New Roman"/>
          <w:snapToGrid/>
        </w:rPr>
        <w:t xml:space="preserve">’s initiative </w:t>
      </w:r>
      <w:r w:rsidR="00DA0963">
        <w:rPr>
          <w:rFonts w:ascii="Times New Roman" w:hAnsi="Times New Roman"/>
          <w:snapToGrid/>
        </w:rPr>
        <w:t>of going</w:t>
      </w:r>
      <w:r w:rsidR="00085A47">
        <w:rPr>
          <w:rFonts w:ascii="Times New Roman" w:hAnsi="Times New Roman"/>
          <w:snapToGrid/>
        </w:rPr>
        <w:t xml:space="preserve"> green</w:t>
      </w:r>
      <w:r w:rsidR="00DA0963" w:rsidRPr="00DA0963">
        <w:rPr>
          <w:rStyle w:val="FootnoteReference"/>
          <w:rFonts w:ascii="Times New Roman" w:hAnsi="Times New Roman"/>
          <w:snapToGrid/>
          <w:sz w:val="20"/>
          <w:vertAlign w:val="superscript"/>
        </w:rPr>
        <w:footnoteReference w:id="3"/>
      </w:r>
      <w:r w:rsidR="00085A47" w:rsidRPr="00DA0963">
        <w:rPr>
          <w:rFonts w:ascii="Times New Roman" w:hAnsi="Times New Roman"/>
          <w:snapToGrid/>
          <w:sz w:val="20"/>
          <w:vertAlign w:val="superscript"/>
        </w:rPr>
        <w:t xml:space="preserve"> </w:t>
      </w:r>
      <w:r w:rsidR="00085A47">
        <w:rPr>
          <w:rFonts w:ascii="Times New Roman" w:hAnsi="Times New Roman"/>
          <w:snapToGrid/>
        </w:rPr>
        <w:t>(Tr.</w:t>
      </w:r>
      <w:r w:rsidR="00FE7AC3">
        <w:rPr>
          <w:rFonts w:ascii="Times New Roman" w:hAnsi="Times New Roman"/>
          <w:snapToGrid/>
        </w:rPr>
        <w:t> </w:t>
      </w:r>
      <w:r w:rsidR="00085A47">
        <w:rPr>
          <w:rFonts w:ascii="Times New Roman" w:hAnsi="Times New Roman"/>
          <w:snapToGrid/>
        </w:rPr>
        <w:t>77) and keep</w:t>
      </w:r>
      <w:r w:rsidR="00B3372A">
        <w:rPr>
          <w:rFonts w:ascii="Times New Roman" w:hAnsi="Times New Roman"/>
          <w:snapToGrid/>
        </w:rPr>
        <w:t>ing</w:t>
      </w:r>
      <w:r w:rsidR="00085A47">
        <w:rPr>
          <w:rFonts w:ascii="Times New Roman" w:hAnsi="Times New Roman"/>
          <w:snapToGrid/>
        </w:rPr>
        <w:t xml:space="preserve"> co</w:t>
      </w:r>
      <w:r>
        <w:rPr>
          <w:rFonts w:ascii="Times New Roman" w:hAnsi="Times New Roman"/>
          <w:snapToGrid/>
        </w:rPr>
        <w:t>s</w:t>
      </w:r>
      <w:r w:rsidR="00085A47">
        <w:rPr>
          <w:rFonts w:ascii="Times New Roman" w:hAnsi="Times New Roman"/>
          <w:snapToGrid/>
        </w:rPr>
        <w:t>t</w:t>
      </w:r>
      <w:r w:rsidR="00C560F0">
        <w:rPr>
          <w:rFonts w:ascii="Times New Roman" w:hAnsi="Times New Roman"/>
          <w:snapToGrid/>
        </w:rPr>
        <w:t>s</w:t>
      </w:r>
      <w:r w:rsidR="00085A47">
        <w:rPr>
          <w:rFonts w:ascii="Times New Roman" w:hAnsi="Times New Roman"/>
          <w:snapToGrid/>
        </w:rPr>
        <w:t xml:space="preserve"> down</w:t>
      </w:r>
      <w:r w:rsidR="00863957">
        <w:rPr>
          <w:rFonts w:ascii="Times New Roman" w:hAnsi="Times New Roman"/>
          <w:snapToGrid/>
        </w:rPr>
        <w:t>.</w:t>
      </w:r>
      <w:r w:rsidR="00085A47">
        <w:rPr>
          <w:rFonts w:ascii="Times New Roman" w:hAnsi="Times New Roman"/>
          <w:snapToGrid/>
        </w:rPr>
        <w:t xml:space="preserve"> </w:t>
      </w:r>
      <w:r w:rsidR="00863957">
        <w:rPr>
          <w:rFonts w:ascii="Times New Roman" w:hAnsi="Times New Roman"/>
          <w:snapToGrid/>
        </w:rPr>
        <w:t xml:space="preserve"> </w:t>
      </w:r>
      <w:proofErr w:type="gramStart"/>
      <w:r w:rsidR="00085A47">
        <w:rPr>
          <w:rFonts w:ascii="Times New Roman" w:hAnsi="Times New Roman"/>
          <w:snapToGrid/>
        </w:rPr>
        <w:t>Tr. 79.</w:t>
      </w:r>
      <w:proofErr w:type="gramEnd"/>
      <w:r w:rsidR="00085A47">
        <w:rPr>
          <w:rFonts w:ascii="Times New Roman" w:hAnsi="Times New Roman"/>
          <w:snapToGrid/>
        </w:rPr>
        <w:t xml:space="preserve">  </w:t>
      </w:r>
    </w:p>
    <w:p w:rsidR="00C560F0" w:rsidRDefault="00C560F0" w:rsidP="00600C40">
      <w:pPr>
        <w:widowControl/>
        <w:spacing w:line="360" w:lineRule="auto"/>
        <w:rPr>
          <w:rFonts w:ascii="Times New Roman" w:hAnsi="Times New Roman"/>
          <w:snapToGrid/>
        </w:rPr>
      </w:pPr>
    </w:p>
    <w:p w:rsidR="005A6043" w:rsidRDefault="00C560F0" w:rsidP="00600C40">
      <w:pPr>
        <w:widowControl/>
        <w:spacing w:line="360" w:lineRule="auto"/>
        <w:rPr>
          <w:rFonts w:ascii="Times New Roman" w:hAnsi="Times New Roman"/>
          <w:snapToGrid/>
        </w:rPr>
      </w:pPr>
      <w:r>
        <w:rPr>
          <w:rFonts w:ascii="Times New Roman" w:hAnsi="Times New Roman"/>
          <w:snapToGrid/>
        </w:rPr>
        <w:tab/>
      </w:r>
      <w:r>
        <w:rPr>
          <w:rFonts w:ascii="Times New Roman" w:hAnsi="Times New Roman"/>
          <w:snapToGrid/>
        </w:rPr>
        <w:tab/>
      </w:r>
      <w:r w:rsidR="00B3372A">
        <w:rPr>
          <w:rFonts w:ascii="Times New Roman" w:hAnsi="Times New Roman"/>
          <w:snapToGrid/>
        </w:rPr>
        <w:t>12</w:t>
      </w:r>
      <w:r>
        <w:rPr>
          <w:rFonts w:ascii="Times New Roman" w:hAnsi="Times New Roman"/>
          <w:snapToGrid/>
        </w:rPr>
        <w:t>.</w:t>
      </w:r>
      <w:r>
        <w:rPr>
          <w:rFonts w:ascii="Times New Roman" w:hAnsi="Times New Roman"/>
          <w:snapToGrid/>
        </w:rPr>
        <w:tab/>
      </w:r>
      <w:r w:rsidR="00085A47">
        <w:rPr>
          <w:rFonts w:ascii="Times New Roman" w:hAnsi="Times New Roman"/>
          <w:snapToGrid/>
        </w:rPr>
        <w:t xml:space="preserve">Over </w:t>
      </w:r>
      <w:r w:rsidR="005C0EAD">
        <w:rPr>
          <w:rFonts w:ascii="Times New Roman" w:hAnsi="Times New Roman"/>
          <w:snapToGrid/>
        </w:rPr>
        <w:t>14,000</w:t>
      </w:r>
      <w:r w:rsidR="00085A47">
        <w:rPr>
          <w:rFonts w:ascii="Times New Roman" w:hAnsi="Times New Roman"/>
          <w:snapToGrid/>
        </w:rPr>
        <w:t xml:space="preserve"> landlords participate in </w:t>
      </w:r>
      <w:r w:rsidR="00AF2DF0">
        <w:rPr>
          <w:rFonts w:ascii="Times New Roman" w:hAnsi="Times New Roman"/>
          <w:snapToGrid/>
        </w:rPr>
        <w:t>PGW’s LCP</w:t>
      </w:r>
      <w:r w:rsidR="00085A47">
        <w:rPr>
          <w:rFonts w:ascii="Times New Roman" w:hAnsi="Times New Roman"/>
          <w:snapToGrid/>
        </w:rPr>
        <w:t xml:space="preserve">. </w:t>
      </w:r>
      <w:r w:rsidR="00863957">
        <w:rPr>
          <w:rFonts w:ascii="Times New Roman" w:hAnsi="Times New Roman"/>
          <w:snapToGrid/>
        </w:rPr>
        <w:t xml:space="preserve"> </w:t>
      </w:r>
      <w:proofErr w:type="gramStart"/>
      <w:r w:rsidR="00085A47">
        <w:rPr>
          <w:rFonts w:ascii="Times New Roman" w:hAnsi="Times New Roman"/>
          <w:snapToGrid/>
        </w:rPr>
        <w:t>Tr.</w:t>
      </w:r>
      <w:r w:rsidR="00AF2DF0">
        <w:rPr>
          <w:rFonts w:ascii="Times New Roman" w:hAnsi="Times New Roman"/>
          <w:snapToGrid/>
        </w:rPr>
        <w:t xml:space="preserve"> </w:t>
      </w:r>
      <w:r w:rsidR="00085A47">
        <w:rPr>
          <w:rFonts w:ascii="Times New Roman" w:hAnsi="Times New Roman"/>
          <w:snapToGrid/>
        </w:rPr>
        <w:t>78</w:t>
      </w:r>
      <w:r w:rsidR="00AF2DF0">
        <w:rPr>
          <w:rFonts w:ascii="Times New Roman" w:hAnsi="Times New Roman"/>
          <w:snapToGrid/>
        </w:rPr>
        <w:t>.</w:t>
      </w:r>
      <w:proofErr w:type="gramEnd"/>
    </w:p>
    <w:p w:rsidR="005A6043" w:rsidRDefault="005A6043" w:rsidP="00600C40">
      <w:pPr>
        <w:widowControl/>
        <w:spacing w:line="360" w:lineRule="auto"/>
        <w:rPr>
          <w:rFonts w:ascii="Times New Roman" w:hAnsi="Times New Roman"/>
          <w:snapToGrid/>
        </w:rPr>
      </w:pPr>
    </w:p>
    <w:p w:rsidR="00085A47" w:rsidRDefault="005A6043" w:rsidP="00600C40">
      <w:pPr>
        <w:widowControl/>
        <w:spacing w:line="360" w:lineRule="auto"/>
        <w:rPr>
          <w:rFonts w:ascii="Times New Roman" w:hAnsi="Times New Roman"/>
          <w:snapToGrid/>
        </w:rPr>
      </w:pPr>
      <w:r>
        <w:rPr>
          <w:rFonts w:ascii="Times New Roman" w:hAnsi="Times New Roman"/>
          <w:snapToGrid/>
        </w:rPr>
        <w:tab/>
      </w:r>
      <w:r>
        <w:rPr>
          <w:rFonts w:ascii="Times New Roman" w:hAnsi="Times New Roman"/>
          <w:snapToGrid/>
        </w:rPr>
        <w:tab/>
        <w:t>1</w:t>
      </w:r>
      <w:r w:rsidR="00B3372A">
        <w:rPr>
          <w:rFonts w:ascii="Times New Roman" w:hAnsi="Times New Roman"/>
          <w:snapToGrid/>
        </w:rPr>
        <w:t>3</w:t>
      </w:r>
      <w:r>
        <w:rPr>
          <w:rFonts w:ascii="Times New Roman" w:hAnsi="Times New Roman"/>
          <w:snapToGrid/>
        </w:rPr>
        <w:t>.</w:t>
      </w:r>
      <w:r>
        <w:rPr>
          <w:rFonts w:ascii="Times New Roman" w:hAnsi="Times New Roman"/>
          <w:snapToGrid/>
        </w:rPr>
        <w:tab/>
        <w:t xml:space="preserve">PGW has two people managing its LCP web based system, Project Manager Orlando Rosario and another staff member. </w:t>
      </w:r>
      <w:r w:rsidR="001B4BC8">
        <w:rPr>
          <w:rFonts w:ascii="Times New Roman" w:hAnsi="Times New Roman"/>
          <w:snapToGrid/>
        </w:rPr>
        <w:t xml:space="preserve"> </w:t>
      </w:r>
      <w:proofErr w:type="gramStart"/>
      <w:r>
        <w:rPr>
          <w:rFonts w:ascii="Times New Roman" w:hAnsi="Times New Roman"/>
          <w:snapToGrid/>
        </w:rPr>
        <w:t>Tr.</w:t>
      </w:r>
      <w:r w:rsidR="001B4BC8">
        <w:rPr>
          <w:rFonts w:ascii="Times New Roman" w:hAnsi="Times New Roman"/>
          <w:snapToGrid/>
        </w:rPr>
        <w:t xml:space="preserve"> </w:t>
      </w:r>
      <w:r>
        <w:rPr>
          <w:rFonts w:ascii="Times New Roman" w:hAnsi="Times New Roman"/>
          <w:snapToGrid/>
        </w:rPr>
        <w:t>10, 78.</w:t>
      </w:r>
      <w:proofErr w:type="gramEnd"/>
      <w:r w:rsidR="00F716D4">
        <w:rPr>
          <w:rFonts w:ascii="Times New Roman" w:hAnsi="Times New Roman"/>
          <w:snapToGrid/>
        </w:rPr>
        <w:tab/>
      </w:r>
      <w:r w:rsidR="00F716D4">
        <w:rPr>
          <w:rFonts w:ascii="Times New Roman" w:hAnsi="Times New Roman"/>
          <w:snapToGrid/>
        </w:rPr>
        <w:tab/>
      </w:r>
    </w:p>
    <w:p w:rsidR="00085A47" w:rsidRDefault="00085A47" w:rsidP="00600C40">
      <w:pPr>
        <w:widowControl/>
        <w:spacing w:line="360" w:lineRule="auto"/>
        <w:rPr>
          <w:rFonts w:ascii="Times New Roman" w:hAnsi="Times New Roman"/>
          <w:snapToGrid/>
        </w:rPr>
      </w:pPr>
    </w:p>
    <w:p w:rsidR="00600C40" w:rsidRDefault="00AF2DF0" w:rsidP="00600C40">
      <w:pPr>
        <w:widowControl/>
        <w:spacing w:line="360" w:lineRule="auto"/>
        <w:rPr>
          <w:rFonts w:ascii="Times New Roman" w:hAnsi="Times New Roman"/>
          <w:snapToGrid/>
        </w:rPr>
      </w:pPr>
      <w:r>
        <w:rPr>
          <w:rFonts w:ascii="Times New Roman" w:hAnsi="Times New Roman"/>
          <w:snapToGrid/>
        </w:rPr>
        <w:tab/>
      </w:r>
      <w:r>
        <w:rPr>
          <w:rFonts w:ascii="Times New Roman" w:hAnsi="Times New Roman"/>
          <w:snapToGrid/>
        </w:rPr>
        <w:tab/>
      </w:r>
      <w:r w:rsidR="00F716D4">
        <w:rPr>
          <w:rFonts w:ascii="Times New Roman" w:hAnsi="Times New Roman"/>
          <w:snapToGrid/>
        </w:rPr>
        <w:t>1</w:t>
      </w:r>
      <w:r w:rsidR="00B3372A">
        <w:rPr>
          <w:rFonts w:ascii="Times New Roman" w:hAnsi="Times New Roman"/>
          <w:snapToGrid/>
        </w:rPr>
        <w:t>4</w:t>
      </w:r>
      <w:r w:rsidR="00F716D4">
        <w:rPr>
          <w:rFonts w:ascii="Times New Roman" w:hAnsi="Times New Roman"/>
          <w:snapToGrid/>
        </w:rPr>
        <w:t>.</w:t>
      </w:r>
      <w:r w:rsidR="00F716D4">
        <w:rPr>
          <w:rFonts w:ascii="Times New Roman" w:hAnsi="Times New Roman"/>
          <w:snapToGrid/>
        </w:rPr>
        <w:tab/>
      </w:r>
      <w:r w:rsidR="005A6043">
        <w:rPr>
          <w:rFonts w:ascii="Times New Roman" w:hAnsi="Times New Roman"/>
          <w:snapToGrid/>
        </w:rPr>
        <w:t>I</w:t>
      </w:r>
      <w:r w:rsidR="00C13280">
        <w:rPr>
          <w:rFonts w:ascii="Times New Roman" w:hAnsi="Times New Roman"/>
          <w:snapToGrid/>
        </w:rPr>
        <w:t>n</w:t>
      </w:r>
      <w:r w:rsidR="005A6043">
        <w:rPr>
          <w:rFonts w:ascii="Times New Roman" w:hAnsi="Times New Roman"/>
          <w:snapToGrid/>
        </w:rPr>
        <w:t xml:space="preserve"> order to receive protection from municipal liens, P</w:t>
      </w:r>
      <w:r w:rsidR="007422DE">
        <w:rPr>
          <w:rFonts w:ascii="Times New Roman" w:hAnsi="Times New Roman"/>
          <w:snapToGrid/>
        </w:rPr>
        <w:t xml:space="preserve">GW’s LCP requires </w:t>
      </w:r>
      <w:r w:rsidR="00476921">
        <w:rPr>
          <w:rFonts w:ascii="Times New Roman" w:hAnsi="Times New Roman"/>
          <w:snapToGrid/>
        </w:rPr>
        <w:t>landlord</w:t>
      </w:r>
      <w:r w:rsidR="005A6043">
        <w:rPr>
          <w:rFonts w:ascii="Times New Roman" w:hAnsi="Times New Roman"/>
          <w:snapToGrid/>
        </w:rPr>
        <w:t>s</w:t>
      </w:r>
      <w:r w:rsidR="00476921">
        <w:rPr>
          <w:rFonts w:ascii="Times New Roman" w:hAnsi="Times New Roman"/>
          <w:snapToGrid/>
        </w:rPr>
        <w:t xml:space="preserve"> to register e</w:t>
      </w:r>
      <w:r>
        <w:rPr>
          <w:rFonts w:ascii="Times New Roman" w:hAnsi="Times New Roman"/>
          <w:snapToGrid/>
        </w:rPr>
        <w:t xml:space="preserve">ach of </w:t>
      </w:r>
      <w:r w:rsidR="005A6043">
        <w:rPr>
          <w:rFonts w:ascii="Times New Roman" w:hAnsi="Times New Roman"/>
          <w:snapToGrid/>
        </w:rPr>
        <w:t>their</w:t>
      </w:r>
      <w:r>
        <w:rPr>
          <w:rFonts w:ascii="Times New Roman" w:hAnsi="Times New Roman"/>
          <w:snapToGrid/>
        </w:rPr>
        <w:t xml:space="preserve"> properties under its </w:t>
      </w:r>
      <w:r w:rsidR="004A7ADE">
        <w:rPr>
          <w:rFonts w:ascii="Times New Roman" w:hAnsi="Times New Roman"/>
          <w:snapToGrid/>
        </w:rPr>
        <w:t>rental l</w:t>
      </w:r>
      <w:r>
        <w:rPr>
          <w:rFonts w:ascii="Times New Roman" w:hAnsi="Times New Roman"/>
          <w:snapToGrid/>
        </w:rPr>
        <w:t xml:space="preserve">icense number as </w:t>
      </w:r>
      <w:r w:rsidR="00476921">
        <w:rPr>
          <w:rFonts w:ascii="Times New Roman" w:hAnsi="Times New Roman"/>
          <w:snapToGrid/>
        </w:rPr>
        <w:t xml:space="preserve">assigned </w:t>
      </w:r>
      <w:r>
        <w:rPr>
          <w:rFonts w:ascii="Times New Roman" w:hAnsi="Times New Roman"/>
          <w:snapToGrid/>
        </w:rPr>
        <w:t>by the License Department</w:t>
      </w:r>
      <w:r w:rsidR="00476921">
        <w:rPr>
          <w:rFonts w:ascii="Times New Roman" w:hAnsi="Times New Roman"/>
          <w:snapToGrid/>
        </w:rPr>
        <w:t xml:space="preserve">. </w:t>
      </w:r>
      <w:r w:rsidR="005A6043">
        <w:rPr>
          <w:rFonts w:ascii="Times New Roman" w:hAnsi="Times New Roman"/>
          <w:snapToGrid/>
        </w:rPr>
        <w:t xml:space="preserve"> </w:t>
      </w:r>
      <w:r w:rsidR="00476921">
        <w:rPr>
          <w:rFonts w:ascii="Times New Roman" w:hAnsi="Times New Roman"/>
          <w:snapToGrid/>
        </w:rPr>
        <w:t xml:space="preserve">Tr. 65-66.  </w:t>
      </w:r>
    </w:p>
    <w:p w:rsidR="00600C40" w:rsidRDefault="007422DE" w:rsidP="00481C49">
      <w:pPr>
        <w:widowControl/>
        <w:spacing w:line="360" w:lineRule="auto"/>
        <w:rPr>
          <w:rFonts w:ascii="Times New Roman" w:hAnsi="Times New Roman"/>
          <w:snapToGrid/>
        </w:rPr>
      </w:pPr>
      <w:r>
        <w:rPr>
          <w:rFonts w:ascii="Times New Roman" w:hAnsi="Times New Roman"/>
          <w:snapToGrid/>
        </w:rPr>
        <w:lastRenderedPageBreak/>
        <w:tab/>
      </w:r>
      <w:r>
        <w:rPr>
          <w:rFonts w:ascii="Times New Roman" w:hAnsi="Times New Roman"/>
          <w:snapToGrid/>
        </w:rPr>
        <w:tab/>
      </w:r>
      <w:r w:rsidR="00F716D4">
        <w:rPr>
          <w:rFonts w:ascii="Times New Roman" w:hAnsi="Times New Roman"/>
          <w:snapToGrid/>
        </w:rPr>
        <w:t>1</w:t>
      </w:r>
      <w:r w:rsidR="00B3372A">
        <w:rPr>
          <w:rFonts w:ascii="Times New Roman" w:hAnsi="Times New Roman"/>
          <w:snapToGrid/>
        </w:rPr>
        <w:t>5</w:t>
      </w:r>
      <w:r>
        <w:rPr>
          <w:rFonts w:ascii="Times New Roman" w:hAnsi="Times New Roman"/>
          <w:snapToGrid/>
        </w:rPr>
        <w:t>.</w:t>
      </w:r>
      <w:r>
        <w:rPr>
          <w:rFonts w:ascii="Times New Roman" w:hAnsi="Times New Roman"/>
          <w:snapToGrid/>
        </w:rPr>
        <w:tab/>
      </w:r>
      <w:r w:rsidR="001E34EA">
        <w:rPr>
          <w:rFonts w:ascii="Times New Roman" w:hAnsi="Times New Roman"/>
          <w:snapToGrid/>
        </w:rPr>
        <w:t xml:space="preserve">By email dated </w:t>
      </w:r>
      <w:r w:rsidR="00472A7B">
        <w:rPr>
          <w:rFonts w:ascii="Times New Roman" w:hAnsi="Times New Roman"/>
          <w:snapToGrid/>
        </w:rPr>
        <w:t xml:space="preserve">August 25, 2006, </w:t>
      </w:r>
      <w:r w:rsidR="001E34EA">
        <w:rPr>
          <w:rFonts w:ascii="Times New Roman" w:hAnsi="Times New Roman"/>
          <w:snapToGrid/>
        </w:rPr>
        <w:t xml:space="preserve">PGW confirmed </w:t>
      </w:r>
      <w:r>
        <w:rPr>
          <w:rFonts w:ascii="Times New Roman" w:hAnsi="Times New Roman"/>
          <w:snapToGrid/>
        </w:rPr>
        <w:t>Dr. Iro</w:t>
      </w:r>
      <w:r w:rsidR="001E34EA">
        <w:rPr>
          <w:rFonts w:ascii="Times New Roman" w:hAnsi="Times New Roman"/>
          <w:snapToGrid/>
        </w:rPr>
        <w:t xml:space="preserve">’s </w:t>
      </w:r>
      <w:r>
        <w:rPr>
          <w:rFonts w:ascii="Times New Roman" w:hAnsi="Times New Roman"/>
          <w:snapToGrid/>
        </w:rPr>
        <w:t>regist</w:t>
      </w:r>
      <w:r w:rsidR="001E34EA">
        <w:rPr>
          <w:rFonts w:ascii="Times New Roman" w:hAnsi="Times New Roman"/>
          <w:snapToGrid/>
        </w:rPr>
        <w:t>ration of</w:t>
      </w:r>
      <w:r>
        <w:rPr>
          <w:rFonts w:ascii="Times New Roman" w:hAnsi="Times New Roman"/>
          <w:snapToGrid/>
        </w:rPr>
        <w:t xml:space="preserve"> </w:t>
      </w:r>
    </w:p>
    <w:p w:rsidR="007422DE" w:rsidRDefault="007422DE" w:rsidP="00481C49">
      <w:pPr>
        <w:widowControl/>
        <w:spacing w:line="360" w:lineRule="auto"/>
        <w:rPr>
          <w:rFonts w:ascii="Times New Roman" w:hAnsi="Times New Roman"/>
          <w:snapToGrid/>
        </w:rPr>
      </w:pPr>
      <w:r>
        <w:rPr>
          <w:rFonts w:ascii="Times New Roman" w:hAnsi="Times New Roman"/>
          <w:snapToGrid/>
        </w:rPr>
        <w:t xml:space="preserve">her Greene Street rental property </w:t>
      </w:r>
      <w:r w:rsidR="00834052">
        <w:rPr>
          <w:rFonts w:ascii="Times New Roman" w:hAnsi="Times New Roman"/>
          <w:snapToGrid/>
        </w:rPr>
        <w:t xml:space="preserve">with PGW’s LCP </w:t>
      </w:r>
      <w:r>
        <w:rPr>
          <w:rFonts w:ascii="Times New Roman" w:hAnsi="Times New Roman"/>
          <w:snapToGrid/>
        </w:rPr>
        <w:t>under</w:t>
      </w:r>
      <w:r w:rsidR="00476921">
        <w:rPr>
          <w:rFonts w:ascii="Times New Roman" w:hAnsi="Times New Roman"/>
          <w:snapToGrid/>
        </w:rPr>
        <w:t xml:space="preserve"> </w:t>
      </w:r>
      <w:r w:rsidR="004A7ADE">
        <w:rPr>
          <w:rFonts w:ascii="Times New Roman" w:hAnsi="Times New Roman"/>
          <w:snapToGrid/>
        </w:rPr>
        <w:t xml:space="preserve">rental </w:t>
      </w:r>
      <w:r w:rsidR="00E540BA">
        <w:rPr>
          <w:rFonts w:ascii="Times New Roman" w:hAnsi="Times New Roman"/>
          <w:snapToGrid/>
        </w:rPr>
        <w:t>L</w:t>
      </w:r>
      <w:r w:rsidR="004A7ADE">
        <w:rPr>
          <w:rFonts w:ascii="Times New Roman" w:hAnsi="Times New Roman"/>
          <w:snapToGrid/>
        </w:rPr>
        <w:t xml:space="preserve">icense </w:t>
      </w:r>
      <w:r w:rsidR="00E540BA">
        <w:rPr>
          <w:rFonts w:ascii="Times New Roman" w:hAnsi="Times New Roman"/>
          <w:snapToGrid/>
        </w:rPr>
        <w:t>N</w:t>
      </w:r>
      <w:r>
        <w:rPr>
          <w:rFonts w:ascii="Times New Roman" w:hAnsi="Times New Roman"/>
          <w:snapToGrid/>
        </w:rPr>
        <w:t xml:space="preserve">umber 319185. </w:t>
      </w:r>
      <w:r w:rsidR="00600C40">
        <w:rPr>
          <w:rFonts w:ascii="Times New Roman" w:hAnsi="Times New Roman"/>
          <w:snapToGrid/>
        </w:rPr>
        <w:t xml:space="preserve"> </w:t>
      </w:r>
      <w:r w:rsidR="000D199D">
        <w:rPr>
          <w:rFonts w:ascii="Times New Roman" w:hAnsi="Times New Roman"/>
          <w:snapToGrid/>
        </w:rPr>
        <w:t>Exhibit D.</w:t>
      </w:r>
    </w:p>
    <w:p w:rsidR="000D199D" w:rsidRDefault="000D199D" w:rsidP="00481C49">
      <w:pPr>
        <w:widowControl/>
        <w:spacing w:line="360" w:lineRule="auto"/>
        <w:rPr>
          <w:rFonts w:ascii="Times New Roman" w:hAnsi="Times New Roman"/>
          <w:snapToGrid/>
        </w:rPr>
      </w:pPr>
    </w:p>
    <w:p w:rsidR="00B8402C" w:rsidRDefault="000D199D" w:rsidP="00481C49">
      <w:pPr>
        <w:widowControl/>
        <w:spacing w:line="360" w:lineRule="auto"/>
        <w:rPr>
          <w:rFonts w:ascii="Times New Roman" w:hAnsi="Times New Roman"/>
          <w:snapToGrid/>
        </w:rPr>
      </w:pPr>
      <w:r>
        <w:rPr>
          <w:rFonts w:ascii="Times New Roman" w:hAnsi="Times New Roman"/>
          <w:snapToGrid/>
        </w:rPr>
        <w:tab/>
      </w:r>
      <w:r>
        <w:rPr>
          <w:rFonts w:ascii="Times New Roman" w:hAnsi="Times New Roman"/>
          <w:snapToGrid/>
        </w:rPr>
        <w:tab/>
        <w:t>1</w:t>
      </w:r>
      <w:r w:rsidR="00B3372A">
        <w:rPr>
          <w:rFonts w:ascii="Times New Roman" w:hAnsi="Times New Roman"/>
          <w:snapToGrid/>
        </w:rPr>
        <w:t>6</w:t>
      </w:r>
      <w:r>
        <w:rPr>
          <w:rFonts w:ascii="Times New Roman" w:hAnsi="Times New Roman"/>
          <w:snapToGrid/>
        </w:rPr>
        <w:t>.</w:t>
      </w:r>
      <w:r>
        <w:rPr>
          <w:rFonts w:ascii="Times New Roman" w:hAnsi="Times New Roman"/>
          <w:snapToGrid/>
        </w:rPr>
        <w:tab/>
        <w:t xml:space="preserve">PGW’s August 25, 2006 email </w:t>
      </w:r>
      <w:r w:rsidR="00B3372A">
        <w:rPr>
          <w:rFonts w:ascii="Times New Roman" w:hAnsi="Times New Roman"/>
          <w:snapToGrid/>
        </w:rPr>
        <w:t xml:space="preserve">provided </w:t>
      </w:r>
      <w:r>
        <w:rPr>
          <w:rFonts w:ascii="Times New Roman" w:hAnsi="Times New Roman"/>
          <w:snapToGrid/>
        </w:rPr>
        <w:t xml:space="preserve">Dr. </w:t>
      </w:r>
      <w:proofErr w:type="gramStart"/>
      <w:r w:rsidR="0019714D">
        <w:rPr>
          <w:rFonts w:ascii="Times New Roman" w:hAnsi="Times New Roman"/>
          <w:snapToGrid/>
        </w:rPr>
        <w:t>Iro</w:t>
      </w:r>
      <w:proofErr w:type="gramEnd"/>
      <w:r w:rsidR="0019714D">
        <w:rPr>
          <w:rFonts w:ascii="Times New Roman" w:hAnsi="Times New Roman"/>
          <w:snapToGrid/>
        </w:rPr>
        <w:t xml:space="preserve"> a</w:t>
      </w:r>
      <w:r>
        <w:rPr>
          <w:rFonts w:ascii="Times New Roman" w:hAnsi="Times New Roman"/>
          <w:snapToGrid/>
        </w:rPr>
        <w:t xml:space="preserve"> username and password to access her LCP account through PGW’s website, pgworks.com.</w:t>
      </w:r>
      <w:r w:rsidR="00DA643A">
        <w:rPr>
          <w:rFonts w:ascii="Times New Roman" w:hAnsi="Times New Roman"/>
          <w:snapToGrid/>
        </w:rPr>
        <w:t xml:space="preserve">  </w:t>
      </w:r>
      <w:r w:rsidR="00AF2DF0">
        <w:rPr>
          <w:rFonts w:ascii="Times New Roman" w:hAnsi="Times New Roman"/>
          <w:snapToGrid/>
        </w:rPr>
        <w:t>Exhibit D.</w:t>
      </w:r>
    </w:p>
    <w:p w:rsidR="00AF2DF0" w:rsidRDefault="00AF2DF0" w:rsidP="00481C49">
      <w:pPr>
        <w:widowControl/>
        <w:spacing w:line="360" w:lineRule="auto"/>
        <w:rPr>
          <w:rFonts w:ascii="Times New Roman" w:hAnsi="Times New Roman"/>
          <w:snapToGrid/>
        </w:rPr>
      </w:pPr>
    </w:p>
    <w:p w:rsidR="004A7ADE" w:rsidRDefault="00B8402C" w:rsidP="00481C49">
      <w:pPr>
        <w:widowControl/>
        <w:spacing w:line="360" w:lineRule="auto"/>
        <w:rPr>
          <w:rFonts w:ascii="Times New Roman" w:hAnsi="Times New Roman"/>
          <w:snapToGrid/>
        </w:rPr>
      </w:pPr>
      <w:r>
        <w:rPr>
          <w:rFonts w:ascii="Times New Roman" w:hAnsi="Times New Roman"/>
          <w:snapToGrid/>
        </w:rPr>
        <w:tab/>
      </w:r>
      <w:r>
        <w:rPr>
          <w:rFonts w:ascii="Times New Roman" w:hAnsi="Times New Roman"/>
          <w:snapToGrid/>
        </w:rPr>
        <w:tab/>
        <w:t>1</w:t>
      </w:r>
      <w:r w:rsidR="00B3372A">
        <w:rPr>
          <w:rFonts w:ascii="Times New Roman" w:hAnsi="Times New Roman"/>
          <w:snapToGrid/>
        </w:rPr>
        <w:t>7</w:t>
      </w:r>
      <w:r>
        <w:rPr>
          <w:rFonts w:ascii="Times New Roman" w:hAnsi="Times New Roman"/>
          <w:snapToGrid/>
        </w:rPr>
        <w:t>.</w:t>
      </w:r>
      <w:r>
        <w:rPr>
          <w:rFonts w:ascii="Times New Roman" w:hAnsi="Times New Roman"/>
          <w:snapToGrid/>
        </w:rPr>
        <w:tab/>
        <w:t>Once a</w:t>
      </w:r>
      <w:r w:rsidR="00DA643A">
        <w:rPr>
          <w:rFonts w:ascii="Times New Roman" w:hAnsi="Times New Roman"/>
          <w:snapToGrid/>
        </w:rPr>
        <w:t xml:space="preserve"> </w:t>
      </w:r>
      <w:r>
        <w:rPr>
          <w:rFonts w:ascii="Times New Roman" w:hAnsi="Times New Roman"/>
          <w:snapToGrid/>
        </w:rPr>
        <w:t xml:space="preserve">landlord has a username and password to access </w:t>
      </w:r>
      <w:r w:rsidR="004A7ADE">
        <w:rPr>
          <w:rFonts w:ascii="Times New Roman" w:hAnsi="Times New Roman"/>
          <w:snapToGrid/>
        </w:rPr>
        <w:t>he</w:t>
      </w:r>
      <w:r>
        <w:rPr>
          <w:rFonts w:ascii="Times New Roman" w:hAnsi="Times New Roman"/>
          <w:snapToGrid/>
        </w:rPr>
        <w:t>r LCP account through P</w:t>
      </w:r>
      <w:r w:rsidR="00DA643A">
        <w:rPr>
          <w:rFonts w:ascii="Times New Roman" w:hAnsi="Times New Roman"/>
          <w:snapToGrid/>
        </w:rPr>
        <w:t>G</w:t>
      </w:r>
      <w:r>
        <w:rPr>
          <w:rFonts w:ascii="Times New Roman" w:hAnsi="Times New Roman"/>
          <w:snapToGrid/>
        </w:rPr>
        <w:t xml:space="preserve">W’s website, </w:t>
      </w:r>
      <w:r w:rsidR="00DA643A">
        <w:rPr>
          <w:rFonts w:ascii="Times New Roman" w:hAnsi="Times New Roman"/>
          <w:snapToGrid/>
        </w:rPr>
        <w:t>mul</w:t>
      </w:r>
      <w:r>
        <w:rPr>
          <w:rFonts w:ascii="Times New Roman" w:hAnsi="Times New Roman"/>
          <w:snapToGrid/>
        </w:rPr>
        <w:t xml:space="preserve">tiple residential </w:t>
      </w:r>
      <w:r w:rsidR="006556E2">
        <w:rPr>
          <w:rFonts w:ascii="Times New Roman" w:hAnsi="Times New Roman"/>
          <w:snapToGrid/>
        </w:rPr>
        <w:t xml:space="preserve">rental </w:t>
      </w:r>
      <w:r>
        <w:rPr>
          <w:rFonts w:ascii="Times New Roman" w:hAnsi="Times New Roman"/>
          <w:snapToGrid/>
        </w:rPr>
        <w:t xml:space="preserve">properties </w:t>
      </w:r>
      <w:r w:rsidR="00C560F0">
        <w:rPr>
          <w:rFonts w:ascii="Times New Roman" w:hAnsi="Times New Roman"/>
          <w:snapToGrid/>
        </w:rPr>
        <w:t xml:space="preserve">of the landlord </w:t>
      </w:r>
      <w:r w:rsidR="00DA643A">
        <w:rPr>
          <w:rFonts w:ascii="Times New Roman" w:hAnsi="Times New Roman"/>
          <w:snapToGrid/>
        </w:rPr>
        <w:t xml:space="preserve">can be registered </w:t>
      </w:r>
      <w:r>
        <w:rPr>
          <w:rFonts w:ascii="Times New Roman" w:hAnsi="Times New Roman"/>
          <w:snapToGrid/>
        </w:rPr>
        <w:t xml:space="preserve">under </w:t>
      </w:r>
      <w:r w:rsidR="00C560F0">
        <w:rPr>
          <w:rFonts w:ascii="Times New Roman" w:hAnsi="Times New Roman"/>
          <w:snapToGrid/>
        </w:rPr>
        <w:t xml:space="preserve">that </w:t>
      </w:r>
      <w:r>
        <w:rPr>
          <w:rFonts w:ascii="Times New Roman" w:hAnsi="Times New Roman"/>
          <w:snapToGrid/>
        </w:rPr>
        <w:t xml:space="preserve">LCP account.  </w:t>
      </w:r>
      <w:r w:rsidR="004A7ADE">
        <w:rPr>
          <w:rFonts w:ascii="Times New Roman" w:hAnsi="Times New Roman"/>
          <w:snapToGrid/>
        </w:rPr>
        <w:t>Tr. 64-67.</w:t>
      </w:r>
    </w:p>
    <w:p w:rsidR="004A7ADE" w:rsidRDefault="004A7ADE" w:rsidP="00481C49">
      <w:pPr>
        <w:widowControl/>
        <w:spacing w:line="360" w:lineRule="auto"/>
        <w:rPr>
          <w:rFonts w:ascii="Times New Roman" w:hAnsi="Times New Roman"/>
          <w:snapToGrid/>
        </w:rPr>
      </w:pPr>
    </w:p>
    <w:p w:rsidR="00B8402C" w:rsidRDefault="004A7ADE" w:rsidP="00481C49">
      <w:pPr>
        <w:widowControl/>
        <w:spacing w:line="360" w:lineRule="auto"/>
        <w:rPr>
          <w:rFonts w:ascii="Times New Roman" w:hAnsi="Times New Roman"/>
          <w:snapToGrid/>
        </w:rPr>
      </w:pPr>
      <w:r>
        <w:rPr>
          <w:rFonts w:ascii="Times New Roman" w:hAnsi="Times New Roman"/>
          <w:snapToGrid/>
        </w:rPr>
        <w:tab/>
      </w:r>
      <w:r>
        <w:rPr>
          <w:rFonts w:ascii="Times New Roman" w:hAnsi="Times New Roman"/>
          <w:snapToGrid/>
        </w:rPr>
        <w:tab/>
        <w:t>1</w:t>
      </w:r>
      <w:r w:rsidR="00B3372A">
        <w:rPr>
          <w:rFonts w:ascii="Times New Roman" w:hAnsi="Times New Roman"/>
          <w:snapToGrid/>
        </w:rPr>
        <w:t>8</w:t>
      </w:r>
      <w:r>
        <w:rPr>
          <w:rFonts w:ascii="Times New Roman" w:hAnsi="Times New Roman"/>
          <w:snapToGrid/>
        </w:rPr>
        <w:t>.</w:t>
      </w:r>
      <w:r>
        <w:rPr>
          <w:rFonts w:ascii="Times New Roman" w:hAnsi="Times New Roman"/>
          <w:snapToGrid/>
        </w:rPr>
        <w:tab/>
      </w:r>
      <w:r w:rsidR="00C560F0">
        <w:rPr>
          <w:rFonts w:ascii="Times New Roman" w:hAnsi="Times New Roman"/>
          <w:snapToGrid/>
        </w:rPr>
        <w:t xml:space="preserve">A landlord seeking </w:t>
      </w:r>
      <w:r>
        <w:rPr>
          <w:rFonts w:ascii="Times New Roman" w:hAnsi="Times New Roman"/>
          <w:snapToGrid/>
        </w:rPr>
        <w:t>protection from municipal lien</w:t>
      </w:r>
      <w:r w:rsidR="006556E2">
        <w:rPr>
          <w:rFonts w:ascii="Times New Roman" w:hAnsi="Times New Roman"/>
          <w:snapToGrid/>
        </w:rPr>
        <w:t>s</w:t>
      </w:r>
      <w:r w:rsidR="00C560F0">
        <w:rPr>
          <w:rFonts w:ascii="Times New Roman" w:hAnsi="Times New Roman"/>
          <w:snapToGrid/>
        </w:rPr>
        <w:t xml:space="preserve"> for </w:t>
      </w:r>
      <w:r w:rsidR="00B3372A">
        <w:rPr>
          <w:rFonts w:ascii="Times New Roman" w:hAnsi="Times New Roman"/>
          <w:snapToGrid/>
        </w:rPr>
        <w:t xml:space="preserve">her </w:t>
      </w:r>
      <w:r>
        <w:rPr>
          <w:rFonts w:ascii="Times New Roman" w:hAnsi="Times New Roman"/>
          <w:snapToGrid/>
        </w:rPr>
        <w:t>residential rental properties</w:t>
      </w:r>
      <w:r w:rsidR="00DA643A">
        <w:rPr>
          <w:rFonts w:ascii="Times New Roman" w:hAnsi="Times New Roman"/>
          <w:snapToGrid/>
        </w:rPr>
        <w:t xml:space="preserve"> must register </w:t>
      </w:r>
      <w:r>
        <w:rPr>
          <w:rFonts w:ascii="Times New Roman" w:hAnsi="Times New Roman"/>
          <w:snapToGrid/>
        </w:rPr>
        <w:t xml:space="preserve">with the LCP </w:t>
      </w:r>
      <w:r w:rsidR="00DA643A">
        <w:rPr>
          <w:rFonts w:ascii="Times New Roman" w:hAnsi="Times New Roman"/>
          <w:snapToGrid/>
        </w:rPr>
        <w:t xml:space="preserve">each property under its separate </w:t>
      </w:r>
      <w:r>
        <w:rPr>
          <w:rFonts w:ascii="Times New Roman" w:hAnsi="Times New Roman"/>
          <w:snapToGrid/>
        </w:rPr>
        <w:t xml:space="preserve">rental </w:t>
      </w:r>
      <w:r w:rsidR="00DA643A">
        <w:rPr>
          <w:rFonts w:ascii="Times New Roman" w:hAnsi="Times New Roman"/>
          <w:snapToGrid/>
        </w:rPr>
        <w:t>license number.  Tr. 64-67.</w:t>
      </w:r>
      <w:r w:rsidR="00B8402C">
        <w:rPr>
          <w:rFonts w:ascii="Times New Roman" w:hAnsi="Times New Roman"/>
          <w:snapToGrid/>
        </w:rPr>
        <w:t xml:space="preserve"> </w:t>
      </w:r>
    </w:p>
    <w:p w:rsidR="00600C40" w:rsidRDefault="00600C40" w:rsidP="00481C49">
      <w:pPr>
        <w:widowControl/>
        <w:spacing w:line="360" w:lineRule="auto"/>
        <w:rPr>
          <w:rFonts w:ascii="Times New Roman" w:hAnsi="Times New Roman"/>
          <w:snapToGrid/>
        </w:rPr>
      </w:pPr>
    </w:p>
    <w:p w:rsidR="00205F5F" w:rsidRDefault="007422DE" w:rsidP="00481C49">
      <w:pPr>
        <w:widowControl/>
        <w:spacing w:line="360" w:lineRule="auto"/>
        <w:rPr>
          <w:rFonts w:ascii="Times New Roman" w:hAnsi="Times New Roman"/>
          <w:snapToGrid/>
        </w:rPr>
      </w:pPr>
      <w:r>
        <w:rPr>
          <w:rFonts w:ascii="Times New Roman" w:hAnsi="Times New Roman"/>
          <w:snapToGrid/>
        </w:rPr>
        <w:tab/>
      </w:r>
      <w:r>
        <w:rPr>
          <w:rFonts w:ascii="Times New Roman" w:hAnsi="Times New Roman"/>
          <w:snapToGrid/>
        </w:rPr>
        <w:tab/>
      </w:r>
      <w:r w:rsidR="00205F5F">
        <w:rPr>
          <w:rFonts w:ascii="Times New Roman" w:hAnsi="Times New Roman"/>
          <w:snapToGrid/>
        </w:rPr>
        <w:t>1</w:t>
      </w:r>
      <w:r w:rsidR="00B3372A">
        <w:rPr>
          <w:rFonts w:ascii="Times New Roman" w:hAnsi="Times New Roman"/>
          <w:snapToGrid/>
        </w:rPr>
        <w:t>9</w:t>
      </w:r>
      <w:r w:rsidR="00205F5F">
        <w:rPr>
          <w:rFonts w:ascii="Times New Roman" w:hAnsi="Times New Roman"/>
          <w:snapToGrid/>
        </w:rPr>
        <w:t>.</w:t>
      </w:r>
      <w:r w:rsidR="00205F5F">
        <w:rPr>
          <w:rFonts w:ascii="Times New Roman" w:hAnsi="Times New Roman"/>
          <w:snapToGrid/>
        </w:rPr>
        <w:tab/>
      </w:r>
      <w:r w:rsidR="00B3372A">
        <w:rPr>
          <w:rFonts w:ascii="Times New Roman" w:hAnsi="Times New Roman"/>
          <w:snapToGrid/>
        </w:rPr>
        <w:t xml:space="preserve">In January 2009, </w:t>
      </w:r>
      <w:r w:rsidR="00AF2DF0">
        <w:rPr>
          <w:rFonts w:ascii="Times New Roman" w:hAnsi="Times New Roman"/>
          <w:snapToGrid/>
        </w:rPr>
        <w:t xml:space="preserve">Dr. </w:t>
      </w:r>
      <w:proofErr w:type="gramStart"/>
      <w:r w:rsidR="00AF2DF0">
        <w:rPr>
          <w:rFonts w:ascii="Times New Roman" w:hAnsi="Times New Roman"/>
          <w:snapToGrid/>
        </w:rPr>
        <w:t>Iro</w:t>
      </w:r>
      <w:proofErr w:type="gramEnd"/>
      <w:r w:rsidR="00AF2DF0">
        <w:rPr>
          <w:rFonts w:ascii="Times New Roman" w:hAnsi="Times New Roman"/>
          <w:snapToGrid/>
        </w:rPr>
        <w:t xml:space="preserve"> </w:t>
      </w:r>
      <w:r w:rsidR="00B3372A">
        <w:rPr>
          <w:rFonts w:ascii="Times New Roman" w:hAnsi="Times New Roman"/>
          <w:snapToGrid/>
        </w:rPr>
        <w:t xml:space="preserve">did not have a rental license for her </w:t>
      </w:r>
      <w:r w:rsidR="00205F5F">
        <w:rPr>
          <w:rFonts w:ascii="Times New Roman" w:hAnsi="Times New Roman"/>
          <w:snapToGrid/>
        </w:rPr>
        <w:t>High Street</w:t>
      </w:r>
      <w:r w:rsidR="00D60FDD">
        <w:rPr>
          <w:rFonts w:ascii="Times New Roman" w:hAnsi="Times New Roman"/>
          <w:snapToGrid/>
        </w:rPr>
        <w:t xml:space="preserve"> property</w:t>
      </w:r>
      <w:r w:rsidR="00EF1B8F">
        <w:rPr>
          <w:rFonts w:ascii="Times New Roman" w:hAnsi="Times New Roman"/>
          <w:snapToGrid/>
        </w:rPr>
        <w:t xml:space="preserve">.  </w:t>
      </w:r>
      <w:proofErr w:type="gramStart"/>
      <w:r w:rsidR="00205F5F">
        <w:rPr>
          <w:rFonts w:ascii="Times New Roman" w:hAnsi="Times New Roman"/>
          <w:snapToGrid/>
        </w:rPr>
        <w:t>Tr. 64</w:t>
      </w:r>
      <w:r w:rsidR="00A822F4">
        <w:rPr>
          <w:rFonts w:ascii="Times New Roman" w:hAnsi="Times New Roman"/>
          <w:snapToGrid/>
        </w:rPr>
        <w:t>, 68</w:t>
      </w:r>
      <w:r w:rsidR="000A5830">
        <w:rPr>
          <w:rFonts w:ascii="Times New Roman" w:hAnsi="Times New Roman"/>
          <w:snapToGrid/>
        </w:rPr>
        <w:t>, 73</w:t>
      </w:r>
      <w:r w:rsidR="00205F5F">
        <w:rPr>
          <w:rFonts w:ascii="Times New Roman" w:hAnsi="Times New Roman"/>
          <w:snapToGrid/>
        </w:rPr>
        <w:t>.</w:t>
      </w:r>
      <w:proofErr w:type="gramEnd"/>
    </w:p>
    <w:p w:rsidR="00205F5F" w:rsidRDefault="00205F5F" w:rsidP="00481C49">
      <w:pPr>
        <w:widowControl/>
        <w:spacing w:line="360" w:lineRule="auto"/>
        <w:rPr>
          <w:rFonts w:ascii="Times New Roman" w:hAnsi="Times New Roman"/>
          <w:snapToGrid/>
        </w:rPr>
      </w:pPr>
    </w:p>
    <w:p w:rsidR="00205F5F" w:rsidRDefault="00205F5F" w:rsidP="00481C49">
      <w:pPr>
        <w:widowControl/>
        <w:spacing w:line="360" w:lineRule="auto"/>
        <w:rPr>
          <w:rFonts w:ascii="Times New Roman" w:hAnsi="Times New Roman"/>
          <w:snapToGrid/>
        </w:rPr>
      </w:pPr>
      <w:r>
        <w:rPr>
          <w:rFonts w:ascii="Times New Roman" w:hAnsi="Times New Roman"/>
          <w:snapToGrid/>
        </w:rPr>
        <w:tab/>
      </w:r>
      <w:r>
        <w:rPr>
          <w:rFonts w:ascii="Times New Roman" w:hAnsi="Times New Roman"/>
          <w:snapToGrid/>
        </w:rPr>
        <w:tab/>
      </w:r>
      <w:r w:rsidR="00B3372A">
        <w:rPr>
          <w:rFonts w:ascii="Times New Roman" w:hAnsi="Times New Roman"/>
          <w:snapToGrid/>
        </w:rPr>
        <w:t>20</w:t>
      </w:r>
      <w:r>
        <w:rPr>
          <w:rFonts w:ascii="Times New Roman" w:hAnsi="Times New Roman"/>
          <w:snapToGrid/>
        </w:rPr>
        <w:t>.</w:t>
      </w:r>
      <w:r>
        <w:rPr>
          <w:rFonts w:ascii="Times New Roman" w:hAnsi="Times New Roman"/>
          <w:snapToGrid/>
        </w:rPr>
        <w:tab/>
        <w:t xml:space="preserve">On January 13, 2009, Dr. </w:t>
      </w:r>
      <w:proofErr w:type="gramStart"/>
      <w:r>
        <w:rPr>
          <w:rFonts w:ascii="Times New Roman" w:hAnsi="Times New Roman"/>
          <w:snapToGrid/>
        </w:rPr>
        <w:t>Iro</w:t>
      </w:r>
      <w:proofErr w:type="gramEnd"/>
      <w:r>
        <w:rPr>
          <w:rFonts w:ascii="Times New Roman" w:hAnsi="Times New Roman"/>
          <w:snapToGrid/>
        </w:rPr>
        <w:t xml:space="preserve"> tried to register High Street with the LCP </w:t>
      </w:r>
      <w:r w:rsidR="00C76951">
        <w:rPr>
          <w:rFonts w:ascii="Times New Roman" w:hAnsi="Times New Roman"/>
          <w:snapToGrid/>
        </w:rPr>
        <w:t xml:space="preserve">under her Greene Street’s </w:t>
      </w:r>
      <w:r w:rsidR="00E540BA">
        <w:rPr>
          <w:rFonts w:ascii="Times New Roman" w:hAnsi="Times New Roman"/>
          <w:snapToGrid/>
        </w:rPr>
        <w:t>L</w:t>
      </w:r>
      <w:r w:rsidR="00C76951">
        <w:rPr>
          <w:rFonts w:ascii="Times New Roman" w:hAnsi="Times New Roman"/>
          <w:snapToGrid/>
        </w:rPr>
        <w:t xml:space="preserve">icense </w:t>
      </w:r>
      <w:r w:rsidR="00E540BA">
        <w:rPr>
          <w:rFonts w:ascii="Times New Roman" w:hAnsi="Times New Roman"/>
          <w:snapToGrid/>
        </w:rPr>
        <w:t>N</w:t>
      </w:r>
      <w:r w:rsidR="00C76951">
        <w:rPr>
          <w:rFonts w:ascii="Times New Roman" w:hAnsi="Times New Roman"/>
          <w:snapToGrid/>
        </w:rPr>
        <w:t xml:space="preserve">umber 319185.  </w:t>
      </w:r>
      <w:proofErr w:type="gramStart"/>
      <w:r w:rsidR="00C76951">
        <w:rPr>
          <w:rFonts w:ascii="Times New Roman" w:hAnsi="Times New Roman"/>
          <w:snapToGrid/>
        </w:rPr>
        <w:t>Tr. 66.</w:t>
      </w:r>
      <w:proofErr w:type="gramEnd"/>
      <w:r w:rsidR="00C76951">
        <w:rPr>
          <w:rFonts w:ascii="Times New Roman" w:hAnsi="Times New Roman"/>
          <w:snapToGrid/>
        </w:rPr>
        <w:t xml:space="preserve">  The registration failed because each residential </w:t>
      </w:r>
      <w:r w:rsidR="00EF1B8F">
        <w:rPr>
          <w:rFonts w:ascii="Times New Roman" w:hAnsi="Times New Roman"/>
          <w:snapToGrid/>
        </w:rPr>
        <w:t xml:space="preserve">rental </w:t>
      </w:r>
      <w:r w:rsidR="00C76951">
        <w:rPr>
          <w:rFonts w:ascii="Times New Roman" w:hAnsi="Times New Roman"/>
          <w:snapToGrid/>
        </w:rPr>
        <w:t xml:space="preserve">property must be registered with the LCP under its own </w:t>
      </w:r>
      <w:r w:rsidR="006556E2">
        <w:rPr>
          <w:rFonts w:ascii="Times New Roman" w:hAnsi="Times New Roman"/>
          <w:snapToGrid/>
        </w:rPr>
        <w:t xml:space="preserve">rental </w:t>
      </w:r>
      <w:r w:rsidR="00C76951">
        <w:rPr>
          <w:rFonts w:ascii="Times New Roman" w:hAnsi="Times New Roman"/>
          <w:snapToGrid/>
        </w:rPr>
        <w:t>license number.  Tr. 66-67.</w:t>
      </w:r>
    </w:p>
    <w:p w:rsidR="00205F5F" w:rsidRDefault="00205F5F" w:rsidP="00481C49">
      <w:pPr>
        <w:widowControl/>
        <w:spacing w:line="360" w:lineRule="auto"/>
        <w:rPr>
          <w:rFonts w:ascii="Times New Roman" w:hAnsi="Times New Roman"/>
          <w:snapToGrid/>
        </w:rPr>
      </w:pPr>
    </w:p>
    <w:p w:rsidR="00C210D4" w:rsidRDefault="00205F5F" w:rsidP="00481C49">
      <w:pPr>
        <w:widowControl/>
        <w:spacing w:line="360" w:lineRule="auto"/>
        <w:rPr>
          <w:rFonts w:ascii="Times New Roman" w:hAnsi="Times New Roman"/>
          <w:snapToGrid/>
        </w:rPr>
      </w:pPr>
      <w:r>
        <w:rPr>
          <w:rFonts w:ascii="Times New Roman" w:hAnsi="Times New Roman"/>
          <w:snapToGrid/>
        </w:rPr>
        <w:tab/>
      </w:r>
      <w:r>
        <w:rPr>
          <w:rFonts w:ascii="Times New Roman" w:hAnsi="Times New Roman"/>
          <w:snapToGrid/>
        </w:rPr>
        <w:tab/>
      </w:r>
      <w:r w:rsidR="00B3372A">
        <w:rPr>
          <w:rFonts w:ascii="Times New Roman" w:hAnsi="Times New Roman"/>
          <w:snapToGrid/>
        </w:rPr>
        <w:t>2</w:t>
      </w:r>
      <w:r>
        <w:rPr>
          <w:rFonts w:ascii="Times New Roman" w:hAnsi="Times New Roman"/>
          <w:snapToGrid/>
        </w:rPr>
        <w:t>1.</w:t>
      </w:r>
      <w:r w:rsidR="00A822F4">
        <w:rPr>
          <w:rFonts w:ascii="Times New Roman" w:hAnsi="Times New Roman"/>
          <w:snapToGrid/>
        </w:rPr>
        <w:tab/>
      </w:r>
      <w:r w:rsidR="006556E2">
        <w:rPr>
          <w:rFonts w:ascii="Times New Roman" w:hAnsi="Times New Roman"/>
          <w:snapToGrid/>
        </w:rPr>
        <w:t xml:space="preserve">On January 13, 2009, </w:t>
      </w:r>
      <w:r w:rsidR="00A822F4">
        <w:rPr>
          <w:rFonts w:ascii="Times New Roman" w:hAnsi="Times New Roman"/>
          <w:snapToGrid/>
        </w:rPr>
        <w:t xml:space="preserve">Dr. Iro’s </w:t>
      </w:r>
      <w:r w:rsidR="00B3372A">
        <w:rPr>
          <w:rFonts w:ascii="Times New Roman" w:hAnsi="Times New Roman"/>
          <w:snapToGrid/>
        </w:rPr>
        <w:t xml:space="preserve">improper </w:t>
      </w:r>
      <w:r w:rsidR="00A822F4">
        <w:rPr>
          <w:rFonts w:ascii="Times New Roman" w:hAnsi="Times New Roman"/>
          <w:snapToGrid/>
        </w:rPr>
        <w:t>attempt to register her High Street property under her Greene Street’s License Number 319185</w:t>
      </w:r>
      <w:r w:rsidR="005F08DA">
        <w:rPr>
          <w:rFonts w:ascii="Times New Roman" w:hAnsi="Times New Roman"/>
          <w:snapToGrid/>
        </w:rPr>
        <w:t xml:space="preserve"> generated an email </w:t>
      </w:r>
      <w:r w:rsidR="00FC2814">
        <w:rPr>
          <w:rFonts w:ascii="Times New Roman" w:hAnsi="Times New Roman"/>
          <w:snapToGrid/>
        </w:rPr>
        <w:t xml:space="preserve">to Dr. Iro </w:t>
      </w:r>
      <w:r w:rsidR="005F08DA">
        <w:rPr>
          <w:rFonts w:ascii="Times New Roman" w:hAnsi="Times New Roman"/>
          <w:snapToGrid/>
        </w:rPr>
        <w:t>from the LCP’s electronic system stating that there is an error in the registration attempt.  The email list</w:t>
      </w:r>
      <w:r w:rsidR="00C560F0">
        <w:rPr>
          <w:rFonts w:ascii="Times New Roman" w:hAnsi="Times New Roman"/>
          <w:snapToGrid/>
        </w:rPr>
        <w:t>ed</w:t>
      </w:r>
      <w:r w:rsidR="005F08DA">
        <w:rPr>
          <w:rFonts w:ascii="Times New Roman" w:hAnsi="Times New Roman"/>
          <w:snapToGrid/>
        </w:rPr>
        <w:t xml:space="preserve"> the property address in question, the </w:t>
      </w:r>
      <w:r w:rsidR="00C560F0">
        <w:rPr>
          <w:rFonts w:ascii="Times New Roman" w:hAnsi="Times New Roman"/>
          <w:snapToGrid/>
        </w:rPr>
        <w:t xml:space="preserve">rental </w:t>
      </w:r>
      <w:r w:rsidR="005F08DA">
        <w:rPr>
          <w:rFonts w:ascii="Times New Roman" w:hAnsi="Times New Roman"/>
          <w:snapToGrid/>
        </w:rPr>
        <w:t>license number that was used, and an email address to contact the LCP administrators to resolve the problem.</w:t>
      </w:r>
      <w:r w:rsidR="0019714D">
        <w:rPr>
          <w:rFonts w:ascii="Times New Roman" w:hAnsi="Times New Roman"/>
          <w:snapToGrid/>
        </w:rPr>
        <w:t xml:space="preserve"> </w:t>
      </w:r>
      <w:r w:rsidR="005F08DA">
        <w:rPr>
          <w:rFonts w:ascii="Times New Roman" w:hAnsi="Times New Roman"/>
          <w:snapToGrid/>
        </w:rPr>
        <w:t xml:space="preserve"> </w:t>
      </w:r>
      <w:proofErr w:type="gramStart"/>
      <w:r w:rsidR="005F08DA">
        <w:rPr>
          <w:rFonts w:ascii="Times New Roman" w:hAnsi="Times New Roman"/>
          <w:snapToGrid/>
        </w:rPr>
        <w:t>Tr. 68.</w:t>
      </w:r>
      <w:proofErr w:type="gramEnd"/>
      <w:r w:rsidR="00FC2814">
        <w:rPr>
          <w:rFonts w:ascii="Times New Roman" w:hAnsi="Times New Roman"/>
          <w:snapToGrid/>
        </w:rPr>
        <w:t xml:space="preserve">  </w:t>
      </w:r>
      <w:r w:rsidR="00B400F1">
        <w:rPr>
          <w:rFonts w:ascii="Times New Roman" w:hAnsi="Times New Roman"/>
          <w:snapToGrid/>
        </w:rPr>
        <w:t>However, Dr.</w:t>
      </w:r>
      <w:r w:rsidR="005C0EAD">
        <w:rPr>
          <w:rFonts w:ascii="Times New Roman" w:hAnsi="Times New Roman"/>
          <w:snapToGrid/>
        </w:rPr>
        <w:t> </w:t>
      </w:r>
      <w:proofErr w:type="gramStart"/>
      <w:r w:rsidR="00B400F1">
        <w:rPr>
          <w:rFonts w:ascii="Times New Roman" w:hAnsi="Times New Roman"/>
          <w:snapToGrid/>
        </w:rPr>
        <w:t>Iro</w:t>
      </w:r>
      <w:proofErr w:type="gramEnd"/>
      <w:r w:rsidR="00B400F1">
        <w:rPr>
          <w:rFonts w:ascii="Times New Roman" w:hAnsi="Times New Roman"/>
          <w:snapToGrid/>
        </w:rPr>
        <w:t xml:space="preserve"> did not respond to this email.</w:t>
      </w:r>
    </w:p>
    <w:p w:rsidR="00C210D4" w:rsidRDefault="00C210D4" w:rsidP="00481C49">
      <w:pPr>
        <w:widowControl/>
        <w:spacing w:line="360" w:lineRule="auto"/>
        <w:rPr>
          <w:rFonts w:ascii="Times New Roman" w:hAnsi="Times New Roman"/>
          <w:snapToGrid/>
        </w:rPr>
      </w:pPr>
    </w:p>
    <w:p w:rsidR="00E540BA" w:rsidRDefault="00C210D4" w:rsidP="00481C49">
      <w:pPr>
        <w:widowControl/>
        <w:spacing w:line="360" w:lineRule="auto"/>
        <w:rPr>
          <w:rFonts w:ascii="Times New Roman" w:hAnsi="Times New Roman"/>
          <w:snapToGrid/>
        </w:rPr>
      </w:pPr>
      <w:r>
        <w:rPr>
          <w:rFonts w:ascii="Times New Roman" w:hAnsi="Times New Roman"/>
          <w:snapToGrid/>
        </w:rPr>
        <w:lastRenderedPageBreak/>
        <w:tab/>
      </w:r>
      <w:r>
        <w:rPr>
          <w:rFonts w:ascii="Times New Roman" w:hAnsi="Times New Roman"/>
          <w:snapToGrid/>
        </w:rPr>
        <w:tab/>
      </w:r>
      <w:r w:rsidR="00B3372A">
        <w:rPr>
          <w:rFonts w:ascii="Times New Roman" w:hAnsi="Times New Roman"/>
          <w:snapToGrid/>
        </w:rPr>
        <w:t>22</w:t>
      </w:r>
      <w:r w:rsidR="00DC6CFD">
        <w:rPr>
          <w:rFonts w:ascii="Times New Roman" w:hAnsi="Times New Roman"/>
          <w:snapToGrid/>
        </w:rPr>
        <w:t>.</w:t>
      </w:r>
      <w:r w:rsidR="00DC6CFD">
        <w:rPr>
          <w:rFonts w:ascii="Times New Roman" w:hAnsi="Times New Roman"/>
          <w:snapToGrid/>
        </w:rPr>
        <w:tab/>
      </w:r>
      <w:r w:rsidR="00B8402C">
        <w:rPr>
          <w:rFonts w:ascii="Times New Roman" w:hAnsi="Times New Roman"/>
          <w:snapToGrid/>
        </w:rPr>
        <w:t xml:space="preserve">On February 11, 2009, </w:t>
      </w:r>
      <w:r w:rsidR="007A5F73">
        <w:rPr>
          <w:rFonts w:ascii="Times New Roman" w:hAnsi="Times New Roman"/>
          <w:snapToGrid/>
        </w:rPr>
        <w:t xml:space="preserve">Dr. Iro </w:t>
      </w:r>
      <w:r w:rsidR="00B8402C">
        <w:rPr>
          <w:rFonts w:ascii="Times New Roman" w:hAnsi="Times New Roman"/>
          <w:snapToGrid/>
        </w:rPr>
        <w:t xml:space="preserve">paid to the License Department </w:t>
      </w:r>
      <w:r w:rsidR="006556E2">
        <w:rPr>
          <w:rFonts w:ascii="Times New Roman" w:hAnsi="Times New Roman"/>
          <w:snapToGrid/>
        </w:rPr>
        <w:t xml:space="preserve">the $50.00 rental license fee </w:t>
      </w:r>
      <w:r w:rsidR="00DA643A">
        <w:rPr>
          <w:rFonts w:ascii="Times New Roman" w:hAnsi="Times New Roman"/>
          <w:snapToGrid/>
        </w:rPr>
        <w:t>and cr</w:t>
      </w:r>
      <w:r w:rsidR="00205F5F">
        <w:rPr>
          <w:rFonts w:ascii="Times New Roman" w:hAnsi="Times New Roman"/>
          <w:snapToGrid/>
        </w:rPr>
        <w:t>e</w:t>
      </w:r>
      <w:r w:rsidR="00DA643A">
        <w:rPr>
          <w:rFonts w:ascii="Times New Roman" w:hAnsi="Times New Roman"/>
          <w:snapToGrid/>
        </w:rPr>
        <w:t>ated a</w:t>
      </w:r>
      <w:r w:rsidR="001B4BC8">
        <w:rPr>
          <w:rFonts w:ascii="Times New Roman" w:hAnsi="Times New Roman"/>
          <w:snapToGrid/>
        </w:rPr>
        <w:t xml:space="preserve"> license</w:t>
      </w:r>
      <w:r w:rsidR="00DA643A">
        <w:rPr>
          <w:rFonts w:ascii="Times New Roman" w:hAnsi="Times New Roman"/>
          <w:snapToGrid/>
        </w:rPr>
        <w:t xml:space="preserve"> account </w:t>
      </w:r>
      <w:r w:rsidR="00B8402C">
        <w:rPr>
          <w:rFonts w:ascii="Times New Roman" w:hAnsi="Times New Roman"/>
          <w:snapToGrid/>
        </w:rPr>
        <w:t>for her High Street rental property under License Number 466307</w:t>
      </w:r>
      <w:r w:rsidR="00DA643A">
        <w:rPr>
          <w:rFonts w:ascii="Times New Roman" w:hAnsi="Times New Roman"/>
          <w:snapToGrid/>
        </w:rPr>
        <w:t xml:space="preserve">, which expired on February 10, 2010.  </w:t>
      </w:r>
      <w:r w:rsidR="00472A7B">
        <w:rPr>
          <w:rFonts w:ascii="Times New Roman" w:hAnsi="Times New Roman"/>
          <w:snapToGrid/>
        </w:rPr>
        <w:t>Tr. 64, 67</w:t>
      </w:r>
      <w:r w:rsidR="00E540BA">
        <w:rPr>
          <w:rFonts w:ascii="Times New Roman" w:hAnsi="Times New Roman"/>
          <w:snapToGrid/>
        </w:rPr>
        <w:t>; Exhibit B, p</w:t>
      </w:r>
      <w:r w:rsidR="00E70A37">
        <w:rPr>
          <w:rFonts w:ascii="Times New Roman" w:hAnsi="Times New Roman"/>
          <w:snapToGrid/>
        </w:rPr>
        <w:t>.</w:t>
      </w:r>
      <w:r w:rsidR="00E540BA">
        <w:rPr>
          <w:rFonts w:ascii="Times New Roman" w:hAnsi="Times New Roman"/>
          <w:snapToGrid/>
        </w:rPr>
        <w:t xml:space="preserve"> 7.</w:t>
      </w:r>
      <w:r w:rsidR="00C76951">
        <w:rPr>
          <w:rFonts w:ascii="Times New Roman" w:hAnsi="Times New Roman"/>
          <w:snapToGrid/>
        </w:rPr>
        <w:t xml:space="preserve"> </w:t>
      </w:r>
    </w:p>
    <w:p w:rsidR="00E540BA" w:rsidRDefault="00E540BA" w:rsidP="00481C49">
      <w:pPr>
        <w:widowControl/>
        <w:spacing w:line="360" w:lineRule="auto"/>
        <w:rPr>
          <w:rFonts w:ascii="Times New Roman" w:hAnsi="Times New Roman"/>
          <w:snapToGrid/>
        </w:rPr>
      </w:pPr>
    </w:p>
    <w:p w:rsidR="00834052" w:rsidRDefault="00E540BA" w:rsidP="00481C49">
      <w:pPr>
        <w:widowControl/>
        <w:spacing w:line="360" w:lineRule="auto"/>
        <w:rPr>
          <w:rFonts w:ascii="Times New Roman" w:hAnsi="Times New Roman"/>
          <w:snapToGrid/>
        </w:rPr>
      </w:pPr>
      <w:r>
        <w:rPr>
          <w:rFonts w:ascii="Times New Roman" w:hAnsi="Times New Roman"/>
          <w:snapToGrid/>
        </w:rPr>
        <w:tab/>
      </w:r>
      <w:r>
        <w:rPr>
          <w:rFonts w:ascii="Times New Roman" w:hAnsi="Times New Roman"/>
          <w:snapToGrid/>
        </w:rPr>
        <w:tab/>
      </w:r>
      <w:r w:rsidR="001B4BC8">
        <w:rPr>
          <w:rFonts w:ascii="Times New Roman" w:hAnsi="Times New Roman"/>
          <w:snapToGrid/>
        </w:rPr>
        <w:t>23</w:t>
      </w:r>
      <w:r>
        <w:rPr>
          <w:rFonts w:ascii="Times New Roman" w:hAnsi="Times New Roman"/>
          <w:snapToGrid/>
        </w:rPr>
        <w:t>.</w:t>
      </w:r>
      <w:r>
        <w:rPr>
          <w:rFonts w:ascii="Times New Roman" w:hAnsi="Times New Roman"/>
          <w:snapToGrid/>
        </w:rPr>
        <w:tab/>
        <w:t xml:space="preserve">After Dr. </w:t>
      </w:r>
      <w:proofErr w:type="gramStart"/>
      <w:r>
        <w:rPr>
          <w:rFonts w:ascii="Times New Roman" w:hAnsi="Times New Roman"/>
          <w:snapToGrid/>
        </w:rPr>
        <w:t>Iro</w:t>
      </w:r>
      <w:proofErr w:type="gramEnd"/>
      <w:r>
        <w:rPr>
          <w:rFonts w:ascii="Times New Roman" w:hAnsi="Times New Roman"/>
          <w:snapToGrid/>
        </w:rPr>
        <w:t xml:space="preserve"> paid the $50.00 rental license fee for High Street on February</w:t>
      </w:r>
      <w:r w:rsidR="00231D39">
        <w:rPr>
          <w:rFonts w:ascii="Times New Roman" w:hAnsi="Times New Roman"/>
          <w:snapToGrid/>
        </w:rPr>
        <w:t> </w:t>
      </w:r>
      <w:r>
        <w:rPr>
          <w:rFonts w:ascii="Times New Roman" w:hAnsi="Times New Roman"/>
          <w:snapToGrid/>
        </w:rPr>
        <w:t xml:space="preserve">11, 2009, she paid the annual rental license fee for High Street for 2010 and 2011, </w:t>
      </w:r>
      <w:r w:rsidR="008942AA">
        <w:rPr>
          <w:rFonts w:ascii="Times New Roman" w:hAnsi="Times New Roman"/>
          <w:snapToGrid/>
        </w:rPr>
        <w:t xml:space="preserve">(Exhibit B, pp. 1, 5-6), but she </w:t>
      </w:r>
      <w:r w:rsidR="001B4BC8">
        <w:rPr>
          <w:rFonts w:ascii="Times New Roman" w:hAnsi="Times New Roman"/>
          <w:snapToGrid/>
        </w:rPr>
        <w:t>did not</w:t>
      </w:r>
      <w:r w:rsidR="008942AA">
        <w:rPr>
          <w:rFonts w:ascii="Times New Roman" w:hAnsi="Times New Roman"/>
          <w:snapToGrid/>
        </w:rPr>
        <w:t xml:space="preserve"> register High Street under its rental</w:t>
      </w:r>
      <w:r w:rsidR="00C76951">
        <w:rPr>
          <w:rFonts w:ascii="Times New Roman" w:hAnsi="Times New Roman"/>
          <w:snapToGrid/>
        </w:rPr>
        <w:t xml:space="preserve"> </w:t>
      </w:r>
      <w:r w:rsidR="008942AA">
        <w:rPr>
          <w:rFonts w:ascii="Times New Roman" w:hAnsi="Times New Roman"/>
          <w:snapToGrid/>
        </w:rPr>
        <w:t>License Number 466307 with PGW’s LCP</w:t>
      </w:r>
      <w:r w:rsidR="001B4BC8">
        <w:rPr>
          <w:rFonts w:ascii="Times New Roman" w:hAnsi="Times New Roman"/>
          <w:snapToGrid/>
        </w:rPr>
        <w:t xml:space="preserve"> through </w:t>
      </w:r>
      <w:r w:rsidR="00DF7013">
        <w:rPr>
          <w:rFonts w:ascii="Times New Roman" w:hAnsi="Times New Roman"/>
          <w:snapToGrid/>
        </w:rPr>
        <w:t>PGW’s website</w:t>
      </w:r>
      <w:r w:rsidR="008942AA">
        <w:rPr>
          <w:rFonts w:ascii="Times New Roman" w:hAnsi="Times New Roman"/>
          <w:snapToGrid/>
        </w:rPr>
        <w:t>.  Tr. 96.</w:t>
      </w:r>
    </w:p>
    <w:p w:rsidR="00205F5F" w:rsidRDefault="00205F5F" w:rsidP="00481C49">
      <w:pPr>
        <w:widowControl/>
        <w:spacing w:line="360" w:lineRule="auto"/>
        <w:rPr>
          <w:rFonts w:ascii="Times New Roman" w:hAnsi="Times New Roman"/>
          <w:snapToGrid/>
        </w:rPr>
      </w:pPr>
    </w:p>
    <w:p w:rsidR="00EE660F" w:rsidRDefault="00834052" w:rsidP="00481C49">
      <w:pPr>
        <w:widowControl/>
        <w:spacing w:line="360" w:lineRule="auto"/>
        <w:rPr>
          <w:rFonts w:ascii="Times New Roman" w:hAnsi="Times New Roman"/>
          <w:snapToGrid/>
        </w:rPr>
      </w:pPr>
      <w:r>
        <w:rPr>
          <w:rFonts w:ascii="Times New Roman" w:hAnsi="Times New Roman"/>
          <w:snapToGrid/>
        </w:rPr>
        <w:tab/>
      </w:r>
      <w:r>
        <w:rPr>
          <w:rFonts w:ascii="Times New Roman" w:hAnsi="Times New Roman"/>
          <w:snapToGrid/>
        </w:rPr>
        <w:tab/>
      </w:r>
      <w:r w:rsidR="00B65688">
        <w:rPr>
          <w:rFonts w:ascii="Times New Roman" w:hAnsi="Times New Roman"/>
          <w:snapToGrid/>
        </w:rPr>
        <w:t>2</w:t>
      </w:r>
      <w:r w:rsidR="00DF7013">
        <w:rPr>
          <w:rFonts w:ascii="Times New Roman" w:hAnsi="Times New Roman"/>
          <w:snapToGrid/>
        </w:rPr>
        <w:t>4</w:t>
      </w:r>
      <w:r w:rsidR="008942AA">
        <w:rPr>
          <w:rFonts w:ascii="Times New Roman" w:hAnsi="Times New Roman"/>
          <w:snapToGrid/>
        </w:rPr>
        <w:t>.</w:t>
      </w:r>
      <w:r w:rsidR="008942AA">
        <w:rPr>
          <w:rFonts w:ascii="Times New Roman" w:hAnsi="Times New Roman"/>
          <w:snapToGrid/>
        </w:rPr>
        <w:tab/>
        <w:t>Since D</w:t>
      </w:r>
      <w:r w:rsidR="0035278C">
        <w:rPr>
          <w:rFonts w:ascii="Times New Roman" w:hAnsi="Times New Roman"/>
          <w:snapToGrid/>
        </w:rPr>
        <w:t xml:space="preserve">r. Iro </w:t>
      </w:r>
      <w:r w:rsidR="008942AA">
        <w:rPr>
          <w:rFonts w:ascii="Times New Roman" w:hAnsi="Times New Roman"/>
          <w:snapToGrid/>
        </w:rPr>
        <w:t>did not register High Street under its rental License Number 466307</w:t>
      </w:r>
      <w:r w:rsidR="00EE660F">
        <w:rPr>
          <w:rFonts w:ascii="Times New Roman" w:hAnsi="Times New Roman"/>
          <w:snapToGrid/>
        </w:rPr>
        <w:t xml:space="preserve"> with PGW’s </w:t>
      </w:r>
      <w:r w:rsidR="00B03A67">
        <w:rPr>
          <w:rFonts w:ascii="Times New Roman" w:hAnsi="Times New Roman"/>
          <w:snapToGrid/>
        </w:rPr>
        <w:t>LCP, High Street was not protected from the placement o</w:t>
      </w:r>
      <w:r w:rsidR="00F567DD">
        <w:rPr>
          <w:rFonts w:ascii="Times New Roman" w:hAnsi="Times New Roman"/>
          <w:snapToGrid/>
        </w:rPr>
        <w:t>f</w:t>
      </w:r>
      <w:r w:rsidR="00B03A67">
        <w:rPr>
          <w:rFonts w:ascii="Times New Roman" w:hAnsi="Times New Roman"/>
          <w:snapToGrid/>
        </w:rPr>
        <w:t xml:space="preserve"> municipal liens in 2010 and 2011, in the event a tenant failed to </w:t>
      </w:r>
      <w:r w:rsidR="00BA772E">
        <w:rPr>
          <w:rFonts w:ascii="Times New Roman" w:hAnsi="Times New Roman"/>
          <w:snapToGrid/>
        </w:rPr>
        <w:t xml:space="preserve">pay </w:t>
      </w:r>
      <w:r w:rsidR="00B03A67">
        <w:rPr>
          <w:rFonts w:ascii="Times New Roman" w:hAnsi="Times New Roman"/>
          <w:snapToGrid/>
        </w:rPr>
        <w:t>PGW for gas service provide</w:t>
      </w:r>
      <w:r w:rsidR="00BA772E">
        <w:rPr>
          <w:rFonts w:ascii="Times New Roman" w:hAnsi="Times New Roman"/>
          <w:snapToGrid/>
        </w:rPr>
        <w:t>d</w:t>
      </w:r>
      <w:r w:rsidR="00B03A67">
        <w:rPr>
          <w:rFonts w:ascii="Times New Roman" w:hAnsi="Times New Roman"/>
          <w:snapToGrid/>
        </w:rPr>
        <w:t xml:space="preserve"> to the High Street rental property.  Tr. 71,</w:t>
      </w:r>
      <w:r w:rsidR="00E2167B">
        <w:rPr>
          <w:rFonts w:ascii="Times New Roman" w:hAnsi="Times New Roman"/>
          <w:snapToGrid/>
        </w:rPr>
        <w:t xml:space="preserve"> </w:t>
      </w:r>
      <w:r w:rsidR="00B03A67">
        <w:rPr>
          <w:rFonts w:ascii="Times New Roman" w:hAnsi="Times New Roman"/>
          <w:snapToGrid/>
        </w:rPr>
        <w:t>96.</w:t>
      </w:r>
    </w:p>
    <w:p w:rsidR="00EE660F" w:rsidRDefault="00EE660F" w:rsidP="00481C49">
      <w:pPr>
        <w:widowControl/>
        <w:spacing w:line="360" w:lineRule="auto"/>
        <w:rPr>
          <w:rFonts w:ascii="Times New Roman" w:hAnsi="Times New Roman"/>
          <w:snapToGrid/>
        </w:rPr>
      </w:pPr>
    </w:p>
    <w:p w:rsidR="00B11D45" w:rsidRDefault="00B03A67" w:rsidP="00481C49">
      <w:pPr>
        <w:widowControl/>
        <w:spacing w:line="360" w:lineRule="auto"/>
        <w:rPr>
          <w:rFonts w:ascii="Times New Roman" w:hAnsi="Times New Roman"/>
          <w:snapToGrid/>
        </w:rPr>
      </w:pPr>
      <w:r>
        <w:rPr>
          <w:rFonts w:ascii="Times New Roman" w:hAnsi="Times New Roman"/>
          <w:snapToGrid/>
        </w:rPr>
        <w:tab/>
      </w:r>
      <w:r>
        <w:rPr>
          <w:rFonts w:ascii="Times New Roman" w:hAnsi="Times New Roman"/>
          <w:snapToGrid/>
        </w:rPr>
        <w:tab/>
        <w:t>2</w:t>
      </w:r>
      <w:r w:rsidR="00DF7013">
        <w:rPr>
          <w:rFonts w:ascii="Times New Roman" w:hAnsi="Times New Roman"/>
          <w:snapToGrid/>
        </w:rPr>
        <w:t>5</w:t>
      </w:r>
      <w:r>
        <w:rPr>
          <w:rFonts w:ascii="Times New Roman" w:hAnsi="Times New Roman"/>
          <w:snapToGrid/>
        </w:rPr>
        <w:t>.</w:t>
      </w:r>
      <w:r>
        <w:rPr>
          <w:rFonts w:ascii="Times New Roman" w:hAnsi="Times New Roman"/>
          <w:snapToGrid/>
        </w:rPr>
        <w:tab/>
        <w:t xml:space="preserve">Dr. Iro </w:t>
      </w:r>
      <w:r w:rsidR="0035278C">
        <w:rPr>
          <w:rFonts w:ascii="Times New Roman" w:hAnsi="Times New Roman"/>
          <w:snapToGrid/>
        </w:rPr>
        <w:t xml:space="preserve">listed her home address </w:t>
      </w:r>
      <w:r w:rsidR="00DF7013">
        <w:rPr>
          <w:rFonts w:ascii="Times New Roman" w:hAnsi="Times New Roman"/>
          <w:snapToGrid/>
        </w:rPr>
        <w:t xml:space="preserve">with the License Department </w:t>
      </w:r>
      <w:r w:rsidR="0035278C">
        <w:rPr>
          <w:rFonts w:ascii="Times New Roman" w:hAnsi="Times New Roman"/>
          <w:snapToGrid/>
        </w:rPr>
        <w:t xml:space="preserve">as the address to which information should be sent concerning </w:t>
      </w:r>
      <w:r>
        <w:rPr>
          <w:rFonts w:ascii="Times New Roman" w:hAnsi="Times New Roman"/>
          <w:snapToGrid/>
        </w:rPr>
        <w:t>her</w:t>
      </w:r>
      <w:r w:rsidR="0035278C">
        <w:rPr>
          <w:rFonts w:ascii="Times New Roman" w:hAnsi="Times New Roman"/>
          <w:snapToGrid/>
        </w:rPr>
        <w:t xml:space="preserve"> </w:t>
      </w:r>
      <w:r w:rsidR="008942AA">
        <w:rPr>
          <w:rFonts w:ascii="Times New Roman" w:hAnsi="Times New Roman"/>
          <w:snapToGrid/>
        </w:rPr>
        <w:t xml:space="preserve">rental </w:t>
      </w:r>
      <w:r w:rsidR="0035278C">
        <w:rPr>
          <w:rFonts w:ascii="Times New Roman" w:hAnsi="Times New Roman"/>
          <w:snapToGrid/>
        </w:rPr>
        <w:t xml:space="preserve">licenses for both </w:t>
      </w:r>
      <w:r w:rsidR="00B11D45">
        <w:rPr>
          <w:rFonts w:ascii="Times New Roman" w:hAnsi="Times New Roman"/>
          <w:snapToGrid/>
        </w:rPr>
        <w:t xml:space="preserve">High </w:t>
      </w:r>
      <w:r w:rsidR="0035278C">
        <w:rPr>
          <w:rFonts w:ascii="Times New Roman" w:hAnsi="Times New Roman"/>
          <w:snapToGrid/>
        </w:rPr>
        <w:t xml:space="preserve">Street and </w:t>
      </w:r>
      <w:r w:rsidR="00B11D45">
        <w:rPr>
          <w:rFonts w:ascii="Times New Roman" w:hAnsi="Times New Roman"/>
          <w:snapToGrid/>
        </w:rPr>
        <w:t>Greene</w:t>
      </w:r>
      <w:r w:rsidR="0035278C">
        <w:rPr>
          <w:rFonts w:ascii="Times New Roman" w:hAnsi="Times New Roman"/>
          <w:snapToGrid/>
        </w:rPr>
        <w:t xml:space="preserve"> Street.  </w:t>
      </w:r>
      <w:r w:rsidR="00B11D45">
        <w:rPr>
          <w:rFonts w:ascii="Times New Roman" w:hAnsi="Times New Roman"/>
          <w:snapToGrid/>
        </w:rPr>
        <w:t>Exhibit B, pp. 2-3.</w:t>
      </w:r>
    </w:p>
    <w:p w:rsidR="0035278C" w:rsidRDefault="0035278C" w:rsidP="00481C49">
      <w:pPr>
        <w:widowControl/>
        <w:spacing w:line="360" w:lineRule="auto"/>
        <w:rPr>
          <w:rFonts w:ascii="Times New Roman" w:hAnsi="Times New Roman"/>
          <w:snapToGrid/>
        </w:rPr>
      </w:pPr>
      <w:r>
        <w:rPr>
          <w:rFonts w:ascii="Times New Roman" w:hAnsi="Times New Roman"/>
          <w:snapToGrid/>
        </w:rPr>
        <w:t xml:space="preserve"> </w:t>
      </w:r>
    </w:p>
    <w:p w:rsidR="00133EDB" w:rsidRDefault="00133EDB" w:rsidP="00481C49">
      <w:pPr>
        <w:widowControl/>
        <w:spacing w:line="360" w:lineRule="auto"/>
        <w:rPr>
          <w:rFonts w:ascii="Times New Roman" w:hAnsi="Times New Roman"/>
          <w:snapToGrid/>
        </w:rPr>
      </w:pPr>
      <w:r>
        <w:rPr>
          <w:rFonts w:ascii="Times New Roman" w:hAnsi="Times New Roman"/>
          <w:snapToGrid/>
        </w:rPr>
        <w:tab/>
      </w:r>
      <w:r>
        <w:rPr>
          <w:rFonts w:ascii="Times New Roman" w:hAnsi="Times New Roman"/>
          <w:snapToGrid/>
        </w:rPr>
        <w:tab/>
      </w:r>
      <w:r w:rsidR="00B03A67">
        <w:rPr>
          <w:rFonts w:ascii="Times New Roman" w:hAnsi="Times New Roman"/>
          <w:snapToGrid/>
        </w:rPr>
        <w:t>2</w:t>
      </w:r>
      <w:r w:rsidR="00DF7013">
        <w:rPr>
          <w:rFonts w:ascii="Times New Roman" w:hAnsi="Times New Roman"/>
          <w:snapToGrid/>
        </w:rPr>
        <w:t>6</w:t>
      </w:r>
      <w:r>
        <w:rPr>
          <w:rFonts w:ascii="Times New Roman" w:hAnsi="Times New Roman"/>
          <w:snapToGrid/>
        </w:rPr>
        <w:t>.</w:t>
      </w:r>
      <w:r>
        <w:rPr>
          <w:rFonts w:ascii="Times New Roman" w:hAnsi="Times New Roman"/>
          <w:snapToGrid/>
        </w:rPr>
        <w:tab/>
        <w:t xml:space="preserve">On April 20, 2010, PGW placed gas service for High Street in the name of Dr. </w:t>
      </w:r>
      <w:proofErr w:type="spellStart"/>
      <w:proofErr w:type="gramStart"/>
      <w:r>
        <w:rPr>
          <w:rFonts w:ascii="Times New Roman" w:hAnsi="Times New Roman"/>
          <w:snapToGrid/>
        </w:rPr>
        <w:t>Iro’s</w:t>
      </w:r>
      <w:proofErr w:type="spellEnd"/>
      <w:proofErr w:type="gramEnd"/>
      <w:r>
        <w:rPr>
          <w:rFonts w:ascii="Times New Roman" w:hAnsi="Times New Roman"/>
          <w:snapToGrid/>
        </w:rPr>
        <w:t xml:space="preserve"> tenant, </w:t>
      </w:r>
      <w:proofErr w:type="spellStart"/>
      <w:r w:rsidR="00E70A37">
        <w:rPr>
          <w:rFonts w:ascii="Times New Roman" w:hAnsi="Times New Roman"/>
          <w:snapToGrid/>
        </w:rPr>
        <w:t>Towanan</w:t>
      </w:r>
      <w:proofErr w:type="spellEnd"/>
      <w:r w:rsidR="00E70A37">
        <w:rPr>
          <w:rFonts w:ascii="Times New Roman" w:hAnsi="Times New Roman"/>
          <w:snapToGrid/>
        </w:rPr>
        <w:t xml:space="preserve"> </w:t>
      </w:r>
      <w:r>
        <w:rPr>
          <w:rFonts w:ascii="Times New Roman" w:hAnsi="Times New Roman"/>
          <w:snapToGrid/>
        </w:rPr>
        <w:t>Thompson.  Exhibit 3</w:t>
      </w:r>
      <w:r w:rsidR="00E70A37">
        <w:rPr>
          <w:rFonts w:ascii="Times New Roman" w:hAnsi="Times New Roman"/>
          <w:snapToGrid/>
        </w:rPr>
        <w:t>, 6</w:t>
      </w:r>
      <w:r>
        <w:rPr>
          <w:rFonts w:ascii="Times New Roman" w:hAnsi="Times New Roman"/>
          <w:snapToGrid/>
        </w:rPr>
        <w:t>.</w:t>
      </w:r>
    </w:p>
    <w:p w:rsidR="00133EDB" w:rsidRDefault="00133EDB" w:rsidP="00481C49">
      <w:pPr>
        <w:widowControl/>
        <w:spacing w:line="360" w:lineRule="auto"/>
        <w:rPr>
          <w:rFonts w:ascii="Times New Roman" w:hAnsi="Times New Roman"/>
          <w:snapToGrid/>
        </w:rPr>
      </w:pPr>
    </w:p>
    <w:p w:rsidR="00205F5F" w:rsidRDefault="00205F5F" w:rsidP="00481C49">
      <w:pPr>
        <w:widowControl/>
        <w:spacing w:line="360" w:lineRule="auto"/>
        <w:rPr>
          <w:rFonts w:ascii="Times New Roman" w:hAnsi="Times New Roman"/>
          <w:snapToGrid/>
        </w:rPr>
      </w:pPr>
      <w:r>
        <w:rPr>
          <w:rFonts w:ascii="Times New Roman" w:hAnsi="Times New Roman"/>
          <w:snapToGrid/>
        </w:rPr>
        <w:tab/>
      </w:r>
      <w:r>
        <w:rPr>
          <w:rFonts w:ascii="Times New Roman" w:hAnsi="Times New Roman"/>
          <w:snapToGrid/>
        </w:rPr>
        <w:tab/>
      </w:r>
      <w:r w:rsidR="00F716D4">
        <w:rPr>
          <w:rFonts w:ascii="Times New Roman" w:hAnsi="Times New Roman"/>
          <w:snapToGrid/>
        </w:rPr>
        <w:t>2</w:t>
      </w:r>
      <w:r w:rsidR="00DF7013">
        <w:rPr>
          <w:rFonts w:ascii="Times New Roman" w:hAnsi="Times New Roman"/>
          <w:snapToGrid/>
        </w:rPr>
        <w:t>7</w:t>
      </w:r>
      <w:r>
        <w:rPr>
          <w:rFonts w:ascii="Times New Roman" w:hAnsi="Times New Roman"/>
          <w:snapToGrid/>
        </w:rPr>
        <w:t>.</w:t>
      </w:r>
      <w:r>
        <w:rPr>
          <w:rFonts w:ascii="Times New Roman" w:hAnsi="Times New Roman"/>
          <w:snapToGrid/>
        </w:rPr>
        <w:tab/>
        <w:t xml:space="preserve">In April 2010 there is no record that Dr. </w:t>
      </w:r>
      <w:proofErr w:type="gramStart"/>
      <w:r>
        <w:rPr>
          <w:rFonts w:ascii="Times New Roman" w:hAnsi="Times New Roman"/>
          <w:snapToGrid/>
        </w:rPr>
        <w:t>Iro</w:t>
      </w:r>
      <w:proofErr w:type="gramEnd"/>
      <w:r w:rsidR="00564AEE">
        <w:rPr>
          <w:rFonts w:ascii="Times New Roman" w:hAnsi="Times New Roman"/>
          <w:snapToGrid/>
        </w:rPr>
        <w:t xml:space="preserve"> had</w:t>
      </w:r>
      <w:r>
        <w:rPr>
          <w:rFonts w:ascii="Times New Roman" w:hAnsi="Times New Roman"/>
          <w:snapToGrid/>
        </w:rPr>
        <w:t xml:space="preserve"> registered her High Street License Number 466307 with PGW’s LCP.  </w:t>
      </w:r>
      <w:r w:rsidR="00626BB3">
        <w:rPr>
          <w:rFonts w:ascii="Times New Roman" w:hAnsi="Times New Roman"/>
          <w:snapToGrid/>
        </w:rPr>
        <w:tab/>
      </w:r>
      <w:proofErr w:type="gramStart"/>
      <w:r w:rsidR="00956CE5">
        <w:rPr>
          <w:rFonts w:ascii="Times New Roman" w:hAnsi="Times New Roman"/>
          <w:snapToGrid/>
        </w:rPr>
        <w:t>Tr. 71.</w:t>
      </w:r>
      <w:proofErr w:type="gramEnd"/>
      <w:r w:rsidR="00626BB3">
        <w:rPr>
          <w:rFonts w:ascii="Times New Roman" w:hAnsi="Times New Roman"/>
          <w:snapToGrid/>
        </w:rPr>
        <w:tab/>
      </w:r>
    </w:p>
    <w:p w:rsidR="00205F5F" w:rsidRDefault="00205F5F" w:rsidP="00481C49">
      <w:pPr>
        <w:widowControl/>
        <w:spacing w:line="360" w:lineRule="auto"/>
        <w:rPr>
          <w:rFonts w:ascii="Times New Roman" w:hAnsi="Times New Roman"/>
          <w:snapToGrid/>
        </w:rPr>
      </w:pPr>
    </w:p>
    <w:p w:rsidR="00597291" w:rsidRDefault="00DC6CFD" w:rsidP="00481C49">
      <w:pPr>
        <w:widowControl/>
        <w:spacing w:line="360" w:lineRule="auto"/>
        <w:rPr>
          <w:rFonts w:ascii="Times New Roman" w:hAnsi="Times New Roman"/>
          <w:snapToGrid/>
        </w:rPr>
      </w:pPr>
      <w:r>
        <w:rPr>
          <w:rFonts w:ascii="Times New Roman" w:hAnsi="Times New Roman"/>
          <w:snapToGrid/>
        </w:rPr>
        <w:tab/>
      </w:r>
      <w:r>
        <w:rPr>
          <w:rFonts w:ascii="Times New Roman" w:hAnsi="Times New Roman"/>
          <w:snapToGrid/>
        </w:rPr>
        <w:tab/>
      </w:r>
      <w:r w:rsidR="00F716D4">
        <w:rPr>
          <w:rFonts w:ascii="Times New Roman" w:hAnsi="Times New Roman"/>
          <w:snapToGrid/>
        </w:rPr>
        <w:t>2</w:t>
      </w:r>
      <w:r w:rsidR="00DF7013">
        <w:rPr>
          <w:rFonts w:ascii="Times New Roman" w:hAnsi="Times New Roman"/>
          <w:snapToGrid/>
        </w:rPr>
        <w:t>8</w:t>
      </w:r>
      <w:r w:rsidR="00626BB3">
        <w:rPr>
          <w:rFonts w:ascii="Times New Roman" w:hAnsi="Times New Roman"/>
          <w:snapToGrid/>
        </w:rPr>
        <w:t>.</w:t>
      </w:r>
      <w:r w:rsidR="00626BB3">
        <w:rPr>
          <w:rFonts w:ascii="Times New Roman" w:hAnsi="Times New Roman"/>
          <w:snapToGrid/>
        </w:rPr>
        <w:tab/>
      </w:r>
      <w:r w:rsidR="00F716D4">
        <w:rPr>
          <w:rFonts w:ascii="Times New Roman" w:hAnsi="Times New Roman"/>
          <w:snapToGrid/>
        </w:rPr>
        <w:t xml:space="preserve">On May 5, 2010, PGW emailed Dr. Iro </w:t>
      </w:r>
      <w:r w:rsidR="00980160">
        <w:rPr>
          <w:rFonts w:ascii="Times New Roman" w:hAnsi="Times New Roman"/>
          <w:snapToGrid/>
        </w:rPr>
        <w:t>concerning the</w:t>
      </w:r>
      <w:r w:rsidR="00B46A19">
        <w:rPr>
          <w:rFonts w:ascii="Times New Roman" w:hAnsi="Times New Roman"/>
          <w:snapToGrid/>
        </w:rPr>
        <w:t xml:space="preserve"> rental license </w:t>
      </w:r>
      <w:r w:rsidR="00F716D4">
        <w:rPr>
          <w:rFonts w:ascii="Times New Roman" w:hAnsi="Times New Roman"/>
          <w:snapToGrid/>
        </w:rPr>
        <w:t xml:space="preserve">for Greene Street </w:t>
      </w:r>
      <w:r w:rsidR="00980160">
        <w:rPr>
          <w:rFonts w:ascii="Times New Roman" w:hAnsi="Times New Roman"/>
          <w:snapToGrid/>
        </w:rPr>
        <w:t>not being paid on time</w:t>
      </w:r>
      <w:r w:rsidR="00597291">
        <w:rPr>
          <w:rFonts w:ascii="Times New Roman" w:hAnsi="Times New Roman"/>
          <w:snapToGrid/>
        </w:rPr>
        <w:t xml:space="preserve"> and advising her to take corrective measures</w:t>
      </w:r>
      <w:r w:rsidR="00980160">
        <w:rPr>
          <w:rFonts w:ascii="Times New Roman" w:hAnsi="Times New Roman"/>
          <w:snapToGrid/>
        </w:rPr>
        <w:t xml:space="preserve">. </w:t>
      </w:r>
      <w:r w:rsidR="00AF196D">
        <w:rPr>
          <w:rFonts w:ascii="Times New Roman" w:hAnsi="Times New Roman"/>
          <w:snapToGrid/>
        </w:rPr>
        <w:t xml:space="preserve"> </w:t>
      </w:r>
      <w:proofErr w:type="gramStart"/>
      <w:r w:rsidR="00980160">
        <w:rPr>
          <w:rFonts w:ascii="Times New Roman" w:hAnsi="Times New Roman"/>
          <w:snapToGrid/>
        </w:rPr>
        <w:t>Tr. 76.</w:t>
      </w:r>
      <w:proofErr w:type="gramEnd"/>
      <w:r w:rsidR="00980160">
        <w:rPr>
          <w:rFonts w:ascii="Times New Roman" w:hAnsi="Times New Roman"/>
          <w:snapToGrid/>
        </w:rPr>
        <w:t xml:space="preserve"> </w:t>
      </w:r>
    </w:p>
    <w:p w:rsidR="00597291" w:rsidRDefault="00597291" w:rsidP="00481C49">
      <w:pPr>
        <w:widowControl/>
        <w:spacing w:line="360" w:lineRule="auto"/>
        <w:rPr>
          <w:rFonts w:ascii="Times New Roman" w:hAnsi="Times New Roman"/>
          <w:snapToGrid/>
        </w:rPr>
      </w:pPr>
    </w:p>
    <w:p w:rsidR="00980160" w:rsidRDefault="00597291" w:rsidP="00481C49">
      <w:pPr>
        <w:widowControl/>
        <w:spacing w:line="360" w:lineRule="auto"/>
        <w:rPr>
          <w:rFonts w:ascii="Times New Roman" w:hAnsi="Times New Roman"/>
          <w:snapToGrid/>
        </w:rPr>
      </w:pPr>
      <w:r>
        <w:rPr>
          <w:rFonts w:ascii="Times New Roman" w:hAnsi="Times New Roman"/>
          <w:snapToGrid/>
        </w:rPr>
        <w:tab/>
      </w:r>
      <w:r>
        <w:rPr>
          <w:rFonts w:ascii="Times New Roman" w:hAnsi="Times New Roman"/>
          <w:snapToGrid/>
        </w:rPr>
        <w:tab/>
        <w:t>2</w:t>
      </w:r>
      <w:r w:rsidR="00DF7013">
        <w:rPr>
          <w:rFonts w:ascii="Times New Roman" w:hAnsi="Times New Roman"/>
          <w:snapToGrid/>
        </w:rPr>
        <w:t>9</w:t>
      </w:r>
      <w:r>
        <w:rPr>
          <w:rFonts w:ascii="Times New Roman" w:hAnsi="Times New Roman"/>
          <w:snapToGrid/>
        </w:rPr>
        <w:t>.</w:t>
      </w:r>
      <w:r>
        <w:rPr>
          <w:rFonts w:ascii="Times New Roman" w:hAnsi="Times New Roman"/>
          <w:snapToGrid/>
        </w:rPr>
        <w:tab/>
        <w:t xml:space="preserve">The License Department issues rental licenses for a one year period. </w:t>
      </w:r>
      <w:r w:rsidR="00231D39">
        <w:rPr>
          <w:rFonts w:ascii="Times New Roman" w:hAnsi="Times New Roman"/>
          <w:snapToGrid/>
        </w:rPr>
        <w:t xml:space="preserve"> </w:t>
      </w:r>
      <w:r>
        <w:rPr>
          <w:rFonts w:ascii="Times New Roman" w:hAnsi="Times New Roman"/>
          <w:snapToGrid/>
        </w:rPr>
        <w:t xml:space="preserve">All rental licenses expire on the last day of February of the following year.  </w:t>
      </w:r>
      <w:proofErr w:type="gramStart"/>
      <w:r>
        <w:rPr>
          <w:rFonts w:ascii="Times New Roman" w:hAnsi="Times New Roman"/>
          <w:snapToGrid/>
        </w:rPr>
        <w:t>Tr. 64.</w:t>
      </w:r>
      <w:proofErr w:type="gramEnd"/>
      <w:r>
        <w:rPr>
          <w:rFonts w:ascii="Times New Roman" w:hAnsi="Times New Roman"/>
          <w:snapToGrid/>
        </w:rPr>
        <w:t xml:space="preserve">   </w:t>
      </w:r>
      <w:r w:rsidR="00980160">
        <w:rPr>
          <w:rFonts w:ascii="Times New Roman" w:hAnsi="Times New Roman"/>
          <w:snapToGrid/>
        </w:rPr>
        <w:t xml:space="preserve"> </w:t>
      </w:r>
    </w:p>
    <w:p w:rsidR="00980160" w:rsidRDefault="00980160" w:rsidP="00481C49">
      <w:pPr>
        <w:widowControl/>
        <w:spacing w:line="360" w:lineRule="auto"/>
        <w:rPr>
          <w:rFonts w:ascii="Times New Roman" w:hAnsi="Times New Roman"/>
          <w:snapToGrid/>
        </w:rPr>
      </w:pPr>
    </w:p>
    <w:p w:rsidR="0050250A" w:rsidRDefault="00564AEE" w:rsidP="00481C49">
      <w:pPr>
        <w:widowControl/>
        <w:spacing w:line="360" w:lineRule="auto"/>
        <w:rPr>
          <w:rFonts w:ascii="Times New Roman" w:hAnsi="Times New Roman"/>
          <w:snapToGrid/>
        </w:rPr>
      </w:pPr>
      <w:r>
        <w:rPr>
          <w:rFonts w:ascii="Times New Roman" w:hAnsi="Times New Roman"/>
          <w:snapToGrid/>
        </w:rPr>
        <w:lastRenderedPageBreak/>
        <w:tab/>
      </w:r>
      <w:r>
        <w:rPr>
          <w:rFonts w:ascii="Times New Roman" w:hAnsi="Times New Roman"/>
          <w:snapToGrid/>
        </w:rPr>
        <w:tab/>
      </w:r>
      <w:r w:rsidR="00DF7013">
        <w:rPr>
          <w:rFonts w:ascii="Times New Roman" w:hAnsi="Times New Roman"/>
          <w:snapToGrid/>
        </w:rPr>
        <w:t>30</w:t>
      </w:r>
      <w:r>
        <w:rPr>
          <w:rFonts w:ascii="Times New Roman" w:hAnsi="Times New Roman"/>
          <w:snapToGrid/>
        </w:rPr>
        <w:t>.</w:t>
      </w:r>
      <w:r>
        <w:rPr>
          <w:rFonts w:ascii="Times New Roman" w:hAnsi="Times New Roman"/>
          <w:snapToGrid/>
        </w:rPr>
        <w:tab/>
      </w:r>
      <w:r w:rsidR="0050250A">
        <w:rPr>
          <w:rFonts w:ascii="Times New Roman" w:hAnsi="Times New Roman"/>
          <w:snapToGrid/>
        </w:rPr>
        <w:t xml:space="preserve">On March 2, 2010, Dr. </w:t>
      </w:r>
      <w:proofErr w:type="gramStart"/>
      <w:r w:rsidR="0050250A">
        <w:rPr>
          <w:rFonts w:ascii="Times New Roman" w:hAnsi="Times New Roman"/>
          <w:snapToGrid/>
        </w:rPr>
        <w:t>Iro</w:t>
      </w:r>
      <w:proofErr w:type="gramEnd"/>
      <w:r w:rsidR="0050250A">
        <w:rPr>
          <w:rFonts w:ascii="Times New Roman" w:hAnsi="Times New Roman"/>
          <w:snapToGrid/>
        </w:rPr>
        <w:t xml:space="preserve"> </w:t>
      </w:r>
      <w:r w:rsidR="00DF7013">
        <w:rPr>
          <w:rFonts w:ascii="Times New Roman" w:hAnsi="Times New Roman"/>
          <w:snapToGrid/>
        </w:rPr>
        <w:t xml:space="preserve">had </w:t>
      </w:r>
      <w:r w:rsidR="0050250A">
        <w:rPr>
          <w:rFonts w:ascii="Times New Roman" w:hAnsi="Times New Roman"/>
          <w:snapToGrid/>
        </w:rPr>
        <w:t xml:space="preserve">paid the rental license fee for Greene Street and the License Department issued </w:t>
      </w:r>
      <w:r w:rsidR="001D1ECA">
        <w:rPr>
          <w:rFonts w:ascii="Times New Roman" w:hAnsi="Times New Roman"/>
          <w:snapToGrid/>
        </w:rPr>
        <w:t xml:space="preserve">a new </w:t>
      </w:r>
      <w:r w:rsidR="0050250A">
        <w:rPr>
          <w:rFonts w:ascii="Times New Roman" w:hAnsi="Times New Roman"/>
          <w:snapToGrid/>
        </w:rPr>
        <w:t xml:space="preserve">rental License Number 466306 for Greene Street.  Exhibit B, p. 3.  However, Dr. </w:t>
      </w:r>
      <w:proofErr w:type="gramStart"/>
      <w:r w:rsidR="0050250A">
        <w:rPr>
          <w:rFonts w:ascii="Times New Roman" w:hAnsi="Times New Roman"/>
          <w:snapToGrid/>
        </w:rPr>
        <w:t>Iro</w:t>
      </w:r>
      <w:proofErr w:type="gramEnd"/>
      <w:r w:rsidR="0050250A">
        <w:rPr>
          <w:rFonts w:ascii="Times New Roman" w:hAnsi="Times New Roman"/>
          <w:snapToGrid/>
        </w:rPr>
        <w:t xml:space="preserve"> did not register Greene Street’s rental License Number 466306 with the LCP.</w:t>
      </w:r>
    </w:p>
    <w:p w:rsidR="0050250A" w:rsidRDefault="0050250A" w:rsidP="00481C49">
      <w:pPr>
        <w:widowControl/>
        <w:spacing w:line="360" w:lineRule="auto"/>
        <w:rPr>
          <w:rFonts w:ascii="Times New Roman" w:hAnsi="Times New Roman"/>
          <w:snapToGrid/>
        </w:rPr>
      </w:pPr>
    </w:p>
    <w:p w:rsidR="00361BBE" w:rsidRDefault="0050250A" w:rsidP="00481C49">
      <w:pPr>
        <w:widowControl/>
        <w:spacing w:line="360" w:lineRule="auto"/>
        <w:rPr>
          <w:rFonts w:ascii="Times New Roman" w:hAnsi="Times New Roman"/>
          <w:snapToGrid/>
        </w:rPr>
      </w:pPr>
      <w:r>
        <w:rPr>
          <w:rFonts w:ascii="Times New Roman" w:hAnsi="Times New Roman"/>
          <w:snapToGrid/>
        </w:rPr>
        <w:tab/>
      </w:r>
      <w:r>
        <w:rPr>
          <w:rFonts w:ascii="Times New Roman" w:hAnsi="Times New Roman"/>
          <w:snapToGrid/>
        </w:rPr>
        <w:tab/>
      </w:r>
      <w:r w:rsidR="00DF7013">
        <w:rPr>
          <w:rFonts w:ascii="Times New Roman" w:hAnsi="Times New Roman"/>
          <w:snapToGrid/>
        </w:rPr>
        <w:t>31</w:t>
      </w:r>
      <w:r>
        <w:rPr>
          <w:rFonts w:ascii="Times New Roman" w:hAnsi="Times New Roman"/>
          <w:snapToGrid/>
        </w:rPr>
        <w:t>.</w:t>
      </w:r>
      <w:r>
        <w:rPr>
          <w:rFonts w:ascii="Times New Roman" w:hAnsi="Times New Roman"/>
          <w:snapToGrid/>
        </w:rPr>
        <w:tab/>
      </w:r>
      <w:r w:rsidR="00B27F2F">
        <w:rPr>
          <w:rFonts w:ascii="Times New Roman" w:hAnsi="Times New Roman"/>
          <w:snapToGrid/>
        </w:rPr>
        <w:t xml:space="preserve">On June 11, 2010, PGW emailed Dr. </w:t>
      </w:r>
      <w:proofErr w:type="gramStart"/>
      <w:r w:rsidR="00B27F2F">
        <w:rPr>
          <w:rFonts w:ascii="Times New Roman" w:hAnsi="Times New Roman"/>
          <w:snapToGrid/>
        </w:rPr>
        <w:t>Iro</w:t>
      </w:r>
      <w:proofErr w:type="gramEnd"/>
      <w:r w:rsidR="00B27F2F">
        <w:rPr>
          <w:rFonts w:ascii="Times New Roman" w:hAnsi="Times New Roman"/>
          <w:snapToGrid/>
        </w:rPr>
        <w:t xml:space="preserve"> </w:t>
      </w:r>
      <w:r w:rsidR="00361BBE">
        <w:rPr>
          <w:rFonts w:ascii="Times New Roman" w:hAnsi="Times New Roman"/>
          <w:snapToGrid/>
        </w:rPr>
        <w:t>stating that her participation in the LCP had been terminated because she had failed to re</w:t>
      </w:r>
      <w:r w:rsidR="00AF196D">
        <w:rPr>
          <w:rFonts w:ascii="Times New Roman" w:hAnsi="Times New Roman"/>
          <w:snapToGrid/>
        </w:rPr>
        <w:t>spond</w:t>
      </w:r>
      <w:r w:rsidR="00DF7013">
        <w:rPr>
          <w:rFonts w:ascii="Times New Roman" w:hAnsi="Times New Roman"/>
          <w:snapToGrid/>
        </w:rPr>
        <w:t xml:space="preserve"> to</w:t>
      </w:r>
      <w:r w:rsidR="00AF196D">
        <w:rPr>
          <w:rFonts w:ascii="Times New Roman" w:hAnsi="Times New Roman"/>
          <w:snapToGrid/>
        </w:rPr>
        <w:t xml:space="preserve"> </w:t>
      </w:r>
      <w:r w:rsidR="00FD365C" w:rsidRPr="00DF6BF6">
        <w:rPr>
          <w:rFonts w:ascii="Times New Roman" w:hAnsi="Times New Roman"/>
          <w:snapToGrid/>
          <w:color w:val="000000" w:themeColor="text1"/>
        </w:rPr>
        <w:t>PGW’s</w:t>
      </w:r>
      <w:r w:rsidR="00FD365C">
        <w:rPr>
          <w:rFonts w:ascii="Times New Roman" w:hAnsi="Times New Roman"/>
          <w:snapToGrid/>
          <w:color w:val="FF0000"/>
        </w:rPr>
        <w:t xml:space="preserve"> </w:t>
      </w:r>
      <w:r w:rsidR="00AF196D">
        <w:rPr>
          <w:rFonts w:ascii="Times New Roman" w:hAnsi="Times New Roman"/>
          <w:snapToGrid/>
        </w:rPr>
        <w:t>May 5, 2010 e</w:t>
      </w:r>
      <w:r w:rsidR="00597291">
        <w:rPr>
          <w:rFonts w:ascii="Times New Roman" w:hAnsi="Times New Roman"/>
          <w:snapToGrid/>
        </w:rPr>
        <w:t>mail.</w:t>
      </w:r>
      <w:r w:rsidR="001D1ECA">
        <w:rPr>
          <w:rFonts w:ascii="Times New Roman" w:hAnsi="Times New Roman"/>
          <w:snapToGrid/>
        </w:rPr>
        <w:t xml:space="preserve">  </w:t>
      </w:r>
      <w:r w:rsidR="00361BBE">
        <w:rPr>
          <w:rFonts w:ascii="Times New Roman" w:hAnsi="Times New Roman"/>
          <w:snapToGrid/>
        </w:rPr>
        <w:t>Tr. 75</w:t>
      </w:r>
      <w:r w:rsidR="001D1ECA">
        <w:rPr>
          <w:rFonts w:ascii="Times New Roman" w:hAnsi="Times New Roman"/>
          <w:snapToGrid/>
        </w:rPr>
        <w:t>-76</w:t>
      </w:r>
      <w:r w:rsidR="00361BBE">
        <w:rPr>
          <w:rFonts w:ascii="Times New Roman" w:hAnsi="Times New Roman"/>
          <w:snapToGrid/>
        </w:rPr>
        <w:t>; Complaint, Attachment.</w:t>
      </w:r>
    </w:p>
    <w:p w:rsidR="0050250A" w:rsidRDefault="0050250A" w:rsidP="00481C49">
      <w:pPr>
        <w:widowControl/>
        <w:spacing w:line="360" w:lineRule="auto"/>
        <w:rPr>
          <w:rFonts w:ascii="Times New Roman" w:hAnsi="Times New Roman"/>
          <w:snapToGrid/>
        </w:rPr>
      </w:pPr>
    </w:p>
    <w:p w:rsidR="00361BBE" w:rsidRDefault="000A5830" w:rsidP="00481C49">
      <w:pPr>
        <w:widowControl/>
        <w:spacing w:line="360" w:lineRule="auto"/>
        <w:rPr>
          <w:rFonts w:ascii="Times New Roman" w:hAnsi="Times New Roman"/>
          <w:snapToGrid/>
        </w:rPr>
      </w:pPr>
      <w:r>
        <w:rPr>
          <w:rFonts w:ascii="Times New Roman" w:hAnsi="Times New Roman"/>
          <w:snapToGrid/>
        </w:rPr>
        <w:tab/>
      </w:r>
      <w:r>
        <w:rPr>
          <w:rFonts w:ascii="Times New Roman" w:hAnsi="Times New Roman"/>
          <w:snapToGrid/>
        </w:rPr>
        <w:tab/>
      </w:r>
      <w:r w:rsidR="00F92C71">
        <w:rPr>
          <w:rFonts w:ascii="Times New Roman" w:hAnsi="Times New Roman"/>
          <w:snapToGrid/>
        </w:rPr>
        <w:t>32</w:t>
      </w:r>
      <w:r w:rsidR="00B11D45">
        <w:rPr>
          <w:rFonts w:ascii="Times New Roman" w:hAnsi="Times New Roman"/>
          <w:snapToGrid/>
        </w:rPr>
        <w:t>.</w:t>
      </w:r>
      <w:r w:rsidR="00B11D45">
        <w:rPr>
          <w:rFonts w:ascii="Times New Roman" w:hAnsi="Times New Roman"/>
          <w:snapToGrid/>
        </w:rPr>
        <w:tab/>
      </w:r>
      <w:r w:rsidR="00361BBE">
        <w:rPr>
          <w:rFonts w:ascii="Times New Roman" w:hAnsi="Times New Roman"/>
          <w:snapToGrid/>
        </w:rPr>
        <w:t xml:space="preserve">In response to PGW’s June 11, 2010 email, </w:t>
      </w:r>
      <w:r w:rsidR="00C210D4">
        <w:rPr>
          <w:rFonts w:ascii="Times New Roman" w:hAnsi="Times New Roman"/>
          <w:snapToGrid/>
        </w:rPr>
        <w:t xml:space="preserve">on June 14, 2010, Dr. </w:t>
      </w:r>
      <w:proofErr w:type="gramStart"/>
      <w:r w:rsidR="00C210D4">
        <w:rPr>
          <w:rFonts w:ascii="Times New Roman" w:hAnsi="Times New Roman"/>
          <w:snapToGrid/>
        </w:rPr>
        <w:t>Iro</w:t>
      </w:r>
      <w:proofErr w:type="gramEnd"/>
      <w:r w:rsidR="00C210D4">
        <w:rPr>
          <w:rFonts w:ascii="Times New Roman" w:hAnsi="Times New Roman"/>
          <w:snapToGrid/>
        </w:rPr>
        <w:t xml:space="preserve"> </w:t>
      </w:r>
      <w:r w:rsidR="00361BBE">
        <w:rPr>
          <w:rFonts w:ascii="Times New Roman" w:hAnsi="Times New Roman"/>
          <w:snapToGrid/>
        </w:rPr>
        <w:t>emailed PGW</w:t>
      </w:r>
      <w:r w:rsidR="00DF7013">
        <w:rPr>
          <w:rFonts w:ascii="Times New Roman" w:hAnsi="Times New Roman"/>
          <w:snapToGrid/>
        </w:rPr>
        <w:t xml:space="preserve"> and </w:t>
      </w:r>
      <w:r w:rsidR="00361BBE">
        <w:rPr>
          <w:rFonts w:ascii="Times New Roman" w:hAnsi="Times New Roman"/>
          <w:snapToGrid/>
        </w:rPr>
        <w:t>stat</w:t>
      </w:r>
      <w:r w:rsidR="00C210D4">
        <w:rPr>
          <w:rFonts w:ascii="Times New Roman" w:hAnsi="Times New Roman"/>
          <w:snapToGrid/>
        </w:rPr>
        <w:t xml:space="preserve">ed </w:t>
      </w:r>
      <w:r w:rsidR="00F43359">
        <w:rPr>
          <w:rFonts w:ascii="Times New Roman" w:hAnsi="Times New Roman"/>
          <w:snapToGrid/>
        </w:rPr>
        <w:t xml:space="preserve">her </w:t>
      </w:r>
      <w:r w:rsidR="001D1ECA">
        <w:rPr>
          <w:rFonts w:ascii="Times New Roman" w:hAnsi="Times New Roman"/>
          <w:snapToGrid/>
        </w:rPr>
        <w:t>Gr</w:t>
      </w:r>
      <w:r w:rsidR="00361BBE">
        <w:rPr>
          <w:rFonts w:ascii="Times New Roman" w:hAnsi="Times New Roman"/>
          <w:snapToGrid/>
        </w:rPr>
        <w:t xml:space="preserve">eene Street </w:t>
      </w:r>
      <w:r w:rsidR="00F43359">
        <w:rPr>
          <w:rFonts w:ascii="Times New Roman" w:hAnsi="Times New Roman"/>
          <w:snapToGrid/>
        </w:rPr>
        <w:t xml:space="preserve">rental </w:t>
      </w:r>
      <w:r w:rsidR="00361BBE">
        <w:rPr>
          <w:rFonts w:ascii="Times New Roman" w:hAnsi="Times New Roman"/>
          <w:snapToGrid/>
        </w:rPr>
        <w:t>license number</w:t>
      </w:r>
      <w:r w:rsidR="001D1ECA">
        <w:rPr>
          <w:rFonts w:ascii="Times New Roman" w:hAnsi="Times New Roman"/>
          <w:snapToGrid/>
        </w:rPr>
        <w:t xml:space="preserve"> was up to date</w:t>
      </w:r>
      <w:r w:rsidR="00F43359">
        <w:rPr>
          <w:rFonts w:ascii="Times New Roman" w:hAnsi="Times New Roman"/>
          <w:snapToGrid/>
        </w:rPr>
        <w:t>;</w:t>
      </w:r>
      <w:r w:rsidR="00C210D4">
        <w:rPr>
          <w:rFonts w:ascii="Times New Roman" w:hAnsi="Times New Roman"/>
          <w:snapToGrid/>
        </w:rPr>
        <w:t xml:space="preserve"> </w:t>
      </w:r>
      <w:r w:rsidR="001D1ECA">
        <w:rPr>
          <w:rFonts w:ascii="Times New Roman" w:hAnsi="Times New Roman"/>
          <w:snapToGrid/>
        </w:rPr>
        <w:t>she could provide proof of payment of the license fee by fax, if needed</w:t>
      </w:r>
      <w:r w:rsidR="00F43359">
        <w:rPr>
          <w:rFonts w:ascii="Times New Roman" w:hAnsi="Times New Roman"/>
          <w:snapToGrid/>
        </w:rPr>
        <w:t>;</w:t>
      </w:r>
      <w:r w:rsidR="001D1ECA">
        <w:rPr>
          <w:rFonts w:ascii="Times New Roman" w:hAnsi="Times New Roman"/>
          <w:snapToGrid/>
        </w:rPr>
        <w:t xml:space="preserve"> </w:t>
      </w:r>
      <w:r w:rsidR="00361BBE">
        <w:rPr>
          <w:rFonts w:ascii="Times New Roman" w:hAnsi="Times New Roman"/>
          <w:snapToGrid/>
        </w:rPr>
        <w:t>and she want</w:t>
      </w:r>
      <w:r w:rsidR="00C210D4">
        <w:rPr>
          <w:rFonts w:ascii="Times New Roman" w:hAnsi="Times New Roman"/>
          <w:snapToGrid/>
        </w:rPr>
        <w:t>ed</w:t>
      </w:r>
      <w:r w:rsidR="00361BBE">
        <w:rPr>
          <w:rFonts w:ascii="Times New Roman" w:hAnsi="Times New Roman"/>
          <w:snapToGrid/>
        </w:rPr>
        <w:t xml:space="preserve"> to remain an active participant in the LCP.  Tr. 75; Exhibit A.</w:t>
      </w:r>
    </w:p>
    <w:p w:rsidR="00361BBE" w:rsidRDefault="00361BBE" w:rsidP="00481C49">
      <w:pPr>
        <w:widowControl/>
        <w:spacing w:line="360" w:lineRule="auto"/>
        <w:rPr>
          <w:rFonts w:ascii="Times New Roman" w:hAnsi="Times New Roman"/>
          <w:snapToGrid/>
        </w:rPr>
      </w:pPr>
    </w:p>
    <w:p w:rsidR="008F3B96" w:rsidRDefault="00361BBE" w:rsidP="00481C49">
      <w:pPr>
        <w:widowControl/>
        <w:spacing w:line="360" w:lineRule="auto"/>
        <w:rPr>
          <w:rFonts w:ascii="Times New Roman" w:hAnsi="Times New Roman"/>
          <w:snapToGrid/>
        </w:rPr>
      </w:pPr>
      <w:r>
        <w:rPr>
          <w:rFonts w:ascii="Times New Roman" w:hAnsi="Times New Roman"/>
          <w:snapToGrid/>
        </w:rPr>
        <w:tab/>
      </w:r>
      <w:r>
        <w:rPr>
          <w:rFonts w:ascii="Times New Roman" w:hAnsi="Times New Roman"/>
          <w:snapToGrid/>
        </w:rPr>
        <w:tab/>
      </w:r>
      <w:r w:rsidR="00F92C71">
        <w:rPr>
          <w:rFonts w:ascii="Times New Roman" w:hAnsi="Times New Roman"/>
          <w:snapToGrid/>
        </w:rPr>
        <w:t>33</w:t>
      </w:r>
      <w:r>
        <w:rPr>
          <w:rFonts w:ascii="Times New Roman" w:hAnsi="Times New Roman"/>
          <w:snapToGrid/>
        </w:rPr>
        <w:t>.</w:t>
      </w:r>
      <w:r>
        <w:rPr>
          <w:rFonts w:ascii="Times New Roman" w:hAnsi="Times New Roman"/>
          <w:snapToGrid/>
        </w:rPr>
        <w:tab/>
        <w:t>In her</w:t>
      </w:r>
      <w:r w:rsidR="006758B6">
        <w:rPr>
          <w:rFonts w:ascii="Times New Roman" w:hAnsi="Times New Roman"/>
          <w:snapToGrid/>
        </w:rPr>
        <w:t xml:space="preserve"> June 1</w:t>
      </w:r>
      <w:r w:rsidR="00794104">
        <w:rPr>
          <w:rFonts w:ascii="Times New Roman" w:hAnsi="Times New Roman"/>
          <w:snapToGrid/>
        </w:rPr>
        <w:t>4</w:t>
      </w:r>
      <w:r w:rsidR="00AF6F22">
        <w:rPr>
          <w:rFonts w:ascii="Times New Roman" w:hAnsi="Times New Roman"/>
          <w:snapToGrid/>
        </w:rPr>
        <w:t>, 2010</w:t>
      </w:r>
      <w:r w:rsidR="00F43359">
        <w:rPr>
          <w:rFonts w:ascii="Times New Roman" w:hAnsi="Times New Roman"/>
          <w:snapToGrid/>
        </w:rPr>
        <w:t xml:space="preserve"> email,</w:t>
      </w:r>
      <w:r w:rsidR="006758B6">
        <w:rPr>
          <w:rFonts w:ascii="Times New Roman" w:hAnsi="Times New Roman"/>
          <w:snapToGrid/>
        </w:rPr>
        <w:t xml:space="preserve"> Dr. </w:t>
      </w:r>
      <w:proofErr w:type="gramStart"/>
      <w:r w:rsidR="006758B6">
        <w:rPr>
          <w:rFonts w:ascii="Times New Roman" w:hAnsi="Times New Roman"/>
          <w:snapToGrid/>
        </w:rPr>
        <w:t>Iro</w:t>
      </w:r>
      <w:proofErr w:type="gramEnd"/>
      <w:r w:rsidR="006758B6">
        <w:rPr>
          <w:rFonts w:ascii="Times New Roman" w:hAnsi="Times New Roman"/>
          <w:snapToGrid/>
        </w:rPr>
        <w:t xml:space="preserve"> </w:t>
      </w:r>
      <w:r w:rsidR="00F43359">
        <w:rPr>
          <w:rFonts w:ascii="Times New Roman" w:hAnsi="Times New Roman"/>
          <w:snapToGrid/>
        </w:rPr>
        <w:t xml:space="preserve">asked </w:t>
      </w:r>
      <w:r w:rsidR="006758B6">
        <w:rPr>
          <w:rFonts w:ascii="Times New Roman" w:hAnsi="Times New Roman"/>
          <w:snapToGrid/>
        </w:rPr>
        <w:t xml:space="preserve">PGW </w:t>
      </w:r>
      <w:r w:rsidR="00F43359">
        <w:rPr>
          <w:rFonts w:ascii="Times New Roman" w:hAnsi="Times New Roman"/>
          <w:snapToGrid/>
        </w:rPr>
        <w:t xml:space="preserve">to provide her </w:t>
      </w:r>
      <w:r w:rsidR="006758B6">
        <w:rPr>
          <w:rFonts w:ascii="Times New Roman" w:hAnsi="Times New Roman"/>
          <w:snapToGrid/>
        </w:rPr>
        <w:t>instruction</w:t>
      </w:r>
      <w:r w:rsidR="00F43359">
        <w:rPr>
          <w:rFonts w:ascii="Times New Roman" w:hAnsi="Times New Roman"/>
          <w:snapToGrid/>
        </w:rPr>
        <w:t>s</w:t>
      </w:r>
      <w:r w:rsidR="006758B6">
        <w:rPr>
          <w:rFonts w:ascii="Times New Roman" w:hAnsi="Times New Roman"/>
          <w:snapToGrid/>
        </w:rPr>
        <w:t xml:space="preserve"> on how to reset her username and password for </w:t>
      </w:r>
      <w:r w:rsidR="00DF7013">
        <w:rPr>
          <w:rFonts w:ascii="Times New Roman" w:hAnsi="Times New Roman"/>
          <w:snapToGrid/>
        </w:rPr>
        <w:t>her</w:t>
      </w:r>
      <w:r w:rsidR="000163E6">
        <w:rPr>
          <w:rFonts w:ascii="Times New Roman" w:hAnsi="Times New Roman"/>
          <w:snapToGrid/>
        </w:rPr>
        <w:t xml:space="preserve"> </w:t>
      </w:r>
      <w:r w:rsidR="006758B6">
        <w:rPr>
          <w:rFonts w:ascii="Times New Roman" w:hAnsi="Times New Roman"/>
          <w:snapToGrid/>
        </w:rPr>
        <w:t xml:space="preserve">LCP account for her Greene Street rental property because she had forgotten her username and password.  </w:t>
      </w:r>
      <w:r w:rsidR="000007F4">
        <w:rPr>
          <w:rFonts w:ascii="Times New Roman" w:hAnsi="Times New Roman"/>
          <w:snapToGrid/>
        </w:rPr>
        <w:t xml:space="preserve">Tr. </w:t>
      </w:r>
      <w:r w:rsidR="00B65688">
        <w:rPr>
          <w:rFonts w:ascii="Times New Roman" w:hAnsi="Times New Roman"/>
          <w:snapToGrid/>
        </w:rPr>
        <w:t xml:space="preserve">35, </w:t>
      </w:r>
      <w:r w:rsidR="000007F4">
        <w:rPr>
          <w:rFonts w:ascii="Times New Roman" w:hAnsi="Times New Roman"/>
          <w:snapToGrid/>
        </w:rPr>
        <w:t xml:space="preserve">42; </w:t>
      </w:r>
      <w:r w:rsidR="006758B6">
        <w:rPr>
          <w:rFonts w:ascii="Times New Roman" w:hAnsi="Times New Roman"/>
          <w:snapToGrid/>
        </w:rPr>
        <w:t>Exhibit A.</w:t>
      </w:r>
    </w:p>
    <w:p w:rsidR="006758B6" w:rsidRDefault="006758B6" w:rsidP="00481C49">
      <w:pPr>
        <w:widowControl/>
        <w:spacing w:line="360" w:lineRule="auto"/>
        <w:rPr>
          <w:rFonts w:ascii="Times New Roman" w:hAnsi="Times New Roman"/>
          <w:snapToGrid/>
        </w:rPr>
      </w:pPr>
    </w:p>
    <w:p w:rsidR="00564AEE" w:rsidRDefault="00E70A37" w:rsidP="00481C49">
      <w:pPr>
        <w:widowControl/>
        <w:spacing w:line="360" w:lineRule="auto"/>
        <w:rPr>
          <w:rFonts w:ascii="Times New Roman" w:hAnsi="Times New Roman"/>
          <w:snapToGrid/>
        </w:rPr>
      </w:pPr>
      <w:r>
        <w:rPr>
          <w:rFonts w:ascii="Times New Roman" w:hAnsi="Times New Roman"/>
          <w:snapToGrid/>
        </w:rPr>
        <w:tab/>
      </w:r>
      <w:r>
        <w:rPr>
          <w:rFonts w:ascii="Times New Roman" w:hAnsi="Times New Roman"/>
          <w:snapToGrid/>
        </w:rPr>
        <w:tab/>
      </w:r>
      <w:r w:rsidR="00284FA5">
        <w:rPr>
          <w:rFonts w:ascii="Times New Roman" w:hAnsi="Times New Roman"/>
          <w:snapToGrid/>
        </w:rPr>
        <w:t>3</w:t>
      </w:r>
      <w:r w:rsidR="00F92C71">
        <w:rPr>
          <w:rFonts w:ascii="Times New Roman" w:hAnsi="Times New Roman"/>
          <w:snapToGrid/>
        </w:rPr>
        <w:t>4</w:t>
      </w:r>
      <w:r>
        <w:rPr>
          <w:rFonts w:ascii="Times New Roman" w:hAnsi="Times New Roman"/>
          <w:snapToGrid/>
        </w:rPr>
        <w:t>.</w:t>
      </w:r>
      <w:r>
        <w:rPr>
          <w:rFonts w:ascii="Times New Roman" w:hAnsi="Times New Roman"/>
          <w:snapToGrid/>
        </w:rPr>
        <w:tab/>
      </w:r>
      <w:r w:rsidR="00564AEE">
        <w:rPr>
          <w:rFonts w:ascii="Times New Roman" w:hAnsi="Times New Roman"/>
          <w:snapToGrid/>
        </w:rPr>
        <w:t>When PGW receives a landlord</w:t>
      </w:r>
      <w:r w:rsidR="003F3463">
        <w:rPr>
          <w:rFonts w:ascii="Times New Roman" w:hAnsi="Times New Roman"/>
          <w:snapToGrid/>
        </w:rPr>
        <w:t>’</w:t>
      </w:r>
      <w:r w:rsidR="00564AEE">
        <w:rPr>
          <w:rFonts w:ascii="Times New Roman" w:hAnsi="Times New Roman"/>
          <w:snapToGrid/>
        </w:rPr>
        <w:t xml:space="preserve">s requests for her username and password </w:t>
      </w:r>
      <w:r w:rsidR="00F43359">
        <w:rPr>
          <w:rFonts w:ascii="Times New Roman" w:hAnsi="Times New Roman"/>
          <w:snapToGrid/>
        </w:rPr>
        <w:t xml:space="preserve">before emailing the requested username and password to the landlord, </w:t>
      </w:r>
      <w:r w:rsidR="00564AEE">
        <w:rPr>
          <w:rFonts w:ascii="Times New Roman" w:hAnsi="Times New Roman"/>
          <w:snapToGrid/>
        </w:rPr>
        <w:t xml:space="preserve">PGW accesses the landlord’s LCP account to verify </w:t>
      </w:r>
      <w:r w:rsidR="00050E3F">
        <w:rPr>
          <w:rFonts w:ascii="Times New Roman" w:hAnsi="Times New Roman"/>
          <w:snapToGrid/>
        </w:rPr>
        <w:t xml:space="preserve">and test </w:t>
      </w:r>
      <w:r w:rsidR="00564AEE">
        <w:rPr>
          <w:rFonts w:ascii="Times New Roman" w:hAnsi="Times New Roman"/>
          <w:snapToGrid/>
        </w:rPr>
        <w:t xml:space="preserve">the username and password </w:t>
      </w:r>
      <w:r w:rsidR="00050E3F">
        <w:rPr>
          <w:rFonts w:ascii="Times New Roman" w:hAnsi="Times New Roman"/>
          <w:snapToGrid/>
        </w:rPr>
        <w:t xml:space="preserve">to ensure they </w:t>
      </w:r>
      <w:r w:rsidR="00AF6F22">
        <w:rPr>
          <w:rFonts w:ascii="Times New Roman" w:hAnsi="Times New Roman"/>
          <w:snapToGrid/>
        </w:rPr>
        <w:t>are operative</w:t>
      </w:r>
      <w:r w:rsidR="00564AEE">
        <w:rPr>
          <w:rFonts w:ascii="Times New Roman" w:hAnsi="Times New Roman"/>
          <w:snapToGrid/>
        </w:rPr>
        <w:t xml:space="preserve"> </w:t>
      </w:r>
      <w:r w:rsidR="00F43359">
        <w:rPr>
          <w:rFonts w:ascii="Times New Roman" w:hAnsi="Times New Roman"/>
          <w:snapToGrid/>
        </w:rPr>
        <w:t xml:space="preserve">in its system </w:t>
      </w:r>
      <w:r w:rsidR="00564AEE">
        <w:rPr>
          <w:rFonts w:ascii="Times New Roman" w:hAnsi="Times New Roman"/>
          <w:snapToGrid/>
        </w:rPr>
        <w:t>and then emails th</w:t>
      </w:r>
      <w:r w:rsidR="00050E3F">
        <w:rPr>
          <w:rFonts w:ascii="Times New Roman" w:hAnsi="Times New Roman"/>
          <w:snapToGrid/>
        </w:rPr>
        <w:t>e</w:t>
      </w:r>
      <w:r w:rsidR="00564AEE">
        <w:rPr>
          <w:rFonts w:ascii="Times New Roman" w:hAnsi="Times New Roman"/>
          <w:snapToGrid/>
        </w:rPr>
        <w:t xml:space="preserve"> username and password</w:t>
      </w:r>
      <w:r w:rsidR="005C0EAD">
        <w:rPr>
          <w:rFonts w:ascii="Times New Roman" w:hAnsi="Times New Roman"/>
          <w:snapToGrid/>
        </w:rPr>
        <w:t xml:space="preserve"> to</w:t>
      </w:r>
      <w:r w:rsidR="00564AEE">
        <w:rPr>
          <w:rFonts w:ascii="Times New Roman" w:hAnsi="Times New Roman"/>
          <w:snapToGrid/>
        </w:rPr>
        <w:t xml:space="preserve"> the landlord.</w:t>
      </w:r>
      <w:r w:rsidR="00F43359">
        <w:rPr>
          <w:rFonts w:ascii="Times New Roman" w:hAnsi="Times New Roman"/>
          <w:snapToGrid/>
        </w:rPr>
        <w:t xml:space="preserve">  Tr. 76.</w:t>
      </w:r>
    </w:p>
    <w:p w:rsidR="00564AEE" w:rsidRDefault="00564AEE" w:rsidP="00481C49">
      <w:pPr>
        <w:widowControl/>
        <w:spacing w:line="360" w:lineRule="auto"/>
        <w:rPr>
          <w:rFonts w:ascii="Times New Roman" w:hAnsi="Times New Roman"/>
          <w:snapToGrid/>
        </w:rPr>
      </w:pPr>
    </w:p>
    <w:p w:rsidR="00E70A37" w:rsidRDefault="00564AEE" w:rsidP="00481C49">
      <w:pPr>
        <w:widowControl/>
        <w:spacing w:line="360" w:lineRule="auto"/>
        <w:rPr>
          <w:rFonts w:ascii="Times New Roman" w:hAnsi="Times New Roman"/>
          <w:snapToGrid/>
        </w:rPr>
      </w:pPr>
      <w:r>
        <w:rPr>
          <w:rFonts w:ascii="Times New Roman" w:hAnsi="Times New Roman"/>
          <w:snapToGrid/>
        </w:rPr>
        <w:tab/>
      </w:r>
      <w:r>
        <w:rPr>
          <w:rFonts w:ascii="Times New Roman" w:hAnsi="Times New Roman"/>
          <w:snapToGrid/>
        </w:rPr>
        <w:tab/>
      </w:r>
      <w:r w:rsidR="00284FA5">
        <w:rPr>
          <w:rFonts w:ascii="Times New Roman" w:hAnsi="Times New Roman"/>
          <w:snapToGrid/>
        </w:rPr>
        <w:t>3</w:t>
      </w:r>
      <w:r w:rsidR="00F92C71">
        <w:rPr>
          <w:rFonts w:ascii="Times New Roman" w:hAnsi="Times New Roman"/>
          <w:snapToGrid/>
        </w:rPr>
        <w:t>5</w:t>
      </w:r>
      <w:r w:rsidR="00F43359">
        <w:rPr>
          <w:rFonts w:ascii="Times New Roman" w:hAnsi="Times New Roman"/>
          <w:snapToGrid/>
        </w:rPr>
        <w:t>.</w:t>
      </w:r>
      <w:r w:rsidR="00F43359">
        <w:rPr>
          <w:rFonts w:ascii="Times New Roman" w:hAnsi="Times New Roman"/>
          <w:snapToGrid/>
        </w:rPr>
        <w:tab/>
      </w:r>
      <w:r w:rsidR="00E70A37">
        <w:rPr>
          <w:rFonts w:ascii="Times New Roman" w:hAnsi="Times New Roman"/>
          <w:snapToGrid/>
        </w:rPr>
        <w:t xml:space="preserve">On June 16, 2010, PGW responded to Dr. </w:t>
      </w:r>
      <w:proofErr w:type="gramStart"/>
      <w:r w:rsidR="00E70A37">
        <w:rPr>
          <w:rFonts w:ascii="Times New Roman" w:hAnsi="Times New Roman"/>
          <w:snapToGrid/>
        </w:rPr>
        <w:t>Iro’s</w:t>
      </w:r>
      <w:proofErr w:type="gramEnd"/>
      <w:r w:rsidR="00E70A37">
        <w:rPr>
          <w:rFonts w:ascii="Times New Roman" w:hAnsi="Times New Roman"/>
          <w:snapToGrid/>
        </w:rPr>
        <w:t xml:space="preserve"> June 1</w:t>
      </w:r>
      <w:r w:rsidR="00794104">
        <w:rPr>
          <w:rFonts w:ascii="Times New Roman" w:hAnsi="Times New Roman"/>
          <w:snapToGrid/>
        </w:rPr>
        <w:t>4</w:t>
      </w:r>
      <w:r w:rsidR="00E70A37">
        <w:rPr>
          <w:rFonts w:ascii="Times New Roman" w:hAnsi="Times New Roman"/>
          <w:snapToGrid/>
        </w:rPr>
        <w:t xml:space="preserve">, </w:t>
      </w:r>
      <w:r w:rsidR="00794104">
        <w:rPr>
          <w:rFonts w:ascii="Times New Roman" w:hAnsi="Times New Roman"/>
          <w:snapToGrid/>
        </w:rPr>
        <w:t>2010 email and provided her username and password for her LCP accoun</w:t>
      </w:r>
      <w:r w:rsidR="00F92C71">
        <w:rPr>
          <w:rFonts w:ascii="Times New Roman" w:hAnsi="Times New Roman"/>
          <w:snapToGrid/>
        </w:rPr>
        <w:t>t</w:t>
      </w:r>
      <w:r w:rsidR="00794104">
        <w:rPr>
          <w:rFonts w:ascii="Times New Roman" w:hAnsi="Times New Roman"/>
          <w:snapToGrid/>
        </w:rPr>
        <w:t xml:space="preserve">. </w:t>
      </w:r>
      <w:r w:rsidR="005C0EAD">
        <w:rPr>
          <w:rFonts w:ascii="Times New Roman" w:hAnsi="Times New Roman"/>
          <w:snapToGrid/>
        </w:rPr>
        <w:t xml:space="preserve"> </w:t>
      </w:r>
      <w:r w:rsidR="00794104">
        <w:rPr>
          <w:rFonts w:ascii="Times New Roman" w:hAnsi="Times New Roman"/>
          <w:snapToGrid/>
        </w:rPr>
        <w:t>Tr. 23; Exhibit C.</w:t>
      </w:r>
    </w:p>
    <w:p w:rsidR="00E70A37" w:rsidRDefault="00E70A37" w:rsidP="00481C49">
      <w:pPr>
        <w:widowControl/>
        <w:spacing w:line="360" w:lineRule="auto"/>
        <w:rPr>
          <w:rFonts w:ascii="Times New Roman" w:hAnsi="Times New Roman"/>
          <w:snapToGrid/>
        </w:rPr>
      </w:pPr>
    </w:p>
    <w:p w:rsidR="00CD1B4D" w:rsidRDefault="00CD1B4D" w:rsidP="00481C49">
      <w:pPr>
        <w:widowControl/>
        <w:spacing w:line="360" w:lineRule="auto"/>
        <w:rPr>
          <w:rFonts w:ascii="Times New Roman" w:hAnsi="Times New Roman"/>
          <w:snapToGrid/>
        </w:rPr>
      </w:pPr>
      <w:r>
        <w:rPr>
          <w:rFonts w:ascii="Times New Roman" w:hAnsi="Times New Roman"/>
          <w:snapToGrid/>
        </w:rPr>
        <w:tab/>
      </w:r>
      <w:r>
        <w:rPr>
          <w:rFonts w:ascii="Times New Roman" w:hAnsi="Times New Roman"/>
          <w:snapToGrid/>
        </w:rPr>
        <w:tab/>
      </w:r>
      <w:r w:rsidR="00F43359">
        <w:rPr>
          <w:rFonts w:ascii="Times New Roman" w:hAnsi="Times New Roman"/>
          <w:snapToGrid/>
        </w:rPr>
        <w:t>3</w:t>
      </w:r>
      <w:r w:rsidR="00F92C71">
        <w:rPr>
          <w:rFonts w:ascii="Times New Roman" w:hAnsi="Times New Roman"/>
          <w:snapToGrid/>
        </w:rPr>
        <w:t>6</w:t>
      </w:r>
      <w:r>
        <w:rPr>
          <w:rFonts w:ascii="Times New Roman" w:hAnsi="Times New Roman"/>
          <w:snapToGrid/>
        </w:rPr>
        <w:t>.</w:t>
      </w:r>
      <w:r>
        <w:rPr>
          <w:rFonts w:ascii="Times New Roman" w:hAnsi="Times New Roman"/>
          <w:snapToGrid/>
        </w:rPr>
        <w:tab/>
        <w:t xml:space="preserve">In June 2010 </w:t>
      </w:r>
      <w:r w:rsidR="003F3463">
        <w:rPr>
          <w:rFonts w:ascii="Times New Roman" w:hAnsi="Times New Roman"/>
          <w:snapToGrid/>
        </w:rPr>
        <w:t xml:space="preserve">after receiving her username and password from PGW, </w:t>
      </w:r>
      <w:r>
        <w:rPr>
          <w:rFonts w:ascii="Times New Roman" w:hAnsi="Times New Roman"/>
          <w:snapToGrid/>
        </w:rPr>
        <w:t>Dr.</w:t>
      </w:r>
      <w:r w:rsidR="005C0EAD">
        <w:rPr>
          <w:rFonts w:ascii="Times New Roman" w:hAnsi="Times New Roman"/>
          <w:snapToGrid/>
        </w:rPr>
        <w:t> </w:t>
      </w:r>
      <w:r>
        <w:rPr>
          <w:rFonts w:ascii="Times New Roman" w:hAnsi="Times New Roman"/>
          <w:snapToGrid/>
        </w:rPr>
        <w:t xml:space="preserve"> </w:t>
      </w:r>
      <w:proofErr w:type="gramStart"/>
      <w:r>
        <w:rPr>
          <w:rFonts w:ascii="Times New Roman" w:hAnsi="Times New Roman"/>
          <w:snapToGrid/>
        </w:rPr>
        <w:t>Iro</w:t>
      </w:r>
      <w:proofErr w:type="gramEnd"/>
      <w:r>
        <w:rPr>
          <w:rFonts w:ascii="Times New Roman" w:hAnsi="Times New Roman"/>
          <w:snapToGrid/>
        </w:rPr>
        <w:t xml:space="preserve"> </w:t>
      </w:r>
      <w:r w:rsidR="00081081">
        <w:rPr>
          <w:rFonts w:ascii="Times New Roman" w:hAnsi="Times New Roman"/>
          <w:snapToGrid/>
        </w:rPr>
        <w:t xml:space="preserve">tried to access her LCP account through PGW’s website, however, the username and password that she </w:t>
      </w:r>
      <w:r>
        <w:rPr>
          <w:rFonts w:ascii="Times New Roman" w:hAnsi="Times New Roman"/>
          <w:snapToGrid/>
        </w:rPr>
        <w:t xml:space="preserve">entered </w:t>
      </w:r>
      <w:r w:rsidR="00081081">
        <w:rPr>
          <w:rFonts w:ascii="Times New Roman" w:hAnsi="Times New Roman"/>
          <w:snapToGrid/>
        </w:rPr>
        <w:t xml:space="preserve">were rejected.  </w:t>
      </w:r>
      <w:proofErr w:type="gramStart"/>
      <w:r>
        <w:rPr>
          <w:rFonts w:ascii="Times New Roman" w:hAnsi="Times New Roman"/>
          <w:snapToGrid/>
        </w:rPr>
        <w:t>Tr. 27.</w:t>
      </w:r>
      <w:proofErr w:type="gramEnd"/>
      <w:r>
        <w:rPr>
          <w:rFonts w:ascii="Times New Roman" w:hAnsi="Times New Roman"/>
          <w:snapToGrid/>
        </w:rPr>
        <w:t xml:space="preserve">  </w:t>
      </w:r>
    </w:p>
    <w:p w:rsidR="00CD1B4D" w:rsidRDefault="00CD1B4D" w:rsidP="00481C49">
      <w:pPr>
        <w:widowControl/>
        <w:spacing w:line="360" w:lineRule="auto"/>
        <w:rPr>
          <w:rFonts w:ascii="Times New Roman" w:hAnsi="Times New Roman"/>
          <w:snapToGrid/>
        </w:rPr>
      </w:pPr>
    </w:p>
    <w:p w:rsidR="00D948DE" w:rsidRDefault="00CB0B66" w:rsidP="00481C49">
      <w:pPr>
        <w:widowControl/>
        <w:spacing w:line="360" w:lineRule="auto"/>
        <w:rPr>
          <w:rFonts w:ascii="Times New Roman" w:hAnsi="Times New Roman"/>
          <w:snapToGrid/>
        </w:rPr>
      </w:pPr>
      <w:r>
        <w:rPr>
          <w:rFonts w:ascii="Times New Roman" w:hAnsi="Times New Roman"/>
          <w:snapToGrid/>
        </w:rPr>
        <w:lastRenderedPageBreak/>
        <w:tab/>
      </w:r>
      <w:r>
        <w:rPr>
          <w:rFonts w:ascii="Times New Roman" w:hAnsi="Times New Roman"/>
          <w:snapToGrid/>
        </w:rPr>
        <w:tab/>
      </w:r>
      <w:r w:rsidR="00F43359">
        <w:rPr>
          <w:rFonts w:ascii="Times New Roman" w:hAnsi="Times New Roman"/>
          <w:snapToGrid/>
        </w:rPr>
        <w:t>3</w:t>
      </w:r>
      <w:r w:rsidR="00F92C71">
        <w:rPr>
          <w:rFonts w:ascii="Times New Roman" w:hAnsi="Times New Roman"/>
          <w:snapToGrid/>
        </w:rPr>
        <w:t>7</w:t>
      </w:r>
      <w:r w:rsidR="00CD1B4D">
        <w:rPr>
          <w:rFonts w:ascii="Times New Roman" w:hAnsi="Times New Roman"/>
          <w:snapToGrid/>
        </w:rPr>
        <w:t>.</w:t>
      </w:r>
      <w:r w:rsidR="00CD1B4D">
        <w:rPr>
          <w:rFonts w:ascii="Times New Roman" w:hAnsi="Times New Roman"/>
          <w:snapToGrid/>
        </w:rPr>
        <w:tab/>
        <w:t xml:space="preserve">In June 2010 when Dr. </w:t>
      </w:r>
      <w:proofErr w:type="gramStart"/>
      <w:r w:rsidR="00CD1B4D">
        <w:rPr>
          <w:rFonts w:ascii="Times New Roman" w:hAnsi="Times New Roman"/>
          <w:snapToGrid/>
        </w:rPr>
        <w:t>Iro</w:t>
      </w:r>
      <w:proofErr w:type="gramEnd"/>
      <w:r w:rsidR="00CD1B4D">
        <w:rPr>
          <w:rFonts w:ascii="Times New Roman" w:hAnsi="Times New Roman"/>
          <w:snapToGrid/>
        </w:rPr>
        <w:t xml:space="preserve"> could not access her LCP account </w:t>
      </w:r>
      <w:r w:rsidR="00081081">
        <w:rPr>
          <w:rFonts w:ascii="Times New Roman" w:hAnsi="Times New Roman"/>
          <w:snapToGrid/>
        </w:rPr>
        <w:t>through PGW’s website</w:t>
      </w:r>
      <w:r w:rsidR="00CD1B4D">
        <w:rPr>
          <w:rFonts w:ascii="Times New Roman" w:hAnsi="Times New Roman"/>
          <w:snapToGrid/>
        </w:rPr>
        <w:t xml:space="preserve"> she “just left that aside and that kind of went on its own.”  </w:t>
      </w:r>
      <w:proofErr w:type="gramStart"/>
      <w:r w:rsidR="00CD1B4D">
        <w:rPr>
          <w:rFonts w:ascii="Times New Roman" w:hAnsi="Times New Roman"/>
          <w:snapToGrid/>
        </w:rPr>
        <w:t>Tr. 27.</w:t>
      </w:r>
      <w:proofErr w:type="gramEnd"/>
    </w:p>
    <w:p w:rsidR="00D948DE" w:rsidRDefault="00D948DE" w:rsidP="00481C49">
      <w:pPr>
        <w:widowControl/>
        <w:spacing w:line="360" w:lineRule="auto"/>
        <w:rPr>
          <w:rFonts w:ascii="Times New Roman" w:hAnsi="Times New Roman"/>
          <w:snapToGrid/>
        </w:rPr>
      </w:pPr>
    </w:p>
    <w:p w:rsidR="00CD1B4D" w:rsidRPr="00D3018E" w:rsidRDefault="00D948DE" w:rsidP="00481C49">
      <w:pPr>
        <w:widowControl/>
        <w:spacing w:line="360" w:lineRule="auto"/>
        <w:rPr>
          <w:rFonts w:ascii="Times New Roman" w:hAnsi="Times New Roman"/>
          <w:snapToGrid/>
        </w:rPr>
      </w:pPr>
      <w:r>
        <w:rPr>
          <w:rFonts w:ascii="Times New Roman" w:hAnsi="Times New Roman"/>
          <w:snapToGrid/>
        </w:rPr>
        <w:tab/>
      </w:r>
      <w:r>
        <w:rPr>
          <w:rFonts w:ascii="Times New Roman" w:hAnsi="Times New Roman"/>
          <w:snapToGrid/>
        </w:rPr>
        <w:tab/>
      </w:r>
      <w:r w:rsidR="00E2167B">
        <w:rPr>
          <w:rFonts w:ascii="Times New Roman" w:hAnsi="Times New Roman"/>
          <w:snapToGrid/>
        </w:rPr>
        <w:t>3</w:t>
      </w:r>
      <w:r w:rsidR="00F92C71">
        <w:rPr>
          <w:rFonts w:ascii="Times New Roman" w:hAnsi="Times New Roman"/>
          <w:snapToGrid/>
        </w:rPr>
        <w:t>8</w:t>
      </w:r>
      <w:r w:rsidR="00E2167B">
        <w:rPr>
          <w:rFonts w:ascii="Times New Roman" w:hAnsi="Times New Roman"/>
          <w:snapToGrid/>
        </w:rPr>
        <w:t>.</w:t>
      </w:r>
      <w:r w:rsidR="00E2167B">
        <w:rPr>
          <w:rFonts w:ascii="Times New Roman" w:hAnsi="Times New Roman"/>
          <w:snapToGrid/>
        </w:rPr>
        <w:tab/>
      </w:r>
      <w:r w:rsidR="00E2167B" w:rsidRPr="00D3018E">
        <w:rPr>
          <w:rFonts w:ascii="Times New Roman" w:hAnsi="Times New Roman"/>
          <w:snapToGrid/>
        </w:rPr>
        <w:t xml:space="preserve">After June 16, 2010, PGW did not receive any contact from Dr. </w:t>
      </w:r>
      <w:proofErr w:type="gramStart"/>
      <w:r w:rsidR="00E2167B" w:rsidRPr="00D3018E">
        <w:rPr>
          <w:rFonts w:ascii="Times New Roman" w:hAnsi="Times New Roman"/>
          <w:snapToGrid/>
        </w:rPr>
        <w:t>Iro</w:t>
      </w:r>
      <w:proofErr w:type="gramEnd"/>
      <w:r w:rsidR="00E2167B" w:rsidRPr="00D3018E">
        <w:rPr>
          <w:rFonts w:ascii="Times New Roman" w:hAnsi="Times New Roman"/>
          <w:snapToGrid/>
        </w:rPr>
        <w:t xml:space="preserve"> that she was having any problem with accessing her LCP account through PGW’s website.  </w:t>
      </w:r>
      <w:proofErr w:type="gramStart"/>
      <w:r w:rsidR="00E2167B" w:rsidRPr="00D3018E">
        <w:rPr>
          <w:rFonts w:ascii="Times New Roman" w:hAnsi="Times New Roman"/>
          <w:snapToGrid/>
        </w:rPr>
        <w:t>Tr. 89.</w:t>
      </w:r>
      <w:proofErr w:type="gramEnd"/>
    </w:p>
    <w:p w:rsidR="00CD1B4D" w:rsidRPr="00D3018E" w:rsidRDefault="00CD1B4D" w:rsidP="00481C49">
      <w:pPr>
        <w:widowControl/>
        <w:spacing w:line="360" w:lineRule="auto"/>
        <w:rPr>
          <w:rFonts w:ascii="Times New Roman" w:hAnsi="Times New Roman"/>
          <w:snapToGrid/>
        </w:rPr>
      </w:pPr>
    </w:p>
    <w:p w:rsidR="00B11D45" w:rsidRDefault="00DC6CFD" w:rsidP="00481C49">
      <w:pPr>
        <w:widowControl/>
        <w:spacing w:line="360" w:lineRule="auto"/>
        <w:rPr>
          <w:rFonts w:ascii="Times New Roman" w:hAnsi="Times New Roman"/>
          <w:snapToGrid/>
        </w:rPr>
      </w:pPr>
      <w:r>
        <w:rPr>
          <w:rFonts w:ascii="Times New Roman" w:hAnsi="Times New Roman"/>
          <w:snapToGrid/>
        </w:rPr>
        <w:tab/>
      </w:r>
      <w:r>
        <w:rPr>
          <w:rFonts w:ascii="Times New Roman" w:hAnsi="Times New Roman"/>
          <w:snapToGrid/>
        </w:rPr>
        <w:tab/>
      </w:r>
      <w:r w:rsidR="00F43359">
        <w:rPr>
          <w:rFonts w:ascii="Times New Roman" w:hAnsi="Times New Roman"/>
          <w:snapToGrid/>
        </w:rPr>
        <w:t>3</w:t>
      </w:r>
      <w:r w:rsidR="00F92C71">
        <w:rPr>
          <w:rFonts w:ascii="Times New Roman" w:hAnsi="Times New Roman"/>
          <w:snapToGrid/>
        </w:rPr>
        <w:t>9</w:t>
      </w:r>
      <w:r w:rsidR="00CB0B66">
        <w:rPr>
          <w:rFonts w:ascii="Times New Roman" w:hAnsi="Times New Roman"/>
          <w:snapToGrid/>
        </w:rPr>
        <w:t>.</w:t>
      </w:r>
      <w:r w:rsidR="00CB0B66">
        <w:rPr>
          <w:rFonts w:ascii="Times New Roman" w:hAnsi="Times New Roman"/>
          <w:snapToGrid/>
        </w:rPr>
        <w:tab/>
      </w:r>
      <w:r w:rsidR="00834052">
        <w:rPr>
          <w:rFonts w:ascii="Times New Roman" w:hAnsi="Times New Roman"/>
          <w:snapToGrid/>
        </w:rPr>
        <w:t>On March 3, 2011, PGW sent a pre-lien letter</w:t>
      </w:r>
      <w:r w:rsidR="0035278C">
        <w:rPr>
          <w:rFonts w:ascii="Times New Roman" w:hAnsi="Times New Roman"/>
          <w:snapToGrid/>
        </w:rPr>
        <w:t xml:space="preserve"> to Dr. </w:t>
      </w:r>
      <w:proofErr w:type="gramStart"/>
      <w:r w:rsidR="0035278C">
        <w:rPr>
          <w:rFonts w:ascii="Times New Roman" w:hAnsi="Times New Roman"/>
          <w:snapToGrid/>
        </w:rPr>
        <w:t>Iro</w:t>
      </w:r>
      <w:r w:rsidR="00B11D45">
        <w:rPr>
          <w:rFonts w:ascii="Times New Roman" w:hAnsi="Times New Roman"/>
          <w:snapToGrid/>
        </w:rPr>
        <w:t>’s</w:t>
      </w:r>
      <w:proofErr w:type="gramEnd"/>
      <w:r w:rsidR="00B11D45">
        <w:rPr>
          <w:rFonts w:ascii="Times New Roman" w:hAnsi="Times New Roman"/>
          <w:snapToGrid/>
        </w:rPr>
        <w:t xml:space="preserve"> home address informing her that a lien would be placed on her High Street property for unpaid gas service rendered to the property in the amount of $1,149.95, if this amount was not paid in </w:t>
      </w:r>
      <w:r w:rsidR="005C0EAD">
        <w:rPr>
          <w:rFonts w:ascii="Times New Roman" w:hAnsi="Times New Roman"/>
          <w:snapToGrid/>
        </w:rPr>
        <w:t>11</w:t>
      </w:r>
      <w:r w:rsidR="00B11D45">
        <w:rPr>
          <w:rFonts w:ascii="Times New Roman" w:hAnsi="Times New Roman"/>
          <w:snapToGrid/>
        </w:rPr>
        <w:t xml:space="preserve"> days.  </w:t>
      </w:r>
    </w:p>
    <w:p w:rsidR="009F7240" w:rsidRDefault="009F7240" w:rsidP="00481C49">
      <w:pPr>
        <w:widowControl/>
        <w:spacing w:line="360" w:lineRule="auto"/>
        <w:rPr>
          <w:rFonts w:ascii="Times New Roman" w:hAnsi="Times New Roman"/>
          <w:snapToGrid/>
        </w:rPr>
      </w:pPr>
      <w:r>
        <w:rPr>
          <w:rFonts w:ascii="Times New Roman" w:hAnsi="Times New Roman"/>
          <w:snapToGrid/>
        </w:rPr>
        <w:t>Tr.</w:t>
      </w:r>
      <w:r w:rsidR="00E70A37">
        <w:rPr>
          <w:rFonts w:ascii="Times New Roman" w:hAnsi="Times New Roman"/>
          <w:snapToGrid/>
        </w:rPr>
        <w:t xml:space="preserve"> 22</w:t>
      </w:r>
      <w:r w:rsidR="00472A7B">
        <w:rPr>
          <w:rFonts w:ascii="Times New Roman" w:hAnsi="Times New Roman"/>
          <w:snapToGrid/>
        </w:rPr>
        <w:t>, 69</w:t>
      </w:r>
      <w:r w:rsidR="00B01079">
        <w:rPr>
          <w:rFonts w:ascii="Times New Roman" w:hAnsi="Times New Roman"/>
          <w:snapToGrid/>
        </w:rPr>
        <w:t>-72</w:t>
      </w:r>
      <w:r w:rsidR="00E70A37">
        <w:rPr>
          <w:rFonts w:ascii="Times New Roman" w:hAnsi="Times New Roman"/>
          <w:snapToGrid/>
        </w:rPr>
        <w:t>; Exhibit 8</w:t>
      </w:r>
      <w:r w:rsidR="00472A7B">
        <w:rPr>
          <w:rFonts w:ascii="Times New Roman" w:hAnsi="Times New Roman"/>
          <w:snapToGrid/>
        </w:rPr>
        <w:t>, p. 1</w:t>
      </w:r>
      <w:r w:rsidR="00E70A37">
        <w:rPr>
          <w:rFonts w:ascii="Times New Roman" w:hAnsi="Times New Roman"/>
          <w:snapToGrid/>
        </w:rPr>
        <w:t>.</w:t>
      </w:r>
    </w:p>
    <w:p w:rsidR="009F7240" w:rsidRDefault="009F7240" w:rsidP="00481C49">
      <w:pPr>
        <w:widowControl/>
        <w:spacing w:line="360" w:lineRule="auto"/>
        <w:rPr>
          <w:rFonts w:ascii="Times New Roman" w:hAnsi="Times New Roman"/>
          <w:snapToGrid/>
        </w:rPr>
      </w:pPr>
    </w:p>
    <w:p w:rsidR="00631AFC" w:rsidRDefault="00B11D45" w:rsidP="00481C49">
      <w:pPr>
        <w:widowControl/>
        <w:spacing w:line="360" w:lineRule="auto"/>
        <w:rPr>
          <w:rFonts w:ascii="Times New Roman" w:hAnsi="Times New Roman"/>
          <w:snapToGrid/>
        </w:rPr>
      </w:pPr>
      <w:r>
        <w:rPr>
          <w:rFonts w:ascii="Times New Roman" w:hAnsi="Times New Roman"/>
          <w:snapToGrid/>
        </w:rPr>
        <w:tab/>
      </w:r>
      <w:r>
        <w:rPr>
          <w:rFonts w:ascii="Times New Roman" w:hAnsi="Times New Roman"/>
          <w:snapToGrid/>
        </w:rPr>
        <w:tab/>
      </w:r>
      <w:r w:rsidR="00F92C71">
        <w:rPr>
          <w:rFonts w:ascii="Times New Roman" w:hAnsi="Times New Roman"/>
          <w:snapToGrid/>
        </w:rPr>
        <w:t>40</w:t>
      </w:r>
      <w:r w:rsidR="00CB0B66">
        <w:rPr>
          <w:rFonts w:ascii="Times New Roman" w:hAnsi="Times New Roman"/>
          <w:snapToGrid/>
        </w:rPr>
        <w:t>.</w:t>
      </w:r>
      <w:r w:rsidR="00CB0B66">
        <w:rPr>
          <w:rFonts w:ascii="Times New Roman" w:hAnsi="Times New Roman"/>
          <w:snapToGrid/>
        </w:rPr>
        <w:tab/>
      </w:r>
      <w:r w:rsidR="00631AFC">
        <w:rPr>
          <w:rFonts w:ascii="Times New Roman" w:hAnsi="Times New Roman"/>
          <w:snapToGrid/>
        </w:rPr>
        <w:t xml:space="preserve">When Dr. Iro initially received PGW’s March 3, 2011 pre-lien letter, she “was thinking it was one of their normal letters that they send to [her], so [she] never even bothered to open it because [she knew she was] on a payment arrangement with them” for her home service.  </w:t>
      </w:r>
      <w:proofErr w:type="gramStart"/>
      <w:r w:rsidR="00631AFC">
        <w:rPr>
          <w:rFonts w:ascii="Times New Roman" w:hAnsi="Times New Roman"/>
          <w:snapToGrid/>
        </w:rPr>
        <w:t>Tr. 22.</w:t>
      </w:r>
      <w:proofErr w:type="gramEnd"/>
    </w:p>
    <w:p w:rsidR="00631AFC" w:rsidRDefault="00631AFC" w:rsidP="00481C49">
      <w:pPr>
        <w:widowControl/>
        <w:spacing w:line="360" w:lineRule="auto"/>
        <w:rPr>
          <w:rFonts w:ascii="Times New Roman" w:hAnsi="Times New Roman"/>
          <w:snapToGrid/>
        </w:rPr>
      </w:pPr>
    </w:p>
    <w:p w:rsidR="00CB0B66" w:rsidRDefault="00CB0B66" w:rsidP="00481C49">
      <w:pPr>
        <w:widowControl/>
        <w:spacing w:line="360" w:lineRule="auto"/>
        <w:rPr>
          <w:rFonts w:ascii="Times New Roman" w:hAnsi="Times New Roman"/>
          <w:snapToGrid/>
        </w:rPr>
      </w:pPr>
      <w:r>
        <w:rPr>
          <w:rFonts w:ascii="Times New Roman" w:hAnsi="Times New Roman"/>
          <w:snapToGrid/>
        </w:rPr>
        <w:tab/>
      </w:r>
      <w:r>
        <w:rPr>
          <w:rFonts w:ascii="Times New Roman" w:hAnsi="Times New Roman"/>
          <w:snapToGrid/>
        </w:rPr>
        <w:tab/>
      </w:r>
      <w:r w:rsidR="00631AFC">
        <w:rPr>
          <w:rFonts w:ascii="Times New Roman" w:hAnsi="Times New Roman"/>
          <w:snapToGrid/>
        </w:rPr>
        <w:t>41</w:t>
      </w:r>
      <w:r>
        <w:rPr>
          <w:rFonts w:ascii="Times New Roman" w:hAnsi="Times New Roman"/>
          <w:snapToGrid/>
        </w:rPr>
        <w:t>.</w:t>
      </w:r>
      <w:r>
        <w:rPr>
          <w:rFonts w:ascii="Times New Roman" w:hAnsi="Times New Roman"/>
          <w:snapToGrid/>
        </w:rPr>
        <w:tab/>
        <w:t xml:space="preserve">Dr. Iro “never even dreamed it [PGW’s March 3, 2011 </w:t>
      </w:r>
      <w:r w:rsidR="00626BB3">
        <w:rPr>
          <w:rFonts w:ascii="Times New Roman" w:hAnsi="Times New Roman"/>
          <w:snapToGrid/>
        </w:rPr>
        <w:t>mailing</w:t>
      </w:r>
      <w:r>
        <w:rPr>
          <w:rFonts w:ascii="Times New Roman" w:hAnsi="Times New Roman"/>
          <w:snapToGrid/>
        </w:rPr>
        <w:t>] had anything to do with 51</w:t>
      </w:r>
      <w:r w:rsidR="00925737">
        <w:rPr>
          <w:rFonts w:ascii="Times New Roman" w:hAnsi="Times New Roman"/>
          <w:snapToGrid/>
        </w:rPr>
        <w:t xml:space="preserve"> </w:t>
      </w:r>
      <w:r>
        <w:rPr>
          <w:rFonts w:ascii="Times New Roman" w:hAnsi="Times New Roman"/>
          <w:snapToGrid/>
        </w:rPr>
        <w:t xml:space="preserve">East High Street.”  </w:t>
      </w:r>
      <w:proofErr w:type="gramStart"/>
      <w:r>
        <w:rPr>
          <w:rFonts w:ascii="Times New Roman" w:hAnsi="Times New Roman"/>
          <w:snapToGrid/>
        </w:rPr>
        <w:t>Tr. 22.</w:t>
      </w:r>
      <w:proofErr w:type="gramEnd"/>
    </w:p>
    <w:p w:rsidR="00CB0B66" w:rsidRDefault="00CB0B66" w:rsidP="00481C49">
      <w:pPr>
        <w:widowControl/>
        <w:spacing w:line="360" w:lineRule="auto"/>
        <w:rPr>
          <w:rFonts w:ascii="Times New Roman" w:hAnsi="Times New Roman"/>
          <w:snapToGrid/>
        </w:rPr>
      </w:pPr>
    </w:p>
    <w:p w:rsidR="00925737" w:rsidRDefault="00925737" w:rsidP="00481C49">
      <w:pPr>
        <w:widowControl/>
        <w:spacing w:line="360" w:lineRule="auto"/>
        <w:rPr>
          <w:rFonts w:ascii="Times New Roman" w:hAnsi="Times New Roman"/>
          <w:snapToGrid/>
        </w:rPr>
      </w:pPr>
      <w:r>
        <w:rPr>
          <w:rFonts w:ascii="Times New Roman" w:hAnsi="Times New Roman"/>
          <w:snapToGrid/>
        </w:rPr>
        <w:tab/>
      </w:r>
      <w:r>
        <w:rPr>
          <w:rFonts w:ascii="Times New Roman" w:hAnsi="Times New Roman"/>
          <w:snapToGrid/>
        </w:rPr>
        <w:tab/>
      </w:r>
      <w:r w:rsidR="00631AFC">
        <w:rPr>
          <w:rFonts w:ascii="Times New Roman" w:hAnsi="Times New Roman"/>
          <w:snapToGrid/>
        </w:rPr>
        <w:t>42</w:t>
      </w:r>
      <w:r>
        <w:rPr>
          <w:rFonts w:ascii="Times New Roman" w:hAnsi="Times New Roman"/>
          <w:snapToGrid/>
        </w:rPr>
        <w:t>.</w:t>
      </w:r>
      <w:r>
        <w:rPr>
          <w:rFonts w:ascii="Times New Roman" w:hAnsi="Times New Roman"/>
          <w:snapToGrid/>
        </w:rPr>
        <w:tab/>
        <w:t xml:space="preserve">Dr. Iro did not open PGW’s March 3, 2011 pre-lien letter until after a lien had been placed on her High Street property.  </w:t>
      </w:r>
      <w:proofErr w:type="gramStart"/>
      <w:r>
        <w:rPr>
          <w:rFonts w:ascii="Times New Roman" w:hAnsi="Times New Roman"/>
          <w:snapToGrid/>
        </w:rPr>
        <w:t>Tr. 22.</w:t>
      </w:r>
      <w:proofErr w:type="gramEnd"/>
    </w:p>
    <w:p w:rsidR="00D948DE" w:rsidRDefault="00D948DE" w:rsidP="00481C49">
      <w:pPr>
        <w:widowControl/>
        <w:spacing w:line="360" w:lineRule="auto"/>
        <w:rPr>
          <w:rFonts w:ascii="Times New Roman" w:hAnsi="Times New Roman"/>
          <w:snapToGrid/>
        </w:rPr>
      </w:pPr>
    </w:p>
    <w:p w:rsidR="009F7240" w:rsidRDefault="00D948DE" w:rsidP="00481C49">
      <w:pPr>
        <w:widowControl/>
        <w:spacing w:line="360" w:lineRule="auto"/>
        <w:rPr>
          <w:rFonts w:ascii="Times New Roman" w:hAnsi="Times New Roman"/>
          <w:snapToGrid/>
        </w:rPr>
      </w:pPr>
      <w:r>
        <w:rPr>
          <w:rFonts w:ascii="Times New Roman" w:hAnsi="Times New Roman"/>
          <w:snapToGrid/>
        </w:rPr>
        <w:tab/>
      </w:r>
      <w:r>
        <w:rPr>
          <w:rFonts w:ascii="Times New Roman" w:hAnsi="Times New Roman"/>
          <w:snapToGrid/>
        </w:rPr>
        <w:tab/>
      </w:r>
      <w:r w:rsidR="00631AFC">
        <w:rPr>
          <w:rFonts w:ascii="Times New Roman" w:hAnsi="Times New Roman"/>
          <w:snapToGrid/>
        </w:rPr>
        <w:t>43</w:t>
      </w:r>
      <w:r w:rsidR="009F7240">
        <w:rPr>
          <w:rFonts w:ascii="Times New Roman" w:hAnsi="Times New Roman"/>
          <w:snapToGrid/>
        </w:rPr>
        <w:t>.</w:t>
      </w:r>
      <w:r w:rsidR="009F7240">
        <w:rPr>
          <w:rFonts w:ascii="Times New Roman" w:hAnsi="Times New Roman"/>
          <w:snapToGrid/>
        </w:rPr>
        <w:tab/>
        <w:t xml:space="preserve">On March 15, 2011, PGW sent a letter to Dr. </w:t>
      </w:r>
      <w:proofErr w:type="gramStart"/>
      <w:r w:rsidR="009F7240">
        <w:rPr>
          <w:rFonts w:ascii="Times New Roman" w:hAnsi="Times New Roman"/>
          <w:snapToGrid/>
        </w:rPr>
        <w:t>Iro’s</w:t>
      </w:r>
      <w:proofErr w:type="gramEnd"/>
      <w:r w:rsidR="009F7240">
        <w:rPr>
          <w:rFonts w:ascii="Times New Roman" w:hAnsi="Times New Roman"/>
          <w:snapToGrid/>
        </w:rPr>
        <w:t xml:space="preserve"> home address informing her that a lien had been placed on her property at Docket 110331931 for unpaid gas service in the amount of $1,149.95.  The letter also informed Dr. </w:t>
      </w:r>
      <w:proofErr w:type="gramStart"/>
      <w:r w:rsidR="009F7240">
        <w:rPr>
          <w:rFonts w:ascii="Times New Roman" w:hAnsi="Times New Roman"/>
          <w:snapToGrid/>
        </w:rPr>
        <w:t>Iro</w:t>
      </w:r>
      <w:proofErr w:type="gramEnd"/>
      <w:r w:rsidR="009F7240">
        <w:rPr>
          <w:rFonts w:ascii="Times New Roman" w:hAnsi="Times New Roman"/>
          <w:snapToGrid/>
        </w:rPr>
        <w:t xml:space="preserve"> that the lien would be satisfied once the balance was paid in full.  </w:t>
      </w:r>
      <w:proofErr w:type="gramStart"/>
      <w:r w:rsidR="009F7240">
        <w:rPr>
          <w:rFonts w:ascii="Times New Roman" w:hAnsi="Times New Roman"/>
          <w:snapToGrid/>
        </w:rPr>
        <w:t xml:space="preserve">Tr. </w:t>
      </w:r>
      <w:r w:rsidR="00925737">
        <w:rPr>
          <w:rFonts w:ascii="Times New Roman" w:hAnsi="Times New Roman"/>
          <w:snapToGrid/>
        </w:rPr>
        <w:t>22.</w:t>
      </w:r>
      <w:proofErr w:type="gramEnd"/>
    </w:p>
    <w:p w:rsidR="00D948DE" w:rsidRDefault="00D948DE" w:rsidP="00481C49">
      <w:pPr>
        <w:widowControl/>
        <w:spacing w:line="360" w:lineRule="auto"/>
        <w:rPr>
          <w:rFonts w:ascii="Times New Roman" w:hAnsi="Times New Roman"/>
          <w:snapToGrid/>
        </w:rPr>
      </w:pPr>
    </w:p>
    <w:p w:rsidR="00E44C19" w:rsidRDefault="00E44C19" w:rsidP="00481C49">
      <w:pPr>
        <w:widowControl/>
        <w:spacing w:line="360" w:lineRule="auto"/>
        <w:rPr>
          <w:rFonts w:ascii="Times New Roman" w:hAnsi="Times New Roman"/>
          <w:snapToGrid/>
        </w:rPr>
      </w:pPr>
      <w:r>
        <w:rPr>
          <w:rFonts w:ascii="Times New Roman" w:hAnsi="Times New Roman"/>
          <w:snapToGrid/>
        </w:rPr>
        <w:tab/>
      </w:r>
      <w:r>
        <w:rPr>
          <w:rFonts w:ascii="Times New Roman" w:hAnsi="Times New Roman"/>
          <w:snapToGrid/>
        </w:rPr>
        <w:tab/>
      </w:r>
      <w:r w:rsidR="00284FA5">
        <w:rPr>
          <w:rFonts w:ascii="Times New Roman" w:hAnsi="Times New Roman"/>
          <w:snapToGrid/>
        </w:rPr>
        <w:t>4</w:t>
      </w:r>
      <w:r w:rsidR="00631AFC">
        <w:rPr>
          <w:rFonts w:ascii="Times New Roman" w:hAnsi="Times New Roman"/>
          <w:snapToGrid/>
        </w:rPr>
        <w:t>4</w:t>
      </w:r>
      <w:r w:rsidR="00E2167B">
        <w:rPr>
          <w:rFonts w:ascii="Times New Roman" w:hAnsi="Times New Roman"/>
          <w:snapToGrid/>
        </w:rPr>
        <w:t>.</w:t>
      </w:r>
      <w:r w:rsidR="00E2167B">
        <w:rPr>
          <w:rFonts w:ascii="Times New Roman" w:hAnsi="Times New Roman"/>
          <w:snapToGrid/>
        </w:rPr>
        <w:tab/>
        <w:t xml:space="preserve">Between March 3, 2011 and March 14, 2011, Dr. </w:t>
      </w:r>
      <w:proofErr w:type="gramStart"/>
      <w:r w:rsidR="00E2167B">
        <w:rPr>
          <w:rFonts w:ascii="Times New Roman" w:hAnsi="Times New Roman"/>
          <w:snapToGrid/>
        </w:rPr>
        <w:t>Iro</w:t>
      </w:r>
      <w:proofErr w:type="gramEnd"/>
      <w:r w:rsidR="00E2167B">
        <w:rPr>
          <w:rFonts w:ascii="Times New Roman" w:hAnsi="Times New Roman"/>
          <w:snapToGrid/>
        </w:rPr>
        <w:t xml:space="preserve"> could have contacted PGW to receive assistance in registering </w:t>
      </w:r>
      <w:r>
        <w:rPr>
          <w:rFonts w:ascii="Times New Roman" w:hAnsi="Times New Roman"/>
          <w:snapToGrid/>
        </w:rPr>
        <w:t>High Street’s rental License Number 466307 with the LCP, and thereby receive protection from the placement of a municipal lien on the property.  Tr.</w:t>
      </w:r>
      <w:r w:rsidR="00A15081">
        <w:rPr>
          <w:rFonts w:ascii="Times New Roman" w:hAnsi="Times New Roman"/>
          <w:snapToGrid/>
        </w:rPr>
        <w:t> </w:t>
      </w:r>
      <w:r>
        <w:rPr>
          <w:rFonts w:ascii="Times New Roman" w:hAnsi="Times New Roman"/>
          <w:snapToGrid/>
        </w:rPr>
        <w:t>93-97, 100.</w:t>
      </w:r>
    </w:p>
    <w:p w:rsidR="00E44C19" w:rsidRDefault="00E44C19" w:rsidP="00481C49">
      <w:pPr>
        <w:widowControl/>
        <w:spacing w:line="360" w:lineRule="auto"/>
        <w:rPr>
          <w:rFonts w:ascii="Times New Roman" w:hAnsi="Times New Roman"/>
          <w:snapToGrid/>
        </w:rPr>
      </w:pPr>
      <w:r>
        <w:rPr>
          <w:rFonts w:ascii="Times New Roman" w:hAnsi="Times New Roman"/>
          <w:snapToGrid/>
        </w:rPr>
        <w:lastRenderedPageBreak/>
        <w:tab/>
      </w:r>
      <w:r>
        <w:rPr>
          <w:rFonts w:ascii="Times New Roman" w:hAnsi="Times New Roman"/>
          <w:snapToGrid/>
        </w:rPr>
        <w:tab/>
      </w:r>
      <w:r w:rsidR="00284FA5">
        <w:rPr>
          <w:rFonts w:ascii="Times New Roman" w:hAnsi="Times New Roman"/>
          <w:snapToGrid/>
        </w:rPr>
        <w:t>4</w:t>
      </w:r>
      <w:r w:rsidR="00631AFC">
        <w:rPr>
          <w:rFonts w:ascii="Times New Roman" w:hAnsi="Times New Roman"/>
          <w:snapToGrid/>
        </w:rPr>
        <w:t>5</w:t>
      </w:r>
      <w:r>
        <w:rPr>
          <w:rFonts w:ascii="Times New Roman" w:hAnsi="Times New Roman"/>
          <w:snapToGrid/>
        </w:rPr>
        <w:t>.</w:t>
      </w:r>
      <w:r>
        <w:rPr>
          <w:rFonts w:ascii="Times New Roman" w:hAnsi="Times New Roman"/>
          <w:snapToGrid/>
        </w:rPr>
        <w:tab/>
        <w:t xml:space="preserve">Between March 3, 2011 and March 14, 2011, PGW did not receive any contact from Dr. </w:t>
      </w:r>
      <w:proofErr w:type="gramStart"/>
      <w:r>
        <w:rPr>
          <w:rFonts w:ascii="Times New Roman" w:hAnsi="Times New Roman"/>
          <w:snapToGrid/>
        </w:rPr>
        <w:t>Iro</w:t>
      </w:r>
      <w:proofErr w:type="gramEnd"/>
      <w:r>
        <w:rPr>
          <w:rFonts w:ascii="Times New Roman" w:hAnsi="Times New Roman"/>
          <w:snapToGrid/>
        </w:rPr>
        <w:t xml:space="preserve"> concerning the impending placement of a municipal lien on High Street.  Tr.</w:t>
      </w:r>
      <w:r w:rsidR="00A15081">
        <w:rPr>
          <w:rFonts w:ascii="Times New Roman" w:hAnsi="Times New Roman"/>
          <w:snapToGrid/>
        </w:rPr>
        <w:t> </w:t>
      </w:r>
      <w:r>
        <w:rPr>
          <w:rFonts w:ascii="Times New Roman" w:hAnsi="Times New Roman"/>
          <w:snapToGrid/>
        </w:rPr>
        <w:t>98</w:t>
      </w:r>
      <w:r w:rsidR="00284FA5">
        <w:rPr>
          <w:rFonts w:ascii="Times New Roman" w:hAnsi="Times New Roman"/>
          <w:snapToGrid/>
        </w:rPr>
        <w:t>, 109</w:t>
      </w:r>
      <w:r>
        <w:rPr>
          <w:rFonts w:ascii="Times New Roman" w:hAnsi="Times New Roman"/>
          <w:snapToGrid/>
        </w:rPr>
        <w:t>.</w:t>
      </w:r>
    </w:p>
    <w:p w:rsidR="00E44C19" w:rsidRDefault="00E44C19" w:rsidP="00481C49">
      <w:pPr>
        <w:widowControl/>
        <w:spacing w:line="360" w:lineRule="auto"/>
        <w:rPr>
          <w:rFonts w:ascii="Times New Roman" w:hAnsi="Times New Roman"/>
          <w:snapToGrid/>
        </w:rPr>
      </w:pPr>
    </w:p>
    <w:p w:rsidR="00754028" w:rsidRDefault="00284FA5" w:rsidP="00481C49">
      <w:pPr>
        <w:widowControl/>
        <w:spacing w:line="360" w:lineRule="auto"/>
        <w:rPr>
          <w:rFonts w:ascii="Times New Roman" w:hAnsi="Times New Roman"/>
          <w:snapToGrid/>
        </w:rPr>
      </w:pPr>
      <w:r>
        <w:rPr>
          <w:rFonts w:ascii="Times New Roman" w:hAnsi="Times New Roman"/>
          <w:snapToGrid/>
        </w:rPr>
        <w:tab/>
      </w:r>
      <w:r>
        <w:rPr>
          <w:rFonts w:ascii="Times New Roman" w:hAnsi="Times New Roman"/>
          <w:snapToGrid/>
        </w:rPr>
        <w:tab/>
        <w:t>4</w:t>
      </w:r>
      <w:r w:rsidR="00631AFC">
        <w:rPr>
          <w:rFonts w:ascii="Times New Roman" w:hAnsi="Times New Roman"/>
          <w:snapToGrid/>
        </w:rPr>
        <w:t>6</w:t>
      </w:r>
      <w:r>
        <w:rPr>
          <w:rFonts w:ascii="Times New Roman" w:hAnsi="Times New Roman"/>
          <w:snapToGrid/>
        </w:rPr>
        <w:t>.</w:t>
      </w:r>
      <w:r>
        <w:rPr>
          <w:rFonts w:ascii="Times New Roman" w:hAnsi="Times New Roman"/>
          <w:snapToGrid/>
        </w:rPr>
        <w:tab/>
      </w:r>
      <w:r w:rsidR="008F3B96">
        <w:rPr>
          <w:rFonts w:ascii="Times New Roman" w:hAnsi="Times New Roman"/>
          <w:snapToGrid/>
        </w:rPr>
        <w:t xml:space="preserve">On April 27, 2011, Dr. </w:t>
      </w:r>
      <w:proofErr w:type="gramStart"/>
      <w:r w:rsidR="008F3B96">
        <w:rPr>
          <w:rFonts w:ascii="Times New Roman" w:hAnsi="Times New Roman"/>
          <w:snapToGrid/>
        </w:rPr>
        <w:t>Iro</w:t>
      </w:r>
      <w:proofErr w:type="gramEnd"/>
      <w:r w:rsidR="008F3B96">
        <w:rPr>
          <w:rFonts w:ascii="Times New Roman" w:hAnsi="Times New Roman"/>
          <w:snapToGrid/>
        </w:rPr>
        <w:t xml:space="preserve"> </w:t>
      </w:r>
      <w:r>
        <w:rPr>
          <w:rFonts w:ascii="Times New Roman" w:hAnsi="Times New Roman"/>
          <w:snapToGrid/>
        </w:rPr>
        <w:t xml:space="preserve">went into </w:t>
      </w:r>
      <w:r w:rsidR="008F3B96">
        <w:rPr>
          <w:rFonts w:ascii="Times New Roman" w:hAnsi="Times New Roman"/>
          <w:snapToGrid/>
        </w:rPr>
        <w:t>PGW</w:t>
      </w:r>
      <w:r>
        <w:rPr>
          <w:rFonts w:ascii="Times New Roman" w:hAnsi="Times New Roman"/>
          <w:snapToGrid/>
        </w:rPr>
        <w:t xml:space="preserve">’s Germantown District </w:t>
      </w:r>
      <w:r w:rsidR="00A15081">
        <w:rPr>
          <w:rFonts w:ascii="Times New Roman" w:hAnsi="Times New Roman"/>
          <w:snapToGrid/>
        </w:rPr>
        <w:t>Office to</w:t>
      </w:r>
      <w:r w:rsidR="008F3B96">
        <w:rPr>
          <w:rFonts w:ascii="Times New Roman" w:hAnsi="Times New Roman"/>
          <w:snapToGrid/>
        </w:rPr>
        <w:t xml:space="preserve"> complain about the lien placed on her High Street property, and PGW gave her the telephone number for the Commission in order to file a complaint with the Commission. </w:t>
      </w:r>
      <w:r w:rsidR="005C0EAD">
        <w:rPr>
          <w:rFonts w:ascii="Times New Roman" w:hAnsi="Times New Roman"/>
          <w:snapToGrid/>
        </w:rPr>
        <w:t xml:space="preserve"> </w:t>
      </w:r>
      <w:r>
        <w:rPr>
          <w:rFonts w:ascii="Times New Roman" w:hAnsi="Times New Roman"/>
          <w:snapToGrid/>
        </w:rPr>
        <w:t xml:space="preserve">Tr. </w:t>
      </w:r>
      <w:r w:rsidR="004F329D">
        <w:rPr>
          <w:rFonts w:ascii="Times New Roman" w:hAnsi="Times New Roman"/>
          <w:snapToGrid/>
        </w:rPr>
        <w:t xml:space="preserve">28, </w:t>
      </w:r>
      <w:r>
        <w:rPr>
          <w:rFonts w:ascii="Times New Roman" w:hAnsi="Times New Roman"/>
          <w:snapToGrid/>
        </w:rPr>
        <w:t>109,</w:t>
      </w:r>
      <w:r w:rsidR="004F329D">
        <w:rPr>
          <w:rFonts w:ascii="Times New Roman" w:hAnsi="Times New Roman"/>
          <w:snapToGrid/>
        </w:rPr>
        <w:t xml:space="preserve"> </w:t>
      </w:r>
      <w:r w:rsidR="008F3B96">
        <w:rPr>
          <w:rFonts w:ascii="Times New Roman" w:hAnsi="Times New Roman"/>
          <w:snapToGrid/>
        </w:rPr>
        <w:t>Exhib</w:t>
      </w:r>
      <w:r w:rsidR="00956CE5">
        <w:rPr>
          <w:rFonts w:ascii="Times New Roman" w:hAnsi="Times New Roman"/>
          <w:snapToGrid/>
        </w:rPr>
        <w:t>i</w:t>
      </w:r>
      <w:r w:rsidR="008F3B96">
        <w:rPr>
          <w:rFonts w:ascii="Times New Roman" w:hAnsi="Times New Roman"/>
          <w:snapToGrid/>
        </w:rPr>
        <w:t>t 3, p.</w:t>
      </w:r>
      <w:r w:rsidR="00F716D4">
        <w:rPr>
          <w:rFonts w:ascii="Times New Roman" w:hAnsi="Times New Roman"/>
          <w:snapToGrid/>
        </w:rPr>
        <w:t xml:space="preserve"> </w:t>
      </w:r>
      <w:r w:rsidR="008F3B96">
        <w:rPr>
          <w:rFonts w:ascii="Times New Roman" w:hAnsi="Times New Roman"/>
          <w:snapToGrid/>
        </w:rPr>
        <w:t>1.</w:t>
      </w:r>
    </w:p>
    <w:p w:rsidR="009F7240" w:rsidRDefault="009F7240" w:rsidP="00481C49">
      <w:pPr>
        <w:widowControl/>
        <w:spacing w:line="360" w:lineRule="auto"/>
        <w:rPr>
          <w:rFonts w:ascii="Times New Roman" w:hAnsi="Times New Roman"/>
          <w:snapToGrid/>
        </w:rPr>
      </w:pPr>
    </w:p>
    <w:p w:rsidR="007422DE" w:rsidRDefault="0035278C" w:rsidP="00481C49">
      <w:pPr>
        <w:widowControl/>
        <w:spacing w:line="360" w:lineRule="auto"/>
        <w:rPr>
          <w:rFonts w:ascii="Times New Roman" w:hAnsi="Times New Roman"/>
          <w:snapToGrid/>
        </w:rPr>
      </w:pPr>
      <w:r>
        <w:rPr>
          <w:rFonts w:ascii="Times New Roman" w:hAnsi="Times New Roman"/>
          <w:snapToGrid/>
        </w:rPr>
        <w:t xml:space="preserve"> </w:t>
      </w:r>
      <w:r w:rsidR="00834052">
        <w:rPr>
          <w:rFonts w:ascii="Times New Roman" w:hAnsi="Times New Roman"/>
          <w:snapToGrid/>
        </w:rPr>
        <w:tab/>
        <w:t xml:space="preserve"> </w:t>
      </w:r>
      <w:r w:rsidR="007A5F73">
        <w:rPr>
          <w:rFonts w:ascii="Times New Roman" w:hAnsi="Times New Roman"/>
          <w:snapToGrid/>
        </w:rPr>
        <w:t xml:space="preserve"> </w:t>
      </w:r>
      <w:r w:rsidR="008F3B96">
        <w:rPr>
          <w:rFonts w:ascii="Times New Roman" w:hAnsi="Times New Roman"/>
          <w:snapToGrid/>
        </w:rPr>
        <w:tab/>
      </w:r>
      <w:r w:rsidR="004F329D">
        <w:rPr>
          <w:rFonts w:ascii="Times New Roman" w:hAnsi="Times New Roman"/>
          <w:snapToGrid/>
        </w:rPr>
        <w:t>4</w:t>
      </w:r>
      <w:r w:rsidR="00631AFC">
        <w:rPr>
          <w:rFonts w:ascii="Times New Roman" w:hAnsi="Times New Roman"/>
          <w:snapToGrid/>
        </w:rPr>
        <w:t>7</w:t>
      </w:r>
      <w:r w:rsidR="00472A7B">
        <w:rPr>
          <w:rFonts w:ascii="Times New Roman" w:hAnsi="Times New Roman"/>
          <w:snapToGrid/>
        </w:rPr>
        <w:t>.</w:t>
      </w:r>
      <w:r w:rsidR="00472A7B">
        <w:rPr>
          <w:rFonts w:ascii="Times New Roman" w:hAnsi="Times New Roman"/>
          <w:snapToGrid/>
        </w:rPr>
        <w:tab/>
        <w:t xml:space="preserve">Dr. Iro did not </w:t>
      </w:r>
      <w:r w:rsidR="004F329D">
        <w:rPr>
          <w:rFonts w:ascii="Times New Roman" w:hAnsi="Times New Roman"/>
          <w:snapToGrid/>
        </w:rPr>
        <w:t xml:space="preserve">present any evidence as to her general allegation that there </w:t>
      </w:r>
      <w:r w:rsidR="00631AFC">
        <w:rPr>
          <w:rFonts w:ascii="Times New Roman" w:hAnsi="Times New Roman"/>
          <w:snapToGrid/>
        </w:rPr>
        <w:t>were</w:t>
      </w:r>
      <w:r w:rsidR="004F329D">
        <w:rPr>
          <w:rFonts w:ascii="Times New Roman" w:hAnsi="Times New Roman"/>
          <w:snapToGrid/>
        </w:rPr>
        <w:t xml:space="preserve"> incorrect charges on her bill concerning her home service address.  </w:t>
      </w:r>
    </w:p>
    <w:p w:rsidR="00BD249A" w:rsidRDefault="00BD249A" w:rsidP="00481C49">
      <w:pPr>
        <w:widowControl/>
        <w:spacing w:line="360" w:lineRule="auto"/>
        <w:rPr>
          <w:rFonts w:ascii="Times New Roman" w:hAnsi="Times New Roman"/>
          <w:snapToGrid/>
        </w:rPr>
      </w:pPr>
    </w:p>
    <w:p w:rsidR="00BD249A" w:rsidRDefault="00BD249A" w:rsidP="00481C49">
      <w:pPr>
        <w:widowControl/>
        <w:spacing w:line="360" w:lineRule="auto"/>
        <w:rPr>
          <w:rFonts w:ascii="Times New Roman" w:hAnsi="Times New Roman"/>
          <w:snapToGrid/>
        </w:rPr>
      </w:pPr>
      <w:r>
        <w:rPr>
          <w:rFonts w:ascii="Times New Roman" w:hAnsi="Times New Roman"/>
          <w:snapToGrid/>
        </w:rPr>
        <w:tab/>
      </w:r>
      <w:r>
        <w:rPr>
          <w:rFonts w:ascii="Times New Roman" w:hAnsi="Times New Roman"/>
          <w:snapToGrid/>
        </w:rPr>
        <w:tab/>
        <w:t>4</w:t>
      </w:r>
      <w:r w:rsidR="00631AFC">
        <w:rPr>
          <w:rFonts w:ascii="Times New Roman" w:hAnsi="Times New Roman"/>
          <w:snapToGrid/>
        </w:rPr>
        <w:t>8</w:t>
      </w:r>
      <w:r>
        <w:rPr>
          <w:rFonts w:ascii="Times New Roman" w:hAnsi="Times New Roman"/>
          <w:snapToGrid/>
        </w:rPr>
        <w:t>.</w:t>
      </w:r>
      <w:r>
        <w:rPr>
          <w:rFonts w:ascii="Times New Roman" w:hAnsi="Times New Roman"/>
          <w:snapToGrid/>
        </w:rPr>
        <w:tab/>
        <w:t xml:space="preserve">Dr. Iro chiefly complains that the only system that PGW has to communicate with landlords concerning </w:t>
      </w:r>
      <w:r w:rsidR="00631AFC">
        <w:rPr>
          <w:rFonts w:ascii="Times New Roman" w:hAnsi="Times New Roman"/>
          <w:snapToGrid/>
        </w:rPr>
        <w:t xml:space="preserve">the </w:t>
      </w:r>
      <w:r>
        <w:rPr>
          <w:rFonts w:ascii="Times New Roman" w:hAnsi="Times New Roman"/>
          <w:snapToGrid/>
        </w:rPr>
        <w:t>LCP is through the computer; PGW is not active in answering emails (Tr. 29)</w:t>
      </w:r>
      <w:r w:rsidR="00631AFC">
        <w:rPr>
          <w:rFonts w:ascii="Times New Roman" w:hAnsi="Times New Roman"/>
          <w:snapToGrid/>
        </w:rPr>
        <w:t>;</w:t>
      </w:r>
      <w:r>
        <w:rPr>
          <w:rFonts w:ascii="Times New Roman" w:hAnsi="Times New Roman"/>
          <w:snapToGrid/>
        </w:rPr>
        <w:t xml:space="preserve"> and</w:t>
      </w:r>
      <w:r w:rsidR="00631AFC">
        <w:rPr>
          <w:rFonts w:ascii="Times New Roman" w:hAnsi="Times New Roman"/>
          <w:snapToGrid/>
        </w:rPr>
        <w:t xml:space="preserve"> </w:t>
      </w:r>
      <w:r w:rsidR="00394D82">
        <w:rPr>
          <w:rFonts w:ascii="Times New Roman" w:hAnsi="Times New Roman"/>
          <w:snapToGrid/>
        </w:rPr>
        <w:t>PGW needs</w:t>
      </w:r>
      <w:r>
        <w:rPr>
          <w:rFonts w:ascii="Times New Roman" w:hAnsi="Times New Roman"/>
          <w:snapToGrid/>
        </w:rPr>
        <w:t xml:space="preserve"> more staff to administer its LCP.  </w:t>
      </w:r>
      <w:proofErr w:type="gramStart"/>
      <w:r>
        <w:rPr>
          <w:rFonts w:ascii="Times New Roman" w:hAnsi="Times New Roman"/>
          <w:snapToGrid/>
        </w:rPr>
        <w:t>Tr. 88.</w:t>
      </w:r>
      <w:proofErr w:type="gramEnd"/>
    </w:p>
    <w:p w:rsidR="00BD249A" w:rsidRDefault="00BD249A" w:rsidP="00481C49">
      <w:pPr>
        <w:widowControl/>
        <w:spacing w:line="360" w:lineRule="auto"/>
        <w:rPr>
          <w:rFonts w:ascii="Times New Roman" w:hAnsi="Times New Roman"/>
          <w:snapToGrid/>
        </w:rPr>
      </w:pPr>
    </w:p>
    <w:p w:rsidR="00BD249A" w:rsidRDefault="00BD249A" w:rsidP="00481C49">
      <w:pPr>
        <w:widowControl/>
        <w:spacing w:line="360" w:lineRule="auto"/>
        <w:rPr>
          <w:rFonts w:ascii="Times New Roman" w:hAnsi="Times New Roman"/>
          <w:szCs w:val="24"/>
        </w:rPr>
      </w:pPr>
      <w:r>
        <w:rPr>
          <w:rFonts w:ascii="Times New Roman" w:hAnsi="Times New Roman"/>
          <w:snapToGrid/>
        </w:rPr>
        <w:tab/>
      </w:r>
      <w:r>
        <w:rPr>
          <w:rFonts w:ascii="Times New Roman" w:hAnsi="Times New Roman"/>
          <w:snapToGrid/>
        </w:rPr>
        <w:tab/>
        <w:t>4</w:t>
      </w:r>
      <w:r w:rsidR="00631AFC">
        <w:rPr>
          <w:rFonts w:ascii="Times New Roman" w:hAnsi="Times New Roman"/>
          <w:snapToGrid/>
        </w:rPr>
        <w:t>9.</w:t>
      </w:r>
      <w:r w:rsidR="00631AFC">
        <w:rPr>
          <w:rFonts w:ascii="Times New Roman" w:hAnsi="Times New Roman"/>
          <w:snapToGrid/>
        </w:rPr>
        <w:tab/>
      </w:r>
      <w:r>
        <w:rPr>
          <w:rFonts w:ascii="Times New Roman" w:hAnsi="Times New Roman"/>
          <w:snapToGrid/>
        </w:rPr>
        <w:t>Dr. Iro did not present any credible evidence that PGW failed to provide her reasonable service</w:t>
      </w:r>
      <w:r w:rsidR="00CA79D1">
        <w:rPr>
          <w:rFonts w:ascii="Times New Roman" w:hAnsi="Times New Roman"/>
          <w:snapToGrid/>
        </w:rPr>
        <w:t>.</w:t>
      </w:r>
      <w:r>
        <w:rPr>
          <w:rFonts w:ascii="Times New Roman" w:hAnsi="Times New Roman"/>
          <w:snapToGrid/>
        </w:rPr>
        <w:t xml:space="preserve"> </w:t>
      </w:r>
    </w:p>
    <w:p w:rsidR="0035278C" w:rsidRDefault="0035278C" w:rsidP="008D141C">
      <w:pPr>
        <w:tabs>
          <w:tab w:val="left" w:pos="2250"/>
        </w:tabs>
        <w:spacing w:line="360" w:lineRule="auto"/>
        <w:jc w:val="center"/>
        <w:outlineLvl w:val="0"/>
        <w:rPr>
          <w:rFonts w:ascii="Times New Roman" w:hAnsi="Times New Roman"/>
          <w:szCs w:val="24"/>
          <w:u w:val="single"/>
        </w:rPr>
      </w:pPr>
    </w:p>
    <w:p w:rsidR="008D141C" w:rsidRPr="007D77F8" w:rsidRDefault="008D141C" w:rsidP="008D141C">
      <w:pPr>
        <w:tabs>
          <w:tab w:val="left" w:pos="2250"/>
        </w:tabs>
        <w:spacing w:line="360" w:lineRule="auto"/>
        <w:jc w:val="center"/>
        <w:outlineLvl w:val="0"/>
        <w:rPr>
          <w:rFonts w:ascii="Times New Roman" w:hAnsi="Times New Roman"/>
          <w:szCs w:val="24"/>
          <w:u w:val="single"/>
        </w:rPr>
      </w:pPr>
      <w:r w:rsidRPr="007D77F8">
        <w:rPr>
          <w:rFonts w:ascii="Times New Roman" w:hAnsi="Times New Roman"/>
          <w:szCs w:val="24"/>
          <w:u w:val="single"/>
        </w:rPr>
        <w:t>DISCUSSION</w:t>
      </w:r>
    </w:p>
    <w:p w:rsidR="00631AFC" w:rsidRDefault="00631AFC" w:rsidP="008D141C">
      <w:pPr>
        <w:spacing w:line="360" w:lineRule="auto"/>
        <w:outlineLvl w:val="0"/>
        <w:rPr>
          <w:rFonts w:ascii="Times New Roman" w:hAnsi="Times New Roman"/>
          <w:szCs w:val="24"/>
          <w:u w:val="single"/>
        </w:rPr>
      </w:pPr>
    </w:p>
    <w:p w:rsidR="008D141C" w:rsidRDefault="008D141C" w:rsidP="008D141C">
      <w:pPr>
        <w:spacing w:line="360" w:lineRule="auto"/>
        <w:outlineLvl w:val="0"/>
        <w:rPr>
          <w:rFonts w:ascii="Times New Roman" w:hAnsi="Times New Roman"/>
          <w:szCs w:val="24"/>
        </w:rPr>
      </w:pPr>
      <w:r>
        <w:rPr>
          <w:rFonts w:ascii="Times New Roman" w:hAnsi="Times New Roman"/>
          <w:szCs w:val="24"/>
          <w:u w:val="single"/>
        </w:rPr>
        <w:t xml:space="preserve">Applicable </w:t>
      </w:r>
      <w:r w:rsidR="00E56EA7">
        <w:rPr>
          <w:rFonts w:ascii="Times New Roman" w:hAnsi="Times New Roman"/>
          <w:szCs w:val="24"/>
          <w:u w:val="single"/>
        </w:rPr>
        <w:t>Legal Principles</w:t>
      </w:r>
      <w:r w:rsidRPr="00135971">
        <w:rPr>
          <w:rFonts w:ascii="Times New Roman" w:hAnsi="Times New Roman"/>
          <w:szCs w:val="24"/>
          <w:u w:val="single"/>
        </w:rPr>
        <w:t xml:space="preserve"> </w:t>
      </w:r>
    </w:p>
    <w:p w:rsidR="00490CDE" w:rsidRDefault="00490CDE" w:rsidP="00490CDE">
      <w:pPr>
        <w:widowControl/>
        <w:tabs>
          <w:tab w:val="left" w:pos="1440"/>
        </w:tabs>
        <w:spacing w:line="360" w:lineRule="auto"/>
        <w:rPr>
          <w:rFonts w:ascii="Times New Roman" w:hAnsi="Times New Roman"/>
          <w:snapToGrid/>
        </w:rPr>
      </w:pPr>
    </w:p>
    <w:p w:rsidR="00BA36BA" w:rsidRDefault="00BA36BA" w:rsidP="00490CDE">
      <w:pPr>
        <w:widowControl/>
        <w:tabs>
          <w:tab w:val="left" w:pos="1440"/>
        </w:tabs>
        <w:spacing w:line="360" w:lineRule="auto"/>
        <w:rPr>
          <w:rFonts w:ascii="Times New Roman" w:hAnsi="Times New Roman"/>
          <w:snapToGrid/>
        </w:rPr>
      </w:pPr>
      <w:r>
        <w:rPr>
          <w:rFonts w:ascii="Times New Roman" w:hAnsi="Times New Roman"/>
          <w:snapToGrid/>
        </w:rPr>
        <w:tab/>
        <w:t>1.</w:t>
      </w:r>
      <w:r>
        <w:rPr>
          <w:rFonts w:ascii="Times New Roman" w:hAnsi="Times New Roman"/>
          <w:snapToGrid/>
        </w:rPr>
        <w:tab/>
        <w:t>Complaints</w:t>
      </w:r>
      <w:r>
        <w:rPr>
          <w:rFonts w:ascii="Times New Roman" w:hAnsi="Times New Roman"/>
          <w:snapToGrid/>
        </w:rPr>
        <w:tab/>
      </w:r>
    </w:p>
    <w:p w:rsidR="005C0061" w:rsidRDefault="005C0061" w:rsidP="00490CDE">
      <w:pPr>
        <w:widowControl/>
        <w:tabs>
          <w:tab w:val="left" w:pos="1440"/>
        </w:tabs>
        <w:spacing w:line="360" w:lineRule="auto"/>
        <w:rPr>
          <w:rFonts w:ascii="Times New Roman" w:hAnsi="Times New Roman"/>
          <w:snapToGrid/>
        </w:rPr>
      </w:pPr>
    </w:p>
    <w:p w:rsidR="005C0061" w:rsidRDefault="00490CDE" w:rsidP="00490CDE">
      <w:pPr>
        <w:widowControl/>
        <w:tabs>
          <w:tab w:val="left" w:pos="1440"/>
        </w:tabs>
        <w:spacing w:line="360" w:lineRule="auto"/>
        <w:rPr>
          <w:rFonts w:ascii="Times New Roman" w:hAnsi="Times New Roman"/>
          <w:snapToGrid/>
          <w:szCs w:val="24"/>
        </w:rPr>
      </w:pPr>
      <w:r w:rsidRPr="00490CDE">
        <w:rPr>
          <w:rFonts w:ascii="Times New Roman" w:hAnsi="Times New Roman"/>
          <w:snapToGrid/>
        </w:rPr>
        <w:tab/>
      </w:r>
      <w:r w:rsidRPr="00490CDE">
        <w:rPr>
          <w:rFonts w:ascii="Times New Roman" w:hAnsi="Times New Roman"/>
          <w:snapToGrid/>
          <w:szCs w:val="24"/>
        </w:rPr>
        <w:t xml:space="preserve">Section 701 of the Public Utility Code (Code), provides that any person may </w:t>
      </w:r>
    </w:p>
    <w:p w:rsidR="005C0061" w:rsidRDefault="00490CDE" w:rsidP="00490CDE">
      <w:pPr>
        <w:widowControl/>
        <w:tabs>
          <w:tab w:val="left" w:pos="1440"/>
        </w:tabs>
        <w:spacing w:line="360" w:lineRule="auto"/>
        <w:rPr>
          <w:rFonts w:ascii="Times New Roman" w:hAnsi="Times New Roman"/>
          <w:szCs w:val="24"/>
        </w:rPr>
      </w:pPr>
      <w:r w:rsidRPr="00490CDE">
        <w:rPr>
          <w:rFonts w:ascii="Times New Roman" w:hAnsi="Times New Roman"/>
          <w:snapToGrid/>
          <w:szCs w:val="24"/>
        </w:rPr>
        <w:t xml:space="preserve">complain, in writing, about any act or thing done or omitted to be done by a public utility in violation, or claimed violation, of any law which the Commission has the jurisdiction to administer, or of any regulation or order of the Commission. </w:t>
      </w:r>
      <w:r>
        <w:rPr>
          <w:rFonts w:ascii="Times New Roman" w:hAnsi="Times New Roman"/>
          <w:snapToGrid/>
          <w:szCs w:val="24"/>
        </w:rPr>
        <w:t xml:space="preserve"> </w:t>
      </w:r>
      <w:proofErr w:type="gramStart"/>
      <w:r w:rsidRPr="00490CDE">
        <w:rPr>
          <w:rFonts w:ascii="Times New Roman" w:hAnsi="Times New Roman"/>
          <w:szCs w:val="24"/>
        </w:rPr>
        <w:t>66 Pa.C.S.</w:t>
      </w:r>
      <w:proofErr w:type="gramEnd"/>
      <w:r w:rsidRPr="00490CDE">
        <w:rPr>
          <w:rFonts w:ascii="Times New Roman" w:hAnsi="Times New Roman"/>
          <w:szCs w:val="24"/>
        </w:rPr>
        <w:t xml:space="preserve"> § 701.</w:t>
      </w:r>
      <w:r>
        <w:rPr>
          <w:rFonts w:ascii="Times New Roman" w:hAnsi="Times New Roman"/>
          <w:szCs w:val="24"/>
        </w:rPr>
        <w:t xml:space="preserve">  </w:t>
      </w:r>
    </w:p>
    <w:p w:rsidR="005C0061" w:rsidRDefault="005C0061" w:rsidP="00490CDE">
      <w:pPr>
        <w:widowControl/>
        <w:tabs>
          <w:tab w:val="left" w:pos="1440"/>
        </w:tabs>
        <w:spacing w:line="360" w:lineRule="auto"/>
        <w:rPr>
          <w:rFonts w:ascii="Times New Roman" w:hAnsi="Times New Roman"/>
          <w:szCs w:val="24"/>
        </w:rPr>
      </w:pPr>
    </w:p>
    <w:p w:rsidR="00394D82" w:rsidRDefault="005C0061" w:rsidP="005C0061">
      <w:pPr>
        <w:widowControl/>
        <w:tabs>
          <w:tab w:val="left" w:pos="1440"/>
        </w:tabs>
        <w:spacing w:line="360" w:lineRule="auto"/>
        <w:rPr>
          <w:rFonts w:ascii="Times New Roman" w:hAnsi="Times New Roman"/>
          <w:snapToGrid/>
          <w:szCs w:val="24"/>
        </w:rPr>
      </w:pPr>
      <w:r>
        <w:rPr>
          <w:rFonts w:ascii="Times New Roman" w:hAnsi="Times New Roman"/>
          <w:snapToGrid/>
          <w:szCs w:val="24"/>
        </w:rPr>
        <w:tab/>
      </w:r>
      <w:r w:rsidR="00394D82">
        <w:rPr>
          <w:rFonts w:ascii="Times New Roman" w:hAnsi="Times New Roman"/>
          <w:snapToGrid/>
          <w:szCs w:val="24"/>
        </w:rPr>
        <w:br w:type="page"/>
      </w:r>
    </w:p>
    <w:p w:rsidR="005C0061" w:rsidRDefault="005C0EAD" w:rsidP="005C0061">
      <w:pPr>
        <w:widowControl/>
        <w:tabs>
          <w:tab w:val="left" w:pos="1440"/>
        </w:tabs>
        <w:spacing w:line="360" w:lineRule="auto"/>
        <w:rPr>
          <w:rFonts w:ascii="Times New Roman" w:hAnsi="Times New Roman"/>
          <w:snapToGrid/>
          <w:szCs w:val="24"/>
        </w:rPr>
      </w:pPr>
      <w:r>
        <w:rPr>
          <w:rFonts w:ascii="Times New Roman" w:hAnsi="Times New Roman"/>
          <w:snapToGrid/>
          <w:szCs w:val="24"/>
        </w:rPr>
        <w:lastRenderedPageBreak/>
        <w:tab/>
      </w:r>
      <w:r w:rsidR="005C0061">
        <w:rPr>
          <w:rFonts w:ascii="Times New Roman" w:hAnsi="Times New Roman"/>
          <w:snapToGrid/>
          <w:szCs w:val="24"/>
        </w:rPr>
        <w:t>2.</w:t>
      </w:r>
      <w:r w:rsidR="005C0061">
        <w:rPr>
          <w:rFonts w:ascii="Times New Roman" w:hAnsi="Times New Roman"/>
          <w:snapToGrid/>
          <w:szCs w:val="24"/>
        </w:rPr>
        <w:tab/>
        <w:t>Burden of Proof</w:t>
      </w:r>
    </w:p>
    <w:p w:rsidR="005C0061" w:rsidRDefault="005C0061" w:rsidP="005C0061">
      <w:pPr>
        <w:widowControl/>
        <w:tabs>
          <w:tab w:val="left" w:pos="1440"/>
        </w:tabs>
        <w:spacing w:line="360" w:lineRule="auto"/>
        <w:rPr>
          <w:rFonts w:ascii="Times New Roman" w:hAnsi="Times New Roman"/>
          <w:snapToGrid/>
          <w:szCs w:val="24"/>
        </w:rPr>
      </w:pPr>
    </w:p>
    <w:p w:rsidR="00490CDE" w:rsidRDefault="005C0061" w:rsidP="005C0061">
      <w:pPr>
        <w:widowControl/>
        <w:tabs>
          <w:tab w:val="left" w:pos="1440"/>
        </w:tabs>
        <w:spacing w:line="360" w:lineRule="auto"/>
        <w:rPr>
          <w:rFonts w:ascii="Times New Roman" w:hAnsi="Times New Roman"/>
          <w:szCs w:val="24"/>
        </w:rPr>
      </w:pPr>
      <w:r>
        <w:rPr>
          <w:rFonts w:ascii="Times New Roman" w:hAnsi="Times New Roman"/>
          <w:snapToGrid/>
          <w:szCs w:val="24"/>
        </w:rPr>
        <w:tab/>
      </w:r>
      <w:r w:rsidR="00490CDE" w:rsidRPr="00490CDE">
        <w:rPr>
          <w:rFonts w:ascii="Times New Roman" w:hAnsi="Times New Roman"/>
          <w:snapToGrid/>
          <w:szCs w:val="24"/>
        </w:rPr>
        <w:t xml:space="preserve">A person seeking affirmative relief from the Commission has the burden of proof.  </w:t>
      </w:r>
      <w:proofErr w:type="gramStart"/>
      <w:r w:rsidR="00490CDE" w:rsidRPr="00490CDE">
        <w:rPr>
          <w:rFonts w:ascii="Times New Roman" w:hAnsi="Times New Roman"/>
        </w:rPr>
        <w:t>66 Pa.C.S.</w:t>
      </w:r>
      <w:proofErr w:type="gramEnd"/>
      <w:r w:rsidR="00490CDE" w:rsidRPr="00490CDE">
        <w:rPr>
          <w:rFonts w:ascii="Times New Roman" w:hAnsi="Times New Roman"/>
        </w:rPr>
        <w:t xml:space="preserve"> § 332(a).</w:t>
      </w:r>
      <w:r>
        <w:rPr>
          <w:rFonts w:ascii="Times New Roman" w:hAnsi="Times New Roman"/>
        </w:rPr>
        <w:t xml:space="preserve">  </w:t>
      </w:r>
      <w:r w:rsidR="00490CDE" w:rsidRPr="00490CDE">
        <w:rPr>
          <w:rFonts w:ascii="Times New Roman" w:hAnsi="Times New Roman"/>
          <w:snapToGrid/>
          <w:szCs w:val="24"/>
        </w:rPr>
        <w:t xml:space="preserve">In this </w:t>
      </w:r>
      <w:r w:rsidR="00490CDE">
        <w:rPr>
          <w:rFonts w:ascii="Times New Roman" w:hAnsi="Times New Roman"/>
          <w:snapToGrid/>
          <w:szCs w:val="24"/>
        </w:rPr>
        <w:t>proceeding</w:t>
      </w:r>
      <w:r w:rsidR="00490CDE" w:rsidRPr="00490CDE">
        <w:rPr>
          <w:rFonts w:ascii="Times New Roman" w:hAnsi="Times New Roman"/>
          <w:snapToGrid/>
          <w:szCs w:val="24"/>
        </w:rPr>
        <w:t>, the Complainant is the party seeking affirmative relief from the Commission; therefore, she has the burden of proof.  This means that she has the duty to establish a fact by a preponderance of the evidence, and must show that P</w:t>
      </w:r>
      <w:r w:rsidR="005C0EAD">
        <w:rPr>
          <w:rFonts w:ascii="Times New Roman" w:hAnsi="Times New Roman"/>
          <w:snapToGrid/>
          <w:szCs w:val="24"/>
        </w:rPr>
        <w:t>GW</w:t>
      </w:r>
      <w:r w:rsidR="00490CDE" w:rsidRPr="00490CDE">
        <w:rPr>
          <w:rFonts w:ascii="Times New Roman" w:hAnsi="Times New Roman"/>
          <w:snapToGrid/>
          <w:szCs w:val="24"/>
        </w:rPr>
        <w:t xml:space="preserve"> has violated the Public Utility Code or Commission regulations. </w:t>
      </w:r>
      <w:r w:rsidR="00490CDE">
        <w:rPr>
          <w:rFonts w:ascii="Times New Roman" w:hAnsi="Times New Roman"/>
          <w:snapToGrid/>
          <w:szCs w:val="24"/>
        </w:rPr>
        <w:t xml:space="preserve"> </w:t>
      </w:r>
      <w:proofErr w:type="gramStart"/>
      <w:r w:rsidR="001443AF">
        <w:rPr>
          <w:rFonts w:ascii="Times New Roman" w:hAnsi="Times New Roman"/>
          <w:i/>
          <w:szCs w:val="24"/>
        </w:rPr>
        <w:t xml:space="preserve">Se-Ling Hosiery, Inc. v. </w:t>
      </w:r>
      <w:r w:rsidR="00490CDE" w:rsidRPr="00490CDE">
        <w:rPr>
          <w:rFonts w:ascii="Times New Roman" w:hAnsi="Times New Roman"/>
          <w:i/>
          <w:szCs w:val="24"/>
        </w:rPr>
        <w:t>Margulies</w:t>
      </w:r>
      <w:r w:rsidR="00490CDE" w:rsidRPr="00490CDE">
        <w:rPr>
          <w:rFonts w:ascii="Times New Roman" w:hAnsi="Times New Roman"/>
          <w:szCs w:val="24"/>
        </w:rPr>
        <w:t xml:space="preserve">, 364 Pa. 45, 70 A.2d 854 (1950); </w:t>
      </w:r>
      <w:r w:rsidR="00490CDE" w:rsidRPr="00490CDE">
        <w:rPr>
          <w:rFonts w:ascii="Times New Roman" w:hAnsi="Times New Roman"/>
          <w:i/>
          <w:szCs w:val="24"/>
        </w:rPr>
        <w:t>Feinstein v. Philadelphia Suburban Water Company</w:t>
      </w:r>
      <w:r w:rsidR="00490CDE" w:rsidRPr="00490CDE">
        <w:rPr>
          <w:rFonts w:ascii="Times New Roman" w:hAnsi="Times New Roman"/>
          <w:szCs w:val="24"/>
        </w:rPr>
        <w:t>, 50 Pa. PUC 300 (1976).</w:t>
      </w:r>
      <w:proofErr w:type="gramEnd"/>
    </w:p>
    <w:p w:rsidR="005C0061" w:rsidRDefault="005C0061" w:rsidP="00490CDE">
      <w:pPr>
        <w:pStyle w:val="FootnoteText"/>
        <w:spacing w:line="360" w:lineRule="auto"/>
        <w:ind w:firstLine="720"/>
        <w:rPr>
          <w:rFonts w:ascii="Times New Roman" w:hAnsi="Times New Roman"/>
          <w:sz w:val="24"/>
          <w:szCs w:val="24"/>
        </w:rPr>
      </w:pPr>
    </w:p>
    <w:p w:rsidR="005C0061" w:rsidRPr="005C0061" w:rsidRDefault="005C0061" w:rsidP="005C0061">
      <w:pPr>
        <w:widowControl/>
        <w:spacing w:line="360" w:lineRule="auto"/>
        <w:rPr>
          <w:rFonts w:ascii="Times New Roman" w:hAnsi="Times New Roman"/>
          <w:snapToGrid/>
          <w:szCs w:val="24"/>
        </w:rPr>
      </w:pPr>
      <w:r w:rsidRPr="005C0061">
        <w:rPr>
          <w:rFonts w:ascii="Times New Roman" w:hAnsi="Times New Roman"/>
          <w:snapToGrid/>
          <w:szCs w:val="24"/>
        </w:rPr>
        <w:tab/>
      </w:r>
      <w:r w:rsidRPr="005C0061">
        <w:rPr>
          <w:rFonts w:ascii="Times New Roman" w:hAnsi="Times New Roman"/>
          <w:snapToGrid/>
          <w:szCs w:val="24"/>
        </w:rPr>
        <w:tab/>
        <w:t xml:space="preserve">The term “burden of proof” means a duty to establish a fact by a preponderance of the evidence.  </w:t>
      </w:r>
      <w:r w:rsidRPr="005C0061">
        <w:rPr>
          <w:rFonts w:ascii="Times New Roman" w:hAnsi="Times New Roman"/>
          <w:i/>
          <w:snapToGrid/>
          <w:szCs w:val="24"/>
        </w:rPr>
        <w:t>Se-Ling Hosiery v. Margulies</w:t>
      </w:r>
      <w:r w:rsidRPr="005C0061">
        <w:rPr>
          <w:rFonts w:ascii="Times New Roman" w:hAnsi="Times New Roman"/>
          <w:snapToGrid/>
          <w:szCs w:val="24"/>
        </w:rPr>
        <w:t xml:space="preserve">, 364 Pa. 45, 70 A.2d 854 (1950); and </w:t>
      </w:r>
      <w:r w:rsidRPr="005C0061">
        <w:rPr>
          <w:rFonts w:ascii="Times New Roman" w:hAnsi="Times New Roman"/>
          <w:i/>
          <w:snapToGrid/>
          <w:szCs w:val="24"/>
        </w:rPr>
        <w:t>Feinstein v.</w:t>
      </w:r>
      <w:r w:rsidRPr="005C0061">
        <w:rPr>
          <w:rFonts w:ascii="Times New Roman" w:hAnsi="Times New Roman"/>
          <w:snapToGrid/>
          <w:szCs w:val="24"/>
          <w:u w:val="single"/>
        </w:rPr>
        <w:t xml:space="preserve"> </w:t>
      </w:r>
      <w:r w:rsidRPr="005C0061">
        <w:rPr>
          <w:rFonts w:ascii="Times New Roman" w:hAnsi="Times New Roman"/>
          <w:i/>
          <w:snapToGrid/>
          <w:szCs w:val="24"/>
        </w:rPr>
        <w:t>Philadelphia Suburban Water Company</w:t>
      </w:r>
      <w:r w:rsidRPr="005C0061">
        <w:rPr>
          <w:rFonts w:ascii="Times New Roman" w:hAnsi="Times New Roman"/>
          <w:snapToGrid/>
          <w:szCs w:val="24"/>
        </w:rPr>
        <w:t xml:space="preserve">, 50 Pa. PUC 300 (October 6, 1976).  “Preponderance of the evidence” means one party must present evidence that is more convincing, by even the smallest amount, than the evidence presented by the other party.  </w:t>
      </w:r>
      <w:r w:rsidRPr="005C0061">
        <w:rPr>
          <w:rFonts w:ascii="Times New Roman" w:hAnsi="Times New Roman"/>
          <w:i/>
          <w:snapToGrid/>
          <w:szCs w:val="24"/>
        </w:rPr>
        <w:t>Id</w:t>
      </w:r>
      <w:r w:rsidRPr="005C0061">
        <w:rPr>
          <w:rFonts w:ascii="Times New Roman" w:hAnsi="Times New Roman"/>
          <w:snapToGrid/>
          <w:szCs w:val="24"/>
        </w:rPr>
        <w:t xml:space="preserve">.  Accordingly, one must review the record in this case to determine whether Complainant has satisfied her burden of proof.  If the review indicates the burden has been satisfied, one must then determine whether Respondent has submitted evidence of co-equal value or weight to refute Complainant’s evidence.  If this has occurred, the burden of proof cannot be satisfied, unless the party bearing the burden of proof presents additional evidence.  </w:t>
      </w:r>
      <w:proofErr w:type="gramStart"/>
      <w:r w:rsidRPr="005C0061">
        <w:rPr>
          <w:rFonts w:ascii="Times New Roman" w:hAnsi="Times New Roman"/>
          <w:i/>
          <w:snapToGrid/>
          <w:szCs w:val="24"/>
        </w:rPr>
        <w:t>Morrissey v. Pa. Dept. of Highways</w:t>
      </w:r>
      <w:r w:rsidRPr="005C0061">
        <w:rPr>
          <w:rFonts w:ascii="Times New Roman" w:hAnsi="Times New Roman"/>
          <w:snapToGrid/>
          <w:szCs w:val="24"/>
        </w:rPr>
        <w:t xml:space="preserve">, 424 Pa. 87, 225 A.2d 895 (1967); </w:t>
      </w:r>
      <w:r w:rsidRPr="005C0061">
        <w:rPr>
          <w:rFonts w:ascii="Times New Roman" w:hAnsi="Times New Roman"/>
          <w:i/>
          <w:snapToGrid/>
          <w:szCs w:val="24"/>
        </w:rPr>
        <w:t xml:space="preserve">Burleson v. Pa. </w:t>
      </w:r>
      <w:proofErr w:type="spellStart"/>
      <w:r w:rsidRPr="005C0061">
        <w:rPr>
          <w:rFonts w:ascii="Times New Roman" w:hAnsi="Times New Roman"/>
          <w:i/>
          <w:snapToGrid/>
          <w:szCs w:val="24"/>
        </w:rPr>
        <w:t>Pub.Util</w:t>
      </w:r>
      <w:proofErr w:type="spellEnd"/>
      <w:r w:rsidRPr="005C0061">
        <w:rPr>
          <w:rFonts w:ascii="Times New Roman" w:hAnsi="Times New Roman"/>
          <w:i/>
          <w:snapToGrid/>
          <w:szCs w:val="24"/>
        </w:rPr>
        <w:t>.</w:t>
      </w:r>
      <w:proofErr w:type="gramEnd"/>
      <w:r w:rsidRPr="005C0061">
        <w:rPr>
          <w:rFonts w:ascii="Times New Roman" w:hAnsi="Times New Roman"/>
          <w:i/>
          <w:snapToGrid/>
          <w:szCs w:val="24"/>
        </w:rPr>
        <w:t xml:space="preserve"> </w:t>
      </w:r>
      <w:proofErr w:type="spellStart"/>
      <w:proofErr w:type="gramStart"/>
      <w:r w:rsidRPr="005C0061">
        <w:rPr>
          <w:rFonts w:ascii="Times New Roman" w:hAnsi="Times New Roman"/>
          <w:i/>
          <w:snapToGrid/>
          <w:szCs w:val="24"/>
        </w:rPr>
        <w:t>Comm’n</w:t>
      </w:r>
      <w:proofErr w:type="spellEnd"/>
      <w:r w:rsidRPr="005C0061">
        <w:rPr>
          <w:rFonts w:ascii="Times New Roman" w:hAnsi="Times New Roman"/>
          <w:snapToGrid/>
          <w:szCs w:val="24"/>
        </w:rPr>
        <w:t>, 443 A.2d 1373 (</w:t>
      </w:r>
      <w:proofErr w:type="spellStart"/>
      <w:r w:rsidRPr="005C0061">
        <w:rPr>
          <w:rFonts w:ascii="Times New Roman" w:hAnsi="Times New Roman"/>
          <w:snapToGrid/>
          <w:szCs w:val="24"/>
        </w:rPr>
        <w:t>Pa.Cmwlth</w:t>
      </w:r>
      <w:proofErr w:type="spellEnd"/>
      <w:r w:rsidRPr="005C0061">
        <w:rPr>
          <w:rFonts w:ascii="Times New Roman" w:hAnsi="Times New Roman"/>
          <w:snapToGrid/>
          <w:szCs w:val="24"/>
        </w:rPr>
        <w:t>. 1982).</w:t>
      </w:r>
      <w:proofErr w:type="gramEnd"/>
    </w:p>
    <w:p w:rsidR="005C0061" w:rsidRPr="005C0061" w:rsidRDefault="005C0061" w:rsidP="005C0061">
      <w:pPr>
        <w:widowControl/>
        <w:spacing w:line="360" w:lineRule="auto"/>
        <w:rPr>
          <w:rFonts w:ascii="Times New Roman" w:hAnsi="Times New Roman"/>
          <w:snapToGrid/>
          <w:szCs w:val="24"/>
        </w:rPr>
      </w:pPr>
    </w:p>
    <w:p w:rsidR="005C0061" w:rsidRPr="005C0061" w:rsidRDefault="005C0061" w:rsidP="005C0061">
      <w:pPr>
        <w:widowControl/>
        <w:spacing w:line="360" w:lineRule="auto"/>
        <w:rPr>
          <w:rFonts w:ascii="Times New Roman" w:hAnsi="Times New Roman"/>
          <w:snapToGrid/>
          <w:szCs w:val="24"/>
        </w:rPr>
      </w:pPr>
      <w:r w:rsidRPr="005C0061">
        <w:rPr>
          <w:rFonts w:ascii="Times New Roman" w:hAnsi="Times New Roman"/>
          <w:snapToGrid/>
          <w:szCs w:val="24"/>
        </w:rPr>
        <w:tab/>
      </w:r>
      <w:r w:rsidRPr="005C0061">
        <w:rPr>
          <w:rFonts w:ascii="Times New Roman" w:hAnsi="Times New Roman"/>
          <w:snapToGrid/>
          <w:szCs w:val="24"/>
        </w:rPr>
        <w:tab/>
        <w:t xml:space="preserve">Furthermore, one must exercise care to ensure substantial evidence in the record supports the decision of the Commission.  </w:t>
      </w:r>
      <w:proofErr w:type="gramStart"/>
      <w:r w:rsidRPr="005C0061">
        <w:rPr>
          <w:rFonts w:ascii="Times New Roman" w:hAnsi="Times New Roman"/>
          <w:i/>
          <w:snapToGrid/>
          <w:szCs w:val="24"/>
        </w:rPr>
        <w:t>See</w:t>
      </w:r>
      <w:r w:rsidRPr="005C0061">
        <w:rPr>
          <w:rFonts w:ascii="Times New Roman" w:hAnsi="Times New Roman"/>
          <w:snapToGrid/>
          <w:szCs w:val="24"/>
        </w:rPr>
        <w:t xml:space="preserve">, </w:t>
      </w:r>
      <w:r w:rsidRPr="005C0061">
        <w:rPr>
          <w:rFonts w:ascii="Times New Roman" w:hAnsi="Times New Roman"/>
          <w:i/>
          <w:snapToGrid/>
          <w:szCs w:val="24"/>
        </w:rPr>
        <w:t>e.g.</w:t>
      </w:r>
      <w:r w:rsidRPr="005C0061">
        <w:rPr>
          <w:rFonts w:ascii="Times New Roman" w:hAnsi="Times New Roman"/>
          <w:snapToGrid/>
          <w:szCs w:val="24"/>
        </w:rPr>
        <w:t>, Section 704 of the Administrative Agency Law, 2 Pa.C.S.</w:t>
      </w:r>
      <w:proofErr w:type="gramEnd"/>
      <w:r w:rsidRPr="005C0061">
        <w:rPr>
          <w:rFonts w:ascii="Times New Roman" w:hAnsi="Times New Roman"/>
          <w:snapToGrid/>
          <w:szCs w:val="24"/>
        </w:rPr>
        <w:t xml:space="preserve"> § 704; and </w:t>
      </w:r>
      <w:r w:rsidRPr="005C0061">
        <w:rPr>
          <w:rFonts w:ascii="Times New Roman" w:hAnsi="Times New Roman"/>
          <w:i/>
          <w:snapToGrid/>
          <w:szCs w:val="24"/>
        </w:rPr>
        <w:t xml:space="preserve">Yellow Cab Company v. Pa. Pub. </w:t>
      </w:r>
      <w:proofErr w:type="gramStart"/>
      <w:r w:rsidRPr="005C0061">
        <w:rPr>
          <w:rFonts w:ascii="Times New Roman" w:hAnsi="Times New Roman"/>
          <w:i/>
          <w:snapToGrid/>
          <w:szCs w:val="24"/>
        </w:rPr>
        <w:t xml:space="preserve">Util. </w:t>
      </w:r>
      <w:proofErr w:type="spellStart"/>
      <w:r w:rsidRPr="005C0061">
        <w:rPr>
          <w:rFonts w:ascii="Times New Roman" w:hAnsi="Times New Roman"/>
          <w:i/>
          <w:snapToGrid/>
          <w:szCs w:val="24"/>
        </w:rPr>
        <w:t>Comm’n</w:t>
      </w:r>
      <w:proofErr w:type="spellEnd"/>
      <w:r w:rsidRPr="005C0061">
        <w:rPr>
          <w:rFonts w:ascii="Times New Roman" w:hAnsi="Times New Roman"/>
          <w:i/>
          <w:snapToGrid/>
          <w:szCs w:val="24"/>
        </w:rPr>
        <w:t>,</w:t>
      </w:r>
      <w:r w:rsidRPr="005C0061">
        <w:rPr>
          <w:rFonts w:ascii="Times New Roman" w:hAnsi="Times New Roman"/>
          <w:snapToGrid/>
          <w:szCs w:val="24"/>
        </w:rPr>
        <w:t xml:space="preserve"> 524 A.2d 1069 (</w:t>
      </w:r>
      <w:proofErr w:type="spellStart"/>
      <w:r w:rsidRPr="005C0061">
        <w:rPr>
          <w:rFonts w:ascii="Times New Roman" w:hAnsi="Times New Roman"/>
          <w:snapToGrid/>
          <w:szCs w:val="24"/>
        </w:rPr>
        <w:t>Pa.Cmwlth</w:t>
      </w:r>
      <w:proofErr w:type="spellEnd"/>
      <w:r w:rsidRPr="005C0061">
        <w:rPr>
          <w:rFonts w:ascii="Times New Roman" w:hAnsi="Times New Roman"/>
          <w:snapToGrid/>
          <w:szCs w:val="24"/>
        </w:rPr>
        <w:t>. 1987).</w:t>
      </w:r>
      <w:proofErr w:type="gramEnd"/>
      <w:r w:rsidRPr="005C0061">
        <w:rPr>
          <w:rFonts w:ascii="Times New Roman" w:hAnsi="Times New Roman"/>
          <w:snapToGrid/>
          <w:szCs w:val="24"/>
        </w:rPr>
        <w:t xml:space="preserve">  “Substantial evidence” means such relevant evidence that a reasonable mind may accept as adequate to support a conclusion.  </w:t>
      </w:r>
      <w:proofErr w:type="gramStart"/>
      <w:r w:rsidRPr="005C0061">
        <w:rPr>
          <w:rFonts w:ascii="Times New Roman" w:hAnsi="Times New Roman"/>
          <w:i/>
          <w:snapToGrid/>
          <w:szCs w:val="24"/>
        </w:rPr>
        <w:t>Philadelphia Gas Works v. Pa. Pub.</w:t>
      </w:r>
      <w:proofErr w:type="gramEnd"/>
      <w:r w:rsidRPr="005C0061">
        <w:rPr>
          <w:rFonts w:ascii="Times New Roman" w:hAnsi="Times New Roman"/>
          <w:i/>
          <w:snapToGrid/>
          <w:szCs w:val="24"/>
        </w:rPr>
        <w:t xml:space="preserve"> </w:t>
      </w:r>
      <w:proofErr w:type="gramStart"/>
      <w:r w:rsidRPr="005C0061">
        <w:rPr>
          <w:rFonts w:ascii="Times New Roman" w:hAnsi="Times New Roman"/>
          <w:i/>
          <w:snapToGrid/>
          <w:szCs w:val="24"/>
        </w:rPr>
        <w:t xml:space="preserve">Util. </w:t>
      </w:r>
      <w:proofErr w:type="spellStart"/>
      <w:r w:rsidRPr="005C0061">
        <w:rPr>
          <w:rFonts w:ascii="Times New Roman" w:hAnsi="Times New Roman"/>
          <w:i/>
          <w:snapToGrid/>
          <w:szCs w:val="24"/>
        </w:rPr>
        <w:t>Comm’n</w:t>
      </w:r>
      <w:proofErr w:type="spellEnd"/>
      <w:r w:rsidRPr="005C0061">
        <w:rPr>
          <w:rFonts w:ascii="Times New Roman" w:hAnsi="Times New Roman"/>
          <w:snapToGrid/>
          <w:szCs w:val="24"/>
        </w:rPr>
        <w:t>, 898 A.2d 671 (</w:t>
      </w:r>
      <w:proofErr w:type="spellStart"/>
      <w:r w:rsidRPr="005C0061">
        <w:rPr>
          <w:rFonts w:ascii="Times New Roman" w:hAnsi="Times New Roman"/>
          <w:snapToGrid/>
          <w:szCs w:val="24"/>
        </w:rPr>
        <w:t>Pa.Cmwlth</w:t>
      </w:r>
      <w:proofErr w:type="spellEnd"/>
      <w:r w:rsidRPr="005C0061">
        <w:rPr>
          <w:rFonts w:ascii="Times New Roman" w:hAnsi="Times New Roman"/>
          <w:snapToGrid/>
          <w:szCs w:val="24"/>
        </w:rPr>
        <w:t>. 2006).</w:t>
      </w:r>
      <w:proofErr w:type="gramEnd"/>
      <w:r w:rsidRPr="005C0061">
        <w:rPr>
          <w:rFonts w:ascii="Times New Roman" w:hAnsi="Times New Roman"/>
          <w:snapToGrid/>
          <w:szCs w:val="24"/>
        </w:rPr>
        <w:t xml:space="preserve">  The pertinent inquiry is whether substantial evidence exists to support the Commission’s findings.  </w:t>
      </w:r>
      <w:proofErr w:type="gramStart"/>
      <w:r w:rsidRPr="005C0061">
        <w:rPr>
          <w:rFonts w:ascii="Times New Roman" w:hAnsi="Times New Roman"/>
          <w:i/>
          <w:snapToGrid/>
          <w:szCs w:val="24"/>
        </w:rPr>
        <w:t xml:space="preserve">Elliot Co. v. Workers’ Comp. Appeal Bd. </w:t>
      </w:r>
      <w:r w:rsidRPr="00847B1E">
        <w:rPr>
          <w:rFonts w:ascii="Times New Roman" w:hAnsi="Times New Roman"/>
          <w:snapToGrid/>
          <w:szCs w:val="24"/>
        </w:rPr>
        <w:t>(</w:t>
      </w:r>
      <w:r w:rsidRPr="005C0061">
        <w:rPr>
          <w:rFonts w:ascii="Times New Roman" w:hAnsi="Times New Roman"/>
          <w:i/>
          <w:snapToGrid/>
          <w:szCs w:val="24"/>
        </w:rPr>
        <w:t>Shipley</w:t>
      </w:r>
      <w:r w:rsidRPr="00847B1E">
        <w:rPr>
          <w:rFonts w:ascii="Times New Roman" w:hAnsi="Times New Roman"/>
          <w:snapToGrid/>
          <w:szCs w:val="24"/>
        </w:rPr>
        <w:t>)</w:t>
      </w:r>
      <w:r w:rsidRPr="005C0061">
        <w:rPr>
          <w:rFonts w:ascii="Times New Roman" w:hAnsi="Times New Roman"/>
          <w:i/>
          <w:snapToGrid/>
          <w:szCs w:val="24"/>
        </w:rPr>
        <w:t>,</w:t>
      </w:r>
      <w:r w:rsidRPr="005C0061">
        <w:rPr>
          <w:rFonts w:ascii="Times New Roman" w:hAnsi="Times New Roman"/>
          <w:snapToGrid/>
          <w:szCs w:val="24"/>
        </w:rPr>
        <w:t xml:space="preserve"> 785 A.2d 480 (</w:t>
      </w:r>
      <w:proofErr w:type="spellStart"/>
      <w:r w:rsidRPr="005C0061">
        <w:rPr>
          <w:rFonts w:ascii="Times New Roman" w:hAnsi="Times New Roman"/>
          <w:snapToGrid/>
          <w:szCs w:val="24"/>
        </w:rPr>
        <w:t>Pa.Cmwlth</w:t>
      </w:r>
      <w:proofErr w:type="spellEnd"/>
      <w:r w:rsidRPr="005C0061">
        <w:rPr>
          <w:rFonts w:ascii="Times New Roman" w:hAnsi="Times New Roman"/>
          <w:snapToGrid/>
          <w:szCs w:val="24"/>
        </w:rPr>
        <w:t>. 2002).</w:t>
      </w:r>
      <w:proofErr w:type="gramEnd"/>
      <w:r w:rsidRPr="005C0061">
        <w:rPr>
          <w:rFonts w:ascii="Times New Roman" w:hAnsi="Times New Roman"/>
          <w:snapToGrid/>
          <w:szCs w:val="24"/>
        </w:rPr>
        <w:t xml:space="preserve">  More is required than a mere trace of evidence or a suspicion of the existence of a fact sought to be established.  </w:t>
      </w:r>
      <w:proofErr w:type="gramStart"/>
      <w:r w:rsidRPr="005C0061">
        <w:rPr>
          <w:rFonts w:ascii="Times New Roman" w:hAnsi="Times New Roman"/>
          <w:i/>
          <w:snapToGrid/>
          <w:szCs w:val="24"/>
        </w:rPr>
        <w:t xml:space="preserve">Norfolk &amp; Western Ry. Co. v. Pa. </w:t>
      </w:r>
      <w:r w:rsidRPr="005C0061">
        <w:rPr>
          <w:rFonts w:ascii="Times New Roman" w:hAnsi="Times New Roman"/>
          <w:i/>
          <w:snapToGrid/>
          <w:szCs w:val="24"/>
        </w:rPr>
        <w:lastRenderedPageBreak/>
        <w:t>Pub.</w:t>
      </w:r>
      <w:proofErr w:type="gramEnd"/>
      <w:r w:rsidRPr="005C0061">
        <w:rPr>
          <w:rFonts w:ascii="Times New Roman" w:hAnsi="Times New Roman"/>
          <w:i/>
          <w:snapToGrid/>
          <w:szCs w:val="24"/>
        </w:rPr>
        <w:t xml:space="preserve"> </w:t>
      </w:r>
      <w:proofErr w:type="gramStart"/>
      <w:r w:rsidRPr="005C0061">
        <w:rPr>
          <w:rFonts w:ascii="Times New Roman" w:hAnsi="Times New Roman"/>
          <w:i/>
          <w:snapToGrid/>
          <w:szCs w:val="24"/>
        </w:rPr>
        <w:t xml:space="preserve">Util. </w:t>
      </w:r>
      <w:proofErr w:type="spellStart"/>
      <w:r w:rsidRPr="005C0061">
        <w:rPr>
          <w:rFonts w:ascii="Times New Roman" w:hAnsi="Times New Roman"/>
          <w:i/>
          <w:snapToGrid/>
          <w:szCs w:val="24"/>
        </w:rPr>
        <w:t>Comm’n</w:t>
      </w:r>
      <w:proofErr w:type="spellEnd"/>
      <w:r w:rsidRPr="005C0061">
        <w:rPr>
          <w:rFonts w:ascii="Times New Roman" w:hAnsi="Times New Roman"/>
          <w:i/>
          <w:snapToGrid/>
          <w:szCs w:val="24"/>
        </w:rPr>
        <w:t>,</w:t>
      </w:r>
      <w:r w:rsidRPr="005C0061">
        <w:rPr>
          <w:rFonts w:ascii="Times New Roman" w:hAnsi="Times New Roman"/>
          <w:snapToGrid/>
          <w:szCs w:val="24"/>
        </w:rPr>
        <w:t xml:space="preserve"> 489 Pa. 109, 413 A.2d 1037 (1980); </w:t>
      </w:r>
      <w:r w:rsidRPr="005C0061">
        <w:rPr>
          <w:rFonts w:ascii="Times New Roman" w:hAnsi="Times New Roman"/>
          <w:i/>
          <w:snapToGrid/>
          <w:szCs w:val="24"/>
        </w:rPr>
        <w:t>Erie Resistor Corp. v. Unemployment Comp. Bd. of Review</w:t>
      </w:r>
      <w:r w:rsidRPr="005C0061">
        <w:rPr>
          <w:rFonts w:ascii="Times New Roman" w:hAnsi="Times New Roman"/>
          <w:snapToGrid/>
          <w:szCs w:val="24"/>
        </w:rPr>
        <w:t>, 194 Pa. Super</w:t>
      </w:r>
      <w:r w:rsidR="005C0EAD">
        <w:rPr>
          <w:rFonts w:ascii="Times New Roman" w:hAnsi="Times New Roman"/>
          <w:snapToGrid/>
          <w:szCs w:val="24"/>
        </w:rPr>
        <w:t>.</w:t>
      </w:r>
      <w:proofErr w:type="gramEnd"/>
      <w:r w:rsidRPr="005C0061">
        <w:rPr>
          <w:rFonts w:ascii="Times New Roman" w:hAnsi="Times New Roman"/>
          <w:snapToGrid/>
          <w:szCs w:val="24"/>
        </w:rPr>
        <w:t xml:space="preserve"> Ct. 278, 166 A.2d 96 (1961); and </w:t>
      </w:r>
      <w:r w:rsidRPr="005C0061">
        <w:rPr>
          <w:rFonts w:ascii="Times New Roman" w:hAnsi="Times New Roman"/>
          <w:i/>
          <w:snapToGrid/>
          <w:szCs w:val="24"/>
        </w:rPr>
        <w:t>Murphy v. Pa. Dept. of Public Welfare, White Haven Center</w:t>
      </w:r>
      <w:r w:rsidRPr="005C0061">
        <w:rPr>
          <w:rFonts w:ascii="Times New Roman" w:hAnsi="Times New Roman"/>
          <w:snapToGrid/>
          <w:szCs w:val="24"/>
        </w:rPr>
        <w:t>, 480 A.2d 382 (</w:t>
      </w:r>
      <w:proofErr w:type="spellStart"/>
      <w:r w:rsidRPr="005C0061">
        <w:rPr>
          <w:rFonts w:ascii="Times New Roman" w:hAnsi="Times New Roman"/>
          <w:snapToGrid/>
          <w:szCs w:val="24"/>
        </w:rPr>
        <w:t>Pa.Cmwlth</w:t>
      </w:r>
      <w:proofErr w:type="spellEnd"/>
      <w:r w:rsidRPr="005C0061">
        <w:rPr>
          <w:rFonts w:ascii="Times New Roman" w:hAnsi="Times New Roman"/>
          <w:snapToGrid/>
          <w:szCs w:val="24"/>
        </w:rPr>
        <w:t xml:space="preserve">. 1984).  In addition, a complainant, to establish a sufficient case against a utility and satisfy the burden of proof, must show the utility is responsible or accountable for the problem described in the complaint.  </w:t>
      </w:r>
      <w:r w:rsidRPr="005C0061">
        <w:rPr>
          <w:rFonts w:ascii="Times New Roman" w:hAnsi="Times New Roman"/>
          <w:i/>
          <w:snapToGrid/>
          <w:szCs w:val="24"/>
        </w:rPr>
        <w:t>Feinstein</w:t>
      </w:r>
      <w:r w:rsidRPr="005C0061">
        <w:rPr>
          <w:rFonts w:ascii="Times New Roman" w:hAnsi="Times New Roman"/>
          <w:snapToGrid/>
          <w:szCs w:val="24"/>
        </w:rPr>
        <w:t>, cited above.</w:t>
      </w:r>
    </w:p>
    <w:p w:rsidR="005C0061" w:rsidRPr="00490CDE" w:rsidRDefault="005C0061" w:rsidP="00490CDE">
      <w:pPr>
        <w:pStyle w:val="FootnoteText"/>
        <w:spacing w:line="360" w:lineRule="auto"/>
        <w:ind w:firstLine="720"/>
        <w:rPr>
          <w:rFonts w:ascii="Times New Roman" w:hAnsi="Times New Roman"/>
          <w:sz w:val="24"/>
          <w:szCs w:val="24"/>
        </w:rPr>
      </w:pPr>
    </w:p>
    <w:p w:rsidR="00BA36BA" w:rsidRPr="00BA36BA" w:rsidRDefault="00BA36BA" w:rsidP="00BA36BA">
      <w:pPr>
        <w:widowControl/>
        <w:spacing w:line="360" w:lineRule="auto"/>
        <w:rPr>
          <w:rFonts w:ascii="Times New Roman" w:hAnsi="Times New Roman"/>
          <w:snapToGrid/>
          <w:szCs w:val="24"/>
          <w:u w:val="single"/>
        </w:rPr>
      </w:pPr>
      <w:r w:rsidRPr="00BA36BA">
        <w:rPr>
          <w:rFonts w:ascii="Times New Roman" w:hAnsi="Times New Roman"/>
          <w:snapToGrid/>
          <w:szCs w:val="24"/>
        </w:rPr>
        <w:tab/>
      </w:r>
      <w:r w:rsidRPr="00BA36BA">
        <w:rPr>
          <w:rFonts w:ascii="Times New Roman" w:hAnsi="Times New Roman"/>
          <w:snapToGrid/>
          <w:szCs w:val="24"/>
        </w:rPr>
        <w:tab/>
      </w:r>
      <w:r w:rsidR="005C0061">
        <w:rPr>
          <w:rFonts w:ascii="Times New Roman" w:hAnsi="Times New Roman"/>
          <w:snapToGrid/>
          <w:szCs w:val="24"/>
        </w:rPr>
        <w:t>3</w:t>
      </w:r>
      <w:r w:rsidRPr="00BA36BA">
        <w:rPr>
          <w:rFonts w:ascii="Times New Roman" w:hAnsi="Times New Roman"/>
          <w:snapToGrid/>
          <w:szCs w:val="24"/>
        </w:rPr>
        <w:t>.</w:t>
      </w:r>
      <w:r w:rsidRPr="00BA36BA">
        <w:rPr>
          <w:rFonts w:ascii="Times New Roman" w:hAnsi="Times New Roman"/>
          <w:snapToGrid/>
          <w:szCs w:val="24"/>
        </w:rPr>
        <w:tab/>
        <w:t>Reasonable Service</w:t>
      </w:r>
    </w:p>
    <w:p w:rsidR="00BA36BA" w:rsidRPr="00BA36BA" w:rsidRDefault="00BA36BA" w:rsidP="00BA36BA">
      <w:pPr>
        <w:widowControl/>
        <w:spacing w:line="360" w:lineRule="auto"/>
        <w:rPr>
          <w:rFonts w:ascii="Times New Roman" w:hAnsi="Times New Roman"/>
          <w:snapToGrid/>
          <w:szCs w:val="24"/>
          <w:u w:val="single"/>
        </w:rPr>
      </w:pPr>
    </w:p>
    <w:p w:rsidR="00BA36BA" w:rsidRPr="00BA36BA" w:rsidRDefault="00BA36BA" w:rsidP="00BA36BA">
      <w:pPr>
        <w:widowControl/>
        <w:spacing w:line="360" w:lineRule="auto"/>
        <w:rPr>
          <w:rFonts w:ascii="Times New Roman" w:hAnsi="Times New Roman"/>
          <w:snapToGrid/>
          <w:szCs w:val="24"/>
        </w:rPr>
      </w:pPr>
      <w:r w:rsidRPr="00BA36BA">
        <w:rPr>
          <w:rFonts w:ascii="Times New Roman" w:hAnsi="Times New Roman"/>
          <w:snapToGrid/>
          <w:szCs w:val="24"/>
        </w:rPr>
        <w:tab/>
      </w:r>
      <w:r w:rsidRPr="00BA36BA">
        <w:rPr>
          <w:rFonts w:ascii="Times New Roman" w:hAnsi="Times New Roman"/>
          <w:snapToGrid/>
          <w:szCs w:val="24"/>
        </w:rPr>
        <w:tab/>
        <w:t xml:space="preserve">Section 1501 of the Code, </w:t>
      </w:r>
      <w:proofErr w:type="gramStart"/>
      <w:r w:rsidRPr="00BA36BA">
        <w:rPr>
          <w:rFonts w:ascii="Times New Roman" w:hAnsi="Times New Roman"/>
          <w:snapToGrid/>
          <w:szCs w:val="24"/>
        </w:rPr>
        <w:t>66 Pa.C.S</w:t>
      </w:r>
      <w:proofErr w:type="gramEnd"/>
      <w:r w:rsidRPr="00BA36BA">
        <w:rPr>
          <w:rFonts w:ascii="Times New Roman" w:hAnsi="Times New Roman"/>
          <w:snapToGrid/>
          <w:szCs w:val="24"/>
        </w:rPr>
        <w:t xml:space="preserve">. § 1501, states, “Every public utility must furnish and maintain adequate, efficient, safe, and reasonable service and facilities, and must make all repairs, changes, alterations, substitutions, extensions, and improvements in or to its service and facilities as shall be necessary or proper for the accommodation, convenience, and safety of its patrons, employees, and the public.”  Section 102 of the Code, </w:t>
      </w:r>
      <w:proofErr w:type="gramStart"/>
      <w:r w:rsidRPr="00BA36BA">
        <w:rPr>
          <w:rFonts w:ascii="Times New Roman" w:hAnsi="Times New Roman"/>
          <w:snapToGrid/>
          <w:szCs w:val="24"/>
        </w:rPr>
        <w:t>66 Pa.C.S</w:t>
      </w:r>
      <w:proofErr w:type="gramEnd"/>
      <w:r w:rsidRPr="00BA36BA">
        <w:rPr>
          <w:rFonts w:ascii="Times New Roman" w:hAnsi="Times New Roman"/>
          <w:snapToGrid/>
          <w:szCs w:val="24"/>
        </w:rPr>
        <w:t>. § 102, defines “service” as:</w:t>
      </w:r>
    </w:p>
    <w:p w:rsidR="00BA36BA" w:rsidRPr="00BA36BA" w:rsidRDefault="00BA36BA" w:rsidP="00BA36BA">
      <w:pPr>
        <w:widowControl/>
        <w:ind w:left="1440" w:right="1440"/>
        <w:rPr>
          <w:rFonts w:ascii="Times New Roman" w:hAnsi="Times New Roman"/>
          <w:snapToGrid/>
          <w:szCs w:val="24"/>
        </w:rPr>
      </w:pPr>
    </w:p>
    <w:p w:rsidR="00BA36BA" w:rsidRPr="00BA36BA" w:rsidRDefault="00BA36BA" w:rsidP="00BA36BA">
      <w:pPr>
        <w:widowControl/>
        <w:ind w:left="1440" w:right="1440"/>
        <w:rPr>
          <w:rFonts w:ascii="Times New Roman" w:hAnsi="Times New Roman"/>
          <w:i/>
          <w:snapToGrid/>
          <w:szCs w:val="24"/>
        </w:rPr>
      </w:pPr>
      <w:r w:rsidRPr="00BA36BA">
        <w:rPr>
          <w:rFonts w:ascii="Times New Roman" w:hAnsi="Times New Roman"/>
          <w:snapToGrid/>
          <w:szCs w:val="24"/>
        </w:rPr>
        <w:t xml:space="preserve">Used in its broadest and most inclusive sense, includes </w:t>
      </w:r>
      <w:r w:rsidRPr="00BA36BA">
        <w:rPr>
          <w:rFonts w:ascii="Times New Roman" w:hAnsi="Times New Roman"/>
          <w:i/>
          <w:snapToGrid/>
          <w:szCs w:val="24"/>
        </w:rPr>
        <w:t>any and all</w:t>
      </w:r>
    </w:p>
    <w:p w:rsidR="00BA36BA" w:rsidRPr="00BA36BA" w:rsidRDefault="00BA36BA" w:rsidP="00BA36BA">
      <w:pPr>
        <w:widowControl/>
        <w:ind w:left="1440" w:right="1440"/>
        <w:rPr>
          <w:rFonts w:ascii="Times New Roman" w:hAnsi="Times New Roman"/>
          <w:snapToGrid/>
          <w:szCs w:val="24"/>
        </w:rPr>
      </w:pPr>
      <w:proofErr w:type="gramStart"/>
      <w:r w:rsidRPr="00BA36BA">
        <w:rPr>
          <w:rFonts w:ascii="Times New Roman" w:hAnsi="Times New Roman"/>
          <w:i/>
          <w:snapToGrid/>
          <w:szCs w:val="24"/>
        </w:rPr>
        <w:t>acts</w:t>
      </w:r>
      <w:proofErr w:type="gramEnd"/>
      <w:r w:rsidRPr="00BA36BA">
        <w:rPr>
          <w:rFonts w:ascii="Times New Roman" w:hAnsi="Times New Roman"/>
          <w:i/>
          <w:snapToGrid/>
          <w:szCs w:val="24"/>
        </w:rPr>
        <w:t xml:space="preserve"> done, rendered, or performed</w:t>
      </w:r>
      <w:r w:rsidRPr="00BA36BA">
        <w:rPr>
          <w:rFonts w:ascii="Times New Roman" w:hAnsi="Times New Roman"/>
          <w:snapToGrid/>
          <w:szCs w:val="24"/>
        </w:rPr>
        <w:t>, and any and all things furnished or supplied, and any and all facilities used, furnished, or supplied by public utilities . . . .</w:t>
      </w:r>
    </w:p>
    <w:p w:rsidR="00BA36BA" w:rsidRPr="00BA36BA" w:rsidRDefault="00BA36BA" w:rsidP="00BA36BA">
      <w:pPr>
        <w:widowControl/>
        <w:spacing w:line="360" w:lineRule="auto"/>
        <w:ind w:right="1440"/>
        <w:rPr>
          <w:rFonts w:ascii="Times New Roman" w:hAnsi="Times New Roman"/>
          <w:snapToGrid/>
          <w:szCs w:val="24"/>
        </w:rPr>
      </w:pPr>
    </w:p>
    <w:p w:rsidR="00BA36BA" w:rsidRPr="00BA36BA" w:rsidRDefault="00BA36BA" w:rsidP="00BA36BA">
      <w:pPr>
        <w:widowControl/>
        <w:spacing w:line="360" w:lineRule="auto"/>
        <w:rPr>
          <w:rFonts w:ascii="Times New Roman" w:hAnsi="Times New Roman"/>
          <w:snapToGrid/>
          <w:szCs w:val="24"/>
        </w:rPr>
      </w:pPr>
      <w:r w:rsidRPr="00BA36BA">
        <w:rPr>
          <w:rFonts w:ascii="Times New Roman" w:hAnsi="Times New Roman"/>
          <w:snapToGrid/>
          <w:szCs w:val="24"/>
        </w:rPr>
        <w:t>(Emphasis added).  A utility’s “service” is not merely confined to the distribution of utility</w:t>
      </w:r>
    </w:p>
    <w:p w:rsidR="00BA36BA" w:rsidRPr="00BA36BA" w:rsidRDefault="00BA36BA" w:rsidP="00BA36BA">
      <w:pPr>
        <w:widowControl/>
        <w:spacing w:line="360" w:lineRule="auto"/>
        <w:rPr>
          <w:rFonts w:ascii="Times New Roman" w:hAnsi="Times New Roman"/>
          <w:snapToGrid/>
          <w:szCs w:val="24"/>
        </w:rPr>
      </w:pPr>
      <w:proofErr w:type="gramStart"/>
      <w:r w:rsidRPr="00BA36BA">
        <w:rPr>
          <w:rFonts w:ascii="Times New Roman" w:hAnsi="Times New Roman"/>
          <w:snapToGrid/>
          <w:szCs w:val="24"/>
        </w:rPr>
        <w:t>service</w:t>
      </w:r>
      <w:proofErr w:type="gramEnd"/>
      <w:r w:rsidRPr="00BA36BA">
        <w:rPr>
          <w:rFonts w:ascii="Times New Roman" w:hAnsi="Times New Roman"/>
          <w:snapToGrid/>
          <w:szCs w:val="24"/>
        </w:rPr>
        <w:t xml:space="preserve">, but also includes “any and all acts” related to that function.  </w:t>
      </w:r>
      <w:proofErr w:type="gramStart"/>
      <w:r w:rsidRPr="00BA36BA">
        <w:rPr>
          <w:rFonts w:ascii="Times New Roman" w:hAnsi="Times New Roman"/>
          <w:i/>
          <w:snapToGrid/>
          <w:szCs w:val="24"/>
        </w:rPr>
        <w:t>West Penn Power Co. v. Pa. Pub.</w:t>
      </w:r>
      <w:proofErr w:type="gramEnd"/>
      <w:r w:rsidRPr="00BA36BA">
        <w:rPr>
          <w:rFonts w:ascii="Times New Roman" w:hAnsi="Times New Roman"/>
          <w:i/>
          <w:snapToGrid/>
          <w:szCs w:val="24"/>
        </w:rPr>
        <w:t xml:space="preserve"> </w:t>
      </w:r>
      <w:proofErr w:type="gramStart"/>
      <w:r w:rsidRPr="00BA36BA">
        <w:rPr>
          <w:rFonts w:ascii="Times New Roman" w:hAnsi="Times New Roman"/>
          <w:i/>
          <w:snapToGrid/>
          <w:szCs w:val="24"/>
        </w:rPr>
        <w:t xml:space="preserve">Util. </w:t>
      </w:r>
      <w:proofErr w:type="spellStart"/>
      <w:r w:rsidRPr="00BA36BA">
        <w:rPr>
          <w:rFonts w:ascii="Times New Roman" w:hAnsi="Times New Roman"/>
          <w:i/>
          <w:snapToGrid/>
          <w:szCs w:val="24"/>
        </w:rPr>
        <w:t>Comm’n</w:t>
      </w:r>
      <w:proofErr w:type="spellEnd"/>
      <w:r w:rsidRPr="00BA36BA">
        <w:rPr>
          <w:rFonts w:ascii="Times New Roman" w:hAnsi="Times New Roman"/>
          <w:snapToGrid/>
          <w:szCs w:val="24"/>
        </w:rPr>
        <w:t>, 578 A.2d 75 (</w:t>
      </w:r>
      <w:proofErr w:type="spellStart"/>
      <w:r w:rsidRPr="00BA36BA">
        <w:rPr>
          <w:rFonts w:ascii="Times New Roman" w:hAnsi="Times New Roman"/>
          <w:snapToGrid/>
          <w:szCs w:val="24"/>
        </w:rPr>
        <w:t>Pa.Cmwlth</w:t>
      </w:r>
      <w:proofErr w:type="spellEnd"/>
      <w:r w:rsidRPr="00BA36BA">
        <w:rPr>
          <w:rFonts w:ascii="Times New Roman" w:hAnsi="Times New Roman"/>
          <w:snapToGrid/>
          <w:szCs w:val="24"/>
        </w:rPr>
        <w:t>. 1990).</w:t>
      </w:r>
      <w:proofErr w:type="gramEnd"/>
    </w:p>
    <w:p w:rsidR="00BA36BA" w:rsidRDefault="00BA36BA" w:rsidP="007E7834">
      <w:pPr>
        <w:pStyle w:val="FootnoteText"/>
        <w:spacing w:line="360" w:lineRule="auto"/>
        <w:ind w:firstLine="720"/>
        <w:rPr>
          <w:rFonts w:ascii="Times New Roman" w:hAnsi="Times New Roman"/>
          <w:sz w:val="24"/>
          <w:szCs w:val="24"/>
        </w:rPr>
      </w:pPr>
    </w:p>
    <w:p w:rsidR="00B4285C" w:rsidRDefault="00B4285C" w:rsidP="00B4285C">
      <w:pPr>
        <w:pStyle w:val="FootnoteText"/>
        <w:spacing w:line="360" w:lineRule="auto"/>
        <w:rPr>
          <w:rFonts w:ascii="Times New Roman" w:hAnsi="Times New Roman"/>
          <w:sz w:val="24"/>
          <w:szCs w:val="24"/>
        </w:rPr>
      </w:pPr>
      <w:r>
        <w:rPr>
          <w:rFonts w:ascii="Times New Roman" w:hAnsi="Times New Roman"/>
          <w:snapToGrid/>
          <w:sz w:val="24"/>
          <w:szCs w:val="24"/>
        </w:rPr>
        <w:tab/>
      </w:r>
      <w:r>
        <w:rPr>
          <w:rFonts w:ascii="Times New Roman" w:hAnsi="Times New Roman"/>
          <w:snapToGrid/>
          <w:sz w:val="24"/>
          <w:szCs w:val="24"/>
        </w:rPr>
        <w:tab/>
      </w:r>
      <w:r w:rsidRPr="00B4285C">
        <w:rPr>
          <w:rFonts w:ascii="Times New Roman" w:hAnsi="Times New Roman"/>
          <w:snapToGrid/>
          <w:sz w:val="24"/>
          <w:szCs w:val="24"/>
        </w:rPr>
        <w:t>The Commonwealth Court has cautioned that the Commission may not sustain a complaint pursuant to Section 1501 unless it finds that a utility has violated a duty to render reasonable and reliable service.</w:t>
      </w:r>
      <w:r>
        <w:rPr>
          <w:rFonts w:ascii="Times New Roman" w:hAnsi="Times New Roman"/>
          <w:snapToGrid/>
          <w:sz w:val="24"/>
          <w:szCs w:val="24"/>
        </w:rPr>
        <w:t xml:space="preserve"> </w:t>
      </w:r>
      <w:r w:rsidR="00AE462D">
        <w:rPr>
          <w:rFonts w:ascii="Times New Roman" w:hAnsi="Times New Roman"/>
          <w:snapToGrid/>
          <w:sz w:val="24"/>
          <w:szCs w:val="24"/>
        </w:rPr>
        <w:t xml:space="preserve"> </w:t>
      </w:r>
      <w:proofErr w:type="gramStart"/>
      <w:r w:rsidRPr="00B4285C">
        <w:rPr>
          <w:rFonts w:ascii="Times New Roman" w:hAnsi="Times New Roman"/>
          <w:i/>
          <w:sz w:val="24"/>
          <w:szCs w:val="24"/>
        </w:rPr>
        <w:t>West Penn Power Co. v. Pa. Pub.</w:t>
      </w:r>
      <w:proofErr w:type="gramEnd"/>
      <w:r w:rsidRPr="00B4285C">
        <w:rPr>
          <w:rFonts w:ascii="Times New Roman" w:hAnsi="Times New Roman"/>
          <w:i/>
          <w:sz w:val="24"/>
          <w:szCs w:val="24"/>
        </w:rPr>
        <w:t xml:space="preserve"> </w:t>
      </w:r>
      <w:proofErr w:type="gramStart"/>
      <w:r w:rsidRPr="00B4285C">
        <w:rPr>
          <w:rFonts w:ascii="Times New Roman" w:hAnsi="Times New Roman"/>
          <w:i/>
          <w:sz w:val="24"/>
          <w:szCs w:val="24"/>
        </w:rPr>
        <w:t xml:space="preserve">Util. </w:t>
      </w:r>
      <w:proofErr w:type="spellStart"/>
      <w:r w:rsidRPr="00B4285C">
        <w:rPr>
          <w:rFonts w:ascii="Times New Roman" w:hAnsi="Times New Roman"/>
          <w:i/>
          <w:sz w:val="24"/>
          <w:szCs w:val="24"/>
        </w:rPr>
        <w:t>Comm’n</w:t>
      </w:r>
      <w:proofErr w:type="spellEnd"/>
      <w:r w:rsidRPr="00B4285C">
        <w:rPr>
          <w:rFonts w:ascii="Times New Roman" w:hAnsi="Times New Roman"/>
          <w:sz w:val="24"/>
          <w:szCs w:val="24"/>
        </w:rPr>
        <w:t>, 478 A.2d 947, 949 (</w:t>
      </w:r>
      <w:proofErr w:type="spellStart"/>
      <w:r w:rsidRPr="00B4285C">
        <w:rPr>
          <w:rFonts w:ascii="Times New Roman" w:hAnsi="Times New Roman"/>
          <w:sz w:val="24"/>
          <w:szCs w:val="24"/>
        </w:rPr>
        <w:t>Pa.Cmwlth</w:t>
      </w:r>
      <w:proofErr w:type="spellEnd"/>
      <w:r w:rsidRPr="00B4285C">
        <w:rPr>
          <w:rFonts w:ascii="Times New Roman" w:hAnsi="Times New Roman"/>
          <w:sz w:val="24"/>
          <w:szCs w:val="24"/>
        </w:rPr>
        <w:t>. 1984).</w:t>
      </w:r>
      <w:proofErr w:type="gramEnd"/>
    </w:p>
    <w:p w:rsidR="00B4285C" w:rsidRPr="00B4285C" w:rsidRDefault="00B4285C" w:rsidP="00B4285C">
      <w:pPr>
        <w:pStyle w:val="FootnoteText"/>
        <w:spacing w:line="360" w:lineRule="auto"/>
        <w:rPr>
          <w:rFonts w:ascii="Times New Roman" w:hAnsi="Times New Roman"/>
          <w:sz w:val="24"/>
          <w:szCs w:val="24"/>
        </w:rPr>
      </w:pPr>
    </w:p>
    <w:p w:rsidR="00AE462D" w:rsidRDefault="00B4285C" w:rsidP="00B4285C">
      <w:pPr>
        <w:widowControl/>
        <w:tabs>
          <w:tab w:val="left" w:pos="1440"/>
        </w:tabs>
        <w:spacing w:line="360" w:lineRule="auto"/>
        <w:rPr>
          <w:rFonts w:ascii="Times New Roman" w:hAnsi="Times New Roman"/>
          <w:snapToGrid/>
        </w:rPr>
      </w:pPr>
      <w:r w:rsidRPr="00B4285C">
        <w:rPr>
          <w:rFonts w:ascii="Times New Roman" w:hAnsi="Times New Roman"/>
          <w:snapToGrid/>
        </w:rPr>
        <w:t xml:space="preserve"> </w:t>
      </w:r>
      <w:r>
        <w:rPr>
          <w:rFonts w:ascii="Times New Roman" w:hAnsi="Times New Roman"/>
          <w:snapToGrid/>
        </w:rPr>
        <w:tab/>
      </w:r>
      <w:r w:rsidR="00AE462D">
        <w:rPr>
          <w:rFonts w:ascii="Times New Roman" w:hAnsi="Times New Roman"/>
          <w:snapToGrid/>
        </w:rPr>
        <w:br w:type="page"/>
      </w:r>
    </w:p>
    <w:p w:rsidR="00B4285C" w:rsidRPr="00B4285C" w:rsidRDefault="00AE462D" w:rsidP="00B4285C">
      <w:pPr>
        <w:widowControl/>
        <w:tabs>
          <w:tab w:val="left" w:pos="1440"/>
        </w:tabs>
        <w:spacing w:line="360" w:lineRule="auto"/>
        <w:rPr>
          <w:rFonts w:ascii="Times New Roman" w:hAnsi="Times New Roman"/>
          <w:snapToGrid/>
        </w:rPr>
      </w:pPr>
      <w:r>
        <w:rPr>
          <w:rFonts w:ascii="Times New Roman" w:hAnsi="Times New Roman"/>
          <w:snapToGrid/>
        </w:rPr>
        <w:lastRenderedPageBreak/>
        <w:tab/>
      </w:r>
      <w:r w:rsidR="00B4285C" w:rsidRPr="00B4285C">
        <w:rPr>
          <w:rFonts w:ascii="Times New Roman" w:hAnsi="Times New Roman"/>
          <w:snapToGrid/>
        </w:rPr>
        <w:t>The Commission has stated that a utility is not mandated to furnish perfect service:</w:t>
      </w:r>
    </w:p>
    <w:p w:rsidR="00B4285C" w:rsidRPr="00B4285C" w:rsidRDefault="00B4285C" w:rsidP="00B4285C">
      <w:pPr>
        <w:widowControl/>
        <w:tabs>
          <w:tab w:val="left" w:pos="1440"/>
        </w:tabs>
        <w:spacing w:line="360" w:lineRule="auto"/>
        <w:rPr>
          <w:rFonts w:ascii="Times New Roman" w:hAnsi="Times New Roman"/>
          <w:snapToGrid/>
        </w:rPr>
      </w:pPr>
    </w:p>
    <w:p w:rsidR="00B4285C" w:rsidRPr="00B4285C" w:rsidRDefault="00B4285C" w:rsidP="00B4285C">
      <w:pPr>
        <w:widowControl/>
        <w:tabs>
          <w:tab w:val="left" w:pos="1440"/>
        </w:tabs>
        <w:ind w:left="1440" w:right="1440"/>
        <w:rPr>
          <w:rFonts w:ascii="Times New Roman" w:hAnsi="Times New Roman"/>
          <w:snapToGrid/>
          <w:szCs w:val="24"/>
        </w:rPr>
      </w:pPr>
      <w:r w:rsidRPr="00B4285C">
        <w:rPr>
          <w:rFonts w:ascii="Times New Roman" w:hAnsi="Times New Roman"/>
          <w:snapToGrid/>
          <w:szCs w:val="24"/>
        </w:rPr>
        <w:t>[Section 1501] does not mandate perfect service nor must a public utility provide the best possible service.  Most certainly, a public utility is not a guarantor of either perfect service or the best possible service.</w:t>
      </w:r>
    </w:p>
    <w:p w:rsidR="00281E7F" w:rsidRDefault="00281E7F" w:rsidP="00281E7F">
      <w:pPr>
        <w:widowControl/>
        <w:tabs>
          <w:tab w:val="left" w:pos="1440"/>
        </w:tabs>
        <w:spacing w:line="360" w:lineRule="auto"/>
        <w:ind w:left="1440" w:right="1440"/>
        <w:rPr>
          <w:rFonts w:ascii="Times New Roman" w:hAnsi="Times New Roman"/>
          <w:i/>
        </w:rPr>
      </w:pPr>
    </w:p>
    <w:p w:rsidR="00B4285C" w:rsidRPr="00B4285C" w:rsidRDefault="00281E7F" w:rsidP="00281E7F">
      <w:pPr>
        <w:widowControl/>
        <w:spacing w:line="360" w:lineRule="auto"/>
        <w:ind w:left="1440" w:right="1440" w:hanging="1440"/>
        <w:rPr>
          <w:rFonts w:ascii="Times New Roman" w:hAnsi="Times New Roman"/>
          <w:snapToGrid/>
          <w:szCs w:val="24"/>
        </w:rPr>
      </w:pPr>
      <w:proofErr w:type="gramStart"/>
      <w:r w:rsidRPr="00281E7F">
        <w:rPr>
          <w:rFonts w:ascii="Times New Roman" w:hAnsi="Times New Roman"/>
          <w:i/>
        </w:rPr>
        <w:t>Re Metropolitan Edison Company</w:t>
      </w:r>
      <w:r w:rsidRPr="00281E7F">
        <w:rPr>
          <w:rFonts w:ascii="Times New Roman" w:hAnsi="Times New Roman"/>
        </w:rPr>
        <w:t>, 80 Pa. PUC 663, 672 (1993).</w:t>
      </w:r>
      <w:proofErr w:type="gramEnd"/>
      <w:r>
        <w:rPr>
          <w:rFonts w:ascii="Times New Roman" w:hAnsi="Times New Roman"/>
        </w:rPr>
        <w:t xml:space="preserve"> </w:t>
      </w:r>
    </w:p>
    <w:p w:rsidR="00281E7F" w:rsidRDefault="00281E7F" w:rsidP="00281E7F">
      <w:pPr>
        <w:widowControl/>
        <w:tabs>
          <w:tab w:val="left" w:pos="1440"/>
        </w:tabs>
        <w:spacing w:line="360" w:lineRule="auto"/>
        <w:rPr>
          <w:rFonts w:ascii="Times New Roman" w:hAnsi="Times New Roman"/>
          <w:snapToGrid/>
        </w:rPr>
      </w:pPr>
    </w:p>
    <w:p w:rsidR="00B4285C" w:rsidRPr="00B4285C" w:rsidRDefault="00E44B17" w:rsidP="00E44B17">
      <w:pPr>
        <w:pStyle w:val="FootnoteText"/>
        <w:spacing w:line="360" w:lineRule="auto"/>
        <w:ind w:firstLine="720"/>
        <w:rPr>
          <w:rFonts w:ascii="Times New Roman" w:hAnsi="Times New Roman"/>
          <w:snapToGrid/>
          <w:sz w:val="24"/>
          <w:szCs w:val="24"/>
        </w:rPr>
      </w:pPr>
      <w:r w:rsidRPr="00E44B17">
        <w:rPr>
          <w:rFonts w:ascii="Times New Roman" w:hAnsi="Times New Roman"/>
          <w:snapToGrid/>
          <w:sz w:val="24"/>
          <w:szCs w:val="24"/>
        </w:rPr>
        <w:tab/>
      </w:r>
      <w:r w:rsidR="00B4285C" w:rsidRPr="00B4285C">
        <w:rPr>
          <w:rFonts w:ascii="Times New Roman" w:hAnsi="Times New Roman"/>
          <w:snapToGrid/>
          <w:sz w:val="24"/>
          <w:szCs w:val="24"/>
        </w:rPr>
        <w:t>Thus the test to determine the adequacy of a utility’s service is that of reasonableness</w:t>
      </w:r>
      <w:r w:rsidR="00AE462D">
        <w:rPr>
          <w:rFonts w:ascii="Times New Roman" w:hAnsi="Times New Roman"/>
          <w:snapToGrid/>
          <w:sz w:val="24"/>
          <w:szCs w:val="24"/>
        </w:rPr>
        <w:t xml:space="preserve">.  </w:t>
      </w:r>
      <w:proofErr w:type="spellStart"/>
      <w:proofErr w:type="gramStart"/>
      <w:r w:rsidR="00281E7F" w:rsidRPr="00281E7F">
        <w:rPr>
          <w:rFonts w:ascii="Times New Roman" w:hAnsi="Times New Roman"/>
          <w:i/>
          <w:sz w:val="24"/>
          <w:szCs w:val="24"/>
        </w:rPr>
        <w:t>Scherich</w:t>
      </w:r>
      <w:proofErr w:type="spellEnd"/>
      <w:r w:rsidR="00281E7F" w:rsidRPr="00281E7F">
        <w:rPr>
          <w:rFonts w:ascii="Times New Roman" w:hAnsi="Times New Roman"/>
          <w:i/>
          <w:sz w:val="24"/>
          <w:szCs w:val="24"/>
        </w:rPr>
        <w:t xml:space="preserve"> v. Verizon Pennsylvania Inc.</w:t>
      </w:r>
      <w:r w:rsidR="00281E7F" w:rsidRPr="00281E7F">
        <w:rPr>
          <w:rFonts w:ascii="Times New Roman" w:hAnsi="Times New Roman"/>
          <w:sz w:val="24"/>
          <w:szCs w:val="24"/>
        </w:rPr>
        <w:t>, PUC Docket Nos.</w:t>
      </w:r>
      <w:proofErr w:type="gramEnd"/>
      <w:r w:rsidR="00281E7F" w:rsidRPr="00281E7F">
        <w:rPr>
          <w:rFonts w:ascii="Times New Roman" w:hAnsi="Times New Roman"/>
          <w:sz w:val="24"/>
          <w:szCs w:val="24"/>
        </w:rPr>
        <w:t xml:space="preserve"> C-2008-2061244, </w:t>
      </w:r>
      <w:r w:rsidR="006E25FC">
        <w:rPr>
          <w:rFonts w:ascii="Times New Roman" w:hAnsi="Times New Roman"/>
          <w:sz w:val="24"/>
          <w:szCs w:val="24"/>
        </w:rPr>
        <w:t xml:space="preserve">     </w:t>
      </w:r>
      <w:r w:rsidR="00281E7F" w:rsidRPr="00281E7F">
        <w:rPr>
          <w:rFonts w:ascii="Times New Roman" w:hAnsi="Times New Roman"/>
          <w:sz w:val="24"/>
          <w:szCs w:val="24"/>
        </w:rPr>
        <w:t>C-</w:t>
      </w:r>
      <w:r w:rsidR="001443AF">
        <w:rPr>
          <w:rFonts w:ascii="Times New Roman" w:hAnsi="Times New Roman"/>
          <w:sz w:val="24"/>
          <w:szCs w:val="24"/>
        </w:rPr>
        <w:t>2</w:t>
      </w:r>
      <w:r w:rsidR="00281E7F" w:rsidRPr="00281E7F">
        <w:rPr>
          <w:rFonts w:ascii="Times New Roman" w:hAnsi="Times New Roman"/>
          <w:sz w:val="24"/>
          <w:szCs w:val="24"/>
        </w:rPr>
        <w:t>008-2068818 (Final Order January 28, 2010).</w:t>
      </w:r>
      <w:r w:rsidRPr="00E44B17">
        <w:rPr>
          <w:rFonts w:ascii="Times New Roman" w:hAnsi="Times New Roman"/>
          <w:sz w:val="24"/>
          <w:szCs w:val="24"/>
        </w:rPr>
        <w:t xml:space="preserve">  </w:t>
      </w:r>
      <w:r w:rsidR="00B4285C" w:rsidRPr="00B4285C">
        <w:rPr>
          <w:rFonts w:ascii="Times New Roman" w:hAnsi="Times New Roman"/>
          <w:snapToGrid/>
          <w:sz w:val="24"/>
          <w:szCs w:val="24"/>
        </w:rPr>
        <w:t>This is also the test to determine the adequacy of a utility’s response to customer service complaints.</w:t>
      </w:r>
      <w:r w:rsidR="00C46BE5">
        <w:rPr>
          <w:rFonts w:ascii="Times New Roman" w:hAnsi="Times New Roman"/>
          <w:snapToGrid/>
          <w:sz w:val="24"/>
          <w:szCs w:val="24"/>
        </w:rPr>
        <w:t xml:space="preserve"> </w:t>
      </w:r>
      <w:r w:rsidR="00281E7F" w:rsidRPr="00E44B17">
        <w:rPr>
          <w:rFonts w:ascii="Times New Roman" w:hAnsi="Times New Roman"/>
          <w:snapToGrid/>
          <w:sz w:val="24"/>
          <w:szCs w:val="24"/>
        </w:rPr>
        <w:t xml:space="preserve"> </w:t>
      </w:r>
      <w:r w:rsidR="00281E7F" w:rsidRPr="00C46BE5">
        <w:rPr>
          <w:rFonts w:ascii="Times New Roman" w:hAnsi="Times New Roman"/>
          <w:i/>
          <w:snapToGrid/>
          <w:sz w:val="24"/>
          <w:szCs w:val="24"/>
        </w:rPr>
        <w:t>Id</w:t>
      </w:r>
      <w:r w:rsidR="00281E7F" w:rsidRPr="00E44B17">
        <w:rPr>
          <w:rFonts w:ascii="Times New Roman" w:hAnsi="Times New Roman"/>
          <w:snapToGrid/>
          <w:sz w:val="24"/>
          <w:szCs w:val="24"/>
        </w:rPr>
        <w:t>.</w:t>
      </w:r>
    </w:p>
    <w:p w:rsidR="00B4285C" w:rsidRDefault="00B4285C" w:rsidP="00B4285C">
      <w:pPr>
        <w:pStyle w:val="FootnoteText"/>
        <w:spacing w:line="360" w:lineRule="auto"/>
        <w:rPr>
          <w:rFonts w:ascii="Times New Roman" w:hAnsi="Times New Roman"/>
          <w:sz w:val="24"/>
          <w:szCs w:val="24"/>
          <w:u w:val="single"/>
        </w:rPr>
      </w:pPr>
    </w:p>
    <w:p w:rsidR="00BA36BA" w:rsidRDefault="00631AFC" w:rsidP="00B4285C">
      <w:pPr>
        <w:pStyle w:val="FootnoteText"/>
        <w:spacing w:line="360" w:lineRule="auto"/>
        <w:rPr>
          <w:rFonts w:ascii="Times New Roman" w:hAnsi="Times New Roman"/>
          <w:sz w:val="24"/>
          <w:szCs w:val="24"/>
          <w:u w:val="single"/>
        </w:rPr>
      </w:pPr>
      <w:r>
        <w:rPr>
          <w:rFonts w:ascii="Times New Roman" w:hAnsi="Times New Roman"/>
          <w:sz w:val="24"/>
          <w:szCs w:val="24"/>
          <w:u w:val="single"/>
        </w:rPr>
        <w:t>Analysis</w:t>
      </w:r>
    </w:p>
    <w:p w:rsidR="00B4285C" w:rsidRPr="00B4285C" w:rsidRDefault="00B4285C" w:rsidP="00065839">
      <w:pPr>
        <w:pStyle w:val="FootnoteText"/>
        <w:spacing w:line="360" w:lineRule="auto"/>
        <w:ind w:firstLine="720"/>
        <w:rPr>
          <w:rFonts w:ascii="Times New Roman" w:hAnsi="Times New Roman"/>
          <w:sz w:val="24"/>
          <w:szCs w:val="24"/>
          <w:u w:val="single"/>
        </w:rPr>
      </w:pPr>
    </w:p>
    <w:p w:rsidR="005E5841" w:rsidRPr="00DE1E09" w:rsidRDefault="00490CDE" w:rsidP="00116A6F">
      <w:pPr>
        <w:pStyle w:val="FootnoteText"/>
        <w:spacing w:line="360" w:lineRule="auto"/>
        <w:ind w:firstLine="720"/>
        <w:rPr>
          <w:rFonts w:ascii="Times New Roman" w:hAnsi="Times New Roman"/>
          <w:snapToGrid/>
          <w:color w:val="000000" w:themeColor="text1"/>
          <w:sz w:val="24"/>
          <w:szCs w:val="24"/>
        </w:rPr>
      </w:pPr>
      <w:r>
        <w:rPr>
          <w:rFonts w:ascii="Times New Roman" w:hAnsi="Times New Roman"/>
          <w:sz w:val="24"/>
          <w:szCs w:val="24"/>
        </w:rPr>
        <w:tab/>
      </w:r>
      <w:r w:rsidR="00034F9E">
        <w:rPr>
          <w:rFonts w:ascii="Times New Roman" w:hAnsi="Times New Roman"/>
          <w:sz w:val="24"/>
          <w:szCs w:val="24"/>
        </w:rPr>
        <w:t xml:space="preserve">In her complaint, </w:t>
      </w:r>
      <w:r w:rsidRPr="00490CDE">
        <w:rPr>
          <w:rFonts w:ascii="Times New Roman" w:hAnsi="Times New Roman"/>
          <w:snapToGrid/>
          <w:sz w:val="24"/>
          <w:szCs w:val="24"/>
        </w:rPr>
        <w:t>Complainant</w:t>
      </w:r>
      <w:r w:rsidRPr="00065839">
        <w:rPr>
          <w:rFonts w:ascii="Times New Roman" w:hAnsi="Times New Roman"/>
          <w:snapToGrid/>
          <w:sz w:val="24"/>
          <w:szCs w:val="24"/>
        </w:rPr>
        <w:t xml:space="preserve"> </w:t>
      </w:r>
      <w:r w:rsidR="00034F9E">
        <w:rPr>
          <w:rFonts w:ascii="Times New Roman" w:hAnsi="Times New Roman"/>
          <w:snapToGrid/>
          <w:sz w:val="24"/>
          <w:szCs w:val="24"/>
        </w:rPr>
        <w:t>alleged, “PGW n</w:t>
      </w:r>
      <w:r w:rsidR="00653881">
        <w:rPr>
          <w:rFonts w:ascii="Times New Roman" w:hAnsi="Times New Roman"/>
          <w:snapToGrid/>
          <w:sz w:val="24"/>
          <w:szCs w:val="24"/>
        </w:rPr>
        <w:t>e</w:t>
      </w:r>
      <w:r w:rsidR="00034F9E">
        <w:rPr>
          <w:rFonts w:ascii="Times New Roman" w:hAnsi="Times New Roman"/>
          <w:snapToGrid/>
          <w:sz w:val="24"/>
          <w:szCs w:val="24"/>
        </w:rPr>
        <w:t>eds to be proactive in answering emails.</w:t>
      </w:r>
      <w:r w:rsidR="009E0123">
        <w:rPr>
          <w:rFonts w:ascii="Times New Roman" w:hAnsi="Times New Roman"/>
          <w:snapToGrid/>
          <w:sz w:val="24"/>
          <w:szCs w:val="24"/>
        </w:rPr>
        <w:t>”</w:t>
      </w:r>
      <w:r w:rsidR="00DE1E09">
        <w:rPr>
          <w:rFonts w:ascii="Times New Roman" w:hAnsi="Times New Roman"/>
          <w:snapToGrid/>
          <w:sz w:val="24"/>
          <w:szCs w:val="24"/>
        </w:rPr>
        <w:t xml:space="preserve"> </w:t>
      </w:r>
      <w:r w:rsidR="00034F9E" w:rsidRPr="0023604C">
        <w:rPr>
          <w:rFonts w:ascii="Times New Roman" w:hAnsi="Times New Roman"/>
          <w:szCs w:val="24"/>
          <w:vertAlign w:val="superscript"/>
        </w:rPr>
        <w:t xml:space="preserve"> </w:t>
      </w:r>
      <w:r w:rsidR="00034F9E">
        <w:rPr>
          <w:rFonts w:ascii="Times New Roman" w:hAnsi="Times New Roman"/>
          <w:sz w:val="24"/>
          <w:szCs w:val="24"/>
        </w:rPr>
        <w:t xml:space="preserve"> </w:t>
      </w:r>
      <w:proofErr w:type="gramStart"/>
      <w:r w:rsidR="009E0123">
        <w:rPr>
          <w:rFonts w:ascii="Times New Roman" w:hAnsi="Times New Roman"/>
          <w:snapToGrid/>
          <w:sz w:val="24"/>
          <w:szCs w:val="24"/>
        </w:rPr>
        <w:t>Complaint ¶ 5; Tr. 29.</w:t>
      </w:r>
      <w:proofErr w:type="gramEnd"/>
      <w:r w:rsidR="009E0123">
        <w:rPr>
          <w:rFonts w:ascii="Times New Roman" w:hAnsi="Times New Roman"/>
          <w:snapToGrid/>
          <w:sz w:val="24"/>
          <w:szCs w:val="24"/>
        </w:rPr>
        <w:t xml:space="preserve">  </w:t>
      </w:r>
      <w:r w:rsidR="00653881">
        <w:rPr>
          <w:rFonts w:ascii="Times New Roman" w:hAnsi="Times New Roman"/>
          <w:snapToGrid/>
          <w:sz w:val="24"/>
          <w:szCs w:val="24"/>
        </w:rPr>
        <w:t>This allegation raises a quality of service issue under Section 1501 of the Code.</w:t>
      </w:r>
      <w:r w:rsidR="00631AFC" w:rsidRPr="00540FA6">
        <w:rPr>
          <w:rStyle w:val="FootnoteReference"/>
          <w:rFonts w:ascii="Times New Roman" w:hAnsi="Times New Roman"/>
          <w:snapToGrid/>
          <w:sz w:val="24"/>
          <w:szCs w:val="24"/>
          <w:vertAlign w:val="superscript"/>
        </w:rPr>
        <w:footnoteReference w:id="4"/>
      </w:r>
      <w:r w:rsidR="00653881">
        <w:rPr>
          <w:rFonts w:ascii="Times New Roman" w:hAnsi="Times New Roman"/>
          <w:snapToGrid/>
          <w:sz w:val="24"/>
          <w:szCs w:val="24"/>
        </w:rPr>
        <w:t xml:space="preserve">  </w:t>
      </w:r>
      <w:r w:rsidR="00603C7E">
        <w:rPr>
          <w:rFonts w:ascii="Times New Roman" w:hAnsi="Times New Roman"/>
          <w:snapToGrid/>
          <w:sz w:val="24"/>
          <w:szCs w:val="24"/>
        </w:rPr>
        <w:t xml:space="preserve">Complainant intimates that a municipal lien was placed on her High Street property because PGW did not </w:t>
      </w:r>
      <w:r w:rsidR="00F67849">
        <w:rPr>
          <w:rFonts w:ascii="Times New Roman" w:hAnsi="Times New Roman"/>
          <w:snapToGrid/>
          <w:sz w:val="24"/>
          <w:szCs w:val="24"/>
        </w:rPr>
        <w:t xml:space="preserve">email to her the </w:t>
      </w:r>
      <w:r w:rsidR="00603C7E">
        <w:rPr>
          <w:rFonts w:ascii="Times New Roman" w:hAnsi="Times New Roman"/>
          <w:snapToGrid/>
          <w:sz w:val="24"/>
          <w:szCs w:val="24"/>
        </w:rPr>
        <w:t xml:space="preserve">correct username and password to access PGW’s LCP </w:t>
      </w:r>
      <w:r w:rsidR="00F67849">
        <w:rPr>
          <w:rFonts w:ascii="Times New Roman" w:hAnsi="Times New Roman"/>
          <w:snapToGrid/>
          <w:sz w:val="24"/>
          <w:szCs w:val="24"/>
        </w:rPr>
        <w:t xml:space="preserve">website, </w:t>
      </w:r>
      <w:r w:rsidR="00540FA6">
        <w:rPr>
          <w:rFonts w:ascii="Times New Roman" w:hAnsi="Times New Roman"/>
          <w:snapToGrid/>
          <w:sz w:val="24"/>
          <w:szCs w:val="24"/>
        </w:rPr>
        <w:t xml:space="preserve">and </w:t>
      </w:r>
      <w:r w:rsidR="00F67849">
        <w:rPr>
          <w:rFonts w:ascii="Times New Roman" w:hAnsi="Times New Roman"/>
          <w:snapToGrid/>
          <w:sz w:val="24"/>
          <w:szCs w:val="24"/>
        </w:rPr>
        <w:t xml:space="preserve">she had no other method by which she </w:t>
      </w:r>
      <w:r w:rsidR="00540FA6">
        <w:rPr>
          <w:rFonts w:ascii="Times New Roman" w:hAnsi="Times New Roman"/>
          <w:snapToGrid/>
          <w:sz w:val="24"/>
          <w:szCs w:val="24"/>
        </w:rPr>
        <w:t xml:space="preserve">could </w:t>
      </w:r>
      <w:r w:rsidR="00F67849">
        <w:rPr>
          <w:rFonts w:ascii="Times New Roman" w:hAnsi="Times New Roman"/>
          <w:snapToGrid/>
          <w:sz w:val="24"/>
          <w:szCs w:val="24"/>
        </w:rPr>
        <w:t xml:space="preserve">communicate with PGW about the incorrect </w:t>
      </w:r>
      <w:r w:rsidR="00540FA6">
        <w:rPr>
          <w:rFonts w:ascii="Times New Roman" w:hAnsi="Times New Roman"/>
          <w:snapToGrid/>
          <w:sz w:val="24"/>
          <w:szCs w:val="24"/>
        </w:rPr>
        <w:t>username and password</w:t>
      </w:r>
      <w:r w:rsidR="00F67849">
        <w:rPr>
          <w:rFonts w:ascii="Times New Roman" w:hAnsi="Times New Roman"/>
          <w:snapToGrid/>
          <w:sz w:val="24"/>
          <w:szCs w:val="24"/>
        </w:rPr>
        <w:t xml:space="preserve">. </w:t>
      </w:r>
      <w:r w:rsidR="003D5747">
        <w:rPr>
          <w:rFonts w:ascii="Times New Roman" w:hAnsi="Times New Roman"/>
          <w:snapToGrid/>
          <w:sz w:val="24"/>
          <w:szCs w:val="24"/>
        </w:rPr>
        <w:t xml:space="preserve"> </w:t>
      </w:r>
      <w:r w:rsidR="003D5747" w:rsidRPr="00DE1E09">
        <w:rPr>
          <w:rFonts w:ascii="Times New Roman" w:hAnsi="Times New Roman"/>
          <w:snapToGrid/>
          <w:color w:val="000000" w:themeColor="text1"/>
          <w:sz w:val="24"/>
          <w:szCs w:val="24"/>
        </w:rPr>
        <w:t xml:space="preserve">Complainant’s general allegation </w:t>
      </w:r>
      <w:r w:rsidR="003B790D" w:rsidRPr="00DE1E09">
        <w:rPr>
          <w:rFonts w:ascii="Times New Roman" w:hAnsi="Times New Roman"/>
          <w:snapToGrid/>
          <w:color w:val="000000" w:themeColor="text1"/>
          <w:sz w:val="24"/>
          <w:szCs w:val="24"/>
        </w:rPr>
        <w:t xml:space="preserve">concerning </w:t>
      </w:r>
      <w:r w:rsidR="003D5747" w:rsidRPr="00DE1E09">
        <w:rPr>
          <w:rFonts w:ascii="Times New Roman" w:hAnsi="Times New Roman"/>
          <w:snapToGrid/>
          <w:color w:val="000000" w:themeColor="text1"/>
          <w:sz w:val="24"/>
          <w:szCs w:val="24"/>
        </w:rPr>
        <w:t xml:space="preserve">PGW </w:t>
      </w:r>
      <w:r w:rsidR="001250CC" w:rsidRPr="00DE1E09">
        <w:rPr>
          <w:rFonts w:ascii="Times New Roman" w:hAnsi="Times New Roman"/>
          <w:snapToGrid/>
          <w:color w:val="000000" w:themeColor="text1"/>
          <w:sz w:val="24"/>
          <w:szCs w:val="24"/>
        </w:rPr>
        <w:t xml:space="preserve">needing to be </w:t>
      </w:r>
      <w:r w:rsidR="003B790D" w:rsidRPr="00DE1E09">
        <w:rPr>
          <w:rFonts w:ascii="Times New Roman" w:hAnsi="Times New Roman"/>
          <w:snapToGrid/>
          <w:color w:val="000000" w:themeColor="text1"/>
          <w:sz w:val="24"/>
          <w:szCs w:val="24"/>
        </w:rPr>
        <w:t>proactive in responding to emails ostensibly suggested a quality of service issue relating to customer relations</w:t>
      </w:r>
      <w:r w:rsidR="00FD365C" w:rsidRPr="00DE1E09">
        <w:rPr>
          <w:rFonts w:ascii="Times New Roman" w:hAnsi="Times New Roman"/>
          <w:snapToGrid/>
          <w:color w:val="000000" w:themeColor="text1"/>
          <w:sz w:val="24"/>
          <w:szCs w:val="24"/>
        </w:rPr>
        <w:t>.</w:t>
      </w:r>
      <w:r w:rsidR="003B790D" w:rsidRPr="00DE1E09">
        <w:rPr>
          <w:rFonts w:ascii="Times New Roman" w:hAnsi="Times New Roman"/>
          <w:snapToGrid/>
          <w:color w:val="000000" w:themeColor="text1"/>
          <w:sz w:val="24"/>
          <w:szCs w:val="24"/>
        </w:rPr>
        <w:t xml:space="preserve"> </w:t>
      </w:r>
      <w:r w:rsidR="005E5841" w:rsidRPr="00DE1E09">
        <w:rPr>
          <w:rFonts w:ascii="Times New Roman" w:hAnsi="Times New Roman"/>
          <w:snapToGrid/>
          <w:color w:val="000000" w:themeColor="text1"/>
          <w:sz w:val="24"/>
          <w:szCs w:val="24"/>
        </w:rPr>
        <w:t xml:space="preserve"> Construing the general allegation most favorable to Complainant, perhaps </w:t>
      </w:r>
      <w:r w:rsidR="003B790D" w:rsidRPr="00DE1E09">
        <w:rPr>
          <w:rFonts w:ascii="Times New Roman" w:hAnsi="Times New Roman"/>
          <w:snapToGrid/>
          <w:color w:val="000000" w:themeColor="text1"/>
          <w:sz w:val="24"/>
          <w:szCs w:val="24"/>
        </w:rPr>
        <w:t xml:space="preserve">PGW </w:t>
      </w:r>
      <w:r w:rsidR="005E5841" w:rsidRPr="00DE1E09">
        <w:rPr>
          <w:rFonts w:ascii="Times New Roman" w:hAnsi="Times New Roman"/>
          <w:snapToGrid/>
          <w:color w:val="000000" w:themeColor="text1"/>
          <w:sz w:val="24"/>
          <w:szCs w:val="24"/>
        </w:rPr>
        <w:t xml:space="preserve">was providing poor customer service in not </w:t>
      </w:r>
      <w:r w:rsidR="003B790D" w:rsidRPr="00DE1E09">
        <w:rPr>
          <w:rFonts w:ascii="Times New Roman" w:hAnsi="Times New Roman"/>
          <w:snapToGrid/>
          <w:color w:val="000000" w:themeColor="text1"/>
          <w:sz w:val="24"/>
          <w:szCs w:val="24"/>
        </w:rPr>
        <w:t xml:space="preserve">responding to </w:t>
      </w:r>
      <w:r w:rsidR="005E5841" w:rsidRPr="00DE1E09">
        <w:rPr>
          <w:rFonts w:ascii="Times New Roman" w:hAnsi="Times New Roman"/>
          <w:snapToGrid/>
          <w:color w:val="000000" w:themeColor="text1"/>
          <w:sz w:val="24"/>
          <w:szCs w:val="24"/>
        </w:rPr>
        <w:t xml:space="preserve">her email concerning her home service. </w:t>
      </w:r>
    </w:p>
    <w:p w:rsidR="005E5841" w:rsidRDefault="005E5841" w:rsidP="00116A6F">
      <w:pPr>
        <w:pStyle w:val="FootnoteText"/>
        <w:spacing w:line="360" w:lineRule="auto"/>
        <w:ind w:firstLine="720"/>
        <w:rPr>
          <w:rFonts w:ascii="Times New Roman" w:hAnsi="Times New Roman"/>
          <w:snapToGrid/>
          <w:color w:val="FF0000"/>
          <w:sz w:val="24"/>
          <w:szCs w:val="24"/>
        </w:rPr>
      </w:pPr>
    </w:p>
    <w:p w:rsidR="00116A6F" w:rsidRPr="0026106F" w:rsidRDefault="005E5841" w:rsidP="00116A6F">
      <w:pPr>
        <w:pStyle w:val="FootnoteText"/>
        <w:spacing w:line="360" w:lineRule="auto"/>
        <w:ind w:firstLine="720"/>
        <w:rPr>
          <w:rFonts w:ascii="Times New Roman" w:hAnsi="Times New Roman"/>
          <w:snapToGrid/>
          <w:color w:val="000000" w:themeColor="text1"/>
          <w:sz w:val="24"/>
          <w:szCs w:val="24"/>
        </w:rPr>
      </w:pPr>
      <w:r>
        <w:rPr>
          <w:rFonts w:ascii="Times New Roman" w:hAnsi="Times New Roman"/>
          <w:snapToGrid/>
          <w:color w:val="FF0000"/>
          <w:sz w:val="24"/>
          <w:szCs w:val="24"/>
        </w:rPr>
        <w:tab/>
      </w:r>
      <w:r w:rsidR="003B790D" w:rsidRPr="00DE1E09">
        <w:rPr>
          <w:rFonts w:ascii="Times New Roman" w:hAnsi="Times New Roman"/>
          <w:snapToGrid/>
          <w:sz w:val="24"/>
          <w:szCs w:val="24"/>
        </w:rPr>
        <w:t xml:space="preserve">However, until the hearing was conducted, </w:t>
      </w:r>
      <w:r w:rsidR="001250CC" w:rsidRPr="00DE1E09">
        <w:rPr>
          <w:rFonts w:ascii="Times New Roman" w:hAnsi="Times New Roman"/>
          <w:snapToGrid/>
          <w:sz w:val="24"/>
          <w:szCs w:val="24"/>
        </w:rPr>
        <w:t xml:space="preserve">it was not apparent </w:t>
      </w:r>
      <w:r w:rsidR="003B790D" w:rsidRPr="00DE1E09">
        <w:rPr>
          <w:rFonts w:ascii="Times New Roman" w:hAnsi="Times New Roman"/>
          <w:snapToGrid/>
          <w:sz w:val="24"/>
          <w:szCs w:val="24"/>
        </w:rPr>
        <w:t>that the email</w:t>
      </w:r>
      <w:r w:rsidR="00085203" w:rsidRPr="00DE1E09">
        <w:rPr>
          <w:rFonts w:ascii="Times New Roman" w:hAnsi="Times New Roman"/>
          <w:snapToGrid/>
          <w:sz w:val="24"/>
          <w:szCs w:val="24"/>
        </w:rPr>
        <w:t>s</w:t>
      </w:r>
      <w:r w:rsidR="003B790D" w:rsidRPr="00DE1E09">
        <w:rPr>
          <w:rFonts w:ascii="Times New Roman" w:hAnsi="Times New Roman"/>
          <w:snapToGrid/>
          <w:sz w:val="24"/>
          <w:szCs w:val="24"/>
        </w:rPr>
        <w:t xml:space="preserve"> at issue related to the LCP.  As </w:t>
      </w:r>
      <w:r w:rsidR="005C3F67" w:rsidRPr="00DE1E09">
        <w:rPr>
          <w:rFonts w:ascii="Times New Roman" w:hAnsi="Times New Roman"/>
          <w:snapToGrid/>
          <w:sz w:val="24"/>
          <w:szCs w:val="24"/>
        </w:rPr>
        <w:t xml:space="preserve">the above Findings of Fact demonstrate, Dr. </w:t>
      </w:r>
      <w:proofErr w:type="gramStart"/>
      <w:r w:rsidR="005C3F67" w:rsidRPr="00DE1E09">
        <w:rPr>
          <w:rFonts w:ascii="Times New Roman" w:hAnsi="Times New Roman"/>
          <w:snapToGrid/>
          <w:sz w:val="24"/>
          <w:szCs w:val="24"/>
        </w:rPr>
        <w:t>Iro’s</w:t>
      </w:r>
      <w:proofErr w:type="gramEnd"/>
      <w:r w:rsidR="005C3F67" w:rsidRPr="00DE1E09">
        <w:rPr>
          <w:rFonts w:ascii="Times New Roman" w:hAnsi="Times New Roman"/>
          <w:snapToGrid/>
          <w:sz w:val="24"/>
          <w:szCs w:val="24"/>
        </w:rPr>
        <w:t xml:space="preserve"> testimony related exclusively to PGW’s administration of the LCP.  However</w:t>
      </w:r>
      <w:r w:rsidR="003B790D" w:rsidRPr="00DE1E09">
        <w:rPr>
          <w:rFonts w:ascii="Times New Roman" w:hAnsi="Times New Roman"/>
          <w:snapToGrid/>
          <w:sz w:val="24"/>
          <w:szCs w:val="24"/>
        </w:rPr>
        <w:t xml:space="preserve">, the Commission lacks jurisdiction </w:t>
      </w:r>
      <w:r w:rsidR="003B790D" w:rsidRPr="0026106F">
        <w:rPr>
          <w:rFonts w:ascii="Times New Roman" w:hAnsi="Times New Roman"/>
          <w:snapToGrid/>
          <w:color w:val="000000" w:themeColor="text1"/>
          <w:sz w:val="24"/>
          <w:szCs w:val="24"/>
        </w:rPr>
        <w:lastRenderedPageBreak/>
        <w:t>over the LCP</w:t>
      </w:r>
      <w:r w:rsidR="005C3F67" w:rsidRPr="0026106F">
        <w:rPr>
          <w:rFonts w:ascii="Times New Roman" w:hAnsi="Times New Roman"/>
          <w:snapToGrid/>
          <w:color w:val="000000" w:themeColor="text1"/>
          <w:sz w:val="24"/>
          <w:szCs w:val="24"/>
        </w:rPr>
        <w:t>, which in essence is a contract between PGW and landlords</w:t>
      </w:r>
      <w:r w:rsidR="003B790D" w:rsidRPr="0026106F">
        <w:rPr>
          <w:rFonts w:ascii="Times New Roman" w:hAnsi="Times New Roman"/>
          <w:snapToGrid/>
          <w:color w:val="000000" w:themeColor="text1"/>
          <w:sz w:val="24"/>
          <w:szCs w:val="24"/>
        </w:rPr>
        <w:t xml:space="preserve">. </w:t>
      </w:r>
      <w:r w:rsidR="00116A6F" w:rsidRPr="0026106F">
        <w:rPr>
          <w:rFonts w:ascii="Times New Roman" w:hAnsi="Times New Roman"/>
          <w:snapToGrid/>
          <w:color w:val="000000" w:themeColor="text1"/>
          <w:sz w:val="24"/>
          <w:szCs w:val="24"/>
        </w:rPr>
        <w:t xml:space="preserve"> </w:t>
      </w:r>
      <w:r w:rsidR="005C3F67" w:rsidRPr="0026106F">
        <w:rPr>
          <w:rFonts w:ascii="Times New Roman" w:hAnsi="Times New Roman"/>
          <w:snapToGrid/>
          <w:color w:val="000000" w:themeColor="text1"/>
          <w:sz w:val="24"/>
          <w:szCs w:val="24"/>
        </w:rPr>
        <w:t xml:space="preserve">See </w:t>
      </w:r>
      <w:r w:rsidR="00116A6F" w:rsidRPr="0026106F">
        <w:rPr>
          <w:rFonts w:ascii="Times New Roman" w:hAnsi="Times New Roman"/>
          <w:i/>
          <w:snapToGrid/>
          <w:color w:val="000000" w:themeColor="text1"/>
          <w:sz w:val="24"/>
          <w:szCs w:val="24"/>
        </w:rPr>
        <w:t>Fisher v. Philadelphia Gas Works</w:t>
      </w:r>
      <w:r w:rsidR="00116A6F" w:rsidRPr="0026106F">
        <w:rPr>
          <w:rFonts w:ascii="Times New Roman" w:hAnsi="Times New Roman"/>
          <w:snapToGrid/>
          <w:color w:val="000000" w:themeColor="text1"/>
          <w:sz w:val="24"/>
          <w:szCs w:val="24"/>
        </w:rPr>
        <w:t>, PUC Docket Number F-2010-2215047 (Final Order entered July 31, 2012) (Fisher).</w:t>
      </w:r>
    </w:p>
    <w:p w:rsidR="005E5841" w:rsidRDefault="005E5841" w:rsidP="00116A6F">
      <w:pPr>
        <w:pStyle w:val="FootnoteText"/>
        <w:spacing w:line="360" w:lineRule="auto"/>
        <w:ind w:firstLine="720"/>
        <w:rPr>
          <w:rFonts w:ascii="Times New Roman" w:hAnsi="Times New Roman"/>
          <w:snapToGrid/>
          <w:color w:val="FF0000"/>
          <w:sz w:val="24"/>
          <w:szCs w:val="24"/>
        </w:rPr>
      </w:pPr>
    </w:p>
    <w:p w:rsidR="00116A6F" w:rsidRPr="0026106F" w:rsidRDefault="00116A6F" w:rsidP="00116A6F">
      <w:pPr>
        <w:pStyle w:val="FootnoteText"/>
        <w:spacing w:line="360" w:lineRule="auto"/>
        <w:ind w:firstLine="720"/>
        <w:rPr>
          <w:rFonts w:ascii="Times New Roman" w:hAnsi="Times New Roman"/>
          <w:snapToGrid/>
          <w:sz w:val="24"/>
          <w:szCs w:val="24"/>
        </w:rPr>
      </w:pPr>
      <w:r>
        <w:rPr>
          <w:rFonts w:ascii="Times New Roman" w:hAnsi="Times New Roman"/>
          <w:snapToGrid/>
          <w:sz w:val="24"/>
          <w:szCs w:val="24"/>
        </w:rPr>
        <w:tab/>
      </w:r>
      <w:r w:rsidRPr="0026106F">
        <w:rPr>
          <w:rFonts w:ascii="Times New Roman" w:hAnsi="Times New Roman"/>
          <w:snapToGrid/>
          <w:sz w:val="24"/>
          <w:szCs w:val="24"/>
        </w:rPr>
        <w:t xml:space="preserve">In </w:t>
      </w:r>
      <w:r w:rsidRPr="0026106F">
        <w:rPr>
          <w:rFonts w:ascii="Times New Roman" w:hAnsi="Times New Roman"/>
          <w:i/>
          <w:snapToGrid/>
          <w:sz w:val="24"/>
          <w:szCs w:val="24"/>
        </w:rPr>
        <w:t>Fisher</w:t>
      </w:r>
      <w:r w:rsidRPr="0026106F">
        <w:rPr>
          <w:rFonts w:ascii="Times New Roman" w:hAnsi="Times New Roman"/>
          <w:snapToGrid/>
          <w:sz w:val="24"/>
          <w:szCs w:val="24"/>
        </w:rPr>
        <w:t xml:space="preserve">, Administrative Law Judge Eranda Vero noted that “the LCP is essentially a contract for private services, which only supplements the public services provided by the utility.”  </w:t>
      </w:r>
      <w:r w:rsidRPr="0026106F">
        <w:rPr>
          <w:rFonts w:ascii="Times New Roman" w:hAnsi="Times New Roman"/>
          <w:i/>
          <w:snapToGrid/>
          <w:sz w:val="24"/>
          <w:szCs w:val="24"/>
        </w:rPr>
        <w:t>Id.</w:t>
      </w:r>
      <w:r w:rsidRPr="0026106F">
        <w:rPr>
          <w:rFonts w:ascii="Times New Roman" w:hAnsi="Times New Roman"/>
          <w:snapToGrid/>
          <w:sz w:val="24"/>
          <w:szCs w:val="24"/>
        </w:rPr>
        <w:t xml:space="preserve"> at 13.  In granting PGW’s motion to dismiss the complaint in that case, Administrative Law Judge Vero added:</w:t>
      </w:r>
    </w:p>
    <w:p w:rsidR="00116A6F" w:rsidRPr="0026106F" w:rsidRDefault="00116A6F" w:rsidP="00116A6F">
      <w:pPr>
        <w:widowControl/>
        <w:ind w:left="1440" w:right="1440"/>
        <w:rPr>
          <w:rFonts w:ascii="Times New Roman" w:hAnsi="Times New Roman"/>
          <w:snapToGrid/>
        </w:rPr>
      </w:pPr>
    </w:p>
    <w:p w:rsidR="00116A6F" w:rsidRPr="0026106F" w:rsidRDefault="00116A6F" w:rsidP="00116A6F">
      <w:pPr>
        <w:widowControl/>
        <w:ind w:left="1440" w:right="1440"/>
        <w:rPr>
          <w:rFonts w:ascii="Times New Roman" w:hAnsi="Times New Roman"/>
          <w:snapToGrid/>
        </w:rPr>
      </w:pPr>
      <w:r w:rsidRPr="0026106F">
        <w:rPr>
          <w:rFonts w:ascii="Times New Roman" w:hAnsi="Times New Roman"/>
          <w:snapToGrid/>
        </w:rPr>
        <w:t>I agree with PGW that any rights or obligations in connection with the LCP do not arise from the public rights embodied in the Public Utility Code, but from the terms of the private contract between PGW and the Complainant.  Therefore, any alleged breaches of LCP obligations do not involve a law, regulation or order the Commission has jurisdiction to administer.  They constitute private disputes which fall beyond the scope of the Commission’s jurisdiction.</w:t>
      </w:r>
    </w:p>
    <w:p w:rsidR="00116A6F" w:rsidRPr="0026106F" w:rsidRDefault="00116A6F" w:rsidP="00116A6F">
      <w:pPr>
        <w:widowControl/>
        <w:ind w:left="1440" w:right="1440"/>
        <w:rPr>
          <w:rFonts w:ascii="Times New Roman" w:hAnsi="Times New Roman"/>
          <w:snapToGrid/>
        </w:rPr>
      </w:pPr>
    </w:p>
    <w:p w:rsidR="00116A6F" w:rsidRPr="0026106F" w:rsidRDefault="00116A6F" w:rsidP="00116A6F">
      <w:pPr>
        <w:widowControl/>
        <w:spacing w:line="360" w:lineRule="auto"/>
        <w:rPr>
          <w:rFonts w:ascii="Times New Roman" w:hAnsi="Times New Roman"/>
          <w:snapToGrid/>
        </w:rPr>
      </w:pPr>
      <w:r w:rsidRPr="0026106F">
        <w:rPr>
          <w:rFonts w:ascii="Times New Roman" w:hAnsi="Times New Roman"/>
          <w:i/>
          <w:snapToGrid/>
        </w:rPr>
        <w:t>Id.</w:t>
      </w:r>
      <w:r w:rsidRPr="0026106F">
        <w:rPr>
          <w:rFonts w:ascii="Times New Roman" w:hAnsi="Times New Roman"/>
          <w:snapToGrid/>
        </w:rPr>
        <w:t xml:space="preserve"> at 16-17; see also, </w:t>
      </w:r>
      <w:proofErr w:type="spellStart"/>
      <w:r w:rsidRPr="0026106F">
        <w:rPr>
          <w:rFonts w:ascii="Times New Roman" w:hAnsi="Times New Roman"/>
          <w:i/>
          <w:snapToGrid/>
        </w:rPr>
        <w:t>Ovrutsky</w:t>
      </w:r>
      <w:proofErr w:type="spellEnd"/>
      <w:r w:rsidRPr="0026106F">
        <w:rPr>
          <w:rFonts w:ascii="Times New Roman" w:hAnsi="Times New Roman"/>
          <w:i/>
          <w:snapToGrid/>
        </w:rPr>
        <w:t xml:space="preserve"> v. Philadelphia Gas Works</w:t>
      </w:r>
      <w:r w:rsidRPr="0026106F">
        <w:rPr>
          <w:rFonts w:ascii="Times New Roman" w:hAnsi="Times New Roman"/>
          <w:snapToGrid/>
        </w:rPr>
        <w:t>, PUC Docket Number C-2012-2321385 (Final Order entered December 19, 2012).</w:t>
      </w:r>
    </w:p>
    <w:p w:rsidR="00116A6F" w:rsidRPr="0026106F" w:rsidRDefault="00116A6F" w:rsidP="00116A6F">
      <w:pPr>
        <w:widowControl/>
        <w:spacing w:line="360" w:lineRule="auto"/>
        <w:ind w:firstLine="1440"/>
        <w:rPr>
          <w:rFonts w:ascii="Times New Roman" w:hAnsi="Times New Roman"/>
          <w:snapToGrid/>
        </w:rPr>
      </w:pPr>
    </w:p>
    <w:p w:rsidR="00116A6F" w:rsidRPr="0026106F" w:rsidRDefault="00116A6F" w:rsidP="00116A6F">
      <w:pPr>
        <w:widowControl/>
        <w:spacing w:line="360" w:lineRule="auto"/>
        <w:ind w:firstLine="1440"/>
        <w:rPr>
          <w:rFonts w:ascii="Times New Roman" w:hAnsi="Times New Roman"/>
          <w:snapToGrid/>
        </w:rPr>
      </w:pPr>
      <w:r w:rsidRPr="0026106F">
        <w:rPr>
          <w:rFonts w:ascii="Times New Roman" w:hAnsi="Times New Roman"/>
          <w:snapToGrid/>
        </w:rPr>
        <w:t>Further, the Commission has specifically held that PGW’s alleged failure to notify landlords about the LCP is beyond the jurisdiction of the Commission.</w:t>
      </w:r>
      <w:r w:rsidR="00395B2C">
        <w:rPr>
          <w:rFonts w:ascii="Times New Roman" w:hAnsi="Times New Roman"/>
          <w:snapToGrid/>
        </w:rPr>
        <w:t xml:space="preserve"> </w:t>
      </w:r>
      <w:r w:rsidRPr="0026106F">
        <w:rPr>
          <w:rFonts w:ascii="Times New Roman" w:hAnsi="Times New Roman"/>
          <w:snapToGrid/>
        </w:rPr>
        <w:t xml:space="preserve"> </w:t>
      </w:r>
      <w:r w:rsidR="00830A39" w:rsidRPr="0026106F">
        <w:rPr>
          <w:rFonts w:ascii="Times New Roman" w:hAnsi="Times New Roman"/>
          <w:i/>
          <w:snapToGrid/>
        </w:rPr>
        <w:t>Newman v. Philadelphia Gas Works</w:t>
      </w:r>
      <w:r w:rsidR="00830A39" w:rsidRPr="0026106F">
        <w:rPr>
          <w:rFonts w:ascii="Times New Roman" w:hAnsi="Times New Roman"/>
          <w:snapToGrid/>
        </w:rPr>
        <w:t>, PUC Docket No. C-2011-2273565</w:t>
      </w:r>
      <w:r w:rsidR="00C22A20" w:rsidRPr="0026106F">
        <w:rPr>
          <w:rFonts w:ascii="Times New Roman" w:hAnsi="Times New Roman"/>
          <w:snapToGrid/>
        </w:rPr>
        <w:t>, at page 9,</w:t>
      </w:r>
      <w:r w:rsidR="00830A39" w:rsidRPr="0026106F">
        <w:rPr>
          <w:rFonts w:ascii="Times New Roman" w:hAnsi="Times New Roman"/>
          <w:snapToGrid/>
        </w:rPr>
        <w:t xml:space="preserve"> (Opinion and Order entered March 29, 2012).</w:t>
      </w:r>
      <w:r w:rsidRPr="0026106F">
        <w:rPr>
          <w:rFonts w:ascii="Times New Roman" w:hAnsi="Times New Roman"/>
          <w:snapToGrid/>
        </w:rPr>
        <w:t xml:space="preserve"> </w:t>
      </w:r>
      <w:r w:rsidR="00C22A20" w:rsidRPr="0026106F">
        <w:rPr>
          <w:rFonts w:ascii="Times New Roman" w:hAnsi="Times New Roman"/>
          <w:snapToGrid/>
        </w:rPr>
        <w:t xml:space="preserve"> </w:t>
      </w:r>
      <w:r w:rsidRPr="0026106F">
        <w:rPr>
          <w:rFonts w:ascii="Times New Roman" w:hAnsi="Times New Roman"/>
          <w:snapToGrid/>
        </w:rPr>
        <w:t>Moreover, the notion that had the</w:t>
      </w:r>
      <w:r w:rsidR="00085203" w:rsidRPr="0026106F">
        <w:rPr>
          <w:rFonts w:ascii="Times New Roman" w:hAnsi="Times New Roman"/>
          <w:snapToGrid/>
        </w:rPr>
        <w:t xml:space="preserve"> landlords</w:t>
      </w:r>
      <w:r w:rsidRPr="0026106F">
        <w:rPr>
          <w:rFonts w:ascii="Times New Roman" w:hAnsi="Times New Roman"/>
          <w:snapToGrid/>
        </w:rPr>
        <w:t xml:space="preserve"> been notified of the availability of the LCP they could have avoided liability is akin to an argument that damages could have been mitigated.  The Commission has also held that a mitigation defense is a matter to be raised in the appropriate court and is not a “reasonable service” dispute within the Commission’s jurisdiction.  </w:t>
      </w:r>
      <w:r w:rsidRPr="0026106F">
        <w:rPr>
          <w:rFonts w:ascii="Times New Roman" w:hAnsi="Times New Roman"/>
          <w:i/>
          <w:snapToGrid/>
        </w:rPr>
        <w:t>Id.</w:t>
      </w:r>
    </w:p>
    <w:p w:rsidR="00116A6F" w:rsidRPr="0026106F" w:rsidRDefault="00116A6F" w:rsidP="00291A42">
      <w:pPr>
        <w:pStyle w:val="FootnoteText"/>
        <w:spacing w:line="360" w:lineRule="auto"/>
        <w:ind w:firstLine="720"/>
        <w:rPr>
          <w:rFonts w:ascii="Times New Roman" w:hAnsi="Times New Roman"/>
          <w:snapToGrid/>
          <w:sz w:val="24"/>
          <w:szCs w:val="24"/>
        </w:rPr>
      </w:pPr>
    </w:p>
    <w:p w:rsidR="003B790D" w:rsidRPr="0026106F" w:rsidRDefault="00085203" w:rsidP="00291A42">
      <w:pPr>
        <w:pStyle w:val="FootnoteText"/>
        <w:spacing w:line="360" w:lineRule="auto"/>
        <w:ind w:firstLine="720"/>
        <w:rPr>
          <w:rFonts w:ascii="Times New Roman" w:hAnsi="Times New Roman"/>
          <w:snapToGrid/>
          <w:sz w:val="24"/>
          <w:szCs w:val="24"/>
        </w:rPr>
      </w:pPr>
      <w:r w:rsidRPr="0026106F">
        <w:rPr>
          <w:rFonts w:ascii="Times New Roman" w:hAnsi="Times New Roman"/>
          <w:snapToGrid/>
          <w:sz w:val="24"/>
          <w:szCs w:val="24"/>
        </w:rPr>
        <w:tab/>
        <w:t xml:space="preserve">Dr. Iro’s argument that PGW failed to respond to her emails is similar to the arguments made by the landlords in </w:t>
      </w:r>
      <w:r w:rsidRPr="0026106F">
        <w:rPr>
          <w:rFonts w:ascii="Times New Roman" w:hAnsi="Times New Roman"/>
          <w:i/>
          <w:snapToGrid/>
          <w:sz w:val="24"/>
          <w:szCs w:val="24"/>
        </w:rPr>
        <w:t xml:space="preserve">Newman. </w:t>
      </w:r>
      <w:r w:rsidRPr="0026106F">
        <w:rPr>
          <w:rFonts w:ascii="Times New Roman" w:hAnsi="Times New Roman"/>
          <w:snapToGrid/>
          <w:sz w:val="24"/>
          <w:szCs w:val="24"/>
        </w:rPr>
        <w:t xml:space="preserve"> However, as the Commission ruled in </w:t>
      </w:r>
      <w:r w:rsidRPr="0026106F">
        <w:rPr>
          <w:rFonts w:ascii="Times New Roman" w:hAnsi="Times New Roman"/>
          <w:i/>
          <w:snapToGrid/>
          <w:sz w:val="24"/>
          <w:szCs w:val="24"/>
        </w:rPr>
        <w:t xml:space="preserve">Newman, </w:t>
      </w:r>
      <w:r w:rsidRPr="0026106F">
        <w:rPr>
          <w:rFonts w:ascii="Times New Roman" w:hAnsi="Times New Roman"/>
          <w:snapToGrid/>
          <w:sz w:val="24"/>
          <w:szCs w:val="24"/>
        </w:rPr>
        <w:t>the Commission lacks jurisdiction over such disputes.</w:t>
      </w:r>
    </w:p>
    <w:p w:rsidR="003B790D" w:rsidRDefault="003B790D" w:rsidP="00291A42">
      <w:pPr>
        <w:pStyle w:val="FootnoteText"/>
        <w:spacing w:line="360" w:lineRule="auto"/>
        <w:ind w:firstLine="720"/>
        <w:rPr>
          <w:rFonts w:ascii="Times New Roman" w:hAnsi="Times New Roman"/>
          <w:snapToGrid/>
          <w:color w:val="FF0000"/>
          <w:sz w:val="24"/>
          <w:szCs w:val="24"/>
        </w:rPr>
      </w:pPr>
    </w:p>
    <w:p w:rsidR="00B400F1" w:rsidRPr="003D5747" w:rsidRDefault="00B400F1" w:rsidP="00B400F1">
      <w:pPr>
        <w:widowControl/>
        <w:spacing w:line="360" w:lineRule="auto"/>
        <w:rPr>
          <w:rFonts w:ascii="Times New Roman" w:hAnsi="Times New Roman"/>
          <w:strike/>
          <w:snapToGrid/>
          <w:highlight w:val="yellow"/>
        </w:rPr>
      </w:pPr>
    </w:p>
    <w:p w:rsidR="00395B2C" w:rsidRDefault="005F5876" w:rsidP="00FB4836">
      <w:pPr>
        <w:widowControl/>
        <w:tabs>
          <w:tab w:val="left" w:pos="1440"/>
        </w:tabs>
        <w:spacing w:line="360" w:lineRule="auto"/>
        <w:rPr>
          <w:rFonts w:ascii="Times New Roman" w:hAnsi="Times New Roman"/>
        </w:rPr>
      </w:pPr>
      <w:r>
        <w:rPr>
          <w:rFonts w:ascii="Times New Roman" w:hAnsi="Times New Roman"/>
          <w:snapToGrid/>
        </w:rPr>
        <w:lastRenderedPageBreak/>
        <w:tab/>
      </w:r>
      <w:r w:rsidR="005D0F59" w:rsidRPr="0026106F">
        <w:rPr>
          <w:rFonts w:ascii="Times New Roman" w:hAnsi="Times New Roman"/>
        </w:rPr>
        <w:t xml:space="preserve">Dr. </w:t>
      </w:r>
      <w:proofErr w:type="gramStart"/>
      <w:r w:rsidR="005D0F59" w:rsidRPr="0026106F">
        <w:rPr>
          <w:rFonts w:ascii="Times New Roman" w:hAnsi="Times New Roman"/>
        </w:rPr>
        <w:t>Iro</w:t>
      </w:r>
      <w:proofErr w:type="gramEnd"/>
      <w:r w:rsidR="005D0F59" w:rsidRPr="0026106F">
        <w:rPr>
          <w:rFonts w:ascii="Times New Roman" w:hAnsi="Times New Roman"/>
        </w:rPr>
        <w:t xml:space="preserve"> also alleged in her complaint that there wer</w:t>
      </w:r>
      <w:r w:rsidR="007008C2">
        <w:rPr>
          <w:rFonts w:ascii="Times New Roman" w:hAnsi="Times New Roman"/>
        </w:rPr>
        <w:t>e incorrect charges on her bill.</w:t>
      </w:r>
      <w:r w:rsidR="005D0F59" w:rsidRPr="0026106F">
        <w:rPr>
          <w:rFonts w:ascii="Times New Roman" w:hAnsi="Times New Roman"/>
        </w:rPr>
        <w:t xml:space="preserve"> </w:t>
      </w:r>
      <w:r w:rsidR="007008C2" w:rsidRPr="0026106F">
        <w:rPr>
          <w:rFonts w:ascii="Times New Roman" w:hAnsi="Times New Roman"/>
        </w:rPr>
        <w:t>Complaint ¶ 4.</w:t>
      </w:r>
      <w:r w:rsidR="007008C2">
        <w:rPr>
          <w:rFonts w:ascii="Times New Roman" w:hAnsi="Times New Roman"/>
        </w:rPr>
        <w:t xml:space="preserve">  B</w:t>
      </w:r>
      <w:r w:rsidR="005D0F59" w:rsidRPr="0026106F">
        <w:rPr>
          <w:rFonts w:ascii="Times New Roman" w:hAnsi="Times New Roman"/>
        </w:rPr>
        <w:t xml:space="preserve">ut she did not offer any testimony as to incorrect billings. </w:t>
      </w:r>
      <w:r w:rsidR="0026106F">
        <w:rPr>
          <w:rFonts w:ascii="Times New Roman" w:hAnsi="Times New Roman"/>
        </w:rPr>
        <w:t xml:space="preserve"> </w:t>
      </w:r>
      <w:r w:rsidR="005D0F59" w:rsidRPr="0026106F">
        <w:rPr>
          <w:rFonts w:ascii="Times New Roman" w:hAnsi="Times New Roman"/>
        </w:rPr>
        <w:t xml:space="preserve">  Dr. Iro argued she should not be responsible for her tenant’s bill, resulting in PGW’s lien on her property.  Tr. 30-31.  However, as noted above, the lien issue is beyond the Commission’s jurisdiction of the Commission.</w:t>
      </w:r>
    </w:p>
    <w:p w:rsidR="005D0F59" w:rsidRDefault="00395B2C" w:rsidP="00FB4836">
      <w:pPr>
        <w:widowControl/>
        <w:tabs>
          <w:tab w:val="left" w:pos="1440"/>
        </w:tabs>
        <w:spacing w:line="360" w:lineRule="auto"/>
        <w:rPr>
          <w:rFonts w:ascii="Times New Roman" w:hAnsi="Times New Roman"/>
        </w:rPr>
      </w:pPr>
      <w:r>
        <w:rPr>
          <w:rFonts w:ascii="Times New Roman" w:hAnsi="Times New Roman"/>
        </w:rPr>
        <w:t xml:space="preserve"> </w:t>
      </w:r>
    </w:p>
    <w:p w:rsidR="004E35E4" w:rsidRDefault="005D0F59" w:rsidP="007008C2">
      <w:pPr>
        <w:widowControl/>
        <w:tabs>
          <w:tab w:val="left" w:pos="1440"/>
        </w:tabs>
        <w:spacing w:line="360" w:lineRule="auto"/>
        <w:rPr>
          <w:rFonts w:ascii="Times New Roman" w:hAnsi="Times New Roman"/>
          <w:szCs w:val="24"/>
        </w:rPr>
      </w:pPr>
      <w:r>
        <w:rPr>
          <w:rFonts w:ascii="Times New Roman" w:hAnsi="Times New Roman"/>
        </w:rPr>
        <w:tab/>
      </w:r>
      <w:r w:rsidR="005F5876">
        <w:rPr>
          <w:rFonts w:ascii="Times New Roman" w:hAnsi="Times New Roman"/>
          <w:snapToGrid/>
        </w:rPr>
        <w:t xml:space="preserve">In this proceeding, Dr. </w:t>
      </w:r>
      <w:proofErr w:type="gramStart"/>
      <w:r w:rsidR="005F5876">
        <w:rPr>
          <w:rFonts w:ascii="Times New Roman" w:hAnsi="Times New Roman"/>
          <w:snapToGrid/>
        </w:rPr>
        <w:t>Iro</w:t>
      </w:r>
      <w:proofErr w:type="gramEnd"/>
      <w:r w:rsidR="005F5876">
        <w:rPr>
          <w:rFonts w:ascii="Times New Roman" w:hAnsi="Times New Roman"/>
          <w:snapToGrid/>
        </w:rPr>
        <w:t xml:space="preserve"> carried the burden of proving that PGW failed to provide her reasonable service</w:t>
      </w:r>
      <w:r w:rsidR="0026106F">
        <w:rPr>
          <w:rFonts w:ascii="Times New Roman" w:hAnsi="Times New Roman"/>
          <w:snapToGrid/>
        </w:rPr>
        <w:t xml:space="preserve"> </w:t>
      </w:r>
      <w:r w:rsidR="00B36FA5" w:rsidRPr="0026106F">
        <w:rPr>
          <w:rFonts w:ascii="Times New Roman" w:hAnsi="Times New Roman"/>
          <w:snapToGrid/>
          <w:color w:val="000000" w:themeColor="text1"/>
        </w:rPr>
        <w:t>or to demonstrate that there were incorrect charges on her bill.  The record is devoid of any evidence that there are incorrect charges on Complainant’s bill or that Respondent provided unreasonable service to Compl</w:t>
      </w:r>
      <w:r w:rsidR="007008C2">
        <w:rPr>
          <w:rFonts w:ascii="Times New Roman" w:hAnsi="Times New Roman"/>
          <w:snapToGrid/>
          <w:color w:val="000000" w:themeColor="text1"/>
        </w:rPr>
        <w:t>ainant</w:t>
      </w:r>
      <w:r w:rsidR="00B36FA5" w:rsidRPr="0026106F">
        <w:rPr>
          <w:rFonts w:ascii="Times New Roman" w:hAnsi="Times New Roman"/>
          <w:snapToGrid/>
          <w:color w:val="000000" w:themeColor="text1"/>
        </w:rPr>
        <w:t>.</w:t>
      </w:r>
      <w:r w:rsidR="007008C2">
        <w:rPr>
          <w:rFonts w:ascii="Times New Roman" w:hAnsi="Times New Roman"/>
          <w:snapToGrid/>
          <w:color w:val="000000" w:themeColor="text1"/>
        </w:rPr>
        <w:t xml:space="preserve">  </w:t>
      </w:r>
      <w:r w:rsidR="004E35E4">
        <w:rPr>
          <w:rFonts w:ascii="Times New Roman" w:hAnsi="Times New Roman"/>
          <w:szCs w:val="24"/>
        </w:rPr>
        <w:t>Accordingly, the complaint will be dismissed in the ordering paragraphs below.</w:t>
      </w:r>
    </w:p>
    <w:p w:rsidR="005D0F59" w:rsidRDefault="005D0F59" w:rsidP="008D141C">
      <w:pPr>
        <w:spacing w:line="360" w:lineRule="auto"/>
        <w:rPr>
          <w:rFonts w:ascii="Times New Roman" w:hAnsi="Times New Roman"/>
          <w:szCs w:val="24"/>
        </w:rPr>
      </w:pPr>
    </w:p>
    <w:p w:rsidR="008D141C" w:rsidRPr="005B4F80" w:rsidRDefault="008D141C" w:rsidP="008D141C">
      <w:pPr>
        <w:spacing w:line="360" w:lineRule="auto"/>
        <w:jc w:val="center"/>
        <w:rPr>
          <w:rFonts w:ascii="Times New Roman" w:hAnsi="Times New Roman"/>
          <w:szCs w:val="24"/>
          <w:u w:val="single"/>
        </w:rPr>
      </w:pPr>
      <w:r>
        <w:rPr>
          <w:rFonts w:ascii="Times New Roman" w:hAnsi="Times New Roman"/>
          <w:szCs w:val="24"/>
          <w:u w:val="single"/>
        </w:rPr>
        <w:t>CONCLUSIONS OF LAW</w:t>
      </w:r>
    </w:p>
    <w:p w:rsidR="008D141C" w:rsidRDefault="008D141C" w:rsidP="008D141C">
      <w:pPr>
        <w:spacing w:line="360" w:lineRule="auto"/>
        <w:rPr>
          <w:rFonts w:ascii="Times New Roman" w:hAnsi="Times New Roman"/>
          <w:szCs w:val="24"/>
        </w:rPr>
      </w:pPr>
    </w:p>
    <w:p w:rsidR="005D0F59" w:rsidRDefault="008D141C" w:rsidP="00F600EC">
      <w:pPr>
        <w:spacing w:line="360" w:lineRule="auto"/>
        <w:rPr>
          <w:rFonts w:ascii="Times New Roman" w:hAnsi="Times New Roman"/>
          <w:snapToGrid/>
          <w:szCs w:val="24"/>
        </w:rPr>
      </w:pPr>
      <w:r>
        <w:rPr>
          <w:rFonts w:ascii="Times New Roman" w:hAnsi="Times New Roman"/>
          <w:szCs w:val="24"/>
        </w:rPr>
        <w:tab/>
      </w:r>
      <w:r>
        <w:rPr>
          <w:rFonts w:ascii="Times New Roman" w:hAnsi="Times New Roman"/>
          <w:szCs w:val="24"/>
        </w:rPr>
        <w:tab/>
        <w:t>1.</w:t>
      </w:r>
      <w:r>
        <w:rPr>
          <w:rFonts w:ascii="Times New Roman" w:hAnsi="Times New Roman"/>
          <w:szCs w:val="24"/>
        </w:rPr>
        <w:tab/>
      </w:r>
      <w:r w:rsidR="00F600EC" w:rsidRPr="00F600EC">
        <w:rPr>
          <w:rFonts w:ascii="Times New Roman" w:hAnsi="Times New Roman"/>
          <w:snapToGrid/>
          <w:szCs w:val="24"/>
        </w:rPr>
        <w:t xml:space="preserve">The Commission has jurisdiction over the parties and subject matter of this dispute.  </w:t>
      </w:r>
      <w:proofErr w:type="gramStart"/>
      <w:r w:rsidR="00F600EC" w:rsidRPr="00F600EC">
        <w:rPr>
          <w:rFonts w:ascii="Times New Roman" w:hAnsi="Times New Roman"/>
          <w:snapToGrid/>
          <w:szCs w:val="24"/>
        </w:rPr>
        <w:t>66 Pa.C.S.</w:t>
      </w:r>
      <w:proofErr w:type="gramEnd"/>
      <w:r w:rsidR="00F600EC" w:rsidRPr="00F600EC">
        <w:rPr>
          <w:rFonts w:ascii="Times New Roman" w:hAnsi="Times New Roman"/>
          <w:snapToGrid/>
          <w:szCs w:val="24"/>
        </w:rPr>
        <w:t xml:space="preserve"> § 701</w:t>
      </w:r>
    </w:p>
    <w:p w:rsidR="00F600EC" w:rsidRPr="00A817BA" w:rsidRDefault="00F600EC" w:rsidP="00F600EC">
      <w:pPr>
        <w:spacing w:line="360" w:lineRule="auto"/>
        <w:rPr>
          <w:rFonts w:ascii="Times New Roman" w:hAnsi="Times New Roman"/>
          <w:snapToGrid/>
          <w:color w:val="000000" w:themeColor="text1"/>
          <w:szCs w:val="24"/>
        </w:rPr>
      </w:pPr>
      <w:r w:rsidRPr="00A817BA">
        <w:rPr>
          <w:rFonts w:ascii="Times New Roman" w:hAnsi="Times New Roman"/>
          <w:snapToGrid/>
          <w:color w:val="000000" w:themeColor="text1"/>
          <w:szCs w:val="24"/>
        </w:rPr>
        <w:t>.</w:t>
      </w:r>
    </w:p>
    <w:p w:rsidR="005D0F59" w:rsidRPr="00A817BA" w:rsidRDefault="005D0F59" w:rsidP="005D0F59">
      <w:pPr>
        <w:widowControl/>
        <w:spacing w:line="360" w:lineRule="auto"/>
        <w:ind w:firstLine="720"/>
        <w:rPr>
          <w:rFonts w:ascii="Times New Roman" w:hAnsi="Times New Roman"/>
          <w:snapToGrid/>
          <w:color w:val="000000" w:themeColor="text1"/>
        </w:rPr>
      </w:pPr>
      <w:r w:rsidRPr="00A817BA">
        <w:rPr>
          <w:rFonts w:ascii="Times New Roman" w:hAnsi="Times New Roman"/>
          <w:snapToGrid/>
          <w:color w:val="000000" w:themeColor="text1"/>
        </w:rPr>
        <w:tab/>
        <w:t>2.</w:t>
      </w:r>
      <w:r w:rsidRPr="00A817BA">
        <w:rPr>
          <w:rFonts w:ascii="Times New Roman" w:hAnsi="Times New Roman"/>
          <w:snapToGrid/>
          <w:color w:val="000000" w:themeColor="text1"/>
        </w:rPr>
        <w:tab/>
        <w:t xml:space="preserve">The Commission has repeatedly recognized its lack of subject matter jurisdiction in numerous cases involving municipal lien disputes.  </w:t>
      </w:r>
      <w:r w:rsidRPr="00A817BA">
        <w:rPr>
          <w:rFonts w:ascii="Times New Roman" w:hAnsi="Times New Roman"/>
          <w:i/>
          <w:snapToGrid/>
          <w:color w:val="000000" w:themeColor="text1"/>
        </w:rPr>
        <w:t>E.g., Newman v. Philadelphia Gas Works</w:t>
      </w:r>
      <w:r w:rsidRPr="00A817BA">
        <w:rPr>
          <w:rFonts w:ascii="Times New Roman" w:hAnsi="Times New Roman"/>
          <w:snapToGrid/>
          <w:color w:val="000000" w:themeColor="text1"/>
        </w:rPr>
        <w:t>, PUC Docket No. C-2011-2273565 (Opinion and Order entered March 29, 2012).</w:t>
      </w:r>
    </w:p>
    <w:p w:rsidR="005D0F59" w:rsidRPr="00A817BA" w:rsidRDefault="005D0F59" w:rsidP="005D0F59">
      <w:pPr>
        <w:widowControl/>
        <w:spacing w:line="360" w:lineRule="auto"/>
        <w:ind w:firstLine="720"/>
        <w:rPr>
          <w:rFonts w:ascii="Times New Roman" w:hAnsi="Times New Roman"/>
          <w:snapToGrid/>
          <w:color w:val="000000" w:themeColor="text1"/>
        </w:rPr>
      </w:pPr>
    </w:p>
    <w:p w:rsidR="005D0F59" w:rsidRPr="00A817BA" w:rsidRDefault="005D0F59" w:rsidP="005D0F59">
      <w:pPr>
        <w:widowControl/>
        <w:spacing w:line="360" w:lineRule="auto"/>
        <w:ind w:firstLine="720"/>
        <w:rPr>
          <w:rFonts w:ascii="Times New Roman" w:hAnsi="Times New Roman"/>
          <w:snapToGrid/>
          <w:color w:val="000000" w:themeColor="text1"/>
        </w:rPr>
      </w:pPr>
      <w:r w:rsidRPr="00A817BA">
        <w:rPr>
          <w:rFonts w:ascii="Times New Roman" w:hAnsi="Times New Roman"/>
          <w:snapToGrid/>
          <w:color w:val="000000" w:themeColor="text1"/>
        </w:rPr>
        <w:tab/>
        <w:t>3.</w:t>
      </w:r>
      <w:r w:rsidRPr="00A817BA">
        <w:rPr>
          <w:rFonts w:ascii="Times New Roman" w:hAnsi="Times New Roman"/>
          <w:snapToGrid/>
          <w:color w:val="000000" w:themeColor="text1"/>
        </w:rPr>
        <w:tab/>
        <w:t xml:space="preserve">The Commission does not have jurisdiction over private contractual disputes including the administration of PGW’s Landlord Cooperation Program.  </w:t>
      </w:r>
      <w:r w:rsidRPr="00A817BA">
        <w:rPr>
          <w:rFonts w:ascii="Times New Roman" w:hAnsi="Times New Roman"/>
          <w:i/>
          <w:snapToGrid/>
          <w:color w:val="000000" w:themeColor="text1"/>
        </w:rPr>
        <w:t>Newman.</w:t>
      </w:r>
    </w:p>
    <w:p w:rsidR="005D0F59" w:rsidRPr="005D0F59" w:rsidRDefault="005D0F59" w:rsidP="005D0F59">
      <w:pPr>
        <w:widowControl/>
        <w:spacing w:line="360" w:lineRule="auto"/>
        <w:rPr>
          <w:rFonts w:ascii="Times New Roman" w:hAnsi="Times New Roman"/>
          <w:snapToGrid/>
        </w:rPr>
      </w:pPr>
    </w:p>
    <w:p w:rsidR="00F600EC" w:rsidRDefault="00F600EC" w:rsidP="00F600EC">
      <w:pPr>
        <w:widowControl/>
        <w:spacing w:line="360" w:lineRule="auto"/>
        <w:rPr>
          <w:rFonts w:ascii="Times New Roman" w:hAnsi="Times New Roman"/>
          <w:snapToGrid/>
          <w:szCs w:val="24"/>
        </w:rPr>
      </w:pPr>
      <w:r>
        <w:rPr>
          <w:rFonts w:ascii="Times New Roman" w:hAnsi="Times New Roman"/>
          <w:snapToGrid/>
          <w:szCs w:val="24"/>
        </w:rPr>
        <w:tab/>
      </w:r>
      <w:r w:rsidRPr="00F600EC">
        <w:rPr>
          <w:rFonts w:ascii="Times New Roman" w:hAnsi="Times New Roman"/>
          <w:snapToGrid/>
          <w:szCs w:val="24"/>
        </w:rPr>
        <w:tab/>
      </w:r>
      <w:r w:rsidR="005D0F59">
        <w:rPr>
          <w:rFonts w:ascii="Times New Roman" w:hAnsi="Times New Roman"/>
          <w:snapToGrid/>
          <w:szCs w:val="24"/>
        </w:rPr>
        <w:t>4</w:t>
      </w:r>
      <w:r w:rsidRPr="00F600EC">
        <w:rPr>
          <w:rFonts w:ascii="Times New Roman" w:hAnsi="Times New Roman"/>
          <w:snapToGrid/>
          <w:szCs w:val="24"/>
        </w:rPr>
        <w:t>.</w:t>
      </w:r>
      <w:r w:rsidRPr="000F1AB8">
        <w:rPr>
          <w:rFonts w:ascii="Times New Roman" w:hAnsi="Times New Roman"/>
          <w:snapToGrid/>
          <w:szCs w:val="24"/>
        </w:rPr>
        <w:tab/>
        <w:t xml:space="preserve">Complainant carries the burden of proving Respondent has in some manner violated the provisions of the Public Utility Code or the regulations of the Commission in the course of providing </w:t>
      </w:r>
      <w:r w:rsidR="00AD318F">
        <w:rPr>
          <w:rFonts w:ascii="Times New Roman" w:hAnsi="Times New Roman"/>
          <w:snapToGrid/>
          <w:szCs w:val="24"/>
        </w:rPr>
        <w:t>her</w:t>
      </w:r>
      <w:r w:rsidRPr="000F1AB8">
        <w:rPr>
          <w:rFonts w:ascii="Times New Roman" w:hAnsi="Times New Roman"/>
          <w:snapToGrid/>
          <w:szCs w:val="24"/>
        </w:rPr>
        <w:t xml:space="preserve"> with </w:t>
      </w:r>
      <w:r w:rsidR="00AD318F">
        <w:rPr>
          <w:rFonts w:ascii="Times New Roman" w:hAnsi="Times New Roman"/>
          <w:snapToGrid/>
          <w:szCs w:val="24"/>
        </w:rPr>
        <w:t>gas</w:t>
      </w:r>
      <w:r w:rsidRPr="000F1AB8">
        <w:rPr>
          <w:rFonts w:ascii="Times New Roman" w:hAnsi="Times New Roman"/>
          <w:snapToGrid/>
          <w:szCs w:val="24"/>
        </w:rPr>
        <w:t xml:space="preserve"> service.  Section 332(a) of the Public Utility Code, </w:t>
      </w:r>
      <w:proofErr w:type="gramStart"/>
      <w:r w:rsidRPr="000F1AB8">
        <w:rPr>
          <w:rFonts w:ascii="Times New Roman" w:hAnsi="Times New Roman"/>
          <w:snapToGrid/>
          <w:szCs w:val="24"/>
        </w:rPr>
        <w:t>66</w:t>
      </w:r>
      <w:r w:rsidR="00AD318F">
        <w:rPr>
          <w:rFonts w:ascii="Times New Roman" w:hAnsi="Times New Roman"/>
          <w:snapToGrid/>
          <w:szCs w:val="24"/>
        </w:rPr>
        <w:t> </w:t>
      </w:r>
      <w:r w:rsidRPr="000F1AB8">
        <w:rPr>
          <w:rFonts w:ascii="Times New Roman" w:hAnsi="Times New Roman"/>
          <w:snapToGrid/>
          <w:szCs w:val="24"/>
        </w:rPr>
        <w:t>Pa.C.S</w:t>
      </w:r>
      <w:proofErr w:type="gramEnd"/>
      <w:r w:rsidRPr="000F1AB8">
        <w:rPr>
          <w:rFonts w:ascii="Times New Roman" w:hAnsi="Times New Roman"/>
          <w:snapToGrid/>
          <w:szCs w:val="24"/>
        </w:rPr>
        <w:t xml:space="preserve">. § 332 (a). </w:t>
      </w:r>
    </w:p>
    <w:p w:rsidR="00850058" w:rsidRDefault="00850058" w:rsidP="00F600EC">
      <w:pPr>
        <w:widowControl/>
        <w:spacing w:line="360" w:lineRule="auto"/>
        <w:rPr>
          <w:rFonts w:ascii="Times New Roman" w:hAnsi="Times New Roman"/>
          <w:snapToGrid/>
          <w:szCs w:val="24"/>
        </w:rPr>
      </w:pPr>
    </w:p>
    <w:p w:rsidR="00FC46D0" w:rsidRDefault="00FC46D0" w:rsidP="00F600EC">
      <w:pPr>
        <w:widowControl/>
        <w:spacing w:line="360" w:lineRule="auto"/>
        <w:rPr>
          <w:rFonts w:ascii="Times New Roman" w:hAnsi="Times New Roman"/>
          <w:snapToGrid/>
          <w:szCs w:val="24"/>
        </w:rPr>
      </w:pPr>
      <w:bookmarkStart w:id="0" w:name="_GoBack"/>
      <w:bookmarkEnd w:id="0"/>
    </w:p>
    <w:p w:rsidR="003C3059" w:rsidRDefault="003C3059" w:rsidP="00F600EC">
      <w:pPr>
        <w:widowControl/>
        <w:spacing w:line="360" w:lineRule="auto"/>
        <w:rPr>
          <w:rFonts w:ascii="Times New Roman" w:hAnsi="Times New Roman"/>
          <w:snapToGrid/>
          <w:szCs w:val="24"/>
        </w:rPr>
      </w:pPr>
    </w:p>
    <w:p w:rsidR="00F600EC" w:rsidRDefault="00F600EC" w:rsidP="00F600EC">
      <w:pPr>
        <w:pStyle w:val="FootnoteText"/>
        <w:spacing w:line="360" w:lineRule="auto"/>
        <w:ind w:firstLine="720"/>
        <w:rPr>
          <w:rFonts w:ascii="Times New Roman" w:hAnsi="Times New Roman"/>
          <w:sz w:val="24"/>
          <w:szCs w:val="24"/>
        </w:rPr>
      </w:pPr>
      <w:r>
        <w:rPr>
          <w:rFonts w:ascii="Times New Roman" w:hAnsi="Times New Roman"/>
          <w:snapToGrid/>
          <w:sz w:val="24"/>
          <w:szCs w:val="24"/>
        </w:rPr>
        <w:lastRenderedPageBreak/>
        <w:tab/>
      </w:r>
      <w:r w:rsidR="005D0F59">
        <w:rPr>
          <w:rFonts w:ascii="Times New Roman" w:hAnsi="Times New Roman"/>
          <w:snapToGrid/>
          <w:sz w:val="24"/>
          <w:szCs w:val="24"/>
        </w:rPr>
        <w:t>5</w:t>
      </w:r>
      <w:r w:rsidRPr="00F600EC">
        <w:rPr>
          <w:rFonts w:ascii="Times New Roman" w:hAnsi="Times New Roman"/>
          <w:snapToGrid/>
          <w:sz w:val="24"/>
          <w:szCs w:val="24"/>
        </w:rPr>
        <w:t>.</w:t>
      </w:r>
      <w:r w:rsidRPr="00F600EC">
        <w:rPr>
          <w:rFonts w:ascii="Times New Roman" w:hAnsi="Times New Roman"/>
          <w:snapToGrid/>
          <w:sz w:val="24"/>
          <w:szCs w:val="24"/>
        </w:rPr>
        <w:tab/>
        <w:t xml:space="preserve">The Public Utility Code does not require that public utility service be perfect but does require that service be adequate, efficient, safe, and reasonable. </w:t>
      </w:r>
      <w:r>
        <w:rPr>
          <w:rFonts w:ascii="Times New Roman" w:hAnsi="Times New Roman"/>
          <w:snapToGrid/>
          <w:sz w:val="24"/>
          <w:szCs w:val="24"/>
        </w:rPr>
        <w:t xml:space="preserve"> </w:t>
      </w:r>
      <w:proofErr w:type="gramStart"/>
      <w:r>
        <w:rPr>
          <w:rFonts w:ascii="Times New Roman" w:hAnsi="Times New Roman"/>
          <w:snapToGrid/>
          <w:sz w:val="24"/>
          <w:szCs w:val="24"/>
        </w:rPr>
        <w:t>66 Pa.C.S.</w:t>
      </w:r>
      <w:proofErr w:type="gramEnd"/>
      <w:r>
        <w:rPr>
          <w:rFonts w:ascii="Times New Roman" w:hAnsi="Times New Roman"/>
          <w:snapToGrid/>
          <w:sz w:val="24"/>
          <w:szCs w:val="24"/>
        </w:rPr>
        <w:t xml:space="preserve"> § 1501; </w:t>
      </w:r>
      <w:r w:rsidRPr="00F600EC">
        <w:rPr>
          <w:rFonts w:ascii="Times New Roman" w:hAnsi="Times New Roman"/>
          <w:i/>
          <w:sz w:val="24"/>
          <w:szCs w:val="24"/>
        </w:rPr>
        <w:t>Re Metropolitan Edison Company</w:t>
      </w:r>
      <w:r w:rsidRPr="00F600EC">
        <w:rPr>
          <w:rFonts w:ascii="Times New Roman" w:hAnsi="Times New Roman"/>
          <w:sz w:val="24"/>
          <w:szCs w:val="24"/>
        </w:rPr>
        <w:t>, 80 Pa. PUC 663, 672 (1993).</w:t>
      </w:r>
    </w:p>
    <w:p w:rsidR="004E23F3" w:rsidRPr="005F5876" w:rsidRDefault="004E23F3" w:rsidP="00F600EC">
      <w:pPr>
        <w:pStyle w:val="FootnoteText"/>
        <w:spacing w:line="360" w:lineRule="auto"/>
        <w:ind w:firstLine="720"/>
        <w:rPr>
          <w:rFonts w:ascii="Times New Roman" w:hAnsi="Times New Roman"/>
        </w:rPr>
      </w:pPr>
    </w:p>
    <w:p w:rsidR="00494BB6" w:rsidRDefault="005D0F59" w:rsidP="00494BB6">
      <w:pPr>
        <w:pStyle w:val="ListParagraph"/>
        <w:widowControl/>
        <w:spacing w:line="360" w:lineRule="auto"/>
        <w:ind w:left="0" w:firstLine="1440"/>
        <w:rPr>
          <w:rFonts w:ascii="Times New Roman" w:hAnsi="Times New Roman"/>
          <w:snapToGrid/>
          <w:szCs w:val="24"/>
        </w:rPr>
      </w:pPr>
      <w:r>
        <w:rPr>
          <w:rFonts w:ascii="Times New Roman" w:hAnsi="Times New Roman"/>
          <w:snapToGrid/>
          <w:szCs w:val="24"/>
        </w:rPr>
        <w:t>6</w:t>
      </w:r>
      <w:r w:rsidR="00F600EC">
        <w:rPr>
          <w:rFonts w:ascii="Times New Roman" w:hAnsi="Times New Roman"/>
          <w:snapToGrid/>
          <w:szCs w:val="24"/>
        </w:rPr>
        <w:t>.</w:t>
      </w:r>
      <w:r w:rsidR="00F600EC">
        <w:rPr>
          <w:rFonts w:ascii="Times New Roman" w:hAnsi="Times New Roman"/>
          <w:snapToGrid/>
          <w:szCs w:val="24"/>
        </w:rPr>
        <w:tab/>
        <w:t>Complainant failed to establish her burden of proving that Respondent violated any applicable law, regulation or order of the Commission.</w:t>
      </w:r>
    </w:p>
    <w:p w:rsidR="00EA21AE" w:rsidRDefault="00EA21AE" w:rsidP="00494BB6">
      <w:pPr>
        <w:pStyle w:val="ListParagraph"/>
        <w:widowControl/>
        <w:spacing w:line="360" w:lineRule="auto"/>
        <w:ind w:left="0" w:firstLine="1440"/>
        <w:rPr>
          <w:rFonts w:ascii="Times New Roman" w:hAnsi="Times New Roman"/>
          <w:snapToGrid/>
          <w:szCs w:val="24"/>
        </w:rPr>
      </w:pPr>
    </w:p>
    <w:p w:rsidR="00EA21AE" w:rsidRDefault="00EA21AE" w:rsidP="007234A8">
      <w:pPr>
        <w:pStyle w:val="ListParagraph"/>
        <w:widowControl/>
        <w:spacing w:line="360" w:lineRule="auto"/>
        <w:ind w:left="0"/>
        <w:jc w:val="center"/>
        <w:rPr>
          <w:rFonts w:ascii="Times New Roman" w:hAnsi="Times New Roman"/>
          <w:snapToGrid/>
          <w:szCs w:val="24"/>
          <w:u w:val="single"/>
        </w:rPr>
      </w:pPr>
      <w:r>
        <w:rPr>
          <w:rFonts w:ascii="Times New Roman" w:hAnsi="Times New Roman"/>
          <w:snapToGrid/>
          <w:szCs w:val="24"/>
          <w:u w:val="single"/>
        </w:rPr>
        <w:t>O</w:t>
      </w:r>
      <w:r w:rsidR="007234A8">
        <w:rPr>
          <w:rFonts w:ascii="Times New Roman" w:hAnsi="Times New Roman"/>
          <w:snapToGrid/>
          <w:szCs w:val="24"/>
          <w:u w:val="single"/>
        </w:rPr>
        <w:t>RDER</w:t>
      </w:r>
    </w:p>
    <w:p w:rsidR="00494BB6" w:rsidRDefault="00494BB6" w:rsidP="007234A8">
      <w:pPr>
        <w:pStyle w:val="ListParagraph"/>
        <w:widowControl/>
        <w:spacing w:line="360" w:lineRule="auto"/>
        <w:ind w:left="0"/>
        <w:rPr>
          <w:rFonts w:ascii="Times New Roman" w:hAnsi="Times New Roman"/>
          <w:snapToGrid/>
          <w:szCs w:val="24"/>
        </w:rPr>
      </w:pPr>
      <w:r>
        <w:rPr>
          <w:rFonts w:ascii="Times New Roman" w:hAnsi="Times New Roman"/>
          <w:snapToGrid/>
          <w:szCs w:val="24"/>
        </w:rPr>
        <w:t xml:space="preserve"> </w:t>
      </w:r>
    </w:p>
    <w:p w:rsidR="004E23F3" w:rsidRDefault="004E23F3" w:rsidP="007234A8">
      <w:pPr>
        <w:pStyle w:val="ListParagraph"/>
        <w:widowControl/>
        <w:spacing w:line="360" w:lineRule="auto"/>
        <w:ind w:left="0"/>
        <w:rPr>
          <w:rFonts w:ascii="Times New Roman" w:hAnsi="Times New Roman"/>
          <w:snapToGrid/>
          <w:szCs w:val="24"/>
        </w:rPr>
      </w:pPr>
    </w:p>
    <w:p w:rsidR="008D141C" w:rsidRPr="009E4BE5" w:rsidRDefault="008D141C" w:rsidP="008D141C">
      <w:pPr>
        <w:spacing w:line="360" w:lineRule="auto"/>
        <w:rPr>
          <w:rFonts w:ascii="Times New Roman" w:hAnsi="Times New Roman"/>
          <w:szCs w:val="24"/>
        </w:rPr>
      </w:pPr>
      <w:r w:rsidRPr="009E4BE5">
        <w:rPr>
          <w:rFonts w:ascii="Times New Roman" w:hAnsi="Times New Roman"/>
          <w:szCs w:val="24"/>
        </w:rPr>
        <w:tab/>
      </w:r>
      <w:r w:rsidRPr="009E4BE5">
        <w:rPr>
          <w:rFonts w:ascii="Times New Roman" w:hAnsi="Times New Roman"/>
          <w:szCs w:val="24"/>
        </w:rPr>
        <w:tab/>
        <w:t>THEREFORE,</w:t>
      </w:r>
    </w:p>
    <w:p w:rsidR="008D141C" w:rsidRPr="009E4BE5" w:rsidRDefault="008D141C" w:rsidP="008D141C">
      <w:pPr>
        <w:spacing w:line="360" w:lineRule="auto"/>
        <w:rPr>
          <w:rFonts w:ascii="Times New Roman" w:hAnsi="Times New Roman"/>
          <w:szCs w:val="24"/>
        </w:rPr>
      </w:pPr>
    </w:p>
    <w:p w:rsidR="008D141C" w:rsidRPr="009E4BE5" w:rsidRDefault="008D141C" w:rsidP="008D141C">
      <w:pPr>
        <w:spacing w:line="360" w:lineRule="auto"/>
        <w:rPr>
          <w:rFonts w:ascii="Times New Roman" w:hAnsi="Times New Roman"/>
          <w:szCs w:val="24"/>
        </w:rPr>
      </w:pPr>
      <w:r w:rsidRPr="009E4BE5">
        <w:rPr>
          <w:rFonts w:ascii="Times New Roman" w:hAnsi="Times New Roman"/>
          <w:szCs w:val="24"/>
        </w:rPr>
        <w:tab/>
      </w:r>
      <w:r w:rsidRPr="009E4BE5">
        <w:rPr>
          <w:rFonts w:ascii="Times New Roman" w:hAnsi="Times New Roman"/>
          <w:szCs w:val="24"/>
        </w:rPr>
        <w:tab/>
        <w:t>IT IS ORDERED:</w:t>
      </w:r>
    </w:p>
    <w:p w:rsidR="00FA5CFC" w:rsidRPr="00FA5CFC" w:rsidRDefault="00FA5CFC" w:rsidP="00FA5CFC">
      <w:pPr>
        <w:widowControl/>
        <w:spacing w:line="360" w:lineRule="auto"/>
        <w:ind w:firstLine="1440"/>
        <w:rPr>
          <w:rFonts w:ascii="Times New Roman" w:hAnsi="Times New Roman"/>
          <w:szCs w:val="24"/>
        </w:rPr>
      </w:pPr>
    </w:p>
    <w:p w:rsidR="00FA5CFC" w:rsidRPr="00FA5CFC" w:rsidRDefault="00FA5CFC" w:rsidP="00FA5CFC">
      <w:pPr>
        <w:widowControl/>
        <w:spacing w:line="360" w:lineRule="auto"/>
        <w:ind w:firstLine="1440"/>
        <w:rPr>
          <w:rFonts w:ascii="Times New Roman" w:hAnsi="Times New Roman"/>
          <w:szCs w:val="24"/>
        </w:rPr>
      </w:pPr>
      <w:r w:rsidRPr="00FA5CFC">
        <w:rPr>
          <w:rFonts w:ascii="Times New Roman" w:hAnsi="Times New Roman"/>
          <w:szCs w:val="24"/>
        </w:rPr>
        <w:t>1.</w:t>
      </w:r>
      <w:r w:rsidRPr="00FA5CFC">
        <w:rPr>
          <w:rFonts w:ascii="Times New Roman" w:hAnsi="Times New Roman"/>
          <w:szCs w:val="24"/>
        </w:rPr>
        <w:tab/>
        <w:t xml:space="preserve">That the complaint of </w:t>
      </w:r>
      <w:r>
        <w:rPr>
          <w:rFonts w:ascii="Times New Roman" w:hAnsi="Times New Roman"/>
          <w:szCs w:val="24"/>
        </w:rPr>
        <w:t xml:space="preserve">Obioma Iro-Nwokeukwu v. Philadelphia Gas Works </w:t>
      </w:r>
      <w:r w:rsidRPr="00FA5CFC">
        <w:rPr>
          <w:rFonts w:ascii="Times New Roman" w:hAnsi="Times New Roman"/>
          <w:szCs w:val="24"/>
        </w:rPr>
        <w:t>at Docket No. C-201</w:t>
      </w:r>
      <w:r>
        <w:rPr>
          <w:rFonts w:ascii="Times New Roman" w:hAnsi="Times New Roman"/>
          <w:szCs w:val="24"/>
        </w:rPr>
        <w:t>1</w:t>
      </w:r>
      <w:r w:rsidRPr="00FA5CFC">
        <w:rPr>
          <w:rFonts w:ascii="Times New Roman" w:hAnsi="Times New Roman"/>
          <w:szCs w:val="24"/>
        </w:rPr>
        <w:t>-2</w:t>
      </w:r>
      <w:r>
        <w:rPr>
          <w:rFonts w:ascii="Times New Roman" w:hAnsi="Times New Roman"/>
          <w:szCs w:val="24"/>
        </w:rPr>
        <w:t>2</w:t>
      </w:r>
      <w:r w:rsidRPr="00FA5CFC">
        <w:rPr>
          <w:rFonts w:ascii="Times New Roman" w:hAnsi="Times New Roman"/>
          <w:szCs w:val="24"/>
        </w:rPr>
        <w:t>47</w:t>
      </w:r>
      <w:r w:rsidR="00DD750F">
        <w:rPr>
          <w:rFonts w:ascii="Times New Roman" w:hAnsi="Times New Roman"/>
          <w:szCs w:val="24"/>
        </w:rPr>
        <w:t>079</w:t>
      </w:r>
      <w:r w:rsidRPr="00FA5CFC">
        <w:rPr>
          <w:rFonts w:ascii="Times New Roman" w:hAnsi="Times New Roman"/>
          <w:szCs w:val="24"/>
        </w:rPr>
        <w:t xml:space="preserve"> is dismissed for </w:t>
      </w:r>
      <w:r w:rsidR="00DD750F">
        <w:rPr>
          <w:rFonts w:ascii="Times New Roman" w:hAnsi="Times New Roman"/>
          <w:szCs w:val="24"/>
        </w:rPr>
        <w:t xml:space="preserve">Complainant’s </w:t>
      </w:r>
      <w:r w:rsidRPr="00FA5CFC">
        <w:rPr>
          <w:rFonts w:ascii="Times New Roman" w:hAnsi="Times New Roman"/>
          <w:szCs w:val="24"/>
        </w:rPr>
        <w:t>failure to carry he</w:t>
      </w:r>
      <w:r w:rsidR="00DD750F">
        <w:rPr>
          <w:rFonts w:ascii="Times New Roman" w:hAnsi="Times New Roman"/>
          <w:szCs w:val="24"/>
        </w:rPr>
        <w:t>r</w:t>
      </w:r>
      <w:r w:rsidRPr="00FA5CFC">
        <w:rPr>
          <w:rFonts w:ascii="Times New Roman" w:hAnsi="Times New Roman"/>
          <w:szCs w:val="24"/>
        </w:rPr>
        <w:t xml:space="preserve"> burden of proof.</w:t>
      </w:r>
    </w:p>
    <w:p w:rsidR="00FA5CFC" w:rsidRPr="00FA5CFC" w:rsidRDefault="00FA5CFC" w:rsidP="00FA5CFC">
      <w:pPr>
        <w:widowControl/>
        <w:spacing w:line="360" w:lineRule="auto"/>
        <w:ind w:firstLine="1440"/>
        <w:rPr>
          <w:rFonts w:ascii="Times New Roman" w:hAnsi="Times New Roman"/>
          <w:szCs w:val="24"/>
        </w:rPr>
      </w:pPr>
    </w:p>
    <w:p w:rsidR="00FA5CFC" w:rsidRPr="00FA5CFC" w:rsidRDefault="00FA5CFC" w:rsidP="00FA5CFC">
      <w:pPr>
        <w:widowControl/>
        <w:spacing w:line="360" w:lineRule="auto"/>
        <w:ind w:firstLine="1440"/>
        <w:rPr>
          <w:rFonts w:ascii="Times New Roman" w:hAnsi="Times New Roman"/>
          <w:szCs w:val="24"/>
        </w:rPr>
      </w:pPr>
      <w:r w:rsidRPr="00FA5CFC">
        <w:rPr>
          <w:rFonts w:ascii="Times New Roman" w:hAnsi="Times New Roman"/>
          <w:szCs w:val="24"/>
        </w:rPr>
        <w:t>2.</w:t>
      </w:r>
      <w:r w:rsidRPr="00FA5CFC">
        <w:rPr>
          <w:rFonts w:ascii="Times New Roman" w:hAnsi="Times New Roman"/>
          <w:szCs w:val="24"/>
        </w:rPr>
        <w:tab/>
        <w:t>That the Secretary’s Bureau shall mark Docket No. C-201</w:t>
      </w:r>
      <w:r w:rsidR="00DD750F">
        <w:rPr>
          <w:rFonts w:ascii="Times New Roman" w:hAnsi="Times New Roman"/>
          <w:szCs w:val="24"/>
        </w:rPr>
        <w:t>1</w:t>
      </w:r>
      <w:r w:rsidRPr="00FA5CFC">
        <w:rPr>
          <w:rFonts w:ascii="Times New Roman" w:hAnsi="Times New Roman"/>
          <w:szCs w:val="24"/>
        </w:rPr>
        <w:t>-2</w:t>
      </w:r>
      <w:r w:rsidR="00DD750F">
        <w:rPr>
          <w:rFonts w:ascii="Times New Roman" w:hAnsi="Times New Roman"/>
          <w:szCs w:val="24"/>
        </w:rPr>
        <w:t>2</w:t>
      </w:r>
      <w:r w:rsidRPr="00FA5CFC">
        <w:rPr>
          <w:rFonts w:ascii="Times New Roman" w:hAnsi="Times New Roman"/>
          <w:szCs w:val="24"/>
        </w:rPr>
        <w:t>47</w:t>
      </w:r>
      <w:r w:rsidR="00DD750F">
        <w:rPr>
          <w:rFonts w:ascii="Times New Roman" w:hAnsi="Times New Roman"/>
          <w:szCs w:val="24"/>
        </w:rPr>
        <w:t>079</w:t>
      </w:r>
      <w:r w:rsidRPr="00FA5CFC">
        <w:rPr>
          <w:rFonts w:ascii="Times New Roman" w:hAnsi="Times New Roman"/>
          <w:szCs w:val="24"/>
        </w:rPr>
        <w:t xml:space="preserve"> closed.</w:t>
      </w:r>
    </w:p>
    <w:p w:rsidR="00FA5CFC" w:rsidRPr="00FA5CFC" w:rsidRDefault="00FA5CFC" w:rsidP="00FA5CFC">
      <w:pPr>
        <w:widowControl/>
        <w:tabs>
          <w:tab w:val="left" w:pos="0"/>
        </w:tabs>
        <w:jc w:val="both"/>
        <w:rPr>
          <w:rFonts w:ascii="Times New Roman" w:eastAsia="Calibri" w:hAnsi="Times New Roman"/>
          <w:snapToGrid/>
          <w:szCs w:val="24"/>
        </w:rPr>
      </w:pPr>
    </w:p>
    <w:p w:rsidR="00FA5CFC" w:rsidRDefault="00FA5CFC" w:rsidP="00FA5CFC">
      <w:pPr>
        <w:widowControl/>
        <w:tabs>
          <w:tab w:val="left" w:pos="0"/>
        </w:tabs>
        <w:jc w:val="both"/>
        <w:rPr>
          <w:rFonts w:ascii="Times New Roman" w:eastAsia="Calibri" w:hAnsi="Times New Roman"/>
          <w:snapToGrid/>
          <w:szCs w:val="24"/>
        </w:rPr>
      </w:pPr>
    </w:p>
    <w:p w:rsidR="004E23F3" w:rsidRPr="00FA5CFC" w:rsidRDefault="004E23F3" w:rsidP="00FA5CFC">
      <w:pPr>
        <w:widowControl/>
        <w:tabs>
          <w:tab w:val="left" w:pos="0"/>
        </w:tabs>
        <w:jc w:val="both"/>
        <w:rPr>
          <w:rFonts w:ascii="Times New Roman" w:eastAsia="Calibri" w:hAnsi="Times New Roman"/>
          <w:snapToGrid/>
          <w:szCs w:val="24"/>
        </w:rPr>
      </w:pPr>
    </w:p>
    <w:p w:rsidR="00FA5CFC" w:rsidRPr="00FA5CFC" w:rsidRDefault="00FA5CFC" w:rsidP="00FA5CFC">
      <w:pPr>
        <w:widowControl/>
        <w:tabs>
          <w:tab w:val="left" w:pos="0"/>
        </w:tabs>
        <w:jc w:val="both"/>
        <w:rPr>
          <w:rFonts w:ascii="Times New Roman" w:eastAsia="Calibri" w:hAnsi="Times New Roman"/>
          <w:snapToGrid/>
          <w:szCs w:val="24"/>
          <w:u w:val="single"/>
        </w:rPr>
      </w:pPr>
      <w:r w:rsidRPr="00FA5CFC">
        <w:rPr>
          <w:rFonts w:ascii="Times New Roman" w:eastAsia="Calibri" w:hAnsi="Times New Roman"/>
          <w:snapToGrid/>
          <w:szCs w:val="24"/>
        </w:rPr>
        <w:t xml:space="preserve">Date:  </w:t>
      </w:r>
      <w:r w:rsidR="00DD750F" w:rsidRPr="00DD750F">
        <w:rPr>
          <w:rFonts w:ascii="Times New Roman" w:eastAsia="Calibri" w:hAnsi="Times New Roman"/>
          <w:snapToGrid/>
          <w:szCs w:val="24"/>
          <w:u w:val="single"/>
        </w:rPr>
        <w:t xml:space="preserve">January </w:t>
      </w:r>
      <w:r w:rsidR="00B917CC">
        <w:rPr>
          <w:rFonts w:ascii="Times New Roman" w:eastAsia="Calibri" w:hAnsi="Times New Roman"/>
          <w:snapToGrid/>
          <w:szCs w:val="24"/>
          <w:u w:val="single"/>
        </w:rPr>
        <w:t>20</w:t>
      </w:r>
      <w:r w:rsidRPr="00FA5CFC">
        <w:rPr>
          <w:rFonts w:ascii="Times New Roman" w:eastAsia="Calibri" w:hAnsi="Times New Roman"/>
          <w:snapToGrid/>
          <w:szCs w:val="24"/>
          <w:u w:val="single"/>
        </w:rPr>
        <w:t>, 201</w:t>
      </w:r>
      <w:r w:rsidR="00DD750F">
        <w:rPr>
          <w:rFonts w:ascii="Times New Roman" w:eastAsia="Calibri" w:hAnsi="Times New Roman"/>
          <w:snapToGrid/>
          <w:szCs w:val="24"/>
          <w:u w:val="single"/>
        </w:rPr>
        <w:t>5</w:t>
      </w:r>
      <w:r w:rsidRPr="00FA5CFC">
        <w:rPr>
          <w:rFonts w:ascii="Times New Roman" w:eastAsia="Calibri" w:hAnsi="Times New Roman"/>
          <w:snapToGrid/>
          <w:szCs w:val="24"/>
        </w:rPr>
        <w:tab/>
      </w:r>
      <w:r w:rsidRPr="00FA5CFC">
        <w:rPr>
          <w:rFonts w:ascii="Times New Roman" w:eastAsia="Calibri" w:hAnsi="Times New Roman"/>
          <w:snapToGrid/>
          <w:szCs w:val="24"/>
        </w:rPr>
        <w:tab/>
      </w:r>
      <w:r w:rsidRPr="00FA5CFC">
        <w:rPr>
          <w:rFonts w:ascii="Times New Roman" w:eastAsia="Calibri" w:hAnsi="Times New Roman"/>
          <w:snapToGrid/>
          <w:szCs w:val="24"/>
        </w:rPr>
        <w:tab/>
      </w:r>
      <w:r w:rsidRPr="00FA5CFC">
        <w:rPr>
          <w:rFonts w:ascii="Times New Roman" w:eastAsia="Calibri" w:hAnsi="Times New Roman"/>
          <w:snapToGrid/>
          <w:szCs w:val="24"/>
        </w:rPr>
        <w:tab/>
      </w:r>
      <w:r w:rsidR="007234A8">
        <w:rPr>
          <w:rFonts w:ascii="Times New Roman" w:eastAsia="Calibri" w:hAnsi="Times New Roman"/>
          <w:snapToGrid/>
          <w:szCs w:val="24"/>
        </w:rPr>
        <w:tab/>
      </w:r>
      <w:r w:rsidRPr="00FA5CFC">
        <w:rPr>
          <w:rFonts w:ascii="Times New Roman" w:eastAsia="Calibri" w:hAnsi="Times New Roman"/>
          <w:snapToGrid/>
          <w:szCs w:val="24"/>
          <w:u w:val="single"/>
        </w:rPr>
        <w:tab/>
      </w:r>
      <w:r w:rsidRPr="00FA5CFC">
        <w:rPr>
          <w:rFonts w:ascii="Times New Roman" w:eastAsia="Calibri" w:hAnsi="Times New Roman"/>
          <w:snapToGrid/>
          <w:szCs w:val="24"/>
          <w:u w:val="single"/>
        </w:rPr>
        <w:tab/>
        <w:t>/s/</w:t>
      </w:r>
      <w:r w:rsidRPr="00FA5CFC">
        <w:rPr>
          <w:rFonts w:ascii="Times New Roman" w:eastAsia="Calibri" w:hAnsi="Times New Roman"/>
          <w:snapToGrid/>
          <w:szCs w:val="24"/>
          <w:u w:val="single"/>
        </w:rPr>
        <w:tab/>
      </w:r>
      <w:r w:rsidRPr="00FA5CFC">
        <w:rPr>
          <w:rFonts w:ascii="Times New Roman" w:eastAsia="Calibri" w:hAnsi="Times New Roman"/>
          <w:snapToGrid/>
          <w:szCs w:val="24"/>
          <w:u w:val="single"/>
        </w:rPr>
        <w:tab/>
      </w:r>
      <w:r w:rsidRPr="00FA5CFC">
        <w:rPr>
          <w:rFonts w:ascii="Times New Roman" w:eastAsia="Calibri" w:hAnsi="Times New Roman"/>
          <w:snapToGrid/>
          <w:szCs w:val="24"/>
          <w:u w:val="single"/>
        </w:rPr>
        <w:tab/>
      </w:r>
    </w:p>
    <w:p w:rsidR="00FA5CFC" w:rsidRPr="00FA5CFC" w:rsidRDefault="00FA5CFC" w:rsidP="00FA5CFC">
      <w:pPr>
        <w:widowControl/>
        <w:tabs>
          <w:tab w:val="left" w:pos="0"/>
        </w:tabs>
        <w:jc w:val="both"/>
        <w:rPr>
          <w:rFonts w:ascii="Times New Roman" w:eastAsia="Calibri" w:hAnsi="Times New Roman"/>
          <w:snapToGrid/>
          <w:szCs w:val="24"/>
        </w:rPr>
      </w:pPr>
      <w:r w:rsidRPr="00FA5CFC">
        <w:rPr>
          <w:rFonts w:ascii="Times New Roman" w:eastAsia="Calibri" w:hAnsi="Times New Roman"/>
          <w:snapToGrid/>
          <w:szCs w:val="24"/>
        </w:rPr>
        <w:tab/>
      </w:r>
      <w:r w:rsidRPr="00FA5CFC">
        <w:rPr>
          <w:rFonts w:ascii="Times New Roman" w:eastAsia="Calibri" w:hAnsi="Times New Roman"/>
          <w:snapToGrid/>
          <w:szCs w:val="24"/>
        </w:rPr>
        <w:tab/>
      </w:r>
      <w:r w:rsidRPr="00FA5CFC">
        <w:rPr>
          <w:rFonts w:ascii="Times New Roman" w:eastAsia="Calibri" w:hAnsi="Times New Roman"/>
          <w:snapToGrid/>
          <w:szCs w:val="24"/>
        </w:rPr>
        <w:tab/>
      </w:r>
      <w:r w:rsidRPr="00FA5CFC">
        <w:rPr>
          <w:rFonts w:ascii="Times New Roman" w:eastAsia="Calibri" w:hAnsi="Times New Roman"/>
          <w:snapToGrid/>
          <w:szCs w:val="24"/>
        </w:rPr>
        <w:tab/>
      </w:r>
      <w:r w:rsidRPr="00FA5CFC">
        <w:rPr>
          <w:rFonts w:ascii="Times New Roman" w:eastAsia="Calibri" w:hAnsi="Times New Roman"/>
          <w:snapToGrid/>
          <w:szCs w:val="24"/>
        </w:rPr>
        <w:tab/>
      </w:r>
      <w:r w:rsidRPr="00FA5CFC">
        <w:rPr>
          <w:rFonts w:ascii="Times New Roman" w:eastAsia="Calibri" w:hAnsi="Times New Roman"/>
          <w:snapToGrid/>
          <w:szCs w:val="24"/>
        </w:rPr>
        <w:tab/>
      </w:r>
      <w:r w:rsidRPr="00FA5CFC">
        <w:rPr>
          <w:rFonts w:ascii="Times New Roman" w:eastAsia="Calibri" w:hAnsi="Times New Roman"/>
          <w:snapToGrid/>
          <w:szCs w:val="24"/>
        </w:rPr>
        <w:tab/>
      </w:r>
      <w:r w:rsidR="007234A8">
        <w:rPr>
          <w:rFonts w:ascii="Times New Roman" w:eastAsia="Calibri" w:hAnsi="Times New Roman"/>
          <w:snapToGrid/>
          <w:szCs w:val="24"/>
        </w:rPr>
        <w:tab/>
      </w:r>
      <w:r w:rsidRPr="00FA5CFC">
        <w:rPr>
          <w:rFonts w:ascii="Times New Roman" w:eastAsia="Calibri" w:hAnsi="Times New Roman"/>
          <w:snapToGrid/>
          <w:szCs w:val="24"/>
        </w:rPr>
        <w:t>Conrad A. Johnson</w:t>
      </w:r>
    </w:p>
    <w:p w:rsidR="00FA5CFC" w:rsidRPr="00FA5CFC" w:rsidRDefault="00FA5CFC" w:rsidP="00FA5CFC">
      <w:pPr>
        <w:widowControl/>
        <w:tabs>
          <w:tab w:val="left" w:pos="0"/>
        </w:tabs>
        <w:jc w:val="both"/>
        <w:rPr>
          <w:rFonts w:ascii="Times New Roman" w:eastAsia="Calibri" w:hAnsi="Times New Roman"/>
          <w:snapToGrid/>
          <w:szCs w:val="24"/>
        </w:rPr>
      </w:pPr>
      <w:r w:rsidRPr="00FA5CFC">
        <w:rPr>
          <w:rFonts w:ascii="Times New Roman" w:eastAsia="Calibri" w:hAnsi="Times New Roman"/>
          <w:snapToGrid/>
          <w:szCs w:val="24"/>
        </w:rPr>
        <w:tab/>
      </w:r>
      <w:r w:rsidRPr="00FA5CFC">
        <w:rPr>
          <w:rFonts w:ascii="Times New Roman" w:eastAsia="Calibri" w:hAnsi="Times New Roman"/>
          <w:snapToGrid/>
          <w:szCs w:val="24"/>
        </w:rPr>
        <w:tab/>
      </w:r>
      <w:r w:rsidRPr="00FA5CFC">
        <w:rPr>
          <w:rFonts w:ascii="Times New Roman" w:eastAsia="Calibri" w:hAnsi="Times New Roman"/>
          <w:snapToGrid/>
          <w:szCs w:val="24"/>
        </w:rPr>
        <w:tab/>
      </w:r>
      <w:r w:rsidRPr="00FA5CFC">
        <w:rPr>
          <w:rFonts w:ascii="Times New Roman" w:eastAsia="Calibri" w:hAnsi="Times New Roman"/>
          <w:snapToGrid/>
          <w:szCs w:val="24"/>
        </w:rPr>
        <w:tab/>
      </w:r>
      <w:r w:rsidRPr="00FA5CFC">
        <w:rPr>
          <w:rFonts w:ascii="Times New Roman" w:eastAsia="Calibri" w:hAnsi="Times New Roman"/>
          <w:snapToGrid/>
          <w:szCs w:val="24"/>
        </w:rPr>
        <w:tab/>
      </w:r>
      <w:r w:rsidRPr="00FA5CFC">
        <w:rPr>
          <w:rFonts w:ascii="Times New Roman" w:eastAsia="Calibri" w:hAnsi="Times New Roman"/>
          <w:snapToGrid/>
          <w:szCs w:val="24"/>
        </w:rPr>
        <w:tab/>
      </w:r>
      <w:r w:rsidRPr="00FA5CFC">
        <w:rPr>
          <w:rFonts w:ascii="Times New Roman" w:eastAsia="Calibri" w:hAnsi="Times New Roman"/>
          <w:snapToGrid/>
          <w:szCs w:val="24"/>
        </w:rPr>
        <w:tab/>
      </w:r>
      <w:r w:rsidR="007234A8">
        <w:rPr>
          <w:rFonts w:ascii="Times New Roman" w:eastAsia="Calibri" w:hAnsi="Times New Roman"/>
          <w:snapToGrid/>
          <w:szCs w:val="24"/>
        </w:rPr>
        <w:tab/>
      </w:r>
      <w:r w:rsidRPr="00FA5CFC">
        <w:rPr>
          <w:rFonts w:ascii="Times New Roman" w:eastAsia="Calibri" w:hAnsi="Times New Roman"/>
          <w:snapToGrid/>
          <w:szCs w:val="24"/>
        </w:rPr>
        <w:t>Administrative Law Judge</w:t>
      </w:r>
    </w:p>
    <w:p w:rsidR="00FA5CFC" w:rsidRDefault="00FA5CFC" w:rsidP="008D141C">
      <w:pPr>
        <w:spacing w:line="360" w:lineRule="auto"/>
        <w:rPr>
          <w:rFonts w:ascii="Times New Roman" w:hAnsi="Times New Roman"/>
          <w:szCs w:val="24"/>
        </w:rPr>
      </w:pPr>
    </w:p>
    <w:p w:rsidR="008D141C" w:rsidRDefault="008D141C" w:rsidP="008D141C">
      <w:pPr>
        <w:spacing w:line="360" w:lineRule="auto"/>
        <w:rPr>
          <w:rFonts w:ascii="Times New Roman" w:hAnsi="Times New Roman"/>
          <w:szCs w:val="24"/>
        </w:rPr>
      </w:pPr>
    </w:p>
    <w:p w:rsidR="008D141C" w:rsidRDefault="008D141C" w:rsidP="008D141C">
      <w:pPr>
        <w:spacing w:line="360" w:lineRule="auto"/>
        <w:rPr>
          <w:rFonts w:ascii="Times New Roman" w:hAnsi="Times New Roman"/>
          <w:szCs w:val="24"/>
        </w:rPr>
      </w:pPr>
    </w:p>
    <w:p w:rsidR="008D141C" w:rsidRPr="009E4BE5" w:rsidRDefault="008D141C" w:rsidP="008D141C">
      <w:pPr>
        <w:spacing w:line="360" w:lineRule="auto"/>
        <w:rPr>
          <w:rFonts w:ascii="Times New Roman" w:hAnsi="Times New Roman"/>
          <w:szCs w:val="24"/>
        </w:rPr>
      </w:pPr>
    </w:p>
    <w:sectPr w:rsidR="008D141C" w:rsidRPr="009E4BE5" w:rsidSect="003609EB">
      <w:footerReference w:type="default" r:id="rId9"/>
      <w:footerReference w:type="first" r:id="rId10"/>
      <w:endnotePr>
        <w:numFmt w:val="decimal"/>
      </w:endnotePr>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C7D" w:rsidRDefault="00420C7D">
      <w:r>
        <w:separator/>
      </w:r>
    </w:p>
  </w:endnote>
  <w:endnote w:type="continuationSeparator" w:id="0">
    <w:p w:rsidR="00420C7D" w:rsidRDefault="0042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18E" w:rsidRPr="000A3F04" w:rsidRDefault="00D3018E">
    <w:pPr>
      <w:pStyle w:val="Footer"/>
      <w:jc w:val="center"/>
      <w:rPr>
        <w:sz w:val="22"/>
        <w:szCs w:val="22"/>
      </w:rPr>
    </w:pPr>
    <w:r w:rsidRPr="000A3F04">
      <w:rPr>
        <w:rFonts w:ascii="Times New Roman" w:hAnsi="Times New Roman"/>
        <w:sz w:val="22"/>
        <w:szCs w:val="22"/>
      </w:rPr>
      <w:fldChar w:fldCharType="begin"/>
    </w:r>
    <w:r w:rsidRPr="000A3F04">
      <w:rPr>
        <w:rFonts w:ascii="Times New Roman" w:hAnsi="Times New Roman"/>
        <w:sz w:val="22"/>
        <w:szCs w:val="22"/>
      </w:rPr>
      <w:instrText xml:space="preserve"> PAGE   \* MERGEFORMAT </w:instrText>
    </w:r>
    <w:r w:rsidRPr="000A3F04">
      <w:rPr>
        <w:rFonts w:ascii="Times New Roman" w:hAnsi="Times New Roman"/>
        <w:sz w:val="22"/>
        <w:szCs w:val="22"/>
      </w:rPr>
      <w:fldChar w:fldCharType="separate"/>
    </w:r>
    <w:r w:rsidR="00FC46D0">
      <w:rPr>
        <w:rFonts w:ascii="Times New Roman" w:hAnsi="Times New Roman"/>
        <w:noProof/>
        <w:sz w:val="22"/>
        <w:szCs w:val="22"/>
      </w:rPr>
      <w:t>16</w:t>
    </w:r>
    <w:r w:rsidRPr="000A3F04">
      <w:rPr>
        <w:rFonts w:ascii="Times New Roman" w:hAnsi="Times New Roman"/>
        <w:sz w:val="22"/>
        <w:szCs w:val="22"/>
      </w:rPr>
      <w:fldChar w:fldCharType="end"/>
    </w:r>
  </w:p>
  <w:p w:rsidR="00D3018E" w:rsidRDefault="00D301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18E" w:rsidRDefault="00D3018E">
    <w:pPr>
      <w:pStyle w:val="Footer"/>
      <w:jc w:val="center"/>
    </w:pPr>
  </w:p>
  <w:p w:rsidR="00D3018E" w:rsidRDefault="00D301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C7D" w:rsidRDefault="00420C7D">
      <w:r>
        <w:separator/>
      </w:r>
    </w:p>
  </w:footnote>
  <w:footnote w:type="continuationSeparator" w:id="0">
    <w:p w:rsidR="00420C7D" w:rsidRDefault="00420C7D">
      <w:r>
        <w:continuationSeparator/>
      </w:r>
    </w:p>
  </w:footnote>
  <w:footnote w:id="1">
    <w:p w:rsidR="00D3018E" w:rsidRPr="000948D0" w:rsidRDefault="00D3018E">
      <w:pPr>
        <w:pStyle w:val="FootnoteText"/>
        <w:rPr>
          <w:rFonts w:ascii="Times New Roman" w:hAnsi="Times New Roman"/>
          <w:vertAlign w:val="superscript"/>
        </w:rPr>
      </w:pPr>
      <w:r>
        <w:rPr>
          <w:rFonts w:ascii="Times New Roman" w:hAnsi="Times New Roman"/>
          <w:vertAlign w:val="superscript"/>
        </w:rPr>
        <w:tab/>
      </w:r>
      <w:r w:rsidRPr="003F3463">
        <w:rPr>
          <w:rStyle w:val="FootnoteReference"/>
          <w:rFonts w:ascii="Times New Roman" w:hAnsi="Times New Roman"/>
          <w:vertAlign w:val="superscript"/>
        </w:rPr>
        <w:footnoteRef/>
      </w:r>
      <w:r w:rsidRPr="000948D0">
        <w:rPr>
          <w:rFonts w:ascii="Times New Roman" w:hAnsi="Times New Roman"/>
        </w:rPr>
        <w:tab/>
      </w:r>
      <w:r>
        <w:rPr>
          <w:rFonts w:ascii="Times New Roman" w:hAnsi="Times New Roman"/>
          <w:snapToGrid/>
          <w:szCs w:val="24"/>
        </w:rPr>
        <w:t xml:space="preserve">See </w:t>
      </w:r>
      <w:r w:rsidRPr="009A5B37">
        <w:rPr>
          <w:rFonts w:ascii="Times New Roman" w:hAnsi="Times New Roman"/>
          <w:i/>
          <w:snapToGrid/>
          <w:szCs w:val="24"/>
        </w:rPr>
        <w:t xml:space="preserve">Cornelia </w:t>
      </w:r>
      <w:proofErr w:type="spellStart"/>
      <w:r w:rsidRPr="009A5B37">
        <w:rPr>
          <w:rFonts w:ascii="Times New Roman" w:hAnsi="Times New Roman"/>
          <w:i/>
          <w:snapToGrid/>
          <w:szCs w:val="24"/>
        </w:rPr>
        <w:t>Strowder</w:t>
      </w:r>
      <w:proofErr w:type="spellEnd"/>
      <w:r w:rsidRPr="009A5B37">
        <w:rPr>
          <w:rFonts w:ascii="Times New Roman" w:hAnsi="Times New Roman"/>
          <w:i/>
          <w:snapToGrid/>
          <w:szCs w:val="24"/>
        </w:rPr>
        <w:t xml:space="preserve"> v. Philadelphia Gas Works</w:t>
      </w:r>
      <w:r w:rsidRPr="009A5B37">
        <w:rPr>
          <w:rFonts w:ascii="Times New Roman" w:hAnsi="Times New Roman"/>
          <w:snapToGrid/>
          <w:szCs w:val="24"/>
        </w:rPr>
        <w:t>, 2002 WL 32069511 (2002)</w:t>
      </w:r>
      <w:r>
        <w:rPr>
          <w:rFonts w:ascii="Times New Roman" w:hAnsi="Times New Roman"/>
          <w:snapToGrid/>
          <w:szCs w:val="24"/>
        </w:rPr>
        <w:t xml:space="preserve"> and 66 Pa.C.S § 1414(a).</w:t>
      </w:r>
      <w:r>
        <w:rPr>
          <w:rFonts w:ascii="Times New Roman" w:hAnsi="Times New Roman"/>
          <w:vertAlign w:val="superscript"/>
        </w:rPr>
        <w:tab/>
      </w:r>
      <w:r>
        <w:rPr>
          <w:rFonts w:ascii="Times New Roman" w:hAnsi="Times New Roman"/>
        </w:rPr>
        <w:t xml:space="preserve">  </w:t>
      </w:r>
      <w:r w:rsidR="00F90719">
        <w:rPr>
          <w:rFonts w:ascii="Times New Roman" w:hAnsi="Times New Roman"/>
        </w:rPr>
        <w:t>For a complete analysis of the Preliminary O</w:t>
      </w:r>
      <w:r>
        <w:rPr>
          <w:rFonts w:ascii="Times New Roman" w:hAnsi="Times New Roman"/>
        </w:rPr>
        <w:t>bjections the reader is directed to the discussion set forth in the December 28, 2011 Order.</w:t>
      </w:r>
      <w:r w:rsidRPr="000948D0">
        <w:rPr>
          <w:rFonts w:ascii="Times New Roman" w:hAnsi="Times New Roman"/>
          <w:vertAlign w:val="superscript"/>
        </w:rPr>
        <w:tab/>
      </w:r>
      <w:r w:rsidRPr="000948D0">
        <w:rPr>
          <w:rFonts w:ascii="Times New Roman" w:hAnsi="Times New Roman"/>
          <w:vertAlign w:val="superscript"/>
        </w:rPr>
        <w:tab/>
        <w:t xml:space="preserve"> </w:t>
      </w:r>
    </w:p>
  </w:footnote>
  <w:footnote w:id="2">
    <w:p w:rsidR="00D3018E" w:rsidRDefault="00D3018E">
      <w:pPr>
        <w:pStyle w:val="FootnoteText"/>
        <w:rPr>
          <w:rFonts w:ascii="Times New Roman" w:hAnsi="Times New Roman"/>
          <w:vertAlign w:val="superscript"/>
        </w:rPr>
      </w:pPr>
    </w:p>
    <w:p w:rsidR="00D3018E" w:rsidRDefault="00D3018E" w:rsidP="003F3463">
      <w:pPr>
        <w:pStyle w:val="FootnoteText"/>
        <w:rPr>
          <w:rFonts w:ascii="Times New Roman" w:hAnsi="Times New Roman"/>
        </w:rPr>
      </w:pPr>
      <w:r>
        <w:rPr>
          <w:rFonts w:ascii="Times New Roman" w:hAnsi="Times New Roman"/>
          <w:vertAlign w:val="superscript"/>
        </w:rPr>
        <w:tab/>
      </w:r>
      <w:r w:rsidRPr="003F3463">
        <w:rPr>
          <w:rStyle w:val="FootnoteReference"/>
          <w:rFonts w:ascii="Times New Roman" w:hAnsi="Times New Roman"/>
          <w:vertAlign w:val="superscript"/>
        </w:rPr>
        <w:footnoteRef/>
      </w:r>
      <w:r w:rsidRPr="003F3463">
        <w:rPr>
          <w:rFonts w:ascii="Times New Roman" w:hAnsi="Times New Roman"/>
          <w:vertAlign w:val="superscript"/>
        </w:rPr>
        <w:t xml:space="preserve"> </w:t>
      </w:r>
      <w:r>
        <w:rPr>
          <w:rFonts w:ascii="Times New Roman" w:hAnsi="Times New Roman"/>
          <w:vertAlign w:val="superscript"/>
        </w:rPr>
        <w:tab/>
      </w:r>
      <w:r>
        <w:rPr>
          <w:rFonts w:ascii="Times New Roman" w:hAnsi="Times New Roman"/>
        </w:rPr>
        <w:t xml:space="preserve">Although the Commission lacks jurisdiction over the lien, the lien </w:t>
      </w:r>
      <w:r w:rsidR="00EF1B8F">
        <w:rPr>
          <w:rFonts w:ascii="Times New Roman" w:hAnsi="Times New Roman"/>
        </w:rPr>
        <w:t>is</w:t>
      </w:r>
      <w:r>
        <w:rPr>
          <w:rFonts w:ascii="Times New Roman" w:hAnsi="Times New Roman"/>
        </w:rPr>
        <w:t xml:space="preserve"> referenced and discussed in this decision but only for the purpose</w:t>
      </w:r>
      <w:r w:rsidR="00EF1B8F">
        <w:rPr>
          <w:rFonts w:ascii="Times New Roman" w:hAnsi="Times New Roman"/>
        </w:rPr>
        <w:t>s</w:t>
      </w:r>
      <w:r>
        <w:rPr>
          <w:rFonts w:ascii="Times New Roman" w:hAnsi="Times New Roman"/>
        </w:rPr>
        <w:t xml:space="preserve"> of clarity</w:t>
      </w:r>
      <w:r w:rsidR="00EF1B8F">
        <w:rPr>
          <w:rFonts w:ascii="Times New Roman" w:hAnsi="Times New Roman"/>
        </w:rPr>
        <w:t xml:space="preserve"> and coherency</w:t>
      </w:r>
      <w:r>
        <w:rPr>
          <w:rFonts w:ascii="Times New Roman" w:hAnsi="Times New Roman"/>
        </w:rPr>
        <w:t xml:space="preserve">. </w:t>
      </w:r>
    </w:p>
    <w:p w:rsidR="00D3018E" w:rsidRPr="003F3463" w:rsidRDefault="00D3018E">
      <w:pPr>
        <w:pStyle w:val="FootnoteText"/>
        <w:rPr>
          <w:rFonts w:ascii="Times New Roman" w:hAnsi="Times New Roman"/>
          <w:vertAlign w:val="superscript"/>
        </w:rPr>
      </w:pPr>
    </w:p>
  </w:footnote>
  <w:footnote w:id="3">
    <w:p w:rsidR="00D3018E" w:rsidRPr="00DA0963" w:rsidRDefault="00B3372A">
      <w:pPr>
        <w:pStyle w:val="FootnoteText"/>
        <w:rPr>
          <w:rFonts w:ascii="Times New Roman" w:hAnsi="Times New Roman"/>
        </w:rPr>
      </w:pPr>
      <w:r>
        <w:rPr>
          <w:rFonts w:ascii="Times New Roman" w:hAnsi="Times New Roman"/>
          <w:vertAlign w:val="superscript"/>
        </w:rPr>
        <w:tab/>
      </w:r>
      <w:r w:rsidR="00D3018E" w:rsidRPr="00DA0963">
        <w:rPr>
          <w:rStyle w:val="FootnoteReference"/>
          <w:rFonts w:ascii="Times New Roman" w:hAnsi="Times New Roman"/>
          <w:vertAlign w:val="superscript"/>
        </w:rPr>
        <w:footnoteRef/>
      </w:r>
      <w:r w:rsidR="00D3018E">
        <w:rPr>
          <w:rFonts w:ascii="Times New Roman" w:hAnsi="Times New Roman"/>
          <w:vertAlign w:val="superscript"/>
        </w:rPr>
        <w:tab/>
      </w:r>
      <w:r w:rsidR="00D3018E">
        <w:rPr>
          <w:rFonts w:ascii="Times New Roman" w:hAnsi="Times New Roman"/>
        </w:rPr>
        <w:t>Here, “going green” means taking steps to preserve the environment, i.e., reducing paper consumption and transitioning to electronic communications.</w:t>
      </w:r>
      <w:r w:rsidR="00D3018E">
        <w:rPr>
          <w:rFonts w:ascii="Times New Roman" w:hAnsi="Times New Roman"/>
          <w:vertAlign w:val="superscript"/>
        </w:rPr>
        <w:tab/>
      </w:r>
      <w:r w:rsidR="00D3018E" w:rsidRPr="00DA0963">
        <w:rPr>
          <w:rFonts w:ascii="Times New Roman" w:hAnsi="Times New Roman"/>
          <w:vertAlign w:val="superscript"/>
        </w:rPr>
        <w:t xml:space="preserve"> </w:t>
      </w:r>
    </w:p>
    <w:p w:rsidR="00D3018E" w:rsidRPr="00DA0963" w:rsidRDefault="00D3018E">
      <w:pPr>
        <w:pStyle w:val="FootnoteText"/>
        <w:rPr>
          <w:rFonts w:ascii="Times New Roman" w:hAnsi="Times New Roman"/>
        </w:rPr>
      </w:pPr>
      <w:r>
        <w:rPr>
          <w:rFonts w:ascii="Times New Roman" w:hAnsi="Times New Roman"/>
        </w:rPr>
        <w:tab/>
      </w:r>
    </w:p>
  </w:footnote>
  <w:footnote w:id="4">
    <w:p w:rsidR="00540FA6" w:rsidRDefault="00540FA6">
      <w:pPr>
        <w:pStyle w:val="FootnoteText"/>
        <w:rPr>
          <w:rFonts w:ascii="Times New Roman" w:hAnsi="Times New Roman"/>
          <w:vertAlign w:val="superscript"/>
        </w:rPr>
      </w:pPr>
    </w:p>
    <w:p w:rsidR="00631AFC" w:rsidRPr="00540FA6" w:rsidRDefault="00540FA6">
      <w:pPr>
        <w:pStyle w:val="FootnoteText"/>
        <w:rPr>
          <w:rFonts w:ascii="Times New Roman" w:hAnsi="Times New Roman"/>
        </w:rPr>
      </w:pPr>
      <w:r>
        <w:rPr>
          <w:rFonts w:ascii="Times New Roman" w:hAnsi="Times New Roman"/>
          <w:vertAlign w:val="superscript"/>
        </w:rPr>
        <w:tab/>
      </w:r>
      <w:r w:rsidR="00631AFC" w:rsidRPr="00540FA6">
        <w:rPr>
          <w:rStyle w:val="FootnoteReference"/>
          <w:rFonts w:ascii="Times New Roman" w:hAnsi="Times New Roman"/>
          <w:vertAlign w:val="superscript"/>
        </w:rPr>
        <w:footnoteRef/>
      </w:r>
      <w:r w:rsidR="00631AFC" w:rsidRPr="00540FA6">
        <w:rPr>
          <w:rFonts w:ascii="Times New Roman" w:hAnsi="Times New Roman"/>
          <w:vertAlign w:val="superscript"/>
        </w:rPr>
        <w:t xml:space="preserve"> </w:t>
      </w:r>
      <w:r>
        <w:rPr>
          <w:rFonts w:ascii="Times New Roman" w:hAnsi="Times New Roman"/>
        </w:rPr>
        <w:tab/>
      </w:r>
      <w:r w:rsidRPr="00BA36BA">
        <w:rPr>
          <w:rFonts w:ascii="Times New Roman" w:hAnsi="Times New Roman"/>
          <w:snapToGrid/>
          <w:szCs w:val="24"/>
        </w:rPr>
        <w:t>66 Pa.C.S. § 1501</w:t>
      </w:r>
      <w:r>
        <w:rPr>
          <w:rFonts w:ascii="Times New Roman" w:hAnsi="Times New Roman"/>
          <w:snapToGrid/>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32616"/>
    <w:multiLevelType w:val="hybridMultilevel"/>
    <w:tmpl w:val="A948A1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51039E"/>
    <w:multiLevelType w:val="hybridMultilevel"/>
    <w:tmpl w:val="95461C34"/>
    <w:lvl w:ilvl="0" w:tplc="B4105C1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C26"/>
    <w:rsid w:val="000007F4"/>
    <w:rsid w:val="00005554"/>
    <w:rsid w:val="000140E6"/>
    <w:rsid w:val="000163E6"/>
    <w:rsid w:val="00017788"/>
    <w:rsid w:val="00017A54"/>
    <w:rsid w:val="00017F04"/>
    <w:rsid w:val="00021C4E"/>
    <w:rsid w:val="00022D91"/>
    <w:rsid w:val="0002402F"/>
    <w:rsid w:val="00025764"/>
    <w:rsid w:val="00025D62"/>
    <w:rsid w:val="00025E8C"/>
    <w:rsid w:val="00030346"/>
    <w:rsid w:val="0003389F"/>
    <w:rsid w:val="000343BB"/>
    <w:rsid w:val="00034F9E"/>
    <w:rsid w:val="000422F5"/>
    <w:rsid w:val="00043657"/>
    <w:rsid w:val="00046471"/>
    <w:rsid w:val="00046FB1"/>
    <w:rsid w:val="00050E3F"/>
    <w:rsid w:val="00053C39"/>
    <w:rsid w:val="00055FE0"/>
    <w:rsid w:val="00065839"/>
    <w:rsid w:val="00065AF9"/>
    <w:rsid w:val="00081081"/>
    <w:rsid w:val="00084008"/>
    <w:rsid w:val="00085203"/>
    <w:rsid w:val="00085A47"/>
    <w:rsid w:val="000948D0"/>
    <w:rsid w:val="000958CF"/>
    <w:rsid w:val="000A1F2F"/>
    <w:rsid w:val="000A2BE9"/>
    <w:rsid w:val="000A3F04"/>
    <w:rsid w:val="000A5830"/>
    <w:rsid w:val="000A6822"/>
    <w:rsid w:val="000A6876"/>
    <w:rsid w:val="000B0F20"/>
    <w:rsid w:val="000B5106"/>
    <w:rsid w:val="000D199D"/>
    <w:rsid w:val="000D2988"/>
    <w:rsid w:val="000E109D"/>
    <w:rsid w:val="000E7145"/>
    <w:rsid w:val="000F1AB8"/>
    <w:rsid w:val="000F6907"/>
    <w:rsid w:val="00100B80"/>
    <w:rsid w:val="00103992"/>
    <w:rsid w:val="00107CA3"/>
    <w:rsid w:val="001112DF"/>
    <w:rsid w:val="0011130D"/>
    <w:rsid w:val="001144A5"/>
    <w:rsid w:val="00116A6F"/>
    <w:rsid w:val="00123CD5"/>
    <w:rsid w:val="001250CC"/>
    <w:rsid w:val="00126A99"/>
    <w:rsid w:val="00133EDB"/>
    <w:rsid w:val="001443AF"/>
    <w:rsid w:val="0014637F"/>
    <w:rsid w:val="00150906"/>
    <w:rsid w:val="0015261D"/>
    <w:rsid w:val="00152E05"/>
    <w:rsid w:val="00155250"/>
    <w:rsid w:val="00157516"/>
    <w:rsid w:val="00162F0A"/>
    <w:rsid w:val="00164770"/>
    <w:rsid w:val="001705F7"/>
    <w:rsid w:val="00180595"/>
    <w:rsid w:val="00180EEB"/>
    <w:rsid w:val="00182184"/>
    <w:rsid w:val="001834AB"/>
    <w:rsid w:val="001877EF"/>
    <w:rsid w:val="00190369"/>
    <w:rsid w:val="0019714D"/>
    <w:rsid w:val="001976BD"/>
    <w:rsid w:val="001B4BC8"/>
    <w:rsid w:val="001B739A"/>
    <w:rsid w:val="001C0471"/>
    <w:rsid w:val="001C7923"/>
    <w:rsid w:val="001D0A1E"/>
    <w:rsid w:val="001D1ECA"/>
    <w:rsid w:val="001D3089"/>
    <w:rsid w:val="001D783A"/>
    <w:rsid w:val="001E34EA"/>
    <w:rsid w:val="001F2F69"/>
    <w:rsid w:val="00205F5F"/>
    <w:rsid w:val="00207C43"/>
    <w:rsid w:val="00213B73"/>
    <w:rsid w:val="00225EB6"/>
    <w:rsid w:val="00231D39"/>
    <w:rsid w:val="0023604C"/>
    <w:rsid w:val="002364D1"/>
    <w:rsid w:val="00237DA2"/>
    <w:rsid w:val="00252362"/>
    <w:rsid w:val="00254C17"/>
    <w:rsid w:val="00255751"/>
    <w:rsid w:val="00260CC7"/>
    <w:rsid w:val="0026106F"/>
    <w:rsid w:val="00271E2B"/>
    <w:rsid w:val="0027651B"/>
    <w:rsid w:val="00281E7F"/>
    <w:rsid w:val="00284FA5"/>
    <w:rsid w:val="00286975"/>
    <w:rsid w:val="002869BE"/>
    <w:rsid w:val="00290134"/>
    <w:rsid w:val="00291A42"/>
    <w:rsid w:val="002A4067"/>
    <w:rsid w:val="002B0CF0"/>
    <w:rsid w:val="002B126C"/>
    <w:rsid w:val="002D3F7C"/>
    <w:rsid w:val="002D52FF"/>
    <w:rsid w:val="002D66FF"/>
    <w:rsid w:val="002E6187"/>
    <w:rsid w:val="002E7BB1"/>
    <w:rsid w:val="002F38FD"/>
    <w:rsid w:val="00304FB0"/>
    <w:rsid w:val="003065FC"/>
    <w:rsid w:val="00307937"/>
    <w:rsid w:val="00312AF7"/>
    <w:rsid w:val="00313346"/>
    <w:rsid w:val="00335023"/>
    <w:rsid w:val="00337AA3"/>
    <w:rsid w:val="00340225"/>
    <w:rsid w:val="00340F02"/>
    <w:rsid w:val="00342001"/>
    <w:rsid w:val="0034501D"/>
    <w:rsid w:val="003503B3"/>
    <w:rsid w:val="00350530"/>
    <w:rsid w:val="003505D6"/>
    <w:rsid w:val="003526E3"/>
    <w:rsid w:val="0035278C"/>
    <w:rsid w:val="00352BAB"/>
    <w:rsid w:val="00352BED"/>
    <w:rsid w:val="003609EB"/>
    <w:rsid w:val="00361BBE"/>
    <w:rsid w:val="003628F1"/>
    <w:rsid w:val="00365FCC"/>
    <w:rsid w:val="0037205A"/>
    <w:rsid w:val="00376754"/>
    <w:rsid w:val="00383423"/>
    <w:rsid w:val="003905CE"/>
    <w:rsid w:val="00390F3F"/>
    <w:rsid w:val="003926AB"/>
    <w:rsid w:val="00392B78"/>
    <w:rsid w:val="00394D82"/>
    <w:rsid w:val="00395B2C"/>
    <w:rsid w:val="003A2A7C"/>
    <w:rsid w:val="003A4EBE"/>
    <w:rsid w:val="003A6783"/>
    <w:rsid w:val="003A7200"/>
    <w:rsid w:val="003B1DA3"/>
    <w:rsid w:val="003B790D"/>
    <w:rsid w:val="003C0974"/>
    <w:rsid w:val="003C2BFD"/>
    <w:rsid w:val="003C3059"/>
    <w:rsid w:val="003C31F3"/>
    <w:rsid w:val="003C4508"/>
    <w:rsid w:val="003C5715"/>
    <w:rsid w:val="003D0EAA"/>
    <w:rsid w:val="003D4121"/>
    <w:rsid w:val="003D5747"/>
    <w:rsid w:val="003E299C"/>
    <w:rsid w:val="003E391B"/>
    <w:rsid w:val="003E49F0"/>
    <w:rsid w:val="003E7DFC"/>
    <w:rsid w:val="003F3463"/>
    <w:rsid w:val="003F4181"/>
    <w:rsid w:val="003F6829"/>
    <w:rsid w:val="00402BF2"/>
    <w:rsid w:val="0041050B"/>
    <w:rsid w:val="00412657"/>
    <w:rsid w:val="00416119"/>
    <w:rsid w:val="0041798E"/>
    <w:rsid w:val="00420C7D"/>
    <w:rsid w:val="00422108"/>
    <w:rsid w:val="0042307B"/>
    <w:rsid w:val="00425293"/>
    <w:rsid w:val="00427407"/>
    <w:rsid w:val="004277FB"/>
    <w:rsid w:val="00427BF8"/>
    <w:rsid w:val="00430148"/>
    <w:rsid w:val="00434065"/>
    <w:rsid w:val="0043477B"/>
    <w:rsid w:val="0043761B"/>
    <w:rsid w:val="00445236"/>
    <w:rsid w:val="00454967"/>
    <w:rsid w:val="00456FBF"/>
    <w:rsid w:val="00464696"/>
    <w:rsid w:val="00465128"/>
    <w:rsid w:val="00472A7B"/>
    <w:rsid w:val="004749CE"/>
    <w:rsid w:val="00476231"/>
    <w:rsid w:val="00476921"/>
    <w:rsid w:val="00481C49"/>
    <w:rsid w:val="00483237"/>
    <w:rsid w:val="00490AE6"/>
    <w:rsid w:val="00490CDE"/>
    <w:rsid w:val="00493657"/>
    <w:rsid w:val="00494BB6"/>
    <w:rsid w:val="004961F0"/>
    <w:rsid w:val="004A5115"/>
    <w:rsid w:val="004A7ADE"/>
    <w:rsid w:val="004C025B"/>
    <w:rsid w:val="004C09CC"/>
    <w:rsid w:val="004C223C"/>
    <w:rsid w:val="004C28DB"/>
    <w:rsid w:val="004D007D"/>
    <w:rsid w:val="004D6F05"/>
    <w:rsid w:val="004E23F3"/>
    <w:rsid w:val="004E2AF6"/>
    <w:rsid w:val="004E35E4"/>
    <w:rsid w:val="004F2545"/>
    <w:rsid w:val="004F329D"/>
    <w:rsid w:val="004F432E"/>
    <w:rsid w:val="004F52A9"/>
    <w:rsid w:val="0050250A"/>
    <w:rsid w:val="00503D12"/>
    <w:rsid w:val="00505C5E"/>
    <w:rsid w:val="00513F57"/>
    <w:rsid w:val="00516C61"/>
    <w:rsid w:val="0052006F"/>
    <w:rsid w:val="00540FA6"/>
    <w:rsid w:val="00556B35"/>
    <w:rsid w:val="0056409E"/>
    <w:rsid w:val="00564AEE"/>
    <w:rsid w:val="00564FCF"/>
    <w:rsid w:val="00565CC6"/>
    <w:rsid w:val="005670FD"/>
    <w:rsid w:val="00597291"/>
    <w:rsid w:val="00597A86"/>
    <w:rsid w:val="005A6043"/>
    <w:rsid w:val="005A708D"/>
    <w:rsid w:val="005B09ED"/>
    <w:rsid w:val="005B60C0"/>
    <w:rsid w:val="005B674B"/>
    <w:rsid w:val="005B69E1"/>
    <w:rsid w:val="005B7DEE"/>
    <w:rsid w:val="005C0061"/>
    <w:rsid w:val="005C0A2D"/>
    <w:rsid w:val="005C0EAD"/>
    <w:rsid w:val="005C11D6"/>
    <w:rsid w:val="005C2B7E"/>
    <w:rsid w:val="005C3F67"/>
    <w:rsid w:val="005C3FA4"/>
    <w:rsid w:val="005C780D"/>
    <w:rsid w:val="005D0F59"/>
    <w:rsid w:val="005D16D6"/>
    <w:rsid w:val="005D6F45"/>
    <w:rsid w:val="005E36FD"/>
    <w:rsid w:val="005E478A"/>
    <w:rsid w:val="005E5841"/>
    <w:rsid w:val="005F08DA"/>
    <w:rsid w:val="005F5166"/>
    <w:rsid w:val="005F5876"/>
    <w:rsid w:val="00600818"/>
    <w:rsid w:val="00600C40"/>
    <w:rsid w:val="00603C7E"/>
    <w:rsid w:val="00612DE8"/>
    <w:rsid w:val="00620946"/>
    <w:rsid w:val="00626BB3"/>
    <w:rsid w:val="00626F39"/>
    <w:rsid w:val="00627E3F"/>
    <w:rsid w:val="00630C8F"/>
    <w:rsid w:val="00631AFC"/>
    <w:rsid w:val="006429DF"/>
    <w:rsid w:val="0064310D"/>
    <w:rsid w:val="00653881"/>
    <w:rsid w:val="006547A1"/>
    <w:rsid w:val="006556E2"/>
    <w:rsid w:val="0065580E"/>
    <w:rsid w:val="00662CA4"/>
    <w:rsid w:val="006758B6"/>
    <w:rsid w:val="00677384"/>
    <w:rsid w:val="00684CF0"/>
    <w:rsid w:val="00693E1B"/>
    <w:rsid w:val="0069730A"/>
    <w:rsid w:val="006A4876"/>
    <w:rsid w:val="006A67ED"/>
    <w:rsid w:val="006B0528"/>
    <w:rsid w:val="006B1709"/>
    <w:rsid w:val="006B6F71"/>
    <w:rsid w:val="006C1CE7"/>
    <w:rsid w:val="006C2C51"/>
    <w:rsid w:val="006C5C7B"/>
    <w:rsid w:val="006D03A6"/>
    <w:rsid w:val="006D1B5F"/>
    <w:rsid w:val="006D2030"/>
    <w:rsid w:val="006D6B1B"/>
    <w:rsid w:val="006E25FC"/>
    <w:rsid w:val="006F120D"/>
    <w:rsid w:val="006F294C"/>
    <w:rsid w:val="006F5875"/>
    <w:rsid w:val="007008C2"/>
    <w:rsid w:val="00714218"/>
    <w:rsid w:val="007163E4"/>
    <w:rsid w:val="007234A8"/>
    <w:rsid w:val="00726A52"/>
    <w:rsid w:val="00733DF8"/>
    <w:rsid w:val="0073714B"/>
    <w:rsid w:val="007422DE"/>
    <w:rsid w:val="007432F4"/>
    <w:rsid w:val="00750DA1"/>
    <w:rsid w:val="007538B8"/>
    <w:rsid w:val="00754028"/>
    <w:rsid w:val="00755878"/>
    <w:rsid w:val="0075672D"/>
    <w:rsid w:val="0076065F"/>
    <w:rsid w:val="007615F9"/>
    <w:rsid w:val="00763CAC"/>
    <w:rsid w:val="00764D63"/>
    <w:rsid w:val="00774BCF"/>
    <w:rsid w:val="00782E36"/>
    <w:rsid w:val="00783DE3"/>
    <w:rsid w:val="0078405D"/>
    <w:rsid w:val="0078771F"/>
    <w:rsid w:val="00790CAE"/>
    <w:rsid w:val="00794104"/>
    <w:rsid w:val="007A1168"/>
    <w:rsid w:val="007A305E"/>
    <w:rsid w:val="007A5F73"/>
    <w:rsid w:val="007A6D30"/>
    <w:rsid w:val="007B5225"/>
    <w:rsid w:val="007B6E4E"/>
    <w:rsid w:val="007B7DEE"/>
    <w:rsid w:val="007D077E"/>
    <w:rsid w:val="007D0CC8"/>
    <w:rsid w:val="007D73F4"/>
    <w:rsid w:val="007E26A6"/>
    <w:rsid w:val="007E498A"/>
    <w:rsid w:val="007E7834"/>
    <w:rsid w:val="007E7C94"/>
    <w:rsid w:val="007F00A9"/>
    <w:rsid w:val="007F2FBF"/>
    <w:rsid w:val="007F6D7C"/>
    <w:rsid w:val="008073C7"/>
    <w:rsid w:val="00810F22"/>
    <w:rsid w:val="008163AD"/>
    <w:rsid w:val="0082785C"/>
    <w:rsid w:val="00830A39"/>
    <w:rsid w:val="00833F42"/>
    <w:rsid w:val="00834052"/>
    <w:rsid w:val="0084511D"/>
    <w:rsid w:val="00847B1E"/>
    <w:rsid w:val="00850058"/>
    <w:rsid w:val="00854323"/>
    <w:rsid w:val="008610C3"/>
    <w:rsid w:val="00863957"/>
    <w:rsid w:val="0086505C"/>
    <w:rsid w:val="00866C62"/>
    <w:rsid w:val="008750B9"/>
    <w:rsid w:val="00886D69"/>
    <w:rsid w:val="00887AE0"/>
    <w:rsid w:val="008942AA"/>
    <w:rsid w:val="00894348"/>
    <w:rsid w:val="008A49BF"/>
    <w:rsid w:val="008A59F5"/>
    <w:rsid w:val="008B2517"/>
    <w:rsid w:val="008B2795"/>
    <w:rsid w:val="008D12A6"/>
    <w:rsid w:val="008D141C"/>
    <w:rsid w:val="008D173B"/>
    <w:rsid w:val="008D2E55"/>
    <w:rsid w:val="008D54CA"/>
    <w:rsid w:val="008D669C"/>
    <w:rsid w:val="008D788D"/>
    <w:rsid w:val="008E5F21"/>
    <w:rsid w:val="008F24F6"/>
    <w:rsid w:val="008F2BBE"/>
    <w:rsid w:val="008F3B96"/>
    <w:rsid w:val="00901E65"/>
    <w:rsid w:val="009067FF"/>
    <w:rsid w:val="00907B1F"/>
    <w:rsid w:val="0091287D"/>
    <w:rsid w:val="00912CBE"/>
    <w:rsid w:val="00917F88"/>
    <w:rsid w:val="0092133A"/>
    <w:rsid w:val="009256F5"/>
    <w:rsid w:val="00925737"/>
    <w:rsid w:val="00927F6F"/>
    <w:rsid w:val="00932A99"/>
    <w:rsid w:val="00945F97"/>
    <w:rsid w:val="00946072"/>
    <w:rsid w:val="00947423"/>
    <w:rsid w:val="009513F1"/>
    <w:rsid w:val="0095269C"/>
    <w:rsid w:val="00954169"/>
    <w:rsid w:val="00956CE5"/>
    <w:rsid w:val="00957682"/>
    <w:rsid w:val="00960497"/>
    <w:rsid w:val="00961B68"/>
    <w:rsid w:val="00963F32"/>
    <w:rsid w:val="00971190"/>
    <w:rsid w:val="00980160"/>
    <w:rsid w:val="0098315A"/>
    <w:rsid w:val="00996A76"/>
    <w:rsid w:val="009A06ED"/>
    <w:rsid w:val="009A29C7"/>
    <w:rsid w:val="009A304B"/>
    <w:rsid w:val="009A305E"/>
    <w:rsid w:val="009A36CA"/>
    <w:rsid w:val="009A5B37"/>
    <w:rsid w:val="009B32A2"/>
    <w:rsid w:val="009B7C1D"/>
    <w:rsid w:val="009C02D3"/>
    <w:rsid w:val="009C08FB"/>
    <w:rsid w:val="009C3EBC"/>
    <w:rsid w:val="009C43B2"/>
    <w:rsid w:val="009C7D80"/>
    <w:rsid w:val="009D38CE"/>
    <w:rsid w:val="009D435C"/>
    <w:rsid w:val="009E0123"/>
    <w:rsid w:val="009E260F"/>
    <w:rsid w:val="009E68B7"/>
    <w:rsid w:val="009E73A6"/>
    <w:rsid w:val="009F7240"/>
    <w:rsid w:val="00A01BFB"/>
    <w:rsid w:val="00A05799"/>
    <w:rsid w:val="00A06555"/>
    <w:rsid w:val="00A10A64"/>
    <w:rsid w:val="00A10FA6"/>
    <w:rsid w:val="00A15081"/>
    <w:rsid w:val="00A15C91"/>
    <w:rsid w:val="00A16E60"/>
    <w:rsid w:val="00A170B2"/>
    <w:rsid w:val="00A23974"/>
    <w:rsid w:val="00A33E22"/>
    <w:rsid w:val="00A4044D"/>
    <w:rsid w:val="00A443EA"/>
    <w:rsid w:val="00A6041E"/>
    <w:rsid w:val="00A62649"/>
    <w:rsid w:val="00A7484D"/>
    <w:rsid w:val="00A75B0C"/>
    <w:rsid w:val="00A815D0"/>
    <w:rsid w:val="00A817BA"/>
    <w:rsid w:val="00A822F4"/>
    <w:rsid w:val="00A84E28"/>
    <w:rsid w:val="00A91073"/>
    <w:rsid w:val="00A93D15"/>
    <w:rsid w:val="00A97F5A"/>
    <w:rsid w:val="00AA53EB"/>
    <w:rsid w:val="00AA7388"/>
    <w:rsid w:val="00AC34B2"/>
    <w:rsid w:val="00AC5485"/>
    <w:rsid w:val="00AC5895"/>
    <w:rsid w:val="00AC7E16"/>
    <w:rsid w:val="00AD0DBE"/>
    <w:rsid w:val="00AD318F"/>
    <w:rsid w:val="00AE11F7"/>
    <w:rsid w:val="00AE4131"/>
    <w:rsid w:val="00AE462D"/>
    <w:rsid w:val="00AF196D"/>
    <w:rsid w:val="00AF2DF0"/>
    <w:rsid w:val="00AF6F22"/>
    <w:rsid w:val="00B01079"/>
    <w:rsid w:val="00B03A67"/>
    <w:rsid w:val="00B03B27"/>
    <w:rsid w:val="00B05EA9"/>
    <w:rsid w:val="00B0619A"/>
    <w:rsid w:val="00B1021A"/>
    <w:rsid w:val="00B11D1A"/>
    <w:rsid w:val="00B11D45"/>
    <w:rsid w:val="00B13116"/>
    <w:rsid w:val="00B27F2F"/>
    <w:rsid w:val="00B3132B"/>
    <w:rsid w:val="00B3372A"/>
    <w:rsid w:val="00B36FA5"/>
    <w:rsid w:val="00B400F1"/>
    <w:rsid w:val="00B403E6"/>
    <w:rsid w:val="00B4285C"/>
    <w:rsid w:val="00B46A19"/>
    <w:rsid w:val="00B52D2E"/>
    <w:rsid w:val="00B55957"/>
    <w:rsid w:val="00B578F1"/>
    <w:rsid w:val="00B62B4A"/>
    <w:rsid w:val="00B63159"/>
    <w:rsid w:val="00B65688"/>
    <w:rsid w:val="00B71303"/>
    <w:rsid w:val="00B71BDF"/>
    <w:rsid w:val="00B76673"/>
    <w:rsid w:val="00B8402C"/>
    <w:rsid w:val="00B917CC"/>
    <w:rsid w:val="00B93D9D"/>
    <w:rsid w:val="00B969BB"/>
    <w:rsid w:val="00B96F34"/>
    <w:rsid w:val="00B97C79"/>
    <w:rsid w:val="00BA36BA"/>
    <w:rsid w:val="00BA772E"/>
    <w:rsid w:val="00BB3E60"/>
    <w:rsid w:val="00BB527E"/>
    <w:rsid w:val="00BC44EC"/>
    <w:rsid w:val="00BC6DC5"/>
    <w:rsid w:val="00BD0611"/>
    <w:rsid w:val="00BD0C13"/>
    <w:rsid w:val="00BD249A"/>
    <w:rsid w:val="00BF0D0F"/>
    <w:rsid w:val="00BF1BF5"/>
    <w:rsid w:val="00BF5F49"/>
    <w:rsid w:val="00C0386D"/>
    <w:rsid w:val="00C0416D"/>
    <w:rsid w:val="00C058E5"/>
    <w:rsid w:val="00C07AAA"/>
    <w:rsid w:val="00C113BB"/>
    <w:rsid w:val="00C13280"/>
    <w:rsid w:val="00C16A9C"/>
    <w:rsid w:val="00C202E5"/>
    <w:rsid w:val="00C20A9F"/>
    <w:rsid w:val="00C210D4"/>
    <w:rsid w:val="00C22A20"/>
    <w:rsid w:val="00C23EAD"/>
    <w:rsid w:val="00C246AC"/>
    <w:rsid w:val="00C24D44"/>
    <w:rsid w:val="00C2637D"/>
    <w:rsid w:val="00C328FA"/>
    <w:rsid w:val="00C37300"/>
    <w:rsid w:val="00C42E61"/>
    <w:rsid w:val="00C4349F"/>
    <w:rsid w:val="00C45D4D"/>
    <w:rsid w:val="00C46BE5"/>
    <w:rsid w:val="00C51758"/>
    <w:rsid w:val="00C557F4"/>
    <w:rsid w:val="00C560F0"/>
    <w:rsid w:val="00C6482C"/>
    <w:rsid w:val="00C72129"/>
    <w:rsid w:val="00C76951"/>
    <w:rsid w:val="00C82015"/>
    <w:rsid w:val="00C8265A"/>
    <w:rsid w:val="00C852C8"/>
    <w:rsid w:val="00C85453"/>
    <w:rsid w:val="00C923A0"/>
    <w:rsid w:val="00CA0D80"/>
    <w:rsid w:val="00CA41A7"/>
    <w:rsid w:val="00CA62F7"/>
    <w:rsid w:val="00CA74BC"/>
    <w:rsid w:val="00CA79D1"/>
    <w:rsid w:val="00CB0B66"/>
    <w:rsid w:val="00CC2DE0"/>
    <w:rsid w:val="00CD0D9E"/>
    <w:rsid w:val="00CD0FD9"/>
    <w:rsid w:val="00CD1A07"/>
    <w:rsid w:val="00CD1B4D"/>
    <w:rsid w:val="00CD2F89"/>
    <w:rsid w:val="00CD6F39"/>
    <w:rsid w:val="00CE664F"/>
    <w:rsid w:val="00D02DED"/>
    <w:rsid w:val="00D15154"/>
    <w:rsid w:val="00D16ED9"/>
    <w:rsid w:val="00D20419"/>
    <w:rsid w:val="00D21858"/>
    <w:rsid w:val="00D2645B"/>
    <w:rsid w:val="00D3018E"/>
    <w:rsid w:val="00D32769"/>
    <w:rsid w:val="00D34B73"/>
    <w:rsid w:val="00D34C3E"/>
    <w:rsid w:val="00D36C72"/>
    <w:rsid w:val="00D457C2"/>
    <w:rsid w:val="00D45ED2"/>
    <w:rsid w:val="00D5435C"/>
    <w:rsid w:val="00D60FDD"/>
    <w:rsid w:val="00D6593F"/>
    <w:rsid w:val="00D6767A"/>
    <w:rsid w:val="00D7531C"/>
    <w:rsid w:val="00D9032C"/>
    <w:rsid w:val="00D948DE"/>
    <w:rsid w:val="00DA0415"/>
    <w:rsid w:val="00DA0963"/>
    <w:rsid w:val="00DA1B7E"/>
    <w:rsid w:val="00DA23F6"/>
    <w:rsid w:val="00DA643A"/>
    <w:rsid w:val="00DA67F5"/>
    <w:rsid w:val="00DA7118"/>
    <w:rsid w:val="00DB64D6"/>
    <w:rsid w:val="00DC17DD"/>
    <w:rsid w:val="00DC4185"/>
    <w:rsid w:val="00DC5CE9"/>
    <w:rsid w:val="00DC6CFD"/>
    <w:rsid w:val="00DD1B99"/>
    <w:rsid w:val="00DD3326"/>
    <w:rsid w:val="00DD41B5"/>
    <w:rsid w:val="00DD750F"/>
    <w:rsid w:val="00DE1E09"/>
    <w:rsid w:val="00DE2937"/>
    <w:rsid w:val="00DE4CC1"/>
    <w:rsid w:val="00DE57E8"/>
    <w:rsid w:val="00DF20D8"/>
    <w:rsid w:val="00DF6BF6"/>
    <w:rsid w:val="00DF7013"/>
    <w:rsid w:val="00E0098D"/>
    <w:rsid w:val="00E0472A"/>
    <w:rsid w:val="00E12DB3"/>
    <w:rsid w:val="00E13339"/>
    <w:rsid w:val="00E134A2"/>
    <w:rsid w:val="00E134B3"/>
    <w:rsid w:val="00E1506B"/>
    <w:rsid w:val="00E177BE"/>
    <w:rsid w:val="00E21353"/>
    <w:rsid w:val="00E2167B"/>
    <w:rsid w:val="00E2251B"/>
    <w:rsid w:val="00E30EC5"/>
    <w:rsid w:val="00E356BD"/>
    <w:rsid w:val="00E43D8F"/>
    <w:rsid w:val="00E4419F"/>
    <w:rsid w:val="00E44466"/>
    <w:rsid w:val="00E44955"/>
    <w:rsid w:val="00E44B17"/>
    <w:rsid w:val="00E44C19"/>
    <w:rsid w:val="00E46340"/>
    <w:rsid w:val="00E540BA"/>
    <w:rsid w:val="00E54C26"/>
    <w:rsid w:val="00E555A3"/>
    <w:rsid w:val="00E56EA7"/>
    <w:rsid w:val="00E5770A"/>
    <w:rsid w:val="00E609A2"/>
    <w:rsid w:val="00E60E48"/>
    <w:rsid w:val="00E70A37"/>
    <w:rsid w:val="00E736F3"/>
    <w:rsid w:val="00E74823"/>
    <w:rsid w:val="00E94BA8"/>
    <w:rsid w:val="00EA21AE"/>
    <w:rsid w:val="00EA4DE8"/>
    <w:rsid w:val="00EA7FD3"/>
    <w:rsid w:val="00EB6D32"/>
    <w:rsid w:val="00ED7E9A"/>
    <w:rsid w:val="00EE289D"/>
    <w:rsid w:val="00EE660F"/>
    <w:rsid w:val="00EE6A2C"/>
    <w:rsid w:val="00EF1B8F"/>
    <w:rsid w:val="00EF4E49"/>
    <w:rsid w:val="00F03D73"/>
    <w:rsid w:val="00F06D82"/>
    <w:rsid w:val="00F0724D"/>
    <w:rsid w:val="00F11825"/>
    <w:rsid w:val="00F15F4B"/>
    <w:rsid w:val="00F24A75"/>
    <w:rsid w:val="00F364FB"/>
    <w:rsid w:val="00F37148"/>
    <w:rsid w:val="00F43359"/>
    <w:rsid w:val="00F45D0A"/>
    <w:rsid w:val="00F45F49"/>
    <w:rsid w:val="00F56307"/>
    <w:rsid w:val="00F567DD"/>
    <w:rsid w:val="00F600EC"/>
    <w:rsid w:val="00F67849"/>
    <w:rsid w:val="00F716D4"/>
    <w:rsid w:val="00F7308D"/>
    <w:rsid w:val="00F764A5"/>
    <w:rsid w:val="00F7675A"/>
    <w:rsid w:val="00F82647"/>
    <w:rsid w:val="00F83923"/>
    <w:rsid w:val="00F84BE2"/>
    <w:rsid w:val="00F852A6"/>
    <w:rsid w:val="00F855FF"/>
    <w:rsid w:val="00F8630B"/>
    <w:rsid w:val="00F90719"/>
    <w:rsid w:val="00F92C71"/>
    <w:rsid w:val="00F92D52"/>
    <w:rsid w:val="00F96DDF"/>
    <w:rsid w:val="00FA434A"/>
    <w:rsid w:val="00FA5CFC"/>
    <w:rsid w:val="00FB3D4B"/>
    <w:rsid w:val="00FB4836"/>
    <w:rsid w:val="00FC2814"/>
    <w:rsid w:val="00FC46D0"/>
    <w:rsid w:val="00FD2798"/>
    <w:rsid w:val="00FD365C"/>
    <w:rsid w:val="00FE5937"/>
    <w:rsid w:val="00FE7AC3"/>
    <w:rsid w:val="00FF5535"/>
    <w:rsid w:val="00FF648F"/>
    <w:rsid w:val="00FF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5751"/>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55751"/>
  </w:style>
  <w:style w:type="paragraph" w:styleId="BodyTextIndent">
    <w:name w:val="Body Text Indent"/>
    <w:basedOn w:val="Normal"/>
    <w:rsid w:val="00255751"/>
    <w:pPr>
      <w:widowControl/>
      <w:tabs>
        <w:tab w:val="left" w:pos="-1440"/>
      </w:tabs>
      <w:ind w:left="720" w:hanging="720"/>
      <w:jc w:val="both"/>
    </w:pPr>
    <w:rPr>
      <w:rFonts w:ascii="CG Times" w:hAnsi="CG Times"/>
    </w:rPr>
  </w:style>
  <w:style w:type="paragraph" w:styleId="BodyText">
    <w:name w:val="Body Text"/>
    <w:basedOn w:val="Normal"/>
    <w:rsid w:val="00255751"/>
    <w:pPr>
      <w:spacing w:line="360" w:lineRule="auto"/>
      <w:jc w:val="both"/>
    </w:pPr>
    <w:rPr>
      <w:rFonts w:ascii="CG Times" w:hAnsi="CG Times"/>
    </w:rPr>
  </w:style>
  <w:style w:type="paragraph" w:styleId="FootnoteText">
    <w:name w:val="footnote text"/>
    <w:basedOn w:val="Normal"/>
    <w:semiHidden/>
    <w:rsid w:val="007B7DEE"/>
    <w:rPr>
      <w:sz w:val="20"/>
    </w:rPr>
  </w:style>
  <w:style w:type="paragraph" w:styleId="Header">
    <w:name w:val="header"/>
    <w:basedOn w:val="Normal"/>
    <w:link w:val="HeaderChar"/>
    <w:rsid w:val="008610C3"/>
    <w:pPr>
      <w:tabs>
        <w:tab w:val="center" w:pos="4680"/>
        <w:tab w:val="right" w:pos="9360"/>
      </w:tabs>
    </w:pPr>
  </w:style>
  <w:style w:type="character" w:customStyle="1" w:styleId="HeaderChar">
    <w:name w:val="Header Char"/>
    <w:basedOn w:val="DefaultParagraphFont"/>
    <w:link w:val="Header"/>
    <w:rsid w:val="008610C3"/>
    <w:rPr>
      <w:rFonts w:ascii="Courier" w:hAnsi="Courier"/>
      <w:snapToGrid w:val="0"/>
      <w:sz w:val="24"/>
    </w:rPr>
  </w:style>
  <w:style w:type="paragraph" w:styleId="Footer">
    <w:name w:val="footer"/>
    <w:basedOn w:val="Normal"/>
    <w:link w:val="FooterChar"/>
    <w:uiPriority w:val="99"/>
    <w:rsid w:val="008610C3"/>
    <w:pPr>
      <w:tabs>
        <w:tab w:val="center" w:pos="4680"/>
        <w:tab w:val="right" w:pos="9360"/>
      </w:tabs>
    </w:pPr>
  </w:style>
  <w:style w:type="character" w:customStyle="1" w:styleId="FooterChar">
    <w:name w:val="Footer Char"/>
    <w:basedOn w:val="DefaultParagraphFont"/>
    <w:link w:val="Footer"/>
    <w:uiPriority w:val="99"/>
    <w:rsid w:val="008610C3"/>
    <w:rPr>
      <w:rFonts w:ascii="Courier" w:hAnsi="Courier"/>
      <w:snapToGrid w:val="0"/>
      <w:sz w:val="24"/>
    </w:rPr>
  </w:style>
  <w:style w:type="paragraph" w:styleId="EndnoteText">
    <w:name w:val="endnote text"/>
    <w:basedOn w:val="Normal"/>
    <w:link w:val="EndnoteTextChar"/>
    <w:rsid w:val="008B2517"/>
    <w:rPr>
      <w:sz w:val="20"/>
    </w:rPr>
  </w:style>
  <w:style w:type="character" w:customStyle="1" w:styleId="EndnoteTextChar">
    <w:name w:val="Endnote Text Char"/>
    <w:basedOn w:val="DefaultParagraphFont"/>
    <w:link w:val="EndnoteText"/>
    <w:rsid w:val="008B2517"/>
    <w:rPr>
      <w:rFonts w:ascii="Courier" w:hAnsi="Courier"/>
      <w:snapToGrid w:val="0"/>
    </w:rPr>
  </w:style>
  <w:style w:type="character" w:styleId="EndnoteReference">
    <w:name w:val="endnote reference"/>
    <w:basedOn w:val="DefaultParagraphFont"/>
    <w:rsid w:val="008B2517"/>
    <w:rPr>
      <w:vertAlign w:val="superscript"/>
    </w:rPr>
  </w:style>
  <w:style w:type="paragraph" w:customStyle="1" w:styleId="ParaTab1">
    <w:name w:val="ParaTab 1"/>
    <w:rsid w:val="008D141C"/>
    <w:pPr>
      <w:tabs>
        <w:tab w:val="left" w:pos="-720"/>
      </w:tabs>
      <w:suppressAutoHyphens/>
      <w:autoSpaceDE w:val="0"/>
      <w:autoSpaceDN w:val="0"/>
      <w:ind w:firstLine="1440"/>
    </w:pPr>
    <w:rPr>
      <w:rFonts w:ascii="CG Times" w:hAnsi="CG Times" w:cs="CG Times"/>
      <w:sz w:val="24"/>
      <w:szCs w:val="24"/>
    </w:rPr>
  </w:style>
  <w:style w:type="paragraph" w:customStyle="1" w:styleId="p13">
    <w:name w:val="p13"/>
    <w:basedOn w:val="Normal"/>
    <w:rsid w:val="008D141C"/>
    <w:pPr>
      <w:tabs>
        <w:tab w:val="left" w:pos="1457"/>
        <w:tab w:val="left" w:pos="1893"/>
      </w:tabs>
      <w:autoSpaceDE w:val="0"/>
      <w:autoSpaceDN w:val="0"/>
      <w:adjustRightInd w:val="0"/>
      <w:ind w:left="1275" w:firstLine="182"/>
      <w:jc w:val="both"/>
    </w:pPr>
    <w:rPr>
      <w:rFonts w:ascii="Times New Roman" w:hAnsi="Times New Roman"/>
      <w:snapToGrid/>
      <w:szCs w:val="24"/>
    </w:rPr>
  </w:style>
  <w:style w:type="paragraph" w:customStyle="1" w:styleId="p14">
    <w:name w:val="p14"/>
    <w:basedOn w:val="Normal"/>
    <w:rsid w:val="008D141C"/>
    <w:pPr>
      <w:tabs>
        <w:tab w:val="left" w:pos="1457"/>
        <w:tab w:val="left" w:pos="1632"/>
        <w:tab w:val="left" w:pos="2091"/>
      </w:tabs>
      <w:autoSpaceDE w:val="0"/>
      <w:autoSpaceDN w:val="0"/>
      <w:adjustRightInd w:val="0"/>
      <w:ind w:left="1457" w:firstLine="175"/>
      <w:jc w:val="both"/>
    </w:pPr>
    <w:rPr>
      <w:rFonts w:ascii="Times New Roman" w:hAnsi="Times New Roman"/>
      <w:snapToGrid/>
      <w:szCs w:val="24"/>
    </w:rPr>
  </w:style>
  <w:style w:type="paragraph" w:styleId="ListParagraph">
    <w:name w:val="List Paragraph"/>
    <w:basedOn w:val="Normal"/>
    <w:uiPriority w:val="34"/>
    <w:qFormat/>
    <w:rsid w:val="00C557F4"/>
    <w:pPr>
      <w:ind w:left="720"/>
      <w:contextualSpacing/>
    </w:pPr>
  </w:style>
  <w:style w:type="paragraph" w:styleId="BalloonText">
    <w:name w:val="Balloon Text"/>
    <w:basedOn w:val="Normal"/>
    <w:link w:val="BalloonTextChar"/>
    <w:rsid w:val="00A75B0C"/>
    <w:rPr>
      <w:rFonts w:ascii="Tahoma" w:hAnsi="Tahoma" w:cs="Tahoma"/>
      <w:sz w:val="16"/>
      <w:szCs w:val="16"/>
    </w:rPr>
  </w:style>
  <w:style w:type="character" w:customStyle="1" w:styleId="BalloonTextChar">
    <w:name w:val="Balloon Text Char"/>
    <w:basedOn w:val="DefaultParagraphFont"/>
    <w:link w:val="BalloonText"/>
    <w:rsid w:val="00A75B0C"/>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5751"/>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55751"/>
  </w:style>
  <w:style w:type="paragraph" w:styleId="BodyTextIndent">
    <w:name w:val="Body Text Indent"/>
    <w:basedOn w:val="Normal"/>
    <w:rsid w:val="00255751"/>
    <w:pPr>
      <w:widowControl/>
      <w:tabs>
        <w:tab w:val="left" w:pos="-1440"/>
      </w:tabs>
      <w:ind w:left="720" w:hanging="720"/>
      <w:jc w:val="both"/>
    </w:pPr>
    <w:rPr>
      <w:rFonts w:ascii="CG Times" w:hAnsi="CG Times"/>
    </w:rPr>
  </w:style>
  <w:style w:type="paragraph" w:styleId="BodyText">
    <w:name w:val="Body Text"/>
    <w:basedOn w:val="Normal"/>
    <w:rsid w:val="00255751"/>
    <w:pPr>
      <w:spacing w:line="360" w:lineRule="auto"/>
      <w:jc w:val="both"/>
    </w:pPr>
    <w:rPr>
      <w:rFonts w:ascii="CG Times" w:hAnsi="CG Times"/>
    </w:rPr>
  </w:style>
  <w:style w:type="paragraph" w:styleId="FootnoteText">
    <w:name w:val="footnote text"/>
    <w:basedOn w:val="Normal"/>
    <w:semiHidden/>
    <w:rsid w:val="007B7DEE"/>
    <w:rPr>
      <w:sz w:val="20"/>
    </w:rPr>
  </w:style>
  <w:style w:type="paragraph" w:styleId="Header">
    <w:name w:val="header"/>
    <w:basedOn w:val="Normal"/>
    <w:link w:val="HeaderChar"/>
    <w:rsid w:val="008610C3"/>
    <w:pPr>
      <w:tabs>
        <w:tab w:val="center" w:pos="4680"/>
        <w:tab w:val="right" w:pos="9360"/>
      </w:tabs>
    </w:pPr>
  </w:style>
  <w:style w:type="character" w:customStyle="1" w:styleId="HeaderChar">
    <w:name w:val="Header Char"/>
    <w:basedOn w:val="DefaultParagraphFont"/>
    <w:link w:val="Header"/>
    <w:rsid w:val="008610C3"/>
    <w:rPr>
      <w:rFonts w:ascii="Courier" w:hAnsi="Courier"/>
      <w:snapToGrid w:val="0"/>
      <w:sz w:val="24"/>
    </w:rPr>
  </w:style>
  <w:style w:type="paragraph" w:styleId="Footer">
    <w:name w:val="footer"/>
    <w:basedOn w:val="Normal"/>
    <w:link w:val="FooterChar"/>
    <w:uiPriority w:val="99"/>
    <w:rsid w:val="008610C3"/>
    <w:pPr>
      <w:tabs>
        <w:tab w:val="center" w:pos="4680"/>
        <w:tab w:val="right" w:pos="9360"/>
      </w:tabs>
    </w:pPr>
  </w:style>
  <w:style w:type="character" w:customStyle="1" w:styleId="FooterChar">
    <w:name w:val="Footer Char"/>
    <w:basedOn w:val="DefaultParagraphFont"/>
    <w:link w:val="Footer"/>
    <w:uiPriority w:val="99"/>
    <w:rsid w:val="008610C3"/>
    <w:rPr>
      <w:rFonts w:ascii="Courier" w:hAnsi="Courier"/>
      <w:snapToGrid w:val="0"/>
      <w:sz w:val="24"/>
    </w:rPr>
  </w:style>
  <w:style w:type="paragraph" w:styleId="EndnoteText">
    <w:name w:val="endnote text"/>
    <w:basedOn w:val="Normal"/>
    <w:link w:val="EndnoteTextChar"/>
    <w:rsid w:val="008B2517"/>
    <w:rPr>
      <w:sz w:val="20"/>
    </w:rPr>
  </w:style>
  <w:style w:type="character" w:customStyle="1" w:styleId="EndnoteTextChar">
    <w:name w:val="Endnote Text Char"/>
    <w:basedOn w:val="DefaultParagraphFont"/>
    <w:link w:val="EndnoteText"/>
    <w:rsid w:val="008B2517"/>
    <w:rPr>
      <w:rFonts w:ascii="Courier" w:hAnsi="Courier"/>
      <w:snapToGrid w:val="0"/>
    </w:rPr>
  </w:style>
  <w:style w:type="character" w:styleId="EndnoteReference">
    <w:name w:val="endnote reference"/>
    <w:basedOn w:val="DefaultParagraphFont"/>
    <w:rsid w:val="008B2517"/>
    <w:rPr>
      <w:vertAlign w:val="superscript"/>
    </w:rPr>
  </w:style>
  <w:style w:type="paragraph" w:customStyle="1" w:styleId="ParaTab1">
    <w:name w:val="ParaTab 1"/>
    <w:rsid w:val="008D141C"/>
    <w:pPr>
      <w:tabs>
        <w:tab w:val="left" w:pos="-720"/>
      </w:tabs>
      <w:suppressAutoHyphens/>
      <w:autoSpaceDE w:val="0"/>
      <w:autoSpaceDN w:val="0"/>
      <w:ind w:firstLine="1440"/>
    </w:pPr>
    <w:rPr>
      <w:rFonts w:ascii="CG Times" w:hAnsi="CG Times" w:cs="CG Times"/>
      <w:sz w:val="24"/>
      <w:szCs w:val="24"/>
    </w:rPr>
  </w:style>
  <w:style w:type="paragraph" w:customStyle="1" w:styleId="p13">
    <w:name w:val="p13"/>
    <w:basedOn w:val="Normal"/>
    <w:rsid w:val="008D141C"/>
    <w:pPr>
      <w:tabs>
        <w:tab w:val="left" w:pos="1457"/>
        <w:tab w:val="left" w:pos="1893"/>
      </w:tabs>
      <w:autoSpaceDE w:val="0"/>
      <w:autoSpaceDN w:val="0"/>
      <w:adjustRightInd w:val="0"/>
      <w:ind w:left="1275" w:firstLine="182"/>
      <w:jc w:val="both"/>
    </w:pPr>
    <w:rPr>
      <w:rFonts w:ascii="Times New Roman" w:hAnsi="Times New Roman"/>
      <w:snapToGrid/>
      <w:szCs w:val="24"/>
    </w:rPr>
  </w:style>
  <w:style w:type="paragraph" w:customStyle="1" w:styleId="p14">
    <w:name w:val="p14"/>
    <w:basedOn w:val="Normal"/>
    <w:rsid w:val="008D141C"/>
    <w:pPr>
      <w:tabs>
        <w:tab w:val="left" w:pos="1457"/>
        <w:tab w:val="left" w:pos="1632"/>
        <w:tab w:val="left" w:pos="2091"/>
      </w:tabs>
      <w:autoSpaceDE w:val="0"/>
      <w:autoSpaceDN w:val="0"/>
      <w:adjustRightInd w:val="0"/>
      <w:ind w:left="1457" w:firstLine="175"/>
      <w:jc w:val="both"/>
    </w:pPr>
    <w:rPr>
      <w:rFonts w:ascii="Times New Roman" w:hAnsi="Times New Roman"/>
      <w:snapToGrid/>
      <w:szCs w:val="24"/>
    </w:rPr>
  </w:style>
  <w:style w:type="paragraph" w:styleId="ListParagraph">
    <w:name w:val="List Paragraph"/>
    <w:basedOn w:val="Normal"/>
    <w:uiPriority w:val="34"/>
    <w:qFormat/>
    <w:rsid w:val="00C557F4"/>
    <w:pPr>
      <w:ind w:left="720"/>
      <w:contextualSpacing/>
    </w:pPr>
  </w:style>
  <w:style w:type="paragraph" w:styleId="BalloonText">
    <w:name w:val="Balloon Text"/>
    <w:basedOn w:val="Normal"/>
    <w:link w:val="BalloonTextChar"/>
    <w:rsid w:val="00A75B0C"/>
    <w:rPr>
      <w:rFonts w:ascii="Tahoma" w:hAnsi="Tahoma" w:cs="Tahoma"/>
      <w:sz w:val="16"/>
      <w:szCs w:val="16"/>
    </w:rPr>
  </w:style>
  <w:style w:type="character" w:customStyle="1" w:styleId="BalloonTextChar">
    <w:name w:val="Balloon Text Char"/>
    <w:basedOn w:val="DefaultParagraphFont"/>
    <w:link w:val="BalloonText"/>
    <w:rsid w:val="00A75B0C"/>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075DB-D55F-4B26-ADF3-3E5A5B021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3979</Words>
  <Characters>22681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26607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 PUC</dc:creator>
  <cp:lastModifiedBy>Blanton, Leah</cp:lastModifiedBy>
  <cp:revision>8</cp:revision>
  <cp:lastPrinted>2015-02-24T19:32:00Z</cp:lastPrinted>
  <dcterms:created xsi:type="dcterms:W3CDTF">2015-02-24T19:29:00Z</dcterms:created>
  <dcterms:modified xsi:type="dcterms:W3CDTF">2015-02-24T20:17:00Z</dcterms:modified>
</cp:coreProperties>
</file>