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AF9" w:rsidRPr="00FA6483" w:rsidRDefault="00342AF9" w:rsidP="00342AF9">
      <w:pPr>
        <w:jc w:val="center"/>
        <w:rPr>
          <w:b/>
          <w:sz w:val="24"/>
          <w:szCs w:val="24"/>
        </w:rPr>
      </w:pPr>
      <w:r w:rsidRPr="00FA6483">
        <w:rPr>
          <w:b/>
          <w:sz w:val="24"/>
          <w:szCs w:val="24"/>
        </w:rPr>
        <w:t>BEFORE THE</w:t>
      </w:r>
    </w:p>
    <w:p w:rsidR="00342AF9" w:rsidRPr="00FA6483" w:rsidRDefault="00342AF9" w:rsidP="00342AF9">
      <w:pPr>
        <w:jc w:val="center"/>
        <w:rPr>
          <w:b/>
          <w:sz w:val="24"/>
          <w:szCs w:val="24"/>
        </w:rPr>
      </w:pPr>
      <w:r w:rsidRPr="00FA6483">
        <w:rPr>
          <w:b/>
          <w:sz w:val="24"/>
          <w:szCs w:val="24"/>
        </w:rPr>
        <w:t>PENNSYLVANIA PUBLIC UTILITY COMMISSION</w:t>
      </w:r>
    </w:p>
    <w:p w:rsidR="00342AF9" w:rsidRPr="007F47D3" w:rsidRDefault="00342AF9" w:rsidP="00342AF9">
      <w:pPr>
        <w:jc w:val="center"/>
        <w:rPr>
          <w:sz w:val="24"/>
          <w:szCs w:val="24"/>
        </w:rPr>
      </w:pPr>
    </w:p>
    <w:p w:rsidR="00342AF9" w:rsidRPr="007F47D3" w:rsidRDefault="00342AF9" w:rsidP="00342AF9">
      <w:pPr>
        <w:jc w:val="center"/>
        <w:rPr>
          <w:sz w:val="24"/>
          <w:szCs w:val="24"/>
        </w:rPr>
      </w:pPr>
    </w:p>
    <w:p w:rsidR="00342AF9" w:rsidRPr="007F47D3" w:rsidRDefault="00342AF9" w:rsidP="00342AF9">
      <w:pPr>
        <w:jc w:val="center"/>
        <w:rPr>
          <w:sz w:val="24"/>
          <w:szCs w:val="24"/>
        </w:rPr>
      </w:pPr>
    </w:p>
    <w:p w:rsidR="00342AF9" w:rsidRDefault="00342AF9" w:rsidP="00342AF9">
      <w:pPr>
        <w:rPr>
          <w:sz w:val="24"/>
          <w:szCs w:val="24"/>
        </w:rPr>
      </w:pPr>
      <w:r>
        <w:rPr>
          <w:sz w:val="24"/>
          <w:szCs w:val="24"/>
        </w:rPr>
        <w:t>David Wapensky</w:t>
      </w:r>
      <w:r>
        <w:rPr>
          <w:sz w:val="24"/>
          <w:szCs w:val="24"/>
        </w:rPr>
        <w:tab/>
      </w:r>
      <w:r>
        <w:rPr>
          <w:sz w:val="24"/>
          <w:szCs w:val="24"/>
        </w:rPr>
        <w:tab/>
      </w:r>
      <w:r>
        <w:rPr>
          <w:sz w:val="24"/>
          <w:szCs w:val="24"/>
        </w:rPr>
        <w:tab/>
      </w:r>
      <w:r>
        <w:rPr>
          <w:sz w:val="24"/>
          <w:szCs w:val="24"/>
        </w:rPr>
        <w:tab/>
      </w:r>
      <w:r>
        <w:rPr>
          <w:sz w:val="24"/>
          <w:szCs w:val="24"/>
        </w:rPr>
        <w:tab/>
        <w:t>:</w:t>
      </w:r>
    </w:p>
    <w:p w:rsidR="00342AF9" w:rsidRPr="00FA6483" w:rsidRDefault="00342AF9" w:rsidP="00342AF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42AF9" w:rsidRPr="00FA6483" w:rsidRDefault="00342AF9" w:rsidP="00342AF9">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C-2014-2450200</w:t>
      </w:r>
    </w:p>
    <w:p w:rsidR="00342AF9" w:rsidRPr="00FA6483" w:rsidRDefault="00342AF9" w:rsidP="00342AF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42AF9" w:rsidRPr="00FA6483" w:rsidRDefault="00342AF9" w:rsidP="00342AF9">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342AF9" w:rsidRDefault="00342AF9" w:rsidP="00342AF9"/>
    <w:p w:rsidR="00342AF9" w:rsidRDefault="00342AF9" w:rsidP="00342AF9">
      <w:bookmarkStart w:id="0" w:name="_GoBack"/>
      <w:bookmarkEnd w:id="0"/>
    </w:p>
    <w:p w:rsidR="00342AF9" w:rsidRDefault="00342AF9" w:rsidP="00342AF9"/>
    <w:p w:rsidR="00342AF9" w:rsidRPr="000D2C82" w:rsidRDefault="00342AF9" w:rsidP="00342AF9">
      <w:pPr>
        <w:jc w:val="center"/>
        <w:rPr>
          <w:b/>
          <w:sz w:val="24"/>
          <w:szCs w:val="24"/>
          <w:u w:val="single"/>
        </w:rPr>
      </w:pPr>
      <w:r w:rsidRPr="000D2C82">
        <w:rPr>
          <w:b/>
          <w:sz w:val="24"/>
          <w:szCs w:val="24"/>
          <w:u w:val="single"/>
        </w:rPr>
        <w:t>INITIAL DECISION</w:t>
      </w:r>
    </w:p>
    <w:p w:rsidR="00342AF9" w:rsidRDefault="00342AF9" w:rsidP="00342AF9">
      <w:pPr>
        <w:jc w:val="center"/>
        <w:rPr>
          <w:b/>
          <w:sz w:val="24"/>
          <w:szCs w:val="24"/>
          <w:u w:val="single"/>
        </w:rPr>
      </w:pPr>
    </w:p>
    <w:p w:rsidR="00342AF9" w:rsidRPr="000D2C82" w:rsidRDefault="00342AF9" w:rsidP="00342AF9">
      <w:pPr>
        <w:jc w:val="center"/>
        <w:rPr>
          <w:b/>
          <w:sz w:val="24"/>
          <w:szCs w:val="24"/>
          <w:u w:val="single"/>
        </w:rPr>
      </w:pPr>
    </w:p>
    <w:p w:rsidR="00342AF9" w:rsidRDefault="00342AF9" w:rsidP="00342AF9">
      <w:pPr>
        <w:jc w:val="center"/>
        <w:rPr>
          <w:sz w:val="24"/>
          <w:szCs w:val="24"/>
        </w:rPr>
      </w:pPr>
      <w:r>
        <w:rPr>
          <w:sz w:val="24"/>
          <w:szCs w:val="24"/>
        </w:rPr>
        <w:t>Before</w:t>
      </w:r>
    </w:p>
    <w:p w:rsidR="00342AF9" w:rsidRDefault="00342AF9" w:rsidP="00342AF9">
      <w:pPr>
        <w:jc w:val="center"/>
        <w:rPr>
          <w:sz w:val="24"/>
          <w:szCs w:val="24"/>
        </w:rPr>
      </w:pPr>
      <w:r>
        <w:rPr>
          <w:sz w:val="24"/>
          <w:szCs w:val="24"/>
        </w:rPr>
        <w:t>Susan D. Colwell</w:t>
      </w:r>
    </w:p>
    <w:p w:rsidR="00342AF9" w:rsidRDefault="00342AF9" w:rsidP="00342AF9">
      <w:pPr>
        <w:jc w:val="center"/>
        <w:rPr>
          <w:sz w:val="24"/>
          <w:szCs w:val="24"/>
        </w:rPr>
      </w:pPr>
      <w:r>
        <w:rPr>
          <w:sz w:val="24"/>
          <w:szCs w:val="24"/>
        </w:rPr>
        <w:t>Administrative Law Judge</w:t>
      </w:r>
    </w:p>
    <w:p w:rsidR="00342AF9" w:rsidRDefault="00342AF9" w:rsidP="00342AF9">
      <w:pPr>
        <w:jc w:val="center"/>
        <w:rPr>
          <w:sz w:val="24"/>
          <w:szCs w:val="24"/>
        </w:rPr>
      </w:pPr>
    </w:p>
    <w:p w:rsidR="00342AF9" w:rsidRDefault="00342AF9" w:rsidP="00342AF9">
      <w:pPr>
        <w:jc w:val="center"/>
        <w:rPr>
          <w:sz w:val="24"/>
          <w:szCs w:val="24"/>
        </w:rPr>
      </w:pPr>
    </w:p>
    <w:p w:rsidR="00342AF9" w:rsidRPr="001576AA" w:rsidRDefault="00342AF9" w:rsidP="00342AF9">
      <w:pPr>
        <w:jc w:val="center"/>
        <w:rPr>
          <w:sz w:val="24"/>
          <w:szCs w:val="24"/>
          <w:u w:val="single"/>
        </w:rPr>
      </w:pPr>
      <w:r>
        <w:rPr>
          <w:sz w:val="24"/>
          <w:szCs w:val="24"/>
          <w:u w:val="single"/>
        </w:rPr>
        <w:t>HISTORY OF THE PROCEEDING</w:t>
      </w:r>
    </w:p>
    <w:p w:rsidR="00342AF9" w:rsidRDefault="00342AF9" w:rsidP="00342AF9">
      <w:pPr>
        <w:jc w:val="center"/>
      </w:pPr>
    </w:p>
    <w:p w:rsidR="00342AF9" w:rsidRPr="007F47D3" w:rsidRDefault="00342AF9" w:rsidP="00342AF9">
      <w:pPr>
        <w:jc w:val="center"/>
      </w:pPr>
    </w:p>
    <w:p w:rsidR="00342AF9" w:rsidRPr="000574F2" w:rsidRDefault="00342AF9" w:rsidP="00342AF9">
      <w:pPr>
        <w:rPr>
          <w:sz w:val="24"/>
          <w:szCs w:val="24"/>
        </w:rPr>
      </w:pPr>
      <w:r>
        <w:rPr>
          <w:sz w:val="24"/>
          <w:szCs w:val="24"/>
        </w:rPr>
        <w:tab/>
      </w:r>
      <w:r>
        <w:rPr>
          <w:sz w:val="24"/>
          <w:szCs w:val="24"/>
        </w:rPr>
        <w:tab/>
        <w:t>This Initial Decision dismisses a formal complaint for failure to prosecute.</w:t>
      </w:r>
    </w:p>
    <w:p w:rsidR="00342AF9" w:rsidRDefault="00342AF9" w:rsidP="00342AF9"/>
    <w:p w:rsidR="00342AF9" w:rsidRDefault="00342AF9" w:rsidP="00342AF9">
      <w:pPr>
        <w:spacing w:line="360" w:lineRule="auto"/>
        <w:rPr>
          <w:sz w:val="24"/>
          <w:szCs w:val="24"/>
        </w:rPr>
      </w:pPr>
      <w:r>
        <w:tab/>
      </w:r>
      <w:r>
        <w:tab/>
      </w:r>
      <w:r w:rsidRPr="001576AA">
        <w:rPr>
          <w:sz w:val="24"/>
          <w:szCs w:val="24"/>
        </w:rPr>
        <w:t xml:space="preserve">On </w:t>
      </w:r>
      <w:r>
        <w:rPr>
          <w:sz w:val="24"/>
          <w:szCs w:val="24"/>
        </w:rPr>
        <w:t>October 29, 2014, David Wapensky (Complainant) filed a formal Complaint against PPL Electric Utilities Corporation (PPL or Respondent or Company) alleging that PPL had threatened termination or had already terminated service and that he would like a payment arrangement because his financial status had changed.</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The Complaint was served by the Commission's Secretary, under the Waiver of Section 702 program, under which the utility respondent waives the service requirements in 66 Pa.C.S. § 702.</w:t>
      </w:r>
      <w:r w:rsidR="00621668">
        <w:rPr>
          <w:sz w:val="24"/>
          <w:szCs w:val="24"/>
        </w:rPr>
        <w:t xml:space="preserve">  The audit history of the Commission's electronic document handling system indicates that the Complaint was served on October 29, 2014.</w:t>
      </w:r>
    </w:p>
    <w:p w:rsidR="00342AF9" w:rsidRDefault="00342AF9" w:rsidP="00342AF9">
      <w:pPr>
        <w:spacing w:line="360" w:lineRule="auto"/>
        <w:rPr>
          <w:sz w:val="24"/>
          <w:szCs w:val="24"/>
        </w:rPr>
      </w:pPr>
      <w:r>
        <w:rPr>
          <w:sz w:val="24"/>
          <w:szCs w:val="24"/>
        </w:rPr>
        <w:t xml:space="preserve"> </w:t>
      </w:r>
    </w:p>
    <w:p w:rsidR="00621668" w:rsidRDefault="00342AF9" w:rsidP="00342AF9">
      <w:pPr>
        <w:spacing w:line="360" w:lineRule="auto"/>
        <w:rPr>
          <w:sz w:val="24"/>
          <w:szCs w:val="24"/>
        </w:rPr>
      </w:pPr>
      <w:r>
        <w:rPr>
          <w:sz w:val="24"/>
          <w:szCs w:val="24"/>
        </w:rPr>
        <w:tab/>
      </w:r>
      <w:r>
        <w:rPr>
          <w:sz w:val="24"/>
          <w:szCs w:val="24"/>
        </w:rPr>
        <w:tab/>
        <w:t xml:space="preserve">On November 18, 2014, PPL filed its Answer which </w:t>
      </w:r>
      <w:r w:rsidR="003D45CE">
        <w:rPr>
          <w:sz w:val="24"/>
          <w:szCs w:val="24"/>
        </w:rPr>
        <w:t xml:space="preserve">stated that the Complainant had agreed to continue with a payment plan that developed from his prior formal complaint at </w:t>
      </w:r>
    </w:p>
    <w:p w:rsidR="00342AF9" w:rsidRDefault="003D45CE" w:rsidP="00342AF9">
      <w:pPr>
        <w:spacing w:line="360" w:lineRule="auto"/>
        <w:rPr>
          <w:sz w:val="24"/>
          <w:szCs w:val="24"/>
        </w:rPr>
      </w:pPr>
      <w:r>
        <w:rPr>
          <w:sz w:val="24"/>
          <w:szCs w:val="24"/>
        </w:rPr>
        <w:t>C-2014-2411806 (certificate of satisfaction filed on May 23, 2014).</w:t>
      </w:r>
    </w:p>
    <w:p w:rsidR="00342AF9" w:rsidRDefault="00342AF9" w:rsidP="00B94F6D">
      <w:pPr>
        <w:spacing w:line="360" w:lineRule="auto"/>
        <w:rPr>
          <w:sz w:val="24"/>
          <w:szCs w:val="24"/>
        </w:rPr>
      </w:pPr>
      <w:r>
        <w:rPr>
          <w:sz w:val="24"/>
          <w:szCs w:val="24"/>
        </w:rPr>
        <w:lastRenderedPageBreak/>
        <w:tab/>
      </w:r>
      <w:r>
        <w:rPr>
          <w:sz w:val="24"/>
          <w:szCs w:val="24"/>
        </w:rPr>
        <w:tab/>
        <w:t xml:space="preserve">On January 15, 2015, a Telephonic Hearing Notice was issued which set the evidentiary hearing for Thursday, February 19, 2015 at </w:t>
      </w:r>
      <w:r w:rsidR="003D45CE">
        <w:rPr>
          <w:sz w:val="24"/>
          <w:szCs w:val="24"/>
        </w:rPr>
        <w:t>1</w:t>
      </w:r>
      <w:r>
        <w:rPr>
          <w:sz w:val="24"/>
          <w:szCs w:val="24"/>
        </w:rPr>
        <w:t xml:space="preserve">:00 </w:t>
      </w:r>
      <w:r w:rsidR="003D45CE">
        <w:rPr>
          <w:sz w:val="24"/>
          <w:szCs w:val="24"/>
        </w:rPr>
        <w:t>p</w:t>
      </w:r>
      <w:r>
        <w:rPr>
          <w:sz w:val="24"/>
          <w:szCs w:val="24"/>
        </w:rPr>
        <w:t>.m. and assigned the case to me.  On January 22, 2015, I issued a Prehearing Order which set forth some of the formal requirements for a formal hearing before the Commission and repeated the time and date of the scheduled hearing.  Neither of these documents was returned as undeliverable.</w:t>
      </w:r>
    </w:p>
    <w:p w:rsidR="00342AF9" w:rsidRDefault="00342AF9" w:rsidP="00B94F6D">
      <w:pPr>
        <w:spacing w:line="360" w:lineRule="auto"/>
        <w:rPr>
          <w:sz w:val="24"/>
          <w:szCs w:val="24"/>
        </w:rPr>
      </w:pPr>
    </w:p>
    <w:p w:rsidR="00342AF9" w:rsidRDefault="00342AF9" w:rsidP="00B94F6D">
      <w:pPr>
        <w:spacing w:line="360" w:lineRule="auto"/>
        <w:rPr>
          <w:sz w:val="24"/>
          <w:szCs w:val="24"/>
        </w:rPr>
      </w:pPr>
      <w:r>
        <w:rPr>
          <w:sz w:val="24"/>
          <w:szCs w:val="24"/>
        </w:rPr>
        <w:tab/>
      </w:r>
      <w:r>
        <w:rPr>
          <w:sz w:val="24"/>
          <w:szCs w:val="24"/>
        </w:rPr>
        <w:tab/>
        <w:t xml:space="preserve">On February 12, 2015, counsel for PPL submitted proposed exhibits. </w:t>
      </w:r>
    </w:p>
    <w:p w:rsidR="00342AF9" w:rsidRDefault="00342AF9" w:rsidP="00B94F6D">
      <w:pPr>
        <w:spacing w:line="360" w:lineRule="auto"/>
        <w:rPr>
          <w:sz w:val="24"/>
          <w:szCs w:val="24"/>
        </w:rPr>
      </w:pPr>
    </w:p>
    <w:p w:rsidR="00342AF9" w:rsidRDefault="00342AF9" w:rsidP="00B94F6D">
      <w:pPr>
        <w:spacing w:line="360" w:lineRule="auto"/>
        <w:rPr>
          <w:sz w:val="24"/>
          <w:szCs w:val="24"/>
        </w:rPr>
      </w:pPr>
      <w:r>
        <w:rPr>
          <w:sz w:val="24"/>
          <w:szCs w:val="24"/>
        </w:rPr>
        <w:tab/>
      </w:r>
      <w:r>
        <w:rPr>
          <w:sz w:val="24"/>
          <w:szCs w:val="24"/>
        </w:rPr>
        <w:tab/>
        <w:t xml:space="preserve">On Thursday, February 19, 2015 at </w:t>
      </w:r>
      <w:r w:rsidR="003D45CE">
        <w:rPr>
          <w:sz w:val="24"/>
          <w:szCs w:val="24"/>
        </w:rPr>
        <w:t>1:00 p</w:t>
      </w:r>
      <w:r w:rsidR="00B94F6D">
        <w:rPr>
          <w:sz w:val="24"/>
          <w:szCs w:val="24"/>
        </w:rPr>
        <w:t>.</w:t>
      </w:r>
      <w:r w:rsidR="003D45CE">
        <w:rPr>
          <w:sz w:val="24"/>
          <w:szCs w:val="24"/>
        </w:rPr>
        <w:t>m</w:t>
      </w:r>
      <w:r>
        <w:rPr>
          <w:sz w:val="24"/>
          <w:szCs w:val="24"/>
        </w:rPr>
        <w:t>., I called the Com</w:t>
      </w:r>
      <w:r w:rsidR="003D45CE">
        <w:rPr>
          <w:sz w:val="24"/>
          <w:szCs w:val="24"/>
        </w:rPr>
        <w:t xml:space="preserve">pany and the number provided </w:t>
      </w:r>
      <w:r>
        <w:rPr>
          <w:sz w:val="24"/>
          <w:szCs w:val="24"/>
        </w:rPr>
        <w:t xml:space="preserve">on </w:t>
      </w:r>
      <w:r w:rsidR="003D45CE">
        <w:rPr>
          <w:sz w:val="24"/>
          <w:szCs w:val="24"/>
        </w:rPr>
        <w:t>the C</w:t>
      </w:r>
      <w:r>
        <w:rPr>
          <w:sz w:val="24"/>
          <w:szCs w:val="24"/>
        </w:rPr>
        <w:t xml:space="preserve">omplaint.  The call was answered by an answering machine that </w:t>
      </w:r>
      <w:r w:rsidR="003D45CE">
        <w:rPr>
          <w:sz w:val="24"/>
          <w:szCs w:val="24"/>
        </w:rPr>
        <w:t xml:space="preserve">identified the telephone number as belonging to Complainant and </w:t>
      </w:r>
      <w:r>
        <w:rPr>
          <w:sz w:val="24"/>
          <w:szCs w:val="24"/>
        </w:rPr>
        <w:t>informed me that no one was available to take my call.  I left a message informing Complainant that I would call again in about ten</w:t>
      </w:r>
      <w:r w:rsidR="003D45CE">
        <w:rPr>
          <w:sz w:val="24"/>
          <w:szCs w:val="24"/>
        </w:rPr>
        <w:t xml:space="preserve"> to fifteen</w:t>
      </w:r>
      <w:r>
        <w:rPr>
          <w:sz w:val="24"/>
          <w:szCs w:val="24"/>
        </w:rPr>
        <w:t xml:space="preserve"> minutes, and if he did not answer the phone at that time, h</w:t>
      </w:r>
      <w:r w:rsidR="003D45CE">
        <w:rPr>
          <w:sz w:val="24"/>
          <w:szCs w:val="24"/>
        </w:rPr>
        <w:t>is</w:t>
      </w:r>
      <w:r>
        <w:rPr>
          <w:sz w:val="24"/>
          <w:szCs w:val="24"/>
        </w:rPr>
        <w:t xml:space="preserve"> Complaint would be dismissed.  </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 xml:space="preserve">After </w:t>
      </w:r>
      <w:r w:rsidR="003D45CE">
        <w:rPr>
          <w:sz w:val="24"/>
          <w:szCs w:val="24"/>
        </w:rPr>
        <w:t>fifteen</w:t>
      </w:r>
      <w:r>
        <w:rPr>
          <w:sz w:val="24"/>
          <w:szCs w:val="24"/>
        </w:rPr>
        <w:t xml:space="preserve"> minutes, or about </w:t>
      </w:r>
      <w:r w:rsidR="003D45CE">
        <w:rPr>
          <w:sz w:val="24"/>
          <w:szCs w:val="24"/>
        </w:rPr>
        <w:t>1</w:t>
      </w:r>
      <w:r>
        <w:rPr>
          <w:sz w:val="24"/>
          <w:szCs w:val="24"/>
        </w:rPr>
        <w:t>:</w:t>
      </w:r>
      <w:r w:rsidR="003D45CE">
        <w:rPr>
          <w:sz w:val="24"/>
          <w:szCs w:val="24"/>
        </w:rPr>
        <w:t>15</w:t>
      </w:r>
      <w:r>
        <w:rPr>
          <w:sz w:val="24"/>
          <w:szCs w:val="24"/>
        </w:rPr>
        <w:t xml:space="preserve"> </w:t>
      </w:r>
      <w:r w:rsidR="003D45CE">
        <w:rPr>
          <w:sz w:val="24"/>
          <w:szCs w:val="24"/>
        </w:rPr>
        <w:t>p</w:t>
      </w:r>
      <w:r>
        <w:rPr>
          <w:sz w:val="24"/>
          <w:szCs w:val="24"/>
        </w:rPr>
        <w:t xml:space="preserve">.m., I called Complainant's telephone number </w:t>
      </w:r>
      <w:r w:rsidR="003D45CE">
        <w:rPr>
          <w:sz w:val="24"/>
          <w:szCs w:val="24"/>
        </w:rPr>
        <w:t>three additional times, and each time the call was disconnected before the answering machine could pick up.</w:t>
      </w:r>
      <w:r>
        <w:rPr>
          <w:sz w:val="24"/>
          <w:szCs w:val="24"/>
        </w:rPr>
        <w:t xml:space="preserve">  I called the Company telephone number and convened the hearing in Complainant's absence.  PPL counsel moved to dismiss the Complaint for failure to prosecute, and the hearing ended.  A transcript was generated.</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Following the hearing, I discovered that Complainant had filed a document which states:</w:t>
      </w:r>
    </w:p>
    <w:p w:rsidR="00342AF9" w:rsidRDefault="00342AF9" w:rsidP="00342AF9">
      <w:pPr>
        <w:pStyle w:val="Default"/>
      </w:pPr>
    </w:p>
    <w:p w:rsidR="00342AF9" w:rsidRDefault="00342AF9" w:rsidP="003D45CE">
      <w:pPr>
        <w:pStyle w:val="Default"/>
        <w:ind w:left="1440" w:right="1440"/>
        <w:rPr>
          <w:b/>
          <w:bCs/>
        </w:rPr>
      </w:pPr>
      <w:r w:rsidRPr="00621668">
        <w:t xml:space="preserve">RE Docket </w:t>
      </w:r>
      <w:r w:rsidRPr="00621668">
        <w:rPr>
          <w:b/>
          <w:bCs/>
        </w:rPr>
        <w:t xml:space="preserve">C-2014-2450200 </w:t>
      </w:r>
    </w:p>
    <w:p w:rsidR="00621668" w:rsidRPr="00621668" w:rsidRDefault="00621668" w:rsidP="003D45CE">
      <w:pPr>
        <w:pStyle w:val="Default"/>
        <w:ind w:left="1440" w:right="1440"/>
      </w:pPr>
    </w:p>
    <w:p w:rsidR="00342AF9" w:rsidRPr="00621668" w:rsidRDefault="00342AF9" w:rsidP="003D45CE">
      <w:pPr>
        <w:pStyle w:val="Default"/>
        <w:ind w:left="1440" w:right="1440"/>
      </w:pPr>
      <w:r w:rsidRPr="00621668">
        <w:t xml:space="preserve">I David J Wapensky wish to drop my formal complaint against PPL Utilities dated 10/28/2014. I will be able to make the previous payment arrangement as outlined in Docket </w:t>
      </w:r>
      <w:r w:rsidRPr="00621668">
        <w:rPr>
          <w:b/>
          <w:bCs/>
        </w:rPr>
        <w:t>C-2014-2450200</w:t>
      </w:r>
      <w:r w:rsidRPr="00621668">
        <w:t xml:space="preserve">. </w:t>
      </w:r>
    </w:p>
    <w:p w:rsidR="00342AF9" w:rsidRPr="00621668" w:rsidRDefault="00342AF9" w:rsidP="003D45CE">
      <w:pPr>
        <w:pStyle w:val="Default"/>
        <w:ind w:left="1440" w:right="1440"/>
      </w:pPr>
      <w:r w:rsidRPr="00621668">
        <w:t xml:space="preserve">Thank You </w:t>
      </w:r>
    </w:p>
    <w:p w:rsidR="003D45CE" w:rsidRPr="00621668" w:rsidRDefault="003D45CE" w:rsidP="003D45CE">
      <w:pPr>
        <w:pStyle w:val="Default"/>
        <w:ind w:left="1440" w:right="1440"/>
      </w:pPr>
      <w:r w:rsidRPr="00621668">
        <w:t>David Wapensky</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 xml:space="preserve">The </w:t>
      </w:r>
      <w:r w:rsidR="007C6CC0">
        <w:rPr>
          <w:sz w:val="24"/>
          <w:szCs w:val="24"/>
        </w:rPr>
        <w:t xml:space="preserve">record closed when Complainant failed to appear, and the </w:t>
      </w:r>
      <w:r>
        <w:rPr>
          <w:sz w:val="24"/>
          <w:szCs w:val="24"/>
        </w:rPr>
        <w:t>matter is ripe for decision.</w:t>
      </w:r>
    </w:p>
    <w:p w:rsidR="00342AF9" w:rsidRPr="00036C2C" w:rsidRDefault="00342AF9" w:rsidP="00342AF9">
      <w:pPr>
        <w:spacing w:line="360" w:lineRule="auto"/>
        <w:jc w:val="center"/>
        <w:rPr>
          <w:sz w:val="24"/>
          <w:szCs w:val="24"/>
          <w:u w:val="single"/>
        </w:rPr>
      </w:pPr>
      <w:r w:rsidRPr="00036C2C">
        <w:rPr>
          <w:sz w:val="24"/>
          <w:szCs w:val="24"/>
          <w:u w:val="single"/>
        </w:rPr>
        <w:t>FINDINGS OF FACT</w:t>
      </w:r>
    </w:p>
    <w:p w:rsidR="00342AF9" w:rsidRDefault="00342AF9" w:rsidP="00342AF9">
      <w:pPr>
        <w:spacing w:line="360" w:lineRule="auto"/>
        <w:jc w:val="center"/>
        <w:rPr>
          <w:sz w:val="24"/>
          <w:szCs w:val="24"/>
        </w:rPr>
      </w:pPr>
    </w:p>
    <w:p w:rsidR="00342AF9" w:rsidRDefault="00342AF9" w:rsidP="00342AF9">
      <w:pPr>
        <w:spacing w:line="360" w:lineRule="auto"/>
        <w:rPr>
          <w:sz w:val="24"/>
          <w:szCs w:val="24"/>
        </w:rPr>
      </w:pPr>
      <w:r>
        <w:rPr>
          <w:sz w:val="24"/>
          <w:szCs w:val="24"/>
        </w:rPr>
        <w:tab/>
      </w:r>
      <w:r>
        <w:rPr>
          <w:sz w:val="24"/>
          <w:szCs w:val="24"/>
        </w:rPr>
        <w:tab/>
        <w:t>1.</w:t>
      </w:r>
      <w:r>
        <w:rPr>
          <w:sz w:val="24"/>
          <w:szCs w:val="24"/>
        </w:rPr>
        <w:tab/>
        <w:t xml:space="preserve">Complainant is </w:t>
      </w:r>
      <w:r w:rsidR="003D45CE">
        <w:rPr>
          <w:sz w:val="24"/>
          <w:szCs w:val="24"/>
        </w:rPr>
        <w:t>David Wapensky, 22 East Ludlow Street, Summit Hill PA</w:t>
      </w:r>
      <w:r>
        <w:rPr>
          <w:sz w:val="24"/>
          <w:szCs w:val="24"/>
        </w:rPr>
        <w:t xml:space="preserve"> 182</w:t>
      </w:r>
      <w:r w:rsidR="003D45CE">
        <w:rPr>
          <w:sz w:val="24"/>
          <w:szCs w:val="24"/>
        </w:rPr>
        <w:t>50</w:t>
      </w:r>
      <w:r>
        <w:rPr>
          <w:sz w:val="24"/>
          <w:szCs w:val="24"/>
        </w:rPr>
        <w:t>.</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2.</w:t>
      </w:r>
      <w:r>
        <w:rPr>
          <w:sz w:val="24"/>
          <w:szCs w:val="24"/>
        </w:rPr>
        <w:tab/>
        <w:t>Respondent is PPL Electric Utilities Corporation, a jurisdictional public utility providing electric distribution service in the Commonwealth of Pennsylvania.</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3.</w:t>
      </w:r>
      <w:r>
        <w:rPr>
          <w:sz w:val="24"/>
          <w:szCs w:val="24"/>
        </w:rPr>
        <w:tab/>
        <w:t>On October 2</w:t>
      </w:r>
      <w:r w:rsidR="003D45CE">
        <w:rPr>
          <w:sz w:val="24"/>
          <w:szCs w:val="24"/>
        </w:rPr>
        <w:t>9</w:t>
      </w:r>
      <w:r>
        <w:rPr>
          <w:sz w:val="24"/>
          <w:szCs w:val="24"/>
        </w:rPr>
        <w:t xml:space="preserve">, 2014, Complainant filed a formal Complaint against Respondent.  </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4.</w:t>
      </w:r>
      <w:r>
        <w:rPr>
          <w:sz w:val="24"/>
          <w:szCs w:val="24"/>
        </w:rPr>
        <w:tab/>
        <w:t>On November 1</w:t>
      </w:r>
      <w:r w:rsidR="003D45CE">
        <w:rPr>
          <w:sz w:val="24"/>
          <w:szCs w:val="24"/>
        </w:rPr>
        <w:t>8</w:t>
      </w:r>
      <w:r>
        <w:rPr>
          <w:sz w:val="24"/>
          <w:szCs w:val="24"/>
        </w:rPr>
        <w:t>, 2014, Respondent filed its Answer denying any wrongdoing.</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5.</w:t>
      </w:r>
      <w:r>
        <w:rPr>
          <w:sz w:val="24"/>
          <w:szCs w:val="24"/>
        </w:rPr>
        <w:tab/>
        <w:t xml:space="preserve">On January 15, 2015, a Telephonic Hearing Notice was issued which set the evidentiary hearing for Thursday, February 19, 2015, at </w:t>
      </w:r>
      <w:r w:rsidR="003D45CE">
        <w:rPr>
          <w:sz w:val="24"/>
          <w:szCs w:val="24"/>
        </w:rPr>
        <w:t>1</w:t>
      </w:r>
      <w:r>
        <w:rPr>
          <w:sz w:val="24"/>
          <w:szCs w:val="24"/>
        </w:rPr>
        <w:t xml:space="preserve">:00 </w:t>
      </w:r>
      <w:r w:rsidR="003D45CE">
        <w:rPr>
          <w:sz w:val="24"/>
          <w:szCs w:val="24"/>
        </w:rPr>
        <w:t>p</w:t>
      </w:r>
      <w:r>
        <w:rPr>
          <w:sz w:val="24"/>
          <w:szCs w:val="24"/>
        </w:rPr>
        <w:t>.m.</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6.</w:t>
      </w:r>
      <w:r>
        <w:rPr>
          <w:sz w:val="24"/>
          <w:szCs w:val="24"/>
        </w:rPr>
        <w:tab/>
        <w:t>On January 22, 2015, a Prehearing Notice was issued which set forth some of the requirements of a formal hearing, stated the date and time of the scheduled telephonic hearing, and warned the parties that failure to participate would result in dismissal.</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7.</w:t>
      </w:r>
      <w:r>
        <w:rPr>
          <w:sz w:val="24"/>
          <w:szCs w:val="24"/>
        </w:rPr>
        <w:tab/>
        <w:t>Complainant failed to appear at the scheduled time for the hearing.</w:t>
      </w:r>
    </w:p>
    <w:p w:rsidR="00342AF9" w:rsidRDefault="00342AF9" w:rsidP="00342AF9">
      <w:pPr>
        <w:spacing w:line="360" w:lineRule="auto"/>
        <w:rPr>
          <w:sz w:val="24"/>
          <w:szCs w:val="24"/>
        </w:rPr>
      </w:pPr>
    </w:p>
    <w:p w:rsidR="00342AF9" w:rsidRDefault="00342AF9" w:rsidP="00342AF9">
      <w:pPr>
        <w:spacing w:line="360" w:lineRule="auto"/>
        <w:rPr>
          <w:sz w:val="24"/>
          <w:szCs w:val="24"/>
        </w:rPr>
      </w:pPr>
      <w:r>
        <w:rPr>
          <w:sz w:val="24"/>
          <w:szCs w:val="24"/>
        </w:rPr>
        <w:tab/>
      </w:r>
      <w:r>
        <w:rPr>
          <w:sz w:val="24"/>
          <w:szCs w:val="24"/>
        </w:rPr>
        <w:tab/>
        <w:t>8.</w:t>
      </w:r>
      <w:r>
        <w:rPr>
          <w:sz w:val="24"/>
          <w:szCs w:val="24"/>
        </w:rPr>
        <w:tab/>
        <w:t>Complainant failed to seek a continuance or to provide an excuse for h</w:t>
      </w:r>
      <w:r w:rsidR="003D45CE">
        <w:rPr>
          <w:sz w:val="24"/>
          <w:szCs w:val="24"/>
        </w:rPr>
        <w:t>is</w:t>
      </w:r>
      <w:r>
        <w:rPr>
          <w:sz w:val="24"/>
          <w:szCs w:val="24"/>
        </w:rPr>
        <w:t xml:space="preserve"> absence.</w:t>
      </w:r>
    </w:p>
    <w:p w:rsidR="003D45CE" w:rsidRDefault="003D45CE" w:rsidP="00342AF9">
      <w:pPr>
        <w:spacing w:line="360" w:lineRule="auto"/>
        <w:rPr>
          <w:sz w:val="24"/>
          <w:szCs w:val="24"/>
        </w:rPr>
      </w:pPr>
    </w:p>
    <w:p w:rsidR="003D45CE" w:rsidRDefault="003D45CE" w:rsidP="00342AF9">
      <w:pPr>
        <w:spacing w:line="360" w:lineRule="auto"/>
        <w:rPr>
          <w:sz w:val="24"/>
          <w:szCs w:val="24"/>
        </w:rPr>
      </w:pPr>
      <w:r>
        <w:rPr>
          <w:sz w:val="24"/>
          <w:szCs w:val="24"/>
        </w:rPr>
        <w:tab/>
      </w:r>
      <w:r>
        <w:rPr>
          <w:sz w:val="24"/>
          <w:szCs w:val="24"/>
        </w:rPr>
        <w:tab/>
        <w:t>9.</w:t>
      </w:r>
      <w:r>
        <w:rPr>
          <w:sz w:val="24"/>
          <w:szCs w:val="24"/>
        </w:rPr>
        <w:tab/>
        <w:t xml:space="preserve">Complainant filed a one-page document </w:t>
      </w:r>
      <w:r w:rsidR="008746EA">
        <w:rPr>
          <w:sz w:val="24"/>
          <w:szCs w:val="24"/>
        </w:rPr>
        <w:t>stating that he wishes to drop his formal complaint at this docket on Thursday, February 19, 2015 at noon.</w:t>
      </w:r>
    </w:p>
    <w:p w:rsidR="00342AF9" w:rsidRDefault="00342AF9" w:rsidP="00342AF9">
      <w:pPr>
        <w:spacing w:line="360" w:lineRule="auto"/>
        <w:rPr>
          <w:sz w:val="24"/>
          <w:szCs w:val="24"/>
        </w:rPr>
      </w:pPr>
    </w:p>
    <w:p w:rsidR="00621668" w:rsidRDefault="00621668" w:rsidP="00342AF9">
      <w:pPr>
        <w:spacing w:line="360" w:lineRule="auto"/>
        <w:rPr>
          <w:sz w:val="24"/>
          <w:szCs w:val="24"/>
        </w:rPr>
      </w:pPr>
    </w:p>
    <w:p w:rsidR="00621668" w:rsidRDefault="00621668" w:rsidP="00342AF9">
      <w:pPr>
        <w:spacing w:line="360" w:lineRule="auto"/>
        <w:rPr>
          <w:sz w:val="24"/>
          <w:szCs w:val="24"/>
        </w:rPr>
      </w:pPr>
    </w:p>
    <w:p w:rsidR="00342AF9" w:rsidRPr="00036C2C" w:rsidRDefault="00342AF9" w:rsidP="00342AF9">
      <w:pPr>
        <w:spacing w:line="360" w:lineRule="auto"/>
        <w:jc w:val="center"/>
        <w:rPr>
          <w:sz w:val="24"/>
          <w:szCs w:val="24"/>
          <w:u w:val="single"/>
        </w:rPr>
      </w:pPr>
      <w:r w:rsidRPr="00036C2C">
        <w:rPr>
          <w:sz w:val="24"/>
          <w:szCs w:val="24"/>
          <w:u w:val="single"/>
        </w:rPr>
        <w:t>DISCUSSION</w:t>
      </w:r>
    </w:p>
    <w:p w:rsidR="00342AF9" w:rsidRDefault="00342AF9" w:rsidP="00342AF9">
      <w:pPr>
        <w:spacing w:line="360" w:lineRule="auto"/>
        <w:jc w:val="center"/>
        <w:rPr>
          <w:sz w:val="24"/>
          <w:szCs w:val="24"/>
        </w:rPr>
      </w:pPr>
    </w:p>
    <w:p w:rsidR="00342AF9" w:rsidRDefault="00342AF9" w:rsidP="00342AF9">
      <w:pPr>
        <w:spacing w:line="360" w:lineRule="auto"/>
        <w:rPr>
          <w:sz w:val="24"/>
          <w:szCs w:val="24"/>
        </w:rPr>
      </w:pPr>
      <w:r>
        <w:rPr>
          <w:sz w:val="24"/>
          <w:szCs w:val="24"/>
        </w:rPr>
        <w:tab/>
      </w:r>
      <w:r>
        <w:rPr>
          <w:sz w:val="24"/>
          <w:szCs w:val="24"/>
        </w:rPr>
        <w:tab/>
        <w:t>Complainant alleges that Respondent has threaten</w:t>
      </w:r>
      <w:r w:rsidR="008746EA">
        <w:rPr>
          <w:sz w:val="24"/>
          <w:szCs w:val="24"/>
        </w:rPr>
        <w:t>ed</w:t>
      </w:r>
      <w:r>
        <w:rPr>
          <w:sz w:val="24"/>
          <w:szCs w:val="24"/>
        </w:rPr>
        <w:t xml:space="preserve"> h</w:t>
      </w:r>
      <w:r w:rsidR="008746EA">
        <w:rPr>
          <w:sz w:val="24"/>
          <w:szCs w:val="24"/>
        </w:rPr>
        <w:t>im</w:t>
      </w:r>
      <w:r>
        <w:rPr>
          <w:sz w:val="24"/>
          <w:szCs w:val="24"/>
        </w:rPr>
        <w:t xml:space="preserve"> with termination, </w:t>
      </w:r>
      <w:r w:rsidR="008746EA">
        <w:rPr>
          <w:sz w:val="24"/>
          <w:szCs w:val="24"/>
        </w:rPr>
        <w:t>and that he would like a payment arrangement as his financial status has changed.  According to the Commission's electronic document handling system, Complainant filed a letter stating that he wished to withdraw his Complaint at noon, just before the hearing was scheduled to be held.  He did not contact my office at that time, and he did not serve me with a copy of his letter.</w:t>
      </w:r>
      <w:r w:rsidR="00AA53AA">
        <w:rPr>
          <w:sz w:val="24"/>
          <w:szCs w:val="24"/>
        </w:rPr>
        <w:t xml:space="preserve">  As I had checked the docket earlier, and the letter was not filed until noon, I did not see the letter until after the hearing had been held and Respondent had orally moved to dismiss the complaint for failure to prosecute.</w:t>
      </w:r>
    </w:p>
    <w:p w:rsidR="00BF7622" w:rsidRDefault="00BF7622" w:rsidP="00342AF9">
      <w:pPr>
        <w:spacing w:line="360" w:lineRule="auto"/>
        <w:rPr>
          <w:sz w:val="24"/>
          <w:szCs w:val="24"/>
        </w:rPr>
      </w:pPr>
    </w:p>
    <w:p w:rsidR="00BF7622" w:rsidRDefault="00BF7622" w:rsidP="00BF7622">
      <w:pPr>
        <w:spacing w:line="360" w:lineRule="auto"/>
        <w:rPr>
          <w:sz w:val="24"/>
          <w:szCs w:val="24"/>
        </w:rPr>
      </w:pPr>
      <w:r>
        <w:rPr>
          <w:sz w:val="24"/>
          <w:szCs w:val="24"/>
        </w:rPr>
        <w:tab/>
      </w:r>
      <w:r>
        <w:rPr>
          <w:sz w:val="24"/>
          <w:szCs w:val="24"/>
        </w:rPr>
        <w:tab/>
        <w:t>I note that the prehearing order states that "if you intend to present any documents for my consideration, you must mail one copy to the other party, and mail three copies to me prior to the date of the hearing."  PHO ¶ 1.  In addition, "A copy of anything filed with the Secretary or submitted shall be sent directly to the presiding officer."  PHO ¶5.</w:t>
      </w:r>
      <w:r w:rsidR="00AA53AA">
        <w:rPr>
          <w:sz w:val="24"/>
          <w:szCs w:val="24"/>
        </w:rPr>
        <w:t xml:space="preserve">  Finally</w:t>
      </w:r>
      <w:r>
        <w:rPr>
          <w:sz w:val="24"/>
          <w:szCs w:val="24"/>
        </w:rPr>
        <w:t xml:space="preserve">, "This hearing is a formal proceeding and will be conducted in accordance with the Commission’s rules of practice and procedure.  52 Pa. Code Chapters 1, 3 and 5."  PHO ¶7.  </w:t>
      </w:r>
    </w:p>
    <w:p w:rsidR="00BF7622" w:rsidRDefault="00BF7622" w:rsidP="00BF7622">
      <w:pPr>
        <w:spacing w:line="360" w:lineRule="auto"/>
        <w:rPr>
          <w:sz w:val="24"/>
          <w:szCs w:val="24"/>
        </w:rPr>
      </w:pPr>
    </w:p>
    <w:p w:rsidR="00BF7622" w:rsidRDefault="00BF7622" w:rsidP="00BF7622">
      <w:pPr>
        <w:spacing w:line="360" w:lineRule="auto"/>
        <w:rPr>
          <w:sz w:val="24"/>
          <w:szCs w:val="24"/>
        </w:rPr>
      </w:pPr>
      <w:r>
        <w:rPr>
          <w:sz w:val="24"/>
          <w:szCs w:val="24"/>
        </w:rPr>
        <w:tab/>
      </w:r>
      <w:r>
        <w:rPr>
          <w:sz w:val="24"/>
          <w:szCs w:val="24"/>
        </w:rPr>
        <w:tab/>
        <w:t>Commission regulations states:</w:t>
      </w:r>
    </w:p>
    <w:p w:rsidR="00BF7622" w:rsidRPr="00BF7622" w:rsidRDefault="00BF7622" w:rsidP="00BF7622">
      <w:pPr>
        <w:spacing w:before="100" w:beforeAutospacing="1" w:after="100" w:afterAutospacing="1"/>
        <w:ind w:left="1440" w:right="1440"/>
        <w:outlineLvl w:val="3"/>
        <w:rPr>
          <w:b/>
          <w:bCs/>
          <w:sz w:val="24"/>
          <w:szCs w:val="24"/>
        </w:rPr>
      </w:pPr>
      <w:bookmarkStart w:id="1" w:name="1.54."/>
      <w:r w:rsidRPr="00BF7622">
        <w:rPr>
          <w:b/>
          <w:bCs/>
          <w:sz w:val="27"/>
          <w:szCs w:val="27"/>
        </w:rPr>
        <w:t xml:space="preserve">§ 1.54. </w:t>
      </w:r>
      <w:r w:rsidRPr="00BF7622">
        <w:rPr>
          <w:b/>
          <w:bCs/>
          <w:sz w:val="24"/>
          <w:szCs w:val="24"/>
        </w:rPr>
        <w:t>Service by a party.</w:t>
      </w:r>
    </w:p>
    <w:p w:rsidR="00BF7622" w:rsidRDefault="00BF7622" w:rsidP="00BF7622">
      <w:pPr>
        <w:spacing w:before="100" w:beforeAutospacing="1" w:after="100" w:afterAutospacing="1"/>
        <w:ind w:left="1440" w:right="1440"/>
        <w:rPr>
          <w:sz w:val="24"/>
          <w:szCs w:val="24"/>
        </w:rPr>
      </w:pPr>
      <w:r w:rsidRPr="00BF7622">
        <w:rPr>
          <w:sz w:val="24"/>
          <w:szCs w:val="24"/>
        </w:rPr>
        <w:t xml:space="preserve">(a) Pleadings, submittals, briefs and other documents, filed in proceedings pending before the Commission shall be served upon parties in the proceeding and upon the presiding officer, if one has been assigned. </w:t>
      </w:r>
    </w:p>
    <w:p w:rsidR="00BF7622" w:rsidRPr="00BF7622" w:rsidRDefault="00BF7622" w:rsidP="00BF7622">
      <w:pPr>
        <w:spacing w:before="100" w:beforeAutospacing="1" w:after="100" w:afterAutospacing="1"/>
        <w:ind w:left="1440" w:right="1440"/>
        <w:jc w:val="center"/>
        <w:rPr>
          <w:sz w:val="24"/>
          <w:szCs w:val="24"/>
        </w:rPr>
      </w:pPr>
      <w:r>
        <w:rPr>
          <w:sz w:val="24"/>
          <w:szCs w:val="24"/>
        </w:rPr>
        <w:t>* * *</w:t>
      </w:r>
    </w:p>
    <w:bookmarkEnd w:id="1"/>
    <w:p w:rsidR="00BF7622" w:rsidRDefault="00BF7622" w:rsidP="00BF7622">
      <w:pPr>
        <w:spacing w:line="360" w:lineRule="auto"/>
        <w:rPr>
          <w:sz w:val="24"/>
          <w:szCs w:val="24"/>
        </w:rPr>
      </w:pPr>
      <w:r>
        <w:rPr>
          <w:sz w:val="24"/>
          <w:szCs w:val="24"/>
        </w:rPr>
        <w:t>52 Pa.Code § 1.54(a).</w:t>
      </w:r>
    </w:p>
    <w:p w:rsidR="00BF7622" w:rsidRDefault="00BF7622" w:rsidP="00342AF9">
      <w:pPr>
        <w:spacing w:line="360" w:lineRule="auto"/>
        <w:rPr>
          <w:sz w:val="24"/>
          <w:szCs w:val="24"/>
        </w:rPr>
      </w:pPr>
      <w:r>
        <w:rPr>
          <w:sz w:val="24"/>
          <w:szCs w:val="24"/>
        </w:rPr>
        <w:t xml:space="preserve">  </w:t>
      </w:r>
    </w:p>
    <w:p w:rsidR="00AA53AA" w:rsidRDefault="00BF7622" w:rsidP="00342AF9">
      <w:pPr>
        <w:spacing w:line="360" w:lineRule="auto"/>
        <w:rPr>
          <w:sz w:val="24"/>
          <w:szCs w:val="24"/>
        </w:rPr>
      </w:pPr>
      <w:r>
        <w:rPr>
          <w:sz w:val="24"/>
          <w:szCs w:val="24"/>
        </w:rPr>
        <w:tab/>
      </w:r>
      <w:r>
        <w:rPr>
          <w:sz w:val="24"/>
          <w:szCs w:val="24"/>
        </w:rPr>
        <w:tab/>
      </w:r>
      <w:r w:rsidR="0069208D">
        <w:rPr>
          <w:sz w:val="24"/>
          <w:szCs w:val="24"/>
        </w:rPr>
        <w:t xml:space="preserve">Complainant was required to serve me with his letter </w:t>
      </w:r>
      <w:r w:rsidR="00AA53AA">
        <w:rPr>
          <w:sz w:val="24"/>
          <w:szCs w:val="24"/>
        </w:rPr>
        <w:t xml:space="preserve">sufficiently before the hearing to permit me to consider it, </w:t>
      </w:r>
      <w:r w:rsidR="0069208D">
        <w:rPr>
          <w:sz w:val="24"/>
          <w:szCs w:val="24"/>
        </w:rPr>
        <w:t xml:space="preserve">and </w:t>
      </w:r>
      <w:r w:rsidR="00AA53AA">
        <w:rPr>
          <w:sz w:val="24"/>
          <w:szCs w:val="24"/>
        </w:rPr>
        <w:t xml:space="preserve">he </w:t>
      </w:r>
      <w:r w:rsidR="0069208D">
        <w:rPr>
          <w:sz w:val="24"/>
          <w:szCs w:val="24"/>
        </w:rPr>
        <w:t>did not.</w:t>
      </w:r>
      <w:r w:rsidR="00621668">
        <w:rPr>
          <w:rStyle w:val="FootnoteReference"/>
          <w:sz w:val="24"/>
          <w:szCs w:val="24"/>
        </w:rPr>
        <w:footnoteReference w:id="1"/>
      </w:r>
      <w:r w:rsidR="0069208D">
        <w:rPr>
          <w:sz w:val="24"/>
          <w:szCs w:val="24"/>
        </w:rPr>
        <w:t xml:space="preserve">  </w:t>
      </w:r>
      <w:r>
        <w:rPr>
          <w:sz w:val="24"/>
          <w:szCs w:val="24"/>
        </w:rPr>
        <w:t xml:space="preserve">The fact that Complainant made no attempt to contact my office prior to the hearing, although the hearing notice has contact information on it, and the fact that the letter was filed one hour prior to the hearing date, which almost ensures that it would not be seen prior to the time of the hearing, casts doubt upon the </w:t>
      </w:r>
      <w:r w:rsidR="00056C13">
        <w:rPr>
          <w:sz w:val="24"/>
          <w:szCs w:val="24"/>
        </w:rPr>
        <w:t>good faith</w:t>
      </w:r>
      <w:r>
        <w:rPr>
          <w:sz w:val="24"/>
          <w:szCs w:val="24"/>
        </w:rPr>
        <w:t xml:space="preserve"> of Complainant's </w:t>
      </w:r>
      <w:r w:rsidR="00056C13">
        <w:rPr>
          <w:sz w:val="24"/>
          <w:szCs w:val="24"/>
        </w:rPr>
        <w:t>action</w:t>
      </w:r>
      <w:r>
        <w:rPr>
          <w:sz w:val="24"/>
          <w:szCs w:val="24"/>
        </w:rPr>
        <w:t xml:space="preserve">s.  A withdrawal would not act as a bar to the subsequent filing of another formal complaint, where an initial decision that becomes final by operation of law would bar </w:t>
      </w:r>
      <w:r w:rsidR="0069208D">
        <w:rPr>
          <w:sz w:val="24"/>
          <w:szCs w:val="24"/>
        </w:rPr>
        <w:t xml:space="preserve">consideration of another complaint on the same subject matter. </w:t>
      </w:r>
      <w:r w:rsidR="00AA53AA">
        <w:rPr>
          <w:sz w:val="24"/>
          <w:szCs w:val="24"/>
        </w:rPr>
        <w:t xml:space="preserve"> </w:t>
      </w:r>
    </w:p>
    <w:p w:rsidR="00AA53AA" w:rsidRDefault="00AA53AA" w:rsidP="00342AF9">
      <w:pPr>
        <w:spacing w:line="360" w:lineRule="auto"/>
        <w:rPr>
          <w:sz w:val="24"/>
          <w:szCs w:val="24"/>
        </w:rPr>
      </w:pPr>
    </w:p>
    <w:p w:rsidR="00BF7622" w:rsidRPr="00621668" w:rsidRDefault="00AA53AA" w:rsidP="00621668">
      <w:pPr>
        <w:spacing w:line="360" w:lineRule="auto"/>
        <w:rPr>
          <w:sz w:val="24"/>
          <w:szCs w:val="24"/>
        </w:rPr>
      </w:pPr>
      <w:r>
        <w:rPr>
          <w:sz w:val="24"/>
          <w:szCs w:val="24"/>
        </w:rPr>
        <w:tab/>
      </w:r>
      <w:r>
        <w:rPr>
          <w:sz w:val="24"/>
          <w:szCs w:val="24"/>
        </w:rPr>
        <w:tab/>
      </w:r>
      <w:r w:rsidRPr="00621668">
        <w:rPr>
          <w:sz w:val="24"/>
          <w:szCs w:val="24"/>
        </w:rPr>
        <w:t xml:space="preserve">A document not properly served or filed within a reasonable time prior to the scheduled hearing need not be considered as it violates the provisions of the prehearing order and the Commission's regulations.  </w:t>
      </w:r>
      <w:r w:rsidR="00621668" w:rsidRPr="00621668">
        <w:rPr>
          <w:sz w:val="24"/>
          <w:szCs w:val="24"/>
        </w:rPr>
        <w:t xml:space="preserve">An ALJ's Orders must be complied with, and such a lack of compliance presents a sufficient basis to dismiss the complaint.  </w:t>
      </w:r>
      <w:r w:rsidR="00621668" w:rsidRPr="00621668">
        <w:rPr>
          <w:i/>
          <w:sz w:val="24"/>
          <w:szCs w:val="24"/>
        </w:rPr>
        <w:t>Treffinger v. PPL Electric Utilities Corp.,</w:t>
      </w:r>
      <w:r w:rsidR="00621668">
        <w:rPr>
          <w:i/>
          <w:sz w:val="24"/>
          <w:szCs w:val="24"/>
        </w:rPr>
        <w:t xml:space="preserve"> </w:t>
      </w:r>
      <w:r w:rsidR="00621668" w:rsidRPr="00621668">
        <w:rPr>
          <w:sz w:val="24"/>
          <w:szCs w:val="24"/>
        </w:rPr>
        <w:t xml:space="preserve">C-20027978, 2003 Pa. PUC LEXIS 3 (March 3, 2003);  </w:t>
      </w:r>
      <w:r w:rsidR="00621668" w:rsidRPr="00621668">
        <w:rPr>
          <w:i/>
          <w:sz w:val="24"/>
          <w:szCs w:val="24"/>
        </w:rPr>
        <w:t xml:space="preserve">Snyderville Community Development Corporation v. Philadelphia Gas Works, </w:t>
      </w:r>
      <w:r w:rsidR="00621668" w:rsidRPr="00621668">
        <w:rPr>
          <w:sz w:val="24"/>
          <w:szCs w:val="24"/>
        </w:rPr>
        <w:t xml:space="preserve"> C-20055032 (Opinion and Order entered July 31, 2006).</w:t>
      </w:r>
      <w:r w:rsidR="00621668">
        <w:rPr>
          <w:sz w:val="24"/>
          <w:szCs w:val="24"/>
        </w:rPr>
        <w:t xml:space="preserve">  </w:t>
      </w:r>
      <w:r w:rsidRPr="00621668">
        <w:rPr>
          <w:sz w:val="24"/>
          <w:szCs w:val="24"/>
        </w:rPr>
        <w:t>Therefore, this Initial Decision will grant the Respondent's motion to dismiss the Compliant without considering the Complainant's letter of February 19, 2015.</w:t>
      </w:r>
      <w:r w:rsidR="0069208D" w:rsidRPr="00621668">
        <w:rPr>
          <w:sz w:val="24"/>
          <w:szCs w:val="24"/>
        </w:rPr>
        <w:t xml:space="preserve"> </w:t>
      </w:r>
    </w:p>
    <w:p w:rsidR="00BF7622" w:rsidRPr="00621668" w:rsidRDefault="00BF7622" w:rsidP="00621668">
      <w:pPr>
        <w:spacing w:line="360" w:lineRule="auto"/>
        <w:rPr>
          <w:sz w:val="24"/>
          <w:szCs w:val="24"/>
        </w:rPr>
      </w:pPr>
    </w:p>
    <w:p w:rsidR="00342AF9" w:rsidRPr="00EA4885" w:rsidRDefault="00AA53AA" w:rsidP="00621668">
      <w:pPr>
        <w:spacing w:line="360" w:lineRule="auto"/>
        <w:rPr>
          <w:sz w:val="24"/>
          <w:szCs w:val="24"/>
        </w:rPr>
      </w:pPr>
      <w:r w:rsidRPr="00621668">
        <w:rPr>
          <w:sz w:val="24"/>
          <w:szCs w:val="24"/>
        </w:rPr>
        <w:tab/>
      </w:r>
      <w:r w:rsidRPr="00621668">
        <w:rPr>
          <w:sz w:val="24"/>
          <w:szCs w:val="24"/>
        </w:rPr>
        <w:tab/>
      </w:r>
      <w:r w:rsidR="00342AF9" w:rsidRPr="00621668">
        <w:rPr>
          <w:sz w:val="24"/>
          <w:szCs w:val="24"/>
        </w:rPr>
        <w:t>The party seeking affirmative relief from the Commission bears the burden of proof.  66 Pa. C.S. § 332(a).  As a matter of law, a complainant must show that the named utility is responsible or accountable for the problem described in the Complaint</w:t>
      </w:r>
      <w:r w:rsidR="00342AF9" w:rsidRPr="00EA4885">
        <w:rPr>
          <w:sz w:val="24"/>
          <w:szCs w:val="24"/>
        </w:rPr>
        <w:t xml:space="preserve"> in order to prevail.  </w:t>
      </w:r>
      <w:r w:rsidR="00342AF9" w:rsidRPr="00EA4885">
        <w:rPr>
          <w:i/>
          <w:sz w:val="24"/>
          <w:szCs w:val="24"/>
        </w:rPr>
        <w:t>Patterson v. Bell Tel. Co. of PA</w:t>
      </w:r>
      <w:r w:rsidR="00342AF9" w:rsidRPr="00EA4885">
        <w:rPr>
          <w:sz w:val="24"/>
          <w:szCs w:val="24"/>
        </w:rPr>
        <w:t>, 72 Pa</w:t>
      </w:r>
      <w:r w:rsidR="00342AF9">
        <w:rPr>
          <w:sz w:val="24"/>
          <w:szCs w:val="24"/>
        </w:rPr>
        <w:t>.</w:t>
      </w:r>
      <w:r w:rsidR="00342AF9" w:rsidRPr="00EA4885">
        <w:rPr>
          <w:sz w:val="24"/>
          <w:szCs w:val="24"/>
        </w:rPr>
        <w:t xml:space="preserve"> PUC 196 (1990); </w:t>
      </w:r>
      <w:r w:rsidR="00342AF9" w:rsidRPr="00EA4885">
        <w:rPr>
          <w:i/>
          <w:sz w:val="24"/>
          <w:szCs w:val="24"/>
        </w:rPr>
        <w:t>Feinstein v. Phila. Suburban Water Co.</w:t>
      </w:r>
      <w:r w:rsidR="00342AF9" w:rsidRPr="00EA4885">
        <w:rPr>
          <w:sz w:val="24"/>
          <w:szCs w:val="24"/>
        </w:rPr>
        <w:t xml:space="preserve">, 50 Pa. PUC 300 (1976).  This must be shown by a preponderance of the evidence.  </w:t>
      </w:r>
      <w:r w:rsidR="00342AF9" w:rsidRPr="00EA4885">
        <w:rPr>
          <w:i/>
          <w:sz w:val="24"/>
          <w:szCs w:val="24"/>
        </w:rPr>
        <w:t>Samuel</w:t>
      </w:r>
      <w:r w:rsidR="00342AF9">
        <w:rPr>
          <w:i/>
          <w:sz w:val="24"/>
          <w:szCs w:val="24"/>
        </w:rPr>
        <w:t> </w:t>
      </w:r>
      <w:r w:rsidR="00342AF9" w:rsidRPr="00EA4885">
        <w:rPr>
          <w:i/>
          <w:sz w:val="24"/>
          <w:szCs w:val="24"/>
        </w:rPr>
        <w:t>J. Lansberry, Inc. v. Pa. Pub. Util. Comm’n,</w:t>
      </w:r>
      <w:r w:rsidR="00342AF9" w:rsidRPr="00EA4885">
        <w:rPr>
          <w:sz w:val="24"/>
          <w:szCs w:val="24"/>
        </w:rPr>
        <w:t xml:space="preserve"> 578 A.2d 600 (Pa.Cmwlth.1990), </w:t>
      </w:r>
      <w:r w:rsidR="00342AF9" w:rsidRPr="00EA4885">
        <w:rPr>
          <w:i/>
          <w:sz w:val="24"/>
          <w:szCs w:val="24"/>
        </w:rPr>
        <w:t>alloc. denied</w:t>
      </w:r>
      <w:r w:rsidR="00342AF9" w:rsidRPr="00EA4885">
        <w:rPr>
          <w:sz w:val="24"/>
          <w:szCs w:val="24"/>
        </w:rPr>
        <w:t xml:space="preserve">, 529 Pa. 654, 602 A.2d 863 (1992).  A preponderance of evidence is that which is more convincing, by even the smallest amount, than that presented by the other party.  </w:t>
      </w:r>
      <w:r w:rsidR="00342AF9" w:rsidRPr="00EA4885">
        <w:rPr>
          <w:i/>
          <w:sz w:val="24"/>
          <w:szCs w:val="24"/>
        </w:rPr>
        <w:t>Se-Ling Hosiery v. Marqulies</w:t>
      </w:r>
      <w:r w:rsidR="00342AF9" w:rsidRPr="00EA4885">
        <w:rPr>
          <w:sz w:val="24"/>
          <w:szCs w:val="24"/>
        </w:rPr>
        <w:t xml:space="preserve">, 364 Pa. 45, 70 A.2d 854 (1950).  </w:t>
      </w:r>
    </w:p>
    <w:p w:rsidR="00342AF9" w:rsidRPr="00EA4885" w:rsidRDefault="00342AF9" w:rsidP="00342AF9">
      <w:pPr>
        <w:spacing w:line="360" w:lineRule="auto"/>
        <w:rPr>
          <w:sz w:val="24"/>
          <w:szCs w:val="24"/>
        </w:rPr>
      </w:pPr>
    </w:p>
    <w:p w:rsidR="00342AF9" w:rsidRDefault="00342AF9" w:rsidP="00342AF9">
      <w:pPr>
        <w:spacing w:line="360" w:lineRule="auto"/>
        <w:rPr>
          <w:sz w:val="24"/>
          <w:szCs w:val="24"/>
        </w:rPr>
      </w:pPr>
      <w:r w:rsidRPr="00EA4885">
        <w:rPr>
          <w:sz w:val="24"/>
          <w:szCs w:val="24"/>
        </w:rPr>
        <w:tab/>
      </w:r>
      <w:r w:rsidRPr="00EA4885">
        <w:rPr>
          <w:sz w:val="24"/>
          <w:szCs w:val="24"/>
        </w:rPr>
        <w:tab/>
        <w:t xml:space="preserve">The Commission is required to provide due process to the parties appearing before them.  This requirement is satisfied when the parties are afforded notice and the opportunity to appear and be heard. </w:t>
      </w:r>
      <w:r w:rsidRPr="00EA4885">
        <w:rPr>
          <w:i/>
          <w:sz w:val="24"/>
          <w:szCs w:val="24"/>
        </w:rPr>
        <w:t>Schneider v. Pa. Publ. Util. Comm’n</w:t>
      </w:r>
      <w:r w:rsidRPr="00EA4885">
        <w:rPr>
          <w:sz w:val="24"/>
          <w:szCs w:val="24"/>
        </w:rPr>
        <w:t xml:space="preserve">, 479 A.2d 10 (Pa. Cmwlth.1984).  Notice mailed to a party’s last known address and not returned by the post office is presumed to have been received.  </w:t>
      </w:r>
      <w:r w:rsidRPr="00EA4885">
        <w:rPr>
          <w:i/>
          <w:sz w:val="24"/>
          <w:szCs w:val="24"/>
        </w:rPr>
        <w:t>Chartiers Industrial and Commercial Development Authority v. Allegheny County Board of Property Assessment Appeals and Review</w:t>
      </w:r>
      <w:r w:rsidRPr="00EA4885">
        <w:rPr>
          <w:sz w:val="24"/>
          <w:szCs w:val="24"/>
        </w:rPr>
        <w:t xml:space="preserve">, 645 A.2d 944 (Pa. Cmwlth.1994), </w:t>
      </w:r>
      <w:r w:rsidRPr="00EA4885">
        <w:rPr>
          <w:i/>
          <w:sz w:val="24"/>
          <w:szCs w:val="24"/>
        </w:rPr>
        <w:t>appeal denied</w:t>
      </w:r>
      <w:r w:rsidRPr="00EA4885">
        <w:rPr>
          <w:sz w:val="24"/>
          <w:szCs w:val="24"/>
        </w:rPr>
        <w:t xml:space="preserve"> 539 Pa. 696, 653 A.2d 1234 (1994).  </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 xml:space="preserve">The Hearing Notice and Prehearing Order were sent to the address provided by the Complainant.  Neither was returned as undeliverable.  Therefore, Complainant is deemed to have received these documents and had sufficient notice of the date and time of the scheduled hearing.  Once notice of a hearing and the opportunity to be heard has been provided, it is the responsibility of the parties to appear and participate in the hearing.  </w:t>
      </w:r>
      <w:r w:rsidRPr="00EA4885">
        <w:rPr>
          <w:i/>
          <w:sz w:val="24"/>
          <w:szCs w:val="24"/>
        </w:rPr>
        <w:t>Sentner v. Bell Tel. Co. of PA</w:t>
      </w:r>
      <w:r w:rsidRPr="00EA4885">
        <w:rPr>
          <w:sz w:val="24"/>
          <w:szCs w:val="24"/>
        </w:rPr>
        <w:t>, Opinion and Order entered October 25, 2003 at PUC Docket No. F-00161106.</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Both the Hearing Notice and the Prehearing Order warned the parties that failure to participate could result in the dismissal of the case.  In the present case, Complainant was clearly warned in two different documents that h</w:t>
      </w:r>
      <w:r w:rsidR="00AA53AA">
        <w:rPr>
          <w:sz w:val="24"/>
          <w:szCs w:val="24"/>
        </w:rPr>
        <w:t>is</w:t>
      </w:r>
      <w:r w:rsidRPr="00EA4885">
        <w:rPr>
          <w:sz w:val="24"/>
          <w:szCs w:val="24"/>
        </w:rPr>
        <w:t xml:space="preserve"> failure to participate in the evidentiary hearing could result in the loss of h</w:t>
      </w:r>
      <w:r w:rsidR="00AA53AA">
        <w:rPr>
          <w:sz w:val="24"/>
          <w:szCs w:val="24"/>
        </w:rPr>
        <w:t>is</w:t>
      </w:r>
      <w:r w:rsidRPr="00EA4885">
        <w:rPr>
          <w:sz w:val="24"/>
          <w:szCs w:val="24"/>
        </w:rPr>
        <w:t xml:space="preserve"> claim. </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Complainant’s absence is unexcused.</w:t>
      </w:r>
      <w:r>
        <w:rPr>
          <w:sz w:val="24"/>
          <w:szCs w:val="24"/>
        </w:rPr>
        <w:t xml:space="preserve">  By h</w:t>
      </w:r>
      <w:r w:rsidR="00AA53AA">
        <w:rPr>
          <w:sz w:val="24"/>
          <w:szCs w:val="24"/>
        </w:rPr>
        <w:t>is</w:t>
      </w:r>
      <w:r>
        <w:rPr>
          <w:sz w:val="24"/>
          <w:szCs w:val="24"/>
        </w:rPr>
        <w:t xml:space="preserve"> failure to attend the hearing and present evidence, Complainant failed to sustain h</w:t>
      </w:r>
      <w:r w:rsidR="00AA53AA">
        <w:rPr>
          <w:sz w:val="24"/>
          <w:szCs w:val="24"/>
        </w:rPr>
        <w:t>is</w:t>
      </w:r>
      <w:r>
        <w:rPr>
          <w:sz w:val="24"/>
          <w:szCs w:val="24"/>
        </w:rPr>
        <w:t xml:space="preserve"> burden of proof.</w:t>
      </w:r>
    </w:p>
    <w:p w:rsidR="00342AF9" w:rsidRPr="00EA4885" w:rsidRDefault="00342AF9" w:rsidP="00342AF9">
      <w:pPr>
        <w:spacing w:line="360" w:lineRule="auto"/>
        <w:rPr>
          <w:sz w:val="24"/>
          <w:szCs w:val="24"/>
        </w:rPr>
      </w:pPr>
    </w:p>
    <w:p w:rsidR="00342AF9" w:rsidRDefault="00342AF9" w:rsidP="00342AF9">
      <w:pPr>
        <w:spacing w:line="360" w:lineRule="auto"/>
        <w:rPr>
          <w:sz w:val="24"/>
          <w:szCs w:val="24"/>
        </w:rPr>
      </w:pPr>
      <w:r w:rsidRPr="00EA4885">
        <w:rPr>
          <w:sz w:val="24"/>
          <w:szCs w:val="24"/>
        </w:rPr>
        <w:tab/>
      </w:r>
      <w:r w:rsidRPr="00EA4885">
        <w:rPr>
          <w:sz w:val="24"/>
          <w:szCs w:val="24"/>
        </w:rPr>
        <w:tab/>
        <w:t xml:space="preserve">The Company was prepared with counsel and witness. The Company’s motion to dismiss the Complaint with prejudice </w:t>
      </w:r>
      <w:r>
        <w:rPr>
          <w:sz w:val="24"/>
          <w:szCs w:val="24"/>
        </w:rPr>
        <w:t>is</w:t>
      </w:r>
      <w:r w:rsidRPr="00EA4885">
        <w:rPr>
          <w:sz w:val="24"/>
          <w:szCs w:val="24"/>
        </w:rPr>
        <w:t xml:space="preserve"> granted.  </w:t>
      </w:r>
    </w:p>
    <w:p w:rsidR="00AA53AA" w:rsidRDefault="00AA53AA" w:rsidP="00342AF9">
      <w:pPr>
        <w:spacing w:line="360" w:lineRule="auto"/>
        <w:rPr>
          <w:sz w:val="24"/>
          <w:szCs w:val="24"/>
        </w:rPr>
      </w:pPr>
    </w:p>
    <w:p w:rsidR="00342AF9" w:rsidRPr="00EA4885" w:rsidRDefault="00342AF9" w:rsidP="00342AF9">
      <w:pPr>
        <w:spacing w:line="360" w:lineRule="auto"/>
        <w:jc w:val="center"/>
        <w:rPr>
          <w:sz w:val="24"/>
          <w:szCs w:val="24"/>
          <w:u w:val="single"/>
        </w:rPr>
      </w:pPr>
      <w:r w:rsidRPr="00EA4885">
        <w:rPr>
          <w:sz w:val="24"/>
          <w:szCs w:val="24"/>
          <w:u w:val="single"/>
        </w:rPr>
        <w:t>CONCLUSIONS OF LAW</w:t>
      </w:r>
    </w:p>
    <w:p w:rsidR="00342AF9" w:rsidRPr="00EA4885" w:rsidRDefault="00342AF9" w:rsidP="00342AF9">
      <w:pPr>
        <w:spacing w:line="360" w:lineRule="auto"/>
        <w:jc w:val="center"/>
        <w:rPr>
          <w:sz w:val="24"/>
          <w:szCs w:val="24"/>
          <w:u w:val="single"/>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1.</w:t>
      </w:r>
      <w:r w:rsidRPr="00EA4885">
        <w:rPr>
          <w:sz w:val="24"/>
          <w:szCs w:val="24"/>
        </w:rPr>
        <w:tab/>
        <w:t>The Commission has jurisdiction over the parties and the subject mat</w:t>
      </w:r>
      <w:r>
        <w:rPr>
          <w:sz w:val="24"/>
          <w:szCs w:val="24"/>
        </w:rPr>
        <w:t>ter of this proceeding.  66 Pa.</w:t>
      </w:r>
      <w:r w:rsidRPr="00EA4885">
        <w:rPr>
          <w:sz w:val="24"/>
          <w:szCs w:val="24"/>
        </w:rPr>
        <w:t>C.S. § 701.</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2.</w:t>
      </w:r>
      <w:r w:rsidRPr="00EA4885">
        <w:rPr>
          <w:sz w:val="24"/>
          <w:szCs w:val="24"/>
        </w:rPr>
        <w:tab/>
        <w:t xml:space="preserve">Notice mailed to a party’s last known address and not returned by the post office is presumed to have been received.  </w:t>
      </w:r>
      <w:r w:rsidRPr="00EA4885">
        <w:rPr>
          <w:i/>
          <w:sz w:val="24"/>
          <w:szCs w:val="24"/>
        </w:rPr>
        <w:t>Chartiers Industrial and Commercial Development Authority v. Allegheny County Board of Property Assessment Appeals and Review</w:t>
      </w:r>
      <w:r w:rsidRPr="00EA4885">
        <w:rPr>
          <w:sz w:val="24"/>
          <w:szCs w:val="24"/>
        </w:rPr>
        <w:t xml:space="preserve">, 645 A.2d 944 (Pa. Cmwlth.1994), </w:t>
      </w:r>
      <w:r w:rsidRPr="00EA4885">
        <w:rPr>
          <w:i/>
          <w:sz w:val="24"/>
          <w:szCs w:val="24"/>
        </w:rPr>
        <w:t>appeal denied</w:t>
      </w:r>
      <w:r w:rsidRPr="00EA4885">
        <w:rPr>
          <w:sz w:val="24"/>
          <w:szCs w:val="24"/>
        </w:rPr>
        <w:t xml:space="preserve"> 539 Pa. 696, 653 A.2d 1234 (1994).  </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3.</w:t>
      </w:r>
      <w:r w:rsidRPr="00EA4885">
        <w:rPr>
          <w:sz w:val="24"/>
          <w:szCs w:val="24"/>
        </w:rPr>
        <w:tab/>
        <w:t>As the party seeking affirmative relief from the Commission, Complainant bears the burden of proof.  66 Pa.C.S. § 332(a).</w:t>
      </w:r>
    </w:p>
    <w:p w:rsidR="00342AF9" w:rsidRPr="00EA4885" w:rsidRDefault="00342AF9" w:rsidP="00342AF9">
      <w:pPr>
        <w:spacing w:line="360" w:lineRule="auto"/>
        <w:rPr>
          <w:sz w:val="24"/>
          <w:szCs w:val="24"/>
        </w:rPr>
      </w:pPr>
    </w:p>
    <w:p w:rsidR="00342AF9" w:rsidRDefault="00342AF9" w:rsidP="00342AF9">
      <w:pPr>
        <w:spacing w:line="360" w:lineRule="auto"/>
        <w:rPr>
          <w:sz w:val="24"/>
          <w:szCs w:val="24"/>
        </w:rPr>
      </w:pPr>
      <w:r w:rsidRPr="00EA4885">
        <w:rPr>
          <w:sz w:val="24"/>
          <w:szCs w:val="24"/>
        </w:rPr>
        <w:tab/>
      </w:r>
      <w:r w:rsidRPr="00EA4885">
        <w:rPr>
          <w:sz w:val="24"/>
          <w:szCs w:val="24"/>
        </w:rPr>
        <w:tab/>
        <w:t>4.</w:t>
      </w:r>
      <w:r w:rsidRPr="00EA4885">
        <w:rPr>
          <w:sz w:val="24"/>
          <w:szCs w:val="24"/>
        </w:rPr>
        <w:tab/>
        <w:t xml:space="preserve">Due process is provided when the parties are afforded notice and the opportunity to appear and be heard.  </w:t>
      </w:r>
      <w:r w:rsidRPr="00EA4885">
        <w:rPr>
          <w:i/>
          <w:sz w:val="24"/>
          <w:szCs w:val="24"/>
        </w:rPr>
        <w:t>Schneider v. Pa. Pub. Util. Comm’n</w:t>
      </w:r>
      <w:r w:rsidRPr="00EA4885">
        <w:rPr>
          <w:sz w:val="24"/>
          <w:szCs w:val="24"/>
        </w:rPr>
        <w:t>, 479 A.2d 10 (Pa. Cmwlth. 1984).</w:t>
      </w:r>
    </w:p>
    <w:p w:rsidR="00621668" w:rsidRDefault="00621668" w:rsidP="00342AF9">
      <w:pPr>
        <w:spacing w:line="360" w:lineRule="auto"/>
        <w:rPr>
          <w:sz w:val="24"/>
          <w:szCs w:val="24"/>
        </w:rPr>
      </w:pPr>
    </w:p>
    <w:p w:rsidR="00621668" w:rsidRDefault="00621668" w:rsidP="00342AF9">
      <w:pPr>
        <w:spacing w:line="360" w:lineRule="auto"/>
        <w:rPr>
          <w:sz w:val="24"/>
          <w:szCs w:val="24"/>
        </w:rPr>
      </w:pPr>
      <w:r>
        <w:rPr>
          <w:sz w:val="24"/>
          <w:szCs w:val="24"/>
        </w:rPr>
        <w:tab/>
      </w:r>
      <w:r>
        <w:rPr>
          <w:sz w:val="24"/>
          <w:szCs w:val="24"/>
        </w:rPr>
        <w:tab/>
        <w:t>5.</w:t>
      </w:r>
      <w:r>
        <w:rPr>
          <w:sz w:val="24"/>
          <w:szCs w:val="24"/>
        </w:rPr>
        <w:tab/>
      </w:r>
      <w:r w:rsidRPr="00621668">
        <w:rPr>
          <w:sz w:val="24"/>
          <w:szCs w:val="24"/>
        </w:rPr>
        <w:t xml:space="preserve">An ALJ's Orders must be complied with, and a lack of compliance presents a sufficient basis to dismiss the complaint.  </w:t>
      </w:r>
      <w:r w:rsidRPr="00621668">
        <w:rPr>
          <w:i/>
          <w:sz w:val="24"/>
          <w:szCs w:val="24"/>
        </w:rPr>
        <w:t>Treffinger v. PPL Electric Utilities Corp.,</w:t>
      </w:r>
      <w:r w:rsidR="0032142D">
        <w:rPr>
          <w:sz w:val="24"/>
          <w:szCs w:val="24"/>
        </w:rPr>
        <w:t>C</w:t>
      </w:r>
      <w:r w:rsidR="0032142D">
        <w:rPr>
          <w:sz w:val="24"/>
          <w:szCs w:val="24"/>
        </w:rPr>
        <w:noBreakHyphen/>
      </w:r>
      <w:r w:rsidRPr="00621668">
        <w:rPr>
          <w:sz w:val="24"/>
          <w:szCs w:val="24"/>
        </w:rPr>
        <w:t xml:space="preserve">20027978, 2003 Pa. PUC LEXIS 3 (March 3, 2003);  </w:t>
      </w:r>
      <w:r w:rsidRPr="00621668">
        <w:rPr>
          <w:i/>
          <w:sz w:val="24"/>
          <w:szCs w:val="24"/>
        </w:rPr>
        <w:t xml:space="preserve">Snyderville Community Development Corporation v. Philadelphia Gas Works, </w:t>
      </w:r>
      <w:r w:rsidRPr="00621668">
        <w:rPr>
          <w:sz w:val="24"/>
          <w:szCs w:val="24"/>
        </w:rPr>
        <w:t xml:space="preserve"> C-20055032 (Opinion and Order entered July 31, 2006).</w:t>
      </w:r>
    </w:p>
    <w:p w:rsidR="004838AD" w:rsidRDefault="004838AD" w:rsidP="00342AF9">
      <w:pPr>
        <w:spacing w:line="360" w:lineRule="auto"/>
        <w:rPr>
          <w:sz w:val="24"/>
          <w:szCs w:val="24"/>
        </w:rPr>
      </w:pPr>
    </w:p>
    <w:p w:rsidR="004838AD" w:rsidRPr="00EA4885" w:rsidRDefault="004838AD" w:rsidP="00342AF9">
      <w:pPr>
        <w:spacing w:line="360" w:lineRule="auto"/>
        <w:rPr>
          <w:sz w:val="24"/>
          <w:szCs w:val="24"/>
        </w:rPr>
      </w:pPr>
      <w:r>
        <w:rPr>
          <w:sz w:val="24"/>
          <w:szCs w:val="24"/>
        </w:rPr>
        <w:tab/>
      </w:r>
      <w:r>
        <w:rPr>
          <w:sz w:val="24"/>
          <w:szCs w:val="24"/>
        </w:rPr>
        <w:tab/>
        <w:t>6.</w:t>
      </w:r>
      <w:r>
        <w:rPr>
          <w:sz w:val="24"/>
          <w:szCs w:val="24"/>
        </w:rPr>
        <w:tab/>
        <w:t>Complainant failed to comply with Commission regulations and the prehearing order of the presiding officer when filing his letter one hour prior to the scheduled time of the hearing and by not informing the presiding officer.</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r>
      <w:r w:rsidR="004838AD">
        <w:rPr>
          <w:sz w:val="24"/>
          <w:szCs w:val="24"/>
        </w:rPr>
        <w:t>7</w:t>
      </w:r>
      <w:r w:rsidRPr="00EA4885">
        <w:rPr>
          <w:sz w:val="24"/>
          <w:szCs w:val="24"/>
        </w:rPr>
        <w:t>.</w:t>
      </w:r>
      <w:r w:rsidRPr="00EA4885">
        <w:rPr>
          <w:sz w:val="24"/>
          <w:szCs w:val="24"/>
        </w:rPr>
        <w:tab/>
        <w:t>By h</w:t>
      </w:r>
      <w:r w:rsidR="00AA53AA">
        <w:rPr>
          <w:sz w:val="24"/>
          <w:szCs w:val="24"/>
        </w:rPr>
        <w:t>is</w:t>
      </w:r>
      <w:r w:rsidRPr="00EA4885">
        <w:rPr>
          <w:sz w:val="24"/>
          <w:szCs w:val="24"/>
        </w:rPr>
        <w:t xml:space="preserve"> unexcused failure to appear, Complainant has failed to carry h</w:t>
      </w:r>
      <w:r w:rsidR="00AA53AA">
        <w:rPr>
          <w:sz w:val="24"/>
          <w:szCs w:val="24"/>
        </w:rPr>
        <w:t>is</w:t>
      </w:r>
      <w:r w:rsidRPr="00EA4885">
        <w:rPr>
          <w:sz w:val="24"/>
          <w:szCs w:val="24"/>
        </w:rPr>
        <w:t xml:space="preserve"> burden of proof.</w:t>
      </w:r>
    </w:p>
    <w:p w:rsidR="00342AF9" w:rsidRPr="00EA4885" w:rsidRDefault="00342AF9" w:rsidP="00342AF9">
      <w:pPr>
        <w:spacing w:line="360" w:lineRule="auto"/>
        <w:rPr>
          <w:sz w:val="24"/>
          <w:szCs w:val="24"/>
        </w:rPr>
      </w:pPr>
    </w:p>
    <w:p w:rsidR="0032142D" w:rsidRDefault="0032142D">
      <w:pPr>
        <w:spacing w:line="360" w:lineRule="auto"/>
        <w:jc w:val="center"/>
        <w:rPr>
          <w:sz w:val="24"/>
          <w:szCs w:val="24"/>
          <w:u w:val="single"/>
        </w:rPr>
      </w:pPr>
      <w:r>
        <w:rPr>
          <w:sz w:val="24"/>
          <w:szCs w:val="24"/>
          <w:u w:val="single"/>
        </w:rPr>
        <w:br w:type="page"/>
      </w:r>
    </w:p>
    <w:p w:rsidR="00342AF9" w:rsidRPr="00EA4885" w:rsidRDefault="00342AF9" w:rsidP="00342AF9">
      <w:pPr>
        <w:spacing w:line="360" w:lineRule="auto"/>
        <w:jc w:val="center"/>
        <w:rPr>
          <w:sz w:val="24"/>
          <w:szCs w:val="24"/>
          <w:u w:val="single"/>
        </w:rPr>
      </w:pPr>
      <w:r w:rsidRPr="00EA4885">
        <w:rPr>
          <w:sz w:val="24"/>
          <w:szCs w:val="24"/>
          <w:u w:val="single"/>
        </w:rPr>
        <w:t>ORDER</w:t>
      </w:r>
    </w:p>
    <w:p w:rsidR="00342AF9" w:rsidRPr="00EA4885" w:rsidRDefault="00342AF9" w:rsidP="00342AF9">
      <w:pPr>
        <w:spacing w:line="360" w:lineRule="auto"/>
        <w:jc w:val="center"/>
        <w:rPr>
          <w:b/>
          <w:sz w:val="24"/>
          <w:szCs w:val="24"/>
        </w:rPr>
      </w:pPr>
    </w:p>
    <w:p w:rsidR="00342AF9" w:rsidRPr="00EA4885" w:rsidRDefault="00342AF9" w:rsidP="00342AF9">
      <w:pPr>
        <w:spacing w:line="360" w:lineRule="auto"/>
        <w:jc w:val="center"/>
        <w:rPr>
          <w:b/>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THEREFORE,</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IT IS ORDERED:</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1.</w:t>
      </w:r>
      <w:r w:rsidRPr="00EA4885">
        <w:rPr>
          <w:sz w:val="24"/>
          <w:szCs w:val="24"/>
        </w:rPr>
        <w:tab/>
        <w:t xml:space="preserve">That the motion of PPL Electric Utilities Corporation to dismiss the Complaint of </w:t>
      </w:r>
      <w:r w:rsidR="00AA53AA">
        <w:rPr>
          <w:sz w:val="24"/>
          <w:szCs w:val="24"/>
        </w:rPr>
        <w:t>David Wapensky</w:t>
      </w:r>
      <w:r w:rsidRPr="00EA4885">
        <w:rPr>
          <w:sz w:val="24"/>
          <w:szCs w:val="24"/>
        </w:rPr>
        <w:t xml:space="preserve"> is granted.</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2.</w:t>
      </w:r>
      <w:r w:rsidRPr="00EA4885">
        <w:rPr>
          <w:sz w:val="24"/>
          <w:szCs w:val="24"/>
        </w:rPr>
        <w:tab/>
        <w:t xml:space="preserve">That the Formal Complaint filed by </w:t>
      </w:r>
      <w:r w:rsidR="00AA53AA">
        <w:rPr>
          <w:sz w:val="24"/>
          <w:szCs w:val="24"/>
        </w:rPr>
        <w:t>David Wapensky</w:t>
      </w:r>
      <w:r w:rsidRPr="00EA4885">
        <w:rPr>
          <w:sz w:val="24"/>
          <w:szCs w:val="24"/>
        </w:rPr>
        <w:t xml:space="preserve"> against PPL Electric Utilities Corporation at PUC Docket No. </w:t>
      </w:r>
      <w:r w:rsidR="00AA53AA">
        <w:rPr>
          <w:sz w:val="24"/>
          <w:szCs w:val="24"/>
        </w:rPr>
        <w:t>C</w:t>
      </w:r>
      <w:r>
        <w:rPr>
          <w:sz w:val="24"/>
          <w:szCs w:val="24"/>
        </w:rPr>
        <w:t>-2014-24</w:t>
      </w:r>
      <w:r w:rsidR="00AA53AA">
        <w:rPr>
          <w:sz w:val="24"/>
          <w:szCs w:val="24"/>
        </w:rPr>
        <w:t>50200</w:t>
      </w:r>
      <w:r w:rsidRPr="00EA4885">
        <w:rPr>
          <w:sz w:val="24"/>
          <w:szCs w:val="24"/>
        </w:rPr>
        <w:t xml:space="preserve"> is dismissed with prejudice.</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r w:rsidRPr="00EA4885">
        <w:rPr>
          <w:sz w:val="24"/>
          <w:szCs w:val="24"/>
        </w:rPr>
        <w:tab/>
      </w:r>
      <w:r w:rsidRPr="00EA4885">
        <w:rPr>
          <w:sz w:val="24"/>
          <w:szCs w:val="24"/>
        </w:rPr>
        <w:tab/>
        <w:t>3.</w:t>
      </w:r>
      <w:r w:rsidRPr="00EA4885">
        <w:rPr>
          <w:sz w:val="24"/>
          <w:szCs w:val="24"/>
        </w:rPr>
        <w:tab/>
        <w:t>That the Secretary mark this docket closed.</w:t>
      </w:r>
    </w:p>
    <w:p w:rsidR="00342AF9" w:rsidRPr="00EA4885" w:rsidRDefault="00342AF9" w:rsidP="00342AF9">
      <w:pPr>
        <w:spacing w:line="360" w:lineRule="auto"/>
        <w:rPr>
          <w:sz w:val="24"/>
          <w:szCs w:val="24"/>
        </w:rPr>
      </w:pPr>
    </w:p>
    <w:p w:rsidR="00342AF9" w:rsidRPr="00EA4885" w:rsidRDefault="00342AF9" w:rsidP="00342AF9">
      <w:pPr>
        <w:spacing w:line="360" w:lineRule="auto"/>
        <w:rPr>
          <w:sz w:val="24"/>
          <w:szCs w:val="24"/>
        </w:rPr>
      </w:pPr>
    </w:p>
    <w:p w:rsidR="00342AF9" w:rsidRPr="00844B4F" w:rsidRDefault="00342AF9" w:rsidP="00342AF9">
      <w:pPr>
        <w:rPr>
          <w:sz w:val="24"/>
          <w:szCs w:val="24"/>
          <w:u w:val="single"/>
        </w:rPr>
      </w:pPr>
      <w:r w:rsidRPr="00EA4885">
        <w:rPr>
          <w:sz w:val="24"/>
          <w:szCs w:val="24"/>
        </w:rPr>
        <w:t>Dated:</w:t>
      </w:r>
      <w:r w:rsidRPr="00EA4885">
        <w:rPr>
          <w:sz w:val="24"/>
          <w:szCs w:val="24"/>
        </w:rPr>
        <w:tab/>
      </w:r>
      <w:r>
        <w:rPr>
          <w:sz w:val="24"/>
          <w:szCs w:val="24"/>
          <w:u w:val="single"/>
        </w:rPr>
        <w:t>February 19, 2015</w:t>
      </w:r>
      <w:r>
        <w:rPr>
          <w:sz w:val="24"/>
          <w:szCs w:val="24"/>
        </w:rPr>
        <w:tab/>
      </w:r>
      <w:r w:rsidRPr="00EA4885">
        <w:rPr>
          <w:sz w:val="24"/>
          <w:szCs w:val="24"/>
        </w:rPr>
        <w:tab/>
      </w:r>
      <w:r w:rsidRPr="00EA4885">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r>
        <w:rPr>
          <w:sz w:val="24"/>
          <w:szCs w:val="24"/>
          <w:u w:val="single"/>
        </w:rPr>
        <w:tab/>
      </w:r>
    </w:p>
    <w:p w:rsidR="00342AF9" w:rsidRPr="00EA4885" w:rsidRDefault="00342AF9" w:rsidP="00342AF9">
      <w:pPr>
        <w:rPr>
          <w:sz w:val="24"/>
          <w:szCs w:val="24"/>
        </w:rPr>
      </w:pP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Pr>
          <w:sz w:val="24"/>
          <w:szCs w:val="24"/>
        </w:rPr>
        <w:tab/>
      </w:r>
      <w:r w:rsidRPr="00EA4885">
        <w:rPr>
          <w:sz w:val="24"/>
          <w:szCs w:val="24"/>
        </w:rPr>
        <w:t>Susan D. Colwell</w:t>
      </w:r>
    </w:p>
    <w:p w:rsidR="00342AF9" w:rsidRPr="00EA4885" w:rsidRDefault="00342AF9" w:rsidP="00342AF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42AF9" w:rsidRPr="005771DB" w:rsidRDefault="00342AF9" w:rsidP="00342AF9">
      <w:pPr>
        <w:spacing w:line="360" w:lineRule="auto"/>
        <w:rPr>
          <w:sz w:val="24"/>
          <w:szCs w:val="24"/>
        </w:rPr>
      </w:pPr>
    </w:p>
    <w:p w:rsidR="00C04960" w:rsidRDefault="00C04960" w:rsidP="00342AF9"/>
    <w:sectPr w:rsidR="00C04960" w:rsidSect="00A35EF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901" w:rsidRDefault="00543901" w:rsidP="00621668">
      <w:r>
        <w:separator/>
      </w:r>
    </w:p>
  </w:endnote>
  <w:endnote w:type="continuationSeparator" w:id="0">
    <w:p w:rsidR="00543901" w:rsidRDefault="00543901" w:rsidP="0062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62316"/>
      <w:docPartObj>
        <w:docPartGallery w:val="Page Numbers (Bottom of Page)"/>
        <w:docPartUnique/>
      </w:docPartObj>
    </w:sdtPr>
    <w:sdtEndPr>
      <w:rPr>
        <w:noProof/>
        <w:sz w:val="20"/>
        <w:szCs w:val="20"/>
      </w:rPr>
    </w:sdtEndPr>
    <w:sdtContent>
      <w:p w:rsidR="008A3F29" w:rsidRPr="007F47D3" w:rsidRDefault="00463C37">
        <w:pPr>
          <w:pStyle w:val="Footer"/>
          <w:jc w:val="center"/>
          <w:rPr>
            <w:sz w:val="20"/>
            <w:szCs w:val="20"/>
          </w:rPr>
        </w:pPr>
        <w:r w:rsidRPr="007F47D3">
          <w:rPr>
            <w:sz w:val="20"/>
            <w:szCs w:val="20"/>
          </w:rPr>
          <w:fldChar w:fldCharType="begin"/>
        </w:r>
        <w:r w:rsidRPr="007F47D3">
          <w:rPr>
            <w:sz w:val="20"/>
            <w:szCs w:val="20"/>
          </w:rPr>
          <w:instrText xml:space="preserve"> PAGE   \* MERGEFORMAT </w:instrText>
        </w:r>
        <w:r w:rsidRPr="007F47D3">
          <w:rPr>
            <w:sz w:val="20"/>
            <w:szCs w:val="20"/>
          </w:rPr>
          <w:fldChar w:fldCharType="separate"/>
        </w:r>
        <w:r w:rsidR="00B51A60">
          <w:rPr>
            <w:noProof/>
            <w:sz w:val="20"/>
            <w:szCs w:val="20"/>
          </w:rPr>
          <w:t>2</w:t>
        </w:r>
        <w:r w:rsidRPr="007F47D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901" w:rsidRDefault="00543901" w:rsidP="00621668">
      <w:r>
        <w:separator/>
      </w:r>
    </w:p>
  </w:footnote>
  <w:footnote w:type="continuationSeparator" w:id="0">
    <w:p w:rsidR="00543901" w:rsidRDefault="00543901" w:rsidP="00621668">
      <w:r>
        <w:continuationSeparator/>
      </w:r>
    </w:p>
  </w:footnote>
  <w:footnote w:id="1">
    <w:p w:rsidR="00621668" w:rsidRDefault="00621668">
      <w:pPr>
        <w:pStyle w:val="FootnoteText"/>
      </w:pPr>
      <w:r>
        <w:rPr>
          <w:rStyle w:val="FootnoteReference"/>
        </w:rPr>
        <w:footnoteRef/>
      </w:r>
      <w:r>
        <w:t xml:space="preserve"> </w:t>
      </w:r>
      <w:r w:rsidR="0032142D">
        <w:tab/>
      </w:r>
      <w:r w:rsidR="004838AD">
        <w:t>Complainant had filed formal complaints at Docket Nos. C-2009-2098118, C-</w:t>
      </w:r>
      <w:r w:rsidR="0032142D">
        <w:t>2010-2165588, C-2013-2356084, C</w:t>
      </w:r>
      <w:r w:rsidR="0032142D">
        <w:noBreakHyphen/>
      </w:r>
      <w:r w:rsidR="004838AD">
        <w:t xml:space="preserve">2013-2378357, and C-2014-2411806, all against PPL Electric, as well as numerous informal complaints, which weighs in favor of the Complainant being expected to be familiar with Commission procedures.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F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6C13"/>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579"/>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42D"/>
    <w:rsid w:val="00321DB1"/>
    <w:rsid w:val="00326EEE"/>
    <w:rsid w:val="00326F3E"/>
    <w:rsid w:val="00330A67"/>
    <w:rsid w:val="00332A51"/>
    <w:rsid w:val="00333ADD"/>
    <w:rsid w:val="00334F62"/>
    <w:rsid w:val="00336496"/>
    <w:rsid w:val="003364EB"/>
    <w:rsid w:val="00336CE8"/>
    <w:rsid w:val="003425CF"/>
    <w:rsid w:val="0034272B"/>
    <w:rsid w:val="00342AF9"/>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45CE"/>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C37"/>
    <w:rsid w:val="00464B18"/>
    <w:rsid w:val="00465D71"/>
    <w:rsid w:val="00466D15"/>
    <w:rsid w:val="0047070D"/>
    <w:rsid w:val="00477A71"/>
    <w:rsid w:val="00481269"/>
    <w:rsid w:val="004838AD"/>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AE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3901"/>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668"/>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208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27F7"/>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6CC0"/>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3B8"/>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3D08"/>
    <w:rsid w:val="008746EA"/>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2720E"/>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5D7D"/>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3727F"/>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3AA"/>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1A60"/>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4F6D"/>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622"/>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C51"/>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2A"/>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53B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F9"/>
    <w:pPr>
      <w:spacing w:line="240" w:lineRule="auto"/>
      <w:jc w:val="left"/>
    </w:pPr>
    <w:rPr>
      <w:rFonts w:eastAsia="Times New Roman"/>
      <w:sz w:val="26"/>
      <w:szCs w:val="26"/>
    </w:rPr>
  </w:style>
  <w:style w:type="paragraph" w:styleId="Heading4">
    <w:name w:val="heading 4"/>
    <w:basedOn w:val="Normal"/>
    <w:link w:val="Heading4Char"/>
    <w:uiPriority w:val="9"/>
    <w:qFormat/>
    <w:rsid w:val="00BF7622"/>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2AF9"/>
    <w:pPr>
      <w:tabs>
        <w:tab w:val="center" w:pos="4680"/>
        <w:tab w:val="right" w:pos="9360"/>
      </w:tabs>
    </w:pPr>
  </w:style>
  <w:style w:type="character" w:customStyle="1" w:styleId="FooterChar">
    <w:name w:val="Footer Char"/>
    <w:basedOn w:val="DefaultParagraphFont"/>
    <w:link w:val="Footer"/>
    <w:uiPriority w:val="99"/>
    <w:rsid w:val="00342AF9"/>
    <w:rPr>
      <w:rFonts w:eastAsia="Times New Roman"/>
      <w:sz w:val="26"/>
      <w:szCs w:val="26"/>
    </w:rPr>
  </w:style>
  <w:style w:type="paragraph" w:customStyle="1" w:styleId="Default">
    <w:name w:val="Default"/>
    <w:rsid w:val="00342AF9"/>
    <w:pPr>
      <w:autoSpaceDE w:val="0"/>
      <w:autoSpaceDN w:val="0"/>
      <w:adjustRightInd w:val="0"/>
      <w:spacing w:line="240" w:lineRule="auto"/>
      <w:jc w:val="left"/>
    </w:pPr>
    <w:rPr>
      <w:color w:val="000000"/>
    </w:rPr>
  </w:style>
  <w:style w:type="character" w:customStyle="1" w:styleId="Heading4Char">
    <w:name w:val="Heading 4 Char"/>
    <w:basedOn w:val="DefaultParagraphFont"/>
    <w:link w:val="Heading4"/>
    <w:uiPriority w:val="9"/>
    <w:rsid w:val="00BF7622"/>
    <w:rPr>
      <w:rFonts w:eastAsia="Times New Roman"/>
      <w:b/>
      <w:bCs/>
    </w:rPr>
  </w:style>
  <w:style w:type="paragraph" w:styleId="NormalWeb">
    <w:name w:val="Normal (Web)"/>
    <w:basedOn w:val="Normal"/>
    <w:uiPriority w:val="99"/>
    <w:semiHidden/>
    <w:unhideWhenUsed/>
    <w:rsid w:val="00BF7622"/>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621668"/>
    <w:rPr>
      <w:sz w:val="20"/>
      <w:szCs w:val="20"/>
    </w:rPr>
  </w:style>
  <w:style w:type="character" w:customStyle="1" w:styleId="FootnoteTextChar">
    <w:name w:val="Footnote Text Char"/>
    <w:basedOn w:val="DefaultParagraphFont"/>
    <w:link w:val="FootnoteText"/>
    <w:uiPriority w:val="99"/>
    <w:semiHidden/>
    <w:rsid w:val="00621668"/>
    <w:rPr>
      <w:rFonts w:eastAsia="Times New Roman"/>
      <w:sz w:val="20"/>
      <w:szCs w:val="20"/>
    </w:rPr>
  </w:style>
  <w:style w:type="character" w:styleId="FootnoteReference">
    <w:name w:val="footnote reference"/>
    <w:basedOn w:val="DefaultParagraphFont"/>
    <w:uiPriority w:val="99"/>
    <w:semiHidden/>
    <w:unhideWhenUsed/>
    <w:rsid w:val="00621668"/>
    <w:rPr>
      <w:vertAlign w:val="superscript"/>
    </w:rPr>
  </w:style>
  <w:style w:type="paragraph" w:styleId="BalloonText">
    <w:name w:val="Balloon Text"/>
    <w:basedOn w:val="Normal"/>
    <w:link w:val="BalloonTextChar"/>
    <w:uiPriority w:val="99"/>
    <w:semiHidden/>
    <w:unhideWhenUsed/>
    <w:rsid w:val="00056C13"/>
    <w:rPr>
      <w:rFonts w:ascii="Tahoma" w:hAnsi="Tahoma" w:cs="Tahoma"/>
      <w:sz w:val="16"/>
      <w:szCs w:val="16"/>
    </w:rPr>
  </w:style>
  <w:style w:type="character" w:customStyle="1" w:styleId="BalloonTextChar">
    <w:name w:val="Balloon Text Char"/>
    <w:basedOn w:val="DefaultParagraphFont"/>
    <w:link w:val="BalloonText"/>
    <w:uiPriority w:val="99"/>
    <w:semiHidden/>
    <w:rsid w:val="00056C1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F9"/>
    <w:pPr>
      <w:spacing w:line="240" w:lineRule="auto"/>
      <w:jc w:val="left"/>
    </w:pPr>
    <w:rPr>
      <w:rFonts w:eastAsia="Times New Roman"/>
      <w:sz w:val="26"/>
      <w:szCs w:val="26"/>
    </w:rPr>
  </w:style>
  <w:style w:type="paragraph" w:styleId="Heading4">
    <w:name w:val="heading 4"/>
    <w:basedOn w:val="Normal"/>
    <w:link w:val="Heading4Char"/>
    <w:uiPriority w:val="9"/>
    <w:qFormat/>
    <w:rsid w:val="00BF7622"/>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2AF9"/>
    <w:pPr>
      <w:tabs>
        <w:tab w:val="center" w:pos="4680"/>
        <w:tab w:val="right" w:pos="9360"/>
      </w:tabs>
    </w:pPr>
  </w:style>
  <w:style w:type="character" w:customStyle="1" w:styleId="FooterChar">
    <w:name w:val="Footer Char"/>
    <w:basedOn w:val="DefaultParagraphFont"/>
    <w:link w:val="Footer"/>
    <w:uiPriority w:val="99"/>
    <w:rsid w:val="00342AF9"/>
    <w:rPr>
      <w:rFonts w:eastAsia="Times New Roman"/>
      <w:sz w:val="26"/>
      <w:szCs w:val="26"/>
    </w:rPr>
  </w:style>
  <w:style w:type="paragraph" w:customStyle="1" w:styleId="Default">
    <w:name w:val="Default"/>
    <w:rsid w:val="00342AF9"/>
    <w:pPr>
      <w:autoSpaceDE w:val="0"/>
      <w:autoSpaceDN w:val="0"/>
      <w:adjustRightInd w:val="0"/>
      <w:spacing w:line="240" w:lineRule="auto"/>
      <w:jc w:val="left"/>
    </w:pPr>
    <w:rPr>
      <w:color w:val="000000"/>
    </w:rPr>
  </w:style>
  <w:style w:type="character" w:customStyle="1" w:styleId="Heading4Char">
    <w:name w:val="Heading 4 Char"/>
    <w:basedOn w:val="DefaultParagraphFont"/>
    <w:link w:val="Heading4"/>
    <w:uiPriority w:val="9"/>
    <w:rsid w:val="00BF7622"/>
    <w:rPr>
      <w:rFonts w:eastAsia="Times New Roman"/>
      <w:b/>
      <w:bCs/>
    </w:rPr>
  </w:style>
  <w:style w:type="paragraph" w:styleId="NormalWeb">
    <w:name w:val="Normal (Web)"/>
    <w:basedOn w:val="Normal"/>
    <w:uiPriority w:val="99"/>
    <w:semiHidden/>
    <w:unhideWhenUsed/>
    <w:rsid w:val="00BF7622"/>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621668"/>
    <w:rPr>
      <w:sz w:val="20"/>
      <w:szCs w:val="20"/>
    </w:rPr>
  </w:style>
  <w:style w:type="character" w:customStyle="1" w:styleId="FootnoteTextChar">
    <w:name w:val="Footnote Text Char"/>
    <w:basedOn w:val="DefaultParagraphFont"/>
    <w:link w:val="FootnoteText"/>
    <w:uiPriority w:val="99"/>
    <w:semiHidden/>
    <w:rsid w:val="00621668"/>
    <w:rPr>
      <w:rFonts w:eastAsia="Times New Roman"/>
      <w:sz w:val="20"/>
      <w:szCs w:val="20"/>
    </w:rPr>
  </w:style>
  <w:style w:type="character" w:styleId="FootnoteReference">
    <w:name w:val="footnote reference"/>
    <w:basedOn w:val="DefaultParagraphFont"/>
    <w:uiPriority w:val="99"/>
    <w:semiHidden/>
    <w:unhideWhenUsed/>
    <w:rsid w:val="00621668"/>
    <w:rPr>
      <w:vertAlign w:val="superscript"/>
    </w:rPr>
  </w:style>
  <w:style w:type="paragraph" w:styleId="BalloonText">
    <w:name w:val="Balloon Text"/>
    <w:basedOn w:val="Normal"/>
    <w:link w:val="BalloonTextChar"/>
    <w:uiPriority w:val="99"/>
    <w:semiHidden/>
    <w:unhideWhenUsed/>
    <w:rsid w:val="00056C13"/>
    <w:rPr>
      <w:rFonts w:ascii="Tahoma" w:hAnsi="Tahoma" w:cs="Tahoma"/>
      <w:sz w:val="16"/>
      <w:szCs w:val="16"/>
    </w:rPr>
  </w:style>
  <w:style w:type="character" w:customStyle="1" w:styleId="BalloonTextChar">
    <w:name w:val="Balloon Text Char"/>
    <w:basedOn w:val="DefaultParagraphFont"/>
    <w:link w:val="BalloonText"/>
    <w:uiPriority w:val="99"/>
    <w:semiHidden/>
    <w:rsid w:val="00056C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37430">
      <w:bodyDiv w:val="1"/>
      <w:marLeft w:val="0"/>
      <w:marRight w:val="0"/>
      <w:marTop w:val="0"/>
      <w:marBottom w:val="0"/>
      <w:divBdr>
        <w:top w:val="none" w:sz="0" w:space="0" w:color="auto"/>
        <w:left w:val="none" w:sz="0" w:space="0" w:color="auto"/>
        <w:bottom w:val="none" w:sz="0" w:space="0" w:color="auto"/>
        <w:right w:val="none" w:sz="0" w:space="0" w:color="auto"/>
      </w:divBdr>
      <w:divsChild>
        <w:div w:id="1966160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C7BD-31EA-4E3C-94CD-0EEFE9A5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2015-02-20T15:05:00Z</cp:lastPrinted>
  <dcterms:created xsi:type="dcterms:W3CDTF">2015-03-02T14:25:00Z</dcterms:created>
  <dcterms:modified xsi:type="dcterms:W3CDTF">2015-03-02T14:25:00Z</dcterms:modified>
</cp:coreProperties>
</file>