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DE4B1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A25280" w:rsidRDefault="003F6AB1" w:rsidP="003F6AB1">
      <w:pPr>
        <w:jc w:val="center"/>
      </w:pPr>
      <w:r>
        <w:lastRenderedPageBreak/>
        <w:t>March 4, 2015</w:t>
      </w: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 w:rsidR="00DD1A88">
        <w:rPr>
          <w:sz w:val="24"/>
          <w:szCs w:val="24"/>
        </w:rPr>
        <w:t xml:space="preserve">Docket No. </w:t>
      </w:r>
      <w:r w:rsidR="00A25280">
        <w:rPr>
          <w:sz w:val="24"/>
          <w:szCs w:val="24"/>
        </w:rPr>
        <w:t>M-2015-2465161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Default="00A25280" w:rsidP="00C10E1B">
      <w:pPr>
        <w:rPr>
          <w:sz w:val="24"/>
          <w:szCs w:val="24"/>
        </w:rPr>
      </w:pPr>
      <w:r>
        <w:rPr>
          <w:sz w:val="24"/>
          <w:szCs w:val="24"/>
        </w:rPr>
        <w:t>RICHARD G WEBSTER JR</w:t>
      </w:r>
    </w:p>
    <w:p w:rsidR="00A25280" w:rsidRDefault="00A25280" w:rsidP="00C10E1B">
      <w:pPr>
        <w:rPr>
          <w:sz w:val="24"/>
          <w:szCs w:val="24"/>
        </w:rPr>
      </w:pPr>
      <w:r>
        <w:rPr>
          <w:sz w:val="24"/>
          <w:szCs w:val="24"/>
        </w:rPr>
        <w:t>PECO</w:t>
      </w:r>
    </w:p>
    <w:p w:rsidR="00A25280" w:rsidRDefault="00A25280" w:rsidP="00C10E1B">
      <w:pPr>
        <w:rPr>
          <w:sz w:val="24"/>
          <w:szCs w:val="24"/>
        </w:rPr>
      </w:pPr>
      <w:r>
        <w:rPr>
          <w:sz w:val="24"/>
          <w:szCs w:val="24"/>
        </w:rPr>
        <w:t>2301 MARKET STREET S15</w:t>
      </w:r>
    </w:p>
    <w:p w:rsidR="00A25280" w:rsidRPr="00E002B9" w:rsidRDefault="00A25280" w:rsidP="00C10E1B">
      <w:pPr>
        <w:rPr>
          <w:sz w:val="24"/>
          <w:szCs w:val="24"/>
        </w:rPr>
      </w:pPr>
      <w:r>
        <w:rPr>
          <w:sz w:val="24"/>
          <w:szCs w:val="24"/>
        </w:rPr>
        <w:t>PHILADELPHIA PA  19103</w:t>
      </w:r>
    </w:p>
    <w:p w:rsidR="00DD1A88" w:rsidRDefault="00DD1A88" w:rsidP="00C10E1B">
      <w:pPr>
        <w:rPr>
          <w:sz w:val="24"/>
          <w:szCs w:val="24"/>
        </w:rPr>
      </w:pPr>
    </w:p>
    <w:p w:rsidR="00DD1A88" w:rsidRDefault="00DD1A88" w:rsidP="00C10E1B">
      <w:pPr>
        <w:rPr>
          <w:sz w:val="24"/>
          <w:szCs w:val="24"/>
        </w:rPr>
      </w:pPr>
    </w:p>
    <w:p w:rsidR="00A25280" w:rsidRDefault="007D098F" w:rsidP="00DD1A8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01FA0" w:rsidRDefault="009E2DDE" w:rsidP="00DD1A88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101FA0">
        <w:rPr>
          <w:sz w:val="24"/>
          <w:szCs w:val="24"/>
        </w:rPr>
        <w:t>PECO Energy Company</w:t>
      </w:r>
    </w:p>
    <w:p w:rsidR="007D098F" w:rsidRDefault="00101FA0" w:rsidP="00DD1A8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 w:rsidR="00F03617">
        <w:rPr>
          <w:sz w:val="24"/>
          <w:szCs w:val="24"/>
        </w:rPr>
        <w:t xml:space="preserve">Tariff </w:t>
      </w:r>
      <w:r>
        <w:rPr>
          <w:sz w:val="24"/>
          <w:szCs w:val="24"/>
        </w:rPr>
        <w:t>Supplement No. 120 to Electric Pa. P.U.C. No. 4</w:t>
      </w:r>
      <w:r w:rsidR="00DD1A88">
        <w:rPr>
          <w:sz w:val="24"/>
          <w:szCs w:val="24"/>
        </w:rPr>
        <w:t xml:space="preserve"> </w:t>
      </w:r>
    </w:p>
    <w:p w:rsidR="00DD1A88" w:rsidRDefault="00DD1A88" w:rsidP="00DD1A88">
      <w:pPr>
        <w:rPr>
          <w:sz w:val="24"/>
          <w:szCs w:val="24"/>
        </w:rPr>
      </w:pPr>
    </w:p>
    <w:p w:rsidR="00DD1A88" w:rsidRPr="00E002B9" w:rsidRDefault="00DD1A88" w:rsidP="00DD1A88">
      <w:pPr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r w:rsidR="00101FA0">
        <w:rPr>
          <w:sz w:val="24"/>
          <w:szCs w:val="24"/>
        </w:rPr>
        <w:t>Webster</w:t>
      </w:r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F03617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F03617">
        <w:rPr>
          <w:sz w:val="24"/>
          <w:szCs w:val="24"/>
        </w:rPr>
        <w:t xml:space="preserve">On January 30, 2015, PECO Energy Company (PECO) </w:t>
      </w:r>
      <w:r w:rsidR="00F03617" w:rsidRPr="00E002B9">
        <w:rPr>
          <w:sz w:val="24"/>
          <w:szCs w:val="24"/>
        </w:rPr>
        <w:t>filed</w:t>
      </w:r>
      <w:r w:rsidR="00F03617">
        <w:rPr>
          <w:sz w:val="24"/>
          <w:szCs w:val="24"/>
        </w:rPr>
        <w:t xml:space="preserve"> Tariff Supplement No. 120 to Electric Pa. P.U.C. No. 4 </w:t>
      </w:r>
      <w:r w:rsidR="001515ED">
        <w:rPr>
          <w:sz w:val="24"/>
          <w:szCs w:val="24"/>
        </w:rPr>
        <w:t>which includes PECO’s update to the Consumer Education Charge (CEC) to be effective April 1, 2015.  As per a proposal previously discussed with the Commission, PECO included recovery of the costs of implementing the Supplier-Oriented Bill</w:t>
      </w:r>
      <w:r w:rsidR="001515ED">
        <w:rPr>
          <w:rStyle w:val="FootnoteReference"/>
          <w:sz w:val="24"/>
          <w:szCs w:val="24"/>
        </w:rPr>
        <w:footnoteReference w:id="1"/>
      </w:r>
      <w:r w:rsidR="001515ED">
        <w:rPr>
          <w:sz w:val="24"/>
          <w:szCs w:val="24"/>
        </w:rPr>
        <w:t xml:space="preserve"> in the CEC filing.  </w:t>
      </w:r>
      <w:r w:rsidR="004B69AB">
        <w:rPr>
          <w:sz w:val="24"/>
          <w:szCs w:val="24"/>
        </w:rPr>
        <w:t xml:space="preserve">Therefore, Supplement No. 120 to Electric Pa. P.U.C. No. 4 includes revisions to the language and calculation related to the provision for the recovery of Consumer Education Plan costs.    </w:t>
      </w:r>
      <w:r w:rsidR="00F20AD4">
        <w:rPr>
          <w:sz w:val="24"/>
          <w:szCs w:val="24"/>
        </w:rPr>
        <w:t xml:space="preserve"> </w:t>
      </w:r>
      <w:r w:rsidR="001515ED">
        <w:rPr>
          <w:sz w:val="24"/>
          <w:szCs w:val="24"/>
        </w:rPr>
        <w:t xml:space="preserve">  </w:t>
      </w:r>
    </w:p>
    <w:p w:rsidR="001515ED" w:rsidRDefault="001515ED" w:rsidP="007E1637">
      <w:pPr>
        <w:ind w:hanging="1080"/>
        <w:rPr>
          <w:sz w:val="24"/>
          <w:szCs w:val="24"/>
        </w:rPr>
      </w:pPr>
    </w:p>
    <w:p w:rsidR="00E002B9" w:rsidRDefault="00F03617" w:rsidP="007E1637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 xml:space="preserve">Commission Staff has reviewed the tariff </w:t>
      </w:r>
      <w:r w:rsidR="0026671B">
        <w:rPr>
          <w:sz w:val="24"/>
          <w:szCs w:val="24"/>
        </w:rPr>
        <w:t xml:space="preserve">language and calculation </w:t>
      </w:r>
      <w:r w:rsidR="003B4948" w:rsidRPr="00E002B9">
        <w:rPr>
          <w:sz w:val="24"/>
          <w:szCs w:val="24"/>
        </w:rPr>
        <w:t xml:space="preserve">revisions </w:t>
      </w:r>
      <w:r w:rsidR="007E1637" w:rsidRPr="00E002B9">
        <w:rPr>
          <w:sz w:val="24"/>
          <w:szCs w:val="24"/>
        </w:rPr>
        <w:t>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</w:t>
      </w:r>
      <w:r w:rsidR="0026671B" w:rsidRPr="00E002B9">
        <w:rPr>
          <w:sz w:val="24"/>
          <w:szCs w:val="24"/>
        </w:rPr>
        <w:t xml:space="preserve">the tariff </w:t>
      </w:r>
      <w:r w:rsidR="0026671B">
        <w:rPr>
          <w:sz w:val="24"/>
          <w:szCs w:val="24"/>
        </w:rPr>
        <w:t xml:space="preserve">language and calculation </w:t>
      </w:r>
      <w:r w:rsidR="0026671B" w:rsidRPr="00E002B9">
        <w:rPr>
          <w:sz w:val="24"/>
          <w:szCs w:val="24"/>
        </w:rPr>
        <w:t xml:space="preserve">revisions </w:t>
      </w:r>
      <w:r w:rsidR="0026671B">
        <w:rPr>
          <w:sz w:val="24"/>
          <w:szCs w:val="24"/>
        </w:rPr>
        <w:t xml:space="preserve">contained in </w:t>
      </w:r>
      <w:r>
        <w:rPr>
          <w:sz w:val="24"/>
          <w:szCs w:val="24"/>
        </w:rPr>
        <w:t xml:space="preserve">Supplement No. 120 to Electric Pa. P.U.C. No. 4 </w:t>
      </w:r>
      <w:r w:rsidR="0026671B">
        <w:rPr>
          <w:sz w:val="24"/>
          <w:szCs w:val="24"/>
        </w:rPr>
        <w:t>are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</w:t>
      </w:r>
      <w:r w:rsidR="00E16067">
        <w:rPr>
          <w:sz w:val="24"/>
          <w:szCs w:val="24"/>
        </w:rPr>
        <w:t>s</w:t>
      </w:r>
      <w:r w:rsidR="00E002B9" w:rsidRPr="00E002B9">
        <w:rPr>
          <w:sz w:val="24"/>
          <w:szCs w:val="24"/>
        </w:rPr>
        <w:t>.</w:t>
      </w:r>
    </w:p>
    <w:p w:rsidR="003B7D0C" w:rsidRDefault="003B7D0C" w:rsidP="007E1637">
      <w:pPr>
        <w:ind w:hanging="1080"/>
        <w:rPr>
          <w:sz w:val="24"/>
          <w:szCs w:val="24"/>
        </w:rPr>
      </w:pPr>
    </w:p>
    <w:p w:rsidR="00DD1A88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have any questions in this matter, please contact </w:t>
      </w:r>
      <w:r w:rsidR="00F03617">
        <w:rPr>
          <w:sz w:val="24"/>
          <w:szCs w:val="24"/>
        </w:rPr>
        <w:t>Marissa Boyle</w:t>
      </w:r>
      <w:r>
        <w:rPr>
          <w:sz w:val="24"/>
          <w:szCs w:val="24"/>
        </w:rPr>
        <w:t xml:space="preserve">, Bureau of </w:t>
      </w:r>
      <w:r w:rsidR="00DD1A88">
        <w:rPr>
          <w:sz w:val="24"/>
          <w:szCs w:val="24"/>
        </w:rPr>
        <w:t xml:space="preserve">Technical </w:t>
      </w:r>
      <w:r>
        <w:rPr>
          <w:sz w:val="24"/>
          <w:szCs w:val="24"/>
        </w:rPr>
        <w:t xml:space="preserve">Utility Services, at </w:t>
      </w:r>
      <w:r w:rsidR="00F03617">
        <w:rPr>
          <w:sz w:val="24"/>
          <w:szCs w:val="24"/>
        </w:rPr>
        <w:t>(717) 787-7237</w:t>
      </w:r>
      <w:r>
        <w:rPr>
          <w:sz w:val="24"/>
          <w:szCs w:val="24"/>
        </w:rPr>
        <w:t xml:space="preserve">or </w:t>
      </w:r>
      <w:r w:rsidR="00F03617">
        <w:rPr>
          <w:sz w:val="24"/>
          <w:szCs w:val="24"/>
        </w:rPr>
        <w:t>maboyle@pa.gov</w:t>
      </w:r>
      <w:r w:rsidR="00DD1A88">
        <w:rPr>
          <w:sz w:val="24"/>
          <w:szCs w:val="24"/>
        </w:rPr>
        <w:t>.</w:t>
      </w:r>
      <w:r w:rsidR="00DD1A88">
        <w:rPr>
          <w:sz w:val="24"/>
          <w:szCs w:val="24"/>
        </w:rPr>
        <w:tab/>
      </w:r>
      <w:r w:rsidR="00DD1A88">
        <w:rPr>
          <w:sz w:val="24"/>
          <w:szCs w:val="24"/>
        </w:rPr>
        <w:tab/>
      </w:r>
    </w:p>
    <w:p w:rsidR="00DD1A88" w:rsidRDefault="00DD1A88" w:rsidP="003B7D0C">
      <w:pPr>
        <w:rPr>
          <w:sz w:val="24"/>
          <w:szCs w:val="24"/>
        </w:rPr>
      </w:pPr>
    </w:p>
    <w:p w:rsidR="00F03617" w:rsidRDefault="003F6AB1" w:rsidP="003B7D0C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B83A7AA" wp14:editId="74C3E8CA">
            <wp:simplePos x="0" y="0"/>
            <wp:positionH relativeFrom="column">
              <wp:posOffset>2710180</wp:posOffset>
            </wp:positionH>
            <wp:positionV relativeFrom="paragraph">
              <wp:posOffset>116205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D1A88">
        <w:rPr>
          <w:sz w:val="24"/>
          <w:szCs w:val="24"/>
        </w:rPr>
        <w:tab/>
      </w:r>
      <w:r w:rsidR="00DD1A88">
        <w:rPr>
          <w:sz w:val="24"/>
          <w:szCs w:val="24"/>
        </w:rPr>
        <w:tab/>
      </w:r>
      <w:r w:rsidR="00DD1A88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</w:p>
    <w:p w:rsidR="003B7D0C" w:rsidRDefault="00F03617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D0C">
        <w:rPr>
          <w:sz w:val="24"/>
          <w:szCs w:val="24"/>
        </w:rPr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B86822" w:rsidRPr="00B86822" w:rsidRDefault="003B7D0C" w:rsidP="00C10E1B">
      <w:pPr>
        <w:rPr>
          <w:rFonts w:ascii="Arial" w:hAnsi="Arial" w:cs="Arial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  <w:r w:rsidR="00B86822">
        <w:tab/>
      </w:r>
      <w:r w:rsidR="00B86822">
        <w:tab/>
      </w:r>
      <w:r w:rsidR="00B86822">
        <w:tab/>
      </w:r>
    </w:p>
    <w:sectPr w:rsidR="00B86822" w:rsidRPr="00B86822" w:rsidSect="00AF566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F03" w:rsidRDefault="00622F03" w:rsidP="00DD43B7">
      <w:r>
        <w:separator/>
      </w:r>
    </w:p>
  </w:endnote>
  <w:endnote w:type="continuationSeparator" w:id="0">
    <w:p w:rsidR="00622F03" w:rsidRDefault="00622F03" w:rsidP="00DD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F03" w:rsidRDefault="00622F03" w:rsidP="00DD43B7">
      <w:r>
        <w:separator/>
      </w:r>
    </w:p>
  </w:footnote>
  <w:footnote w:type="continuationSeparator" w:id="0">
    <w:p w:rsidR="00622F03" w:rsidRDefault="00622F03" w:rsidP="00DD43B7">
      <w:r>
        <w:continuationSeparator/>
      </w:r>
    </w:p>
  </w:footnote>
  <w:footnote w:id="1">
    <w:p w:rsidR="001515ED" w:rsidRDefault="001515ED">
      <w:pPr>
        <w:pStyle w:val="FootnoteText"/>
      </w:pPr>
      <w:r>
        <w:rPr>
          <w:rStyle w:val="FootnoteReference"/>
        </w:rPr>
        <w:footnoteRef/>
      </w:r>
      <w:r>
        <w:t xml:space="preserve"> Pursuant to Docket No. M-2014-2401345.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D70CB"/>
    <w:rsid w:val="00101FA0"/>
    <w:rsid w:val="001515ED"/>
    <w:rsid w:val="0026671B"/>
    <w:rsid w:val="00277772"/>
    <w:rsid w:val="002824E7"/>
    <w:rsid w:val="002C1305"/>
    <w:rsid w:val="002E07F5"/>
    <w:rsid w:val="0031651E"/>
    <w:rsid w:val="00360070"/>
    <w:rsid w:val="0039445A"/>
    <w:rsid w:val="003B4948"/>
    <w:rsid w:val="003B7D0C"/>
    <w:rsid w:val="003F6AB1"/>
    <w:rsid w:val="004A7AD4"/>
    <w:rsid w:val="004B69AB"/>
    <w:rsid w:val="004E5C4D"/>
    <w:rsid w:val="00567119"/>
    <w:rsid w:val="005F0888"/>
    <w:rsid w:val="00622F03"/>
    <w:rsid w:val="007D098F"/>
    <w:rsid w:val="007E1637"/>
    <w:rsid w:val="008B45B1"/>
    <w:rsid w:val="008C4062"/>
    <w:rsid w:val="00920579"/>
    <w:rsid w:val="009E2DDE"/>
    <w:rsid w:val="00A25280"/>
    <w:rsid w:val="00AF5663"/>
    <w:rsid w:val="00B32263"/>
    <w:rsid w:val="00B86822"/>
    <w:rsid w:val="00C10E1B"/>
    <w:rsid w:val="00CE01FD"/>
    <w:rsid w:val="00D24FA2"/>
    <w:rsid w:val="00DD1A88"/>
    <w:rsid w:val="00DD43B7"/>
    <w:rsid w:val="00DE25AB"/>
    <w:rsid w:val="00DE4B19"/>
    <w:rsid w:val="00E002B9"/>
    <w:rsid w:val="00E16067"/>
    <w:rsid w:val="00F03617"/>
    <w:rsid w:val="00F20AD4"/>
    <w:rsid w:val="00F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1515ED"/>
  </w:style>
  <w:style w:type="character" w:customStyle="1" w:styleId="FootnoteTextChar">
    <w:name w:val="Footnote Text Char"/>
    <w:basedOn w:val="DefaultParagraphFont"/>
    <w:link w:val="FootnoteText"/>
    <w:rsid w:val="001515ED"/>
  </w:style>
  <w:style w:type="character" w:styleId="FootnoteReference">
    <w:name w:val="footnote reference"/>
    <w:basedOn w:val="DefaultParagraphFont"/>
    <w:rsid w:val="001515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1515ED"/>
  </w:style>
  <w:style w:type="character" w:customStyle="1" w:styleId="FootnoteTextChar">
    <w:name w:val="Footnote Text Char"/>
    <w:basedOn w:val="DefaultParagraphFont"/>
    <w:link w:val="FootnoteText"/>
    <w:rsid w:val="001515ED"/>
  </w:style>
  <w:style w:type="character" w:styleId="FootnoteReference">
    <w:name w:val="footnote reference"/>
    <w:basedOn w:val="DefaultParagraphFont"/>
    <w:rsid w:val="001515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9CD6-6EA0-4AB5-9EE0-C9E1F9AA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1897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Farner, Joyce</cp:lastModifiedBy>
  <cp:revision>9</cp:revision>
  <cp:lastPrinted>2015-03-04T13:30:00Z</cp:lastPrinted>
  <dcterms:created xsi:type="dcterms:W3CDTF">2015-03-03T17:58:00Z</dcterms:created>
  <dcterms:modified xsi:type="dcterms:W3CDTF">2015-03-04T13:30:00Z</dcterms:modified>
</cp:coreProperties>
</file>