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E56" w:rsidRDefault="006C3E56" w:rsidP="006C3E56">
      <w:pPr>
        <w:jc w:val="center"/>
      </w:pPr>
      <w:r>
        <w:rPr>
          <w:b/>
        </w:rPr>
        <w:t>BEFORE THE</w:t>
      </w:r>
    </w:p>
    <w:p w:rsidR="006C3E56" w:rsidRDefault="006C3E56" w:rsidP="006C3E56">
      <w:pPr>
        <w:jc w:val="center"/>
      </w:pPr>
      <w:r>
        <w:rPr>
          <w:b/>
        </w:rPr>
        <w:t>PENNSYLVANIA PUBLIC UTILITY COMMISSION</w:t>
      </w:r>
    </w:p>
    <w:p w:rsidR="00F42A35" w:rsidRDefault="00F42A35" w:rsidP="006C3E56">
      <w:pPr>
        <w:rPr>
          <w:b/>
        </w:rPr>
      </w:pPr>
    </w:p>
    <w:p w:rsidR="00F42A35" w:rsidRDefault="00F42A35" w:rsidP="006C3E56">
      <w:pPr>
        <w:rPr>
          <w:b/>
        </w:rPr>
      </w:pPr>
    </w:p>
    <w:p w:rsidR="00F42A35" w:rsidRDefault="00F42A35" w:rsidP="006C3E56">
      <w:pPr>
        <w:rPr>
          <w:b/>
        </w:rPr>
      </w:pPr>
    </w:p>
    <w:p w:rsidR="006C3E56" w:rsidRDefault="006C3E56" w:rsidP="006C3E56">
      <w:r>
        <w:t>Bernadette Williams</w:t>
      </w:r>
      <w:r>
        <w:tab/>
      </w:r>
      <w:r>
        <w:tab/>
      </w:r>
      <w:r>
        <w:tab/>
      </w:r>
      <w:r>
        <w:tab/>
      </w:r>
      <w:r w:rsidR="00F42A35">
        <w:tab/>
      </w:r>
      <w:r>
        <w:t>:</w:t>
      </w:r>
    </w:p>
    <w:p w:rsidR="006C3E56" w:rsidRDefault="006C3E56" w:rsidP="006C3E56">
      <w:r>
        <w:tab/>
      </w:r>
      <w:r>
        <w:tab/>
      </w:r>
      <w:r>
        <w:tab/>
      </w:r>
      <w:r>
        <w:tab/>
      </w:r>
      <w:r>
        <w:tab/>
      </w:r>
      <w:r>
        <w:tab/>
      </w:r>
      <w:r w:rsidR="00F42A35">
        <w:tab/>
      </w:r>
      <w:r>
        <w:t>:</w:t>
      </w:r>
    </w:p>
    <w:p w:rsidR="006C3E56" w:rsidRDefault="006C3E56" w:rsidP="006C3E56">
      <w:r>
        <w:tab/>
        <w:t>v.</w:t>
      </w:r>
      <w:r>
        <w:tab/>
      </w:r>
      <w:r>
        <w:tab/>
      </w:r>
      <w:r>
        <w:tab/>
      </w:r>
      <w:r>
        <w:tab/>
      </w:r>
      <w:r>
        <w:tab/>
      </w:r>
      <w:r w:rsidR="00F42A35">
        <w:tab/>
      </w:r>
      <w:r>
        <w:t>:</w:t>
      </w:r>
      <w:r>
        <w:tab/>
      </w:r>
      <w:r>
        <w:tab/>
      </w:r>
      <w:r>
        <w:tab/>
        <w:t>F-2014-2443218</w:t>
      </w:r>
    </w:p>
    <w:p w:rsidR="006C3E56" w:rsidRDefault="006C3E56" w:rsidP="006C3E56">
      <w:r>
        <w:tab/>
      </w:r>
      <w:r>
        <w:tab/>
      </w:r>
      <w:r>
        <w:tab/>
      </w:r>
      <w:r>
        <w:tab/>
      </w:r>
      <w:r>
        <w:tab/>
      </w:r>
      <w:r>
        <w:tab/>
      </w:r>
      <w:r w:rsidR="00F42A35">
        <w:tab/>
      </w:r>
      <w:r>
        <w:t>:</w:t>
      </w:r>
    </w:p>
    <w:p w:rsidR="006C3E56" w:rsidRDefault="006C3E56" w:rsidP="006C3E56">
      <w:r>
        <w:t>Philadelphia Gas Works</w:t>
      </w:r>
      <w:r>
        <w:tab/>
      </w:r>
      <w:r>
        <w:tab/>
      </w:r>
      <w:r>
        <w:tab/>
      </w:r>
      <w:r w:rsidR="00F42A35">
        <w:tab/>
      </w:r>
      <w:r>
        <w:t>:</w:t>
      </w:r>
    </w:p>
    <w:p w:rsidR="006C3E56" w:rsidRDefault="006C3E56" w:rsidP="006C3E56"/>
    <w:p w:rsidR="006C3E56" w:rsidRDefault="006C3E56" w:rsidP="006C3E56"/>
    <w:p w:rsidR="00F42A35" w:rsidRDefault="00F42A35" w:rsidP="006C3E56"/>
    <w:p w:rsidR="006C3E56" w:rsidRPr="00595B93" w:rsidRDefault="006C3E56" w:rsidP="006C3E56">
      <w:pPr>
        <w:jc w:val="center"/>
        <w:rPr>
          <w:u w:val="single"/>
        </w:rPr>
      </w:pPr>
      <w:r w:rsidRPr="00595B93">
        <w:rPr>
          <w:b/>
          <w:u w:val="single"/>
        </w:rPr>
        <w:t>INITIAL DECISION</w:t>
      </w:r>
    </w:p>
    <w:p w:rsidR="006C3E56" w:rsidRDefault="006C3E56" w:rsidP="006C3E56">
      <w:pPr>
        <w:jc w:val="center"/>
      </w:pPr>
    </w:p>
    <w:p w:rsidR="00F42A35" w:rsidRDefault="00F42A35" w:rsidP="006C3E56">
      <w:pPr>
        <w:jc w:val="center"/>
      </w:pPr>
    </w:p>
    <w:p w:rsidR="006C3E56" w:rsidRDefault="006C3E56" w:rsidP="006C3E56">
      <w:pPr>
        <w:jc w:val="center"/>
      </w:pPr>
      <w:r>
        <w:t>Before</w:t>
      </w:r>
    </w:p>
    <w:p w:rsidR="006C3E56" w:rsidRDefault="006C3E56" w:rsidP="006C3E56">
      <w:pPr>
        <w:jc w:val="center"/>
      </w:pPr>
      <w:r>
        <w:t>Susan D. Colwell</w:t>
      </w:r>
    </w:p>
    <w:p w:rsidR="006C3E56" w:rsidRDefault="006C3E56" w:rsidP="006C3E56">
      <w:pPr>
        <w:jc w:val="center"/>
      </w:pPr>
      <w:r>
        <w:t>Administrative Law Judge</w:t>
      </w:r>
    </w:p>
    <w:p w:rsidR="006C3E56" w:rsidRDefault="006C3E56" w:rsidP="006C3E56">
      <w:pPr>
        <w:jc w:val="center"/>
      </w:pPr>
    </w:p>
    <w:p w:rsidR="006C3E56" w:rsidRDefault="006C3E56" w:rsidP="006C3E56">
      <w:pPr>
        <w:jc w:val="center"/>
      </w:pPr>
    </w:p>
    <w:p w:rsidR="006C3E56" w:rsidRDefault="00226001" w:rsidP="006C3E56">
      <w:pPr>
        <w:jc w:val="center"/>
      </w:pPr>
      <w:r>
        <w:rPr>
          <w:u w:val="single"/>
        </w:rPr>
        <w:t>INTRODUCTION</w:t>
      </w:r>
    </w:p>
    <w:p w:rsidR="006C3E56" w:rsidRDefault="006C3E56" w:rsidP="001D4ABB">
      <w:pPr>
        <w:spacing w:line="360" w:lineRule="auto"/>
      </w:pPr>
    </w:p>
    <w:p w:rsidR="006C3E56" w:rsidRDefault="006C3E56" w:rsidP="001D4ABB">
      <w:pPr>
        <w:spacing w:line="360" w:lineRule="auto"/>
      </w:pPr>
      <w:r>
        <w:tab/>
      </w:r>
      <w:r>
        <w:tab/>
        <w:t>This Initial Decision dismisses a formal complaint seeking a payment arrangement for a substantial arrearage where the customer defaulted on a prior payment arrangement and has been on a customer assistance program prior to service termination.</w:t>
      </w:r>
    </w:p>
    <w:p w:rsidR="00F42A35" w:rsidRDefault="00F42A35" w:rsidP="001D4ABB">
      <w:pPr>
        <w:spacing w:line="360" w:lineRule="auto"/>
      </w:pPr>
    </w:p>
    <w:p w:rsidR="006C3E56" w:rsidRDefault="00226001" w:rsidP="001D4ABB">
      <w:pPr>
        <w:spacing w:line="360" w:lineRule="auto"/>
        <w:jc w:val="center"/>
        <w:rPr>
          <w:u w:val="single"/>
        </w:rPr>
      </w:pPr>
      <w:r>
        <w:rPr>
          <w:u w:val="single"/>
        </w:rPr>
        <w:t>HISTORY OF THE PROCEEDING</w:t>
      </w:r>
    </w:p>
    <w:p w:rsidR="00226001" w:rsidRDefault="00226001" w:rsidP="001D4ABB">
      <w:pPr>
        <w:spacing w:line="360" w:lineRule="auto"/>
        <w:jc w:val="center"/>
      </w:pPr>
    </w:p>
    <w:p w:rsidR="006C3E56" w:rsidRDefault="006C3E56" w:rsidP="001D4ABB">
      <w:pPr>
        <w:spacing w:line="360" w:lineRule="auto"/>
      </w:pPr>
      <w:r>
        <w:tab/>
      </w:r>
      <w:r>
        <w:tab/>
        <w:t>On September 8, 2014, Bernadette Williams (Complainant) filed a formal Complaint alleging that Philadelphia Gas Works (Respondent or Company or PGW) terminated her service and refuses to restore it unless she makes a payment of $3,000.00.  Her monthly income of $316.00 prevents her from acquiring the necessary funds for this payment, and she seeks a more affordable payment arrangement.  She alleged that her 10-year-old son with a disability lives with her as well.</w:t>
      </w:r>
    </w:p>
    <w:p w:rsidR="006C3E56" w:rsidRDefault="006C3E56" w:rsidP="001D4ABB">
      <w:pPr>
        <w:spacing w:line="360" w:lineRule="auto"/>
      </w:pPr>
    </w:p>
    <w:p w:rsidR="001D4ABB" w:rsidRDefault="006C3E56" w:rsidP="001D4ABB">
      <w:pPr>
        <w:spacing w:line="360" w:lineRule="auto"/>
        <w:sectPr w:rsidR="001D4ABB" w:rsidSect="00595B93">
          <w:footerReference w:type="default" r:id="rId9"/>
          <w:pgSz w:w="12240" w:h="15840"/>
          <w:pgMar w:top="1440" w:right="1440" w:bottom="1440" w:left="1440" w:header="720" w:footer="720" w:gutter="0"/>
          <w:cols w:space="720"/>
          <w:titlePg/>
          <w:docGrid w:linePitch="360"/>
        </w:sectPr>
      </w:pPr>
      <w:r>
        <w:tab/>
      </w:r>
      <w:r>
        <w:tab/>
        <w:t>The Commission's Secretary served the Compla</w:t>
      </w:r>
      <w:r w:rsidR="00F42A35">
        <w:t>int on the Company on September </w:t>
      </w:r>
      <w:r>
        <w:t>18, 2014.</w:t>
      </w:r>
    </w:p>
    <w:p w:rsidR="006C3E56" w:rsidRDefault="006C3E56" w:rsidP="006C3E56">
      <w:pPr>
        <w:spacing w:line="360" w:lineRule="auto"/>
      </w:pPr>
      <w:r>
        <w:lastRenderedPageBreak/>
        <w:tab/>
      </w:r>
      <w:r>
        <w:tab/>
        <w:t xml:space="preserve">The Company filed its Answer on October 8, 2014, admitting that service had been terminated at Complainant's house.  Further, the Company avers that Complainant </w:t>
      </w:r>
      <w:r w:rsidR="00226001">
        <w:t>h</w:t>
      </w:r>
      <w:r>
        <w:t xml:space="preserve">as enrolled in the Customer Responsibility Program </w:t>
      </w:r>
      <w:r w:rsidR="00071267">
        <w:t xml:space="preserve">(CRP) </w:t>
      </w:r>
      <w:r>
        <w:t>on November 1, 2011, with a beginning balance of $7,454</w:t>
      </w:r>
      <w:r w:rsidR="00E43377">
        <w:t>.</w:t>
      </w:r>
      <w:r>
        <w:t>61 and a monthly CRP amount of $185.  Service was terminated for nonpayment on May 5,</w:t>
      </w:r>
      <w:r w:rsidR="00226001">
        <w:t xml:space="preserve"> 2014, with a final balance</w:t>
      </w:r>
      <w:r>
        <w:t xml:space="preserve"> of $11,173.77.  A BCS decision dated July 24, 2014 dismissed the informal complaint as the Complainant is not eligible for a PUC payment agreement.  Complainant is required to pay $3,136.55 with CRP re-enrollment or payment of the full balance plus a reconnection fee for service restoration.  </w:t>
      </w:r>
    </w:p>
    <w:p w:rsidR="006C3E56" w:rsidRDefault="006C3E56" w:rsidP="006C3E56">
      <w:pPr>
        <w:spacing w:line="360" w:lineRule="auto"/>
      </w:pPr>
      <w:r>
        <w:t> </w:t>
      </w:r>
    </w:p>
    <w:p w:rsidR="006C3E56" w:rsidRDefault="006C3E56" w:rsidP="006C3E56">
      <w:pPr>
        <w:spacing w:line="360" w:lineRule="auto"/>
      </w:pPr>
      <w:r>
        <w:tab/>
      </w:r>
      <w:r>
        <w:tab/>
        <w:t>A telephone hearing notice was issued on December 2, 2014, setting the initial telephonic hearing for Wednesday, January 21, 2014 at 10:00 a</w:t>
      </w:r>
      <w:r w:rsidR="00E43377">
        <w:t>.</w:t>
      </w:r>
      <w:r>
        <w:t xml:space="preserve">m.  My prehearing order was issued on December 3, 2014.  </w:t>
      </w:r>
    </w:p>
    <w:p w:rsidR="006C3E56" w:rsidRDefault="006C3E56" w:rsidP="006C3E56">
      <w:pPr>
        <w:spacing w:line="360" w:lineRule="auto"/>
      </w:pPr>
      <w:r>
        <w:rPr>
          <w:sz w:val="27"/>
          <w:szCs w:val="27"/>
        </w:rPr>
        <w:t> </w:t>
      </w:r>
    </w:p>
    <w:p w:rsidR="006C3E56" w:rsidRDefault="006C3E56" w:rsidP="006C3E56">
      <w:pPr>
        <w:spacing w:line="360" w:lineRule="auto"/>
      </w:pPr>
      <w:r>
        <w:tab/>
      </w:r>
      <w:r>
        <w:tab/>
        <w:t xml:space="preserve">On Wednesday, January 14, 2015, the Company filed a motion for continuance stating that calls had been made to the Complainant but that none had been returned.  PGW alleged that it was in the process of investigating recent issues related to the Complainant's account but had not been able to make direct contact.  By Order issued January 14, 2015, the motion was denied for failure to state a sufficient reason for the continuance.  </w:t>
      </w:r>
    </w:p>
    <w:p w:rsidR="006C3E56" w:rsidRDefault="006C3E56" w:rsidP="006C3E56">
      <w:pPr>
        <w:spacing w:line="360" w:lineRule="auto"/>
      </w:pPr>
      <w:r>
        <w:t> </w:t>
      </w:r>
    </w:p>
    <w:p w:rsidR="006C3E56" w:rsidRDefault="006C3E56" w:rsidP="006C3E56">
      <w:pPr>
        <w:spacing w:line="360" w:lineRule="auto"/>
      </w:pPr>
      <w:r>
        <w:tab/>
      </w:r>
      <w:r>
        <w:tab/>
        <w:t>PGW sent electronic copies of its proposed exhibits and stated that it was having hard copies delivered to the Complainant's house that day.  On Friday, January 16, 2015, Complainant called the Office of Administrative Law Judge and reported a new contact telephone number.</w:t>
      </w:r>
    </w:p>
    <w:p w:rsidR="006C3E56" w:rsidRDefault="006C3E56" w:rsidP="006C3E56">
      <w:pPr>
        <w:spacing w:line="360" w:lineRule="auto"/>
      </w:pPr>
      <w:r>
        <w:t> </w:t>
      </w:r>
    </w:p>
    <w:p w:rsidR="006C3E56" w:rsidRDefault="006C3E56" w:rsidP="006C3E56">
      <w:pPr>
        <w:spacing w:line="360" w:lineRule="auto"/>
      </w:pPr>
      <w:r>
        <w:tab/>
      </w:r>
      <w:r>
        <w:tab/>
        <w:t xml:space="preserve">At the time set for the hearing, Graciela Christlieb, Esq., and her witness were present by telephone on behalf of PGW, and Complainant appeared on her own behalf.  PGW presented one witness, who in turn sponsored six exhibits which were entered into the record.  </w:t>
      </w:r>
    </w:p>
    <w:p w:rsidR="006C3E56" w:rsidRDefault="006C3E56" w:rsidP="006C3E56">
      <w:pPr>
        <w:spacing w:line="360" w:lineRule="auto"/>
      </w:pPr>
      <w:r>
        <w:t> </w:t>
      </w:r>
    </w:p>
    <w:p w:rsidR="006C3E56" w:rsidRDefault="006C3E56" w:rsidP="006C3E56">
      <w:pPr>
        <w:spacing w:line="360" w:lineRule="auto"/>
      </w:pPr>
      <w:r>
        <w:tab/>
      </w:r>
      <w:r>
        <w:tab/>
        <w:t>A transcript of 37 pages was generated, and the record closed upon its receipt on February 12, 2015.  The matter is now ripe for disposition.</w:t>
      </w:r>
    </w:p>
    <w:p w:rsidR="00595B93" w:rsidRDefault="006C3E56" w:rsidP="006C3E56">
      <w:pPr>
        <w:spacing w:line="360" w:lineRule="auto"/>
      </w:pPr>
      <w:r>
        <w:t> </w:t>
      </w:r>
    </w:p>
    <w:p w:rsidR="009B6A23" w:rsidRDefault="009B6A23" w:rsidP="006C3E56">
      <w:pPr>
        <w:spacing w:line="360" w:lineRule="auto"/>
        <w:jc w:val="center"/>
        <w:rPr>
          <w:u w:val="single"/>
        </w:rPr>
        <w:sectPr w:rsidR="009B6A23" w:rsidSect="009B6A23">
          <w:footerReference w:type="first" r:id="rId10"/>
          <w:pgSz w:w="12240" w:h="15840"/>
          <w:pgMar w:top="1296" w:right="1440" w:bottom="1296" w:left="1440" w:header="720" w:footer="720" w:gutter="0"/>
          <w:cols w:space="720"/>
          <w:titlePg/>
          <w:docGrid w:linePitch="360"/>
        </w:sectPr>
      </w:pPr>
    </w:p>
    <w:p w:rsidR="006C3E56" w:rsidRDefault="006C3E56" w:rsidP="006C3E56">
      <w:pPr>
        <w:spacing w:line="360" w:lineRule="auto"/>
        <w:jc w:val="center"/>
      </w:pPr>
      <w:r>
        <w:rPr>
          <w:u w:val="single"/>
        </w:rPr>
        <w:t>FINDINGS OF FACT</w:t>
      </w:r>
    </w:p>
    <w:p w:rsidR="006C3E56" w:rsidRDefault="006C3E56" w:rsidP="006C3E56">
      <w:pPr>
        <w:spacing w:line="360" w:lineRule="auto"/>
        <w:jc w:val="center"/>
      </w:pPr>
      <w:r>
        <w:t> </w:t>
      </w:r>
    </w:p>
    <w:p w:rsidR="006C3E56" w:rsidRDefault="006C3E56" w:rsidP="006C3E56">
      <w:pPr>
        <w:spacing w:line="360" w:lineRule="auto"/>
      </w:pPr>
      <w:r>
        <w:tab/>
      </w:r>
      <w:r>
        <w:tab/>
        <w:t>1.</w:t>
      </w:r>
      <w:r>
        <w:tab/>
        <w:t>Complainant is Bernadette Williams, 6928 Reed Bird Place, Philadelphia PA 19142.</w:t>
      </w:r>
    </w:p>
    <w:p w:rsidR="006C3E56" w:rsidRDefault="006C3E56" w:rsidP="006C3E56">
      <w:pPr>
        <w:spacing w:line="360" w:lineRule="auto"/>
      </w:pPr>
      <w:r>
        <w:t> </w:t>
      </w:r>
    </w:p>
    <w:p w:rsidR="006C3E56" w:rsidRDefault="006C3E56" w:rsidP="006C3E56">
      <w:pPr>
        <w:spacing w:line="360" w:lineRule="auto"/>
      </w:pPr>
      <w:r>
        <w:tab/>
      </w:r>
      <w:r>
        <w:tab/>
        <w:t>2.</w:t>
      </w:r>
      <w:r>
        <w:tab/>
        <w:t>Respondent is Philadelphia Gas Works, a jurisdictional public utility providing residential gas service in the Commonwealth of Pennsylvania.</w:t>
      </w:r>
    </w:p>
    <w:p w:rsidR="006C3E56" w:rsidRDefault="006C3E56" w:rsidP="006C3E56">
      <w:pPr>
        <w:spacing w:line="360" w:lineRule="auto"/>
      </w:pPr>
      <w:r>
        <w:t> </w:t>
      </w:r>
    </w:p>
    <w:p w:rsidR="006C3E56" w:rsidRDefault="006C3E56" w:rsidP="006C3E56">
      <w:pPr>
        <w:spacing w:line="360" w:lineRule="auto"/>
      </w:pPr>
      <w:r>
        <w:tab/>
      </w:r>
      <w:r>
        <w:tab/>
        <w:t>3.</w:t>
      </w:r>
      <w:r>
        <w:tab/>
        <w:t>Complainant has two sons who suffer from schizophrenia, ages 29 and 23, and a 10-year-old son with ADHD, all of whom live with her.  Tr. 7.</w:t>
      </w:r>
    </w:p>
    <w:p w:rsidR="006C3E56" w:rsidRDefault="006C3E56" w:rsidP="006C3E56">
      <w:pPr>
        <w:spacing w:line="360" w:lineRule="auto"/>
      </w:pPr>
      <w:r>
        <w:t> </w:t>
      </w:r>
    </w:p>
    <w:p w:rsidR="006C3E56" w:rsidRDefault="006C3E56" w:rsidP="006C3E56">
      <w:pPr>
        <w:spacing w:line="360" w:lineRule="auto"/>
      </w:pPr>
      <w:r>
        <w:tab/>
      </w:r>
      <w:r>
        <w:tab/>
        <w:t>4.</w:t>
      </w:r>
      <w:r>
        <w:tab/>
        <w:t>At the end of 2013, Complainant suffered a nervous breakdown which resulted in her being unable to pay her gas bill.  Tr. 7.</w:t>
      </w:r>
    </w:p>
    <w:p w:rsidR="006C3E56" w:rsidRDefault="006C3E56" w:rsidP="006C3E56">
      <w:pPr>
        <w:spacing w:line="360" w:lineRule="auto"/>
      </w:pPr>
      <w:r>
        <w:t> </w:t>
      </w:r>
    </w:p>
    <w:p w:rsidR="006C3E56" w:rsidRDefault="006C3E56" w:rsidP="006C3E56">
      <w:pPr>
        <w:spacing w:line="360" w:lineRule="auto"/>
      </w:pPr>
      <w:r>
        <w:tab/>
      </w:r>
      <w:r>
        <w:tab/>
        <w:t>5.</w:t>
      </w:r>
      <w:r>
        <w:tab/>
        <w:t>Complainant has applied for social security disability but had not been approved at the time of the hearing.  Tr. 7.</w:t>
      </w:r>
      <w:r>
        <w:tab/>
      </w:r>
    </w:p>
    <w:p w:rsidR="006C3E56" w:rsidRDefault="006C3E56" w:rsidP="006C3E56">
      <w:pPr>
        <w:spacing w:line="360" w:lineRule="auto"/>
      </w:pPr>
      <w:r>
        <w:t> </w:t>
      </w:r>
    </w:p>
    <w:p w:rsidR="006C3E56" w:rsidRDefault="00226001" w:rsidP="006C3E56">
      <w:pPr>
        <w:spacing w:line="360" w:lineRule="auto"/>
      </w:pPr>
      <w:r>
        <w:tab/>
      </w:r>
      <w:r>
        <w:tab/>
        <w:t>6.</w:t>
      </w:r>
      <w:r>
        <w:tab/>
        <w:t>Complainant</w:t>
      </w:r>
      <w:r w:rsidR="006C3E56">
        <w:t xml:space="preserve"> receives public assistance of $316 per month and $347 in food stamps.  Tr. 7.</w:t>
      </w:r>
    </w:p>
    <w:p w:rsidR="006C3E56" w:rsidRDefault="006C3E56" w:rsidP="006C3E56">
      <w:pPr>
        <w:spacing w:line="360" w:lineRule="auto"/>
      </w:pPr>
      <w:r>
        <w:t> </w:t>
      </w:r>
    </w:p>
    <w:p w:rsidR="006C3E56" w:rsidRDefault="006C3E56" w:rsidP="006C3E56">
      <w:pPr>
        <w:spacing w:line="360" w:lineRule="auto"/>
      </w:pPr>
      <w:r>
        <w:tab/>
      </w:r>
      <w:r>
        <w:tab/>
        <w:t>7.</w:t>
      </w:r>
      <w:r>
        <w:tab/>
      </w:r>
      <w:r w:rsidR="00226001">
        <w:t>Complainant</w:t>
      </w:r>
      <w:r>
        <w:t xml:space="preserve"> has a mortgage payment of $838 per month and an electric bill of $445 per month, as well as a payment plan with the water department of $48 per month.  Tr. 8.</w:t>
      </w:r>
    </w:p>
    <w:p w:rsidR="006C3E56" w:rsidRDefault="006C3E56" w:rsidP="006C3E56">
      <w:pPr>
        <w:spacing w:line="360" w:lineRule="auto"/>
      </w:pPr>
      <w:r>
        <w:t> </w:t>
      </w:r>
    </w:p>
    <w:p w:rsidR="006C3E56" w:rsidRDefault="006C3E56" w:rsidP="006C3E56">
      <w:pPr>
        <w:spacing w:line="360" w:lineRule="auto"/>
      </w:pPr>
      <w:r>
        <w:tab/>
      </w:r>
      <w:r>
        <w:tab/>
        <w:t>8.</w:t>
      </w:r>
      <w:r>
        <w:tab/>
        <w:t>The 29-year-old son receives $730 per mon</w:t>
      </w:r>
      <w:r w:rsidR="00E43377">
        <w:t>th in disability benefits.  Tr. </w:t>
      </w:r>
      <w:r>
        <w:t>10.</w:t>
      </w:r>
    </w:p>
    <w:p w:rsidR="006C3E56" w:rsidRDefault="006C3E56" w:rsidP="006C3E56">
      <w:pPr>
        <w:spacing w:line="360" w:lineRule="auto"/>
      </w:pPr>
      <w:r>
        <w:t> </w:t>
      </w:r>
    </w:p>
    <w:p w:rsidR="006C3E56" w:rsidRDefault="006C3E56" w:rsidP="006C3E56">
      <w:pPr>
        <w:spacing w:line="360" w:lineRule="auto"/>
      </w:pPr>
      <w:r>
        <w:tab/>
      </w:r>
      <w:r>
        <w:tab/>
        <w:t>9.</w:t>
      </w:r>
      <w:r>
        <w:tab/>
        <w:t>The 23-year-old has applied for benefits but has not yet been approved.  Tr. 10.</w:t>
      </w:r>
    </w:p>
    <w:p w:rsidR="006C3E56" w:rsidRDefault="006C3E56" w:rsidP="006C3E56">
      <w:pPr>
        <w:spacing w:line="360" w:lineRule="auto"/>
      </w:pPr>
      <w:r>
        <w:t> </w:t>
      </w:r>
    </w:p>
    <w:p w:rsidR="006C3E56" w:rsidRDefault="006C3E56" w:rsidP="006C3E56">
      <w:pPr>
        <w:spacing w:line="360" w:lineRule="auto"/>
      </w:pPr>
      <w:r>
        <w:tab/>
      </w:r>
      <w:r>
        <w:tab/>
        <w:t>10.</w:t>
      </w:r>
      <w:r>
        <w:tab/>
        <w:t>Patricia Bernard, customer review officer for PGW, appeared and testified on behalf of the Respondent.  Tr. 12.</w:t>
      </w:r>
    </w:p>
    <w:p w:rsidR="0081704A" w:rsidRDefault="006C3E56" w:rsidP="0081704A">
      <w:r>
        <w:t> </w:t>
      </w:r>
      <w:r>
        <w:tab/>
      </w:r>
      <w:r>
        <w:tab/>
      </w:r>
    </w:p>
    <w:p w:rsidR="006C3E56" w:rsidRDefault="0081704A" w:rsidP="0081704A">
      <w:r>
        <w:tab/>
      </w:r>
      <w:r>
        <w:tab/>
      </w:r>
      <w:r w:rsidR="006C3E56">
        <w:t>11.</w:t>
      </w:r>
      <w:r w:rsidR="006C3E56">
        <w:tab/>
        <w:t>PGW Exhibit 1 is the list of customer contacts.  Tr. 15.</w:t>
      </w:r>
    </w:p>
    <w:p w:rsidR="006C3E56" w:rsidRDefault="006C3E56" w:rsidP="006C3E56">
      <w:pPr>
        <w:spacing w:line="360" w:lineRule="auto"/>
      </w:pPr>
      <w:r>
        <w:t> </w:t>
      </w:r>
    </w:p>
    <w:p w:rsidR="006C3E56" w:rsidRDefault="006C3E56" w:rsidP="006C3E56">
      <w:pPr>
        <w:spacing w:line="360" w:lineRule="auto"/>
      </w:pPr>
      <w:r>
        <w:tab/>
      </w:r>
      <w:r>
        <w:tab/>
        <w:t>12.</w:t>
      </w:r>
      <w:r>
        <w:tab/>
        <w:t>PGW Exhibit 2 is a statement of account.  Tr. 16.</w:t>
      </w:r>
    </w:p>
    <w:p w:rsidR="006C3E56" w:rsidRDefault="006C3E56" w:rsidP="006C3E56">
      <w:pPr>
        <w:spacing w:line="360" w:lineRule="auto"/>
      </w:pPr>
      <w:r>
        <w:t> </w:t>
      </w:r>
    </w:p>
    <w:p w:rsidR="006C3E56" w:rsidRDefault="006C3E56" w:rsidP="006C3E56">
      <w:pPr>
        <w:spacing w:line="360" w:lineRule="auto"/>
      </w:pPr>
      <w:r>
        <w:tab/>
      </w:r>
      <w:r>
        <w:tab/>
        <w:t>13.</w:t>
      </w:r>
      <w:r>
        <w:tab/>
        <w:t>PGW Exhibit 3 is the history of payment arrangements.  Tr. 15</w:t>
      </w:r>
    </w:p>
    <w:p w:rsidR="006C3E56" w:rsidRDefault="006C3E56" w:rsidP="006C3E56">
      <w:pPr>
        <w:spacing w:line="360" w:lineRule="auto"/>
      </w:pPr>
      <w:r>
        <w:t> </w:t>
      </w:r>
    </w:p>
    <w:p w:rsidR="006C3E56" w:rsidRDefault="006C3E56" w:rsidP="006C3E56">
      <w:pPr>
        <w:spacing w:line="360" w:lineRule="auto"/>
      </w:pPr>
      <w:r>
        <w:tab/>
      </w:r>
      <w:r>
        <w:tab/>
        <w:t>14.</w:t>
      </w:r>
      <w:r>
        <w:tab/>
        <w:t>PGW Exhibit 4 is the listing of collection activity.  Tr. 15.</w:t>
      </w:r>
    </w:p>
    <w:p w:rsidR="006C3E56" w:rsidRDefault="006C3E56" w:rsidP="006C3E56">
      <w:pPr>
        <w:spacing w:line="360" w:lineRule="auto"/>
      </w:pPr>
      <w:r>
        <w:t> </w:t>
      </w:r>
    </w:p>
    <w:p w:rsidR="006C3E56" w:rsidRDefault="006C3E56" w:rsidP="006C3E56">
      <w:pPr>
        <w:spacing w:line="360" w:lineRule="auto"/>
      </w:pPr>
      <w:r>
        <w:tab/>
      </w:r>
      <w:r>
        <w:tab/>
        <w:t>15.</w:t>
      </w:r>
      <w:r>
        <w:tab/>
        <w:t xml:space="preserve">PGW Exhibit 5 is the </w:t>
      </w:r>
      <w:r w:rsidR="00226001">
        <w:t xml:space="preserve">listing of </w:t>
      </w:r>
      <w:r>
        <w:t>medical holds submitted for the account.  Tr. 15</w:t>
      </w:r>
      <w:r w:rsidR="00226001">
        <w:t>.</w:t>
      </w:r>
    </w:p>
    <w:p w:rsidR="006C3E56" w:rsidRDefault="006C3E56" w:rsidP="006C3E56">
      <w:pPr>
        <w:spacing w:line="360" w:lineRule="auto"/>
      </w:pPr>
      <w:r>
        <w:t> </w:t>
      </w:r>
    </w:p>
    <w:p w:rsidR="006C3E56" w:rsidRDefault="006C3E56" w:rsidP="006C3E56">
      <w:pPr>
        <w:spacing w:line="360" w:lineRule="auto"/>
      </w:pPr>
      <w:r>
        <w:tab/>
      </w:r>
      <w:r>
        <w:tab/>
        <w:t>16.</w:t>
      </w:r>
      <w:r>
        <w:tab/>
        <w:t>PGW Exhibit 6 is BCS informal decision in BCS # 2589188 dated October 1, 2009.  Tr. 15; Exhibit 6.</w:t>
      </w:r>
    </w:p>
    <w:p w:rsidR="006C3E56" w:rsidRDefault="006C3E56" w:rsidP="006C3E56">
      <w:pPr>
        <w:spacing w:line="360" w:lineRule="auto"/>
      </w:pPr>
      <w:r>
        <w:t> </w:t>
      </w:r>
    </w:p>
    <w:p w:rsidR="006C3E56" w:rsidRDefault="006C3E56" w:rsidP="006C3E56">
      <w:pPr>
        <w:spacing w:line="360" w:lineRule="auto"/>
      </w:pPr>
      <w:r>
        <w:tab/>
      </w:r>
      <w:r>
        <w:tab/>
        <w:t>17.</w:t>
      </w:r>
      <w:r>
        <w:tab/>
        <w:t>PGW Exhibit 1, page 3 of 14, reports that at BCS # 3266089, Complainant’s informal complaint was dismissed with the determination that the Complainant is not eligible for a PUC payment arrangement and that the Company’s demands for restoration of service are correct.  PGW Ex. 1; Tr. 16-17.</w:t>
      </w:r>
    </w:p>
    <w:p w:rsidR="006C3E56" w:rsidRDefault="006C3E56" w:rsidP="006C3E56">
      <w:pPr>
        <w:spacing w:line="360" w:lineRule="auto"/>
      </w:pPr>
      <w:r>
        <w:t> </w:t>
      </w:r>
    </w:p>
    <w:p w:rsidR="006C3E56" w:rsidRDefault="006C3E56" w:rsidP="006C3E56">
      <w:pPr>
        <w:spacing w:line="360" w:lineRule="auto"/>
      </w:pPr>
      <w:r>
        <w:tab/>
      </w:r>
      <w:r>
        <w:tab/>
        <w:t>18.</w:t>
      </w:r>
      <w:r>
        <w:tab/>
        <w:t>Complainant has had seven Company payment arrangements and one PUC payment arrangement.  Tr. 17-18; PGW Ex. 3.</w:t>
      </w:r>
    </w:p>
    <w:p w:rsidR="006C3E56" w:rsidRDefault="006C3E56" w:rsidP="006C3E56">
      <w:pPr>
        <w:spacing w:line="360" w:lineRule="auto"/>
      </w:pPr>
      <w:r>
        <w:t> </w:t>
      </w:r>
    </w:p>
    <w:p w:rsidR="006C3E56" w:rsidRDefault="006C3E56" w:rsidP="006C3E56">
      <w:pPr>
        <w:spacing w:line="360" w:lineRule="auto"/>
      </w:pPr>
      <w:r>
        <w:tab/>
      </w:r>
      <w:r>
        <w:tab/>
        <w:t>19.</w:t>
      </w:r>
      <w:r>
        <w:tab/>
        <w:t>All of the payment arrangements have been broken by the Complainant.  Tr. 18; PGW Ex. 3.</w:t>
      </w:r>
    </w:p>
    <w:p w:rsidR="006C3E56" w:rsidRDefault="006C3E56" w:rsidP="006C3E56">
      <w:pPr>
        <w:spacing w:line="360" w:lineRule="auto"/>
      </w:pPr>
      <w:r>
        <w:t> </w:t>
      </w:r>
    </w:p>
    <w:p w:rsidR="006C3E56" w:rsidRDefault="006C3E56" w:rsidP="006C3E56">
      <w:pPr>
        <w:spacing w:line="360" w:lineRule="auto"/>
      </w:pPr>
      <w:r>
        <w:tab/>
      </w:r>
      <w:r>
        <w:tab/>
        <w:t>20.</w:t>
      </w:r>
      <w:r>
        <w:tab/>
        <w:t>Complainant’s CRP cure amount on the date of the hearing would have been $2,468.55.  Tr. 19.</w:t>
      </w:r>
    </w:p>
    <w:p w:rsidR="0081704A" w:rsidRDefault="006C3E56" w:rsidP="006C3E56">
      <w:pPr>
        <w:spacing w:line="360" w:lineRule="auto"/>
      </w:pPr>
      <w:r>
        <w:t> </w:t>
      </w:r>
    </w:p>
    <w:p w:rsidR="006C3E56" w:rsidRDefault="006C3E56" w:rsidP="006C3E56">
      <w:pPr>
        <w:spacing w:line="360" w:lineRule="auto"/>
      </w:pPr>
      <w:r>
        <w:tab/>
      </w:r>
      <w:r>
        <w:tab/>
        <w:t>21.</w:t>
      </w:r>
      <w:r>
        <w:tab/>
        <w:t>Complainant is also assessed a reconnection fee of $123.23 and an unauthorized usage charge of $436.73.  Tr.19.</w:t>
      </w:r>
    </w:p>
    <w:p w:rsidR="006C3E56" w:rsidRDefault="006C3E56" w:rsidP="006C3E56">
      <w:pPr>
        <w:spacing w:line="360" w:lineRule="auto"/>
      </w:pPr>
      <w:r>
        <w:t> </w:t>
      </w:r>
    </w:p>
    <w:p w:rsidR="006C3E56" w:rsidRDefault="006C3E56" w:rsidP="006C3E56">
      <w:pPr>
        <w:spacing w:line="360" w:lineRule="auto"/>
      </w:pPr>
      <w:r>
        <w:tab/>
      </w:r>
      <w:r>
        <w:tab/>
        <w:t>22.</w:t>
      </w:r>
      <w:r>
        <w:tab/>
        <w:t>Complainant’s total reconnection amount is $3,028.51.  Tr. 20.</w:t>
      </w:r>
    </w:p>
    <w:p w:rsidR="006C3E56" w:rsidRDefault="006C3E56" w:rsidP="006C3E56">
      <w:pPr>
        <w:spacing w:line="360" w:lineRule="auto"/>
      </w:pPr>
      <w:r>
        <w:tab/>
      </w:r>
      <w:r>
        <w:tab/>
        <w:t>23.</w:t>
      </w:r>
      <w:r>
        <w:tab/>
        <w:t>After repayment of the $3,028.51 and re-enrollment in CRP, Complainant’s service would be restored.  Tr. 20.</w:t>
      </w:r>
    </w:p>
    <w:p w:rsidR="006C3E56" w:rsidRDefault="006C3E56" w:rsidP="006C3E56">
      <w:pPr>
        <w:spacing w:line="360" w:lineRule="auto"/>
      </w:pPr>
      <w:r>
        <w:t> </w:t>
      </w:r>
    </w:p>
    <w:p w:rsidR="006C3E56" w:rsidRDefault="006C3E56" w:rsidP="0081704A">
      <w:pPr>
        <w:spacing w:line="360" w:lineRule="auto"/>
      </w:pPr>
      <w:r>
        <w:tab/>
      </w:r>
      <w:r>
        <w:tab/>
        <w:t>24.</w:t>
      </w:r>
      <w:r>
        <w:tab/>
        <w:t>Re-enrollment would require proof of income for the entire household, social security cards for each household member, and a valid pho</w:t>
      </w:r>
      <w:r w:rsidR="00325C96">
        <w:t>to ID for the Complainant.  Tr. </w:t>
      </w:r>
      <w:r>
        <w:t>20.</w:t>
      </w:r>
    </w:p>
    <w:p w:rsidR="006C3E56" w:rsidRDefault="006C3E56" w:rsidP="0081704A">
      <w:pPr>
        <w:spacing w:line="360" w:lineRule="auto"/>
      </w:pPr>
      <w:r>
        <w:t> </w:t>
      </w:r>
    </w:p>
    <w:p w:rsidR="006C3E56" w:rsidRDefault="006C3E56" w:rsidP="0081704A">
      <w:pPr>
        <w:spacing w:line="360" w:lineRule="auto"/>
        <w:jc w:val="center"/>
      </w:pPr>
      <w:r>
        <w:rPr>
          <w:u w:val="single"/>
        </w:rPr>
        <w:t>DISCUSSION</w:t>
      </w:r>
    </w:p>
    <w:p w:rsidR="006C3E56" w:rsidRDefault="006C3E56" w:rsidP="0081704A">
      <w:pPr>
        <w:spacing w:line="360" w:lineRule="auto"/>
        <w:jc w:val="center"/>
      </w:pPr>
      <w:r>
        <w:t> </w:t>
      </w:r>
    </w:p>
    <w:p w:rsidR="006C3E56" w:rsidRDefault="006C3E56" w:rsidP="0081704A">
      <w:pPr>
        <w:spacing w:line="360" w:lineRule="auto"/>
      </w:pPr>
      <w:r>
        <w:tab/>
      </w:r>
      <w:r>
        <w:tab/>
        <w:t>Complainant seeks an affordable payment arrangement which will allow PGW to reconnect her gas service as soon as possible.  PGW avers that Complainant is not eligible for a Commission-issued payment arrangement.</w:t>
      </w:r>
    </w:p>
    <w:p w:rsidR="006C3E56" w:rsidRDefault="006C3E56" w:rsidP="00325C96">
      <w:pPr>
        <w:spacing w:line="360" w:lineRule="auto"/>
      </w:pPr>
      <w:r>
        <w:t> </w:t>
      </w:r>
    </w:p>
    <w:p w:rsidR="006C3E56" w:rsidRDefault="006C3E56" w:rsidP="00325C96">
      <w:pPr>
        <w:spacing w:line="360" w:lineRule="auto"/>
      </w:pPr>
      <w:r>
        <w:tab/>
      </w:r>
      <w:r>
        <w:tab/>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Pr>
          <w:i/>
        </w:rPr>
        <w:t xml:space="preserve">Patterson v. Bell Tel. Co. of PA, </w:t>
      </w:r>
      <w:r>
        <w:t xml:space="preserve">72 Pa. PUC 196 (1990); </w:t>
      </w:r>
      <w:r>
        <w:rPr>
          <w:i/>
        </w:rPr>
        <w:t xml:space="preserve">Feinstein v. Phila. Suburban Water Co., </w:t>
      </w:r>
      <w:r>
        <w:t xml:space="preserve">50 Pa. PUC 300 (1976).  This must be shown by a preponderance of the evidence.  </w:t>
      </w:r>
      <w:r>
        <w:rPr>
          <w:i/>
        </w:rPr>
        <w:t xml:space="preserve">Samuel J. Lansberry, Inc. v. Pa. Pub. Util. Comm'n, </w:t>
      </w:r>
      <w:r>
        <w:t xml:space="preserve">578 A.2d 600 (1990), </w:t>
      </w:r>
      <w:r>
        <w:rPr>
          <w:i/>
        </w:rPr>
        <w:t>alloc. denied</w:t>
      </w:r>
      <w:r>
        <w:t xml:space="preserve">, 602 A.2d 863 (1992).  A preponderance of evidence is that which is more convincing, by even the smallest amount, than that presented by the other party.  </w:t>
      </w:r>
      <w:r>
        <w:rPr>
          <w:i/>
        </w:rPr>
        <w:t>Se-Ling Hosiery v. Margulies,</w:t>
      </w:r>
      <w:r>
        <w:t xml:space="preserve"> </w:t>
      </w:r>
      <w:r>
        <w:rPr>
          <w:color w:val="333333"/>
        </w:rPr>
        <w:t>364 Pa. 45, 70 A.2d 854, 1950 Pa. LEXIS 316 (1950)</w:t>
      </w:r>
      <w:r>
        <w:t>.</w:t>
      </w:r>
    </w:p>
    <w:p w:rsidR="006C3E56" w:rsidRDefault="006C3E56" w:rsidP="00325C96">
      <w:pPr>
        <w:spacing w:line="360" w:lineRule="auto"/>
      </w:pPr>
      <w:r>
        <w:t> </w:t>
      </w:r>
    </w:p>
    <w:p w:rsidR="006C3E56" w:rsidRDefault="006C3E56" w:rsidP="00325C96">
      <w:pPr>
        <w:spacing w:line="360" w:lineRule="auto"/>
      </w:pPr>
      <w:r>
        <w:tab/>
      </w:r>
      <w:r>
        <w:tab/>
        <w:t xml:space="preserve">Additionally, any finding of fact necessary to support the Commission's adjudication must be based upon substantial evidence.  </w:t>
      </w:r>
      <w:r>
        <w:rPr>
          <w:i/>
        </w:rPr>
        <w:t>Mill v. Pa. Pub. Util. Comm'n</w:t>
      </w:r>
      <w:r>
        <w:t xml:space="preserve">, 447 A.2d 1100 (Pa.Cmwlth. 1982); </w:t>
      </w:r>
      <w:r>
        <w:rPr>
          <w:i/>
        </w:rPr>
        <w:t xml:space="preserve">Edan Transportation Corp. v. Pa. Pub. Util. Comm'n, </w:t>
      </w:r>
      <w:r>
        <w:t xml:space="preserve">623 A.2d 6 (Pa. Cmwlth. 1993); 2 Pa.C.S. § 704.  More is required than a mere trace of evidence or a suspicion of the existence of a fact sought to be established.  </w:t>
      </w:r>
      <w:r>
        <w:rPr>
          <w:i/>
        </w:rPr>
        <w:t xml:space="preserve">Norfolk and Western Ry. v. Pa. Pub. Util. Comm'n, </w:t>
      </w:r>
      <w:r>
        <w:t xml:space="preserve">489 Pa. 109, 413 A.2d 1037 (1980); </w:t>
      </w:r>
      <w:r>
        <w:rPr>
          <w:i/>
        </w:rPr>
        <w:t xml:space="preserve">Erie Resistor Corp. v. Unemployment Compensation Bd. Of Review, </w:t>
      </w:r>
      <w:r>
        <w:t xml:space="preserve">166 A.2d 96 (Pa.Super. 1960); </w:t>
      </w:r>
      <w:r>
        <w:rPr>
          <w:i/>
        </w:rPr>
        <w:t xml:space="preserve">Murphy v. Dep't. of Public Welfare, White Haven Center, </w:t>
      </w:r>
      <w:r>
        <w:t>480 A.2d 382 (Pa. Cmwlth. 1984).</w:t>
      </w:r>
    </w:p>
    <w:p w:rsidR="0081704A" w:rsidRDefault="006C3E56" w:rsidP="0081704A">
      <w:pPr>
        <w:spacing w:line="360" w:lineRule="auto"/>
        <w:sectPr w:rsidR="0081704A" w:rsidSect="009B6A23">
          <w:pgSz w:w="12240" w:h="15840"/>
          <w:pgMar w:top="1296" w:right="1440" w:bottom="1296" w:left="1440" w:header="720" w:footer="720" w:gutter="0"/>
          <w:cols w:space="720"/>
          <w:titlePg/>
          <w:docGrid w:linePitch="360"/>
        </w:sectPr>
      </w:pPr>
      <w:r>
        <w:tab/>
      </w:r>
      <w:r>
        <w:tab/>
      </w:r>
    </w:p>
    <w:p w:rsidR="006C3E56" w:rsidRDefault="0081704A" w:rsidP="0081704A">
      <w:pPr>
        <w:spacing w:line="360" w:lineRule="auto"/>
      </w:pPr>
      <w:r>
        <w:tab/>
      </w:r>
      <w:r>
        <w:tab/>
      </w:r>
      <w:r w:rsidR="006C3E56">
        <w:t>Accordingly, the burden of proving entitlement to a payment arrange</w:t>
      </w:r>
      <w:r>
        <w:t>ment belongs to the Complainant.</w:t>
      </w:r>
    </w:p>
    <w:p w:rsidR="0081704A" w:rsidRDefault="0081704A" w:rsidP="0081704A">
      <w:pPr>
        <w:spacing w:line="360" w:lineRule="auto"/>
      </w:pPr>
    </w:p>
    <w:p w:rsidR="006C3E56" w:rsidRDefault="006C3E56" w:rsidP="0081704A">
      <w:pPr>
        <w:spacing w:line="360" w:lineRule="auto"/>
      </w:pPr>
      <w:r>
        <w:tab/>
      </w:r>
      <w:r>
        <w:tab/>
        <w:t>Complainant explains that she has fallen on hard times.  There are four people living in her household: two adult sons, ages 29 and 23, her 10-year-old son, and herself.  The two adult sons struggle with schizophrenia, her 10-year-old has ADHD, and she had to stop working at the end of 2013 because of a breakdown which rendered her unable to work.  Her monthly household income consists of $316.00 public assistance, $347.00 in food stamps, and $730.00 of Social Security Disability received by the oldest son.  Although she suffers from depression, anxiety and memory loss, her own disability claim is now on appeal.  She has a</w:t>
      </w:r>
      <w:r w:rsidR="003D6CC0">
        <w:t>n</w:t>
      </w:r>
      <w:r>
        <w:t xml:space="preserve"> $838.99 monthly mortgage payment, a $445.00 electric bill, and a $48.00 monthly water bill to pay as well.  Her prior payment agreement amount with PGW was $185.00, and she states that she simply cannot make that payment right now.  In addition, she has no resources to call upon to come up with the approximately $3,000.00 that PGW needs to reconnect her service.  She does not contest the penalty and cost of unauthorized gas after the Company determined that her house had been reconnected without authorization in October, but she states that she felt she had no choice as her family was freezing.  She insists that she wil</w:t>
      </w:r>
      <w:r w:rsidR="003D6CC0">
        <w:t>l not exercise that option ever</w:t>
      </w:r>
      <w:r>
        <w:t xml:space="preserve"> again, she simply wants an affordable way to reinstate gas service.  She repeatedly requested that the Respondent work with her.  </w:t>
      </w:r>
    </w:p>
    <w:p w:rsidR="006C3E56" w:rsidRDefault="006C3E56" w:rsidP="006C3E56">
      <w:pPr>
        <w:spacing w:line="360" w:lineRule="auto"/>
      </w:pPr>
      <w:r>
        <w:t> </w:t>
      </w:r>
    </w:p>
    <w:p w:rsidR="006C3E56" w:rsidRDefault="006C3E56" w:rsidP="00374DE1">
      <w:pPr>
        <w:spacing w:line="360" w:lineRule="auto"/>
      </w:pPr>
      <w:r>
        <w:tab/>
      </w:r>
      <w:r>
        <w:tab/>
        <w:t>The Company responds that she has been given seven Company payment arrangements and one PUC payment arrangement, and that all were broken.  She was placed on the Company's customer assistance program, the CRP, and during the four years she was receiving CRP benefits, her arrearage increased to the current balance of $10,505.77</w:t>
      </w:r>
      <w:r w:rsidR="007F5E8E">
        <w:t xml:space="preserve"> because s</w:t>
      </w:r>
      <w:r>
        <w:t xml:space="preserve">he made only nine payments during that time.  Because she defaulted on the prior PUC payment arrangement and the balance was not reduced, she is not eligible for another.  Her best option, the Company argues, is to pay the "cure" amount of $3,028.54 ($2,468.55 CRP make up, $123.23 reconnection fee, and $436.76 unauthorized gas usage).  When she does that, she will be eligible for the CRP program again, and based on her income and household size, her monthly bill will be </w:t>
      </w:r>
      <w:r w:rsidR="00B85E3C">
        <w:t xml:space="preserve">calculated, and </w:t>
      </w:r>
      <w:r>
        <w:t xml:space="preserve">a portion of the arrearage will be forgiven each time a timely payment is made.  </w:t>
      </w:r>
    </w:p>
    <w:p w:rsidR="006C3E56" w:rsidRDefault="006C3E56" w:rsidP="00374DE1">
      <w:pPr>
        <w:spacing w:line="360" w:lineRule="auto"/>
      </w:pPr>
      <w:r>
        <w:t> </w:t>
      </w:r>
      <w:r>
        <w:tab/>
      </w:r>
      <w:r>
        <w:tab/>
        <w:t>The Commission's ability to direct a payment arrangement is governed by Chapter 14 of the Public Utility Code, 66 Pa.C.S. §§ 14</w:t>
      </w:r>
      <w:r w:rsidR="007F5E8E">
        <w:t>05.</w:t>
      </w:r>
      <w:r>
        <w:t xml:space="preserve">  There are limited circumstances under which a second payment arrangement may be extended</w:t>
      </w:r>
      <w:r w:rsidR="007F5E8E">
        <w:t xml:space="preserve">. </w:t>
      </w:r>
      <w:r w:rsidR="007F5E8E">
        <w:rPr>
          <w:rStyle w:val="FootnoteReference"/>
        </w:rPr>
        <w:footnoteReference w:id="1"/>
      </w:r>
      <w:r w:rsidR="00C56172">
        <w:t xml:space="preserve">  However, PGW provided testimony that the entire arrearage is CAP, which prevents the Commission from granting an additional payment arrangement.  66 Pa.C.S. § 1405(c).  </w:t>
      </w:r>
    </w:p>
    <w:p w:rsidR="006C3E56" w:rsidRDefault="006C3E56" w:rsidP="00374DE1">
      <w:pPr>
        <w:spacing w:line="360" w:lineRule="auto"/>
      </w:pPr>
      <w:r>
        <w:t> </w:t>
      </w:r>
    </w:p>
    <w:p w:rsidR="00C56172" w:rsidRDefault="00C56172" w:rsidP="00374DE1">
      <w:r>
        <w:tab/>
      </w:r>
      <w:r>
        <w:tab/>
        <w:t>In addition, the reconnection fee is authorized by Chapter 14.</w:t>
      </w:r>
    </w:p>
    <w:p w:rsidR="006C3E56" w:rsidRDefault="006C3E56" w:rsidP="00CC67DD">
      <w:pPr>
        <w:spacing w:line="360" w:lineRule="auto"/>
      </w:pPr>
    </w:p>
    <w:p w:rsidR="006C3E56" w:rsidRDefault="006C3E56" w:rsidP="00CC67DD">
      <w:pPr>
        <w:ind w:left="1440" w:right="1440"/>
        <w:contextualSpacing/>
        <w:rPr>
          <w:b/>
        </w:rPr>
      </w:pPr>
      <w:r>
        <w:rPr>
          <w:b/>
        </w:rPr>
        <w:t>§ 1407.  Reconnection of service</w:t>
      </w:r>
    </w:p>
    <w:p w:rsidR="006C3E56" w:rsidRDefault="006C3E56" w:rsidP="00CC67DD">
      <w:pPr>
        <w:ind w:left="1440" w:right="1440"/>
        <w:contextualSpacing/>
        <w:jc w:val="center"/>
      </w:pPr>
      <w:r>
        <w:t>* * *</w:t>
      </w:r>
    </w:p>
    <w:p w:rsidR="006C3E56" w:rsidRDefault="006C3E56" w:rsidP="00CC67DD">
      <w:pPr>
        <w:ind w:left="1440" w:right="1440"/>
        <w:contextualSpacing/>
      </w:pPr>
      <w:r>
        <w:t>(c)</w:t>
      </w:r>
      <w:r>
        <w:tab/>
        <w:t>Payment to restore service.—</w:t>
      </w:r>
    </w:p>
    <w:p w:rsidR="006C3E56" w:rsidRDefault="006C3E56" w:rsidP="00CC67DD">
      <w:pPr>
        <w:ind w:left="1440" w:right="1440"/>
        <w:contextualSpacing/>
      </w:pPr>
      <w:r>
        <w:tab/>
        <w:t xml:space="preserve">(1) </w:t>
      </w:r>
      <w:r w:rsidR="00CC67DD">
        <w:t xml:space="preserve"> </w:t>
      </w:r>
      <w:r>
        <w:t>* * *</w:t>
      </w:r>
    </w:p>
    <w:p w:rsidR="006C3E56" w:rsidRDefault="006C3E56" w:rsidP="00CC67DD">
      <w:pPr>
        <w:ind w:left="1440" w:right="1440"/>
        <w:contextualSpacing/>
      </w:pPr>
      <w:r>
        <w:tab/>
        <w:t>(2)  A public utility may require:</w:t>
      </w:r>
    </w:p>
    <w:p w:rsidR="006C3E56" w:rsidRDefault="006C3E56" w:rsidP="00CC67DD">
      <w:pPr>
        <w:ind w:left="1440" w:right="1440"/>
        <w:contextualSpacing/>
        <w:jc w:val="center"/>
      </w:pPr>
      <w:r>
        <w:t>* * *</w:t>
      </w:r>
    </w:p>
    <w:p w:rsidR="00CC67DD" w:rsidRDefault="006C3E56" w:rsidP="00CC67DD">
      <w:pPr>
        <w:ind w:left="1440" w:right="1440"/>
        <w:contextualSpacing/>
      </w:pPr>
      <w:r>
        <w:tab/>
      </w:r>
      <w:r>
        <w:tab/>
        <w:t>(iii)</w:t>
      </w:r>
      <w:r>
        <w:tab/>
        <w:t xml:space="preserve">Full payment of any reconnection fees together with repayment over 24 months of any outstanding balance incurred by the customer or applicant if the customer or applicant has an income not exceeding 150% of the Federal poverty level.  A customer or applicant of a city natural gas distribution operation whose household income does not exceed 135% of the Federal poverty level shall be reinstated pursuant to this subsection only if the customer or applicant enrolls in the customer assistance program of the city natural gas distribution operation except that this requirement shall not apply if the financial benefits to such customer or applicant are greater if served outside of that assistance program. </w:t>
      </w:r>
    </w:p>
    <w:p w:rsidR="006C3E56" w:rsidRDefault="006C3E56" w:rsidP="00CC67DD">
      <w:pPr>
        <w:ind w:left="1440" w:right="1440"/>
        <w:contextualSpacing/>
        <w:jc w:val="center"/>
      </w:pPr>
      <w:r>
        <w:t>* * *</w:t>
      </w:r>
    </w:p>
    <w:p w:rsidR="006C3E56" w:rsidRDefault="006C3E56" w:rsidP="00CC67DD">
      <w:r>
        <w:t>66 Pa.C.S. § 1407(c)(in pertinent part).</w:t>
      </w:r>
    </w:p>
    <w:p w:rsidR="009B6A23" w:rsidRDefault="009B6A23" w:rsidP="006C3E56">
      <w:pPr>
        <w:spacing w:line="360" w:lineRule="auto"/>
      </w:pPr>
    </w:p>
    <w:p w:rsidR="006C3E56" w:rsidRDefault="00CC67DD" w:rsidP="006C3E56">
      <w:pPr>
        <w:spacing w:line="360" w:lineRule="auto"/>
      </w:pPr>
      <w:r>
        <w:tab/>
      </w:r>
      <w:r w:rsidR="006C3E56">
        <w:tab/>
        <w:t xml:space="preserve">The Company determined that the most affordable option for Complainant would be to pay the $3,028.54 and re-enroll in CRP.  Otherwise, the reconnection fee of $123.23 plus $436.76 for unauthorized usage must be paid prior to reconnection and the remaining balance payable in 24 monthly payments.  Re-enrollment in CRP results in significantly lower monthly payments but the catch-up payment for the amount of unpaid CRP payments is necessary under the terms of the PGW CRP.  </w:t>
      </w:r>
    </w:p>
    <w:p w:rsidR="006C3E56" w:rsidRDefault="006C3E56" w:rsidP="006C3E56">
      <w:pPr>
        <w:spacing w:line="360" w:lineRule="auto"/>
      </w:pPr>
      <w:r>
        <w:t> </w:t>
      </w:r>
    </w:p>
    <w:p w:rsidR="006C3E56" w:rsidRDefault="006C3E56" w:rsidP="00CC67DD">
      <w:pPr>
        <w:spacing w:line="360" w:lineRule="auto"/>
      </w:pPr>
      <w:r>
        <w:tab/>
      </w:r>
      <w:r>
        <w:tab/>
        <w:t>The facts are that Complainant has broken seven Company payment arrangements and one issued by BCS.  The arrearage is a CAP arrearage, and the Commission is barred from granting a payment arrangement on a CAP arrearage, as that amount has already been discounted at the expense of the other ratepayers.  The Complaint must be dismissed without the issuance of an additional payment arrangement.</w:t>
      </w:r>
    </w:p>
    <w:p w:rsidR="006C3E56" w:rsidRDefault="006C3E56" w:rsidP="00CC67DD">
      <w:pPr>
        <w:spacing w:line="360" w:lineRule="auto"/>
      </w:pPr>
      <w:r>
        <w:t> </w:t>
      </w:r>
    </w:p>
    <w:p w:rsidR="006C3E56" w:rsidRDefault="006C3E56" w:rsidP="00CC67DD">
      <w:pPr>
        <w:spacing w:line="360" w:lineRule="auto"/>
        <w:jc w:val="center"/>
      </w:pPr>
      <w:r>
        <w:rPr>
          <w:u w:val="single"/>
        </w:rPr>
        <w:t>CONCLUSIONS OF LAW</w:t>
      </w:r>
    </w:p>
    <w:p w:rsidR="006C3E56" w:rsidRDefault="006C3E56" w:rsidP="00CC67DD">
      <w:pPr>
        <w:spacing w:line="360" w:lineRule="auto"/>
        <w:jc w:val="center"/>
      </w:pPr>
      <w:r>
        <w:t> </w:t>
      </w:r>
    </w:p>
    <w:p w:rsidR="006C3E56" w:rsidRDefault="006C3E56" w:rsidP="00CC67DD">
      <w:pPr>
        <w:spacing w:line="360" w:lineRule="auto"/>
        <w:ind w:firstLine="1440"/>
        <w:contextualSpacing/>
        <w:rPr>
          <w:rFonts w:ascii="Calibri" w:hAnsi="Calibri"/>
        </w:rPr>
      </w:pPr>
      <w:r>
        <w:t>1.</w:t>
      </w:r>
      <w:r w:rsidR="00CC67DD">
        <w:rPr>
          <w:sz w:val="14"/>
          <w:szCs w:val="14"/>
        </w:rPr>
        <w:tab/>
      </w:r>
      <w:r>
        <w:t xml:space="preserve">The Commission has jurisdiction over the subject matter of </w:t>
      </w:r>
      <w:r w:rsidR="00C56172">
        <w:t>this proceeding.  66 Pa.C.S. §§ 703, 1401 et seq.</w:t>
      </w:r>
    </w:p>
    <w:p w:rsidR="006C3E56" w:rsidRDefault="006C3E56" w:rsidP="00CC67DD">
      <w:pPr>
        <w:spacing w:line="360" w:lineRule="auto"/>
        <w:ind w:firstLine="1440"/>
        <w:contextualSpacing/>
      </w:pPr>
      <w:r>
        <w:t> </w:t>
      </w:r>
    </w:p>
    <w:p w:rsidR="006C3E56" w:rsidRDefault="006C3E56" w:rsidP="00CC67DD">
      <w:pPr>
        <w:spacing w:line="360" w:lineRule="auto"/>
        <w:ind w:firstLine="1440"/>
        <w:contextualSpacing/>
      </w:pPr>
      <w:r>
        <w:t>2.</w:t>
      </w:r>
      <w:r w:rsidR="00CC67DD">
        <w:rPr>
          <w:sz w:val="14"/>
          <w:szCs w:val="14"/>
        </w:rPr>
        <w:tab/>
      </w:r>
      <w:r>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Pr>
          <w:i/>
        </w:rPr>
        <w:t xml:space="preserve">Patterson v. Bell Tel. Co. of PA, </w:t>
      </w:r>
      <w:r>
        <w:t xml:space="preserve">72 Pa. PUC 196 (1990); </w:t>
      </w:r>
      <w:r>
        <w:rPr>
          <w:i/>
        </w:rPr>
        <w:t xml:space="preserve">Feinstein v. Phila. Suburban Water Co., </w:t>
      </w:r>
      <w:r>
        <w:t xml:space="preserve">50 Pa. PUC 300 (1976).  This must be shown by a preponderance of the evidence.  </w:t>
      </w:r>
      <w:r>
        <w:rPr>
          <w:i/>
        </w:rPr>
        <w:t xml:space="preserve">Samuel J. Lansberry, Inc. v. Pa. Pub. Util. Comm'n, </w:t>
      </w:r>
      <w:r>
        <w:t xml:space="preserve">578 A.2d 600 (1990), </w:t>
      </w:r>
      <w:r>
        <w:rPr>
          <w:i/>
        </w:rPr>
        <w:t>alloc. denied</w:t>
      </w:r>
      <w:r>
        <w:t xml:space="preserve">, 602 A.2d 863 (1992).  A preponderance of evidence is that which is more convincing, by even the smallest amount, than that presented by the other party.  </w:t>
      </w:r>
      <w:r>
        <w:rPr>
          <w:i/>
        </w:rPr>
        <w:t>Se-Ling Hosiery v. Margulies,</w:t>
      </w:r>
      <w:r>
        <w:t xml:space="preserve"> </w:t>
      </w:r>
      <w:r>
        <w:rPr>
          <w:color w:val="333333"/>
        </w:rPr>
        <w:t>364 Pa. 45, 70 A.2d 854, 1950 Pa. LEXIS 316 (1950)</w:t>
      </w:r>
      <w:r>
        <w:t>.</w:t>
      </w:r>
    </w:p>
    <w:p w:rsidR="00C56172" w:rsidRDefault="00C56172" w:rsidP="00CC67DD">
      <w:pPr>
        <w:spacing w:line="360" w:lineRule="auto"/>
        <w:ind w:firstLine="1440"/>
        <w:contextualSpacing/>
        <w:rPr>
          <w:rFonts w:ascii="Calibri" w:hAnsi="Calibri"/>
        </w:rPr>
      </w:pPr>
    </w:p>
    <w:p w:rsidR="006C3E56" w:rsidRDefault="00C56172" w:rsidP="009B6A23">
      <w:pPr>
        <w:spacing w:line="360" w:lineRule="auto"/>
        <w:ind w:firstLine="1440"/>
        <w:contextualSpacing/>
        <w:rPr>
          <w:sz w:val="27"/>
          <w:szCs w:val="27"/>
        </w:rPr>
      </w:pPr>
      <w:r>
        <w:t>3.</w:t>
      </w:r>
      <w:r>
        <w:tab/>
      </w:r>
      <w:r w:rsidR="006C3E56">
        <w:t xml:space="preserve">Additionally, any finding of fact necessary to support the Commission's adjudication must be based upon substantial evidence.  </w:t>
      </w:r>
      <w:r w:rsidR="006C3E56">
        <w:rPr>
          <w:i/>
        </w:rPr>
        <w:t>Mill v. Pa. Pub. Util. Comm'n</w:t>
      </w:r>
      <w:r w:rsidR="006C3E56">
        <w:t xml:space="preserve">, 447 A.2d 1100 (Pa.Cmwlth. 1982); </w:t>
      </w:r>
      <w:r w:rsidR="006C3E56">
        <w:rPr>
          <w:i/>
        </w:rPr>
        <w:t xml:space="preserve">Edan Transportation Corp. v. Pa. Pub. Util. Comm'n, </w:t>
      </w:r>
      <w:r w:rsidR="006C3E56">
        <w:t>623</w:t>
      </w:r>
      <w:r w:rsidR="009B6A23">
        <w:t xml:space="preserve"> A.2d 6 (Pa. </w:t>
      </w:r>
      <w:r w:rsidR="006C3E56">
        <w:t xml:space="preserve">Cmwlth. 1993); 2 Pa.C.S. § 704.  More is required than a mere trace of evidence or a suspicion of the existence of a fact sought to be established.  </w:t>
      </w:r>
      <w:r w:rsidR="006C3E56">
        <w:rPr>
          <w:i/>
        </w:rPr>
        <w:t xml:space="preserve">Norfolk and Western Ry. v. Pa. Pub. Util. Comm'n, </w:t>
      </w:r>
      <w:r w:rsidR="006C3E56">
        <w:t xml:space="preserve">489 Pa. 109, 413 A.2d 1037 (1980); </w:t>
      </w:r>
      <w:r w:rsidR="006C3E56">
        <w:rPr>
          <w:i/>
        </w:rPr>
        <w:t xml:space="preserve">Erie Resistor Corp. v. Unemployment Compensation Bd. Of Review, </w:t>
      </w:r>
      <w:r w:rsidR="006C3E56">
        <w:t xml:space="preserve">166 A.2d 96 (Pa.Super. 1960); </w:t>
      </w:r>
      <w:r w:rsidR="006C3E56">
        <w:rPr>
          <w:i/>
        </w:rPr>
        <w:t xml:space="preserve">Murphy v. Dep't. of Public Welfare, White Haven Center, </w:t>
      </w:r>
      <w:r w:rsidR="006C3E56">
        <w:t>480 A.2d 382 (Pa. Cmwlth.</w:t>
      </w:r>
      <w:r w:rsidR="006C3E56">
        <w:rPr>
          <w:sz w:val="27"/>
          <w:szCs w:val="27"/>
        </w:rPr>
        <w:t xml:space="preserve"> 1984).</w:t>
      </w:r>
    </w:p>
    <w:p w:rsidR="00C56172" w:rsidRDefault="00C56172" w:rsidP="009B6A23">
      <w:pPr>
        <w:spacing w:line="360" w:lineRule="auto"/>
        <w:ind w:hanging="360"/>
        <w:contextualSpacing/>
        <w:rPr>
          <w:sz w:val="27"/>
          <w:szCs w:val="27"/>
        </w:rPr>
      </w:pPr>
    </w:p>
    <w:p w:rsidR="006C3E56" w:rsidRDefault="00C56172" w:rsidP="009B6A23">
      <w:pPr>
        <w:spacing w:line="360" w:lineRule="auto"/>
        <w:ind w:firstLine="1440"/>
        <w:contextualSpacing/>
      </w:pPr>
      <w:r w:rsidRPr="00C56172">
        <w:t>4.</w:t>
      </w:r>
      <w:r>
        <w:rPr>
          <w:sz w:val="27"/>
          <w:szCs w:val="27"/>
        </w:rPr>
        <w:tab/>
      </w:r>
      <w:r w:rsidR="006C3E56" w:rsidRPr="00C56172">
        <w:rPr>
          <w:sz w:val="14"/>
          <w:szCs w:val="14"/>
        </w:rPr>
        <w:t xml:space="preserve"> </w:t>
      </w:r>
      <w:r w:rsidR="006C3E56">
        <w:t>The Commission's ability to direct a payment arrangement is governed by Chapter 14 of the Public Utility Code</w:t>
      </w:r>
      <w:r>
        <w:t>, and th</w:t>
      </w:r>
      <w:r w:rsidR="006C3E56">
        <w:t>ere are limited circumstances under which a second payment arrangement may be extended.</w:t>
      </w:r>
      <w:r>
        <w:t xml:space="preserve">  66 Pa.C.S. §1405.</w:t>
      </w:r>
    </w:p>
    <w:p w:rsidR="00C56172" w:rsidRDefault="00C56172" w:rsidP="009B6A23">
      <w:pPr>
        <w:spacing w:line="360" w:lineRule="auto"/>
        <w:ind w:firstLine="1440"/>
        <w:contextualSpacing/>
      </w:pPr>
    </w:p>
    <w:p w:rsidR="006C3E56" w:rsidRDefault="00C56172" w:rsidP="009B6A23">
      <w:pPr>
        <w:spacing w:line="360" w:lineRule="auto"/>
        <w:ind w:firstLine="1440"/>
        <w:contextualSpacing/>
      </w:pPr>
      <w:r>
        <w:t>5.</w:t>
      </w:r>
      <w:r>
        <w:tab/>
      </w:r>
      <w:r w:rsidR="00595B93">
        <w:t xml:space="preserve">A </w:t>
      </w:r>
      <w:r w:rsidR="006C3E56">
        <w:t xml:space="preserve">subsequent payment arrangement </w:t>
      </w:r>
      <w:r w:rsidR="00595B93">
        <w:t xml:space="preserve">may be granted </w:t>
      </w:r>
      <w:r w:rsidR="006C3E56">
        <w:t xml:space="preserve">where there is a change in income, or an extension of an existing payment arrangement where there is a significant change in circumstances.  </w:t>
      </w:r>
      <w:r w:rsidR="00595B93">
        <w:t>66 Pa.C.S. §§ 1403, 1405.</w:t>
      </w:r>
    </w:p>
    <w:p w:rsidR="00595B93" w:rsidRDefault="00595B93" w:rsidP="009B6A23">
      <w:pPr>
        <w:spacing w:line="360" w:lineRule="auto"/>
        <w:ind w:firstLine="1440"/>
        <w:contextualSpacing/>
      </w:pPr>
    </w:p>
    <w:p w:rsidR="006C3E56" w:rsidRDefault="00595B93" w:rsidP="009B6A23">
      <w:pPr>
        <w:spacing w:line="360" w:lineRule="auto"/>
        <w:ind w:firstLine="1440"/>
        <w:contextualSpacing/>
      </w:pPr>
      <w:r>
        <w:t>6.</w:t>
      </w:r>
      <w:r>
        <w:tab/>
        <w:t>Customer assistance program rates shall be timely paid and shall not be the subject of payment arrangements negotiated or approved b</w:t>
      </w:r>
      <w:r w:rsidR="009B6A23">
        <w:t>y the Commission.  66 Pa.C.S. § </w:t>
      </w:r>
      <w:r>
        <w:t xml:space="preserve">1405(c).  </w:t>
      </w:r>
    </w:p>
    <w:p w:rsidR="006C3E56" w:rsidRDefault="006C3E56" w:rsidP="009B6A23">
      <w:pPr>
        <w:spacing w:line="360" w:lineRule="auto"/>
        <w:ind w:firstLine="1440"/>
        <w:contextualSpacing/>
        <w:jc w:val="center"/>
      </w:pPr>
      <w:r>
        <w:t> </w:t>
      </w:r>
    </w:p>
    <w:p w:rsidR="006C3E56" w:rsidRDefault="00595B93" w:rsidP="009B6A23">
      <w:pPr>
        <w:spacing w:line="360" w:lineRule="auto"/>
        <w:ind w:firstLine="1440"/>
        <w:contextualSpacing/>
      </w:pPr>
      <w:r>
        <w:t>7.</w:t>
      </w:r>
      <w:r>
        <w:tab/>
      </w:r>
      <w:r w:rsidR="006C3E56">
        <w:t>Complainant is not eligible for an additional Commission-issued payment arrangement.</w:t>
      </w:r>
    </w:p>
    <w:p w:rsidR="006C3E56" w:rsidRDefault="006C3E56" w:rsidP="00C56172">
      <w:pPr>
        <w:spacing w:line="360" w:lineRule="auto"/>
        <w:contextualSpacing/>
      </w:pPr>
      <w:r>
        <w:t> </w:t>
      </w:r>
    </w:p>
    <w:p w:rsidR="006C3E56" w:rsidRDefault="006C3E56" w:rsidP="006C3E56">
      <w:pPr>
        <w:spacing w:line="360" w:lineRule="auto"/>
        <w:jc w:val="center"/>
      </w:pPr>
      <w:r>
        <w:rPr>
          <w:u w:val="single"/>
        </w:rPr>
        <w:t>ORDER</w:t>
      </w:r>
    </w:p>
    <w:p w:rsidR="006C3E56" w:rsidRDefault="006C3E56" w:rsidP="006C3E56">
      <w:pPr>
        <w:spacing w:line="360" w:lineRule="auto"/>
        <w:jc w:val="center"/>
      </w:pPr>
      <w:r>
        <w:t> </w:t>
      </w:r>
    </w:p>
    <w:p w:rsidR="006C3E56" w:rsidRDefault="006C3E56" w:rsidP="006C3E56">
      <w:pPr>
        <w:spacing w:line="360" w:lineRule="auto"/>
      </w:pPr>
      <w:r>
        <w:tab/>
      </w:r>
      <w:r>
        <w:tab/>
        <w:t>THEREFORE,</w:t>
      </w:r>
    </w:p>
    <w:p w:rsidR="006C3E56" w:rsidRDefault="006C3E56" w:rsidP="006C3E56">
      <w:pPr>
        <w:spacing w:line="360" w:lineRule="auto"/>
      </w:pPr>
      <w:r>
        <w:t> </w:t>
      </w:r>
    </w:p>
    <w:p w:rsidR="006C3E56" w:rsidRDefault="006C3E56" w:rsidP="006C3E56">
      <w:pPr>
        <w:spacing w:line="360" w:lineRule="auto"/>
      </w:pPr>
      <w:r>
        <w:tab/>
      </w:r>
      <w:r>
        <w:tab/>
        <w:t>IT IS ORDERED:</w:t>
      </w:r>
    </w:p>
    <w:p w:rsidR="006C3E56" w:rsidRDefault="006C3E56" w:rsidP="006C3E56">
      <w:pPr>
        <w:spacing w:line="360" w:lineRule="auto"/>
      </w:pPr>
      <w:r>
        <w:t> </w:t>
      </w:r>
    </w:p>
    <w:p w:rsidR="006C3E56" w:rsidRDefault="006C3E56" w:rsidP="009B6A23">
      <w:pPr>
        <w:tabs>
          <w:tab w:val="left" w:pos="2160"/>
        </w:tabs>
        <w:spacing w:line="360" w:lineRule="auto"/>
        <w:ind w:firstLine="1440"/>
        <w:rPr>
          <w:rFonts w:ascii="Calibri" w:hAnsi="Calibri"/>
        </w:rPr>
      </w:pPr>
      <w:r>
        <w:t>1.</w:t>
      </w:r>
      <w:r w:rsidR="009B6A23">
        <w:rPr>
          <w:sz w:val="14"/>
          <w:szCs w:val="14"/>
        </w:rPr>
        <w:tab/>
      </w:r>
      <w:r>
        <w:t>That the Complaint filed by Bernadette Williams against Philadelphia Gas Works at Docket No. F-2014-2443218, is dismissed.</w:t>
      </w:r>
    </w:p>
    <w:p w:rsidR="009B6A23" w:rsidRDefault="009B6A23" w:rsidP="009B6A23">
      <w:pPr>
        <w:tabs>
          <w:tab w:val="left" w:pos="2160"/>
        </w:tabs>
        <w:spacing w:line="360" w:lineRule="auto"/>
        <w:ind w:firstLine="1440"/>
      </w:pPr>
    </w:p>
    <w:p w:rsidR="006C3E56" w:rsidRDefault="006C3E56" w:rsidP="009B6A23">
      <w:pPr>
        <w:tabs>
          <w:tab w:val="left" w:pos="2160"/>
        </w:tabs>
        <w:spacing w:line="360" w:lineRule="auto"/>
        <w:ind w:firstLine="1440"/>
      </w:pPr>
      <w:r>
        <w:t>2.</w:t>
      </w:r>
      <w:r w:rsidR="009B6A23">
        <w:rPr>
          <w:sz w:val="14"/>
          <w:szCs w:val="14"/>
        </w:rPr>
        <w:tab/>
      </w:r>
      <w:r>
        <w:t xml:space="preserve">That the Secretary </w:t>
      </w:r>
      <w:proofErr w:type="gramStart"/>
      <w:r>
        <w:t>mark</w:t>
      </w:r>
      <w:proofErr w:type="gramEnd"/>
      <w:r>
        <w:t xml:space="preserve"> this docket closed.</w:t>
      </w:r>
    </w:p>
    <w:p w:rsidR="002531FD" w:rsidRPr="009B6A23" w:rsidRDefault="002531FD" w:rsidP="009B6A23">
      <w:pPr>
        <w:tabs>
          <w:tab w:val="left" w:pos="2160"/>
        </w:tabs>
        <w:spacing w:line="360" w:lineRule="auto"/>
        <w:ind w:firstLine="1440"/>
      </w:pPr>
    </w:p>
    <w:p w:rsidR="006C3E56" w:rsidRDefault="006C3E56" w:rsidP="006C3E56">
      <w:pPr>
        <w:ind w:left="720"/>
        <w:rPr>
          <w:rFonts w:ascii="Calibri" w:hAnsi="Calibri"/>
        </w:rPr>
      </w:pPr>
      <w:r>
        <w:t> </w:t>
      </w:r>
    </w:p>
    <w:p w:rsidR="006C3E56" w:rsidRPr="002531FD" w:rsidRDefault="006C3E56" w:rsidP="006C3E56">
      <w:pPr>
        <w:rPr>
          <w:u w:val="single"/>
        </w:rPr>
      </w:pPr>
      <w:r>
        <w:t>Dated:</w:t>
      </w:r>
      <w:r>
        <w:tab/>
      </w:r>
      <w:r>
        <w:rPr>
          <w:u w:val="single"/>
        </w:rPr>
        <w:t>February 2</w:t>
      </w:r>
      <w:r w:rsidR="00595B93">
        <w:rPr>
          <w:u w:val="single"/>
        </w:rPr>
        <w:t>5</w:t>
      </w:r>
      <w:r>
        <w:rPr>
          <w:u w:val="single"/>
        </w:rPr>
        <w:t>, 2015</w:t>
      </w:r>
      <w:r>
        <w:tab/>
      </w:r>
      <w:r>
        <w:tab/>
      </w:r>
      <w:r>
        <w:tab/>
      </w:r>
      <w:r>
        <w:tab/>
      </w:r>
      <w:r w:rsidR="002531FD">
        <w:rPr>
          <w:u w:val="single"/>
        </w:rPr>
        <w:tab/>
      </w:r>
      <w:r w:rsidR="002531FD">
        <w:rPr>
          <w:u w:val="single"/>
        </w:rPr>
        <w:tab/>
        <w:t>/s/</w:t>
      </w:r>
      <w:r w:rsidR="002531FD">
        <w:rPr>
          <w:u w:val="single"/>
        </w:rPr>
        <w:tab/>
      </w:r>
      <w:r w:rsidR="002531FD">
        <w:rPr>
          <w:u w:val="single"/>
        </w:rPr>
        <w:tab/>
      </w:r>
      <w:r w:rsidR="002531FD">
        <w:rPr>
          <w:u w:val="single"/>
        </w:rPr>
        <w:tab/>
      </w:r>
      <w:r w:rsidR="002531FD">
        <w:rPr>
          <w:u w:val="single"/>
        </w:rPr>
        <w:tab/>
      </w:r>
      <w:bookmarkStart w:id="0" w:name="_GoBack"/>
      <w:bookmarkEnd w:id="0"/>
    </w:p>
    <w:p w:rsidR="006C3E56" w:rsidRDefault="006C3E56" w:rsidP="006C3E56">
      <w:r>
        <w:tab/>
      </w:r>
      <w:r>
        <w:tab/>
      </w:r>
      <w:r>
        <w:tab/>
      </w:r>
      <w:r>
        <w:tab/>
      </w:r>
      <w:r>
        <w:tab/>
      </w:r>
      <w:r>
        <w:tab/>
      </w:r>
      <w:r>
        <w:tab/>
        <w:t>Susan D. Colwell</w:t>
      </w:r>
    </w:p>
    <w:p w:rsidR="006C3E56" w:rsidRDefault="006C3E56" w:rsidP="006C3E56">
      <w:r>
        <w:tab/>
      </w:r>
      <w:r>
        <w:tab/>
      </w:r>
      <w:r>
        <w:tab/>
      </w:r>
      <w:r>
        <w:tab/>
      </w:r>
      <w:r>
        <w:tab/>
      </w:r>
      <w:r>
        <w:tab/>
      </w:r>
      <w:r>
        <w:tab/>
        <w:t>Administrative Law Judge</w:t>
      </w:r>
    </w:p>
    <w:sectPr w:rsidR="006C3E56" w:rsidSect="0081704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528" w:rsidRDefault="00296528" w:rsidP="007F5E8E">
      <w:r>
        <w:separator/>
      </w:r>
    </w:p>
  </w:endnote>
  <w:endnote w:type="continuationSeparator" w:id="0">
    <w:p w:rsidR="00296528" w:rsidRDefault="00296528" w:rsidP="007F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68422"/>
      <w:docPartObj>
        <w:docPartGallery w:val="Page Numbers (Bottom of Page)"/>
        <w:docPartUnique/>
      </w:docPartObj>
    </w:sdtPr>
    <w:sdtEndPr>
      <w:rPr>
        <w:noProof/>
        <w:sz w:val="20"/>
        <w:szCs w:val="20"/>
      </w:rPr>
    </w:sdtEndPr>
    <w:sdtContent>
      <w:p w:rsidR="00595B93" w:rsidRPr="00325C96" w:rsidRDefault="00595B93">
        <w:pPr>
          <w:pStyle w:val="Footer"/>
          <w:jc w:val="center"/>
          <w:rPr>
            <w:sz w:val="20"/>
            <w:szCs w:val="20"/>
          </w:rPr>
        </w:pPr>
        <w:r w:rsidRPr="00325C96">
          <w:rPr>
            <w:sz w:val="20"/>
            <w:szCs w:val="20"/>
          </w:rPr>
          <w:fldChar w:fldCharType="begin"/>
        </w:r>
        <w:r w:rsidRPr="00325C96">
          <w:rPr>
            <w:sz w:val="20"/>
            <w:szCs w:val="20"/>
          </w:rPr>
          <w:instrText xml:space="preserve"> PAGE   \* MERGEFORMAT </w:instrText>
        </w:r>
        <w:r w:rsidRPr="00325C96">
          <w:rPr>
            <w:sz w:val="20"/>
            <w:szCs w:val="20"/>
          </w:rPr>
          <w:fldChar w:fldCharType="separate"/>
        </w:r>
        <w:r w:rsidR="002531FD">
          <w:rPr>
            <w:noProof/>
            <w:sz w:val="20"/>
            <w:szCs w:val="20"/>
          </w:rPr>
          <w:t>9</w:t>
        </w:r>
        <w:r w:rsidRPr="00325C96">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372037"/>
      <w:docPartObj>
        <w:docPartGallery w:val="Page Numbers (Bottom of Page)"/>
        <w:docPartUnique/>
      </w:docPartObj>
    </w:sdtPr>
    <w:sdtEndPr>
      <w:rPr>
        <w:noProof/>
        <w:sz w:val="20"/>
        <w:szCs w:val="20"/>
      </w:rPr>
    </w:sdtEndPr>
    <w:sdtContent>
      <w:p w:rsidR="009B6A23" w:rsidRPr="009B6A23" w:rsidRDefault="009B6A23">
        <w:pPr>
          <w:pStyle w:val="Footer"/>
          <w:jc w:val="center"/>
          <w:rPr>
            <w:sz w:val="20"/>
            <w:szCs w:val="20"/>
          </w:rPr>
        </w:pPr>
        <w:r w:rsidRPr="009B6A23">
          <w:rPr>
            <w:sz w:val="20"/>
            <w:szCs w:val="20"/>
          </w:rPr>
          <w:fldChar w:fldCharType="begin"/>
        </w:r>
        <w:r w:rsidRPr="009B6A23">
          <w:rPr>
            <w:sz w:val="20"/>
            <w:szCs w:val="20"/>
          </w:rPr>
          <w:instrText xml:space="preserve"> PAGE   \* MERGEFORMAT </w:instrText>
        </w:r>
        <w:r w:rsidRPr="009B6A23">
          <w:rPr>
            <w:sz w:val="20"/>
            <w:szCs w:val="20"/>
          </w:rPr>
          <w:fldChar w:fldCharType="separate"/>
        </w:r>
        <w:r w:rsidR="002531FD">
          <w:rPr>
            <w:noProof/>
            <w:sz w:val="20"/>
            <w:szCs w:val="20"/>
          </w:rPr>
          <w:t>3</w:t>
        </w:r>
        <w:r w:rsidRPr="009B6A23">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528" w:rsidRDefault="00296528" w:rsidP="007F5E8E">
      <w:r>
        <w:separator/>
      </w:r>
    </w:p>
  </w:footnote>
  <w:footnote w:type="continuationSeparator" w:id="0">
    <w:p w:rsidR="00296528" w:rsidRDefault="00296528" w:rsidP="007F5E8E">
      <w:r>
        <w:continuationSeparator/>
      </w:r>
    </w:p>
  </w:footnote>
  <w:footnote w:id="1">
    <w:p w:rsidR="007F5E8E" w:rsidRDefault="007F5E8E">
      <w:pPr>
        <w:pStyle w:val="FootnoteText"/>
      </w:pPr>
      <w:r>
        <w:rPr>
          <w:rStyle w:val="FootnoteReference"/>
        </w:rPr>
        <w:footnoteRef/>
      </w:r>
      <w:r>
        <w:t xml:space="preserve"> </w:t>
      </w:r>
      <w:r w:rsidR="00CC67DD">
        <w:tab/>
      </w:r>
      <w:r>
        <w:t>A decrease in the household income or a significant change in circumstances, as defined by Section 1403, might permit the reinstatement of a defaulted payment arrangement, but not if the a</w:t>
      </w:r>
      <w:r w:rsidR="00CC67DD">
        <w:t>rrearage is CAP.  66 Pa.C.S. §§ </w:t>
      </w:r>
      <w:r>
        <w:t xml:space="preserve">1403, 1405.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6634C"/>
    <w:multiLevelType w:val="hybridMultilevel"/>
    <w:tmpl w:val="297E5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E5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267"/>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1B00"/>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800"/>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4ABB"/>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6001"/>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1FD"/>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45C"/>
    <w:rsid w:val="00277591"/>
    <w:rsid w:val="00283282"/>
    <w:rsid w:val="00284760"/>
    <w:rsid w:val="00286A34"/>
    <w:rsid w:val="002871C2"/>
    <w:rsid w:val="00287CB1"/>
    <w:rsid w:val="0029096F"/>
    <w:rsid w:val="00290AD2"/>
    <w:rsid w:val="0029353E"/>
    <w:rsid w:val="00293F4E"/>
    <w:rsid w:val="00296528"/>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119"/>
    <w:rsid w:val="0031425A"/>
    <w:rsid w:val="00314713"/>
    <w:rsid w:val="003149F5"/>
    <w:rsid w:val="003151E4"/>
    <w:rsid w:val="003156D7"/>
    <w:rsid w:val="00317261"/>
    <w:rsid w:val="0032130D"/>
    <w:rsid w:val="00321DB1"/>
    <w:rsid w:val="00325C96"/>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4DE1"/>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D6CC0"/>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C7326"/>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5B93"/>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14"/>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3E56"/>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5E8E"/>
    <w:rsid w:val="007F6E2B"/>
    <w:rsid w:val="007F7699"/>
    <w:rsid w:val="007F773D"/>
    <w:rsid w:val="008003C8"/>
    <w:rsid w:val="00802118"/>
    <w:rsid w:val="00804065"/>
    <w:rsid w:val="008047DD"/>
    <w:rsid w:val="0080611B"/>
    <w:rsid w:val="00806213"/>
    <w:rsid w:val="00807BA7"/>
    <w:rsid w:val="008121D7"/>
    <w:rsid w:val="00812B80"/>
    <w:rsid w:val="008168A2"/>
    <w:rsid w:val="0081704A"/>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2661B"/>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6A23"/>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5E3C"/>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022D"/>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6172"/>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67DD"/>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3377"/>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25A"/>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2A35"/>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E56"/>
    <w:pPr>
      <w:spacing w:line="240"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F5E8E"/>
    <w:rPr>
      <w:sz w:val="20"/>
      <w:szCs w:val="20"/>
    </w:rPr>
  </w:style>
  <w:style w:type="character" w:customStyle="1" w:styleId="FootnoteTextChar">
    <w:name w:val="Footnote Text Char"/>
    <w:basedOn w:val="DefaultParagraphFont"/>
    <w:link w:val="FootnoteText"/>
    <w:uiPriority w:val="99"/>
    <w:semiHidden/>
    <w:rsid w:val="007F5E8E"/>
    <w:rPr>
      <w:sz w:val="20"/>
      <w:szCs w:val="20"/>
    </w:rPr>
  </w:style>
  <w:style w:type="character" w:styleId="FootnoteReference">
    <w:name w:val="footnote reference"/>
    <w:basedOn w:val="DefaultParagraphFont"/>
    <w:uiPriority w:val="99"/>
    <w:semiHidden/>
    <w:unhideWhenUsed/>
    <w:rsid w:val="007F5E8E"/>
    <w:rPr>
      <w:vertAlign w:val="superscript"/>
    </w:rPr>
  </w:style>
  <w:style w:type="paragraph" w:styleId="ListParagraph">
    <w:name w:val="List Paragraph"/>
    <w:basedOn w:val="Normal"/>
    <w:uiPriority w:val="34"/>
    <w:qFormat/>
    <w:rsid w:val="00C56172"/>
    <w:pPr>
      <w:ind w:left="720"/>
      <w:contextualSpacing/>
    </w:pPr>
  </w:style>
  <w:style w:type="paragraph" w:styleId="Header">
    <w:name w:val="header"/>
    <w:basedOn w:val="Normal"/>
    <w:link w:val="HeaderChar"/>
    <w:uiPriority w:val="99"/>
    <w:unhideWhenUsed/>
    <w:rsid w:val="00595B93"/>
    <w:pPr>
      <w:tabs>
        <w:tab w:val="center" w:pos="4680"/>
        <w:tab w:val="right" w:pos="9360"/>
      </w:tabs>
    </w:pPr>
  </w:style>
  <w:style w:type="character" w:customStyle="1" w:styleId="HeaderChar">
    <w:name w:val="Header Char"/>
    <w:basedOn w:val="DefaultParagraphFont"/>
    <w:link w:val="Header"/>
    <w:uiPriority w:val="99"/>
    <w:rsid w:val="00595B93"/>
  </w:style>
  <w:style w:type="paragraph" w:styleId="Footer">
    <w:name w:val="footer"/>
    <w:basedOn w:val="Normal"/>
    <w:link w:val="FooterChar"/>
    <w:uiPriority w:val="99"/>
    <w:unhideWhenUsed/>
    <w:rsid w:val="00595B93"/>
    <w:pPr>
      <w:tabs>
        <w:tab w:val="center" w:pos="4680"/>
        <w:tab w:val="right" w:pos="9360"/>
      </w:tabs>
    </w:pPr>
  </w:style>
  <w:style w:type="character" w:customStyle="1" w:styleId="FooterChar">
    <w:name w:val="Footer Char"/>
    <w:basedOn w:val="DefaultParagraphFont"/>
    <w:link w:val="Footer"/>
    <w:uiPriority w:val="99"/>
    <w:rsid w:val="00595B93"/>
  </w:style>
  <w:style w:type="paragraph" w:styleId="BalloonText">
    <w:name w:val="Balloon Text"/>
    <w:basedOn w:val="Normal"/>
    <w:link w:val="BalloonTextChar"/>
    <w:uiPriority w:val="99"/>
    <w:semiHidden/>
    <w:unhideWhenUsed/>
    <w:rsid w:val="001D4ABB"/>
    <w:rPr>
      <w:rFonts w:ascii="Tahoma" w:hAnsi="Tahoma" w:cs="Tahoma"/>
      <w:sz w:val="16"/>
      <w:szCs w:val="16"/>
    </w:rPr>
  </w:style>
  <w:style w:type="character" w:customStyle="1" w:styleId="BalloonTextChar">
    <w:name w:val="Balloon Text Char"/>
    <w:basedOn w:val="DefaultParagraphFont"/>
    <w:link w:val="BalloonText"/>
    <w:uiPriority w:val="99"/>
    <w:semiHidden/>
    <w:rsid w:val="001D4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E56"/>
    <w:pPr>
      <w:spacing w:line="240"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F5E8E"/>
    <w:rPr>
      <w:sz w:val="20"/>
      <w:szCs w:val="20"/>
    </w:rPr>
  </w:style>
  <w:style w:type="character" w:customStyle="1" w:styleId="FootnoteTextChar">
    <w:name w:val="Footnote Text Char"/>
    <w:basedOn w:val="DefaultParagraphFont"/>
    <w:link w:val="FootnoteText"/>
    <w:uiPriority w:val="99"/>
    <w:semiHidden/>
    <w:rsid w:val="007F5E8E"/>
    <w:rPr>
      <w:sz w:val="20"/>
      <w:szCs w:val="20"/>
    </w:rPr>
  </w:style>
  <w:style w:type="character" w:styleId="FootnoteReference">
    <w:name w:val="footnote reference"/>
    <w:basedOn w:val="DefaultParagraphFont"/>
    <w:uiPriority w:val="99"/>
    <w:semiHidden/>
    <w:unhideWhenUsed/>
    <w:rsid w:val="007F5E8E"/>
    <w:rPr>
      <w:vertAlign w:val="superscript"/>
    </w:rPr>
  </w:style>
  <w:style w:type="paragraph" w:styleId="ListParagraph">
    <w:name w:val="List Paragraph"/>
    <w:basedOn w:val="Normal"/>
    <w:uiPriority w:val="34"/>
    <w:qFormat/>
    <w:rsid w:val="00C56172"/>
    <w:pPr>
      <w:ind w:left="720"/>
      <w:contextualSpacing/>
    </w:pPr>
  </w:style>
  <w:style w:type="paragraph" w:styleId="Header">
    <w:name w:val="header"/>
    <w:basedOn w:val="Normal"/>
    <w:link w:val="HeaderChar"/>
    <w:uiPriority w:val="99"/>
    <w:unhideWhenUsed/>
    <w:rsid w:val="00595B93"/>
    <w:pPr>
      <w:tabs>
        <w:tab w:val="center" w:pos="4680"/>
        <w:tab w:val="right" w:pos="9360"/>
      </w:tabs>
    </w:pPr>
  </w:style>
  <w:style w:type="character" w:customStyle="1" w:styleId="HeaderChar">
    <w:name w:val="Header Char"/>
    <w:basedOn w:val="DefaultParagraphFont"/>
    <w:link w:val="Header"/>
    <w:uiPriority w:val="99"/>
    <w:rsid w:val="00595B93"/>
  </w:style>
  <w:style w:type="paragraph" w:styleId="Footer">
    <w:name w:val="footer"/>
    <w:basedOn w:val="Normal"/>
    <w:link w:val="FooterChar"/>
    <w:uiPriority w:val="99"/>
    <w:unhideWhenUsed/>
    <w:rsid w:val="00595B93"/>
    <w:pPr>
      <w:tabs>
        <w:tab w:val="center" w:pos="4680"/>
        <w:tab w:val="right" w:pos="9360"/>
      </w:tabs>
    </w:pPr>
  </w:style>
  <w:style w:type="character" w:customStyle="1" w:styleId="FooterChar">
    <w:name w:val="Footer Char"/>
    <w:basedOn w:val="DefaultParagraphFont"/>
    <w:link w:val="Footer"/>
    <w:uiPriority w:val="99"/>
    <w:rsid w:val="00595B93"/>
  </w:style>
  <w:style w:type="paragraph" w:styleId="BalloonText">
    <w:name w:val="Balloon Text"/>
    <w:basedOn w:val="Normal"/>
    <w:link w:val="BalloonTextChar"/>
    <w:uiPriority w:val="99"/>
    <w:semiHidden/>
    <w:unhideWhenUsed/>
    <w:rsid w:val="001D4ABB"/>
    <w:rPr>
      <w:rFonts w:ascii="Tahoma" w:hAnsi="Tahoma" w:cs="Tahoma"/>
      <w:sz w:val="16"/>
      <w:szCs w:val="16"/>
    </w:rPr>
  </w:style>
  <w:style w:type="character" w:customStyle="1" w:styleId="BalloonTextChar">
    <w:name w:val="Balloon Text Char"/>
    <w:basedOn w:val="DefaultParagraphFont"/>
    <w:link w:val="BalloonText"/>
    <w:uiPriority w:val="99"/>
    <w:semiHidden/>
    <w:rsid w:val="001D4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29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DC428-5AB7-4DBF-B91E-2636154A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2219</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2015-03-06T19:02:00Z</cp:lastPrinted>
  <dcterms:created xsi:type="dcterms:W3CDTF">2015-03-06T19:29:00Z</dcterms:created>
  <dcterms:modified xsi:type="dcterms:W3CDTF">2015-03-06T19:42:00Z</dcterms:modified>
</cp:coreProperties>
</file>