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29" w:rsidRPr="000D4E0C" w:rsidRDefault="00B37429" w:rsidP="0093104D">
      <w:pPr>
        <w:jc w:val="center"/>
      </w:pPr>
      <w:bookmarkStart w:id="0" w:name="_GoBack"/>
      <w:bookmarkEnd w:id="0"/>
      <w:r w:rsidRPr="000D4E0C">
        <w:rPr>
          <w:b/>
        </w:rPr>
        <w:t>BEFORE THE</w:t>
      </w:r>
    </w:p>
    <w:p w:rsidR="00B37429" w:rsidRPr="000D4E0C" w:rsidRDefault="00B37429" w:rsidP="0093104D">
      <w:pPr>
        <w:jc w:val="center"/>
      </w:pPr>
      <w:r w:rsidRPr="000D4E0C">
        <w:rPr>
          <w:b/>
        </w:rPr>
        <w:t>PENNSYLVANIA PUBLIC UTILTY COMMISSION</w:t>
      </w:r>
    </w:p>
    <w:p w:rsidR="00DE7515" w:rsidRPr="000D4E0C" w:rsidRDefault="00DE7515" w:rsidP="0093104D">
      <w:pPr>
        <w:jc w:val="center"/>
        <w:rPr>
          <w:b/>
        </w:rPr>
      </w:pPr>
    </w:p>
    <w:p w:rsidR="00B37429" w:rsidRPr="000D4E0C" w:rsidRDefault="00B37429" w:rsidP="0093104D">
      <w:pPr>
        <w:jc w:val="center"/>
      </w:pPr>
    </w:p>
    <w:p w:rsidR="0093104D" w:rsidRPr="000D4E0C" w:rsidRDefault="0093104D" w:rsidP="0093104D">
      <w:pPr>
        <w:jc w:val="center"/>
      </w:pPr>
    </w:p>
    <w:p w:rsidR="00B37429" w:rsidRPr="000D4E0C" w:rsidRDefault="00CA4900" w:rsidP="0093104D">
      <w:r w:rsidRPr="000D4E0C">
        <w:t>Richard a</w:t>
      </w:r>
      <w:r w:rsidR="00B37429" w:rsidRPr="000D4E0C">
        <w:t>nd Sandy Lehet</w:t>
      </w:r>
      <w:r w:rsidR="00B37429" w:rsidRPr="000D4E0C">
        <w:tab/>
      </w:r>
      <w:r w:rsidR="00B37429" w:rsidRPr="000D4E0C">
        <w:tab/>
      </w:r>
      <w:r w:rsidR="00B37429" w:rsidRPr="000D4E0C">
        <w:tab/>
      </w:r>
      <w:r w:rsidR="0093104D" w:rsidRPr="000D4E0C">
        <w:tab/>
      </w:r>
      <w:r w:rsidR="00B37429" w:rsidRPr="000D4E0C">
        <w:t>:</w:t>
      </w:r>
    </w:p>
    <w:p w:rsidR="00B37429" w:rsidRPr="000D4E0C" w:rsidRDefault="00B37429" w:rsidP="0093104D">
      <w:r w:rsidRPr="000D4E0C">
        <w:tab/>
      </w:r>
      <w:r w:rsidRPr="000D4E0C">
        <w:tab/>
      </w:r>
      <w:r w:rsidRPr="000D4E0C">
        <w:tab/>
      </w:r>
      <w:r w:rsidRPr="000D4E0C">
        <w:tab/>
      </w:r>
      <w:r w:rsidRPr="000D4E0C">
        <w:tab/>
      </w:r>
      <w:r w:rsidRPr="000D4E0C">
        <w:tab/>
      </w:r>
      <w:r w:rsidR="0093104D" w:rsidRPr="000D4E0C">
        <w:tab/>
      </w:r>
      <w:r w:rsidRPr="000D4E0C">
        <w:t>:</w:t>
      </w:r>
    </w:p>
    <w:p w:rsidR="00B37429" w:rsidRPr="000D4E0C" w:rsidRDefault="00B37429" w:rsidP="0093104D">
      <w:r w:rsidRPr="000D4E0C">
        <w:tab/>
        <w:t>v.</w:t>
      </w:r>
      <w:r w:rsidRPr="000D4E0C">
        <w:tab/>
      </w:r>
      <w:r w:rsidRPr="000D4E0C">
        <w:tab/>
      </w:r>
      <w:r w:rsidRPr="000D4E0C">
        <w:tab/>
      </w:r>
      <w:r w:rsidRPr="000D4E0C">
        <w:tab/>
      </w:r>
      <w:r w:rsidRPr="000D4E0C">
        <w:tab/>
      </w:r>
      <w:r w:rsidR="0093104D" w:rsidRPr="000D4E0C">
        <w:tab/>
      </w:r>
      <w:r w:rsidR="00CB3C5F" w:rsidRPr="000D4E0C">
        <w:t>:</w:t>
      </w:r>
      <w:r w:rsidR="00CB3C5F" w:rsidRPr="000D4E0C">
        <w:tab/>
      </w:r>
      <w:r w:rsidR="00CB3C5F" w:rsidRPr="000D4E0C">
        <w:tab/>
      </w:r>
      <w:r w:rsidR="00CB3C5F" w:rsidRPr="000D4E0C">
        <w:tab/>
        <w:t>C-20</w:t>
      </w:r>
      <w:r w:rsidRPr="000D4E0C">
        <w:t>14-2449983</w:t>
      </w:r>
    </w:p>
    <w:p w:rsidR="00B37429" w:rsidRPr="000D4E0C" w:rsidRDefault="00B37429" w:rsidP="0093104D">
      <w:r w:rsidRPr="000D4E0C">
        <w:tab/>
      </w:r>
      <w:r w:rsidRPr="000D4E0C">
        <w:tab/>
      </w:r>
      <w:r w:rsidRPr="000D4E0C">
        <w:tab/>
      </w:r>
      <w:r w:rsidRPr="000D4E0C">
        <w:tab/>
      </w:r>
      <w:r w:rsidRPr="000D4E0C">
        <w:tab/>
      </w:r>
      <w:r w:rsidRPr="000D4E0C">
        <w:tab/>
      </w:r>
      <w:r w:rsidR="0093104D" w:rsidRPr="000D4E0C">
        <w:tab/>
      </w:r>
      <w:r w:rsidRPr="000D4E0C">
        <w:t>:</w:t>
      </w:r>
    </w:p>
    <w:p w:rsidR="00B37429" w:rsidRPr="000D4E0C" w:rsidRDefault="00B37429" w:rsidP="0093104D">
      <w:r w:rsidRPr="000D4E0C">
        <w:t>PPL Electric Utilities Corporation</w:t>
      </w:r>
      <w:r w:rsidRPr="000D4E0C">
        <w:tab/>
      </w:r>
      <w:r w:rsidRPr="000D4E0C">
        <w:tab/>
      </w:r>
      <w:r w:rsidR="0093104D" w:rsidRPr="000D4E0C">
        <w:tab/>
      </w:r>
      <w:r w:rsidRPr="000D4E0C">
        <w:t>:</w:t>
      </w:r>
    </w:p>
    <w:p w:rsidR="00B37429" w:rsidRPr="000D4E0C" w:rsidRDefault="00B37429" w:rsidP="0093104D">
      <w:pPr>
        <w:jc w:val="center"/>
        <w:rPr>
          <w:b/>
        </w:rPr>
      </w:pPr>
    </w:p>
    <w:p w:rsidR="0093104D" w:rsidRPr="000D4E0C" w:rsidRDefault="0093104D" w:rsidP="0093104D">
      <w:pPr>
        <w:jc w:val="center"/>
        <w:rPr>
          <w:b/>
        </w:rPr>
      </w:pPr>
    </w:p>
    <w:p w:rsidR="00DE7515" w:rsidRPr="000D4E0C" w:rsidRDefault="00DE7515" w:rsidP="0093104D">
      <w:pPr>
        <w:jc w:val="center"/>
      </w:pPr>
    </w:p>
    <w:p w:rsidR="00B37429" w:rsidRPr="000D4E0C" w:rsidRDefault="00B37429" w:rsidP="0093104D">
      <w:pPr>
        <w:jc w:val="center"/>
      </w:pPr>
      <w:r w:rsidRPr="000D4E0C">
        <w:rPr>
          <w:b/>
          <w:u w:val="single"/>
        </w:rPr>
        <w:t>INITIAL DECISION</w:t>
      </w:r>
    </w:p>
    <w:p w:rsidR="00B37429" w:rsidRPr="000D4E0C" w:rsidRDefault="00B37429" w:rsidP="0093104D">
      <w:pPr>
        <w:jc w:val="center"/>
      </w:pPr>
    </w:p>
    <w:p w:rsidR="0093104D" w:rsidRPr="000D4E0C" w:rsidRDefault="0093104D" w:rsidP="0093104D">
      <w:pPr>
        <w:jc w:val="center"/>
      </w:pPr>
    </w:p>
    <w:p w:rsidR="00B37429" w:rsidRPr="000D4E0C" w:rsidRDefault="00B37429" w:rsidP="0093104D">
      <w:pPr>
        <w:jc w:val="center"/>
      </w:pPr>
      <w:r w:rsidRPr="000D4E0C">
        <w:t>Before</w:t>
      </w:r>
    </w:p>
    <w:p w:rsidR="00B37429" w:rsidRPr="000D4E0C" w:rsidRDefault="00B37429" w:rsidP="0093104D">
      <w:pPr>
        <w:jc w:val="center"/>
      </w:pPr>
      <w:r w:rsidRPr="000D4E0C">
        <w:t>Susan D. Colwell</w:t>
      </w:r>
    </w:p>
    <w:p w:rsidR="00B37429" w:rsidRPr="000D4E0C" w:rsidRDefault="00B37429" w:rsidP="0093104D">
      <w:pPr>
        <w:jc w:val="center"/>
      </w:pPr>
      <w:r w:rsidRPr="000D4E0C">
        <w:t>Administrative Law Judge</w:t>
      </w:r>
    </w:p>
    <w:p w:rsidR="00B37429" w:rsidRPr="000D4E0C" w:rsidRDefault="00B37429" w:rsidP="0093104D">
      <w:pPr>
        <w:jc w:val="center"/>
      </w:pPr>
    </w:p>
    <w:p w:rsidR="00CB3C5F" w:rsidRPr="000D4E0C" w:rsidRDefault="00CB3C5F" w:rsidP="0093104D">
      <w:pPr>
        <w:jc w:val="center"/>
      </w:pPr>
    </w:p>
    <w:p w:rsidR="00CB3C5F" w:rsidRPr="000D4E0C" w:rsidRDefault="00CB3C5F" w:rsidP="0093104D">
      <w:pPr>
        <w:jc w:val="center"/>
        <w:rPr>
          <w:u w:val="single"/>
        </w:rPr>
      </w:pPr>
      <w:r w:rsidRPr="000D4E0C">
        <w:rPr>
          <w:u w:val="single"/>
        </w:rPr>
        <w:t>INTRODUCTION</w:t>
      </w:r>
    </w:p>
    <w:p w:rsidR="00CB3C5F" w:rsidRPr="000D4E0C" w:rsidRDefault="00CB3C5F" w:rsidP="0093104D">
      <w:pPr>
        <w:jc w:val="center"/>
        <w:rPr>
          <w:u w:val="single"/>
        </w:rPr>
      </w:pPr>
    </w:p>
    <w:p w:rsidR="00CB3C5F" w:rsidRPr="000D4E0C" w:rsidRDefault="00CB3C5F" w:rsidP="0093104D"/>
    <w:p w:rsidR="00CB3C5F" w:rsidRPr="000D4E0C" w:rsidRDefault="00CB3C5F" w:rsidP="0093104D">
      <w:pPr>
        <w:spacing w:line="360" w:lineRule="auto"/>
      </w:pPr>
      <w:r w:rsidRPr="000D4E0C">
        <w:tab/>
      </w:r>
      <w:r w:rsidRPr="000D4E0C">
        <w:tab/>
        <w:t xml:space="preserve">This Initial Decision sustains a formal Complaint </w:t>
      </w:r>
      <w:r w:rsidR="00CA4900" w:rsidRPr="000D4E0C">
        <w:t>challenging</w:t>
      </w:r>
      <w:r w:rsidR="00EF4ACA" w:rsidRPr="000D4E0C">
        <w:t xml:space="preserve"> the application of a </w:t>
      </w:r>
      <w:r w:rsidRPr="000D4E0C">
        <w:t xml:space="preserve">utility's </w:t>
      </w:r>
      <w:r w:rsidR="00EF4ACA" w:rsidRPr="000D4E0C">
        <w:t xml:space="preserve">newly-implemented and far stricter </w:t>
      </w:r>
      <w:r w:rsidRPr="000D4E0C">
        <w:t>vegetation management program</w:t>
      </w:r>
      <w:r w:rsidR="00EF4ACA" w:rsidRPr="000D4E0C">
        <w:t xml:space="preserve"> to </w:t>
      </w:r>
      <w:r w:rsidR="00CA4900" w:rsidRPr="000D4E0C">
        <w:t>Complainant's</w:t>
      </w:r>
      <w:r w:rsidR="00EF4ACA" w:rsidRPr="000D4E0C">
        <w:t xml:space="preserve"> row of flowering pear trees where the trees </w:t>
      </w:r>
      <w:r w:rsidR="00CA4900" w:rsidRPr="000D4E0C">
        <w:t xml:space="preserve">are located at the edge of a right-of-way but </w:t>
      </w:r>
      <w:r w:rsidR="00EF4ACA" w:rsidRPr="000D4E0C">
        <w:t>pose no thr</w:t>
      </w:r>
      <w:r w:rsidR="00CA4900" w:rsidRPr="000D4E0C">
        <w:t>eat to the utility's facilities</w:t>
      </w:r>
      <w:r w:rsidR="004A42F7" w:rsidRPr="000D4E0C">
        <w:t xml:space="preserve"> and where the trees in question are not expected to grow to the </w:t>
      </w:r>
      <w:proofErr w:type="gramStart"/>
      <w:r w:rsidR="004A42F7" w:rsidRPr="000D4E0C">
        <w:t>height</w:t>
      </w:r>
      <w:proofErr w:type="gramEnd"/>
      <w:r w:rsidR="004A42F7" w:rsidRPr="000D4E0C">
        <w:t xml:space="preserve"> of trees listed on the utility's list of compatible trees</w:t>
      </w:r>
      <w:r w:rsidR="00CA4900" w:rsidRPr="000D4E0C">
        <w:t>.</w:t>
      </w:r>
    </w:p>
    <w:p w:rsidR="00CA4900" w:rsidRPr="000D4E0C" w:rsidRDefault="00CA4900" w:rsidP="0093104D">
      <w:pPr>
        <w:spacing w:line="360" w:lineRule="auto"/>
      </w:pPr>
    </w:p>
    <w:p w:rsidR="00B37429" w:rsidRPr="000D4E0C" w:rsidRDefault="00B37429" w:rsidP="0093104D">
      <w:pPr>
        <w:spacing w:line="360" w:lineRule="auto"/>
        <w:jc w:val="center"/>
        <w:rPr>
          <w:u w:val="single"/>
        </w:rPr>
      </w:pPr>
      <w:r w:rsidRPr="000D4E0C">
        <w:rPr>
          <w:u w:val="single"/>
        </w:rPr>
        <w:t>HISTORY OF THE PROCEEDINGS</w:t>
      </w:r>
    </w:p>
    <w:p w:rsidR="00B37429" w:rsidRPr="000D4E0C" w:rsidRDefault="00B37429" w:rsidP="0093104D">
      <w:pPr>
        <w:spacing w:line="360" w:lineRule="auto"/>
      </w:pPr>
    </w:p>
    <w:p w:rsidR="0009737C" w:rsidRDefault="00B37429" w:rsidP="0093104D">
      <w:pPr>
        <w:spacing w:line="360" w:lineRule="auto"/>
        <w:sectPr w:rsidR="0009737C" w:rsidSect="00B13D44">
          <w:footerReference w:type="default" r:id="rId8"/>
          <w:footerReference w:type="first" r:id="rId9"/>
          <w:pgSz w:w="12240" w:h="15840"/>
          <w:pgMar w:top="1440" w:right="1440" w:bottom="1440" w:left="1440" w:header="720" w:footer="720" w:gutter="0"/>
          <w:cols w:space="720"/>
          <w:titlePg/>
          <w:docGrid w:linePitch="360"/>
        </w:sectPr>
      </w:pPr>
      <w:r w:rsidRPr="000D4E0C">
        <w:tab/>
      </w:r>
      <w:r w:rsidRPr="000D4E0C">
        <w:tab/>
        <w:t>On October 17, 2014, Richard and Sandy Lehet (Complainants) filed a formal Complaint against PPL Electric Utilities Corporation (PPL or Respondent or Company)</w:t>
      </w:r>
      <w:r w:rsidR="00CB3C5F" w:rsidRPr="000D4E0C">
        <w:t xml:space="preserve"> to keep the utility from removing ornamental trees from the edge of a utility right-of-way which </w:t>
      </w:r>
      <w:r w:rsidRPr="000D4E0C">
        <w:t>they had planted as a buffer zone for a housing development pursuant to the direction of the Columbia County Planning Commission.  The trees range from 20 feet to 35 feet in height and are approximately 25 to 30 feet from the center of the right-of-way.  The Complainants have offered to take responsibility for keeping the trees trimmed to an appropriate height.</w:t>
      </w:r>
      <w:r w:rsidR="00B4786D" w:rsidRPr="000D4E0C">
        <w:t xml:space="preserve">  This Complaint </w:t>
      </w:r>
    </w:p>
    <w:p w:rsidR="00B4786D" w:rsidRPr="000D4E0C" w:rsidRDefault="00B4786D" w:rsidP="0093104D">
      <w:pPr>
        <w:spacing w:line="360" w:lineRule="auto"/>
      </w:pPr>
      <w:proofErr w:type="gramStart"/>
      <w:r w:rsidRPr="000D4E0C">
        <w:lastRenderedPageBreak/>
        <w:t>was</w:t>
      </w:r>
      <w:proofErr w:type="gramEnd"/>
      <w:r w:rsidRPr="000D4E0C">
        <w:t xml:space="preserve"> the subject of a Bureau of Consumer Services informal determination at BCS # 3252724, closed on October 8, 2014. </w:t>
      </w:r>
    </w:p>
    <w:p w:rsidR="00AB36A1" w:rsidRPr="000D4E0C" w:rsidRDefault="00AB36A1" w:rsidP="0093104D">
      <w:pPr>
        <w:spacing w:line="360" w:lineRule="auto"/>
      </w:pPr>
    </w:p>
    <w:p w:rsidR="00B4786D" w:rsidRPr="000D4E0C" w:rsidRDefault="00AB36A1" w:rsidP="0093104D">
      <w:pPr>
        <w:spacing w:line="360" w:lineRule="auto"/>
      </w:pPr>
      <w:r w:rsidRPr="000D4E0C">
        <w:tab/>
      </w:r>
      <w:r w:rsidRPr="000D4E0C">
        <w:tab/>
      </w:r>
      <w:r w:rsidR="00B4786D" w:rsidRPr="000D4E0C">
        <w:t>The Commission's Secretary served the Complaint.</w:t>
      </w:r>
      <w:r w:rsidR="00B4786D" w:rsidRPr="000D4E0C">
        <w:rPr>
          <w:rStyle w:val="FootnoteReference"/>
          <w:vertAlign w:val="superscript"/>
        </w:rPr>
        <w:footnoteReference w:id="1"/>
      </w:r>
    </w:p>
    <w:p w:rsidR="0093104D" w:rsidRPr="000D4E0C" w:rsidRDefault="0093104D" w:rsidP="0093104D">
      <w:pPr>
        <w:spacing w:line="360" w:lineRule="auto"/>
      </w:pPr>
    </w:p>
    <w:p w:rsidR="00B37429" w:rsidRPr="000D4E0C" w:rsidRDefault="00B37429" w:rsidP="0093104D">
      <w:pPr>
        <w:spacing w:line="360" w:lineRule="auto"/>
      </w:pPr>
      <w:r w:rsidRPr="000D4E0C">
        <w:tab/>
      </w:r>
      <w:r w:rsidRPr="000D4E0C">
        <w:tab/>
        <w:t>On November 11, 2014, PPL filed its Answer admitting that there are pear trees within the right-of-way for a 69 kV transmission line crossing Complainants’ property and that PPL intends to remove those trees pursuant to its vegetation management policies and procedures.  PPL states that its actions are to maintain compliance with the specific clearances mandated between transmission lines and vegetation located on and adjacent to transmission rights-of-way.  The Answer explains the “Wire Zone/Border Zone” vegetation management method which it has adopted as an industry best practice and is commonly used by other utility companies as a sound and effective way to improve the reliability of transmission lines.</w:t>
      </w:r>
    </w:p>
    <w:p w:rsidR="00B37429" w:rsidRPr="000D4E0C" w:rsidRDefault="00B37429" w:rsidP="00DE7515">
      <w:pPr>
        <w:spacing w:line="360" w:lineRule="auto"/>
      </w:pPr>
    </w:p>
    <w:p w:rsidR="00B37429" w:rsidRPr="000D4E0C" w:rsidRDefault="00B37429" w:rsidP="00DE7515">
      <w:pPr>
        <w:spacing w:line="360" w:lineRule="auto"/>
      </w:pPr>
      <w:r w:rsidRPr="000D4E0C">
        <w:tab/>
      </w:r>
      <w:r w:rsidRPr="000D4E0C">
        <w:tab/>
        <w:t>The Answer states that the pear trees in question pose a significant threat to the safety and reliability of PPL’s electric transmission and distribution systems.  The Company avers that the trees are non-compatible species within a designated border zone and therefore must be removed.  In addition, the tree removal must be performed by certified contractors with the skill, training, equipment and knowledge required for working in close proximity to hazardous high voltage transmission lines.</w:t>
      </w:r>
    </w:p>
    <w:p w:rsidR="00B37429" w:rsidRPr="000D4E0C" w:rsidRDefault="00B37429" w:rsidP="00B4786D">
      <w:pPr>
        <w:spacing w:line="360" w:lineRule="auto"/>
      </w:pPr>
    </w:p>
    <w:p w:rsidR="00B37429" w:rsidRPr="000D4E0C" w:rsidRDefault="00B37429" w:rsidP="00DE7515">
      <w:pPr>
        <w:spacing w:line="360" w:lineRule="auto"/>
      </w:pPr>
      <w:r w:rsidRPr="000D4E0C">
        <w:tab/>
      </w:r>
      <w:r w:rsidRPr="000D4E0C">
        <w:tab/>
        <w:t>A telephone hearing notice was issued on December 1, 2014, which set the hearing for Thursday, January 8, 2015, and assigned the case to me.  On December 2, 2014, I issued a prehearing order which set forth some of the requirements for participation in a formal proceeding before the Commission.</w:t>
      </w:r>
    </w:p>
    <w:p w:rsidR="00B37429" w:rsidRPr="000D4E0C" w:rsidRDefault="00B37429" w:rsidP="00DE7515">
      <w:pPr>
        <w:spacing w:line="360" w:lineRule="auto"/>
      </w:pPr>
      <w:r w:rsidRPr="000D4E0C">
        <w:t> </w:t>
      </w:r>
    </w:p>
    <w:p w:rsidR="00B37429" w:rsidRPr="000D4E0C" w:rsidRDefault="00B37429" w:rsidP="00B253C3">
      <w:pPr>
        <w:spacing w:line="360" w:lineRule="auto"/>
      </w:pPr>
      <w:r w:rsidRPr="000D4E0C">
        <w:tab/>
      </w:r>
      <w:r w:rsidRPr="000D4E0C">
        <w:tab/>
        <w:t xml:space="preserve">On January 8, 2015, the hearing was held as </w:t>
      </w:r>
      <w:r w:rsidR="0093104D" w:rsidRPr="000D4E0C">
        <w:t>scheduled.  Complainant Richard </w:t>
      </w:r>
      <w:r w:rsidRPr="000D4E0C">
        <w:t>Lehet testified on behalf</w:t>
      </w:r>
      <w:r w:rsidR="00AB36A1" w:rsidRPr="000D4E0C">
        <w:t xml:space="preserve"> of himself and his wife</w:t>
      </w:r>
      <w:r w:rsidRPr="000D4E0C">
        <w:t>.  PPL</w:t>
      </w:r>
      <w:r w:rsidR="0093104D" w:rsidRPr="000D4E0C">
        <w:t xml:space="preserve"> was represented by Christopher </w:t>
      </w:r>
      <w:r w:rsidRPr="000D4E0C">
        <w:t xml:space="preserve">T. Wright, Esq., who presented the testimony of </w:t>
      </w:r>
      <w:r w:rsidR="00CA4900" w:rsidRPr="000D4E0C">
        <w:t xml:space="preserve">PPL forester </w:t>
      </w:r>
      <w:r w:rsidRPr="000D4E0C">
        <w:t xml:space="preserve">Mary Baker.  PPL submitted five exhibits, all of which were admitted into the record.  </w:t>
      </w:r>
    </w:p>
    <w:p w:rsidR="00B37429" w:rsidRPr="000D4E0C" w:rsidRDefault="00B37429" w:rsidP="00B253C3">
      <w:pPr>
        <w:spacing w:line="360" w:lineRule="auto"/>
      </w:pPr>
      <w:r w:rsidRPr="000D4E0C">
        <w:t> </w:t>
      </w:r>
    </w:p>
    <w:p w:rsidR="00B37429" w:rsidRPr="000D4E0C" w:rsidRDefault="00B37429" w:rsidP="00B253C3">
      <w:pPr>
        <w:spacing w:line="360" w:lineRule="auto"/>
      </w:pPr>
      <w:r w:rsidRPr="000D4E0C">
        <w:tab/>
      </w:r>
      <w:r w:rsidRPr="000D4E0C">
        <w:tab/>
        <w:t>A transcript of 56 pages was generated, and the record closed upon its receipt on January 30, 2015.  The matter is ripe for disposition.</w:t>
      </w:r>
    </w:p>
    <w:p w:rsidR="00B37429" w:rsidRPr="000D4E0C" w:rsidRDefault="00B37429" w:rsidP="00B253C3">
      <w:pPr>
        <w:spacing w:line="360" w:lineRule="auto"/>
      </w:pPr>
      <w:r w:rsidRPr="000D4E0C">
        <w:t> </w:t>
      </w:r>
    </w:p>
    <w:p w:rsidR="00B37429" w:rsidRPr="000D4E0C" w:rsidRDefault="00B37429" w:rsidP="00B253C3">
      <w:pPr>
        <w:spacing w:line="360" w:lineRule="auto"/>
        <w:jc w:val="center"/>
      </w:pPr>
      <w:r w:rsidRPr="000D4E0C">
        <w:rPr>
          <w:u w:val="single"/>
        </w:rPr>
        <w:t>FINDINGS OF FACT</w:t>
      </w:r>
    </w:p>
    <w:p w:rsidR="00B37429" w:rsidRPr="000D4E0C" w:rsidRDefault="00B37429" w:rsidP="00B253C3">
      <w:pPr>
        <w:spacing w:line="360" w:lineRule="auto"/>
      </w:pPr>
      <w:r w:rsidRPr="000D4E0C">
        <w:t> </w:t>
      </w:r>
    </w:p>
    <w:p w:rsidR="00B37429" w:rsidRPr="000D4E0C" w:rsidRDefault="00C45503" w:rsidP="00B253C3">
      <w:pPr>
        <w:spacing w:line="360" w:lineRule="auto"/>
      </w:pPr>
      <w:r w:rsidRPr="000D4E0C">
        <w:tab/>
      </w:r>
      <w:r w:rsidRPr="000D4E0C">
        <w:tab/>
        <w:t>1.</w:t>
      </w:r>
      <w:r w:rsidRPr="000D4E0C">
        <w:tab/>
      </w:r>
      <w:r w:rsidR="00B37429" w:rsidRPr="000D4E0C">
        <w:t>Complainants are Richard and Sandy Lehet, 5116 SR 487, Benton Pennsylvania, 17814.</w:t>
      </w:r>
    </w:p>
    <w:p w:rsidR="00B37429" w:rsidRPr="000D4E0C" w:rsidRDefault="00B37429" w:rsidP="00B253C3">
      <w:pPr>
        <w:spacing w:line="360" w:lineRule="auto"/>
      </w:pPr>
      <w:r w:rsidRPr="000D4E0C">
        <w:t> </w:t>
      </w:r>
    </w:p>
    <w:p w:rsidR="00B37429" w:rsidRPr="000D4E0C" w:rsidRDefault="00B37429" w:rsidP="00B253C3">
      <w:pPr>
        <w:spacing w:line="360" w:lineRule="auto"/>
        <w:ind w:firstLine="720"/>
      </w:pPr>
      <w:r w:rsidRPr="000D4E0C">
        <w:tab/>
        <w:t>2.</w:t>
      </w:r>
      <w:r w:rsidRPr="000D4E0C">
        <w:tab/>
        <w:t>Respondent is PPL Electric Utilities Corporation, a jurisdictional public utility providing electric distribution and transmission service in the Commonwealth of Pennsylvania.</w:t>
      </w:r>
    </w:p>
    <w:p w:rsidR="00B37429" w:rsidRPr="000D4E0C" w:rsidRDefault="00B37429" w:rsidP="00B253C3">
      <w:pPr>
        <w:spacing w:line="360" w:lineRule="auto"/>
      </w:pPr>
      <w:r w:rsidRPr="000D4E0C">
        <w:t> </w:t>
      </w:r>
    </w:p>
    <w:p w:rsidR="00B37429" w:rsidRPr="000D4E0C" w:rsidRDefault="00B37429" w:rsidP="00B253C3">
      <w:pPr>
        <w:spacing w:line="360" w:lineRule="auto"/>
        <w:outlineLvl w:val="7"/>
      </w:pPr>
      <w:r w:rsidRPr="000D4E0C">
        <w:tab/>
      </w:r>
      <w:r w:rsidRPr="000D4E0C">
        <w:tab/>
        <w:t>3.</w:t>
      </w:r>
      <w:r w:rsidRPr="000D4E0C">
        <w:tab/>
        <w:t xml:space="preserve">Approximately 35 years ago, Complainant started developing property along Route 487.  </w:t>
      </w:r>
      <w:proofErr w:type="gramStart"/>
      <w:r w:rsidRPr="000D4E0C">
        <w:t>Tr. 8.</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4.</w:t>
      </w:r>
      <w:r w:rsidRPr="000D4E0C">
        <w:tab/>
      </w:r>
      <w:r w:rsidR="00CA4900" w:rsidRPr="000D4E0C">
        <w:t>Complainant</w:t>
      </w:r>
      <w:r w:rsidRPr="000D4E0C">
        <w:t xml:space="preserve"> planted a buffer zone along Route 487 to satisfy the Columbia County Planning Commission.  </w:t>
      </w:r>
      <w:proofErr w:type="gramStart"/>
      <w:r w:rsidRPr="000D4E0C">
        <w:t>Tr.8.</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5.</w:t>
      </w:r>
      <w:r w:rsidRPr="000D4E0C">
        <w:tab/>
        <w:t xml:space="preserve">To establish the buffer, </w:t>
      </w:r>
      <w:r w:rsidR="00CA4900" w:rsidRPr="000D4E0C">
        <w:t>Complainant</w:t>
      </w:r>
      <w:r w:rsidRPr="000D4E0C">
        <w:t xml:space="preserve"> began to plant trees and presently has about 30 trees in the area that the utility wants to clear. </w:t>
      </w:r>
      <w:r w:rsidR="00F57440">
        <w:t xml:space="preserve"> </w:t>
      </w:r>
      <w:proofErr w:type="gramStart"/>
      <w:r w:rsidRPr="000D4E0C">
        <w:t>Tr. 8.</w:t>
      </w:r>
      <w:proofErr w:type="gramEnd"/>
    </w:p>
    <w:p w:rsidR="00B37429" w:rsidRPr="000D4E0C" w:rsidRDefault="00B37429" w:rsidP="00DE7515">
      <w:pPr>
        <w:spacing w:line="360" w:lineRule="auto"/>
        <w:outlineLvl w:val="7"/>
      </w:pPr>
    </w:p>
    <w:p w:rsidR="00B37429" w:rsidRPr="000D4E0C" w:rsidRDefault="00B37429" w:rsidP="00DE7515">
      <w:pPr>
        <w:spacing w:line="360" w:lineRule="auto"/>
        <w:outlineLvl w:val="7"/>
      </w:pPr>
      <w:r w:rsidRPr="000D4E0C">
        <w:tab/>
      </w:r>
      <w:r w:rsidRPr="000D4E0C">
        <w:tab/>
        <w:t>6.</w:t>
      </w:r>
      <w:r w:rsidRPr="000D4E0C">
        <w:tab/>
        <w:t>The transmission line</w:t>
      </w:r>
      <w:r w:rsidR="00AB36A1" w:rsidRPr="000D4E0C">
        <w:t xml:space="preserve"> in question</w:t>
      </w:r>
      <w:r w:rsidRPr="000D4E0C">
        <w:t xml:space="preserve"> serves one customer, the Benton Foundry.  </w:t>
      </w:r>
      <w:proofErr w:type="gramStart"/>
      <w:r w:rsidRPr="000D4E0C">
        <w:t>Tr. 10.</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7.</w:t>
      </w:r>
      <w:r w:rsidRPr="000D4E0C">
        <w:tab/>
        <w:t xml:space="preserve">Complainant has been cooperative with the utility in the past in granting them access to another service line which crosses his property.  </w:t>
      </w:r>
      <w:proofErr w:type="gramStart"/>
      <w:r w:rsidRPr="000D4E0C">
        <w:t>Tr. 10.</w:t>
      </w:r>
      <w:proofErr w:type="gramEnd"/>
    </w:p>
    <w:p w:rsidR="00B37429" w:rsidRPr="000D4E0C" w:rsidRDefault="00B37429" w:rsidP="00DE7515">
      <w:pPr>
        <w:spacing w:line="360" w:lineRule="auto"/>
        <w:outlineLvl w:val="7"/>
      </w:pPr>
      <w:r w:rsidRPr="000D4E0C">
        <w:t> </w:t>
      </w:r>
    </w:p>
    <w:p w:rsidR="00B37429" w:rsidRPr="000D4E0C" w:rsidRDefault="00B37429" w:rsidP="00C9051E">
      <w:pPr>
        <w:spacing w:line="360" w:lineRule="auto"/>
        <w:outlineLvl w:val="7"/>
      </w:pPr>
      <w:r w:rsidRPr="000D4E0C">
        <w:tab/>
      </w:r>
      <w:r w:rsidRPr="000D4E0C">
        <w:tab/>
        <w:t>8.</w:t>
      </w:r>
      <w:r w:rsidRPr="000D4E0C">
        <w:tab/>
        <w:t>Complainant would be permitted</w:t>
      </w:r>
      <w:r w:rsidR="00AB36A1" w:rsidRPr="000D4E0C">
        <w:t xml:space="preserve"> by the utility</w:t>
      </w:r>
      <w:r w:rsidRPr="000D4E0C">
        <w:t xml:space="preserve"> to replant the trees elsewhere but the cost would be prohibitive.  Tr. 10-11.</w:t>
      </w:r>
    </w:p>
    <w:p w:rsidR="00B37429" w:rsidRPr="000D4E0C" w:rsidRDefault="00B37429" w:rsidP="00C9051E">
      <w:pPr>
        <w:spacing w:line="360" w:lineRule="auto"/>
        <w:outlineLvl w:val="7"/>
      </w:pPr>
      <w:r w:rsidRPr="000D4E0C">
        <w:t> </w:t>
      </w:r>
    </w:p>
    <w:p w:rsidR="00B37429" w:rsidRPr="000D4E0C" w:rsidRDefault="00B37429" w:rsidP="00C9051E">
      <w:pPr>
        <w:spacing w:line="360" w:lineRule="auto"/>
        <w:outlineLvl w:val="7"/>
      </w:pPr>
      <w:r w:rsidRPr="000D4E0C">
        <w:tab/>
      </w:r>
      <w:r w:rsidRPr="000D4E0C">
        <w:tab/>
        <w:t>9.</w:t>
      </w:r>
      <w:r w:rsidRPr="000D4E0C">
        <w:tab/>
        <w:t>Complainant did not check with the util</w:t>
      </w:r>
      <w:r w:rsidR="00C45503" w:rsidRPr="000D4E0C">
        <w:t>ity prior to planting the trees</w:t>
      </w:r>
      <w:r w:rsidR="0093104D" w:rsidRPr="000D4E0C">
        <w:t xml:space="preserve">.  </w:t>
      </w:r>
      <w:proofErr w:type="gramStart"/>
      <w:r w:rsidR="0093104D" w:rsidRPr="000D4E0C">
        <w:t>Tr. </w:t>
      </w:r>
      <w:r w:rsidRPr="000D4E0C">
        <w:t>11.</w:t>
      </w:r>
      <w:proofErr w:type="gramEnd"/>
    </w:p>
    <w:p w:rsidR="00B37429" w:rsidRPr="000D4E0C" w:rsidRDefault="00B37429" w:rsidP="00C9051E">
      <w:pPr>
        <w:spacing w:line="360" w:lineRule="auto"/>
        <w:outlineLvl w:val="7"/>
      </w:pPr>
      <w:r w:rsidRPr="000D4E0C">
        <w:t> </w:t>
      </w:r>
    </w:p>
    <w:p w:rsidR="00B37429" w:rsidRPr="000D4E0C" w:rsidRDefault="00B37429" w:rsidP="00C9051E">
      <w:pPr>
        <w:spacing w:line="360" w:lineRule="auto"/>
        <w:outlineLvl w:val="7"/>
      </w:pPr>
      <w:r w:rsidRPr="000D4E0C">
        <w:tab/>
      </w:r>
      <w:r w:rsidRPr="000D4E0C">
        <w:tab/>
        <w:t>10.</w:t>
      </w:r>
      <w:r w:rsidRPr="000D4E0C">
        <w:tab/>
        <w:t xml:space="preserve">The Respondent cut butterfly and blueberry bushes in front of Complainant’s home, which only grow to a height of 12 feet.  </w:t>
      </w:r>
      <w:proofErr w:type="gramStart"/>
      <w:r w:rsidRPr="000D4E0C">
        <w:t>Tr. 12.</w:t>
      </w:r>
      <w:proofErr w:type="gramEnd"/>
    </w:p>
    <w:p w:rsidR="00B37429" w:rsidRPr="000D4E0C" w:rsidRDefault="00B37429" w:rsidP="00C9051E">
      <w:pPr>
        <w:spacing w:line="360" w:lineRule="auto"/>
        <w:outlineLvl w:val="7"/>
      </w:pPr>
      <w:r w:rsidRPr="000D4E0C">
        <w:t> </w:t>
      </w:r>
    </w:p>
    <w:p w:rsidR="00B37429" w:rsidRPr="000D4E0C" w:rsidRDefault="00B37429" w:rsidP="00C9051E">
      <w:pPr>
        <w:spacing w:line="360" w:lineRule="auto"/>
        <w:outlineLvl w:val="7"/>
      </w:pPr>
      <w:r w:rsidRPr="000D4E0C">
        <w:tab/>
      </w:r>
      <w:r w:rsidRPr="000D4E0C">
        <w:tab/>
        <w:t>11.</w:t>
      </w:r>
      <w:r w:rsidRPr="000D4E0C">
        <w:tab/>
        <w:t>Complainant began to plant trees about 15 years ago and added more as he could afford it, maybe four or five times per year, which explains the disparity in height of the trees</w:t>
      </w:r>
      <w:r w:rsidR="00AB36A1" w:rsidRPr="000D4E0C">
        <w:t>, which range in height from 16 feet to 30 feet</w:t>
      </w:r>
      <w:r w:rsidRPr="000D4E0C">
        <w:t xml:space="preserve">.  </w:t>
      </w:r>
      <w:proofErr w:type="gramStart"/>
      <w:r w:rsidRPr="000D4E0C">
        <w:t>Tr. 15.</w:t>
      </w:r>
      <w:proofErr w:type="gramEnd"/>
    </w:p>
    <w:p w:rsidR="00B37429" w:rsidRPr="000D4E0C" w:rsidRDefault="00B37429" w:rsidP="00C9051E">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12.</w:t>
      </w:r>
      <w:r w:rsidRPr="000D4E0C">
        <w:tab/>
        <w:t xml:space="preserve">The Columbia County Planning Commission did not require a specific tree as a buffer to the adjacent highway.  </w:t>
      </w:r>
      <w:proofErr w:type="gramStart"/>
      <w:r w:rsidRPr="000D4E0C">
        <w:t>Tr. 17.</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13.</w:t>
      </w:r>
      <w:r w:rsidRPr="000D4E0C">
        <w:tab/>
        <w:t xml:space="preserve">Complainant owns about 150 acres, including </w:t>
      </w:r>
      <w:r w:rsidR="00AB36A1" w:rsidRPr="000D4E0C">
        <w:t xml:space="preserve">an </w:t>
      </w:r>
      <w:r w:rsidRPr="000D4E0C">
        <w:t xml:space="preserve">area where PPL has two service poles carrying another line.  </w:t>
      </w:r>
      <w:proofErr w:type="gramStart"/>
      <w:r w:rsidRPr="000D4E0C">
        <w:t>Tr. 17.</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14.</w:t>
      </w:r>
      <w:r w:rsidRPr="000D4E0C">
        <w:tab/>
        <w:t xml:space="preserve">Mary Baker, forester for PPL, appeared and testified on behalf of Respondent.  </w:t>
      </w:r>
      <w:proofErr w:type="gramStart"/>
      <w:r w:rsidRPr="000D4E0C">
        <w:t>Tr. 19.</w:t>
      </w:r>
      <w:proofErr w:type="gramEnd"/>
    </w:p>
    <w:p w:rsidR="00B37429" w:rsidRPr="000D4E0C" w:rsidRDefault="00B37429" w:rsidP="00DE7515">
      <w:pPr>
        <w:spacing w:line="360" w:lineRule="auto"/>
        <w:outlineLvl w:val="7"/>
      </w:pPr>
      <w:r w:rsidRPr="000D4E0C">
        <w:t> </w:t>
      </w:r>
    </w:p>
    <w:p w:rsidR="00B37429" w:rsidRPr="000D4E0C" w:rsidRDefault="00B37429" w:rsidP="000D4E0C">
      <w:pPr>
        <w:spacing w:line="360" w:lineRule="auto"/>
        <w:outlineLvl w:val="7"/>
      </w:pPr>
      <w:r w:rsidRPr="000D4E0C">
        <w:tab/>
      </w:r>
      <w:r w:rsidRPr="000D4E0C">
        <w:tab/>
        <w:t>15.</w:t>
      </w:r>
      <w:r w:rsidRPr="000D4E0C">
        <w:tab/>
        <w:t xml:space="preserve">There is a 69 kV transmission and a separate distribution line crossing the Lehet property.  </w:t>
      </w:r>
      <w:proofErr w:type="gramStart"/>
      <w:r w:rsidRPr="000D4E0C">
        <w:t>Tr. 21.</w:t>
      </w:r>
      <w:proofErr w:type="gramEnd"/>
    </w:p>
    <w:p w:rsidR="00B37429" w:rsidRPr="000D4E0C" w:rsidRDefault="00B37429" w:rsidP="000D4E0C">
      <w:pPr>
        <w:spacing w:line="360" w:lineRule="auto"/>
        <w:outlineLvl w:val="7"/>
      </w:pPr>
      <w:r w:rsidRPr="000D4E0C">
        <w:t> </w:t>
      </w:r>
    </w:p>
    <w:p w:rsidR="00B37429" w:rsidRPr="000D4E0C" w:rsidRDefault="00B37429" w:rsidP="000D4E0C">
      <w:pPr>
        <w:spacing w:line="360" w:lineRule="auto"/>
        <w:outlineLvl w:val="7"/>
      </w:pPr>
      <w:r w:rsidRPr="000D4E0C">
        <w:tab/>
      </w:r>
      <w:r w:rsidRPr="000D4E0C">
        <w:tab/>
        <w:t>16.</w:t>
      </w:r>
      <w:r w:rsidRPr="000D4E0C">
        <w:tab/>
        <w:t xml:space="preserve">PPL Electric holds a right-of-way agreement with the Lehets.  </w:t>
      </w:r>
      <w:proofErr w:type="gramStart"/>
      <w:r w:rsidRPr="000D4E0C">
        <w:t>Tr. 22.</w:t>
      </w:r>
      <w:proofErr w:type="gramEnd"/>
    </w:p>
    <w:p w:rsidR="00B37429" w:rsidRPr="000D4E0C" w:rsidRDefault="00B37429" w:rsidP="000D4E0C">
      <w:pPr>
        <w:spacing w:line="360" w:lineRule="auto"/>
        <w:outlineLvl w:val="7"/>
      </w:pPr>
      <w:r w:rsidRPr="000D4E0C">
        <w:t> </w:t>
      </w:r>
    </w:p>
    <w:p w:rsidR="00B37429" w:rsidRPr="000D4E0C" w:rsidRDefault="00B37429" w:rsidP="000D4E0C">
      <w:pPr>
        <w:spacing w:line="360" w:lineRule="auto"/>
        <w:outlineLvl w:val="7"/>
      </w:pPr>
      <w:r w:rsidRPr="000D4E0C">
        <w:tab/>
      </w:r>
      <w:r w:rsidRPr="000D4E0C">
        <w:tab/>
        <w:t>17.</w:t>
      </w:r>
      <w:r w:rsidRPr="000D4E0C">
        <w:tab/>
        <w:t>As part of the service of the transmission lines</w:t>
      </w:r>
      <w:r w:rsidR="00CA4900" w:rsidRPr="000D4E0C">
        <w:t xml:space="preserve"> in general</w:t>
      </w:r>
      <w:r w:rsidRPr="000D4E0C">
        <w:t xml:space="preserve">, the right-of-way agreements are reviewed for each individual property prior to the start of any vegetation work, and the work is performed as per each individual right-of-way agreement.  </w:t>
      </w:r>
      <w:proofErr w:type="gramStart"/>
      <w:r w:rsidRPr="000D4E0C">
        <w:t>Tr. 22.</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18.</w:t>
      </w:r>
      <w:r w:rsidRPr="000D4E0C">
        <w:tab/>
        <w:t xml:space="preserve">PPL Exhibit 1 is a right-of-way agreement with the Complainants signed in 1995.  </w:t>
      </w:r>
      <w:proofErr w:type="gramStart"/>
      <w:r w:rsidRPr="000D4E0C">
        <w:t>Tr. 23.</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19.</w:t>
      </w:r>
      <w:r w:rsidRPr="000D4E0C">
        <w:tab/>
        <w:t xml:space="preserve">PPL Exhibit 2 is a right-of-way agreement with the prior owner of the subject property.  </w:t>
      </w:r>
      <w:proofErr w:type="gramStart"/>
      <w:r w:rsidRPr="000D4E0C">
        <w:t>Tr. 25.</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20.</w:t>
      </w:r>
      <w:r w:rsidRPr="000D4E0C">
        <w:tab/>
        <w:t xml:space="preserve">Vegetation contact with electric transmission and distribution lines is a leading cause of power outages.  Proper vegetation management of all trees along a distribution line is critical for the provision of safe, reliable and continuous electric service.  </w:t>
      </w:r>
      <w:proofErr w:type="gramStart"/>
      <w:r w:rsidRPr="000D4E0C">
        <w:t>Tr. 26.</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21.</w:t>
      </w:r>
      <w:r w:rsidRPr="000D4E0C">
        <w:tab/>
        <w:t xml:space="preserve"> Trees and vegetation are capable of conducting electricity and represent a serious hazard to the public that might come into contact with that vegetation.  </w:t>
      </w:r>
      <w:proofErr w:type="gramStart"/>
      <w:r w:rsidRPr="000D4E0C">
        <w:t>Tr. 27.</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22.</w:t>
      </w:r>
      <w:r w:rsidRPr="000D4E0C">
        <w:tab/>
        <w:t xml:space="preserve">Vegetation that comes into contact with an electric line is a fire hazard.  </w:t>
      </w:r>
      <w:proofErr w:type="gramStart"/>
      <w:r w:rsidRPr="000D4E0C">
        <w:t>Tr. 27.</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23.</w:t>
      </w:r>
      <w:r w:rsidRPr="000D4E0C">
        <w:tab/>
        <w:t>PPL currently has three vegetation management programs</w:t>
      </w:r>
      <w:r w:rsidR="009A730E" w:rsidRPr="000D4E0C">
        <w:t>:  (1)</w:t>
      </w:r>
      <w:r w:rsidRPr="000D4E0C">
        <w:t xml:space="preserve"> a transmission vegetation management plan for line</w:t>
      </w:r>
      <w:r w:rsidR="00C86932" w:rsidRPr="000D4E0C">
        <w:t>s</w:t>
      </w:r>
      <w:r w:rsidRPr="000D4E0C">
        <w:t xml:space="preserve"> that operate at 230 kV or above, and any other transmission lines that are considered essential to the bulk electric system</w:t>
      </w:r>
      <w:r w:rsidR="009A730E" w:rsidRPr="000D4E0C">
        <w:t xml:space="preserve">; (2) a </w:t>
      </w:r>
      <w:r w:rsidRPr="000D4E0C">
        <w:t>vegetation management program for all transmission lines operating at 69 kV and above</w:t>
      </w:r>
      <w:r w:rsidR="009A730E" w:rsidRPr="000D4E0C">
        <w:t>; and (3)</w:t>
      </w:r>
      <w:r w:rsidRPr="000D4E0C">
        <w:t> </w:t>
      </w:r>
      <w:r w:rsidR="009A730E" w:rsidRPr="000D4E0C">
        <w:t>a</w:t>
      </w:r>
      <w:r w:rsidRPr="000D4E0C">
        <w:t xml:space="preserve"> distribution and 69 kV vegetation management plan for lines operating at 69 kV and below</w:t>
      </w:r>
      <w:r w:rsidR="0023340D">
        <w:t>,</w:t>
      </w:r>
      <w:r w:rsidRPr="000D4E0C">
        <w:t xml:space="preserve"> reproduced as PPL Exhibit 4.  Tr. </w:t>
      </w:r>
      <w:r w:rsidR="009A730E" w:rsidRPr="000D4E0C">
        <w:t>27-</w:t>
      </w:r>
      <w:r w:rsidRPr="000D4E0C">
        <w:t>28.</w:t>
      </w:r>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w:t>
      </w:r>
      <w:r w:rsidR="009A730E" w:rsidRPr="000D4E0C">
        <w:t>4</w:t>
      </w:r>
      <w:r w:rsidRPr="000D4E0C">
        <w:t>.</w:t>
      </w:r>
      <w:r w:rsidRPr="000D4E0C">
        <w:tab/>
        <w:t xml:space="preserve">The plan labelled PPL Exhibit 4 is the plan applicable to the subject transmission line.  </w:t>
      </w:r>
      <w:proofErr w:type="gramStart"/>
      <w:r w:rsidRPr="000D4E0C">
        <w:t>Tr. 29.</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w:t>
      </w:r>
      <w:r w:rsidR="009A730E" w:rsidRPr="000D4E0C">
        <w:t>5</w:t>
      </w:r>
      <w:r w:rsidRPr="000D4E0C">
        <w:t>.</w:t>
      </w:r>
      <w:r w:rsidRPr="000D4E0C">
        <w:tab/>
        <w:t xml:space="preserve">PPL Exhibit 3 is the Specification for Transmission Vegetation Management.  </w:t>
      </w:r>
      <w:proofErr w:type="gramStart"/>
      <w:r w:rsidRPr="000D4E0C">
        <w:t>Tr. 30.</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t>2</w:t>
      </w:r>
      <w:r w:rsidR="009A730E" w:rsidRPr="000D4E0C">
        <w:t>6</w:t>
      </w:r>
      <w:r w:rsidRPr="000D4E0C">
        <w:t>.</w:t>
      </w:r>
      <w:r w:rsidRPr="000D4E0C">
        <w:tab/>
        <w:t xml:space="preserve">PPL Exhibit 3 describes the Wire Zone/Border Zone vegetation management plan that PPL has adopted.  </w:t>
      </w:r>
      <w:proofErr w:type="gramStart"/>
      <w:r w:rsidRPr="000D4E0C">
        <w:t>Tr. 31.</w:t>
      </w:r>
      <w:proofErr w:type="gramEnd"/>
    </w:p>
    <w:p w:rsidR="00B37429" w:rsidRPr="000D4E0C" w:rsidRDefault="00B37429" w:rsidP="00DE7515">
      <w:pPr>
        <w:spacing w:line="360" w:lineRule="auto"/>
        <w:outlineLvl w:val="7"/>
      </w:pPr>
      <w:r w:rsidRPr="000D4E0C">
        <w:tab/>
      </w:r>
      <w:r w:rsidRPr="000D4E0C">
        <w:tab/>
        <w:t>2</w:t>
      </w:r>
      <w:r w:rsidR="009A730E" w:rsidRPr="000D4E0C">
        <w:t>7</w:t>
      </w:r>
      <w:r w:rsidRPr="000D4E0C">
        <w:t>.</w:t>
      </w:r>
      <w:r w:rsidR="009A730E" w:rsidRPr="000D4E0C">
        <w:tab/>
        <w:t>Under the Wire Zone/Border Zone methodology, a</w:t>
      </w:r>
      <w:r w:rsidRPr="000D4E0C">
        <w:t xml:space="preserve">ll non-compatible species in both the wire zone and the border zone must be removed.  </w:t>
      </w:r>
      <w:proofErr w:type="gramStart"/>
      <w:r w:rsidRPr="000D4E0C">
        <w:t>Tr. 33.</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r>
      <w:r w:rsidR="009A730E" w:rsidRPr="000D4E0C">
        <w:t>28.</w:t>
      </w:r>
      <w:r w:rsidR="009A730E" w:rsidRPr="000D4E0C">
        <w:tab/>
      </w:r>
      <w:r w:rsidRPr="000D4E0C">
        <w:t xml:space="preserve">The wire zone is the area within the right-of-way underneath the conductor and extending 10 feet outward from the outermost conductor on both sides of the transmission line.  </w:t>
      </w:r>
      <w:proofErr w:type="gramStart"/>
      <w:r w:rsidRPr="000D4E0C">
        <w:t>Tr. 33.</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r>
      <w:r w:rsidR="009A730E" w:rsidRPr="000D4E0C">
        <w:t>29.</w:t>
      </w:r>
      <w:r w:rsidR="009A730E" w:rsidRPr="000D4E0C">
        <w:tab/>
      </w:r>
      <w:r w:rsidRPr="000D4E0C">
        <w:t xml:space="preserve">The wire zone is cleared of all woody vegetation, even grass and ferns.  </w:t>
      </w:r>
      <w:proofErr w:type="gramStart"/>
      <w:r w:rsidRPr="000D4E0C">
        <w:t>Tr. 33.</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r>
      <w:r w:rsidR="009A730E" w:rsidRPr="000D4E0C">
        <w:t>30.</w:t>
      </w:r>
      <w:r w:rsidR="009A730E" w:rsidRPr="000D4E0C">
        <w:tab/>
      </w:r>
      <w:r w:rsidRPr="000D4E0C">
        <w:t xml:space="preserve">The border zone is the remainder of the right-of-way from the edge of the wire zone to the outermost edge of the right-of-way.  </w:t>
      </w:r>
      <w:proofErr w:type="gramStart"/>
      <w:r w:rsidRPr="000D4E0C">
        <w:t>Tr. 33.</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r>
      <w:r w:rsidR="009A730E" w:rsidRPr="000D4E0C">
        <w:t>31.</w:t>
      </w:r>
      <w:r w:rsidR="009A730E" w:rsidRPr="000D4E0C">
        <w:tab/>
      </w:r>
      <w:r w:rsidRPr="000D4E0C">
        <w:t xml:space="preserve">Only </w:t>
      </w:r>
      <w:r w:rsidR="004A42F7" w:rsidRPr="000D4E0C">
        <w:t xml:space="preserve">those </w:t>
      </w:r>
      <w:r w:rsidRPr="000D4E0C">
        <w:t xml:space="preserve">compatible species </w:t>
      </w:r>
      <w:r w:rsidR="004A42F7" w:rsidRPr="000D4E0C">
        <w:t xml:space="preserve">listed by the utility </w:t>
      </w:r>
      <w:r w:rsidRPr="000D4E0C">
        <w:t xml:space="preserve">are permitted to remain within the border zone.  </w:t>
      </w:r>
      <w:proofErr w:type="gramStart"/>
      <w:r w:rsidRPr="000D4E0C">
        <w:t>Tr. 34.</w:t>
      </w:r>
      <w:proofErr w:type="gramEnd"/>
    </w:p>
    <w:p w:rsidR="00B37429" w:rsidRPr="000D4E0C" w:rsidRDefault="00B37429" w:rsidP="00DE7515">
      <w:pPr>
        <w:spacing w:line="360" w:lineRule="auto"/>
        <w:outlineLvl w:val="7"/>
      </w:pPr>
      <w:r w:rsidRPr="000D4E0C">
        <w:t> </w:t>
      </w:r>
    </w:p>
    <w:p w:rsidR="00B37429" w:rsidRPr="000D4E0C" w:rsidRDefault="00B37429" w:rsidP="00DE7515">
      <w:pPr>
        <w:spacing w:line="360" w:lineRule="auto"/>
        <w:outlineLvl w:val="7"/>
      </w:pPr>
      <w:r w:rsidRPr="000D4E0C">
        <w:tab/>
      </w:r>
      <w:r w:rsidRPr="000D4E0C">
        <w:tab/>
      </w:r>
      <w:r w:rsidR="009A730E" w:rsidRPr="000D4E0C">
        <w:t>32.</w:t>
      </w:r>
      <w:r w:rsidR="009A730E" w:rsidRPr="000D4E0C">
        <w:tab/>
      </w:r>
      <w:r w:rsidRPr="000D4E0C">
        <w:t>Based on the fact that no</w:t>
      </w:r>
      <w:r w:rsidR="00C86932" w:rsidRPr="000D4E0C">
        <w:t>ne of the</w:t>
      </w:r>
      <w:r w:rsidRPr="000D4E0C">
        <w:t xml:space="preserve"> outages experienced during Hurricane Irene in August 2011, the Halloween snowstorm of 2011, </w:t>
      </w:r>
      <w:r w:rsidR="00D370C9">
        <w:t>and Superstorm Sandy in October </w:t>
      </w:r>
      <w:r w:rsidRPr="000D4E0C">
        <w:t>2012,</w:t>
      </w:r>
      <w:r w:rsidR="00C86932" w:rsidRPr="000D4E0C">
        <w:t xml:space="preserve"> </w:t>
      </w:r>
      <w:r w:rsidRPr="000D4E0C">
        <w:t>were due to vegetation incidents on transmission lines carrying voltage of 230 kV and above, where the wire zone/border zone method had been fully implemented, PPL decided to apply that methodology to the transmission lines of 69 kV and above.  Tr. 35-37.</w:t>
      </w:r>
      <w:r w:rsidRPr="000D4E0C">
        <w:tab/>
      </w:r>
    </w:p>
    <w:p w:rsidR="00B37429" w:rsidRPr="000D4E0C" w:rsidRDefault="00B37429" w:rsidP="00DE7515">
      <w:pPr>
        <w:spacing w:line="360" w:lineRule="auto"/>
        <w:outlineLvl w:val="7"/>
      </w:pPr>
      <w:r w:rsidRPr="000D4E0C">
        <w:t> </w:t>
      </w:r>
    </w:p>
    <w:p w:rsidR="00B37429" w:rsidRPr="000D4E0C" w:rsidRDefault="00CA4900" w:rsidP="00DE7515">
      <w:pPr>
        <w:spacing w:line="360" w:lineRule="auto"/>
      </w:pPr>
      <w:r w:rsidRPr="000D4E0C">
        <w:tab/>
      </w:r>
      <w:r w:rsidRPr="000D4E0C">
        <w:tab/>
        <w:t>33</w:t>
      </w:r>
      <w:r w:rsidR="009A730E" w:rsidRPr="000D4E0C">
        <w:tab/>
      </w:r>
      <w:r w:rsidR="00B37429" w:rsidRPr="000D4E0C">
        <w:t xml:space="preserve">PPL Exhibit 5 is a brochure given to landowners that have PPL 69-kV lines crossing their property.  </w:t>
      </w:r>
      <w:proofErr w:type="gramStart"/>
      <w:r w:rsidR="00B37429" w:rsidRPr="000D4E0C">
        <w:t>Tr. 38.</w:t>
      </w:r>
      <w:proofErr w:type="gramEnd"/>
    </w:p>
    <w:p w:rsidR="00B37429" w:rsidRPr="000D4E0C" w:rsidRDefault="00B37429" w:rsidP="00DE7515">
      <w:pPr>
        <w:spacing w:line="360" w:lineRule="auto"/>
      </w:pPr>
      <w:r w:rsidRPr="000D4E0C">
        <w:t> </w:t>
      </w:r>
    </w:p>
    <w:p w:rsidR="00B37429" w:rsidRPr="000D4E0C" w:rsidRDefault="00B37429" w:rsidP="00DE7515">
      <w:pPr>
        <w:spacing w:line="360" w:lineRule="auto"/>
      </w:pPr>
      <w:r w:rsidRPr="000D4E0C">
        <w:tab/>
      </w:r>
      <w:r w:rsidRPr="000D4E0C">
        <w:tab/>
      </w:r>
      <w:r w:rsidR="009A730E" w:rsidRPr="000D4E0C">
        <w:t>3</w:t>
      </w:r>
      <w:r w:rsidR="00CA4900" w:rsidRPr="000D4E0C">
        <w:t>4</w:t>
      </w:r>
      <w:r w:rsidR="009A730E" w:rsidRPr="000D4E0C">
        <w:t>.</w:t>
      </w:r>
      <w:r w:rsidR="009A730E" w:rsidRPr="000D4E0C">
        <w:tab/>
      </w:r>
      <w:r w:rsidRPr="000D4E0C">
        <w:t>PPL Exhibit 5 explains the wire zone/border zone methodology of vegetation management and lists compatible species.  Tr. 38-39.</w:t>
      </w:r>
    </w:p>
    <w:p w:rsidR="00B37429" w:rsidRPr="000D4E0C" w:rsidRDefault="00B37429" w:rsidP="00DE7515">
      <w:pPr>
        <w:spacing w:line="360" w:lineRule="auto"/>
      </w:pPr>
      <w:r w:rsidRPr="000D4E0C">
        <w:t> </w:t>
      </w:r>
    </w:p>
    <w:p w:rsidR="00B37429" w:rsidRPr="000D4E0C" w:rsidRDefault="00B37429" w:rsidP="00DE7515">
      <w:pPr>
        <w:spacing w:line="360" w:lineRule="auto"/>
      </w:pPr>
      <w:r w:rsidRPr="000D4E0C">
        <w:tab/>
      </w:r>
      <w:r w:rsidRPr="000D4E0C">
        <w:tab/>
      </w:r>
      <w:r w:rsidR="009A730E" w:rsidRPr="000D4E0C">
        <w:t>3</w:t>
      </w:r>
      <w:r w:rsidR="00CA4900" w:rsidRPr="000D4E0C">
        <w:t>5</w:t>
      </w:r>
      <w:r w:rsidR="009A730E" w:rsidRPr="000D4E0C">
        <w:t>.</w:t>
      </w:r>
      <w:r w:rsidR="009A730E" w:rsidRPr="000D4E0C">
        <w:tab/>
      </w:r>
      <w:r w:rsidRPr="000D4E0C">
        <w:t xml:space="preserve">The pear trees in question are located within the border zone of the right-of-way.  </w:t>
      </w:r>
      <w:proofErr w:type="gramStart"/>
      <w:r w:rsidRPr="000D4E0C">
        <w:t>Tr. 39.</w:t>
      </w:r>
      <w:proofErr w:type="gramEnd"/>
    </w:p>
    <w:p w:rsidR="0009737C" w:rsidRDefault="0009737C" w:rsidP="00DE7515">
      <w:pPr>
        <w:spacing w:line="360" w:lineRule="auto"/>
        <w:sectPr w:rsidR="0009737C" w:rsidSect="00B13D44">
          <w:footerReference w:type="first" r:id="rId10"/>
          <w:pgSz w:w="12240" w:h="15840"/>
          <w:pgMar w:top="1440" w:right="1440" w:bottom="1440" w:left="1440" w:header="720" w:footer="720" w:gutter="0"/>
          <w:cols w:space="720"/>
          <w:titlePg/>
          <w:docGrid w:linePitch="360"/>
        </w:sectPr>
      </w:pPr>
    </w:p>
    <w:p w:rsidR="00B37429" w:rsidRPr="000D4E0C" w:rsidRDefault="00B37429" w:rsidP="00DE7515">
      <w:pPr>
        <w:spacing w:line="360" w:lineRule="auto"/>
      </w:pPr>
      <w:r w:rsidRPr="000D4E0C">
        <w:tab/>
      </w:r>
      <w:r w:rsidRPr="000D4E0C">
        <w:tab/>
      </w:r>
      <w:r w:rsidR="009A730E" w:rsidRPr="000D4E0C">
        <w:t>3</w:t>
      </w:r>
      <w:r w:rsidR="00CA4900" w:rsidRPr="000D4E0C">
        <w:t>6</w:t>
      </w:r>
      <w:r w:rsidR="009A730E" w:rsidRPr="000D4E0C">
        <w:t>.</w:t>
      </w:r>
      <w:r w:rsidR="009A730E" w:rsidRPr="000D4E0C">
        <w:tab/>
      </w:r>
      <w:r w:rsidRPr="000D4E0C">
        <w:t xml:space="preserve">Bradford pear trees are not </w:t>
      </w:r>
      <w:r w:rsidR="004A42F7" w:rsidRPr="000D4E0C">
        <w:t>listed on the utility's list of</w:t>
      </w:r>
      <w:r w:rsidRPr="000D4E0C">
        <w:t xml:space="preserve"> compatible species.  </w:t>
      </w:r>
      <w:proofErr w:type="gramStart"/>
      <w:r w:rsidRPr="000D4E0C">
        <w:t>Tr. 40.</w:t>
      </w:r>
      <w:proofErr w:type="gramEnd"/>
    </w:p>
    <w:p w:rsidR="00B37429" w:rsidRPr="000D4E0C" w:rsidRDefault="00B37429" w:rsidP="00DE7515">
      <w:pPr>
        <w:spacing w:line="360" w:lineRule="auto"/>
      </w:pPr>
      <w:r w:rsidRPr="000D4E0C">
        <w:t> </w:t>
      </w:r>
    </w:p>
    <w:p w:rsidR="00B37429" w:rsidRPr="000D4E0C" w:rsidRDefault="00B37429" w:rsidP="00DE7515">
      <w:pPr>
        <w:spacing w:line="360" w:lineRule="auto"/>
      </w:pPr>
      <w:r w:rsidRPr="000D4E0C">
        <w:tab/>
      </w:r>
      <w:r w:rsidRPr="000D4E0C">
        <w:tab/>
      </w:r>
      <w:r w:rsidR="009A730E" w:rsidRPr="000D4E0C">
        <w:t>3</w:t>
      </w:r>
      <w:r w:rsidR="00CA4900" w:rsidRPr="000D4E0C">
        <w:t>7</w:t>
      </w:r>
      <w:r w:rsidR="009A730E" w:rsidRPr="000D4E0C">
        <w:t>.</w:t>
      </w:r>
      <w:r w:rsidR="009A730E" w:rsidRPr="000D4E0C">
        <w:tab/>
      </w:r>
      <w:r w:rsidRPr="000D4E0C">
        <w:t xml:space="preserve">Collective and restricted clearing methods are not the preferred method for vegetation management on PPL rights-of-way.  </w:t>
      </w:r>
      <w:proofErr w:type="gramStart"/>
      <w:r w:rsidRPr="000D4E0C">
        <w:t>Tr. 40.</w:t>
      </w:r>
      <w:proofErr w:type="gramEnd"/>
    </w:p>
    <w:p w:rsidR="00B37429" w:rsidRPr="000D4E0C" w:rsidRDefault="00B37429" w:rsidP="00DE7515">
      <w:pPr>
        <w:spacing w:line="360" w:lineRule="auto"/>
      </w:pPr>
      <w:r w:rsidRPr="000D4E0C">
        <w:t> </w:t>
      </w:r>
    </w:p>
    <w:p w:rsidR="00B37429" w:rsidRPr="000D4E0C" w:rsidRDefault="00B4457E" w:rsidP="009A730E">
      <w:pPr>
        <w:spacing w:line="360" w:lineRule="auto"/>
        <w:jc w:val="center"/>
        <w:outlineLvl w:val="7"/>
        <w:rPr>
          <w:u w:val="single"/>
        </w:rPr>
      </w:pPr>
      <w:r w:rsidRPr="000D4E0C">
        <w:rPr>
          <w:u w:val="single"/>
        </w:rPr>
        <w:t>DISCUSSION</w:t>
      </w:r>
    </w:p>
    <w:p w:rsidR="00B4457E" w:rsidRPr="000D4E0C" w:rsidRDefault="00B4457E" w:rsidP="00B4457E">
      <w:pPr>
        <w:spacing w:line="360" w:lineRule="auto"/>
        <w:jc w:val="center"/>
        <w:rPr>
          <w:u w:val="single"/>
        </w:rPr>
      </w:pPr>
    </w:p>
    <w:p w:rsidR="00B4457E" w:rsidRPr="000D4E0C" w:rsidRDefault="00B4457E" w:rsidP="00B4457E">
      <w:pPr>
        <w:spacing w:line="360" w:lineRule="auto"/>
      </w:pPr>
      <w:r w:rsidRPr="000D4E0C">
        <w:tab/>
      </w:r>
      <w:r w:rsidRPr="000D4E0C">
        <w:tab/>
        <w:t xml:space="preserve">Complainants have planted Bradford pear flowering trees as a buffer to a housing development from Route 487 pursuant to the Columbia County Zoning Commission's edict.  The trees have been placed as the Complainants </w:t>
      </w:r>
      <w:r w:rsidR="00CA4900" w:rsidRPr="000D4E0C">
        <w:t xml:space="preserve">could </w:t>
      </w:r>
      <w:r w:rsidRPr="000D4E0C">
        <w:t xml:space="preserve">manage, over the last fifteen years.  </w:t>
      </w:r>
      <w:r w:rsidR="00C45503" w:rsidRPr="000D4E0C">
        <w:t xml:space="preserve">PPL has informed </w:t>
      </w:r>
      <w:r w:rsidR="00402D6C">
        <w:t>Complainants</w:t>
      </w:r>
      <w:r w:rsidR="00C45503" w:rsidRPr="000D4E0C">
        <w:t xml:space="preserve"> that the trees are not on the "compatible" list, and therefore, they must be removed.  Complainants seek to have the trees exempted from the PPL program, or in the alternative, to delay the removal in order to give the newer trees an opportunity to become established.  </w:t>
      </w:r>
      <w:proofErr w:type="gramStart"/>
      <w:r w:rsidR="00C45503" w:rsidRPr="000D4E0C">
        <w:t>Tr. 48.</w:t>
      </w:r>
      <w:proofErr w:type="gramEnd"/>
    </w:p>
    <w:p w:rsidR="00C45503" w:rsidRPr="000D4E0C" w:rsidRDefault="00C45503" w:rsidP="00B4457E">
      <w:pPr>
        <w:spacing w:line="360" w:lineRule="auto"/>
      </w:pPr>
    </w:p>
    <w:p w:rsidR="00B37429" w:rsidRPr="000D4E0C" w:rsidRDefault="00C45503" w:rsidP="00DE7515">
      <w:pPr>
        <w:spacing w:line="360" w:lineRule="auto"/>
      </w:pPr>
      <w:r w:rsidRPr="000D4E0C">
        <w:tab/>
      </w:r>
      <w:r w:rsidRPr="000D4E0C">
        <w:tab/>
      </w:r>
      <w:r w:rsidR="00B37429" w:rsidRPr="000D4E0C">
        <w:t xml:space="preserve">The party seeking affirmative relief from the Commission bears the burden of proof.  </w:t>
      </w:r>
      <w:proofErr w:type="gramStart"/>
      <w:r w:rsidR="00B37429" w:rsidRPr="000D4E0C">
        <w:t>66 Pa.C.S.</w:t>
      </w:r>
      <w:proofErr w:type="gramEnd"/>
      <w:r w:rsidR="00B37429" w:rsidRPr="000D4E0C">
        <w:t xml:space="preserve"> § 332(a).  As a matter of law, a complainant must show that the named utility is responsible or accountable for the problem described in the Complaint in order to prevail.  </w:t>
      </w:r>
      <w:proofErr w:type="gramStart"/>
      <w:r w:rsidR="00B37429" w:rsidRPr="000D4E0C">
        <w:rPr>
          <w:i/>
        </w:rPr>
        <w:t xml:space="preserve">Patterson v. Bell Tel. Co. of PA, </w:t>
      </w:r>
      <w:r w:rsidR="00B37429" w:rsidRPr="000D4E0C">
        <w:t xml:space="preserve">72 Pa. PUC 196 (1990); </w:t>
      </w:r>
      <w:r w:rsidR="00B37429" w:rsidRPr="000D4E0C">
        <w:rPr>
          <w:i/>
        </w:rPr>
        <w:t>Feinstein v. Phila.</w:t>
      </w:r>
      <w:proofErr w:type="gramEnd"/>
      <w:r w:rsidR="00B37429" w:rsidRPr="000D4E0C">
        <w:rPr>
          <w:i/>
        </w:rPr>
        <w:t xml:space="preserve"> </w:t>
      </w:r>
      <w:proofErr w:type="gramStart"/>
      <w:r w:rsidR="00B37429" w:rsidRPr="000D4E0C">
        <w:rPr>
          <w:i/>
        </w:rPr>
        <w:t xml:space="preserve">Suburban Water Co., </w:t>
      </w:r>
      <w:r w:rsidR="00B37429" w:rsidRPr="000D4E0C">
        <w:t>50 Pa. PUC 300 (1976).</w:t>
      </w:r>
      <w:proofErr w:type="gramEnd"/>
      <w:r w:rsidR="00B37429" w:rsidRPr="000D4E0C">
        <w:t xml:space="preserve">  This must be shown by a preponderance of the evidence.  </w:t>
      </w:r>
      <w:proofErr w:type="gramStart"/>
      <w:r w:rsidR="00B37429" w:rsidRPr="000D4E0C">
        <w:rPr>
          <w:i/>
        </w:rPr>
        <w:t>Samuel J. Lansberry, Inc. v. Pa. Pub.</w:t>
      </w:r>
      <w:proofErr w:type="gramEnd"/>
      <w:r w:rsidR="00B37429" w:rsidRPr="000D4E0C">
        <w:rPr>
          <w:i/>
        </w:rPr>
        <w:t xml:space="preserve"> Util. Comm'n, </w:t>
      </w:r>
      <w:proofErr w:type="gramStart"/>
      <w:r w:rsidR="00B37429" w:rsidRPr="000D4E0C">
        <w:rPr>
          <w:spacing w:val="-3"/>
        </w:rPr>
        <w:t>134 Pa.Cmwlth</w:t>
      </w:r>
      <w:proofErr w:type="gramEnd"/>
      <w:r w:rsidR="00B37429" w:rsidRPr="000D4E0C">
        <w:rPr>
          <w:spacing w:val="-3"/>
        </w:rPr>
        <w:t xml:space="preserve">. 218; 221-222, 578 A.2d 600; 602 (1990), </w:t>
      </w:r>
      <w:r w:rsidR="00B37429" w:rsidRPr="000D4E0C">
        <w:rPr>
          <w:iCs/>
          <w:spacing w:val="-3"/>
        </w:rPr>
        <w:t>app. denied,</w:t>
      </w:r>
      <w:r w:rsidR="00B37429" w:rsidRPr="000D4E0C">
        <w:rPr>
          <w:spacing w:val="-3"/>
        </w:rPr>
        <w:t xml:space="preserve"> 529 Pa. 654, 602 A.2d 863 (1992).  </w:t>
      </w:r>
      <w:r w:rsidR="00B37429" w:rsidRPr="000D4E0C">
        <w:t xml:space="preserve">A preponderance of evidence is that which is more convincing, by even the smallest amount, than that presented by the other party.  </w:t>
      </w:r>
      <w:proofErr w:type="gramStart"/>
      <w:r w:rsidR="00B37429" w:rsidRPr="000D4E0C">
        <w:rPr>
          <w:i/>
        </w:rPr>
        <w:t>Se-Ling Hosiery v. Margulies,</w:t>
      </w:r>
      <w:r w:rsidR="00B37429" w:rsidRPr="000D4E0C">
        <w:t xml:space="preserve"> </w:t>
      </w:r>
      <w:r w:rsidR="00B37429" w:rsidRPr="000D4E0C">
        <w:rPr>
          <w:spacing w:val="-3"/>
        </w:rPr>
        <w:t>364 Pa. 45, 70 A.2d 854 (1950).</w:t>
      </w:r>
      <w:proofErr w:type="gramEnd"/>
    </w:p>
    <w:p w:rsidR="00B37429" w:rsidRPr="000D4E0C" w:rsidRDefault="00B37429" w:rsidP="00DE7515">
      <w:pPr>
        <w:spacing w:line="360" w:lineRule="auto"/>
      </w:pPr>
      <w:r w:rsidRPr="000D4E0C">
        <w:t> </w:t>
      </w:r>
    </w:p>
    <w:p w:rsidR="00B37429" w:rsidRPr="000D4E0C" w:rsidRDefault="00B37429" w:rsidP="000B7CCA">
      <w:pPr>
        <w:spacing w:line="360" w:lineRule="auto"/>
      </w:pPr>
      <w:r w:rsidRPr="000D4E0C">
        <w:tab/>
      </w:r>
      <w:r w:rsidRPr="000D4E0C">
        <w:tab/>
        <w:t xml:space="preserve">Additionally, any finding of fact necessary to support the Commission's adjudication must be based upon substantial evidence.  </w:t>
      </w:r>
      <w:proofErr w:type="gramStart"/>
      <w:r w:rsidRPr="000D4E0C">
        <w:rPr>
          <w:i/>
        </w:rPr>
        <w:t>Mill v. Pa. Pub.</w:t>
      </w:r>
      <w:proofErr w:type="gramEnd"/>
      <w:r w:rsidRPr="000D4E0C">
        <w:rPr>
          <w:i/>
        </w:rPr>
        <w:t xml:space="preserve"> </w:t>
      </w:r>
      <w:proofErr w:type="gramStart"/>
      <w:r w:rsidRPr="000D4E0C">
        <w:rPr>
          <w:i/>
        </w:rPr>
        <w:t>Util. Comm'n</w:t>
      </w:r>
      <w:r w:rsidRPr="000D4E0C">
        <w:t xml:space="preserve">, 447 A.2d 1100 (Pa.Cmwlth. 1982); </w:t>
      </w:r>
      <w:r w:rsidRPr="000D4E0C">
        <w:rPr>
          <w:i/>
        </w:rPr>
        <w:t>Edan Transportation Corp. v. Pa. Pub.</w:t>
      </w:r>
      <w:proofErr w:type="gramEnd"/>
      <w:r w:rsidRPr="000D4E0C">
        <w:rPr>
          <w:i/>
        </w:rPr>
        <w:t xml:space="preserve"> </w:t>
      </w:r>
      <w:proofErr w:type="gramStart"/>
      <w:r w:rsidRPr="000D4E0C">
        <w:rPr>
          <w:i/>
        </w:rPr>
        <w:t xml:space="preserve">Util. Comm'n, </w:t>
      </w:r>
      <w:r w:rsidRPr="000D4E0C">
        <w:t>623 A.2d 6 (Pa. Cmwlth. 1993); 2 Pa.C.S.</w:t>
      </w:r>
      <w:proofErr w:type="gramEnd"/>
      <w:r w:rsidRPr="000D4E0C">
        <w:t xml:space="preserve"> § 704.  More is required than a mere trace of evidence or a suspicion of the existence of a fact sought to be established.  </w:t>
      </w:r>
      <w:proofErr w:type="gramStart"/>
      <w:r w:rsidRPr="000D4E0C">
        <w:rPr>
          <w:i/>
        </w:rPr>
        <w:t>Norfolk and Western Ry. v. Pa. Pub.</w:t>
      </w:r>
      <w:proofErr w:type="gramEnd"/>
      <w:r w:rsidRPr="000D4E0C">
        <w:rPr>
          <w:i/>
        </w:rPr>
        <w:t xml:space="preserve"> </w:t>
      </w:r>
      <w:proofErr w:type="gramStart"/>
      <w:r w:rsidRPr="000D4E0C">
        <w:rPr>
          <w:i/>
        </w:rPr>
        <w:t xml:space="preserve">Util. Comm'n, </w:t>
      </w:r>
      <w:r w:rsidRPr="000D4E0C">
        <w:t xml:space="preserve">489 Pa. 109, 413 A.2d 1037 (1980); </w:t>
      </w:r>
      <w:r w:rsidRPr="000D4E0C">
        <w:rPr>
          <w:i/>
        </w:rPr>
        <w:t>Erie Resistor Corp. v. Unemployment Compensation Bd.</w:t>
      </w:r>
      <w:proofErr w:type="gramEnd"/>
      <w:r w:rsidRPr="000D4E0C">
        <w:rPr>
          <w:i/>
        </w:rPr>
        <w:t xml:space="preserve"> </w:t>
      </w:r>
      <w:proofErr w:type="gramStart"/>
      <w:r w:rsidRPr="000D4E0C">
        <w:rPr>
          <w:i/>
        </w:rPr>
        <w:t xml:space="preserve">Of Review, </w:t>
      </w:r>
      <w:r w:rsidRPr="000D4E0C">
        <w:t xml:space="preserve">166 A.2d 96 (Pa.Super. 1960); </w:t>
      </w:r>
      <w:r w:rsidRPr="000D4E0C">
        <w:rPr>
          <w:i/>
        </w:rPr>
        <w:t>Murphy v. Dep't.</w:t>
      </w:r>
      <w:proofErr w:type="gramEnd"/>
      <w:r w:rsidRPr="000D4E0C">
        <w:rPr>
          <w:i/>
        </w:rPr>
        <w:t xml:space="preserve"> </w:t>
      </w:r>
      <w:proofErr w:type="gramStart"/>
      <w:r w:rsidRPr="000D4E0C">
        <w:rPr>
          <w:i/>
        </w:rPr>
        <w:t>of</w:t>
      </w:r>
      <w:proofErr w:type="gramEnd"/>
      <w:r w:rsidRPr="000D4E0C">
        <w:rPr>
          <w:i/>
        </w:rPr>
        <w:t xml:space="preserve"> Public Welfare, White Haven Center, </w:t>
      </w:r>
      <w:r w:rsidRPr="000D4E0C">
        <w:t>480 A.2d 382 (Pa. Cmwlth. 1984).</w:t>
      </w:r>
    </w:p>
    <w:p w:rsidR="00B37429" w:rsidRPr="000D4E0C" w:rsidRDefault="00B37429" w:rsidP="000B7CCA">
      <w:pPr>
        <w:spacing w:line="360" w:lineRule="auto"/>
      </w:pPr>
    </w:p>
    <w:p w:rsidR="00B37429" w:rsidRPr="000D4E0C" w:rsidRDefault="00B37429" w:rsidP="000B7CCA">
      <w:pPr>
        <w:spacing w:line="360" w:lineRule="auto"/>
      </w:pPr>
      <w:r w:rsidRPr="000D4E0C">
        <w:tab/>
      </w:r>
      <w:r w:rsidRPr="000D4E0C">
        <w:tab/>
        <w:t xml:space="preserve">The offense must be a violation of the Public Utility Code, the Commission's regulations, or an outstanding order of the Commission.  </w:t>
      </w:r>
      <w:proofErr w:type="gramStart"/>
      <w:r w:rsidRPr="000D4E0C">
        <w:t>66 Pa.C.S.</w:t>
      </w:r>
      <w:proofErr w:type="gramEnd"/>
      <w:r w:rsidRPr="000D4E0C">
        <w:t xml:space="preserve"> § 701.  </w:t>
      </w:r>
    </w:p>
    <w:p w:rsidR="00C45503" w:rsidRPr="000D4E0C" w:rsidRDefault="00C45503" w:rsidP="000B7CCA">
      <w:pPr>
        <w:spacing w:line="360" w:lineRule="auto"/>
      </w:pPr>
    </w:p>
    <w:p w:rsidR="00C45503" w:rsidRPr="000D4E0C" w:rsidRDefault="00C45503" w:rsidP="00C45503">
      <w:pPr>
        <w:spacing w:line="360" w:lineRule="auto"/>
      </w:pPr>
      <w:r w:rsidRPr="000D4E0C">
        <w:tab/>
      </w:r>
      <w:r w:rsidRPr="000D4E0C">
        <w:tab/>
        <w:t>Complainants established t</w:t>
      </w:r>
      <w:r w:rsidR="009A730E" w:rsidRPr="000D4E0C">
        <w:t>hat they have been planting the subject</w:t>
      </w:r>
      <w:r w:rsidRPr="000D4E0C">
        <w:t xml:space="preserve"> trees on the edge of the right-of-way for about 15 years, with the trees now measuring between 16 feet for the new trees to around 30 feet in height for the older trees.  </w:t>
      </w:r>
      <w:proofErr w:type="gramStart"/>
      <w:r w:rsidRPr="000D4E0C">
        <w:t>Tr. 8.</w:t>
      </w:r>
      <w:proofErr w:type="gramEnd"/>
      <w:r w:rsidRPr="000D4E0C">
        <w:t xml:space="preserve">  </w:t>
      </w:r>
      <w:r w:rsidR="005D687C" w:rsidRPr="000D4E0C">
        <w:t xml:space="preserve">PPL had come onto </w:t>
      </w:r>
      <w:r w:rsidR="0023340D">
        <w:t>their</w:t>
      </w:r>
      <w:r w:rsidR="005D687C" w:rsidRPr="000D4E0C">
        <w:t xml:space="preserve"> property to trim other trees during this time and did not attempt to trim these pear trees until a year ago.  </w:t>
      </w:r>
      <w:proofErr w:type="gramStart"/>
      <w:r w:rsidR="005D687C" w:rsidRPr="000D4E0C">
        <w:t>Tr. 18.</w:t>
      </w:r>
      <w:proofErr w:type="gramEnd"/>
      <w:r w:rsidR="005D687C" w:rsidRPr="000D4E0C">
        <w:t xml:space="preserve">  Complainants argue that the trees are decorative, they do not grow to a threatening height,</w:t>
      </w:r>
      <w:r w:rsidR="004A42F7" w:rsidRPr="000D4E0C">
        <w:t xml:space="preserve"> they are not located under the conductor, which is located at approximately 80 feet above the ground,</w:t>
      </w:r>
      <w:r w:rsidR="005D687C" w:rsidRPr="000D4E0C">
        <w:t xml:space="preserve"> and they would pay a contractor approved by PPL to maintain the height on them rather than lose them now.  </w:t>
      </w:r>
    </w:p>
    <w:p w:rsidR="005D687C" w:rsidRPr="000D4E0C" w:rsidRDefault="005D687C" w:rsidP="00C45503">
      <w:pPr>
        <w:spacing w:line="360" w:lineRule="auto"/>
      </w:pPr>
    </w:p>
    <w:p w:rsidR="00B33408" w:rsidRPr="000D4E0C" w:rsidRDefault="00B33408" w:rsidP="00B33408">
      <w:pPr>
        <w:spacing w:line="360" w:lineRule="auto"/>
      </w:pPr>
      <w:r w:rsidRPr="000D4E0C">
        <w:tab/>
      </w:r>
      <w:r w:rsidRPr="000D4E0C">
        <w:tab/>
        <w:t>Therefore, the Complainants have established that they have been planting a line of the same trees for fifteen years, and if the utility has been true to its maintenance plan, this is at least the third time that the Company has been in the area to perform vegetation management since the tree line began to appear.  PPL did not warn the Complainants that the trees were not in compliance with it</w:t>
      </w:r>
      <w:r w:rsidR="00F3221E">
        <w:t>s</w:t>
      </w:r>
      <w:r w:rsidRPr="000D4E0C">
        <w:t xml:space="preserve"> vegetation management plan before this time because the trees were not in violation of the plan until the present plan was implemented in </w:t>
      </w:r>
      <w:r w:rsidR="004A42F7" w:rsidRPr="000D4E0C">
        <w:t>October of 2013</w:t>
      </w:r>
      <w:r w:rsidRPr="000D4E0C">
        <w:t xml:space="preserve">.  The trees, some of which have been in place for 15 years without posing a threat, are suddenly non-compliant with a new, more stringent program that does not recognize them as "compatible."  </w:t>
      </w:r>
    </w:p>
    <w:p w:rsidR="00B33408" w:rsidRPr="000D4E0C" w:rsidRDefault="00B33408" w:rsidP="00B33408">
      <w:pPr>
        <w:spacing w:line="360" w:lineRule="auto"/>
      </w:pPr>
    </w:p>
    <w:p w:rsidR="00B33408" w:rsidRPr="000D4E0C" w:rsidRDefault="00B33408" w:rsidP="00B33408">
      <w:pPr>
        <w:spacing w:line="360" w:lineRule="auto"/>
      </w:pPr>
      <w:r w:rsidRPr="000D4E0C">
        <w:tab/>
      </w:r>
      <w:r w:rsidRPr="000D4E0C">
        <w:tab/>
        <w:t xml:space="preserve">Complainants have established a prima facie case that the application of the new methodology in this instance is unreasonable.  </w:t>
      </w:r>
    </w:p>
    <w:p w:rsidR="00B33408" w:rsidRPr="000D4E0C" w:rsidRDefault="00B33408" w:rsidP="00B33408">
      <w:pPr>
        <w:spacing w:line="360" w:lineRule="auto"/>
      </w:pPr>
    </w:p>
    <w:p w:rsidR="00B33408" w:rsidRPr="000D4E0C" w:rsidRDefault="00B33408" w:rsidP="00B33408">
      <w:pPr>
        <w:spacing w:line="360" w:lineRule="auto"/>
      </w:pPr>
      <w:r w:rsidRPr="000D4E0C">
        <w:tab/>
      </w:r>
      <w:r w:rsidRPr="000D4E0C">
        <w:tab/>
        <w:t xml:space="preserve">Upon the presentation by the Complainant of evidence sufficient to initially satisfy the burden of proof, which is the case here, the burden of going forward with the evidence, sometimes called the burden of persuasion,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Pr="000D4E0C">
        <w:rPr>
          <w:iCs/>
        </w:rPr>
        <w:t xml:space="preserve"> </w:t>
      </w:r>
      <w:hyperlink r:id="rId11" w:history="1">
        <w:proofErr w:type="gramStart"/>
        <w:r w:rsidRPr="000D4E0C">
          <w:rPr>
            <w:rStyle w:val="Hyperlink"/>
            <w:rFonts w:eastAsiaTheme="majorEastAsia"/>
            <w:i/>
            <w:iCs/>
            <w:color w:val="auto"/>
            <w:u w:val="none"/>
          </w:rPr>
          <w:t>Burleson v. Pa. Pub.</w:t>
        </w:r>
        <w:proofErr w:type="gramEnd"/>
        <w:r w:rsidRPr="000D4E0C">
          <w:rPr>
            <w:rStyle w:val="Hyperlink"/>
            <w:rFonts w:eastAsiaTheme="majorEastAsia"/>
            <w:i/>
            <w:iCs/>
            <w:color w:val="auto"/>
            <w:u w:val="none"/>
          </w:rPr>
          <w:t xml:space="preserve"> Util. Comm'n</w:t>
        </w:r>
        <w:r w:rsidRPr="000D4E0C">
          <w:rPr>
            <w:rStyle w:val="Hyperlink"/>
            <w:rFonts w:eastAsiaTheme="majorEastAsia"/>
            <w:iCs/>
            <w:color w:val="auto"/>
            <w:u w:val="none"/>
          </w:rPr>
          <w:t xml:space="preserve">, 443 A.2d 1373 (Pa. Cmwlth. 1982), </w:t>
        </w:r>
        <w:r w:rsidRPr="000D4E0C">
          <w:rPr>
            <w:rStyle w:val="Hyperlink"/>
            <w:rFonts w:eastAsiaTheme="majorEastAsia"/>
            <w:i/>
            <w:iCs/>
            <w:color w:val="auto"/>
            <w:u w:val="none"/>
          </w:rPr>
          <w:t>aff’d</w:t>
        </w:r>
        <w:r w:rsidRPr="000D4E0C">
          <w:rPr>
            <w:rStyle w:val="Hyperlink"/>
            <w:rFonts w:eastAsiaTheme="majorEastAsia"/>
            <w:iCs/>
            <w:color w:val="auto"/>
            <w:u w:val="none"/>
          </w:rPr>
          <w:t>, 501 Pa. 433, 461 A.2d 1234 (1983).</w:t>
        </w:r>
      </w:hyperlink>
      <w:r w:rsidRPr="000D4E0C">
        <w:rPr>
          <w:rFonts w:eastAsiaTheme="majorEastAsia"/>
          <w:iCs/>
        </w:rPr>
        <w:t xml:space="preserve">  </w:t>
      </w:r>
      <w:r w:rsidRPr="000D4E0C">
        <w:t xml:space="preserve">While the burden of persuasion may </w:t>
      </w:r>
      <w:r w:rsidRPr="000D4E0C">
        <w:rPr>
          <w:rFonts w:eastAsiaTheme="majorEastAsia"/>
        </w:rPr>
        <w:t>shift</w:t>
      </w:r>
      <w:r w:rsidRPr="000D4E0C">
        <w:t xml:space="preserve"> back and forth during a proceeding, the </w:t>
      </w:r>
      <w:r w:rsidRPr="000D4E0C">
        <w:rPr>
          <w:rFonts w:eastAsiaTheme="majorEastAsia"/>
        </w:rPr>
        <w:t>burden of proof</w:t>
      </w:r>
      <w:r w:rsidRPr="000D4E0C">
        <w:t xml:space="preserve"> never </w:t>
      </w:r>
      <w:r w:rsidRPr="000D4E0C">
        <w:rPr>
          <w:rFonts w:eastAsiaTheme="majorEastAsia"/>
        </w:rPr>
        <w:t>shifts.  The burden of proof</w:t>
      </w:r>
      <w:r w:rsidRPr="000D4E0C">
        <w:t xml:space="preserve"> always remains on the party seeking affirmative relief from the Commission.  </w:t>
      </w:r>
      <w:proofErr w:type="gramStart"/>
      <w:r w:rsidRPr="000D4E0C">
        <w:rPr>
          <w:i/>
        </w:rPr>
        <w:t>Milkie v. Pa. Pub.</w:t>
      </w:r>
      <w:proofErr w:type="gramEnd"/>
      <w:r w:rsidRPr="000D4E0C">
        <w:rPr>
          <w:i/>
        </w:rPr>
        <w:t xml:space="preserve"> </w:t>
      </w:r>
      <w:proofErr w:type="gramStart"/>
      <w:r w:rsidRPr="000D4E0C">
        <w:rPr>
          <w:i/>
        </w:rPr>
        <w:t xml:space="preserve">Util. Comm'n, </w:t>
      </w:r>
      <w:r w:rsidRPr="000D4E0C">
        <w:t>768 A.2d 1217 (Pa. Cmwlth. 2001).</w:t>
      </w:r>
      <w:proofErr w:type="gramEnd"/>
    </w:p>
    <w:p w:rsidR="00B33408" w:rsidRPr="000D4E0C" w:rsidRDefault="00B33408" w:rsidP="00B33408">
      <w:pPr>
        <w:spacing w:line="360" w:lineRule="auto"/>
      </w:pPr>
      <w:r w:rsidRPr="000D4E0C">
        <w:t> </w:t>
      </w:r>
    </w:p>
    <w:p w:rsidR="00274A5A" w:rsidRPr="000D4E0C" w:rsidRDefault="00274A5A" w:rsidP="00C9051E">
      <w:pPr>
        <w:spacing w:line="360" w:lineRule="auto"/>
      </w:pPr>
      <w:r w:rsidRPr="000D4E0C">
        <w:tab/>
      </w:r>
      <w:r w:rsidRPr="000D4E0C">
        <w:tab/>
        <w:t xml:space="preserve">The Company responds that (1) the Commission has no jurisdiction to grant the remedy sought; </w:t>
      </w:r>
      <w:r w:rsidR="00F3221E">
        <w:t xml:space="preserve">and </w:t>
      </w:r>
      <w:r w:rsidRPr="000D4E0C">
        <w:t>(2) its vegetation management policy applies</w:t>
      </w:r>
      <w:r w:rsidR="0023340D">
        <w:t>,</w:t>
      </w:r>
      <w:r w:rsidRPr="000D4E0C">
        <w:t xml:space="preserve"> and </w:t>
      </w:r>
      <w:r w:rsidR="0023340D">
        <w:t xml:space="preserve">it </w:t>
      </w:r>
      <w:r w:rsidRPr="000D4E0C">
        <w:t xml:space="preserve">requires the removal of the trees.  </w:t>
      </w:r>
    </w:p>
    <w:p w:rsidR="00274A5A" w:rsidRPr="000D4E0C" w:rsidRDefault="00274A5A" w:rsidP="00C9051E">
      <w:pPr>
        <w:spacing w:line="360" w:lineRule="auto"/>
      </w:pPr>
    </w:p>
    <w:p w:rsidR="005D687C" w:rsidRPr="000D4E0C" w:rsidRDefault="005D687C" w:rsidP="00C9051E">
      <w:pPr>
        <w:spacing w:line="360" w:lineRule="auto"/>
      </w:pPr>
      <w:r w:rsidRPr="000D4E0C">
        <w:tab/>
      </w:r>
      <w:r w:rsidRPr="000D4E0C">
        <w:tab/>
        <w:t>The Company argues that it has a valid right-of-way and therefore, it may remove everything on that right-of-way, consistent with its own vegetation management policies.  PPL does not believe that the Commission has jurisdiction to grant the remedy sought in this Complaint.  PPL is partly correct.</w:t>
      </w:r>
    </w:p>
    <w:p w:rsidR="00B37429" w:rsidRPr="000D4E0C" w:rsidRDefault="00B37429" w:rsidP="00DE7515">
      <w:pPr>
        <w:spacing w:line="360" w:lineRule="auto"/>
      </w:pPr>
      <w:r w:rsidRPr="000D4E0C">
        <w:t> </w:t>
      </w:r>
    </w:p>
    <w:p w:rsidR="00B37429" w:rsidRPr="000D4E0C" w:rsidRDefault="00B37429" w:rsidP="00B37429">
      <w:pPr>
        <w:ind w:left="1440" w:right="1440" w:firstLine="720"/>
      </w:pPr>
      <w:r w:rsidRPr="000D4E0C">
        <w:t xml:space="preserve">The Commission must act within and cannot exceed its jurisdiction.  </w:t>
      </w:r>
      <w:proofErr w:type="gramStart"/>
      <w:r w:rsidRPr="000D4E0C">
        <w:rPr>
          <w:i/>
        </w:rPr>
        <w:t>Behrend v. Bell Telephone Co.,</w:t>
      </w:r>
      <w:r w:rsidRPr="000D4E0C">
        <w:t xml:space="preserve"> 363 A.2d 1152 (Pa. Super. 1976).</w:t>
      </w:r>
      <w:proofErr w:type="gramEnd"/>
      <w:r w:rsidRPr="000D4E0C">
        <w:t xml:space="preserve">  It is well-settled that the Commission does not have the jurisdiction to determine the validity of a right-of-way.  </w:t>
      </w:r>
      <w:r w:rsidRPr="000D4E0C">
        <w:rPr>
          <w:i/>
        </w:rPr>
        <w:t xml:space="preserve">Stefanoski v. PA American Water Co., </w:t>
      </w:r>
      <w:r w:rsidRPr="000D4E0C">
        <w:t>Docket No. C-20078219 (Opinion and order entered September 22, 2008).</w:t>
      </w:r>
    </w:p>
    <w:p w:rsidR="00B37429" w:rsidRPr="000D4E0C" w:rsidRDefault="00B37429" w:rsidP="00B37429">
      <w:r w:rsidRPr="000D4E0C">
        <w:t> </w:t>
      </w:r>
    </w:p>
    <w:p w:rsidR="00B37429" w:rsidRPr="000D4E0C" w:rsidRDefault="00B37429" w:rsidP="00B37429">
      <w:pPr>
        <w:ind w:left="1440" w:right="1440" w:firstLine="720"/>
      </w:pPr>
      <w:r w:rsidRPr="000D4E0C">
        <w:t xml:space="preserve">In addition, property disputes belong in a court of general jurisdiction.  </w:t>
      </w:r>
      <w:r w:rsidRPr="000D4E0C">
        <w:rPr>
          <w:i/>
        </w:rPr>
        <w:t>See Anne E. Perrige v. Metropolitan Edison Co.,</w:t>
      </w:r>
      <w:r w:rsidRPr="000D4E0C">
        <w:t xml:space="preserve"> PUC Docket No. C-00004110 (Order entered July 11, 2003) (Commission had no jurisdiction to interpret the meaning of a written right-of-way agreement); </w:t>
      </w:r>
      <w:r w:rsidRPr="000D4E0C">
        <w:rPr>
          <w:i/>
        </w:rPr>
        <w:t>Lou Amati/Amati Service Station v. West Penn Power Co. and Bell Atlantic-Pennsylvania, Inc.</w:t>
      </w:r>
      <w:r w:rsidRPr="000D4E0C">
        <w:t xml:space="preserve">, PUC Docket No. C-00945842 (Order entered October 25, 1995) (real property issues such as trespass and whether utility facilities are located pursuant to valid easements are within the exclusive jurisdiction of the Courts of Common Pleas); </w:t>
      </w:r>
      <w:r w:rsidRPr="000D4E0C">
        <w:rPr>
          <w:i/>
        </w:rPr>
        <w:t>Tod and Lisa Shedlosky v. Pennsylvania Electric Company</w:t>
      </w:r>
      <w:r w:rsidR="00C9051E">
        <w:t>, PUC Docket No. C</w:t>
      </w:r>
      <w:r w:rsidR="00C9051E">
        <w:noBreakHyphen/>
      </w:r>
      <w:r w:rsidRPr="000D4E0C">
        <w:t>20066937 (Order entered May 28, 2008).</w:t>
      </w:r>
    </w:p>
    <w:p w:rsidR="00B37429" w:rsidRPr="000D4E0C" w:rsidRDefault="00B37429" w:rsidP="00B37429">
      <w:pPr>
        <w:ind w:left="1440" w:right="1440" w:firstLine="720"/>
      </w:pPr>
    </w:p>
    <w:p w:rsidR="00B37429" w:rsidRPr="000D4E0C" w:rsidRDefault="00B37429" w:rsidP="00402D6C">
      <w:pPr>
        <w:ind w:left="1440" w:right="1440"/>
      </w:pPr>
      <w:r w:rsidRPr="000D4E0C">
        <w:tab/>
        <w:t xml:space="preserve">However, the Commission has the responsibility to ensure that “[E]very public utility shall furnish and maintain adequate, efficient, safe and reasonable service and </w:t>
      </w:r>
      <w:r w:rsidR="003F202A">
        <w:t>facilities. . .”  66 Pa. C.S. § </w:t>
      </w:r>
      <w:r w:rsidRPr="000D4E0C">
        <w:t xml:space="preserve">1501, and the Commission is the proper forum to determine whether the utility has provided proper service to these Complainants, short of resolving a controversy which will determine property rights.  See </w:t>
      </w:r>
      <w:r w:rsidRPr="000D4E0C">
        <w:rPr>
          <w:i/>
        </w:rPr>
        <w:t xml:space="preserve">Burek v. Pennsylvania Electric Company, </w:t>
      </w:r>
      <w:r w:rsidRPr="000D4E0C">
        <w:t>Docket No. C-20028132 (Opinion and Order entered June 27, 2003</w:t>
      </w:r>
      <w:proofErr w:type="gramStart"/>
      <w:r w:rsidRPr="000D4E0C">
        <w:t>)(</w:t>
      </w:r>
      <w:proofErr w:type="gramEnd"/>
      <w:r w:rsidRPr="000D4E0C">
        <w:t>the Commission affirmed the analysis of Administrative Law Judge Larry Gesoff, whose Initial Decision contained a discussion regarding the utility's application of herbicides).</w:t>
      </w:r>
      <w:r w:rsidR="00402D6C">
        <w:t xml:space="preserve">  </w:t>
      </w:r>
      <w:r w:rsidRPr="000D4E0C">
        <w:t>Order of July 23, 2013.</w:t>
      </w:r>
    </w:p>
    <w:p w:rsidR="00B37429" w:rsidRPr="000D4E0C" w:rsidRDefault="00B37429" w:rsidP="0009737C">
      <w:pPr>
        <w:spacing w:line="360" w:lineRule="auto"/>
      </w:pPr>
      <w:r w:rsidRPr="000D4E0C">
        <w:t> </w:t>
      </w:r>
    </w:p>
    <w:p w:rsidR="005B1D63" w:rsidRDefault="005D687C" w:rsidP="005D687C">
      <w:pPr>
        <w:spacing w:line="360" w:lineRule="auto"/>
      </w:pPr>
      <w:r w:rsidRPr="000D4E0C">
        <w:tab/>
      </w:r>
      <w:r w:rsidRPr="000D4E0C">
        <w:tab/>
        <w:t xml:space="preserve">While the Commission will not interpret the content of a right-of-way contract once its existence has been established, </w:t>
      </w:r>
      <w:r w:rsidR="00C86932" w:rsidRPr="000D4E0C">
        <w:t xml:space="preserve">and it is not in question here, </w:t>
      </w:r>
      <w:r w:rsidRPr="000D4E0C">
        <w:t xml:space="preserve">the Commission can determine whether the policies of the Company are consistent with the statutory requirement that service offered by the Company is just, reasonable, adequate and safe.  </w:t>
      </w:r>
      <w:proofErr w:type="gramStart"/>
      <w:r w:rsidRPr="000D4E0C">
        <w:t>66 Pa.C.S.</w:t>
      </w:r>
      <w:proofErr w:type="gramEnd"/>
      <w:r w:rsidRPr="000D4E0C">
        <w:t xml:space="preserve"> § 1501.</w:t>
      </w:r>
      <w:r w:rsidR="00C86932" w:rsidRPr="000D4E0C">
        <w:t xml:space="preserve">  The Commonwealth Court has said:</w:t>
      </w:r>
    </w:p>
    <w:p w:rsidR="00C9051E" w:rsidRPr="000D4E0C" w:rsidRDefault="00C9051E" w:rsidP="00C9051E"/>
    <w:p w:rsidR="00B37429" w:rsidRDefault="005B1D63" w:rsidP="005B1D63">
      <w:pPr>
        <w:ind w:left="1440" w:right="1440"/>
        <w:rPr>
          <w:color w:val="333333"/>
        </w:rPr>
      </w:pPr>
      <w:r w:rsidRPr="000D4E0C">
        <w:tab/>
      </w:r>
      <w:r w:rsidR="00B37429" w:rsidRPr="000D4E0C">
        <w:rPr>
          <w:color w:val="333333"/>
        </w:rPr>
        <w:t xml:space="preserve">We agree with the positions advanced by PECO and the PUC.  First, we conclude </w:t>
      </w:r>
      <w:bookmarkStart w:id="1" w:name="clsccl11"/>
      <w:bookmarkEnd w:id="1"/>
      <w:r w:rsidR="00B37429" w:rsidRPr="000D4E0C">
        <w:rPr>
          <w:color w:val="333333"/>
        </w:rPr>
        <w:t>public utility service embraces vegetation management.  The PUC has full authority to enforce the provisions of the Public Utility Code.  W. Penn Power.</w:t>
      </w:r>
      <w:r w:rsidR="00B37429" w:rsidRPr="00C9051E">
        <w:rPr>
          <w:rStyle w:val="FootnoteReference"/>
          <w:color w:val="333333"/>
          <w:vertAlign w:val="superscript"/>
        </w:rPr>
        <w:footnoteReference w:id="2"/>
      </w:r>
      <w:r w:rsidR="00B37429" w:rsidRPr="00C9051E">
        <w:rPr>
          <w:color w:val="333333"/>
          <w:vertAlign w:val="superscript"/>
        </w:rPr>
        <w:t xml:space="preserve"> </w:t>
      </w:r>
      <w:r w:rsidR="00B37429" w:rsidRPr="000D4E0C">
        <w:rPr>
          <w:color w:val="333333"/>
        </w:rPr>
        <w:t xml:space="preserve"> </w:t>
      </w:r>
      <w:r w:rsidR="000B7CCA">
        <w:rPr>
          <w:color w:val="333333"/>
        </w:rPr>
        <w:t xml:space="preserve"> </w:t>
      </w:r>
      <w:r w:rsidR="00B37429" w:rsidRPr="000D4E0C">
        <w:rPr>
          <w:color w:val="333333"/>
        </w:rPr>
        <w:t xml:space="preserve">Certain acts, done while rendering utility service, fall within the ambit of the PUC's jurisdiction </w:t>
      </w:r>
      <w:r w:rsidR="00B37429" w:rsidRPr="000D4E0C">
        <w:t xml:space="preserve">under </w:t>
      </w:r>
      <w:hyperlink r:id="rId12" w:history="1">
        <w:r w:rsidR="00B37429" w:rsidRPr="000D4E0C">
          <w:rPr>
            <w:rStyle w:val="Hyperlink"/>
            <w:color w:val="auto"/>
            <w:u w:val="none"/>
          </w:rPr>
          <w:t>66 Pa.C.S. § 1501</w:t>
        </w:r>
      </w:hyperlink>
      <w:r w:rsidR="00B37429" w:rsidRPr="000D4E0C">
        <w:t xml:space="preserve"> over character of utility service.  See </w:t>
      </w:r>
      <w:hyperlink r:id="rId13" w:history="1">
        <w:r w:rsidR="00B37429" w:rsidRPr="000D4E0C">
          <w:rPr>
            <w:rStyle w:val="Hyperlink"/>
            <w:i/>
            <w:color w:val="auto"/>
            <w:u w:val="none"/>
          </w:rPr>
          <w:t xml:space="preserve">W. Penn Power, </w:t>
        </w:r>
        <w:proofErr w:type="gramStart"/>
        <w:r w:rsidR="00B37429" w:rsidRPr="000D4E0C">
          <w:rPr>
            <w:rStyle w:val="Hyperlink"/>
            <w:i/>
            <w:color w:val="auto"/>
            <w:u w:val="none"/>
          </w:rPr>
          <w:t>578 A.2d at 77</w:t>
        </w:r>
        <w:proofErr w:type="gramEnd"/>
      </w:hyperlink>
      <w:r w:rsidR="00B37429" w:rsidRPr="000D4E0C">
        <w:rPr>
          <w:i/>
        </w:rPr>
        <w:t>.</w:t>
      </w:r>
      <w:r w:rsidR="00B37429" w:rsidRPr="000D4E0C">
        <w:t xml:space="preserve">  In particular, vegetation management activities by an electric utility fall within the Public Utility Code's definition of service in </w:t>
      </w:r>
      <w:hyperlink r:id="rId14" w:history="1">
        <w:r w:rsidR="00B37429" w:rsidRPr="000D4E0C">
          <w:rPr>
            <w:rStyle w:val="Hyperlink"/>
            <w:color w:val="auto"/>
            <w:u w:val="none"/>
          </w:rPr>
          <w:t>66 Pa.C.S. § 102</w:t>
        </w:r>
      </w:hyperlink>
      <w:r w:rsidR="00B37429" w:rsidRPr="000D4E0C">
        <w:t xml:space="preserve">.  Id.  Utility service "is not confined to the distribution of electrical energy, but includes 'any and all acts' related to that function."  Id. (citing </w:t>
      </w:r>
      <w:hyperlink r:id="rId15" w:history="1">
        <w:r w:rsidR="00B37429" w:rsidRPr="000D4E0C">
          <w:rPr>
            <w:rStyle w:val="Hyperlink"/>
            <w:color w:val="auto"/>
            <w:u w:val="none"/>
          </w:rPr>
          <w:t>66 Pa. C.S. § 102</w:t>
        </w:r>
      </w:hyperlink>
      <w:r w:rsidR="00B37429" w:rsidRPr="000D4E0C">
        <w:t xml:space="preserve">).  See also </w:t>
      </w:r>
      <w:hyperlink r:id="rId16" w:history="1">
        <w:r w:rsidR="00B37429" w:rsidRPr="000D4E0C">
          <w:rPr>
            <w:rStyle w:val="Hyperlink"/>
            <w:color w:val="auto"/>
            <w:u w:val="none"/>
          </w:rPr>
          <w:t>Popowsky, 653 A.2d at 1389</w:t>
        </w:r>
      </w:hyperlink>
      <w:r w:rsidR="00B37429" w:rsidRPr="000B7CCA">
        <w:rPr>
          <w:rStyle w:val="FootnoteReference"/>
          <w:vertAlign w:val="superscript"/>
        </w:rPr>
        <w:footnoteReference w:id="3"/>
      </w:r>
      <w:r w:rsidR="003F202A">
        <w:rPr>
          <w:rStyle w:val="Hyperlink"/>
          <w:color w:val="auto"/>
          <w:u w:val="none"/>
        </w:rPr>
        <w:t xml:space="preserve"> </w:t>
      </w:r>
      <w:r w:rsidR="00B37429" w:rsidRPr="000D4E0C">
        <w:t>("utility's maintenance of vegetation is a regulated service even though fault, either on the part of the utility or the customer</w:t>
      </w:r>
      <w:r w:rsidR="00B37429" w:rsidRPr="000D4E0C">
        <w:rPr>
          <w:color w:val="333333"/>
        </w:rPr>
        <w:t>, has no relevance to the existence of vegetation maintenance as a service.")</w:t>
      </w:r>
    </w:p>
    <w:p w:rsidR="00C9051E" w:rsidRPr="000D4E0C" w:rsidRDefault="00C9051E" w:rsidP="005B1D63">
      <w:pPr>
        <w:ind w:left="1440" w:right="1440"/>
      </w:pPr>
    </w:p>
    <w:p w:rsidR="0009737C" w:rsidRDefault="00B37429" w:rsidP="0009737C">
      <w:pPr>
        <w:spacing w:before="240" w:after="240" w:line="360" w:lineRule="auto"/>
        <w:contextualSpacing/>
        <w:rPr>
          <w:rFonts w:eastAsia="Times New Roman"/>
          <w:color w:val="333333"/>
        </w:rPr>
        <w:sectPr w:rsidR="0009737C" w:rsidSect="0009737C">
          <w:pgSz w:w="12240" w:h="15840"/>
          <w:pgMar w:top="1296" w:right="1440" w:bottom="1296" w:left="1440" w:header="720" w:footer="720" w:gutter="0"/>
          <w:cols w:space="720"/>
          <w:titlePg/>
          <w:docGrid w:linePitch="360"/>
        </w:sectPr>
      </w:pPr>
      <w:r w:rsidRPr="000D4E0C">
        <w:rPr>
          <w:rFonts w:eastAsia="Times New Roman"/>
          <w:i/>
          <w:color w:val="333333"/>
        </w:rPr>
        <w:t>PECO Energy Company v. Township of Upper Dublin</w:t>
      </w:r>
      <w:r w:rsidRPr="000D4E0C">
        <w:rPr>
          <w:rFonts w:eastAsia="Times New Roman"/>
          <w:color w:val="333333"/>
        </w:rPr>
        <w:t xml:space="preserve">, </w:t>
      </w:r>
      <w:proofErr w:type="gramStart"/>
      <w:r w:rsidRPr="000D4E0C">
        <w:rPr>
          <w:rFonts w:eastAsia="Times New Roman"/>
          <w:color w:val="333333"/>
        </w:rPr>
        <w:t>922 A.2d 996</w:t>
      </w:r>
      <w:proofErr w:type="gramEnd"/>
      <w:r w:rsidRPr="000D4E0C">
        <w:rPr>
          <w:rFonts w:eastAsia="Times New Roman"/>
          <w:color w:val="333333"/>
        </w:rPr>
        <w:t xml:space="preserve">, 1005-1006 (Pa.Cmwlth. 2007), 2007 Pa. Commw. </w:t>
      </w:r>
      <w:proofErr w:type="gramStart"/>
      <w:r w:rsidRPr="000D4E0C">
        <w:rPr>
          <w:rFonts w:eastAsia="Times New Roman"/>
          <w:color w:val="333333"/>
        </w:rPr>
        <w:t>LEXIS 195.</w:t>
      </w:r>
      <w:proofErr w:type="gramEnd"/>
    </w:p>
    <w:p w:rsidR="009A730E" w:rsidRPr="000D4E0C" w:rsidRDefault="00B37429" w:rsidP="0009737C">
      <w:pPr>
        <w:spacing w:before="240" w:after="240" w:line="360" w:lineRule="auto"/>
        <w:contextualSpacing/>
        <w:rPr>
          <w:rFonts w:eastAsia="Times New Roman"/>
          <w:color w:val="333333"/>
        </w:rPr>
      </w:pPr>
      <w:r w:rsidRPr="000D4E0C">
        <w:rPr>
          <w:rFonts w:eastAsia="Times New Roman"/>
          <w:color w:val="333333"/>
        </w:rPr>
        <w:tab/>
      </w:r>
      <w:r w:rsidRPr="000D4E0C">
        <w:rPr>
          <w:rFonts w:eastAsia="Times New Roman"/>
          <w:color w:val="333333"/>
        </w:rPr>
        <w:tab/>
        <w:t xml:space="preserve">If further evidence </w:t>
      </w:r>
      <w:r w:rsidR="00B33408" w:rsidRPr="000D4E0C">
        <w:rPr>
          <w:rFonts w:eastAsia="Times New Roman"/>
          <w:color w:val="333333"/>
        </w:rPr>
        <w:t xml:space="preserve">of Commission jurisdiction </w:t>
      </w:r>
      <w:r w:rsidRPr="000D4E0C">
        <w:rPr>
          <w:rFonts w:eastAsia="Times New Roman"/>
          <w:color w:val="333333"/>
        </w:rPr>
        <w:t xml:space="preserve">is needed, the Commission's regulations setting electric facility standards and requirements provide additional support and are discussed in the next section.  </w:t>
      </w:r>
      <w:proofErr w:type="gramStart"/>
      <w:r w:rsidRPr="000D4E0C">
        <w:rPr>
          <w:rFonts w:eastAsia="Times New Roman"/>
          <w:color w:val="333333"/>
        </w:rPr>
        <w:t>52 Pa.Code § 57.198.</w:t>
      </w:r>
      <w:proofErr w:type="gramEnd"/>
      <w:r w:rsidRPr="000D4E0C">
        <w:rPr>
          <w:rFonts w:eastAsia="Times New Roman"/>
          <w:color w:val="333333"/>
        </w:rPr>
        <w:t xml:space="preserve">  It is clear that </w:t>
      </w:r>
      <w:proofErr w:type="gramStart"/>
      <w:r w:rsidR="00FA5118" w:rsidRPr="000D4E0C">
        <w:rPr>
          <w:rFonts w:eastAsia="Times New Roman"/>
          <w:color w:val="333333"/>
        </w:rPr>
        <w:t xml:space="preserve">plans regarding </w:t>
      </w:r>
      <w:r w:rsidRPr="000D4E0C">
        <w:rPr>
          <w:rFonts w:eastAsia="Times New Roman"/>
          <w:color w:val="333333"/>
        </w:rPr>
        <w:t>vegetation maintenance of rights-of-way falls</w:t>
      </w:r>
      <w:proofErr w:type="gramEnd"/>
      <w:r w:rsidRPr="000D4E0C">
        <w:rPr>
          <w:rFonts w:eastAsia="Times New Roman"/>
          <w:color w:val="333333"/>
        </w:rPr>
        <w:t xml:space="preserve"> within the Commission's jurisdiction.</w:t>
      </w:r>
    </w:p>
    <w:p w:rsidR="00B37429" w:rsidRPr="000D4E0C" w:rsidRDefault="00B37429" w:rsidP="0009737C">
      <w:pPr>
        <w:spacing w:line="360" w:lineRule="auto"/>
      </w:pPr>
      <w:r w:rsidRPr="000D4E0C">
        <w:rPr>
          <w:rFonts w:eastAsia="Times New Roman"/>
          <w:color w:val="333333"/>
        </w:rPr>
        <w:t> </w:t>
      </w:r>
    </w:p>
    <w:p w:rsidR="00274A5A" w:rsidRPr="000D4E0C" w:rsidRDefault="000A6240" w:rsidP="0009737C">
      <w:pPr>
        <w:spacing w:line="360" w:lineRule="auto"/>
        <w:rPr>
          <w:color w:val="333333"/>
        </w:rPr>
      </w:pPr>
      <w:r w:rsidRPr="000D4E0C">
        <w:rPr>
          <w:b/>
        </w:rPr>
        <w:tab/>
      </w:r>
      <w:r w:rsidRPr="000D4E0C">
        <w:rPr>
          <w:b/>
        </w:rPr>
        <w:tab/>
      </w:r>
      <w:r w:rsidRPr="000D4E0C">
        <w:t>PPL's adoption of stringent vegetation management plans is rooted in the history of another company's errors</w:t>
      </w:r>
      <w:r w:rsidR="0039359E" w:rsidRPr="000D4E0C">
        <w:t xml:space="preserve"> where, f</w:t>
      </w:r>
      <w:r w:rsidR="00B37429" w:rsidRPr="000D4E0C">
        <w:t>ollowing a widespread power outage in 2003, the attention of the Federal government focused sharply on the behavior of the operators of transmission lines</w:t>
      </w:r>
      <w:r w:rsidR="00274A5A" w:rsidRPr="000D4E0C">
        <w:t xml:space="preserve">.  </w:t>
      </w:r>
      <w:r w:rsidR="00B37429" w:rsidRPr="000D4E0C">
        <w:rPr>
          <w:color w:val="333333"/>
        </w:rPr>
        <w:t xml:space="preserve">Congress </w:t>
      </w:r>
      <w:r w:rsidR="00274A5A" w:rsidRPr="000D4E0C">
        <w:rPr>
          <w:color w:val="333333"/>
        </w:rPr>
        <w:t>passed</w:t>
      </w:r>
      <w:r w:rsidR="00B37429" w:rsidRPr="000D4E0C">
        <w:rPr>
          <w:color w:val="333333"/>
        </w:rPr>
        <w:t xml:space="preserve"> the Energy Policy Act of 2005 wi</w:t>
      </w:r>
      <w:r w:rsidR="00274A5A" w:rsidRPr="000D4E0C">
        <w:rPr>
          <w:color w:val="333333"/>
        </w:rPr>
        <w:t xml:space="preserve">th the authorization for a new </w:t>
      </w:r>
      <w:r w:rsidR="00B37429" w:rsidRPr="000D4E0C">
        <w:rPr>
          <w:color w:val="333333"/>
        </w:rPr>
        <w:t xml:space="preserve">electric reliability organization responsible for creating and enforcing mandatory reliability standards. </w:t>
      </w:r>
      <w:bookmarkStart w:id="2" w:name="r147"/>
      <w:bookmarkEnd w:id="2"/>
      <w:r w:rsidR="00B37429" w:rsidRPr="000D4E0C">
        <w:rPr>
          <w:color w:val="333333"/>
        </w:rPr>
        <w:t xml:space="preserve"> </w:t>
      </w:r>
      <w:r w:rsidR="00274A5A" w:rsidRPr="000D4E0C">
        <w:rPr>
          <w:color w:val="333333"/>
        </w:rPr>
        <w:t>T</w:t>
      </w:r>
      <w:r w:rsidR="00B37429" w:rsidRPr="000D4E0C">
        <w:rPr>
          <w:color w:val="333333"/>
        </w:rPr>
        <w:t xml:space="preserve">he North American Electric Reliability Corporation (NERC) assumed watchdog responsibility under the Federal Energy Regulatory Commission (FERC) for federal enforcement of reliability standards, which include mandatory vegetation clearance standards.  The clearance standards, known collectively as FAC-003-1, apply to transmission lines rated at 200kV and higher, as well as any lower-voltage lines designated as critical to reliability by regional reliability organizations that report to NERC. FAC-003-1 also sets minimum clearance distances as "no less than those set forth in the Institute of Electrical and Electronics Engineers (IEEE) Standard 516-2003 ... and as specified in its Section 4.2.2.3, Minimum Air Insulation Distances without Tools in the Air Gap."  </w:t>
      </w:r>
    </w:p>
    <w:p w:rsidR="00D23ED1" w:rsidRPr="000D4E0C" w:rsidRDefault="00D23ED1" w:rsidP="00274A5A">
      <w:pPr>
        <w:spacing w:line="360" w:lineRule="auto"/>
        <w:rPr>
          <w:color w:val="333333"/>
        </w:rPr>
      </w:pPr>
    </w:p>
    <w:p w:rsidR="00D23ED1" w:rsidRPr="000D4E0C" w:rsidRDefault="00D23ED1" w:rsidP="00274A5A">
      <w:pPr>
        <w:spacing w:line="360" w:lineRule="auto"/>
        <w:rPr>
          <w:color w:val="333333"/>
        </w:rPr>
      </w:pPr>
      <w:r w:rsidRPr="000D4E0C">
        <w:rPr>
          <w:color w:val="333333"/>
        </w:rPr>
        <w:tab/>
      </w:r>
      <w:r w:rsidRPr="000D4E0C">
        <w:rPr>
          <w:color w:val="333333"/>
        </w:rPr>
        <w:tab/>
        <w:t>There is no doubt that the drastic constrictions required under FAC003 can be justified, as they apply only to transmission lines rated 200 kV and above, or those lower-voltage lines that are critical to the system.  NERC itself understands the distinction:</w:t>
      </w:r>
    </w:p>
    <w:p w:rsidR="00D23ED1" w:rsidRPr="000D4E0C" w:rsidRDefault="00D23ED1" w:rsidP="003F202A">
      <w:pPr>
        <w:rPr>
          <w:color w:val="333333"/>
        </w:rPr>
      </w:pPr>
    </w:p>
    <w:p w:rsidR="00D23ED1" w:rsidRDefault="00D23ED1" w:rsidP="00D23ED1">
      <w:pPr>
        <w:ind w:left="1440" w:right="1440"/>
        <w:rPr>
          <w:color w:val="333333"/>
        </w:rPr>
      </w:pPr>
      <w:r w:rsidRPr="000D4E0C">
        <w:rPr>
          <w:color w:val="333333"/>
        </w:rPr>
        <w:t>This standard focuses on transmission lines to prevent those vegetation related outages that could lead to Cascading.  It is not intended to prevent customer outages due to tree contact with lower voltage distribution system lines.  For example, localized customer service might be disrupted if vegetation were to make contact with a 69kV transmission line supplying power to a 12kV distribution station.  However, this standard is not written to address such isolated situations which have little impact on the overall electric transmission system.</w:t>
      </w:r>
    </w:p>
    <w:p w:rsidR="003F202A" w:rsidRPr="000D4E0C" w:rsidRDefault="003F202A" w:rsidP="00D23ED1">
      <w:pPr>
        <w:ind w:left="1440" w:right="1440"/>
        <w:rPr>
          <w:color w:val="333333"/>
        </w:rPr>
      </w:pPr>
    </w:p>
    <w:p w:rsidR="000520FB" w:rsidRDefault="00D23ED1" w:rsidP="00274A5A">
      <w:pPr>
        <w:spacing w:line="360" w:lineRule="auto"/>
        <w:rPr>
          <w:color w:val="333333"/>
        </w:rPr>
        <w:sectPr w:rsidR="000520FB" w:rsidSect="00B13D44">
          <w:pgSz w:w="12240" w:h="15840"/>
          <w:pgMar w:top="1440" w:right="1440" w:bottom="1440" w:left="1440" w:header="720" w:footer="720" w:gutter="0"/>
          <w:cols w:space="720"/>
          <w:titlePg/>
          <w:docGrid w:linePitch="360"/>
        </w:sectPr>
      </w:pPr>
      <w:r w:rsidRPr="000D4E0C">
        <w:rPr>
          <w:color w:val="333333"/>
        </w:rPr>
        <w:t xml:space="preserve">NERC FAC003 at page 7.  </w:t>
      </w:r>
    </w:p>
    <w:p w:rsidR="009F2B59" w:rsidRDefault="00D23ED1" w:rsidP="009F2B59">
      <w:pPr>
        <w:spacing w:line="360" w:lineRule="auto"/>
      </w:pPr>
      <w:r w:rsidRPr="000D4E0C">
        <w:tab/>
      </w:r>
      <w:r w:rsidRPr="000D4E0C">
        <w:tab/>
        <w:t xml:space="preserve">Nonetheless, PPL decided to apply the </w:t>
      </w:r>
      <w:r w:rsidR="00D83BDE" w:rsidRPr="000D4E0C">
        <w:t>zero tolerance requirements</w:t>
      </w:r>
      <w:r w:rsidRPr="000D4E0C">
        <w:t xml:space="preserve"> of NERC FAC003 to its lower voltage transmission lines after many years of </w:t>
      </w:r>
      <w:r w:rsidR="0011194A" w:rsidRPr="000D4E0C">
        <w:t xml:space="preserve">more lenient management.  </w:t>
      </w:r>
      <w:r w:rsidR="009F2B59" w:rsidRPr="000D4E0C">
        <w:t xml:space="preserve">PPL explained that the origin and application of its vegetation management policies is rooted in the success of the plan for higher voltage lines.  PPL Exhibit 3 is the Specification for Transmission Vegetation Management, which was implemented pursuant to a NERC requirement for </w:t>
      </w:r>
      <w:r w:rsidR="009F2B59" w:rsidRPr="000D4E0C">
        <w:rPr>
          <w:i/>
        </w:rPr>
        <w:t xml:space="preserve">those transmission lines operating at 200 kV and above, </w:t>
      </w:r>
      <w:r w:rsidR="009F2B59" w:rsidRPr="000D4E0C">
        <w:t xml:space="preserve">and those otherwise critical to the operation of the bulk transmission system.  </w:t>
      </w:r>
      <w:r w:rsidR="00FA5118" w:rsidRPr="000D4E0C">
        <w:t>To be clear, i</w:t>
      </w:r>
      <w:r w:rsidR="009F2B59" w:rsidRPr="000D4E0C">
        <w:t xml:space="preserve">f this case had as its subject a transmission line of that voltage, there would be no question that the utility should comply with the requirements and remove the offending pear trees.  However, this is a 69 kV line that is serving a single customer, thus not crucial to the bulk system and not carrying the threshold voltage.  PPL has decided to extend this methodology to its lower voltage lines </w:t>
      </w:r>
      <w:r w:rsidR="00D83BDE" w:rsidRPr="000D4E0C">
        <w:t xml:space="preserve">and explains why </w:t>
      </w:r>
      <w:r w:rsidR="009F2B59" w:rsidRPr="000D4E0C">
        <w:t>with the testimony of its witness:</w:t>
      </w:r>
    </w:p>
    <w:p w:rsidR="003F202A" w:rsidRPr="000D4E0C" w:rsidRDefault="003F202A" w:rsidP="009F2B59">
      <w:pPr>
        <w:spacing w:line="360" w:lineRule="auto"/>
      </w:pPr>
    </w:p>
    <w:p w:rsidR="009F2B59" w:rsidRPr="000D4E0C" w:rsidRDefault="009F2B59" w:rsidP="009F2B59">
      <w:pPr>
        <w:ind w:left="1440" w:right="1440"/>
      </w:pPr>
      <w:r w:rsidRPr="000D4E0C">
        <w:t>Q:  Can you explain how the wire zone/border zone policies were adopted for the 69 kV and above?</w:t>
      </w:r>
    </w:p>
    <w:p w:rsidR="00D83BDE" w:rsidRPr="000D4E0C" w:rsidRDefault="00D83BDE" w:rsidP="009F2B59">
      <w:pPr>
        <w:ind w:left="1440" w:right="1440"/>
      </w:pPr>
    </w:p>
    <w:p w:rsidR="009F2B59" w:rsidRPr="000D4E0C" w:rsidRDefault="009F2B59" w:rsidP="009F2B59">
      <w:pPr>
        <w:ind w:left="1440" w:right="1440"/>
      </w:pPr>
      <w:r w:rsidRPr="000D4E0C">
        <w:t xml:space="preserve">A:  The vegetation management policies and procedures for all transmission lines operating at 69 kV are based upon lessons that PPL learned from Hurricane Irene, the 2011 snowstorm and Superstorm Sandy. </w:t>
      </w:r>
    </w:p>
    <w:p w:rsidR="00D83BDE" w:rsidRPr="000D4E0C" w:rsidRDefault="00D83BDE" w:rsidP="009F2B59">
      <w:pPr>
        <w:ind w:left="1440" w:right="1440"/>
      </w:pPr>
    </w:p>
    <w:p w:rsidR="009F2B59" w:rsidRPr="000D4E0C" w:rsidRDefault="00FA5118" w:rsidP="009F2B59">
      <w:pPr>
        <w:ind w:left="1440" w:right="1440"/>
      </w:pPr>
      <w:r w:rsidRPr="000D4E0C">
        <w:t>Q:  C</w:t>
      </w:r>
      <w:r w:rsidR="009F2B59" w:rsidRPr="000D4E0C">
        <w:t>an you please elaborate on that, please explain what you mean by the lessons learned from those storms?</w:t>
      </w:r>
    </w:p>
    <w:p w:rsidR="00D83BDE" w:rsidRPr="000D4E0C" w:rsidRDefault="00D83BDE" w:rsidP="009F2B59">
      <w:pPr>
        <w:ind w:left="1440" w:right="1440"/>
      </w:pPr>
    </w:p>
    <w:p w:rsidR="009F2B59" w:rsidRPr="000D4E0C" w:rsidRDefault="009F2B59" w:rsidP="009F2B59">
      <w:pPr>
        <w:ind w:left="1440" w:right="1440"/>
      </w:pPr>
      <w:r w:rsidRPr="000D4E0C">
        <w:t>A:  In August of 2011, PPL had approximately 430,000 customers that experienced power outages that were caused by Hurricane Irene.</w:t>
      </w:r>
    </w:p>
    <w:p w:rsidR="009F2B59" w:rsidRPr="000D4E0C" w:rsidRDefault="009F2B59" w:rsidP="009F2B59">
      <w:pPr>
        <w:ind w:left="1440" w:right="1440"/>
      </w:pPr>
      <w:r w:rsidRPr="000D4E0C">
        <w:tab/>
        <w:t>And then during the 2011 Halloween snowstorm, there were approximately 390,000 customers of PPL that experienced power outages.</w:t>
      </w:r>
    </w:p>
    <w:p w:rsidR="009F2B59" w:rsidRPr="000D4E0C" w:rsidRDefault="009F2B59" w:rsidP="009F2B59">
      <w:pPr>
        <w:ind w:left="1440" w:right="1440"/>
      </w:pPr>
      <w:r w:rsidRPr="000D4E0C">
        <w:tab/>
        <w:t>And then in October 2012, PPL had approximately 524,000 customers that experienced power outages caused by Superstorm Sandy.</w:t>
      </w:r>
    </w:p>
    <w:p w:rsidR="009F2B59" w:rsidRPr="000D4E0C" w:rsidRDefault="009F2B59" w:rsidP="009F2B59">
      <w:pPr>
        <w:ind w:left="1440" w:right="1440"/>
      </w:pPr>
      <w:r w:rsidRPr="000D4E0C">
        <w:tab/>
        <w:t>The power outages associated with these storms were the result of vegetation coming into contact with the conductors.  And this was on lines that were at 138 kV or less.</w:t>
      </w:r>
    </w:p>
    <w:p w:rsidR="009F2B59" w:rsidRPr="000D4E0C" w:rsidRDefault="009F2B59" w:rsidP="009F2B59">
      <w:pPr>
        <w:ind w:left="1440" w:right="1440"/>
      </w:pPr>
      <w:r w:rsidRPr="000D4E0C">
        <w:tab/>
        <w:t>And at the time of these storm events, PPL’s 69 kV and their 138 lines in their right-of-ways were not cleared to the extent required by PPL’s NERC-approved plan.</w:t>
      </w:r>
    </w:p>
    <w:p w:rsidR="009F2B59" w:rsidRPr="000D4E0C" w:rsidRDefault="009F2B59" w:rsidP="009F2B59">
      <w:pPr>
        <w:ind w:left="1440" w:right="1440"/>
      </w:pPr>
      <w:r w:rsidRPr="000D4E0C">
        <w:tab/>
        <w:t>The plan only a</w:t>
      </w:r>
      <w:r w:rsidR="00F3221E">
        <w:t>pplied</w:t>
      </w:r>
      <w:r w:rsidRPr="000D4E0C">
        <w:t xml:space="preserve"> to transmission lines operating at 230 kV or </w:t>
      </w:r>
      <w:proofErr w:type="gramStart"/>
      <w:r w:rsidRPr="000D4E0C">
        <w:t>higher,</w:t>
      </w:r>
      <w:proofErr w:type="gramEnd"/>
      <w:r w:rsidRPr="000D4E0C">
        <w:t xml:space="preserve"> and other PJM essential transmission lines.  </w:t>
      </w:r>
    </w:p>
    <w:p w:rsidR="009F2B59" w:rsidRPr="000D4E0C" w:rsidRDefault="009F2B59" w:rsidP="009F2B59">
      <w:pPr>
        <w:ind w:left="1440" w:right="1440"/>
      </w:pPr>
      <w:r w:rsidRPr="000D4E0C">
        <w:tab/>
        <w:t>So, unlike the conductors operating at 138 kV or less, PPL’s transmission system did not experience a single outage related to vegetation during the storm even on their higher voltage 230 kV and above lines.</w:t>
      </w:r>
    </w:p>
    <w:p w:rsidR="009F2B59" w:rsidRPr="000D4E0C" w:rsidRDefault="009F2B59" w:rsidP="009F2B59">
      <w:pPr>
        <w:ind w:left="1440" w:right="1440"/>
      </w:pPr>
      <w:r w:rsidRPr="000D4E0C">
        <w:tab/>
        <w:t>And this was due that the wire zone/border zone method of vegetation clearing had been done to all the 230 kV or higher transmission line right-of-ways prior to the storm.</w:t>
      </w:r>
    </w:p>
    <w:p w:rsidR="009F2B59" w:rsidRPr="000D4E0C" w:rsidRDefault="009F2B59" w:rsidP="009F2B59">
      <w:pPr>
        <w:ind w:left="1440" w:right="1440"/>
      </w:pPr>
      <w:r w:rsidRPr="000D4E0C">
        <w:tab/>
        <w:t>So, based on having no outages on those bulk transmission lines from the storms, PPL determined it was necessary to take a more active vegetation management approach with respect to 69 kV and 138 kV systems.</w:t>
      </w:r>
    </w:p>
    <w:p w:rsidR="009F2B59" w:rsidRDefault="009F2B59" w:rsidP="003F202A">
      <w:pPr>
        <w:ind w:left="1440" w:right="1440"/>
      </w:pPr>
      <w:r w:rsidRPr="000D4E0C">
        <w:tab/>
        <w:t>In 2013, PPL adopted the wire zone/border zone vegetation management method for all transmission lines operating at 69 kV or above.</w:t>
      </w:r>
    </w:p>
    <w:p w:rsidR="003F202A" w:rsidRPr="000D4E0C" w:rsidRDefault="003F202A" w:rsidP="003F202A">
      <w:pPr>
        <w:ind w:left="1440" w:right="1440"/>
      </w:pPr>
    </w:p>
    <w:p w:rsidR="009F2B59" w:rsidRPr="000D4E0C" w:rsidRDefault="009F2B59" w:rsidP="003F202A">
      <w:r w:rsidRPr="000D4E0C">
        <w:t xml:space="preserve">Tr. 35-37. </w:t>
      </w:r>
    </w:p>
    <w:p w:rsidR="00B37429" w:rsidRPr="000D4E0C" w:rsidRDefault="00B37429" w:rsidP="003F202A">
      <w:pPr>
        <w:spacing w:line="360" w:lineRule="auto"/>
      </w:pPr>
    </w:p>
    <w:p w:rsidR="00B37429" w:rsidRPr="000D4E0C" w:rsidRDefault="00B37429" w:rsidP="003F202A">
      <w:pPr>
        <w:spacing w:line="360" w:lineRule="auto"/>
      </w:pPr>
      <w:r w:rsidRPr="000D4E0C">
        <w:tab/>
      </w:r>
      <w:r w:rsidRPr="000D4E0C">
        <w:tab/>
      </w:r>
      <w:r w:rsidR="00FA5118" w:rsidRPr="000D4E0C">
        <w:t xml:space="preserve">PPL's diligence and success in maintaining transmission service through three of the most trying weather-related events in recent memory is praise-worthy and impressive.  </w:t>
      </w:r>
      <w:r w:rsidR="0039359E" w:rsidRPr="000D4E0C">
        <w:t xml:space="preserve">There is no doubt that the concerns underlying the PPL policy </w:t>
      </w:r>
      <w:r w:rsidR="0011194A" w:rsidRPr="000D4E0C">
        <w:t>are</w:t>
      </w:r>
      <w:r w:rsidR="0039359E" w:rsidRPr="000D4E0C">
        <w:t xml:space="preserve"> v</w:t>
      </w:r>
      <w:r w:rsidR="00D83BDE" w:rsidRPr="000D4E0C">
        <w:t>alid and that the utility is right to seek to</w:t>
      </w:r>
      <w:r w:rsidR="0039359E" w:rsidRPr="000D4E0C">
        <w:t xml:space="preserve"> provi</w:t>
      </w:r>
      <w:r w:rsidR="00D83BDE" w:rsidRPr="000D4E0C">
        <w:t>de</w:t>
      </w:r>
      <w:r w:rsidR="0039359E" w:rsidRPr="000D4E0C">
        <w:t xml:space="preserve"> continu</w:t>
      </w:r>
      <w:r w:rsidR="00402D6C">
        <w:t>ous</w:t>
      </w:r>
      <w:r w:rsidR="0039359E" w:rsidRPr="000D4E0C">
        <w:t>, reliable service; however, i</w:t>
      </w:r>
      <w:r w:rsidRPr="000D4E0C">
        <w:t xml:space="preserve">t is important to note that the same urgency that accompanies the above examples is simply not present here, where the line in question is a </w:t>
      </w:r>
      <w:r w:rsidR="000624AF" w:rsidRPr="000D4E0C">
        <w:t xml:space="preserve">69 kV </w:t>
      </w:r>
      <w:r w:rsidRPr="000D4E0C">
        <w:t>transmission line</w:t>
      </w:r>
      <w:r w:rsidR="000624AF" w:rsidRPr="000D4E0C">
        <w:t xml:space="preserve"> with the conductor at approximately</w:t>
      </w:r>
      <w:r w:rsidRPr="000D4E0C">
        <w:t xml:space="preserve"> 80 feet high, serving a single customer</w:t>
      </w:r>
      <w:r w:rsidR="0011194A" w:rsidRPr="000D4E0C">
        <w:t>, towering 45 to 50 feet above the height of the tallest of the trees, which are not located beneath the conductors</w:t>
      </w:r>
      <w:r w:rsidRPr="000D4E0C">
        <w:t>.  Certainly that customer deserves reasonable, safe, reliable service, but there is</w:t>
      </w:r>
      <w:r w:rsidR="000624AF" w:rsidRPr="000D4E0C">
        <w:t xml:space="preserve"> neither claim nor evidence of</w:t>
      </w:r>
      <w:r w:rsidRPr="000D4E0C">
        <w:t xml:space="preserve"> </w:t>
      </w:r>
      <w:r w:rsidR="00F3221E">
        <w:t>any</w:t>
      </w:r>
      <w:r w:rsidRPr="000D4E0C">
        <w:t xml:space="preserve"> danger</w:t>
      </w:r>
      <w:r w:rsidR="00F3221E">
        <w:t xml:space="preserve"> to that service</w:t>
      </w:r>
      <w:r w:rsidRPr="000D4E0C">
        <w:t xml:space="preserve"> from the trees in question</w:t>
      </w:r>
      <w:r w:rsidR="000624AF" w:rsidRPr="000D4E0C">
        <w:t>, which generally grow to 30 feet in height</w:t>
      </w:r>
      <w:r w:rsidRPr="000D4E0C">
        <w:t>.</w:t>
      </w:r>
    </w:p>
    <w:p w:rsidR="00B37429" w:rsidRPr="000D4E0C" w:rsidRDefault="00B37429" w:rsidP="000624AF">
      <w:pPr>
        <w:spacing w:line="360" w:lineRule="auto"/>
      </w:pPr>
      <w:r w:rsidRPr="000D4E0C">
        <w:t> </w:t>
      </w:r>
    </w:p>
    <w:p w:rsidR="00B37429" w:rsidRDefault="00B37429" w:rsidP="000624AF">
      <w:pPr>
        <w:spacing w:line="360" w:lineRule="auto"/>
      </w:pPr>
      <w:r w:rsidRPr="000D4E0C">
        <w:tab/>
      </w:r>
      <w:r w:rsidRPr="000D4E0C">
        <w:tab/>
        <w:t xml:space="preserve">The importance of consistent and system-wide reliability is unquestioned.  Utilities must maintain the corridors carrying transmission lines in order to promote reliability and minimize the opportunity for outages caused by vegetation.  </w:t>
      </w:r>
      <w:r w:rsidR="009F2B59" w:rsidRPr="000D4E0C">
        <w:t xml:space="preserve">The Commission recognizes the importance of proper vegetation management and </w:t>
      </w:r>
      <w:r w:rsidRPr="000D4E0C">
        <w:t>has est</w:t>
      </w:r>
      <w:r w:rsidR="009F2B59" w:rsidRPr="000D4E0C">
        <w:t>ablished oversight requirements:</w:t>
      </w:r>
    </w:p>
    <w:p w:rsidR="005835BD" w:rsidRPr="000D4E0C" w:rsidRDefault="005835BD" w:rsidP="000624AF">
      <w:pPr>
        <w:spacing w:line="360" w:lineRule="auto"/>
      </w:pPr>
    </w:p>
    <w:p w:rsidR="00B37429" w:rsidRDefault="00B37429" w:rsidP="005835BD">
      <w:pPr>
        <w:ind w:left="1440" w:right="1440"/>
        <w:outlineLvl w:val="3"/>
        <w:rPr>
          <w:rFonts w:eastAsia="Times New Roman"/>
          <w:b/>
          <w:bCs/>
        </w:rPr>
      </w:pPr>
      <w:r w:rsidRPr="000D4E0C">
        <w:rPr>
          <w:rFonts w:eastAsia="Times New Roman"/>
          <w:b/>
          <w:bCs/>
        </w:rPr>
        <w:t>§ 57.198. </w:t>
      </w:r>
      <w:proofErr w:type="gramStart"/>
      <w:r w:rsidRPr="000D4E0C">
        <w:rPr>
          <w:rFonts w:eastAsia="Times New Roman"/>
          <w:b/>
          <w:bCs/>
        </w:rPr>
        <w:t>Inspection and maintenance standards.</w:t>
      </w:r>
      <w:proofErr w:type="gramEnd"/>
    </w:p>
    <w:p w:rsidR="000520FB" w:rsidRPr="000D4E0C" w:rsidRDefault="000520FB" w:rsidP="005835BD">
      <w:pPr>
        <w:ind w:left="1440" w:right="1440"/>
        <w:outlineLvl w:val="3"/>
      </w:pPr>
    </w:p>
    <w:p w:rsidR="00B37429" w:rsidRPr="000D4E0C" w:rsidRDefault="00B37429" w:rsidP="000520FB">
      <w:pPr>
        <w:ind w:left="1440" w:right="1440"/>
      </w:pPr>
      <w:r w:rsidRPr="000D4E0C">
        <w:rPr>
          <w:rFonts w:eastAsia="Times New Roman"/>
        </w:rPr>
        <w:t> (a)  </w:t>
      </w:r>
      <w:r w:rsidRPr="000D4E0C">
        <w:rPr>
          <w:rFonts w:eastAsia="Times New Roman"/>
          <w:i/>
          <w:iCs/>
        </w:rPr>
        <w:t>Filing date and plan components</w:t>
      </w:r>
      <w:r w:rsidRPr="000D4E0C">
        <w:rPr>
          <w:rFonts w:eastAsia="Times New Roman"/>
        </w:rPr>
        <w:t>.  Every 2 years, by Oct</w:t>
      </w:r>
      <w:r w:rsidR="003F202A">
        <w:rPr>
          <w:rFonts w:eastAsia="Times New Roman"/>
        </w:rPr>
        <w:t>ober </w:t>
      </w:r>
      <w:r w:rsidRPr="000D4E0C">
        <w:rPr>
          <w:rFonts w:eastAsia="Times New Roman"/>
        </w:rPr>
        <w:t>1, an EDC shall prepare and file with the Commission a biennial plan for the periodic inspection, maintenance, repair and replacement of its facilities that is designed to meet its performance benchmarks and standards under this subchapter. . . .</w:t>
      </w:r>
    </w:p>
    <w:p w:rsidR="00B37429" w:rsidRPr="000D4E0C" w:rsidRDefault="00B37429" w:rsidP="00B37429">
      <w:pPr>
        <w:ind w:left="1440" w:right="1440"/>
      </w:pPr>
      <w:r w:rsidRPr="000D4E0C">
        <w:rPr>
          <w:rFonts w:eastAsia="Times New Roman"/>
        </w:rPr>
        <w:t> </w:t>
      </w:r>
    </w:p>
    <w:p w:rsidR="00B37429" w:rsidRPr="000D4E0C" w:rsidRDefault="00B37429" w:rsidP="0011194A">
      <w:pPr>
        <w:ind w:left="1440" w:right="1440"/>
        <w:jc w:val="center"/>
      </w:pPr>
      <w:r w:rsidRPr="000D4E0C">
        <w:rPr>
          <w:rFonts w:eastAsia="Times New Roman"/>
        </w:rPr>
        <w:t>* * *</w:t>
      </w:r>
    </w:p>
    <w:p w:rsidR="00B37429" w:rsidRPr="000D4E0C" w:rsidRDefault="00B37429" w:rsidP="00B37429">
      <w:pPr>
        <w:spacing w:before="100" w:beforeAutospacing="1" w:after="100" w:afterAutospacing="1"/>
        <w:ind w:left="1440" w:right="1440"/>
      </w:pPr>
      <w:r w:rsidRPr="000D4E0C">
        <w:rPr>
          <w:rFonts w:eastAsia="Times New Roman"/>
        </w:rPr>
        <w:t> (f)  </w:t>
      </w:r>
      <w:r w:rsidRPr="000D4E0C">
        <w:rPr>
          <w:rFonts w:eastAsia="Times New Roman"/>
          <w:i/>
          <w:iCs/>
        </w:rPr>
        <w:t>Clearance of vegetation</w:t>
      </w:r>
      <w:r w:rsidRPr="000D4E0C">
        <w:rPr>
          <w:rFonts w:eastAsia="Times New Roman"/>
        </w:rPr>
        <w:t>.  The plan must include a program for the maintenance of clearances of vegetation from the EDC’s overhead distribution facilities.</w:t>
      </w:r>
    </w:p>
    <w:p w:rsidR="00B37429" w:rsidRPr="000D4E0C" w:rsidRDefault="00B37429" w:rsidP="0011194A">
      <w:pPr>
        <w:spacing w:before="100" w:beforeAutospacing="1" w:after="100" w:afterAutospacing="1"/>
        <w:ind w:left="1440" w:right="1440"/>
        <w:jc w:val="center"/>
      </w:pPr>
      <w:r w:rsidRPr="000D4E0C">
        <w:rPr>
          <w:rFonts w:eastAsia="Times New Roman"/>
        </w:rPr>
        <w:t>* * *</w:t>
      </w:r>
    </w:p>
    <w:p w:rsidR="00B37429" w:rsidRPr="000D4E0C" w:rsidRDefault="00B37429" w:rsidP="00B37429">
      <w:pPr>
        <w:spacing w:before="100" w:beforeAutospacing="1" w:after="100" w:afterAutospacing="1"/>
        <w:ind w:left="1440" w:right="1440"/>
      </w:pPr>
      <w:r w:rsidRPr="000D4E0C">
        <w:rPr>
          <w:rFonts w:eastAsia="Times New Roman"/>
        </w:rPr>
        <w:t> (n)  </w:t>
      </w:r>
      <w:r w:rsidRPr="000D4E0C">
        <w:rPr>
          <w:rFonts w:eastAsia="Times New Roman"/>
          <w:i/>
          <w:iCs/>
        </w:rPr>
        <w:t>Inspection and maintenance intervals</w:t>
      </w:r>
      <w:r w:rsidRPr="000D4E0C">
        <w:rPr>
          <w:rFonts w:eastAsia="Times New Roman"/>
        </w:rPr>
        <w:t>.  An EDC shall maintain the following inspection and maintenance plan intervals:</w:t>
      </w:r>
    </w:p>
    <w:p w:rsidR="00B37429" w:rsidRPr="000D4E0C" w:rsidRDefault="00B37429" w:rsidP="0011194A">
      <w:pPr>
        <w:spacing w:before="100" w:beforeAutospacing="1" w:after="100" w:afterAutospacing="1"/>
        <w:ind w:left="1440" w:right="1440"/>
        <w:jc w:val="center"/>
      </w:pPr>
      <w:r w:rsidRPr="000D4E0C">
        <w:rPr>
          <w:rFonts w:eastAsia="Times New Roman"/>
        </w:rPr>
        <w:t>* * *</w:t>
      </w:r>
    </w:p>
    <w:p w:rsidR="00B37429" w:rsidRDefault="00B37429" w:rsidP="000520FB">
      <w:pPr>
        <w:ind w:left="1440" w:right="1440"/>
        <w:rPr>
          <w:rFonts w:eastAsia="Times New Roman"/>
        </w:rPr>
      </w:pPr>
      <w:r w:rsidRPr="000D4E0C">
        <w:rPr>
          <w:rFonts w:eastAsia="Times New Roman"/>
        </w:rPr>
        <w:t>   (1)  </w:t>
      </w:r>
      <w:r w:rsidRPr="000D4E0C">
        <w:rPr>
          <w:rFonts w:eastAsia="Times New Roman"/>
          <w:i/>
          <w:iCs/>
        </w:rPr>
        <w:t>Vegetation management</w:t>
      </w:r>
      <w:r w:rsidRPr="000D4E0C">
        <w:rPr>
          <w:rFonts w:eastAsia="Times New Roman"/>
        </w:rPr>
        <w:t xml:space="preserve">.  The Statewide minimum inspection and treatment cycle for vegetation management is between 4-8 years for distribution facilities.  An EDC shall submit </w:t>
      </w:r>
      <w:r w:rsidRPr="000D4E0C">
        <w:rPr>
          <w:rFonts w:eastAsia="Times New Roman"/>
          <w:b/>
        </w:rPr>
        <w:t>a condition-based plan</w:t>
      </w:r>
      <w:r w:rsidRPr="000D4E0C">
        <w:rPr>
          <w:rFonts w:eastAsia="Times New Roman"/>
        </w:rPr>
        <w:t xml:space="preserve"> for vegetation management for its distribution system facilities explaining its treatment cycle.</w:t>
      </w:r>
    </w:p>
    <w:p w:rsidR="000520FB" w:rsidRPr="000D4E0C" w:rsidRDefault="000520FB" w:rsidP="005835BD">
      <w:pPr>
        <w:ind w:left="1440" w:right="1440"/>
      </w:pPr>
    </w:p>
    <w:p w:rsidR="00B37429" w:rsidRPr="000D4E0C" w:rsidRDefault="00B37429" w:rsidP="005B1D63">
      <w:pPr>
        <w:spacing w:line="360" w:lineRule="auto"/>
      </w:pPr>
      <w:r w:rsidRPr="000D4E0C">
        <w:t>52 Pa.Code § 57.198 (in pertinent part</w:t>
      </w:r>
      <w:proofErr w:type="gramStart"/>
      <w:r w:rsidRPr="000D4E0C">
        <w:t>)</w:t>
      </w:r>
      <w:r w:rsidR="00055486" w:rsidRPr="000D4E0C">
        <w:t>(</w:t>
      </w:r>
      <w:proofErr w:type="gramEnd"/>
      <w:r w:rsidR="00055486" w:rsidRPr="000D4E0C">
        <w:t>emphasis added)</w:t>
      </w:r>
      <w:r w:rsidRPr="000D4E0C">
        <w:t>.  It is the job of the Commission's Fixed Utility Services Bureau, Electric Reliability Division, to oversee the submission of the plans themselves and to review them for compliance with the regulation.</w:t>
      </w:r>
      <w:r w:rsidR="005B1D63" w:rsidRPr="000D4E0C">
        <w:t xml:space="preserve">  However, when asked whether the policy being implemented here is part of the plan which has received Commission approval, the PPL witness admitted that she did not know.  </w:t>
      </w:r>
      <w:r w:rsidR="009F2B59" w:rsidRPr="000D4E0C">
        <w:t>This PPL policy was implemented in 2013.</w:t>
      </w:r>
    </w:p>
    <w:p w:rsidR="009F2B59" w:rsidRPr="000D4E0C" w:rsidRDefault="009F2B59" w:rsidP="005B1D63">
      <w:pPr>
        <w:spacing w:line="360" w:lineRule="auto"/>
      </w:pPr>
    </w:p>
    <w:p w:rsidR="00B37429" w:rsidRPr="000D4E0C" w:rsidRDefault="009F2B59" w:rsidP="009F2B59">
      <w:pPr>
        <w:spacing w:line="360" w:lineRule="auto"/>
      </w:pPr>
      <w:r w:rsidRPr="000D4E0C">
        <w:tab/>
      </w:r>
      <w:r w:rsidRPr="000D4E0C">
        <w:tab/>
        <w:t>Despite (1) the Company's inability to state that the present plan for lower voltage transmission lines has been approved by the Commission; (2) the obvious lack of importance to the bulk transmission system; and (3) the obvious lack of any real threat to the Company's facilities from the ornamental pear trees,</w:t>
      </w:r>
      <w:r w:rsidR="00D83BDE" w:rsidRPr="000520FB">
        <w:rPr>
          <w:rStyle w:val="FootnoteReference"/>
          <w:vertAlign w:val="superscript"/>
        </w:rPr>
        <w:footnoteReference w:id="4"/>
      </w:r>
      <w:r w:rsidRPr="000D4E0C">
        <w:t xml:space="preserve"> the Company steadfastly refuses to create an exception to the </w:t>
      </w:r>
      <w:r w:rsidR="00FA5118" w:rsidRPr="000D4E0C">
        <w:t>zero tolerant</w:t>
      </w:r>
      <w:r w:rsidRPr="000D4E0C">
        <w:t xml:space="preserve"> Wire Zone/Border Zone program to this case.</w:t>
      </w:r>
    </w:p>
    <w:p w:rsidR="00B37429" w:rsidRPr="000D4E0C" w:rsidRDefault="00B37429" w:rsidP="00B37429">
      <w:r w:rsidRPr="000D4E0C">
        <w:t> </w:t>
      </w:r>
    </w:p>
    <w:p w:rsidR="00B37429" w:rsidRPr="000D4E0C" w:rsidRDefault="00B37429" w:rsidP="00B37429">
      <w:r w:rsidRPr="000D4E0C">
        <w:tab/>
      </w:r>
      <w:r w:rsidRPr="000D4E0C">
        <w:tab/>
        <w:t>PPL Witness Baker offers the following reasoning for the Company’s decision to not bend on this case:</w:t>
      </w:r>
    </w:p>
    <w:p w:rsidR="00B37429" w:rsidRPr="000D4E0C" w:rsidRDefault="00B37429" w:rsidP="00B37429">
      <w:pPr>
        <w:ind w:left="1440" w:right="1440"/>
      </w:pPr>
      <w:r w:rsidRPr="000D4E0C">
        <w:tab/>
        <w:t>PPL has to maintain a consistent approach to maintain the vegetation within its right of ways to ensure safe and reliable service to its customers.  PPL currently maintains approximately 5,000 miles of transmission lines that operate at 69 kV or higher, and 43,000 miles of distribution lines operating at less than 69 kV.  It would be cost-prohibitive and unworkable if PPL were allowed different vegetation policies for every single parcel that’s crossed by electric facilities.</w:t>
      </w:r>
    </w:p>
    <w:p w:rsidR="00B37429" w:rsidRDefault="00B37429" w:rsidP="00F57440">
      <w:pPr>
        <w:ind w:left="1440" w:right="1440"/>
      </w:pPr>
      <w:r w:rsidRPr="000D4E0C">
        <w:tab/>
        <w:t>The Lehets have been treated the same as all other property owners who have land traversed by PPL transmission facilities.  And it would be unfair to allow an exception to PPL’s vegetation management policies and practices for just one landowner and not for everyone.</w:t>
      </w:r>
    </w:p>
    <w:p w:rsidR="00F57440" w:rsidRPr="000D4E0C" w:rsidRDefault="00F57440" w:rsidP="00F57440">
      <w:pPr>
        <w:ind w:left="1440" w:right="1440"/>
      </w:pPr>
    </w:p>
    <w:p w:rsidR="00B37429" w:rsidRPr="000D4E0C" w:rsidRDefault="00B37429" w:rsidP="00F57440">
      <w:proofErr w:type="gramStart"/>
      <w:r w:rsidRPr="000D4E0C">
        <w:t>Tr. 41.</w:t>
      </w:r>
      <w:proofErr w:type="gramEnd"/>
    </w:p>
    <w:p w:rsidR="00B37429" w:rsidRPr="000D4E0C" w:rsidRDefault="00B37429" w:rsidP="00F57440">
      <w:pPr>
        <w:spacing w:line="360" w:lineRule="auto"/>
      </w:pPr>
      <w:r w:rsidRPr="000D4E0C">
        <w:t> </w:t>
      </w:r>
    </w:p>
    <w:p w:rsidR="00E954D0" w:rsidRPr="000D4E0C" w:rsidRDefault="00E954D0" w:rsidP="00BE09B6">
      <w:pPr>
        <w:spacing w:line="360" w:lineRule="auto"/>
      </w:pPr>
      <w:r w:rsidRPr="000D4E0C">
        <w:tab/>
      </w:r>
      <w:r w:rsidRPr="000D4E0C">
        <w:tab/>
      </w:r>
      <w:r w:rsidR="00B37429" w:rsidRPr="000D4E0C">
        <w:t>Notably missing from this reasoning is a claim that the trees currently pose any threat whatsoever to the safe operation of the facilities involved</w:t>
      </w:r>
      <w:r w:rsidR="009F2B59" w:rsidRPr="000D4E0C">
        <w:t>, because no threat exists</w:t>
      </w:r>
      <w:r w:rsidR="00B37429" w:rsidRPr="000D4E0C">
        <w:t xml:space="preserve">.  And, while consistent treatment is important if the treatment is consistently fair and reasonable, consistency </w:t>
      </w:r>
      <w:r w:rsidR="00DF28E8" w:rsidRPr="000D4E0C">
        <w:t>without fairness and reasonableness</w:t>
      </w:r>
      <w:r w:rsidR="00B37429" w:rsidRPr="000D4E0C">
        <w:t xml:space="preserve"> is not a value. </w:t>
      </w:r>
    </w:p>
    <w:p w:rsidR="00E954D0" w:rsidRPr="000D4E0C" w:rsidRDefault="00E954D0" w:rsidP="00BE09B6">
      <w:pPr>
        <w:spacing w:line="360" w:lineRule="auto"/>
      </w:pPr>
    </w:p>
    <w:p w:rsidR="00B37429" w:rsidRPr="000D4E0C" w:rsidRDefault="00E954D0" w:rsidP="00BE09B6">
      <w:pPr>
        <w:spacing w:line="360" w:lineRule="auto"/>
      </w:pPr>
      <w:r w:rsidRPr="000D4E0C">
        <w:tab/>
      </w:r>
      <w:r w:rsidRPr="000D4E0C">
        <w:tab/>
        <w:t xml:space="preserve">Further, "consistency" is not consistent when the width of the right-of-way determines where the </w:t>
      </w:r>
      <w:r w:rsidR="006666CF" w:rsidRPr="000D4E0C">
        <w:t>decorative vegetation</w:t>
      </w:r>
      <w:r w:rsidRPr="000D4E0C">
        <w:t xml:space="preserve"> may be placed. </w:t>
      </w:r>
      <w:r w:rsidR="0011194A" w:rsidRPr="000D4E0C">
        <w:t xml:space="preserve"> </w:t>
      </w:r>
      <w:r w:rsidR="0011194A" w:rsidRPr="000D4E0C">
        <w:rPr>
          <w:i/>
        </w:rPr>
        <w:t xml:space="preserve">See FOF 17.  </w:t>
      </w:r>
      <w:r w:rsidRPr="000D4E0C">
        <w:t xml:space="preserve">If the right-of-way here were </w:t>
      </w:r>
      <w:r w:rsidR="006666CF" w:rsidRPr="000D4E0C">
        <w:t>less</w:t>
      </w:r>
      <w:r w:rsidRPr="000D4E0C">
        <w:t xml:space="preserve"> wide, then this policy would not come into play at all</w:t>
      </w:r>
      <w:r w:rsidR="006666CF" w:rsidRPr="000D4E0C">
        <w:t xml:space="preserve"> as the trees would not be on the "border zone"</w:t>
      </w:r>
      <w:r w:rsidRPr="000D4E0C">
        <w:t>.  In other words, it is the width of the right-of-way, which varies from easement to easement contract</w:t>
      </w:r>
      <w:r w:rsidR="006666CF" w:rsidRPr="000D4E0C">
        <w:t>, which determines the "border zone,"</w:t>
      </w:r>
      <w:r w:rsidR="00BE09B6" w:rsidRPr="000520FB">
        <w:rPr>
          <w:rStyle w:val="FootnoteReference"/>
          <w:vertAlign w:val="superscript"/>
        </w:rPr>
        <w:footnoteReference w:id="5"/>
      </w:r>
      <w:r w:rsidR="006666CF" w:rsidRPr="000D4E0C">
        <w:t xml:space="preserve"> and not the distance from the conductor or the facilities which carry them.  </w:t>
      </w:r>
      <w:r w:rsidR="00B37429" w:rsidRPr="000D4E0C">
        <w:t xml:space="preserve"> </w:t>
      </w:r>
    </w:p>
    <w:p w:rsidR="006666CF" w:rsidRPr="000D4E0C" w:rsidRDefault="006666CF" w:rsidP="00BE09B6">
      <w:pPr>
        <w:spacing w:line="360" w:lineRule="auto"/>
      </w:pPr>
    </w:p>
    <w:p w:rsidR="006666CF" w:rsidRPr="000D4E0C" w:rsidRDefault="006666CF" w:rsidP="00BE09B6">
      <w:pPr>
        <w:spacing w:line="360" w:lineRule="auto"/>
      </w:pPr>
      <w:r w:rsidRPr="000D4E0C">
        <w:tab/>
      </w:r>
      <w:r w:rsidRPr="000D4E0C">
        <w:tab/>
        <w:t xml:space="preserve">While a consistent policy is </w:t>
      </w:r>
      <w:r w:rsidR="009F2B59" w:rsidRPr="000D4E0C">
        <w:t xml:space="preserve">admittedly </w:t>
      </w:r>
      <w:r w:rsidRPr="000D4E0C">
        <w:t xml:space="preserve">easier to administer, it makes no sense when a crucial factor varies from </w:t>
      </w:r>
      <w:r w:rsidR="009F2B59" w:rsidRPr="000D4E0C">
        <w:t xml:space="preserve">land </w:t>
      </w:r>
      <w:r w:rsidRPr="000D4E0C">
        <w:t xml:space="preserve">plot to </w:t>
      </w:r>
      <w:r w:rsidR="009F2B59" w:rsidRPr="000D4E0C">
        <w:t xml:space="preserve">land </w:t>
      </w:r>
      <w:r w:rsidRPr="000D4E0C">
        <w:t xml:space="preserve">plot.  A policy which renders different results depending on the width of the right-of-way is simply </w:t>
      </w:r>
      <w:r w:rsidRPr="000D4E0C">
        <w:rPr>
          <w:i/>
        </w:rPr>
        <w:t>not</w:t>
      </w:r>
      <w:r w:rsidRPr="000D4E0C">
        <w:t xml:space="preserve"> "consistent," and offers no valid reason for blanket application.  </w:t>
      </w:r>
    </w:p>
    <w:p w:rsidR="005835BD" w:rsidRDefault="005835BD" w:rsidP="00BE09B6">
      <w:pPr>
        <w:spacing w:line="360" w:lineRule="auto"/>
        <w:sectPr w:rsidR="005835BD" w:rsidSect="000520FB">
          <w:pgSz w:w="12240" w:h="15840"/>
          <w:pgMar w:top="1296" w:right="1440" w:bottom="1296" w:left="1440" w:header="720" w:footer="720" w:gutter="0"/>
          <w:cols w:space="720"/>
          <w:titlePg/>
          <w:docGrid w:linePitch="360"/>
        </w:sectPr>
      </w:pPr>
    </w:p>
    <w:p w:rsidR="00BE09B6" w:rsidRPr="000D4E0C" w:rsidRDefault="005835BD" w:rsidP="00BE09B6">
      <w:pPr>
        <w:spacing w:line="360" w:lineRule="auto"/>
      </w:pPr>
      <w:r>
        <w:tab/>
      </w:r>
      <w:r>
        <w:tab/>
      </w:r>
      <w:r w:rsidR="00BE09B6" w:rsidRPr="000D4E0C">
        <w:t>PPL acknowledges this limitation:</w:t>
      </w:r>
    </w:p>
    <w:p w:rsidR="00BE09B6" w:rsidRDefault="00BE09B6" w:rsidP="00BE09B6">
      <w:pPr>
        <w:ind w:left="1440" w:right="1440"/>
      </w:pPr>
      <w:r w:rsidRPr="000D4E0C">
        <w:tab/>
        <w:t>PPL applies the wire zone/border zone method to all 69 kV and 138 kV transmission lines where PPL has position rights under applicable easements or right of ways.  In areas with insufficient right of ways or easement restrictions, they're at their limitations, when PPL will only employ a selective clearing or restrictive clearing method.</w:t>
      </w:r>
    </w:p>
    <w:p w:rsidR="005835BD" w:rsidRPr="000D4E0C" w:rsidRDefault="005835BD" w:rsidP="00BE09B6">
      <w:pPr>
        <w:ind w:left="1440" w:right="1440"/>
      </w:pPr>
    </w:p>
    <w:p w:rsidR="00BE09B6" w:rsidRPr="000D4E0C" w:rsidRDefault="00BE09B6" w:rsidP="00BE09B6">
      <w:pPr>
        <w:spacing w:line="360" w:lineRule="auto"/>
      </w:pPr>
      <w:proofErr w:type="gramStart"/>
      <w:r w:rsidRPr="000D4E0C">
        <w:t>Tr. 37 (testimony of PPL Witness Baker).</w:t>
      </w:r>
      <w:proofErr w:type="gramEnd"/>
    </w:p>
    <w:p w:rsidR="00016629" w:rsidRPr="000D4E0C" w:rsidRDefault="00016629" w:rsidP="00BE09B6">
      <w:pPr>
        <w:spacing w:line="360" w:lineRule="auto"/>
      </w:pPr>
    </w:p>
    <w:p w:rsidR="00016629" w:rsidRPr="000D4E0C" w:rsidRDefault="00016629" w:rsidP="005D40C7">
      <w:pPr>
        <w:spacing w:line="360" w:lineRule="auto"/>
      </w:pPr>
      <w:r w:rsidRPr="000D4E0C">
        <w:tab/>
      </w:r>
      <w:r w:rsidRPr="000D4E0C">
        <w:tab/>
        <w:t>The policy itself recognizes differences:</w:t>
      </w:r>
    </w:p>
    <w:p w:rsidR="00016629" w:rsidRPr="000D4E0C" w:rsidRDefault="00016629" w:rsidP="005D40C7">
      <w:pPr>
        <w:spacing w:line="360" w:lineRule="auto"/>
      </w:pPr>
    </w:p>
    <w:p w:rsidR="00016629" w:rsidRPr="000D4E0C" w:rsidRDefault="00016629" w:rsidP="00016629">
      <w:pPr>
        <w:ind w:left="1440" w:right="1440"/>
      </w:pPr>
      <w:r w:rsidRPr="000D4E0C">
        <w:t>The 69kv lines will be maintained through a selective approach.  The areas under the conductors will be selectively cleared of all incompatible species and the edges will be selectively cleared to enable all compatible species to remain, where practical.</w:t>
      </w:r>
    </w:p>
    <w:p w:rsidR="00016629" w:rsidRPr="000D4E0C" w:rsidRDefault="00016629" w:rsidP="00016629">
      <w:pPr>
        <w:ind w:left="1440" w:right="1440"/>
      </w:pPr>
    </w:p>
    <w:p w:rsidR="00016629" w:rsidRDefault="00016629" w:rsidP="00016629">
      <w:pPr>
        <w:ind w:left="1440" w:right="1440"/>
      </w:pPr>
      <w:r w:rsidRPr="000D4E0C">
        <w:t>In rural areas, all 69kv lines will be cleared to the full extent of the existing right-of-way agreements.  In residential/urban areas, every effort will be made to clear all incompatible vegetation from underneath the conductors.</w:t>
      </w:r>
    </w:p>
    <w:p w:rsidR="005835BD" w:rsidRPr="000D4E0C" w:rsidRDefault="005835BD" w:rsidP="00016629">
      <w:pPr>
        <w:ind w:left="1440" w:right="1440"/>
      </w:pPr>
    </w:p>
    <w:p w:rsidR="00016629" w:rsidRPr="000D4E0C" w:rsidRDefault="00016629" w:rsidP="00BE09B6">
      <w:pPr>
        <w:spacing w:line="360" w:lineRule="auto"/>
      </w:pPr>
      <w:proofErr w:type="gramStart"/>
      <w:r w:rsidRPr="000D4E0C">
        <w:t>PPL Exhibit 4, Distribution and 69 kV Vegetation Management Specification, p. 24 § 6.0.</w:t>
      </w:r>
      <w:proofErr w:type="gramEnd"/>
      <w:r w:rsidRPr="000D4E0C">
        <w:t xml:space="preserve"> </w:t>
      </w:r>
    </w:p>
    <w:p w:rsidR="00B37429" w:rsidRPr="000D4E0C" w:rsidRDefault="00B37429" w:rsidP="00BE09B6">
      <w:pPr>
        <w:spacing w:line="360" w:lineRule="auto"/>
      </w:pPr>
      <w:r w:rsidRPr="000D4E0C">
        <w:t> </w:t>
      </w:r>
    </w:p>
    <w:p w:rsidR="00016629" w:rsidRPr="000D4E0C" w:rsidRDefault="00016629" w:rsidP="00BE09B6">
      <w:pPr>
        <w:spacing w:line="360" w:lineRule="auto"/>
      </w:pPr>
      <w:r w:rsidRPr="000D4E0C">
        <w:tab/>
      </w:r>
      <w:r w:rsidRPr="000D4E0C">
        <w:tab/>
        <w:t xml:space="preserve">There was no testimony regarding whether the subject area is rural or not, but there is a housing development which is indicative of a "residential" classification.  In that case, incompatible vegetation is to be cleared from under the conductors.  The subject trees are not under the conductors, they are in the border zone, and the goal would be to allow "compatible" species to remain.  </w:t>
      </w:r>
    </w:p>
    <w:p w:rsidR="00016629" w:rsidRPr="000D4E0C" w:rsidRDefault="00016629" w:rsidP="00BE09B6">
      <w:pPr>
        <w:spacing w:line="360" w:lineRule="auto"/>
      </w:pPr>
    </w:p>
    <w:p w:rsidR="00C94D54" w:rsidRPr="000D4E0C" w:rsidRDefault="00016629" w:rsidP="00BE09B6">
      <w:pPr>
        <w:spacing w:line="360" w:lineRule="auto"/>
      </w:pPr>
      <w:r w:rsidRPr="000D4E0C">
        <w:tab/>
      </w:r>
      <w:r w:rsidRPr="000D4E0C">
        <w:tab/>
        <w:t>PPL maintains that the only compatible species are listed on the brochure that it provides to landowners</w:t>
      </w:r>
      <w:r w:rsidR="00FA5118" w:rsidRPr="000D4E0C">
        <w:t>, and which is listed in the policy</w:t>
      </w:r>
      <w:r w:rsidRPr="000D4E0C">
        <w:t xml:space="preserve">.  </w:t>
      </w:r>
      <w:proofErr w:type="gramStart"/>
      <w:r w:rsidRPr="000D4E0C">
        <w:t>PPL Exhibit</w:t>
      </w:r>
      <w:r w:rsidR="00FA5118" w:rsidRPr="000D4E0C">
        <w:t>s 4 and</w:t>
      </w:r>
      <w:r w:rsidRPr="000D4E0C">
        <w:t xml:space="preserve"> 5.</w:t>
      </w:r>
      <w:proofErr w:type="gramEnd"/>
      <w:r w:rsidRPr="000D4E0C">
        <w:t xml:space="preserve">  </w:t>
      </w:r>
      <w:r w:rsidR="00397C63" w:rsidRPr="000D4E0C">
        <w:t>There are 9 types of small trees listed.  At least one, the Eastern Red Cedar,</w:t>
      </w:r>
      <w:r w:rsidR="00397C63" w:rsidRPr="005835BD">
        <w:rPr>
          <w:rStyle w:val="FootnoteReference"/>
          <w:vertAlign w:val="superscript"/>
        </w:rPr>
        <w:footnoteReference w:id="6"/>
      </w:r>
      <w:r w:rsidR="00397C63" w:rsidRPr="005835BD">
        <w:rPr>
          <w:vertAlign w:val="superscript"/>
        </w:rPr>
        <w:t xml:space="preserve"> </w:t>
      </w:r>
      <w:r w:rsidR="00397C63" w:rsidRPr="000D4E0C">
        <w:t xml:space="preserve">grows between 40 feet and 60 feet high, according to </w:t>
      </w:r>
      <w:r w:rsidR="00397C63" w:rsidRPr="000D4E0C">
        <w:rPr>
          <w:u w:val="single"/>
        </w:rPr>
        <w:t>Common Trees of Pennsylvania</w:t>
      </w:r>
      <w:r w:rsidR="00397C63" w:rsidRPr="000D4E0C">
        <w:t xml:space="preserve">, a publication of the Department of Conservation &amp; Natural Resources, Bureau of Forestry. </w:t>
      </w:r>
      <w:r w:rsidR="00C94D54" w:rsidRPr="000D4E0C">
        <w:t xml:space="preserve"> </w:t>
      </w:r>
      <w:r w:rsidR="008F4A70" w:rsidRPr="000D4E0C">
        <w:t xml:space="preserve">There was no testimony that only 9 types of trees grow to an acceptable height, although without a quantification of what that acceptable height is, and at least one of those trees growing higher than the ornamental pear trees at issue here, the record and the policy do not establish what an "acceptable height" is.  </w:t>
      </w:r>
      <w:r w:rsidR="00C94D54" w:rsidRPr="000D4E0C">
        <w:t xml:space="preserve">It is clear that the list of PPL's compatible trees is based on something other than expected height.  </w:t>
      </w:r>
    </w:p>
    <w:p w:rsidR="00016629" w:rsidRPr="000D4E0C" w:rsidRDefault="00016629" w:rsidP="00BE09B6">
      <w:pPr>
        <w:spacing w:line="360" w:lineRule="auto"/>
      </w:pPr>
    </w:p>
    <w:p w:rsidR="00DF28E8" w:rsidRPr="000D4E0C" w:rsidRDefault="00DF28E8" w:rsidP="00BE09B6">
      <w:pPr>
        <w:spacing w:line="360" w:lineRule="auto"/>
      </w:pPr>
      <w:r w:rsidRPr="000D4E0C">
        <w:tab/>
      </w:r>
      <w:r w:rsidRPr="000D4E0C">
        <w:tab/>
        <w:t xml:space="preserve">PPL has </w:t>
      </w:r>
      <w:r w:rsidR="008F4A70" w:rsidRPr="000D4E0C">
        <w:t xml:space="preserve">failed to </w:t>
      </w:r>
      <w:r w:rsidRPr="000D4E0C">
        <w:t>carr</w:t>
      </w:r>
      <w:r w:rsidR="008F4A70" w:rsidRPr="000D4E0C">
        <w:t>y</w:t>
      </w:r>
      <w:r w:rsidRPr="000D4E0C">
        <w:t xml:space="preserve"> its burden of persuasion regarding the </w:t>
      </w:r>
      <w:r w:rsidR="002B462A" w:rsidRPr="000D4E0C">
        <w:t xml:space="preserve">reasonableness of the program </w:t>
      </w:r>
      <w:r w:rsidR="008F4A70" w:rsidRPr="000D4E0C">
        <w:t>which arbitrarily does not list the Bradford pear tree as compatible while including others which are expected to grow taller.  The arbitrary exclusion of these trees while including others is not reasonable service</w:t>
      </w:r>
      <w:r w:rsidRPr="000D4E0C">
        <w:t>.</w:t>
      </w:r>
      <w:r w:rsidR="002B462A" w:rsidRPr="000D4E0C">
        <w:t xml:space="preserve">  </w:t>
      </w:r>
    </w:p>
    <w:p w:rsidR="00B37429" w:rsidRPr="000D4E0C" w:rsidRDefault="00B37429" w:rsidP="00B37429"/>
    <w:p w:rsidR="002B462A" w:rsidRPr="000D4E0C" w:rsidRDefault="002B462A" w:rsidP="005835BD">
      <w:pPr>
        <w:spacing w:line="360" w:lineRule="auto"/>
      </w:pPr>
      <w:r w:rsidRPr="000D4E0C">
        <w:tab/>
      </w:r>
      <w:r w:rsidRPr="000D4E0C">
        <w:tab/>
        <w:t>Accordingly, the Complaint is sustained.</w:t>
      </w:r>
    </w:p>
    <w:p w:rsidR="002B462A" w:rsidRPr="000D4E0C" w:rsidRDefault="002B462A" w:rsidP="005835BD">
      <w:pPr>
        <w:spacing w:line="360" w:lineRule="auto"/>
      </w:pPr>
    </w:p>
    <w:p w:rsidR="00B37429" w:rsidRPr="000D4E0C" w:rsidRDefault="00B37429" w:rsidP="005835BD">
      <w:pPr>
        <w:spacing w:line="360" w:lineRule="auto"/>
        <w:jc w:val="center"/>
        <w:rPr>
          <w:u w:val="single"/>
        </w:rPr>
      </w:pPr>
      <w:r w:rsidRPr="000D4E0C">
        <w:rPr>
          <w:u w:val="single"/>
        </w:rPr>
        <w:t>CONCLUSIONS OF LAW</w:t>
      </w:r>
    </w:p>
    <w:p w:rsidR="002B462A" w:rsidRPr="000D4E0C" w:rsidRDefault="002B462A" w:rsidP="005835BD">
      <w:pPr>
        <w:spacing w:line="360" w:lineRule="auto"/>
        <w:jc w:val="center"/>
        <w:rPr>
          <w:u w:val="single"/>
        </w:rPr>
      </w:pPr>
    </w:p>
    <w:p w:rsidR="00B37429" w:rsidRPr="000D4E0C" w:rsidRDefault="00B37429" w:rsidP="005835BD">
      <w:pPr>
        <w:spacing w:line="360" w:lineRule="auto"/>
      </w:pPr>
      <w:r w:rsidRPr="000D4E0C">
        <w:tab/>
      </w:r>
      <w:r w:rsidRPr="000D4E0C">
        <w:tab/>
        <w:t>1.</w:t>
      </w:r>
      <w:r w:rsidRPr="000D4E0C">
        <w:tab/>
        <w:t xml:space="preserve">The party seeking affirmative relief from the Commission bears the burden of proof.  </w:t>
      </w:r>
      <w:proofErr w:type="gramStart"/>
      <w:r w:rsidRPr="000D4E0C">
        <w:t>66 Pa.C.S.</w:t>
      </w:r>
      <w:proofErr w:type="gramEnd"/>
      <w:r w:rsidRPr="000D4E0C">
        <w:t xml:space="preserve"> § 332(a).  As a matter of law, a complainant must show that the named utility is responsible or accountable for the problem described in the Complaint in order to prevail.  </w:t>
      </w:r>
      <w:proofErr w:type="gramStart"/>
      <w:r w:rsidRPr="000D4E0C">
        <w:rPr>
          <w:i/>
        </w:rPr>
        <w:t xml:space="preserve">Patterson v. Bell Tel. Co. of PA, </w:t>
      </w:r>
      <w:r w:rsidRPr="000D4E0C">
        <w:t xml:space="preserve">72 Pa. PUC 196 (1990); </w:t>
      </w:r>
      <w:r w:rsidRPr="000D4E0C">
        <w:rPr>
          <w:i/>
        </w:rPr>
        <w:t>Feinstein v. Phila.</w:t>
      </w:r>
      <w:proofErr w:type="gramEnd"/>
      <w:r w:rsidRPr="000D4E0C">
        <w:rPr>
          <w:i/>
        </w:rPr>
        <w:t xml:space="preserve"> </w:t>
      </w:r>
      <w:proofErr w:type="gramStart"/>
      <w:r w:rsidRPr="000D4E0C">
        <w:rPr>
          <w:i/>
        </w:rPr>
        <w:t xml:space="preserve">Suburban Water Co., </w:t>
      </w:r>
      <w:r w:rsidRPr="000D4E0C">
        <w:t>50 Pa. PUC 300 (1976).</w:t>
      </w:r>
      <w:proofErr w:type="gramEnd"/>
    </w:p>
    <w:p w:rsidR="00B37429" w:rsidRPr="000D4E0C" w:rsidRDefault="00B37429" w:rsidP="005835BD">
      <w:pPr>
        <w:spacing w:line="360" w:lineRule="auto"/>
      </w:pPr>
      <w:r w:rsidRPr="000D4E0C">
        <w:t> </w:t>
      </w:r>
    </w:p>
    <w:p w:rsidR="00B37429" w:rsidRPr="000D4E0C" w:rsidRDefault="00B37429" w:rsidP="005835BD">
      <w:pPr>
        <w:spacing w:line="360" w:lineRule="auto"/>
      </w:pPr>
      <w:r w:rsidRPr="000D4E0C">
        <w:tab/>
      </w:r>
      <w:r w:rsidRPr="000D4E0C">
        <w:tab/>
        <w:t>2.</w:t>
      </w:r>
      <w:r w:rsidRPr="000D4E0C">
        <w:tab/>
        <w:t xml:space="preserve">The burden of proof must be shown by a preponderance of the evidence.  </w:t>
      </w:r>
      <w:proofErr w:type="gramStart"/>
      <w:r w:rsidRPr="000D4E0C">
        <w:rPr>
          <w:i/>
        </w:rPr>
        <w:t>Samuel J. Lansberry, Inc. v. Pa. Pub.</w:t>
      </w:r>
      <w:proofErr w:type="gramEnd"/>
      <w:r w:rsidRPr="000D4E0C">
        <w:rPr>
          <w:i/>
        </w:rPr>
        <w:t xml:space="preserve"> Util. Comm'n, </w:t>
      </w:r>
      <w:proofErr w:type="gramStart"/>
      <w:r w:rsidRPr="000D4E0C">
        <w:rPr>
          <w:spacing w:val="-3"/>
        </w:rPr>
        <w:t>134 Pa.Cmwlth</w:t>
      </w:r>
      <w:proofErr w:type="gramEnd"/>
      <w:r w:rsidRPr="000D4E0C">
        <w:rPr>
          <w:spacing w:val="-3"/>
        </w:rPr>
        <w:t xml:space="preserve">. 218; 221-222, 578 A.2d 600; 602 (1990), </w:t>
      </w:r>
      <w:r w:rsidRPr="000D4E0C">
        <w:rPr>
          <w:iCs/>
          <w:spacing w:val="-3"/>
        </w:rPr>
        <w:t>app. denied,</w:t>
      </w:r>
      <w:r w:rsidRPr="000D4E0C">
        <w:rPr>
          <w:spacing w:val="-3"/>
        </w:rPr>
        <w:t xml:space="preserve"> 529 Pa. 654, 602 A.2d 863 (1992).  </w:t>
      </w:r>
      <w:r w:rsidRPr="000D4E0C">
        <w:t xml:space="preserve">A preponderance of evidence is that which is more convincing, by even the smallest amount, than that presented by the other party.  </w:t>
      </w:r>
      <w:proofErr w:type="gramStart"/>
      <w:r w:rsidRPr="000D4E0C">
        <w:rPr>
          <w:i/>
        </w:rPr>
        <w:t>Se-Ling Hosiery v. Margulies,</w:t>
      </w:r>
      <w:r w:rsidRPr="000D4E0C">
        <w:t xml:space="preserve"> </w:t>
      </w:r>
      <w:r w:rsidRPr="000D4E0C">
        <w:rPr>
          <w:spacing w:val="-3"/>
        </w:rPr>
        <w:t>364 Pa. 45, 70 A.2d 854 (1950).</w:t>
      </w:r>
      <w:proofErr w:type="gramEnd"/>
    </w:p>
    <w:p w:rsidR="00B37429" w:rsidRPr="000D4E0C" w:rsidRDefault="00B37429" w:rsidP="00AE5EE1">
      <w:pPr>
        <w:spacing w:line="360" w:lineRule="auto"/>
      </w:pPr>
      <w:r w:rsidRPr="000D4E0C">
        <w:rPr>
          <w:spacing w:val="-3"/>
        </w:rPr>
        <w:t> </w:t>
      </w:r>
    </w:p>
    <w:p w:rsidR="00B37429" w:rsidRPr="000D4E0C" w:rsidRDefault="00B37429" w:rsidP="00AE5EE1">
      <w:pPr>
        <w:spacing w:line="360" w:lineRule="auto"/>
      </w:pPr>
      <w:r w:rsidRPr="000D4E0C">
        <w:rPr>
          <w:spacing w:val="-3"/>
        </w:rPr>
        <w:tab/>
      </w:r>
      <w:r w:rsidRPr="000D4E0C">
        <w:rPr>
          <w:spacing w:val="-3"/>
        </w:rPr>
        <w:tab/>
        <w:t>3.</w:t>
      </w:r>
      <w:r w:rsidRPr="000D4E0C">
        <w:rPr>
          <w:spacing w:val="-3"/>
        </w:rPr>
        <w:tab/>
        <w:t>A</w:t>
      </w:r>
      <w:r w:rsidRPr="000D4E0C">
        <w:t xml:space="preserve">ny finding of fact necessary to support the Commission's adjudication must be based upon substantial evidence.  </w:t>
      </w:r>
      <w:proofErr w:type="gramStart"/>
      <w:r w:rsidRPr="000D4E0C">
        <w:rPr>
          <w:i/>
        </w:rPr>
        <w:t>Mill v. Pa. Pub.</w:t>
      </w:r>
      <w:proofErr w:type="gramEnd"/>
      <w:r w:rsidRPr="000D4E0C">
        <w:rPr>
          <w:i/>
        </w:rPr>
        <w:t xml:space="preserve"> </w:t>
      </w:r>
      <w:proofErr w:type="gramStart"/>
      <w:r w:rsidRPr="000D4E0C">
        <w:rPr>
          <w:i/>
        </w:rPr>
        <w:t>Util. Comm'n</w:t>
      </w:r>
      <w:r w:rsidRPr="000D4E0C">
        <w:t xml:space="preserve">, 447 A.2d 1100 (Pa.Cmwlth. 1982); </w:t>
      </w:r>
      <w:r w:rsidRPr="000D4E0C">
        <w:rPr>
          <w:i/>
        </w:rPr>
        <w:t>Edan Transportation Corp. v. Pa. Pub.</w:t>
      </w:r>
      <w:proofErr w:type="gramEnd"/>
      <w:r w:rsidRPr="000D4E0C">
        <w:rPr>
          <w:i/>
        </w:rPr>
        <w:t xml:space="preserve"> </w:t>
      </w:r>
      <w:proofErr w:type="gramStart"/>
      <w:r w:rsidRPr="000D4E0C">
        <w:rPr>
          <w:i/>
        </w:rPr>
        <w:t xml:space="preserve">Util. Comm'n, </w:t>
      </w:r>
      <w:r w:rsidRPr="000D4E0C">
        <w:t>623 A.2d 6 (Pa. Cmwlth. 1993); 2 Pa.C.S.</w:t>
      </w:r>
      <w:proofErr w:type="gramEnd"/>
      <w:r w:rsidRPr="000D4E0C">
        <w:t xml:space="preserve"> § 704.  More is required than a mere trace of evidence or a suspicion of the existence of a fact sought to be established.  </w:t>
      </w:r>
      <w:proofErr w:type="gramStart"/>
      <w:r w:rsidRPr="000D4E0C">
        <w:rPr>
          <w:i/>
        </w:rPr>
        <w:t>Norfolk and Western Ry. v. Pa. Pub.</w:t>
      </w:r>
      <w:proofErr w:type="gramEnd"/>
      <w:r w:rsidRPr="000D4E0C">
        <w:rPr>
          <w:i/>
        </w:rPr>
        <w:t xml:space="preserve"> </w:t>
      </w:r>
      <w:proofErr w:type="gramStart"/>
      <w:r w:rsidRPr="000D4E0C">
        <w:rPr>
          <w:i/>
        </w:rPr>
        <w:t xml:space="preserve">Util. Comm'n, </w:t>
      </w:r>
      <w:r w:rsidRPr="000D4E0C">
        <w:t xml:space="preserve">489 Pa. 109, 413 A.2d 1037 (1980); </w:t>
      </w:r>
      <w:r w:rsidRPr="000D4E0C">
        <w:rPr>
          <w:i/>
        </w:rPr>
        <w:t>Erie Resistor Corp. v. Unemployment Compensation Bd.</w:t>
      </w:r>
      <w:proofErr w:type="gramEnd"/>
      <w:r w:rsidRPr="000D4E0C">
        <w:rPr>
          <w:i/>
        </w:rPr>
        <w:t xml:space="preserve"> </w:t>
      </w:r>
      <w:proofErr w:type="gramStart"/>
      <w:r w:rsidRPr="000D4E0C">
        <w:rPr>
          <w:i/>
        </w:rPr>
        <w:t xml:space="preserve">Of Review, </w:t>
      </w:r>
      <w:r w:rsidRPr="000D4E0C">
        <w:t xml:space="preserve">166 A.2d 96 (Pa.Super. 1960); </w:t>
      </w:r>
      <w:r w:rsidRPr="000D4E0C">
        <w:rPr>
          <w:i/>
        </w:rPr>
        <w:t>Murphy v. Dep't.</w:t>
      </w:r>
      <w:proofErr w:type="gramEnd"/>
      <w:r w:rsidRPr="000D4E0C">
        <w:rPr>
          <w:i/>
        </w:rPr>
        <w:t xml:space="preserve"> </w:t>
      </w:r>
      <w:proofErr w:type="gramStart"/>
      <w:r w:rsidRPr="000D4E0C">
        <w:rPr>
          <w:i/>
        </w:rPr>
        <w:t>of</w:t>
      </w:r>
      <w:proofErr w:type="gramEnd"/>
      <w:r w:rsidRPr="000D4E0C">
        <w:rPr>
          <w:i/>
        </w:rPr>
        <w:t xml:space="preserve"> Public Welfare, White Haven Center, </w:t>
      </w:r>
      <w:r w:rsidRPr="000D4E0C">
        <w:t>480 A.2d 382 (Pa. Cmwlth. 1984).</w:t>
      </w:r>
    </w:p>
    <w:p w:rsidR="00B37429" w:rsidRPr="000D4E0C" w:rsidRDefault="00B37429" w:rsidP="00AE5EE1">
      <w:pPr>
        <w:spacing w:line="360" w:lineRule="auto"/>
      </w:pPr>
      <w:r w:rsidRPr="000D4E0C">
        <w:t> </w:t>
      </w:r>
    </w:p>
    <w:p w:rsidR="00B37429" w:rsidRPr="000D4E0C" w:rsidRDefault="00B37429" w:rsidP="00AE5EE1">
      <w:pPr>
        <w:spacing w:line="360" w:lineRule="auto"/>
      </w:pPr>
      <w:r w:rsidRPr="000D4E0C">
        <w:tab/>
      </w:r>
      <w:r w:rsidRPr="000D4E0C">
        <w:tab/>
        <w:t>4.</w:t>
      </w:r>
      <w:r w:rsidRPr="000D4E0C">
        <w:tab/>
        <w:t xml:space="preserve">The offense must be a violation of the Public Utility Code, the Commission's regulations, or an outstanding order of the Commission.  </w:t>
      </w:r>
      <w:proofErr w:type="gramStart"/>
      <w:r w:rsidRPr="000D4E0C">
        <w:t>66 Pa.C.S.</w:t>
      </w:r>
      <w:proofErr w:type="gramEnd"/>
      <w:r w:rsidRPr="000D4E0C">
        <w:t xml:space="preserve"> § 701.</w:t>
      </w:r>
    </w:p>
    <w:p w:rsidR="00B37429" w:rsidRPr="000D4E0C" w:rsidRDefault="00B37429" w:rsidP="00AE5EE1">
      <w:pPr>
        <w:spacing w:line="360" w:lineRule="auto"/>
      </w:pPr>
      <w:r w:rsidRPr="000D4E0C">
        <w:t> </w:t>
      </w:r>
    </w:p>
    <w:p w:rsidR="00B37429" w:rsidRPr="000D4E0C" w:rsidRDefault="00B37429" w:rsidP="00AE5EE1">
      <w:pPr>
        <w:spacing w:line="360" w:lineRule="auto"/>
      </w:pPr>
      <w:r w:rsidRPr="000D4E0C">
        <w:tab/>
      </w:r>
      <w:r w:rsidRPr="000D4E0C">
        <w:tab/>
        <w:t>5.</w:t>
      </w:r>
      <w:r w:rsidRPr="000D4E0C">
        <w:tab/>
        <w:t xml:space="preserve">An easement affects not one but two parcels of land: The owner of dominant estate enjoys the benefits of the easement while the owner of the servient estate must honor and endure the burdens.  </w:t>
      </w:r>
      <w:r w:rsidRPr="000D4E0C">
        <w:rPr>
          <w:i/>
        </w:rPr>
        <w:t xml:space="preserve">Patricca v. Zoning Board of Adjustment, </w:t>
      </w:r>
      <w:r w:rsidRPr="000D4E0C">
        <w:t xml:space="preserve">527 Pa. 267, 590 A.2d 744, 748 (1991); </w:t>
      </w:r>
      <w:r w:rsidRPr="000D4E0C">
        <w:rPr>
          <w:i/>
        </w:rPr>
        <w:t>Morning Call, Inc. v. Bell Atlantic-Pa, Inc.,</w:t>
      </w:r>
      <w:r w:rsidRPr="000D4E0C">
        <w:t xml:space="preserve"> 2000 PA Super 494, 761 A.2d 139, 142 (2000).</w:t>
      </w:r>
    </w:p>
    <w:p w:rsidR="00AE5EE1" w:rsidRPr="000D4E0C" w:rsidRDefault="00AE5EE1" w:rsidP="00AE5EE1">
      <w:pPr>
        <w:spacing w:line="360" w:lineRule="auto"/>
      </w:pPr>
    </w:p>
    <w:p w:rsidR="00B37429" w:rsidRPr="000D4E0C" w:rsidRDefault="00AE5EE1" w:rsidP="00AE5EE1">
      <w:pPr>
        <w:spacing w:line="360" w:lineRule="auto"/>
      </w:pPr>
      <w:r w:rsidRPr="000D4E0C">
        <w:tab/>
      </w:r>
      <w:r w:rsidRPr="000D4E0C">
        <w:tab/>
      </w:r>
      <w:r w:rsidR="0023340D">
        <w:t>6</w:t>
      </w:r>
      <w:r w:rsidRPr="000D4E0C">
        <w:t>.</w:t>
      </w:r>
      <w:r w:rsidRPr="000D4E0C">
        <w:tab/>
      </w:r>
      <w:r w:rsidR="00B37429" w:rsidRPr="000D4E0C">
        <w:t xml:space="preserve">The Commission must act within and cannot exceed its jurisdiction.  </w:t>
      </w:r>
      <w:proofErr w:type="gramStart"/>
      <w:r w:rsidR="00B37429" w:rsidRPr="000D4E0C">
        <w:rPr>
          <w:i/>
        </w:rPr>
        <w:t>Behrend v. Bell Telephone Co.,</w:t>
      </w:r>
      <w:r w:rsidR="00B37429" w:rsidRPr="000D4E0C">
        <w:t xml:space="preserve"> 363 A.2d 1152 (Pa.Super 1976).</w:t>
      </w:r>
      <w:proofErr w:type="gramEnd"/>
    </w:p>
    <w:p w:rsidR="00B37429" w:rsidRPr="000D4E0C" w:rsidRDefault="00B37429" w:rsidP="00AE5EE1">
      <w:pPr>
        <w:spacing w:line="360" w:lineRule="auto"/>
      </w:pPr>
      <w:r w:rsidRPr="000D4E0C">
        <w:t> </w:t>
      </w:r>
    </w:p>
    <w:p w:rsidR="00B37429" w:rsidRPr="000D4E0C" w:rsidRDefault="00B37429" w:rsidP="00AE5EE1">
      <w:pPr>
        <w:spacing w:line="360" w:lineRule="auto"/>
      </w:pPr>
      <w:r w:rsidRPr="000D4E0C">
        <w:tab/>
      </w:r>
      <w:r w:rsidRPr="000D4E0C">
        <w:tab/>
      </w:r>
      <w:r w:rsidR="0023340D">
        <w:t>7</w:t>
      </w:r>
      <w:r w:rsidRPr="000D4E0C">
        <w:t>.</w:t>
      </w:r>
      <w:r w:rsidRPr="000D4E0C">
        <w:tab/>
        <w:t xml:space="preserve">It is well-settled that the Commission does not have the jurisdiction to determine the validity of a right-of-way.  </w:t>
      </w:r>
      <w:r w:rsidRPr="000D4E0C">
        <w:rPr>
          <w:i/>
        </w:rPr>
        <w:t xml:space="preserve">Stefanoski v. PA American Water Co., </w:t>
      </w:r>
      <w:r w:rsidR="005835BD">
        <w:t>Docket No. C</w:t>
      </w:r>
      <w:r w:rsidR="005835BD">
        <w:noBreakHyphen/>
      </w:r>
      <w:r w:rsidRPr="000D4E0C">
        <w:t>20078219 (Opinion and order entered September 22, 2008).</w:t>
      </w:r>
    </w:p>
    <w:p w:rsidR="00B37429" w:rsidRPr="000D4E0C" w:rsidRDefault="00B37429" w:rsidP="00AE5EE1">
      <w:pPr>
        <w:spacing w:line="360" w:lineRule="auto"/>
      </w:pPr>
      <w:r w:rsidRPr="000D4E0C">
        <w:t> </w:t>
      </w:r>
    </w:p>
    <w:p w:rsidR="00B37429" w:rsidRDefault="00B37429" w:rsidP="00AE5EE1">
      <w:pPr>
        <w:spacing w:line="360" w:lineRule="auto"/>
      </w:pPr>
      <w:r w:rsidRPr="000D4E0C">
        <w:tab/>
      </w:r>
      <w:r w:rsidRPr="000D4E0C">
        <w:tab/>
      </w:r>
      <w:r w:rsidR="0023340D">
        <w:t>8</w:t>
      </w:r>
      <w:r w:rsidRPr="000D4E0C">
        <w:t>.</w:t>
      </w:r>
      <w:r w:rsidRPr="000D4E0C">
        <w:tab/>
        <w:t xml:space="preserve">In addition, property disputes belong in a court of general jurisdiction.  </w:t>
      </w:r>
      <w:r w:rsidRPr="000D4E0C">
        <w:rPr>
          <w:i/>
        </w:rPr>
        <w:t>See Anne E. Perrige v. Metropolitan Edison Co.,</w:t>
      </w:r>
      <w:r w:rsidRPr="000D4E0C">
        <w:t xml:space="preserve"> PUC Docket No. C-00004110 (Order entered July 11, 2003) (Commission had no jurisdiction to interpret the meaning of a written right-of-way agreement); </w:t>
      </w:r>
      <w:r w:rsidRPr="000D4E0C">
        <w:rPr>
          <w:i/>
        </w:rPr>
        <w:t>Lou Amati/Amati Service Station v. West Penn Power Co. and Bell Atlantic-Pennsylvania, Inc.</w:t>
      </w:r>
      <w:r w:rsidRPr="000D4E0C">
        <w:t xml:space="preserve">, PUC Docket No. C-00945842 (Order entered October 25, 1995) (real property issues such as trespass and whether utility facilities are located pursuant to valid easements are within the exclusive jurisdiction of the Courts of Common Pleas); </w:t>
      </w:r>
      <w:r w:rsidRPr="000D4E0C">
        <w:rPr>
          <w:i/>
        </w:rPr>
        <w:t>Tod and Lisa Shedlosky v. Pennsylvania Electric Company</w:t>
      </w:r>
      <w:r w:rsidRPr="000D4E0C">
        <w:t>, PUC Docket No. C-20066937 (Order entered May 28, 2008).</w:t>
      </w:r>
    </w:p>
    <w:p w:rsidR="0023340D" w:rsidRPr="000D4E0C" w:rsidRDefault="0023340D" w:rsidP="00AE5EE1">
      <w:pPr>
        <w:spacing w:line="360" w:lineRule="auto"/>
      </w:pPr>
    </w:p>
    <w:p w:rsidR="00B37429" w:rsidRPr="000D4E0C" w:rsidRDefault="00B37429" w:rsidP="00AE5EE1">
      <w:pPr>
        <w:spacing w:line="360" w:lineRule="auto"/>
      </w:pPr>
      <w:r w:rsidRPr="000D4E0C">
        <w:tab/>
      </w:r>
      <w:r w:rsidRPr="000D4E0C">
        <w:tab/>
      </w:r>
      <w:r w:rsidR="0023340D">
        <w:t>9</w:t>
      </w:r>
      <w:r w:rsidRPr="000D4E0C">
        <w:t>.</w:t>
      </w:r>
      <w:r w:rsidRPr="000D4E0C">
        <w:tab/>
        <w:t>However, the Commission has the responsibility to ensure that “[E]very public utility shall furnish and maintain adequate, efficient, safe and reasonable service and facilities. . .</w:t>
      </w:r>
      <w:proofErr w:type="gramStart"/>
      <w:r w:rsidRPr="000D4E0C">
        <w:t>”  66</w:t>
      </w:r>
      <w:proofErr w:type="gramEnd"/>
      <w:r w:rsidRPr="000D4E0C">
        <w:t xml:space="preserve"> Pa.C.S. § 1501, and the Commission is the proper forum to determine whether the utility has provided proper service to these Complainants, short of resolving a controversy which will determine property rights.  See </w:t>
      </w:r>
      <w:r w:rsidRPr="000D4E0C">
        <w:rPr>
          <w:i/>
        </w:rPr>
        <w:t xml:space="preserve">Burek v. Pennsylvania Electric Company, </w:t>
      </w:r>
      <w:r w:rsidRPr="000D4E0C">
        <w:t>Docket No. C-20028132 (Opinion and Order entered June 27, 2003).</w:t>
      </w:r>
    </w:p>
    <w:p w:rsidR="00B37429" w:rsidRPr="000D4E0C" w:rsidRDefault="00B37429" w:rsidP="00AE5EE1">
      <w:pPr>
        <w:spacing w:line="360" w:lineRule="auto"/>
      </w:pPr>
      <w:r w:rsidRPr="000D4E0C">
        <w:t> </w:t>
      </w:r>
    </w:p>
    <w:p w:rsidR="00B37429" w:rsidRPr="000D4E0C" w:rsidRDefault="00B37429" w:rsidP="00AE5EE1">
      <w:pPr>
        <w:spacing w:line="360" w:lineRule="auto"/>
        <w:rPr>
          <w:rFonts w:eastAsia="Times New Roman"/>
          <w:color w:val="333333"/>
        </w:rPr>
      </w:pPr>
      <w:r w:rsidRPr="000D4E0C">
        <w:tab/>
      </w:r>
      <w:r w:rsidRPr="000D4E0C">
        <w:tab/>
        <w:t>1</w:t>
      </w:r>
      <w:r w:rsidR="0023340D">
        <w:t>0</w:t>
      </w:r>
      <w:r w:rsidRPr="000D4E0C">
        <w:t>.</w:t>
      </w:r>
      <w:r w:rsidRPr="000D4E0C">
        <w:tab/>
        <w:t xml:space="preserve">Utility service "is not confined to the distribution of electrical energy, but includes 'any and all acts' related to that function."  </w:t>
      </w:r>
      <w:r w:rsidRPr="000D4E0C">
        <w:rPr>
          <w:i/>
        </w:rPr>
        <w:t xml:space="preserve">Burek v. Pennsylvania Electric Company, </w:t>
      </w:r>
      <w:r w:rsidRPr="000D4E0C">
        <w:t xml:space="preserve">Docket No. C-20028132 (Opinion and Order entered June 27, 2003); </w:t>
      </w:r>
      <w:hyperlink r:id="rId17" w:history="1">
        <w:r w:rsidRPr="000D4E0C">
          <w:rPr>
            <w:rStyle w:val="Hyperlink"/>
            <w:color w:val="auto"/>
            <w:u w:val="none"/>
          </w:rPr>
          <w:t>66 Pa.C.S. § 102</w:t>
        </w:r>
      </w:hyperlink>
      <w:r w:rsidRPr="000D4E0C">
        <w:t xml:space="preserve">.  See also </w:t>
      </w:r>
      <w:hyperlink r:id="rId18" w:history="1">
        <w:r w:rsidRPr="000D4E0C">
          <w:rPr>
            <w:rStyle w:val="Hyperlink"/>
            <w:i/>
            <w:color w:val="auto"/>
            <w:u w:val="none"/>
          </w:rPr>
          <w:t>Popowsky</w:t>
        </w:r>
        <w:r w:rsidRPr="000D4E0C">
          <w:rPr>
            <w:rStyle w:val="Hyperlink"/>
            <w:color w:val="auto"/>
            <w:u w:val="none"/>
          </w:rPr>
          <w:t>, 653 A.2d 1385</w:t>
        </w:r>
      </w:hyperlink>
      <w:r w:rsidRPr="000D4E0C">
        <w:t xml:space="preserve"> (Pa.Cmwlth. 1995).</w:t>
      </w:r>
      <w:r w:rsidRPr="000D4E0C">
        <w:rPr>
          <w:color w:val="333333"/>
        </w:rPr>
        <w:t xml:space="preserve">  </w:t>
      </w:r>
      <w:r w:rsidRPr="000D4E0C">
        <w:rPr>
          <w:rFonts w:eastAsia="Times New Roman"/>
          <w:i/>
          <w:color w:val="333333"/>
        </w:rPr>
        <w:t>PECO Energy Company v. Township of Upper Dublin</w:t>
      </w:r>
      <w:r w:rsidRPr="000D4E0C">
        <w:rPr>
          <w:rFonts w:eastAsia="Times New Roman"/>
          <w:color w:val="333333"/>
        </w:rPr>
        <w:t xml:space="preserve">, </w:t>
      </w:r>
      <w:proofErr w:type="gramStart"/>
      <w:r w:rsidRPr="000D4E0C">
        <w:rPr>
          <w:rFonts w:eastAsia="Times New Roman"/>
          <w:color w:val="333333"/>
        </w:rPr>
        <w:t>922 A.2d 996</w:t>
      </w:r>
      <w:proofErr w:type="gramEnd"/>
      <w:r w:rsidRPr="000D4E0C">
        <w:rPr>
          <w:rFonts w:eastAsia="Times New Roman"/>
          <w:color w:val="333333"/>
        </w:rPr>
        <w:t xml:space="preserve">, 1005-1006 (Pa.Cmwlth. 2007), 2007 Pa. Commw. </w:t>
      </w:r>
      <w:proofErr w:type="gramStart"/>
      <w:r w:rsidRPr="000D4E0C">
        <w:rPr>
          <w:rFonts w:eastAsia="Times New Roman"/>
          <w:color w:val="333333"/>
        </w:rPr>
        <w:t>LEXIS 195.</w:t>
      </w:r>
      <w:proofErr w:type="gramEnd"/>
    </w:p>
    <w:p w:rsidR="00AE5EE1" w:rsidRPr="000D4E0C" w:rsidRDefault="00AE5EE1" w:rsidP="00AE5EE1">
      <w:pPr>
        <w:spacing w:line="360" w:lineRule="auto"/>
      </w:pPr>
    </w:p>
    <w:p w:rsidR="00B37429" w:rsidRPr="000D4E0C" w:rsidRDefault="00AE5EE1" w:rsidP="00AE5EE1">
      <w:pPr>
        <w:spacing w:before="240" w:after="240" w:line="360" w:lineRule="auto"/>
        <w:contextualSpacing/>
        <w:rPr>
          <w:rFonts w:eastAsia="Times New Roman"/>
          <w:color w:val="333333"/>
        </w:rPr>
      </w:pPr>
      <w:r w:rsidRPr="000D4E0C">
        <w:rPr>
          <w:rFonts w:eastAsia="Times New Roman"/>
          <w:color w:val="333333"/>
        </w:rPr>
        <w:tab/>
      </w:r>
      <w:r w:rsidRPr="000D4E0C">
        <w:rPr>
          <w:rFonts w:eastAsia="Times New Roman"/>
          <w:color w:val="333333"/>
        </w:rPr>
        <w:tab/>
        <w:t>1</w:t>
      </w:r>
      <w:r w:rsidR="0023340D">
        <w:rPr>
          <w:rFonts w:eastAsia="Times New Roman"/>
          <w:color w:val="333333"/>
        </w:rPr>
        <w:t>1</w:t>
      </w:r>
      <w:r w:rsidR="00B37429" w:rsidRPr="000D4E0C">
        <w:rPr>
          <w:rFonts w:eastAsia="Times New Roman"/>
          <w:color w:val="333333"/>
        </w:rPr>
        <w:t>.</w:t>
      </w:r>
      <w:r w:rsidR="00B37429" w:rsidRPr="000D4E0C">
        <w:rPr>
          <w:rFonts w:eastAsia="Times New Roman"/>
          <w:color w:val="333333"/>
        </w:rPr>
        <w:tab/>
        <w:t xml:space="preserve">The Commission's regulations set requirements for developing and filing a plan for vegetation management.  </w:t>
      </w:r>
      <w:proofErr w:type="gramStart"/>
      <w:r w:rsidR="00B37429" w:rsidRPr="000D4E0C">
        <w:rPr>
          <w:rFonts w:eastAsia="Times New Roman"/>
          <w:color w:val="333333"/>
        </w:rPr>
        <w:t>52 Pa.Code § 57.198.</w:t>
      </w:r>
      <w:proofErr w:type="gramEnd"/>
    </w:p>
    <w:p w:rsidR="00AE5EE1" w:rsidRPr="000D4E0C" w:rsidRDefault="00AE5EE1" w:rsidP="00AE5EE1">
      <w:pPr>
        <w:spacing w:before="240" w:after="240" w:line="360" w:lineRule="auto"/>
        <w:contextualSpacing/>
        <w:rPr>
          <w:rFonts w:eastAsia="Times New Roman"/>
          <w:color w:val="333333"/>
        </w:rPr>
      </w:pPr>
    </w:p>
    <w:p w:rsidR="00B37429" w:rsidRPr="000D4E0C" w:rsidRDefault="00AE5EE1" w:rsidP="00AE5EE1">
      <w:pPr>
        <w:spacing w:before="240" w:after="240" w:line="360" w:lineRule="auto"/>
        <w:contextualSpacing/>
      </w:pPr>
      <w:r w:rsidRPr="000D4E0C">
        <w:rPr>
          <w:rFonts w:eastAsia="Times New Roman"/>
          <w:color w:val="333333"/>
        </w:rPr>
        <w:tab/>
      </w:r>
      <w:r w:rsidRPr="000D4E0C">
        <w:rPr>
          <w:rFonts w:eastAsia="Times New Roman"/>
          <w:color w:val="333333"/>
        </w:rPr>
        <w:tab/>
        <w:t>1</w:t>
      </w:r>
      <w:r w:rsidR="0023340D">
        <w:rPr>
          <w:rFonts w:eastAsia="Times New Roman"/>
          <w:color w:val="333333"/>
        </w:rPr>
        <w:t>2</w:t>
      </w:r>
      <w:r w:rsidRPr="000D4E0C">
        <w:rPr>
          <w:rFonts w:eastAsia="Times New Roman"/>
          <w:color w:val="333333"/>
        </w:rPr>
        <w:t>.</w:t>
      </w:r>
      <w:r w:rsidRPr="000D4E0C">
        <w:rPr>
          <w:rFonts w:eastAsia="Times New Roman"/>
          <w:color w:val="333333"/>
        </w:rPr>
        <w:tab/>
      </w:r>
      <w:r w:rsidR="00B37429" w:rsidRPr="000D4E0C">
        <w:t xml:space="preserve">Upon the presentation by the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weight, the Complainant has not satisfied the burden of proof.  The Complainant now has to provide some additional evidence to rebut the evidence of the Respondent. </w:t>
      </w:r>
      <w:r w:rsidR="00B37429" w:rsidRPr="000D4E0C">
        <w:rPr>
          <w:iCs/>
        </w:rPr>
        <w:t xml:space="preserve"> </w:t>
      </w:r>
      <w:hyperlink r:id="rId19" w:history="1">
        <w:proofErr w:type="gramStart"/>
        <w:r w:rsidR="00B37429" w:rsidRPr="000D4E0C">
          <w:rPr>
            <w:rStyle w:val="Hyperlink"/>
            <w:rFonts w:eastAsiaTheme="majorEastAsia"/>
            <w:i/>
            <w:iCs/>
            <w:color w:val="auto"/>
            <w:u w:val="none"/>
          </w:rPr>
          <w:t>Burleson v. Pa. Pub.</w:t>
        </w:r>
        <w:proofErr w:type="gramEnd"/>
        <w:r w:rsidR="00B37429" w:rsidRPr="000D4E0C">
          <w:rPr>
            <w:rStyle w:val="Hyperlink"/>
            <w:rFonts w:eastAsiaTheme="majorEastAsia"/>
            <w:i/>
            <w:iCs/>
            <w:color w:val="auto"/>
            <w:u w:val="none"/>
          </w:rPr>
          <w:t xml:space="preserve"> Util. Comm'n</w:t>
        </w:r>
        <w:r w:rsidR="00B37429" w:rsidRPr="000D4E0C">
          <w:rPr>
            <w:rStyle w:val="Hyperlink"/>
            <w:rFonts w:eastAsiaTheme="majorEastAsia"/>
            <w:iCs/>
            <w:color w:val="auto"/>
            <w:u w:val="none"/>
          </w:rPr>
          <w:t xml:space="preserve">, 443 A.2d 1373 (Pa. Cmwlth. 1982), </w:t>
        </w:r>
        <w:r w:rsidR="00B37429" w:rsidRPr="000D4E0C">
          <w:rPr>
            <w:rStyle w:val="Hyperlink"/>
            <w:rFonts w:eastAsiaTheme="majorEastAsia"/>
            <w:i/>
            <w:iCs/>
            <w:color w:val="auto"/>
            <w:u w:val="none"/>
          </w:rPr>
          <w:t>aff’d</w:t>
        </w:r>
        <w:r w:rsidR="00B37429" w:rsidRPr="000D4E0C">
          <w:rPr>
            <w:rStyle w:val="Hyperlink"/>
            <w:rFonts w:eastAsiaTheme="majorEastAsia"/>
            <w:iCs/>
            <w:color w:val="auto"/>
            <w:u w:val="none"/>
          </w:rPr>
          <w:t>, 501 Pa. 433, 461 A.2d 1234 (1983).</w:t>
        </w:r>
      </w:hyperlink>
    </w:p>
    <w:p w:rsidR="00B37429" w:rsidRPr="000D4E0C" w:rsidRDefault="00B37429" w:rsidP="00AE5EE1">
      <w:pPr>
        <w:spacing w:line="360" w:lineRule="auto"/>
      </w:pPr>
      <w:r w:rsidRPr="000D4E0C">
        <w:rPr>
          <w:rFonts w:eastAsiaTheme="majorEastAsia"/>
          <w:iCs/>
        </w:rPr>
        <w:t> </w:t>
      </w:r>
    </w:p>
    <w:p w:rsidR="00B37429" w:rsidRDefault="00B37429" w:rsidP="00AE5EE1">
      <w:pPr>
        <w:spacing w:line="360" w:lineRule="auto"/>
      </w:pPr>
      <w:r w:rsidRPr="000D4E0C">
        <w:rPr>
          <w:rFonts w:eastAsiaTheme="majorEastAsia"/>
          <w:iCs/>
        </w:rPr>
        <w:tab/>
      </w:r>
      <w:r w:rsidRPr="000D4E0C">
        <w:rPr>
          <w:rFonts w:eastAsiaTheme="majorEastAsia"/>
          <w:iCs/>
        </w:rPr>
        <w:tab/>
      </w:r>
      <w:r w:rsidR="00AE5EE1" w:rsidRPr="000D4E0C">
        <w:rPr>
          <w:rFonts w:eastAsiaTheme="majorEastAsia"/>
          <w:iCs/>
        </w:rPr>
        <w:t>1</w:t>
      </w:r>
      <w:r w:rsidR="0023340D">
        <w:rPr>
          <w:rFonts w:eastAsiaTheme="majorEastAsia"/>
          <w:iCs/>
        </w:rPr>
        <w:t>3</w:t>
      </w:r>
      <w:r w:rsidRPr="000D4E0C">
        <w:rPr>
          <w:rFonts w:eastAsiaTheme="majorEastAsia"/>
          <w:iCs/>
        </w:rPr>
        <w:t>.</w:t>
      </w:r>
      <w:r w:rsidRPr="000D4E0C">
        <w:rPr>
          <w:rFonts w:eastAsiaTheme="majorEastAsia"/>
          <w:iCs/>
        </w:rPr>
        <w:tab/>
      </w:r>
      <w:r w:rsidRPr="000D4E0C">
        <w:t xml:space="preserve">While the burden of persuasion may </w:t>
      </w:r>
      <w:r w:rsidRPr="000D4E0C">
        <w:rPr>
          <w:rFonts w:eastAsiaTheme="majorEastAsia"/>
        </w:rPr>
        <w:t>shift</w:t>
      </w:r>
      <w:r w:rsidRPr="000D4E0C">
        <w:t xml:space="preserve"> back and forth during a proceeding, the </w:t>
      </w:r>
      <w:r w:rsidRPr="000D4E0C">
        <w:rPr>
          <w:rFonts w:eastAsiaTheme="majorEastAsia"/>
        </w:rPr>
        <w:t>burden of proof</w:t>
      </w:r>
      <w:r w:rsidRPr="000D4E0C">
        <w:t xml:space="preserve"> never </w:t>
      </w:r>
      <w:r w:rsidRPr="000D4E0C">
        <w:rPr>
          <w:rFonts w:eastAsiaTheme="majorEastAsia"/>
        </w:rPr>
        <w:t>shifts.  The burden of proof</w:t>
      </w:r>
      <w:r w:rsidRPr="000D4E0C">
        <w:t xml:space="preserve"> always remains on the party seeking affirmative relief from the Commission.  </w:t>
      </w:r>
      <w:proofErr w:type="gramStart"/>
      <w:r w:rsidRPr="000D4E0C">
        <w:rPr>
          <w:i/>
        </w:rPr>
        <w:t>Milkie v. Pa. Pub.</w:t>
      </w:r>
      <w:proofErr w:type="gramEnd"/>
      <w:r w:rsidRPr="000D4E0C">
        <w:rPr>
          <w:i/>
        </w:rPr>
        <w:t xml:space="preserve"> </w:t>
      </w:r>
      <w:proofErr w:type="gramStart"/>
      <w:r w:rsidRPr="000D4E0C">
        <w:rPr>
          <w:i/>
        </w:rPr>
        <w:t xml:space="preserve">Util. Comm'n, </w:t>
      </w:r>
      <w:r w:rsidRPr="000D4E0C">
        <w:t>768 A.2d 1217 (Pa.Cmwlth. 2001).</w:t>
      </w:r>
      <w:proofErr w:type="gramEnd"/>
    </w:p>
    <w:p w:rsidR="005D40C7" w:rsidRPr="000D4E0C" w:rsidRDefault="005D40C7" w:rsidP="00AE5EE1">
      <w:pPr>
        <w:spacing w:line="360" w:lineRule="auto"/>
      </w:pPr>
    </w:p>
    <w:p w:rsidR="00AE5EE1" w:rsidRPr="000D4E0C" w:rsidRDefault="00AE5EE1" w:rsidP="00AE5EE1">
      <w:pPr>
        <w:spacing w:line="360" w:lineRule="auto"/>
      </w:pPr>
      <w:r w:rsidRPr="000D4E0C">
        <w:tab/>
      </w:r>
      <w:r w:rsidRPr="000D4E0C">
        <w:tab/>
        <w:t>1</w:t>
      </w:r>
      <w:r w:rsidR="0023340D">
        <w:t>4</w:t>
      </w:r>
      <w:r w:rsidRPr="000D4E0C">
        <w:t>.</w:t>
      </w:r>
      <w:r w:rsidRPr="000D4E0C">
        <w:tab/>
        <w:t>Complainants have carried their burden of proving that the application of the utility's new vegetation management plan which requires the removal of a row of ornamental pear trees from the edge of the right-of-way that carries a 69 kV transmission line is unreasonable within the meaning of the Public Utility Code.</w:t>
      </w:r>
    </w:p>
    <w:p w:rsidR="008F4A70" w:rsidRPr="000D4E0C" w:rsidRDefault="008F4A70" w:rsidP="00AE5EE1">
      <w:pPr>
        <w:spacing w:line="360" w:lineRule="auto"/>
      </w:pPr>
    </w:p>
    <w:p w:rsidR="008F4A70" w:rsidRPr="000D4E0C" w:rsidRDefault="008F4A70" w:rsidP="00AE5EE1">
      <w:pPr>
        <w:spacing w:line="360" w:lineRule="auto"/>
      </w:pPr>
      <w:r w:rsidRPr="000D4E0C">
        <w:tab/>
      </w:r>
      <w:r w:rsidRPr="000D4E0C">
        <w:tab/>
        <w:t>1</w:t>
      </w:r>
      <w:r w:rsidR="0023340D">
        <w:t>5</w:t>
      </w:r>
      <w:r w:rsidRPr="000D4E0C">
        <w:t>.</w:t>
      </w:r>
      <w:r w:rsidRPr="000D4E0C">
        <w:tab/>
        <w:t xml:space="preserve">The PPL Electric Utilities Corporation vegetation management program for Distribution and 69 kV Vegetation Management Specification as updated </w:t>
      </w:r>
      <w:r w:rsidR="00F3221E">
        <w:t>October 14, 2013</w:t>
      </w:r>
      <w:r w:rsidRPr="000D4E0C">
        <w:t>, is unreasonable</w:t>
      </w:r>
      <w:r w:rsidR="0023340D">
        <w:t xml:space="preserve"> and arbitrary</w:t>
      </w:r>
      <w:r w:rsidRPr="000D4E0C">
        <w:t xml:space="preserve"> </w:t>
      </w:r>
      <w:r w:rsidR="0023340D">
        <w:t>because it</w:t>
      </w:r>
      <w:r w:rsidRPr="000D4E0C">
        <w:t xml:space="preserve"> fail</w:t>
      </w:r>
      <w:r w:rsidR="0023340D">
        <w:t>s</w:t>
      </w:r>
      <w:r w:rsidRPr="000D4E0C">
        <w:t xml:space="preserve"> to </w:t>
      </w:r>
      <w:r w:rsidR="004A42F7" w:rsidRPr="000D4E0C">
        <w:t xml:space="preserve">establish a </w:t>
      </w:r>
      <w:r w:rsidR="0023340D">
        <w:t xml:space="preserve">reasonable, </w:t>
      </w:r>
      <w:r w:rsidR="004A42F7" w:rsidRPr="000D4E0C">
        <w:t>consistent standard for the identification of "compatible trees"</w:t>
      </w:r>
      <w:r w:rsidR="0023340D">
        <w:t xml:space="preserve"> </w:t>
      </w:r>
      <w:r w:rsidR="004A42F7" w:rsidRPr="000D4E0C">
        <w:t>for the border zone of its Wire Zone/Border Zone methodology</w:t>
      </w:r>
      <w:r w:rsidR="0023340D">
        <w:t>,</w:t>
      </w:r>
      <w:r w:rsidR="004A42F7" w:rsidRPr="000D4E0C">
        <w:t xml:space="preserve"> and thereby constitutes a violation of the Public Utility Code.  </w:t>
      </w:r>
      <w:proofErr w:type="gramStart"/>
      <w:r w:rsidR="004A42F7" w:rsidRPr="000D4E0C">
        <w:t>66 Pa.C.S.</w:t>
      </w:r>
      <w:proofErr w:type="gramEnd"/>
      <w:r w:rsidR="004A42F7" w:rsidRPr="000D4E0C">
        <w:t xml:space="preserve"> § 1501.</w:t>
      </w:r>
    </w:p>
    <w:p w:rsidR="005D40C7" w:rsidRPr="000D4E0C" w:rsidRDefault="005D40C7" w:rsidP="00AE5EE1">
      <w:pPr>
        <w:spacing w:line="360" w:lineRule="auto"/>
      </w:pPr>
    </w:p>
    <w:p w:rsidR="00AE5EE1" w:rsidRPr="005D40C7" w:rsidRDefault="00AE5EE1" w:rsidP="00AE5EE1">
      <w:pPr>
        <w:spacing w:line="360" w:lineRule="auto"/>
        <w:jc w:val="center"/>
        <w:rPr>
          <w:u w:val="single"/>
        </w:rPr>
      </w:pPr>
      <w:r w:rsidRPr="005D40C7">
        <w:rPr>
          <w:u w:val="single"/>
        </w:rPr>
        <w:t>ORDER</w:t>
      </w:r>
    </w:p>
    <w:p w:rsidR="005D40C7" w:rsidRPr="000D4E0C" w:rsidRDefault="005D40C7" w:rsidP="00AE5EE1">
      <w:pPr>
        <w:spacing w:line="360" w:lineRule="auto"/>
        <w:jc w:val="center"/>
        <w:rPr>
          <w:b/>
          <w:u w:val="single"/>
        </w:rPr>
      </w:pPr>
    </w:p>
    <w:p w:rsidR="00AE5EE1" w:rsidRPr="000D4E0C" w:rsidRDefault="00AE5EE1" w:rsidP="00AE5EE1">
      <w:pPr>
        <w:spacing w:line="360" w:lineRule="auto"/>
      </w:pPr>
      <w:r w:rsidRPr="000D4E0C">
        <w:tab/>
      </w:r>
      <w:r w:rsidRPr="000D4E0C">
        <w:tab/>
        <w:t>THEREFORE,</w:t>
      </w:r>
    </w:p>
    <w:p w:rsidR="00AE5EE1" w:rsidRPr="000D4E0C" w:rsidRDefault="00AE5EE1" w:rsidP="00AE5EE1">
      <w:pPr>
        <w:spacing w:line="360" w:lineRule="auto"/>
      </w:pPr>
    </w:p>
    <w:p w:rsidR="00AE5EE1" w:rsidRPr="000D4E0C" w:rsidRDefault="00AE5EE1" w:rsidP="00AE5EE1">
      <w:pPr>
        <w:spacing w:line="360" w:lineRule="auto"/>
      </w:pPr>
      <w:r w:rsidRPr="000D4E0C">
        <w:tab/>
      </w:r>
      <w:r w:rsidRPr="000D4E0C">
        <w:tab/>
        <w:t>IT IS ORDERED:</w:t>
      </w:r>
    </w:p>
    <w:p w:rsidR="00AE5EE1" w:rsidRPr="000D4E0C" w:rsidRDefault="00AE5EE1" w:rsidP="00AE5EE1">
      <w:pPr>
        <w:spacing w:line="360" w:lineRule="auto"/>
      </w:pPr>
    </w:p>
    <w:p w:rsidR="00AE5EE1" w:rsidRPr="000D4E0C" w:rsidRDefault="00AE5EE1" w:rsidP="00AE5EE1">
      <w:pPr>
        <w:spacing w:line="360" w:lineRule="auto"/>
      </w:pPr>
      <w:r w:rsidRPr="000D4E0C">
        <w:tab/>
      </w:r>
      <w:r w:rsidRPr="000D4E0C">
        <w:tab/>
        <w:t>1.</w:t>
      </w:r>
      <w:r w:rsidRPr="000D4E0C">
        <w:tab/>
        <w:t>That the Complaint filed by Richard and Sandy Lehet against PPL Electric Utilities Corporation at docket no. C-2014-</w:t>
      </w:r>
      <w:proofErr w:type="gramStart"/>
      <w:r w:rsidRPr="000D4E0C">
        <w:t>2449983,</w:t>
      </w:r>
      <w:proofErr w:type="gramEnd"/>
      <w:r w:rsidRPr="000D4E0C">
        <w:t xml:space="preserve"> is sustained.</w:t>
      </w:r>
    </w:p>
    <w:p w:rsidR="00AE5EE1" w:rsidRPr="000D4E0C" w:rsidRDefault="00AE5EE1" w:rsidP="00AE5EE1">
      <w:pPr>
        <w:spacing w:line="360" w:lineRule="auto"/>
      </w:pPr>
    </w:p>
    <w:p w:rsidR="00AE5EE1" w:rsidRPr="000D4E0C" w:rsidRDefault="00AE5EE1" w:rsidP="00AE5EE1">
      <w:pPr>
        <w:spacing w:line="360" w:lineRule="auto"/>
      </w:pPr>
      <w:r w:rsidRPr="000D4E0C">
        <w:tab/>
      </w:r>
      <w:r w:rsidRPr="000D4E0C">
        <w:tab/>
        <w:t>2.</w:t>
      </w:r>
      <w:r w:rsidRPr="000D4E0C">
        <w:tab/>
        <w:t>That PPL Electric Utilities Corporation shall not remove the subject line of Bradford pear trees from the right-of-way across the lands of Richard and Sandy Lehet</w:t>
      </w:r>
      <w:r w:rsidR="004C5B68" w:rsidRPr="000D4E0C">
        <w:t>.</w:t>
      </w:r>
    </w:p>
    <w:p w:rsidR="004C5B68" w:rsidRPr="000D4E0C" w:rsidRDefault="004C5B68" w:rsidP="00AE5EE1">
      <w:pPr>
        <w:spacing w:line="360" w:lineRule="auto"/>
      </w:pPr>
    </w:p>
    <w:p w:rsidR="004C5B68" w:rsidRPr="000D4E0C" w:rsidRDefault="004C5B68" w:rsidP="00AE5EE1">
      <w:pPr>
        <w:spacing w:line="360" w:lineRule="auto"/>
      </w:pPr>
      <w:r w:rsidRPr="000D4E0C">
        <w:tab/>
      </w:r>
      <w:r w:rsidRPr="000D4E0C">
        <w:tab/>
        <w:t>3.</w:t>
      </w:r>
      <w:r w:rsidRPr="000D4E0C">
        <w:tab/>
        <w:t xml:space="preserve">That PPL Electric Utilities Corporation shall </w:t>
      </w:r>
      <w:r w:rsidR="004A42F7" w:rsidRPr="000D4E0C">
        <w:t>cease to violate the Public Utility Code</w:t>
      </w:r>
      <w:r w:rsidRPr="000D4E0C">
        <w:t>.</w:t>
      </w:r>
    </w:p>
    <w:p w:rsidR="004C5B68" w:rsidRPr="000D4E0C" w:rsidRDefault="004C5B68" w:rsidP="00AE5EE1">
      <w:pPr>
        <w:spacing w:line="360" w:lineRule="auto"/>
      </w:pPr>
    </w:p>
    <w:p w:rsidR="00FA1B5F" w:rsidRPr="000D4E0C" w:rsidRDefault="004C5B68" w:rsidP="00AE5EE1">
      <w:pPr>
        <w:spacing w:line="360" w:lineRule="auto"/>
      </w:pPr>
      <w:r w:rsidRPr="000D4E0C">
        <w:tab/>
      </w:r>
      <w:r w:rsidRPr="000D4E0C">
        <w:tab/>
        <w:t>4.</w:t>
      </w:r>
      <w:r w:rsidRPr="000D4E0C">
        <w:tab/>
      </w:r>
      <w:r w:rsidR="00FA1B5F" w:rsidRPr="000D4E0C">
        <w:t xml:space="preserve">That this </w:t>
      </w:r>
      <w:r w:rsidR="006D6C6B" w:rsidRPr="000D4E0C">
        <w:t xml:space="preserve">Initial Decision be served on the Commission's Bureau of Technical Assistance, Electric Safety Division, for review of the </w:t>
      </w:r>
      <w:r w:rsidR="00F3221E">
        <w:t xml:space="preserve">PPL Electric Utilities Corporation </w:t>
      </w:r>
      <w:r w:rsidR="006D6C6B" w:rsidRPr="000D4E0C">
        <w:t>vegetation management plan for 69kV transmission lines.</w:t>
      </w:r>
    </w:p>
    <w:p w:rsidR="006D6C6B" w:rsidRPr="000D4E0C" w:rsidRDefault="006D6C6B" w:rsidP="00AE5EE1">
      <w:pPr>
        <w:spacing w:line="360" w:lineRule="auto"/>
      </w:pPr>
    </w:p>
    <w:p w:rsidR="004C5B68" w:rsidRPr="000D4E0C" w:rsidRDefault="004C5B68" w:rsidP="00AE5EE1">
      <w:pPr>
        <w:spacing w:line="360" w:lineRule="auto"/>
      </w:pPr>
    </w:p>
    <w:p w:rsidR="004C5B68" w:rsidRPr="000D4E0C" w:rsidRDefault="004C5B68" w:rsidP="004C5B68">
      <w:r w:rsidRPr="000D4E0C">
        <w:t>Dated:</w:t>
      </w:r>
      <w:r w:rsidRPr="000D4E0C">
        <w:tab/>
      </w:r>
      <w:r w:rsidRPr="000D4E0C">
        <w:rPr>
          <w:u w:val="single"/>
        </w:rPr>
        <w:t>February 2</w:t>
      </w:r>
      <w:r w:rsidR="006D6C6B" w:rsidRPr="000D4E0C">
        <w:rPr>
          <w:u w:val="single"/>
        </w:rPr>
        <w:t>5</w:t>
      </w:r>
      <w:r w:rsidRPr="000D4E0C">
        <w:rPr>
          <w:u w:val="single"/>
        </w:rPr>
        <w:t>, 2015</w:t>
      </w:r>
      <w:r w:rsidRPr="000D4E0C">
        <w:tab/>
      </w:r>
      <w:r w:rsidRPr="000D4E0C">
        <w:tab/>
      </w:r>
      <w:r w:rsidRPr="000D4E0C">
        <w:tab/>
      </w:r>
      <w:r w:rsidRPr="000D4E0C">
        <w:tab/>
        <w:t>____</w:t>
      </w:r>
      <w:r w:rsidRPr="000D4E0C">
        <w:rPr>
          <w:u w:val="single"/>
        </w:rPr>
        <w:t>/s/</w:t>
      </w:r>
      <w:r w:rsidRPr="000D4E0C">
        <w:t>__________________________</w:t>
      </w:r>
    </w:p>
    <w:p w:rsidR="004C5B68" w:rsidRPr="000D4E0C" w:rsidRDefault="004C5B68" w:rsidP="004C5B68">
      <w:r w:rsidRPr="000D4E0C">
        <w:tab/>
      </w:r>
      <w:r w:rsidRPr="000D4E0C">
        <w:tab/>
      </w:r>
      <w:r w:rsidRPr="000D4E0C">
        <w:tab/>
      </w:r>
      <w:r w:rsidRPr="000D4E0C">
        <w:tab/>
      </w:r>
      <w:r w:rsidRPr="000D4E0C">
        <w:tab/>
      </w:r>
      <w:r w:rsidRPr="000D4E0C">
        <w:tab/>
      </w:r>
      <w:r w:rsidRPr="000D4E0C">
        <w:tab/>
        <w:t>Susan D. Colwell</w:t>
      </w:r>
    </w:p>
    <w:p w:rsidR="004C5B68" w:rsidRPr="000D4E0C" w:rsidRDefault="004C5B68" w:rsidP="004C5B68">
      <w:r w:rsidRPr="000D4E0C">
        <w:tab/>
      </w:r>
      <w:r w:rsidRPr="000D4E0C">
        <w:tab/>
      </w:r>
      <w:r w:rsidRPr="000D4E0C">
        <w:tab/>
      </w:r>
      <w:r w:rsidRPr="000D4E0C">
        <w:tab/>
      </w:r>
      <w:r w:rsidRPr="000D4E0C">
        <w:tab/>
      </w:r>
      <w:r w:rsidRPr="000D4E0C">
        <w:tab/>
      </w:r>
      <w:r w:rsidRPr="000D4E0C">
        <w:tab/>
        <w:t>Administrative Law Judge</w:t>
      </w:r>
    </w:p>
    <w:sectPr w:rsidR="004C5B68" w:rsidRPr="000D4E0C" w:rsidSect="005D40C7">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83" w:rsidRDefault="00DE3483" w:rsidP="00B37429">
      <w:r>
        <w:separator/>
      </w:r>
    </w:p>
  </w:endnote>
  <w:endnote w:type="continuationSeparator" w:id="0">
    <w:p w:rsidR="00DE3483" w:rsidRDefault="00DE3483" w:rsidP="00B3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63269465"/>
      <w:docPartObj>
        <w:docPartGallery w:val="Page Numbers (Bottom of Page)"/>
        <w:docPartUnique/>
      </w:docPartObj>
    </w:sdtPr>
    <w:sdtEndPr>
      <w:rPr>
        <w:noProof/>
      </w:rPr>
    </w:sdtEndPr>
    <w:sdtContent>
      <w:p w:rsidR="0009737C" w:rsidRPr="0009737C" w:rsidRDefault="0009737C">
        <w:pPr>
          <w:pStyle w:val="Footer"/>
          <w:jc w:val="center"/>
          <w:rPr>
            <w:sz w:val="20"/>
            <w:szCs w:val="20"/>
          </w:rPr>
        </w:pPr>
        <w:r w:rsidRPr="0009737C">
          <w:rPr>
            <w:sz w:val="20"/>
            <w:szCs w:val="20"/>
          </w:rPr>
          <w:fldChar w:fldCharType="begin"/>
        </w:r>
        <w:r w:rsidRPr="0009737C">
          <w:rPr>
            <w:sz w:val="20"/>
            <w:szCs w:val="20"/>
          </w:rPr>
          <w:instrText xml:space="preserve"> PAGE   \* MERGEFORMAT </w:instrText>
        </w:r>
        <w:r w:rsidRPr="0009737C">
          <w:rPr>
            <w:sz w:val="20"/>
            <w:szCs w:val="20"/>
          </w:rPr>
          <w:fldChar w:fldCharType="separate"/>
        </w:r>
        <w:r w:rsidR="00B14B58">
          <w:rPr>
            <w:noProof/>
            <w:sz w:val="20"/>
            <w:szCs w:val="20"/>
          </w:rPr>
          <w:t>20</w:t>
        </w:r>
        <w:r w:rsidRPr="0009737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7C" w:rsidRPr="0009737C" w:rsidRDefault="0009737C">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80890694"/>
      <w:docPartObj>
        <w:docPartGallery w:val="Page Numbers (Bottom of Page)"/>
        <w:docPartUnique/>
      </w:docPartObj>
    </w:sdtPr>
    <w:sdtEndPr>
      <w:rPr>
        <w:noProof/>
      </w:rPr>
    </w:sdtEndPr>
    <w:sdtContent>
      <w:p w:rsidR="0009737C" w:rsidRPr="0009737C" w:rsidRDefault="0009737C">
        <w:pPr>
          <w:pStyle w:val="Footer"/>
          <w:jc w:val="center"/>
          <w:rPr>
            <w:sz w:val="20"/>
            <w:szCs w:val="20"/>
          </w:rPr>
        </w:pPr>
        <w:r w:rsidRPr="0009737C">
          <w:rPr>
            <w:sz w:val="20"/>
            <w:szCs w:val="20"/>
          </w:rPr>
          <w:fldChar w:fldCharType="begin"/>
        </w:r>
        <w:r w:rsidRPr="0009737C">
          <w:rPr>
            <w:sz w:val="20"/>
            <w:szCs w:val="20"/>
          </w:rPr>
          <w:instrText xml:space="preserve"> PAGE   \* MERGEFORMAT </w:instrText>
        </w:r>
        <w:r w:rsidRPr="0009737C">
          <w:rPr>
            <w:sz w:val="20"/>
            <w:szCs w:val="20"/>
          </w:rPr>
          <w:fldChar w:fldCharType="separate"/>
        </w:r>
        <w:r w:rsidR="00B14B58">
          <w:rPr>
            <w:noProof/>
            <w:sz w:val="20"/>
            <w:szCs w:val="20"/>
          </w:rPr>
          <w:t>16</w:t>
        </w:r>
        <w:r w:rsidRPr="0009737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83" w:rsidRDefault="00DE3483" w:rsidP="00B37429">
      <w:r>
        <w:separator/>
      </w:r>
    </w:p>
  </w:footnote>
  <w:footnote w:type="continuationSeparator" w:id="0">
    <w:p w:rsidR="00DE3483" w:rsidRDefault="00DE3483" w:rsidP="00B37429">
      <w:r>
        <w:continuationSeparator/>
      </w:r>
    </w:p>
  </w:footnote>
  <w:footnote w:id="1">
    <w:p w:rsidR="00B4786D" w:rsidRDefault="00B4786D">
      <w:pPr>
        <w:pStyle w:val="FootnoteText"/>
      </w:pPr>
      <w:r w:rsidRPr="000B7CCA">
        <w:rPr>
          <w:rStyle w:val="FootnoteReference"/>
          <w:vertAlign w:val="superscript"/>
        </w:rPr>
        <w:footnoteRef/>
      </w:r>
      <w:r>
        <w:t xml:space="preserve"> </w:t>
      </w:r>
      <w:r w:rsidR="000B7CCA">
        <w:tab/>
      </w:r>
      <w:r>
        <w:t>PPL Electric has signed a waiver of the Section 702 requirements for service of formal complaints under the Commission's Waiver of Section 702 Program.  The audit history of the Commission's electronic document handling system lists the date of service as October 28, 2014.</w:t>
      </w:r>
    </w:p>
  </w:footnote>
  <w:footnote w:id="2">
    <w:p w:rsidR="00B37429" w:rsidRDefault="00B37429" w:rsidP="00B37429">
      <w:pPr>
        <w:rPr>
          <w:sz w:val="20"/>
          <w:szCs w:val="20"/>
        </w:rPr>
      </w:pPr>
      <w:r w:rsidRPr="00C9051E">
        <w:rPr>
          <w:rStyle w:val="FootnoteReference"/>
          <w:sz w:val="20"/>
          <w:szCs w:val="20"/>
          <w:vertAlign w:val="superscript"/>
        </w:rPr>
        <w:footnoteRef/>
      </w:r>
      <w:r w:rsidRPr="00C9051E">
        <w:rPr>
          <w:sz w:val="20"/>
          <w:szCs w:val="20"/>
          <w:vertAlign w:val="superscript"/>
        </w:rPr>
        <w:t xml:space="preserve"> </w:t>
      </w:r>
      <w:r w:rsidR="00C9051E">
        <w:rPr>
          <w:sz w:val="20"/>
          <w:szCs w:val="20"/>
          <w:vertAlign w:val="superscript"/>
        </w:rPr>
        <w:tab/>
      </w:r>
      <w:proofErr w:type="gramStart"/>
      <w:r w:rsidRPr="00C9051E">
        <w:rPr>
          <w:i/>
          <w:sz w:val="20"/>
          <w:szCs w:val="20"/>
        </w:rPr>
        <w:t>West Penn Power Co. v. Pa. Pub.</w:t>
      </w:r>
      <w:proofErr w:type="gramEnd"/>
      <w:r w:rsidRPr="00C9051E">
        <w:rPr>
          <w:i/>
          <w:sz w:val="20"/>
          <w:szCs w:val="20"/>
        </w:rPr>
        <w:t xml:space="preserve"> Util. Comm'n, </w:t>
      </w:r>
      <w:r w:rsidRPr="00C9051E">
        <w:rPr>
          <w:sz w:val="20"/>
          <w:szCs w:val="20"/>
        </w:rPr>
        <w:t>578 A.2d 75 (Pa.Cmwlth. 1990), petition for allowance of appeal denied 527 Pa. 660, 593 A.2d 429 (1991).</w:t>
      </w:r>
    </w:p>
    <w:p w:rsidR="00C9051E" w:rsidRPr="00C9051E" w:rsidRDefault="00C9051E" w:rsidP="00B37429">
      <w:pPr>
        <w:rPr>
          <w:sz w:val="20"/>
          <w:szCs w:val="20"/>
        </w:rPr>
      </w:pPr>
    </w:p>
  </w:footnote>
  <w:footnote w:id="3">
    <w:p w:rsidR="00B37429" w:rsidRDefault="00B37429" w:rsidP="00B37429">
      <w:pPr>
        <w:rPr>
          <w:rFonts w:ascii="Calibri" w:hAnsi="Calibri"/>
        </w:rPr>
      </w:pPr>
      <w:r w:rsidRPr="00C9051E">
        <w:rPr>
          <w:rStyle w:val="FootnoteReference"/>
          <w:sz w:val="20"/>
          <w:szCs w:val="20"/>
          <w:vertAlign w:val="superscript"/>
        </w:rPr>
        <w:footnoteRef/>
      </w:r>
      <w:r w:rsidRPr="00C9051E">
        <w:rPr>
          <w:sz w:val="20"/>
          <w:szCs w:val="20"/>
          <w:vertAlign w:val="superscript"/>
        </w:rPr>
        <w:t xml:space="preserve"> </w:t>
      </w:r>
      <w:r w:rsidR="00C9051E">
        <w:rPr>
          <w:sz w:val="20"/>
          <w:szCs w:val="20"/>
          <w:vertAlign w:val="superscript"/>
        </w:rPr>
        <w:tab/>
      </w:r>
      <w:proofErr w:type="gramStart"/>
      <w:r w:rsidRPr="00C9051E">
        <w:rPr>
          <w:i/>
          <w:sz w:val="20"/>
          <w:szCs w:val="20"/>
        </w:rPr>
        <w:t>Popowsky v. Pa. Pub.</w:t>
      </w:r>
      <w:proofErr w:type="gramEnd"/>
      <w:r w:rsidRPr="00C9051E">
        <w:rPr>
          <w:i/>
          <w:sz w:val="20"/>
          <w:szCs w:val="20"/>
        </w:rPr>
        <w:t xml:space="preserve"> Util. Comm'n, </w:t>
      </w:r>
      <w:r w:rsidRPr="00C9051E">
        <w:rPr>
          <w:sz w:val="20"/>
          <w:szCs w:val="20"/>
        </w:rPr>
        <w:t>653 A.2d 1385 (Pa.Cmwlth. 1995), petition for allowance of appeal denied 544</w:t>
      </w:r>
      <w:r>
        <w:rPr>
          <w:sz w:val="20"/>
          <w:szCs w:val="20"/>
        </w:rPr>
        <w:t xml:space="preserve"> Pa. 650, 664 A.2d 977, 1995 Pa. LEXIS 604.</w:t>
      </w:r>
    </w:p>
  </w:footnote>
  <w:footnote w:id="4">
    <w:p w:rsidR="00D83BDE" w:rsidRDefault="00D83BDE">
      <w:pPr>
        <w:pStyle w:val="FootnoteText"/>
      </w:pPr>
      <w:r w:rsidRPr="000520FB">
        <w:rPr>
          <w:rStyle w:val="FootnoteReference"/>
          <w:vertAlign w:val="superscript"/>
        </w:rPr>
        <w:footnoteRef/>
      </w:r>
      <w:r w:rsidRPr="000520FB">
        <w:rPr>
          <w:vertAlign w:val="superscript"/>
        </w:rPr>
        <w:t xml:space="preserve"> </w:t>
      </w:r>
      <w:r w:rsidR="005835BD">
        <w:rPr>
          <w:vertAlign w:val="superscript"/>
        </w:rPr>
        <w:tab/>
      </w:r>
      <w:r>
        <w:t xml:space="preserve">PPL Witness Baker's repeated statement that the trees pose a significant threat to the safety and reliability of PPL's electric transmission and distribution systems is not supported by a single fact in the record and is countered by the size and location of the trees and their expected height at full growth.  </w:t>
      </w:r>
    </w:p>
    <w:p w:rsidR="000520FB" w:rsidRDefault="000520FB">
      <w:pPr>
        <w:pStyle w:val="FootnoteText"/>
      </w:pPr>
    </w:p>
  </w:footnote>
  <w:footnote w:id="5">
    <w:p w:rsidR="00BE09B6" w:rsidRDefault="00BE09B6">
      <w:pPr>
        <w:pStyle w:val="FootnoteText"/>
      </w:pPr>
      <w:r w:rsidRPr="000520FB">
        <w:rPr>
          <w:rStyle w:val="FootnoteReference"/>
          <w:vertAlign w:val="superscript"/>
        </w:rPr>
        <w:footnoteRef/>
      </w:r>
      <w:r w:rsidRPr="000520FB">
        <w:rPr>
          <w:vertAlign w:val="superscript"/>
        </w:rPr>
        <w:t xml:space="preserve"> </w:t>
      </w:r>
      <w:r w:rsidR="005835BD">
        <w:rPr>
          <w:vertAlign w:val="superscript"/>
        </w:rPr>
        <w:tab/>
      </w:r>
      <w:r>
        <w:t xml:space="preserve">"The wire zone is defined as the area within the right-of-way, and includes the area underneath the conductor, and extends ten feet outward from the outermost conductor on both sides of the transmission line. . . . The border zone is defined as the remainder of the right-of-way.  And it's the area within the right-of-way that extends from the edge of that wire zone I described to the outermost edge of the right-of-way."  </w:t>
      </w:r>
      <w:proofErr w:type="gramStart"/>
      <w:r>
        <w:t>Tr. 33, testimony of PPL Witness Baker.</w:t>
      </w:r>
      <w:proofErr w:type="gramEnd"/>
    </w:p>
  </w:footnote>
  <w:footnote w:id="6">
    <w:p w:rsidR="00397C63" w:rsidRDefault="00397C63">
      <w:pPr>
        <w:pStyle w:val="FootnoteText"/>
      </w:pPr>
      <w:r w:rsidRPr="005835BD">
        <w:rPr>
          <w:rStyle w:val="FootnoteReference"/>
          <w:vertAlign w:val="superscript"/>
        </w:rPr>
        <w:footnoteRef/>
      </w:r>
      <w:r>
        <w:t xml:space="preserve"> </w:t>
      </w:r>
      <w:r w:rsidR="005835BD">
        <w:tab/>
      </w:r>
      <w:r>
        <w:t xml:space="preserve">It is specially designated in Exhibit 5 as a species which must be evaluated on an individual basis which must be removed if it becomes a "clearance threat."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429"/>
    <w:rsid w:val="00001E3A"/>
    <w:rsid w:val="00001EF6"/>
    <w:rsid w:val="000028EA"/>
    <w:rsid w:val="00003D11"/>
    <w:rsid w:val="00004AA3"/>
    <w:rsid w:val="00005558"/>
    <w:rsid w:val="000079FE"/>
    <w:rsid w:val="00012104"/>
    <w:rsid w:val="00012655"/>
    <w:rsid w:val="0001305A"/>
    <w:rsid w:val="00016629"/>
    <w:rsid w:val="00016E55"/>
    <w:rsid w:val="0002023D"/>
    <w:rsid w:val="00020760"/>
    <w:rsid w:val="0002105C"/>
    <w:rsid w:val="0002110E"/>
    <w:rsid w:val="00022B3F"/>
    <w:rsid w:val="00025D7A"/>
    <w:rsid w:val="000304BF"/>
    <w:rsid w:val="00032379"/>
    <w:rsid w:val="0003306B"/>
    <w:rsid w:val="00033303"/>
    <w:rsid w:val="000338CD"/>
    <w:rsid w:val="00035AA7"/>
    <w:rsid w:val="00035BB8"/>
    <w:rsid w:val="000372C5"/>
    <w:rsid w:val="00037484"/>
    <w:rsid w:val="000377F5"/>
    <w:rsid w:val="00037E0F"/>
    <w:rsid w:val="00040EB6"/>
    <w:rsid w:val="00044B8B"/>
    <w:rsid w:val="00044FC0"/>
    <w:rsid w:val="0004643F"/>
    <w:rsid w:val="000466BF"/>
    <w:rsid w:val="00046714"/>
    <w:rsid w:val="00046940"/>
    <w:rsid w:val="000478E2"/>
    <w:rsid w:val="000520FB"/>
    <w:rsid w:val="000541C0"/>
    <w:rsid w:val="0005423F"/>
    <w:rsid w:val="00055078"/>
    <w:rsid w:val="00055486"/>
    <w:rsid w:val="00055CC5"/>
    <w:rsid w:val="000576ED"/>
    <w:rsid w:val="000605B6"/>
    <w:rsid w:val="00061278"/>
    <w:rsid w:val="000624AF"/>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49D"/>
    <w:rsid w:val="00094E20"/>
    <w:rsid w:val="00096B3F"/>
    <w:rsid w:val="0009737C"/>
    <w:rsid w:val="00097D77"/>
    <w:rsid w:val="000A2192"/>
    <w:rsid w:val="000A4551"/>
    <w:rsid w:val="000A4E7A"/>
    <w:rsid w:val="000A5DEA"/>
    <w:rsid w:val="000A6240"/>
    <w:rsid w:val="000A652E"/>
    <w:rsid w:val="000A770B"/>
    <w:rsid w:val="000B1BFC"/>
    <w:rsid w:val="000B2D0C"/>
    <w:rsid w:val="000B339A"/>
    <w:rsid w:val="000B7111"/>
    <w:rsid w:val="000B7CCA"/>
    <w:rsid w:val="000C0311"/>
    <w:rsid w:val="000C2696"/>
    <w:rsid w:val="000C2A2B"/>
    <w:rsid w:val="000C34F3"/>
    <w:rsid w:val="000C4163"/>
    <w:rsid w:val="000C5976"/>
    <w:rsid w:val="000C6B6E"/>
    <w:rsid w:val="000C6EF0"/>
    <w:rsid w:val="000C7A4F"/>
    <w:rsid w:val="000D29BA"/>
    <w:rsid w:val="000D3E49"/>
    <w:rsid w:val="000D4E0C"/>
    <w:rsid w:val="000D5763"/>
    <w:rsid w:val="000D5BC7"/>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194A"/>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0D1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40D"/>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4A5A"/>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462A"/>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1FB"/>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359E"/>
    <w:rsid w:val="00396333"/>
    <w:rsid w:val="00396ADD"/>
    <w:rsid w:val="0039716B"/>
    <w:rsid w:val="00397C63"/>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551A"/>
    <w:rsid w:val="003E7E85"/>
    <w:rsid w:val="003F01A7"/>
    <w:rsid w:val="003F202A"/>
    <w:rsid w:val="003F2E62"/>
    <w:rsid w:val="003F3925"/>
    <w:rsid w:val="003F425B"/>
    <w:rsid w:val="00401386"/>
    <w:rsid w:val="004017C5"/>
    <w:rsid w:val="00402D6C"/>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06C"/>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27F9"/>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2F7"/>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B68"/>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5BD"/>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1D63"/>
    <w:rsid w:val="005B3D45"/>
    <w:rsid w:val="005B78C4"/>
    <w:rsid w:val="005C373B"/>
    <w:rsid w:val="005C3DD2"/>
    <w:rsid w:val="005C4AAA"/>
    <w:rsid w:val="005C610A"/>
    <w:rsid w:val="005D1442"/>
    <w:rsid w:val="005D1922"/>
    <w:rsid w:val="005D2788"/>
    <w:rsid w:val="005D40C7"/>
    <w:rsid w:val="005D4281"/>
    <w:rsid w:val="005D687C"/>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66CF"/>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6C6B"/>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A7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04D"/>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730E"/>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2B59"/>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65C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6A1"/>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08E"/>
    <w:rsid w:val="00AD11DB"/>
    <w:rsid w:val="00AD344D"/>
    <w:rsid w:val="00AD3F55"/>
    <w:rsid w:val="00AD49BE"/>
    <w:rsid w:val="00AD4CFD"/>
    <w:rsid w:val="00AD53F5"/>
    <w:rsid w:val="00AD5E7B"/>
    <w:rsid w:val="00AD7989"/>
    <w:rsid w:val="00AE0BFC"/>
    <w:rsid w:val="00AE1A08"/>
    <w:rsid w:val="00AE1BBA"/>
    <w:rsid w:val="00AE4BA3"/>
    <w:rsid w:val="00AE5EE1"/>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3D44"/>
    <w:rsid w:val="00B143BA"/>
    <w:rsid w:val="00B14B58"/>
    <w:rsid w:val="00B17521"/>
    <w:rsid w:val="00B17683"/>
    <w:rsid w:val="00B20FAA"/>
    <w:rsid w:val="00B21806"/>
    <w:rsid w:val="00B21CD8"/>
    <w:rsid w:val="00B21FBA"/>
    <w:rsid w:val="00B23036"/>
    <w:rsid w:val="00B23264"/>
    <w:rsid w:val="00B253C3"/>
    <w:rsid w:val="00B2793E"/>
    <w:rsid w:val="00B3022C"/>
    <w:rsid w:val="00B32ABD"/>
    <w:rsid w:val="00B32E35"/>
    <w:rsid w:val="00B33408"/>
    <w:rsid w:val="00B33B37"/>
    <w:rsid w:val="00B35017"/>
    <w:rsid w:val="00B37429"/>
    <w:rsid w:val="00B374E5"/>
    <w:rsid w:val="00B3764A"/>
    <w:rsid w:val="00B37AA5"/>
    <w:rsid w:val="00B41FA0"/>
    <w:rsid w:val="00B42826"/>
    <w:rsid w:val="00B430FA"/>
    <w:rsid w:val="00B43982"/>
    <w:rsid w:val="00B4457E"/>
    <w:rsid w:val="00B459AF"/>
    <w:rsid w:val="00B475B6"/>
    <w:rsid w:val="00B4786D"/>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09B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5503"/>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6932"/>
    <w:rsid w:val="00C8762A"/>
    <w:rsid w:val="00C9050E"/>
    <w:rsid w:val="00C9051E"/>
    <w:rsid w:val="00C9216F"/>
    <w:rsid w:val="00C9306D"/>
    <w:rsid w:val="00C93320"/>
    <w:rsid w:val="00C94D54"/>
    <w:rsid w:val="00C95318"/>
    <w:rsid w:val="00C95A99"/>
    <w:rsid w:val="00C96B98"/>
    <w:rsid w:val="00C96F6B"/>
    <w:rsid w:val="00C97ED3"/>
    <w:rsid w:val="00CA043D"/>
    <w:rsid w:val="00CA069B"/>
    <w:rsid w:val="00CA09C4"/>
    <w:rsid w:val="00CA27F9"/>
    <w:rsid w:val="00CA28AD"/>
    <w:rsid w:val="00CA4900"/>
    <w:rsid w:val="00CA4F28"/>
    <w:rsid w:val="00CA7388"/>
    <w:rsid w:val="00CA78AC"/>
    <w:rsid w:val="00CB067C"/>
    <w:rsid w:val="00CB15CA"/>
    <w:rsid w:val="00CB26B3"/>
    <w:rsid w:val="00CB3B7D"/>
    <w:rsid w:val="00CB3C5F"/>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06"/>
    <w:rsid w:val="00D17731"/>
    <w:rsid w:val="00D20E86"/>
    <w:rsid w:val="00D20FB3"/>
    <w:rsid w:val="00D21DFB"/>
    <w:rsid w:val="00D227C4"/>
    <w:rsid w:val="00D23048"/>
    <w:rsid w:val="00D2352A"/>
    <w:rsid w:val="00D23DD0"/>
    <w:rsid w:val="00D23ED1"/>
    <w:rsid w:val="00D251C3"/>
    <w:rsid w:val="00D26CB5"/>
    <w:rsid w:val="00D27EA0"/>
    <w:rsid w:val="00D31593"/>
    <w:rsid w:val="00D33231"/>
    <w:rsid w:val="00D36240"/>
    <w:rsid w:val="00D36D3E"/>
    <w:rsid w:val="00D36DB7"/>
    <w:rsid w:val="00D370C9"/>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BDE"/>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05F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3483"/>
    <w:rsid w:val="00DE4037"/>
    <w:rsid w:val="00DE43F4"/>
    <w:rsid w:val="00DE466B"/>
    <w:rsid w:val="00DE4A72"/>
    <w:rsid w:val="00DE5D8B"/>
    <w:rsid w:val="00DE7515"/>
    <w:rsid w:val="00DE7607"/>
    <w:rsid w:val="00DE761A"/>
    <w:rsid w:val="00DF2338"/>
    <w:rsid w:val="00DF28E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1116"/>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54D0"/>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DF7"/>
    <w:rsid w:val="00ED2F8A"/>
    <w:rsid w:val="00ED58AF"/>
    <w:rsid w:val="00ED7658"/>
    <w:rsid w:val="00EE13F4"/>
    <w:rsid w:val="00EE171F"/>
    <w:rsid w:val="00EE1EE5"/>
    <w:rsid w:val="00EE2928"/>
    <w:rsid w:val="00EE2E23"/>
    <w:rsid w:val="00EE359A"/>
    <w:rsid w:val="00EE4BD0"/>
    <w:rsid w:val="00EE5BA1"/>
    <w:rsid w:val="00EF2966"/>
    <w:rsid w:val="00EF4ACA"/>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1E"/>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F38"/>
    <w:rsid w:val="00F57440"/>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2809"/>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B5F"/>
    <w:rsid w:val="00FA2895"/>
    <w:rsid w:val="00FA29A4"/>
    <w:rsid w:val="00FA3DD7"/>
    <w:rsid w:val="00FA4D12"/>
    <w:rsid w:val="00FA5031"/>
    <w:rsid w:val="00FA5118"/>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29"/>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429"/>
    <w:rPr>
      <w:color w:val="0000FF"/>
      <w:u w:val="single"/>
    </w:rPr>
  </w:style>
  <w:style w:type="character" w:styleId="FootnoteReference">
    <w:name w:val="footnote reference"/>
    <w:basedOn w:val="DefaultParagraphFont"/>
    <w:uiPriority w:val="99"/>
    <w:semiHidden/>
    <w:unhideWhenUsed/>
    <w:rsid w:val="00B37429"/>
  </w:style>
  <w:style w:type="paragraph" w:styleId="FootnoteText">
    <w:name w:val="footnote text"/>
    <w:basedOn w:val="Normal"/>
    <w:link w:val="FootnoteTextChar"/>
    <w:uiPriority w:val="99"/>
    <w:semiHidden/>
    <w:unhideWhenUsed/>
    <w:rsid w:val="00BE09B6"/>
    <w:rPr>
      <w:sz w:val="20"/>
      <w:szCs w:val="20"/>
    </w:rPr>
  </w:style>
  <w:style w:type="character" w:customStyle="1" w:styleId="FootnoteTextChar">
    <w:name w:val="Footnote Text Char"/>
    <w:basedOn w:val="DefaultParagraphFont"/>
    <w:link w:val="FootnoteText"/>
    <w:uiPriority w:val="99"/>
    <w:semiHidden/>
    <w:rsid w:val="00BE09B6"/>
    <w:rPr>
      <w:sz w:val="20"/>
      <w:szCs w:val="20"/>
    </w:rPr>
  </w:style>
  <w:style w:type="paragraph" w:styleId="Header">
    <w:name w:val="header"/>
    <w:basedOn w:val="Normal"/>
    <w:link w:val="HeaderChar"/>
    <w:uiPriority w:val="99"/>
    <w:unhideWhenUsed/>
    <w:rsid w:val="00B13D44"/>
    <w:pPr>
      <w:tabs>
        <w:tab w:val="center" w:pos="4680"/>
        <w:tab w:val="right" w:pos="9360"/>
      </w:tabs>
    </w:pPr>
  </w:style>
  <w:style w:type="character" w:customStyle="1" w:styleId="HeaderChar">
    <w:name w:val="Header Char"/>
    <w:basedOn w:val="DefaultParagraphFont"/>
    <w:link w:val="Header"/>
    <w:uiPriority w:val="99"/>
    <w:rsid w:val="00B13D44"/>
  </w:style>
  <w:style w:type="paragraph" w:styleId="Footer">
    <w:name w:val="footer"/>
    <w:basedOn w:val="Normal"/>
    <w:link w:val="FooterChar"/>
    <w:uiPriority w:val="99"/>
    <w:unhideWhenUsed/>
    <w:rsid w:val="00B13D44"/>
    <w:pPr>
      <w:tabs>
        <w:tab w:val="center" w:pos="4680"/>
        <w:tab w:val="right" w:pos="9360"/>
      </w:tabs>
    </w:pPr>
  </w:style>
  <w:style w:type="character" w:customStyle="1" w:styleId="FooterChar">
    <w:name w:val="Footer Char"/>
    <w:basedOn w:val="DefaultParagraphFont"/>
    <w:link w:val="Footer"/>
    <w:uiPriority w:val="99"/>
    <w:rsid w:val="00B13D44"/>
  </w:style>
  <w:style w:type="paragraph" w:styleId="BalloonText">
    <w:name w:val="Balloon Text"/>
    <w:basedOn w:val="Normal"/>
    <w:link w:val="BalloonTextChar"/>
    <w:uiPriority w:val="99"/>
    <w:semiHidden/>
    <w:unhideWhenUsed/>
    <w:rsid w:val="00B13D44"/>
    <w:rPr>
      <w:rFonts w:ascii="Tahoma" w:hAnsi="Tahoma" w:cs="Tahoma"/>
      <w:sz w:val="16"/>
      <w:szCs w:val="16"/>
    </w:rPr>
  </w:style>
  <w:style w:type="character" w:customStyle="1" w:styleId="BalloonTextChar">
    <w:name w:val="Balloon Text Char"/>
    <w:basedOn w:val="DefaultParagraphFont"/>
    <w:link w:val="BalloonText"/>
    <w:uiPriority w:val="99"/>
    <w:semiHidden/>
    <w:rsid w:val="00B13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429"/>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7429"/>
    <w:rPr>
      <w:color w:val="0000FF"/>
      <w:u w:val="single"/>
    </w:rPr>
  </w:style>
  <w:style w:type="character" w:styleId="FootnoteReference">
    <w:name w:val="footnote reference"/>
    <w:basedOn w:val="DefaultParagraphFont"/>
    <w:uiPriority w:val="99"/>
    <w:semiHidden/>
    <w:unhideWhenUsed/>
    <w:rsid w:val="00B37429"/>
  </w:style>
  <w:style w:type="paragraph" w:styleId="FootnoteText">
    <w:name w:val="footnote text"/>
    <w:basedOn w:val="Normal"/>
    <w:link w:val="FootnoteTextChar"/>
    <w:uiPriority w:val="99"/>
    <w:semiHidden/>
    <w:unhideWhenUsed/>
    <w:rsid w:val="00BE09B6"/>
    <w:rPr>
      <w:sz w:val="20"/>
      <w:szCs w:val="20"/>
    </w:rPr>
  </w:style>
  <w:style w:type="character" w:customStyle="1" w:styleId="FootnoteTextChar">
    <w:name w:val="Footnote Text Char"/>
    <w:basedOn w:val="DefaultParagraphFont"/>
    <w:link w:val="FootnoteText"/>
    <w:uiPriority w:val="99"/>
    <w:semiHidden/>
    <w:rsid w:val="00BE09B6"/>
    <w:rPr>
      <w:sz w:val="20"/>
      <w:szCs w:val="20"/>
    </w:rPr>
  </w:style>
  <w:style w:type="paragraph" w:styleId="Header">
    <w:name w:val="header"/>
    <w:basedOn w:val="Normal"/>
    <w:link w:val="HeaderChar"/>
    <w:uiPriority w:val="99"/>
    <w:unhideWhenUsed/>
    <w:rsid w:val="00B13D44"/>
    <w:pPr>
      <w:tabs>
        <w:tab w:val="center" w:pos="4680"/>
        <w:tab w:val="right" w:pos="9360"/>
      </w:tabs>
    </w:pPr>
  </w:style>
  <w:style w:type="character" w:customStyle="1" w:styleId="HeaderChar">
    <w:name w:val="Header Char"/>
    <w:basedOn w:val="DefaultParagraphFont"/>
    <w:link w:val="Header"/>
    <w:uiPriority w:val="99"/>
    <w:rsid w:val="00B13D44"/>
  </w:style>
  <w:style w:type="paragraph" w:styleId="Footer">
    <w:name w:val="footer"/>
    <w:basedOn w:val="Normal"/>
    <w:link w:val="FooterChar"/>
    <w:uiPriority w:val="99"/>
    <w:unhideWhenUsed/>
    <w:rsid w:val="00B13D44"/>
    <w:pPr>
      <w:tabs>
        <w:tab w:val="center" w:pos="4680"/>
        <w:tab w:val="right" w:pos="9360"/>
      </w:tabs>
    </w:pPr>
  </w:style>
  <w:style w:type="character" w:customStyle="1" w:styleId="FooterChar">
    <w:name w:val="Footer Char"/>
    <w:basedOn w:val="DefaultParagraphFont"/>
    <w:link w:val="Footer"/>
    <w:uiPriority w:val="99"/>
    <w:rsid w:val="00B13D44"/>
  </w:style>
  <w:style w:type="paragraph" w:styleId="BalloonText">
    <w:name w:val="Balloon Text"/>
    <w:basedOn w:val="Normal"/>
    <w:link w:val="BalloonTextChar"/>
    <w:uiPriority w:val="99"/>
    <w:semiHidden/>
    <w:unhideWhenUsed/>
    <w:rsid w:val="00B13D44"/>
    <w:rPr>
      <w:rFonts w:ascii="Tahoma" w:hAnsi="Tahoma" w:cs="Tahoma"/>
      <w:sz w:val="16"/>
      <w:szCs w:val="16"/>
    </w:rPr>
  </w:style>
  <w:style w:type="character" w:customStyle="1" w:styleId="BalloonTextChar">
    <w:name w:val="Balloon Text Char"/>
    <w:basedOn w:val="DefaultParagraphFont"/>
    <w:link w:val="BalloonText"/>
    <w:uiPriority w:val="99"/>
    <w:semiHidden/>
    <w:rsid w:val="00B13D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8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xis.com/research/buttonTFLink?_m=fb6a3923c30ceb9983fb662267bb97ab&amp;_xfercite=%3ccite%20cc%3d%22USA%22%3e%3c%21%5bCDATA%5b922%20A.2d%20996%5d%5d%3e%3c%2fcite%3e&amp;_butType=3&amp;_butStat=2&amp;_butNum=94&amp;_butInline=1&amp;_butinfo=%3ccite%20cc%3d%22USA%22%3e%3c%21%5bCDATA%5b578%20A.2d%2075%2c%2077%5d%5d%3e%3c%2fcite%3e&amp;_fmtstr=FULL&amp;docnum=1&amp;_startdoc=1&amp;wchp=dGLbVzk-zSkAb&amp;_md5=daac5be07d4e87f378964aa3bac9ac56" TargetMode="External"/><Relationship Id="rId18" Type="http://schemas.openxmlformats.org/officeDocument/2006/relationships/hyperlink" Target="https://www.lexis.com/research/buttonTFLink?_m=fb6a3923c30ceb9983fb662267bb97ab&amp;_xfercite=%3ccite%20cc%3d%22USA%22%3e%3c%21%5bCDATA%5b922%20A.2d%20996%5d%5d%3e%3c%2fcite%3e&amp;_butType=3&amp;_butStat=2&amp;_butNum=97&amp;_butInline=1&amp;_butinfo=%3ccite%20cc%3d%22USA%22%3e%3c%21%5bCDATA%5b653%20A.2d%201385%2c%201389%5d%5d%3e%3c%2fcite%3e&amp;_fmtstr=FULL&amp;docnum=1&amp;_startdoc=1&amp;wchp=dGLbVzk-zSkAb&amp;_md5=42ac9038e82f18b617673770938e3fc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xis.com/research/buttonTFLink?_m=fb6a3923c30ceb9983fb662267bb97ab&amp;_xfercite=%3ccite%20cc%3d%22USA%22%3e%3c%21%5bCDATA%5b922%20A.2d%20996%5d%5d%3e%3c%2fcite%3e&amp;_butType=4&amp;_butStat=0&amp;_butNum=93&amp;_butInline=1&amp;_butinfo=66%20PA.C.S.%201501&amp;_fmtstr=FULL&amp;docnum=1&amp;_startdoc=1&amp;wchp=dGLbVzk-zSkAb&amp;_md5=d6127daede41700da048c1a07c8ac252" TargetMode="External"/><Relationship Id="rId17"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2" Type="http://schemas.openxmlformats.org/officeDocument/2006/relationships/styles" Target="styles.xml"/><Relationship Id="rId16" Type="http://schemas.openxmlformats.org/officeDocument/2006/relationships/hyperlink" Target="https://www.lexis.com/research/buttonTFLink?_m=fb6a3923c30ceb9983fb662267bb97ab&amp;_xfercite=%3ccite%20cc%3d%22USA%22%3e%3c%21%5bCDATA%5b922%20A.2d%20996%5d%5d%3e%3c%2fcite%3e&amp;_butType=3&amp;_butStat=2&amp;_butNum=97&amp;_butInline=1&amp;_butinfo=%3ccite%20cc%3d%22USA%22%3e%3c%21%5bCDATA%5b653%20A.2d%201385%2c%201389%5d%5d%3e%3c%2fcite%3e&amp;_fmtstr=FULL&amp;docnum=1&amp;_startdoc=1&amp;wchp=dGLbVzk-zSkAb&amp;_md5=42ac9038e82f18b617673770938e3fc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5" Type="http://schemas.openxmlformats.org/officeDocument/2006/relationships/webSettings" Target="webSettings.xml"/><Relationship Id="rId15" Type="http://schemas.openxmlformats.org/officeDocument/2006/relationships/hyperlink" Target="https://www.lexis.com/research/buttonTFLink?_m=fb6a3923c30ceb9983fb662267bb97ab&amp;_xfercite=%3ccite%20cc%3d%22USA%22%3e%3c%21%5bCDATA%5b922%20A.2d%20996%5d%5d%3e%3c%2fcite%3e&amp;_butType=4&amp;_butStat=0&amp;_butNum=96&amp;_butInline=1&amp;_butinfo=66%20PA.C.S.%20102&amp;_fmtstr=FULL&amp;docnum=1&amp;_startdoc=1&amp;wchp=dGLbVzk-zSkAb&amp;_md5=98070abab6da3e790136d388f57fee05" TargetMode="External"/><Relationship Id="rId10" Type="http://schemas.openxmlformats.org/officeDocument/2006/relationships/footer" Target="footer3.xml"/><Relationship Id="rId1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lexis.com/research/buttonTFLink?_m=fb6a3923c30ceb9983fb662267bb97ab&amp;_xfercite=%3ccite%20cc%3d%22USA%22%3e%3c%21%5bCDATA%5b922%20A.2d%20996%5d%5d%3e%3c%2fcite%3e&amp;_butType=4&amp;_butStat=0&amp;_butNum=95&amp;_butInline=1&amp;_butinfo=66%20PA.C.S.%20102&amp;_fmtstr=FULL&amp;docnum=1&amp;_startdoc=1&amp;wchp=dGLbVzk-zSkAb&amp;_md5=097ebf4ef1ed581d87934570da055d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905B8-A348-46C7-A471-027639A6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6129</Words>
  <Characters>34941</Characters>
  <Application>Microsoft Office Word</Application>
  <DocSecurity>4</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2015-02-26T17:11:00Z</cp:lastPrinted>
  <dcterms:created xsi:type="dcterms:W3CDTF">2015-03-09T15:39:00Z</dcterms:created>
  <dcterms:modified xsi:type="dcterms:W3CDTF">2015-03-09T15:39:00Z</dcterms:modified>
</cp:coreProperties>
</file>