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0D1F63"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0D1F63">
        <w:rPr>
          <w:rFonts w:ascii="Times New Roman" w:eastAsia="Times New Roman" w:hAnsi="Times New Roman" w:cs="Times New Roman"/>
          <w:b/>
          <w:sz w:val="24"/>
          <w:szCs w:val="24"/>
        </w:rPr>
        <w:t>BEFORE THE</w:t>
      </w:r>
    </w:p>
    <w:p w:rsidR="00BD5884" w:rsidRPr="000D1F63"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D1F63">
        <w:rPr>
          <w:rFonts w:ascii="Times New Roman" w:eastAsia="Times New Roman" w:hAnsi="Times New Roman" w:cs="Times New Roman"/>
          <w:b/>
          <w:bCs/>
          <w:spacing w:val="-3"/>
          <w:sz w:val="24"/>
          <w:szCs w:val="24"/>
        </w:rPr>
        <w:t>PENNSYLVANIA PUBLIC UTILITY COMMISSION</w:t>
      </w:r>
    </w:p>
    <w:p w:rsidR="00BD5884" w:rsidRPr="000D1F63"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D1F63"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D1F63"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C27C8" w:rsidRPr="000D1F63" w:rsidRDefault="00BC27C8" w:rsidP="00BC27C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Enrico Partners L.P.</w:t>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fldChar w:fldCharType="begin"/>
      </w:r>
      <w:r w:rsidRPr="000D1F63">
        <w:rPr>
          <w:rFonts w:ascii="Times New Roman" w:eastAsia="Times New Roman" w:hAnsi="Times New Roman" w:cs="Times New Roman"/>
          <w:spacing w:val="-3"/>
          <w:sz w:val="24"/>
          <w:szCs w:val="24"/>
        </w:rPr>
        <w:instrText>fillin "Complainant's name" \d ""</w:instrText>
      </w:r>
      <w:r w:rsidRPr="000D1F63">
        <w:rPr>
          <w:rFonts w:ascii="Times New Roman" w:eastAsia="Times New Roman" w:hAnsi="Times New Roman" w:cs="Times New Roman"/>
          <w:spacing w:val="-3"/>
          <w:sz w:val="24"/>
          <w:szCs w:val="24"/>
        </w:rPr>
        <w:fldChar w:fldCharType="end"/>
      </w:r>
      <w:r w:rsidRPr="000D1F63">
        <w:rPr>
          <w:rFonts w:ascii="Times New Roman" w:eastAsia="Times New Roman" w:hAnsi="Times New Roman" w:cs="Times New Roman"/>
          <w:spacing w:val="-3"/>
          <w:sz w:val="24"/>
          <w:szCs w:val="24"/>
        </w:rPr>
        <w:t>:</w:t>
      </w:r>
    </w:p>
    <w:p w:rsidR="00BC27C8" w:rsidRPr="000D1F63" w:rsidRDefault="00BC27C8" w:rsidP="00BC27C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t>:</w:t>
      </w:r>
    </w:p>
    <w:p w:rsidR="00BC27C8" w:rsidRPr="000D1F63" w:rsidRDefault="00BC27C8" w:rsidP="00BC27C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ab/>
        <w:t>v.</w:t>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t>:</w:t>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t>C-2014-2432979</w:t>
      </w:r>
    </w:p>
    <w:p w:rsidR="00BC27C8" w:rsidRPr="000D1F63" w:rsidRDefault="00BC27C8" w:rsidP="00BC27C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t>:</w:t>
      </w:r>
    </w:p>
    <w:p w:rsidR="00BC27C8" w:rsidRPr="000D1F63" w:rsidRDefault="00BC27C8" w:rsidP="00BC27C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Blue Pilot Energy, LLC</w:t>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t>:</w:t>
      </w:r>
    </w:p>
    <w:p w:rsidR="00BD5884" w:rsidRPr="000D1F63"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D1F63"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D1F63"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D1F63"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D1F63">
        <w:rPr>
          <w:rFonts w:ascii="Times New Roman" w:eastAsia="Times New Roman" w:hAnsi="Times New Roman" w:cs="Times New Roman"/>
          <w:b/>
          <w:bCs/>
          <w:spacing w:val="-3"/>
          <w:sz w:val="24"/>
          <w:szCs w:val="24"/>
          <w:u w:val="single"/>
        </w:rPr>
        <w:t>INITIAL DECISION</w:t>
      </w:r>
    </w:p>
    <w:p w:rsidR="00BD5884" w:rsidRPr="000D1F63"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D1F63"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D1F63"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Before</w:t>
      </w:r>
    </w:p>
    <w:p w:rsidR="00BD5884" w:rsidRPr="000D1F63"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Joel H. Cheskis</w:t>
      </w:r>
    </w:p>
    <w:p w:rsidR="006753FE" w:rsidRPr="000D1F63" w:rsidRDefault="00BD5884" w:rsidP="006753FE">
      <w:pPr>
        <w:autoSpaceDE w:val="0"/>
        <w:autoSpaceDN w:val="0"/>
        <w:spacing w:after="0" w:line="240" w:lineRule="auto"/>
        <w:jc w:val="center"/>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Administrative Law Judge</w:t>
      </w:r>
    </w:p>
    <w:p w:rsidR="006753FE" w:rsidRPr="000D1F63"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0D1F63"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0D1F63" w:rsidRDefault="000D1F19" w:rsidP="006753FE">
      <w:pPr>
        <w:autoSpaceDE w:val="0"/>
        <w:autoSpaceDN w:val="0"/>
        <w:spacing w:after="0" w:line="240" w:lineRule="auto"/>
        <w:jc w:val="center"/>
        <w:rPr>
          <w:rFonts w:ascii="Times New Roman" w:eastAsia="Times New Roman" w:hAnsi="Times New Roman" w:cs="Times New Roman"/>
          <w:sz w:val="24"/>
          <w:szCs w:val="24"/>
          <w:u w:val="single"/>
        </w:rPr>
      </w:pPr>
      <w:r w:rsidRPr="000D1F63">
        <w:rPr>
          <w:rFonts w:ascii="Times New Roman" w:eastAsia="Times New Roman" w:hAnsi="Times New Roman" w:cs="Times New Roman"/>
          <w:sz w:val="24"/>
          <w:szCs w:val="24"/>
          <w:u w:val="single"/>
        </w:rPr>
        <w:t>INTRODUCTION</w:t>
      </w:r>
    </w:p>
    <w:p w:rsidR="006753FE" w:rsidRPr="000D1F63" w:rsidRDefault="006753FE" w:rsidP="006753FE">
      <w:pPr>
        <w:autoSpaceDE w:val="0"/>
        <w:autoSpaceDN w:val="0"/>
        <w:spacing w:after="0" w:line="240" w:lineRule="auto"/>
        <w:jc w:val="center"/>
        <w:rPr>
          <w:rFonts w:ascii="Times New Roman" w:eastAsia="Times New Roman" w:hAnsi="Times New Roman" w:cs="Times New Roman"/>
          <w:sz w:val="24"/>
          <w:szCs w:val="24"/>
          <w:u w:val="single"/>
        </w:rPr>
      </w:pPr>
    </w:p>
    <w:p w:rsidR="007C5FF3" w:rsidRPr="000D1F63" w:rsidRDefault="007C5FF3" w:rsidP="00710D8A">
      <w:pPr>
        <w:autoSpaceDE w:val="0"/>
        <w:autoSpaceDN w:val="0"/>
        <w:spacing w:after="0" w:line="360" w:lineRule="auto"/>
        <w:rPr>
          <w:rFonts w:ascii="Times New Roman" w:eastAsia="Times New Roman" w:hAnsi="Times New Roman" w:cs="Times New Roman"/>
          <w:sz w:val="24"/>
          <w:szCs w:val="24"/>
        </w:rPr>
      </w:pPr>
    </w:p>
    <w:p w:rsidR="005B005F" w:rsidRPr="000D1F63" w:rsidRDefault="006753FE" w:rsidP="000D1F63">
      <w:pPr>
        <w:autoSpaceDE w:val="0"/>
        <w:autoSpaceDN w:val="0"/>
        <w:spacing w:after="0" w:line="360" w:lineRule="auto"/>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ab/>
      </w:r>
      <w:r w:rsidRPr="000D1F63">
        <w:rPr>
          <w:rFonts w:ascii="Times New Roman" w:eastAsia="Times New Roman" w:hAnsi="Times New Roman" w:cs="Times New Roman"/>
          <w:sz w:val="24"/>
          <w:szCs w:val="24"/>
        </w:rPr>
        <w:tab/>
      </w:r>
      <w:r w:rsidR="002C006D" w:rsidRPr="000D1F63">
        <w:rPr>
          <w:rFonts w:ascii="Times New Roman" w:eastAsia="Times New Roman" w:hAnsi="Times New Roman" w:cs="Times New Roman"/>
          <w:sz w:val="24"/>
          <w:szCs w:val="24"/>
        </w:rPr>
        <w:t xml:space="preserve">This decision </w:t>
      </w:r>
      <w:r w:rsidR="005B005F" w:rsidRPr="000D1F63">
        <w:rPr>
          <w:rFonts w:ascii="Times New Roman" w:eastAsia="Times New Roman" w:hAnsi="Times New Roman" w:cs="Times New Roman"/>
          <w:sz w:val="24"/>
          <w:szCs w:val="24"/>
        </w:rPr>
        <w:t xml:space="preserve">sustains a formal Complaint filed by a Complainant against his provider of electric generation service for </w:t>
      </w:r>
      <w:r w:rsidR="002601ED" w:rsidRPr="000D1F63">
        <w:rPr>
          <w:rFonts w:ascii="Times New Roman" w:eastAsia="Times New Roman" w:hAnsi="Times New Roman" w:cs="Times New Roman"/>
          <w:sz w:val="24"/>
          <w:szCs w:val="24"/>
        </w:rPr>
        <w:t>charging a higher rate per kilowatt hour than</w:t>
      </w:r>
      <w:r w:rsidR="00C71DC1" w:rsidRPr="000D1F63">
        <w:rPr>
          <w:rFonts w:ascii="Times New Roman" w:eastAsia="Times New Roman" w:hAnsi="Times New Roman" w:cs="Times New Roman"/>
          <w:sz w:val="24"/>
          <w:szCs w:val="24"/>
        </w:rPr>
        <w:t xml:space="preserve"> what was</w:t>
      </w:r>
      <w:r w:rsidR="002601ED" w:rsidRPr="000D1F63">
        <w:rPr>
          <w:rFonts w:ascii="Times New Roman" w:eastAsia="Times New Roman" w:hAnsi="Times New Roman" w:cs="Times New Roman"/>
          <w:sz w:val="24"/>
          <w:szCs w:val="24"/>
        </w:rPr>
        <w:t xml:space="preserve"> agreed </w:t>
      </w:r>
      <w:r w:rsidR="005623D1">
        <w:rPr>
          <w:rFonts w:ascii="Times New Roman" w:eastAsia="Times New Roman" w:hAnsi="Times New Roman" w:cs="Times New Roman"/>
          <w:sz w:val="24"/>
          <w:szCs w:val="24"/>
        </w:rPr>
        <w:t>upon</w:t>
      </w:r>
      <w:r w:rsidR="005B005F" w:rsidRPr="000D1F63">
        <w:rPr>
          <w:rFonts w:ascii="Times New Roman" w:eastAsia="Times New Roman" w:hAnsi="Times New Roman" w:cs="Times New Roman"/>
          <w:sz w:val="24"/>
          <w:szCs w:val="24"/>
        </w:rPr>
        <w:t>.  This decision finds</w:t>
      </w:r>
      <w:r w:rsidR="002601ED" w:rsidRPr="000D1F63">
        <w:rPr>
          <w:rFonts w:ascii="Times New Roman" w:eastAsia="Times New Roman" w:hAnsi="Times New Roman" w:cs="Times New Roman"/>
          <w:sz w:val="24"/>
          <w:szCs w:val="24"/>
        </w:rPr>
        <w:t xml:space="preserve"> </w:t>
      </w:r>
      <w:r w:rsidR="005B005F" w:rsidRPr="000D1F63">
        <w:rPr>
          <w:rFonts w:ascii="Times New Roman" w:eastAsia="Times New Roman" w:hAnsi="Times New Roman" w:cs="Times New Roman"/>
          <w:sz w:val="24"/>
          <w:szCs w:val="24"/>
        </w:rPr>
        <w:t>that the Disclosure Statement violate</w:t>
      </w:r>
      <w:r w:rsidR="006B767A" w:rsidRPr="000D1F63">
        <w:rPr>
          <w:rFonts w:ascii="Times New Roman" w:eastAsia="Times New Roman" w:hAnsi="Times New Roman" w:cs="Times New Roman"/>
          <w:sz w:val="24"/>
          <w:szCs w:val="24"/>
        </w:rPr>
        <w:t>s</w:t>
      </w:r>
      <w:r w:rsidR="005B005F" w:rsidRPr="000D1F63">
        <w:rPr>
          <w:rFonts w:ascii="Times New Roman" w:eastAsia="Times New Roman" w:hAnsi="Times New Roman" w:cs="Times New Roman"/>
          <w:sz w:val="24"/>
          <w:szCs w:val="24"/>
        </w:rPr>
        <w:t xml:space="preserve"> </w:t>
      </w:r>
      <w:r w:rsidR="002F6C43" w:rsidRPr="000D1F63">
        <w:rPr>
          <w:rFonts w:ascii="Times New Roman" w:eastAsia="Times New Roman" w:hAnsi="Times New Roman" w:cs="Times New Roman"/>
          <w:sz w:val="24"/>
          <w:szCs w:val="24"/>
        </w:rPr>
        <w:t>two</w:t>
      </w:r>
      <w:r w:rsidR="005B005F" w:rsidRPr="000D1F63">
        <w:rPr>
          <w:rFonts w:ascii="Times New Roman" w:eastAsia="Times New Roman" w:hAnsi="Times New Roman" w:cs="Times New Roman"/>
          <w:sz w:val="24"/>
          <w:szCs w:val="24"/>
        </w:rPr>
        <w:t xml:space="preserve"> Commission regulations </w:t>
      </w:r>
      <w:r w:rsidR="002601ED" w:rsidRPr="000D1F63">
        <w:rPr>
          <w:rFonts w:ascii="Times New Roman" w:eastAsia="Times New Roman" w:hAnsi="Times New Roman" w:cs="Times New Roman"/>
          <w:sz w:val="24"/>
          <w:szCs w:val="24"/>
        </w:rPr>
        <w:t xml:space="preserve">that require the use of plain language </w:t>
      </w:r>
      <w:r w:rsidR="005B005F" w:rsidRPr="000D1F63">
        <w:rPr>
          <w:rFonts w:ascii="Times New Roman" w:eastAsia="Times New Roman" w:hAnsi="Times New Roman" w:cs="Times New Roman"/>
          <w:sz w:val="24"/>
          <w:szCs w:val="24"/>
        </w:rPr>
        <w:t>and that a civil penalty</w:t>
      </w:r>
      <w:r w:rsidR="006B767A" w:rsidRPr="000D1F63">
        <w:rPr>
          <w:rFonts w:ascii="Times New Roman" w:eastAsia="Times New Roman" w:hAnsi="Times New Roman" w:cs="Times New Roman"/>
          <w:sz w:val="24"/>
          <w:szCs w:val="24"/>
        </w:rPr>
        <w:t>, therefore,</w:t>
      </w:r>
      <w:r w:rsidR="005B005F" w:rsidRPr="000D1F63">
        <w:rPr>
          <w:rFonts w:ascii="Times New Roman" w:eastAsia="Times New Roman" w:hAnsi="Times New Roman" w:cs="Times New Roman"/>
          <w:sz w:val="24"/>
          <w:szCs w:val="24"/>
        </w:rPr>
        <w:t xml:space="preserve"> should be imposed on the electric generation </w:t>
      </w:r>
      <w:r w:rsidR="006F0B60">
        <w:rPr>
          <w:rFonts w:ascii="Times New Roman" w:eastAsia="Times New Roman" w:hAnsi="Times New Roman" w:cs="Times New Roman"/>
          <w:sz w:val="24"/>
          <w:szCs w:val="24"/>
        </w:rPr>
        <w:t>supplier</w:t>
      </w:r>
      <w:r w:rsidR="005B005F" w:rsidRPr="000D1F63">
        <w:rPr>
          <w:rFonts w:ascii="Times New Roman" w:eastAsia="Times New Roman" w:hAnsi="Times New Roman" w:cs="Times New Roman"/>
          <w:sz w:val="24"/>
          <w:szCs w:val="24"/>
        </w:rPr>
        <w:t xml:space="preserve">. </w:t>
      </w:r>
      <w:r w:rsidR="006B767A" w:rsidRPr="000D1F63">
        <w:rPr>
          <w:rFonts w:ascii="Times New Roman" w:eastAsia="Times New Roman" w:hAnsi="Times New Roman" w:cs="Times New Roman"/>
          <w:sz w:val="24"/>
          <w:szCs w:val="24"/>
        </w:rPr>
        <w:t xml:space="preserve"> </w:t>
      </w:r>
      <w:r w:rsidR="005B005F" w:rsidRPr="000D1F63">
        <w:rPr>
          <w:rFonts w:ascii="Times New Roman" w:eastAsia="Times New Roman" w:hAnsi="Times New Roman" w:cs="Times New Roman"/>
          <w:sz w:val="24"/>
          <w:szCs w:val="24"/>
        </w:rPr>
        <w:t xml:space="preserve">Finally, this decision also finds that, as a result of the violation of Commission regulations, the electric generation </w:t>
      </w:r>
      <w:r w:rsidR="006F0B60">
        <w:rPr>
          <w:rFonts w:ascii="Times New Roman" w:eastAsia="Times New Roman" w:hAnsi="Times New Roman" w:cs="Times New Roman"/>
          <w:sz w:val="24"/>
          <w:szCs w:val="24"/>
        </w:rPr>
        <w:t xml:space="preserve">supplier </w:t>
      </w:r>
      <w:r w:rsidR="005B005F" w:rsidRPr="000D1F63">
        <w:rPr>
          <w:rFonts w:ascii="Times New Roman" w:eastAsia="Times New Roman" w:hAnsi="Times New Roman" w:cs="Times New Roman"/>
          <w:sz w:val="24"/>
          <w:szCs w:val="24"/>
        </w:rPr>
        <w:t xml:space="preserve">should issue a refund </w:t>
      </w:r>
      <w:r w:rsidR="00F36667" w:rsidRPr="000D1F63">
        <w:rPr>
          <w:rFonts w:ascii="Times New Roman" w:eastAsia="Times New Roman" w:hAnsi="Times New Roman" w:cs="Times New Roman"/>
          <w:sz w:val="24"/>
          <w:szCs w:val="24"/>
        </w:rPr>
        <w:t xml:space="preserve">to the Complainant </w:t>
      </w:r>
      <w:r w:rsidR="002601ED" w:rsidRPr="000D1F63">
        <w:rPr>
          <w:rFonts w:ascii="Times New Roman" w:eastAsia="Times New Roman" w:hAnsi="Times New Roman" w:cs="Times New Roman"/>
          <w:sz w:val="24"/>
          <w:szCs w:val="24"/>
        </w:rPr>
        <w:t xml:space="preserve">equal to the amount </w:t>
      </w:r>
      <w:r w:rsidR="00F36667" w:rsidRPr="000D1F63">
        <w:rPr>
          <w:rFonts w:ascii="Times New Roman" w:eastAsia="Times New Roman" w:hAnsi="Times New Roman" w:cs="Times New Roman"/>
          <w:sz w:val="24"/>
          <w:szCs w:val="24"/>
        </w:rPr>
        <w:t xml:space="preserve">the Complainant </w:t>
      </w:r>
      <w:r w:rsidR="002601ED" w:rsidRPr="000D1F63">
        <w:rPr>
          <w:rFonts w:ascii="Times New Roman" w:eastAsia="Times New Roman" w:hAnsi="Times New Roman" w:cs="Times New Roman"/>
          <w:sz w:val="24"/>
          <w:szCs w:val="24"/>
        </w:rPr>
        <w:t xml:space="preserve">was </w:t>
      </w:r>
      <w:r w:rsidR="00F36667" w:rsidRPr="000D1F63">
        <w:rPr>
          <w:rFonts w:ascii="Times New Roman" w:eastAsia="Times New Roman" w:hAnsi="Times New Roman" w:cs="Times New Roman"/>
          <w:sz w:val="24"/>
          <w:szCs w:val="24"/>
        </w:rPr>
        <w:t>over billed.</w:t>
      </w:r>
    </w:p>
    <w:p w:rsidR="00BC27C8" w:rsidRPr="000D1F63" w:rsidRDefault="00BC27C8" w:rsidP="000D1F63">
      <w:pPr>
        <w:autoSpaceDE w:val="0"/>
        <w:autoSpaceDN w:val="0"/>
        <w:spacing w:after="0" w:line="360" w:lineRule="auto"/>
        <w:rPr>
          <w:rFonts w:ascii="Times New Roman" w:eastAsia="Times New Roman" w:hAnsi="Times New Roman" w:cs="Times New Roman"/>
          <w:strike/>
          <w:sz w:val="24"/>
          <w:szCs w:val="24"/>
        </w:rPr>
      </w:pPr>
    </w:p>
    <w:p w:rsidR="001F1682" w:rsidRPr="000D1F63" w:rsidRDefault="001F1682" w:rsidP="000D1F63">
      <w:pPr>
        <w:autoSpaceDE w:val="0"/>
        <w:autoSpaceDN w:val="0"/>
        <w:spacing w:after="0" w:line="360" w:lineRule="auto"/>
        <w:jc w:val="center"/>
        <w:rPr>
          <w:rFonts w:ascii="Times New Roman" w:eastAsia="Times New Roman" w:hAnsi="Times New Roman" w:cs="Times New Roman"/>
          <w:sz w:val="24"/>
          <w:szCs w:val="24"/>
          <w:u w:val="single"/>
        </w:rPr>
      </w:pPr>
      <w:r w:rsidRPr="000D1F63">
        <w:rPr>
          <w:rFonts w:ascii="Times New Roman" w:eastAsia="Times New Roman" w:hAnsi="Times New Roman" w:cs="Times New Roman"/>
          <w:sz w:val="24"/>
          <w:szCs w:val="24"/>
          <w:u w:val="single"/>
        </w:rPr>
        <w:t>HISTORY OF THE PROCEEDING</w:t>
      </w:r>
    </w:p>
    <w:p w:rsidR="00A44E7C" w:rsidRPr="000D1F63" w:rsidRDefault="00A44E7C" w:rsidP="000D1F63">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4D227D" w:rsidRPr="000D1F63" w:rsidRDefault="00BC27C8" w:rsidP="000D1F63">
      <w:pPr>
        <w:widowControl w:val="0"/>
        <w:autoSpaceDE w:val="0"/>
        <w:autoSpaceDN w:val="0"/>
        <w:spacing w:after="0" w:line="360" w:lineRule="auto"/>
        <w:ind w:firstLine="1440"/>
        <w:rPr>
          <w:rFonts w:ascii="Times New Roman" w:eastAsia="Times New Roman" w:hAnsi="Times New Roman" w:cs="Times New Roman"/>
          <w:sz w:val="24"/>
          <w:szCs w:val="24"/>
        </w:rPr>
        <w:sectPr w:rsidR="004D227D" w:rsidRPr="000D1F63" w:rsidSect="008F13AE">
          <w:footerReference w:type="default" r:id="rId9"/>
          <w:pgSz w:w="12240" w:h="15840"/>
          <w:pgMar w:top="1440" w:right="1440" w:bottom="1440" w:left="1440" w:header="720" w:footer="720" w:gutter="0"/>
          <w:cols w:space="720"/>
          <w:docGrid w:linePitch="360"/>
        </w:sectPr>
      </w:pPr>
      <w:r w:rsidRPr="000D1F63">
        <w:rPr>
          <w:rFonts w:ascii="Times New Roman" w:eastAsia="Times New Roman" w:hAnsi="Times New Roman" w:cs="Times New Roman"/>
          <w:sz w:val="24"/>
          <w:szCs w:val="24"/>
        </w:rPr>
        <w:t xml:space="preserve">On July 18, 2014, Enrico Partners L.P. </w:t>
      </w:r>
      <w:r w:rsidR="000C65DC" w:rsidRPr="000D1F63">
        <w:rPr>
          <w:rFonts w:ascii="Times New Roman" w:eastAsia="Times New Roman" w:hAnsi="Times New Roman" w:cs="Times New Roman"/>
          <w:sz w:val="24"/>
          <w:szCs w:val="24"/>
        </w:rPr>
        <w:t xml:space="preserve">(Enrico) </w:t>
      </w:r>
      <w:r w:rsidRPr="000D1F63">
        <w:rPr>
          <w:rFonts w:ascii="Times New Roman" w:eastAsia="Times New Roman" w:hAnsi="Times New Roman" w:cs="Times New Roman"/>
          <w:sz w:val="24"/>
          <w:szCs w:val="24"/>
        </w:rPr>
        <w:t xml:space="preserve">filed with the Pennsylvania Public Utility Commission </w:t>
      </w:r>
      <w:r w:rsidR="000C65DC" w:rsidRPr="000D1F63">
        <w:rPr>
          <w:rFonts w:ascii="Times New Roman" w:eastAsia="Times New Roman" w:hAnsi="Times New Roman" w:cs="Times New Roman"/>
          <w:sz w:val="24"/>
          <w:szCs w:val="24"/>
        </w:rPr>
        <w:t xml:space="preserve">(Commission) </w:t>
      </w:r>
      <w:r w:rsidRPr="000D1F63">
        <w:rPr>
          <w:rFonts w:ascii="Times New Roman" w:eastAsia="Times New Roman" w:hAnsi="Times New Roman" w:cs="Times New Roman"/>
          <w:sz w:val="24"/>
          <w:szCs w:val="24"/>
        </w:rPr>
        <w:t>a formal Complaint against Blue Pilot Energy LLC</w:t>
      </w:r>
      <w:r w:rsidR="000C65DC" w:rsidRPr="000D1F63">
        <w:rPr>
          <w:rFonts w:ascii="Times New Roman" w:eastAsia="Times New Roman" w:hAnsi="Times New Roman" w:cs="Times New Roman"/>
          <w:sz w:val="24"/>
          <w:szCs w:val="24"/>
        </w:rPr>
        <w:t xml:space="preserve"> (Blue Pilot)</w:t>
      </w:r>
      <w:r w:rsidR="00730570" w:rsidRPr="000D1F63">
        <w:rPr>
          <w:rFonts w:ascii="Times New Roman" w:eastAsia="Times New Roman" w:hAnsi="Times New Roman" w:cs="Times New Roman"/>
          <w:sz w:val="24"/>
          <w:szCs w:val="24"/>
        </w:rPr>
        <w:t>, Docket Number C-2014-2432979</w:t>
      </w:r>
      <w:r w:rsidRPr="000D1F63">
        <w:rPr>
          <w:rFonts w:ascii="Times New Roman" w:eastAsia="Times New Roman" w:hAnsi="Times New Roman" w:cs="Times New Roman"/>
          <w:sz w:val="24"/>
          <w:szCs w:val="24"/>
        </w:rPr>
        <w:t>.  On August 20, 2014, Enrico amended the Complaint to include PECO Energy Company</w:t>
      </w:r>
      <w:r w:rsidR="00805069" w:rsidRPr="000D1F63">
        <w:rPr>
          <w:rFonts w:ascii="Times New Roman" w:eastAsia="Times New Roman" w:hAnsi="Times New Roman" w:cs="Times New Roman"/>
          <w:sz w:val="24"/>
          <w:szCs w:val="24"/>
        </w:rPr>
        <w:t xml:space="preserve"> (PECO)</w:t>
      </w:r>
      <w:r w:rsidRPr="000D1F63">
        <w:rPr>
          <w:rFonts w:ascii="Times New Roman" w:eastAsia="Times New Roman" w:hAnsi="Times New Roman" w:cs="Times New Roman"/>
          <w:sz w:val="24"/>
          <w:szCs w:val="24"/>
        </w:rPr>
        <w:t xml:space="preserve"> as a respondent.  In its Complaint, Enrico averred that there are incorrect charges on the electric generation portion of its electric bill.  </w:t>
      </w:r>
    </w:p>
    <w:p w:rsidR="00BC27C8" w:rsidRPr="000D1F63" w:rsidRDefault="00BC27C8" w:rsidP="004D227D">
      <w:pPr>
        <w:widowControl w:val="0"/>
        <w:autoSpaceDE w:val="0"/>
        <w:autoSpaceDN w:val="0"/>
        <w:spacing w:after="0" w:line="360" w:lineRule="auto"/>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lastRenderedPageBreak/>
        <w:t xml:space="preserve">Enrico explained that Blue Pilot billed </w:t>
      </w:r>
      <w:r w:rsidR="004348B2" w:rsidRPr="000D1F63">
        <w:rPr>
          <w:rFonts w:ascii="Times New Roman" w:eastAsia="Times New Roman" w:hAnsi="Times New Roman" w:cs="Times New Roman"/>
          <w:sz w:val="24"/>
          <w:szCs w:val="24"/>
        </w:rPr>
        <w:t>it</w:t>
      </w:r>
      <w:r w:rsidRPr="000D1F63">
        <w:rPr>
          <w:rFonts w:ascii="Times New Roman" w:eastAsia="Times New Roman" w:hAnsi="Times New Roman" w:cs="Times New Roman"/>
          <w:sz w:val="24"/>
          <w:szCs w:val="24"/>
        </w:rPr>
        <w:t xml:space="preserve"> in excess of their </w:t>
      </w:r>
      <w:r w:rsidR="00C71DC1" w:rsidRPr="000D1F63">
        <w:rPr>
          <w:rFonts w:ascii="Times New Roman" w:eastAsia="Times New Roman" w:hAnsi="Times New Roman" w:cs="Times New Roman"/>
          <w:sz w:val="24"/>
          <w:szCs w:val="24"/>
        </w:rPr>
        <w:t xml:space="preserve">agreed upon </w:t>
      </w:r>
      <w:r w:rsidRPr="000D1F63">
        <w:rPr>
          <w:rFonts w:ascii="Times New Roman" w:eastAsia="Times New Roman" w:hAnsi="Times New Roman" w:cs="Times New Roman"/>
          <w:sz w:val="24"/>
          <w:szCs w:val="24"/>
        </w:rPr>
        <w:t xml:space="preserve">rate of 7.9 cents per kilowatt hour (kwh) at a rate of 24.9 cents per kwh.  Enrico further averred that, pursuant to </w:t>
      </w:r>
      <w:r w:rsidR="00C71DC1" w:rsidRPr="000D1F63">
        <w:rPr>
          <w:rFonts w:ascii="Times New Roman" w:eastAsia="Times New Roman" w:hAnsi="Times New Roman" w:cs="Times New Roman"/>
          <w:sz w:val="24"/>
          <w:szCs w:val="24"/>
        </w:rPr>
        <w:t>the agreement</w:t>
      </w:r>
      <w:r w:rsidRPr="000D1F63">
        <w:rPr>
          <w:rFonts w:ascii="Times New Roman" w:eastAsia="Times New Roman" w:hAnsi="Times New Roman" w:cs="Times New Roman"/>
          <w:sz w:val="24"/>
          <w:szCs w:val="24"/>
        </w:rPr>
        <w:t>, the rate charged should have gone down during the period in question, not up.  Enrico requested that its bills be adjusted to the rate of 7.9 cents per kwh and attached several documents to its Complaint in support of its position.</w:t>
      </w:r>
    </w:p>
    <w:p w:rsidR="00BC27C8" w:rsidRPr="000D1F63" w:rsidRDefault="00BC27C8" w:rsidP="00BC27C8">
      <w:pPr>
        <w:widowControl w:val="0"/>
        <w:autoSpaceDE w:val="0"/>
        <w:autoSpaceDN w:val="0"/>
        <w:spacing w:after="0" w:line="360" w:lineRule="auto"/>
        <w:ind w:firstLine="1440"/>
        <w:rPr>
          <w:rFonts w:ascii="Times New Roman" w:eastAsia="Times New Roman" w:hAnsi="Times New Roman" w:cs="Times New Roman"/>
          <w:sz w:val="24"/>
          <w:szCs w:val="24"/>
        </w:rPr>
      </w:pPr>
    </w:p>
    <w:p w:rsidR="00BC27C8" w:rsidRPr="000D1F63" w:rsidRDefault="00BC27C8" w:rsidP="00BC27C8">
      <w:pPr>
        <w:widowControl w:val="0"/>
        <w:autoSpaceDE w:val="0"/>
        <w:autoSpaceDN w:val="0"/>
        <w:spacing w:after="0" w:line="360" w:lineRule="auto"/>
        <w:ind w:firstLine="1440"/>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On August 8, 2014, Blue Pilot filed an Answer to the Complaint generally denying the various averments raised in the Complaint and raising numerous affirmative defenses.  Blue Pilot concluded that Enrico’s Complaint should be dismissed with prejudice.</w:t>
      </w:r>
    </w:p>
    <w:p w:rsidR="00BC27C8" w:rsidRPr="000D1F63" w:rsidRDefault="00BC27C8" w:rsidP="00BC27C8">
      <w:pPr>
        <w:widowControl w:val="0"/>
        <w:autoSpaceDE w:val="0"/>
        <w:autoSpaceDN w:val="0"/>
        <w:spacing w:after="0" w:line="360" w:lineRule="auto"/>
        <w:ind w:firstLine="1440"/>
        <w:rPr>
          <w:rFonts w:ascii="Times New Roman" w:eastAsia="Times New Roman" w:hAnsi="Times New Roman" w:cs="Times New Roman"/>
          <w:sz w:val="24"/>
          <w:szCs w:val="24"/>
        </w:rPr>
      </w:pPr>
    </w:p>
    <w:p w:rsidR="00BC27C8" w:rsidRPr="000D1F63" w:rsidRDefault="00BC27C8" w:rsidP="00BC27C8">
      <w:pPr>
        <w:widowControl w:val="0"/>
        <w:autoSpaceDE w:val="0"/>
        <w:autoSpaceDN w:val="0"/>
        <w:spacing w:after="0" w:line="360" w:lineRule="auto"/>
        <w:ind w:firstLine="1440"/>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On August 18, 2014, the Commission issued a Telephonic Hearing Notice scheduling an Initial Telephonic Hearing for this matter for Monday,</w:t>
      </w:r>
      <w:r w:rsidR="00D7630B" w:rsidRPr="000D1F63">
        <w:rPr>
          <w:rFonts w:ascii="Times New Roman" w:eastAsia="Times New Roman" w:hAnsi="Times New Roman" w:cs="Times New Roman"/>
          <w:sz w:val="24"/>
          <w:szCs w:val="24"/>
        </w:rPr>
        <w:t xml:space="preserve"> October 6, 2014 at 2:00 </w:t>
      </w:r>
      <w:r w:rsidRPr="000D1F63">
        <w:rPr>
          <w:rFonts w:ascii="Times New Roman" w:eastAsia="Times New Roman" w:hAnsi="Times New Roman" w:cs="Times New Roman"/>
          <w:sz w:val="24"/>
          <w:szCs w:val="24"/>
        </w:rPr>
        <w:t>p.m. and assigning me as the Presiding Officer.  A Prehea</w:t>
      </w:r>
      <w:r w:rsidR="00D7630B" w:rsidRPr="000D1F63">
        <w:rPr>
          <w:rFonts w:ascii="Times New Roman" w:eastAsia="Times New Roman" w:hAnsi="Times New Roman" w:cs="Times New Roman"/>
          <w:sz w:val="24"/>
          <w:szCs w:val="24"/>
        </w:rPr>
        <w:t>ring Order was issued on August </w:t>
      </w:r>
      <w:r w:rsidRPr="000D1F63">
        <w:rPr>
          <w:rFonts w:ascii="Times New Roman" w:eastAsia="Times New Roman" w:hAnsi="Times New Roman" w:cs="Times New Roman"/>
          <w:sz w:val="24"/>
          <w:szCs w:val="24"/>
        </w:rPr>
        <w:t>21, 2014 setting forth various procedural rules that would govern the Hearing.</w:t>
      </w:r>
    </w:p>
    <w:p w:rsidR="00BC27C8" w:rsidRPr="000D1F63" w:rsidRDefault="00BC27C8" w:rsidP="00BC27C8">
      <w:pPr>
        <w:widowControl w:val="0"/>
        <w:autoSpaceDE w:val="0"/>
        <w:autoSpaceDN w:val="0"/>
        <w:spacing w:after="0" w:line="360" w:lineRule="auto"/>
        <w:ind w:firstLine="1440"/>
        <w:rPr>
          <w:rFonts w:ascii="Times New Roman" w:eastAsia="Times New Roman" w:hAnsi="Times New Roman" w:cs="Times New Roman"/>
          <w:sz w:val="24"/>
          <w:szCs w:val="24"/>
        </w:rPr>
      </w:pPr>
    </w:p>
    <w:p w:rsidR="00BC27C8" w:rsidRPr="000D1F63" w:rsidRDefault="00BC27C8" w:rsidP="00BC27C8">
      <w:pPr>
        <w:widowControl w:val="0"/>
        <w:autoSpaceDE w:val="0"/>
        <w:autoSpaceDN w:val="0"/>
        <w:spacing w:after="0" w:line="360" w:lineRule="auto"/>
        <w:ind w:firstLine="1440"/>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 xml:space="preserve">On September 18, 2014, PECO filed Preliminary Objections in response to the Complaint.  However, PECO filed a Certificate of Satisfaction </w:t>
      </w:r>
      <w:r w:rsidR="006F0B60" w:rsidRPr="000D1F63">
        <w:rPr>
          <w:rFonts w:ascii="Times New Roman" w:eastAsia="Times New Roman" w:hAnsi="Times New Roman" w:cs="Times New Roman"/>
          <w:sz w:val="24"/>
          <w:szCs w:val="24"/>
        </w:rPr>
        <w:t xml:space="preserve">on September 18, 2014 </w:t>
      </w:r>
      <w:r w:rsidRPr="000D1F63">
        <w:rPr>
          <w:rFonts w:ascii="Times New Roman" w:eastAsia="Times New Roman" w:hAnsi="Times New Roman" w:cs="Times New Roman"/>
          <w:sz w:val="24"/>
          <w:szCs w:val="24"/>
        </w:rPr>
        <w:t xml:space="preserve">formally concluding its involvement </w:t>
      </w:r>
      <w:r w:rsidR="00C71DC1" w:rsidRPr="000D1F63">
        <w:rPr>
          <w:rFonts w:ascii="Times New Roman" w:eastAsia="Times New Roman" w:hAnsi="Times New Roman" w:cs="Times New Roman"/>
          <w:sz w:val="24"/>
          <w:szCs w:val="24"/>
        </w:rPr>
        <w:t xml:space="preserve">in </w:t>
      </w:r>
      <w:r w:rsidRPr="000D1F63">
        <w:rPr>
          <w:rFonts w:ascii="Times New Roman" w:eastAsia="Times New Roman" w:hAnsi="Times New Roman" w:cs="Times New Roman"/>
          <w:sz w:val="24"/>
          <w:szCs w:val="24"/>
        </w:rPr>
        <w:t>the matter.</w:t>
      </w:r>
    </w:p>
    <w:p w:rsidR="00BC27C8" w:rsidRPr="000D1F63" w:rsidRDefault="00BC27C8" w:rsidP="00BC27C8">
      <w:pPr>
        <w:widowControl w:val="0"/>
        <w:autoSpaceDE w:val="0"/>
        <w:autoSpaceDN w:val="0"/>
        <w:spacing w:after="0" w:line="360" w:lineRule="auto"/>
        <w:ind w:firstLine="1440"/>
        <w:rPr>
          <w:rFonts w:ascii="Times New Roman" w:eastAsia="Times New Roman" w:hAnsi="Times New Roman" w:cs="Times New Roman"/>
          <w:sz w:val="24"/>
          <w:szCs w:val="24"/>
        </w:rPr>
      </w:pPr>
    </w:p>
    <w:p w:rsidR="00BC27C8" w:rsidRPr="000D1F63" w:rsidRDefault="00BC27C8" w:rsidP="00BC27C8">
      <w:pPr>
        <w:widowControl w:val="0"/>
        <w:autoSpaceDE w:val="0"/>
        <w:autoSpaceDN w:val="0"/>
        <w:spacing w:after="0" w:line="360" w:lineRule="auto"/>
        <w:ind w:firstLine="1440"/>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On October 6, 2014, the Initial Telephonic Hea</w:t>
      </w:r>
      <w:r w:rsidR="00D7630B" w:rsidRPr="000D1F63">
        <w:rPr>
          <w:rFonts w:ascii="Times New Roman" w:eastAsia="Times New Roman" w:hAnsi="Times New Roman" w:cs="Times New Roman"/>
          <w:sz w:val="24"/>
          <w:szCs w:val="24"/>
        </w:rPr>
        <w:t>ring convened as scheduled.  W. </w:t>
      </w:r>
      <w:r w:rsidRPr="000D1F63">
        <w:rPr>
          <w:rFonts w:ascii="Times New Roman" w:eastAsia="Times New Roman" w:hAnsi="Times New Roman" w:cs="Times New Roman"/>
          <w:sz w:val="24"/>
          <w:szCs w:val="24"/>
        </w:rPr>
        <w:t xml:space="preserve">Kent Silvers, Esquire appeared on behalf of Enrico and presented one witness who sponsored four exhibits that were admitted into the record.  Karen Moury, Esquire appeared on behalf of Blue Pilot and presented </w:t>
      </w:r>
      <w:r w:rsidR="00730570" w:rsidRPr="000D1F63">
        <w:rPr>
          <w:rFonts w:ascii="Times New Roman" w:eastAsia="Times New Roman" w:hAnsi="Times New Roman" w:cs="Times New Roman"/>
          <w:sz w:val="24"/>
          <w:szCs w:val="24"/>
        </w:rPr>
        <w:t xml:space="preserve">no witnesses or </w:t>
      </w:r>
      <w:r w:rsidRPr="000D1F63">
        <w:rPr>
          <w:rFonts w:ascii="Times New Roman" w:eastAsia="Times New Roman" w:hAnsi="Times New Roman" w:cs="Times New Roman"/>
          <w:sz w:val="24"/>
          <w:szCs w:val="24"/>
        </w:rPr>
        <w:t>exhibits.</w:t>
      </w:r>
      <w:r w:rsidR="00F80CAD" w:rsidRPr="000D1F63">
        <w:rPr>
          <w:rFonts w:ascii="Times New Roman" w:eastAsia="Times New Roman" w:hAnsi="Times New Roman" w:cs="Times New Roman"/>
          <w:sz w:val="24"/>
          <w:szCs w:val="24"/>
        </w:rPr>
        <w:t xml:space="preserve">  A transcript of thirty-five (35) pages was created.</w:t>
      </w:r>
    </w:p>
    <w:p w:rsidR="00BC27C8" w:rsidRPr="000D1F63" w:rsidRDefault="00BC27C8" w:rsidP="00BC27C8">
      <w:pPr>
        <w:widowControl w:val="0"/>
        <w:autoSpaceDE w:val="0"/>
        <w:autoSpaceDN w:val="0"/>
        <w:spacing w:after="0" w:line="360" w:lineRule="auto"/>
        <w:ind w:firstLine="1440"/>
        <w:rPr>
          <w:rFonts w:ascii="Times New Roman" w:eastAsia="Times New Roman" w:hAnsi="Times New Roman" w:cs="Times New Roman"/>
          <w:sz w:val="24"/>
          <w:szCs w:val="24"/>
        </w:rPr>
      </w:pPr>
    </w:p>
    <w:p w:rsidR="006D6B8C" w:rsidRPr="000D1F63" w:rsidRDefault="00BC27C8" w:rsidP="00F80CAD">
      <w:pPr>
        <w:widowControl w:val="0"/>
        <w:autoSpaceDE w:val="0"/>
        <w:autoSpaceDN w:val="0"/>
        <w:spacing w:after="0" w:line="360" w:lineRule="auto"/>
        <w:ind w:firstLine="1440"/>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 xml:space="preserve">At the conclusion of the Hearing, it was determined that briefs should be filed.  As a result, a Briefing Order was issued on October 8, 2014 establishing </w:t>
      </w:r>
      <w:r w:rsidR="00805069" w:rsidRPr="000D1F63">
        <w:rPr>
          <w:rFonts w:ascii="Times New Roman" w:eastAsia="Times New Roman" w:hAnsi="Times New Roman" w:cs="Times New Roman"/>
          <w:sz w:val="24"/>
          <w:szCs w:val="24"/>
        </w:rPr>
        <w:t xml:space="preserve">a </w:t>
      </w:r>
      <w:r w:rsidRPr="000D1F63">
        <w:rPr>
          <w:rFonts w:ascii="Times New Roman" w:eastAsia="Times New Roman" w:hAnsi="Times New Roman" w:cs="Times New Roman"/>
          <w:sz w:val="24"/>
          <w:szCs w:val="24"/>
        </w:rPr>
        <w:t>Main Brief due date of November 17, 2014 and a Reply Brief due date of December 1, 2014, as well as establishing other procedural matters regarding the briefs.</w:t>
      </w:r>
      <w:r w:rsidR="00730570" w:rsidRPr="000D1F63">
        <w:rPr>
          <w:rFonts w:ascii="Times New Roman" w:eastAsia="Times New Roman" w:hAnsi="Times New Roman" w:cs="Times New Roman"/>
          <w:sz w:val="24"/>
          <w:szCs w:val="24"/>
        </w:rPr>
        <w:t xml:space="preserve">  In response to a </w:t>
      </w:r>
      <w:r w:rsidRPr="000D1F63">
        <w:rPr>
          <w:rFonts w:ascii="Times New Roman" w:eastAsia="Times New Roman" w:hAnsi="Times New Roman" w:cs="Times New Roman"/>
          <w:sz w:val="24"/>
          <w:szCs w:val="24"/>
        </w:rPr>
        <w:t>Motion for Extension of Time to File Briefs</w:t>
      </w:r>
      <w:r w:rsidR="00730570" w:rsidRPr="000D1F63">
        <w:rPr>
          <w:rFonts w:ascii="Times New Roman" w:eastAsia="Times New Roman" w:hAnsi="Times New Roman" w:cs="Times New Roman"/>
          <w:sz w:val="24"/>
          <w:szCs w:val="24"/>
        </w:rPr>
        <w:t xml:space="preserve"> submitted b</w:t>
      </w:r>
      <w:r w:rsidR="00F80CAD" w:rsidRPr="000D1F63">
        <w:rPr>
          <w:rFonts w:ascii="Times New Roman" w:eastAsia="Times New Roman" w:hAnsi="Times New Roman" w:cs="Times New Roman"/>
          <w:sz w:val="24"/>
          <w:szCs w:val="24"/>
        </w:rPr>
        <w:t>y Blue Pilot, the due date for the Main Brief was extended to December 3, 2014 and the due date for the Reply Brief was extended to December 12, 2014.  Both Enrico and Blue Pilot submitted both Main and Reply Briefs on the date they were due.  The record in this proceeding closed on December 12, 2014 when the Reply Briefs were submitted.</w:t>
      </w:r>
    </w:p>
    <w:p w:rsidR="004D227D" w:rsidRPr="000D1F63" w:rsidRDefault="004D227D" w:rsidP="00F80CAD">
      <w:pPr>
        <w:widowControl w:val="0"/>
        <w:autoSpaceDE w:val="0"/>
        <w:autoSpaceDN w:val="0"/>
        <w:spacing w:after="0" w:line="360" w:lineRule="auto"/>
        <w:ind w:firstLine="1440"/>
        <w:rPr>
          <w:rFonts w:ascii="Times New Roman" w:eastAsia="Times New Roman" w:hAnsi="Times New Roman" w:cs="Times New Roman"/>
          <w:sz w:val="24"/>
          <w:szCs w:val="24"/>
        </w:rPr>
      </w:pPr>
    </w:p>
    <w:p w:rsidR="00F80CAD" w:rsidRPr="000D1F63" w:rsidRDefault="00F80CAD" w:rsidP="000D1F63">
      <w:pPr>
        <w:widowControl w:val="0"/>
        <w:autoSpaceDE w:val="0"/>
        <w:autoSpaceDN w:val="0"/>
        <w:spacing w:after="0" w:line="360" w:lineRule="auto"/>
        <w:ind w:firstLine="1440"/>
        <w:rPr>
          <w:rFonts w:ascii="Times New Roman" w:hAnsi="Times New Roman" w:cs="Times New Roman"/>
          <w:strike/>
          <w:sz w:val="24"/>
          <w:szCs w:val="24"/>
        </w:rPr>
      </w:pPr>
      <w:r w:rsidRPr="000D1F63">
        <w:rPr>
          <w:rFonts w:ascii="Times New Roman" w:eastAsia="Times New Roman" w:hAnsi="Times New Roman" w:cs="Times New Roman"/>
          <w:sz w:val="24"/>
          <w:szCs w:val="24"/>
        </w:rPr>
        <w:t xml:space="preserve">Enrico’s Complaint is now ready for disposition.  For the reasons discussed below, Enrico’s Complaint will be </w:t>
      </w:r>
      <w:r w:rsidR="003D4035" w:rsidRPr="000D1F63">
        <w:rPr>
          <w:rFonts w:ascii="Times New Roman" w:eastAsia="Times New Roman" w:hAnsi="Times New Roman" w:cs="Times New Roman"/>
          <w:sz w:val="24"/>
          <w:szCs w:val="24"/>
        </w:rPr>
        <w:t>sustained.</w:t>
      </w:r>
    </w:p>
    <w:p w:rsidR="00CD1D8F" w:rsidRPr="000D1F63" w:rsidRDefault="00CD1D8F" w:rsidP="000D1F63">
      <w:pPr>
        <w:pStyle w:val="ParaTab1"/>
        <w:tabs>
          <w:tab w:val="left" w:pos="2070"/>
        </w:tabs>
        <w:spacing w:line="360" w:lineRule="auto"/>
        <w:rPr>
          <w:rFonts w:ascii="Times New Roman" w:hAnsi="Times New Roman" w:cs="Times New Roman"/>
        </w:rPr>
      </w:pPr>
    </w:p>
    <w:p w:rsidR="00BD5884" w:rsidRPr="000D1F63" w:rsidRDefault="00BD5884" w:rsidP="000D1F63">
      <w:pPr>
        <w:autoSpaceDE w:val="0"/>
        <w:autoSpaceDN w:val="0"/>
        <w:spacing w:after="0" w:line="360" w:lineRule="auto"/>
        <w:jc w:val="center"/>
        <w:rPr>
          <w:rFonts w:ascii="Times New Roman" w:eastAsia="Times New Roman" w:hAnsi="Times New Roman" w:cs="Times New Roman"/>
          <w:sz w:val="24"/>
          <w:szCs w:val="24"/>
          <w:u w:val="single"/>
        </w:rPr>
      </w:pPr>
      <w:r w:rsidRPr="000D1F63">
        <w:rPr>
          <w:rFonts w:ascii="Times New Roman" w:eastAsia="Times New Roman" w:hAnsi="Times New Roman" w:cs="Times New Roman"/>
          <w:sz w:val="24"/>
          <w:szCs w:val="24"/>
          <w:u w:val="single"/>
        </w:rPr>
        <w:t>FINDINGS OF FACT</w:t>
      </w:r>
    </w:p>
    <w:p w:rsidR="00BD5884" w:rsidRPr="000D1F63" w:rsidRDefault="00BD5884" w:rsidP="000D1F6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A3D69" w:rsidRPr="000D1F63" w:rsidRDefault="003A3D69" w:rsidP="000D1F63">
      <w:pPr>
        <w:pStyle w:val="ListParagraph"/>
        <w:numPr>
          <w:ilvl w:val="0"/>
          <w:numId w:val="1"/>
        </w:numPr>
        <w:tabs>
          <w:tab w:val="left" w:pos="2160"/>
        </w:tabs>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The Complainant in this case is </w:t>
      </w:r>
      <w:r w:rsidR="00F80CAD" w:rsidRPr="000D1F63">
        <w:rPr>
          <w:rFonts w:ascii="Times New Roman" w:hAnsi="Times New Roman" w:cs="Times New Roman"/>
          <w:sz w:val="24"/>
          <w:szCs w:val="24"/>
        </w:rPr>
        <w:t>Enrico Partners L</w:t>
      </w:r>
      <w:r w:rsidR="006F0B60">
        <w:rPr>
          <w:rFonts w:ascii="Times New Roman" w:hAnsi="Times New Roman" w:cs="Times New Roman"/>
          <w:sz w:val="24"/>
          <w:szCs w:val="24"/>
        </w:rPr>
        <w:t>.</w:t>
      </w:r>
      <w:r w:rsidR="00F80CAD" w:rsidRPr="000D1F63">
        <w:rPr>
          <w:rFonts w:ascii="Times New Roman" w:hAnsi="Times New Roman" w:cs="Times New Roman"/>
          <w:sz w:val="24"/>
          <w:szCs w:val="24"/>
        </w:rPr>
        <w:t>P</w:t>
      </w:r>
      <w:r w:rsidRPr="000D1F63">
        <w:rPr>
          <w:rFonts w:ascii="Times New Roman" w:hAnsi="Times New Roman" w:cs="Times New Roman"/>
          <w:sz w:val="24"/>
          <w:szCs w:val="24"/>
        </w:rPr>
        <w:t>.</w:t>
      </w:r>
    </w:p>
    <w:p w:rsidR="003A3D69" w:rsidRPr="000D1F63" w:rsidRDefault="003A3D69" w:rsidP="000D1F63">
      <w:pPr>
        <w:pStyle w:val="ListParagraph"/>
        <w:spacing w:after="0" w:line="360" w:lineRule="auto"/>
        <w:ind w:left="1440"/>
        <w:rPr>
          <w:rFonts w:ascii="Times New Roman" w:hAnsi="Times New Roman" w:cs="Times New Roman"/>
          <w:sz w:val="24"/>
          <w:szCs w:val="24"/>
        </w:rPr>
      </w:pPr>
    </w:p>
    <w:p w:rsidR="003A3D69" w:rsidRPr="000D1F63" w:rsidRDefault="003A3D69" w:rsidP="000D1F63">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The Respondent in this case </w:t>
      </w:r>
      <w:r w:rsidR="00F80CAD" w:rsidRPr="000D1F63">
        <w:rPr>
          <w:rFonts w:ascii="Times New Roman" w:hAnsi="Times New Roman" w:cs="Times New Roman"/>
          <w:sz w:val="24"/>
          <w:szCs w:val="24"/>
        </w:rPr>
        <w:t>is Blue Pilot Energy, LLC</w:t>
      </w:r>
      <w:r w:rsidRPr="000D1F63">
        <w:rPr>
          <w:rFonts w:ascii="Times New Roman" w:hAnsi="Times New Roman" w:cs="Times New Roman"/>
          <w:sz w:val="24"/>
          <w:szCs w:val="24"/>
        </w:rPr>
        <w:t>.</w:t>
      </w:r>
    </w:p>
    <w:p w:rsidR="003A3D69" w:rsidRPr="000D1F63" w:rsidRDefault="003A3D69" w:rsidP="000D1F63">
      <w:pPr>
        <w:pStyle w:val="ListParagraph"/>
        <w:spacing w:after="0" w:line="360" w:lineRule="auto"/>
        <w:ind w:left="1440"/>
        <w:rPr>
          <w:rFonts w:ascii="Times New Roman" w:hAnsi="Times New Roman" w:cs="Times New Roman"/>
          <w:sz w:val="24"/>
          <w:szCs w:val="24"/>
        </w:rPr>
      </w:pPr>
    </w:p>
    <w:p w:rsidR="003A3D69" w:rsidRPr="000D1F63" w:rsidRDefault="003A3D69" w:rsidP="000D1F63">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The Service Address is </w:t>
      </w:r>
      <w:r w:rsidR="00F80CAD" w:rsidRPr="000D1F63">
        <w:rPr>
          <w:rFonts w:ascii="Times New Roman" w:hAnsi="Times New Roman" w:cs="Times New Roman"/>
          <w:sz w:val="24"/>
          <w:szCs w:val="24"/>
        </w:rPr>
        <w:t>789 East Lancaster Ave, Villanova, PA</w:t>
      </w:r>
      <w:r w:rsidRPr="000D1F63">
        <w:rPr>
          <w:rFonts w:ascii="Times New Roman" w:hAnsi="Times New Roman" w:cs="Times New Roman"/>
          <w:sz w:val="24"/>
          <w:szCs w:val="24"/>
        </w:rPr>
        <w:t>.</w:t>
      </w:r>
    </w:p>
    <w:p w:rsidR="00F80CAD" w:rsidRPr="000D1F63" w:rsidRDefault="00F80CAD" w:rsidP="000D1F63">
      <w:pPr>
        <w:pStyle w:val="ListParagraph"/>
        <w:spacing w:after="0" w:line="360" w:lineRule="auto"/>
        <w:rPr>
          <w:rFonts w:ascii="Times New Roman" w:hAnsi="Times New Roman" w:cs="Times New Roman"/>
          <w:sz w:val="24"/>
          <w:szCs w:val="24"/>
        </w:rPr>
      </w:pPr>
    </w:p>
    <w:p w:rsidR="00756E5C" w:rsidRPr="000D1F63" w:rsidRDefault="00756E5C" w:rsidP="000D1F63">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Gerald Holtz is the vice-president and general partner of Enrico Partners and monitors the day-to-day operations of the Company.  Tr. 7.</w:t>
      </w:r>
    </w:p>
    <w:p w:rsidR="00756E5C" w:rsidRPr="000D1F63" w:rsidRDefault="00756E5C" w:rsidP="00756E5C">
      <w:pPr>
        <w:pStyle w:val="ListParagraph"/>
        <w:rPr>
          <w:rFonts w:ascii="Times New Roman" w:hAnsi="Times New Roman" w:cs="Times New Roman"/>
          <w:sz w:val="24"/>
          <w:szCs w:val="24"/>
        </w:rPr>
      </w:pPr>
    </w:p>
    <w:p w:rsidR="00756E5C" w:rsidRPr="000D1F63" w:rsidRDefault="00756E5C"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Mr. Holtz received 15-20 calls from Tim Espinoza on behalf of Blue Pilot seeking to enroll him in their electric generation service.  Tr. 7-9.</w:t>
      </w:r>
    </w:p>
    <w:p w:rsidR="00756E5C" w:rsidRPr="000D1F63" w:rsidRDefault="00756E5C" w:rsidP="00756E5C">
      <w:pPr>
        <w:pStyle w:val="ListParagraph"/>
        <w:rPr>
          <w:rFonts w:ascii="Times New Roman" w:hAnsi="Times New Roman" w:cs="Times New Roman"/>
          <w:sz w:val="24"/>
          <w:szCs w:val="24"/>
        </w:rPr>
      </w:pPr>
    </w:p>
    <w:p w:rsidR="00756E5C" w:rsidRPr="000D1F63" w:rsidRDefault="00443468"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Enrico Exhibit Number 4 is entitled “Entity Details – Secretary of State, Nevada Blue Pilot Energy, LLC” and shows that Blue Pilot was incorporated as a limited liability company on November 5, 2010 in Nevada.  Enrico Exh. No. 4; Tr. 9-10.</w:t>
      </w:r>
    </w:p>
    <w:p w:rsidR="00443468" w:rsidRPr="000D1F63" w:rsidRDefault="00443468" w:rsidP="00443468">
      <w:pPr>
        <w:pStyle w:val="ListParagraph"/>
        <w:rPr>
          <w:rFonts w:ascii="Times New Roman" w:hAnsi="Times New Roman" w:cs="Times New Roman"/>
          <w:sz w:val="24"/>
          <w:szCs w:val="24"/>
        </w:rPr>
      </w:pPr>
    </w:p>
    <w:p w:rsidR="00443468" w:rsidRPr="000D1F63" w:rsidRDefault="00061B63"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Enrico Exhibit Number 1 is </w:t>
      </w:r>
      <w:r w:rsidR="005F45C1" w:rsidRPr="000D1F63">
        <w:rPr>
          <w:rFonts w:ascii="Times New Roman" w:hAnsi="Times New Roman" w:cs="Times New Roman"/>
          <w:sz w:val="24"/>
          <w:szCs w:val="24"/>
        </w:rPr>
        <w:t xml:space="preserve">a print-out of an email </w:t>
      </w:r>
      <w:r w:rsidR="00805069" w:rsidRPr="000D1F63">
        <w:rPr>
          <w:rFonts w:ascii="Times New Roman" w:hAnsi="Times New Roman" w:cs="Times New Roman"/>
          <w:sz w:val="24"/>
          <w:szCs w:val="24"/>
        </w:rPr>
        <w:t xml:space="preserve">dated January 9, 2014 </w:t>
      </w:r>
      <w:r w:rsidR="005F45C1" w:rsidRPr="000D1F63">
        <w:rPr>
          <w:rFonts w:ascii="Times New Roman" w:hAnsi="Times New Roman" w:cs="Times New Roman"/>
          <w:sz w:val="24"/>
          <w:szCs w:val="24"/>
        </w:rPr>
        <w:t>from Tim Espinoza to Larry Bell</w:t>
      </w:r>
      <w:r w:rsidR="005D4BF0" w:rsidRPr="000D1F63">
        <w:rPr>
          <w:rFonts w:ascii="Times New Roman" w:hAnsi="Times New Roman" w:cs="Times New Roman"/>
          <w:sz w:val="24"/>
          <w:szCs w:val="24"/>
        </w:rPr>
        <w:t xml:space="preserve">, </w:t>
      </w:r>
      <w:r w:rsidR="005F45C1" w:rsidRPr="000D1F63">
        <w:rPr>
          <w:rFonts w:ascii="Times New Roman" w:hAnsi="Times New Roman" w:cs="Times New Roman"/>
          <w:sz w:val="24"/>
          <w:szCs w:val="24"/>
        </w:rPr>
        <w:t xml:space="preserve">an </w:t>
      </w:r>
      <w:r w:rsidR="005D4BF0" w:rsidRPr="000D1F63">
        <w:rPr>
          <w:rFonts w:ascii="Times New Roman" w:hAnsi="Times New Roman" w:cs="Times New Roman"/>
          <w:sz w:val="24"/>
          <w:szCs w:val="24"/>
        </w:rPr>
        <w:t xml:space="preserve">employee </w:t>
      </w:r>
      <w:r w:rsidR="005F45C1" w:rsidRPr="000D1F63">
        <w:rPr>
          <w:rFonts w:ascii="Times New Roman" w:hAnsi="Times New Roman" w:cs="Times New Roman"/>
          <w:sz w:val="24"/>
          <w:szCs w:val="24"/>
        </w:rPr>
        <w:t>of Mr. Holtz, with a print-out of the two-page service agreement entitled “Service Agreement for the Purchase of Electricity Power and Enrollment Form.”  Enrico Exh. No. 1; Tr. 11-12.</w:t>
      </w:r>
    </w:p>
    <w:p w:rsidR="005F45C1" w:rsidRPr="000D1F63" w:rsidRDefault="005F45C1" w:rsidP="005F45C1">
      <w:pPr>
        <w:pStyle w:val="ListParagraph"/>
        <w:rPr>
          <w:rFonts w:ascii="Times New Roman" w:hAnsi="Times New Roman" w:cs="Times New Roman"/>
          <w:sz w:val="24"/>
          <w:szCs w:val="24"/>
        </w:rPr>
      </w:pPr>
    </w:p>
    <w:p w:rsidR="005F45C1" w:rsidRPr="000D1F63" w:rsidRDefault="005F45C1"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Enrico Exhibit Number 5 is </w:t>
      </w:r>
      <w:r w:rsidR="005D4BF0" w:rsidRPr="000D1F63">
        <w:rPr>
          <w:rFonts w:ascii="Times New Roman" w:hAnsi="Times New Roman" w:cs="Times New Roman"/>
          <w:sz w:val="24"/>
          <w:szCs w:val="24"/>
        </w:rPr>
        <w:t>a print-out o</w:t>
      </w:r>
      <w:r w:rsidR="00D7630B" w:rsidRPr="000D1F63">
        <w:rPr>
          <w:rFonts w:ascii="Times New Roman" w:hAnsi="Times New Roman" w:cs="Times New Roman"/>
          <w:sz w:val="24"/>
          <w:szCs w:val="24"/>
        </w:rPr>
        <w:t>f an email from Mr. Bell to Mr. </w:t>
      </w:r>
      <w:r w:rsidR="00545E74">
        <w:rPr>
          <w:rFonts w:ascii="Times New Roman" w:hAnsi="Times New Roman" w:cs="Times New Roman"/>
          <w:sz w:val="24"/>
          <w:szCs w:val="24"/>
        </w:rPr>
        <w:t>Es</w:t>
      </w:r>
      <w:r w:rsidR="005D4BF0" w:rsidRPr="000D1F63">
        <w:rPr>
          <w:rFonts w:ascii="Times New Roman" w:hAnsi="Times New Roman" w:cs="Times New Roman"/>
          <w:sz w:val="24"/>
          <w:szCs w:val="24"/>
        </w:rPr>
        <w:t>pinoza, dated January 9, 2014, with the signed Service Agreement attached to it.  Enrico Exh. No. 5; Tr. 12-13.</w:t>
      </w:r>
    </w:p>
    <w:p w:rsidR="005D4BF0" w:rsidRPr="000D1F63" w:rsidRDefault="005D4BF0"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Mr. Holtz understood that the agreement was for a variable rate when he authorized Mr. Bell to sign it.  Tr. 13.</w:t>
      </w:r>
    </w:p>
    <w:p w:rsidR="005D4BF0" w:rsidRPr="000D1F63" w:rsidRDefault="005D4BF0" w:rsidP="005D4BF0">
      <w:pPr>
        <w:pStyle w:val="ListParagraph"/>
        <w:rPr>
          <w:rFonts w:ascii="Times New Roman" w:hAnsi="Times New Roman" w:cs="Times New Roman"/>
          <w:sz w:val="24"/>
          <w:szCs w:val="24"/>
        </w:rPr>
      </w:pPr>
    </w:p>
    <w:p w:rsidR="005D4BF0" w:rsidRPr="000D1F63" w:rsidRDefault="005D4BF0"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Mr. Holtz believed that the variable rate would be based on “PJM wholesale market conditions”</w:t>
      </w:r>
      <w:r w:rsidR="00C86114" w:rsidRPr="000D1F63">
        <w:rPr>
          <w:rFonts w:ascii="Times New Roman" w:hAnsi="Times New Roman" w:cs="Times New Roman"/>
          <w:sz w:val="24"/>
          <w:szCs w:val="24"/>
        </w:rPr>
        <w:t xml:space="preserve"> following the introductory rate of 7.9 cents per kilowatt hour (kwh) that was to last for 60 days.</w:t>
      </w:r>
      <w:r w:rsidRPr="000D1F63">
        <w:rPr>
          <w:rFonts w:ascii="Times New Roman" w:hAnsi="Times New Roman" w:cs="Times New Roman"/>
          <w:sz w:val="24"/>
          <w:szCs w:val="24"/>
        </w:rPr>
        <w:t xml:space="preserve">  Tr. 13-14.</w:t>
      </w:r>
    </w:p>
    <w:p w:rsidR="005D4BF0" w:rsidRPr="000D1F63" w:rsidRDefault="005D4BF0" w:rsidP="005D4BF0">
      <w:pPr>
        <w:pStyle w:val="ListParagraph"/>
        <w:rPr>
          <w:rFonts w:ascii="Times New Roman" w:hAnsi="Times New Roman" w:cs="Times New Roman"/>
          <w:sz w:val="24"/>
          <w:szCs w:val="24"/>
        </w:rPr>
      </w:pPr>
    </w:p>
    <w:p w:rsidR="005D4BF0" w:rsidRPr="000D1F63" w:rsidRDefault="00C86114"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Enrico received three bills comprising 90 days of service at the rate of 7.9 cents per kwh and then </w:t>
      </w:r>
      <w:r w:rsidR="00E1559E" w:rsidRPr="000D1F63">
        <w:rPr>
          <w:rFonts w:ascii="Times New Roman" w:hAnsi="Times New Roman" w:cs="Times New Roman"/>
          <w:sz w:val="24"/>
          <w:szCs w:val="24"/>
        </w:rPr>
        <w:t>the price increased to 24.9 per kwh in the fourth billing period.  Tr. 14.</w:t>
      </w:r>
    </w:p>
    <w:p w:rsidR="00E1559E" w:rsidRPr="000D1F63" w:rsidRDefault="00E1559E" w:rsidP="00E1559E">
      <w:pPr>
        <w:pStyle w:val="ListParagraph"/>
        <w:rPr>
          <w:rFonts w:ascii="Times New Roman" w:hAnsi="Times New Roman" w:cs="Times New Roman"/>
          <w:sz w:val="24"/>
          <w:szCs w:val="24"/>
        </w:rPr>
      </w:pPr>
    </w:p>
    <w:p w:rsidR="00E1559E" w:rsidRPr="000D1F63" w:rsidRDefault="00E1559E"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Mr. Holtz attempted to speak with Blue Pilot about the increase and was told to pay the full amount</w:t>
      </w:r>
      <w:r w:rsidR="006F0B60">
        <w:rPr>
          <w:rFonts w:ascii="Times New Roman" w:hAnsi="Times New Roman" w:cs="Times New Roman"/>
          <w:sz w:val="24"/>
          <w:szCs w:val="24"/>
        </w:rPr>
        <w:t>,</w:t>
      </w:r>
      <w:r w:rsidRPr="000D1F63">
        <w:rPr>
          <w:rFonts w:ascii="Times New Roman" w:hAnsi="Times New Roman" w:cs="Times New Roman"/>
          <w:sz w:val="24"/>
          <w:szCs w:val="24"/>
        </w:rPr>
        <w:t xml:space="preserve"> so he wrote to PECO, his electric distribution company, and advised them not to remit any monies in excess of 7.9 cents per kwh to Blue Pilot.  Tr. 15-16.</w:t>
      </w:r>
    </w:p>
    <w:p w:rsidR="00E1559E" w:rsidRPr="000D1F63" w:rsidRDefault="00E1559E" w:rsidP="00E1559E">
      <w:pPr>
        <w:pStyle w:val="ListParagraph"/>
        <w:rPr>
          <w:rFonts w:ascii="Times New Roman" w:hAnsi="Times New Roman" w:cs="Times New Roman"/>
          <w:sz w:val="24"/>
          <w:szCs w:val="24"/>
        </w:rPr>
      </w:pPr>
    </w:p>
    <w:p w:rsidR="00E1559E" w:rsidRPr="000D1F63" w:rsidRDefault="00983AAC"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Enrico switched its electric generation service back to PECO effective August 5, 2014.  Tr. 16.</w:t>
      </w:r>
    </w:p>
    <w:p w:rsidR="00983AAC" w:rsidRPr="000D1F63" w:rsidRDefault="00983AAC" w:rsidP="00983AAC">
      <w:pPr>
        <w:pStyle w:val="ListParagraph"/>
        <w:rPr>
          <w:rFonts w:ascii="Times New Roman" w:hAnsi="Times New Roman" w:cs="Times New Roman"/>
          <w:sz w:val="24"/>
          <w:szCs w:val="24"/>
        </w:rPr>
      </w:pPr>
    </w:p>
    <w:p w:rsidR="00983AAC" w:rsidRPr="000D1F63" w:rsidRDefault="00805069"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Enrico was over billed </w:t>
      </w:r>
      <w:r w:rsidR="00516429" w:rsidRPr="000D1F63">
        <w:rPr>
          <w:rFonts w:ascii="Times New Roman" w:hAnsi="Times New Roman" w:cs="Times New Roman"/>
          <w:sz w:val="24"/>
          <w:szCs w:val="24"/>
        </w:rPr>
        <w:t xml:space="preserve">$23,794, or </w:t>
      </w:r>
      <w:r w:rsidR="00F92C4F" w:rsidRPr="000D1F63">
        <w:rPr>
          <w:rFonts w:ascii="Times New Roman" w:hAnsi="Times New Roman" w:cs="Times New Roman"/>
          <w:sz w:val="24"/>
          <w:szCs w:val="24"/>
        </w:rPr>
        <w:t xml:space="preserve">a difference of </w:t>
      </w:r>
      <w:r w:rsidR="00516429" w:rsidRPr="000D1F63">
        <w:rPr>
          <w:rFonts w:ascii="Times New Roman" w:hAnsi="Times New Roman" w:cs="Times New Roman"/>
          <w:sz w:val="24"/>
          <w:szCs w:val="24"/>
        </w:rPr>
        <w:t xml:space="preserve">17 cents per kwh, during the two billing periods </w:t>
      </w:r>
      <w:r w:rsidR="006B767A" w:rsidRPr="000D1F63">
        <w:rPr>
          <w:rFonts w:ascii="Times New Roman" w:hAnsi="Times New Roman" w:cs="Times New Roman"/>
          <w:sz w:val="24"/>
          <w:szCs w:val="24"/>
        </w:rPr>
        <w:t xml:space="preserve">it was </w:t>
      </w:r>
      <w:r w:rsidR="00516429" w:rsidRPr="000D1F63">
        <w:rPr>
          <w:rFonts w:ascii="Times New Roman" w:hAnsi="Times New Roman" w:cs="Times New Roman"/>
          <w:sz w:val="24"/>
          <w:szCs w:val="24"/>
        </w:rPr>
        <w:t>charged the higher rate.  Tr. 16.</w:t>
      </w:r>
    </w:p>
    <w:p w:rsidR="00516429" w:rsidRPr="000D1F63" w:rsidRDefault="00516429" w:rsidP="00516429">
      <w:pPr>
        <w:pStyle w:val="ListParagraph"/>
        <w:rPr>
          <w:rFonts w:ascii="Times New Roman" w:hAnsi="Times New Roman" w:cs="Times New Roman"/>
          <w:sz w:val="24"/>
          <w:szCs w:val="24"/>
        </w:rPr>
      </w:pPr>
    </w:p>
    <w:p w:rsidR="00516429" w:rsidRPr="000D1F63" w:rsidRDefault="00516429"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Enrico Exhibit Number 7 </w:t>
      </w:r>
      <w:r w:rsidR="006C54F2" w:rsidRPr="000D1F63">
        <w:rPr>
          <w:rFonts w:ascii="Times New Roman" w:hAnsi="Times New Roman" w:cs="Times New Roman"/>
          <w:sz w:val="24"/>
          <w:szCs w:val="24"/>
        </w:rPr>
        <w:t xml:space="preserve">contains </w:t>
      </w:r>
      <w:r w:rsidRPr="000D1F63">
        <w:rPr>
          <w:rFonts w:ascii="Times New Roman" w:hAnsi="Times New Roman" w:cs="Times New Roman"/>
          <w:sz w:val="24"/>
          <w:szCs w:val="24"/>
        </w:rPr>
        <w:t>the PJM wholesale hourly market price for March 2014 through August 2014.  Enrico Exh. No. 7; Tr. 17-19.</w:t>
      </w:r>
    </w:p>
    <w:p w:rsidR="00516429" w:rsidRPr="000D1F63" w:rsidRDefault="00516429" w:rsidP="00516429">
      <w:pPr>
        <w:pStyle w:val="ListParagraph"/>
        <w:rPr>
          <w:rFonts w:ascii="Times New Roman" w:hAnsi="Times New Roman" w:cs="Times New Roman"/>
          <w:sz w:val="24"/>
          <w:szCs w:val="24"/>
        </w:rPr>
      </w:pPr>
    </w:p>
    <w:p w:rsidR="00516429" w:rsidRPr="000D1F63" w:rsidRDefault="00516429"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Mr. Holtz calculated the average daily </w:t>
      </w:r>
      <w:r w:rsidR="002228F1" w:rsidRPr="000D1F63">
        <w:rPr>
          <w:rFonts w:ascii="Times New Roman" w:hAnsi="Times New Roman" w:cs="Times New Roman"/>
          <w:sz w:val="24"/>
          <w:szCs w:val="24"/>
        </w:rPr>
        <w:t xml:space="preserve">hourly </w:t>
      </w:r>
      <w:r w:rsidRPr="000D1F63">
        <w:rPr>
          <w:rFonts w:ascii="Times New Roman" w:hAnsi="Times New Roman" w:cs="Times New Roman"/>
          <w:sz w:val="24"/>
          <w:szCs w:val="24"/>
        </w:rPr>
        <w:t>price of the PJM wholesale hourly market price.  Tr. 18-19.</w:t>
      </w:r>
    </w:p>
    <w:p w:rsidR="00516429" w:rsidRPr="000D1F63" w:rsidRDefault="00516429" w:rsidP="00516429">
      <w:pPr>
        <w:pStyle w:val="ListParagraph"/>
        <w:rPr>
          <w:rFonts w:ascii="Times New Roman" w:hAnsi="Times New Roman" w:cs="Times New Roman"/>
          <w:sz w:val="24"/>
          <w:szCs w:val="24"/>
        </w:rPr>
      </w:pPr>
    </w:p>
    <w:p w:rsidR="00516429" w:rsidRPr="000D1F63" w:rsidRDefault="002228F1"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Enrico received the fixed rate of 7.9 cents per kwh from March 7, 2014 to May 4, 2014.  Tr. 19.</w:t>
      </w:r>
    </w:p>
    <w:p w:rsidR="002228F1" w:rsidRPr="000D1F63" w:rsidRDefault="002228F1" w:rsidP="002228F1">
      <w:pPr>
        <w:pStyle w:val="ListParagraph"/>
        <w:rPr>
          <w:rFonts w:ascii="Times New Roman" w:hAnsi="Times New Roman" w:cs="Times New Roman"/>
          <w:sz w:val="24"/>
          <w:szCs w:val="24"/>
        </w:rPr>
      </w:pPr>
    </w:p>
    <w:p w:rsidR="002228F1" w:rsidRPr="000D1F63" w:rsidRDefault="002228F1"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According to Mr. Holtz’s calculations, the average daily hourly price of the PJM wholesale market price during the sixty-day introductory fixed-price period was 4.699 cents per kwh when </w:t>
      </w:r>
      <w:r w:rsidR="003E4562" w:rsidRPr="000D1F63">
        <w:rPr>
          <w:rFonts w:ascii="Times New Roman" w:hAnsi="Times New Roman" w:cs="Times New Roman"/>
          <w:sz w:val="24"/>
          <w:szCs w:val="24"/>
        </w:rPr>
        <w:t xml:space="preserve">Enrico </w:t>
      </w:r>
      <w:r w:rsidRPr="000D1F63">
        <w:rPr>
          <w:rFonts w:ascii="Times New Roman" w:hAnsi="Times New Roman" w:cs="Times New Roman"/>
          <w:sz w:val="24"/>
          <w:szCs w:val="24"/>
        </w:rPr>
        <w:t xml:space="preserve">was paying </w:t>
      </w:r>
      <w:r w:rsidR="003E4562" w:rsidRPr="000D1F63">
        <w:rPr>
          <w:rFonts w:ascii="Times New Roman" w:hAnsi="Times New Roman" w:cs="Times New Roman"/>
          <w:sz w:val="24"/>
          <w:szCs w:val="24"/>
        </w:rPr>
        <w:t xml:space="preserve">Blue Pilot </w:t>
      </w:r>
      <w:r w:rsidRPr="000D1F63">
        <w:rPr>
          <w:rFonts w:ascii="Times New Roman" w:hAnsi="Times New Roman" w:cs="Times New Roman"/>
          <w:sz w:val="24"/>
          <w:szCs w:val="24"/>
        </w:rPr>
        <w:t xml:space="preserve">7.9 cents per kwh.  </w:t>
      </w:r>
      <w:r w:rsidR="00BF6692" w:rsidRPr="000D1F63">
        <w:rPr>
          <w:rFonts w:ascii="Times New Roman" w:hAnsi="Times New Roman" w:cs="Times New Roman"/>
          <w:sz w:val="24"/>
          <w:szCs w:val="24"/>
        </w:rPr>
        <w:t xml:space="preserve">Enrico Exh. No. 7; </w:t>
      </w:r>
      <w:r w:rsidRPr="000D1F63">
        <w:rPr>
          <w:rFonts w:ascii="Times New Roman" w:hAnsi="Times New Roman" w:cs="Times New Roman"/>
          <w:sz w:val="24"/>
          <w:szCs w:val="24"/>
        </w:rPr>
        <w:t>Tr. 20-21.</w:t>
      </w:r>
    </w:p>
    <w:p w:rsidR="002228F1" w:rsidRPr="000D1F63" w:rsidRDefault="003E4562"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According to Mr. Holtz’s calculations, the average daily hourly price of the PJM wholesale market price during Enrico’s third billing period was 3.544 cents per kwh when Enrico was paying Blue Pilot 7.9 cents per kwh.  </w:t>
      </w:r>
      <w:r w:rsidR="00BF6692" w:rsidRPr="000D1F63">
        <w:rPr>
          <w:rFonts w:ascii="Times New Roman" w:hAnsi="Times New Roman" w:cs="Times New Roman"/>
          <w:sz w:val="24"/>
          <w:szCs w:val="24"/>
        </w:rPr>
        <w:t xml:space="preserve">Enrico Exh. No. 7; </w:t>
      </w:r>
      <w:r w:rsidRPr="000D1F63">
        <w:rPr>
          <w:rFonts w:ascii="Times New Roman" w:hAnsi="Times New Roman" w:cs="Times New Roman"/>
          <w:sz w:val="24"/>
          <w:szCs w:val="24"/>
        </w:rPr>
        <w:t>Tr. 21.</w:t>
      </w:r>
    </w:p>
    <w:p w:rsidR="004D227D" w:rsidRPr="000D1F63" w:rsidRDefault="004D227D" w:rsidP="004D227D">
      <w:pPr>
        <w:pStyle w:val="ListParagraph"/>
        <w:spacing w:after="0" w:line="360" w:lineRule="auto"/>
        <w:ind w:left="1440"/>
        <w:rPr>
          <w:rFonts w:ascii="Times New Roman" w:hAnsi="Times New Roman" w:cs="Times New Roman"/>
          <w:sz w:val="24"/>
          <w:szCs w:val="24"/>
        </w:rPr>
      </w:pPr>
    </w:p>
    <w:p w:rsidR="003E4562" w:rsidRPr="000D1F63" w:rsidRDefault="00BF6692" w:rsidP="00B1056A">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According to Mr. Holtz’s calculations, the average daily hourly price of the PJM wholesale market price during Enrico’s fourth billing period was </w:t>
      </w:r>
      <w:r w:rsidR="00B53190" w:rsidRPr="000D1F63">
        <w:rPr>
          <w:rFonts w:ascii="Times New Roman" w:hAnsi="Times New Roman" w:cs="Times New Roman"/>
          <w:sz w:val="24"/>
          <w:szCs w:val="24"/>
        </w:rPr>
        <w:t xml:space="preserve">3.994 cents per kwh when Enrico was paying Blue Pilot </w:t>
      </w:r>
      <w:r w:rsidR="00E52381" w:rsidRPr="000D1F63">
        <w:rPr>
          <w:rFonts w:ascii="Times New Roman" w:hAnsi="Times New Roman" w:cs="Times New Roman"/>
          <w:sz w:val="24"/>
          <w:szCs w:val="24"/>
        </w:rPr>
        <w:t>24</w:t>
      </w:r>
      <w:r w:rsidR="00B53190" w:rsidRPr="000D1F63">
        <w:rPr>
          <w:rFonts w:ascii="Times New Roman" w:hAnsi="Times New Roman" w:cs="Times New Roman"/>
          <w:sz w:val="24"/>
          <w:szCs w:val="24"/>
        </w:rPr>
        <w:t>.9 cents per kwh</w:t>
      </w:r>
      <w:r w:rsidRPr="000D1F63">
        <w:rPr>
          <w:rFonts w:ascii="Times New Roman" w:hAnsi="Times New Roman" w:cs="Times New Roman"/>
          <w:sz w:val="24"/>
          <w:szCs w:val="24"/>
        </w:rPr>
        <w:t>.  Enrico Exh. No. 7; Tr. 21-22.</w:t>
      </w:r>
    </w:p>
    <w:p w:rsidR="00B53190" w:rsidRPr="000D1F63" w:rsidRDefault="00B53190" w:rsidP="00B53190">
      <w:pPr>
        <w:pStyle w:val="ListParagraph"/>
        <w:rPr>
          <w:rFonts w:ascii="Times New Roman" w:hAnsi="Times New Roman" w:cs="Times New Roman"/>
          <w:sz w:val="24"/>
          <w:szCs w:val="24"/>
        </w:rPr>
      </w:pPr>
    </w:p>
    <w:p w:rsidR="00B53190" w:rsidRPr="000D1F63" w:rsidRDefault="00E52381" w:rsidP="00E52381">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According to Mr. Holtz’s calculations, the average daily hourly price of the PJM wholesale market price during Enrico’s fifth billing period was 3.559 cents per kwh when Enrico was paying Blue Pilot 24.9 cents per kwh.  Enrico Exh. No. 7; Tr. 22.</w:t>
      </w:r>
    </w:p>
    <w:p w:rsidR="00E52381" w:rsidRPr="000D1F63" w:rsidRDefault="00E52381" w:rsidP="00E52381">
      <w:pPr>
        <w:pStyle w:val="ListParagraph"/>
        <w:rPr>
          <w:rFonts w:ascii="Times New Roman" w:hAnsi="Times New Roman" w:cs="Times New Roman"/>
          <w:sz w:val="24"/>
          <w:szCs w:val="24"/>
        </w:rPr>
      </w:pPr>
    </w:p>
    <w:p w:rsidR="00E52381" w:rsidRPr="000D1F63" w:rsidRDefault="00E52381" w:rsidP="00E52381">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According to Mr. Holtz’s calculations, if the rate was determined by the average daily hourly price of the PJM wholesale market price during </w:t>
      </w:r>
      <w:r w:rsidR="004E092B" w:rsidRPr="000D1F63">
        <w:rPr>
          <w:rFonts w:ascii="Times New Roman" w:hAnsi="Times New Roman" w:cs="Times New Roman"/>
          <w:sz w:val="24"/>
          <w:szCs w:val="24"/>
        </w:rPr>
        <w:t>the third, fourth and fifth billing periods compared to the 7.9 cents per kwh rate, the difference would be a credit to Enrico of $3,374.48.  Enrico Exh. No. 7; Tr. 23.</w:t>
      </w:r>
    </w:p>
    <w:p w:rsidR="004E092B" w:rsidRPr="000D1F63" w:rsidRDefault="004E092B" w:rsidP="004E092B">
      <w:pPr>
        <w:pStyle w:val="ListParagraph"/>
        <w:rPr>
          <w:rFonts w:ascii="Times New Roman" w:hAnsi="Times New Roman" w:cs="Times New Roman"/>
          <w:sz w:val="24"/>
          <w:szCs w:val="24"/>
        </w:rPr>
      </w:pPr>
    </w:p>
    <w:p w:rsidR="004E092B" w:rsidRPr="000D1F63" w:rsidRDefault="00F534E5" w:rsidP="00E52381">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The total amount for the five billing periods Blue Pilot has overcharged Enrico is $</w:t>
      </w:r>
      <w:r w:rsidR="00F92C4F" w:rsidRPr="000D1F63">
        <w:rPr>
          <w:rFonts w:ascii="Times New Roman" w:hAnsi="Times New Roman" w:cs="Times New Roman"/>
          <w:sz w:val="24"/>
          <w:szCs w:val="24"/>
        </w:rPr>
        <w:t>23,794 plus, $3,374.48, or $27,168.48</w:t>
      </w:r>
      <w:r w:rsidRPr="000D1F63">
        <w:rPr>
          <w:rFonts w:ascii="Times New Roman" w:hAnsi="Times New Roman" w:cs="Times New Roman"/>
          <w:sz w:val="24"/>
          <w:szCs w:val="24"/>
        </w:rPr>
        <w:t>.  Tr. 23.</w:t>
      </w:r>
    </w:p>
    <w:p w:rsidR="00756E5C" w:rsidRPr="000D1F63" w:rsidRDefault="00756E5C" w:rsidP="00756E5C">
      <w:pPr>
        <w:pStyle w:val="ListParagraph"/>
        <w:rPr>
          <w:rFonts w:ascii="Times New Roman" w:hAnsi="Times New Roman" w:cs="Times New Roman"/>
          <w:sz w:val="24"/>
          <w:szCs w:val="24"/>
        </w:rPr>
      </w:pPr>
    </w:p>
    <w:p w:rsidR="006B3B61" w:rsidRPr="000D1F63" w:rsidRDefault="006B3B61" w:rsidP="004D227D">
      <w:pPr>
        <w:pStyle w:val="ListParagraph"/>
        <w:numPr>
          <w:ilvl w:val="0"/>
          <w:numId w:val="1"/>
        </w:numPr>
        <w:spacing w:after="0" w:line="24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 xml:space="preserve">Paragraph 3 of the Service Agreement provided by Blue Pilot and executed by Enrico states:  </w:t>
      </w:r>
    </w:p>
    <w:p w:rsidR="006B3B61" w:rsidRPr="000D1F63" w:rsidRDefault="006B3B61" w:rsidP="004D227D">
      <w:pPr>
        <w:pStyle w:val="ListParagraph"/>
        <w:spacing w:after="0" w:line="240" w:lineRule="auto"/>
        <w:rPr>
          <w:rFonts w:ascii="Times New Roman" w:hAnsi="Times New Roman" w:cs="Times New Roman"/>
          <w:sz w:val="24"/>
          <w:szCs w:val="24"/>
        </w:rPr>
      </w:pPr>
    </w:p>
    <w:p w:rsidR="00F92C4F" w:rsidRPr="000D1F63" w:rsidRDefault="006B3B61" w:rsidP="004D227D">
      <w:pPr>
        <w:spacing w:after="0" w:line="240" w:lineRule="auto"/>
        <w:ind w:left="1440" w:right="1440"/>
        <w:rPr>
          <w:rFonts w:ascii="Times New Roman" w:hAnsi="Times New Roman" w:cs="Times New Roman"/>
          <w:sz w:val="24"/>
          <w:szCs w:val="24"/>
        </w:rPr>
      </w:pPr>
      <w:r w:rsidRPr="000D1F63">
        <w:rPr>
          <w:rFonts w:ascii="Times New Roman" w:hAnsi="Times New Roman" w:cs="Times New Roman"/>
          <w:sz w:val="24"/>
          <w:szCs w:val="24"/>
        </w:rPr>
        <w:t xml:space="preserve">TERMS OF SERVICE:  You will pay a variable rate with the starting price set at </w:t>
      </w:r>
      <w:r w:rsidRPr="000D1F63">
        <w:rPr>
          <w:rFonts w:ascii="Times New Roman" w:hAnsi="Times New Roman" w:cs="Times New Roman"/>
          <w:b/>
          <w:sz w:val="24"/>
          <w:szCs w:val="24"/>
          <w:u w:val="single"/>
        </w:rPr>
        <w:t>7.9 cents per kwh</w:t>
      </w:r>
      <w:r w:rsidRPr="000D1F63">
        <w:rPr>
          <w:rFonts w:ascii="Times New Roman" w:hAnsi="Times New Roman" w:cs="Times New Roman"/>
          <w:sz w:val="24"/>
          <w:szCs w:val="24"/>
        </w:rPr>
        <w:t xml:space="preserve">.  This initial rate will be effective for at least the first sixty (60) days of service.  Thereafter, your price may vary on a month-to-month basis.  This price includes Transmission Charges, but excludes applicable state and local Sales Taxes, Gross Receipts Taxes, and the Distribution Charges from your local EDC.  At any time after 60 days of service, but not more frequently than monthly, we may increase or decrease your rate based upon several factors, including changes in wholesale energy market prices in the PJM Markets.  Your variable rate will be based upon PJM wholesale market conditions.  Please log on to </w:t>
      </w:r>
      <w:hyperlink r:id="rId10" w:history="1">
        <w:r w:rsidRPr="000D1F63">
          <w:rPr>
            <w:rStyle w:val="Hyperlink"/>
            <w:rFonts w:ascii="Times New Roman" w:hAnsi="Times New Roman" w:cs="Times New Roman"/>
            <w:sz w:val="24"/>
            <w:szCs w:val="24"/>
          </w:rPr>
          <w:t>www.bluepilotenergy.com</w:t>
        </w:r>
      </w:hyperlink>
      <w:r w:rsidRPr="000D1F63">
        <w:rPr>
          <w:rFonts w:ascii="Times New Roman" w:hAnsi="Times New Roman" w:cs="Times New Roman"/>
          <w:sz w:val="24"/>
          <w:szCs w:val="24"/>
        </w:rPr>
        <w:t xml:space="preserve"> or call Customer Service at 877-513-0246 for additional information and updates.</w:t>
      </w:r>
    </w:p>
    <w:p w:rsidR="006B3B61" w:rsidRPr="000D1F63" w:rsidRDefault="006B3B61" w:rsidP="0049355A">
      <w:pPr>
        <w:pStyle w:val="ListParagraph"/>
        <w:spacing w:after="0" w:line="240" w:lineRule="auto"/>
        <w:rPr>
          <w:rFonts w:ascii="Times New Roman" w:hAnsi="Times New Roman" w:cs="Times New Roman"/>
          <w:sz w:val="24"/>
          <w:szCs w:val="24"/>
        </w:rPr>
      </w:pPr>
    </w:p>
    <w:p w:rsidR="006B3B61" w:rsidRPr="000D1F63" w:rsidRDefault="006B3B61" w:rsidP="00D25E12">
      <w:pPr>
        <w:spacing w:after="0" w:line="240" w:lineRule="auto"/>
        <w:rPr>
          <w:rFonts w:ascii="Times New Roman" w:hAnsi="Times New Roman" w:cs="Times New Roman"/>
          <w:sz w:val="24"/>
          <w:szCs w:val="24"/>
        </w:rPr>
      </w:pPr>
      <w:r w:rsidRPr="000D1F63">
        <w:rPr>
          <w:rFonts w:ascii="Times New Roman" w:hAnsi="Times New Roman" w:cs="Times New Roman"/>
          <w:sz w:val="24"/>
          <w:szCs w:val="24"/>
        </w:rPr>
        <w:t>Enrico Exh. No. 5 (emphasis in original); Tr. 24-25.</w:t>
      </w:r>
    </w:p>
    <w:p w:rsidR="006A0993" w:rsidRPr="000D1F63" w:rsidRDefault="006A0993" w:rsidP="000D1F63">
      <w:pPr>
        <w:pStyle w:val="ListParagraph"/>
        <w:numPr>
          <w:ilvl w:val="0"/>
          <w:numId w:val="1"/>
        </w:numPr>
        <w:spacing w:after="0" w:line="360" w:lineRule="auto"/>
        <w:ind w:left="0" w:firstLine="1440"/>
        <w:rPr>
          <w:rFonts w:ascii="Times New Roman" w:hAnsi="Times New Roman" w:cs="Times New Roman"/>
          <w:sz w:val="24"/>
          <w:szCs w:val="24"/>
        </w:rPr>
      </w:pPr>
      <w:r w:rsidRPr="000D1F63">
        <w:rPr>
          <w:rFonts w:ascii="Times New Roman" w:hAnsi="Times New Roman" w:cs="Times New Roman"/>
          <w:sz w:val="24"/>
          <w:szCs w:val="24"/>
        </w:rPr>
        <w:t>There is neither a price floor nor a price ceiling in the Service Agreement.  Tr. 25.</w:t>
      </w:r>
    </w:p>
    <w:p w:rsidR="006A0993" w:rsidRPr="000D1F63" w:rsidRDefault="006A0993" w:rsidP="000D1F63">
      <w:pPr>
        <w:spacing w:after="0" w:line="360" w:lineRule="auto"/>
        <w:ind w:left="1350"/>
        <w:rPr>
          <w:rFonts w:ascii="Times New Roman" w:hAnsi="Times New Roman" w:cs="Times New Roman"/>
          <w:sz w:val="24"/>
          <w:szCs w:val="24"/>
        </w:rPr>
      </w:pPr>
    </w:p>
    <w:p w:rsidR="00CF1474" w:rsidRPr="000D1F63" w:rsidRDefault="00CF1474" w:rsidP="000D1F63">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u w:val="single"/>
        </w:rPr>
        <w:t>DISCUSSION</w:t>
      </w:r>
    </w:p>
    <w:p w:rsidR="00670EC7" w:rsidRPr="000D1F63" w:rsidRDefault="00670EC7" w:rsidP="000D1F63">
      <w:pPr>
        <w:tabs>
          <w:tab w:val="left" w:pos="-720"/>
        </w:tabs>
        <w:suppressAutoHyphens/>
        <w:autoSpaceDE w:val="0"/>
        <w:autoSpaceDN w:val="0"/>
        <w:spacing w:after="0" w:line="360" w:lineRule="auto"/>
        <w:rPr>
          <w:rFonts w:ascii="Times New Roman" w:eastAsia="Times New Roman" w:hAnsi="Times New Roman" w:cs="Times New Roman"/>
          <w:b/>
          <w:spacing w:val="-3"/>
          <w:sz w:val="24"/>
          <w:szCs w:val="24"/>
          <w:u w:val="single"/>
        </w:rPr>
      </w:pPr>
    </w:p>
    <w:p w:rsidR="002170E1" w:rsidRPr="000D1F63" w:rsidRDefault="002170E1" w:rsidP="000D1F6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0D1F63">
        <w:rPr>
          <w:rFonts w:ascii="Times New Roman" w:eastAsia="Times New Roman" w:hAnsi="Times New Roman" w:cs="Times New Roman"/>
          <w:b/>
          <w:spacing w:val="-3"/>
          <w:sz w:val="24"/>
          <w:szCs w:val="24"/>
          <w:u w:val="single"/>
        </w:rPr>
        <w:t>Legal Standard</w:t>
      </w:r>
    </w:p>
    <w:p w:rsidR="002170E1" w:rsidRPr="000D1F63" w:rsidRDefault="002170E1" w:rsidP="000D1F6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F1474" w:rsidRPr="000D1F63" w:rsidRDefault="00CF1474" w:rsidP="000D1F6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Pr="000D1F63">
        <w:rPr>
          <w:rFonts w:ascii="Times New Roman" w:eastAsia="Times New Roman" w:hAnsi="Times New Roman" w:cs="Times New Roman"/>
          <w:sz w:val="24"/>
          <w:szCs w:val="24"/>
          <w:u w:val="single"/>
        </w:rPr>
        <w:t>Se-Ling Hosiery v. Margulies</w:t>
      </w:r>
      <w:r w:rsidRPr="000D1F63">
        <w:rPr>
          <w:rFonts w:ascii="Times New Roman" w:eastAsia="Times New Roman" w:hAnsi="Times New Roman" w:cs="Times New Roman"/>
          <w:sz w:val="24"/>
          <w:szCs w:val="24"/>
        </w:rPr>
        <w:t xml:space="preserve">, 364 Pa. 54, 70 A.2d </w:t>
      </w:r>
      <w:r w:rsidR="007F7AFE" w:rsidRPr="000D1F63">
        <w:rPr>
          <w:rFonts w:ascii="Times New Roman" w:eastAsia="Times New Roman" w:hAnsi="Times New Roman" w:cs="Times New Roman"/>
          <w:sz w:val="24"/>
          <w:szCs w:val="24"/>
        </w:rPr>
        <w:t>854 (1950</w:t>
      </w:r>
      <w:r w:rsidR="00A01D39" w:rsidRPr="000D1F63">
        <w:rPr>
          <w:rFonts w:ascii="Times New Roman" w:eastAsia="Times New Roman" w:hAnsi="Times New Roman" w:cs="Times New Roman"/>
          <w:sz w:val="24"/>
          <w:szCs w:val="24"/>
        </w:rPr>
        <w:t>)</w:t>
      </w:r>
      <w:r w:rsidRPr="000D1F63">
        <w:rPr>
          <w:rFonts w:ascii="Times New Roman" w:eastAsia="Times New Roman" w:hAnsi="Times New Roman" w:cs="Times New Roman"/>
          <w:sz w:val="24"/>
          <w:szCs w:val="24"/>
        </w:rPr>
        <w:t xml:space="preserve">.  In this proceeding, </w:t>
      </w:r>
      <w:r w:rsidR="006A0993" w:rsidRPr="000D1F63">
        <w:rPr>
          <w:rFonts w:ascii="Times New Roman" w:eastAsia="Times New Roman" w:hAnsi="Times New Roman" w:cs="Times New Roman"/>
          <w:sz w:val="24"/>
          <w:szCs w:val="24"/>
        </w:rPr>
        <w:t>Enrico seeks to have its bills from Blue Pilot adjusted to</w:t>
      </w:r>
      <w:r w:rsidR="00916D2A" w:rsidRPr="000D1F63">
        <w:rPr>
          <w:rFonts w:ascii="Times New Roman" w:eastAsia="Times New Roman" w:hAnsi="Times New Roman" w:cs="Times New Roman"/>
          <w:sz w:val="24"/>
          <w:szCs w:val="24"/>
        </w:rPr>
        <w:t xml:space="preserve"> be based on “PJM’s wholesale market conditions.”  </w:t>
      </w:r>
      <w:r w:rsidR="006A0993" w:rsidRPr="000D1F63">
        <w:rPr>
          <w:rFonts w:ascii="Times New Roman" w:eastAsia="Times New Roman" w:hAnsi="Times New Roman" w:cs="Times New Roman"/>
          <w:sz w:val="24"/>
          <w:szCs w:val="24"/>
        </w:rPr>
        <w:t>As such, Enrico</w:t>
      </w:r>
      <w:r w:rsidRPr="000D1F63">
        <w:rPr>
          <w:rFonts w:ascii="Times New Roman" w:eastAsia="Times New Roman" w:hAnsi="Times New Roman" w:cs="Times New Roman"/>
          <w:sz w:val="24"/>
          <w:szCs w:val="24"/>
        </w:rPr>
        <w:t>, therefore, has the burden of proof in this proceeding.</w:t>
      </w:r>
    </w:p>
    <w:p w:rsidR="00CF1474" w:rsidRPr="000D1F63" w:rsidRDefault="00CF1474" w:rsidP="00CF147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F1474" w:rsidRPr="000D1F63" w:rsidRDefault="00CF1474" w:rsidP="00CF1474">
      <w:pPr>
        <w:spacing w:after="0" w:line="360" w:lineRule="auto"/>
        <w:ind w:firstLine="1440"/>
        <w:rPr>
          <w:rFonts w:ascii="Times New Roman" w:eastAsiaTheme="minorEastAsia" w:hAnsi="Times New Roman" w:cs="Times New Roman"/>
          <w:sz w:val="24"/>
          <w:szCs w:val="24"/>
        </w:rPr>
      </w:pPr>
      <w:r w:rsidRPr="000D1F63">
        <w:rPr>
          <w:rFonts w:ascii="Times New Roman" w:eastAsiaTheme="minorEastAsia" w:hAnsi="Times New Roman" w:cs="Times New Roman"/>
          <w:sz w:val="24"/>
          <w:szCs w:val="24"/>
        </w:rPr>
        <w:t xml:space="preserve">If a complainant establishes a </w:t>
      </w:r>
      <w:r w:rsidRPr="000D1F63">
        <w:rPr>
          <w:rFonts w:ascii="Times New Roman" w:eastAsiaTheme="minorEastAsia" w:hAnsi="Times New Roman" w:cs="Times New Roman"/>
          <w:i/>
          <w:sz w:val="24"/>
          <w:szCs w:val="24"/>
        </w:rPr>
        <w:t xml:space="preserve">prima facie </w:t>
      </w:r>
      <w:r w:rsidRPr="000D1F63">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0D1F63">
        <w:rPr>
          <w:rFonts w:ascii="Times New Roman" w:eastAsiaTheme="minorEastAsia" w:hAnsi="Times New Roman" w:cs="Times New Roman"/>
          <w:sz w:val="24"/>
          <w:szCs w:val="24"/>
          <w:u w:val="single"/>
        </w:rPr>
        <w:t>Replogle v. Pennsylvania Electric Company</w:t>
      </w:r>
      <w:r w:rsidRPr="000D1F63">
        <w:rPr>
          <w:rFonts w:ascii="Times New Roman" w:eastAsiaTheme="minorEastAsia" w:hAnsi="Times New Roman" w:cs="Times New Roman"/>
          <w:sz w:val="24"/>
          <w:szCs w:val="24"/>
        </w:rPr>
        <w:t>, 54 Pa. PUC 528 (1980)</w:t>
      </w:r>
      <w:r w:rsidR="006C54F2" w:rsidRPr="000D1F63">
        <w:rPr>
          <w:rFonts w:ascii="Times New Roman" w:eastAsiaTheme="minorEastAsia" w:hAnsi="Times New Roman" w:cs="Times New Roman"/>
          <w:sz w:val="24"/>
          <w:szCs w:val="24"/>
        </w:rPr>
        <w:t xml:space="preserve"> (</w:t>
      </w:r>
      <w:r w:rsidR="006C54F2" w:rsidRPr="000D1F63">
        <w:rPr>
          <w:rFonts w:ascii="Times New Roman" w:eastAsiaTheme="minorEastAsia" w:hAnsi="Times New Roman" w:cs="Times New Roman"/>
          <w:sz w:val="24"/>
          <w:szCs w:val="24"/>
          <w:u w:val="single"/>
        </w:rPr>
        <w:t>Replogle</w:t>
      </w:r>
      <w:r w:rsidR="006C54F2" w:rsidRPr="000D1F63">
        <w:rPr>
          <w:rFonts w:ascii="Times New Roman" w:eastAsiaTheme="minorEastAsia" w:hAnsi="Times New Roman" w:cs="Times New Roman"/>
          <w:sz w:val="24"/>
          <w:szCs w:val="24"/>
        </w:rPr>
        <w:t>)</w:t>
      </w:r>
      <w:r w:rsidRPr="000D1F63">
        <w:rPr>
          <w:rFonts w:ascii="Times New Roman" w:eastAsiaTheme="minorEastAsia" w:hAnsi="Times New Roman" w:cs="Times New Roman"/>
          <w:sz w:val="24"/>
          <w:szCs w:val="24"/>
        </w:rPr>
        <w:t xml:space="preserve">, and </w:t>
      </w:r>
      <w:r w:rsidRPr="000D1F63">
        <w:rPr>
          <w:rFonts w:ascii="Times New Roman" w:eastAsiaTheme="minorEastAsia" w:hAnsi="Times New Roman" w:cs="Times New Roman"/>
          <w:sz w:val="24"/>
          <w:szCs w:val="24"/>
          <w:u w:val="single"/>
        </w:rPr>
        <w:t>Waldron v. Philadelphia Electric Company</w:t>
      </w:r>
      <w:r w:rsidR="0073393E" w:rsidRPr="000D1F63">
        <w:rPr>
          <w:rFonts w:ascii="Times New Roman" w:eastAsiaTheme="minorEastAsia" w:hAnsi="Times New Roman" w:cs="Times New Roman"/>
          <w:sz w:val="24"/>
          <w:szCs w:val="24"/>
        </w:rPr>
        <w:t>, 54 Pa. PUC 98 (1980</w:t>
      </w:r>
      <w:r w:rsidR="001F3C32" w:rsidRPr="000D1F63">
        <w:rPr>
          <w:rFonts w:ascii="Times New Roman" w:hAnsi="Times New Roman" w:cs="Times New Roman"/>
          <w:sz w:val="24"/>
          <w:szCs w:val="24"/>
        </w:rPr>
        <w:t>)</w:t>
      </w:r>
      <w:r w:rsidR="0007526F" w:rsidRPr="000D1F63">
        <w:rPr>
          <w:rFonts w:ascii="Times New Roman" w:hAnsi="Times New Roman" w:cs="Times New Roman"/>
          <w:sz w:val="24"/>
          <w:szCs w:val="24"/>
        </w:rPr>
        <w:t>.</w:t>
      </w:r>
    </w:p>
    <w:p w:rsidR="00CF1474" w:rsidRPr="000D1F63" w:rsidRDefault="00CF1474" w:rsidP="00CF1474">
      <w:pPr>
        <w:spacing w:after="0" w:line="360" w:lineRule="auto"/>
        <w:ind w:firstLine="1440"/>
        <w:rPr>
          <w:rFonts w:ascii="Times New Roman" w:eastAsiaTheme="minorEastAsia" w:hAnsi="Times New Roman" w:cs="Times New Roman"/>
          <w:sz w:val="24"/>
          <w:szCs w:val="24"/>
        </w:rPr>
      </w:pPr>
    </w:p>
    <w:p w:rsidR="00CF1474" w:rsidRDefault="00CF1474" w:rsidP="00CF1474">
      <w:pPr>
        <w:spacing w:after="0" w:line="360" w:lineRule="auto"/>
        <w:ind w:firstLine="1440"/>
        <w:rPr>
          <w:rFonts w:ascii="Times New Roman" w:eastAsiaTheme="minorEastAsia" w:hAnsi="Times New Roman" w:cs="Times New Roman"/>
          <w:sz w:val="24"/>
          <w:szCs w:val="24"/>
        </w:rPr>
      </w:pPr>
      <w:r w:rsidRPr="000D1F63">
        <w:rPr>
          <w:rFonts w:ascii="Times New Roman" w:eastAsiaTheme="minorEastAsia" w:hAnsi="Times New Roman" w:cs="Times New Roman"/>
          <w:sz w:val="24"/>
          <w:szCs w:val="24"/>
        </w:rPr>
        <w:t>The decision of the Commission must be suppor</w:t>
      </w:r>
      <w:r w:rsidR="004D227D" w:rsidRPr="000D1F63">
        <w:rPr>
          <w:rFonts w:ascii="Times New Roman" w:eastAsiaTheme="minorEastAsia" w:hAnsi="Times New Roman" w:cs="Times New Roman"/>
          <w:sz w:val="24"/>
          <w:szCs w:val="24"/>
        </w:rPr>
        <w:t>ted by substantial evidence.  2 </w:t>
      </w:r>
      <w:r w:rsidRPr="000D1F63">
        <w:rPr>
          <w:rFonts w:ascii="Times New Roman" w:eastAsiaTheme="minorEastAsia" w:hAnsi="Times New Roman" w:cs="Times New Roman"/>
          <w:sz w:val="24"/>
          <w:szCs w:val="24"/>
        </w:rPr>
        <w:t xml:space="preserve">Pa.C.S. § 704.  "Substantial evidence" is such relevant evidence that a reasonable mind might accept as adequate to support a conclusion.  More is required than a mere trace of evidence or a suspicion of the existence of a fact sought to be established.  </w:t>
      </w:r>
      <w:r w:rsidRPr="000D1F63">
        <w:rPr>
          <w:rFonts w:ascii="Times New Roman" w:eastAsiaTheme="minorEastAsia" w:hAnsi="Times New Roman" w:cs="Times New Roman"/>
          <w:sz w:val="24"/>
          <w:szCs w:val="24"/>
          <w:u w:val="single"/>
        </w:rPr>
        <w:t xml:space="preserve">Norfolk </w:t>
      </w:r>
      <w:r w:rsidR="0093475E">
        <w:rPr>
          <w:rFonts w:ascii="Times New Roman" w:eastAsiaTheme="minorEastAsia" w:hAnsi="Times New Roman" w:cs="Times New Roman"/>
          <w:sz w:val="24"/>
          <w:szCs w:val="24"/>
          <w:u w:val="single"/>
        </w:rPr>
        <w:t>&amp; Western Ry. Co. v. Pa. </w:t>
      </w:r>
      <w:r w:rsidRPr="000D1F63">
        <w:rPr>
          <w:rFonts w:ascii="Times New Roman" w:eastAsiaTheme="minorEastAsia" w:hAnsi="Times New Roman" w:cs="Times New Roman"/>
          <w:sz w:val="24"/>
          <w:szCs w:val="24"/>
          <w:u w:val="single"/>
        </w:rPr>
        <w:t>Pub. Util. Comm’n</w:t>
      </w:r>
      <w:r w:rsidRPr="000D1F63">
        <w:rPr>
          <w:rFonts w:ascii="Times New Roman" w:eastAsiaTheme="minorEastAsia" w:hAnsi="Times New Roman" w:cs="Times New Roman"/>
          <w:sz w:val="24"/>
          <w:szCs w:val="24"/>
        </w:rPr>
        <w:t xml:space="preserve">, 489 Pa. 109, 413 A.2d 1037 (1980); </w:t>
      </w:r>
      <w:r w:rsidRPr="000D1F63">
        <w:rPr>
          <w:rFonts w:ascii="Times New Roman" w:eastAsiaTheme="minorEastAsia" w:hAnsi="Times New Roman" w:cs="Times New Roman"/>
          <w:sz w:val="24"/>
          <w:szCs w:val="24"/>
          <w:u w:val="single"/>
        </w:rPr>
        <w:t>Erie Resistor Corp. v. Unemployment Comp. Bd. of Review</w:t>
      </w:r>
      <w:r w:rsidRPr="000D1F63">
        <w:rPr>
          <w:rFonts w:ascii="Times New Roman" w:eastAsiaTheme="minorEastAsia" w:hAnsi="Times New Roman" w:cs="Times New Roman"/>
          <w:sz w:val="24"/>
          <w:szCs w:val="24"/>
        </w:rPr>
        <w:t xml:space="preserve">, 194 Pa. Superior Ct. 278, 166 A.2d 96 (1961); and </w:t>
      </w:r>
      <w:r w:rsidRPr="000D1F63">
        <w:rPr>
          <w:rFonts w:ascii="Times New Roman" w:eastAsiaTheme="minorEastAsia" w:hAnsi="Times New Roman" w:cs="Times New Roman"/>
          <w:sz w:val="24"/>
          <w:szCs w:val="24"/>
          <w:u w:val="single"/>
        </w:rPr>
        <w:t>Murphy v. Comm., Dept. of Public Welfare, White Haven Center</w:t>
      </w:r>
      <w:r w:rsidRPr="000D1F63">
        <w:rPr>
          <w:rFonts w:ascii="Times New Roman" w:eastAsiaTheme="minorEastAsia" w:hAnsi="Times New Roman" w:cs="Times New Roman"/>
          <w:sz w:val="24"/>
          <w:szCs w:val="24"/>
        </w:rPr>
        <w:t>, 85 Pa. Cmwlth Ct. 23, 480 A.2d 382 (1984).</w:t>
      </w:r>
    </w:p>
    <w:p w:rsidR="0093475E" w:rsidRPr="000D1F63" w:rsidRDefault="0093475E" w:rsidP="00CF1474">
      <w:pPr>
        <w:spacing w:after="0" w:line="360" w:lineRule="auto"/>
        <w:ind w:firstLine="1440"/>
        <w:rPr>
          <w:rFonts w:ascii="Times New Roman" w:eastAsiaTheme="minorEastAsia" w:hAnsi="Times New Roman" w:cs="Times New Roman"/>
          <w:sz w:val="24"/>
          <w:szCs w:val="24"/>
        </w:rPr>
      </w:pPr>
    </w:p>
    <w:p w:rsidR="0063410A" w:rsidRPr="000D1F63" w:rsidRDefault="00916D2A" w:rsidP="00EA00D7">
      <w:pPr>
        <w:spacing w:after="0" w:line="360" w:lineRule="auto"/>
        <w:ind w:firstLine="1440"/>
        <w:rPr>
          <w:rFonts w:ascii="Times New Roman" w:hAnsi="Times New Roman" w:cs="Times New Roman"/>
          <w:bCs/>
          <w:color w:val="000000"/>
          <w:sz w:val="24"/>
          <w:szCs w:val="24"/>
        </w:rPr>
      </w:pPr>
      <w:r w:rsidRPr="000D1F63">
        <w:rPr>
          <w:rFonts w:ascii="Times New Roman" w:hAnsi="Times New Roman" w:cs="Times New Roman"/>
          <w:bCs/>
          <w:color w:val="000000"/>
          <w:sz w:val="24"/>
          <w:szCs w:val="24"/>
        </w:rPr>
        <w:t xml:space="preserve">Furthermore, </w:t>
      </w:r>
      <w:r w:rsidR="003079CC" w:rsidRPr="000D1F63">
        <w:rPr>
          <w:rFonts w:ascii="Times New Roman" w:hAnsi="Times New Roman" w:cs="Times New Roman"/>
          <w:bCs/>
          <w:color w:val="000000"/>
          <w:sz w:val="24"/>
          <w:szCs w:val="24"/>
        </w:rPr>
        <w:t xml:space="preserve">Commission regulations govern various aspects of service provided by </w:t>
      </w:r>
      <w:r w:rsidR="00C71DC1" w:rsidRPr="000D1F63">
        <w:rPr>
          <w:rFonts w:ascii="Times New Roman" w:hAnsi="Times New Roman" w:cs="Times New Roman"/>
          <w:bCs/>
          <w:color w:val="000000"/>
          <w:sz w:val="24"/>
          <w:szCs w:val="24"/>
        </w:rPr>
        <w:t>electric generation suppliers (</w:t>
      </w:r>
      <w:r w:rsidR="003079CC" w:rsidRPr="000D1F63">
        <w:rPr>
          <w:rFonts w:ascii="Times New Roman" w:hAnsi="Times New Roman" w:cs="Times New Roman"/>
          <w:bCs/>
          <w:color w:val="000000"/>
          <w:sz w:val="24"/>
          <w:szCs w:val="24"/>
        </w:rPr>
        <w:t>EGSs</w:t>
      </w:r>
      <w:r w:rsidR="00C71DC1" w:rsidRPr="000D1F63">
        <w:rPr>
          <w:rFonts w:ascii="Times New Roman" w:hAnsi="Times New Roman" w:cs="Times New Roman"/>
          <w:bCs/>
          <w:color w:val="000000"/>
          <w:sz w:val="24"/>
          <w:szCs w:val="24"/>
        </w:rPr>
        <w:t>)</w:t>
      </w:r>
      <w:r w:rsidR="003079CC" w:rsidRPr="000D1F63">
        <w:rPr>
          <w:rFonts w:ascii="Times New Roman" w:hAnsi="Times New Roman" w:cs="Times New Roman"/>
          <w:bCs/>
          <w:color w:val="000000"/>
          <w:sz w:val="24"/>
          <w:szCs w:val="24"/>
        </w:rPr>
        <w:t>.  For example, the Commission has regulations governing bill format</w:t>
      </w:r>
      <w:r w:rsidR="006F0B60">
        <w:rPr>
          <w:rFonts w:ascii="Times New Roman" w:hAnsi="Times New Roman" w:cs="Times New Roman"/>
          <w:bCs/>
          <w:color w:val="000000"/>
          <w:sz w:val="24"/>
          <w:szCs w:val="24"/>
        </w:rPr>
        <w:t>,</w:t>
      </w:r>
      <w:r w:rsidR="003079CC" w:rsidRPr="000D1F63">
        <w:rPr>
          <w:rFonts w:ascii="Times New Roman" w:hAnsi="Times New Roman" w:cs="Times New Roman"/>
          <w:bCs/>
          <w:color w:val="000000"/>
          <w:sz w:val="24"/>
          <w:szCs w:val="24"/>
        </w:rPr>
        <w:t xml:space="preserve"> disclosure statements for residential and small business customers</w:t>
      </w:r>
      <w:r w:rsidR="0028290D" w:rsidRPr="000D1F63">
        <w:rPr>
          <w:rFonts w:ascii="Times New Roman" w:hAnsi="Times New Roman" w:cs="Times New Roman"/>
          <w:bCs/>
          <w:color w:val="000000"/>
          <w:sz w:val="24"/>
          <w:szCs w:val="24"/>
        </w:rPr>
        <w:t xml:space="preserve"> and </w:t>
      </w:r>
      <w:r w:rsidR="006F0B60">
        <w:rPr>
          <w:rFonts w:ascii="Times New Roman" w:hAnsi="Times New Roman" w:cs="Times New Roman"/>
          <w:bCs/>
          <w:color w:val="000000"/>
          <w:sz w:val="24"/>
          <w:szCs w:val="24"/>
        </w:rPr>
        <w:t xml:space="preserve">a </w:t>
      </w:r>
      <w:r w:rsidR="003079CC" w:rsidRPr="000D1F63">
        <w:rPr>
          <w:rFonts w:ascii="Times New Roman" w:hAnsi="Times New Roman" w:cs="Times New Roman"/>
          <w:bCs/>
          <w:color w:val="000000"/>
          <w:sz w:val="24"/>
          <w:szCs w:val="24"/>
        </w:rPr>
        <w:t xml:space="preserve">Code of Conduct.  </w:t>
      </w:r>
      <w:r w:rsidR="003079CC" w:rsidRPr="000D1F63">
        <w:rPr>
          <w:rFonts w:ascii="Times New Roman" w:hAnsi="Times New Roman" w:cs="Times New Roman"/>
          <w:bCs/>
          <w:i/>
          <w:color w:val="000000"/>
          <w:sz w:val="24"/>
          <w:szCs w:val="24"/>
        </w:rPr>
        <w:t>See</w:t>
      </w:r>
      <w:r w:rsidR="003079CC" w:rsidRPr="000D1F63">
        <w:rPr>
          <w:rFonts w:ascii="Times New Roman" w:hAnsi="Times New Roman" w:cs="Times New Roman"/>
          <w:bCs/>
          <w:color w:val="000000"/>
          <w:sz w:val="24"/>
          <w:szCs w:val="24"/>
        </w:rPr>
        <w:t>, 52 Pa.Code §§ 54.4, 54.5</w:t>
      </w:r>
      <w:r w:rsidR="006B767A" w:rsidRPr="000D1F63">
        <w:rPr>
          <w:rFonts w:ascii="Times New Roman" w:hAnsi="Times New Roman" w:cs="Times New Roman"/>
          <w:bCs/>
          <w:color w:val="000000"/>
          <w:sz w:val="24"/>
          <w:szCs w:val="24"/>
        </w:rPr>
        <w:t xml:space="preserve"> and</w:t>
      </w:r>
      <w:r w:rsidR="003079CC" w:rsidRPr="000D1F63">
        <w:rPr>
          <w:rFonts w:ascii="Times New Roman" w:hAnsi="Times New Roman" w:cs="Times New Roman"/>
          <w:bCs/>
          <w:color w:val="000000"/>
          <w:sz w:val="24"/>
          <w:szCs w:val="24"/>
        </w:rPr>
        <w:t xml:space="preserve"> 54.122.  Most relevant to this case, however, is Section 54.43 of the Commission’s regulation governing standards of conduct and disclosure for licensees.  Section </w:t>
      </w:r>
      <w:r w:rsidRPr="000D1F63">
        <w:rPr>
          <w:rFonts w:ascii="Times New Roman" w:hAnsi="Times New Roman" w:cs="Times New Roman"/>
          <w:bCs/>
          <w:color w:val="000000"/>
          <w:sz w:val="24"/>
          <w:szCs w:val="24"/>
        </w:rPr>
        <w:t xml:space="preserve">54.43 </w:t>
      </w:r>
      <w:r w:rsidR="003079CC" w:rsidRPr="000D1F63">
        <w:rPr>
          <w:rFonts w:ascii="Times New Roman" w:hAnsi="Times New Roman" w:cs="Times New Roman"/>
          <w:bCs/>
          <w:color w:val="000000"/>
          <w:sz w:val="24"/>
          <w:szCs w:val="24"/>
        </w:rPr>
        <w:t>provides, in pertinent part</w:t>
      </w:r>
      <w:r w:rsidR="00EA00D7" w:rsidRPr="000D1F63">
        <w:rPr>
          <w:rFonts w:ascii="Times New Roman" w:hAnsi="Times New Roman" w:cs="Times New Roman"/>
          <w:bCs/>
          <w:color w:val="000000"/>
          <w:sz w:val="24"/>
          <w:szCs w:val="24"/>
        </w:rPr>
        <w:t xml:space="preserve">, that “A licensee shall provide accurate information about their electric generation services using plain language and common terms in communications with consumers.  When new terms are used, the terms shall be defined again using plain language.”  </w:t>
      </w:r>
      <w:r w:rsidR="003079CC" w:rsidRPr="000D1F63">
        <w:rPr>
          <w:rFonts w:ascii="Times New Roman" w:hAnsi="Times New Roman" w:cs="Times New Roman"/>
          <w:bCs/>
          <w:color w:val="000000"/>
          <w:sz w:val="24"/>
          <w:szCs w:val="24"/>
        </w:rPr>
        <w:t>52 Pa.Code § 54.43</w:t>
      </w:r>
      <w:r w:rsidRPr="000D1F63">
        <w:rPr>
          <w:rFonts w:ascii="Times New Roman" w:hAnsi="Times New Roman" w:cs="Times New Roman"/>
          <w:bCs/>
          <w:color w:val="000000"/>
          <w:sz w:val="24"/>
          <w:szCs w:val="24"/>
        </w:rPr>
        <w:t>(a)</w:t>
      </w:r>
      <w:r w:rsidR="003108F7" w:rsidRPr="000D1F63">
        <w:rPr>
          <w:rFonts w:ascii="Times New Roman" w:hAnsi="Times New Roman" w:cs="Times New Roman"/>
          <w:bCs/>
          <w:color w:val="000000"/>
          <w:sz w:val="24"/>
          <w:szCs w:val="24"/>
        </w:rPr>
        <w:t xml:space="preserve">.  </w:t>
      </w:r>
      <w:r w:rsidR="0063410A" w:rsidRPr="000D1F63">
        <w:rPr>
          <w:rFonts w:ascii="Times New Roman" w:hAnsi="Times New Roman" w:cs="Times New Roman"/>
          <w:bCs/>
          <w:color w:val="000000"/>
          <w:sz w:val="24"/>
          <w:szCs w:val="24"/>
        </w:rPr>
        <w:t xml:space="preserve">The Commission specifically required Blue Pilot to comply with Section 54.43 when approving the Company’s application to become a licensed EGS.  </w:t>
      </w:r>
      <w:r w:rsidR="0063410A" w:rsidRPr="000D1F63">
        <w:rPr>
          <w:rFonts w:ascii="Times New Roman" w:hAnsi="Times New Roman" w:cs="Times New Roman"/>
          <w:bCs/>
          <w:color w:val="000000"/>
          <w:sz w:val="24"/>
          <w:szCs w:val="24"/>
          <w:u w:val="single"/>
        </w:rPr>
        <w:t>License Application of Blue Pilot, LLC for Approval to Offer, Render, Furnish or Supply Electricity or Electric Generation Services as an Aggregator and Broker/Marketer of Retail Electric Power</w:t>
      </w:r>
      <w:r w:rsidR="0063410A" w:rsidRPr="000D1F63">
        <w:rPr>
          <w:rFonts w:ascii="Times New Roman" w:hAnsi="Times New Roman" w:cs="Times New Roman"/>
          <w:bCs/>
          <w:color w:val="000000"/>
          <w:sz w:val="24"/>
          <w:szCs w:val="24"/>
        </w:rPr>
        <w:t>, Docket No. A-2011-2223888, Order (entered June 10, 2011) at 3 (</w:t>
      </w:r>
      <w:r w:rsidR="0063410A" w:rsidRPr="000D1F63">
        <w:rPr>
          <w:rFonts w:ascii="Times New Roman" w:hAnsi="Times New Roman" w:cs="Times New Roman"/>
          <w:bCs/>
          <w:color w:val="000000"/>
          <w:sz w:val="24"/>
          <w:szCs w:val="24"/>
          <w:u w:val="single"/>
        </w:rPr>
        <w:t>Licensing Order</w:t>
      </w:r>
      <w:r w:rsidR="0063410A" w:rsidRPr="000D1F63">
        <w:rPr>
          <w:rFonts w:ascii="Times New Roman" w:hAnsi="Times New Roman" w:cs="Times New Roman"/>
          <w:bCs/>
          <w:color w:val="000000"/>
          <w:sz w:val="24"/>
          <w:szCs w:val="24"/>
        </w:rPr>
        <w:t>).</w:t>
      </w:r>
      <w:r w:rsidR="003108F7" w:rsidRPr="000D1F63">
        <w:rPr>
          <w:rFonts w:ascii="Times New Roman" w:hAnsi="Times New Roman" w:cs="Times New Roman"/>
          <w:bCs/>
          <w:color w:val="000000"/>
          <w:sz w:val="24"/>
          <w:szCs w:val="24"/>
        </w:rPr>
        <w:t xml:space="preserve">  Similarly, </w:t>
      </w:r>
      <w:r w:rsidR="003108F7" w:rsidRPr="000D1F63">
        <w:rPr>
          <w:rFonts w:ascii="Times New Roman" w:hAnsi="Times New Roman" w:cs="Times New Roman"/>
          <w:sz w:val="24"/>
          <w:szCs w:val="24"/>
        </w:rPr>
        <w:t xml:space="preserve">EGSs are required to provide accurate and timely information and “ensure that product or service offerings made by a supplier contain information, verbally or written, in plain language designed to be understood </w:t>
      </w:r>
      <w:r w:rsidR="00D25E12" w:rsidRPr="000D1F63">
        <w:rPr>
          <w:rFonts w:ascii="Times New Roman" w:hAnsi="Times New Roman" w:cs="Times New Roman"/>
          <w:sz w:val="24"/>
          <w:szCs w:val="24"/>
        </w:rPr>
        <w:t>by the customer.”  52 Pa.Code § </w:t>
      </w:r>
      <w:r w:rsidR="003108F7" w:rsidRPr="000D1F63">
        <w:rPr>
          <w:rFonts w:ascii="Times New Roman" w:hAnsi="Times New Roman" w:cs="Times New Roman"/>
          <w:sz w:val="24"/>
          <w:szCs w:val="24"/>
        </w:rPr>
        <w:t>111.12(d)</w:t>
      </w:r>
      <w:r w:rsidR="006B767A" w:rsidRPr="000D1F63">
        <w:rPr>
          <w:rFonts w:ascii="Times New Roman" w:hAnsi="Times New Roman" w:cs="Times New Roman"/>
          <w:sz w:val="24"/>
          <w:szCs w:val="24"/>
        </w:rPr>
        <w:t>(5)</w:t>
      </w:r>
      <w:r w:rsidR="003108F7" w:rsidRPr="000D1F63">
        <w:rPr>
          <w:rFonts w:ascii="Times New Roman" w:hAnsi="Times New Roman" w:cs="Times New Roman"/>
          <w:sz w:val="24"/>
          <w:szCs w:val="24"/>
        </w:rPr>
        <w:t xml:space="preserve">. </w:t>
      </w:r>
      <w:r w:rsidR="003108F7" w:rsidRPr="000D1F63">
        <w:rPr>
          <w:rFonts w:ascii="Times New Roman" w:hAnsi="Times New Roman" w:cs="Times New Roman"/>
          <w:bCs/>
          <w:color w:val="000000"/>
          <w:sz w:val="24"/>
          <w:szCs w:val="24"/>
        </w:rPr>
        <w:t xml:space="preserve"> </w:t>
      </w:r>
    </w:p>
    <w:p w:rsidR="0063410A" w:rsidRPr="000D1F63" w:rsidRDefault="0063410A" w:rsidP="00EA00D7">
      <w:pPr>
        <w:spacing w:after="0" w:line="360" w:lineRule="auto"/>
        <w:ind w:firstLine="1440"/>
        <w:rPr>
          <w:rFonts w:ascii="Times New Roman" w:hAnsi="Times New Roman" w:cs="Times New Roman"/>
          <w:bCs/>
          <w:color w:val="000000"/>
          <w:sz w:val="24"/>
          <w:szCs w:val="24"/>
        </w:rPr>
      </w:pPr>
    </w:p>
    <w:p w:rsidR="0028290D" w:rsidRPr="000D1F63" w:rsidRDefault="0028290D" w:rsidP="00916D2A">
      <w:pPr>
        <w:pStyle w:val="ParaTab1"/>
        <w:spacing w:line="360" w:lineRule="auto"/>
        <w:ind w:left="90" w:firstLine="1350"/>
        <w:rPr>
          <w:rFonts w:ascii="Times New Roman" w:hAnsi="Times New Roman" w:cs="Times New Roman"/>
        </w:rPr>
      </w:pPr>
      <w:r w:rsidRPr="000D1F63">
        <w:rPr>
          <w:rFonts w:ascii="Times New Roman" w:hAnsi="Times New Roman" w:cs="Times New Roman"/>
        </w:rPr>
        <w:t>Lastly, Section 54.42 of the Commission’s regulations provides that the Commission may impose fines on a licensed EGS or suspend or revoke its license if it fails to follow the principles set forth in Section 54.43.  52 Pa.Code § 54.42(</w:t>
      </w:r>
      <w:r w:rsidR="00916D2A" w:rsidRPr="000D1F63">
        <w:rPr>
          <w:rFonts w:ascii="Times New Roman" w:hAnsi="Times New Roman" w:cs="Times New Roman"/>
        </w:rPr>
        <w:t>a)(</w:t>
      </w:r>
      <w:r w:rsidRPr="000D1F63">
        <w:rPr>
          <w:rFonts w:ascii="Times New Roman" w:hAnsi="Times New Roman" w:cs="Times New Roman"/>
        </w:rPr>
        <w:t xml:space="preserve">6).  Therefore, to the extent that a licensed EGS fails to comply with the standards of conduct and disclosure set forth in Section 54.43, it is subject to penalties imposed by the Commission. </w:t>
      </w:r>
    </w:p>
    <w:p w:rsidR="00916D2A" w:rsidRPr="000D1F63" w:rsidRDefault="00916D2A" w:rsidP="00916D2A">
      <w:pPr>
        <w:pStyle w:val="ParaTab1"/>
        <w:spacing w:line="360" w:lineRule="auto"/>
        <w:ind w:left="90" w:firstLine="1350"/>
        <w:rPr>
          <w:rFonts w:ascii="Times New Roman" w:hAnsi="Times New Roman" w:cs="Times New Roman"/>
        </w:rPr>
      </w:pPr>
    </w:p>
    <w:p w:rsidR="002170E1" w:rsidRPr="000D1F63" w:rsidRDefault="002F6C43" w:rsidP="002170E1">
      <w:pPr>
        <w:pStyle w:val="Style"/>
        <w:spacing w:line="360" w:lineRule="auto"/>
        <w:rPr>
          <w:b/>
          <w:u w:val="single"/>
        </w:rPr>
      </w:pPr>
      <w:r w:rsidRPr="000D1F63">
        <w:rPr>
          <w:rFonts w:eastAsiaTheme="minorEastAsia"/>
          <w:b/>
          <w:u w:val="single"/>
        </w:rPr>
        <w:t xml:space="preserve">Record </w:t>
      </w:r>
      <w:r w:rsidR="002170E1" w:rsidRPr="000D1F63">
        <w:rPr>
          <w:rFonts w:eastAsiaTheme="minorEastAsia"/>
          <w:b/>
          <w:u w:val="single"/>
        </w:rPr>
        <w:t>Evidence</w:t>
      </w:r>
    </w:p>
    <w:p w:rsidR="002170E1" w:rsidRPr="000D1F63" w:rsidRDefault="002170E1" w:rsidP="00CF1474">
      <w:pPr>
        <w:pStyle w:val="Style"/>
        <w:spacing w:line="360" w:lineRule="auto"/>
        <w:ind w:firstLine="1440"/>
      </w:pPr>
    </w:p>
    <w:p w:rsidR="007606FA" w:rsidRPr="000D1F63" w:rsidRDefault="00CF1474" w:rsidP="00CF1474">
      <w:pPr>
        <w:pStyle w:val="Style"/>
        <w:spacing w:line="360" w:lineRule="auto"/>
        <w:ind w:firstLine="1440"/>
      </w:pPr>
      <w:r w:rsidRPr="000D1F63">
        <w:t>In this case</w:t>
      </w:r>
      <w:r w:rsidR="006A0993" w:rsidRPr="000D1F63">
        <w:t xml:space="preserve">, Enrico </w:t>
      </w:r>
      <w:r w:rsidR="009B6038" w:rsidRPr="000D1F63">
        <w:t>argued in its Complaint that there are incorrect charges on its bill</w:t>
      </w:r>
      <w:r w:rsidR="006C54F2" w:rsidRPr="000D1F63">
        <w:t>s</w:t>
      </w:r>
      <w:r w:rsidR="009B6038" w:rsidRPr="000D1F63">
        <w:t xml:space="preserve"> because Blue Pilot has charged a rate that is “in excess of our contractual agreement.”  During the hearing, Enrico raised three issues.  First,</w:t>
      </w:r>
      <w:r w:rsidR="00E114FE" w:rsidRPr="000D1F63">
        <w:t xml:space="preserve"> Mr. Holtz, Enrico’s witness, testified that he was called several times by a Blue Pilot agent seeking to enroll </w:t>
      </w:r>
      <w:r w:rsidR="00916D2A" w:rsidRPr="000D1F63">
        <w:t xml:space="preserve">Enrico in its </w:t>
      </w:r>
      <w:r w:rsidR="00E114FE" w:rsidRPr="000D1F63">
        <w:t xml:space="preserve">electric generation service at a rate of 7.9 cents per kwh and that, during those calls, the Blue Pilot agent represented that the Company had been in business for 20 years.  Tr. 7-11.  Second, Mr. Holtz testified that </w:t>
      </w:r>
      <w:r w:rsidR="006F0B60">
        <w:t xml:space="preserve">Enrico </w:t>
      </w:r>
      <w:r w:rsidR="00645B77" w:rsidRPr="000D1F63">
        <w:t xml:space="preserve">was never sent a disclosure statement or that the disclosure statement it was sent was deficient.  Tr. 12-14.  Third, Mr. Holtz provided detailed testimony in support of </w:t>
      </w:r>
      <w:r w:rsidR="006F0B60">
        <w:t xml:space="preserve">Enrico’s </w:t>
      </w:r>
      <w:r w:rsidR="00645B77" w:rsidRPr="000D1F63">
        <w:t>position that it has been overcharged by Blue Pilot by $27,168</w:t>
      </w:r>
      <w:r w:rsidR="006C54F2" w:rsidRPr="000D1F63">
        <w:t>.48</w:t>
      </w:r>
      <w:r w:rsidR="00645B77" w:rsidRPr="000D1F63">
        <w:t>.  Tr. 14-23.  Enrico presented four exhibits that were admitted into the record in support of its Complaint</w:t>
      </w:r>
      <w:r w:rsidR="00916D2A" w:rsidRPr="000D1F63">
        <w:t>, including extensive data regarding PJM’s wholesale hourly market price for March, 2014 to August, 2014.  Enrico Exh. No. 7</w:t>
      </w:r>
      <w:r w:rsidR="00645B77" w:rsidRPr="000D1F63">
        <w:t>.</w:t>
      </w:r>
      <w:r w:rsidR="00DC0E6F" w:rsidRPr="000D1F63">
        <w:t xml:space="preserve">  </w:t>
      </w:r>
    </w:p>
    <w:p w:rsidR="007606FA" w:rsidRPr="000D1F63" w:rsidRDefault="007606FA" w:rsidP="00CF1474">
      <w:pPr>
        <w:pStyle w:val="Style"/>
        <w:spacing w:line="360" w:lineRule="auto"/>
        <w:ind w:firstLine="1440"/>
      </w:pPr>
    </w:p>
    <w:p w:rsidR="009B6038" w:rsidRPr="000D1F63" w:rsidRDefault="009B6038" w:rsidP="00CF1474">
      <w:pPr>
        <w:pStyle w:val="Style"/>
        <w:spacing w:line="360" w:lineRule="auto"/>
        <w:ind w:firstLine="1440"/>
      </w:pPr>
      <w:r w:rsidRPr="000D1F63">
        <w:t xml:space="preserve">In response to Enrico, Blue Pilot presented no witnesses </w:t>
      </w:r>
      <w:r w:rsidR="00E114FE" w:rsidRPr="000D1F63">
        <w:t xml:space="preserve">or </w:t>
      </w:r>
      <w:r w:rsidRPr="000D1F63">
        <w:t>exhibits.</w:t>
      </w:r>
      <w:r w:rsidR="007606FA" w:rsidRPr="000D1F63">
        <w:t xml:space="preserve">  Blue Pilot moved for Summary Judgment at the conclusion of Enrico’s presentation of its case.</w:t>
      </w:r>
      <w:r w:rsidR="00312B9F" w:rsidRPr="000D1F63">
        <w:t xml:space="preserve">  Tr. 29.</w:t>
      </w:r>
    </w:p>
    <w:p w:rsidR="00DC0E6F" w:rsidRPr="000D1F63" w:rsidRDefault="00DC0E6F" w:rsidP="00CF1474">
      <w:pPr>
        <w:pStyle w:val="Style"/>
        <w:spacing w:line="360" w:lineRule="auto"/>
        <w:ind w:firstLine="1440"/>
      </w:pPr>
    </w:p>
    <w:p w:rsidR="00DC0E6F" w:rsidRPr="000D1F63" w:rsidRDefault="00916D2A" w:rsidP="00CF1474">
      <w:pPr>
        <w:pStyle w:val="Style"/>
        <w:spacing w:line="360" w:lineRule="auto"/>
        <w:ind w:firstLine="1440"/>
      </w:pPr>
      <w:r w:rsidRPr="000D1F63">
        <w:t>After the hearing</w:t>
      </w:r>
      <w:r w:rsidR="007606FA" w:rsidRPr="000D1F63">
        <w:t>, b</w:t>
      </w:r>
      <w:r w:rsidR="00DC0E6F" w:rsidRPr="000D1F63">
        <w:t xml:space="preserve">oth parties filed Main and Reply Briefs wherein they </w:t>
      </w:r>
      <w:r w:rsidR="006B767A" w:rsidRPr="000D1F63">
        <w:t xml:space="preserve">further </w:t>
      </w:r>
      <w:r w:rsidR="00DC0E6F" w:rsidRPr="000D1F63">
        <w:t xml:space="preserve">articulated their </w:t>
      </w:r>
      <w:r w:rsidR="00C71DC1" w:rsidRPr="000D1F63">
        <w:t xml:space="preserve">position on the </w:t>
      </w:r>
      <w:r w:rsidR="00DC0E6F" w:rsidRPr="000D1F63">
        <w:t>issues.</w:t>
      </w:r>
    </w:p>
    <w:p w:rsidR="009B6038" w:rsidRPr="000D1F63" w:rsidRDefault="009B6038" w:rsidP="00CF1474">
      <w:pPr>
        <w:pStyle w:val="Style"/>
        <w:spacing w:line="360" w:lineRule="auto"/>
        <w:ind w:firstLine="1440"/>
      </w:pPr>
    </w:p>
    <w:p w:rsidR="00BA3AE6" w:rsidRPr="000D1F63" w:rsidRDefault="00F97F49" w:rsidP="000269FF">
      <w:pPr>
        <w:spacing w:after="0" w:line="360" w:lineRule="auto"/>
        <w:ind w:firstLine="1440"/>
        <w:rPr>
          <w:rFonts w:ascii="Times New Roman" w:hAnsi="Times New Roman" w:cs="Times New Roman"/>
          <w:bCs/>
          <w:color w:val="000000"/>
          <w:sz w:val="24"/>
          <w:szCs w:val="24"/>
        </w:rPr>
      </w:pPr>
      <w:r w:rsidRPr="000D1F63">
        <w:rPr>
          <w:rFonts w:ascii="Times New Roman" w:hAnsi="Times New Roman" w:cs="Times New Roman"/>
          <w:bCs/>
          <w:color w:val="000000"/>
          <w:sz w:val="24"/>
          <w:szCs w:val="24"/>
        </w:rPr>
        <w:t>At the heart of this case is the language in the Service Agreement</w:t>
      </w:r>
      <w:r w:rsidR="00BA3AE6" w:rsidRPr="000D1F63">
        <w:rPr>
          <w:rFonts w:ascii="Times New Roman" w:hAnsi="Times New Roman" w:cs="Times New Roman"/>
          <w:bCs/>
          <w:color w:val="000000"/>
          <w:sz w:val="24"/>
          <w:szCs w:val="24"/>
        </w:rPr>
        <w:t xml:space="preserve"> provided by Blue Pilot to Enrico </w:t>
      </w:r>
      <w:r w:rsidR="006B767A" w:rsidRPr="000D1F63">
        <w:rPr>
          <w:rFonts w:ascii="Times New Roman" w:hAnsi="Times New Roman" w:cs="Times New Roman"/>
          <w:bCs/>
          <w:color w:val="000000"/>
          <w:sz w:val="24"/>
          <w:szCs w:val="24"/>
        </w:rPr>
        <w:t xml:space="preserve">when </w:t>
      </w:r>
      <w:r w:rsidR="00BA3AE6" w:rsidRPr="000D1F63">
        <w:rPr>
          <w:rFonts w:ascii="Times New Roman" w:hAnsi="Times New Roman" w:cs="Times New Roman"/>
          <w:bCs/>
          <w:color w:val="000000"/>
          <w:sz w:val="24"/>
          <w:szCs w:val="24"/>
        </w:rPr>
        <w:t>Enrico enrolled in electric generation service with Blue Pilot.  The key language is in paragraph 3, Terms of Service.  This par</w:t>
      </w:r>
      <w:r w:rsidR="00FC26E4" w:rsidRPr="000D1F63">
        <w:rPr>
          <w:rFonts w:ascii="Times New Roman" w:hAnsi="Times New Roman" w:cs="Times New Roman"/>
          <w:bCs/>
          <w:color w:val="000000"/>
          <w:sz w:val="24"/>
          <w:szCs w:val="24"/>
        </w:rPr>
        <w:t>a</w:t>
      </w:r>
      <w:r w:rsidR="00BA3AE6" w:rsidRPr="000D1F63">
        <w:rPr>
          <w:rFonts w:ascii="Times New Roman" w:hAnsi="Times New Roman" w:cs="Times New Roman"/>
          <w:bCs/>
          <w:color w:val="000000"/>
          <w:sz w:val="24"/>
          <w:szCs w:val="24"/>
        </w:rPr>
        <w:t xml:space="preserve">graph </w:t>
      </w:r>
      <w:r w:rsidR="006B767A" w:rsidRPr="000D1F63">
        <w:rPr>
          <w:rFonts w:ascii="Times New Roman" w:hAnsi="Times New Roman" w:cs="Times New Roman"/>
          <w:bCs/>
          <w:color w:val="000000"/>
          <w:sz w:val="24"/>
          <w:szCs w:val="24"/>
        </w:rPr>
        <w:t>states</w:t>
      </w:r>
      <w:r w:rsidR="00BA3AE6" w:rsidRPr="000D1F63">
        <w:rPr>
          <w:rFonts w:ascii="Times New Roman" w:hAnsi="Times New Roman" w:cs="Times New Roman"/>
          <w:bCs/>
          <w:color w:val="000000"/>
          <w:sz w:val="24"/>
          <w:szCs w:val="24"/>
        </w:rPr>
        <w:t>:</w:t>
      </w:r>
    </w:p>
    <w:p w:rsidR="000269FF" w:rsidRPr="000D1F63" w:rsidRDefault="000269FF" w:rsidP="004D227D">
      <w:pPr>
        <w:spacing w:after="0" w:line="240" w:lineRule="auto"/>
        <w:ind w:left="1440" w:right="1440"/>
        <w:rPr>
          <w:rFonts w:ascii="Times New Roman" w:hAnsi="Times New Roman" w:cs="Times New Roman"/>
          <w:sz w:val="24"/>
          <w:szCs w:val="24"/>
        </w:rPr>
      </w:pPr>
    </w:p>
    <w:p w:rsidR="00FC26E4" w:rsidRPr="000D1F63" w:rsidRDefault="00FC26E4" w:rsidP="00FC26E4">
      <w:pPr>
        <w:spacing w:after="0" w:line="240" w:lineRule="auto"/>
        <w:ind w:left="1440" w:right="1440"/>
        <w:rPr>
          <w:rFonts w:ascii="Times New Roman" w:hAnsi="Times New Roman" w:cs="Times New Roman"/>
          <w:sz w:val="24"/>
          <w:szCs w:val="24"/>
        </w:rPr>
      </w:pPr>
      <w:r w:rsidRPr="000D1F63">
        <w:rPr>
          <w:rFonts w:ascii="Times New Roman" w:hAnsi="Times New Roman" w:cs="Times New Roman"/>
          <w:sz w:val="24"/>
          <w:szCs w:val="24"/>
        </w:rPr>
        <w:t xml:space="preserve">TERMS OF SERVICE:  You will pay a variable rate with the starting price set at </w:t>
      </w:r>
      <w:r w:rsidRPr="000D1F63">
        <w:rPr>
          <w:rFonts w:ascii="Times New Roman" w:hAnsi="Times New Roman" w:cs="Times New Roman"/>
          <w:b/>
          <w:sz w:val="24"/>
          <w:szCs w:val="24"/>
          <w:u w:val="single"/>
        </w:rPr>
        <w:t>7.9 cents per kwh</w:t>
      </w:r>
      <w:r w:rsidRPr="000D1F63">
        <w:rPr>
          <w:rFonts w:ascii="Times New Roman" w:hAnsi="Times New Roman" w:cs="Times New Roman"/>
          <w:sz w:val="24"/>
          <w:szCs w:val="24"/>
        </w:rPr>
        <w:t xml:space="preserve">.  This initial rate will be effective for at least the first sixty (60) days of service.  Thereafter, your price may vary on a month-to-month basis.  This price includes Transmission Charges, but excludes applicable state and local Sales Taxes, Gross Receipts Taxes, and the Distribution Charges from your local EDC.  At any time after 60 days of service, but not more frequently than monthly, we may increase or decrease your rate based upon several factors, including changes in wholesale energy market prices in the PJM Markets.  Your variable rate will be based upon PJM wholesale market conditions.  Please log on to </w:t>
      </w:r>
      <w:hyperlink r:id="rId11" w:history="1">
        <w:r w:rsidRPr="000D1F63">
          <w:rPr>
            <w:rStyle w:val="Hyperlink"/>
            <w:rFonts w:ascii="Times New Roman" w:hAnsi="Times New Roman" w:cs="Times New Roman"/>
            <w:sz w:val="24"/>
            <w:szCs w:val="24"/>
          </w:rPr>
          <w:t>www.bluepilotenergy.com</w:t>
        </w:r>
      </w:hyperlink>
      <w:r w:rsidRPr="000D1F63">
        <w:rPr>
          <w:rFonts w:ascii="Times New Roman" w:hAnsi="Times New Roman" w:cs="Times New Roman"/>
          <w:sz w:val="24"/>
          <w:szCs w:val="24"/>
        </w:rPr>
        <w:t xml:space="preserve"> or call Customer Service at 877-513-0246 for additional information and updates.</w:t>
      </w:r>
    </w:p>
    <w:p w:rsidR="0093475E" w:rsidRDefault="0093475E" w:rsidP="0049355A">
      <w:pPr>
        <w:pStyle w:val="ListParagraph"/>
        <w:spacing w:after="0" w:line="360" w:lineRule="auto"/>
        <w:rPr>
          <w:rFonts w:ascii="Times New Roman" w:hAnsi="Times New Roman" w:cs="Times New Roman"/>
          <w:sz w:val="24"/>
          <w:szCs w:val="24"/>
        </w:rPr>
        <w:sectPr w:rsidR="0093475E" w:rsidSect="008F13AE">
          <w:footerReference w:type="default" r:id="rId12"/>
          <w:pgSz w:w="12240" w:h="15840"/>
          <w:pgMar w:top="1440" w:right="1440" w:bottom="1440" w:left="1440" w:header="720" w:footer="720" w:gutter="0"/>
          <w:cols w:space="720"/>
          <w:docGrid w:linePitch="360"/>
        </w:sectPr>
      </w:pPr>
    </w:p>
    <w:p w:rsidR="00916D2A" w:rsidRPr="000D1F63" w:rsidRDefault="00FC26E4" w:rsidP="00FC26E4">
      <w:pPr>
        <w:spacing w:after="0" w:line="360" w:lineRule="auto"/>
        <w:rPr>
          <w:rFonts w:ascii="Times New Roman" w:hAnsi="Times New Roman" w:cs="Times New Roman"/>
          <w:sz w:val="24"/>
          <w:szCs w:val="24"/>
        </w:rPr>
      </w:pPr>
      <w:r w:rsidRPr="000D1F63">
        <w:rPr>
          <w:rFonts w:ascii="Times New Roman" w:hAnsi="Times New Roman" w:cs="Times New Roman"/>
          <w:sz w:val="24"/>
          <w:szCs w:val="24"/>
        </w:rPr>
        <w:t xml:space="preserve">Enrico Exh. No. 5 (emphasis in original); Tr. 24-25.  More specifically, the core dispute in this proceeding involves the fifth </w:t>
      </w:r>
      <w:r w:rsidR="006C54F2" w:rsidRPr="000D1F63">
        <w:rPr>
          <w:rFonts w:ascii="Times New Roman" w:hAnsi="Times New Roman" w:cs="Times New Roman"/>
          <w:sz w:val="24"/>
          <w:szCs w:val="24"/>
        </w:rPr>
        <w:t xml:space="preserve">sentence </w:t>
      </w:r>
      <w:r w:rsidR="00916D2A" w:rsidRPr="000D1F63">
        <w:rPr>
          <w:rFonts w:ascii="Times New Roman" w:hAnsi="Times New Roman" w:cs="Times New Roman"/>
          <w:sz w:val="24"/>
          <w:szCs w:val="24"/>
        </w:rPr>
        <w:t xml:space="preserve">– “At </w:t>
      </w:r>
      <w:r w:rsidRPr="000D1F63">
        <w:rPr>
          <w:rFonts w:ascii="Times New Roman" w:hAnsi="Times New Roman" w:cs="Times New Roman"/>
          <w:sz w:val="24"/>
          <w:szCs w:val="24"/>
        </w:rPr>
        <w:t>any time after 60 days of service, but not more frequently than monthly, we may increase or decrease your rate based upon several factors, including changes in wholesale energy market prices in the PJM Markets</w:t>
      </w:r>
      <w:r w:rsidR="00916D2A" w:rsidRPr="000D1F63">
        <w:rPr>
          <w:rFonts w:ascii="Times New Roman" w:hAnsi="Times New Roman" w:cs="Times New Roman"/>
          <w:sz w:val="24"/>
          <w:szCs w:val="24"/>
        </w:rPr>
        <w:t xml:space="preserve">” – and the </w:t>
      </w:r>
      <w:r w:rsidRPr="000D1F63">
        <w:rPr>
          <w:rFonts w:ascii="Times New Roman" w:hAnsi="Times New Roman" w:cs="Times New Roman"/>
          <w:sz w:val="24"/>
          <w:szCs w:val="24"/>
        </w:rPr>
        <w:t xml:space="preserve">sixth sentence </w:t>
      </w:r>
      <w:r w:rsidR="00916D2A" w:rsidRPr="000D1F63">
        <w:rPr>
          <w:rFonts w:ascii="Times New Roman" w:hAnsi="Times New Roman" w:cs="Times New Roman"/>
          <w:sz w:val="24"/>
          <w:szCs w:val="24"/>
        </w:rPr>
        <w:t xml:space="preserve">– “Your </w:t>
      </w:r>
      <w:r w:rsidRPr="000D1F63">
        <w:rPr>
          <w:rFonts w:ascii="Times New Roman" w:hAnsi="Times New Roman" w:cs="Times New Roman"/>
          <w:sz w:val="24"/>
          <w:szCs w:val="24"/>
        </w:rPr>
        <w:t xml:space="preserve">variable rate will be based upon PJM wholesale market conditions.”  </w:t>
      </w:r>
      <w:r w:rsidRPr="000D1F63">
        <w:rPr>
          <w:rFonts w:ascii="Times New Roman" w:hAnsi="Times New Roman" w:cs="Times New Roman"/>
          <w:sz w:val="24"/>
          <w:szCs w:val="24"/>
          <w:u w:val="single"/>
        </w:rPr>
        <w:t>Id.</w:t>
      </w:r>
      <w:r w:rsidRPr="000D1F63">
        <w:rPr>
          <w:rFonts w:ascii="Times New Roman" w:hAnsi="Times New Roman" w:cs="Times New Roman"/>
          <w:sz w:val="24"/>
          <w:szCs w:val="24"/>
        </w:rPr>
        <w:t xml:space="preserve">  </w:t>
      </w:r>
    </w:p>
    <w:p w:rsidR="00916D2A" w:rsidRPr="000D1F63" w:rsidRDefault="00916D2A" w:rsidP="00FC26E4">
      <w:pPr>
        <w:spacing w:after="0" w:line="360" w:lineRule="auto"/>
        <w:rPr>
          <w:rFonts w:ascii="Times New Roman" w:hAnsi="Times New Roman" w:cs="Times New Roman"/>
          <w:sz w:val="24"/>
          <w:szCs w:val="24"/>
        </w:rPr>
      </w:pPr>
    </w:p>
    <w:p w:rsidR="00BA3AE6" w:rsidRPr="000D1F63" w:rsidRDefault="00FC26E4" w:rsidP="00916D2A">
      <w:pPr>
        <w:spacing w:after="0" w:line="360" w:lineRule="auto"/>
        <w:ind w:firstLine="1440"/>
        <w:rPr>
          <w:rFonts w:ascii="Times New Roman" w:hAnsi="Times New Roman" w:cs="Times New Roman"/>
          <w:sz w:val="24"/>
          <w:szCs w:val="24"/>
        </w:rPr>
      </w:pPr>
      <w:r w:rsidRPr="000D1F63">
        <w:rPr>
          <w:rFonts w:ascii="Times New Roman" w:hAnsi="Times New Roman" w:cs="Times New Roman"/>
          <w:sz w:val="24"/>
          <w:szCs w:val="24"/>
        </w:rPr>
        <w:t xml:space="preserve">As discussed further below, determining whether these sentences as part of the larger Service Agreement violate any Commission regulations </w:t>
      </w:r>
      <w:r w:rsidR="00AC030F" w:rsidRPr="000D1F63">
        <w:rPr>
          <w:rFonts w:ascii="Times New Roman" w:hAnsi="Times New Roman" w:cs="Times New Roman"/>
          <w:sz w:val="24"/>
          <w:szCs w:val="24"/>
        </w:rPr>
        <w:t>is dispositive of Enrico’s Complaint.  Enrico’s Complaint will be sustained</w:t>
      </w:r>
      <w:r w:rsidR="003D4035" w:rsidRPr="000D1F63">
        <w:rPr>
          <w:rFonts w:ascii="Times New Roman" w:hAnsi="Times New Roman" w:cs="Times New Roman"/>
          <w:sz w:val="24"/>
          <w:szCs w:val="24"/>
        </w:rPr>
        <w:t xml:space="preserve"> because paragraph </w:t>
      </w:r>
      <w:r w:rsidR="00C71DC1" w:rsidRPr="000D1F63">
        <w:rPr>
          <w:rFonts w:ascii="Times New Roman" w:hAnsi="Times New Roman" w:cs="Times New Roman"/>
          <w:sz w:val="24"/>
          <w:szCs w:val="24"/>
        </w:rPr>
        <w:t xml:space="preserve">3 </w:t>
      </w:r>
      <w:r w:rsidR="00C617F6" w:rsidRPr="000D1F63">
        <w:rPr>
          <w:rFonts w:ascii="Times New Roman" w:hAnsi="Times New Roman" w:cs="Times New Roman"/>
          <w:sz w:val="24"/>
          <w:szCs w:val="24"/>
        </w:rPr>
        <w:t>does not use plain language</w:t>
      </w:r>
      <w:r w:rsidR="003D4035" w:rsidRPr="000D1F63">
        <w:rPr>
          <w:rFonts w:ascii="Times New Roman" w:hAnsi="Times New Roman" w:cs="Times New Roman"/>
          <w:sz w:val="24"/>
          <w:szCs w:val="24"/>
        </w:rPr>
        <w:t xml:space="preserve"> and, therefore, violates </w:t>
      </w:r>
      <w:r w:rsidR="00C617F6" w:rsidRPr="000D1F63">
        <w:rPr>
          <w:rFonts w:ascii="Times New Roman" w:hAnsi="Times New Roman" w:cs="Times New Roman"/>
          <w:sz w:val="24"/>
          <w:szCs w:val="24"/>
        </w:rPr>
        <w:t>Section</w:t>
      </w:r>
      <w:r w:rsidR="002F6C43" w:rsidRPr="000D1F63">
        <w:rPr>
          <w:rFonts w:ascii="Times New Roman" w:hAnsi="Times New Roman" w:cs="Times New Roman"/>
          <w:sz w:val="24"/>
          <w:szCs w:val="24"/>
        </w:rPr>
        <w:t>s</w:t>
      </w:r>
      <w:r w:rsidR="00C617F6" w:rsidRPr="000D1F63">
        <w:rPr>
          <w:rFonts w:ascii="Times New Roman" w:hAnsi="Times New Roman" w:cs="Times New Roman"/>
          <w:sz w:val="24"/>
          <w:szCs w:val="24"/>
        </w:rPr>
        <w:t xml:space="preserve"> 54.43</w:t>
      </w:r>
      <w:r w:rsidR="006B767A" w:rsidRPr="000D1F63">
        <w:rPr>
          <w:rFonts w:ascii="Times New Roman" w:hAnsi="Times New Roman" w:cs="Times New Roman"/>
          <w:sz w:val="24"/>
          <w:szCs w:val="24"/>
        </w:rPr>
        <w:t>(a)</w:t>
      </w:r>
      <w:r w:rsidR="00C617F6" w:rsidRPr="000D1F63">
        <w:rPr>
          <w:rFonts w:ascii="Times New Roman" w:hAnsi="Times New Roman" w:cs="Times New Roman"/>
          <w:sz w:val="24"/>
          <w:szCs w:val="24"/>
        </w:rPr>
        <w:t xml:space="preserve"> </w:t>
      </w:r>
      <w:r w:rsidR="002F6C43" w:rsidRPr="000D1F63">
        <w:rPr>
          <w:rFonts w:ascii="Times New Roman" w:hAnsi="Times New Roman" w:cs="Times New Roman"/>
          <w:sz w:val="24"/>
          <w:szCs w:val="24"/>
        </w:rPr>
        <w:t>and 111.12(d)</w:t>
      </w:r>
      <w:r w:rsidR="006B767A" w:rsidRPr="000D1F63">
        <w:rPr>
          <w:rFonts w:ascii="Times New Roman" w:hAnsi="Times New Roman" w:cs="Times New Roman"/>
          <w:sz w:val="24"/>
          <w:szCs w:val="24"/>
        </w:rPr>
        <w:t>(5)</w:t>
      </w:r>
      <w:r w:rsidR="002F6C43" w:rsidRPr="000D1F63">
        <w:rPr>
          <w:rFonts w:ascii="Times New Roman" w:hAnsi="Times New Roman" w:cs="Times New Roman"/>
          <w:sz w:val="24"/>
          <w:szCs w:val="24"/>
        </w:rPr>
        <w:t xml:space="preserve"> </w:t>
      </w:r>
      <w:r w:rsidR="00C617F6" w:rsidRPr="000D1F63">
        <w:rPr>
          <w:rFonts w:ascii="Times New Roman" w:hAnsi="Times New Roman" w:cs="Times New Roman"/>
          <w:sz w:val="24"/>
          <w:szCs w:val="24"/>
        </w:rPr>
        <w:t xml:space="preserve">of the </w:t>
      </w:r>
      <w:r w:rsidR="003D4035" w:rsidRPr="000D1F63">
        <w:rPr>
          <w:rFonts w:ascii="Times New Roman" w:hAnsi="Times New Roman" w:cs="Times New Roman"/>
          <w:sz w:val="24"/>
          <w:szCs w:val="24"/>
        </w:rPr>
        <w:t>Commission</w:t>
      </w:r>
      <w:r w:rsidR="00C617F6" w:rsidRPr="000D1F63">
        <w:rPr>
          <w:rFonts w:ascii="Times New Roman" w:hAnsi="Times New Roman" w:cs="Times New Roman"/>
          <w:sz w:val="24"/>
          <w:szCs w:val="24"/>
        </w:rPr>
        <w:t>’s</w:t>
      </w:r>
      <w:r w:rsidR="003D4035" w:rsidRPr="000D1F63">
        <w:rPr>
          <w:rFonts w:ascii="Times New Roman" w:hAnsi="Times New Roman" w:cs="Times New Roman"/>
          <w:sz w:val="24"/>
          <w:szCs w:val="24"/>
        </w:rPr>
        <w:t xml:space="preserve"> regulations</w:t>
      </w:r>
      <w:r w:rsidR="00AC030F" w:rsidRPr="000D1F63">
        <w:rPr>
          <w:rFonts w:ascii="Times New Roman" w:hAnsi="Times New Roman" w:cs="Times New Roman"/>
          <w:sz w:val="24"/>
          <w:szCs w:val="24"/>
        </w:rPr>
        <w:t>.  A civil penalty will be imposed on Blue Pilot and Blue Pilot will be instructed to issue a refund to Enrico for the amount it was over billed.</w:t>
      </w:r>
    </w:p>
    <w:p w:rsidR="000269FF" w:rsidRPr="000D1F63" w:rsidRDefault="000269FF" w:rsidP="002170E1">
      <w:pPr>
        <w:spacing w:after="0" w:line="360" w:lineRule="auto"/>
        <w:rPr>
          <w:rFonts w:ascii="Times New Roman" w:hAnsi="Times New Roman" w:cs="Times New Roman"/>
          <w:sz w:val="24"/>
          <w:szCs w:val="24"/>
        </w:rPr>
      </w:pPr>
    </w:p>
    <w:p w:rsidR="002170E1" w:rsidRPr="000D1F63" w:rsidRDefault="002170E1" w:rsidP="002170E1">
      <w:pPr>
        <w:spacing w:after="0" w:line="360" w:lineRule="auto"/>
        <w:rPr>
          <w:rFonts w:ascii="Times New Roman" w:hAnsi="Times New Roman" w:cs="Times New Roman"/>
          <w:b/>
          <w:sz w:val="24"/>
          <w:szCs w:val="24"/>
          <w:u w:val="single"/>
        </w:rPr>
      </w:pPr>
      <w:r w:rsidRPr="000D1F63">
        <w:rPr>
          <w:rFonts w:ascii="Times New Roman" w:hAnsi="Times New Roman" w:cs="Times New Roman"/>
          <w:b/>
          <w:sz w:val="24"/>
          <w:szCs w:val="24"/>
          <w:u w:val="single"/>
        </w:rPr>
        <w:t xml:space="preserve">Blue Pilot’s Disclosure Statement </w:t>
      </w:r>
      <w:r w:rsidR="00C617F6" w:rsidRPr="000D1F63">
        <w:rPr>
          <w:rFonts w:ascii="Times New Roman" w:hAnsi="Times New Roman" w:cs="Times New Roman"/>
          <w:b/>
          <w:sz w:val="24"/>
          <w:szCs w:val="24"/>
          <w:u w:val="single"/>
        </w:rPr>
        <w:t>Does Not Use Plain Language</w:t>
      </w:r>
    </w:p>
    <w:p w:rsidR="00151883" w:rsidRPr="000D1F63" w:rsidRDefault="00151883" w:rsidP="000269FF">
      <w:pPr>
        <w:spacing w:after="0" w:line="360" w:lineRule="auto"/>
        <w:ind w:firstLine="1440"/>
        <w:rPr>
          <w:rFonts w:ascii="Times New Roman" w:hAnsi="Times New Roman" w:cs="Times New Roman"/>
          <w:sz w:val="24"/>
          <w:szCs w:val="24"/>
        </w:rPr>
      </w:pPr>
    </w:p>
    <w:p w:rsidR="004F1DA6" w:rsidRPr="000D1F63" w:rsidRDefault="0070002B" w:rsidP="000269FF">
      <w:pPr>
        <w:spacing w:after="0" w:line="360" w:lineRule="auto"/>
        <w:ind w:firstLine="1440"/>
        <w:rPr>
          <w:rFonts w:ascii="Times New Roman" w:hAnsi="Times New Roman" w:cs="Times New Roman"/>
          <w:sz w:val="24"/>
          <w:szCs w:val="24"/>
        </w:rPr>
      </w:pPr>
      <w:r w:rsidRPr="000D1F63">
        <w:rPr>
          <w:rFonts w:ascii="Times New Roman" w:hAnsi="Times New Roman" w:cs="Times New Roman"/>
          <w:sz w:val="24"/>
          <w:szCs w:val="24"/>
        </w:rPr>
        <w:t>In its Main Brief, Enrico argued</w:t>
      </w:r>
      <w:r w:rsidR="00391887" w:rsidRPr="000D1F63">
        <w:rPr>
          <w:rFonts w:ascii="Times New Roman" w:hAnsi="Times New Roman" w:cs="Times New Roman"/>
          <w:sz w:val="24"/>
          <w:szCs w:val="24"/>
        </w:rPr>
        <w:t xml:space="preserve"> that</w:t>
      </w:r>
      <w:r w:rsidRPr="000D1F63">
        <w:rPr>
          <w:rFonts w:ascii="Times New Roman" w:hAnsi="Times New Roman" w:cs="Times New Roman"/>
          <w:sz w:val="24"/>
          <w:szCs w:val="24"/>
        </w:rPr>
        <w:t xml:space="preserve"> the </w:t>
      </w:r>
      <w:r w:rsidR="00A04987" w:rsidRPr="000D1F63">
        <w:rPr>
          <w:rFonts w:ascii="Times New Roman" w:hAnsi="Times New Roman" w:cs="Times New Roman"/>
          <w:sz w:val="24"/>
          <w:szCs w:val="24"/>
        </w:rPr>
        <w:t>Service Agreement</w:t>
      </w:r>
      <w:r w:rsidRPr="000D1F63">
        <w:rPr>
          <w:rFonts w:ascii="Times New Roman" w:hAnsi="Times New Roman" w:cs="Times New Roman"/>
          <w:sz w:val="24"/>
          <w:szCs w:val="24"/>
        </w:rPr>
        <w:t xml:space="preserve"> between the parties states that Enrico’s “variable rate will be based upon PJM wholesale market conditions” and </w:t>
      </w:r>
      <w:r w:rsidR="004F1DA6" w:rsidRPr="000D1F63">
        <w:rPr>
          <w:rFonts w:ascii="Times New Roman" w:hAnsi="Times New Roman" w:cs="Times New Roman"/>
          <w:sz w:val="24"/>
          <w:szCs w:val="24"/>
        </w:rPr>
        <w:t xml:space="preserve">that </w:t>
      </w:r>
      <w:r w:rsidRPr="000D1F63">
        <w:rPr>
          <w:rFonts w:ascii="Times New Roman" w:hAnsi="Times New Roman" w:cs="Times New Roman"/>
          <w:sz w:val="24"/>
          <w:szCs w:val="24"/>
        </w:rPr>
        <w:t xml:space="preserve">the fifth sentence “provides supplemental or descriptive information.”  Enrico </w:t>
      </w:r>
      <w:r w:rsidR="006C54F2" w:rsidRPr="000D1F63">
        <w:rPr>
          <w:rFonts w:ascii="Times New Roman" w:hAnsi="Times New Roman" w:cs="Times New Roman"/>
          <w:sz w:val="24"/>
          <w:szCs w:val="24"/>
        </w:rPr>
        <w:t>M</w:t>
      </w:r>
      <w:r w:rsidRPr="000D1F63">
        <w:rPr>
          <w:rFonts w:ascii="Times New Roman" w:hAnsi="Times New Roman" w:cs="Times New Roman"/>
          <w:sz w:val="24"/>
          <w:szCs w:val="24"/>
        </w:rPr>
        <w:t xml:space="preserve">.B. at 3.  Enrico adds that “Blue Pilot mistakenly uses the first sentence as a defense against [its] behavior of the uncertainty of a variable rate.  However, in reality the first sentence describes and establishes ‘several factors’ that go into determining the PJM rate.  It doesn’t alter or create less objectivity as to the rate.  The second sentence then actually clarifies how </w:t>
      </w:r>
      <w:r w:rsidRPr="000D1F63">
        <w:rPr>
          <w:rFonts w:ascii="Times New Roman" w:hAnsi="Times New Roman" w:cs="Times New Roman"/>
          <w:b/>
          <w:i/>
          <w:sz w:val="24"/>
          <w:szCs w:val="24"/>
        </w:rPr>
        <w:t>Enrico’s</w:t>
      </w:r>
      <w:r w:rsidRPr="000D1F63">
        <w:rPr>
          <w:rFonts w:ascii="Times New Roman" w:hAnsi="Times New Roman" w:cs="Times New Roman"/>
          <w:sz w:val="24"/>
          <w:szCs w:val="24"/>
        </w:rPr>
        <w:t xml:space="preserve"> rate will be specifically determined.”  </w:t>
      </w:r>
      <w:r w:rsidRPr="000D1F63">
        <w:rPr>
          <w:rFonts w:ascii="Times New Roman" w:hAnsi="Times New Roman" w:cs="Times New Roman"/>
          <w:sz w:val="24"/>
          <w:szCs w:val="24"/>
          <w:u w:val="single"/>
        </w:rPr>
        <w:t>Id.</w:t>
      </w:r>
      <w:r w:rsidRPr="000D1F63">
        <w:rPr>
          <w:rFonts w:ascii="Times New Roman" w:hAnsi="Times New Roman" w:cs="Times New Roman"/>
          <w:sz w:val="24"/>
          <w:szCs w:val="24"/>
        </w:rPr>
        <w:t xml:space="preserve"> (emphasis in original).  </w:t>
      </w:r>
      <w:r w:rsidR="00A945A5" w:rsidRPr="000D1F63">
        <w:rPr>
          <w:rFonts w:ascii="Times New Roman" w:hAnsi="Times New Roman" w:cs="Times New Roman"/>
          <w:sz w:val="24"/>
          <w:szCs w:val="24"/>
        </w:rPr>
        <w:t xml:space="preserve">On the other hand, Blue Pilot has argued that </w:t>
      </w:r>
      <w:r w:rsidR="004F1DA6" w:rsidRPr="000D1F63">
        <w:rPr>
          <w:rFonts w:ascii="Times New Roman" w:hAnsi="Times New Roman" w:cs="Times New Roman"/>
          <w:sz w:val="24"/>
          <w:szCs w:val="24"/>
        </w:rPr>
        <w:t>Enrico focusses on the sixth sentence but ignores the immediately preceding fifth sentence.  Blue Pilot R.B. at 10</w:t>
      </w:r>
      <w:r w:rsidR="00391887" w:rsidRPr="000D1F63">
        <w:rPr>
          <w:rFonts w:ascii="Times New Roman" w:hAnsi="Times New Roman" w:cs="Times New Roman"/>
          <w:sz w:val="24"/>
          <w:szCs w:val="24"/>
        </w:rPr>
        <w:t xml:space="preserve">; </w:t>
      </w:r>
      <w:r w:rsidR="00391887" w:rsidRPr="000D1F63">
        <w:rPr>
          <w:rFonts w:ascii="Times New Roman" w:hAnsi="Times New Roman" w:cs="Times New Roman"/>
          <w:i/>
          <w:sz w:val="24"/>
          <w:szCs w:val="24"/>
        </w:rPr>
        <w:t>see also</w:t>
      </w:r>
      <w:r w:rsidR="00391887" w:rsidRPr="000D1F63">
        <w:rPr>
          <w:rFonts w:ascii="Times New Roman" w:hAnsi="Times New Roman" w:cs="Times New Roman"/>
          <w:sz w:val="24"/>
          <w:szCs w:val="24"/>
        </w:rPr>
        <w:t>, Tr. 25-26.</w:t>
      </w:r>
    </w:p>
    <w:p w:rsidR="004F1DA6" w:rsidRPr="000D1F63" w:rsidRDefault="004F1DA6" w:rsidP="000269FF">
      <w:pPr>
        <w:spacing w:after="0" w:line="360" w:lineRule="auto"/>
        <w:ind w:firstLine="1440"/>
        <w:rPr>
          <w:rFonts w:ascii="Times New Roman" w:hAnsi="Times New Roman" w:cs="Times New Roman"/>
          <w:sz w:val="24"/>
          <w:szCs w:val="24"/>
        </w:rPr>
      </w:pPr>
    </w:p>
    <w:p w:rsidR="00B83F74" w:rsidRDefault="00A04987" w:rsidP="007F3F35">
      <w:pPr>
        <w:pStyle w:val="Style"/>
        <w:spacing w:line="360" w:lineRule="auto"/>
        <w:ind w:firstLine="1440"/>
        <w:rPr>
          <w:bCs/>
          <w:color w:val="000000"/>
        </w:rPr>
      </w:pPr>
      <w:r w:rsidRPr="000D1F63">
        <w:rPr>
          <w:bCs/>
          <w:color w:val="000000"/>
        </w:rPr>
        <w:t xml:space="preserve">As an initial matter, nowhere on the document identified in Enrico Exhibit 5 are the words “Disclosure Statement.”  Enrico Exh. No. 5.  Instead, the document is entitled “Service Agreement for the Purchase of Electric Power and Enrollment Form.”  Yet, Blue Pilot purports that this document is its Disclosure Statement.  </w:t>
      </w:r>
      <w:r w:rsidR="006B767A" w:rsidRPr="000D1F63">
        <w:rPr>
          <w:bCs/>
          <w:color w:val="000000"/>
        </w:rPr>
        <w:t>Blue Pilot M.B. at 8</w:t>
      </w:r>
      <w:r w:rsidRPr="000D1F63">
        <w:rPr>
          <w:bCs/>
          <w:color w:val="000000"/>
        </w:rPr>
        <w:t xml:space="preserve">.  The Service Agreement will be considered the Disclosure Statement for purposes of this Decision.  Nonetheless, </w:t>
      </w:r>
    </w:p>
    <w:p w:rsidR="00B83F74" w:rsidRDefault="00B83F74">
      <w:pPr>
        <w:spacing w:line="240" w:lineRule="auto"/>
        <w:rPr>
          <w:rFonts w:ascii="Times New Roman" w:eastAsia="Times New Roman" w:hAnsi="Times New Roman" w:cs="Times New Roman"/>
          <w:bCs/>
          <w:color w:val="000000"/>
          <w:sz w:val="24"/>
          <w:szCs w:val="24"/>
        </w:rPr>
      </w:pPr>
      <w:r>
        <w:rPr>
          <w:bCs/>
          <w:color w:val="000000"/>
        </w:rPr>
        <w:br w:type="page"/>
      </w:r>
    </w:p>
    <w:p w:rsidR="00A04987" w:rsidRPr="000D1F63" w:rsidRDefault="00A04987" w:rsidP="00B83F74">
      <w:pPr>
        <w:pStyle w:val="Style"/>
        <w:spacing w:line="360" w:lineRule="auto"/>
        <w:rPr>
          <w:bCs/>
          <w:color w:val="000000"/>
        </w:rPr>
      </w:pPr>
      <w:r w:rsidRPr="000D1F63">
        <w:rPr>
          <w:bCs/>
          <w:color w:val="000000"/>
        </w:rPr>
        <w:t>however, a</w:t>
      </w:r>
      <w:r w:rsidR="004F1DA6" w:rsidRPr="000D1F63">
        <w:rPr>
          <w:bCs/>
          <w:color w:val="000000"/>
        </w:rPr>
        <w:t xml:space="preserve"> close review of this portion of the Service Agreement reveals </w:t>
      </w:r>
      <w:r w:rsidR="00B5705E" w:rsidRPr="000D1F63">
        <w:rPr>
          <w:bCs/>
          <w:color w:val="000000"/>
        </w:rPr>
        <w:t xml:space="preserve">that, at a minimum, paragraph 3 is </w:t>
      </w:r>
      <w:r w:rsidR="00C80758" w:rsidRPr="000D1F63">
        <w:rPr>
          <w:bCs/>
          <w:color w:val="000000"/>
        </w:rPr>
        <w:t>unclear</w:t>
      </w:r>
      <w:r w:rsidR="00085EB3" w:rsidRPr="000D1F63">
        <w:rPr>
          <w:bCs/>
          <w:color w:val="000000"/>
        </w:rPr>
        <w:t xml:space="preserve"> or contains inconsistencies</w:t>
      </w:r>
      <w:r w:rsidRPr="000D1F63">
        <w:rPr>
          <w:bCs/>
          <w:color w:val="000000"/>
        </w:rPr>
        <w:t xml:space="preserve"> and, therefore, </w:t>
      </w:r>
      <w:r w:rsidR="00C71DC1" w:rsidRPr="000D1F63">
        <w:rPr>
          <w:bCs/>
          <w:color w:val="000000"/>
        </w:rPr>
        <w:t xml:space="preserve">does not use </w:t>
      </w:r>
      <w:r w:rsidRPr="000D1F63">
        <w:rPr>
          <w:bCs/>
          <w:color w:val="000000"/>
        </w:rPr>
        <w:t>plain language.</w:t>
      </w:r>
    </w:p>
    <w:p w:rsidR="00A04987" w:rsidRPr="000D1F63" w:rsidRDefault="00A04987" w:rsidP="007F3F35">
      <w:pPr>
        <w:pStyle w:val="Style"/>
        <w:spacing w:line="360" w:lineRule="auto"/>
        <w:ind w:firstLine="1440"/>
        <w:rPr>
          <w:bCs/>
          <w:color w:val="000000"/>
        </w:rPr>
      </w:pPr>
    </w:p>
    <w:p w:rsidR="00391887" w:rsidRPr="000D1F63" w:rsidRDefault="006C54F2" w:rsidP="007F3F35">
      <w:pPr>
        <w:pStyle w:val="Style"/>
        <w:spacing w:line="360" w:lineRule="auto"/>
        <w:ind w:firstLine="1440"/>
        <w:rPr>
          <w:bCs/>
          <w:color w:val="000000"/>
        </w:rPr>
      </w:pPr>
      <w:r w:rsidRPr="000D1F63">
        <w:rPr>
          <w:bCs/>
          <w:color w:val="000000"/>
        </w:rPr>
        <w:t xml:space="preserve">In particular, the fifth and sixth sentences are unclear, not easily understood and ambiguous when read together.  </w:t>
      </w:r>
      <w:r w:rsidR="00A04987" w:rsidRPr="000D1F63">
        <w:rPr>
          <w:bCs/>
          <w:color w:val="000000"/>
        </w:rPr>
        <w:t>For example, t</w:t>
      </w:r>
      <w:r w:rsidR="00085EB3" w:rsidRPr="000D1F63">
        <w:rPr>
          <w:bCs/>
          <w:color w:val="000000"/>
        </w:rPr>
        <w:t>he fifth sentence states that Blue Pilot “</w:t>
      </w:r>
      <w:r w:rsidR="00085EB3" w:rsidRPr="000D1F63">
        <w:rPr>
          <w:b/>
          <w:bCs/>
          <w:i/>
          <w:color w:val="000000"/>
        </w:rPr>
        <w:t>may</w:t>
      </w:r>
      <w:r w:rsidR="00085EB3" w:rsidRPr="000D1F63">
        <w:rPr>
          <w:bCs/>
          <w:color w:val="000000"/>
        </w:rPr>
        <w:t xml:space="preserve"> increase or decrease your rate” and the sixth sentence states that “Your variable rate </w:t>
      </w:r>
      <w:r w:rsidR="00085EB3" w:rsidRPr="000D1F63">
        <w:rPr>
          <w:b/>
          <w:bCs/>
          <w:i/>
          <w:color w:val="000000"/>
        </w:rPr>
        <w:t>will</w:t>
      </w:r>
      <w:r w:rsidR="00085EB3" w:rsidRPr="000D1F63">
        <w:rPr>
          <w:bCs/>
          <w:color w:val="000000"/>
        </w:rPr>
        <w:t xml:space="preserve"> be…”.  Additionally, the fifth sentence references “changes in wholesale energy market </w:t>
      </w:r>
      <w:r w:rsidR="00085EB3" w:rsidRPr="000D1F63">
        <w:rPr>
          <w:b/>
          <w:bCs/>
          <w:i/>
          <w:color w:val="000000"/>
        </w:rPr>
        <w:t>prices</w:t>
      </w:r>
      <w:r w:rsidR="00085EB3" w:rsidRPr="000D1F63">
        <w:rPr>
          <w:bCs/>
          <w:color w:val="000000"/>
        </w:rPr>
        <w:t xml:space="preserve"> in the PJM Markets” and the sixth sentence references “PJM wholesale market </w:t>
      </w:r>
      <w:r w:rsidR="00085EB3" w:rsidRPr="000D1F63">
        <w:rPr>
          <w:b/>
          <w:bCs/>
          <w:i/>
          <w:color w:val="000000"/>
        </w:rPr>
        <w:t>conditions</w:t>
      </w:r>
      <w:r w:rsidR="00085EB3" w:rsidRPr="000D1F63">
        <w:rPr>
          <w:bCs/>
          <w:color w:val="000000"/>
        </w:rPr>
        <w:t xml:space="preserve">.”  </w:t>
      </w:r>
      <w:r w:rsidR="00DF33CE" w:rsidRPr="000D1F63">
        <w:rPr>
          <w:bCs/>
          <w:color w:val="000000"/>
        </w:rPr>
        <w:t xml:space="preserve">The fifth sentence indicates that the rate is based on “several factors” and the sixth sentence indicates that the rate is based on “PJM wholesale market conditions.”  </w:t>
      </w:r>
      <w:r w:rsidR="00085EB3" w:rsidRPr="000D1F63">
        <w:rPr>
          <w:bCs/>
          <w:color w:val="000000"/>
        </w:rPr>
        <w:t xml:space="preserve">It is unclear whether the sixth sentence </w:t>
      </w:r>
      <w:r w:rsidR="00C71DC1" w:rsidRPr="000D1F63">
        <w:rPr>
          <w:bCs/>
          <w:color w:val="000000"/>
        </w:rPr>
        <w:t xml:space="preserve">clarifies, or elaborates upon, </w:t>
      </w:r>
      <w:r w:rsidR="00085EB3" w:rsidRPr="000D1F63">
        <w:rPr>
          <w:bCs/>
          <w:color w:val="000000"/>
        </w:rPr>
        <w:t xml:space="preserve">the fifth sentence or </w:t>
      </w:r>
      <w:r w:rsidR="00A04987" w:rsidRPr="000D1F63">
        <w:rPr>
          <w:bCs/>
          <w:color w:val="000000"/>
        </w:rPr>
        <w:t xml:space="preserve">if the sixth sentence replaces the fifth sentence.  It is unclear </w:t>
      </w:r>
      <w:r w:rsidR="00085EB3" w:rsidRPr="000D1F63">
        <w:rPr>
          <w:bCs/>
          <w:color w:val="000000"/>
        </w:rPr>
        <w:t xml:space="preserve">if </w:t>
      </w:r>
      <w:r w:rsidR="00A04987" w:rsidRPr="000D1F63">
        <w:rPr>
          <w:bCs/>
          <w:color w:val="000000"/>
        </w:rPr>
        <w:t xml:space="preserve">the paragraph provides </w:t>
      </w:r>
      <w:r w:rsidR="00085EB3" w:rsidRPr="000D1F63">
        <w:rPr>
          <w:bCs/>
          <w:color w:val="000000"/>
        </w:rPr>
        <w:t xml:space="preserve">two separate ways that rates may be changed – </w:t>
      </w:r>
      <w:r w:rsidR="006B767A" w:rsidRPr="000D1F63">
        <w:rPr>
          <w:bCs/>
          <w:color w:val="000000"/>
        </w:rPr>
        <w:t xml:space="preserve">one where </w:t>
      </w:r>
      <w:r w:rsidR="00085EB3" w:rsidRPr="000D1F63">
        <w:rPr>
          <w:bCs/>
          <w:color w:val="000000"/>
        </w:rPr>
        <w:t xml:space="preserve">the “PJM wholesale market conditions” </w:t>
      </w:r>
      <w:r w:rsidR="006B767A" w:rsidRPr="000D1F63">
        <w:rPr>
          <w:bCs/>
          <w:color w:val="000000"/>
        </w:rPr>
        <w:t xml:space="preserve">are </w:t>
      </w:r>
      <w:r w:rsidR="00085EB3" w:rsidRPr="000D1F63">
        <w:rPr>
          <w:bCs/>
          <w:color w:val="000000"/>
        </w:rPr>
        <w:t xml:space="preserve">one of the factors that may cause the rate to increase or decrease </w:t>
      </w:r>
      <w:r w:rsidR="006B767A" w:rsidRPr="000D1F63">
        <w:rPr>
          <w:bCs/>
          <w:color w:val="000000"/>
        </w:rPr>
        <w:t xml:space="preserve">and one where </w:t>
      </w:r>
      <w:r w:rsidR="00085EB3" w:rsidRPr="000D1F63">
        <w:rPr>
          <w:bCs/>
          <w:color w:val="000000"/>
        </w:rPr>
        <w:t xml:space="preserve">the “PJM wholesale market conditions” </w:t>
      </w:r>
      <w:r w:rsidR="006B767A" w:rsidRPr="000D1F63">
        <w:rPr>
          <w:bCs/>
          <w:color w:val="000000"/>
        </w:rPr>
        <w:t xml:space="preserve">are </w:t>
      </w:r>
      <w:r w:rsidR="00085EB3" w:rsidRPr="000D1F63">
        <w:rPr>
          <w:bCs/>
          <w:color w:val="000000"/>
        </w:rPr>
        <w:t xml:space="preserve">part of the “changes in wholesale energy market prices in the PJM Markets.”  If the later, the sixth sentence is superfluous.  </w:t>
      </w:r>
    </w:p>
    <w:p w:rsidR="00391887" w:rsidRPr="000D1F63" w:rsidRDefault="00391887" w:rsidP="007F3F35">
      <w:pPr>
        <w:pStyle w:val="Style"/>
        <w:spacing w:line="360" w:lineRule="auto"/>
        <w:ind w:firstLine="1440"/>
        <w:rPr>
          <w:bCs/>
          <w:color w:val="000000"/>
        </w:rPr>
      </w:pPr>
    </w:p>
    <w:p w:rsidR="00391887" w:rsidRPr="000D1F63" w:rsidRDefault="006C54F2" w:rsidP="00391887">
      <w:pPr>
        <w:pStyle w:val="Style"/>
        <w:spacing w:line="360" w:lineRule="auto"/>
        <w:ind w:firstLine="1440"/>
        <w:rPr>
          <w:bCs/>
          <w:color w:val="000000"/>
        </w:rPr>
      </w:pPr>
      <w:r w:rsidRPr="000D1F63">
        <w:rPr>
          <w:bCs/>
          <w:color w:val="000000"/>
        </w:rPr>
        <w:t>As a result</w:t>
      </w:r>
      <w:r w:rsidR="00C80021" w:rsidRPr="000D1F63">
        <w:rPr>
          <w:bCs/>
          <w:color w:val="000000"/>
        </w:rPr>
        <w:t xml:space="preserve">, the fifth and sixth sentences in paragraph 3 are poorly written and it is not unreasonable that a consumer would be confused when reading </w:t>
      </w:r>
      <w:r w:rsidR="00A04987" w:rsidRPr="000D1F63">
        <w:rPr>
          <w:bCs/>
          <w:color w:val="000000"/>
        </w:rPr>
        <w:t>the Disclosure Statement</w:t>
      </w:r>
      <w:r w:rsidR="00C80021" w:rsidRPr="000D1F63">
        <w:rPr>
          <w:bCs/>
          <w:color w:val="000000"/>
        </w:rPr>
        <w:t xml:space="preserve">.  </w:t>
      </w:r>
      <w:r w:rsidR="006B767A" w:rsidRPr="000D1F63">
        <w:rPr>
          <w:bCs/>
          <w:color w:val="000000"/>
        </w:rPr>
        <w:t xml:space="preserve">This is particularly true when read in the context of shopping for the competitive provision of electric generation services and </w:t>
      </w:r>
      <w:r w:rsidR="00C71DC1" w:rsidRPr="000D1F63">
        <w:rPr>
          <w:bCs/>
          <w:color w:val="000000"/>
        </w:rPr>
        <w:t xml:space="preserve">not </w:t>
      </w:r>
      <w:r w:rsidR="006B767A" w:rsidRPr="000D1F63">
        <w:rPr>
          <w:bCs/>
          <w:color w:val="000000"/>
        </w:rPr>
        <w:t xml:space="preserve">simply because the parties disagree to the meaning.  </w:t>
      </w:r>
      <w:r w:rsidR="00C80021" w:rsidRPr="000D1F63">
        <w:rPr>
          <w:bCs/>
          <w:color w:val="000000"/>
        </w:rPr>
        <w:t xml:space="preserve">The sentence “Your rate will be based upon PJM wholesale market conditions” is </w:t>
      </w:r>
      <w:r w:rsidR="00A04987" w:rsidRPr="000D1F63">
        <w:rPr>
          <w:bCs/>
          <w:color w:val="000000"/>
        </w:rPr>
        <w:t xml:space="preserve">not </w:t>
      </w:r>
      <w:r w:rsidR="00C80021" w:rsidRPr="000D1F63">
        <w:rPr>
          <w:bCs/>
          <w:color w:val="000000"/>
        </w:rPr>
        <w:t xml:space="preserve">clear and unequivocal when read in conjunction with the preceding sentence.  </w:t>
      </w:r>
      <w:r w:rsidR="00A04987" w:rsidRPr="000D1F63">
        <w:rPr>
          <w:bCs/>
          <w:color w:val="000000"/>
        </w:rPr>
        <w:t>T</w:t>
      </w:r>
      <w:r w:rsidR="00C80021" w:rsidRPr="000D1F63">
        <w:rPr>
          <w:bCs/>
          <w:color w:val="000000"/>
        </w:rPr>
        <w:t xml:space="preserve">he rate charged to Enrico was not based upon PJM wholesale market conditions as </w:t>
      </w:r>
      <w:r w:rsidR="00A04987" w:rsidRPr="000D1F63">
        <w:rPr>
          <w:bCs/>
          <w:color w:val="000000"/>
        </w:rPr>
        <w:t xml:space="preserve">the sixth </w:t>
      </w:r>
      <w:r w:rsidR="00C80021" w:rsidRPr="000D1F63">
        <w:rPr>
          <w:bCs/>
          <w:color w:val="000000"/>
        </w:rPr>
        <w:t>sentence states</w:t>
      </w:r>
      <w:r w:rsidR="00391887" w:rsidRPr="000D1F63">
        <w:rPr>
          <w:bCs/>
          <w:color w:val="000000"/>
        </w:rPr>
        <w:t xml:space="preserve"> it would be</w:t>
      </w:r>
      <w:r w:rsidR="00C80021" w:rsidRPr="000D1F63">
        <w:rPr>
          <w:bCs/>
          <w:color w:val="000000"/>
        </w:rPr>
        <w:t>.</w:t>
      </w:r>
      <w:r w:rsidR="00391887" w:rsidRPr="000D1F63">
        <w:rPr>
          <w:bCs/>
          <w:color w:val="000000"/>
        </w:rPr>
        <w:t xml:space="preserve">  </w:t>
      </w:r>
      <w:r w:rsidR="00C80021" w:rsidRPr="000D1F63">
        <w:rPr>
          <w:bCs/>
          <w:color w:val="000000"/>
        </w:rPr>
        <w:t>Therefore, Blue Pilot has failed to provide “accurate information about [its] electric generation services using plain language and common terms in communications with consumers” and, thus, violate</w:t>
      </w:r>
      <w:r w:rsidR="00C71DC1" w:rsidRPr="000D1F63">
        <w:rPr>
          <w:bCs/>
          <w:color w:val="000000"/>
        </w:rPr>
        <w:t>s</w:t>
      </w:r>
      <w:r w:rsidR="00C80021" w:rsidRPr="000D1F63">
        <w:rPr>
          <w:bCs/>
          <w:color w:val="000000"/>
        </w:rPr>
        <w:t xml:space="preserve"> Section</w:t>
      </w:r>
      <w:r w:rsidR="003108F7" w:rsidRPr="000D1F63">
        <w:rPr>
          <w:bCs/>
          <w:color w:val="000000"/>
        </w:rPr>
        <w:t>s</w:t>
      </w:r>
      <w:r w:rsidR="00C80021" w:rsidRPr="000D1F63">
        <w:rPr>
          <w:bCs/>
          <w:color w:val="000000"/>
        </w:rPr>
        <w:t xml:space="preserve"> 54.43(a) </w:t>
      </w:r>
      <w:r w:rsidR="003108F7" w:rsidRPr="000D1F63">
        <w:rPr>
          <w:bCs/>
          <w:color w:val="000000"/>
        </w:rPr>
        <w:t xml:space="preserve">and </w:t>
      </w:r>
      <w:r w:rsidR="003108F7" w:rsidRPr="000D1F63">
        <w:t>111.12(d)</w:t>
      </w:r>
      <w:r w:rsidR="006B767A" w:rsidRPr="000D1F63">
        <w:t>(5)</w:t>
      </w:r>
      <w:r w:rsidR="003108F7" w:rsidRPr="000D1F63">
        <w:t xml:space="preserve"> </w:t>
      </w:r>
      <w:r w:rsidR="00C80021" w:rsidRPr="000D1F63">
        <w:rPr>
          <w:bCs/>
          <w:color w:val="000000"/>
        </w:rPr>
        <w:t>of</w:t>
      </w:r>
      <w:r w:rsidR="00A04987" w:rsidRPr="000D1F63">
        <w:rPr>
          <w:bCs/>
          <w:color w:val="000000"/>
        </w:rPr>
        <w:t xml:space="preserve"> the Commission’s regulations.</w:t>
      </w:r>
    </w:p>
    <w:p w:rsidR="00391887" w:rsidRPr="000D1F63" w:rsidRDefault="00391887" w:rsidP="00391887">
      <w:pPr>
        <w:pStyle w:val="Style"/>
        <w:spacing w:line="360" w:lineRule="auto"/>
        <w:ind w:firstLine="1440"/>
        <w:rPr>
          <w:bCs/>
          <w:color w:val="000000"/>
        </w:rPr>
      </w:pPr>
    </w:p>
    <w:p w:rsidR="001D5387" w:rsidRPr="000D1F63" w:rsidRDefault="00C80021" w:rsidP="001D5387">
      <w:pPr>
        <w:pStyle w:val="ParaTab1"/>
        <w:spacing w:line="360" w:lineRule="auto"/>
        <w:ind w:left="90" w:firstLine="1350"/>
        <w:rPr>
          <w:rFonts w:ascii="Times New Roman" w:hAnsi="Times New Roman" w:cs="Times New Roman"/>
        </w:rPr>
      </w:pPr>
      <w:r w:rsidRPr="000D1F63">
        <w:rPr>
          <w:rFonts w:ascii="Times New Roman" w:hAnsi="Times New Roman" w:cs="Times New Roman"/>
          <w:bCs/>
          <w:color w:val="000000"/>
        </w:rPr>
        <w:t xml:space="preserve">The term </w:t>
      </w:r>
      <w:r w:rsidR="00A04987" w:rsidRPr="000D1F63">
        <w:rPr>
          <w:rFonts w:ascii="Times New Roman" w:hAnsi="Times New Roman" w:cs="Times New Roman"/>
          <w:bCs/>
          <w:color w:val="000000"/>
        </w:rPr>
        <w:t>“</w:t>
      </w:r>
      <w:r w:rsidRPr="000D1F63">
        <w:rPr>
          <w:rFonts w:ascii="Times New Roman" w:hAnsi="Times New Roman" w:cs="Times New Roman"/>
          <w:bCs/>
          <w:color w:val="000000"/>
        </w:rPr>
        <w:t>plain language</w:t>
      </w:r>
      <w:r w:rsidR="00A04987" w:rsidRPr="000D1F63">
        <w:rPr>
          <w:rFonts w:ascii="Times New Roman" w:hAnsi="Times New Roman" w:cs="Times New Roman"/>
          <w:bCs/>
          <w:color w:val="000000"/>
        </w:rPr>
        <w:t>”</w:t>
      </w:r>
      <w:r w:rsidRPr="000D1F63">
        <w:rPr>
          <w:rFonts w:ascii="Times New Roman" w:hAnsi="Times New Roman" w:cs="Times New Roman"/>
          <w:bCs/>
          <w:color w:val="000000"/>
        </w:rPr>
        <w:t xml:space="preserve"> is not defined in the Public Utility Code or the Commission’s regulations.  </w:t>
      </w:r>
      <w:r w:rsidR="006B767A" w:rsidRPr="000D1F63">
        <w:rPr>
          <w:rFonts w:ascii="Times New Roman" w:hAnsi="Times New Roman" w:cs="Times New Roman"/>
          <w:bCs/>
          <w:color w:val="000000"/>
        </w:rPr>
        <w:t>Nor does t</w:t>
      </w:r>
      <w:r w:rsidRPr="000D1F63">
        <w:rPr>
          <w:rFonts w:ascii="Times New Roman" w:hAnsi="Times New Roman" w:cs="Times New Roman"/>
          <w:bCs/>
          <w:color w:val="000000"/>
        </w:rPr>
        <w:t>he Commission Policy Statement</w:t>
      </w:r>
      <w:r w:rsidR="00B5705E" w:rsidRPr="000D1F63">
        <w:rPr>
          <w:rFonts w:ascii="Times New Roman" w:hAnsi="Times New Roman" w:cs="Times New Roman"/>
          <w:bCs/>
          <w:color w:val="000000"/>
        </w:rPr>
        <w:t xml:space="preserve"> </w:t>
      </w:r>
      <w:r w:rsidR="007C2FD0" w:rsidRPr="000D1F63">
        <w:rPr>
          <w:rFonts w:ascii="Times New Roman" w:hAnsi="Times New Roman" w:cs="Times New Roman"/>
          <w:bCs/>
          <w:color w:val="000000"/>
        </w:rPr>
        <w:t>on Plain Language Guidelines</w:t>
      </w:r>
      <w:r w:rsidR="003E2957" w:rsidRPr="000D1F63">
        <w:rPr>
          <w:rFonts w:ascii="Times New Roman" w:hAnsi="Times New Roman" w:cs="Times New Roman"/>
          <w:bCs/>
          <w:color w:val="000000"/>
        </w:rPr>
        <w:t xml:space="preserve"> </w:t>
      </w:r>
      <w:r w:rsidR="00A04987" w:rsidRPr="000D1F63">
        <w:rPr>
          <w:rFonts w:ascii="Times New Roman" w:hAnsi="Times New Roman" w:cs="Times New Roman"/>
          <w:bCs/>
          <w:color w:val="000000"/>
        </w:rPr>
        <w:t>define “plain language</w:t>
      </w:r>
      <w:r w:rsidR="006B767A" w:rsidRPr="000D1F63">
        <w:rPr>
          <w:rFonts w:ascii="Times New Roman" w:hAnsi="Times New Roman" w:cs="Times New Roman"/>
          <w:bCs/>
          <w:color w:val="000000"/>
        </w:rPr>
        <w:t>.”</w:t>
      </w:r>
      <w:r w:rsidR="00A04987" w:rsidRPr="000D1F63">
        <w:rPr>
          <w:rFonts w:ascii="Times New Roman" w:hAnsi="Times New Roman" w:cs="Times New Roman"/>
          <w:bCs/>
          <w:color w:val="000000"/>
        </w:rPr>
        <w:t xml:space="preserve">  </w:t>
      </w:r>
      <w:r w:rsidR="003E2957" w:rsidRPr="000D1F63">
        <w:rPr>
          <w:rFonts w:ascii="Times New Roman" w:hAnsi="Times New Roman" w:cs="Times New Roman"/>
          <w:bCs/>
          <w:color w:val="000000"/>
        </w:rPr>
        <w:t xml:space="preserve">52 Pa.Code § 69.251.  </w:t>
      </w:r>
      <w:r w:rsidR="00A04987" w:rsidRPr="000D1F63">
        <w:rPr>
          <w:rFonts w:ascii="Times New Roman" w:hAnsi="Times New Roman" w:cs="Times New Roman"/>
          <w:bCs/>
          <w:color w:val="000000"/>
        </w:rPr>
        <w:t>Rather, t</w:t>
      </w:r>
      <w:r w:rsidR="001D5387" w:rsidRPr="000D1F63">
        <w:rPr>
          <w:rFonts w:ascii="Times New Roman" w:hAnsi="Times New Roman" w:cs="Times New Roman"/>
        </w:rPr>
        <w:t xml:space="preserve">he Policy Statement </w:t>
      </w:r>
      <w:r w:rsidR="003E2957" w:rsidRPr="000D1F63">
        <w:rPr>
          <w:rFonts w:ascii="Times New Roman" w:hAnsi="Times New Roman" w:cs="Times New Roman"/>
        </w:rPr>
        <w:t xml:space="preserve">makes recommendations such as using </w:t>
      </w:r>
      <w:r w:rsidR="001D5387" w:rsidRPr="000D1F63">
        <w:rPr>
          <w:rFonts w:ascii="Times New Roman" w:hAnsi="Times New Roman" w:cs="Times New Roman"/>
        </w:rPr>
        <w:t xml:space="preserve">short sentences, active voice rather than passive voice and commonly understood words, among other things, and </w:t>
      </w:r>
      <w:r w:rsidR="003E2957" w:rsidRPr="000D1F63">
        <w:rPr>
          <w:rFonts w:ascii="Times New Roman" w:hAnsi="Times New Roman" w:cs="Times New Roman"/>
        </w:rPr>
        <w:t xml:space="preserve">not using </w:t>
      </w:r>
      <w:r w:rsidR="001D5387" w:rsidRPr="000D1F63">
        <w:rPr>
          <w:rFonts w:ascii="Times New Roman" w:hAnsi="Times New Roman" w:cs="Times New Roman"/>
        </w:rPr>
        <w:t>technical, legal or utility terms not commonly understood, double negatives, abbreviations and fore</w:t>
      </w:r>
      <w:r w:rsidR="00143B6B" w:rsidRPr="000D1F63">
        <w:rPr>
          <w:rFonts w:ascii="Times New Roman" w:hAnsi="Times New Roman" w:cs="Times New Roman"/>
        </w:rPr>
        <w:t>ign words.  52 Pa.Code § </w:t>
      </w:r>
      <w:r w:rsidR="001D5387" w:rsidRPr="000D1F63">
        <w:rPr>
          <w:rFonts w:ascii="Times New Roman" w:hAnsi="Times New Roman" w:cs="Times New Roman"/>
        </w:rPr>
        <w:t>69.251(a).  The Policy Statement also recommends that visual guidelines and certain bill formats be used.  52 Pa.Code § 69.251(b) &amp; (c).</w:t>
      </w:r>
    </w:p>
    <w:p w:rsidR="001D5387" w:rsidRPr="000D1F63" w:rsidRDefault="001D5387" w:rsidP="001D5387">
      <w:pPr>
        <w:pStyle w:val="ParaTab1"/>
        <w:spacing w:line="360" w:lineRule="auto"/>
        <w:ind w:left="90" w:firstLine="1350"/>
        <w:rPr>
          <w:rFonts w:ascii="Times New Roman" w:hAnsi="Times New Roman" w:cs="Times New Roman"/>
        </w:rPr>
      </w:pPr>
    </w:p>
    <w:p w:rsidR="004F4765" w:rsidRPr="000D1F63" w:rsidRDefault="00A04987" w:rsidP="001D5387">
      <w:pPr>
        <w:pStyle w:val="ParaTab1"/>
        <w:spacing w:line="360" w:lineRule="auto"/>
        <w:ind w:left="90" w:firstLine="1350"/>
        <w:rPr>
          <w:rFonts w:ascii="Times New Roman" w:hAnsi="Times New Roman" w:cs="Times New Roman"/>
        </w:rPr>
      </w:pPr>
      <w:r w:rsidRPr="000D1F63">
        <w:rPr>
          <w:rFonts w:ascii="Times New Roman" w:hAnsi="Times New Roman" w:cs="Times New Roman"/>
        </w:rPr>
        <w:t>Although t</w:t>
      </w:r>
      <w:r w:rsidR="00932D6F" w:rsidRPr="000D1F63">
        <w:rPr>
          <w:rFonts w:ascii="Times New Roman" w:hAnsi="Times New Roman" w:cs="Times New Roman"/>
        </w:rPr>
        <w:t>he Policy Statement</w:t>
      </w:r>
      <w:r w:rsidR="001D5387" w:rsidRPr="000D1F63">
        <w:rPr>
          <w:rFonts w:ascii="Times New Roman" w:hAnsi="Times New Roman" w:cs="Times New Roman"/>
        </w:rPr>
        <w:t xml:space="preserve"> does not </w:t>
      </w:r>
      <w:r w:rsidR="00F40A3C" w:rsidRPr="000D1F63">
        <w:rPr>
          <w:rFonts w:ascii="Times New Roman" w:hAnsi="Times New Roman" w:cs="Times New Roman"/>
        </w:rPr>
        <w:t xml:space="preserve">provide a definition of </w:t>
      </w:r>
      <w:r w:rsidR="001D5387" w:rsidRPr="000D1F63">
        <w:rPr>
          <w:rFonts w:ascii="Times New Roman" w:hAnsi="Times New Roman" w:cs="Times New Roman"/>
        </w:rPr>
        <w:t>“plain language</w:t>
      </w:r>
      <w:r w:rsidRPr="000D1F63">
        <w:rPr>
          <w:rFonts w:ascii="Times New Roman" w:hAnsi="Times New Roman" w:cs="Times New Roman"/>
        </w:rPr>
        <w:t>,</w:t>
      </w:r>
      <w:r w:rsidR="001D5387" w:rsidRPr="000D1F63">
        <w:rPr>
          <w:rFonts w:ascii="Times New Roman" w:hAnsi="Times New Roman" w:cs="Times New Roman"/>
        </w:rPr>
        <w:t xml:space="preserve">” </w:t>
      </w:r>
      <w:r w:rsidRPr="000D1F63">
        <w:rPr>
          <w:rFonts w:ascii="Times New Roman" w:hAnsi="Times New Roman" w:cs="Times New Roman"/>
        </w:rPr>
        <w:t>t</w:t>
      </w:r>
      <w:r w:rsidR="001D5387" w:rsidRPr="000D1F63">
        <w:rPr>
          <w:rFonts w:ascii="Times New Roman" w:hAnsi="Times New Roman" w:cs="Times New Roman"/>
        </w:rPr>
        <w:t xml:space="preserve">he term “plain” is generally defined as </w:t>
      </w:r>
      <w:r w:rsidR="00F40A3C" w:rsidRPr="000D1F63">
        <w:rPr>
          <w:rFonts w:ascii="Times New Roman" w:hAnsi="Times New Roman" w:cs="Times New Roman"/>
        </w:rPr>
        <w:t xml:space="preserve">“clear or distinct to the eye or ear; clear to the mind, evident, manifest, obvious; conveying the meaning clearly and simply; easily understood; free from ambiguity or evasion.”  </w:t>
      </w:r>
      <w:r w:rsidR="00F40A3C" w:rsidRPr="000D1F63">
        <w:rPr>
          <w:rFonts w:ascii="Times New Roman" w:hAnsi="Times New Roman" w:cs="Times New Roman"/>
          <w:u w:val="single"/>
        </w:rPr>
        <w:t>Webster’s Encyclopedic Unabridged Dictionary of the English Language</w:t>
      </w:r>
      <w:r w:rsidR="00F40A3C" w:rsidRPr="000D1F63">
        <w:rPr>
          <w:rFonts w:ascii="Times New Roman" w:hAnsi="Times New Roman" w:cs="Times New Roman"/>
        </w:rPr>
        <w:t>, Portland House, New York, 1983, at 1110.</w:t>
      </w:r>
      <w:r w:rsidR="00C617F6" w:rsidRPr="000D1F63">
        <w:rPr>
          <w:rFonts w:ascii="Times New Roman" w:hAnsi="Times New Roman" w:cs="Times New Roman"/>
        </w:rPr>
        <w:t xml:space="preserve">  </w:t>
      </w:r>
      <w:r w:rsidRPr="000D1F63">
        <w:rPr>
          <w:rFonts w:ascii="Times New Roman" w:hAnsi="Times New Roman" w:cs="Times New Roman"/>
        </w:rPr>
        <w:t>Furthermore, l</w:t>
      </w:r>
      <w:r w:rsidR="004F4765" w:rsidRPr="000D1F63">
        <w:rPr>
          <w:rFonts w:ascii="Times New Roman" w:hAnsi="Times New Roman" w:cs="Times New Roman"/>
        </w:rPr>
        <w:t xml:space="preserve">anguage is "ambiguous" when it conveys two or more reasonable meanings; or when it is otherwise vague, uncertain or indefinite.  </w:t>
      </w:r>
      <w:r w:rsidR="004F4765" w:rsidRPr="000D1F63">
        <w:rPr>
          <w:rFonts w:ascii="Times New Roman" w:hAnsi="Times New Roman" w:cs="Times New Roman"/>
          <w:u w:val="single"/>
        </w:rPr>
        <w:t>Barasch v. Pa.P.U.C.</w:t>
      </w:r>
      <w:r w:rsidR="004F4765" w:rsidRPr="000D1F63">
        <w:rPr>
          <w:rFonts w:ascii="Times New Roman" w:hAnsi="Times New Roman" w:cs="Times New Roman"/>
        </w:rPr>
        <w:t>, 516 Pa. 142, 156 (Pa. 1987)</w:t>
      </w:r>
      <w:r w:rsidR="003E2957" w:rsidRPr="000D1F63">
        <w:rPr>
          <w:rFonts w:ascii="Times New Roman" w:hAnsi="Times New Roman" w:cs="Times New Roman"/>
        </w:rPr>
        <w:t xml:space="preserve">.  The Commission has held that all disclosures must be clear and unequivocal. </w:t>
      </w:r>
      <w:r w:rsidR="00F52672" w:rsidRPr="000D1F63">
        <w:rPr>
          <w:rFonts w:ascii="Times New Roman" w:hAnsi="Times New Roman" w:cs="Times New Roman"/>
        </w:rPr>
        <w:t xml:space="preserve"> </w:t>
      </w:r>
      <w:r w:rsidR="00F52672" w:rsidRPr="000D1F63">
        <w:rPr>
          <w:rFonts w:ascii="Times New Roman" w:hAnsi="Times New Roman" w:cs="Times New Roman"/>
          <w:u w:val="single"/>
        </w:rPr>
        <w:t>Yaglidereliler Corporation v. Blue Pilot Energ</w:t>
      </w:r>
      <w:r w:rsidR="00D27F1D" w:rsidRPr="000D1F63">
        <w:rPr>
          <w:rFonts w:ascii="Times New Roman" w:hAnsi="Times New Roman" w:cs="Times New Roman"/>
          <w:u w:val="single"/>
        </w:rPr>
        <w:t>y</w:t>
      </w:r>
      <w:r w:rsidR="00F52672" w:rsidRPr="000D1F63">
        <w:rPr>
          <w:rFonts w:ascii="Times New Roman" w:hAnsi="Times New Roman" w:cs="Times New Roman"/>
          <w:u w:val="single"/>
        </w:rPr>
        <w:t>, LLC</w:t>
      </w:r>
      <w:r w:rsidR="00F52672" w:rsidRPr="000D1F63">
        <w:rPr>
          <w:rFonts w:ascii="Times New Roman" w:hAnsi="Times New Roman" w:cs="Times New Roman"/>
        </w:rPr>
        <w:t>, Docket No. C-2014-2413732, Opinion and Order (entered Jan. 16, 2015) (</w:t>
      </w:r>
      <w:r w:rsidR="00F52672" w:rsidRPr="000D1F63">
        <w:rPr>
          <w:rFonts w:ascii="Times New Roman" w:hAnsi="Times New Roman" w:cs="Times New Roman"/>
          <w:u w:val="single"/>
        </w:rPr>
        <w:t>Yaglidereliler</w:t>
      </w:r>
      <w:r w:rsidR="00F52672" w:rsidRPr="000D1F63">
        <w:rPr>
          <w:rFonts w:ascii="Times New Roman" w:hAnsi="Times New Roman" w:cs="Times New Roman"/>
        </w:rPr>
        <w:t>)</w:t>
      </w:r>
      <w:r w:rsidR="004F4765" w:rsidRPr="000D1F63">
        <w:rPr>
          <w:rFonts w:ascii="Times New Roman" w:hAnsi="Times New Roman" w:cs="Times New Roman"/>
        </w:rPr>
        <w:t>.</w:t>
      </w:r>
      <w:r w:rsidR="008462DF" w:rsidRPr="000D1F63">
        <w:rPr>
          <w:rFonts w:ascii="Times New Roman" w:hAnsi="Times New Roman" w:cs="Times New Roman"/>
        </w:rPr>
        <w:t xml:space="preserve">  </w:t>
      </w:r>
    </w:p>
    <w:p w:rsidR="00663419" w:rsidRPr="000D1F63" w:rsidRDefault="00663419" w:rsidP="001D5387">
      <w:pPr>
        <w:pStyle w:val="ParaTab1"/>
        <w:spacing w:line="360" w:lineRule="auto"/>
        <w:ind w:left="90" w:firstLine="1350"/>
        <w:rPr>
          <w:rFonts w:ascii="Times New Roman" w:hAnsi="Times New Roman" w:cs="Times New Roman"/>
        </w:rPr>
      </w:pPr>
    </w:p>
    <w:p w:rsidR="00EE37B7" w:rsidRPr="000D1F63" w:rsidRDefault="007C3592" w:rsidP="001D5387">
      <w:pPr>
        <w:pStyle w:val="ParaTab1"/>
        <w:spacing w:line="360" w:lineRule="auto"/>
        <w:ind w:left="90" w:firstLine="1350"/>
        <w:rPr>
          <w:rFonts w:ascii="Times New Roman" w:hAnsi="Times New Roman" w:cs="Times New Roman"/>
        </w:rPr>
      </w:pPr>
      <w:r w:rsidRPr="000D1F63">
        <w:rPr>
          <w:rFonts w:ascii="Times New Roman" w:hAnsi="Times New Roman" w:cs="Times New Roman"/>
        </w:rPr>
        <w:t xml:space="preserve">In this case, </w:t>
      </w:r>
      <w:r w:rsidR="003E2957" w:rsidRPr="000D1F63">
        <w:rPr>
          <w:rFonts w:ascii="Times New Roman" w:hAnsi="Times New Roman" w:cs="Times New Roman"/>
        </w:rPr>
        <w:t xml:space="preserve">Enrico does not contest that its rate for electric generation service would </w:t>
      </w:r>
      <w:r w:rsidR="006B767A" w:rsidRPr="000D1F63">
        <w:rPr>
          <w:rFonts w:ascii="Times New Roman" w:hAnsi="Times New Roman" w:cs="Times New Roman"/>
        </w:rPr>
        <w:t>vary</w:t>
      </w:r>
      <w:r w:rsidR="003E2957" w:rsidRPr="000D1F63">
        <w:rPr>
          <w:rFonts w:ascii="Times New Roman" w:hAnsi="Times New Roman" w:cs="Times New Roman"/>
        </w:rPr>
        <w:t xml:space="preserve">, only the terms by which those rates would vary.  </w:t>
      </w:r>
      <w:r w:rsidRPr="000D1F63">
        <w:rPr>
          <w:rFonts w:ascii="Times New Roman" w:hAnsi="Times New Roman" w:cs="Times New Roman"/>
        </w:rPr>
        <w:t xml:space="preserve">Enrico reasonably believed that </w:t>
      </w:r>
      <w:r w:rsidR="00663419" w:rsidRPr="000D1F63">
        <w:rPr>
          <w:rFonts w:ascii="Times New Roman" w:hAnsi="Times New Roman" w:cs="Times New Roman"/>
        </w:rPr>
        <w:t xml:space="preserve">the </w:t>
      </w:r>
      <w:r w:rsidRPr="000D1F63">
        <w:rPr>
          <w:rFonts w:ascii="Times New Roman" w:hAnsi="Times New Roman" w:cs="Times New Roman"/>
        </w:rPr>
        <w:t xml:space="preserve">rate </w:t>
      </w:r>
      <w:r w:rsidR="00663419" w:rsidRPr="000D1F63">
        <w:rPr>
          <w:rFonts w:ascii="Times New Roman" w:hAnsi="Times New Roman" w:cs="Times New Roman"/>
        </w:rPr>
        <w:t xml:space="preserve">it would be charged by Blue Pilot </w:t>
      </w:r>
      <w:r w:rsidRPr="000D1F63">
        <w:rPr>
          <w:rFonts w:ascii="Times New Roman" w:hAnsi="Times New Roman" w:cs="Times New Roman"/>
        </w:rPr>
        <w:t xml:space="preserve">would be based on PJM wholesale market conditions.  </w:t>
      </w:r>
      <w:r w:rsidR="00EE37B7" w:rsidRPr="000D1F63">
        <w:rPr>
          <w:rFonts w:ascii="Times New Roman" w:hAnsi="Times New Roman" w:cs="Times New Roman"/>
        </w:rPr>
        <w:t>Enrico witness Holtz testified:</w:t>
      </w:r>
    </w:p>
    <w:p w:rsidR="00EE37B7" w:rsidRPr="000D1F63" w:rsidRDefault="00EE37B7" w:rsidP="00EE37B7">
      <w:pPr>
        <w:pStyle w:val="ParaTab1"/>
        <w:ind w:left="1440" w:right="1440" w:firstLine="0"/>
        <w:rPr>
          <w:rFonts w:ascii="Times New Roman" w:hAnsi="Times New Roman" w:cs="Times New Roman"/>
        </w:rPr>
      </w:pPr>
    </w:p>
    <w:p w:rsidR="00EE37B7" w:rsidRPr="000D1F63" w:rsidRDefault="00EE37B7" w:rsidP="00EE37B7">
      <w:pPr>
        <w:pStyle w:val="ParaTab1"/>
        <w:ind w:left="1440" w:right="1440" w:firstLine="0"/>
        <w:rPr>
          <w:rFonts w:ascii="Times New Roman" w:hAnsi="Times New Roman" w:cs="Times New Roman"/>
        </w:rPr>
      </w:pPr>
      <w:r w:rsidRPr="000D1F63">
        <w:rPr>
          <w:rFonts w:ascii="Times New Roman" w:hAnsi="Times New Roman" w:cs="Times New Roman"/>
        </w:rPr>
        <w:t>Q.</w:t>
      </w:r>
      <w:r w:rsidRPr="000D1F63">
        <w:rPr>
          <w:rFonts w:ascii="Times New Roman" w:hAnsi="Times New Roman" w:cs="Times New Roman"/>
        </w:rPr>
        <w:tab/>
        <w:t>When you entered into this agreement, did you realize it was a variable rate service agreement?</w:t>
      </w:r>
    </w:p>
    <w:p w:rsidR="00EE37B7" w:rsidRPr="000D1F63" w:rsidRDefault="00EE37B7" w:rsidP="00EE37B7">
      <w:pPr>
        <w:pStyle w:val="ParaTab1"/>
        <w:ind w:left="1440" w:right="1440" w:firstLine="0"/>
        <w:rPr>
          <w:rFonts w:ascii="Times New Roman" w:hAnsi="Times New Roman" w:cs="Times New Roman"/>
        </w:rPr>
      </w:pPr>
    </w:p>
    <w:p w:rsidR="00EE37B7" w:rsidRPr="000D1F63" w:rsidRDefault="00EE37B7" w:rsidP="00EE37B7">
      <w:pPr>
        <w:pStyle w:val="ParaTab1"/>
        <w:ind w:left="1440" w:right="1440" w:firstLine="0"/>
        <w:rPr>
          <w:rFonts w:ascii="Times New Roman" w:hAnsi="Times New Roman" w:cs="Times New Roman"/>
        </w:rPr>
      </w:pPr>
      <w:r w:rsidRPr="000D1F63">
        <w:rPr>
          <w:rFonts w:ascii="Times New Roman" w:hAnsi="Times New Roman" w:cs="Times New Roman"/>
        </w:rPr>
        <w:t>A.</w:t>
      </w:r>
      <w:r w:rsidRPr="000D1F63">
        <w:rPr>
          <w:rFonts w:ascii="Times New Roman" w:hAnsi="Times New Roman" w:cs="Times New Roman"/>
        </w:rPr>
        <w:tab/>
        <w:t>I did.</w:t>
      </w:r>
    </w:p>
    <w:p w:rsidR="00EE37B7" w:rsidRPr="000D1F63" w:rsidRDefault="00EE37B7" w:rsidP="00EE37B7">
      <w:pPr>
        <w:pStyle w:val="ParaTab1"/>
        <w:ind w:left="1440" w:right="1440" w:firstLine="0"/>
        <w:rPr>
          <w:rFonts w:ascii="Times New Roman" w:hAnsi="Times New Roman" w:cs="Times New Roman"/>
        </w:rPr>
      </w:pPr>
    </w:p>
    <w:p w:rsidR="00EE37B7" w:rsidRPr="000D1F63" w:rsidRDefault="00EE37B7" w:rsidP="00EE37B7">
      <w:pPr>
        <w:pStyle w:val="ParaTab1"/>
        <w:ind w:left="1440" w:right="1440" w:firstLine="0"/>
        <w:rPr>
          <w:rFonts w:ascii="Times New Roman" w:hAnsi="Times New Roman" w:cs="Times New Roman"/>
        </w:rPr>
      </w:pPr>
      <w:r w:rsidRPr="000D1F63">
        <w:rPr>
          <w:rFonts w:ascii="Times New Roman" w:hAnsi="Times New Roman" w:cs="Times New Roman"/>
        </w:rPr>
        <w:t>Q.</w:t>
      </w:r>
      <w:r w:rsidRPr="000D1F63">
        <w:rPr>
          <w:rFonts w:ascii="Times New Roman" w:hAnsi="Times New Roman" w:cs="Times New Roman"/>
        </w:rPr>
        <w:tab/>
        <w:t>And under the contract, your understanding, your variable rate would be based upon what?</w:t>
      </w:r>
    </w:p>
    <w:p w:rsidR="00EE37B7" w:rsidRPr="000D1F63" w:rsidRDefault="00EE37B7" w:rsidP="00EE37B7">
      <w:pPr>
        <w:pStyle w:val="ParaTab1"/>
        <w:ind w:left="1440" w:right="1440" w:firstLine="0"/>
        <w:rPr>
          <w:rFonts w:ascii="Times New Roman" w:hAnsi="Times New Roman" w:cs="Times New Roman"/>
        </w:rPr>
      </w:pPr>
    </w:p>
    <w:p w:rsidR="00EE37B7" w:rsidRPr="000D1F63" w:rsidRDefault="00EE37B7" w:rsidP="00EE37B7">
      <w:pPr>
        <w:pStyle w:val="ParaTab1"/>
        <w:ind w:left="1440" w:right="1440" w:firstLine="0"/>
        <w:rPr>
          <w:rFonts w:ascii="Times New Roman" w:hAnsi="Times New Roman" w:cs="Times New Roman"/>
        </w:rPr>
      </w:pPr>
      <w:r w:rsidRPr="000D1F63">
        <w:rPr>
          <w:rFonts w:ascii="Times New Roman" w:hAnsi="Times New Roman" w:cs="Times New Roman"/>
        </w:rPr>
        <w:t>A.</w:t>
      </w:r>
      <w:r w:rsidRPr="000D1F63">
        <w:rPr>
          <w:rFonts w:ascii="Times New Roman" w:hAnsi="Times New Roman" w:cs="Times New Roman"/>
        </w:rPr>
        <w:tab/>
        <w:t>It says, “Your variable rate will be based upon PJM wholesale market conditions.”</w:t>
      </w:r>
    </w:p>
    <w:p w:rsidR="00EE37B7" w:rsidRPr="000D1F63" w:rsidRDefault="00EE37B7" w:rsidP="00EE37B7">
      <w:pPr>
        <w:pStyle w:val="ParaTab1"/>
        <w:ind w:left="1440" w:right="1440" w:firstLine="0"/>
        <w:rPr>
          <w:rFonts w:ascii="Times New Roman" w:hAnsi="Times New Roman" w:cs="Times New Roman"/>
        </w:rPr>
      </w:pPr>
    </w:p>
    <w:p w:rsidR="00AA2854" w:rsidRPr="000D1F63" w:rsidRDefault="007C3592" w:rsidP="00EE37B7">
      <w:pPr>
        <w:pStyle w:val="ParaTab1"/>
        <w:spacing w:line="360" w:lineRule="auto"/>
        <w:ind w:left="90" w:firstLine="0"/>
        <w:rPr>
          <w:rFonts w:ascii="Times New Roman" w:hAnsi="Times New Roman" w:cs="Times New Roman"/>
        </w:rPr>
      </w:pPr>
      <w:r w:rsidRPr="000D1F63">
        <w:rPr>
          <w:rFonts w:ascii="Times New Roman" w:hAnsi="Times New Roman" w:cs="Times New Roman"/>
        </w:rPr>
        <w:t>Tr. 13-14</w:t>
      </w:r>
      <w:r w:rsidR="00EE37B7" w:rsidRPr="000D1F63">
        <w:rPr>
          <w:rFonts w:ascii="Times New Roman" w:hAnsi="Times New Roman" w:cs="Times New Roman"/>
        </w:rPr>
        <w:t xml:space="preserve">; </w:t>
      </w:r>
      <w:r w:rsidR="00EE37B7" w:rsidRPr="000D1F63">
        <w:rPr>
          <w:rFonts w:ascii="Times New Roman" w:hAnsi="Times New Roman" w:cs="Times New Roman"/>
          <w:i/>
        </w:rPr>
        <w:t>see also</w:t>
      </w:r>
      <w:r w:rsidR="00CD12CF" w:rsidRPr="000D1F63">
        <w:rPr>
          <w:rFonts w:ascii="Times New Roman" w:hAnsi="Times New Roman" w:cs="Times New Roman"/>
        </w:rPr>
        <w:t xml:space="preserve">, </w:t>
      </w:r>
      <w:r w:rsidR="00EE37B7" w:rsidRPr="000D1F63">
        <w:rPr>
          <w:rFonts w:ascii="Times New Roman" w:hAnsi="Times New Roman" w:cs="Times New Roman"/>
        </w:rPr>
        <w:t xml:space="preserve">Tr. </w:t>
      </w:r>
      <w:r w:rsidR="00CD12CF" w:rsidRPr="000D1F63">
        <w:rPr>
          <w:rFonts w:ascii="Times New Roman" w:hAnsi="Times New Roman" w:cs="Times New Roman"/>
        </w:rPr>
        <w:t>24-25</w:t>
      </w:r>
      <w:r w:rsidRPr="000D1F63">
        <w:rPr>
          <w:rFonts w:ascii="Times New Roman" w:hAnsi="Times New Roman" w:cs="Times New Roman"/>
        </w:rPr>
        <w:t xml:space="preserve">.  </w:t>
      </w:r>
      <w:r w:rsidR="00CD12CF" w:rsidRPr="000D1F63">
        <w:rPr>
          <w:rFonts w:ascii="Times New Roman" w:hAnsi="Times New Roman" w:cs="Times New Roman"/>
        </w:rPr>
        <w:t xml:space="preserve">During the hearing, however, Blue Pilot did not present any witness or exhibit in support of its interpretation of the </w:t>
      </w:r>
      <w:r w:rsidR="003E2957" w:rsidRPr="000D1F63">
        <w:rPr>
          <w:rFonts w:ascii="Times New Roman" w:hAnsi="Times New Roman" w:cs="Times New Roman"/>
        </w:rPr>
        <w:t xml:space="preserve">terms in the </w:t>
      </w:r>
      <w:r w:rsidR="00EE37B7" w:rsidRPr="000D1F63">
        <w:rPr>
          <w:rFonts w:ascii="Times New Roman" w:hAnsi="Times New Roman" w:cs="Times New Roman"/>
        </w:rPr>
        <w:t>Service Agreement</w:t>
      </w:r>
      <w:r w:rsidR="003E2957" w:rsidRPr="000D1F63">
        <w:rPr>
          <w:rFonts w:ascii="Times New Roman" w:hAnsi="Times New Roman" w:cs="Times New Roman"/>
        </w:rPr>
        <w:t xml:space="preserve"> by which Enrico’s rate would vary</w:t>
      </w:r>
      <w:r w:rsidR="00CD12CF" w:rsidRPr="000D1F63">
        <w:rPr>
          <w:rFonts w:ascii="Times New Roman" w:hAnsi="Times New Roman" w:cs="Times New Roman"/>
        </w:rPr>
        <w:t xml:space="preserve">.  In its Brief, </w:t>
      </w:r>
      <w:r w:rsidRPr="000D1F63">
        <w:rPr>
          <w:rFonts w:ascii="Times New Roman" w:hAnsi="Times New Roman" w:cs="Times New Roman"/>
        </w:rPr>
        <w:t xml:space="preserve">Blue Pilot </w:t>
      </w:r>
      <w:r w:rsidR="00AA2854" w:rsidRPr="000D1F63">
        <w:rPr>
          <w:rFonts w:ascii="Times New Roman" w:hAnsi="Times New Roman" w:cs="Times New Roman"/>
        </w:rPr>
        <w:t>argued that “the clear terms and conditions of the contract allowed Blue Pilot to vary the prices for electric generation service on a monthly basis to reflect various factors, including changes in the wholesale market.”  Blue</w:t>
      </w:r>
      <w:r w:rsidR="00B730CF">
        <w:rPr>
          <w:rFonts w:ascii="Times New Roman" w:hAnsi="Times New Roman" w:cs="Times New Roman"/>
        </w:rPr>
        <w:t> </w:t>
      </w:r>
      <w:r w:rsidR="00AA2854" w:rsidRPr="000D1F63">
        <w:rPr>
          <w:rFonts w:ascii="Times New Roman" w:hAnsi="Times New Roman" w:cs="Times New Roman"/>
        </w:rPr>
        <w:t>Pilot M.B. at 3</w:t>
      </w:r>
      <w:r w:rsidR="00641D14" w:rsidRPr="000D1F63">
        <w:rPr>
          <w:rFonts w:ascii="Times New Roman" w:hAnsi="Times New Roman" w:cs="Times New Roman"/>
        </w:rPr>
        <w:t xml:space="preserve">; </w:t>
      </w:r>
      <w:r w:rsidR="00641D14" w:rsidRPr="000D1F63">
        <w:rPr>
          <w:rFonts w:ascii="Times New Roman" w:hAnsi="Times New Roman" w:cs="Times New Roman"/>
          <w:i/>
        </w:rPr>
        <w:t>see also</w:t>
      </w:r>
      <w:r w:rsidR="00641D14" w:rsidRPr="000D1F63">
        <w:rPr>
          <w:rFonts w:ascii="Times New Roman" w:hAnsi="Times New Roman" w:cs="Times New Roman"/>
        </w:rPr>
        <w:t>, Blue Pilot M.B. at 6</w:t>
      </w:r>
      <w:r w:rsidR="006B767A" w:rsidRPr="000D1F63">
        <w:rPr>
          <w:rFonts w:ascii="Times New Roman" w:hAnsi="Times New Roman" w:cs="Times New Roman"/>
        </w:rPr>
        <w:t xml:space="preserve"> (“In any event, the terms of the Complainant’s contract were clear.”)</w:t>
      </w:r>
      <w:r w:rsidR="00CD12CF" w:rsidRPr="000D1F63">
        <w:rPr>
          <w:rFonts w:ascii="Times New Roman" w:hAnsi="Times New Roman" w:cs="Times New Roman"/>
        </w:rPr>
        <w:t>.</w:t>
      </w:r>
    </w:p>
    <w:p w:rsidR="00AA2854" w:rsidRPr="000D1F63" w:rsidRDefault="00AA2854" w:rsidP="00EE37B7">
      <w:pPr>
        <w:pStyle w:val="ParaTab1"/>
        <w:spacing w:line="360" w:lineRule="auto"/>
        <w:ind w:left="90" w:firstLine="0"/>
        <w:rPr>
          <w:rFonts w:ascii="Times New Roman" w:hAnsi="Times New Roman" w:cs="Times New Roman"/>
        </w:rPr>
      </w:pPr>
    </w:p>
    <w:p w:rsidR="00E3161E" w:rsidRPr="000D1F63" w:rsidRDefault="00AA2854" w:rsidP="00FE479B">
      <w:pPr>
        <w:pStyle w:val="ParaTab1"/>
        <w:spacing w:line="360" w:lineRule="auto"/>
        <w:ind w:left="90" w:firstLine="0"/>
        <w:rPr>
          <w:rFonts w:ascii="Times New Roman" w:hAnsi="Times New Roman" w:cs="Times New Roman"/>
        </w:rPr>
      </w:pPr>
      <w:r w:rsidRPr="000D1F63">
        <w:rPr>
          <w:rFonts w:ascii="Times New Roman" w:hAnsi="Times New Roman" w:cs="Times New Roman"/>
        </w:rPr>
        <w:tab/>
      </w:r>
      <w:r w:rsidRPr="000D1F63">
        <w:rPr>
          <w:rFonts w:ascii="Times New Roman" w:hAnsi="Times New Roman" w:cs="Times New Roman"/>
        </w:rPr>
        <w:tab/>
      </w:r>
      <w:r w:rsidR="00663419" w:rsidRPr="000D1F63">
        <w:rPr>
          <w:rFonts w:ascii="Times New Roman" w:hAnsi="Times New Roman" w:cs="Times New Roman"/>
        </w:rPr>
        <w:t xml:space="preserve">Yet, </w:t>
      </w:r>
      <w:r w:rsidRPr="000D1F63">
        <w:rPr>
          <w:rFonts w:ascii="Times New Roman" w:hAnsi="Times New Roman" w:cs="Times New Roman"/>
        </w:rPr>
        <w:t>Blue Pilot</w:t>
      </w:r>
      <w:r w:rsidR="00663419" w:rsidRPr="000D1F63">
        <w:rPr>
          <w:rFonts w:ascii="Times New Roman" w:hAnsi="Times New Roman" w:cs="Times New Roman"/>
        </w:rPr>
        <w:t xml:space="preserve"> </w:t>
      </w:r>
      <w:r w:rsidRPr="000D1F63">
        <w:rPr>
          <w:rFonts w:ascii="Times New Roman" w:hAnsi="Times New Roman" w:cs="Times New Roman"/>
        </w:rPr>
        <w:t>failed to present any evidence during the hearing to support its assertion in its Main Brief that the terms and conditions of the Service Agreement are clear.</w:t>
      </w:r>
      <w:r w:rsidR="00FE479B" w:rsidRPr="000D1F63">
        <w:rPr>
          <w:rFonts w:ascii="Times New Roman" w:hAnsi="Times New Roman" w:cs="Times New Roman"/>
        </w:rPr>
        <w:t xml:space="preserve">  </w:t>
      </w:r>
      <w:r w:rsidR="00641D14" w:rsidRPr="000D1F63">
        <w:rPr>
          <w:rFonts w:ascii="Times New Roman" w:hAnsi="Times New Roman" w:cs="Times New Roman"/>
        </w:rPr>
        <w:t xml:space="preserve">Blue Pilot </w:t>
      </w:r>
      <w:r w:rsidR="00FE479B" w:rsidRPr="000D1F63">
        <w:rPr>
          <w:rFonts w:ascii="Times New Roman" w:hAnsi="Times New Roman" w:cs="Times New Roman"/>
        </w:rPr>
        <w:t xml:space="preserve">failed to </w:t>
      </w:r>
      <w:r w:rsidR="00641D14" w:rsidRPr="000D1F63">
        <w:rPr>
          <w:rFonts w:ascii="Times New Roman" w:hAnsi="Times New Roman" w:cs="Times New Roman"/>
        </w:rPr>
        <w:t xml:space="preserve">cite to any evidence or </w:t>
      </w:r>
      <w:r w:rsidR="00FE479B" w:rsidRPr="000D1F63">
        <w:rPr>
          <w:rFonts w:ascii="Times New Roman" w:hAnsi="Times New Roman" w:cs="Times New Roman"/>
        </w:rPr>
        <w:t xml:space="preserve">make any </w:t>
      </w:r>
      <w:r w:rsidR="00641D14" w:rsidRPr="000D1F63">
        <w:rPr>
          <w:rFonts w:ascii="Times New Roman" w:hAnsi="Times New Roman" w:cs="Times New Roman"/>
        </w:rPr>
        <w:t xml:space="preserve">other </w:t>
      </w:r>
      <w:r w:rsidR="00FE479B" w:rsidRPr="000D1F63">
        <w:rPr>
          <w:rFonts w:ascii="Times New Roman" w:hAnsi="Times New Roman" w:cs="Times New Roman"/>
        </w:rPr>
        <w:t>argument with regard to the clarity or plain language used in the Disclosure Statement</w:t>
      </w:r>
      <w:r w:rsidR="00641D14" w:rsidRPr="000D1F63">
        <w:rPr>
          <w:rFonts w:ascii="Times New Roman" w:hAnsi="Times New Roman" w:cs="Times New Roman"/>
        </w:rPr>
        <w:t xml:space="preserve">, other than to reiterate </w:t>
      </w:r>
      <w:r w:rsidR="00663419" w:rsidRPr="000D1F63">
        <w:rPr>
          <w:rFonts w:ascii="Times New Roman" w:hAnsi="Times New Roman" w:cs="Times New Roman"/>
        </w:rPr>
        <w:t xml:space="preserve">in its Brief </w:t>
      </w:r>
      <w:r w:rsidR="00641D14" w:rsidRPr="000D1F63">
        <w:rPr>
          <w:rFonts w:ascii="Times New Roman" w:hAnsi="Times New Roman" w:cs="Times New Roman"/>
        </w:rPr>
        <w:t xml:space="preserve">that “the rate could vary each month to reflect various factors, including wholesale energy prices, and had no ceiling on the extent to which prices could increase.”  </w:t>
      </w:r>
      <w:r w:rsidR="00641D14" w:rsidRPr="000D1F63">
        <w:rPr>
          <w:rFonts w:ascii="Times New Roman" w:hAnsi="Times New Roman" w:cs="Times New Roman"/>
          <w:u w:val="single"/>
        </w:rPr>
        <w:t>Id.</w:t>
      </w:r>
      <w:r w:rsidR="00641D14" w:rsidRPr="000D1F63">
        <w:rPr>
          <w:rFonts w:ascii="Times New Roman" w:hAnsi="Times New Roman" w:cs="Times New Roman"/>
        </w:rPr>
        <w:t xml:space="preserve">  Blue Pilot could have presented evidence, for </w:t>
      </w:r>
      <w:r w:rsidR="003E2957" w:rsidRPr="000D1F63">
        <w:rPr>
          <w:rFonts w:ascii="Times New Roman" w:hAnsi="Times New Roman" w:cs="Times New Roman"/>
        </w:rPr>
        <w:t>example, that no other complai</w:t>
      </w:r>
      <w:r w:rsidR="00641D14" w:rsidRPr="000D1F63">
        <w:rPr>
          <w:rFonts w:ascii="Times New Roman" w:hAnsi="Times New Roman" w:cs="Times New Roman"/>
        </w:rPr>
        <w:t xml:space="preserve">nts regarding the clarity of the Disclosure Agreement </w:t>
      </w:r>
      <w:r w:rsidR="006B767A" w:rsidRPr="000D1F63">
        <w:rPr>
          <w:rFonts w:ascii="Times New Roman" w:hAnsi="Times New Roman" w:cs="Times New Roman"/>
        </w:rPr>
        <w:t xml:space="preserve">have been </w:t>
      </w:r>
      <w:r w:rsidR="00641D14" w:rsidRPr="000D1F63">
        <w:rPr>
          <w:rFonts w:ascii="Times New Roman" w:hAnsi="Times New Roman" w:cs="Times New Roman"/>
        </w:rPr>
        <w:t>filed.  Blue Pilot also could have presented evidence from an expert in plain language in support of its position that the Disclosure Statement was clear and unambiguous.</w:t>
      </w:r>
      <w:r w:rsidR="00916AEC" w:rsidRPr="000D1F63">
        <w:rPr>
          <w:rFonts w:ascii="Times New Roman" w:hAnsi="Times New Roman" w:cs="Times New Roman"/>
        </w:rPr>
        <w:t xml:space="preserve">  Instead, Blue Pilot</w:t>
      </w:r>
      <w:r w:rsidR="00641D14" w:rsidRPr="000D1F63">
        <w:rPr>
          <w:rFonts w:ascii="Times New Roman" w:hAnsi="Times New Roman" w:cs="Times New Roman"/>
        </w:rPr>
        <w:t xml:space="preserve"> presented no witnesses and sought the admission of no exhibits to counter Enrico’s argument</w:t>
      </w:r>
      <w:r w:rsidR="00663419" w:rsidRPr="000D1F63">
        <w:rPr>
          <w:rFonts w:ascii="Times New Roman" w:hAnsi="Times New Roman" w:cs="Times New Roman"/>
        </w:rPr>
        <w:t xml:space="preserve">.  In </w:t>
      </w:r>
      <w:r w:rsidR="00641D14" w:rsidRPr="000D1F63">
        <w:rPr>
          <w:rFonts w:ascii="Times New Roman" w:hAnsi="Times New Roman" w:cs="Times New Roman"/>
        </w:rPr>
        <w:t>it</w:t>
      </w:r>
      <w:r w:rsidR="00916AEC" w:rsidRPr="000D1F63">
        <w:rPr>
          <w:rFonts w:ascii="Times New Roman" w:hAnsi="Times New Roman" w:cs="Times New Roman"/>
        </w:rPr>
        <w:t>s Main Brief</w:t>
      </w:r>
      <w:r w:rsidR="00663419" w:rsidRPr="000D1F63">
        <w:rPr>
          <w:rFonts w:ascii="Times New Roman" w:hAnsi="Times New Roman" w:cs="Times New Roman"/>
        </w:rPr>
        <w:t xml:space="preserve">, Blue Pilot focused its argument on whether </w:t>
      </w:r>
      <w:r w:rsidR="00916AEC" w:rsidRPr="000D1F63">
        <w:rPr>
          <w:rFonts w:ascii="Times New Roman" w:hAnsi="Times New Roman" w:cs="Times New Roman"/>
        </w:rPr>
        <w:t xml:space="preserve">the Commission </w:t>
      </w:r>
      <w:r w:rsidR="00663419" w:rsidRPr="000D1F63">
        <w:rPr>
          <w:rFonts w:ascii="Times New Roman" w:hAnsi="Times New Roman" w:cs="Times New Roman"/>
        </w:rPr>
        <w:t xml:space="preserve">has </w:t>
      </w:r>
      <w:r w:rsidR="00916AEC" w:rsidRPr="000D1F63">
        <w:rPr>
          <w:rFonts w:ascii="Times New Roman" w:hAnsi="Times New Roman" w:cs="Times New Roman"/>
        </w:rPr>
        <w:t>jurisdiction to regulate prices charged by EGSs, interpret a contract between an EGS and its customer or direct Blue Pilot to issue a refund.  Blue Pilot made these arguments despite the direction during the hearing that the parties should brief their entire case, no</w:t>
      </w:r>
      <w:r w:rsidR="00641D14" w:rsidRPr="000D1F63">
        <w:rPr>
          <w:rFonts w:ascii="Times New Roman" w:hAnsi="Times New Roman" w:cs="Times New Roman"/>
        </w:rPr>
        <w:t xml:space="preserve">t just </w:t>
      </w:r>
      <w:r w:rsidR="00C71DC1" w:rsidRPr="000D1F63">
        <w:rPr>
          <w:rFonts w:ascii="Times New Roman" w:hAnsi="Times New Roman" w:cs="Times New Roman"/>
        </w:rPr>
        <w:t xml:space="preserve">positions pertaining to the Commission’s </w:t>
      </w:r>
      <w:r w:rsidR="00641D14" w:rsidRPr="000D1F63">
        <w:rPr>
          <w:rFonts w:ascii="Times New Roman" w:hAnsi="Times New Roman" w:cs="Times New Roman"/>
        </w:rPr>
        <w:t>jurisdiction.  Tr. 31.</w:t>
      </w:r>
    </w:p>
    <w:p w:rsidR="00E3161E" w:rsidRPr="000D1F63" w:rsidRDefault="00E3161E" w:rsidP="00FE479B">
      <w:pPr>
        <w:pStyle w:val="ParaTab1"/>
        <w:spacing w:line="360" w:lineRule="auto"/>
        <w:ind w:left="90" w:firstLine="0"/>
        <w:rPr>
          <w:rFonts w:ascii="Times New Roman" w:hAnsi="Times New Roman" w:cs="Times New Roman"/>
        </w:rPr>
      </w:pPr>
    </w:p>
    <w:p w:rsidR="0093475E" w:rsidRDefault="00E3161E" w:rsidP="00FE479B">
      <w:pPr>
        <w:pStyle w:val="ParaTab1"/>
        <w:spacing w:line="360" w:lineRule="auto"/>
        <w:ind w:left="90" w:firstLine="0"/>
        <w:rPr>
          <w:rFonts w:ascii="Times New Roman" w:eastAsiaTheme="minorEastAsia" w:hAnsi="Times New Roman" w:cs="Times New Roman"/>
        </w:rPr>
        <w:sectPr w:rsidR="0093475E" w:rsidSect="0093475E">
          <w:pgSz w:w="12240" w:h="15840"/>
          <w:pgMar w:top="1296" w:right="1440" w:bottom="1296" w:left="1440" w:header="720" w:footer="720" w:gutter="0"/>
          <w:cols w:space="720"/>
          <w:docGrid w:linePitch="360"/>
        </w:sectPr>
      </w:pPr>
      <w:r w:rsidRPr="000D1F63">
        <w:rPr>
          <w:rFonts w:ascii="Times New Roman" w:hAnsi="Times New Roman" w:cs="Times New Roman"/>
        </w:rPr>
        <w:tab/>
      </w:r>
      <w:r w:rsidRPr="000D1F63">
        <w:rPr>
          <w:rFonts w:ascii="Times New Roman" w:hAnsi="Times New Roman" w:cs="Times New Roman"/>
        </w:rPr>
        <w:tab/>
      </w:r>
      <w:r w:rsidR="00916AEC" w:rsidRPr="000D1F63">
        <w:rPr>
          <w:rFonts w:ascii="Times New Roman" w:hAnsi="Times New Roman" w:cs="Times New Roman"/>
        </w:rPr>
        <w:t xml:space="preserve">Blue Pilot argued: “At the heart of the Complaint is the Complainant’s displeasure with the amount by which Blue Pilot increased his variable rates and its desire to avoid paying those charges.”  Blue Pilot M.B. at 3.  In fact, </w:t>
      </w:r>
      <w:r w:rsidR="00663419" w:rsidRPr="000D1F63">
        <w:rPr>
          <w:rFonts w:ascii="Times New Roman" w:hAnsi="Times New Roman" w:cs="Times New Roman"/>
        </w:rPr>
        <w:t xml:space="preserve">however, </w:t>
      </w:r>
      <w:r w:rsidR="00916AEC" w:rsidRPr="000D1F63">
        <w:rPr>
          <w:rFonts w:ascii="Times New Roman" w:hAnsi="Times New Roman" w:cs="Times New Roman"/>
        </w:rPr>
        <w:t>the “heart of the complaint” is whether Blue Pilot’s Disclosure Statement complies wi</w:t>
      </w:r>
      <w:r w:rsidR="00641D14" w:rsidRPr="000D1F63">
        <w:rPr>
          <w:rFonts w:ascii="Times New Roman" w:hAnsi="Times New Roman" w:cs="Times New Roman"/>
        </w:rPr>
        <w:t xml:space="preserve">th all Commission regulations.  Blue Pilot presented no evidence on this issue.  As noted above, </w:t>
      </w:r>
      <w:r w:rsidRPr="000D1F63">
        <w:rPr>
          <w:rFonts w:ascii="Times New Roman" w:eastAsiaTheme="minorEastAsia" w:hAnsi="Times New Roman" w:cs="Times New Roman"/>
        </w:rPr>
        <w:t xml:space="preserve">if a complainant establishes a </w:t>
      </w:r>
      <w:r w:rsidRPr="000D1F63">
        <w:rPr>
          <w:rFonts w:ascii="Times New Roman" w:eastAsiaTheme="minorEastAsia" w:hAnsi="Times New Roman" w:cs="Times New Roman"/>
          <w:i/>
        </w:rPr>
        <w:t xml:space="preserve">prima facie </w:t>
      </w:r>
      <w:r w:rsidRPr="000D1F63">
        <w:rPr>
          <w:rFonts w:ascii="Times New Roman" w:eastAsiaTheme="minorEastAsia" w:hAnsi="Times New Roman" w:cs="Times New Roman"/>
        </w:rPr>
        <w:t xml:space="preserve">case, the burden of going forward with the evidence shifts to the utility.  </w:t>
      </w:r>
      <w:r w:rsidRPr="000D1F63">
        <w:rPr>
          <w:rFonts w:ascii="Times New Roman" w:eastAsiaTheme="minorEastAsia" w:hAnsi="Times New Roman" w:cs="Times New Roman"/>
          <w:i/>
        </w:rPr>
        <w:t>See</w:t>
      </w:r>
      <w:r w:rsidRPr="000D1F63">
        <w:rPr>
          <w:rFonts w:ascii="Times New Roman" w:eastAsiaTheme="minorEastAsia" w:hAnsi="Times New Roman" w:cs="Times New Roman"/>
        </w:rPr>
        <w:t xml:space="preserve">, </w:t>
      </w:r>
      <w:r w:rsidRPr="000D1F63">
        <w:rPr>
          <w:rFonts w:ascii="Times New Roman" w:eastAsiaTheme="minorEastAsia" w:hAnsi="Times New Roman" w:cs="Times New Roman"/>
          <w:u w:val="single"/>
        </w:rPr>
        <w:t>Replogle</w:t>
      </w:r>
      <w:r w:rsidRPr="000D1F63">
        <w:rPr>
          <w:rFonts w:ascii="Times New Roman" w:eastAsiaTheme="minorEastAsia" w:hAnsi="Times New Roman" w:cs="Times New Roman"/>
        </w:rPr>
        <w:t xml:space="preserve">, </w:t>
      </w:r>
      <w:r w:rsidRPr="000D1F63">
        <w:rPr>
          <w:rFonts w:ascii="Times New Roman" w:eastAsiaTheme="minorEastAsia" w:hAnsi="Times New Roman" w:cs="Times New Roman"/>
          <w:i/>
        </w:rPr>
        <w:t>supra</w:t>
      </w:r>
      <w:r w:rsidRPr="000D1F63">
        <w:rPr>
          <w:rFonts w:ascii="Times New Roman" w:eastAsiaTheme="minorEastAsia" w:hAnsi="Times New Roman" w:cs="Times New Roman"/>
        </w:rPr>
        <w:t xml:space="preserve">.  If a utility does not rebut that evidence, the complainant will prevail.  </w:t>
      </w:r>
      <w:r w:rsidRPr="000D1F63">
        <w:rPr>
          <w:rFonts w:ascii="Times New Roman" w:eastAsiaTheme="minorEastAsia" w:hAnsi="Times New Roman" w:cs="Times New Roman"/>
          <w:u w:val="single"/>
        </w:rPr>
        <w:t>Id.</w:t>
      </w:r>
      <w:r w:rsidRPr="000D1F63">
        <w:rPr>
          <w:rFonts w:ascii="Times New Roman" w:eastAsiaTheme="minorEastAsia" w:hAnsi="Times New Roman" w:cs="Times New Roman"/>
        </w:rPr>
        <w:t xml:space="preserve">  Blue Pilot has failed to rebut the evidence presented by Enrico.</w:t>
      </w:r>
      <w:r w:rsidR="00663419" w:rsidRPr="000D1F63">
        <w:rPr>
          <w:rStyle w:val="FootnoteReference"/>
          <w:rFonts w:ascii="Times New Roman" w:hAnsi="Times New Roman" w:cs="Times New Roman"/>
        </w:rPr>
        <w:footnoteReference w:id="1"/>
      </w:r>
    </w:p>
    <w:p w:rsidR="004E3FE7" w:rsidRPr="000D1F63" w:rsidRDefault="00C71DC1" w:rsidP="004E3FE7">
      <w:pPr>
        <w:pStyle w:val="ParaTab1"/>
        <w:spacing w:line="360" w:lineRule="auto"/>
        <w:rPr>
          <w:rFonts w:ascii="Times New Roman" w:hAnsi="Times New Roman" w:cs="Times New Roman"/>
          <w:bCs/>
          <w:color w:val="000000"/>
        </w:rPr>
      </w:pPr>
      <w:r w:rsidRPr="000D1F63">
        <w:rPr>
          <w:rFonts w:ascii="Times New Roman" w:eastAsiaTheme="minorEastAsia" w:hAnsi="Times New Roman" w:cs="Times New Roman"/>
        </w:rPr>
        <w:t xml:space="preserve">Furthermore, </w:t>
      </w:r>
      <w:r w:rsidR="00E3161E" w:rsidRPr="000D1F63">
        <w:rPr>
          <w:rFonts w:ascii="Times New Roman" w:eastAsiaTheme="minorEastAsia" w:hAnsi="Times New Roman" w:cs="Times New Roman"/>
        </w:rPr>
        <w:t>Blue Pilot’s arguments in response to Enrico are without merit and must be rejected.  For example, d</w:t>
      </w:r>
      <w:r w:rsidR="006F4F28" w:rsidRPr="000D1F63">
        <w:rPr>
          <w:rFonts w:ascii="Times New Roman" w:hAnsi="Times New Roman" w:cs="Times New Roman"/>
          <w:bCs/>
          <w:color w:val="000000"/>
        </w:rPr>
        <w:t xml:space="preserve">uring the hearing, Blue Pilot cross examined Enrico witness Holtz regarding his knowledge of “the various factors that go into wholesale market prices.”  </w:t>
      </w:r>
      <w:r w:rsidR="00143B6B" w:rsidRPr="000D1F63">
        <w:rPr>
          <w:rFonts w:ascii="Times New Roman" w:hAnsi="Times New Roman" w:cs="Times New Roman"/>
          <w:bCs/>
          <w:color w:val="000000"/>
        </w:rPr>
        <w:t>Tr. </w:t>
      </w:r>
      <w:r w:rsidR="006F4F28" w:rsidRPr="000D1F63">
        <w:rPr>
          <w:rFonts w:ascii="Times New Roman" w:hAnsi="Times New Roman" w:cs="Times New Roman"/>
          <w:bCs/>
          <w:color w:val="000000"/>
        </w:rPr>
        <w:t>25.  Mr. Holtz’s knowledge of the various factors that go into the wholesale market prices does not negate the fact that paragraph 3 of the Service Agreement is not written using plain language and therefore in violation of the Commission’s regulations.</w:t>
      </w:r>
      <w:r w:rsidR="00F115CC" w:rsidRPr="000D1F63">
        <w:rPr>
          <w:rFonts w:ascii="Times New Roman" w:hAnsi="Times New Roman" w:cs="Times New Roman"/>
          <w:bCs/>
          <w:color w:val="000000"/>
        </w:rPr>
        <w:t xml:space="preserve">  </w:t>
      </w:r>
      <w:r w:rsidR="004E3FE7" w:rsidRPr="000D1F63">
        <w:rPr>
          <w:rFonts w:ascii="Times New Roman" w:hAnsi="Times New Roman" w:cs="Times New Roman"/>
          <w:bCs/>
          <w:color w:val="000000"/>
        </w:rPr>
        <w:t xml:space="preserve">Similarly, in its Brief, </w:t>
      </w:r>
      <w:r w:rsidR="001F756B" w:rsidRPr="000D1F63">
        <w:rPr>
          <w:rFonts w:ascii="Times New Roman" w:hAnsi="Times New Roman" w:cs="Times New Roman"/>
          <w:bCs/>
          <w:color w:val="000000"/>
        </w:rPr>
        <w:t xml:space="preserve">Blue Pilot argued that “asking the Commission to review a narrow subset of wholesale market prices and determine what a just and reasonable price should </w:t>
      </w:r>
      <w:r w:rsidR="003E2957" w:rsidRPr="000D1F63">
        <w:rPr>
          <w:rFonts w:ascii="Times New Roman" w:hAnsi="Times New Roman" w:cs="Times New Roman"/>
          <w:bCs/>
          <w:color w:val="000000"/>
        </w:rPr>
        <w:t xml:space="preserve">have </w:t>
      </w:r>
      <w:r w:rsidR="001F756B" w:rsidRPr="000D1F63">
        <w:rPr>
          <w:rFonts w:ascii="Times New Roman" w:hAnsi="Times New Roman" w:cs="Times New Roman"/>
          <w:bCs/>
          <w:color w:val="000000"/>
        </w:rPr>
        <w:t xml:space="preserve">been during the time period in question, the Complainant asks the Commission to go through an exercise that is well beyond its jurisdiction.”  Blue Pilot M.B. at 7.  </w:t>
      </w:r>
      <w:r w:rsidRPr="000D1F63">
        <w:rPr>
          <w:rFonts w:ascii="Times New Roman" w:hAnsi="Times New Roman" w:cs="Times New Roman"/>
          <w:bCs/>
          <w:color w:val="000000"/>
        </w:rPr>
        <w:t xml:space="preserve">But, </w:t>
      </w:r>
      <w:r w:rsidR="00663419" w:rsidRPr="000D1F63">
        <w:rPr>
          <w:rFonts w:ascii="Times New Roman" w:hAnsi="Times New Roman" w:cs="Times New Roman"/>
          <w:bCs/>
          <w:color w:val="000000"/>
        </w:rPr>
        <w:t xml:space="preserve">Enrico is not asking the Commission to set Blue Pilot’s rates or determine whether they were just and reasonable.  </w:t>
      </w:r>
      <w:r w:rsidR="001F756B" w:rsidRPr="000D1F63">
        <w:rPr>
          <w:rFonts w:ascii="Times New Roman" w:hAnsi="Times New Roman" w:cs="Times New Roman"/>
          <w:bCs/>
          <w:color w:val="000000"/>
        </w:rPr>
        <w:t>As noted above, this case is about whether Blue Pilot’s Disclosure Statement complies with Commission regulations</w:t>
      </w:r>
      <w:r w:rsidR="006B767A" w:rsidRPr="000D1F63">
        <w:rPr>
          <w:rFonts w:ascii="Times New Roman" w:hAnsi="Times New Roman" w:cs="Times New Roman"/>
          <w:bCs/>
          <w:color w:val="000000"/>
        </w:rPr>
        <w:t xml:space="preserve"> requiring plain language</w:t>
      </w:r>
      <w:r w:rsidR="001F756B" w:rsidRPr="000D1F63">
        <w:rPr>
          <w:rFonts w:ascii="Times New Roman" w:hAnsi="Times New Roman" w:cs="Times New Roman"/>
          <w:bCs/>
          <w:color w:val="000000"/>
        </w:rPr>
        <w:t>.  The Commission has the authority to ensure that EGSs “provide accurate information about their electric generation services using plain language,” among other things.</w:t>
      </w:r>
      <w:r w:rsidR="00663419" w:rsidRPr="000D1F63">
        <w:rPr>
          <w:rFonts w:ascii="Times New Roman" w:hAnsi="Times New Roman" w:cs="Times New Roman"/>
          <w:bCs/>
          <w:color w:val="000000"/>
        </w:rPr>
        <w:t xml:space="preserve">  </w:t>
      </w:r>
      <w:r w:rsidR="003E2957" w:rsidRPr="000D1F63">
        <w:rPr>
          <w:rFonts w:ascii="Times New Roman" w:hAnsi="Times New Roman" w:cs="Times New Roman"/>
          <w:bCs/>
          <w:color w:val="000000"/>
        </w:rPr>
        <w:t>52 Pa.C.S. §§ 54.43, 111.12</w:t>
      </w:r>
      <w:r w:rsidR="00CB0093">
        <w:rPr>
          <w:rFonts w:ascii="Times New Roman" w:hAnsi="Times New Roman" w:cs="Times New Roman"/>
          <w:bCs/>
          <w:color w:val="000000"/>
        </w:rPr>
        <w:t>(d)(5)</w:t>
      </w:r>
      <w:r w:rsidR="003E2957" w:rsidRPr="000D1F63">
        <w:rPr>
          <w:rFonts w:ascii="Times New Roman" w:hAnsi="Times New Roman" w:cs="Times New Roman"/>
          <w:bCs/>
          <w:color w:val="000000"/>
        </w:rPr>
        <w:t xml:space="preserve">. </w:t>
      </w:r>
      <w:r w:rsidR="00663419" w:rsidRPr="000D1F63">
        <w:rPr>
          <w:rFonts w:ascii="Times New Roman" w:hAnsi="Times New Roman" w:cs="Times New Roman"/>
          <w:bCs/>
          <w:color w:val="000000"/>
        </w:rPr>
        <w:t xml:space="preserve"> Record evidence demonstrates that Blue Pilot has failed to do so here.</w:t>
      </w:r>
    </w:p>
    <w:p w:rsidR="004E3FE7" w:rsidRPr="000D1F63" w:rsidRDefault="004E3FE7" w:rsidP="004E3FE7">
      <w:pPr>
        <w:pStyle w:val="ParaTab1"/>
        <w:spacing w:line="360" w:lineRule="auto"/>
        <w:rPr>
          <w:rFonts w:ascii="Times New Roman" w:hAnsi="Times New Roman" w:cs="Times New Roman"/>
          <w:bCs/>
          <w:color w:val="000000"/>
        </w:rPr>
      </w:pPr>
    </w:p>
    <w:p w:rsidR="00F71EEA" w:rsidRPr="000D1F63" w:rsidRDefault="00DF24DC" w:rsidP="004E3FE7">
      <w:pPr>
        <w:pStyle w:val="ParaTab1"/>
        <w:spacing w:line="360" w:lineRule="auto"/>
        <w:rPr>
          <w:rFonts w:ascii="Times New Roman" w:hAnsi="Times New Roman" w:cs="Times New Roman"/>
          <w:bCs/>
          <w:color w:val="000000"/>
        </w:rPr>
      </w:pPr>
      <w:r w:rsidRPr="000D1F63">
        <w:rPr>
          <w:rFonts w:ascii="Times New Roman" w:hAnsi="Times New Roman" w:cs="Times New Roman"/>
          <w:bCs/>
          <w:color w:val="000000"/>
        </w:rPr>
        <w:t>Blue Pilot’s arguments that the Commission does not have jurisdiction to regulate the prices charged by EGSs, interpret a contract between an EGS and its customer or direct an EGS to issue a refund</w:t>
      </w:r>
      <w:r w:rsidR="003A3DF7" w:rsidRPr="000D1F63">
        <w:rPr>
          <w:rFonts w:ascii="Times New Roman" w:hAnsi="Times New Roman" w:cs="Times New Roman"/>
          <w:bCs/>
          <w:color w:val="000000"/>
        </w:rPr>
        <w:t xml:space="preserve">, </w:t>
      </w:r>
      <w:r w:rsidR="003A3DF7" w:rsidRPr="000D1F63">
        <w:rPr>
          <w:rFonts w:ascii="Times New Roman" w:hAnsi="Times New Roman" w:cs="Times New Roman"/>
          <w:bCs/>
          <w:i/>
          <w:color w:val="000000"/>
        </w:rPr>
        <w:t>see</w:t>
      </w:r>
      <w:r w:rsidR="003A3DF7" w:rsidRPr="000D1F63">
        <w:rPr>
          <w:rFonts w:ascii="Times New Roman" w:hAnsi="Times New Roman" w:cs="Times New Roman"/>
          <w:bCs/>
          <w:color w:val="000000"/>
        </w:rPr>
        <w:t xml:space="preserve">, Blue Pilot M.B., </w:t>
      </w:r>
      <w:r w:rsidR="003A3DF7" w:rsidRPr="000D1F63">
        <w:rPr>
          <w:rFonts w:ascii="Times New Roman" w:hAnsi="Times New Roman" w:cs="Times New Roman"/>
          <w:bCs/>
          <w:i/>
          <w:color w:val="000000"/>
        </w:rPr>
        <w:t>passim</w:t>
      </w:r>
      <w:r w:rsidR="003A3DF7" w:rsidRPr="000D1F63">
        <w:rPr>
          <w:rFonts w:ascii="Times New Roman" w:hAnsi="Times New Roman" w:cs="Times New Roman"/>
          <w:bCs/>
          <w:color w:val="000000"/>
        </w:rPr>
        <w:t>,</w:t>
      </w:r>
      <w:r w:rsidRPr="000D1F63">
        <w:rPr>
          <w:rFonts w:ascii="Times New Roman" w:hAnsi="Times New Roman" w:cs="Times New Roman"/>
          <w:bCs/>
          <w:color w:val="000000"/>
        </w:rPr>
        <w:t xml:space="preserve"> do not negate the fact that its Disclosure Statement violates Commission regulations.</w:t>
      </w:r>
      <w:r w:rsidR="003A3DF7" w:rsidRPr="000D1F63">
        <w:rPr>
          <w:rFonts w:ascii="Times New Roman" w:hAnsi="Times New Roman" w:cs="Times New Roman"/>
          <w:bCs/>
          <w:color w:val="000000"/>
        </w:rPr>
        <w:t xml:space="preserve">  </w:t>
      </w:r>
      <w:r w:rsidR="00CC6988" w:rsidRPr="000D1F63">
        <w:rPr>
          <w:rFonts w:ascii="Times New Roman" w:hAnsi="Times New Roman" w:cs="Times New Roman"/>
          <w:bCs/>
          <w:color w:val="000000"/>
        </w:rPr>
        <w:t>Nor do errors in Enrico’s arguments regarding other issues</w:t>
      </w:r>
      <w:r w:rsidR="003E2957" w:rsidRPr="000D1F63">
        <w:rPr>
          <w:rFonts w:ascii="Times New Roman" w:hAnsi="Times New Roman" w:cs="Times New Roman"/>
          <w:bCs/>
          <w:color w:val="000000"/>
        </w:rPr>
        <w:t xml:space="preserve"> such as slamming or statements made by </w:t>
      </w:r>
      <w:r w:rsidR="00F71EEA" w:rsidRPr="000D1F63">
        <w:rPr>
          <w:rFonts w:ascii="Times New Roman" w:hAnsi="Times New Roman" w:cs="Times New Roman"/>
          <w:bCs/>
          <w:color w:val="000000"/>
        </w:rPr>
        <w:t xml:space="preserve">Blue Pilot’s sales agent </w:t>
      </w:r>
      <w:r w:rsidR="00CC6988" w:rsidRPr="000D1F63">
        <w:rPr>
          <w:rFonts w:ascii="Times New Roman" w:hAnsi="Times New Roman" w:cs="Times New Roman"/>
          <w:bCs/>
          <w:color w:val="000000"/>
        </w:rPr>
        <w:t>during the enrollment process.</w:t>
      </w:r>
      <w:r w:rsidR="00F71EEA" w:rsidRPr="000D1F63">
        <w:rPr>
          <w:rFonts w:ascii="Times New Roman" w:hAnsi="Times New Roman" w:cs="Times New Roman"/>
          <w:bCs/>
          <w:color w:val="000000"/>
        </w:rPr>
        <w:t xml:space="preserve">  These issues will be discussed separately below but do not undermine the determination that Blue Pilot’s Disclosure Statement does not use plain language as it is required to do.</w:t>
      </w:r>
    </w:p>
    <w:p w:rsidR="00F71EEA" w:rsidRPr="000D1F63" w:rsidRDefault="00F71EEA" w:rsidP="004E3FE7">
      <w:pPr>
        <w:pStyle w:val="ParaTab1"/>
        <w:spacing w:line="360" w:lineRule="auto"/>
        <w:rPr>
          <w:rFonts w:ascii="Times New Roman" w:hAnsi="Times New Roman" w:cs="Times New Roman"/>
          <w:bCs/>
          <w:color w:val="000000"/>
        </w:rPr>
      </w:pPr>
    </w:p>
    <w:p w:rsidR="0093475E" w:rsidRDefault="006B767A" w:rsidP="003E2957">
      <w:pPr>
        <w:pStyle w:val="ParaTab1"/>
        <w:spacing w:line="360" w:lineRule="auto"/>
        <w:ind w:left="90" w:firstLine="1350"/>
        <w:rPr>
          <w:rFonts w:ascii="Times New Roman" w:hAnsi="Times New Roman" w:cs="Times New Roman"/>
        </w:rPr>
        <w:sectPr w:rsidR="0093475E" w:rsidSect="0093475E">
          <w:pgSz w:w="12240" w:h="15840"/>
          <w:pgMar w:top="1440" w:right="1440" w:bottom="1440" w:left="1440" w:header="720" w:footer="720" w:gutter="0"/>
          <w:cols w:space="720"/>
          <w:docGrid w:linePitch="360"/>
        </w:sectPr>
      </w:pPr>
      <w:r w:rsidRPr="000D1F63">
        <w:rPr>
          <w:rFonts w:ascii="Times New Roman" w:hAnsi="Times New Roman" w:cs="Times New Roman"/>
        </w:rPr>
        <w:t>As such, p</w:t>
      </w:r>
      <w:r w:rsidR="00C617F6" w:rsidRPr="000D1F63">
        <w:rPr>
          <w:rFonts w:ascii="Times New Roman" w:hAnsi="Times New Roman" w:cs="Times New Roman"/>
        </w:rPr>
        <w:t>aragraph 3 of the Disclosure Statement is not clear, obvious or easily understood</w:t>
      </w:r>
      <w:r w:rsidR="00E158F6" w:rsidRPr="000D1F63">
        <w:rPr>
          <w:rFonts w:ascii="Times New Roman" w:hAnsi="Times New Roman" w:cs="Times New Roman"/>
        </w:rPr>
        <w:t xml:space="preserve">.  Rather, </w:t>
      </w:r>
      <w:r w:rsidR="006F0B60">
        <w:rPr>
          <w:rFonts w:ascii="Times New Roman" w:hAnsi="Times New Roman" w:cs="Times New Roman"/>
        </w:rPr>
        <w:t>p</w:t>
      </w:r>
      <w:r w:rsidR="00E158F6" w:rsidRPr="000D1F63">
        <w:rPr>
          <w:rFonts w:ascii="Times New Roman" w:hAnsi="Times New Roman" w:cs="Times New Roman"/>
        </w:rPr>
        <w:t>aragraph 3 of the Disclosure Statement is ambiguous</w:t>
      </w:r>
      <w:r w:rsidR="00C617F6" w:rsidRPr="000D1F63">
        <w:rPr>
          <w:rFonts w:ascii="Times New Roman" w:hAnsi="Times New Roman" w:cs="Times New Roman"/>
        </w:rPr>
        <w:t>.  Blue Pilot’s Disclosure Statement</w:t>
      </w:r>
      <w:r w:rsidRPr="000D1F63">
        <w:rPr>
          <w:rFonts w:ascii="Times New Roman" w:hAnsi="Times New Roman" w:cs="Times New Roman"/>
        </w:rPr>
        <w:t>, therefore,</w:t>
      </w:r>
      <w:r w:rsidR="00C617F6" w:rsidRPr="000D1F63">
        <w:rPr>
          <w:rFonts w:ascii="Times New Roman" w:hAnsi="Times New Roman" w:cs="Times New Roman"/>
        </w:rPr>
        <w:t xml:space="preserve"> violates Section</w:t>
      </w:r>
      <w:r w:rsidR="00E158F6" w:rsidRPr="000D1F63">
        <w:rPr>
          <w:rFonts w:ascii="Times New Roman" w:hAnsi="Times New Roman" w:cs="Times New Roman"/>
        </w:rPr>
        <w:t>s</w:t>
      </w:r>
      <w:r w:rsidR="00C617F6" w:rsidRPr="000D1F63">
        <w:rPr>
          <w:rFonts w:ascii="Times New Roman" w:hAnsi="Times New Roman" w:cs="Times New Roman"/>
        </w:rPr>
        <w:t xml:space="preserve"> 54.43 </w:t>
      </w:r>
      <w:r w:rsidR="00E158F6" w:rsidRPr="000D1F63">
        <w:rPr>
          <w:rFonts w:ascii="Times New Roman" w:hAnsi="Times New Roman" w:cs="Times New Roman"/>
        </w:rPr>
        <w:t>and 111.12</w:t>
      </w:r>
      <w:r w:rsidR="00CB0093">
        <w:rPr>
          <w:rFonts w:ascii="Times New Roman" w:hAnsi="Times New Roman" w:cs="Times New Roman"/>
          <w:bCs/>
          <w:color w:val="000000"/>
        </w:rPr>
        <w:t>(d)(5)</w:t>
      </w:r>
      <w:r w:rsidR="00E158F6" w:rsidRPr="000D1F63">
        <w:rPr>
          <w:rFonts w:ascii="Times New Roman" w:hAnsi="Times New Roman" w:cs="Times New Roman"/>
        </w:rPr>
        <w:t xml:space="preserve"> </w:t>
      </w:r>
      <w:r w:rsidR="00C617F6" w:rsidRPr="000D1F63">
        <w:rPr>
          <w:rFonts w:ascii="Times New Roman" w:hAnsi="Times New Roman" w:cs="Times New Roman"/>
        </w:rPr>
        <w:t>of the Commission’s regulations.</w:t>
      </w:r>
    </w:p>
    <w:p w:rsidR="000269FF" w:rsidRPr="000D1F63" w:rsidRDefault="000269FF" w:rsidP="000269FF">
      <w:pPr>
        <w:pStyle w:val="Style"/>
        <w:spacing w:line="360" w:lineRule="auto"/>
        <w:rPr>
          <w:b/>
          <w:bCs/>
          <w:color w:val="000000"/>
          <w:u w:val="single"/>
        </w:rPr>
      </w:pPr>
      <w:r w:rsidRPr="000D1F63">
        <w:rPr>
          <w:b/>
          <w:bCs/>
          <w:color w:val="000000"/>
          <w:u w:val="single"/>
        </w:rPr>
        <w:t>Enrico has not satisfied its burden to demonstrate that Blue Pilot</w:t>
      </w:r>
      <w:r w:rsidR="001F74D9" w:rsidRPr="000D1F63">
        <w:rPr>
          <w:b/>
          <w:bCs/>
          <w:color w:val="000000"/>
          <w:u w:val="single"/>
        </w:rPr>
        <w:t xml:space="preserve"> violated </w:t>
      </w:r>
      <w:r w:rsidR="00C3431A" w:rsidRPr="000D1F63">
        <w:rPr>
          <w:b/>
          <w:bCs/>
          <w:color w:val="000000"/>
          <w:u w:val="single"/>
        </w:rPr>
        <w:t xml:space="preserve">the Public Utility Code or </w:t>
      </w:r>
      <w:r w:rsidR="001F74D9" w:rsidRPr="000D1F63">
        <w:rPr>
          <w:b/>
          <w:bCs/>
          <w:color w:val="000000"/>
          <w:u w:val="single"/>
        </w:rPr>
        <w:t xml:space="preserve">any Commission </w:t>
      </w:r>
      <w:r w:rsidR="00C3431A" w:rsidRPr="000D1F63">
        <w:rPr>
          <w:b/>
          <w:bCs/>
          <w:color w:val="000000"/>
          <w:u w:val="single"/>
        </w:rPr>
        <w:t xml:space="preserve">Order or </w:t>
      </w:r>
      <w:r w:rsidR="001F74D9" w:rsidRPr="000D1F63">
        <w:rPr>
          <w:b/>
          <w:bCs/>
          <w:color w:val="000000"/>
          <w:u w:val="single"/>
        </w:rPr>
        <w:t>regulations</w:t>
      </w:r>
      <w:r w:rsidR="00C3431A" w:rsidRPr="000D1F63">
        <w:rPr>
          <w:b/>
          <w:bCs/>
          <w:color w:val="000000"/>
          <w:u w:val="single"/>
        </w:rPr>
        <w:t xml:space="preserve"> with regard to any other issue</w:t>
      </w:r>
    </w:p>
    <w:p w:rsidR="00CC6988" w:rsidRPr="000D1F63" w:rsidRDefault="00CC6988" w:rsidP="000269FF">
      <w:pPr>
        <w:pStyle w:val="Style"/>
        <w:spacing w:line="360" w:lineRule="auto"/>
        <w:rPr>
          <w:b/>
          <w:bCs/>
          <w:color w:val="000000"/>
          <w:u w:val="single"/>
        </w:rPr>
      </w:pPr>
    </w:p>
    <w:p w:rsidR="00251BF2" w:rsidRPr="000D1F63" w:rsidRDefault="00251BF2" w:rsidP="00251BF2">
      <w:pPr>
        <w:pStyle w:val="ParaTab1"/>
        <w:numPr>
          <w:ilvl w:val="0"/>
          <w:numId w:val="22"/>
        </w:numPr>
        <w:spacing w:line="360" w:lineRule="auto"/>
        <w:rPr>
          <w:rFonts w:ascii="Times New Roman" w:hAnsi="Times New Roman" w:cs="Times New Roman"/>
          <w:bCs/>
          <w:color w:val="000000"/>
          <w:u w:val="single"/>
        </w:rPr>
      </w:pPr>
      <w:r w:rsidRPr="000D1F63">
        <w:rPr>
          <w:rFonts w:ascii="Times New Roman" w:hAnsi="Times New Roman" w:cs="Times New Roman"/>
          <w:bCs/>
          <w:color w:val="000000"/>
          <w:u w:val="single"/>
        </w:rPr>
        <w:t>Introduction</w:t>
      </w:r>
    </w:p>
    <w:p w:rsidR="00251BF2" w:rsidRPr="000D1F63" w:rsidRDefault="00251BF2" w:rsidP="002B3224">
      <w:pPr>
        <w:pStyle w:val="ParaTab1"/>
        <w:spacing w:line="360" w:lineRule="auto"/>
        <w:rPr>
          <w:rFonts w:ascii="Times New Roman" w:hAnsi="Times New Roman" w:cs="Times New Roman"/>
          <w:bCs/>
          <w:color w:val="000000"/>
        </w:rPr>
      </w:pPr>
    </w:p>
    <w:p w:rsidR="001A4D61" w:rsidRPr="000D1F63" w:rsidRDefault="00B1615D" w:rsidP="002B3224">
      <w:pPr>
        <w:pStyle w:val="ParaTab1"/>
        <w:spacing w:line="360" w:lineRule="auto"/>
        <w:rPr>
          <w:rFonts w:ascii="Times New Roman" w:hAnsi="Times New Roman" w:cs="Times New Roman"/>
          <w:bCs/>
          <w:color w:val="000000"/>
        </w:rPr>
      </w:pPr>
      <w:r w:rsidRPr="000D1F63">
        <w:rPr>
          <w:rFonts w:ascii="Times New Roman" w:hAnsi="Times New Roman" w:cs="Times New Roman"/>
          <w:bCs/>
          <w:color w:val="000000"/>
        </w:rPr>
        <w:t xml:space="preserve">During the hearing and in its Briefs, Enrico also raised issues regarding </w:t>
      </w:r>
      <w:r w:rsidR="00C3431A" w:rsidRPr="000D1F63">
        <w:rPr>
          <w:rFonts w:ascii="Times New Roman" w:hAnsi="Times New Roman" w:cs="Times New Roman"/>
          <w:bCs/>
          <w:color w:val="000000"/>
        </w:rPr>
        <w:t xml:space="preserve">1) statements made to Enrico by Blue Pilot’s sales agent, 2) Enrico </w:t>
      </w:r>
      <w:r w:rsidR="00745A39" w:rsidRPr="000D1F63">
        <w:rPr>
          <w:rFonts w:ascii="Times New Roman" w:hAnsi="Times New Roman" w:cs="Times New Roman"/>
          <w:bCs/>
          <w:color w:val="000000"/>
        </w:rPr>
        <w:t xml:space="preserve">being </w:t>
      </w:r>
      <w:r w:rsidR="00C3431A" w:rsidRPr="000D1F63">
        <w:rPr>
          <w:rFonts w:ascii="Times New Roman" w:hAnsi="Times New Roman" w:cs="Times New Roman"/>
          <w:bCs/>
          <w:color w:val="000000"/>
        </w:rPr>
        <w:t xml:space="preserve">slammed by Blue Pilot and 3) </w:t>
      </w:r>
      <w:r w:rsidR="00745A39" w:rsidRPr="000D1F63">
        <w:rPr>
          <w:rFonts w:ascii="Times New Roman" w:hAnsi="Times New Roman" w:cs="Times New Roman"/>
          <w:bCs/>
          <w:color w:val="000000"/>
        </w:rPr>
        <w:t xml:space="preserve">Enrico never receiving </w:t>
      </w:r>
      <w:r w:rsidR="00C3431A" w:rsidRPr="000D1F63">
        <w:rPr>
          <w:rFonts w:ascii="Times New Roman" w:hAnsi="Times New Roman" w:cs="Times New Roman"/>
          <w:bCs/>
          <w:color w:val="000000"/>
        </w:rPr>
        <w:t>a Disclosure Statement from Blue Pilot as is required.  Blue Pilot responded to each of these arguments in its Brief.  For the reasons discussed below, Enrico has failed to satisfy its burden to demonstrate that Blue Pilot violated the Public Utility Code or any Commission Order or regulation with regard to these issues.  As such, Enrico’s arguments will be rejected.</w:t>
      </w:r>
    </w:p>
    <w:p w:rsidR="001A4D61" w:rsidRPr="000D1F63" w:rsidRDefault="001A4D61" w:rsidP="002B3224">
      <w:pPr>
        <w:pStyle w:val="ParaTab1"/>
        <w:spacing w:line="360" w:lineRule="auto"/>
        <w:rPr>
          <w:rFonts w:ascii="Times New Roman" w:hAnsi="Times New Roman" w:cs="Times New Roman"/>
          <w:bCs/>
          <w:color w:val="000000"/>
        </w:rPr>
      </w:pPr>
    </w:p>
    <w:p w:rsidR="00251BF2" w:rsidRPr="000D1F63" w:rsidRDefault="003E2957" w:rsidP="00251BF2">
      <w:pPr>
        <w:pStyle w:val="ParaTab1"/>
        <w:numPr>
          <w:ilvl w:val="0"/>
          <w:numId w:val="22"/>
        </w:numPr>
        <w:spacing w:line="360" w:lineRule="auto"/>
        <w:rPr>
          <w:rFonts w:ascii="Times New Roman" w:hAnsi="Times New Roman" w:cs="Times New Roman"/>
          <w:bCs/>
          <w:color w:val="000000"/>
          <w:u w:val="single"/>
        </w:rPr>
      </w:pPr>
      <w:r w:rsidRPr="000D1F63">
        <w:rPr>
          <w:rFonts w:ascii="Times New Roman" w:hAnsi="Times New Roman" w:cs="Times New Roman"/>
          <w:bCs/>
          <w:color w:val="000000"/>
          <w:u w:val="single"/>
        </w:rPr>
        <w:t>Statements made by Blue Pilot’s sales agent</w:t>
      </w:r>
    </w:p>
    <w:p w:rsidR="00251BF2" w:rsidRPr="000D1F63" w:rsidRDefault="00251BF2" w:rsidP="002B3224">
      <w:pPr>
        <w:pStyle w:val="ParaTab1"/>
        <w:spacing w:line="360" w:lineRule="auto"/>
        <w:rPr>
          <w:rFonts w:ascii="Times New Roman" w:hAnsi="Times New Roman" w:cs="Times New Roman"/>
          <w:bCs/>
          <w:color w:val="000000"/>
        </w:rPr>
      </w:pPr>
    </w:p>
    <w:p w:rsidR="00A912E1" w:rsidRPr="000D1F63" w:rsidRDefault="00251BF2" w:rsidP="002B3224">
      <w:pPr>
        <w:pStyle w:val="ParaTab1"/>
        <w:spacing w:line="360" w:lineRule="auto"/>
        <w:rPr>
          <w:rFonts w:ascii="Times New Roman" w:hAnsi="Times New Roman" w:cs="Times New Roman"/>
          <w:bCs/>
          <w:color w:val="000000"/>
        </w:rPr>
      </w:pPr>
      <w:r w:rsidRPr="000D1F63">
        <w:rPr>
          <w:rFonts w:ascii="Times New Roman" w:hAnsi="Times New Roman" w:cs="Times New Roman"/>
          <w:bCs/>
          <w:color w:val="000000"/>
        </w:rPr>
        <w:t>W</w:t>
      </w:r>
      <w:r w:rsidR="001A4D61" w:rsidRPr="000D1F63">
        <w:rPr>
          <w:rFonts w:ascii="Times New Roman" w:hAnsi="Times New Roman" w:cs="Times New Roman"/>
          <w:bCs/>
          <w:color w:val="000000"/>
        </w:rPr>
        <w:t xml:space="preserve">ith regard to Enrico’s claims that Blue Pilot’s sales agent made any false or misleading statement, </w:t>
      </w:r>
      <w:r w:rsidR="00A912E1" w:rsidRPr="000D1F63">
        <w:rPr>
          <w:rFonts w:ascii="Times New Roman" w:hAnsi="Times New Roman" w:cs="Times New Roman"/>
          <w:bCs/>
          <w:color w:val="000000"/>
        </w:rPr>
        <w:t xml:space="preserve">Enrico witness Holtz testified regarding his various conversations with a Blue Pilot sales agent.  Tr. 7-9.  In particular, Mr. Holtz testified that the Blue Pilot sales agent </w:t>
      </w:r>
      <w:r w:rsidR="003E2957" w:rsidRPr="000D1F63">
        <w:rPr>
          <w:rFonts w:ascii="Times New Roman" w:hAnsi="Times New Roman" w:cs="Times New Roman"/>
          <w:bCs/>
          <w:color w:val="000000"/>
        </w:rPr>
        <w:t xml:space="preserve">stated </w:t>
      </w:r>
      <w:r w:rsidR="00A912E1" w:rsidRPr="000D1F63">
        <w:rPr>
          <w:rFonts w:ascii="Times New Roman" w:hAnsi="Times New Roman" w:cs="Times New Roman"/>
          <w:bCs/>
          <w:color w:val="000000"/>
        </w:rPr>
        <w:t xml:space="preserve">that Blue Pilot had been in business for 20 years.  Tr. 8-9.  </w:t>
      </w:r>
      <w:r w:rsidR="003E2957" w:rsidRPr="000D1F63">
        <w:rPr>
          <w:rFonts w:ascii="Times New Roman" w:hAnsi="Times New Roman" w:cs="Times New Roman"/>
          <w:bCs/>
          <w:color w:val="000000"/>
        </w:rPr>
        <w:t xml:space="preserve">Enrico </w:t>
      </w:r>
      <w:r w:rsidR="00A912E1" w:rsidRPr="000D1F63">
        <w:rPr>
          <w:rFonts w:ascii="Times New Roman" w:hAnsi="Times New Roman" w:cs="Times New Roman"/>
          <w:bCs/>
          <w:color w:val="000000"/>
        </w:rPr>
        <w:t xml:space="preserve">presented an exhibit that indicated Blue Pilot was incorporated as a limited liability company in Nevada in 2010.  Enrico Exh. No. 4.  During the hearing, counsel for Blue Pilot objected to Mr. Holtz’s testimony on the basis that </w:t>
      </w:r>
      <w:r w:rsidR="00EC43F7" w:rsidRPr="000D1F63">
        <w:rPr>
          <w:rFonts w:ascii="Times New Roman" w:hAnsi="Times New Roman" w:cs="Times New Roman"/>
          <w:bCs/>
          <w:color w:val="000000"/>
        </w:rPr>
        <w:t xml:space="preserve">it went beyond the scope of </w:t>
      </w:r>
      <w:r w:rsidR="00A912E1" w:rsidRPr="000D1F63">
        <w:rPr>
          <w:rFonts w:ascii="Times New Roman" w:hAnsi="Times New Roman" w:cs="Times New Roman"/>
          <w:bCs/>
          <w:color w:val="000000"/>
        </w:rPr>
        <w:t xml:space="preserve">the allegations in the Complaint.  </w:t>
      </w:r>
      <w:r w:rsidR="00EC43F7" w:rsidRPr="000D1F63">
        <w:rPr>
          <w:rFonts w:ascii="Times New Roman" w:hAnsi="Times New Roman" w:cs="Times New Roman"/>
          <w:bCs/>
          <w:color w:val="000000"/>
        </w:rPr>
        <w:t xml:space="preserve">Blue Pilot R.B. at 9; </w:t>
      </w:r>
      <w:r w:rsidR="00143B6B" w:rsidRPr="000D1F63">
        <w:rPr>
          <w:rFonts w:ascii="Times New Roman" w:hAnsi="Times New Roman" w:cs="Times New Roman"/>
          <w:bCs/>
          <w:color w:val="000000"/>
        </w:rPr>
        <w:t>Tr. </w:t>
      </w:r>
      <w:r w:rsidR="00A912E1" w:rsidRPr="000D1F63">
        <w:rPr>
          <w:rFonts w:ascii="Times New Roman" w:hAnsi="Times New Roman" w:cs="Times New Roman"/>
          <w:bCs/>
          <w:color w:val="000000"/>
        </w:rPr>
        <w:t xml:space="preserve">8.  The objection was overruled and Mr. Holtz was allowed to proceed, but only for the limited purpose of providing a foundation </w:t>
      </w:r>
      <w:r w:rsidR="003E2957" w:rsidRPr="000D1F63">
        <w:rPr>
          <w:rFonts w:ascii="Times New Roman" w:hAnsi="Times New Roman" w:cs="Times New Roman"/>
          <w:bCs/>
          <w:color w:val="000000"/>
        </w:rPr>
        <w:t xml:space="preserve">for </w:t>
      </w:r>
      <w:r w:rsidR="00A912E1" w:rsidRPr="000D1F63">
        <w:rPr>
          <w:rFonts w:ascii="Times New Roman" w:hAnsi="Times New Roman" w:cs="Times New Roman"/>
          <w:bCs/>
          <w:color w:val="000000"/>
        </w:rPr>
        <w:t xml:space="preserve">the </w:t>
      </w:r>
      <w:r w:rsidR="00745A39" w:rsidRPr="000D1F63">
        <w:rPr>
          <w:rFonts w:ascii="Times New Roman" w:hAnsi="Times New Roman" w:cs="Times New Roman"/>
          <w:bCs/>
          <w:color w:val="000000"/>
        </w:rPr>
        <w:t xml:space="preserve">issues raised in the </w:t>
      </w:r>
      <w:r w:rsidR="00A912E1" w:rsidRPr="000D1F63">
        <w:rPr>
          <w:rFonts w:ascii="Times New Roman" w:hAnsi="Times New Roman" w:cs="Times New Roman"/>
          <w:bCs/>
          <w:color w:val="000000"/>
        </w:rPr>
        <w:t>Complaint.  Enrico continued to pursue this issue in its Main Brief</w:t>
      </w:r>
      <w:r w:rsidR="00B4056B" w:rsidRPr="000D1F63">
        <w:rPr>
          <w:rFonts w:ascii="Times New Roman" w:hAnsi="Times New Roman" w:cs="Times New Roman"/>
          <w:bCs/>
          <w:color w:val="000000"/>
        </w:rPr>
        <w:t xml:space="preserve"> and Blue Pilot maintained its argument that </w:t>
      </w:r>
      <w:r w:rsidR="006E473C" w:rsidRPr="000D1F63">
        <w:rPr>
          <w:rFonts w:ascii="Times New Roman" w:hAnsi="Times New Roman" w:cs="Times New Roman"/>
          <w:bCs/>
          <w:color w:val="000000"/>
        </w:rPr>
        <w:t>Enrico was exceeding the scope of the Complaint</w:t>
      </w:r>
      <w:r w:rsidR="00A912E1" w:rsidRPr="000D1F63">
        <w:rPr>
          <w:rFonts w:ascii="Times New Roman" w:hAnsi="Times New Roman" w:cs="Times New Roman"/>
          <w:bCs/>
          <w:color w:val="000000"/>
        </w:rPr>
        <w:t xml:space="preserve">.  Enrico’s argument regarding </w:t>
      </w:r>
      <w:r w:rsidR="006E473C" w:rsidRPr="000D1F63">
        <w:rPr>
          <w:rFonts w:ascii="Times New Roman" w:hAnsi="Times New Roman" w:cs="Times New Roman"/>
          <w:bCs/>
          <w:color w:val="000000"/>
        </w:rPr>
        <w:t xml:space="preserve">conversations with </w:t>
      </w:r>
      <w:r w:rsidR="00A912E1" w:rsidRPr="000D1F63">
        <w:rPr>
          <w:rFonts w:ascii="Times New Roman" w:hAnsi="Times New Roman" w:cs="Times New Roman"/>
          <w:bCs/>
          <w:color w:val="000000"/>
        </w:rPr>
        <w:t xml:space="preserve">Blue Pilot’s </w:t>
      </w:r>
      <w:r w:rsidR="006E473C" w:rsidRPr="000D1F63">
        <w:rPr>
          <w:rFonts w:ascii="Times New Roman" w:hAnsi="Times New Roman" w:cs="Times New Roman"/>
          <w:bCs/>
          <w:color w:val="000000"/>
        </w:rPr>
        <w:t xml:space="preserve">sales agent </w:t>
      </w:r>
      <w:r w:rsidR="00A912E1" w:rsidRPr="000D1F63">
        <w:rPr>
          <w:rFonts w:ascii="Times New Roman" w:hAnsi="Times New Roman" w:cs="Times New Roman"/>
          <w:bCs/>
          <w:color w:val="000000"/>
        </w:rPr>
        <w:t>is without merit and will be rejected.</w:t>
      </w:r>
    </w:p>
    <w:p w:rsidR="00A912E1" w:rsidRPr="000D1F63" w:rsidRDefault="00A912E1" w:rsidP="002B3224">
      <w:pPr>
        <w:pStyle w:val="ParaTab1"/>
        <w:spacing w:line="360" w:lineRule="auto"/>
        <w:rPr>
          <w:rFonts w:ascii="Times New Roman" w:hAnsi="Times New Roman" w:cs="Times New Roman"/>
          <w:bCs/>
          <w:color w:val="000000"/>
        </w:rPr>
      </w:pPr>
    </w:p>
    <w:p w:rsidR="00143B6B" w:rsidRPr="000D1F63" w:rsidRDefault="001A4D61" w:rsidP="004D64F5">
      <w:pPr>
        <w:pStyle w:val="ParaTab1"/>
        <w:spacing w:line="360" w:lineRule="auto"/>
        <w:rPr>
          <w:rFonts w:ascii="Times New Roman" w:hAnsi="Times New Roman" w:cs="Times New Roman"/>
          <w:bCs/>
          <w:color w:val="000000"/>
        </w:rPr>
      </w:pPr>
      <w:r w:rsidRPr="000D1F63">
        <w:rPr>
          <w:rFonts w:ascii="Times New Roman" w:hAnsi="Times New Roman" w:cs="Times New Roman"/>
          <w:bCs/>
          <w:color w:val="000000"/>
        </w:rPr>
        <w:t>T</w:t>
      </w:r>
      <w:r w:rsidR="00A912E1" w:rsidRPr="000D1F63">
        <w:rPr>
          <w:rFonts w:ascii="Times New Roman" w:hAnsi="Times New Roman" w:cs="Times New Roman"/>
          <w:bCs/>
          <w:color w:val="000000"/>
        </w:rPr>
        <w:t xml:space="preserve">he Commission regulations prohibit </w:t>
      </w:r>
      <w:r w:rsidR="001F74D9" w:rsidRPr="000D1F63">
        <w:rPr>
          <w:rFonts w:ascii="Times New Roman" w:hAnsi="Times New Roman" w:cs="Times New Roman"/>
          <w:bCs/>
          <w:color w:val="000000"/>
        </w:rPr>
        <w:t xml:space="preserve">EGSs and its agents from making false and misleading statements.  52 Pa.Code § 111.10(a)(3).  </w:t>
      </w:r>
      <w:r w:rsidR="00EC43F7" w:rsidRPr="000D1F63">
        <w:rPr>
          <w:rFonts w:ascii="Times New Roman" w:hAnsi="Times New Roman" w:cs="Times New Roman"/>
          <w:bCs/>
          <w:color w:val="000000"/>
        </w:rPr>
        <w:t xml:space="preserve">Yet, </w:t>
      </w:r>
      <w:r w:rsidR="006E473C" w:rsidRPr="000D1F63">
        <w:rPr>
          <w:rFonts w:ascii="Times New Roman" w:hAnsi="Times New Roman" w:cs="Times New Roman"/>
          <w:bCs/>
          <w:color w:val="000000"/>
        </w:rPr>
        <w:t xml:space="preserve">Enrico did not raise this issue in its Complaint.  </w:t>
      </w:r>
      <w:r w:rsidR="00A81019" w:rsidRPr="000D1F63">
        <w:rPr>
          <w:rFonts w:ascii="Times New Roman" w:hAnsi="Times New Roman" w:cs="Times New Roman"/>
          <w:bCs/>
          <w:color w:val="000000"/>
        </w:rPr>
        <w:t>The Public Utility Code and Commission regulations</w:t>
      </w:r>
      <w:r w:rsidR="006E473C" w:rsidRPr="000D1F63">
        <w:rPr>
          <w:rFonts w:ascii="Times New Roman" w:hAnsi="Times New Roman" w:cs="Times New Roman"/>
          <w:bCs/>
          <w:color w:val="000000"/>
        </w:rPr>
        <w:t xml:space="preserve"> require </w:t>
      </w:r>
      <w:r w:rsidR="00745A39" w:rsidRPr="000D1F63">
        <w:rPr>
          <w:rFonts w:ascii="Times New Roman" w:hAnsi="Times New Roman" w:cs="Times New Roman"/>
          <w:bCs/>
          <w:color w:val="000000"/>
        </w:rPr>
        <w:t xml:space="preserve">that </w:t>
      </w:r>
      <w:r w:rsidR="00A81019" w:rsidRPr="000D1F63">
        <w:rPr>
          <w:rFonts w:ascii="Times New Roman" w:hAnsi="Times New Roman" w:cs="Times New Roman"/>
        </w:rPr>
        <w:t xml:space="preserve">a formal complaint must set forth “the act or thing done or omitted to be done” by a public utility “in violation, or claimed violation, of any law which the commission has jurisdiction to administer, or of any regulation or order of the commission.”  66 </w:t>
      </w:r>
      <w:r w:rsidR="004B4A81">
        <w:rPr>
          <w:rFonts w:ascii="Times New Roman" w:hAnsi="Times New Roman" w:cs="Times New Roman"/>
        </w:rPr>
        <w:t>Pa.C.S.</w:t>
      </w:r>
      <w:r w:rsidR="00A81019" w:rsidRPr="000D1F63">
        <w:rPr>
          <w:rFonts w:ascii="Times New Roman" w:hAnsi="Times New Roman" w:cs="Times New Roman"/>
        </w:rPr>
        <w:t xml:space="preserve"> § 701; 52 </w:t>
      </w:r>
      <w:r w:rsidR="004B4A81">
        <w:rPr>
          <w:rFonts w:ascii="Times New Roman" w:hAnsi="Times New Roman" w:cs="Times New Roman"/>
        </w:rPr>
        <w:t>Pa.Code</w:t>
      </w:r>
      <w:r w:rsidR="00A81019" w:rsidRPr="000D1F63">
        <w:rPr>
          <w:rFonts w:ascii="Times New Roman" w:hAnsi="Times New Roman" w:cs="Times New Roman"/>
        </w:rPr>
        <w:t xml:space="preserve"> § 5.22(a)(4).  The Commission’s regulations require that a complaint contain a clear statement of the relief sought.  52 </w:t>
      </w:r>
      <w:r w:rsidR="004B4A81">
        <w:rPr>
          <w:rFonts w:ascii="Times New Roman" w:hAnsi="Times New Roman" w:cs="Times New Roman"/>
        </w:rPr>
        <w:t>Pa.Code</w:t>
      </w:r>
      <w:r w:rsidR="00A81019" w:rsidRPr="000D1F63">
        <w:rPr>
          <w:rFonts w:ascii="Times New Roman" w:hAnsi="Times New Roman" w:cs="Times New Roman"/>
        </w:rPr>
        <w:t xml:space="preserve"> § 5.22(a)(5).  A complaint should contain information specific enough to allow the respondent to understand the allegations against it, in order to conduct a meaningful investigation of the allegations and to prepare a coherent response or defense.  </w:t>
      </w:r>
      <w:r w:rsidR="00A81019" w:rsidRPr="000D1F63">
        <w:rPr>
          <w:rFonts w:ascii="Times New Roman" w:hAnsi="Times New Roman" w:cs="Times New Roman"/>
          <w:u w:val="single"/>
        </w:rPr>
        <w:t>Angelo Rodriguez v. Philadelphia Gas Works</w:t>
      </w:r>
      <w:r w:rsidR="00A81019" w:rsidRPr="000D1F63">
        <w:rPr>
          <w:rFonts w:ascii="Times New Roman" w:hAnsi="Times New Roman" w:cs="Times New Roman"/>
        </w:rPr>
        <w:t>, Docket No. F-2009-2110772, Initial Decision (Final Order ente</w:t>
      </w:r>
      <w:r w:rsidR="00143B6B" w:rsidRPr="000D1F63">
        <w:rPr>
          <w:rFonts w:ascii="Times New Roman" w:hAnsi="Times New Roman" w:cs="Times New Roman"/>
        </w:rPr>
        <w:t>red Jan. </w:t>
      </w:r>
      <w:r w:rsidR="00A81019" w:rsidRPr="000D1F63">
        <w:rPr>
          <w:rFonts w:ascii="Times New Roman" w:hAnsi="Times New Roman" w:cs="Times New Roman"/>
        </w:rPr>
        <w:t xml:space="preserve">5, 2010).  </w:t>
      </w:r>
      <w:r w:rsidR="004D64F5" w:rsidRPr="000D1F63">
        <w:rPr>
          <w:rFonts w:ascii="Times New Roman" w:hAnsi="Times New Roman" w:cs="Times New Roman"/>
        </w:rPr>
        <w:t>Furthermore, Commission regulations prohibit amendment of pleadings “within five days of the commencement of or during a proceeding unless directed or permitted by the Commission or the presiding officer after opportunity for all parties to be heard thereon.”  52</w:t>
      </w:r>
      <w:r w:rsidR="00B730CF">
        <w:rPr>
          <w:rFonts w:ascii="Times New Roman" w:hAnsi="Times New Roman" w:cs="Times New Roman"/>
        </w:rPr>
        <w:t> </w:t>
      </w:r>
      <w:r w:rsidR="004D64F5" w:rsidRPr="000D1F63">
        <w:rPr>
          <w:rFonts w:ascii="Times New Roman" w:hAnsi="Times New Roman" w:cs="Times New Roman"/>
        </w:rPr>
        <w:t>Pa.Code § 5.91(c).</w:t>
      </w:r>
    </w:p>
    <w:p w:rsidR="004D64F5" w:rsidRPr="000D1F63" w:rsidRDefault="004D64F5" w:rsidP="000269FF">
      <w:pPr>
        <w:pStyle w:val="Style"/>
        <w:spacing w:line="360" w:lineRule="auto"/>
        <w:ind w:firstLine="1440"/>
        <w:rPr>
          <w:bCs/>
          <w:color w:val="000000"/>
        </w:rPr>
      </w:pPr>
    </w:p>
    <w:p w:rsidR="000269FF" w:rsidRPr="000D1F63" w:rsidRDefault="00A81019" w:rsidP="00B730CF">
      <w:pPr>
        <w:pStyle w:val="Style"/>
        <w:spacing w:line="360" w:lineRule="auto"/>
        <w:ind w:firstLine="1440"/>
        <w:rPr>
          <w:bCs/>
          <w:color w:val="000000"/>
        </w:rPr>
      </w:pPr>
      <w:r w:rsidRPr="000D1F63">
        <w:rPr>
          <w:bCs/>
          <w:color w:val="000000"/>
        </w:rPr>
        <w:t xml:space="preserve">In this case, </w:t>
      </w:r>
      <w:r w:rsidR="000269FF" w:rsidRPr="000D1F63">
        <w:rPr>
          <w:bCs/>
          <w:color w:val="000000"/>
        </w:rPr>
        <w:t xml:space="preserve">Enrico did not properly raise </w:t>
      </w:r>
      <w:r w:rsidRPr="000D1F63">
        <w:rPr>
          <w:bCs/>
          <w:color w:val="000000"/>
        </w:rPr>
        <w:t xml:space="preserve">any </w:t>
      </w:r>
      <w:r w:rsidR="000269FF" w:rsidRPr="000D1F63">
        <w:rPr>
          <w:bCs/>
          <w:color w:val="000000"/>
        </w:rPr>
        <w:t>issue in its Complaint</w:t>
      </w:r>
      <w:r w:rsidRPr="000D1F63">
        <w:rPr>
          <w:bCs/>
          <w:color w:val="000000"/>
        </w:rPr>
        <w:t xml:space="preserve"> regarding conversations with Blue Pilot’s sales agent</w:t>
      </w:r>
      <w:r w:rsidR="000269FF" w:rsidRPr="000D1F63">
        <w:rPr>
          <w:bCs/>
          <w:color w:val="000000"/>
        </w:rPr>
        <w:t xml:space="preserve">.  During the hearing, Enrico’s witness was allowed to provide testimony regarding conversations with a Blue Pilot </w:t>
      </w:r>
      <w:r w:rsidR="00745A39" w:rsidRPr="000D1F63">
        <w:rPr>
          <w:bCs/>
          <w:color w:val="000000"/>
        </w:rPr>
        <w:t xml:space="preserve">sales agent </w:t>
      </w:r>
      <w:r w:rsidR="000269FF" w:rsidRPr="000D1F63">
        <w:rPr>
          <w:bCs/>
          <w:color w:val="000000"/>
        </w:rPr>
        <w:t xml:space="preserve">but only to provide background for the other issues raised in the Complaint.  Tr. </w:t>
      </w:r>
      <w:r w:rsidR="003E2957" w:rsidRPr="000D1F63">
        <w:rPr>
          <w:bCs/>
          <w:color w:val="000000"/>
        </w:rPr>
        <w:t>8</w:t>
      </w:r>
      <w:r w:rsidR="000269FF" w:rsidRPr="000D1F63">
        <w:rPr>
          <w:bCs/>
          <w:color w:val="000000"/>
        </w:rPr>
        <w:t xml:space="preserve">.  </w:t>
      </w:r>
      <w:r w:rsidR="001F432F" w:rsidRPr="000D1F63">
        <w:rPr>
          <w:bCs/>
          <w:color w:val="000000"/>
        </w:rPr>
        <w:t xml:space="preserve">Blue Pilot did not have notice and an opportunity to respond </w:t>
      </w:r>
      <w:r w:rsidRPr="000D1F63">
        <w:rPr>
          <w:bCs/>
          <w:color w:val="000000"/>
        </w:rPr>
        <w:t>to this issue during the hearing</w:t>
      </w:r>
      <w:r w:rsidR="001F432F" w:rsidRPr="000D1F63">
        <w:rPr>
          <w:bCs/>
          <w:color w:val="000000"/>
        </w:rPr>
        <w:t xml:space="preserve">.  </w:t>
      </w:r>
      <w:r w:rsidRPr="000D1F63">
        <w:rPr>
          <w:bCs/>
          <w:color w:val="000000"/>
        </w:rPr>
        <w:t xml:space="preserve">The Commission takes very seriously statements made to consumers by EGSs in sales calls.  </w:t>
      </w:r>
      <w:r w:rsidR="00923FEA" w:rsidRPr="000D1F63">
        <w:rPr>
          <w:rFonts w:eastAsiaTheme="minorEastAsia"/>
          <w:u w:val="single"/>
        </w:rPr>
        <w:t>Yaglidereliler</w:t>
      </w:r>
      <w:r w:rsidR="00F52672" w:rsidRPr="000D1F63">
        <w:rPr>
          <w:rFonts w:eastAsiaTheme="minorEastAsia"/>
        </w:rPr>
        <w:t xml:space="preserve">, </w:t>
      </w:r>
      <w:r w:rsidR="00F52672" w:rsidRPr="000D1F63">
        <w:rPr>
          <w:rFonts w:eastAsiaTheme="minorEastAsia"/>
          <w:i/>
        </w:rPr>
        <w:t>supra</w:t>
      </w:r>
      <w:r w:rsidR="00923FEA" w:rsidRPr="000D1F63">
        <w:rPr>
          <w:rFonts w:eastAsiaTheme="minorEastAsia"/>
        </w:rPr>
        <w:t>;</w:t>
      </w:r>
      <w:r w:rsidR="00F52672" w:rsidRPr="000D1F63">
        <w:rPr>
          <w:rFonts w:eastAsiaTheme="minorEastAsia"/>
        </w:rPr>
        <w:t xml:space="preserve"> </w:t>
      </w:r>
      <w:r w:rsidR="00F52672" w:rsidRPr="000D1F63">
        <w:rPr>
          <w:rFonts w:eastAsiaTheme="minorEastAsia"/>
          <w:i/>
        </w:rPr>
        <w:t>see also</w:t>
      </w:r>
      <w:r w:rsidR="00F52672" w:rsidRPr="000D1F63">
        <w:rPr>
          <w:rFonts w:eastAsiaTheme="minorEastAsia"/>
        </w:rPr>
        <w:t>,</w:t>
      </w:r>
      <w:r w:rsidR="00923FEA" w:rsidRPr="000D1F63">
        <w:rPr>
          <w:rFonts w:eastAsiaTheme="minorEastAsia"/>
        </w:rPr>
        <w:t xml:space="preserve"> </w:t>
      </w:r>
      <w:r w:rsidR="00923FEA" w:rsidRPr="000D1F63">
        <w:rPr>
          <w:rFonts w:eastAsiaTheme="minorEastAsia"/>
          <w:u w:val="single"/>
        </w:rPr>
        <w:t>William Towne v. Great American Power, LLC</w:t>
      </w:r>
      <w:r w:rsidR="00923FEA" w:rsidRPr="000D1F63">
        <w:rPr>
          <w:rFonts w:eastAsiaTheme="minorEastAsia"/>
        </w:rPr>
        <w:t>, Docket No. C-2012-2307991, Order (entered Oct. 18, 2013)</w:t>
      </w:r>
      <w:r w:rsidR="00C50DD6" w:rsidRPr="000D1F63">
        <w:rPr>
          <w:rFonts w:eastAsiaTheme="minorEastAsia"/>
        </w:rPr>
        <w:t xml:space="preserve"> (</w:t>
      </w:r>
      <w:r w:rsidR="00C50DD6" w:rsidRPr="000D1F63">
        <w:rPr>
          <w:rFonts w:eastAsiaTheme="minorEastAsia"/>
          <w:u w:val="single"/>
        </w:rPr>
        <w:t>Towne</w:t>
      </w:r>
      <w:r w:rsidR="00C50DD6" w:rsidRPr="000D1F63">
        <w:rPr>
          <w:rFonts w:eastAsiaTheme="minorEastAsia"/>
        </w:rPr>
        <w:t>)</w:t>
      </w:r>
      <w:r w:rsidR="00745A39" w:rsidRPr="000D1F63">
        <w:rPr>
          <w:rFonts w:eastAsiaTheme="minorEastAsia"/>
        </w:rPr>
        <w:t xml:space="preserve">; </w:t>
      </w:r>
      <w:r w:rsidR="00745A39" w:rsidRPr="000D1F63">
        <w:rPr>
          <w:rFonts w:eastAsiaTheme="minorEastAsia"/>
          <w:u w:val="single"/>
        </w:rPr>
        <w:t>William MacLuckie v. Palmco Energy PA, LLC</w:t>
      </w:r>
      <w:r w:rsidR="00745A39" w:rsidRPr="000D1F63">
        <w:rPr>
          <w:rFonts w:eastAsiaTheme="minorEastAsia"/>
        </w:rPr>
        <w:t>, Docket No. C-2014-2402558, Opinion and Order (entered December 4, 2014) (</w:t>
      </w:r>
      <w:r w:rsidR="00745A39" w:rsidRPr="000D1F63">
        <w:rPr>
          <w:rFonts w:eastAsiaTheme="minorEastAsia"/>
          <w:u w:val="single"/>
        </w:rPr>
        <w:t>MacLuckie</w:t>
      </w:r>
      <w:r w:rsidR="00745A39" w:rsidRPr="000D1F63">
        <w:rPr>
          <w:rFonts w:eastAsiaTheme="minorEastAsia"/>
        </w:rPr>
        <w:t>)</w:t>
      </w:r>
      <w:r w:rsidRPr="000D1F63">
        <w:rPr>
          <w:bCs/>
          <w:color w:val="000000"/>
        </w:rPr>
        <w:t>.  However, t</w:t>
      </w:r>
      <w:r w:rsidR="001F432F" w:rsidRPr="000D1F63">
        <w:rPr>
          <w:bCs/>
          <w:color w:val="000000"/>
        </w:rPr>
        <w:t xml:space="preserve">o the extent that Enrico seeks to pursue </w:t>
      </w:r>
      <w:r w:rsidRPr="000D1F63">
        <w:rPr>
          <w:bCs/>
          <w:color w:val="000000"/>
        </w:rPr>
        <w:t xml:space="preserve">any </w:t>
      </w:r>
      <w:r w:rsidR="00745A39" w:rsidRPr="000D1F63">
        <w:rPr>
          <w:bCs/>
          <w:color w:val="000000"/>
        </w:rPr>
        <w:t xml:space="preserve">issues </w:t>
      </w:r>
      <w:r w:rsidRPr="000D1F63">
        <w:rPr>
          <w:bCs/>
          <w:color w:val="000000"/>
        </w:rPr>
        <w:t>regarding statements made by Blue Pilot’s sales</w:t>
      </w:r>
      <w:r w:rsidR="00745A39" w:rsidRPr="000D1F63">
        <w:rPr>
          <w:bCs/>
          <w:color w:val="000000"/>
        </w:rPr>
        <w:t xml:space="preserve"> agent</w:t>
      </w:r>
      <w:r w:rsidRPr="000D1F63">
        <w:rPr>
          <w:bCs/>
          <w:color w:val="000000"/>
        </w:rPr>
        <w:t xml:space="preserve">, it should have amended its original Complaint or </w:t>
      </w:r>
      <w:r w:rsidR="001F432F" w:rsidRPr="000D1F63">
        <w:rPr>
          <w:bCs/>
          <w:color w:val="000000"/>
        </w:rPr>
        <w:t>file</w:t>
      </w:r>
      <w:r w:rsidRPr="000D1F63">
        <w:rPr>
          <w:bCs/>
          <w:color w:val="000000"/>
        </w:rPr>
        <w:t>d</w:t>
      </w:r>
      <w:r w:rsidR="001F432F" w:rsidRPr="000D1F63">
        <w:rPr>
          <w:bCs/>
          <w:color w:val="000000"/>
        </w:rPr>
        <w:t xml:space="preserve"> a separate Complaint.  In this case, however, </w:t>
      </w:r>
      <w:r w:rsidRPr="000D1F63">
        <w:rPr>
          <w:bCs/>
          <w:color w:val="000000"/>
        </w:rPr>
        <w:t>those issues will be rejected.</w:t>
      </w:r>
      <w:r w:rsidR="005B56FF" w:rsidRPr="000D1F63">
        <w:rPr>
          <w:bCs/>
          <w:color w:val="000000"/>
        </w:rPr>
        <w:t xml:space="preserve">  Amending the Complaint during the hearing would deprive Blue Pilot of notice and opportunity to be heard.</w:t>
      </w:r>
    </w:p>
    <w:p w:rsidR="007F3F35" w:rsidRPr="000D1F63" w:rsidRDefault="007F3F35" w:rsidP="00B730CF">
      <w:pPr>
        <w:pStyle w:val="Style"/>
        <w:spacing w:line="360" w:lineRule="auto"/>
        <w:rPr>
          <w:bCs/>
          <w:color w:val="000000"/>
        </w:rPr>
      </w:pPr>
    </w:p>
    <w:p w:rsidR="00251BF2" w:rsidRPr="000D1F63" w:rsidRDefault="00251BF2" w:rsidP="00B730CF">
      <w:pPr>
        <w:pStyle w:val="ParaTab1"/>
        <w:numPr>
          <w:ilvl w:val="0"/>
          <w:numId w:val="22"/>
        </w:numPr>
        <w:spacing w:line="360" w:lineRule="auto"/>
        <w:rPr>
          <w:rFonts w:ascii="Times New Roman" w:hAnsi="Times New Roman" w:cs="Times New Roman"/>
          <w:bCs/>
          <w:color w:val="000000"/>
        </w:rPr>
      </w:pPr>
      <w:r w:rsidRPr="000D1F63">
        <w:rPr>
          <w:rFonts w:ascii="Times New Roman" w:hAnsi="Times New Roman" w:cs="Times New Roman"/>
          <w:bCs/>
          <w:color w:val="000000"/>
          <w:u w:val="single"/>
        </w:rPr>
        <w:t>Slamming</w:t>
      </w:r>
    </w:p>
    <w:p w:rsidR="00251BF2" w:rsidRPr="000D1F63" w:rsidRDefault="00251BF2" w:rsidP="00B730CF">
      <w:pPr>
        <w:pStyle w:val="ParaTab1"/>
        <w:spacing w:line="360" w:lineRule="auto"/>
        <w:rPr>
          <w:rFonts w:ascii="Times New Roman" w:hAnsi="Times New Roman" w:cs="Times New Roman"/>
          <w:bCs/>
          <w:color w:val="000000"/>
        </w:rPr>
      </w:pPr>
    </w:p>
    <w:p w:rsidR="00EC43F7" w:rsidRPr="000D1F63" w:rsidRDefault="00251BF2" w:rsidP="00B730CF">
      <w:pPr>
        <w:pStyle w:val="ParaTab1"/>
        <w:spacing w:line="360" w:lineRule="auto"/>
        <w:rPr>
          <w:rFonts w:ascii="Times New Roman" w:hAnsi="Times New Roman" w:cs="Times New Roman"/>
          <w:bCs/>
          <w:color w:val="000000"/>
        </w:rPr>
      </w:pPr>
      <w:r w:rsidRPr="000D1F63">
        <w:rPr>
          <w:rFonts w:ascii="Times New Roman" w:hAnsi="Times New Roman" w:cs="Times New Roman"/>
          <w:bCs/>
          <w:color w:val="000000"/>
        </w:rPr>
        <w:t>W</w:t>
      </w:r>
      <w:r w:rsidR="00EC43F7" w:rsidRPr="000D1F63">
        <w:rPr>
          <w:rFonts w:ascii="Times New Roman" w:hAnsi="Times New Roman" w:cs="Times New Roman"/>
          <w:bCs/>
          <w:color w:val="000000"/>
        </w:rPr>
        <w:t xml:space="preserve">ith regard to Enrico’s claim that it was slammed by Blue Pilot, this argument will also be rejected.  </w:t>
      </w:r>
      <w:r w:rsidR="00332804" w:rsidRPr="000D1F63">
        <w:rPr>
          <w:rFonts w:ascii="Times New Roman" w:hAnsi="Times New Roman" w:cs="Times New Roman"/>
          <w:bCs/>
          <w:color w:val="000000"/>
        </w:rPr>
        <w:t>Enrico did not aver any issues regarding slamming in its Complaint</w:t>
      </w:r>
      <w:r w:rsidR="00745A39" w:rsidRPr="000D1F63">
        <w:rPr>
          <w:rFonts w:ascii="Times New Roman" w:hAnsi="Times New Roman" w:cs="Times New Roman"/>
          <w:bCs/>
          <w:color w:val="000000"/>
        </w:rPr>
        <w:t xml:space="preserve"> or </w:t>
      </w:r>
      <w:r w:rsidR="00332804" w:rsidRPr="000D1F63">
        <w:rPr>
          <w:rFonts w:ascii="Times New Roman" w:hAnsi="Times New Roman" w:cs="Times New Roman"/>
          <w:bCs/>
          <w:color w:val="000000"/>
        </w:rPr>
        <w:t>d</w:t>
      </w:r>
      <w:r w:rsidR="00EC43F7" w:rsidRPr="000D1F63">
        <w:rPr>
          <w:rFonts w:ascii="Times New Roman" w:hAnsi="Times New Roman" w:cs="Times New Roman"/>
          <w:bCs/>
          <w:color w:val="000000"/>
        </w:rPr>
        <w:t>uring the hearing</w:t>
      </w:r>
      <w:r w:rsidR="00332804" w:rsidRPr="000D1F63">
        <w:rPr>
          <w:rFonts w:ascii="Times New Roman" w:hAnsi="Times New Roman" w:cs="Times New Roman"/>
          <w:bCs/>
          <w:color w:val="000000"/>
        </w:rPr>
        <w:t xml:space="preserve">.  In its Brief, however, </w:t>
      </w:r>
      <w:r w:rsidR="00EC43F7" w:rsidRPr="000D1F63">
        <w:rPr>
          <w:rFonts w:ascii="Times New Roman" w:hAnsi="Times New Roman" w:cs="Times New Roman"/>
          <w:bCs/>
          <w:color w:val="000000"/>
        </w:rPr>
        <w:t xml:space="preserve">Enrico argued </w:t>
      </w:r>
      <w:r w:rsidR="0079666A" w:rsidRPr="000D1F63">
        <w:rPr>
          <w:rFonts w:ascii="Times New Roman" w:hAnsi="Times New Roman" w:cs="Times New Roman"/>
          <w:bCs/>
          <w:color w:val="000000"/>
        </w:rPr>
        <w:t xml:space="preserve">that Blue Pilot has “acted in a fraudulent manner, and without authorization changed the service or </w:t>
      </w:r>
      <w:r w:rsidR="003E2957" w:rsidRPr="000D1F63">
        <w:rPr>
          <w:rFonts w:ascii="Times New Roman" w:hAnsi="Times New Roman" w:cs="Times New Roman"/>
          <w:bCs/>
          <w:color w:val="000000"/>
        </w:rPr>
        <w:t>‘</w:t>
      </w:r>
      <w:r w:rsidR="0079666A" w:rsidRPr="000D1F63">
        <w:rPr>
          <w:rFonts w:ascii="Times New Roman" w:hAnsi="Times New Roman" w:cs="Times New Roman"/>
          <w:bCs/>
          <w:color w:val="000000"/>
        </w:rPr>
        <w:t>slammed</w:t>
      </w:r>
      <w:r w:rsidR="003E2957" w:rsidRPr="000D1F63">
        <w:rPr>
          <w:rFonts w:ascii="Times New Roman" w:hAnsi="Times New Roman" w:cs="Times New Roman"/>
          <w:bCs/>
          <w:color w:val="000000"/>
        </w:rPr>
        <w:t>’</w:t>
      </w:r>
      <w:r w:rsidR="0079666A" w:rsidRPr="000D1F63">
        <w:rPr>
          <w:rFonts w:ascii="Times New Roman" w:hAnsi="Times New Roman" w:cs="Times New Roman"/>
          <w:bCs/>
          <w:color w:val="000000"/>
        </w:rPr>
        <w:t xml:space="preserve"> Enrico.”  Enrico M.B. at 2.  Enrico further argued that “Blue Pilot effectively voided the bilateral contract dated January 7, 2014, and ‘slammed’ Enrico with its own warped unilateral agreement.”  </w:t>
      </w:r>
      <w:r w:rsidR="0079666A" w:rsidRPr="000D1F63">
        <w:rPr>
          <w:rFonts w:ascii="Times New Roman" w:hAnsi="Times New Roman" w:cs="Times New Roman"/>
          <w:bCs/>
          <w:color w:val="000000"/>
          <w:u w:val="single"/>
        </w:rPr>
        <w:t>Id.</w:t>
      </w:r>
      <w:r w:rsidR="00136B63" w:rsidRPr="000D1F63">
        <w:rPr>
          <w:rFonts w:ascii="Times New Roman" w:hAnsi="Times New Roman" w:cs="Times New Roman"/>
          <w:bCs/>
          <w:color w:val="000000"/>
        </w:rPr>
        <w:t xml:space="preserve"> at 5; </w:t>
      </w:r>
      <w:r w:rsidR="00136B63" w:rsidRPr="000D1F63">
        <w:rPr>
          <w:rFonts w:ascii="Times New Roman" w:hAnsi="Times New Roman" w:cs="Times New Roman"/>
          <w:bCs/>
          <w:i/>
          <w:color w:val="000000"/>
        </w:rPr>
        <w:t>see also</w:t>
      </w:r>
      <w:r w:rsidR="00136B63" w:rsidRPr="000D1F63">
        <w:rPr>
          <w:rFonts w:ascii="Times New Roman" w:hAnsi="Times New Roman" w:cs="Times New Roman"/>
          <w:bCs/>
          <w:color w:val="000000"/>
        </w:rPr>
        <w:t xml:space="preserve">, </w:t>
      </w:r>
      <w:r w:rsidR="00136B63" w:rsidRPr="000D1F63">
        <w:rPr>
          <w:rFonts w:ascii="Times New Roman" w:hAnsi="Times New Roman" w:cs="Times New Roman"/>
          <w:bCs/>
          <w:color w:val="000000"/>
          <w:u w:val="single"/>
        </w:rPr>
        <w:t>Id.</w:t>
      </w:r>
      <w:r w:rsidR="00136B63" w:rsidRPr="000D1F63">
        <w:rPr>
          <w:rFonts w:ascii="Times New Roman" w:hAnsi="Times New Roman" w:cs="Times New Roman"/>
          <w:bCs/>
          <w:color w:val="000000"/>
        </w:rPr>
        <w:t xml:space="preserve"> at 6-7, Enrico R.B. at 5-6.  </w:t>
      </w:r>
      <w:r w:rsidR="00332804" w:rsidRPr="000D1F63">
        <w:rPr>
          <w:rFonts w:ascii="Times New Roman" w:hAnsi="Times New Roman" w:cs="Times New Roman"/>
          <w:bCs/>
          <w:color w:val="000000"/>
        </w:rPr>
        <w:t>In response to Enrico’s argument</w:t>
      </w:r>
      <w:r w:rsidR="00136B63" w:rsidRPr="000D1F63">
        <w:rPr>
          <w:rFonts w:ascii="Times New Roman" w:hAnsi="Times New Roman" w:cs="Times New Roman"/>
          <w:bCs/>
          <w:color w:val="000000"/>
        </w:rPr>
        <w:t xml:space="preserve"> that it was slammed</w:t>
      </w:r>
      <w:r w:rsidR="00332804" w:rsidRPr="000D1F63">
        <w:rPr>
          <w:rFonts w:ascii="Times New Roman" w:hAnsi="Times New Roman" w:cs="Times New Roman"/>
          <w:bCs/>
          <w:color w:val="000000"/>
        </w:rPr>
        <w:t xml:space="preserve">, Blue Pilot argued </w:t>
      </w:r>
      <w:r w:rsidR="00136B63" w:rsidRPr="000D1F63">
        <w:rPr>
          <w:rFonts w:ascii="Times New Roman" w:hAnsi="Times New Roman" w:cs="Times New Roman"/>
          <w:bCs/>
          <w:color w:val="000000"/>
        </w:rPr>
        <w:t xml:space="preserve">that Enrico “has manufactured a flawed legal theory that it was switched without authorization to a new contract” and that “this constrained interpretation of slamming regulations is nothing more than an attempt to get a refund or credit that would clearly not otherwise be authorized.”  Blue Pilot R.B. at 3; </w:t>
      </w:r>
      <w:r w:rsidR="00136B63" w:rsidRPr="000D1F63">
        <w:rPr>
          <w:rFonts w:ascii="Times New Roman" w:hAnsi="Times New Roman" w:cs="Times New Roman"/>
          <w:bCs/>
          <w:i/>
          <w:color w:val="000000"/>
        </w:rPr>
        <w:t>see also</w:t>
      </w:r>
      <w:r w:rsidR="00136B63" w:rsidRPr="000D1F63">
        <w:rPr>
          <w:rFonts w:ascii="Times New Roman" w:hAnsi="Times New Roman" w:cs="Times New Roman"/>
          <w:bCs/>
          <w:color w:val="000000"/>
        </w:rPr>
        <w:t xml:space="preserve">, </w:t>
      </w:r>
      <w:r w:rsidR="00136B63" w:rsidRPr="000D1F63">
        <w:rPr>
          <w:rFonts w:ascii="Times New Roman" w:hAnsi="Times New Roman" w:cs="Times New Roman"/>
          <w:bCs/>
          <w:color w:val="000000"/>
          <w:u w:val="single"/>
        </w:rPr>
        <w:t>Id.</w:t>
      </w:r>
      <w:r w:rsidR="00136B63" w:rsidRPr="000D1F63">
        <w:rPr>
          <w:rFonts w:ascii="Times New Roman" w:hAnsi="Times New Roman" w:cs="Times New Roman"/>
          <w:bCs/>
          <w:color w:val="000000"/>
        </w:rPr>
        <w:t xml:space="preserve"> at 4-6.  </w:t>
      </w:r>
      <w:r w:rsidR="00EC43F7" w:rsidRPr="000D1F63">
        <w:rPr>
          <w:rFonts w:ascii="Times New Roman" w:hAnsi="Times New Roman" w:cs="Times New Roman"/>
          <w:bCs/>
          <w:color w:val="000000"/>
        </w:rPr>
        <w:t>Enrico</w:t>
      </w:r>
      <w:r w:rsidR="00332804" w:rsidRPr="000D1F63">
        <w:rPr>
          <w:rFonts w:ascii="Times New Roman" w:hAnsi="Times New Roman" w:cs="Times New Roman"/>
          <w:bCs/>
          <w:color w:val="000000"/>
        </w:rPr>
        <w:t>’s argument will be rejected because it</w:t>
      </w:r>
      <w:r w:rsidR="00EC43F7" w:rsidRPr="000D1F63">
        <w:rPr>
          <w:rFonts w:ascii="Times New Roman" w:hAnsi="Times New Roman" w:cs="Times New Roman"/>
          <w:bCs/>
          <w:color w:val="000000"/>
        </w:rPr>
        <w:t xml:space="preserve"> has failed to satisfy its burden on this issue.</w:t>
      </w:r>
    </w:p>
    <w:p w:rsidR="00EC43F7" w:rsidRPr="000D1F63" w:rsidRDefault="00EC43F7" w:rsidP="00EC43F7">
      <w:pPr>
        <w:pStyle w:val="Style"/>
        <w:spacing w:line="360" w:lineRule="auto"/>
        <w:ind w:firstLine="1440"/>
        <w:rPr>
          <w:bCs/>
          <w:color w:val="000000"/>
        </w:rPr>
      </w:pPr>
    </w:p>
    <w:p w:rsidR="00CC6988" w:rsidRPr="000D1F63" w:rsidRDefault="00EC43F7" w:rsidP="0039024B">
      <w:pPr>
        <w:pStyle w:val="Style"/>
        <w:spacing w:line="360" w:lineRule="auto"/>
        <w:ind w:firstLine="1440"/>
        <w:rPr>
          <w:bCs/>
          <w:color w:val="000000"/>
        </w:rPr>
      </w:pPr>
      <w:r w:rsidRPr="000D1F63">
        <w:rPr>
          <w:bCs/>
          <w:color w:val="000000"/>
        </w:rPr>
        <w:t>To begin, slamming is</w:t>
      </w:r>
      <w:r w:rsidR="00136B63" w:rsidRPr="000D1F63">
        <w:rPr>
          <w:bCs/>
          <w:color w:val="000000"/>
        </w:rPr>
        <w:t xml:space="preserve"> the unauthorized transfer of a customer from one service provider to another service provider.  This issue is present in the competitive provision of all utility service, not just electric generation service.  For electric generation service, Section 2807 of the Public Utility Code provides that “the commission shall establish regulations to ensure that an electric distribution company does not change a customer’s electricity </w:t>
      </w:r>
      <w:r w:rsidR="00136B63" w:rsidRPr="000D1F63">
        <w:rPr>
          <w:b/>
          <w:bCs/>
          <w:i/>
          <w:color w:val="000000"/>
        </w:rPr>
        <w:t>supplier</w:t>
      </w:r>
      <w:r w:rsidR="00136B63" w:rsidRPr="000D1F63">
        <w:rPr>
          <w:bCs/>
          <w:color w:val="000000"/>
        </w:rPr>
        <w:t xml:space="preserve"> without direct oral confirmation </w:t>
      </w:r>
      <w:r w:rsidR="0039024B" w:rsidRPr="000D1F63">
        <w:rPr>
          <w:bCs/>
          <w:color w:val="000000"/>
        </w:rPr>
        <w:t xml:space="preserve">from the customer of record or written evidence of the customer’s consent to a change of </w:t>
      </w:r>
      <w:r w:rsidR="0039024B" w:rsidRPr="000D1F63">
        <w:rPr>
          <w:b/>
          <w:bCs/>
          <w:i/>
          <w:color w:val="000000"/>
        </w:rPr>
        <w:t>supplier</w:t>
      </w:r>
      <w:r w:rsidR="0039024B" w:rsidRPr="000D1F63">
        <w:rPr>
          <w:bCs/>
          <w:color w:val="000000"/>
        </w:rPr>
        <w:t xml:space="preserve">.”  66 Pa.C.S. § 2807(d)(1) (emphasis added); </w:t>
      </w:r>
      <w:r w:rsidR="0039024B" w:rsidRPr="000D1F63">
        <w:rPr>
          <w:bCs/>
          <w:i/>
          <w:color w:val="000000"/>
        </w:rPr>
        <w:t>see also</w:t>
      </w:r>
      <w:r w:rsidR="00143B6B" w:rsidRPr="000D1F63">
        <w:rPr>
          <w:bCs/>
          <w:color w:val="000000"/>
        </w:rPr>
        <w:t>, 52 Pa.Code § </w:t>
      </w:r>
      <w:r w:rsidR="0039024B" w:rsidRPr="000D1F63">
        <w:rPr>
          <w:bCs/>
          <w:color w:val="000000"/>
        </w:rPr>
        <w:t>54.42(a)(9) (allowing EGSs to be fined for “the transfer of a customer without the customer’s consent.”).  As such, s</w:t>
      </w:r>
      <w:r w:rsidR="00136B63" w:rsidRPr="000D1F63">
        <w:rPr>
          <w:bCs/>
          <w:color w:val="000000"/>
        </w:rPr>
        <w:t xml:space="preserve">lamming is not the unauthorized change in terms of </w:t>
      </w:r>
      <w:r w:rsidR="00136B63" w:rsidRPr="000D1F63">
        <w:rPr>
          <w:b/>
          <w:bCs/>
          <w:i/>
          <w:color w:val="000000"/>
        </w:rPr>
        <w:t>service</w:t>
      </w:r>
      <w:r w:rsidR="00136B63" w:rsidRPr="000D1F63">
        <w:rPr>
          <w:bCs/>
          <w:color w:val="000000"/>
        </w:rPr>
        <w:t>, as Enrico has argued in this case.</w:t>
      </w:r>
      <w:r w:rsidR="0039024B" w:rsidRPr="000D1F63">
        <w:rPr>
          <w:bCs/>
          <w:color w:val="000000"/>
        </w:rPr>
        <w:t xml:space="preserve">  Slamming is the unauthorized change in </w:t>
      </w:r>
      <w:r w:rsidR="0039024B" w:rsidRPr="000D1F63">
        <w:rPr>
          <w:b/>
          <w:bCs/>
          <w:i/>
          <w:color w:val="000000"/>
        </w:rPr>
        <w:t>supplier</w:t>
      </w:r>
      <w:r w:rsidR="0039024B" w:rsidRPr="000D1F63">
        <w:rPr>
          <w:bCs/>
          <w:color w:val="000000"/>
        </w:rPr>
        <w:t>.</w:t>
      </w:r>
      <w:r w:rsidR="00136B63" w:rsidRPr="000D1F63">
        <w:rPr>
          <w:bCs/>
          <w:color w:val="000000"/>
        </w:rPr>
        <w:t xml:space="preserve">  </w:t>
      </w:r>
      <w:r w:rsidR="007008AB" w:rsidRPr="000D1F63">
        <w:rPr>
          <w:bCs/>
          <w:color w:val="000000"/>
        </w:rPr>
        <w:t>Record evidence in this case demonstrate</w:t>
      </w:r>
      <w:r w:rsidR="003E2957" w:rsidRPr="000D1F63">
        <w:rPr>
          <w:bCs/>
          <w:color w:val="000000"/>
        </w:rPr>
        <w:t>s</w:t>
      </w:r>
      <w:r w:rsidR="007008AB" w:rsidRPr="000D1F63">
        <w:rPr>
          <w:bCs/>
          <w:color w:val="000000"/>
        </w:rPr>
        <w:t xml:space="preserve"> that Enrico was </w:t>
      </w:r>
      <w:r w:rsidR="003E2957" w:rsidRPr="000D1F63">
        <w:rPr>
          <w:bCs/>
          <w:color w:val="000000"/>
        </w:rPr>
        <w:t xml:space="preserve">not </w:t>
      </w:r>
      <w:r w:rsidR="007008AB" w:rsidRPr="000D1F63">
        <w:rPr>
          <w:bCs/>
          <w:color w:val="000000"/>
        </w:rPr>
        <w:t>slammed.  In fact, Enrico witness Holtz testified that when the service agreement was received it was “reviewed and executed,” noting that Mr. Holtz authorized an employee to sign the service agreement.  Tr. 12-13, 24.</w:t>
      </w:r>
      <w:r w:rsidR="00062705" w:rsidRPr="000D1F63">
        <w:rPr>
          <w:bCs/>
          <w:color w:val="000000"/>
        </w:rPr>
        <w:t xml:space="preserve">  Therefore, there was no unauthorized transfer of Enrico’s electricity supplier and Enrico has failed to satisfy its burden that it has been slammed.</w:t>
      </w:r>
    </w:p>
    <w:p w:rsidR="00EC43F7" w:rsidRPr="000D1F63" w:rsidRDefault="00EC43F7" w:rsidP="00CC6988">
      <w:pPr>
        <w:pStyle w:val="Style"/>
        <w:spacing w:line="360" w:lineRule="auto"/>
        <w:rPr>
          <w:bCs/>
          <w:color w:val="000000"/>
        </w:rPr>
      </w:pPr>
    </w:p>
    <w:p w:rsidR="00251BF2" w:rsidRPr="000D1F63" w:rsidRDefault="00251BF2" w:rsidP="00251BF2">
      <w:pPr>
        <w:pStyle w:val="ParaTab1"/>
        <w:numPr>
          <w:ilvl w:val="0"/>
          <w:numId w:val="22"/>
        </w:numPr>
        <w:spacing w:line="360" w:lineRule="auto"/>
        <w:rPr>
          <w:rFonts w:ascii="Times New Roman" w:hAnsi="Times New Roman" w:cs="Times New Roman"/>
          <w:bCs/>
          <w:color w:val="000000"/>
          <w:u w:val="single"/>
        </w:rPr>
      </w:pPr>
      <w:r w:rsidRPr="000D1F63">
        <w:rPr>
          <w:rFonts w:ascii="Times New Roman" w:hAnsi="Times New Roman" w:cs="Times New Roman"/>
          <w:bCs/>
          <w:color w:val="000000"/>
          <w:u w:val="single"/>
        </w:rPr>
        <w:t>Receipt of the Disclosure Statement</w:t>
      </w:r>
    </w:p>
    <w:p w:rsidR="00251BF2" w:rsidRPr="000D1F63" w:rsidRDefault="00251BF2" w:rsidP="00EC43F7">
      <w:pPr>
        <w:pStyle w:val="ParaTab1"/>
        <w:spacing w:line="360" w:lineRule="auto"/>
        <w:rPr>
          <w:rFonts w:ascii="Times New Roman" w:hAnsi="Times New Roman" w:cs="Times New Roman"/>
          <w:bCs/>
          <w:color w:val="000000"/>
        </w:rPr>
      </w:pPr>
    </w:p>
    <w:p w:rsidR="00EC43F7" w:rsidRPr="000D1F63" w:rsidRDefault="00251BF2" w:rsidP="00EC43F7">
      <w:pPr>
        <w:pStyle w:val="ParaTab1"/>
        <w:spacing w:line="360" w:lineRule="auto"/>
        <w:rPr>
          <w:rFonts w:ascii="Times New Roman" w:hAnsi="Times New Roman" w:cs="Times New Roman"/>
          <w:bCs/>
          <w:color w:val="000000"/>
        </w:rPr>
      </w:pPr>
      <w:r w:rsidRPr="000D1F63">
        <w:rPr>
          <w:rFonts w:ascii="Times New Roman" w:hAnsi="Times New Roman" w:cs="Times New Roman"/>
          <w:bCs/>
          <w:color w:val="000000"/>
        </w:rPr>
        <w:t>Wi</w:t>
      </w:r>
      <w:r w:rsidR="00EC43F7" w:rsidRPr="000D1F63">
        <w:rPr>
          <w:rFonts w:ascii="Times New Roman" w:hAnsi="Times New Roman" w:cs="Times New Roman"/>
          <w:bCs/>
          <w:color w:val="000000"/>
        </w:rPr>
        <w:t>th regard to Enrico’s claim that it did not receive Blue Pilot’s</w:t>
      </w:r>
      <w:r w:rsidR="00A1010A" w:rsidRPr="000D1F63">
        <w:rPr>
          <w:rFonts w:ascii="Times New Roman" w:hAnsi="Times New Roman" w:cs="Times New Roman"/>
          <w:bCs/>
          <w:color w:val="000000"/>
        </w:rPr>
        <w:t xml:space="preserve"> Disclosure Statement</w:t>
      </w:r>
      <w:r w:rsidR="00EC43F7" w:rsidRPr="000D1F63">
        <w:rPr>
          <w:rFonts w:ascii="Times New Roman" w:hAnsi="Times New Roman" w:cs="Times New Roman"/>
          <w:bCs/>
          <w:color w:val="000000"/>
        </w:rPr>
        <w:t xml:space="preserve">, this argument will also be rejected.  During the hearing, Enrico witness Holtz testified </w:t>
      </w:r>
      <w:r w:rsidR="00500896" w:rsidRPr="000D1F63">
        <w:rPr>
          <w:rFonts w:ascii="Times New Roman" w:hAnsi="Times New Roman" w:cs="Times New Roman"/>
          <w:bCs/>
          <w:color w:val="000000"/>
        </w:rPr>
        <w:t xml:space="preserve">that he received the Service Agreement from Blue Pilot and promptly executed it.  Tr. 12-13.  </w:t>
      </w:r>
      <w:r w:rsidR="00F73E85" w:rsidRPr="000D1F63">
        <w:rPr>
          <w:rFonts w:ascii="Times New Roman" w:hAnsi="Times New Roman" w:cs="Times New Roman"/>
          <w:bCs/>
          <w:color w:val="000000"/>
        </w:rPr>
        <w:t>I</w:t>
      </w:r>
      <w:r w:rsidR="00EC43F7" w:rsidRPr="000D1F63">
        <w:rPr>
          <w:rFonts w:ascii="Times New Roman" w:hAnsi="Times New Roman" w:cs="Times New Roman"/>
          <w:bCs/>
          <w:color w:val="000000"/>
        </w:rPr>
        <w:t xml:space="preserve">n its Brief, Enrico argued </w:t>
      </w:r>
      <w:r w:rsidR="00BA04E2" w:rsidRPr="000D1F63">
        <w:rPr>
          <w:rFonts w:ascii="Times New Roman" w:hAnsi="Times New Roman" w:cs="Times New Roman"/>
          <w:bCs/>
          <w:color w:val="000000"/>
        </w:rPr>
        <w:t xml:space="preserve">that “at no time prior to the filing of its Complaint did Enrico receive any disclosure statement.”  Enrico M.B. at 4; </w:t>
      </w:r>
      <w:r w:rsidR="00BA04E2" w:rsidRPr="000D1F63">
        <w:rPr>
          <w:rFonts w:ascii="Times New Roman" w:hAnsi="Times New Roman" w:cs="Times New Roman"/>
          <w:bCs/>
          <w:i/>
          <w:color w:val="000000"/>
        </w:rPr>
        <w:t>see also</w:t>
      </w:r>
      <w:r w:rsidR="00BA04E2" w:rsidRPr="000D1F63">
        <w:rPr>
          <w:rFonts w:ascii="Times New Roman" w:hAnsi="Times New Roman" w:cs="Times New Roman"/>
          <w:bCs/>
          <w:color w:val="000000"/>
        </w:rPr>
        <w:t xml:space="preserve">, Enrico M.B. at 7-9.  </w:t>
      </w:r>
      <w:r w:rsidR="00431FEA" w:rsidRPr="000D1F63">
        <w:rPr>
          <w:rFonts w:ascii="Times New Roman" w:hAnsi="Times New Roman" w:cs="Times New Roman"/>
          <w:bCs/>
          <w:color w:val="000000"/>
        </w:rPr>
        <w:t xml:space="preserve">In response to Enrico’s argument, Blue Pilot </w:t>
      </w:r>
      <w:r w:rsidR="00BA04E2" w:rsidRPr="000D1F63">
        <w:rPr>
          <w:rFonts w:ascii="Times New Roman" w:hAnsi="Times New Roman" w:cs="Times New Roman"/>
          <w:bCs/>
          <w:color w:val="000000"/>
        </w:rPr>
        <w:t>argued that Enrico improperly raised this issue for the first time in its Main Brief.  Blue Pilot M.B. at 6-8.  Blue Pilot added</w:t>
      </w:r>
      <w:r w:rsidR="00431FEA" w:rsidRPr="000D1F63">
        <w:rPr>
          <w:rFonts w:ascii="Times New Roman" w:hAnsi="Times New Roman" w:cs="Times New Roman"/>
          <w:bCs/>
          <w:color w:val="000000"/>
        </w:rPr>
        <w:t xml:space="preserve"> that </w:t>
      </w:r>
      <w:r w:rsidR="00BA04E2" w:rsidRPr="000D1F63">
        <w:rPr>
          <w:rFonts w:ascii="Times New Roman" w:hAnsi="Times New Roman" w:cs="Times New Roman"/>
          <w:bCs/>
          <w:color w:val="000000"/>
        </w:rPr>
        <w:t>“in any event, the record clearly demonstrates that Blue Pilot provided the Complainant with a copy of the Service Agreement, which was introduced and admitted as Complainant Exhibit No. 5.”</w:t>
      </w:r>
      <w:r w:rsidR="00431FEA" w:rsidRPr="000D1F63">
        <w:rPr>
          <w:rFonts w:ascii="Times New Roman" w:hAnsi="Times New Roman" w:cs="Times New Roman"/>
          <w:bCs/>
          <w:color w:val="000000"/>
        </w:rPr>
        <w:t xml:space="preserve">  </w:t>
      </w:r>
      <w:r w:rsidR="00BA04E2" w:rsidRPr="000D1F63">
        <w:rPr>
          <w:rFonts w:ascii="Times New Roman" w:hAnsi="Times New Roman" w:cs="Times New Roman"/>
          <w:bCs/>
          <w:color w:val="000000"/>
          <w:u w:val="single"/>
        </w:rPr>
        <w:t>Id.</w:t>
      </w:r>
      <w:r w:rsidR="00BA04E2" w:rsidRPr="000D1F63">
        <w:rPr>
          <w:rFonts w:ascii="Times New Roman" w:hAnsi="Times New Roman" w:cs="Times New Roman"/>
          <w:bCs/>
          <w:color w:val="000000"/>
        </w:rPr>
        <w:t xml:space="preserve"> at 8</w:t>
      </w:r>
      <w:r w:rsidR="00431FEA" w:rsidRPr="000D1F63">
        <w:rPr>
          <w:rFonts w:ascii="Times New Roman" w:hAnsi="Times New Roman" w:cs="Times New Roman"/>
          <w:bCs/>
          <w:color w:val="000000"/>
        </w:rPr>
        <w:t xml:space="preserve">.  </w:t>
      </w:r>
      <w:r w:rsidR="00EC43F7" w:rsidRPr="000D1F63">
        <w:rPr>
          <w:rFonts w:ascii="Times New Roman" w:hAnsi="Times New Roman" w:cs="Times New Roman"/>
          <w:bCs/>
          <w:color w:val="000000"/>
        </w:rPr>
        <w:t>Enrico has failed to satisfy its burden on this issue</w:t>
      </w:r>
      <w:r w:rsidR="00BA04E2" w:rsidRPr="000D1F63">
        <w:rPr>
          <w:rFonts w:ascii="Times New Roman" w:hAnsi="Times New Roman" w:cs="Times New Roman"/>
          <w:bCs/>
          <w:color w:val="000000"/>
        </w:rPr>
        <w:t xml:space="preserve"> and, as such, it will be rejected</w:t>
      </w:r>
      <w:r w:rsidR="00EC43F7" w:rsidRPr="000D1F63">
        <w:rPr>
          <w:rFonts w:ascii="Times New Roman" w:hAnsi="Times New Roman" w:cs="Times New Roman"/>
          <w:bCs/>
          <w:color w:val="000000"/>
        </w:rPr>
        <w:t>.</w:t>
      </w:r>
    </w:p>
    <w:p w:rsidR="00EC43F7" w:rsidRPr="000D1F63" w:rsidRDefault="00EC43F7" w:rsidP="00E33BA7">
      <w:pPr>
        <w:pStyle w:val="Style"/>
        <w:spacing w:line="360" w:lineRule="auto"/>
        <w:ind w:firstLine="1440"/>
        <w:rPr>
          <w:bCs/>
          <w:color w:val="000000"/>
        </w:rPr>
      </w:pPr>
    </w:p>
    <w:p w:rsidR="00EC43F7" w:rsidRPr="000D1F63" w:rsidRDefault="00EC43F7" w:rsidP="00E33BA7">
      <w:pPr>
        <w:pStyle w:val="Style"/>
        <w:spacing w:line="360" w:lineRule="auto"/>
        <w:ind w:firstLine="1440"/>
        <w:rPr>
          <w:bCs/>
          <w:color w:val="000000"/>
        </w:rPr>
      </w:pPr>
      <w:r w:rsidRPr="000D1F63">
        <w:rPr>
          <w:bCs/>
          <w:color w:val="000000"/>
        </w:rPr>
        <w:t xml:space="preserve">To begin, </w:t>
      </w:r>
      <w:r w:rsidR="00E33BA7" w:rsidRPr="000D1F63">
        <w:rPr>
          <w:bCs/>
          <w:color w:val="000000"/>
        </w:rPr>
        <w:t xml:space="preserve">as noted above, the document that Blue Pilot identified </w:t>
      </w:r>
      <w:r w:rsidR="00745A39" w:rsidRPr="000D1F63">
        <w:rPr>
          <w:bCs/>
          <w:color w:val="000000"/>
        </w:rPr>
        <w:t>a</w:t>
      </w:r>
      <w:r w:rsidR="00E33BA7" w:rsidRPr="000D1F63">
        <w:rPr>
          <w:bCs/>
          <w:color w:val="000000"/>
        </w:rPr>
        <w:t xml:space="preserve">s its Disclosure Statement does not state “Disclosure Statement” anywhere on it; rather, it is entitled “Service Agreement.”  </w:t>
      </w:r>
      <w:r w:rsidR="00251BF2" w:rsidRPr="000D1F63">
        <w:rPr>
          <w:bCs/>
          <w:color w:val="000000"/>
        </w:rPr>
        <w:t>Nonetheless, Section 54.5 of the Commission’s regulations provides specific information that must be provided to the consumer in the Disc</w:t>
      </w:r>
      <w:r w:rsidR="00143B6B" w:rsidRPr="000D1F63">
        <w:rPr>
          <w:bCs/>
          <w:color w:val="000000"/>
        </w:rPr>
        <w:t>losure Statement.  52 Pa.Code § </w:t>
      </w:r>
      <w:r w:rsidR="00251BF2" w:rsidRPr="000D1F63">
        <w:rPr>
          <w:bCs/>
          <w:color w:val="000000"/>
        </w:rPr>
        <w:t xml:space="preserve">54.5.  These requirements include </w:t>
      </w:r>
      <w:r w:rsidR="001B1B3A" w:rsidRPr="000D1F63">
        <w:rPr>
          <w:bCs/>
          <w:color w:val="000000"/>
        </w:rPr>
        <w:t xml:space="preserve">stating the conditions of variability, the length of the agreement, cancellation provisions, contact information for the electric distribution company, the right of rescission, among other things, </w:t>
      </w:r>
      <w:r w:rsidR="003E2957" w:rsidRPr="000D1F63">
        <w:rPr>
          <w:bCs/>
          <w:color w:val="000000"/>
        </w:rPr>
        <w:t xml:space="preserve">all of </w:t>
      </w:r>
      <w:r w:rsidR="001B1B3A" w:rsidRPr="000D1F63">
        <w:rPr>
          <w:bCs/>
          <w:color w:val="000000"/>
        </w:rPr>
        <w:t xml:space="preserve">which are contained in </w:t>
      </w:r>
      <w:r w:rsidR="003E2957" w:rsidRPr="000D1F63">
        <w:rPr>
          <w:bCs/>
          <w:color w:val="000000"/>
        </w:rPr>
        <w:t xml:space="preserve">the </w:t>
      </w:r>
      <w:r w:rsidR="001B1B3A" w:rsidRPr="000D1F63">
        <w:rPr>
          <w:bCs/>
          <w:color w:val="000000"/>
        </w:rPr>
        <w:t>Service Agreement</w:t>
      </w:r>
      <w:r w:rsidR="003E2957" w:rsidRPr="000D1F63">
        <w:rPr>
          <w:bCs/>
          <w:color w:val="000000"/>
        </w:rPr>
        <w:t xml:space="preserve"> Blue Pilot provided to Enrico</w:t>
      </w:r>
      <w:r w:rsidR="00BA04E2" w:rsidRPr="000D1F63">
        <w:rPr>
          <w:bCs/>
          <w:color w:val="000000"/>
        </w:rPr>
        <w:t xml:space="preserve">.  Blue Pilot has complied with the requirement in Section 54.5(b) that the disclosure statement be provided to the customer when the customer requests an EGS to commence service.  </w:t>
      </w:r>
      <w:r w:rsidR="00BA04E2" w:rsidRPr="000D1F63">
        <w:rPr>
          <w:bCs/>
          <w:i/>
          <w:color w:val="000000"/>
        </w:rPr>
        <w:t>Cf</w:t>
      </w:r>
      <w:r w:rsidR="00BA04E2" w:rsidRPr="000D1F63">
        <w:rPr>
          <w:bCs/>
          <w:color w:val="000000"/>
        </w:rPr>
        <w:t xml:space="preserve">. 52 Pa.Code </w:t>
      </w:r>
      <w:r w:rsidR="001B1B3A" w:rsidRPr="000D1F63">
        <w:rPr>
          <w:bCs/>
          <w:color w:val="000000"/>
        </w:rPr>
        <w:t>§ 54.5(b)(3) and Enrico Exh. No. 1 (showing service by email dated January 9, 2014)</w:t>
      </w:r>
      <w:r w:rsidR="00BA04E2" w:rsidRPr="000D1F63">
        <w:rPr>
          <w:bCs/>
          <w:color w:val="000000"/>
        </w:rPr>
        <w:t xml:space="preserve">.  Regardless of whether the disclosure statement </w:t>
      </w:r>
      <w:r w:rsidR="003E2957" w:rsidRPr="000D1F63">
        <w:rPr>
          <w:bCs/>
          <w:color w:val="000000"/>
        </w:rPr>
        <w:t xml:space="preserve">is properly labeled or </w:t>
      </w:r>
      <w:r w:rsidR="001B1B3A" w:rsidRPr="000D1F63">
        <w:rPr>
          <w:bCs/>
          <w:color w:val="000000"/>
        </w:rPr>
        <w:t>written in plain language</w:t>
      </w:r>
      <w:r w:rsidR="00BA04E2" w:rsidRPr="000D1F63">
        <w:rPr>
          <w:bCs/>
          <w:color w:val="000000"/>
        </w:rPr>
        <w:t xml:space="preserve">, at a minimum, it is clear that Blue Pilot timely sent Enrico the disclosure </w:t>
      </w:r>
      <w:r w:rsidR="001B1B3A" w:rsidRPr="000D1F63">
        <w:rPr>
          <w:bCs/>
          <w:color w:val="000000"/>
        </w:rPr>
        <w:t xml:space="preserve">statement.  </w:t>
      </w:r>
      <w:r w:rsidR="003E2957" w:rsidRPr="000D1F63">
        <w:rPr>
          <w:bCs/>
          <w:color w:val="000000"/>
        </w:rPr>
        <w:t>As such</w:t>
      </w:r>
      <w:r w:rsidR="001B1B3A" w:rsidRPr="000D1F63">
        <w:rPr>
          <w:bCs/>
          <w:color w:val="000000"/>
        </w:rPr>
        <w:t xml:space="preserve">, </w:t>
      </w:r>
      <w:r w:rsidR="00C71DC1" w:rsidRPr="000D1F63">
        <w:rPr>
          <w:bCs/>
          <w:color w:val="000000"/>
        </w:rPr>
        <w:t xml:space="preserve">in this case, </w:t>
      </w:r>
      <w:r w:rsidR="001B1B3A" w:rsidRPr="000D1F63">
        <w:rPr>
          <w:bCs/>
          <w:color w:val="000000"/>
        </w:rPr>
        <w:t xml:space="preserve">the Service Agreement will be considered Blue Pilot’s Disclosure Statement and properly served on Enrico.  Enrico’s </w:t>
      </w:r>
      <w:r w:rsidR="00BA04E2" w:rsidRPr="000D1F63">
        <w:rPr>
          <w:bCs/>
          <w:color w:val="000000"/>
        </w:rPr>
        <w:t>argument</w:t>
      </w:r>
      <w:r w:rsidR="001B1B3A" w:rsidRPr="000D1F63">
        <w:rPr>
          <w:bCs/>
          <w:color w:val="000000"/>
        </w:rPr>
        <w:t xml:space="preserve">, therefore, </w:t>
      </w:r>
      <w:r w:rsidR="00BA04E2" w:rsidRPr="000D1F63">
        <w:rPr>
          <w:bCs/>
          <w:color w:val="000000"/>
        </w:rPr>
        <w:t>will be rejected.</w:t>
      </w:r>
    </w:p>
    <w:p w:rsidR="00484167" w:rsidRPr="000D1F63" w:rsidRDefault="00484167" w:rsidP="00E33BA7">
      <w:pPr>
        <w:pStyle w:val="Style"/>
        <w:spacing w:line="360" w:lineRule="auto"/>
        <w:ind w:firstLine="1440"/>
        <w:rPr>
          <w:bCs/>
          <w:color w:val="000000"/>
          <w:u w:val="single"/>
        </w:rPr>
      </w:pPr>
    </w:p>
    <w:p w:rsidR="00251BF2" w:rsidRPr="000D1F63" w:rsidRDefault="00251BF2" w:rsidP="00251BF2">
      <w:pPr>
        <w:pStyle w:val="Style"/>
        <w:numPr>
          <w:ilvl w:val="0"/>
          <w:numId w:val="22"/>
        </w:numPr>
        <w:spacing w:line="360" w:lineRule="auto"/>
        <w:rPr>
          <w:bCs/>
          <w:color w:val="000000"/>
        </w:rPr>
      </w:pPr>
      <w:r w:rsidRPr="000D1F63">
        <w:rPr>
          <w:bCs/>
          <w:color w:val="000000"/>
          <w:u w:val="single"/>
        </w:rPr>
        <w:t>Conclusion</w:t>
      </w:r>
    </w:p>
    <w:p w:rsidR="00251BF2" w:rsidRPr="000D1F63" w:rsidRDefault="00251BF2" w:rsidP="00484167">
      <w:pPr>
        <w:pStyle w:val="Style"/>
        <w:spacing w:line="360" w:lineRule="auto"/>
        <w:rPr>
          <w:bCs/>
          <w:color w:val="000000"/>
        </w:rPr>
      </w:pPr>
    </w:p>
    <w:p w:rsidR="00EC43F7" w:rsidRPr="000D1F63" w:rsidRDefault="00EC43F7" w:rsidP="00021E94">
      <w:pPr>
        <w:pStyle w:val="Style"/>
        <w:spacing w:line="360" w:lineRule="auto"/>
        <w:ind w:firstLine="1440"/>
        <w:rPr>
          <w:bCs/>
          <w:color w:val="000000"/>
        </w:rPr>
      </w:pPr>
      <w:r w:rsidRPr="000D1F63">
        <w:rPr>
          <w:bCs/>
          <w:color w:val="000000"/>
        </w:rPr>
        <w:t xml:space="preserve">As such, Enrico has failed to satisfy its burden to demonstrate </w:t>
      </w:r>
      <w:r w:rsidR="00021E94" w:rsidRPr="000D1F63">
        <w:rPr>
          <w:bCs/>
          <w:color w:val="000000"/>
        </w:rPr>
        <w:t>that Blue Pilot has violated the Public Utility Code or any Commission Order or regulation with regard to telemarketing, slamming or receipt of the disclosure statement</w:t>
      </w:r>
      <w:r w:rsidRPr="000D1F63">
        <w:rPr>
          <w:bCs/>
          <w:color w:val="000000"/>
        </w:rPr>
        <w:t>.</w:t>
      </w:r>
    </w:p>
    <w:p w:rsidR="00484167" w:rsidRPr="000D1F63" w:rsidRDefault="00484167" w:rsidP="00484167">
      <w:pPr>
        <w:pStyle w:val="Style"/>
        <w:spacing w:line="360" w:lineRule="auto"/>
        <w:rPr>
          <w:bCs/>
          <w:color w:val="000000"/>
        </w:rPr>
      </w:pPr>
    </w:p>
    <w:p w:rsidR="002170E1" w:rsidRPr="000D1F63" w:rsidRDefault="00067784" w:rsidP="002170E1">
      <w:pPr>
        <w:pStyle w:val="Style"/>
        <w:spacing w:line="360" w:lineRule="auto"/>
        <w:rPr>
          <w:bCs/>
          <w:color w:val="000000"/>
        </w:rPr>
      </w:pPr>
      <w:r w:rsidRPr="000D1F63">
        <w:rPr>
          <w:b/>
          <w:bCs/>
          <w:color w:val="000000"/>
          <w:u w:val="single"/>
        </w:rPr>
        <w:t xml:space="preserve">A </w:t>
      </w:r>
      <w:r w:rsidR="002170E1" w:rsidRPr="000D1F63">
        <w:rPr>
          <w:b/>
          <w:bCs/>
          <w:color w:val="000000"/>
          <w:u w:val="single"/>
        </w:rPr>
        <w:t xml:space="preserve">Civil Penalty </w:t>
      </w:r>
      <w:r w:rsidRPr="000D1F63">
        <w:rPr>
          <w:b/>
          <w:bCs/>
          <w:color w:val="000000"/>
          <w:u w:val="single"/>
        </w:rPr>
        <w:t xml:space="preserve">should be imposed on Blue Pilot </w:t>
      </w:r>
      <w:r w:rsidR="002170E1" w:rsidRPr="000D1F63">
        <w:rPr>
          <w:b/>
          <w:bCs/>
          <w:color w:val="000000"/>
          <w:u w:val="single"/>
        </w:rPr>
        <w:t xml:space="preserve">and </w:t>
      </w:r>
      <w:r w:rsidRPr="000D1F63">
        <w:rPr>
          <w:b/>
          <w:bCs/>
          <w:color w:val="000000"/>
          <w:u w:val="single"/>
        </w:rPr>
        <w:t>Enrico should be r</w:t>
      </w:r>
      <w:r w:rsidR="002170E1" w:rsidRPr="000D1F63">
        <w:rPr>
          <w:b/>
          <w:bCs/>
          <w:color w:val="000000"/>
          <w:u w:val="single"/>
        </w:rPr>
        <w:t>efund</w:t>
      </w:r>
      <w:r w:rsidRPr="000D1F63">
        <w:rPr>
          <w:b/>
          <w:bCs/>
          <w:color w:val="000000"/>
          <w:u w:val="single"/>
        </w:rPr>
        <w:t>ed the amount it was over billed</w:t>
      </w:r>
    </w:p>
    <w:p w:rsidR="002170E1" w:rsidRPr="000D1F63" w:rsidRDefault="002170E1" w:rsidP="002170E1">
      <w:pPr>
        <w:pStyle w:val="Style"/>
        <w:spacing w:line="360" w:lineRule="auto"/>
        <w:rPr>
          <w:bCs/>
          <w:color w:val="000000"/>
        </w:rPr>
      </w:pPr>
    </w:p>
    <w:p w:rsidR="00D55F2C" w:rsidRPr="000D1F63" w:rsidRDefault="00D55F2C" w:rsidP="00D55F2C">
      <w:pPr>
        <w:suppressAutoHyphens/>
        <w:spacing w:after="0" w:line="360" w:lineRule="auto"/>
        <w:ind w:firstLine="1440"/>
        <w:rPr>
          <w:rFonts w:ascii="Times New Roman" w:eastAsiaTheme="minorEastAsia" w:hAnsi="Times New Roman" w:cs="Times New Roman"/>
          <w:sz w:val="24"/>
          <w:szCs w:val="24"/>
        </w:rPr>
      </w:pPr>
      <w:r w:rsidRPr="000D1F63">
        <w:rPr>
          <w:rFonts w:ascii="Times New Roman" w:eastAsiaTheme="minorEastAsia" w:hAnsi="Times New Roman" w:cs="Times New Roman"/>
          <w:sz w:val="24"/>
          <w:szCs w:val="24"/>
        </w:rPr>
        <w:t>As a result</w:t>
      </w:r>
      <w:r w:rsidR="00773973" w:rsidRPr="000D1F63">
        <w:rPr>
          <w:rFonts w:ascii="Times New Roman" w:eastAsiaTheme="minorEastAsia" w:hAnsi="Times New Roman" w:cs="Times New Roman"/>
          <w:sz w:val="24"/>
          <w:szCs w:val="24"/>
        </w:rPr>
        <w:t xml:space="preserve"> of the finding that Blue Pilot’s Disclosure Statement is not written in plain language and, therefore, violates Sections 54.43 and 111.12 of the Commission’s regulations</w:t>
      </w:r>
      <w:r w:rsidRPr="000D1F63">
        <w:rPr>
          <w:rFonts w:ascii="Times New Roman" w:eastAsiaTheme="minorEastAsia" w:hAnsi="Times New Roman" w:cs="Times New Roman"/>
          <w:sz w:val="24"/>
          <w:szCs w:val="24"/>
        </w:rPr>
        <w:t xml:space="preserve">, a civil penalty is appropriate and </w:t>
      </w:r>
      <w:r w:rsidR="00F80003" w:rsidRPr="000D1F63">
        <w:rPr>
          <w:rFonts w:ascii="Times New Roman" w:eastAsiaTheme="minorEastAsia" w:hAnsi="Times New Roman" w:cs="Times New Roman"/>
          <w:sz w:val="24"/>
          <w:szCs w:val="24"/>
        </w:rPr>
        <w:t xml:space="preserve">Blue Pilot will be directed to </w:t>
      </w:r>
      <w:r w:rsidRPr="000D1F63">
        <w:rPr>
          <w:rFonts w:ascii="Times New Roman" w:eastAsiaTheme="minorEastAsia" w:hAnsi="Times New Roman" w:cs="Times New Roman"/>
          <w:sz w:val="24"/>
          <w:szCs w:val="24"/>
        </w:rPr>
        <w:t xml:space="preserve">refund </w:t>
      </w:r>
      <w:r w:rsidR="00773973" w:rsidRPr="000D1F63">
        <w:rPr>
          <w:rFonts w:ascii="Times New Roman" w:eastAsiaTheme="minorEastAsia" w:hAnsi="Times New Roman" w:cs="Times New Roman"/>
          <w:sz w:val="24"/>
          <w:szCs w:val="24"/>
        </w:rPr>
        <w:t xml:space="preserve">Enrico </w:t>
      </w:r>
      <w:r w:rsidRPr="000D1F63">
        <w:rPr>
          <w:rFonts w:ascii="Times New Roman" w:eastAsiaTheme="minorEastAsia" w:hAnsi="Times New Roman" w:cs="Times New Roman"/>
          <w:sz w:val="24"/>
          <w:szCs w:val="24"/>
        </w:rPr>
        <w:t xml:space="preserve">the amount </w:t>
      </w:r>
      <w:r w:rsidR="00F80003" w:rsidRPr="000D1F63">
        <w:rPr>
          <w:rFonts w:ascii="Times New Roman" w:eastAsiaTheme="minorEastAsia" w:hAnsi="Times New Roman" w:cs="Times New Roman"/>
          <w:sz w:val="24"/>
          <w:szCs w:val="24"/>
        </w:rPr>
        <w:t>it</w:t>
      </w:r>
      <w:r w:rsidRPr="000D1F63">
        <w:rPr>
          <w:rFonts w:ascii="Times New Roman" w:eastAsiaTheme="minorEastAsia" w:hAnsi="Times New Roman" w:cs="Times New Roman"/>
          <w:sz w:val="24"/>
          <w:szCs w:val="24"/>
        </w:rPr>
        <w:t xml:space="preserve"> was over billed. </w:t>
      </w:r>
    </w:p>
    <w:p w:rsidR="00D55F2C" w:rsidRPr="000D1F63" w:rsidRDefault="00D55F2C" w:rsidP="00D55F2C">
      <w:pPr>
        <w:suppressAutoHyphens/>
        <w:spacing w:after="0" w:line="360" w:lineRule="auto"/>
        <w:ind w:firstLine="1440"/>
        <w:rPr>
          <w:rFonts w:ascii="Times New Roman" w:eastAsiaTheme="minorEastAsia" w:hAnsi="Times New Roman" w:cs="Times New Roman"/>
          <w:sz w:val="24"/>
          <w:szCs w:val="24"/>
        </w:rPr>
      </w:pPr>
    </w:p>
    <w:p w:rsidR="00D55F2C" w:rsidRPr="000D1F63" w:rsidRDefault="00D55F2C" w:rsidP="00D55F2C">
      <w:pPr>
        <w:suppressAutoHyphens/>
        <w:spacing w:after="0" w:line="360" w:lineRule="auto"/>
        <w:ind w:firstLine="1440"/>
        <w:rPr>
          <w:rFonts w:ascii="Times New Roman" w:hAnsi="Times New Roman" w:cs="Times New Roman"/>
          <w:spacing w:val="-3"/>
          <w:sz w:val="24"/>
          <w:szCs w:val="24"/>
        </w:rPr>
      </w:pPr>
      <w:r w:rsidRPr="000D1F63">
        <w:rPr>
          <w:rFonts w:ascii="Times New Roman" w:eastAsiaTheme="minorEastAsia" w:hAnsi="Times New Roman" w:cs="Times New Roman"/>
          <w:sz w:val="24"/>
          <w:szCs w:val="24"/>
        </w:rPr>
        <w:t>With regard to the civil penalty, t</w:t>
      </w:r>
      <w:r w:rsidRPr="000D1F63">
        <w:rPr>
          <w:rFonts w:ascii="Times New Roman" w:hAnsi="Times New Roman" w:cs="Times New Roman"/>
          <w:spacing w:val="-3"/>
          <w:sz w:val="24"/>
          <w:szCs w:val="24"/>
        </w:rPr>
        <w:t>he Commission has set forth, in a statement of policy, the factors and standards for determining appropriate civil</w:t>
      </w:r>
      <w:r w:rsidR="00371137" w:rsidRPr="000D1F63">
        <w:rPr>
          <w:rFonts w:ascii="Times New Roman" w:hAnsi="Times New Roman" w:cs="Times New Roman"/>
          <w:spacing w:val="-3"/>
          <w:sz w:val="24"/>
          <w:szCs w:val="24"/>
        </w:rPr>
        <w:t xml:space="preserve"> penalty amounts.  52 Pa.Code § </w:t>
      </w:r>
      <w:r w:rsidRPr="000D1F63">
        <w:rPr>
          <w:rFonts w:ascii="Times New Roman" w:hAnsi="Times New Roman" w:cs="Times New Roman"/>
          <w:spacing w:val="-3"/>
          <w:sz w:val="24"/>
          <w:szCs w:val="24"/>
        </w:rPr>
        <w:t xml:space="preserve">69.1201(c); </w:t>
      </w:r>
      <w:r w:rsidRPr="000D1F63">
        <w:rPr>
          <w:rFonts w:ascii="Times New Roman" w:hAnsi="Times New Roman" w:cs="Times New Roman"/>
          <w:i/>
          <w:spacing w:val="-3"/>
          <w:sz w:val="24"/>
          <w:szCs w:val="24"/>
        </w:rPr>
        <w:t>see also</w:t>
      </w:r>
      <w:r w:rsidRPr="000D1F63">
        <w:rPr>
          <w:rFonts w:ascii="Times New Roman" w:hAnsi="Times New Roman" w:cs="Times New Roman"/>
          <w:spacing w:val="-3"/>
          <w:sz w:val="24"/>
          <w:szCs w:val="24"/>
        </w:rPr>
        <w:t xml:space="preserve">, </w:t>
      </w:r>
      <w:r w:rsidRPr="000D1F63">
        <w:rPr>
          <w:rFonts w:ascii="Times New Roman" w:hAnsi="Times New Roman" w:cs="Times New Roman"/>
          <w:spacing w:val="-3"/>
          <w:sz w:val="24"/>
          <w:szCs w:val="24"/>
          <w:u w:val="single"/>
        </w:rPr>
        <w:t>Rosi v. Bell Atlantic-Pa., Inc. and Sprint Communications Company</w:t>
      </w:r>
      <w:r w:rsidRPr="000D1F63">
        <w:rPr>
          <w:rFonts w:ascii="Times New Roman" w:hAnsi="Times New Roman" w:cs="Times New Roman"/>
          <w:spacing w:val="-3"/>
          <w:sz w:val="24"/>
          <w:szCs w:val="24"/>
        </w:rPr>
        <w:t>, Docket No. C-0092409, Final Order (entered February 10, 2000).  These factors and standards are as follows:</w:t>
      </w:r>
    </w:p>
    <w:p w:rsidR="008F13AE" w:rsidRPr="000D1F63" w:rsidRDefault="008F13AE" w:rsidP="008F13AE">
      <w:pPr>
        <w:suppressAutoHyphens/>
        <w:spacing w:after="0" w:line="240" w:lineRule="auto"/>
        <w:ind w:firstLine="1440"/>
        <w:rPr>
          <w:rFonts w:ascii="Times New Roman" w:hAnsi="Times New Roman" w:cs="Times New Roman"/>
          <w:spacing w:val="-3"/>
          <w:sz w:val="24"/>
          <w:szCs w:val="24"/>
        </w:rPr>
      </w:pPr>
    </w:p>
    <w:p w:rsidR="00D55F2C" w:rsidRPr="000D1F63" w:rsidRDefault="00D55F2C" w:rsidP="008F13AE">
      <w:pPr>
        <w:suppressAutoHyphens/>
        <w:spacing w:after="0" w:line="240" w:lineRule="auto"/>
        <w:ind w:left="1440" w:right="1440"/>
        <w:rPr>
          <w:rFonts w:ascii="Times New Roman" w:hAnsi="Times New Roman" w:cs="Times New Roman"/>
          <w:spacing w:val="-3"/>
          <w:sz w:val="24"/>
          <w:szCs w:val="24"/>
        </w:rPr>
      </w:pPr>
      <w:r w:rsidRPr="000D1F63">
        <w:rPr>
          <w:rFonts w:ascii="Times New Roman" w:hAnsi="Times New Roman" w:cs="Times New Roman"/>
          <w:spacing w:val="-3"/>
          <w:sz w:val="24"/>
          <w:szCs w:val="24"/>
        </w:rPr>
        <w:t>(1)</w:t>
      </w:r>
      <w:r w:rsidRPr="000D1F63">
        <w:rPr>
          <w:rFonts w:ascii="Times New Roman" w:hAnsi="Times New Roman" w:cs="Times New Roman"/>
          <w:spacing w:val="-3"/>
          <w:sz w:val="24"/>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r w:rsidRPr="000D1F63">
        <w:rPr>
          <w:rFonts w:ascii="Times New Roman" w:hAnsi="Times New Roman" w:cs="Times New Roman"/>
          <w:spacing w:val="-3"/>
          <w:sz w:val="24"/>
          <w:szCs w:val="24"/>
        </w:rPr>
        <w:t>(2)</w:t>
      </w:r>
      <w:r w:rsidRPr="000D1F63">
        <w:rPr>
          <w:rFonts w:ascii="Times New Roman" w:hAnsi="Times New Roman" w:cs="Times New Roman"/>
          <w:spacing w:val="-3"/>
          <w:sz w:val="24"/>
          <w:szCs w:val="24"/>
        </w:rPr>
        <w:tab/>
        <w:t>Whether the resulting consequences of the conduct at issue were of a serious nature.  When consequences of a serious nature are involved, such as personal injury or property damage, the consequences may warrant a higher penalty.</w:t>
      </w: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r w:rsidRPr="000D1F63">
        <w:rPr>
          <w:rFonts w:ascii="Times New Roman" w:hAnsi="Times New Roman" w:cs="Times New Roman"/>
          <w:spacing w:val="-3"/>
          <w:sz w:val="24"/>
          <w:szCs w:val="24"/>
        </w:rPr>
        <w:t>(3)</w:t>
      </w:r>
      <w:r w:rsidRPr="000D1F63">
        <w:rPr>
          <w:rFonts w:ascii="Times New Roman" w:hAnsi="Times New Roman" w:cs="Times New Roman"/>
          <w:spacing w:val="-3"/>
          <w:sz w:val="24"/>
          <w:szCs w:val="24"/>
        </w:rPr>
        <w:tab/>
        <w:t>Whether the conduct at issue was deemed intentional or negligent.  This factor may only be considered in evaluating litigated cases.  When conduct has been deemed intentional, the conduct may result in a higher penalty.</w:t>
      </w: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r w:rsidRPr="000D1F63">
        <w:rPr>
          <w:rFonts w:ascii="Times New Roman" w:hAnsi="Times New Roman" w:cs="Times New Roman"/>
          <w:spacing w:val="-3"/>
          <w:sz w:val="24"/>
          <w:szCs w:val="24"/>
        </w:rPr>
        <w:t>(4)</w:t>
      </w:r>
      <w:r w:rsidRPr="000D1F63">
        <w:rPr>
          <w:rFonts w:ascii="Times New Roman" w:hAnsi="Times New Roman" w:cs="Times New Roman"/>
          <w:spacing w:val="-3"/>
          <w:sz w:val="24"/>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r w:rsidRPr="000D1F63">
        <w:rPr>
          <w:rFonts w:ascii="Times New Roman" w:hAnsi="Times New Roman" w:cs="Times New Roman"/>
          <w:spacing w:val="-3"/>
          <w:sz w:val="24"/>
          <w:szCs w:val="24"/>
        </w:rPr>
        <w:t>(5)</w:t>
      </w:r>
      <w:r w:rsidRPr="000D1F63">
        <w:rPr>
          <w:rFonts w:ascii="Times New Roman" w:hAnsi="Times New Roman" w:cs="Times New Roman"/>
          <w:spacing w:val="-3"/>
          <w:sz w:val="24"/>
          <w:szCs w:val="24"/>
        </w:rPr>
        <w:tab/>
        <w:t>The number of customers affected and the duration of the violation.</w:t>
      </w: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r w:rsidRPr="000D1F63">
        <w:rPr>
          <w:rFonts w:ascii="Times New Roman" w:hAnsi="Times New Roman" w:cs="Times New Roman"/>
          <w:spacing w:val="-3"/>
          <w:sz w:val="24"/>
          <w:szCs w:val="24"/>
        </w:rPr>
        <w:t>(6)</w:t>
      </w:r>
      <w:r w:rsidRPr="000D1F63">
        <w:rPr>
          <w:rFonts w:ascii="Times New Roman" w:hAnsi="Times New Roman" w:cs="Times New Roman"/>
          <w:spacing w:val="-3"/>
          <w:sz w:val="24"/>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8F13AE" w:rsidRPr="000D1F63" w:rsidRDefault="008F13AE" w:rsidP="00D55F2C">
      <w:pPr>
        <w:suppressAutoHyphens/>
        <w:spacing w:after="0" w:line="240" w:lineRule="auto"/>
        <w:ind w:left="1440" w:right="1440"/>
        <w:rPr>
          <w:rFonts w:ascii="Times New Roman" w:hAnsi="Times New Roman" w:cs="Times New Roman"/>
          <w:spacing w:val="-3"/>
          <w:sz w:val="24"/>
          <w:szCs w:val="24"/>
        </w:rPr>
      </w:pP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r w:rsidRPr="000D1F63">
        <w:rPr>
          <w:rFonts w:ascii="Times New Roman" w:hAnsi="Times New Roman" w:cs="Times New Roman"/>
          <w:spacing w:val="-3"/>
          <w:sz w:val="24"/>
          <w:szCs w:val="24"/>
        </w:rPr>
        <w:t>(7)</w:t>
      </w:r>
      <w:r w:rsidRPr="000D1F63">
        <w:rPr>
          <w:rFonts w:ascii="Times New Roman" w:hAnsi="Times New Roman" w:cs="Times New Roman"/>
          <w:spacing w:val="-3"/>
          <w:sz w:val="24"/>
          <w:szCs w:val="24"/>
        </w:rPr>
        <w:tab/>
        <w:t>Whether the regulated entity cooperated with the Commission’s investigation.  Facts establishing bad faith, active concealment of violations, or attempts to interfere with Commission investigations may result in a higher penalty.</w:t>
      </w: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r w:rsidRPr="000D1F63">
        <w:rPr>
          <w:rFonts w:ascii="Times New Roman" w:hAnsi="Times New Roman" w:cs="Times New Roman"/>
          <w:spacing w:val="-3"/>
          <w:sz w:val="24"/>
          <w:szCs w:val="24"/>
        </w:rPr>
        <w:t>(8)</w:t>
      </w:r>
      <w:r w:rsidRPr="000D1F63">
        <w:rPr>
          <w:rFonts w:ascii="Times New Roman" w:hAnsi="Times New Roman" w:cs="Times New Roman"/>
          <w:spacing w:val="-3"/>
          <w:sz w:val="24"/>
          <w:szCs w:val="24"/>
        </w:rPr>
        <w:tab/>
        <w:t>The amount of the civil penalty or fine necessary to deter future violations.  The size of the utility may be considered to determine an appropriate penalty amount.</w:t>
      </w: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r w:rsidRPr="000D1F63">
        <w:rPr>
          <w:rFonts w:ascii="Times New Roman" w:hAnsi="Times New Roman" w:cs="Times New Roman"/>
          <w:spacing w:val="-3"/>
          <w:sz w:val="24"/>
          <w:szCs w:val="24"/>
        </w:rPr>
        <w:t>(9)</w:t>
      </w:r>
      <w:r w:rsidRPr="000D1F63">
        <w:rPr>
          <w:rFonts w:ascii="Times New Roman" w:hAnsi="Times New Roman" w:cs="Times New Roman"/>
          <w:spacing w:val="-3"/>
          <w:sz w:val="24"/>
          <w:szCs w:val="24"/>
        </w:rPr>
        <w:tab/>
        <w:t>Past Commission decisions in similar situations.</w:t>
      </w: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p>
    <w:p w:rsidR="00D55F2C" w:rsidRPr="000D1F63" w:rsidRDefault="00D55F2C" w:rsidP="00D55F2C">
      <w:pPr>
        <w:suppressAutoHyphens/>
        <w:spacing w:after="0" w:line="240" w:lineRule="auto"/>
        <w:ind w:left="1440" w:right="1440"/>
        <w:rPr>
          <w:rFonts w:ascii="Times New Roman" w:hAnsi="Times New Roman" w:cs="Times New Roman"/>
          <w:spacing w:val="-3"/>
          <w:sz w:val="24"/>
          <w:szCs w:val="24"/>
        </w:rPr>
      </w:pPr>
      <w:r w:rsidRPr="000D1F63">
        <w:rPr>
          <w:rFonts w:ascii="Times New Roman" w:hAnsi="Times New Roman" w:cs="Times New Roman"/>
          <w:spacing w:val="-3"/>
          <w:sz w:val="24"/>
          <w:szCs w:val="24"/>
        </w:rPr>
        <w:t xml:space="preserve">(10) </w:t>
      </w:r>
      <w:r w:rsidRPr="000D1F63">
        <w:rPr>
          <w:rFonts w:ascii="Times New Roman" w:hAnsi="Times New Roman" w:cs="Times New Roman"/>
          <w:spacing w:val="-3"/>
          <w:sz w:val="24"/>
          <w:szCs w:val="24"/>
        </w:rPr>
        <w:tab/>
        <w:t>Other relevant factors.</w:t>
      </w:r>
    </w:p>
    <w:p w:rsidR="00D55F2C" w:rsidRPr="000D1F63" w:rsidRDefault="00D55F2C" w:rsidP="008F13AE">
      <w:pPr>
        <w:suppressAutoHyphens/>
        <w:spacing w:line="360" w:lineRule="auto"/>
        <w:rPr>
          <w:rFonts w:ascii="Times New Roman" w:hAnsi="Times New Roman" w:cs="Times New Roman"/>
          <w:spacing w:val="-3"/>
          <w:sz w:val="24"/>
          <w:szCs w:val="24"/>
        </w:rPr>
      </w:pPr>
    </w:p>
    <w:p w:rsidR="0016107D" w:rsidRPr="000D1F63" w:rsidRDefault="00D55F2C" w:rsidP="00D55F2C">
      <w:pPr>
        <w:pStyle w:val="Style"/>
        <w:spacing w:line="360" w:lineRule="auto"/>
        <w:ind w:firstLine="1440"/>
        <w:rPr>
          <w:rFonts w:eastAsiaTheme="minorEastAsia"/>
        </w:rPr>
      </w:pPr>
      <w:r w:rsidRPr="000D1F63">
        <w:rPr>
          <w:rFonts w:eastAsiaTheme="minorEastAsia"/>
        </w:rPr>
        <w:t>With regard to the first factor, whether the conduct was of a serious nature, this factor supports</w:t>
      </w:r>
      <w:r w:rsidR="0016107D" w:rsidRPr="000D1F63">
        <w:rPr>
          <w:rFonts w:eastAsiaTheme="minorEastAsia"/>
        </w:rPr>
        <w:t xml:space="preserve"> a higher penalty.  The Disclosure Statement is not written </w:t>
      </w:r>
      <w:r w:rsidR="00C71DC1" w:rsidRPr="000D1F63">
        <w:rPr>
          <w:rFonts w:eastAsiaTheme="minorEastAsia"/>
        </w:rPr>
        <w:t xml:space="preserve">using </w:t>
      </w:r>
      <w:r w:rsidR="0016107D" w:rsidRPr="000D1F63">
        <w:rPr>
          <w:rFonts w:eastAsiaTheme="minorEastAsia"/>
        </w:rPr>
        <w:t xml:space="preserve">plain language and is not clear, easily understood and unambiguous.  As a result, Enrico was over billed for electric generation service by more than $27,000.  The record evidence supports a finding that Blue Pilot’s Disclosure Statement was </w:t>
      </w:r>
      <w:r w:rsidR="00F80003" w:rsidRPr="000D1F63">
        <w:rPr>
          <w:rFonts w:eastAsiaTheme="minorEastAsia"/>
        </w:rPr>
        <w:t xml:space="preserve">of </w:t>
      </w:r>
      <w:r w:rsidR="0016107D" w:rsidRPr="000D1F63">
        <w:rPr>
          <w:rFonts w:eastAsiaTheme="minorEastAsia"/>
        </w:rPr>
        <w:t xml:space="preserve">a serious </w:t>
      </w:r>
      <w:r w:rsidR="00F80003" w:rsidRPr="000D1F63">
        <w:rPr>
          <w:rFonts w:eastAsiaTheme="minorEastAsia"/>
        </w:rPr>
        <w:t>nature</w:t>
      </w:r>
      <w:r w:rsidR="0016107D" w:rsidRPr="000D1F63">
        <w:rPr>
          <w:rFonts w:eastAsiaTheme="minorEastAsia"/>
        </w:rPr>
        <w:t>.  The lack of plain language in the Disclosure Statement was not an administrative error or a technical error.  It is, therefore, reasonable to find that the violations of the Commission’s plain language requirements were of a serious nature.</w:t>
      </w:r>
    </w:p>
    <w:p w:rsidR="00D55F2C" w:rsidRPr="000D1F63" w:rsidRDefault="00D55F2C" w:rsidP="00D55F2C">
      <w:pPr>
        <w:pStyle w:val="Style"/>
        <w:spacing w:line="360" w:lineRule="auto"/>
        <w:ind w:firstLine="1440"/>
        <w:rPr>
          <w:rFonts w:eastAsiaTheme="minorEastAsia"/>
        </w:rPr>
      </w:pPr>
    </w:p>
    <w:p w:rsidR="00D55F2C" w:rsidRPr="000D1F63" w:rsidRDefault="00D55F2C" w:rsidP="00D55F2C">
      <w:pPr>
        <w:pStyle w:val="Style"/>
        <w:spacing w:line="360" w:lineRule="auto"/>
        <w:ind w:firstLine="1440"/>
        <w:rPr>
          <w:rFonts w:eastAsiaTheme="minorEastAsia"/>
        </w:rPr>
      </w:pPr>
      <w:r w:rsidRPr="000D1F63">
        <w:rPr>
          <w:rFonts w:eastAsiaTheme="minorEastAsia"/>
        </w:rPr>
        <w:t>With regard to the second factor, whether the resulting consequences of the conduct at issue were of a serious nature, this factor supports a lower penalty.  Althoug</w:t>
      </w:r>
      <w:r w:rsidR="0016107D" w:rsidRPr="000D1F63">
        <w:rPr>
          <w:rFonts w:eastAsiaTheme="minorEastAsia"/>
        </w:rPr>
        <w:t>h the result of the failure to use plain language in the Disclosure Statement resulted in Enrico being ov</w:t>
      </w:r>
      <w:r w:rsidR="00F80003" w:rsidRPr="000D1F63">
        <w:rPr>
          <w:rFonts w:eastAsiaTheme="minorEastAsia"/>
        </w:rPr>
        <w:t>er billed by more than $27,000</w:t>
      </w:r>
      <w:r w:rsidR="0016107D" w:rsidRPr="000D1F63">
        <w:rPr>
          <w:rFonts w:eastAsiaTheme="minorEastAsia"/>
        </w:rPr>
        <w:t xml:space="preserve">, this result does not involve personal injury or property damage that would warrant a higher penalty.  </w:t>
      </w:r>
    </w:p>
    <w:p w:rsidR="0016107D" w:rsidRPr="000D1F63" w:rsidRDefault="0016107D" w:rsidP="00D55F2C">
      <w:pPr>
        <w:pStyle w:val="Style"/>
        <w:spacing w:line="360" w:lineRule="auto"/>
        <w:ind w:firstLine="1440"/>
        <w:rPr>
          <w:rFonts w:eastAsiaTheme="minorEastAsia"/>
        </w:rPr>
      </w:pPr>
    </w:p>
    <w:p w:rsidR="00D55F2C" w:rsidRPr="000D1F63" w:rsidRDefault="00D55F2C" w:rsidP="00D55F2C">
      <w:pPr>
        <w:pStyle w:val="Style"/>
        <w:spacing w:line="360" w:lineRule="auto"/>
        <w:ind w:firstLine="1440"/>
        <w:rPr>
          <w:rFonts w:eastAsiaTheme="minorEastAsia"/>
        </w:rPr>
      </w:pPr>
      <w:r w:rsidRPr="000D1F63">
        <w:rPr>
          <w:rFonts w:eastAsiaTheme="minorEastAsia"/>
        </w:rPr>
        <w:t>With regard to the third factor, whether the conduct was deemed intentional or negligent, this factor also supports a higher penalty</w:t>
      </w:r>
      <w:r w:rsidR="0016107D" w:rsidRPr="000D1F63">
        <w:rPr>
          <w:rFonts w:eastAsiaTheme="minorEastAsia"/>
        </w:rPr>
        <w:t xml:space="preserve">.  The language provided on the Disclosure Statement was intentional and not negligent.  </w:t>
      </w:r>
      <w:r w:rsidR="00AC1327" w:rsidRPr="000D1F63">
        <w:rPr>
          <w:rFonts w:eastAsiaTheme="minorEastAsia"/>
        </w:rPr>
        <w:t xml:space="preserve">Although there may not have been any intent to provide language that was ambiguous or unclear, the language that was provided on the Disclosure Statement was intentionally provided.  </w:t>
      </w:r>
      <w:r w:rsidRPr="000D1F63">
        <w:rPr>
          <w:rFonts w:eastAsiaTheme="minorEastAsia"/>
        </w:rPr>
        <w:t xml:space="preserve">Such </w:t>
      </w:r>
      <w:r w:rsidR="00AC1327" w:rsidRPr="000D1F63">
        <w:rPr>
          <w:rFonts w:eastAsiaTheme="minorEastAsia"/>
        </w:rPr>
        <w:t xml:space="preserve">intent </w:t>
      </w:r>
      <w:r w:rsidRPr="000D1F63">
        <w:rPr>
          <w:rFonts w:eastAsiaTheme="minorEastAsia"/>
        </w:rPr>
        <w:t>supports imposing a higher civil penalty.</w:t>
      </w:r>
    </w:p>
    <w:p w:rsidR="00D55F2C" w:rsidRPr="000D1F63" w:rsidRDefault="00D55F2C" w:rsidP="00D55F2C">
      <w:pPr>
        <w:pStyle w:val="Style"/>
        <w:spacing w:line="360" w:lineRule="auto"/>
        <w:ind w:firstLine="1440"/>
        <w:rPr>
          <w:rFonts w:eastAsiaTheme="minorEastAsia"/>
        </w:rPr>
      </w:pPr>
    </w:p>
    <w:p w:rsidR="00AC1327" w:rsidRPr="000D1F63" w:rsidRDefault="00D55F2C" w:rsidP="00D55F2C">
      <w:pPr>
        <w:pStyle w:val="Style"/>
        <w:spacing w:line="360" w:lineRule="auto"/>
        <w:ind w:firstLine="1440"/>
        <w:rPr>
          <w:rFonts w:eastAsiaTheme="minorEastAsia"/>
        </w:rPr>
      </w:pPr>
      <w:r w:rsidRPr="000D1F63">
        <w:rPr>
          <w:rFonts w:eastAsiaTheme="minorEastAsia"/>
        </w:rPr>
        <w:t xml:space="preserve">With regard to the fourth factor, whether the regulated entity made efforts to modify its practices and procedures to address the conduct at issue and prevent similar occurrences, this factor also supports imposing a higher civil penalty.  There is no record evidence that demonstrates </w:t>
      </w:r>
      <w:r w:rsidR="00AC1327" w:rsidRPr="000D1F63">
        <w:rPr>
          <w:rFonts w:eastAsiaTheme="minorEastAsia"/>
        </w:rPr>
        <w:t xml:space="preserve">that Blue Pilot has made any changes to its Disclosure Statement to use plain language and </w:t>
      </w:r>
      <w:r w:rsidR="00D4154A">
        <w:rPr>
          <w:rFonts w:eastAsiaTheme="minorEastAsia"/>
        </w:rPr>
        <w:t xml:space="preserve">avoid </w:t>
      </w:r>
      <w:r w:rsidR="00AC1327" w:rsidRPr="000D1F63">
        <w:rPr>
          <w:rFonts w:eastAsiaTheme="minorEastAsia"/>
        </w:rPr>
        <w:t xml:space="preserve">confusion among other customers </w:t>
      </w:r>
      <w:r w:rsidR="00314D0B">
        <w:rPr>
          <w:rFonts w:eastAsiaTheme="minorEastAsia"/>
        </w:rPr>
        <w:t xml:space="preserve">that would </w:t>
      </w:r>
      <w:r w:rsidR="00AC1327" w:rsidRPr="000D1F63">
        <w:rPr>
          <w:rFonts w:eastAsiaTheme="minorEastAsia"/>
        </w:rPr>
        <w:t>prevent similar occurrences in the future.</w:t>
      </w:r>
    </w:p>
    <w:p w:rsidR="00AC1327" w:rsidRPr="000D1F63" w:rsidRDefault="00AC1327" w:rsidP="00D55F2C">
      <w:pPr>
        <w:pStyle w:val="Style"/>
        <w:spacing w:line="360" w:lineRule="auto"/>
        <w:ind w:firstLine="1440"/>
        <w:rPr>
          <w:rFonts w:eastAsiaTheme="minorEastAsia"/>
        </w:rPr>
      </w:pPr>
    </w:p>
    <w:p w:rsidR="00371137" w:rsidRPr="000D1F63" w:rsidRDefault="00D55F2C" w:rsidP="00436DF4">
      <w:pPr>
        <w:pStyle w:val="Style"/>
        <w:spacing w:line="360" w:lineRule="auto"/>
        <w:ind w:firstLine="1440"/>
        <w:rPr>
          <w:rFonts w:eastAsiaTheme="minorEastAsia"/>
        </w:rPr>
      </w:pPr>
      <w:r w:rsidRPr="000D1F63">
        <w:rPr>
          <w:rFonts w:eastAsiaTheme="minorEastAsia"/>
        </w:rPr>
        <w:t xml:space="preserve">With regard to the fifth factor, the number of customers affected and the duration of the violation, this factor supports a lower penalty, but imposition of that penalty </w:t>
      </w:r>
      <w:r w:rsidR="006F0B60">
        <w:rPr>
          <w:rFonts w:eastAsiaTheme="minorEastAsia"/>
        </w:rPr>
        <w:t xml:space="preserve">for both regulations that </w:t>
      </w:r>
      <w:r w:rsidR="00AC1327" w:rsidRPr="000D1F63">
        <w:rPr>
          <w:rFonts w:eastAsiaTheme="minorEastAsia"/>
        </w:rPr>
        <w:t xml:space="preserve">were violated.  </w:t>
      </w:r>
      <w:r w:rsidRPr="000D1F63">
        <w:rPr>
          <w:rFonts w:eastAsiaTheme="minorEastAsia"/>
        </w:rPr>
        <w:t xml:space="preserve">There is no record evidence, however, that demonstrates that </w:t>
      </w:r>
      <w:r w:rsidR="00C50DD6" w:rsidRPr="000D1F63">
        <w:rPr>
          <w:rFonts w:eastAsiaTheme="minorEastAsia"/>
        </w:rPr>
        <w:t xml:space="preserve">any customer other </w:t>
      </w:r>
      <w:r w:rsidRPr="000D1F63">
        <w:rPr>
          <w:rFonts w:eastAsiaTheme="minorEastAsia"/>
        </w:rPr>
        <w:t xml:space="preserve">than </w:t>
      </w:r>
      <w:r w:rsidR="00AC1327" w:rsidRPr="000D1F63">
        <w:rPr>
          <w:rFonts w:eastAsiaTheme="minorEastAsia"/>
        </w:rPr>
        <w:t xml:space="preserve">Enrico </w:t>
      </w:r>
      <w:r w:rsidRPr="000D1F63">
        <w:rPr>
          <w:rFonts w:eastAsiaTheme="minorEastAsia"/>
        </w:rPr>
        <w:t xml:space="preserve">was affected.  Nonetheless, </w:t>
      </w:r>
      <w:r w:rsidR="00AC1327" w:rsidRPr="000D1F63">
        <w:rPr>
          <w:rFonts w:eastAsiaTheme="minorEastAsia"/>
        </w:rPr>
        <w:t xml:space="preserve">a </w:t>
      </w:r>
      <w:r w:rsidRPr="000D1F63">
        <w:rPr>
          <w:rFonts w:eastAsiaTheme="minorEastAsia"/>
        </w:rPr>
        <w:t>civil penalty will be imposed for both violations.</w:t>
      </w:r>
    </w:p>
    <w:p w:rsidR="008F13AE" w:rsidRPr="000D1F63" w:rsidRDefault="008F13AE" w:rsidP="00436DF4">
      <w:pPr>
        <w:pStyle w:val="Style"/>
        <w:spacing w:line="360" w:lineRule="auto"/>
        <w:ind w:firstLine="1440"/>
        <w:rPr>
          <w:rFonts w:eastAsiaTheme="minorEastAsia"/>
        </w:rPr>
      </w:pPr>
    </w:p>
    <w:p w:rsidR="00D55F2C" w:rsidRPr="000D1F63" w:rsidRDefault="00D55F2C" w:rsidP="00D55F2C">
      <w:pPr>
        <w:pStyle w:val="Style"/>
        <w:spacing w:line="360" w:lineRule="auto"/>
        <w:ind w:firstLine="1440"/>
        <w:rPr>
          <w:rFonts w:eastAsiaTheme="minorEastAsia"/>
        </w:rPr>
      </w:pPr>
      <w:r w:rsidRPr="000D1F63">
        <w:rPr>
          <w:rFonts w:eastAsiaTheme="minorEastAsia"/>
        </w:rPr>
        <w:t>With regard to the sixth factor, the compliance history of the regulated entity which committed the violation, this factor will not be considered when determining the appropriate penalty to impose.  The Commission has received thousands of complaints regarding variable rates that occurred as a result of the extreme cold weather in the winter of 2014.</w:t>
      </w:r>
      <w:r w:rsidRPr="000D1F63">
        <w:rPr>
          <w:rStyle w:val="FootnoteReference"/>
          <w:rFonts w:eastAsiaTheme="minorEastAsia"/>
        </w:rPr>
        <w:footnoteReference w:id="2"/>
      </w:r>
      <w:r w:rsidRPr="000D1F63">
        <w:rPr>
          <w:rFonts w:eastAsiaTheme="minorEastAsia"/>
        </w:rPr>
        <w:t xml:space="preserve">  There is no evidence, however, how many of those complaints pertain to </w:t>
      </w:r>
      <w:r w:rsidR="00AC1327" w:rsidRPr="000D1F63">
        <w:rPr>
          <w:rFonts w:eastAsiaTheme="minorEastAsia"/>
        </w:rPr>
        <w:t xml:space="preserve">Blue Pilot </w:t>
      </w:r>
      <w:r w:rsidRPr="000D1F63">
        <w:rPr>
          <w:rFonts w:eastAsiaTheme="minorEastAsia"/>
        </w:rPr>
        <w:t xml:space="preserve">and how many of those complaints that pertain to </w:t>
      </w:r>
      <w:r w:rsidR="00AC1327" w:rsidRPr="000D1F63">
        <w:rPr>
          <w:rFonts w:eastAsiaTheme="minorEastAsia"/>
        </w:rPr>
        <w:t xml:space="preserve">Blue Pilot </w:t>
      </w:r>
      <w:r w:rsidRPr="000D1F63">
        <w:rPr>
          <w:rFonts w:eastAsiaTheme="minorEastAsia"/>
        </w:rPr>
        <w:t>were sustained.</w:t>
      </w:r>
    </w:p>
    <w:p w:rsidR="00D55F2C" w:rsidRPr="000D1F63" w:rsidRDefault="00D55F2C" w:rsidP="00D55F2C">
      <w:pPr>
        <w:pStyle w:val="Style"/>
        <w:spacing w:line="360" w:lineRule="auto"/>
        <w:ind w:firstLine="1440"/>
        <w:rPr>
          <w:rFonts w:eastAsiaTheme="minorEastAsia"/>
        </w:rPr>
      </w:pPr>
    </w:p>
    <w:p w:rsidR="00D55F2C" w:rsidRPr="000D1F63" w:rsidRDefault="00D55F2C" w:rsidP="00D55F2C">
      <w:pPr>
        <w:pStyle w:val="Style"/>
        <w:spacing w:line="360" w:lineRule="auto"/>
        <w:ind w:firstLine="1440"/>
        <w:rPr>
          <w:rFonts w:eastAsiaTheme="minorEastAsia"/>
        </w:rPr>
      </w:pPr>
      <w:r w:rsidRPr="000D1F63">
        <w:rPr>
          <w:rFonts w:eastAsiaTheme="minorEastAsia"/>
        </w:rPr>
        <w:t>With regard to the seventh factor, whether the regulated entity cooperated with the Commission’s investigation, this factor is not relevant to this proceeding and will not be considered when determining an appropriate civil penalty because this proceeding does not involve a Commission investigation.</w:t>
      </w:r>
    </w:p>
    <w:p w:rsidR="00D55F2C" w:rsidRPr="000D1F63" w:rsidRDefault="00D55F2C" w:rsidP="00D55F2C">
      <w:pPr>
        <w:pStyle w:val="Style"/>
        <w:spacing w:line="360" w:lineRule="auto"/>
        <w:ind w:firstLine="1440"/>
        <w:rPr>
          <w:rFonts w:eastAsiaTheme="minorEastAsia"/>
        </w:rPr>
      </w:pPr>
      <w:r w:rsidRPr="000D1F63">
        <w:rPr>
          <w:rFonts w:eastAsiaTheme="minorEastAsia"/>
        </w:rPr>
        <w:t xml:space="preserve">With regard to the eighth factor, the amount of the civil penalty necessary to deter future violations, this factor supports imposing a higher penalty.  The Commission has </w:t>
      </w:r>
      <w:r w:rsidR="00C50DD6" w:rsidRPr="000D1F63">
        <w:rPr>
          <w:rFonts w:eastAsiaTheme="minorEastAsia"/>
        </w:rPr>
        <w:t xml:space="preserve">emphasized the importance of ensuring the development of a robust market for electric generation service through informative and reliable marketing practices and avoiding conduct </w:t>
      </w:r>
      <w:r w:rsidR="00C71DC1" w:rsidRPr="000D1F63">
        <w:rPr>
          <w:rFonts w:eastAsiaTheme="minorEastAsia"/>
        </w:rPr>
        <w:t>t</w:t>
      </w:r>
      <w:r w:rsidR="00C50DD6" w:rsidRPr="000D1F63">
        <w:rPr>
          <w:rFonts w:eastAsiaTheme="minorEastAsia"/>
        </w:rPr>
        <w:t xml:space="preserve">hat may be potentially detrimental to the development of a successful retail electric market.  </w:t>
      </w:r>
      <w:r w:rsidR="00C50DD6" w:rsidRPr="000D1F63">
        <w:rPr>
          <w:rFonts w:eastAsiaTheme="minorEastAsia"/>
          <w:i/>
        </w:rPr>
        <w:t>See</w:t>
      </w:r>
      <w:r w:rsidR="00C50DD6" w:rsidRPr="000D1F63">
        <w:rPr>
          <w:rFonts w:eastAsiaTheme="minorEastAsia"/>
        </w:rPr>
        <w:t xml:space="preserve">, </w:t>
      </w:r>
      <w:r w:rsidR="00F52672" w:rsidRPr="000D1F63">
        <w:rPr>
          <w:rFonts w:eastAsiaTheme="minorEastAsia"/>
          <w:u w:val="single"/>
        </w:rPr>
        <w:t>Yaglidereliler</w:t>
      </w:r>
      <w:r w:rsidRPr="000D1F63">
        <w:rPr>
          <w:rFonts w:eastAsiaTheme="minorEastAsia"/>
        </w:rPr>
        <w:t xml:space="preserve">, </w:t>
      </w:r>
      <w:r w:rsidR="00C50DD6" w:rsidRPr="000D1F63">
        <w:rPr>
          <w:rFonts w:eastAsiaTheme="minorEastAsia"/>
          <w:u w:val="single"/>
        </w:rPr>
        <w:t>Towne</w:t>
      </w:r>
      <w:r w:rsidR="00C50DD6" w:rsidRPr="000D1F63">
        <w:rPr>
          <w:rFonts w:eastAsiaTheme="minorEastAsia"/>
        </w:rPr>
        <w:t xml:space="preserve">, </w:t>
      </w:r>
      <w:r w:rsidR="00C50DD6" w:rsidRPr="000D1F63">
        <w:rPr>
          <w:rFonts w:eastAsiaTheme="minorEastAsia"/>
          <w:u w:val="single"/>
        </w:rPr>
        <w:t>MacLuckie</w:t>
      </w:r>
      <w:r w:rsidR="00C50DD6" w:rsidRPr="000D1F63">
        <w:rPr>
          <w:rFonts w:eastAsiaTheme="minorEastAsia"/>
        </w:rPr>
        <w:t xml:space="preserve">, </w:t>
      </w:r>
      <w:r w:rsidR="00C50DD6" w:rsidRPr="000D1F63">
        <w:rPr>
          <w:rFonts w:eastAsiaTheme="minorEastAsia"/>
          <w:i/>
        </w:rPr>
        <w:t>supra</w:t>
      </w:r>
      <w:r w:rsidRPr="000D1F63">
        <w:rPr>
          <w:rFonts w:eastAsiaTheme="minorEastAsia"/>
        </w:rPr>
        <w:t xml:space="preserve">.  As a result, a higher civil penalty is appropriate to deter future violations by </w:t>
      </w:r>
      <w:r w:rsidR="00491C5B" w:rsidRPr="000D1F63">
        <w:rPr>
          <w:rFonts w:eastAsiaTheme="minorEastAsia"/>
        </w:rPr>
        <w:t xml:space="preserve">Blue Pilot </w:t>
      </w:r>
      <w:r w:rsidRPr="000D1F63">
        <w:rPr>
          <w:rFonts w:eastAsiaTheme="minorEastAsia"/>
        </w:rPr>
        <w:t>and other EGSs.</w:t>
      </w:r>
    </w:p>
    <w:p w:rsidR="00D55F2C" w:rsidRPr="000D1F63" w:rsidRDefault="00D55F2C" w:rsidP="00D55F2C">
      <w:pPr>
        <w:pStyle w:val="Style"/>
        <w:spacing w:line="360" w:lineRule="auto"/>
        <w:ind w:firstLine="1440"/>
        <w:rPr>
          <w:rFonts w:eastAsiaTheme="minorEastAsia"/>
        </w:rPr>
      </w:pPr>
    </w:p>
    <w:p w:rsidR="00D55F2C" w:rsidRPr="000D1F63" w:rsidRDefault="00D55F2C" w:rsidP="00D55F2C">
      <w:pPr>
        <w:pStyle w:val="Style"/>
        <w:spacing w:line="360" w:lineRule="auto"/>
        <w:ind w:firstLine="1440"/>
        <w:rPr>
          <w:rFonts w:eastAsiaTheme="minorEastAsia"/>
        </w:rPr>
      </w:pPr>
      <w:r w:rsidRPr="000D1F63">
        <w:rPr>
          <w:rFonts w:eastAsiaTheme="minorEastAsia"/>
        </w:rPr>
        <w:t xml:space="preserve">With regard to the ninth factor, past Commission decisions in similar cases, this factor also supports a higher civil penalty.  As noted above, the Commission recently determined that </w:t>
      </w:r>
      <w:r w:rsidR="00004499" w:rsidRPr="000D1F63">
        <w:rPr>
          <w:rFonts w:eastAsiaTheme="minorEastAsia"/>
        </w:rPr>
        <w:t>all disclosures must be clear and unequivocal</w:t>
      </w:r>
      <w:r w:rsidRPr="000D1F63">
        <w:rPr>
          <w:rFonts w:eastAsiaTheme="minorEastAsia"/>
        </w:rPr>
        <w:t>.</w:t>
      </w:r>
      <w:r w:rsidR="003F06D9" w:rsidRPr="000D1F63">
        <w:rPr>
          <w:rFonts w:eastAsiaTheme="minorEastAsia"/>
        </w:rPr>
        <w:t xml:space="preserve">  </w:t>
      </w:r>
      <w:r w:rsidR="003F06D9" w:rsidRPr="000D1F63">
        <w:rPr>
          <w:rFonts w:eastAsiaTheme="minorEastAsia"/>
          <w:u w:val="single"/>
        </w:rPr>
        <w:t>Yaglidereliler</w:t>
      </w:r>
      <w:r w:rsidR="003F06D9" w:rsidRPr="000D1F63">
        <w:rPr>
          <w:rFonts w:eastAsiaTheme="minorEastAsia"/>
        </w:rPr>
        <w:t xml:space="preserve">, </w:t>
      </w:r>
      <w:r w:rsidR="003F06D9" w:rsidRPr="000D1F63">
        <w:rPr>
          <w:rFonts w:eastAsiaTheme="minorEastAsia"/>
          <w:u w:val="single"/>
        </w:rPr>
        <w:t>MacLuckie</w:t>
      </w:r>
      <w:r w:rsidR="003F06D9" w:rsidRPr="000D1F63">
        <w:rPr>
          <w:rFonts w:eastAsiaTheme="minorEastAsia"/>
        </w:rPr>
        <w:t xml:space="preserve">, </w:t>
      </w:r>
      <w:r w:rsidR="003F06D9" w:rsidRPr="000D1F63">
        <w:rPr>
          <w:rFonts w:eastAsiaTheme="minorEastAsia"/>
          <w:i/>
        </w:rPr>
        <w:t>supra</w:t>
      </w:r>
      <w:r w:rsidR="003F06D9" w:rsidRPr="000D1F63">
        <w:rPr>
          <w:rFonts w:eastAsiaTheme="minorEastAsia"/>
        </w:rPr>
        <w:t>.</w:t>
      </w:r>
      <w:r w:rsidRPr="000D1F63">
        <w:rPr>
          <w:rFonts w:eastAsiaTheme="minorEastAsia"/>
        </w:rPr>
        <w:t xml:space="preserve">  A higher civil penalty in this case will be consistent with </w:t>
      </w:r>
      <w:r w:rsidR="00393B85" w:rsidRPr="000D1F63">
        <w:rPr>
          <w:rFonts w:eastAsiaTheme="minorEastAsia"/>
        </w:rPr>
        <w:t>these cases</w:t>
      </w:r>
      <w:r w:rsidRPr="000D1F63">
        <w:rPr>
          <w:rFonts w:eastAsiaTheme="minorEastAsia"/>
        </w:rPr>
        <w:t>.</w:t>
      </w:r>
    </w:p>
    <w:p w:rsidR="00D55F2C" w:rsidRPr="000D1F63" w:rsidRDefault="00D55F2C" w:rsidP="00D55F2C">
      <w:pPr>
        <w:pStyle w:val="Style"/>
        <w:spacing w:line="360" w:lineRule="auto"/>
        <w:ind w:firstLine="1440"/>
        <w:rPr>
          <w:rFonts w:eastAsiaTheme="minorEastAsia"/>
        </w:rPr>
      </w:pPr>
    </w:p>
    <w:p w:rsidR="00371137" w:rsidRPr="000D1F63" w:rsidRDefault="00D55F2C" w:rsidP="00436DF4">
      <w:pPr>
        <w:pStyle w:val="Style"/>
        <w:spacing w:line="360" w:lineRule="auto"/>
        <w:ind w:firstLine="1440"/>
        <w:rPr>
          <w:rFonts w:eastAsiaTheme="minorEastAsia"/>
        </w:rPr>
      </w:pPr>
      <w:r w:rsidRPr="000D1F63">
        <w:rPr>
          <w:rFonts w:eastAsiaTheme="minorEastAsia"/>
        </w:rPr>
        <w:t xml:space="preserve">With regard to the tenth factor, other relevant factors, </w:t>
      </w:r>
      <w:r w:rsidR="00F80003" w:rsidRPr="000D1F63">
        <w:rPr>
          <w:rFonts w:eastAsiaTheme="minorEastAsia"/>
        </w:rPr>
        <w:t>t</w:t>
      </w:r>
      <w:r w:rsidR="00077D19" w:rsidRPr="000D1F63">
        <w:rPr>
          <w:rFonts w:eastAsiaTheme="minorEastAsia"/>
        </w:rPr>
        <w:t xml:space="preserve">here are no other relevant factors that </w:t>
      </w:r>
      <w:r w:rsidR="00C71DC1" w:rsidRPr="000D1F63">
        <w:rPr>
          <w:rFonts w:eastAsiaTheme="minorEastAsia"/>
        </w:rPr>
        <w:t xml:space="preserve">impact the level of the </w:t>
      </w:r>
      <w:r w:rsidRPr="000D1F63">
        <w:rPr>
          <w:rFonts w:eastAsiaTheme="minorEastAsia"/>
        </w:rPr>
        <w:t>civil penalty.</w:t>
      </w:r>
    </w:p>
    <w:p w:rsidR="00436DF4" w:rsidRPr="000D1F63" w:rsidRDefault="00436DF4" w:rsidP="00436DF4">
      <w:pPr>
        <w:pStyle w:val="Style"/>
        <w:spacing w:line="360" w:lineRule="auto"/>
        <w:ind w:firstLine="1440"/>
      </w:pPr>
    </w:p>
    <w:p w:rsidR="00D55F2C" w:rsidRPr="000D1F63" w:rsidRDefault="00D55F2C" w:rsidP="00D55F2C">
      <w:pPr>
        <w:pStyle w:val="Style"/>
        <w:spacing w:line="360" w:lineRule="auto"/>
        <w:ind w:firstLine="1440"/>
      </w:pPr>
      <w:r w:rsidRPr="000D1F63">
        <w:t xml:space="preserve">When considering each factor in the civil penalty analysis provided by Section 69.1201 of the Commission’s regulations, it is appropriate that a civil penalty of $2,000 be imposed on </w:t>
      </w:r>
      <w:r w:rsidR="00077D19" w:rsidRPr="000D1F63">
        <w:t>Blue Pilot</w:t>
      </w:r>
      <w:r w:rsidRPr="000D1F63">
        <w:t xml:space="preserve"> for violations of </w:t>
      </w:r>
      <w:r w:rsidR="00077D19" w:rsidRPr="000D1F63">
        <w:t xml:space="preserve">two sections of </w:t>
      </w:r>
      <w:r w:rsidRPr="000D1F63">
        <w:t xml:space="preserve">the Public Utility Code discussed above.  This penalty comprises two $1,000 penalties – one for each </w:t>
      </w:r>
      <w:r w:rsidR="00393B85" w:rsidRPr="000D1F63">
        <w:t xml:space="preserve">violation of </w:t>
      </w:r>
      <w:r w:rsidR="00D51BFD" w:rsidRPr="000D1F63">
        <w:t xml:space="preserve">Sections 54.43 and 111.12 </w:t>
      </w:r>
      <w:r w:rsidR="00F80003" w:rsidRPr="000D1F63">
        <w:t xml:space="preserve">because both Sections require </w:t>
      </w:r>
      <w:r w:rsidRPr="000D1F63">
        <w:t xml:space="preserve">that </w:t>
      </w:r>
      <w:r w:rsidR="00D51BFD" w:rsidRPr="000D1F63">
        <w:t xml:space="preserve">Blue Pilot’s Disclosure Statement </w:t>
      </w:r>
      <w:r w:rsidR="00F80003" w:rsidRPr="000D1F63">
        <w:t xml:space="preserve">be </w:t>
      </w:r>
      <w:r w:rsidR="00D51BFD" w:rsidRPr="000D1F63">
        <w:t xml:space="preserve">written </w:t>
      </w:r>
      <w:r w:rsidR="00F80003" w:rsidRPr="000D1F63">
        <w:t xml:space="preserve">using </w:t>
      </w:r>
      <w:r w:rsidR="00D51BFD" w:rsidRPr="000D1F63">
        <w:t xml:space="preserve">plain language. </w:t>
      </w:r>
    </w:p>
    <w:p w:rsidR="00D51BFD" w:rsidRPr="000D1F63" w:rsidRDefault="00D51BFD" w:rsidP="00D55F2C">
      <w:pPr>
        <w:pStyle w:val="Style"/>
        <w:spacing w:line="360" w:lineRule="auto"/>
        <w:ind w:firstLine="1440"/>
      </w:pPr>
    </w:p>
    <w:p w:rsidR="00D55F2C" w:rsidRPr="000D1F63" w:rsidRDefault="00D55F2C" w:rsidP="00D55F2C">
      <w:pPr>
        <w:pStyle w:val="Style"/>
        <w:spacing w:line="360" w:lineRule="auto"/>
        <w:ind w:firstLine="1440"/>
      </w:pPr>
      <w:r w:rsidRPr="000D1F63">
        <w:t xml:space="preserve">With regard to </w:t>
      </w:r>
      <w:r w:rsidR="00D51BFD" w:rsidRPr="000D1F63">
        <w:t xml:space="preserve">Enrico’s </w:t>
      </w:r>
      <w:r w:rsidRPr="000D1F63">
        <w:t xml:space="preserve">request for a refund, the Commission has recently addressed this issue in </w:t>
      </w:r>
      <w:r w:rsidRPr="000D1F63">
        <w:rPr>
          <w:u w:val="single"/>
        </w:rPr>
        <w:t xml:space="preserve">Commonwealth of Pa, </w:t>
      </w:r>
      <w:r w:rsidRPr="000D1F63">
        <w:rPr>
          <w:i/>
          <w:u w:val="single"/>
        </w:rPr>
        <w:t>et al</w:t>
      </w:r>
      <w:r w:rsidRPr="000D1F63">
        <w:rPr>
          <w:u w:val="single"/>
        </w:rPr>
        <w:t>. v. IDT Energy, Inc.</w:t>
      </w:r>
      <w:r w:rsidRPr="000D1F63">
        <w:t>, Docket No. C-2014-2427657, Opinion and Order (entered Dec. 18, 2014) (</w:t>
      </w:r>
      <w:r w:rsidRPr="000D1F63">
        <w:rPr>
          <w:u w:val="single"/>
        </w:rPr>
        <w:t>IDT Order</w:t>
      </w:r>
      <w:r w:rsidRPr="000D1F63">
        <w:t xml:space="preserve">).  In the </w:t>
      </w:r>
      <w:r w:rsidRPr="000D1F63">
        <w:rPr>
          <w:u w:val="single"/>
        </w:rPr>
        <w:t>IDT Order</w:t>
      </w:r>
      <w:r w:rsidRPr="000D1F63">
        <w:t xml:space="preserve">, the Commission responded to a Petition for Interlocutory Review questioning, among other things, whether the Commission has authority under Section 1312 of the Public Utility Code to order EGSs to issue refunds to customers.  In answering the question in the negative, the Commission relied on its plenary authority under Section 501 of the Public Utility Code to direct an EGS to issue a credit or refund for an over bill.  </w:t>
      </w:r>
      <w:r w:rsidRPr="000D1F63">
        <w:rPr>
          <w:u w:val="single"/>
        </w:rPr>
        <w:t>Id.</w:t>
      </w:r>
      <w:r w:rsidRPr="000D1F63">
        <w:t xml:space="preserve"> at 17, </w:t>
      </w:r>
      <w:r w:rsidRPr="000D1F63">
        <w:rPr>
          <w:i/>
        </w:rPr>
        <w:t>citing</w:t>
      </w:r>
      <w:r w:rsidRPr="000D1F63">
        <w:t>, 66 Pa.C.S. § 501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The Commission noted that its “powers have been interpreted broadly to include both the express powers conferred by the Code and those implied powers necessarily implicit in the Code” and stated:</w:t>
      </w:r>
    </w:p>
    <w:p w:rsidR="00D55F2C" w:rsidRPr="000D1F63" w:rsidRDefault="00D55F2C" w:rsidP="00D55F2C">
      <w:pPr>
        <w:pStyle w:val="Style"/>
        <w:ind w:left="1440" w:right="1440"/>
      </w:pPr>
    </w:p>
    <w:p w:rsidR="00D55F2C" w:rsidRPr="000D1F63" w:rsidRDefault="00D55F2C" w:rsidP="00D55F2C">
      <w:pPr>
        <w:pStyle w:val="Style"/>
        <w:ind w:left="1440" w:right="1440"/>
      </w:pPr>
      <w:r w:rsidRPr="000D1F63">
        <w:t>Directing a billing adjustment for an EGS over bill of supply charges is within the Commission’s Section 501 powers to carry out the consumer protections in the Electric Competition Act that are applicable to competitive electricity generation supply service.  These consumer protections include the Section 2809(b) requirement that EGSs comply with the Commission’s regulations, including the Chapter 54 billing and disclosure regulations.</w:t>
      </w:r>
    </w:p>
    <w:p w:rsidR="00D55F2C" w:rsidRPr="000D1F63" w:rsidRDefault="00D55F2C" w:rsidP="00D55F2C">
      <w:pPr>
        <w:pStyle w:val="Style"/>
        <w:ind w:left="1440" w:right="1440"/>
      </w:pPr>
    </w:p>
    <w:p w:rsidR="00D55F2C" w:rsidRPr="000D1F63" w:rsidRDefault="00D55F2C" w:rsidP="00D55F2C">
      <w:pPr>
        <w:pStyle w:val="Style"/>
        <w:spacing w:line="360" w:lineRule="auto"/>
      </w:pPr>
      <w:r w:rsidRPr="000D1F63">
        <w:rPr>
          <w:u w:val="single"/>
        </w:rPr>
        <w:t>Id.</w:t>
      </w:r>
      <w:r w:rsidRPr="000D1F63">
        <w:t xml:space="preserve">  The Commission concluded that “ordering EGS billing adjustments for an over bill of supply charges is fully consistent with the policy objectives of the Electric Competition Act as well.”  </w:t>
      </w:r>
      <w:r w:rsidRPr="000D1F63">
        <w:rPr>
          <w:u w:val="single"/>
        </w:rPr>
        <w:t>Id.</w:t>
      </w:r>
      <w:r w:rsidRPr="000D1F63">
        <w:t xml:space="preserve"> at 18.</w:t>
      </w:r>
    </w:p>
    <w:p w:rsidR="00D55F2C" w:rsidRPr="000D1F63" w:rsidRDefault="00D55F2C" w:rsidP="00D55F2C">
      <w:pPr>
        <w:pStyle w:val="Style"/>
        <w:spacing w:line="360" w:lineRule="auto"/>
      </w:pPr>
    </w:p>
    <w:p w:rsidR="009B21BF" w:rsidRPr="000D1F63" w:rsidRDefault="00D55F2C" w:rsidP="004D227D">
      <w:pPr>
        <w:pStyle w:val="Style"/>
        <w:spacing w:line="360" w:lineRule="auto"/>
        <w:rPr>
          <w:rFonts w:eastAsiaTheme="minorEastAsia"/>
        </w:rPr>
      </w:pPr>
      <w:r w:rsidRPr="000D1F63">
        <w:tab/>
      </w:r>
      <w:r w:rsidRPr="000D1F63">
        <w:tab/>
        <w:t xml:space="preserve">In this case, as discussed above, </w:t>
      </w:r>
      <w:r w:rsidR="009B21BF" w:rsidRPr="000D1F63">
        <w:t xml:space="preserve">Enrico provided substantial </w:t>
      </w:r>
      <w:r w:rsidRPr="000D1F63">
        <w:t xml:space="preserve">record evidence </w:t>
      </w:r>
      <w:r w:rsidR="001349A2" w:rsidRPr="000D1F63">
        <w:t xml:space="preserve">in support of </w:t>
      </w:r>
      <w:r w:rsidR="009B21BF" w:rsidRPr="000D1F63">
        <w:t xml:space="preserve">the amount it believes it was over billed as a result of Blue Pilot’s failure to include plain language in its Disclosure Statement.  </w:t>
      </w:r>
      <w:r w:rsidR="00F80003" w:rsidRPr="000D1F63">
        <w:t>Most significantly</w:t>
      </w:r>
      <w:r w:rsidR="009B21BF" w:rsidRPr="000D1F63">
        <w:t xml:space="preserve">, </w:t>
      </w:r>
      <w:r w:rsidR="00FB3CDB" w:rsidRPr="000D1F63">
        <w:t>Enrico provided a volume of pages regarding PJM’s wholesale hourly market price</w:t>
      </w:r>
      <w:r w:rsidR="00393B85" w:rsidRPr="000D1F63">
        <w:t>s</w:t>
      </w:r>
      <w:r w:rsidR="00FB3CDB" w:rsidRPr="000D1F63">
        <w:t xml:space="preserve"> for March 2014 through August 2014.  Enrico Exh. No. 7; Tr. 17-19.  Enrico witness Holtz testified </w:t>
      </w:r>
      <w:r w:rsidR="001745D5" w:rsidRPr="000D1F63">
        <w:t>extensively about</w:t>
      </w:r>
      <w:r w:rsidR="00FB3CDB" w:rsidRPr="000D1F63">
        <w:t xml:space="preserve"> his calculations that led to his determination that Enrico was over billed a total of $27,168.48.  Tr. 17-23.  In response, Blue Pilot did not present any witness or exhibits to rebut the evidence provided by Enrico.  As noted above,</w:t>
      </w:r>
      <w:r w:rsidR="00492E78" w:rsidRPr="000D1F63">
        <w:t xml:space="preserve"> i</w:t>
      </w:r>
      <w:r w:rsidR="00492E78" w:rsidRPr="000D1F63">
        <w:rPr>
          <w:rFonts w:eastAsiaTheme="minorEastAsia"/>
        </w:rPr>
        <w:t xml:space="preserve">f a complainant establishes a </w:t>
      </w:r>
      <w:r w:rsidR="00492E78" w:rsidRPr="000D1F63">
        <w:rPr>
          <w:rFonts w:eastAsiaTheme="minorEastAsia"/>
          <w:i/>
        </w:rPr>
        <w:t xml:space="preserve">prima facie </w:t>
      </w:r>
      <w:r w:rsidR="00492E78" w:rsidRPr="000D1F63">
        <w:rPr>
          <w:rFonts w:eastAsiaTheme="minorEastAsia"/>
        </w:rPr>
        <w:t xml:space="preserve">case, the burden of going forward with the evidence shifts to the utility and, if a utility does not rebut that evidence, the complainant will prevail. </w:t>
      </w:r>
      <w:r w:rsidR="00C71DC1" w:rsidRPr="000D1F63">
        <w:rPr>
          <w:rFonts w:eastAsiaTheme="minorEastAsia"/>
        </w:rPr>
        <w:t xml:space="preserve"> </w:t>
      </w:r>
      <w:r w:rsidR="00C71DC1" w:rsidRPr="000D1F63">
        <w:rPr>
          <w:rFonts w:eastAsiaTheme="minorEastAsia"/>
          <w:i/>
        </w:rPr>
        <w:t>See</w:t>
      </w:r>
      <w:r w:rsidR="00C71DC1" w:rsidRPr="000D1F63">
        <w:rPr>
          <w:rFonts w:eastAsiaTheme="minorEastAsia"/>
        </w:rPr>
        <w:t>,</w:t>
      </w:r>
      <w:r w:rsidR="00492E78" w:rsidRPr="000D1F63">
        <w:rPr>
          <w:rFonts w:eastAsiaTheme="minorEastAsia"/>
        </w:rPr>
        <w:t xml:space="preserve"> </w:t>
      </w:r>
      <w:r w:rsidR="00492E78" w:rsidRPr="000D1F63">
        <w:rPr>
          <w:rFonts w:eastAsiaTheme="minorEastAsia"/>
          <w:u w:val="single"/>
        </w:rPr>
        <w:t>Replogle</w:t>
      </w:r>
      <w:r w:rsidR="00C71DC1" w:rsidRPr="000D1F63">
        <w:rPr>
          <w:rFonts w:eastAsiaTheme="minorEastAsia"/>
        </w:rPr>
        <w:t xml:space="preserve">, </w:t>
      </w:r>
      <w:r w:rsidR="00C71DC1" w:rsidRPr="000D1F63">
        <w:rPr>
          <w:rFonts w:eastAsiaTheme="minorEastAsia"/>
          <w:i/>
        </w:rPr>
        <w:t>supra</w:t>
      </w:r>
      <w:r w:rsidR="001349A2" w:rsidRPr="000D1F63">
        <w:rPr>
          <w:rFonts w:eastAsiaTheme="minorEastAsia"/>
        </w:rPr>
        <w:t xml:space="preserve">.  As a result, Blue Pilot will be directed to provide Enrico a refund of $27,168.48, representing the amount Enrico was over billed as a result of Blue Pilot’s failure to </w:t>
      </w:r>
      <w:r w:rsidR="00C71DC1" w:rsidRPr="000D1F63">
        <w:rPr>
          <w:rFonts w:eastAsiaTheme="minorEastAsia"/>
        </w:rPr>
        <w:t xml:space="preserve">use </w:t>
      </w:r>
      <w:r w:rsidR="001349A2" w:rsidRPr="000D1F63">
        <w:rPr>
          <w:rFonts w:eastAsiaTheme="minorEastAsia"/>
        </w:rPr>
        <w:t>plain language in its Disclosure Statement.</w:t>
      </w:r>
    </w:p>
    <w:p w:rsidR="001349A2" w:rsidRPr="000D1F63" w:rsidRDefault="001349A2" w:rsidP="004D227D">
      <w:pPr>
        <w:pStyle w:val="Style"/>
        <w:spacing w:line="360" w:lineRule="auto"/>
        <w:rPr>
          <w:rFonts w:eastAsiaTheme="minorEastAsia"/>
        </w:rPr>
      </w:pPr>
    </w:p>
    <w:p w:rsidR="004D227D" w:rsidRPr="000D1F63" w:rsidRDefault="004D227D">
      <w:pPr>
        <w:spacing w:line="240" w:lineRule="auto"/>
        <w:rPr>
          <w:rFonts w:ascii="Times New Roman" w:eastAsia="Times New Roman" w:hAnsi="Times New Roman" w:cs="Times New Roman"/>
          <w:b/>
          <w:bCs/>
          <w:color w:val="000000"/>
          <w:sz w:val="24"/>
          <w:szCs w:val="24"/>
          <w:u w:val="single"/>
        </w:rPr>
      </w:pPr>
      <w:r w:rsidRPr="000D1F63">
        <w:rPr>
          <w:rFonts w:ascii="Times New Roman" w:hAnsi="Times New Roman" w:cs="Times New Roman"/>
          <w:b/>
          <w:bCs/>
          <w:color w:val="000000"/>
          <w:sz w:val="24"/>
          <w:szCs w:val="24"/>
          <w:u w:val="single"/>
        </w:rPr>
        <w:br w:type="page"/>
      </w:r>
    </w:p>
    <w:p w:rsidR="000269FF" w:rsidRPr="000D1F63" w:rsidRDefault="000269FF" w:rsidP="004D227D">
      <w:pPr>
        <w:pStyle w:val="Style"/>
        <w:spacing w:line="360" w:lineRule="auto"/>
        <w:rPr>
          <w:bCs/>
          <w:color w:val="000000"/>
        </w:rPr>
      </w:pPr>
      <w:r w:rsidRPr="000D1F63">
        <w:rPr>
          <w:b/>
          <w:bCs/>
          <w:color w:val="000000"/>
          <w:u w:val="single"/>
        </w:rPr>
        <w:t>Conclusion</w:t>
      </w:r>
    </w:p>
    <w:p w:rsidR="002F1161" w:rsidRPr="000D1F63" w:rsidRDefault="002F1161" w:rsidP="004D227D">
      <w:pPr>
        <w:pStyle w:val="Style"/>
        <w:spacing w:line="360" w:lineRule="auto"/>
        <w:ind w:firstLine="1440"/>
      </w:pPr>
    </w:p>
    <w:p w:rsidR="004252CC" w:rsidRPr="000D1F63" w:rsidRDefault="00377530" w:rsidP="00B730CF">
      <w:pPr>
        <w:pStyle w:val="Style"/>
        <w:spacing w:line="360" w:lineRule="auto"/>
        <w:ind w:firstLine="1440"/>
      </w:pPr>
      <w:r w:rsidRPr="000D1F63">
        <w:t>Substantial record evidence demonstrates that Blue Pilot violated Sections 54.4</w:t>
      </w:r>
      <w:r w:rsidR="001745D5" w:rsidRPr="000D1F63">
        <w:t>3</w:t>
      </w:r>
      <w:r w:rsidRPr="000D1F63">
        <w:t xml:space="preserve"> and 111.12 of the Commission’s regulations when failing to use plain language in its Disclosure Statement.  The language used in the Disclosure Statement was unclear, easily misunderstood and ambiguous.  As a result, a civil penalty of $2,000 will be imposed on Blue Pilot in light of the violation of Section</w:t>
      </w:r>
      <w:r w:rsidR="00C71DC1" w:rsidRPr="000D1F63">
        <w:t>s</w:t>
      </w:r>
      <w:r w:rsidRPr="000D1F63">
        <w:t xml:space="preserve"> 54.4</w:t>
      </w:r>
      <w:r w:rsidR="001745D5" w:rsidRPr="000D1F63">
        <w:t>3</w:t>
      </w:r>
      <w:r w:rsidRPr="000D1F63">
        <w:t xml:space="preserve"> and 111.12.  Furthermore, Enrico has satisfied its burden of demonstrating that it is entitled to refund of the amount it was over billed.  Therefore, Blue Pilot will be directed to refund Enrico $27,168.48.</w:t>
      </w:r>
    </w:p>
    <w:p w:rsidR="00F14B9E" w:rsidRPr="000D1F63" w:rsidRDefault="00F14B9E" w:rsidP="00B730CF">
      <w:pPr>
        <w:pStyle w:val="Style"/>
        <w:spacing w:line="360" w:lineRule="auto"/>
      </w:pPr>
    </w:p>
    <w:p w:rsidR="00F3073F" w:rsidRPr="000D1F63" w:rsidRDefault="00F3073F" w:rsidP="00B730C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0D1F63">
        <w:rPr>
          <w:rFonts w:ascii="Times New Roman" w:eastAsia="Times New Roman" w:hAnsi="Times New Roman" w:cs="Times New Roman"/>
          <w:spacing w:val="-3"/>
          <w:sz w:val="24"/>
          <w:szCs w:val="24"/>
          <w:u w:val="single"/>
        </w:rPr>
        <w:t>CONCLUSIONS OF LAW</w:t>
      </w:r>
    </w:p>
    <w:p w:rsidR="00F3073F" w:rsidRPr="000D1F63" w:rsidRDefault="00F3073F" w:rsidP="00B730CF">
      <w:pPr>
        <w:spacing w:after="0" w:line="360" w:lineRule="auto"/>
        <w:rPr>
          <w:rFonts w:ascii="Times New Roman" w:eastAsia="Times New Roman" w:hAnsi="Times New Roman" w:cs="Times New Roman"/>
          <w:sz w:val="24"/>
          <w:szCs w:val="24"/>
        </w:rPr>
      </w:pPr>
    </w:p>
    <w:p w:rsidR="00F3073F" w:rsidRPr="000D1F63" w:rsidRDefault="00F3073F" w:rsidP="00B730CF">
      <w:pPr>
        <w:numPr>
          <w:ilvl w:val="0"/>
          <w:numId w:val="8"/>
        </w:numPr>
        <w:spacing w:after="0" w:line="360" w:lineRule="auto"/>
        <w:ind w:left="0" w:firstLine="1440"/>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F3073F" w:rsidRPr="000D1F63" w:rsidRDefault="00F3073F" w:rsidP="00B730CF">
      <w:pPr>
        <w:spacing w:after="0" w:line="360" w:lineRule="auto"/>
        <w:ind w:firstLine="1440"/>
        <w:contextualSpacing/>
        <w:rPr>
          <w:rFonts w:ascii="Times New Roman" w:eastAsiaTheme="minorEastAsia" w:hAnsi="Times New Roman" w:cs="Times New Roman"/>
          <w:sz w:val="24"/>
          <w:szCs w:val="24"/>
        </w:rPr>
      </w:pPr>
    </w:p>
    <w:p w:rsidR="00F3073F" w:rsidRPr="000D1F63" w:rsidRDefault="00F3073F" w:rsidP="00B730CF">
      <w:pPr>
        <w:numPr>
          <w:ilvl w:val="0"/>
          <w:numId w:val="8"/>
        </w:numPr>
        <w:spacing w:after="0" w:line="360" w:lineRule="auto"/>
        <w:ind w:left="0" w:firstLine="1440"/>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0D1F63">
        <w:rPr>
          <w:rFonts w:ascii="Times New Roman" w:eastAsia="Times New Roman" w:hAnsi="Times New Roman" w:cs="Times New Roman"/>
          <w:sz w:val="24"/>
          <w:szCs w:val="24"/>
          <w:u w:val="single"/>
        </w:rPr>
        <w:t>Se-Ling Hosiery v. Margulies</w:t>
      </w:r>
      <w:r w:rsidRPr="000D1F63">
        <w:rPr>
          <w:rFonts w:ascii="Times New Roman" w:eastAsia="Times New Roman" w:hAnsi="Times New Roman" w:cs="Times New Roman"/>
          <w:sz w:val="24"/>
          <w:szCs w:val="24"/>
        </w:rPr>
        <w:t>, 364 Pa. 54, 70 A.2d 854 (1950).</w:t>
      </w:r>
      <w:r w:rsidR="00165026" w:rsidRPr="000D1F63">
        <w:rPr>
          <w:rFonts w:ascii="Times New Roman" w:eastAsia="Times New Roman" w:hAnsi="Times New Roman" w:cs="Times New Roman"/>
          <w:sz w:val="24"/>
          <w:szCs w:val="24"/>
        </w:rPr>
        <w:t xml:space="preserve">  </w:t>
      </w:r>
      <w:r w:rsidRPr="000D1F63">
        <w:rPr>
          <w:rFonts w:ascii="Times New Roman" w:eastAsia="Times New Roman" w:hAnsi="Times New Roman" w:cs="Times New Roman"/>
          <w:sz w:val="24"/>
          <w:szCs w:val="24"/>
        </w:rPr>
        <w:t xml:space="preserve">If a complainant establishes a </w:t>
      </w:r>
      <w:r w:rsidRPr="000D1F63">
        <w:rPr>
          <w:rFonts w:ascii="Times New Roman" w:eastAsia="Times New Roman" w:hAnsi="Times New Roman" w:cs="Times New Roman"/>
          <w:i/>
          <w:sz w:val="24"/>
          <w:szCs w:val="24"/>
        </w:rPr>
        <w:t xml:space="preserve">prima facie </w:t>
      </w:r>
      <w:r w:rsidRPr="000D1F63">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0D1F63">
        <w:rPr>
          <w:rFonts w:ascii="Times New Roman" w:eastAsia="Times New Roman" w:hAnsi="Times New Roman" w:cs="Times New Roman"/>
          <w:sz w:val="24"/>
          <w:szCs w:val="24"/>
          <w:u w:val="single"/>
        </w:rPr>
        <w:t>Replogle v. Pennsylvania Electric Company</w:t>
      </w:r>
      <w:r w:rsidRPr="000D1F63">
        <w:rPr>
          <w:rFonts w:ascii="Times New Roman" w:eastAsia="Times New Roman" w:hAnsi="Times New Roman" w:cs="Times New Roman"/>
          <w:sz w:val="24"/>
          <w:szCs w:val="24"/>
        </w:rPr>
        <w:t xml:space="preserve">, 54 Pa. PUC 528 (1980), and </w:t>
      </w:r>
      <w:r w:rsidRPr="000D1F63">
        <w:rPr>
          <w:rFonts w:ascii="Times New Roman" w:eastAsia="Times New Roman" w:hAnsi="Times New Roman" w:cs="Times New Roman"/>
          <w:sz w:val="24"/>
          <w:szCs w:val="24"/>
          <w:u w:val="single"/>
        </w:rPr>
        <w:t>Waldron v. Philadelphia Electric Company</w:t>
      </w:r>
      <w:r w:rsidRPr="000D1F63">
        <w:rPr>
          <w:rFonts w:ascii="Times New Roman" w:eastAsia="Times New Roman" w:hAnsi="Times New Roman" w:cs="Times New Roman"/>
          <w:sz w:val="24"/>
          <w:szCs w:val="24"/>
        </w:rPr>
        <w:t>, 54 Pa. PUC 98 (1980).</w:t>
      </w:r>
    </w:p>
    <w:p w:rsidR="00F3073F" w:rsidRPr="000D1F63" w:rsidRDefault="00F3073F" w:rsidP="00F3073F">
      <w:pPr>
        <w:spacing w:after="0" w:line="360" w:lineRule="auto"/>
        <w:ind w:left="720"/>
        <w:contextualSpacing/>
        <w:rPr>
          <w:rFonts w:ascii="Times New Roman" w:eastAsiaTheme="minorEastAsia" w:hAnsi="Times New Roman" w:cs="Times New Roman"/>
          <w:sz w:val="24"/>
          <w:szCs w:val="24"/>
        </w:rPr>
      </w:pPr>
    </w:p>
    <w:p w:rsidR="00F3073F" w:rsidRPr="000D1F63"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The decision of the Commission must be supported by substantial evidence.  2 Pa.C.S. § 704.</w:t>
      </w:r>
    </w:p>
    <w:p w:rsidR="00F3073F" w:rsidRPr="000D1F63" w:rsidRDefault="00F3073F" w:rsidP="00F3073F">
      <w:pPr>
        <w:pStyle w:val="ListParagraph"/>
        <w:spacing w:after="0" w:line="360" w:lineRule="auto"/>
        <w:contextualSpacing w:val="0"/>
        <w:rPr>
          <w:rFonts w:ascii="Times New Roman" w:eastAsia="Times New Roman" w:hAnsi="Times New Roman" w:cs="Times New Roman"/>
          <w:sz w:val="24"/>
          <w:szCs w:val="24"/>
        </w:rPr>
      </w:pPr>
    </w:p>
    <w:p w:rsidR="00AB2E48" w:rsidRPr="000D1F63" w:rsidRDefault="00F3073F" w:rsidP="00AB2E48">
      <w:pPr>
        <w:numPr>
          <w:ilvl w:val="0"/>
          <w:numId w:val="8"/>
        </w:numPr>
        <w:spacing w:after="0" w:line="360" w:lineRule="auto"/>
        <w:ind w:left="0" w:firstLine="1440"/>
        <w:rPr>
          <w:rFonts w:ascii="Times New Roman" w:eastAsiaTheme="minorEastAsia" w:hAnsi="Times New Roman" w:cs="Times New Roman"/>
          <w:sz w:val="24"/>
          <w:szCs w:val="24"/>
        </w:rPr>
      </w:pPr>
      <w:r w:rsidRPr="000D1F63">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0D1F63">
        <w:rPr>
          <w:rFonts w:ascii="Times New Roman" w:eastAsia="Times New Roman" w:hAnsi="Times New Roman" w:cs="Times New Roman"/>
          <w:sz w:val="24"/>
          <w:szCs w:val="24"/>
          <w:u w:val="single"/>
        </w:rPr>
        <w:t>Norfolk &amp; Western Ry. Co. v. Pa. Pub. Util. Comm’n</w:t>
      </w:r>
      <w:r w:rsidRPr="000D1F63">
        <w:rPr>
          <w:rFonts w:ascii="Times New Roman" w:eastAsia="Times New Roman" w:hAnsi="Times New Roman" w:cs="Times New Roman"/>
          <w:sz w:val="24"/>
          <w:szCs w:val="24"/>
        </w:rPr>
        <w:t xml:space="preserve">, 489 Pa. 109, 413 A.2d 1037 (1980); </w:t>
      </w:r>
      <w:r w:rsidRPr="000D1F63">
        <w:rPr>
          <w:rFonts w:ascii="Times New Roman" w:eastAsia="Times New Roman" w:hAnsi="Times New Roman" w:cs="Times New Roman"/>
          <w:sz w:val="24"/>
          <w:szCs w:val="24"/>
          <w:u w:val="single"/>
        </w:rPr>
        <w:t>Erie Resistor Corp. v. Unemployment Comp. Bd. of Review</w:t>
      </w:r>
      <w:r w:rsidRPr="000D1F63">
        <w:rPr>
          <w:rFonts w:ascii="Times New Roman" w:eastAsia="Times New Roman" w:hAnsi="Times New Roman" w:cs="Times New Roman"/>
          <w:sz w:val="24"/>
          <w:szCs w:val="24"/>
        </w:rPr>
        <w:t xml:space="preserve">, 194 Pa. Superior Ct. 278, 166 A.2d 96 (1961); and </w:t>
      </w:r>
      <w:r w:rsidRPr="000D1F63">
        <w:rPr>
          <w:rFonts w:ascii="Times New Roman" w:eastAsia="Times New Roman" w:hAnsi="Times New Roman" w:cs="Times New Roman"/>
          <w:sz w:val="24"/>
          <w:szCs w:val="24"/>
          <w:u w:val="single"/>
        </w:rPr>
        <w:t>Murphy v. Comm., Dept. of Public Welfare, White Haven Center</w:t>
      </w:r>
      <w:r w:rsidRPr="000D1F63">
        <w:rPr>
          <w:rFonts w:ascii="Times New Roman" w:eastAsia="Times New Roman" w:hAnsi="Times New Roman" w:cs="Times New Roman"/>
          <w:sz w:val="24"/>
          <w:szCs w:val="24"/>
        </w:rPr>
        <w:t>, 85 Pa. Cmwlth Ct. 23, 480 A.2d 382 (1984).</w:t>
      </w:r>
    </w:p>
    <w:p w:rsidR="00AB2E48" w:rsidRPr="000D1F63" w:rsidRDefault="00AB2E48" w:rsidP="00AB2E48">
      <w:pPr>
        <w:pStyle w:val="ListParagraph"/>
        <w:rPr>
          <w:rFonts w:ascii="Times New Roman" w:hAnsi="Times New Roman" w:cs="Times New Roman"/>
          <w:bCs/>
          <w:color w:val="000000"/>
          <w:sz w:val="24"/>
          <w:szCs w:val="24"/>
        </w:rPr>
      </w:pPr>
    </w:p>
    <w:p w:rsidR="00AB2E48" w:rsidRPr="000D1F63" w:rsidRDefault="00AB2E48" w:rsidP="00AB2E48">
      <w:pPr>
        <w:numPr>
          <w:ilvl w:val="0"/>
          <w:numId w:val="8"/>
        </w:numPr>
        <w:spacing w:after="0" w:line="360" w:lineRule="auto"/>
        <w:ind w:left="0" w:firstLine="1440"/>
        <w:rPr>
          <w:rFonts w:ascii="Times New Roman" w:eastAsiaTheme="minorEastAsia" w:hAnsi="Times New Roman" w:cs="Times New Roman"/>
          <w:sz w:val="24"/>
          <w:szCs w:val="24"/>
        </w:rPr>
      </w:pPr>
      <w:r w:rsidRPr="000D1F63">
        <w:rPr>
          <w:rFonts w:ascii="Times New Roman" w:hAnsi="Times New Roman" w:cs="Times New Roman"/>
          <w:bCs/>
          <w:color w:val="000000"/>
          <w:sz w:val="24"/>
          <w:szCs w:val="24"/>
        </w:rPr>
        <w:t>A licensee shall provide accurate information about their electric generation services using plain language and common terms in communications with consumers.  When new terms are used, the terms shall be defined again usin</w:t>
      </w:r>
      <w:r w:rsidR="004D227D" w:rsidRPr="000D1F63">
        <w:rPr>
          <w:rFonts w:ascii="Times New Roman" w:hAnsi="Times New Roman" w:cs="Times New Roman"/>
          <w:bCs/>
          <w:color w:val="000000"/>
          <w:sz w:val="24"/>
          <w:szCs w:val="24"/>
        </w:rPr>
        <w:t>g plain language.  52 Pa.Code § </w:t>
      </w:r>
      <w:r w:rsidRPr="000D1F63">
        <w:rPr>
          <w:rFonts w:ascii="Times New Roman" w:hAnsi="Times New Roman" w:cs="Times New Roman"/>
          <w:bCs/>
          <w:color w:val="000000"/>
          <w:sz w:val="24"/>
          <w:szCs w:val="24"/>
        </w:rPr>
        <w:t xml:space="preserve">54.43(a).  </w:t>
      </w:r>
    </w:p>
    <w:p w:rsidR="00AB2E48" w:rsidRPr="000D1F63" w:rsidRDefault="00AB2E48" w:rsidP="00AB2E48">
      <w:pPr>
        <w:pStyle w:val="ListParagraph"/>
        <w:rPr>
          <w:rFonts w:ascii="Times New Roman" w:hAnsi="Times New Roman" w:cs="Times New Roman"/>
          <w:sz w:val="24"/>
          <w:szCs w:val="24"/>
        </w:rPr>
      </w:pPr>
    </w:p>
    <w:p w:rsidR="00AB2E48" w:rsidRPr="000D1F63" w:rsidRDefault="001745D5" w:rsidP="00AB2E48">
      <w:pPr>
        <w:numPr>
          <w:ilvl w:val="0"/>
          <w:numId w:val="8"/>
        </w:numPr>
        <w:spacing w:after="0" w:line="360" w:lineRule="auto"/>
        <w:ind w:left="0" w:firstLine="1440"/>
        <w:rPr>
          <w:rFonts w:ascii="Times New Roman" w:eastAsiaTheme="minorEastAsia" w:hAnsi="Times New Roman" w:cs="Times New Roman"/>
          <w:sz w:val="24"/>
          <w:szCs w:val="24"/>
        </w:rPr>
      </w:pPr>
      <w:r w:rsidRPr="000D1F63">
        <w:rPr>
          <w:rFonts w:ascii="Times New Roman" w:hAnsi="Times New Roman" w:cs="Times New Roman"/>
          <w:sz w:val="24"/>
          <w:szCs w:val="24"/>
        </w:rPr>
        <w:t xml:space="preserve">Electric generation service providers </w:t>
      </w:r>
      <w:r w:rsidR="00AB2E48" w:rsidRPr="000D1F63">
        <w:rPr>
          <w:rFonts w:ascii="Times New Roman" w:hAnsi="Times New Roman" w:cs="Times New Roman"/>
          <w:sz w:val="24"/>
          <w:szCs w:val="24"/>
        </w:rPr>
        <w:t>are required to provide accurate and timely information and ensure that product or service offerings made by a supplier contain information, verbally or written, in plain language designed to be understood by the customer.  52 Pa.Code § 111.12(d).</w:t>
      </w:r>
    </w:p>
    <w:p w:rsidR="00AB2E48" w:rsidRPr="000D1F63" w:rsidRDefault="00AB2E48" w:rsidP="00AB2E48">
      <w:pPr>
        <w:pStyle w:val="ListParagraph"/>
        <w:rPr>
          <w:rFonts w:ascii="Times New Roman" w:hAnsi="Times New Roman" w:cs="Times New Roman"/>
          <w:sz w:val="24"/>
          <w:szCs w:val="24"/>
        </w:rPr>
      </w:pPr>
    </w:p>
    <w:p w:rsidR="005A31A5" w:rsidRPr="000D1F63" w:rsidRDefault="00AB2E48" w:rsidP="00D03CBF">
      <w:pPr>
        <w:numPr>
          <w:ilvl w:val="0"/>
          <w:numId w:val="8"/>
        </w:numPr>
        <w:spacing w:after="0" w:line="360" w:lineRule="auto"/>
        <w:ind w:left="0" w:firstLine="1440"/>
        <w:rPr>
          <w:rFonts w:ascii="Times New Roman" w:eastAsiaTheme="minorEastAsia" w:hAnsi="Times New Roman" w:cs="Times New Roman"/>
          <w:sz w:val="24"/>
          <w:szCs w:val="24"/>
        </w:rPr>
      </w:pPr>
      <w:r w:rsidRPr="000D1F63">
        <w:rPr>
          <w:rFonts w:ascii="Times New Roman" w:hAnsi="Times New Roman" w:cs="Times New Roman"/>
          <w:sz w:val="24"/>
          <w:szCs w:val="24"/>
        </w:rPr>
        <w:t xml:space="preserve">The Commission may impose fines on a licensed EGS or suspend or revoke its license if it fails to follow the principles set forth </w:t>
      </w:r>
      <w:r w:rsidR="004D227D" w:rsidRPr="000D1F63">
        <w:rPr>
          <w:rFonts w:ascii="Times New Roman" w:hAnsi="Times New Roman" w:cs="Times New Roman"/>
          <w:sz w:val="24"/>
          <w:szCs w:val="24"/>
        </w:rPr>
        <w:t>in Section 54.43.  52 Pa.Code § </w:t>
      </w:r>
      <w:r w:rsidRPr="000D1F63">
        <w:rPr>
          <w:rFonts w:ascii="Times New Roman" w:hAnsi="Times New Roman" w:cs="Times New Roman"/>
          <w:sz w:val="24"/>
          <w:szCs w:val="24"/>
        </w:rPr>
        <w:t xml:space="preserve">54.42(a)(6).  </w:t>
      </w:r>
    </w:p>
    <w:p w:rsidR="00AB2E48" w:rsidRPr="000D1F63" w:rsidRDefault="00AB2E48" w:rsidP="00D03CBF">
      <w:pPr>
        <w:pStyle w:val="ListParagraph"/>
        <w:ind w:left="0" w:firstLine="1440"/>
        <w:rPr>
          <w:rFonts w:ascii="Times New Roman" w:eastAsiaTheme="minorEastAsia" w:hAnsi="Times New Roman" w:cs="Times New Roman"/>
          <w:sz w:val="24"/>
          <w:szCs w:val="24"/>
        </w:rPr>
      </w:pPr>
    </w:p>
    <w:p w:rsidR="00D03CBF" w:rsidRPr="000D1F63" w:rsidRDefault="004E2963" w:rsidP="00D03CBF">
      <w:pPr>
        <w:pStyle w:val="ParaTab1"/>
        <w:numPr>
          <w:ilvl w:val="0"/>
          <w:numId w:val="8"/>
        </w:numPr>
        <w:spacing w:line="360" w:lineRule="auto"/>
        <w:ind w:left="0" w:firstLine="1440"/>
        <w:rPr>
          <w:rFonts w:ascii="Times New Roman" w:hAnsi="Times New Roman" w:cs="Times New Roman"/>
        </w:rPr>
      </w:pPr>
      <w:r w:rsidRPr="000D1F63">
        <w:rPr>
          <w:rFonts w:ascii="Times New Roman" w:hAnsi="Times New Roman" w:cs="Times New Roman"/>
        </w:rPr>
        <w:t xml:space="preserve">Language is "ambiguous" when it conveys two or more reasonable meanings; or when it is otherwise vague, uncertain or indefinite.  </w:t>
      </w:r>
      <w:r w:rsidRPr="000D1F63">
        <w:rPr>
          <w:rFonts w:ascii="Times New Roman" w:hAnsi="Times New Roman" w:cs="Times New Roman"/>
          <w:u w:val="single"/>
        </w:rPr>
        <w:t>Barasch v. Pa.P.U.C.</w:t>
      </w:r>
      <w:r w:rsidRPr="000D1F63">
        <w:rPr>
          <w:rFonts w:ascii="Times New Roman" w:hAnsi="Times New Roman" w:cs="Times New Roman"/>
        </w:rPr>
        <w:t>, 516 Pa. 142, 156 (Pa. 1987).</w:t>
      </w:r>
    </w:p>
    <w:p w:rsidR="00EA037C" w:rsidRPr="000D1F63" w:rsidRDefault="00EA037C" w:rsidP="00EA037C">
      <w:pPr>
        <w:pStyle w:val="ListParagraph"/>
        <w:rPr>
          <w:rFonts w:ascii="Times New Roman" w:hAnsi="Times New Roman" w:cs="Times New Roman"/>
          <w:sz w:val="24"/>
          <w:szCs w:val="24"/>
        </w:rPr>
      </w:pPr>
    </w:p>
    <w:p w:rsidR="00EA037C" w:rsidRPr="000D1F63" w:rsidRDefault="00EA037C" w:rsidP="00D03CBF">
      <w:pPr>
        <w:pStyle w:val="ParaTab1"/>
        <w:numPr>
          <w:ilvl w:val="0"/>
          <w:numId w:val="8"/>
        </w:numPr>
        <w:spacing w:line="360" w:lineRule="auto"/>
        <w:ind w:left="0" w:firstLine="1440"/>
        <w:rPr>
          <w:rFonts w:ascii="Times New Roman" w:hAnsi="Times New Roman" w:cs="Times New Roman"/>
        </w:rPr>
      </w:pPr>
      <w:r w:rsidRPr="000D1F63">
        <w:rPr>
          <w:rFonts w:ascii="Times New Roman" w:hAnsi="Times New Roman" w:cs="Times New Roman"/>
        </w:rPr>
        <w:t xml:space="preserve">All disclosures from electric generation service providers must be clear and unequivocal.  </w:t>
      </w:r>
      <w:r w:rsidRPr="000D1F63">
        <w:rPr>
          <w:rFonts w:ascii="Times New Roman" w:hAnsi="Times New Roman" w:cs="Times New Roman"/>
          <w:u w:val="single"/>
        </w:rPr>
        <w:t>Yaglidereliler Corporation v. Blue Pilot Energy, LLC</w:t>
      </w:r>
      <w:r w:rsidRPr="000D1F63">
        <w:rPr>
          <w:rFonts w:ascii="Times New Roman" w:hAnsi="Times New Roman" w:cs="Times New Roman"/>
        </w:rPr>
        <w:t>, Docket No. C-2014-2413732, Opinion and Order (entered Jan. 16, 2015).</w:t>
      </w:r>
    </w:p>
    <w:p w:rsidR="00D03CBF" w:rsidRPr="000D1F63" w:rsidRDefault="00D03CBF" w:rsidP="00D03CBF">
      <w:pPr>
        <w:pStyle w:val="ListParagraph"/>
        <w:ind w:left="0" w:firstLine="1440"/>
        <w:rPr>
          <w:rFonts w:ascii="Times New Roman" w:hAnsi="Times New Roman" w:cs="Times New Roman"/>
          <w:sz w:val="24"/>
          <w:szCs w:val="24"/>
        </w:rPr>
      </w:pPr>
    </w:p>
    <w:p w:rsidR="00D03CBF" w:rsidRPr="000D1F63" w:rsidRDefault="00D03CBF" w:rsidP="00D03CBF">
      <w:pPr>
        <w:pStyle w:val="ParaTab1"/>
        <w:numPr>
          <w:ilvl w:val="0"/>
          <w:numId w:val="8"/>
        </w:numPr>
        <w:spacing w:line="360" w:lineRule="auto"/>
        <w:ind w:left="0" w:firstLine="1440"/>
        <w:rPr>
          <w:rFonts w:ascii="Times New Roman" w:hAnsi="Times New Roman" w:cs="Times New Roman"/>
        </w:rPr>
      </w:pPr>
      <w:r w:rsidRPr="000D1F63">
        <w:rPr>
          <w:rFonts w:ascii="Times New Roman" w:hAnsi="Times New Roman" w:cs="Times New Roman"/>
        </w:rPr>
        <w:t xml:space="preserve">A formal complaint must set forth the act or thing done or omitted to be done by a public utility in violation, or claimed violation, of any law which the commission has jurisdiction to administer, or of any regulation or order of the commission.  66 </w:t>
      </w:r>
      <w:r w:rsidR="004B4A81">
        <w:rPr>
          <w:rFonts w:ascii="Times New Roman" w:hAnsi="Times New Roman" w:cs="Times New Roman"/>
        </w:rPr>
        <w:t>Pa.C.S.</w:t>
      </w:r>
      <w:r w:rsidRPr="000D1F63">
        <w:rPr>
          <w:rFonts w:ascii="Times New Roman" w:hAnsi="Times New Roman" w:cs="Times New Roman"/>
        </w:rPr>
        <w:t xml:space="preserve"> § 701; 52 </w:t>
      </w:r>
      <w:r w:rsidR="004B4A81">
        <w:rPr>
          <w:rFonts w:ascii="Times New Roman" w:hAnsi="Times New Roman" w:cs="Times New Roman"/>
        </w:rPr>
        <w:t>Pa.Code</w:t>
      </w:r>
      <w:r w:rsidRPr="000D1F63">
        <w:rPr>
          <w:rFonts w:ascii="Times New Roman" w:hAnsi="Times New Roman" w:cs="Times New Roman"/>
        </w:rPr>
        <w:t xml:space="preserve"> § 5.22(a)(4).  </w:t>
      </w:r>
    </w:p>
    <w:p w:rsidR="00D03CBF" w:rsidRPr="000D1F63" w:rsidRDefault="00D03CBF" w:rsidP="00D03CBF">
      <w:pPr>
        <w:pStyle w:val="ListParagraph"/>
        <w:ind w:left="0" w:firstLine="1440"/>
        <w:rPr>
          <w:rFonts w:ascii="Times New Roman" w:hAnsi="Times New Roman" w:cs="Times New Roman"/>
          <w:sz w:val="24"/>
          <w:szCs w:val="24"/>
        </w:rPr>
      </w:pPr>
    </w:p>
    <w:p w:rsidR="00D03CBF" w:rsidRPr="000D1F63" w:rsidRDefault="00D03CBF" w:rsidP="00D03CBF">
      <w:pPr>
        <w:pStyle w:val="ParaTab1"/>
        <w:numPr>
          <w:ilvl w:val="0"/>
          <w:numId w:val="8"/>
        </w:numPr>
        <w:spacing w:line="360" w:lineRule="auto"/>
        <w:ind w:left="0" w:firstLine="1440"/>
        <w:rPr>
          <w:rFonts w:ascii="Times New Roman" w:hAnsi="Times New Roman" w:cs="Times New Roman"/>
        </w:rPr>
      </w:pPr>
      <w:r w:rsidRPr="000D1F63">
        <w:rPr>
          <w:rFonts w:ascii="Times New Roman" w:hAnsi="Times New Roman" w:cs="Times New Roman"/>
        </w:rPr>
        <w:t xml:space="preserve">The Commission’s regulations require that a complaint contain a clear statement of the relief sought.  52 </w:t>
      </w:r>
      <w:r w:rsidR="004B4A81">
        <w:rPr>
          <w:rFonts w:ascii="Times New Roman" w:hAnsi="Times New Roman" w:cs="Times New Roman"/>
        </w:rPr>
        <w:t>Pa.Code</w:t>
      </w:r>
      <w:r w:rsidRPr="000D1F63">
        <w:rPr>
          <w:rFonts w:ascii="Times New Roman" w:hAnsi="Times New Roman" w:cs="Times New Roman"/>
        </w:rPr>
        <w:t xml:space="preserve"> § 5.22(a)(5).  </w:t>
      </w:r>
    </w:p>
    <w:p w:rsidR="00D03CBF" w:rsidRPr="000D1F63" w:rsidRDefault="00D03CBF" w:rsidP="00D03CBF">
      <w:pPr>
        <w:pStyle w:val="ListParagraph"/>
        <w:ind w:left="0" w:firstLine="1440"/>
        <w:rPr>
          <w:rFonts w:ascii="Times New Roman" w:hAnsi="Times New Roman" w:cs="Times New Roman"/>
          <w:sz w:val="24"/>
          <w:szCs w:val="24"/>
        </w:rPr>
      </w:pPr>
    </w:p>
    <w:p w:rsidR="00D03CBF" w:rsidRPr="000D1F63" w:rsidRDefault="00D03CBF" w:rsidP="00D03CBF">
      <w:pPr>
        <w:pStyle w:val="ParaTab1"/>
        <w:numPr>
          <w:ilvl w:val="0"/>
          <w:numId w:val="8"/>
        </w:numPr>
        <w:spacing w:line="360" w:lineRule="auto"/>
        <w:ind w:left="0" w:firstLine="1440"/>
        <w:rPr>
          <w:rFonts w:ascii="Times New Roman" w:hAnsi="Times New Roman" w:cs="Times New Roman"/>
        </w:rPr>
      </w:pPr>
      <w:r w:rsidRPr="000D1F63">
        <w:rPr>
          <w:rFonts w:ascii="Times New Roman" w:hAnsi="Times New Roman" w:cs="Times New Roman"/>
        </w:rPr>
        <w:t xml:space="preserve">A complaint should contain information specific enough to allow the respondent to understand the allegations against it, in order to conduct a meaningful investigation of the allegations and to prepare a coherent response or defense.  </w:t>
      </w:r>
      <w:r w:rsidRPr="000D1F63">
        <w:rPr>
          <w:rFonts w:ascii="Times New Roman" w:hAnsi="Times New Roman" w:cs="Times New Roman"/>
          <w:u w:val="single"/>
        </w:rPr>
        <w:t>Angelo Rodriguez v. Philadelphia Gas Works</w:t>
      </w:r>
      <w:r w:rsidRPr="000D1F63">
        <w:rPr>
          <w:rFonts w:ascii="Times New Roman" w:hAnsi="Times New Roman" w:cs="Times New Roman"/>
        </w:rPr>
        <w:t>, Docket No. F-2009-2110772, Initial Dec</w:t>
      </w:r>
      <w:r w:rsidR="004B4A81">
        <w:rPr>
          <w:rFonts w:ascii="Times New Roman" w:hAnsi="Times New Roman" w:cs="Times New Roman"/>
        </w:rPr>
        <w:t>ision (Final Order entered Jan. </w:t>
      </w:r>
      <w:r w:rsidRPr="000D1F63">
        <w:rPr>
          <w:rFonts w:ascii="Times New Roman" w:hAnsi="Times New Roman" w:cs="Times New Roman"/>
        </w:rPr>
        <w:t xml:space="preserve">5, 2010).  </w:t>
      </w:r>
    </w:p>
    <w:p w:rsidR="004D64F5" w:rsidRPr="000D1F63" w:rsidRDefault="004D64F5" w:rsidP="004D64F5">
      <w:pPr>
        <w:pStyle w:val="ListParagraph"/>
        <w:rPr>
          <w:rFonts w:ascii="Times New Roman" w:hAnsi="Times New Roman" w:cs="Times New Roman"/>
          <w:sz w:val="24"/>
          <w:szCs w:val="24"/>
        </w:rPr>
      </w:pPr>
    </w:p>
    <w:p w:rsidR="004D64F5" w:rsidRPr="000D1F63" w:rsidRDefault="004D64F5" w:rsidP="004D64F5">
      <w:pPr>
        <w:pStyle w:val="ParaTab1"/>
        <w:numPr>
          <w:ilvl w:val="0"/>
          <w:numId w:val="8"/>
        </w:numPr>
        <w:spacing w:line="360" w:lineRule="auto"/>
        <w:ind w:left="0" w:firstLine="1440"/>
        <w:rPr>
          <w:rFonts w:ascii="Times New Roman" w:hAnsi="Times New Roman" w:cs="Times New Roman"/>
          <w:bCs/>
          <w:color w:val="000000"/>
        </w:rPr>
      </w:pPr>
      <w:r w:rsidRPr="000D1F63">
        <w:rPr>
          <w:rFonts w:ascii="Times New Roman" w:hAnsi="Times New Roman" w:cs="Times New Roman"/>
        </w:rPr>
        <w:t>Commission regulations prohibit amendment of pleadings within five days of the commencement of or during a proceeding unless directed or permitted by the Commission or the presiding officer after opportunity for all parties to be heard thereon.  52 Pa.Code</w:t>
      </w:r>
      <w:r w:rsidR="004D227D" w:rsidRPr="000D1F63">
        <w:rPr>
          <w:rFonts w:ascii="Times New Roman" w:hAnsi="Times New Roman" w:cs="Times New Roman"/>
        </w:rPr>
        <w:t xml:space="preserve"> § </w:t>
      </w:r>
      <w:r w:rsidRPr="000D1F63">
        <w:rPr>
          <w:rFonts w:ascii="Times New Roman" w:hAnsi="Times New Roman" w:cs="Times New Roman"/>
        </w:rPr>
        <w:t>5.91(c).</w:t>
      </w:r>
    </w:p>
    <w:p w:rsidR="004E2963" w:rsidRPr="000D1F63" w:rsidRDefault="004E2963" w:rsidP="00D03CBF">
      <w:pPr>
        <w:pStyle w:val="ParaTab1"/>
        <w:spacing w:line="360" w:lineRule="auto"/>
        <w:rPr>
          <w:rFonts w:ascii="Times New Roman" w:hAnsi="Times New Roman" w:cs="Times New Roman"/>
        </w:rPr>
      </w:pPr>
    </w:p>
    <w:p w:rsidR="00AB2E48" w:rsidRPr="000D1F63" w:rsidRDefault="00D31C40" w:rsidP="00AB2E48">
      <w:pPr>
        <w:numPr>
          <w:ilvl w:val="0"/>
          <w:numId w:val="8"/>
        </w:numPr>
        <w:spacing w:after="0" w:line="360" w:lineRule="auto"/>
        <w:ind w:left="0" w:firstLine="1440"/>
        <w:rPr>
          <w:rFonts w:ascii="Times New Roman" w:eastAsiaTheme="minorEastAsia" w:hAnsi="Times New Roman" w:cs="Times New Roman"/>
          <w:sz w:val="24"/>
          <w:szCs w:val="24"/>
        </w:rPr>
      </w:pPr>
      <w:r w:rsidRPr="000D1F63">
        <w:rPr>
          <w:rFonts w:ascii="Times New Roman" w:hAnsi="Times New Roman" w:cs="Times New Roman"/>
          <w:bCs/>
          <w:color w:val="000000"/>
          <w:sz w:val="24"/>
          <w:szCs w:val="24"/>
        </w:rPr>
        <w:t xml:space="preserve">An electric distribution company may not change a customer’s electricity supplier without direct oral confirmation from the customer of record or written evidence of the customer’s consent to a change of supplier.  66 Pa.C.S. § 2807(d)(1); </w:t>
      </w:r>
      <w:r w:rsidRPr="000D1F63">
        <w:rPr>
          <w:rFonts w:ascii="Times New Roman" w:hAnsi="Times New Roman" w:cs="Times New Roman"/>
          <w:bCs/>
          <w:i/>
          <w:color w:val="000000"/>
          <w:sz w:val="24"/>
          <w:szCs w:val="24"/>
        </w:rPr>
        <w:t>see also</w:t>
      </w:r>
      <w:r w:rsidR="00371137" w:rsidRPr="000D1F63">
        <w:rPr>
          <w:rFonts w:ascii="Times New Roman" w:hAnsi="Times New Roman" w:cs="Times New Roman"/>
          <w:bCs/>
          <w:color w:val="000000"/>
          <w:sz w:val="24"/>
          <w:szCs w:val="24"/>
        </w:rPr>
        <w:t>, 52 Pa.Code § </w:t>
      </w:r>
      <w:r w:rsidRPr="000D1F63">
        <w:rPr>
          <w:rFonts w:ascii="Times New Roman" w:hAnsi="Times New Roman" w:cs="Times New Roman"/>
          <w:bCs/>
          <w:color w:val="000000"/>
          <w:sz w:val="24"/>
          <w:szCs w:val="24"/>
        </w:rPr>
        <w:t>54.42(a)(9).</w:t>
      </w:r>
    </w:p>
    <w:p w:rsidR="00D31C40" w:rsidRPr="000D1F63" w:rsidRDefault="00D31C40" w:rsidP="00D31C40">
      <w:pPr>
        <w:spacing w:after="0" w:line="360" w:lineRule="auto"/>
        <w:rPr>
          <w:rFonts w:ascii="Times New Roman" w:eastAsiaTheme="minorEastAsia" w:hAnsi="Times New Roman" w:cs="Times New Roman"/>
          <w:sz w:val="24"/>
          <w:szCs w:val="24"/>
        </w:rPr>
      </w:pPr>
    </w:p>
    <w:p w:rsidR="005A31A5" w:rsidRPr="000D1F63" w:rsidRDefault="005A31A5" w:rsidP="005A31A5">
      <w:pPr>
        <w:numPr>
          <w:ilvl w:val="0"/>
          <w:numId w:val="8"/>
        </w:numPr>
        <w:spacing w:after="0" w:line="360" w:lineRule="auto"/>
        <w:ind w:left="0" w:firstLine="1440"/>
        <w:rPr>
          <w:rFonts w:ascii="Times New Roman" w:hAnsi="Times New Roman" w:cs="Times New Roman"/>
          <w:snapToGrid w:val="0"/>
          <w:sz w:val="24"/>
          <w:szCs w:val="24"/>
        </w:rPr>
      </w:pPr>
      <w:r w:rsidRPr="000D1F63">
        <w:rPr>
          <w:rFonts w:ascii="Times New Roman" w:hAnsi="Times New Roman" w:cs="Times New Roman"/>
          <w:snapToGrid w:val="0"/>
          <w:sz w:val="24"/>
          <w:szCs w:val="24"/>
        </w:rPr>
        <w:t xml:space="preserve">Section 3301 of the Public Utility Code authorizes the Commission to impose a maximum civil penalty of $1,000.00 per day for violations of the statute, regulations and orders.  66 </w:t>
      </w:r>
      <w:r w:rsidR="004B4A81">
        <w:rPr>
          <w:rFonts w:ascii="Times New Roman" w:hAnsi="Times New Roman" w:cs="Times New Roman"/>
          <w:snapToGrid w:val="0"/>
          <w:sz w:val="24"/>
          <w:szCs w:val="24"/>
        </w:rPr>
        <w:t>Pa.C.S.</w:t>
      </w:r>
      <w:r w:rsidRPr="000D1F63">
        <w:rPr>
          <w:rFonts w:ascii="Times New Roman" w:hAnsi="Times New Roman" w:cs="Times New Roman"/>
          <w:snapToGrid w:val="0"/>
          <w:sz w:val="24"/>
          <w:szCs w:val="24"/>
        </w:rPr>
        <w:t xml:space="preserve"> § 3301.</w:t>
      </w:r>
    </w:p>
    <w:p w:rsidR="005A31A5" w:rsidRPr="000D1F63" w:rsidRDefault="005A31A5" w:rsidP="005A31A5">
      <w:pPr>
        <w:pStyle w:val="ListParagraph"/>
        <w:spacing w:after="0" w:line="360" w:lineRule="auto"/>
        <w:ind w:left="0" w:firstLine="1440"/>
        <w:rPr>
          <w:rFonts w:ascii="Times New Roman" w:hAnsi="Times New Roman" w:cs="Times New Roman"/>
          <w:snapToGrid w:val="0"/>
          <w:sz w:val="24"/>
          <w:szCs w:val="24"/>
        </w:rPr>
      </w:pPr>
    </w:p>
    <w:p w:rsidR="005A31A5" w:rsidRPr="000D1F63" w:rsidRDefault="005A31A5" w:rsidP="005A31A5">
      <w:pPr>
        <w:numPr>
          <w:ilvl w:val="0"/>
          <w:numId w:val="8"/>
        </w:numPr>
        <w:spacing w:after="0" w:line="360" w:lineRule="auto"/>
        <w:ind w:left="0" w:firstLine="1440"/>
        <w:rPr>
          <w:rFonts w:ascii="Times New Roman" w:hAnsi="Times New Roman" w:cs="Times New Roman"/>
          <w:snapToGrid w:val="0"/>
          <w:sz w:val="24"/>
          <w:szCs w:val="24"/>
        </w:rPr>
      </w:pPr>
      <w:r w:rsidRPr="000D1F63">
        <w:rPr>
          <w:rFonts w:ascii="Times New Roman" w:hAnsi="Times New Roman" w:cs="Times New Roman"/>
          <w:snapToGrid w:val="0"/>
          <w:sz w:val="24"/>
          <w:szCs w:val="24"/>
        </w:rPr>
        <w:t xml:space="preserve">The Commission has adopted certain standards that must be applied when imposing a civil penalty for violations of Commission directives and regulations.  </w:t>
      </w:r>
      <w:r w:rsidRPr="000D1F63">
        <w:rPr>
          <w:rFonts w:ascii="Times New Roman" w:hAnsi="Times New Roman" w:cs="Times New Roman"/>
          <w:i/>
          <w:snapToGrid w:val="0"/>
          <w:sz w:val="24"/>
          <w:szCs w:val="24"/>
        </w:rPr>
        <w:t>See</w:t>
      </w:r>
      <w:r w:rsidRPr="000D1F63">
        <w:rPr>
          <w:rFonts w:ascii="Times New Roman" w:hAnsi="Times New Roman" w:cs="Times New Roman"/>
          <w:snapToGrid w:val="0"/>
          <w:sz w:val="24"/>
          <w:szCs w:val="24"/>
        </w:rPr>
        <w:t xml:space="preserve">, 52 </w:t>
      </w:r>
      <w:r w:rsidR="004B4A81">
        <w:rPr>
          <w:rFonts w:ascii="Times New Roman" w:hAnsi="Times New Roman" w:cs="Times New Roman"/>
          <w:snapToGrid w:val="0"/>
          <w:sz w:val="24"/>
          <w:szCs w:val="24"/>
        </w:rPr>
        <w:t>Pa.Code</w:t>
      </w:r>
      <w:r w:rsidRPr="000D1F63">
        <w:rPr>
          <w:rFonts w:ascii="Times New Roman" w:hAnsi="Times New Roman" w:cs="Times New Roman"/>
          <w:snapToGrid w:val="0"/>
          <w:sz w:val="24"/>
          <w:szCs w:val="24"/>
        </w:rPr>
        <w:t xml:space="preserve"> § 69.1201; </w:t>
      </w:r>
      <w:r w:rsidRPr="000D1F63">
        <w:rPr>
          <w:rFonts w:ascii="Times New Roman" w:hAnsi="Times New Roman" w:cs="Times New Roman"/>
          <w:i/>
          <w:snapToGrid w:val="0"/>
          <w:sz w:val="24"/>
          <w:szCs w:val="24"/>
        </w:rPr>
        <w:t>see also</w:t>
      </w:r>
      <w:r w:rsidRPr="000D1F63">
        <w:rPr>
          <w:rFonts w:ascii="Times New Roman" w:hAnsi="Times New Roman" w:cs="Times New Roman"/>
          <w:snapToGrid w:val="0"/>
          <w:sz w:val="24"/>
          <w:szCs w:val="24"/>
        </w:rPr>
        <w:t>,</w:t>
      </w:r>
      <w:r w:rsidRPr="000D1F63">
        <w:rPr>
          <w:rFonts w:ascii="Times New Roman" w:hAnsi="Times New Roman" w:cs="Times New Roman"/>
          <w:i/>
          <w:snapToGrid w:val="0"/>
          <w:sz w:val="24"/>
          <w:szCs w:val="24"/>
        </w:rPr>
        <w:t xml:space="preserve"> </w:t>
      </w:r>
      <w:r w:rsidRPr="000D1F63">
        <w:rPr>
          <w:rFonts w:ascii="Times New Roman" w:hAnsi="Times New Roman" w:cs="Times New Roman"/>
          <w:snapToGrid w:val="0"/>
          <w:sz w:val="24"/>
          <w:szCs w:val="24"/>
          <w:u w:val="single"/>
        </w:rPr>
        <w:t>Joseph A. Rosi v. Bell Atlantic- Pa., Inc. and Sprint Communica</w:t>
      </w:r>
      <w:r w:rsidRPr="000D1F63">
        <w:rPr>
          <w:rFonts w:ascii="Times New Roman" w:hAnsi="Times New Roman" w:cs="Times New Roman"/>
          <w:snapToGrid w:val="0"/>
          <w:sz w:val="24"/>
          <w:szCs w:val="24"/>
          <w:u w:val="single"/>
        </w:rPr>
        <w:softHyphen/>
        <w:t>tions Company</w:t>
      </w:r>
      <w:r w:rsidRPr="000D1F63">
        <w:rPr>
          <w:rFonts w:ascii="Times New Roman" w:hAnsi="Times New Roman" w:cs="Times New Roman"/>
          <w:snapToGrid w:val="0"/>
          <w:sz w:val="24"/>
          <w:szCs w:val="24"/>
        </w:rPr>
        <w:t>, Docket No. C</w:t>
      </w:r>
      <w:r w:rsidRPr="000D1F63">
        <w:rPr>
          <w:rFonts w:ascii="Times New Roman" w:hAnsi="Times New Roman" w:cs="Times New Roman"/>
          <w:snapToGrid w:val="0"/>
          <w:sz w:val="24"/>
          <w:szCs w:val="24"/>
        </w:rPr>
        <w:noBreakHyphen/>
        <w:t>00992409, Order (entered February 10, 2000).</w:t>
      </w:r>
    </w:p>
    <w:p w:rsidR="005A31A5" w:rsidRPr="000D1F63" w:rsidRDefault="005A31A5" w:rsidP="005A31A5">
      <w:pPr>
        <w:pStyle w:val="ListParagraph"/>
        <w:rPr>
          <w:rFonts w:ascii="Times New Roman" w:eastAsia="Times New Roman" w:hAnsi="Times New Roman" w:cs="Times New Roman"/>
          <w:sz w:val="24"/>
          <w:szCs w:val="24"/>
          <w:u w:val="single"/>
        </w:rPr>
      </w:pPr>
    </w:p>
    <w:p w:rsidR="005A31A5" w:rsidRPr="000D1F63" w:rsidRDefault="005A31A5" w:rsidP="005A31A5">
      <w:pPr>
        <w:numPr>
          <w:ilvl w:val="0"/>
          <w:numId w:val="8"/>
        </w:numPr>
        <w:spacing w:after="0" w:line="360" w:lineRule="auto"/>
        <w:ind w:left="0" w:firstLine="1440"/>
        <w:rPr>
          <w:rFonts w:ascii="Times New Roman" w:eastAsia="Times New Roman" w:hAnsi="Times New Roman" w:cs="Times New Roman"/>
          <w:sz w:val="24"/>
          <w:szCs w:val="24"/>
          <w:u w:val="single"/>
        </w:rPr>
      </w:pPr>
      <w:r w:rsidRPr="000D1F63">
        <w:rPr>
          <w:rFonts w:ascii="Times New Roman" w:hAnsi="Times New Roman" w:cs="Times New Roman"/>
          <w:sz w:val="24"/>
          <w:szCs w:val="24"/>
        </w:rPr>
        <w:t xml:space="preserve">The Commission has plenary authority under Section 501 of the Public Utility Code to direct an electric generation supplier to issue a credit or refund for an over bill.  </w:t>
      </w:r>
      <w:r w:rsidRPr="000D1F63">
        <w:rPr>
          <w:rFonts w:ascii="Times New Roman" w:hAnsi="Times New Roman" w:cs="Times New Roman"/>
          <w:sz w:val="24"/>
          <w:szCs w:val="24"/>
          <w:u w:val="single"/>
        </w:rPr>
        <w:t xml:space="preserve">Commonwealth of Pa, </w:t>
      </w:r>
      <w:r w:rsidRPr="000D1F63">
        <w:rPr>
          <w:rFonts w:ascii="Times New Roman" w:hAnsi="Times New Roman" w:cs="Times New Roman"/>
          <w:i/>
          <w:sz w:val="24"/>
          <w:szCs w:val="24"/>
          <w:u w:val="single"/>
        </w:rPr>
        <w:t>et al</w:t>
      </w:r>
      <w:r w:rsidRPr="000D1F63">
        <w:rPr>
          <w:rFonts w:ascii="Times New Roman" w:hAnsi="Times New Roman" w:cs="Times New Roman"/>
          <w:sz w:val="24"/>
          <w:szCs w:val="24"/>
          <w:u w:val="single"/>
        </w:rPr>
        <w:t>. v. IDT Energy, Inc.</w:t>
      </w:r>
      <w:r w:rsidRPr="000D1F63">
        <w:rPr>
          <w:rFonts w:ascii="Times New Roman" w:hAnsi="Times New Roman" w:cs="Times New Roman"/>
          <w:sz w:val="24"/>
          <w:szCs w:val="24"/>
        </w:rPr>
        <w:t>, Docket No. C-2014-2427657, Opinion and Ord</w:t>
      </w:r>
      <w:r w:rsidR="00EA037C" w:rsidRPr="000D1F63">
        <w:rPr>
          <w:rFonts w:ascii="Times New Roman" w:hAnsi="Times New Roman" w:cs="Times New Roman"/>
          <w:sz w:val="24"/>
          <w:szCs w:val="24"/>
        </w:rPr>
        <w:t>er (entered Dec. 18, 2014)</w:t>
      </w:r>
      <w:r w:rsidRPr="000D1F63">
        <w:rPr>
          <w:rFonts w:ascii="Times New Roman" w:hAnsi="Times New Roman" w:cs="Times New Roman"/>
          <w:sz w:val="24"/>
          <w:szCs w:val="24"/>
        </w:rPr>
        <w:t>.</w:t>
      </w:r>
    </w:p>
    <w:p w:rsidR="005A31A5" w:rsidRPr="000D1F63" w:rsidRDefault="005A31A5" w:rsidP="005A31A5">
      <w:pPr>
        <w:pStyle w:val="ListParagraph"/>
        <w:rPr>
          <w:rFonts w:ascii="Times New Roman" w:hAnsi="Times New Roman" w:cs="Times New Roman"/>
          <w:sz w:val="24"/>
          <w:szCs w:val="24"/>
        </w:rPr>
      </w:pPr>
    </w:p>
    <w:p w:rsidR="005A31A5" w:rsidRPr="000D1F63" w:rsidRDefault="005A31A5" w:rsidP="005A31A5">
      <w:pPr>
        <w:numPr>
          <w:ilvl w:val="0"/>
          <w:numId w:val="8"/>
        </w:numPr>
        <w:spacing w:after="0" w:line="360" w:lineRule="auto"/>
        <w:ind w:left="0" w:firstLine="1440"/>
        <w:rPr>
          <w:rFonts w:ascii="Times New Roman" w:eastAsia="Times New Roman" w:hAnsi="Times New Roman" w:cs="Times New Roman"/>
          <w:sz w:val="24"/>
          <w:szCs w:val="24"/>
          <w:u w:val="single"/>
        </w:rPr>
      </w:pPr>
      <w:r w:rsidRPr="000D1F63">
        <w:rPr>
          <w:rFonts w:ascii="Times New Roman" w:hAnsi="Times New Roman" w:cs="Times New Roman"/>
          <w:sz w:val="24"/>
          <w:szCs w:val="24"/>
        </w:rPr>
        <w:t>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Pa.C.S. § 501.</w:t>
      </w:r>
    </w:p>
    <w:p w:rsidR="005A31A5" w:rsidRPr="000D1F63" w:rsidRDefault="005A31A5" w:rsidP="005A31A5">
      <w:pPr>
        <w:pStyle w:val="ListParagraph"/>
        <w:rPr>
          <w:rFonts w:ascii="Times New Roman" w:eastAsia="Times New Roman" w:hAnsi="Times New Roman" w:cs="Times New Roman"/>
          <w:sz w:val="24"/>
          <w:szCs w:val="24"/>
        </w:rPr>
      </w:pPr>
    </w:p>
    <w:p w:rsidR="005A31A5" w:rsidRPr="000D1F63" w:rsidRDefault="009F7590" w:rsidP="005A31A5">
      <w:pPr>
        <w:numPr>
          <w:ilvl w:val="0"/>
          <w:numId w:val="8"/>
        </w:numPr>
        <w:spacing w:after="0" w:line="360" w:lineRule="auto"/>
        <w:ind w:left="0" w:firstLine="1440"/>
        <w:rPr>
          <w:rFonts w:ascii="Times New Roman" w:eastAsia="Times New Roman" w:hAnsi="Times New Roman" w:cs="Times New Roman"/>
          <w:sz w:val="24"/>
          <w:szCs w:val="24"/>
          <w:u w:val="single"/>
        </w:rPr>
      </w:pPr>
      <w:r w:rsidRPr="000D1F63">
        <w:rPr>
          <w:rFonts w:ascii="Times New Roman" w:eastAsia="Times New Roman" w:hAnsi="Times New Roman" w:cs="Times New Roman"/>
          <w:sz w:val="24"/>
          <w:szCs w:val="24"/>
        </w:rPr>
        <w:t xml:space="preserve">Enrico </w:t>
      </w:r>
      <w:r w:rsidR="005A31A5" w:rsidRPr="000D1F63">
        <w:rPr>
          <w:rFonts w:ascii="Times New Roman" w:eastAsia="Times New Roman" w:hAnsi="Times New Roman" w:cs="Times New Roman"/>
          <w:sz w:val="24"/>
          <w:szCs w:val="24"/>
        </w:rPr>
        <w:t xml:space="preserve">has satisfied </w:t>
      </w:r>
      <w:r w:rsidRPr="000D1F63">
        <w:rPr>
          <w:rFonts w:ascii="Times New Roman" w:eastAsia="Times New Roman" w:hAnsi="Times New Roman" w:cs="Times New Roman"/>
          <w:sz w:val="24"/>
          <w:szCs w:val="24"/>
        </w:rPr>
        <w:t xml:space="preserve">its </w:t>
      </w:r>
      <w:r w:rsidR="005A31A5" w:rsidRPr="000D1F63">
        <w:rPr>
          <w:rFonts w:ascii="Times New Roman" w:eastAsia="Times New Roman" w:hAnsi="Times New Roman" w:cs="Times New Roman"/>
          <w:sz w:val="24"/>
          <w:szCs w:val="24"/>
        </w:rPr>
        <w:t xml:space="preserve">burden of proof to demonstrate that </w:t>
      </w:r>
      <w:r w:rsidRPr="000D1F63">
        <w:rPr>
          <w:rFonts w:ascii="Times New Roman" w:eastAsia="Times New Roman" w:hAnsi="Times New Roman" w:cs="Times New Roman"/>
          <w:sz w:val="24"/>
          <w:szCs w:val="24"/>
        </w:rPr>
        <w:t xml:space="preserve">Blue Pilot </w:t>
      </w:r>
      <w:r w:rsidR="005A31A5" w:rsidRPr="000D1F63">
        <w:rPr>
          <w:rFonts w:ascii="Times New Roman" w:eastAsia="Times New Roman" w:hAnsi="Times New Roman" w:cs="Times New Roman"/>
          <w:sz w:val="24"/>
          <w:szCs w:val="24"/>
        </w:rPr>
        <w:t>violated the Commission’s regulation</w:t>
      </w:r>
      <w:r w:rsidR="00C71DC1" w:rsidRPr="000D1F63">
        <w:rPr>
          <w:rFonts w:ascii="Times New Roman" w:eastAsia="Times New Roman" w:hAnsi="Times New Roman" w:cs="Times New Roman"/>
          <w:sz w:val="24"/>
          <w:szCs w:val="24"/>
        </w:rPr>
        <w:t>s</w:t>
      </w:r>
      <w:r w:rsidR="005A31A5" w:rsidRPr="000D1F63">
        <w:rPr>
          <w:rFonts w:ascii="Times New Roman" w:eastAsia="Times New Roman" w:hAnsi="Times New Roman" w:cs="Times New Roman"/>
          <w:sz w:val="24"/>
          <w:szCs w:val="24"/>
        </w:rPr>
        <w:t xml:space="preserve"> </w:t>
      </w:r>
      <w:r w:rsidR="00EA037C" w:rsidRPr="000D1F63">
        <w:rPr>
          <w:rFonts w:ascii="Times New Roman" w:eastAsia="Times New Roman" w:hAnsi="Times New Roman" w:cs="Times New Roman"/>
          <w:sz w:val="24"/>
          <w:szCs w:val="24"/>
        </w:rPr>
        <w:t xml:space="preserve">that require </w:t>
      </w:r>
      <w:r w:rsidRPr="000D1F63">
        <w:rPr>
          <w:rFonts w:ascii="Times New Roman" w:eastAsia="Times New Roman" w:hAnsi="Times New Roman" w:cs="Times New Roman"/>
          <w:sz w:val="24"/>
          <w:szCs w:val="24"/>
        </w:rPr>
        <w:t>the use of plain language</w:t>
      </w:r>
      <w:r w:rsidR="005A31A5" w:rsidRPr="000D1F63">
        <w:rPr>
          <w:rFonts w:ascii="Times New Roman" w:eastAsia="Times New Roman" w:hAnsi="Times New Roman" w:cs="Times New Roman"/>
          <w:sz w:val="24"/>
          <w:szCs w:val="24"/>
        </w:rPr>
        <w:t>.</w:t>
      </w:r>
    </w:p>
    <w:p w:rsidR="005A31A5" w:rsidRPr="000D1F63" w:rsidRDefault="005A31A5" w:rsidP="005A31A5">
      <w:pPr>
        <w:pStyle w:val="ListParagraph"/>
        <w:rPr>
          <w:rFonts w:ascii="Times New Roman" w:eastAsia="Times New Roman" w:hAnsi="Times New Roman" w:cs="Times New Roman"/>
          <w:sz w:val="24"/>
          <w:szCs w:val="24"/>
        </w:rPr>
      </w:pPr>
    </w:p>
    <w:p w:rsidR="005A31A5" w:rsidRPr="000D1F63" w:rsidRDefault="009F7590" w:rsidP="005A31A5">
      <w:pPr>
        <w:numPr>
          <w:ilvl w:val="0"/>
          <w:numId w:val="8"/>
        </w:numPr>
        <w:spacing w:after="0" w:line="360" w:lineRule="auto"/>
        <w:ind w:left="0" w:firstLine="1440"/>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Enrico</w:t>
      </w:r>
      <w:r w:rsidR="005A31A5" w:rsidRPr="000D1F63">
        <w:rPr>
          <w:rFonts w:ascii="Times New Roman" w:eastAsia="Times New Roman" w:hAnsi="Times New Roman" w:cs="Times New Roman"/>
          <w:sz w:val="24"/>
          <w:szCs w:val="24"/>
        </w:rPr>
        <w:t xml:space="preserve"> has satisfied </w:t>
      </w:r>
      <w:r w:rsidRPr="000D1F63">
        <w:rPr>
          <w:rFonts w:ascii="Times New Roman" w:eastAsia="Times New Roman" w:hAnsi="Times New Roman" w:cs="Times New Roman"/>
          <w:sz w:val="24"/>
          <w:szCs w:val="24"/>
        </w:rPr>
        <w:t xml:space="preserve">its </w:t>
      </w:r>
      <w:r w:rsidR="005A31A5" w:rsidRPr="000D1F63">
        <w:rPr>
          <w:rFonts w:ascii="Times New Roman" w:eastAsia="Times New Roman" w:hAnsi="Times New Roman" w:cs="Times New Roman"/>
          <w:sz w:val="24"/>
          <w:szCs w:val="24"/>
        </w:rPr>
        <w:t xml:space="preserve">burden of proof to demonstrate that </w:t>
      </w:r>
      <w:r w:rsidRPr="000D1F63">
        <w:rPr>
          <w:rFonts w:ascii="Times New Roman" w:eastAsia="Times New Roman" w:hAnsi="Times New Roman" w:cs="Times New Roman"/>
          <w:sz w:val="24"/>
          <w:szCs w:val="24"/>
        </w:rPr>
        <w:t xml:space="preserve">it </w:t>
      </w:r>
      <w:r w:rsidR="005A31A5" w:rsidRPr="000D1F63">
        <w:rPr>
          <w:rFonts w:ascii="Times New Roman" w:eastAsia="Times New Roman" w:hAnsi="Times New Roman" w:cs="Times New Roman"/>
          <w:sz w:val="24"/>
          <w:szCs w:val="24"/>
        </w:rPr>
        <w:t xml:space="preserve">is entitled to a refund from </w:t>
      </w:r>
      <w:r w:rsidRPr="000D1F63">
        <w:rPr>
          <w:rFonts w:ascii="Times New Roman" w:eastAsia="Times New Roman" w:hAnsi="Times New Roman" w:cs="Times New Roman"/>
          <w:sz w:val="24"/>
          <w:szCs w:val="24"/>
        </w:rPr>
        <w:t xml:space="preserve">Blue Pilot </w:t>
      </w:r>
      <w:r w:rsidR="005A31A5" w:rsidRPr="000D1F63">
        <w:rPr>
          <w:rFonts w:ascii="Times New Roman" w:eastAsia="Times New Roman" w:hAnsi="Times New Roman" w:cs="Times New Roman"/>
          <w:sz w:val="24"/>
          <w:szCs w:val="24"/>
        </w:rPr>
        <w:t xml:space="preserve">for the amounts </w:t>
      </w:r>
      <w:r w:rsidRPr="000D1F63">
        <w:rPr>
          <w:rFonts w:ascii="Times New Roman" w:eastAsia="Times New Roman" w:hAnsi="Times New Roman" w:cs="Times New Roman"/>
          <w:sz w:val="24"/>
          <w:szCs w:val="24"/>
        </w:rPr>
        <w:t xml:space="preserve">it was over </w:t>
      </w:r>
      <w:r w:rsidR="005A31A5" w:rsidRPr="000D1F63">
        <w:rPr>
          <w:rFonts w:ascii="Times New Roman" w:eastAsia="Times New Roman" w:hAnsi="Times New Roman" w:cs="Times New Roman"/>
          <w:sz w:val="24"/>
          <w:szCs w:val="24"/>
        </w:rPr>
        <w:t>billed.</w:t>
      </w:r>
    </w:p>
    <w:p w:rsidR="008F13AE" w:rsidRPr="000D1F63" w:rsidRDefault="008F13AE">
      <w:pPr>
        <w:spacing w:line="240" w:lineRule="auto"/>
        <w:rPr>
          <w:rFonts w:ascii="Times New Roman" w:eastAsia="Times New Roman" w:hAnsi="Times New Roman" w:cs="Times New Roman"/>
          <w:sz w:val="24"/>
          <w:szCs w:val="24"/>
          <w:u w:val="single"/>
        </w:rPr>
      </w:pPr>
    </w:p>
    <w:p w:rsidR="00F3073F" w:rsidRPr="000D1F63" w:rsidRDefault="00F3073F" w:rsidP="00F3073F">
      <w:pPr>
        <w:spacing w:line="240" w:lineRule="auto"/>
        <w:jc w:val="center"/>
        <w:rPr>
          <w:rFonts w:ascii="Times New Roman" w:eastAsia="Times New Roman" w:hAnsi="Times New Roman" w:cs="Times New Roman"/>
          <w:sz w:val="24"/>
          <w:szCs w:val="24"/>
          <w:u w:val="single"/>
        </w:rPr>
      </w:pPr>
      <w:r w:rsidRPr="000D1F63">
        <w:rPr>
          <w:rFonts w:ascii="Times New Roman" w:eastAsia="Times New Roman" w:hAnsi="Times New Roman" w:cs="Times New Roman"/>
          <w:sz w:val="24"/>
          <w:szCs w:val="24"/>
          <w:u w:val="single"/>
        </w:rPr>
        <w:t>ORDER</w:t>
      </w:r>
    </w:p>
    <w:p w:rsidR="00234AE1" w:rsidRPr="000D1F63" w:rsidRDefault="00234AE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0D1F63"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ab/>
      </w:r>
      <w:r w:rsidRPr="000D1F63">
        <w:rPr>
          <w:rFonts w:ascii="Times New Roman" w:eastAsia="Times New Roman" w:hAnsi="Times New Roman" w:cs="Times New Roman"/>
          <w:sz w:val="24"/>
          <w:szCs w:val="24"/>
        </w:rPr>
        <w:tab/>
        <w:t>THEREFORE,</w:t>
      </w:r>
    </w:p>
    <w:p w:rsidR="00911957" w:rsidRPr="000D1F63"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0D1F63"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D1F63">
        <w:rPr>
          <w:rFonts w:ascii="Times New Roman" w:eastAsia="Times New Roman" w:hAnsi="Times New Roman" w:cs="Times New Roman"/>
          <w:sz w:val="24"/>
          <w:szCs w:val="24"/>
        </w:rPr>
        <w:tab/>
      </w:r>
      <w:r w:rsidRPr="000D1F63">
        <w:rPr>
          <w:rFonts w:ascii="Times New Roman" w:eastAsia="Times New Roman" w:hAnsi="Times New Roman" w:cs="Times New Roman"/>
          <w:sz w:val="24"/>
          <w:szCs w:val="24"/>
        </w:rPr>
        <w:tab/>
        <w:t>IT IS ORDERED:</w:t>
      </w:r>
    </w:p>
    <w:p w:rsidR="00911957" w:rsidRPr="000D1F63"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9B4F5F" w:rsidRPr="000D1F63" w:rsidRDefault="00BD5884" w:rsidP="002F3CC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Tha</w:t>
      </w:r>
      <w:r w:rsidR="00865808" w:rsidRPr="000D1F63">
        <w:rPr>
          <w:rFonts w:ascii="Times New Roman" w:eastAsia="Times New Roman" w:hAnsi="Times New Roman" w:cs="Times New Roman"/>
          <w:spacing w:val="-3"/>
          <w:sz w:val="24"/>
          <w:szCs w:val="24"/>
        </w:rPr>
        <w:t>t</w:t>
      </w:r>
      <w:r w:rsidR="00546DAA" w:rsidRPr="000D1F63">
        <w:rPr>
          <w:rFonts w:ascii="Times New Roman" w:eastAsia="Times New Roman" w:hAnsi="Times New Roman" w:cs="Times New Roman"/>
          <w:spacing w:val="-3"/>
          <w:sz w:val="24"/>
          <w:szCs w:val="24"/>
        </w:rPr>
        <w:t xml:space="preserve"> </w:t>
      </w:r>
      <w:r w:rsidR="009B4F5F" w:rsidRPr="000D1F63">
        <w:rPr>
          <w:rFonts w:ascii="Times New Roman" w:eastAsia="Times New Roman" w:hAnsi="Times New Roman" w:cs="Times New Roman"/>
          <w:spacing w:val="-3"/>
          <w:sz w:val="24"/>
          <w:szCs w:val="24"/>
        </w:rPr>
        <w:t xml:space="preserve">the formal Complaint filed by </w:t>
      </w:r>
      <w:r w:rsidR="00872218" w:rsidRPr="000D1F63">
        <w:rPr>
          <w:rFonts w:ascii="Times New Roman" w:eastAsia="Times New Roman" w:hAnsi="Times New Roman" w:cs="Times New Roman"/>
          <w:spacing w:val="-3"/>
          <w:sz w:val="24"/>
          <w:szCs w:val="24"/>
        </w:rPr>
        <w:t xml:space="preserve">Enrico Partners L.P. against Blue Pilot Energy, LLC </w:t>
      </w:r>
      <w:r w:rsidR="009B4F5F" w:rsidRPr="000D1F63">
        <w:rPr>
          <w:rFonts w:ascii="Times New Roman" w:eastAsia="Times New Roman" w:hAnsi="Times New Roman" w:cs="Times New Roman"/>
          <w:spacing w:val="-3"/>
          <w:sz w:val="24"/>
          <w:szCs w:val="24"/>
        </w:rPr>
        <w:t>at Docket Number C-2014-</w:t>
      </w:r>
      <w:r w:rsidR="004764EA" w:rsidRPr="000D1F63">
        <w:rPr>
          <w:rFonts w:ascii="Times New Roman" w:eastAsia="Times New Roman" w:hAnsi="Times New Roman" w:cs="Times New Roman"/>
          <w:spacing w:val="-3"/>
          <w:sz w:val="24"/>
          <w:szCs w:val="24"/>
        </w:rPr>
        <w:t>24</w:t>
      </w:r>
      <w:r w:rsidR="00872218" w:rsidRPr="000D1F63">
        <w:rPr>
          <w:rFonts w:ascii="Times New Roman" w:eastAsia="Times New Roman" w:hAnsi="Times New Roman" w:cs="Times New Roman"/>
          <w:spacing w:val="-3"/>
          <w:sz w:val="24"/>
          <w:szCs w:val="24"/>
        </w:rPr>
        <w:t>32979</w:t>
      </w:r>
      <w:r w:rsidR="004764EA" w:rsidRPr="000D1F63">
        <w:rPr>
          <w:rFonts w:ascii="Times New Roman" w:eastAsia="Times New Roman" w:hAnsi="Times New Roman" w:cs="Times New Roman"/>
          <w:spacing w:val="-3"/>
          <w:sz w:val="24"/>
          <w:szCs w:val="24"/>
        </w:rPr>
        <w:t xml:space="preserve"> </w:t>
      </w:r>
      <w:r w:rsidR="00D21E1D" w:rsidRPr="000D1F63">
        <w:rPr>
          <w:rFonts w:ascii="Times New Roman" w:eastAsia="Times New Roman" w:hAnsi="Times New Roman" w:cs="Times New Roman"/>
          <w:spacing w:val="-3"/>
          <w:sz w:val="24"/>
          <w:szCs w:val="24"/>
        </w:rPr>
        <w:t xml:space="preserve">dated July </w:t>
      </w:r>
      <w:r w:rsidR="00872218" w:rsidRPr="000D1F63">
        <w:rPr>
          <w:rFonts w:ascii="Times New Roman" w:eastAsia="Times New Roman" w:hAnsi="Times New Roman" w:cs="Times New Roman"/>
          <w:spacing w:val="-3"/>
          <w:sz w:val="24"/>
          <w:szCs w:val="24"/>
        </w:rPr>
        <w:t>18</w:t>
      </w:r>
      <w:r w:rsidR="009B4F5F" w:rsidRPr="000D1F63">
        <w:rPr>
          <w:rFonts w:ascii="Times New Roman" w:eastAsia="Times New Roman" w:hAnsi="Times New Roman" w:cs="Times New Roman"/>
          <w:spacing w:val="-3"/>
          <w:sz w:val="24"/>
          <w:szCs w:val="24"/>
        </w:rPr>
        <w:t xml:space="preserve">, 2014 is hereby </w:t>
      </w:r>
      <w:r w:rsidR="00EA037C" w:rsidRPr="000D1F63">
        <w:rPr>
          <w:rFonts w:ascii="Times New Roman" w:eastAsia="Times New Roman" w:hAnsi="Times New Roman" w:cs="Times New Roman"/>
          <w:spacing w:val="-3"/>
          <w:sz w:val="24"/>
          <w:szCs w:val="24"/>
        </w:rPr>
        <w:t>sustained</w:t>
      </w:r>
      <w:r w:rsidR="009B4F5F" w:rsidRPr="000D1F63">
        <w:rPr>
          <w:rFonts w:ascii="Times New Roman" w:eastAsia="Times New Roman" w:hAnsi="Times New Roman" w:cs="Times New Roman"/>
          <w:spacing w:val="-3"/>
          <w:sz w:val="24"/>
          <w:szCs w:val="24"/>
        </w:rPr>
        <w:t>.</w:t>
      </w:r>
    </w:p>
    <w:p w:rsidR="005513B6" w:rsidRPr="000D1F63" w:rsidRDefault="005513B6" w:rsidP="002F3CCE">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7570F" w:rsidRPr="000D1F63" w:rsidRDefault="0047570F" w:rsidP="0047570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 xml:space="preserve">That Blue Pilot Energy, LLC shall pay a civil penalty of $2,000 due to the violation of </w:t>
      </w:r>
      <w:r w:rsidR="00EA037C" w:rsidRPr="000D1F63">
        <w:rPr>
          <w:rFonts w:ascii="Times New Roman" w:hAnsi="Times New Roman" w:cs="Times New Roman"/>
          <w:sz w:val="24"/>
          <w:szCs w:val="24"/>
        </w:rPr>
        <w:t>Sections 54.43 and 111.12</w:t>
      </w:r>
      <w:r w:rsidR="008462DE" w:rsidRPr="000D1F63">
        <w:rPr>
          <w:rFonts w:ascii="Times New Roman" w:hAnsi="Times New Roman" w:cs="Times New Roman"/>
          <w:sz w:val="24"/>
          <w:szCs w:val="24"/>
        </w:rPr>
        <w:t xml:space="preserve"> </w:t>
      </w:r>
      <w:r w:rsidRPr="000D1F63">
        <w:rPr>
          <w:rFonts w:ascii="Times New Roman" w:eastAsia="Times New Roman" w:hAnsi="Times New Roman" w:cs="Times New Roman"/>
          <w:spacing w:val="-3"/>
          <w:sz w:val="24"/>
          <w:szCs w:val="24"/>
        </w:rPr>
        <w:t>of the Commission’s regulations.</w:t>
      </w:r>
    </w:p>
    <w:p w:rsidR="0047570F" w:rsidRPr="000D1F63" w:rsidRDefault="0047570F" w:rsidP="0047570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That Blue Pilot Energy, LLC shall pay a total of $2,000 by sending a certified check or money order payable to the Commonwealth of Pennsylvania, within thirty (30) days from the entry of the Final Commission Order to:</w:t>
      </w:r>
    </w:p>
    <w:p w:rsidR="0047570F" w:rsidRPr="000D1F63" w:rsidRDefault="0047570F" w:rsidP="0047570F">
      <w:pPr>
        <w:spacing w:after="0"/>
        <w:rPr>
          <w:rFonts w:ascii="Times New Roman" w:eastAsia="Times New Roman" w:hAnsi="Times New Roman" w:cs="Times New Roman"/>
          <w:spacing w:val="-3"/>
          <w:sz w:val="24"/>
          <w:szCs w:val="24"/>
        </w:rPr>
      </w:pPr>
    </w:p>
    <w:p w:rsidR="0047570F" w:rsidRPr="000D1F63" w:rsidRDefault="0047570F" w:rsidP="0047570F">
      <w:pPr>
        <w:spacing w:after="0" w:line="240" w:lineRule="auto"/>
        <w:jc w:val="center"/>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Secretary</w:t>
      </w:r>
    </w:p>
    <w:p w:rsidR="0047570F" w:rsidRPr="000D1F63" w:rsidRDefault="0047570F" w:rsidP="0047570F">
      <w:pPr>
        <w:spacing w:after="0" w:line="240" w:lineRule="auto"/>
        <w:jc w:val="center"/>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Pennsylvania Public Utility Commission</w:t>
      </w:r>
    </w:p>
    <w:p w:rsidR="0047570F" w:rsidRPr="000D1F63" w:rsidRDefault="0047570F" w:rsidP="0047570F">
      <w:pPr>
        <w:spacing w:after="0" w:line="240" w:lineRule="auto"/>
        <w:jc w:val="center"/>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P.O. Box 3265</w:t>
      </w:r>
    </w:p>
    <w:p w:rsidR="0047570F" w:rsidRPr="000D1F63" w:rsidRDefault="0047570F" w:rsidP="0047570F">
      <w:pPr>
        <w:spacing w:after="0" w:line="240" w:lineRule="auto"/>
        <w:jc w:val="center"/>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Harrisburg, PA  17105-3265</w:t>
      </w:r>
    </w:p>
    <w:p w:rsidR="0047570F" w:rsidRPr="000D1F63" w:rsidRDefault="0047570F" w:rsidP="0047570F">
      <w:pPr>
        <w:rPr>
          <w:rFonts w:ascii="Times New Roman" w:eastAsia="Times New Roman" w:hAnsi="Times New Roman" w:cs="Times New Roman"/>
          <w:spacing w:val="-3"/>
          <w:sz w:val="24"/>
          <w:szCs w:val="24"/>
        </w:rPr>
      </w:pPr>
    </w:p>
    <w:p w:rsidR="00872218" w:rsidRPr="000D1F63" w:rsidRDefault="0047570F" w:rsidP="0047570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 xml:space="preserve">That the request of Enrico Partners L.P. for a refund is </w:t>
      </w:r>
      <w:r w:rsidR="00151883" w:rsidRPr="000D1F63">
        <w:rPr>
          <w:rFonts w:ascii="Times New Roman" w:eastAsia="Times New Roman" w:hAnsi="Times New Roman" w:cs="Times New Roman"/>
          <w:spacing w:val="-3"/>
          <w:sz w:val="24"/>
          <w:szCs w:val="24"/>
        </w:rPr>
        <w:t xml:space="preserve">granted and Blue Pilot </w:t>
      </w:r>
      <w:r w:rsidR="00393B85" w:rsidRPr="000D1F63">
        <w:rPr>
          <w:rFonts w:ascii="Times New Roman" w:eastAsia="Times New Roman" w:hAnsi="Times New Roman" w:cs="Times New Roman"/>
          <w:spacing w:val="-3"/>
          <w:sz w:val="24"/>
          <w:szCs w:val="24"/>
        </w:rPr>
        <w:t xml:space="preserve">Energy, LLC </w:t>
      </w:r>
      <w:r w:rsidR="00151883" w:rsidRPr="000D1F63">
        <w:rPr>
          <w:rFonts w:ascii="Times New Roman" w:eastAsia="Times New Roman" w:hAnsi="Times New Roman" w:cs="Times New Roman"/>
          <w:spacing w:val="-3"/>
          <w:sz w:val="24"/>
          <w:szCs w:val="24"/>
        </w:rPr>
        <w:t>is directed to issue Enrico a refund for the amount over billed of $27,</w:t>
      </w:r>
      <w:r w:rsidR="009F7590" w:rsidRPr="000D1F63">
        <w:rPr>
          <w:rFonts w:ascii="Times New Roman" w:eastAsia="Times New Roman" w:hAnsi="Times New Roman" w:cs="Times New Roman"/>
          <w:spacing w:val="-3"/>
          <w:sz w:val="24"/>
          <w:szCs w:val="24"/>
        </w:rPr>
        <w:t>168.48</w:t>
      </w:r>
      <w:r w:rsidRPr="000D1F63">
        <w:rPr>
          <w:rFonts w:ascii="Times New Roman" w:eastAsia="Times New Roman" w:hAnsi="Times New Roman" w:cs="Times New Roman"/>
          <w:spacing w:val="-3"/>
          <w:sz w:val="24"/>
          <w:szCs w:val="24"/>
        </w:rPr>
        <w:t>.</w:t>
      </w:r>
    </w:p>
    <w:p w:rsidR="00872218" w:rsidRPr="000D1F63" w:rsidRDefault="00872218" w:rsidP="00872218">
      <w:pPr>
        <w:pStyle w:val="ListParagraph"/>
        <w:rPr>
          <w:rFonts w:ascii="Times New Roman" w:eastAsia="Times New Roman" w:hAnsi="Times New Roman" w:cs="Times New Roman"/>
          <w:spacing w:val="-3"/>
          <w:sz w:val="24"/>
          <w:szCs w:val="24"/>
        </w:rPr>
      </w:pPr>
    </w:p>
    <w:p w:rsidR="00A77106" w:rsidRPr="000D1F63" w:rsidRDefault="005661E6" w:rsidP="002F3CC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 xml:space="preserve">That </w:t>
      </w:r>
      <w:r w:rsidR="00BD5884" w:rsidRPr="000D1F63">
        <w:rPr>
          <w:rFonts w:ascii="Times New Roman" w:eastAsia="Times New Roman" w:hAnsi="Times New Roman" w:cs="Times New Roman"/>
          <w:spacing w:val="-3"/>
          <w:sz w:val="24"/>
          <w:szCs w:val="24"/>
        </w:rPr>
        <w:t>th</w:t>
      </w:r>
      <w:r w:rsidR="004764EA" w:rsidRPr="000D1F63">
        <w:rPr>
          <w:rFonts w:ascii="Times New Roman" w:eastAsia="Times New Roman" w:hAnsi="Times New Roman" w:cs="Times New Roman"/>
          <w:spacing w:val="-3"/>
          <w:sz w:val="24"/>
          <w:szCs w:val="24"/>
        </w:rPr>
        <w:t xml:space="preserve">ese consolidated matters </w:t>
      </w:r>
      <w:r w:rsidR="00BD5884" w:rsidRPr="000D1F63">
        <w:rPr>
          <w:rFonts w:ascii="Times New Roman" w:eastAsia="Times New Roman" w:hAnsi="Times New Roman" w:cs="Times New Roman"/>
          <w:spacing w:val="-3"/>
          <w:sz w:val="24"/>
          <w:szCs w:val="24"/>
        </w:rPr>
        <w:t>be marked closed.</w:t>
      </w:r>
    </w:p>
    <w:p w:rsidR="00F542ED" w:rsidRPr="000D1F63" w:rsidRDefault="00F542ED" w:rsidP="003156FF">
      <w:pPr>
        <w:spacing w:after="0" w:line="360" w:lineRule="auto"/>
        <w:rPr>
          <w:rFonts w:ascii="Times New Roman" w:eastAsia="Times New Roman" w:hAnsi="Times New Roman" w:cs="Times New Roman"/>
          <w:spacing w:val="-3"/>
          <w:sz w:val="24"/>
          <w:szCs w:val="24"/>
        </w:rPr>
      </w:pPr>
    </w:p>
    <w:p w:rsidR="00165026" w:rsidRPr="000D1F63" w:rsidRDefault="00165026" w:rsidP="003156FF">
      <w:pPr>
        <w:spacing w:after="0" w:line="360" w:lineRule="auto"/>
        <w:rPr>
          <w:rFonts w:ascii="Times New Roman" w:eastAsia="Times New Roman" w:hAnsi="Times New Roman" w:cs="Times New Roman"/>
          <w:spacing w:val="-3"/>
          <w:sz w:val="24"/>
          <w:szCs w:val="24"/>
        </w:rPr>
      </w:pPr>
    </w:p>
    <w:p w:rsidR="00BD5884" w:rsidRPr="000D1F6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D1F63">
        <w:rPr>
          <w:rFonts w:ascii="Times New Roman" w:eastAsia="Times New Roman" w:hAnsi="Times New Roman" w:cs="Times New Roman"/>
          <w:spacing w:val="-3"/>
          <w:sz w:val="24"/>
          <w:szCs w:val="24"/>
        </w:rPr>
        <w:t>Date:</w:t>
      </w:r>
      <w:r w:rsidRPr="000D1F63">
        <w:rPr>
          <w:rFonts w:ascii="Times New Roman" w:eastAsia="Times New Roman" w:hAnsi="Times New Roman" w:cs="Times New Roman"/>
          <w:spacing w:val="-3"/>
          <w:sz w:val="24"/>
          <w:szCs w:val="24"/>
        </w:rPr>
        <w:tab/>
      </w:r>
      <w:r w:rsidR="00BC27C8" w:rsidRPr="000D1F63">
        <w:rPr>
          <w:rFonts w:ascii="Times New Roman" w:eastAsia="Times New Roman" w:hAnsi="Times New Roman" w:cs="Times New Roman"/>
          <w:spacing w:val="-3"/>
          <w:sz w:val="24"/>
          <w:szCs w:val="24"/>
          <w:u w:val="single"/>
        </w:rPr>
        <w:t xml:space="preserve">February </w:t>
      </w:r>
      <w:r w:rsidR="00EA037C" w:rsidRPr="000D1F63">
        <w:rPr>
          <w:rFonts w:ascii="Times New Roman" w:eastAsia="Times New Roman" w:hAnsi="Times New Roman" w:cs="Times New Roman"/>
          <w:spacing w:val="-3"/>
          <w:sz w:val="24"/>
          <w:szCs w:val="24"/>
          <w:u w:val="single"/>
        </w:rPr>
        <w:t>12</w:t>
      </w:r>
      <w:r w:rsidR="004764EA" w:rsidRPr="000D1F63">
        <w:rPr>
          <w:rFonts w:ascii="Times New Roman" w:eastAsia="Times New Roman" w:hAnsi="Times New Roman" w:cs="Times New Roman"/>
          <w:spacing w:val="-3"/>
          <w:sz w:val="24"/>
          <w:szCs w:val="24"/>
          <w:u w:val="single"/>
        </w:rPr>
        <w:t>, 2015</w:t>
      </w:r>
      <w:r w:rsidRPr="000D1F63">
        <w:rPr>
          <w:rFonts w:ascii="Times New Roman" w:eastAsia="Times New Roman" w:hAnsi="Times New Roman" w:cs="Times New Roman"/>
          <w:spacing w:val="-3"/>
          <w:sz w:val="24"/>
          <w:szCs w:val="24"/>
        </w:rPr>
        <w:tab/>
      </w:r>
      <w:r w:rsidR="004D227D" w:rsidRPr="000D1F63">
        <w:rPr>
          <w:rFonts w:ascii="Times New Roman" w:eastAsia="Times New Roman" w:hAnsi="Times New Roman" w:cs="Times New Roman"/>
          <w:spacing w:val="-3"/>
          <w:sz w:val="24"/>
          <w:szCs w:val="24"/>
          <w:u w:val="single"/>
        </w:rPr>
        <w:tab/>
        <w:t>/s/</w:t>
      </w:r>
      <w:r w:rsidR="004D227D" w:rsidRPr="000D1F63">
        <w:rPr>
          <w:rFonts w:ascii="Times New Roman" w:eastAsia="Times New Roman" w:hAnsi="Times New Roman" w:cs="Times New Roman"/>
          <w:spacing w:val="-3"/>
          <w:sz w:val="24"/>
          <w:szCs w:val="24"/>
          <w:u w:val="single"/>
        </w:rPr>
        <w:tab/>
      </w:r>
      <w:r w:rsidR="004D227D" w:rsidRPr="000D1F63">
        <w:rPr>
          <w:rFonts w:ascii="Times New Roman" w:eastAsia="Times New Roman" w:hAnsi="Times New Roman" w:cs="Times New Roman"/>
          <w:spacing w:val="-3"/>
          <w:sz w:val="24"/>
          <w:szCs w:val="24"/>
          <w:u w:val="single"/>
        </w:rPr>
        <w:tab/>
      </w:r>
      <w:r w:rsidR="004D227D" w:rsidRPr="000D1F63">
        <w:rPr>
          <w:rFonts w:ascii="Times New Roman" w:eastAsia="Times New Roman" w:hAnsi="Times New Roman" w:cs="Times New Roman"/>
          <w:spacing w:val="-3"/>
          <w:sz w:val="24"/>
          <w:szCs w:val="24"/>
          <w:u w:val="single"/>
        </w:rPr>
        <w:tab/>
      </w:r>
      <w:r w:rsidR="004D227D" w:rsidRPr="000D1F63">
        <w:rPr>
          <w:rFonts w:ascii="Times New Roman" w:eastAsia="Times New Roman" w:hAnsi="Times New Roman" w:cs="Times New Roman"/>
          <w:spacing w:val="-3"/>
          <w:sz w:val="24"/>
          <w:szCs w:val="24"/>
          <w:u w:val="single"/>
        </w:rPr>
        <w:tab/>
      </w:r>
      <w:r w:rsidR="004D227D" w:rsidRPr="000D1F63">
        <w:rPr>
          <w:rFonts w:ascii="Times New Roman" w:eastAsia="Times New Roman" w:hAnsi="Times New Roman" w:cs="Times New Roman"/>
          <w:spacing w:val="-3"/>
          <w:sz w:val="24"/>
          <w:szCs w:val="24"/>
          <w:u w:val="single"/>
        </w:rPr>
        <w:tab/>
      </w:r>
    </w:p>
    <w:p w:rsidR="00BD5884" w:rsidRPr="000D1F6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t>Joel H. Cheskis</w:t>
      </w:r>
    </w:p>
    <w:p w:rsidR="00C0545A" w:rsidRPr="000D1F63"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D1F63">
        <w:rPr>
          <w:rFonts w:ascii="Times New Roman" w:eastAsia="Times New Roman" w:hAnsi="Times New Roman" w:cs="Times New Roman"/>
          <w:spacing w:val="-3"/>
          <w:sz w:val="24"/>
          <w:szCs w:val="24"/>
        </w:rPr>
        <w:tab/>
      </w:r>
      <w:r w:rsidRPr="000D1F63">
        <w:rPr>
          <w:rFonts w:ascii="Times New Roman" w:eastAsia="Times New Roman" w:hAnsi="Times New Roman" w:cs="Times New Roman"/>
          <w:spacing w:val="-3"/>
          <w:sz w:val="24"/>
          <w:szCs w:val="24"/>
        </w:rPr>
        <w:tab/>
        <w:t>Administrative Law Judge</w:t>
      </w:r>
    </w:p>
    <w:sectPr w:rsidR="00C0545A" w:rsidRPr="000D1F63" w:rsidSect="008F13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8E7" w:rsidRDefault="00E678E7" w:rsidP="00CE5CC7">
      <w:pPr>
        <w:spacing w:after="0" w:line="240" w:lineRule="auto"/>
      </w:pPr>
      <w:r>
        <w:separator/>
      </w:r>
    </w:p>
  </w:endnote>
  <w:endnote w:type="continuationSeparator" w:id="0">
    <w:p w:rsidR="00E678E7" w:rsidRDefault="00E678E7"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B6B" w:rsidRPr="00D7630B" w:rsidRDefault="00143B6B">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285891"/>
      <w:docPartObj>
        <w:docPartGallery w:val="Page Numbers (Bottom of Page)"/>
        <w:docPartUnique/>
      </w:docPartObj>
    </w:sdtPr>
    <w:sdtEndPr>
      <w:rPr>
        <w:rFonts w:ascii="Times New Roman" w:hAnsi="Times New Roman" w:cs="Times New Roman"/>
        <w:noProof/>
        <w:sz w:val="20"/>
        <w:szCs w:val="20"/>
      </w:rPr>
    </w:sdtEndPr>
    <w:sdtContent>
      <w:p w:rsidR="004D227D" w:rsidRPr="00D7630B" w:rsidRDefault="004D227D">
        <w:pPr>
          <w:pStyle w:val="Footer"/>
          <w:jc w:val="center"/>
          <w:rPr>
            <w:rFonts w:ascii="Times New Roman" w:hAnsi="Times New Roman" w:cs="Times New Roman"/>
            <w:sz w:val="20"/>
            <w:szCs w:val="20"/>
          </w:rPr>
        </w:pPr>
        <w:r w:rsidRPr="00D7630B">
          <w:rPr>
            <w:rFonts w:ascii="Times New Roman" w:hAnsi="Times New Roman" w:cs="Times New Roman"/>
            <w:sz w:val="20"/>
            <w:szCs w:val="20"/>
          </w:rPr>
          <w:fldChar w:fldCharType="begin"/>
        </w:r>
        <w:r w:rsidRPr="00D7630B">
          <w:rPr>
            <w:rFonts w:ascii="Times New Roman" w:hAnsi="Times New Roman" w:cs="Times New Roman"/>
            <w:sz w:val="20"/>
            <w:szCs w:val="20"/>
          </w:rPr>
          <w:instrText xml:space="preserve"> PAGE   \* MERGEFORMAT </w:instrText>
        </w:r>
        <w:r w:rsidRPr="00D7630B">
          <w:rPr>
            <w:rFonts w:ascii="Times New Roman" w:hAnsi="Times New Roman" w:cs="Times New Roman"/>
            <w:sz w:val="20"/>
            <w:szCs w:val="20"/>
          </w:rPr>
          <w:fldChar w:fldCharType="separate"/>
        </w:r>
        <w:r w:rsidR="003E3E69">
          <w:rPr>
            <w:rFonts w:ascii="Times New Roman" w:hAnsi="Times New Roman" w:cs="Times New Roman"/>
            <w:noProof/>
            <w:sz w:val="20"/>
            <w:szCs w:val="20"/>
          </w:rPr>
          <w:t>27</w:t>
        </w:r>
        <w:r w:rsidRPr="00D7630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8E7" w:rsidRDefault="00E678E7" w:rsidP="00CE5CC7">
      <w:pPr>
        <w:spacing w:after="0" w:line="240" w:lineRule="auto"/>
      </w:pPr>
      <w:r>
        <w:separator/>
      </w:r>
    </w:p>
  </w:footnote>
  <w:footnote w:type="continuationSeparator" w:id="0">
    <w:p w:rsidR="00E678E7" w:rsidRDefault="00E678E7" w:rsidP="00CE5CC7">
      <w:pPr>
        <w:spacing w:after="0" w:line="240" w:lineRule="auto"/>
      </w:pPr>
      <w:r>
        <w:continuationSeparator/>
      </w:r>
    </w:p>
  </w:footnote>
  <w:footnote w:id="1">
    <w:p w:rsidR="00663419" w:rsidRPr="00663419" w:rsidRDefault="00663419" w:rsidP="00663419">
      <w:pPr>
        <w:pStyle w:val="FootnoteText"/>
        <w:rPr>
          <w:rFonts w:ascii="Times New Roman" w:hAnsi="Times New Roman" w:cs="Times New Roman"/>
        </w:rPr>
      </w:pPr>
      <w:r w:rsidRPr="00663419">
        <w:rPr>
          <w:rStyle w:val="FootnoteReference"/>
          <w:rFonts w:ascii="Times New Roman" w:hAnsi="Times New Roman" w:cs="Times New Roman"/>
        </w:rPr>
        <w:footnoteRef/>
      </w:r>
      <w:r w:rsidRPr="00663419">
        <w:rPr>
          <w:rFonts w:ascii="Times New Roman" w:hAnsi="Times New Roman" w:cs="Times New Roman"/>
        </w:rPr>
        <w:t xml:space="preserve"> </w:t>
      </w:r>
      <w:r w:rsidRPr="00663419">
        <w:rPr>
          <w:rFonts w:ascii="Times New Roman" w:hAnsi="Times New Roman" w:cs="Times New Roman"/>
        </w:rPr>
        <w:tab/>
        <w:t xml:space="preserve">The fact that a Disclosure Statement was attached to Blue Pilot’s Application for an EGS license that was approved by the Commission, </w:t>
      </w:r>
      <w:r w:rsidRPr="00663419">
        <w:rPr>
          <w:rFonts w:ascii="Times New Roman" w:hAnsi="Times New Roman" w:cs="Times New Roman"/>
          <w:i/>
        </w:rPr>
        <w:t>see</w:t>
      </w:r>
      <w:r w:rsidRPr="00663419">
        <w:rPr>
          <w:rFonts w:ascii="Times New Roman" w:hAnsi="Times New Roman" w:cs="Times New Roman"/>
        </w:rPr>
        <w:t xml:space="preserve">, </w:t>
      </w:r>
      <w:r w:rsidRPr="00663419">
        <w:rPr>
          <w:rFonts w:ascii="Times New Roman" w:hAnsi="Times New Roman" w:cs="Times New Roman"/>
          <w:u w:val="single"/>
        </w:rPr>
        <w:t>License Order</w:t>
      </w:r>
      <w:r w:rsidRPr="00663419">
        <w:rPr>
          <w:rFonts w:ascii="Times New Roman" w:hAnsi="Times New Roman" w:cs="Times New Roman"/>
        </w:rPr>
        <w:t xml:space="preserve">, </w:t>
      </w:r>
      <w:r w:rsidRPr="00663419">
        <w:rPr>
          <w:rFonts w:ascii="Times New Roman" w:hAnsi="Times New Roman" w:cs="Times New Roman"/>
          <w:i/>
        </w:rPr>
        <w:t>supra</w:t>
      </w:r>
      <w:r w:rsidRPr="00663419">
        <w:rPr>
          <w:rFonts w:ascii="Times New Roman" w:hAnsi="Times New Roman" w:cs="Times New Roman"/>
        </w:rPr>
        <w:t xml:space="preserve">, does not </w:t>
      </w:r>
      <w:r w:rsidR="006B767A">
        <w:rPr>
          <w:rFonts w:ascii="Times New Roman" w:hAnsi="Times New Roman" w:cs="Times New Roman"/>
        </w:rPr>
        <w:t xml:space="preserve">mean </w:t>
      </w:r>
      <w:r w:rsidRPr="00663419">
        <w:rPr>
          <w:rFonts w:ascii="Times New Roman" w:hAnsi="Times New Roman" w:cs="Times New Roman"/>
        </w:rPr>
        <w:t>that the Commission has previously approved Blue Pilot’s Disclosure Statement</w:t>
      </w:r>
      <w:r w:rsidR="003E2957">
        <w:rPr>
          <w:rFonts w:ascii="Times New Roman" w:hAnsi="Times New Roman" w:cs="Times New Roman"/>
        </w:rPr>
        <w:t xml:space="preserve"> or that the Disclosure Statement was clear, easily understood and unambiguous</w:t>
      </w:r>
      <w:r w:rsidR="00545E74">
        <w:rPr>
          <w:rFonts w:ascii="Times New Roman" w:hAnsi="Times New Roman" w:cs="Times New Roman"/>
        </w:rPr>
        <w:t xml:space="preserve"> because </w:t>
      </w:r>
      <w:r w:rsidRPr="00663419">
        <w:rPr>
          <w:rFonts w:ascii="Times New Roman" w:hAnsi="Times New Roman" w:cs="Times New Roman"/>
        </w:rPr>
        <w:t xml:space="preserve">the Disclosure Statement attached to that Application is </w:t>
      </w:r>
      <w:r w:rsidR="00545E74">
        <w:rPr>
          <w:rFonts w:ascii="Times New Roman" w:hAnsi="Times New Roman" w:cs="Times New Roman"/>
        </w:rPr>
        <w:t xml:space="preserve">substantially </w:t>
      </w:r>
      <w:r w:rsidRPr="00663419">
        <w:rPr>
          <w:rFonts w:ascii="Times New Roman" w:hAnsi="Times New Roman" w:cs="Times New Roman"/>
        </w:rPr>
        <w:t>different than the Disclosure Statement presented in this proceeding</w:t>
      </w:r>
      <w:r w:rsidR="006B767A">
        <w:rPr>
          <w:rFonts w:ascii="Times New Roman" w:hAnsi="Times New Roman" w:cs="Times New Roman"/>
        </w:rPr>
        <w:t xml:space="preserve"> as Enrico Exhibit Number 5</w:t>
      </w:r>
      <w:r w:rsidRPr="00663419">
        <w:rPr>
          <w:rFonts w:ascii="Times New Roman" w:hAnsi="Times New Roman" w:cs="Times New Roman"/>
        </w:rPr>
        <w:t>.</w:t>
      </w:r>
    </w:p>
  </w:footnote>
  <w:footnote w:id="2">
    <w:p w:rsidR="00D55F2C" w:rsidRPr="00C05D24" w:rsidRDefault="00D55F2C" w:rsidP="00D55F2C">
      <w:pPr>
        <w:pStyle w:val="FootnoteText"/>
        <w:rPr>
          <w:rFonts w:ascii="Times New Roman" w:hAnsi="Times New Roman" w:cs="Times New Roman"/>
        </w:rPr>
      </w:pPr>
      <w:r w:rsidRPr="00C05D24">
        <w:rPr>
          <w:rStyle w:val="FootnoteReference"/>
          <w:rFonts w:ascii="Times New Roman" w:hAnsi="Times New Roman" w:cs="Times New Roman"/>
        </w:rPr>
        <w:footnoteRef/>
      </w:r>
      <w:r w:rsidRPr="00C05D24">
        <w:rPr>
          <w:rFonts w:ascii="Times New Roman" w:hAnsi="Times New Roman" w:cs="Times New Roman"/>
        </w:rPr>
        <w:t xml:space="preserve"> </w:t>
      </w:r>
      <w:r w:rsidRPr="00C05D24">
        <w:rPr>
          <w:rFonts w:ascii="Times New Roman" w:hAnsi="Times New Roman" w:cs="Times New Roman"/>
        </w:rPr>
        <w:tab/>
      </w:r>
      <w:r w:rsidRPr="00C05D24">
        <w:rPr>
          <w:rFonts w:ascii="Times New Roman" w:hAnsi="Times New Roman" w:cs="Times New Roman"/>
          <w:i/>
        </w:rPr>
        <w:t>See</w:t>
      </w:r>
      <w:r w:rsidRPr="00C05D24">
        <w:rPr>
          <w:rFonts w:ascii="Times New Roman" w:hAnsi="Times New Roman" w:cs="Times New Roman"/>
        </w:rPr>
        <w:t xml:space="preserve">, </w:t>
      </w:r>
      <w:r w:rsidRPr="00C05D24">
        <w:rPr>
          <w:rFonts w:ascii="Times New Roman" w:hAnsi="Times New Roman" w:cs="Times New Roman"/>
          <w:u w:val="single"/>
        </w:rPr>
        <w:t>PUC Accelerates Switching Times for Electricity Supply</w:t>
      </w:r>
      <w:r w:rsidRPr="00C05D24">
        <w:rPr>
          <w:rFonts w:ascii="Times New Roman" w:hAnsi="Times New Roman" w:cs="Times New Roman"/>
        </w:rPr>
        <w:t xml:space="preserve">, Press Release (dated April 3, 2014), available at: </w:t>
      </w:r>
      <w:hyperlink r:id="rId1" w:history="1">
        <w:r w:rsidRPr="00C05D24">
          <w:rPr>
            <w:rStyle w:val="Hyperlink"/>
            <w:rFonts w:ascii="Times New Roman" w:hAnsi="Times New Roman" w:cs="Times New Roman"/>
          </w:rPr>
          <w:t>http://www.puc.state.pa.us/about_puc/press_releases.aspx?ShowPR=3332</w:t>
        </w:r>
      </w:hyperlink>
      <w:r w:rsidRPr="00C05D24">
        <w:rPr>
          <w:rFonts w:ascii="Times New Roman" w:hAnsi="Times New Roman" w:cs="Times New Roman"/>
        </w:rPr>
        <w:t xml:space="preserve"> (the Commission received approximately 10,000 contacts from consumers during the winter of 2014 as a result of the dramatic spikes in energy bills, the vast majority of whom enrolled in variable rate service).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9EE"/>
    <w:multiLevelType w:val="hybridMultilevel"/>
    <w:tmpl w:val="3F96D1B0"/>
    <w:lvl w:ilvl="0" w:tplc="9E521D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14F9D"/>
    <w:multiLevelType w:val="hybridMultilevel"/>
    <w:tmpl w:val="F62CB25E"/>
    <w:lvl w:ilvl="0" w:tplc="1D6653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4FB32FE"/>
    <w:multiLevelType w:val="hybridMultilevel"/>
    <w:tmpl w:val="4EFC74F6"/>
    <w:lvl w:ilvl="0" w:tplc="BA329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3D769C3"/>
    <w:multiLevelType w:val="hybridMultilevel"/>
    <w:tmpl w:val="640EE602"/>
    <w:lvl w:ilvl="0" w:tplc="10909F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163F76"/>
    <w:multiLevelType w:val="hybridMultilevel"/>
    <w:tmpl w:val="64DCAC82"/>
    <w:lvl w:ilvl="0" w:tplc="32401A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73EF7121"/>
    <w:multiLevelType w:val="hybridMultilevel"/>
    <w:tmpl w:val="F6B8A1C6"/>
    <w:lvl w:ilvl="0" w:tplc="E138B8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03643"/>
    <w:multiLevelType w:val="hybridMultilevel"/>
    <w:tmpl w:val="CE1EE0C6"/>
    <w:lvl w:ilvl="0" w:tplc="94D403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6"/>
  </w:num>
  <w:num w:numId="8">
    <w:abstractNumId w:val="15"/>
  </w:num>
  <w:num w:numId="9">
    <w:abstractNumId w:val="7"/>
  </w:num>
  <w:num w:numId="10">
    <w:abstractNumId w:val="10"/>
  </w:num>
  <w:num w:numId="11">
    <w:abstractNumId w:val="1"/>
  </w:num>
  <w:num w:numId="12">
    <w:abstractNumId w:val="4"/>
  </w:num>
  <w:num w:numId="13">
    <w:abstractNumId w:val="8"/>
  </w:num>
  <w:num w:numId="14">
    <w:abstractNumId w:val="11"/>
  </w:num>
  <w:num w:numId="15">
    <w:abstractNumId w:val="3"/>
  </w:num>
  <w:num w:numId="16">
    <w:abstractNumId w:val="0"/>
  </w:num>
  <w:num w:numId="17">
    <w:abstractNumId w:val="2"/>
  </w:num>
  <w:num w:numId="18">
    <w:abstractNumId w:val="18"/>
  </w:num>
  <w:num w:numId="19">
    <w:abstractNumId w:val="14"/>
  </w:num>
  <w:num w:numId="20">
    <w:abstractNumId w:val="13"/>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A8C"/>
    <w:rsid w:val="00002ED3"/>
    <w:rsid w:val="00004499"/>
    <w:rsid w:val="00004B4A"/>
    <w:rsid w:val="00004D80"/>
    <w:rsid w:val="000050FA"/>
    <w:rsid w:val="00005690"/>
    <w:rsid w:val="00006C19"/>
    <w:rsid w:val="00012008"/>
    <w:rsid w:val="0001449E"/>
    <w:rsid w:val="00015520"/>
    <w:rsid w:val="0001590C"/>
    <w:rsid w:val="00021238"/>
    <w:rsid w:val="00021356"/>
    <w:rsid w:val="00021E94"/>
    <w:rsid w:val="000234E1"/>
    <w:rsid w:val="00023BCF"/>
    <w:rsid w:val="000251EC"/>
    <w:rsid w:val="000269FF"/>
    <w:rsid w:val="00026F1C"/>
    <w:rsid w:val="00026FA5"/>
    <w:rsid w:val="0002728D"/>
    <w:rsid w:val="00027FD1"/>
    <w:rsid w:val="000300F8"/>
    <w:rsid w:val="0003199B"/>
    <w:rsid w:val="00031E4F"/>
    <w:rsid w:val="00034289"/>
    <w:rsid w:val="00036000"/>
    <w:rsid w:val="000363FC"/>
    <w:rsid w:val="00036A54"/>
    <w:rsid w:val="000373AF"/>
    <w:rsid w:val="00041620"/>
    <w:rsid w:val="0004211C"/>
    <w:rsid w:val="00042456"/>
    <w:rsid w:val="00042C56"/>
    <w:rsid w:val="00042CC9"/>
    <w:rsid w:val="00042E4D"/>
    <w:rsid w:val="00043BDB"/>
    <w:rsid w:val="00045CAF"/>
    <w:rsid w:val="00046FF6"/>
    <w:rsid w:val="00050838"/>
    <w:rsid w:val="000520BE"/>
    <w:rsid w:val="000541D8"/>
    <w:rsid w:val="0005458B"/>
    <w:rsid w:val="00057FE2"/>
    <w:rsid w:val="00060098"/>
    <w:rsid w:val="00060DE0"/>
    <w:rsid w:val="00061B63"/>
    <w:rsid w:val="00062705"/>
    <w:rsid w:val="00063319"/>
    <w:rsid w:val="00064527"/>
    <w:rsid w:val="0006470E"/>
    <w:rsid w:val="0006551D"/>
    <w:rsid w:val="00067784"/>
    <w:rsid w:val="00067938"/>
    <w:rsid w:val="000716EA"/>
    <w:rsid w:val="000717FF"/>
    <w:rsid w:val="00072266"/>
    <w:rsid w:val="000722BD"/>
    <w:rsid w:val="00072C48"/>
    <w:rsid w:val="00073B78"/>
    <w:rsid w:val="00073B8C"/>
    <w:rsid w:val="000744ED"/>
    <w:rsid w:val="00075133"/>
    <w:rsid w:val="0007526F"/>
    <w:rsid w:val="000771A8"/>
    <w:rsid w:val="0007745D"/>
    <w:rsid w:val="00077BB3"/>
    <w:rsid w:val="00077C7C"/>
    <w:rsid w:val="00077D19"/>
    <w:rsid w:val="00082E77"/>
    <w:rsid w:val="00084D64"/>
    <w:rsid w:val="00085EB3"/>
    <w:rsid w:val="00087A9F"/>
    <w:rsid w:val="00087AB2"/>
    <w:rsid w:val="000908F0"/>
    <w:rsid w:val="00091B0C"/>
    <w:rsid w:val="00092CB1"/>
    <w:rsid w:val="0009339A"/>
    <w:rsid w:val="0009432C"/>
    <w:rsid w:val="00095BD9"/>
    <w:rsid w:val="000971BF"/>
    <w:rsid w:val="000A00B3"/>
    <w:rsid w:val="000A0BF6"/>
    <w:rsid w:val="000A158D"/>
    <w:rsid w:val="000A229F"/>
    <w:rsid w:val="000A3855"/>
    <w:rsid w:val="000A3859"/>
    <w:rsid w:val="000A3A8D"/>
    <w:rsid w:val="000A471D"/>
    <w:rsid w:val="000A4C3C"/>
    <w:rsid w:val="000A4DE8"/>
    <w:rsid w:val="000A4E11"/>
    <w:rsid w:val="000A5D4D"/>
    <w:rsid w:val="000A61C5"/>
    <w:rsid w:val="000A6A82"/>
    <w:rsid w:val="000B14E0"/>
    <w:rsid w:val="000B2F58"/>
    <w:rsid w:val="000B3E1E"/>
    <w:rsid w:val="000B408A"/>
    <w:rsid w:val="000C11A1"/>
    <w:rsid w:val="000C1494"/>
    <w:rsid w:val="000C24A6"/>
    <w:rsid w:val="000C2935"/>
    <w:rsid w:val="000C4F78"/>
    <w:rsid w:val="000C65DC"/>
    <w:rsid w:val="000C7035"/>
    <w:rsid w:val="000C7826"/>
    <w:rsid w:val="000C7B96"/>
    <w:rsid w:val="000D099A"/>
    <w:rsid w:val="000D139E"/>
    <w:rsid w:val="000D1F19"/>
    <w:rsid w:val="000D1F63"/>
    <w:rsid w:val="000D47C8"/>
    <w:rsid w:val="000D5615"/>
    <w:rsid w:val="000D6AE6"/>
    <w:rsid w:val="000D790B"/>
    <w:rsid w:val="000E1640"/>
    <w:rsid w:val="000E27B2"/>
    <w:rsid w:val="000E33F8"/>
    <w:rsid w:val="000E4E9E"/>
    <w:rsid w:val="000E52D4"/>
    <w:rsid w:val="000E5B74"/>
    <w:rsid w:val="000E5D90"/>
    <w:rsid w:val="000E6530"/>
    <w:rsid w:val="000E6EE9"/>
    <w:rsid w:val="000E7DEB"/>
    <w:rsid w:val="000E7F1C"/>
    <w:rsid w:val="000F030C"/>
    <w:rsid w:val="000F0344"/>
    <w:rsid w:val="000F22E4"/>
    <w:rsid w:val="000F37ED"/>
    <w:rsid w:val="000F4332"/>
    <w:rsid w:val="000F50D8"/>
    <w:rsid w:val="000F55A4"/>
    <w:rsid w:val="000F5BE3"/>
    <w:rsid w:val="000F72BF"/>
    <w:rsid w:val="000F7547"/>
    <w:rsid w:val="00100404"/>
    <w:rsid w:val="00101043"/>
    <w:rsid w:val="00102838"/>
    <w:rsid w:val="00102B78"/>
    <w:rsid w:val="0010559A"/>
    <w:rsid w:val="001059FC"/>
    <w:rsid w:val="0010690D"/>
    <w:rsid w:val="00106B06"/>
    <w:rsid w:val="00106B61"/>
    <w:rsid w:val="00107408"/>
    <w:rsid w:val="001118A2"/>
    <w:rsid w:val="0011578E"/>
    <w:rsid w:val="00115E94"/>
    <w:rsid w:val="00120E0A"/>
    <w:rsid w:val="00121754"/>
    <w:rsid w:val="00125F72"/>
    <w:rsid w:val="00126C09"/>
    <w:rsid w:val="00126ED0"/>
    <w:rsid w:val="001276D8"/>
    <w:rsid w:val="00131BE2"/>
    <w:rsid w:val="0013266B"/>
    <w:rsid w:val="001349A2"/>
    <w:rsid w:val="001350E9"/>
    <w:rsid w:val="0013679C"/>
    <w:rsid w:val="00136B63"/>
    <w:rsid w:val="00137ED0"/>
    <w:rsid w:val="00140069"/>
    <w:rsid w:val="001407AB"/>
    <w:rsid w:val="001419A4"/>
    <w:rsid w:val="0014223C"/>
    <w:rsid w:val="001430B7"/>
    <w:rsid w:val="0014389B"/>
    <w:rsid w:val="00143B6B"/>
    <w:rsid w:val="001467FE"/>
    <w:rsid w:val="00147CB3"/>
    <w:rsid w:val="00150194"/>
    <w:rsid w:val="0015081F"/>
    <w:rsid w:val="00151883"/>
    <w:rsid w:val="0015275D"/>
    <w:rsid w:val="00153DC7"/>
    <w:rsid w:val="00154C2A"/>
    <w:rsid w:val="001552C8"/>
    <w:rsid w:val="001560B3"/>
    <w:rsid w:val="001560CF"/>
    <w:rsid w:val="001565B1"/>
    <w:rsid w:val="00156ABE"/>
    <w:rsid w:val="00157976"/>
    <w:rsid w:val="00160972"/>
    <w:rsid w:val="0016107D"/>
    <w:rsid w:val="00163297"/>
    <w:rsid w:val="00165026"/>
    <w:rsid w:val="001664D5"/>
    <w:rsid w:val="00170875"/>
    <w:rsid w:val="001733CC"/>
    <w:rsid w:val="001742E1"/>
    <w:rsid w:val="001745D5"/>
    <w:rsid w:val="00174C59"/>
    <w:rsid w:val="00175318"/>
    <w:rsid w:val="00176282"/>
    <w:rsid w:val="00177DB0"/>
    <w:rsid w:val="00182DE8"/>
    <w:rsid w:val="00183941"/>
    <w:rsid w:val="001841F0"/>
    <w:rsid w:val="00187551"/>
    <w:rsid w:val="0018764C"/>
    <w:rsid w:val="001910F7"/>
    <w:rsid w:val="00191567"/>
    <w:rsid w:val="00194259"/>
    <w:rsid w:val="00194DCC"/>
    <w:rsid w:val="00195C7C"/>
    <w:rsid w:val="001A3D98"/>
    <w:rsid w:val="001A4C9A"/>
    <w:rsid w:val="001A4D61"/>
    <w:rsid w:val="001A6FDF"/>
    <w:rsid w:val="001A7BA3"/>
    <w:rsid w:val="001B042A"/>
    <w:rsid w:val="001B15B5"/>
    <w:rsid w:val="001B1B3A"/>
    <w:rsid w:val="001B3CB0"/>
    <w:rsid w:val="001B3DFD"/>
    <w:rsid w:val="001B4273"/>
    <w:rsid w:val="001B4591"/>
    <w:rsid w:val="001B4BBC"/>
    <w:rsid w:val="001B5704"/>
    <w:rsid w:val="001B5A2D"/>
    <w:rsid w:val="001C1617"/>
    <w:rsid w:val="001C2405"/>
    <w:rsid w:val="001C4837"/>
    <w:rsid w:val="001C74FD"/>
    <w:rsid w:val="001C7AFE"/>
    <w:rsid w:val="001D0B92"/>
    <w:rsid w:val="001D135D"/>
    <w:rsid w:val="001D2A67"/>
    <w:rsid w:val="001D4441"/>
    <w:rsid w:val="001D5387"/>
    <w:rsid w:val="001D6796"/>
    <w:rsid w:val="001D7453"/>
    <w:rsid w:val="001E1F3A"/>
    <w:rsid w:val="001E5F49"/>
    <w:rsid w:val="001E60EF"/>
    <w:rsid w:val="001E69C5"/>
    <w:rsid w:val="001E6AE2"/>
    <w:rsid w:val="001F0D35"/>
    <w:rsid w:val="001F1682"/>
    <w:rsid w:val="001F1B85"/>
    <w:rsid w:val="001F2B83"/>
    <w:rsid w:val="001F3C32"/>
    <w:rsid w:val="001F432F"/>
    <w:rsid w:val="001F6B8C"/>
    <w:rsid w:val="001F74D9"/>
    <w:rsid w:val="001F756B"/>
    <w:rsid w:val="00201E7D"/>
    <w:rsid w:val="00202808"/>
    <w:rsid w:val="00202DAB"/>
    <w:rsid w:val="00202F76"/>
    <w:rsid w:val="0020436B"/>
    <w:rsid w:val="00205C77"/>
    <w:rsid w:val="002063BC"/>
    <w:rsid w:val="002066F2"/>
    <w:rsid w:val="002077E2"/>
    <w:rsid w:val="00207BF2"/>
    <w:rsid w:val="00211938"/>
    <w:rsid w:val="002134C4"/>
    <w:rsid w:val="00213B6F"/>
    <w:rsid w:val="0021418B"/>
    <w:rsid w:val="0021464B"/>
    <w:rsid w:val="002155E5"/>
    <w:rsid w:val="00215947"/>
    <w:rsid w:val="002170E1"/>
    <w:rsid w:val="002174FE"/>
    <w:rsid w:val="00217A5E"/>
    <w:rsid w:val="00217D46"/>
    <w:rsid w:val="00220F28"/>
    <w:rsid w:val="002210E3"/>
    <w:rsid w:val="00221E55"/>
    <w:rsid w:val="00222235"/>
    <w:rsid w:val="002228F1"/>
    <w:rsid w:val="00222EB4"/>
    <w:rsid w:val="00224E73"/>
    <w:rsid w:val="00226F0D"/>
    <w:rsid w:val="00230469"/>
    <w:rsid w:val="00230803"/>
    <w:rsid w:val="00231EE5"/>
    <w:rsid w:val="002328A0"/>
    <w:rsid w:val="002338E4"/>
    <w:rsid w:val="00234850"/>
    <w:rsid w:val="00234AE1"/>
    <w:rsid w:val="00236196"/>
    <w:rsid w:val="002369D3"/>
    <w:rsid w:val="00236D1E"/>
    <w:rsid w:val="00237B23"/>
    <w:rsid w:val="00237FB5"/>
    <w:rsid w:val="00240068"/>
    <w:rsid w:val="0024196E"/>
    <w:rsid w:val="00242E9C"/>
    <w:rsid w:val="002436DC"/>
    <w:rsid w:val="00243987"/>
    <w:rsid w:val="00244684"/>
    <w:rsid w:val="00244DF4"/>
    <w:rsid w:val="00247BF4"/>
    <w:rsid w:val="00250298"/>
    <w:rsid w:val="0025062F"/>
    <w:rsid w:val="00251315"/>
    <w:rsid w:val="00251970"/>
    <w:rsid w:val="00251BF2"/>
    <w:rsid w:val="00251E94"/>
    <w:rsid w:val="00252DF9"/>
    <w:rsid w:val="002530D0"/>
    <w:rsid w:val="0025310D"/>
    <w:rsid w:val="00253E7A"/>
    <w:rsid w:val="00255B70"/>
    <w:rsid w:val="00255EC1"/>
    <w:rsid w:val="00255F09"/>
    <w:rsid w:val="00257289"/>
    <w:rsid w:val="002578C4"/>
    <w:rsid w:val="00257A54"/>
    <w:rsid w:val="002601ED"/>
    <w:rsid w:val="00260C4F"/>
    <w:rsid w:val="00261FBC"/>
    <w:rsid w:val="00263E76"/>
    <w:rsid w:val="0026540F"/>
    <w:rsid w:val="002656E3"/>
    <w:rsid w:val="002663D8"/>
    <w:rsid w:val="00266E8E"/>
    <w:rsid w:val="002711EB"/>
    <w:rsid w:val="00271299"/>
    <w:rsid w:val="0027224F"/>
    <w:rsid w:val="00274ACE"/>
    <w:rsid w:val="00275560"/>
    <w:rsid w:val="00275D5F"/>
    <w:rsid w:val="002800BE"/>
    <w:rsid w:val="0028290D"/>
    <w:rsid w:val="0028350F"/>
    <w:rsid w:val="00284B72"/>
    <w:rsid w:val="00286E73"/>
    <w:rsid w:val="002902FF"/>
    <w:rsid w:val="002907C5"/>
    <w:rsid w:val="00292006"/>
    <w:rsid w:val="00294C65"/>
    <w:rsid w:val="002968DA"/>
    <w:rsid w:val="00296A92"/>
    <w:rsid w:val="00297BEB"/>
    <w:rsid w:val="002A1AE1"/>
    <w:rsid w:val="002A3A28"/>
    <w:rsid w:val="002A526C"/>
    <w:rsid w:val="002A54D6"/>
    <w:rsid w:val="002A5579"/>
    <w:rsid w:val="002A6AE8"/>
    <w:rsid w:val="002B19C8"/>
    <w:rsid w:val="002B23B6"/>
    <w:rsid w:val="002B24CB"/>
    <w:rsid w:val="002B3224"/>
    <w:rsid w:val="002B508E"/>
    <w:rsid w:val="002B6F8A"/>
    <w:rsid w:val="002B7BCA"/>
    <w:rsid w:val="002C006D"/>
    <w:rsid w:val="002C01B2"/>
    <w:rsid w:val="002C09FD"/>
    <w:rsid w:val="002C0B85"/>
    <w:rsid w:val="002C1169"/>
    <w:rsid w:val="002C2CAC"/>
    <w:rsid w:val="002C4C01"/>
    <w:rsid w:val="002C534D"/>
    <w:rsid w:val="002D09AF"/>
    <w:rsid w:val="002D12C2"/>
    <w:rsid w:val="002D16A5"/>
    <w:rsid w:val="002D1E8D"/>
    <w:rsid w:val="002D270E"/>
    <w:rsid w:val="002D37D4"/>
    <w:rsid w:val="002D39FC"/>
    <w:rsid w:val="002D3A6C"/>
    <w:rsid w:val="002D552A"/>
    <w:rsid w:val="002D59EB"/>
    <w:rsid w:val="002D655B"/>
    <w:rsid w:val="002D6DD3"/>
    <w:rsid w:val="002D7A1E"/>
    <w:rsid w:val="002E0B51"/>
    <w:rsid w:val="002E1645"/>
    <w:rsid w:val="002E3622"/>
    <w:rsid w:val="002E55D3"/>
    <w:rsid w:val="002E6262"/>
    <w:rsid w:val="002E6BEB"/>
    <w:rsid w:val="002F069A"/>
    <w:rsid w:val="002F1161"/>
    <w:rsid w:val="002F1232"/>
    <w:rsid w:val="002F14B0"/>
    <w:rsid w:val="002F1BCB"/>
    <w:rsid w:val="002F2517"/>
    <w:rsid w:val="002F36FD"/>
    <w:rsid w:val="002F3CCE"/>
    <w:rsid w:val="002F43CD"/>
    <w:rsid w:val="002F6446"/>
    <w:rsid w:val="002F6C43"/>
    <w:rsid w:val="003036DD"/>
    <w:rsid w:val="0030374C"/>
    <w:rsid w:val="003037E3"/>
    <w:rsid w:val="00305DC5"/>
    <w:rsid w:val="003079CC"/>
    <w:rsid w:val="00307BBA"/>
    <w:rsid w:val="003108F7"/>
    <w:rsid w:val="003118AB"/>
    <w:rsid w:val="00312B9F"/>
    <w:rsid w:val="003133D5"/>
    <w:rsid w:val="003142E6"/>
    <w:rsid w:val="00314D0B"/>
    <w:rsid w:val="00314D70"/>
    <w:rsid w:val="003156FF"/>
    <w:rsid w:val="00316FBC"/>
    <w:rsid w:val="00317E21"/>
    <w:rsid w:val="003227D9"/>
    <w:rsid w:val="00323140"/>
    <w:rsid w:val="00323BE8"/>
    <w:rsid w:val="00323E6F"/>
    <w:rsid w:val="003240E8"/>
    <w:rsid w:val="00324FF3"/>
    <w:rsid w:val="0032660A"/>
    <w:rsid w:val="00326DFD"/>
    <w:rsid w:val="0032722A"/>
    <w:rsid w:val="00327A00"/>
    <w:rsid w:val="00327CE4"/>
    <w:rsid w:val="00331BC6"/>
    <w:rsid w:val="00331D0E"/>
    <w:rsid w:val="00331F52"/>
    <w:rsid w:val="00332804"/>
    <w:rsid w:val="00334348"/>
    <w:rsid w:val="00334908"/>
    <w:rsid w:val="00334ABF"/>
    <w:rsid w:val="00335B60"/>
    <w:rsid w:val="00335DA8"/>
    <w:rsid w:val="00337203"/>
    <w:rsid w:val="00341891"/>
    <w:rsid w:val="00341BB6"/>
    <w:rsid w:val="00342D4C"/>
    <w:rsid w:val="00343CA6"/>
    <w:rsid w:val="003447A8"/>
    <w:rsid w:val="00346F2E"/>
    <w:rsid w:val="003471D2"/>
    <w:rsid w:val="00347BE6"/>
    <w:rsid w:val="00350CEE"/>
    <w:rsid w:val="003519EE"/>
    <w:rsid w:val="00352D57"/>
    <w:rsid w:val="0035349B"/>
    <w:rsid w:val="0035503E"/>
    <w:rsid w:val="0035507E"/>
    <w:rsid w:val="003554FC"/>
    <w:rsid w:val="00356E4D"/>
    <w:rsid w:val="003572F6"/>
    <w:rsid w:val="00357DA3"/>
    <w:rsid w:val="00361253"/>
    <w:rsid w:val="00361D70"/>
    <w:rsid w:val="00362A3B"/>
    <w:rsid w:val="00362F40"/>
    <w:rsid w:val="003645F4"/>
    <w:rsid w:val="003650DC"/>
    <w:rsid w:val="00366734"/>
    <w:rsid w:val="00367503"/>
    <w:rsid w:val="003700EE"/>
    <w:rsid w:val="00371137"/>
    <w:rsid w:val="00371B92"/>
    <w:rsid w:val="00372F05"/>
    <w:rsid w:val="00374453"/>
    <w:rsid w:val="00377530"/>
    <w:rsid w:val="00377701"/>
    <w:rsid w:val="00381591"/>
    <w:rsid w:val="00381A97"/>
    <w:rsid w:val="003849A6"/>
    <w:rsid w:val="00384A60"/>
    <w:rsid w:val="003851E6"/>
    <w:rsid w:val="00386F92"/>
    <w:rsid w:val="003875F3"/>
    <w:rsid w:val="0039024B"/>
    <w:rsid w:val="00391887"/>
    <w:rsid w:val="00392A0D"/>
    <w:rsid w:val="0039324C"/>
    <w:rsid w:val="00393B85"/>
    <w:rsid w:val="003947D2"/>
    <w:rsid w:val="00394984"/>
    <w:rsid w:val="0039498E"/>
    <w:rsid w:val="0039591E"/>
    <w:rsid w:val="0039741D"/>
    <w:rsid w:val="00397B74"/>
    <w:rsid w:val="003A10B4"/>
    <w:rsid w:val="003A1328"/>
    <w:rsid w:val="003A1E9A"/>
    <w:rsid w:val="003A30C3"/>
    <w:rsid w:val="003A395A"/>
    <w:rsid w:val="003A3D69"/>
    <w:rsid w:val="003A3DF7"/>
    <w:rsid w:val="003A5964"/>
    <w:rsid w:val="003A65BB"/>
    <w:rsid w:val="003B09EF"/>
    <w:rsid w:val="003B19EC"/>
    <w:rsid w:val="003B1A04"/>
    <w:rsid w:val="003B269D"/>
    <w:rsid w:val="003B30D2"/>
    <w:rsid w:val="003B3150"/>
    <w:rsid w:val="003B4356"/>
    <w:rsid w:val="003B608E"/>
    <w:rsid w:val="003B6AFB"/>
    <w:rsid w:val="003C09D0"/>
    <w:rsid w:val="003C0BCC"/>
    <w:rsid w:val="003C2330"/>
    <w:rsid w:val="003C2F62"/>
    <w:rsid w:val="003C4155"/>
    <w:rsid w:val="003C61FF"/>
    <w:rsid w:val="003C6A0B"/>
    <w:rsid w:val="003C738C"/>
    <w:rsid w:val="003C7B7B"/>
    <w:rsid w:val="003C7BFB"/>
    <w:rsid w:val="003D2DE1"/>
    <w:rsid w:val="003D4035"/>
    <w:rsid w:val="003D7311"/>
    <w:rsid w:val="003D745B"/>
    <w:rsid w:val="003D7CA0"/>
    <w:rsid w:val="003E2957"/>
    <w:rsid w:val="003E3E69"/>
    <w:rsid w:val="003E4562"/>
    <w:rsid w:val="003F06D9"/>
    <w:rsid w:val="003F08D5"/>
    <w:rsid w:val="003F0973"/>
    <w:rsid w:val="003F1553"/>
    <w:rsid w:val="003F1A9E"/>
    <w:rsid w:val="003F2B4C"/>
    <w:rsid w:val="003F2C07"/>
    <w:rsid w:val="003F37DF"/>
    <w:rsid w:val="003F3921"/>
    <w:rsid w:val="003F4AD8"/>
    <w:rsid w:val="003F552D"/>
    <w:rsid w:val="00402396"/>
    <w:rsid w:val="00403CCF"/>
    <w:rsid w:val="0040505B"/>
    <w:rsid w:val="00406617"/>
    <w:rsid w:val="00407DE3"/>
    <w:rsid w:val="004104EA"/>
    <w:rsid w:val="00410793"/>
    <w:rsid w:val="00411601"/>
    <w:rsid w:val="004118FD"/>
    <w:rsid w:val="00412A4B"/>
    <w:rsid w:val="00413398"/>
    <w:rsid w:val="004138EE"/>
    <w:rsid w:val="00414B1E"/>
    <w:rsid w:val="00415A33"/>
    <w:rsid w:val="00417304"/>
    <w:rsid w:val="00420D62"/>
    <w:rsid w:val="0042381E"/>
    <w:rsid w:val="00423D0E"/>
    <w:rsid w:val="0042401A"/>
    <w:rsid w:val="004252CC"/>
    <w:rsid w:val="004254C8"/>
    <w:rsid w:val="004255B4"/>
    <w:rsid w:val="00425B3D"/>
    <w:rsid w:val="00425DB3"/>
    <w:rsid w:val="00426BB6"/>
    <w:rsid w:val="004279D6"/>
    <w:rsid w:val="00427CF8"/>
    <w:rsid w:val="00431FEA"/>
    <w:rsid w:val="0043241D"/>
    <w:rsid w:val="004325FB"/>
    <w:rsid w:val="00432677"/>
    <w:rsid w:val="004329F3"/>
    <w:rsid w:val="00433943"/>
    <w:rsid w:val="004348B2"/>
    <w:rsid w:val="004350E0"/>
    <w:rsid w:val="00435218"/>
    <w:rsid w:val="004358AF"/>
    <w:rsid w:val="00436DF4"/>
    <w:rsid w:val="00437035"/>
    <w:rsid w:val="00437B56"/>
    <w:rsid w:val="0044043A"/>
    <w:rsid w:val="00440FB8"/>
    <w:rsid w:val="0044133D"/>
    <w:rsid w:val="00441490"/>
    <w:rsid w:val="004419C8"/>
    <w:rsid w:val="00441DCD"/>
    <w:rsid w:val="00443468"/>
    <w:rsid w:val="00444FDF"/>
    <w:rsid w:val="004454AC"/>
    <w:rsid w:val="004463D6"/>
    <w:rsid w:val="00450EBA"/>
    <w:rsid w:val="00453EA6"/>
    <w:rsid w:val="00454069"/>
    <w:rsid w:val="00454524"/>
    <w:rsid w:val="00454ADE"/>
    <w:rsid w:val="00457C36"/>
    <w:rsid w:val="00461154"/>
    <w:rsid w:val="00464227"/>
    <w:rsid w:val="0046548B"/>
    <w:rsid w:val="0046640B"/>
    <w:rsid w:val="0046776F"/>
    <w:rsid w:val="0047074B"/>
    <w:rsid w:val="004707D5"/>
    <w:rsid w:val="004717AF"/>
    <w:rsid w:val="004725DE"/>
    <w:rsid w:val="00473C95"/>
    <w:rsid w:val="004742EE"/>
    <w:rsid w:val="00474D77"/>
    <w:rsid w:val="0047508B"/>
    <w:rsid w:val="0047570F"/>
    <w:rsid w:val="004764EA"/>
    <w:rsid w:val="004767A3"/>
    <w:rsid w:val="0048064E"/>
    <w:rsid w:val="00480826"/>
    <w:rsid w:val="00480B88"/>
    <w:rsid w:val="00484167"/>
    <w:rsid w:val="00484601"/>
    <w:rsid w:val="00484965"/>
    <w:rsid w:val="00485726"/>
    <w:rsid w:val="00485980"/>
    <w:rsid w:val="00485FFF"/>
    <w:rsid w:val="004869D7"/>
    <w:rsid w:val="00486A87"/>
    <w:rsid w:val="00487140"/>
    <w:rsid w:val="004875E1"/>
    <w:rsid w:val="0048783E"/>
    <w:rsid w:val="00487B53"/>
    <w:rsid w:val="00487DBC"/>
    <w:rsid w:val="00491C46"/>
    <w:rsid w:val="00491C5B"/>
    <w:rsid w:val="00491D68"/>
    <w:rsid w:val="00492093"/>
    <w:rsid w:val="00492753"/>
    <w:rsid w:val="00492E78"/>
    <w:rsid w:val="0049355A"/>
    <w:rsid w:val="004963A8"/>
    <w:rsid w:val="00496786"/>
    <w:rsid w:val="00497468"/>
    <w:rsid w:val="004A2EEF"/>
    <w:rsid w:val="004A4305"/>
    <w:rsid w:val="004B0500"/>
    <w:rsid w:val="004B2BF7"/>
    <w:rsid w:val="004B33AD"/>
    <w:rsid w:val="004B4A81"/>
    <w:rsid w:val="004B5A63"/>
    <w:rsid w:val="004B6090"/>
    <w:rsid w:val="004B6257"/>
    <w:rsid w:val="004B66A1"/>
    <w:rsid w:val="004C1116"/>
    <w:rsid w:val="004C1368"/>
    <w:rsid w:val="004C2F0D"/>
    <w:rsid w:val="004C38CD"/>
    <w:rsid w:val="004C535A"/>
    <w:rsid w:val="004C585E"/>
    <w:rsid w:val="004C5EEE"/>
    <w:rsid w:val="004C6DF3"/>
    <w:rsid w:val="004C6F0F"/>
    <w:rsid w:val="004C764B"/>
    <w:rsid w:val="004C76AE"/>
    <w:rsid w:val="004D227D"/>
    <w:rsid w:val="004D3179"/>
    <w:rsid w:val="004D3A5D"/>
    <w:rsid w:val="004D4452"/>
    <w:rsid w:val="004D4D94"/>
    <w:rsid w:val="004D52B0"/>
    <w:rsid w:val="004D64F5"/>
    <w:rsid w:val="004E092B"/>
    <w:rsid w:val="004E2963"/>
    <w:rsid w:val="004E2B43"/>
    <w:rsid w:val="004E30DB"/>
    <w:rsid w:val="004E3FE7"/>
    <w:rsid w:val="004E42DA"/>
    <w:rsid w:val="004E4CAE"/>
    <w:rsid w:val="004E5077"/>
    <w:rsid w:val="004E68CA"/>
    <w:rsid w:val="004E6A10"/>
    <w:rsid w:val="004E75C6"/>
    <w:rsid w:val="004F0409"/>
    <w:rsid w:val="004F19C8"/>
    <w:rsid w:val="004F1DA6"/>
    <w:rsid w:val="004F2189"/>
    <w:rsid w:val="004F24E7"/>
    <w:rsid w:val="004F3090"/>
    <w:rsid w:val="004F3C38"/>
    <w:rsid w:val="004F4494"/>
    <w:rsid w:val="004F4765"/>
    <w:rsid w:val="004F4C98"/>
    <w:rsid w:val="004F4DC4"/>
    <w:rsid w:val="004F6CB0"/>
    <w:rsid w:val="004F6D81"/>
    <w:rsid w:val="004F6ECF"/>
    <w:rsid w:val="00500896"/>
    <w:rsid w:val="0050102A"/>
    <w:rsid w:val="0050183A"/>
    <w:rsid w:val="005020A7"/>
    <w:rsid w:val="0050211C"/>
    <w:rsid w:val="005051B0"/>
    <w:rsid w:val="0050570A"/>
    <w:rsid w:val="00505FD2"/>
    <w:rsid w:val="005065B2"/>
    <w:rsid w:val="00510E39"/>
    <w:rsid w:val="0051166D"/>
    <w:rsid w:val="00511BAD"/>
    <w:rsid w:val="005136FE"/>
    <w:rsid w:val="005161B4"/>
    <w:rsid w:val="00516429"/>
    <w:rsid w:val="0052097B"/>
    <w:rsid w:val="00524329"/>
    <w:rsid w:val="00524C84"/>
    <w:rsid w:val="00526FA7"/>
    <w:rsid w:val="005309AD"/>
    <w:rsid w:val="00530E51"/>
    <w:rsid w:val="00532C1C"/>
    <w:rsid w:val="0053404D"/>
    <w:rsid w:val="00537491"/>
    <w:rsid w:val="00537C12"/>
    <w:rsid w:val="00541315"/>
    <w:rsid w:val="005425AD"/>
    <w:rsid w:val="00543DA1"/>
    <w:rsid w:val="005454BE"/>
    <w:rsid w:val="00545576"/>
    <w:rsid w:val="00545E74"/>
    <w:rsid w:val="00546DAA"/>
    <w:rsid w:val="00547FAC"/>
    <w:rsid w:val="00550534"/>
    <w:rsid w:val="005513B6"/>
    <w:rsid w:val="00553AE1"/>
    <w:rsid w:val="00554B04"/>
    <w:rsid w:val="0055556B"/>
    <w:rsid w:val="00555F32"/>
    <w:rsid w:val="0055606A"/>
    <w:rsid w:val="00560D44"/>
    <w:rsid w:val="005617E8"/>
    <w:rsid w:val="005623D1"/>
    <w:rsid w:val="00563A2E"/>
    <w:rsid w:val="005661E6"/>
    <w:rsid w:val="00566A1B"/>
    <w:rsid w:val="00570DB6"/>
    <w:rsid w:val="00573643"/>
    <w:rsid w:val="00574154"/>
    <w:rsid w:val="00574597"/>
    <w:rsid w:val="005749CB"/>
    <w:rsid w:val="00575843"/>
    <w:rsid w:val="00577979"/>
    <w:rsid w:val="00577A8C"/>
    <w:rsid w:val="005815E6"/>
    <w:rsid w:val="005817C2"/>
    <w:rsid w:val="00582CDF"/>
    <w:rsid w:val="005835DB"/>
    <w:rsid w:val="00585E8C"/>
    <w:rsid w:val="0058613B"/>
    <w:rsid w:val="00586A65"/>
    <w:rsid w:val="005879C4"/>
    <w:rsid w:val="00587F44"/>
    <w:rsid w:val="00592A96"/>
    <w:rsid w:val="0059533E"/>
    <w:rsid w:val="00596471"/>
    <w:rsid w:val="00597C1A"/>
    <w:rsid w:val="00597CEB"/>
    <w:rsid w:val="00597EF7"/>
    <w:rsid w:val="005A20DD"/>
    <w:rsid w:val="005A31A5"/>
    <w:rsid w:val="005A3CAE"/>
    <w:rsid w:val="005A4D40"/>
    <w:rsid w:val="005A7B61"/>
    <w:rsid w:val="005B005F"/>
    <w:rsid w:val="005B0E9A"/>
    <w:rsid w:val="005B1533"/>
    <w:rsid w:val="005B2A18"/>
    <w:rsid w:val="005B3664"/>
    <w:rsid w:val="005B3E6A"/>
    <w:rsid w:val="005B4311"/>
    <w:rsid w:val="005B4665"/>
    <w:rsid w:val="005B50DA"/>
    <w:rsid w:val="005B56FF"/>
    <w:rsid w:val="005B5A10"/>
    <w:rsid w:val="005B7B20"/>
    <w:rsid w:val="005B7C0A"/>
    <w:rsid w:val="005C0434"/>
    <w:rsid w:val="005C14F2"/>
    <w:rsid w:val="005C2B3B"/>
    <w:rsid w:val="005C301D"/>
    <w:rsid w:val="005C6483"/>
    <w:rsid w:val="005C7F71"/>
    <w:rsid w:val="005D018C"/>
    <w:rsid w:val="005D24B1"/>
    <w:rsid w:val="005D3B06"/>
    <w:rsid w:val="005D4BF0"/>
    <w:rsid w:val="005D5009"/>
    <w:rsid w:val="005D5C04"/>
    <w:rsid w:val="005D7AB6"/>
    <w:rsid w:val="005D7B32"/>
    <w:rsid w:val="005E0264"/>
    <w:rsid w:val="005E0DA9"/>
    <w:rsid w:val="005E2E09"/>
    <w:rsid w:val="005E2EB8"/>
    <w:rsid w:val="005E5C98"/>
    <w:rsid w:val="005E7111"/>
    <w:rsid w:val="005E75AD"/>
    <w:rsid w:val="005E77E0"/>
    <w:rsid w:val="005E7EAB"/>
    <w:rsid w:val="005F0BA7"/>
    <w:rsid w:val="005F1197"/>
    <w:rsid w:val="005F1D5C"/>
    <w:rsid w:val="005F1E70"/>
    <w:rsid w:val="005F2719"/>
    <w:rsid w:val="005F40DE"/>
    <w:rsid w:val="005F42B8"/>
    <w:rsid w:val="005F437F"/>
    <w:rsid w:val="005F45C1"/>
    <w:rsid w:val="005F49B7"/>
    <w:rsid w:val="005F4C90"/>
    <w:rsid w:val="005F5BCB"/>
    <w:rsid w:val="005F7C15"/>
    <w:rsid w:val="00600608"/>
    <w:rsid w:val="006031F0"/>
    <w:rsid w:val="0060327F"/>
    <w:rsid w:val="00605239"/>
    <w:rsid w:val="00607B04"/>
    <w:rsid w:val="0061054D"/>
    <w:rsid w:val="00610937"/>
    <w:rsid w:val="00611300"/>
    <w:rsid w:val="00611860"/>
    <w:rsid w:val="00611D8B"/>
    <w:rsid w:val="006136A7"/>
    <w:rsid w:val="00614592"/>
    <w:rsid w:val="00616ACC"/>
    <w:rsid w:val="00617602"/>
    <w:rsid w:val="00617678"/>
    <w:rsid w:val="0062005A"/>
    <w:rsid w:val="006203F8"/>
    <w:rsid w:val="0062459F"/>
    <w:rsid w:val="0062570C"/>
    <w:rsid w:val="00627140"/>
    <w:rsid w:val="0062772E"/>
    <w:rsid w:val="00627753"/>
    <w:rsid w:val="00631D19"/>
    <w:rsid w:val="006331D3"/>
    <w:rsid w:val="0063410A"/>
    <w:rsid w:val="006344D3"/>
    <w:rsid w:val="006357C0"/>
    <w:rsid w:val="00637D56"/>
    <w:rsid w:val="0064177E"/>
    <w:rsid w:val="00641D14"/>
    <w:rsid w:val="00643607"/>
    <w:rsid w:val="00644B50"/>
    <w:rsid w:val="006458EC"/>
    <w:rsid w:val="00645B77"/>
    <w:rsid w:val="00646741"/>
    <w:rsid w:val="0064675B"/>
    <w:rsid w:val="0064714E"/>
    <w:rsid w:val="00647B71"/>
    <w:rsid w:val="00650AE8"/>
    <w:rsid w:val="00650B04"/>
    <w:rsid w:val="00651784"/>
    <w:rsid w:val="00652400"/>
    <w:rsid w:val="00653FBD"/>
    <w:rsid w:val="00654603"/>
    <w:rsid w:val="00660B83"/>
    <w:rsid w:val="00660EC0"/>
    <w:rsid w:val="0066229D"/>
    <w:rsid w:val="00662E1A"/>
    <w:rsid w:val="00663419"/>
    <w:rsid w:val="0066427F"/>
    <w:rsid w:val="006651C7"/>
    <w:rsid w:val="00665EA8"/>
    <w:rsid w:val="006664E3"/>
    <w:rsid w:val="0066777E"/>
    <w:rsid w:val="00670EC7"/>
    <w:rsid w:val="006714D8"/>
    <w:rsid w:val="00673927"/>
    <w:rsid w:val="006744FF"/>
    <w:rsid w:val="006753FE"/>
    <w:rsid w:val="00676AC2"/>
    <w:rsid w:val="00680701"/>
    <w:rsid w:val="0068076A"/>
    <w:rsid w:val="00680C2A"/>
    <w:rsid w:val="006812CB"/>
    <w:rsid w:val="00681ABE"/>
    <w:rsid w:val="00682C34"/>
    <w:rsid w:val="00683914"/>
    <w:rsid w:val="006850F0"/>
    <w:rsid w:val="0069084D"/>
    <w:rsid w:val="00690BF1"/>
    <w:rsid w:val="00691849"/>
    <w:rsid w:val="00692187"/>
    <w:rsid w:val="0069743C"/>
    <w:rsid w:val="00697874"/>
    <w:rsid w:val="00697F98"/>
    <w:rsid w:val="006A0024"/>
    <w:rsid w:val="006A0171"/>
    <w:rsid w:val="006A0816"/>
    <w:rsid w:val="006A0993"/>
    <w:rsid w:val="006A216A"/>
    <w:rsid w:val="006A24FE"/>
    <w:rsid w:val="006A34AA"/>
    <w:rsid w:val="006A3BDA"/>
    <w:rsid w:val="006A58AE"/>
    <w:rsid w:val="006A5AAF"/>
    <w:rsid w:val="006A6484"/>
    <w:rsid w:val="006A7677"/>
    <w:rsid w:val="006B17D1"/>
    <w:rsid w:val="006B2BD0"/>
    <w:rsid w:val="006B31B6"/>
    <w:rsid w:val="006B3B61"/>
    <w:rsid w:val="006B6034"/>
    <w:rsid w:val="006B7016"/>
    <w:rsid w:val="006B767A"/>
    <w:rsid w:val="006C223F"/>
    <w:rsid w:val="006C264A"/>
    <w:rsid w:val="006C2F2B"/>
    <w:rsid w:val="006C3D50"/>
    <w:rsid w:val="006C4910"/>
    <w:rsid w:val="006C54F2"/>
    <w:rsid w:val="006C575A"/>
    <w:rsid w:val="006D1F2D"/>
    <w:rsid w:val="006D2079"/>
    <w:rsid w:val="006D2B0F"/>
    <w:rsid w:val="006D4A33"/>
    <w:rsid w:val="006D6B8C"/>
    <w:rsid w:val="006E0689"/>
    <w:rsid w:val="006E0AEB"/>
    <w:rsid w:val="006E28B6"/>
    <w:rsid w:val="006E2AF0"/>
    <w:rsid w:val="006E3537"/>
    <w:rsid w:val="006E3813"/>
    <w:rsid w:val="006E3C88"/>
    <w:rsid w:val="006E44E2"/>
    <w:rsid w:val="006E4546"/>
    <w:rsid w:val="006E46D9"/>
    <w:rsid w:val="006E473C"/>
    <w:rsid w:val="006E57C8"/>
    <w:rsid w:val="006E61D0"/>
    <w:rsid w:val="006E65E3"/>
    <w:rsid w:val="006E675A"/>
    <w:rsid w:val="006F07CB"/>
    <w:rsid w:val="006F0B60"/>
    <w:rsid w:val="006F2393"/>
    <w:rsid w:val="006F3077"/>
    <w:rsid w:val="006F4D29"/>
    <w:rsid w:val="006F4F28"/>
    <w:rsid w:val="006F5A5C"/>
    <w:rsid w:val="006F6A17"/>
    <w:rsid w:val="006F76E2"/>
    <w:rsid w:val="0070002B"/>
    <w:rsid w:val="007008AB"/>
    <w:rsid w:val="00701200"/>
    <w:rsid w:val="00701C45"/>
    <w:rsid w:val="007026AE"/>
    <w:rsid w:val="00705120"/>
    <w:rsid w:val="0070519C"/>
    <w:rsid w:val="00705263"/>
    <w:rsid w:val="0070563A"/>
    <w:rsid w:val="00705B90"/>
    <w:rsid w:val="00706757"/>
    <w:rsid w:val="007072CE"/>
    <w:rsid w:val="0071021E"/>
    <w:rsid w:val="00710942"/>
    <w:rsid w:val="00710D8A"/>
    <w:rsid w:val="007150B9"/>
    <w:rsid w:val="00715BEF"/>
    <w:rsid w:val="00717822"/>
    <w:rsid w:val="0072477D"/>
    <w:rsid w:val="0072505B"/>
    <w:rsid w:val="007257B0"/>
    <w:rsid w:val="00725FAB"/>
    <w:rsid w:val="007272ED"/>
    <w:rsid w:val="00727441"/>
    <w:rsid w:val="0072795D"/>
    <w:rsid w:val="00727CB0"/>
    <w:rsid w:val="00730570"/>
    <w:rsid w:val="0073393E"/>
    <w:rsid w:val="0074068F"/>
    <w:rsid w:val="00741C01"/>
    <w:rsid w:val="00742A0D"/>
    <w:rsid w:val="00743040"/>
    <w:rsid w:val="00744976"/>
    <w:rsid w:val="00745246"/>
    <w:rsid w:val="00745A39"/>
    <w:rsid w:val="00745B5E"/>
    <w:rsid w:val="00745FC5"/>
    <w:rsid w:val="00746037"/>
    <w:rsid w:val="00746A57"/>
    <w:rsid w:val="00750CAD"/>
    <w:rsid w:val="007528E8"/>
    <w:rsid w:val="00753EE4"/>
    <w:rsid w:val="00754640"/>
    <w:rsid w:val="0075471E"/>
    <w:rsid w:val="00754995"/>
    <w:rsid w:val="00754C87"/>
    <w:rsid w:val="00756E5C"/>
    <w:rsid w:val="007573F7"/>
    <w:rsid w:val="007606FA"/>
    <w:rsid w:val="00762FFF"/>
    <w:rsid w:val="0076341D"/>
    <w:rsid w:val="00763B52"/>
    <w:rsid w:val="00765169"/>
    <w:rsid w:val="007661F1"/>
    <w:rsid w:val="0077152B"/>
    <w:rsid w:val="0077202F"/>
    <w:rsid w:val="00773973"/>
    <w:rsid w:val="0077506B"/>
    <w:rsid w:val="00777894"/>
    <w:rsid w:val="00781110"/>
    <w:rsid w:val="0078267D"/>
    <w:rsid w:val="00782DAD"/>
    <w:rsid w:val="007831BB"/>
    <w:rsid w:val="00793371"/>
    <w:rsid w:val="00793B29"/>
    <w:rsid w:val="007940A6"/>
    <w:rsid w:val="00794E50"/>
    <w:rsid w:val="007955F5"/>
    <w:rsid w:val="00795B45"/>
    <w:rsid w:val="0079666A"/>
    <w:rsid w:val="007A1760"/>
    <w:rsid w:val="007A1FB4"/>
    <w:rsid w:val="007A260F"/>
    <w:rsid w:val="007A39BC"/>
    <w:rsid w:val="007B243D"/>
    <w:rsid w:val="007B3CA6"/>
    <w:rsid w:val="007B48A5"/>
    <w:rsid w:val="007B4F4C"/>
    <w:rsid w:val="007B531D"/>
    <w:rsid w:val="007B6303"/>
    <w:rsid w:val="007C152D"/>
    <w:rsid w:val="007C15DE"/>
    <w:rsid w:val="007C17F2"/>
    <w:rsid w:val="007C1CEA"/>
    <w:rsid w:val="007C28EF"/>
    <w:rsid w:val="007C2FD0"/>
    <w:rsid w:val="007C357D"/>
    <w:rsid w:val="007C3592"/>
    <w:rsid w:val="007C3662"/>
    <w:rsid w:val="007C3811"/>
    <w:rsid w:val="007C418B"/>
    <w:rsid w:val="007C5FF3"/>
    <w:rsid w:val="007C6DA5"/>
    <w:rsid w:val="007D1AF3"/>
    <w:rsid w:val="007D1DD1"/>
    <w:rsid w:val="007D4DD2"/>
    <w:rsid w:val="007D52F3"/>
    <w:rsid w:val="007D6339"/>
    <w:rsid w:val="007E032D"/>
    <w:rsid w:val="007E1B47"/>
    <w:rsid w:val="007E24A0"/>
    <w:rsid w:val="007E3A56"/>
    <w:rsid w:val="007E4736"/>
    <w:rsid w:val="007E528C"/>
    <w:rsid w:val="007E542C"/>
    <w:rsid w:val="007E66D2"/>
    <w:rsid w:val="007E7648"/>
    <w:rsid w:val="007F03B8"/>
    <w:rsid w:val="007F066D"/>
    <w:rsid w:val="007F145D"/>
    <w:rsid w:val="007F22C7"/>
    <w:rsid w:val="007F27AB"/>
    <w:rsid w:val="007F27B8"/>
    <w:rsid w:val="007F3F35"/>
    <w:rsid w:val="007F48D2"/>
    <w:rsid w:val="007F58CC"/>
    <w:rsid w:val="007F7AFE"/>
    <w:rsid w:val="0080025E"/>
    <w:rsid w:val="008017DA"/>
    <w:rsid w:val="008044EE"/>
    <w:rsid w:val="008045FC"/>
    <w:rsid w:val="00804625"/>
    <w:rsid w:val="00805069"/>
    <w:rsid w:val="008066CB"/>
    <w:rsid w:val="008067C0"/>
    <w:rsid w:val="008107D7"/>
    <w:rsid w:val="0081125B"/>
    <w:rsid w:val="00811457"/>
    <w:rsid w:val="00811988"/>
    <w:rsid w:val="00811D5B"/>
    <w:rsid w:val="0081233E"/>
    <w:rsid w:val="00814A93"/>
    <w:rsid w:val="0081521B"/>
    <w:rsid w:val="00815D77"/>
    <w:rsid w:val="00822258"/>
    <w:rsid w:val="0082243F"/>
    <w:rsid w:val="008226AE"/>
    <w:rsid w:val="0082359F"/>
    <w:rsid w:val="0082502C"/>
    <w:rsid w:val="008258C6"/>
    <w:rsid w:val="008277C5"/>
    <w:rsid w:val="008300F1"/>
    <w:rsid w:val="00830E20"/>
    <w:rsid w:val="0083220C"/>
    <w:rsid w:val="00833640"/>
    <w:rsid w:val="00833A60"/>
    <w:rsid w:val="008353CC"/>
    <w:rsid w:val="008367AC"/>
    <w:rsid w:val="00836D1A"/>
    <w:rsid w:val="00837D88"/>
    <w:rsid w:val="008404F9"/>
    <w:rsid w:val="00842A37"/>
    <w:rsid w:val="008462DE"/>
    <w:rsid w:val="008462DF"/>
    <w:rsid w:val="0084677D"/>
    <w:rsid w:val="00846D47"/>
    <w:rsid w:val="008510B2"/>
    <w:rsid w:val="00852CAF"/>
    <w:rsid w:val="00852F8D"/>
    <w:rsid w:val="0085326C"/>
    <w:rsid w:val="00853633"/>
    <w:rsid w:val="00854F1B"/>
    <w:rsid w:val="00863C28"/>
    <w:rsid w:val="00864601"/>
    <w:rsid w:val="00864F25"/>
    <w:rsid w:val="00865808"/>
    <w:rsid w:val="00865CC2"/>
    <w:rsid w:val="00865F5A"/>
    <w:rsid w:val="00866991"/>
    <w:rsid w:val="00866CAE"/>
    <w:rsid w:val="00867E04"/>
    <w:rsid w:val="00867E83"/>
    <w:rsid w:val="0087024B"/>
    <w:rsid w:val="00872218"/>
    <w:rsid w:val="00872D2F"/>
    <w:rsid w:val="00873E22"/>
    <w:rsid w:val="008755E9"/>
    <w:rsid w:val="008771D0"/>
    <w:rsid w:val="00877B7D"/>
    <w:rsid w:val="00881B27"/>
    <w:rsid w:val="00881E1E"/>
    <w:rsid w:val="00882B46"/>
    <w:rsid w:val="00883912"/>
    <w:rsid w:val="00883AEC"/>
    <w:rsid w:val="00883FE2"/>
    <w:rsid w:val="008843D5"/>
    <w:rsid w:val="00885B67"/>
    <w:rsid w:val="00885DA1"/>
    <w:rsid w:val="00887E0D"/>
    <w:rsid w:val="00887F1A"/>
    <w:rsid w:val="0089020C"/>
    <w:rsid w:val="008918A0"/>
    <w:rsid w:val="008939FF"/>
    <w:rsid w:val="00896E97"/>
    <w:rsid w:val="008973ED"/>
    <w:rsid w:val="008A1FFF"/>
    <w:rsid w:val="008A2439"/>
    <w:rsid w:val="008A245C"/>
    <w:rsid w:val="008A2997"/>
    <w:rsid w:val="008A3974"/>
    <w:rsid w:val="008A57DE"/>
    <w:rsid w:val="008A5C18"/>
    <w:rsid w:val="008A5F2F"/>
    <w:rsid w:val="008A6058"/>
    <w:rsid w:val="008A753D"/>
    <w:rsid w:val="008A75A3"/>
    <w:rsid w:val="008B14EC"/>
    <w:rsid w:val="008B228F"/>
    <w:rsid w:val="008B52C4"/>
    <w:rsid w:val="008B7056"/>
    <w:rsid w:val="008C0182"/>
    <w:rsid w:val="008C31E3"/>
    <w:rsid w:val="008C4764"/>
    <w:rsid w:val="008C5B47"/>
    <w:rsid w:val="008C60D9"/>
    <w:rsid w:val="008C7E67"/>
    <w:rsid w:val="008C7E98"/>
    <w:rsid w:val="008D06F0"/>
    <w:rsid w:val="008D0FA1"/>
    <w:rsid w:val="008D1121"/>
    <w:rsid w:val="008D3834"/>
    <w:rsid w:val="008D48C2"/>
    <w:rsid w:val="008D4FB0"/>
    <w:rsid w:val="008D695A"/>
    <w:rsid w:val="008D7F92"/>
    <w:rsid w:val="008E1C43"/>
    <w:rsid w:val="008E250A"/>
    <w:rsid w:val="008E2FC7"/>
    <w:rsid w:val="008E36AC"/>
    <w:rsid w:val="008E459A"/>
    <w:rsid w:val="008E6661"/>
    <w:rsid w:val="008E67DF"/>
    <w:rsid w:val="008F0029"/>
    <w:rsid w:val="008F0EF7"/>
    <w:rsid w:val="008F13AE"/>
    <w:rsid w:val="008F157F"/>
    <w:rsid w:val="008F1865"/>
    <w:rsid w:val="008F1C94"/>
    <w:rsid w:val="008F4F8A"/>
    <w:rsid w:val="008F6945"/>
    <w:rsid w:val="008F69FA"/>
    <w:rsid w:val="008F6D56"/>
    <w:rsid w:val="009012FA"/>
    <w:rsid w:val="00901C92"/>
    <w:rsid w:val="00902013"/>
    <w:rsid w:val="009022B1"/>
    <w:rsid w:val="00902850"/>
    <w:rsid w:val="00902B5D"/>
    <w:rsid w:val="009050EC"/>
    <w:rsid w:val="009060A0"/>
    <w:rsid w:val="00906524"/>
    <w:rsid w:val="009069B4"/>
    <w:rsid w:val="00907C3C"/>
    <w:rsid w:val="00911957"/>
    <w:rsid w:val="009156A6"/>
    <w:rsid w:val="009164E0"/>
    <w:rsid w:val="00916AEC"/>
    <w:rsid w:val="00916D2A"/>
    <w:rsid w:val="00917833"/>
    <w:rsid w:val="00917F4C"/>
    <w:rsid w:val="00920DC8"/>
    <w:rsid w:val="00923AF5"/>
    <w:rsid w:val="00923FEA"/>
    <w:rsid w:val="00924178"/>
    <w:rsid w:val="00924241"/>
    <w:rsid w:val="009243D1"/>
    <w:rsid w:val="00925B17"/>
    <w:rsid w:val="00926C2F"/>
    <w:rsid w:val="00926F3C"/>
    <w:rsid w:val="009273C8"/>
    <w:rsid w:val="00927814"/>
    <w:rsid w:val="00927F17"/>
    <w:rsid w:val="009306CB"/>
    <w:rsid w:val="0093274D"/>
    <w:rsid w:val="00932A73"/>
    <w:rsid w:val="00932D6F"/>
    <w:rsid w:val="0093475E"/>
    <w:rsid w:val="00934B99"/>
    <w:rsid w:val="00935498"/>
    <w:rsid w:val="00935DA2"/>
    <w:rsid w:val="0093665C"/>
    <w:rsid w:val="0093706C"/>
    <w:rsid w:val="00941324"/>
    <w:rsid w:val="009421D9"/>
    <w:rsid w:val="00943CCE"/>
    <w:rsid w:val="009473B8"/>
    <w:rsid w:val="009479FB"/>
    <w:rsid w:val="00950569"/>
    <w:rsid w:val="00950BDF"/>
    <w:rsid w:val="0095116B"/>
    <w:rsid w:val="00951ACD"/>
    <w:rsid w:val="0095318D"/>
    <w:rsid w:val="009533F1"/>
    <w:rsid w:val="00954B65"/>
    <w:rsid w:val="009563F2"/>
    <w:rsid w:val="00956A55"/>
    <w:rsid w:val="0095798F"/>
    <w:rsid w:val="0096185D"/>
    <w:rsid w:val="00961D70"/>
    <w:rsid w:val="009620DA"/>
    <w:rsid w:val="0096231A"/>
    <w:rsid w:val="00962C93"/>
    <w:rsid w:val="00964654"/>
    <w:rsid w:val="0096465F"/>
    <w:rsid w:val="00966208"/>
    <w:rsid w:val="00967007"/>
    <w:rsid w:val="009672E1"/>
    <w:rsid w:val="00971E89"/>
    <w:rsid w:val="00972824"/>
    <w:rsid w:val="00972B9F"/>
    <w:rsid w:val="009737C4"/>
    <w:rsid w:val="00974B34"/>
    <w:rsid w:val="00975505"/>
    <w:rsid w:val="0097718D"/>
    <w:rsid w:val="00977903"/>
    <w:rsid w:val="009802B8"/>
    <w:rsid w:val="00980441"/>
    <w:rsid w:val="0098272A"/>
    <w:rsid w:val="00983581"/>
    <w:rsid w:val="009839D1"/>
    <w:rsid w:val="00983AAC"/>
    <w:rsid w:val="00984F78"/>
    <w:rsid w:val="00985301"/>
    <w:rsid w:val="00985E0A"/>
    <w:rsid w:val="00991222"/>
    <w:rsid w:val="009926DF"/>
    <w:rsid w:val="00993907"/>
    <w:rsid w:val="00993C57"/>
    <w:rsid w:val="00994D80"/>
    <w:rsid w:val="009950E9"/>
    <w:rsid w:val="00995492"/>
    <w:rsid w:val="00996475"/>
    <w:rsid w:val="00996D30"/>
    <w:rsid w:val="0099724B"/>
    <w:rsid w:val="00997BEE"/>
    <w:rsid w:val="009A100A"/>
    <w:rsid w:val="009A1044"/>
    <w:rsid w:val="009A17BD"/>
    <w:rsid w:val="009A4E45"/>
    <w:rsid w:val="009A54E8"/>
    <w:rsid w:val="009A59B5"/>
    <w:rsid w:val="009B0D84"/>
    <w:rsid w:val="009B125A"/>
    <w:rsid w:val="009B21BF"/>
    <w:rsid w:val="009B2BFA"/>
    <w:rsid w:val="009B40ED"/>
    <w:rsid w:val="009B474B"/>
    <w:rsid w:val="009B4F5F"/>
    <w:rsid w:val="009B4F8C"/>
    <w:rsid w:val="009B5F37"/>
    <w:rsid w:val="009B6038"/>
    <w:rsid w:val="009B64B7"/>
    <w:rsid w:val="009B7C70"/>
    <w:rsid w:val="009C1CA8"/>
    <w:rsid w:val="009C2EFA"/>
    <w:rsid w:val="009C3172"/>
    <w:rsid w:val="009C6CF2"/>
    <w:rsid w:val="009C7531"/>
    <w:rsid w:val="009C7A47"/>
    <w:rsid w:val="009D182C"/>
    <w:rsid w:val="009D1BEE"/>
    <w:rsid w:val="009D3F87"/>
    <w:rsid w:val="009D512E"/>
    <w:rsid w:val="009D5F62"/>
    <w:rsid w:val="009D6D09"/>
    <w:rsid w:val="009E151B"/>
    <w:rsid w:val="009E30E9"/>
    <w:rsid w:val="009E319C"/>
    <w:rsid w:val="009E3A3D"/>
    <w:rsid w:val="009E477E"/>
    <w:rsid w:val="009E68DC"/>
    <w:rsid w:val="009E6B19"/>
    <w:rsid w:val="009F093D"/>
    <w:rsid w:val="009F12D2"/>
    <w:rsid w:val="009F16B1"/>
    <w:rsid w:val="009F1804"/>
    <w:rsid w:val="009F420E"/>
    <w:rsid w:val="009F60CA"/>
    <w:rsid w:val="009F6142"/>
    <w:rsid w:val="009F6494"/>
    <w:rsid w:val="009F7590"/>
    <w:rsid w:val="009F7F62"/>
    <w:rsid w:val="00A01D39"/>
    <w:rsid w:val="00A0261A"/>
    <w:rsid w:val="00A02AC7"/>
    <w:rsid w:val="00A02DE0"/>
    <w:rsid w:val="00A0324F"/>
    <w:rsid w:val="00A0403B"/>
    <w:rsid w:val="00A04987"/>
    <w:rsid w:val="00A056DB"/>
    <w:rsid w:val="00A06935"/>
    <w:rsid w:val="00A076BD"/>
    <w:rsid w:val="00A1010A"/>
    <w:rsid w:val="00A10720"/>
    <w:rsid w:val="00A14F15"/>
    <w:rsid w:val="00A20043"/>
    <w:rsid w:val="00A22067"/>
    <w:rsid w:val="00A2505F"/>
    <w:rsid w:val="00A262C0"/>
    <w:rsid w:val="00A26B37"/>
    <w:rsid w:val="00A272AB"/>
    <w:rsid w:val="00A278E9"/>
    <w:rsid w:val="00A306ED"/>
    <w:rsid w:val="00A30F8C"/>
    <w:rsid w:val="00A31D0B"/>
    <w:rsid w:val="00A3420F"/>
    <w:rsid w:val="00A343E4"/>
    <w:rsid w:val="00A3532E"/>
    <w:rsid w:val="00A364E3"/>
    <w:rsid w:val="00A375A0"/>
    <w:rsid w:val="00A3780F"/>
    <w:rsid w:val="00A378FD"/>
    <w:rsid w:val="00A41811"/>
    <w:rsid w:val="00A41992"/>
    <w:rsid w:val="00A426E7"/>
    <w:rsid w:val="00A439F4"/>
    <w:rsid w:val="00A43C77"/>
    <w:rsid w:val="00A43E30"/>
    <w:rsid w:val="00A43F8D"/>
    <w:rsid w:val="00A44E7C"/>
    <w:rsid w:val="00A45050"/>
    <w:rsid w:val="00A453B3"/>
    <w:rsid w:val="00A463AB"/>
    <w:rsid w:val="00A473C0"/>
    <w:rsid w:val="00A478D2"/>
    <w:rsid w:val="00A47949"/>
    <w:rsid w:val="00A502A1"/>
    <w:rsid w:val="00A51A83"/>
    <w:rsid w:val="00A52784"/>
    <w:rsid w:val="00A52B7B"/>
    <w:rsid w:val="00A61A36"/>
    <w:rsid w:val="00A627EE"/>
    <w:rsid w:val="00A63662"/>
    <w:rsid w:val="00A64CC0"/>
    <w:rsid w:val="00A64EC4"/>
    <w:rsid w:val="00A66215"/>
    <w:rsid w:val="00A66AAF"/>
    <w:rsid w:val="00A71339"/>
    <w:rsid w:val="00A7212A"/>
    <w:rsid w:val="00A724B5"/>
    <w:rsid w:val="00A740C6"/>
    <w:rsid w:val="00A76E9D"/>
    <w:rsid w:val="00A77106"/>
    <w:rsid w:val="00A77502"/>
    <w:rsid w:val="00A81019"/>
    <w:rsid w:val="00A82B4D"/>
    <w:rsid w:val="00A83A1F"/>
    <w:rsid w:val="00A83E15"/>
    <w:rsid w:val="00A853A5"/>
    <w:rsid w:val="00A867A8"/>
    <w:rsid w:val="00A90BF9"/>
    <w:rsid w:val="00A912E1"/>
    <w:rsid w:val="00A9177B"/>
    <w:rsid w:val="00A920D0"/>
    <w:rsid w:val="00A92E64"/>
    <w:rsid w:val="00A942B4"/>
    <w:rsid w:val="00A945A5"/>
    <w:rsid w:val="00A946B3"/>
    <w:rsid w:val="00A95415"/>
    <w:rsid w:val="00A95C6A"/>
    <w:rsid w:val="00A95FDF"/>
    <w:rsid w:val="00A97667"/>
    <w:rsid w:val="00AA0377"/>
    <w:rsid w:val="00AA2137"/>
    <w:rsid w:val="00AA2854"/>
    <w:rsid w:val="00AA4035"/>
    <w:rsid w:val="00AA4C88"/>
    <w:rsid w:val="00AA5A23"/>
    <w:rsid w:val="00AA5C10"/>
    <w:rsid w:val="00AA6924"/>
    <w:rsid w:val="00AA69B1"/>
    <w:rsid w:val="00AA716D"/>
    <w:rsid w:val="00AA73B4"/>
    <w:rsid w:val="00AB0700"/>
    <w:rsid w:val="00AB0BDF"/>
    <w:rsid w:val="00AB2E48"/>
    <w:rsid w:val="00AB3392"/>
    <w:rsid w:val="00AB363E"/>
    <w:rsid w:val="00AB4C78"/>
    <w:rsid w:val="00AB4FF3"/>
    <w:rsid w:val="00AB5FD0"/>
    <w:rsid w:val="00AB6376"/>
    <w:rsid w:val="00AB7222"/>
    <w:rsid w:val="00AC030F"/>
    <w:rsid w:val="00AC1327"/>
    <w:rsid w:val="00AC1AC2"/>
    <w:rsid w:val="00AC4315"/>
    <w:rsid w:val="00AC6910"/>
    <w:rsid w:val="00AC6BB3"/>
    <w:rsid w:val="00AC70E1"/>
    <w:rsid w:val="00AD09A2"/>
    <w:rsid w:val="00AD1252"/>
    <w:rsid w:val="00AD1C3D"/>
    <w:rsid w:val="00AD4209"/>
    <w:rsid w:val="00AE297F"/>
    <w:rsid w:val="00AE3174"/>
    <w:rsid w:val="00AE375D"/>
    <w:rsid w:val="00AE41BA"/>
    <w:rsid w:val="00AE45B2"/>
    <w:rsid w:val="00AF08B5"/>
    <w:rsid w:val="00AF324C"/>
    <w:rsid w:val="00AF38FE"/>
    <w:rsid w:val="00AF3AA3"/>
    <w:rsid w:val="00B0002F"/>
    <w:rsid w:val="00B01B66"/>
    <w:rsid w:val="00B0218E"/>
    <w:rsid w:val="00B02A05"/>
    <w:rsid w:val="00B0323D"/>
    <w:rsid w:val="00B06B5C"/>
    <w:rsid w:val="00B07EE2"/>
    <w:rsid w:val="00B10487"/>
    <w:rsid w:val="00B1056A"/>
    <w:rsid w:val="00B15D98"/>
    <w:rsid w:val="00B1615D"/>
    <w:rsid w:val="00B22884"/>
    <w:rsid w:val="00B23C94"/>
    <w:rsid w:val="00B23D35"/>
    <w:rsid w:val="00B27F2C"/>
    <w:rsid w:val="00B32585"/>
    <w:rsid w:val="00B32882"/>
    <w:rsid w:val="00B32C82"/>
    <w:rsid w:val="00B345DD"/>
    <w:rsid w:val="00B35D5E"/>
    <w:rsid w:val="00B36A23"/>
    <w:rsid w:val="00B4056B"/>
    <w:rsid w:val="00B428D0"/>
    <w:rsid w:val="00B43318"/>
    <w:rsid w:val="00B43335"/>
    <w:rsid w:val="00B439FA"/>
    <w:rsid w:val="00B45A1C"/>
    <w:rsid w:val="00B47318"/>
    <w:rsid w:val="00B51DBC"/>
    <w:rsid w:val="00B51F72"/>
    <w:rsid w:val="00B53190"/>
    <w:rsid w:val="00B54560"/>
    <w:rsid w:val="00B55EBD"/>
    <w:rsid w:val="00B5705E"/>
    <w:rsid w:val="00B572E3"/>
    <w:rsid w:val="00B61DD5"/>
    <w:rsid w:val="00B631E1"/>
    <w:rsid w:val="00B639AC"/>
    <w:rsid w:val="00B63AA1"/>
    <w:rsid w:val="00B64200"/>
    <w:rsid w:val="00B65E4F"/>
    <w:rsid w:val="00B6765D"/>
    <w:rsid w:val="00B71C17"/>
    <w:rsid w:val="00B72014"/>
    <w:rsid w:val="00B730CF"/>
    <w:rsid w:val="00B758A5"/>
    <w:rsid w:val="00B7609E"/>
    <w:rsid w:val="00B77077"/>
    <w:rsid w:val="00B7718B"/>
    <w:rsid w:val="00B8019A"/>
    <w:rsid w:val="00B80FDB"/>
    <w:rsid w:val="00B8129C"/>
    <w:rsid w:val="00B82B81"/>
    <w:rsid w:val="00B832C1"/>
    <w:rsid w:val="00B83C06"/>
    <w:rsid w:val="00B83F74"/>
    <w:rsid w:val="00B8575B"/>
    <w:rsid w:val="00B863F6"/>
    <w:rsid w:val="00B86726"/>
    <w:rsid w:val="00B87762"/>
    <w:rsid w:val="00B90D8A"/>
    <w:rsid w:val="00B912C7"/>
    <w:rsid w:val="00B91D78"/>
    <w:rsid w:val="00B92573"/>
    <w:rsid w:val="00B93300"/>
    <w:rsid w:val="00B94B42"/>
    <w:rsid w:val="00B95A1B"/>
    <w:rsid w:val="00B97282"/>
    <w:rsid w:val="00BA00F9"/>
    <w:rsid w:val="00BA04E2"/>
    <w:rsid w:val="00BA0F13"/>
    <w:rsid w:val="00BA1758"/>
    <w:rsid w:val="00BA194D"/>
    <w:rsid w:val="00BA2214"/>
    <w:rsid w:val="00BA3A2F"/>
    <w:rsid w:val="00BA3AE6"/>
    <w:rsid w:val="00BA3BA4"/>
    <w:rsid w:val="00BA4006"/>
    <w:rsid w:val="00BA516C"/>
    <w:rsid w:val="00BA604D"/>
    <w:rsid w:val="00BA6119"/>
    <w:rsid w:val="00BA69AA"/>
    <w:rsid w:val="00BB0A85"/>
    <w:rsid w:val="00BB0C65"/>
    <w:rsid w:val="00BB2A15"/>
    <w:rsid w:val="00BB3E8A"/>
    <w:rsid w:val="00BB43DC"/>
    <w:rsid w:val="00BB6D07"/>
    <w:rsid w:val="00BB6F22"/>
    <w:rsid w:val="00BB7765"/>
    <w:rsid w:val="00BC0815"/>
    <w:rsid w:val="00BC0A46"/>
    <w:rsid w:val="00BC0DD0"/>
    <w:rsid w:val="00BC1B80"/>
    <w:rsid w:val="00BC25EF"/>
    <w:rsid w:val="00BC27C8"/>
    <w:rsid w:val="00BC398C"/>
    <w:rsid w:val="00BC464B"/>
    <w:rsid w:val="00BC7056"/>
    <w:rsid w:val="00BD0AD6"/>
    <w:rsid w:val="00BD0CA0"/>
    <w:rsid w:val="00BD1C86"/>
    <w:rsid w:val="00BD229E"/>
    <w:rsid w:val="00BD2E78"/>
    <w:rsid w:val="00BD378B"/>
    <w:rsid w:val="00BD3FF7"/>
    <w:rsid w:val="00BD5884"/>
    <w:rsid w:val="00BE0590"/>
    <w:rsid w:val="00BE24A5"/>
    <w:rsid w:val="00BE2F25"/>
    <w:rsid w:val="00BE312A"/>
    <w:rsid w:val="00BE43DD"/>
    <w:rsid w:val="00BE510C"/>
    <w:rsid w:val="00BE6E20"/>
    <w:rsid w:val="00BE6E45"/>
    <w:rsid w:val="00BE75EB"/>
    <w:rsid w:val="00BF0086"/>
    <w:rsid w:val="00BF20A0"/>
    <w:rsid w:val="00BF33F0"/>
    <w:rsid w:val="00BF48EF"/>
    <w:rsid w:val="00BF4919"/>
    <w:rsid w:val="00BF4C56"/>
    <w:rsid w:val="00BF617C"/>
    <w:rsid w:val="00BF6692"/>
    <w:rsid w:val="00C00FB5"/>
    <w:rsid w:val="00C019DF"/>
    <w:rsid w:val="00C02123"/>
    <w:rsid w:val="00C027CB"/>
    <w:rsid w:val="00C02F10"/>
    <w:rsid w:val="00C02F6D"/>
    <w:rsid w:val="00C03BB3"/>
    <w:rsid w:val="00C03E27"/>
    <w:rsid w:val="00C0545A"/>
    <w:rsid w:val="00C063FF"/>
    <w:rsid w:val="00C06821"/>
    <w:rsid w:val="00C06A31"/>
    <w:rsid w:val="00C07530"/>
    <w:rsid w:val="00C10B4A"/>
    <w:rsid w:val="00C125F9"/>
    <w:rsid w:val="00C128D7"/>
    <w:rsid w:val="00C13328"/>
    <w:rsid w:val="00C13D01"/>
    <w:rsid w:val="00C14504"/>
    <w:rsid w:val="00C147A1"/>
    <w:rsid w:val="00C17107"/>
    <w:rsid w:val="00C205D7"/>
    <w:rsid w:val="00C21345"/>
    <w:rsid w:val="00C231D2"/>
    <w:rsid w:val="00C2390A"/>
    <w:rsid w:val="00C23B22"/>
    <w:rsid w:val="00C23C8E"/>
    <w:rsid w:val="00C24283"/>
    <w:rsid w:val="00C245F9"/>
    <w:rsid w:val="00C24A4F"/>
    <w:rsid w:val="00C26A92"/>
    <w:rsid w:val="00C279A3"/>
    <w:rsid w:val="00C32B73"/>
    <w:rsid w:val="00C32E22"/>
    <w:rsid w:val="00C3431A"/>
    <w:rsid w:val="00C3436C"/>
    <w:rsid w:val="00C351B6"/>
    <w:rsid w:val="00C363F0"/>
    <w:rsid w:val="00C40F2F"/>
    <w:rsid w:val="00C41A13"/>
    <w:rsid w:val="00C424A2"/>
    <w:rsid w:val="00C42F98"/>
    <w:rsid w:val="00C43586"/>
    <w:rsid w:val="00C43E11"/>
    <w:rsid w:val="00C45B80"/>
    <w:rsid w:val="00C461A8"/>
    <w:rsid w:val="00C50DD6"/>
    <w:rsid w:val="00C52D56"/>
    <w:rsid w:val="00C54462"/>
    <w:rsid w:val="00C564A4"/>
    <w:rsid w:val="00C56FA7"/>
    <w:rsid w:val="00C617F6"/>
    <w:rsid w:val="00C62B9B"/>
    <w:rsid w:val="00C62E8D"/>
    <w:rsid w:val="00C63943"/>
    <w:rsid w:val="00C63FE0"/>
    <w:rsid w:val="00C64533"/>
    <w:rsid w:val="00C66749"/>
    <w:rsid w:val="00C67576"/>
    <w:rsid w:val="00C67619"/>
    <w:rsid w:val="00C702E7"/>
    <w:rsid w:val="00C718FE"/>
    <w:rsid w:val="00C71DC1"/>
    <w:rsid w:val="00C74B17"/>
    <w:rsid w:val="00C76074"/>
    <w:rsid w:val="00C761EA"/>
    <w:rsid w:val="00C7696E"/>
    <w:rsid w:val="00C76D81"/>
    <w:rsid w:val="00C76DB7"/>
    <w:rsid w:val="00C80021"/>
    <w:rsid w:val="00C80758"/>
    <w:rsid w:val="00C823DA"/>
    <w:rsid w:val="00C82FBE"/>
    <w:rsid w:val="00C83A4F"/>
    <w:rsid w:val="00C855DB"/>
    <w:rsid w:val="00C86114"/>
    <w:rsid w:val="00C872FE"/>
    <w:rsid w:val="00C87499"/>
    <w:rsid w:val="00C87E0F"/>
    <w:rsid w:val="00C87F3B"/>
    <w:rsid w:val="00C90244"/>
    <w:rsid w:val="00C903BB"/>
    <w:rsid w:val="00C9137D"/>
    <w:rsid w:val="00C915FE"/>
    <w:rsid w:val="00C924E4"/>
    <w:rsid w:val="00C942BD"/>
    <w:rsid w:val="00C9435A"/>
    <w:rsid w:val="00C958C5"/>
    <w:rsid w:val="00C95ABE"/>
    <w:rsid w:val="00C964FA"/>
    <w:rsid w:val="00C97C6E"/>
    <w:rsid w:val="00CA4DD6"/>
    <w:rsid w:val="00CA6A81"/>
    <w:rsid w:val="00CB0093"/>
    <w:rsid w:val="00CB0900"/>
    <w:rsid w:val="00CB0BE1"/>
    <w:rsid w:val="00CB214E"/>
    <w:rsid w:val="00CB5F92"/>
    <w:rsid w:val="00CB662E"/>
    <w:rsid w:val="00CB7042"/>
    <w:rsid w:val="00CB706A"/>
    <w:rsid w:val="00CB738F"/>
    <w:rsid w:val="00CC07A3"/>
    <w:rsid w:val="00CC2837"/>
    <w:rsid w:val="00CC3A18"/>
    <w:rsid w:val="00CC56CB"/>
    <w:rsid w:val="00CC6988"/>
    <w:rsid w:val="00CD06A8"/>
    <w:rsid w:val="00CD0A41"/>
    <w:rsid w:val="00CD0F73"/>
    <w:rsid w:val="00CD1116"/>
    <w:rsid w:val="00CD12CF"/>
    <w:rsid w:val="00CD1AA8"/>
    <w:rsid w:val="00CD1CAF"/>
    <w:rsid w:val="00CD1D8F"/>
    <w:rsid w:val="00CD2014"/>
    <w:rsid w:val="00CD3FD8"/>
    <w:rsid w:val="00CD410E"/>
    <w:rsid w:val="00CD5EBC"/>
    <w:rsid w:val="00CE142A"/>
    <w:rsid w:val="00CE19CD"/>
    <w:rsid w:val="00CE33E5"/>
    <w:rsid w:val="00CE38B4"/>
    <w:rsid w:val="00CE502A"/>
    <w:rsid w:val="00CE521C"/>
    <w:rsid w:val="00CE5CC7"/>
    <w:rsid w:val="00CF1474"/>
    <w:rsid w:val="00CF297B"/>
    <w:rsid w:val="00CF30CB"/>
    <w:rsid w:val="00CF5367"/>
    <w:rsid w:val="00CF6EF5"/>
    <w:rsid w:val="00D0089C"/>
    <w:rsid w:val="00D02C66"/>
    <w:rsid w:val="00D0369B"/>
    <w:rsid w:val="00D03CBF"/>
    <w:rsid w:val="00D04CF9"/>
    <w:rsid w:val="00D05307"/>
    <w:rsid w:val="00D06804"/>
    <w:rsid w:val="00D06B9A"/>
    <w:rsid w:val="00D077FF"/>
    <w:rsid w:val="00D07B25"/>
    <w:rsid w:val="00D07F9C"/>
    <w:rsid w:val="00D12AF9"/>
    <w:rsid w:val="00D13B3B"/>
    <w:rsid w:val="00D15116"/>
    <w:rsid w:val="00D1525D"/>
    <w:rsid w:val="00D1559A"/>
    <w:rsid w:val="00D16ADD"/>
    <w:rsid w:val="00D16CBD"/>
    <w:rsid w:val="00D1788F"/>
    <w:rsid w:val="00D200E2"/>
    <w:rsid w:val="00D2063B"/>
    <w:rsid w:val="00D208F3"/>
    <w:rsid w:val="00D20B32"/>
    <w:rsid w:val="00D20F0C"/>
    <w:rsid w:val="00D21E1D"/>
    <w:rsid w:val="00D2426C"/>
    <w:rsid w:val="00D25E12"/>
    <w:rsid w:val="00D26057"/>
    <w:rsid w:val="00D26E70"/>
    <w:rsid w:val="00D27721"/>
    <w:rsid w:val="00D27F1D"/>
    <w:rsid w:val="00D308C4"/>
    <w:rsid w:val="00D30AAA"/>
    <w:rsid w:val="00D31454"/>
    <w:rsid w:val="00D31C40"/>
    <w:rsid w:val="00D34765"/>
    <w:rsid w:val="00D34B2A"/>
    <w:rsid w:val="00D35336"/>
    <w:rsid w:val="00D3542C"/>
    <w:rsid w:val="00D35E82"/>
    <w:rsid w:val="00D37318"/>
    <w:rsid w:val="00D37F01"/>
    <w:rsid w:val="00D4011E"/>
    <w:rsid w:val="00D401D6"/>
    <w:rsid w:val="00D4154A"/>
    <w:rsid w:val="00D41E8F"/>
    <w:rsid w:val="00D433ED"/>
    <w:rsid w:val="00D436AB"/>
    <w:rsid w:val="00D44A40"/>
    <w:rsid w:val="00D44AFD"/>
    <w:rsid w:val="00D44DDD"/>
    <w:rsid w:val="00D45D81"/>
    <w:rsid w:val="00D4728E"/>
    <w:rsid w:val="00D50486"/>
    <w:rsid w:val="00D51BF1"/>
    <w:rsid w:val="00D51BFD"/>
    <w:rsid w:val="00D5466E"/>
    <w:rsid w:val="00D553A5"/>
    <w:rsid w:val="00D55B6E"/>
    <w:rsid w:val="00D55EB3"/>
    <w:rsid w:val="00D55F2C"/>
    <w:rsid w:val="00D56134"/>
    <w:rsid w:val="00D56D6F"/>
    <w:rsid w:val="00D575F0"/>
    <w:rsid w:val="00D60253"/>
    <w:rsid w:val="00D606DB"/>
    <w:rsid w:val="00D612EC"/>
    <w:rsid w:val="00D61495"/>
    <w:rsid w:val="00D61910"/>
    <w:rsid w:val="00D63380"/>
    <w:rsid w:val="00D672AE"/>
    <w:rsid w:val="00D67AFA"/>
    <w:rsid w:val="00D7131A"/>
    <w:rsid w:val="00D716DD"/>
    <w:rsid w:val="00D71990"/>
    <w:rsid w:val="00D72C3F"/>
    <w:rsid w:val="00D735EF"/>
    <w:rsid w:val="00D7416D"/>
    <w:rsid w:val="00D74F6B"/>
    <w:rsid w:val="00D76081"/>
    <w:rsid w:val="00D7630B"/>
    <w:rsid w:val="00D76FE8"/>
    <w:rsid w:val="00D77E67"/>
    <w:rsid w:val="00D80482"/>
    <w:rsid w:val="00D808F3"/>
    <w:rsid w:val="00D80F0D"/>
    <w:rsid w:val="00D8325F"/>
    <w:rsid w:val="00D84CB4"/>
    <w:rsid w:val="00D86427"/>
    <w:rsid w:val="00D87EA3"/>
    <w:rsid w:val="00D921F9"/>
    <w:rsid w:val="00D9251A"/>
    <w:rsid w:val="00D9321F"/>
    <w:rsid w:val="00D94765"/>
    <w:rsid w:val="00D94C8C"/>
    <w:rsid w:val="00D95200"/>
    <w:rsid w:val="00D9603B"/>
    <w:rsid w:val="00D96B63"/>
    <w:rsid w:val="00DA0589"/>
    <w:rsid w:val="00DA0B77"/>
    <w:rsid w:val="00DA2120"/>
    <w:rsid w:val="00DA2779"/>
    <w:rsid w:val="00DA403E"/>
    <w:rsid w:val="00DA4991"/>
    <w:rsid w:val="00DA5AD9"/>
    <w:rsid w:val="00DA5B82"/>
    <w:rsid w:val="00DA5D77"/>
    <w:rsid w:val="00DA5E72"/>
    <w:rsid w:val="00DA681F"/>
    <w:rsid w:val="00DA71C7"/>
    <w:rsid w:val="00DA7482"/>
    <w:rsid w:val="00DA7784"/>
    <w:rsid w:val="00DB0162"/>
    <w:rsid w:val="00DB038D"/>
    <w:rsid w:val="00DB1FB1"/>
    <w:rsid w:val="00DB29E5"/>
    <w:rsid w:val="00DB4D39"/>
    <w:rsid w:val="00DB6FE5"/>
    <w:rsid w:val="00DB7CB9"/>
    <w:rsid w:val="00DB7DCE"/>
    <w:rsid w:val="00DC0E6F"/>
    <w:rsid w:val="00DC1351"/>
    <w:rsid w:val="00DC1CF1"/>
    <w:rsid w:val="00DC247D"/>
    <w:rsid w:val="00DC2644"/>
    <w:rsid w:val="00DC30F6"/>
    <w:rsid w:val="00DC5309"/>
    <w:rsid w:val="00DC7E50"/>
    <w:rsid w:val="00DD3E99"/>
    <w:rsid w:val="00DD46C7"/>
    <w:rsid w:val="00DD6211"/>
    <w:rsid w:val="00DD62EB"/>
    <w:rsid w:val="00DD78B7"/>
    <w:rsid w:val="00DE0669"/>
    <w:rsid w:val="00DE2EC1"/>
    <w:rsid w:val="00DE3EC8"/>
    <w:rsid w:val="00DE3ED8"/>
    <w:rsid w:val="00DE47E2"/>
    <w:rsid w:val="00DE57C8"/>
    <w:rsid w:val="00DF1A35"/>
    <w:rsid w:val="00DF21C7"/>
    <w:rsid w:val="00DF244E"/>
    <w:rsid w:val="00DF24DC"/>
    <w:rsid w:val="00DF33CE"/>
    <w:rsid w:val="00DF3643"/>
    <w:rsid w:val="00DF37DD"/>
    <w:rsid w:val="00DF3F25"/>
    <w:rsid w:val="00DF43B6"/>
    <w:rsid w:val="00DF4B46"/>
    <w:rsid w:val="00DF575B"/>
    <w:rsid w:val="00DF5EF7"/>
    <w:rsid w:val="00DF6F49"/>
    <w:rsid w:val="00E00860"/>
    <w:rsid w:val="00E02339"/>
    <w:rsid w:val="00E02757"/>
    <w:rsid w:val="00E02FE1"/>
    <w:rsid w:val="00E03F06"/>
    <w:rsid w:val="00E043E2"/>
    <w:rsid w:val="00E0536A"/>
    <w:rsid w:val="00E05B56"/>
    <w:rsid w:val="00E068F0"/>
    <w:rsid w:val="00E06D88"/>
    <w:rsid w:val="00E114FE"/>
    <w:rsid w:val="00E11707"/>
    <w:rsid w:val="00E11DD5"/>
    <w:rsid w:val="00E121D1"/>
    <w:rsid w:val="00E14277"/>
    <w:rsid w:val="00E14B34"/>
    <w:rsid w:val="00E14FDC"/>
    <w:rsid w:val="00E15215"/>
    <w:rsid w:val="00E1559E"/>
    <w:rsid w:val="00E158F6"/>
    <w:rsid w:val="00E16A7F"/>
    <w:rsid w:val="00E16E54"/>
    <w:rsid w:val="00E170D0"/>
    <w:rsid w:val="00E231C6"/>
    <w:rsid w:val="00E23564"/>
    <w:rsid w:val="00E23803"/>
    <w:rsid w:val="00E245A2"/>
    <w:rsid w:val="00E2634F"/>
    <w:rsid w:val="00E26A1D"/>
    <w:rsid w:val="00E3161E"/>
    <w:rsid w:val="00E33259"/>
    <w:rsid w:val="00E33691"/>
    <w:rsid w:val="00E3394A"/>
    <w:rsid w:val="00E33BA7"/>
    <w:rsid w:val="00E34907"/>
    <w:rsid w:val="00E34D89"/>
    <w:rsid w:val="00E3523B"/>
    <w:rsid w:val="00E3547F"/>
    <w:rsid w:val="00E36E35"/>
    <w:rsid w:val="00E406D8"/>
    <w:rsid w:val="00E407C6"/>
    <w:rsid w:val="00E4218D"/>
    <w:rsid w:val="00E42D9B"/>
    <w:rsid w:val="00E456DE"/>
    <w:rsid w:val="00E457DF"/>
    <w:rsid w:val="00E45A4C"/>
    <w:rsid w:val="00E46C69"/>
    <w:rsid w:val="00E47321"/>
    <w:rsid w:val="00E50A0B"/>
    <w:rsid w:val="00E50E0D"/>
    <w:rsid w:val="00E52381"/>
    <w:rsid w:val="00E52387"/>
    <w:rsid w:val="00E52577"/>
    <w:rsid w:val="00E52951"/>
    <w:rsid w:val="00E54147"/>
    <w:rsid w:val="00E54BA7"/>
    <w:rsid w:val="00E55789"/>
    <w:rsid w:val="00E60B9E"/>
    <w:rsid w:val="00E61084"/>
    <w:rsid w:val="00E61FAF"/>
    <w:rsid w:val="00E62AE2"/>
    <w:rsid w:val="00E62D34"/>
    <w:rsid w:val="00E6438B"/>
    <w:rsid w:val="00E64B0B"/>
    <w:rsid w:val="00E65C09"/>
    <w:rsid w:val="00E66541"/>
    <w:rsid w:val="00E678E7"/>
    <w:rsid w:val="00E7031D"/>
    <w:rsid w:val="00E708F4"/>
    <w:rsid w:val="00E70953"/>
    <w:rsid w:val="00E70DE4"/>
    <w:rsid w:val="00E714EF"/>
    <w:rsid w:val="00E71A5B"/>
    <w:rsid w:val="00E73F3D"/>
    <w:rsid w:val="00E74F08"/>
    <w:rsid w:val="00E75DA5"/>
    <w:rsid w:val="00E779CB"/>
    <w:rsid w:val="00E8057E"/>
    <w:rsid w:val="00E83940"/>
    <w:rsid w:val="00E8597E"/>
    <w:rsid w:val="00E87167"/>
    <w:rsid w:val="00E921CB"/>
    <w:rsid w:val="00E92D4A"/>
    <w:rsid w:val="00E93E04"/>
    <w:rsid w:val="00E94A28"/>
    <w:rsid w:val="00E94ACE"/>
    <w:rsid w:val="00E9504D"/>
    <w:rsid w:val="00E96C3C"/>
    <w:rsid w:val="00E96D1E"/>
    <w:rsid w:val="00EA00D7"/>
    <w:rsid w:val="00EA037C"/>
    <w:rsid w:val="00EA0D92"/>
    <w:rsid w:val="00EA0D96"/>
    <w:rsid w:val="00EA23FB"/>
    <w:rsid w:val="00EA2A91"/>
    <w:rsid w:val="00EA6874"/>
    <w:rsid w:val="00EB2786"/>
    <w:rsid w:val="00EB54D2"/>
    <w:rsid w:val="00EB556F"/>
    <w:rsid w:val="00EB751D"/>
    <w:rsid w:val="00EC0EF9"/>
    <w:rsid w:val="00EC1D78"/>
    <w:rsid w:val="00EC3589"/>
    <w:rsid w:val="00EC3957"/>
    <w:rsid w:val="00EC43F7"/>
    <w:rsid w:val="00EC4A1F"/>
    <w:rsid w:val="00EC5A1A"/>
    <w:rsid w:val="00EC795A"/>
    <w:rsid w:val="00EC7F74"/>
    <w:rsid w:val="00ED0055"/>
    <w:rsid w:val="00ED0111"/>
    <w:rsid w:val="00ED0626"/>
    <w:rsid w:val="00ED17F1"/>
    <w:rsid w:val="00ED23DC"/>
    <w:rsid w:val="00ED3A9F"/>
    <w:rsid w:val="00ED3DF7"/>
    <w:rsid w:val="00ED4253"/>
    <w:rsid w:val="00ED4DDB"/>
    <w:rsid w:val="00ED530A"/>
    <w:rsid w:val="00ED5F4D"/>
    <w:rsid w:val="00ED70E8"/>
    <w:rsid w:val="00ED733E"/>
    <w:rsid w:val="00ED7767"/>
    <w:rsid w:val="00ED7C30"/>
    <w:rsid w:val="00EE1DDC"/>
    <w:rsid w:val="00EE35C7"/>
    <w:rsid w:val="00EE37B7"/>
    <w:rsid w:val="00EE4581"/>
    <w:rsid w:val="00EE4C92"/>
    <w:rsid w:val="00EE66EC"/>
    <w:rsid w:val="00EF14C3"/>
    <w:rsid w:val="00EF1789"/>
    <w:rsid w:val="00EF198F"/>
    <w:rsid w:val="00EF27DC"/>
    <w:rsid w:val="00EF2C1F"/>
    <w:rsid w:val="00EF2E9C"/>
    <w:rsid w:val="00EF412D"/>
    <w:rsid w:val="00EF47D5"/>
    <w:rsid w:val="00EF4863"/>
    <w:rsid w:val="00EF5F8C"/>
    <w:rsid w:val="00EF6002"/>
    <w:rsid w:val="00EF6E29"/>
    <w:rsid w:val="00EF7C9E"/>
    <w:rsid w:val="00F0106D"/>
    <w:rsid w:val="00F0166A"/>
    <w:rsid w:val="00F01B6F"/>
    <w:rsid w:val="00F0239E"/>
    <w:rsid w:val="00F02554"/>
    <w:rsid w:val="00F03089"/>
    <w:rsid w:val="00F03D4E"/>
    <w:rsid w:val="00F03E1A"/>
    <w:rsid w:val="00F0458B"/>
    <w:rsid w:val="00F0566E"/>
    <w:rsid w:val="00F05E8D"/>
    <w:rsid w:val="00F074A9"/>
    <w:rsid w:val="00F10523"/>
    <w:rsid w:val="00F114D9"/>
    <w:rsid w:val="00F115CC"/>
    <w:rsid w:val="00F11C8C"/>
    <w:rsid w:val="00F1360A"/>
    <w:rsid w:val="00F1367D"/>
    <w:rsid w:val="00F14015"/>
    <w:rsid w:val="00F14B9E"/>
    <w:rsid w:val="00F14F06"/>
    <w:rsid w:val="00F15272"/>
    <w:rsid w:val="00F162D5"/>
    <w:rsid w:val="00F1632D"/>
    <w:rsid w:val="00F20F1C"/>
    <w:rsid w:val="00F21774"/>
    <w:rsid w:val="00F21829"/>
    <w:rsid w:val="00F23696"/>
    <w:rsid w:val="00F247F2"/>
    <w:rsid w:val="00F268A2"/>
    <w:rsid w:val="00F305B6"/>
    <w:rsid w:val="00F30719"/>
    <w:rsid w:val="00F3073F"/>
    <w:rsid w:val="00F320D3"/>
    <w:rsid w:val="00F32513"/>
    <w:rsid w:val="00F344BA"/>
    <w:rsid w:val="00F346A3"/>
    <w:rsid w:val="00F354DF"/>
    <w:rsid w:val="00F35636"/>
    <w:rsid w:val="00F3571B"/>
    <w:rsid w:val="00F35932"/>
    <w:rsid w:val="00F36667"/>
    <w:rsid w:val="00F40A3C"/>
    <w:rsid w:val="00F40D92"/>
    <w:rsid w:val="00F43000"/>
    <w:rsid w:val="00F4367E"/>
    <w:rsid w:val="00F43EF0"/>
    <w:rsid w:val="00F44D02"/>
    <w:rsid w:val="00F47C19"/>
    <w:rsid w:val="00F50CAD"/>
    <w:rsid w:val="00F52672"/>
    <w:rsid w:val="00F534E5"/>
    <w:rsid w:val="00F53562"/>
    <w:rsid w:val="00F542ED"/>
    <w:rsid w:val="00F5559E"/>
    <w:rsid w:val="00F55896"/>
    <w:rsid w:val="00F56839"/>
    <w:rsid w:val="00F57511"/>
    <w:rsid w:val="00F575FD"/>
    <w:rsid w:val="00F579C1"/>
    <w:rsid w:val="00F57E00"/>
    <w:rsid w:val="00F60E56"/>
    <w:rsid w:val="00F6222C"/>
    <w:rsid w:val="00F62924"/>
    <w:rsid w:val="00F64354"/>
    <w:rsid w:val="00F65691"/>
    <w:rsid w:val="00F65B1D"/>
    <w:rsid w:val="00F70295"/>
    <w:rsid w:val="00F709D7"/>
    <w:rsid w:val="00F70A0A"/>
    <w:rsid w:val="00F70DB9"/>
    <w:rsid w:val="00F7137A"/>
    <w:rsid w:val="00F71692"/>
    <w:rsid w:val="00F71B31"/>
    <w:rsid w:val="00F71EEA"/>
    <w:rsid w:val="00F73E85"/>
    <w:rsid w:val="00F744B6"/>
    <w:rsid w:val="00F762AC"/>
    <w:rsid w:val="00F7785E"/>
    <w:rsid w:val="00F80003"/>
    <w:rsid w:val="00F80521"/>
    <w:rsid w:val="00F8093F"/>
    <w:rsid w:val="00F80B3C"/>
    <w:rsid w:val="00F80CAD"/>
    <w:rsid w:val="00F8122D"/>
    <w:rsid w:val="00F825D3"/>
    <w:rsid w:val="00F8375A"/>
    <w:rsid w:val="00F84138"/>
    <w:rsid w:val="00F85475"/>
    <w:rsid w:val="00F869A2"/>
    <w:rsid w:val="00F901D2"/>
    <w:rsid w:val="00F9121C"/>
    <w:rsid w:val="00F92AD4"/>
    <w:rsid w:val="00F92C4F"/>
    <w:rsid w:val="00F936F1"/>
    <w:rsid w:val="00F9458F"/>
    <w:rsid w:val="00F9597F"/>
    <w:rsid w:val="00F96B6B"/>
    <w:rsid w:val="00F97F49"/>
    <w:rsid w:val="00FA4063"/>
    <w:rsid w:val="00FA406A"/>
    <w:rsid w:val="00FA5EDC"/>
    <w:rsid w:val="00FB02D3"/>
    <w:rsid w:val="00FB1A82"/>
    <w:rsid w:val="00FB237B"/>
    <w:rsid w:val="00FB2AD8"/>
    <w:rsid w:val="00FB2DC4"/>
    <w:rsid w:val="00FB3CDB"/>
    <w:rsid w:val="00FB4492"/>
    <w:rsid w:val="00FB495B"/>
    <w:rsid w:val="00FB4B2D"/>
    <w:rsid w:val="00FB4CB4"/>
    <w:rsid w:val="00FB766E"/>
    <w:rsid w:val="00FB7845"/>
    <w:rsid w:val="00FC189E"/>
    <w:rsid w:val="00FC26E4"/>
    <w:rsid w:val="00FC3356"/>
    <w:rsid w:val="00FC4F95"/>
    <w:rsid w:val="00FC543F"/>
    <w:rsid w:val="00FC58AE"/>
    <w:rsid w:val="00FC58F8"/>
    <w:rsid w:val="00FC6815"/>
    <w:rsid w:val="00FC6B1E"/>
    <w:rsid w:val="00FC79A4"/>
    <w:rsid w:val="00FD0470"/>
    <w:rsid w:val="00FD3CBF"/>
    <w:rsid w:val="00FD7BD2"/>
    <w:rsid w:val="00FE1CE0"/>
    <w:rsid w:val="00FE479B"/>
    <w:rsid w:val="00FE4F2B"/>
    <w:rsid w:val="00FE6A3B"/>
    <w:rsid w:val="00FE7167"/>
    <w:rsid w:val="00FE74D6"/>
    <w:rsid w:val="00FF3AE1"/>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BC27C8"/>
    <w:pPr>
      <w:spacing w:after="120"/>
      <w:ind w:left="360"/>
    </w:pPr>
  </w:style>
  <w:style w:type="character" w:customStyle="1" w:styleId="BodyTextIndentChar">
    <w:name w:val="Body Text Indent Char"/>
    <w:basedOn w:val="DefaultParagraphFont"/>
    <w:link w:val="BodyTextIndent"/>
    <w:uiPriority w:val="99"/>
    <w:semiHidden/>
    <w:rsid w:val="00BC27C8"/>
  </w:style>
  <w:style w:type="character" w:styleId="Hyperlink">
    <w:name w:val="Hyperlink"/>
    <w:basedOn w:val="DefaultParagraphFont"/>
    <w:uiPriority w:val="99"/>
    <w:unhideWhenUsed/>
    <w:rsid w:val="006B3B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BC27C8"/>
    <w:pPr>
      <w:spacing w:after="120"/>
      <w:ind w:left="360"/>
    </w:pPr>
  </w:style>
  <w:style w:type="character" w:customStyle="1" w:styleId="BodyTextIndentChar">
    <w:name w:val="Body Text Indent Char"/>
    <w:basedOn w:val="DefaultParagraphFont"/>
    <w:link w:val="BodyTextIndent"/>
    <w:uiPriority w:val="99"/>
    <w:semiHidden/>
    <w:rsid w:val="00BC27C8"/>
  </w:style>
  <w:style w:type="character" w:styleId="Hyperlink">
    <w:name w:val="Hyperlink"/>
    <w:basedOn w:val="DefaultParagraphFont"/>
    <w:uiPriority w:val="99"/>
    <w:unhideWhenUsed/>
    <w:rsid w:val="006B3B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 w:id="207620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uepilotenergy.com" TargetMode="External"/><Relationship Id="rId5" Type="http://schemas.openxmlformats.org/officeDocument/2006/relationships/settings" Target="settings.xml"/><Relationship Id="rId10" Type="http://schemas.openxmlformats.org/officeDocument/2006/relationships/hyperlink" Target="http://www.bluepilotenergy.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about_puc/press_releases.aspx?ShowPR=3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6446-D8BB-492C-8802-4C375522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8088</Words>
  <Characters>46108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2015-03-06T20:46:00Z</cp:lastPrinted>
  <dcterms:created xsi:type="dcterms:W3CDTF">2015-03-06T20:59:00Z</dcterms:created>
  <dcterms:modified xsi:type="dcterms:W3CDTF">2015-03-06T20:59:00Z</dcterms:modified>
</cp:coreProperties>
</file>