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9B05B1" w:rsidRDefault="009B05B1" w:rsidP="009B05B1">
      <w:pPr>
        <w:spacing w:line="276" w:lineRule="auto"/>
      </w:pPr>
    </w:p>
    <w:p w:rsidR="009601B9" w:rsidRPr="00F33A4A" w:rsidRDefault="009601B9" w:rsidP="009B05B1">
      <w:pPr>
        <w:spacing w:line="276" w:lineRule="auto"/>
      </w:pPr>
    </w:p>
    <w:tbl>
      <w:tblPr>
        <w:tblW w:w="11106" w:type="dxa"/>
        <w:tblLayout w:type="fixed"/>
        <w:tblLook w:val="0000" w:firstRow="0" w:lastRow="0" w:firstColumn="0" w:lastColumn="0" w:noHBand="0" w:noVBand="0"/>
      </w:tblPr>
      <w:tblGrid>
        <w:gridCol w:w="4788"/>
        <w:gridCol w:w="1980"/>
        <w:gridCol w:w="4338"/>
      </w:tblGrid>
      <w:tr w:rsidR="009B05B1" w:rsidRPr="000469DC" w:rsidTr="009601B9">
        <w:tc>
          <w:tcPr>
            <w:tcW w:w="4788" w:type="dxa"/>
          </w:tcPr>
          <w:p w:rsidR="009601B9" w:rsidRDefault="009B05B1" w:rsidP="00F93FB3">
            <w:pPr>
              <w:rPr>
                <w:sz w:val="24"/>
                <w:szCs w:val="24"/>
              </w:rPr>
            </w:pPr>
            <w:r w:rsidRPr="00EF144C">
              <w:rPr>
                <w:sz w:val="24"/>
                <w:szCs w:val="24"/>
              </w:rPr>
              <w:t xml:space="preserve">Commonwealth of Pennsylvania, by </w:t>
            </w:r>
          </w:p>
          <w:p w:rsidR="009B05B1" w:rsidRPr="00EF144C" w:rsidRDefault="009601B9" w:rsidP="00F93FB3">
            <w:pPr>
              <w:rPr>
                <w:sz w:val="24"/>
                <w:szCs w:val="24"/>
              </w:rPr>
            </w:pPr>
            <w:r w:rsidRPr="00EF144C">
              <w:rPr>
                <w:sz w:val="24"/>
                <w:szCs w:val="24"/>
              </w:rPr>
              <w:t>Attorney</w:t>
            </w:r>
            <w:r w:rsidRPr="00EF144C">
              <w:rPr>
                <w:sz w:val="24"/>
                <w:szCs w:val="24"/>
              </w:rPr>
              <w:t xml:space="preserve"> </w:t>
            </w:r>
            <w:r w:rsidR="009B05B1" w:rsidRPr="00EF144C">
              <w:rPr>
                <w:sz w:val="24"/>
                <w:szCs w:val="24"/>
              </w:rPr>
              <w:t>General KATHLEEN G. KANE, Through the Bureau of Consumer Protection,</w:t>
            </w:r>
          </w:p>
          <w:p w:rsidR="009B05B1" w:rsidRPr="00EF144C" w:rsidRDefault="009B05B1" w:rsidP="00F93FB3">
            <w:pPr>
              <w:rPr>
                <w:sz w:val="24"/>
                <w:szCs w:val="24"/>
              </w:rPr>
            </w:pPr>
          </w:p>
          <w:p w:rsidR="009B05B1" w:rsidRPr="00EF144C" w:rsidRDefault="009B05B1" w:rsidP="00F93FB3">
            <w:pPr>
              <w:rPr>
                <w:sz w:val="24"/>
                <w:szCs w:val="24"/>
              </w:rPr>
            </w:pPr>
            <w:r w:rsidRPr="00EF144C">
              <w:rPr>
                <w:sz w:val="24"/>
                <w:szCs w:val="24"/>
              </w:rPr>
              <w:t>And</w:t>
            </w:r>
          </w:p>
          <w:p w:rsidR="009B05B1" w:rsidRPr="00EF144C" w:rsidRDefault="009B05B1" w:rsidP="00F93FB3">
            <w:pPr>
              <w:rPr>
                <w:sz w:val="24"/>
                <w:szCs w:val="24"/>
              </w:rPr>
            </w:pPr>
          </w:p>
          <w:p w:rsidR="009B05B1" w:rsidRPr="00EF144C" w:rsidRDefault="009B05B1" w:rsidP="00F93FB3">
            <w:pPr>
              <w:rPr>
                <w:sz w:val="24"/>
                <w:szCs w:val="24"/>
              </w:rPr>
            </w:pPr>
            <w:r w:rsidRPr="00EF144C">
              <w:rPr>
                <w:sz w:val="24"/>
                <w:szCs w:val="24"/>
              </w:rPr>
              <w:t>TANYA J. McCLOSKEY, Acting Consumer Advocate,</w:t>
            </w:r>
          </w:p>
          <w:p w:rsidR="009B05B1" w:rsidRPr="00EF144C" w:rsidRDefault="009B05B1" w:rsidP="009601B9">
            <w:pPr>
              <w:tabs>
                <w:tab w:val="left" w:pos="2145"/>
              </w:tabs>
              <w:ind w:firstLine="2160"/>
              <w:rPr>
                <w:sz w:val="24"/>
                <w:szCs w:val="24"/>
              </w:rPr>
            </w:pPr>
            <w:r w:rsidRPr="00EF144C">
              <w:rPr>
                <w:sz w:val="24"/>
                <w:szCs w:val="24"/>
              </w:rPr>
              <w:t>Complainants</w:t>
            </w:r>
          </w:p>
          <w:p w:rsidR="009B05B1" w:rsidRPr="00EF144C" w:rsidRDefault="009B05B1" w:rsidP="00F93FB3">
            <w:pPr>
              <w:rPr>
                <w:sz w:val="24"/>
                <w:szCs w:val="24"/>
              </w:rPr>
            </w:pPr>
          </w:p>
          <w:p w:rsidR="009B05B1" w:rsidRPr="00EF144C" w:rsidRDefault="009601B9" w:rsidP="00F93FB3">
            <w:pPr>
              <w:tabs>
                <w:tab w:val="left" w:pos="1440"/>
              </w:tabs>
              <w:rPr>
                <w:sz w:val="24"/>
                <w:szCs w:val="24"/>
              </w:rPr>
            </w:pPr>
            <w:r>
              <w:rPr>
                <w:sz w:val="24"/>
                <w:szCs w:val="24"/>
              </w:rPr>
              <w:tab/>
              <w:t>v.</w:t>
            </w:r>
          </w:p>
          <w:p w:rsidR="009B05B1" w:rsidRPr="00EF144C" w:rsidRDefault="009B05B1" w:rsidP="00F93FB3">
            <w:pPr>
              <w:rPr>
                <w:sz w:val="24"/>
                <w:szCs w:val="24"/>
              </w:rPr>
            </w:pPr>
          </w:p>
          <w:p w:rsidR="009B05B1" w:rsidRPr="00EF144C" w:rsidRDefault="009B05B1" w:rsidP="00F93FB3">
            <w:pPr>
              <w:tabs>
                <w:tab w:val="left" w:pos="4572"/>
              </w:tabs>
              <w:rPr>
                <w:sz w:val="24"/>
                <w:szCs w:val="24"/>
              </w:rPr>
            </w:pPr>
            <w:r w:rsidRPr="00EF144C">
              <w:rPr>
                <w:sz w:val="24"/>
                <w:szCs w:val="24"/>
              </w:rPr>
              <w:t>HIKO ENERGY, LLC,</w:t>
            </w:r>
          </w:p>
          <w:p w:rsidR="009B05B1" w:rsidRPr="00EF144C" w:rsidRDefault="009B05B1" w:rsidP="009601B9">
            <w:pPr>
              <w:tabs>
                <w:tab w:val="left" w:pos="4572"/>
              </w:tabs>
              <w:ind w:firstLine="2160"/>
              <w:rPr>
                <w:sz w:val="24"/>
                <w:szCs w:val="24"/>
              </w:rPr>
            </w:pPr>
            <w:r w:rsidRPr="00EF144C">
              <w:rPr>
                <w:sz w:val="24"/>
                <w:szCs w:val="24"/>
              </w:rPr>
              <w:t xml:space="preserve">Respondent </w:t>
            </w:r>
          </w:p>
          <w:p w:rsidR="009B05B1" w:rsidRPr="00EF144C" w:rsidRDefault="009B05B1" w:rsidP="00F93FB3">
            <w:pPr>
              <w:tabs>
                <w:tab w:val="left" w:pos="4572"/>
              </w:tabs>
              <w:rPr>
                <w:sz w:val="24"/>
                <w:szCs w:val="24"/>
              </w:rPr>
            </w:pPr>
          </w:p>
        </w:tc>
        <w:tc>
          <w:tcPr>
            <w:tcW w:w="1980" w:type="dxa"/>
          </w:tcPr>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r w:rsidRPr="00EF144C">
              <w:rPr>
                <w:sz w:val="24"/>
                <w:szCs w:val="24"/>
              </w:rPr>
              <w:t>:</w:t>
            </w:r>
          </w:p>
          <w:p w:rsidR="009B05B1" w:rsidRPr="00EF144C" w:rsidRDefault="009B05B1" w:rsidP="00F93FB3">
            <w:pPr>
              <w:rPr>
                <w:sz w:val="24"/>
                <w:szCs w:val="24"/>
              </w:rPr>
            </w:pPr>
          </w:p>
        </w:tc>
        <w:tc>
          <w:tcPr>
            <w:tcW w:w="4338" w:type="dxa"/>
          </w:tcPr>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bookmarkStart w:id="0" w:name="_GoBack"/>
            <w:r w:rsidRPr="00EF144C">
              <w:rPr>
                <w:sz w:val="24"/>
                <w:szCs w:val="24"/>
              </w:rPr>
              <w:t>C-2014-2427652</w:t>
            </w:r>
          </w:p>
          <w:bookmarkEnd w:id="0"/>
          <w:p w:rsidR="009B05B1" w:rsidRPr="00EF144C" w:rsidRDefault="009B05B1" w:rsidP="00F93FB3">
            <w:pPr>
              <w:rPr>
                <w:sz w:val="24"/>
                <w:szCs w:val="24"/>
              </w:rPr>
            </w:pPr>
          </w:p>
          <w:p w:rsidR="009B05B1" w:rsidRPr="009601B9"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p w:rsidR="009B05B1" w:rsidRPr="00EF144C" w:rsidRDefault="009B05B1" w:rsidP="00F93FB3">
            <w:pPr>
              <w:rPr>
                <w:sz w:val="24"/>
                <w:szCs w:val="24"/>
              </w:rPr>
            </w:pPr>
          </w:p>
        </w:tc>
      </w:tr>
      <w:tr w:rsidR="009601B9" w:rsidRPr="000469DC" w:rsidTr="009601B9">
        <w:tc>
          <w:tcPr>
            <w:tcW w:w="4788" w:type="dxa"/>
          </w:tcPr>
          <w:p w:rsidR="009601B9" w:rsidRPr="00EF144C" w:rsidRDefault="009601B9" w:rsidP="00F93FB3">
            <w:pPr>
              <w:rPr>
                <w:sz w:val="24"/>
                <w:szCs w:val="24"/>
              </w:rPr>
            </w:pPr>
          </w:p>
        </w:tc>
        <w:tc>
          <w:tcPr>
            <w:tcW w:w="1980" w:type="dxa"/>
          </w:tcPr>
          <w:p w:rsidR="009601B9" w:rsidRPr="00EF144C" w:rsidRDefault="009601B9" w:rsidP="00F93FB3">
            <w:pPr>
              <w:rPr>
                <w:sz w:val="24"/>
                <w:szCs w:val="24"/>
              </w:rPr>
            </w:pPr>
          </w:p>
        </w:tc>
        <w:tc>
          <w:tcPr>
            <w:tcW w:w="4338" w:type="dxa"/>
          </w:tcPr>
          <w:p w:rsidR="009601B9" w:rsidRPr="00EF144C" w:rsidRDefault="009601B9" w:rsidP="00F93FB3">
            <w:pPr>
              <w:rPr>
                <w:sz w:val="24"/>
                <w:szCs w:val="24"/>
              </w:rPr>
            </w:pPr>
          </w:p>
        </w:tc>
      </w:tr>
    </w:tbl>
    <w:p w:rsidR="008F2FCF" w:rsidRPr="007E56EB" w:rsidRDefault="008F2FCF" w:rsidP="003A5CD9">
      <w:pPr>
        <w:tabs>
          <w:tab w:val="left" w:pos="-720"/>
        </w:tabs>
        <w:suppressAutoHyphens/>
        <w:jc w:val="both"/>
        <w:rPr>
          <w:spacing w:val="-3"/>
          <w:sz w:val="24"/>
          <w:szCs w:val="24"/>
        </w:rPr>
      </w:pPr>
    </w:p>
    <w:p w:rsidR="003A5CD9" w:rsidRDefault="003A5CD9" w:rsidP="003A5CD9">
      <w:pPr>
        <w:jc w:val="center"/>
        <w:rPr>
          <w:b/>
          <w:sz w:val="24"/>
          <w:szCs w:val="24"/>
          <w:u w:val="single"/>
        </w:rPr>
      </w:pPr>
      <w:r w:rsidRPr="007E56EB">
        <w:rPr>
          <w:b/>
          <w:sz w:val="24"/>
          <w:szCs w:val="24"/>
          <w:u w:val="single"/>
        </w:rPr>
        <w:t>ORDER</w:t>
      </w:r>
    </w:p>
    <w:p w:rsidR="0012162E" w:rsidRDefault="0012162E" w:rsidP="003A5CD9">
      <w:pPr>
        <w:jc w:val="center"/>
        <w:rPr>
          <w:b/>
          <w:sz w:val="24"/>
          <w:szCs w:val="24"/>
          <w:u w:val="single"/>
        </w:rPr>
      </w:pPr>
      <w:r>
        <w:rPr>
          <w:b/>
          <w:sz w:val="24"/>
          <w:szCs w:val="24"/>
          <w:u w:val="single"/>
        </w:rPr>
        <w:t>GRANTING IN PART AND DENYING IN PART</w:t>
      </w:r>
    </w:p>
    <w:p w:rsidR="0012162E" w:rsidRDefault="0012162E" w:rsidP="00B8408C">
      <w:pPr>
        <w:jc w:val="center"/>
        <w:rPr>
          <w:b/>
          <w:sz w:val="24"/>
          <w:szCs w:val="24"/>
          <w:u w:val="single"/>
        </w:rPr>
      </w:pPr>
      <w:r>
        <w:rPr>
          <w:b/>
          <w:sz w:val="24"/>
          <w:szCs w:val="24"/>
          <w:u w:val="single"/>
        </w:rPr>
        <w:t>MOTION TO STRIKE</w:t>
      </w:r>
    </w:p>
    <w:p w:rsidR="00B8408C" w:rsidRPr="007E56EB" w:rsidRDefault="00B8408C" w:rsidP="00B8408C">
      <w:pPr>
        <w:jc w:val="center"/>
        <w:rPr>
          <w:b/>
          <w:sz w:val="24"/>
          <w:szCs w:val="24"/>
          <w:u w:val="single"/>
        </w:rPr>
      </w:pPr>
    </w:p>
    <w:p w:rsidR="009D60CE" w:rsidRDefault="009D60CE" w:rsidP="00B8408C">
      <w:pPr>
        <w:widowControl w:val="0"/>
        <w:adjustRightInd w:val="0"/>
        <w:rPr>
          <w:sz w:val="24"/>
          <w:szCs w:val="24"/>
        </w:rPr>
      </w:pPr>
    </w:p>
    <w:p w:rsidR="009D60CE" w:rsidRPr="00B9204F" w:rsidRDefault="00B9204F" w:rsidP="00B8408C">
      <w:pPr>
        <w:widowControl w:val="0"/>
        <w:adjustRightInd w:val="0"/>
        <w:rPr>
          <w:bCs/>
          <w:color w:val="000000"/>
          <w:sz w:val="24"/>
          <w:szCs w:val="24"/>
          <w:u w:val="single"/>
        </w:rPr>
      </w:pPr>
      <w:r>
        <w:rPr>
          <w:sz w:val="24"/>
          <w:szCs w:val="24"/>
          <w:u w:val="single"/>
        </w:rPr>
        <w:t>Procedural History</w:t>
      </w:r>
    </w:p>
    <w:p w:rsidR="009D60CE" w:rsidRDefault="009D60CE" w:rsidP="00B8408C">
      <w:pPr>
        <w:widowControl w:val="0"/>
        <w:adjustRightInd w:val="0"/>
        <w:spacing w:line="360" w:lineRule="auto"/>
        <w:ind w:firstLine="1440"/>
        <w:rPr>
          <w:bCs/>
          <w:color w:val="000000"/>
          <w:sz w:val="24"/>
          <w:szCs w:val="24"/>
        </w:rPr>
      </w:pPr>
    </w:p>
    <w:p w:rsidR="00B8408C" w:rsidRDefault="00D269E9" w:rsidP="00D269E9">
      <w:pPr>
        <w:widowControl w:val="0"/>
        <w:adjustRightInd w:val="0"/>
        <w:spacing w:line="360" w:lineRule="auto"/>
        <w:ind w:firstLine="1440"/>
        <w:rPr>
          <w:bCs/>
          <w:color w:val="000000"/>
          <w:sz w:val="24"/>
          <w:szCs w:val="24"/>
        </w:rPr>
        <w:sectPr w:rsidR="00B8408C" w:rsidSect="00752691">
          <w:footerReference w:type="default" r:id="rId9"/>
          <w:footerReference w:type="first" r:id="rId10"/>
          <w:pgSz w:w="12240" w:h="15840" w:code="1"/>
          <w:pgMar w:top="1440" w:right="1440" w:bottom="1440" w:left="1440" w:header="720" w:footer="720" w:gutter="0"/>
          <w:cols w:space="720"/>
          <w:titlePg/>
          <w:docGrid w:linePitch="360"/>
        </w:sectPr>
      </w:pPr>
      <w:r w:rsidRPr="00D269E9">
        <w:rPr>
          <w:bCs/>
          <w:color w:val="000000"/>
          <w:sz w:val="24"/>
          <w:szCs w:val="24"/>
        </w:rPr>
        <w:t xml:space="preserve">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w:t>
      </w:r>
      <w:r w:rsidR="006034E2">
        <w:rPr>
          <w:bCs/>
          <w:color w:val="000000"/>
          <w:sz w:val="24"/>
          <w:szCs w:val="24"/>
        </w:rPr>
        <w:t>HIKO Energy,</w:t>
      </w:r>
      <w:r w:rsidRPr="00D269E9">
        <w:rPr>
          <w:bCs/>
          <w:color w:val="000000"/>
          <w:sz w:val="24"/>
          <w:szCs w:val="24"/>
        </w:rPr>
        <w:t xml:space="preserve"> LLC (</w:t>
      </w:r>
      <w:r w:rsidR="00087450">
        <w:rPr>
          <w:bCs/>
          <w:color w:val="000000"/>
          <w:sz w:val="24"/>
          <w:szCs w:val="24"/>
        </w:rPr>
        <w:t>“</w:t>
      </w:r>
      <w:r w:rsidR="006034E2">
        <w:rPr>
          <w:bCs/>
          <w:color w:val="000000"/>
          <w:sz w:val="24"/>
          <w:szCs w:val="24"/>
        </w:rPr>
        <w:t>HIKO</w:t>
      </w:r>
      <w:r w:rsidR="00087450">
        <w:rPr>
          <w:bCs/>
          <w:color w:val="000000"/>
          <w:sz w:val="24"/>
          <w:szCs w:val="24"/>
        </w:rPr>
        <w:t>”, “Respondent”,</w:t>
      </w:r>
      <w:r w:rsidRPr="00D269E9">
        <w:rPr>
          <w:bCs/>
          <w:color w:val="000000"/>
          <w:sz w:val="24"/>
          <w:szCs w:val="24"/>
        </w:rPr>
        <w:t xml:space="preserve"> or “the Company”), at Docket Number C-2014-242765</w:t>
      </w:r>
      <w:r w:rsidR="006034E2">
        <w:rPr>
          <w:bCs/>
          <w:color w:val="000000"/>
          <w:sz w:val="24"/>
          <w:szCs w:val="24"/>
        </w:rPr>
        <w:t>2</w:t>
      </w:r>
      <w:r w:rsidRPr="00D269E9">
        <w:rPr>
          <w:bCs/>
          <w:color w:val="000000"/>
          <w:sz w:val="24"/>
          <w:szCs w:val="24"/>
        </w:rPr>
        <w:t xml:space="preserve">.  The Joint Complainants averred that they had received numerous contacts and complaints from consumers related to variable rates charged by </w:t>
      </w:r>
      <w:r w:rsidR="006034E2">
        <w:rPr>
          <w:bCs/>
          <w:color w:val="000000"/>
          <w:sz w:val="24"/>
          <w:szCs w:val="24"/>
        </w:rPr>
        <w:t>HIKO</w:t>
      </w:r>
      <w:r w:rsidRPr="00D269E9">
        <w:rPr>
          <w:bCs/>
          <w:color w:val="000000"/>
          <w:sz w:val="24"/>
          <w:szCs w:val="24"/>
        </w:rPr>
        <w:t xml:space="preserve">.  As a result, the Joint Complainants </w:t>
      </w:r>
      <w:r w:rsidR="006034E2">
        <w:rPr>
          <w:bCs/>
          <w:color w:val="000000"/>
          <w:sz w:val="24"/>
          <w:szCs w:val="24"/>
        </w:rPr>
        <w:t>included eight</w:t>
      </w:r>
      <w:r w:rsidRPr="00D269E9">
        <w:rPr>
          <w:bCs/>
          <w:color w:val="000000"/>
          <w:sz w:val="24"/>
          <w:szCs w:val="24"/>
        </w:rPr>
        <w:t xml:space="preserve"> separate counts against </w:t>
      </w:r>
      <w:r w:rsidR="006034E2">
        <w:rPr>
          <w:bCs/>
          <w:color w:val="000000"/>
          <w:sz w:val="24"/>
          <w:szCs w:val="24"/>
        </w:rPr>
        <w:t>HIKO</w:t>
      </w:r>
      <w:r w:rsidRPr="00D269E9">
        <w:rPr>
          <w:bCs/>
          <w:color w:val="000000"/>
          <w:sz w:val="24"/>
          <w:szCs w:val="24"/>
        </w:rPr>
        <w:t>, including</w:t>
      </w:r>
      <w:r w:rsidR="006034E2">
        <w:rPr>
          <w:bCs/>
          <w:color w:val="000000"/>
          <w:sz w:val="24"/>
          <w:szCs w:val="24"/>
        </w:rPr>
        <w:t xml:space="preserve">: </w:t>
      </w:r>
      <w:r w:rsidR="00B8408C">
        <w:rPr>
          <w:bCs/>
          <w:color w:val="000000"/>
          <w:sz w:val="24"/>
          <w:szCs w:val="24"/>
        </w:rPr>
        <w:t xml:space="preserve"> </w:t>
      </w:r>
      <w:r w:rsidR="006034E2">
        <w:rPr>
          <w:bCs/>
          <w:color w:val="000000"/>
          <w:sz w:val="24"/>
          <w:szCs w:val="24"/>
        </w:rPr>
        <w:t xml:space="preserve">1) misleading and deceptive promises of savings; 2) slamming; 3) lack of good faith handling of complaints; 4) failing to provide rate information; 5) failing to provide accurate pricing information; 4) prices </w:t>
      </w:r>
    </w:p>
    <w:p w:rsidR="00DD43A3" w:rsidRDefault="006034E2" w:rsidP="00B8408C">
      <w:pPr>
        <w:widowControl w:val="0"/>
        <w:adjustRightInd w:val="0"/>
        <w:spacing w:line="360" w:lineRule="auto"/>
        <w:rPr>
          <w:bCs/>
          <w:color w:val="000000"/>
          <w:sz w:val="24"/>
          <w:szCs w:val="24"/>
        </w:rPr>
      </w:pPr>
      <w:r>
        <w:rPr>
          <w:bCs/>
          <w:color w:val="000000"/>
          <w:sz w:val="24"/>
          <w:szCs w:val="24"/>
        </w:rPr>
        <w:lastRenderedPageBreak/>
        <w:t>nonconforming to disclosure statement; 7) failing to follow P</w:t>
      </w:r>
      <w:r w:rsidR="00717B2C">
        <w:rPr>
          <w:bCs/>
          <w:color w:val="000000"/>
          <w:sz w:val="24"/>
          <w:szCs w:val="24"/>
        </w:rPr>
        <w:t>urchase Of Receivables (P</w:t>
      </w:r>
      <w:r>
        <w:rPr>
          <w:bCs/>
          <w:color w:val="000000"/>
          <w:sz w:val="24"/>
          <w:szCs w:val="24"/>
        </w:rPr>
        <w:t>OR</w:t>
      </w:r>
      <w:r w:rsidR="00717B2C">
        <w:rPr>
          <w:bCs/>
          <w:color w:val="000000"/>
          <w:sz w:val="24"/>
          <w:szCs w:val="24"/>
        </w:rPr>
        <w:t>)</w:t>
      </w:r>
      <w:r w:rsidR="00DD43A3" w:rsidRPr="00DD43A3">
        <w:rPr>
          <w:rStyle w:val="FootnoteReference"/>
          <w:bCs/>
          <w:color w:val="000000"/>
          <w:sz w:val="24"/>
          <w:szCs w:val="24"/>
        </w:rPr>
        <w:t xml:space="preserve"> </w:t>
      </w:r>
      <w:r w:rsidR="00DD43A3">
        <w:rPr>
          <w:rStyle w:val="FootnoteReference"/>
          <w:bCs/>
          <w:color w:val="000000"/>
          <w:sz w:val="24"/>
          <w:szCs w:val="24"/>
        </w:rPr>
        <w:footnoteReference w:id="1"/>
      </w:r>
      <w:r>
        <w:rPr>
          <w:bCs/>
          <w:color w:val="000000"/>
          <w:sz w:val="24"/>
          <w:szCs w:val="24"/>
        </w:rPr>
        <w:t xml:space="preserve"> program parameters; and 8) failure to comply with the Telemarketer Registration Act. </w:t>
      </w:r>
      <w:r w:rsidR="00D269E9" w:rsidRPr="00D269E9">
        <w:rPr>
          <w:bCs/>
          <w:color w:val="000000"/>
          <w:sz w:val="24"/>
          <w:szCs w:val="24"/>
        </w:rPr>
        <w:t xml:space="preserve"> The Joint Complainants made several requests for relief including</w:t>
      </w:r>
      <w:r w:rsidR="00DD43A3">
        <w:rPr>
          <w:bCs/>
          <w:color w:val="000000"/>
          <w:sz w:val="24"/>
          <w:szCs w:val="24"/>
        </w:rPr>
        <w:t>:</w:t>
      </w:r>
      <w:r w:rsidR="00B8408C">
        <w:rPr>
          <w:bCs/>
          <w:color w:val="000000"/>
          <w:sz w:val="24"/>
          <w:szCs w:val="24"/>
        </w:rPr>
        <w:t xml:space="preserve"> </w:t>
      </w:r>
      <w:r w:rsidR="00DD43A3">
        <w:rPr>
          <w:bCs/>
          <w:color w:val="000000"/>
          <w:sz w:val="24"/>
          <w:szCs w:val="24"/>
        </w:rPr>
        <w:t xml:space="preserve"> 1)</w:t>
      </w:r>
      <w:r w:rsidR="00087450">
        <w:rPr>
          <w:bCs/>
          <w:color w:val="000000"/>
          <w:sz w:val="24"/>
          <w:szCs w:val="24"/>
        </w:rPr>
        <w:t xml:space="preserve"> </w:t>
      </w:r>
      <w:r w:rsidR="00D269E9" w:rsidRPr="00D269E9">
        <w:rPr>
          <w:bCs/>
          <w:color w:val="000000"/>
          <w:sz w:val="24"/>
          <w:szCs w:val="24"/>
        </w:rPr>
        <w:t xml:space="preserve">restitution </w:t>
      </w:r>
      <w:r w:rsidR="00087450">
        <w:rPr>
          <w:bCs/>
          <w:color w:val="000000"/>
          <w:sz w:val="24"/>
          <w:szCs w:val="24"/>
        </w:rPr>
        <w:t>for</w:t>
      </w:r>
      <w:r w:rsidR="00DD43A3">
        <w:rPr>
          <w:bCs/>
          <w:color w:val="000000"/>
          <w:sz w:val="24"/>
          <w:szCs w:val="24"/>
        </w:rPr>
        <w:t xml:space="preserve"> customers; 2) civil penalties; 3) modifications to practices and procedures; and 4) revocation or suspension of HIKO’s EGS license.  T</w:t>
      </w:r>
      <w:r w:rsidR="00D269E9" w:rsidRPr="00D269E9">
        <w:rPr>
          <w:bCs/>
          <w:color w:val="000000"/>
          <w:sz w:val="24"/>
          <w:szCs w:val="24"/>
        </w:rPr>
        <w:t xml:space="preserve">he Commission’s Bureau of Investigation and Enforcement (I&amp;E) </w:t>
      </w:r>
      <w:r w:rsidR="00DD43A3">
        <w:rPr>
          <w:bCs/>
          <w:color w:val="000000"/>
          <w:sz w:val="24"/>
          <w:szCs w:val="24"/>
        </w:rPr>
        <w:t>and the Office of Small Business Advocate (OSBA) are intervenors in this proceeding.  A hearing is scheduled for March 23 – 27, 2015.</w:t>
      </w:r>
    </w:p>
    <w:p w:rsidR="00DD43A3" w:rsidRDefault="00DD43A3" w:rsidP="00D269E9">
      <w:pPr>
        <w:widowControl w:val="0"/>
        <w:adjustRightInd w:val="0"/>
        <w:spacing w:line="360" w:lineRule="auto"/>
        <w:ind w:firstLine="1440"/>
        <w:rPr>
          <w:bCs/>
          <w:color w:val="000000"/>
          <w:sz w:val="24"/>
          <w:szCs w:val="24"/>
        </w:rPr>
      </w:pPr>
    </w:p>
    <w:p w:rsidR="009D60CE" w:rsidRDefault="0012162E" w:rsidP="00D269E9">
      <w:pPr>
        <w:autoSpaceDE/>
        <w:autoSpaceDN/>
        <w:spacing w:line="360" w:lineRule="auto"/>
        <w:ind w:firstLine="1440"/>
        <w:rPr>
          <w:bCs/>
          <w:color w:val="000000"/>
          <w:sz w:val="24"/>
          <w:szCs w:val="24"/>
        </w:rPr>
      </w:pPr>
      <w:r>
        <w:rPr>
          <w:bCs/>
          <w:color w:val="000000"/>
          <w:sz w:val="24"/>
          <w:szCs w:val="24"/>
        </w:rPr>
        <w:t xml:space="preserve">On </w:t>
      </w:r>
      <w:r w:rsidR="00DD43A3">
        <w:rPr>
          <w:bCs/>
          <w:color w:val="000000"/>
          <w:sz w:val="24"/>
          <w:szCs w:val="24"/>
        </w:rPr>
        <w:t xml:space="preserve">March 13, 2015, Respondent filed a Motion to Strike Pre-Served </w:t>
      </w:r>
      <w:r w:rsidR="00087450">
        <w:rPr>
          <w:bCs/>
          <w:color w:val="000000"/>
          <w:sz w:val="24"/>
          <w:szCs w:val="24"/>
        </w:rPr>
        <w:t>Consumer</w:t>
      </w:r>
      <w:r w:rsidR="00DD43A3">
        <w:rPr>
          <w:bCs/>
          <w:color w:val="000000"/>
          <w:sz w:val="24"/>
          <w:szCs w:val="24"/>
        </w:rPr>
        <w:t xml:space="preserve"> Direct Testimony.  </w:t>
      </w:r>
      <w:r w:rsidR="00D72D4A">
        <w:rPr>
          <w:bCs/>
          <w:color w:val="000000"/>
          <w:sz w:val="24"/>
          <w:szCs w:val="24"/>
        </w:rPr>
        <w:t xml:space="preserve">In its Motion, </w:t>
      </w:r>
      <w:r w:rsidR="00087450">
        <w:rPr>
          <w:bCs/>
          <w:color w:val="000000"/>
          <w:sz w:val="24"/>
          <w:szCs w:val="24"/>
        </w:rPr>
        <w:t xml:space="preserve">HIKO </w:t>
      </w:r>
      <w:r w:rsidR="009D60CE">
        <w:rPr>
          <w:bCs/>
          <w:color w:val="000000"/>
          <w:sz w:val="24"/>
          <w:szCs w:val="24"/>
        </w:rPr>
        <w:t xml:space="preserve">sought to strike all or portions of certain pre-served testimony of consumer witness statements and attachments or exhibits served by the Joint Complainants.  </w:t>
      </w:r>
      <w:r w:rsidR="00EF161E">
        <w:rPr>
          <w:bCs/>
          <w:color w:val="000000"/>
          <w:sz w:val="24"/>
          <w:szCs w:val="24"/>
        </w:rPr>
        <w:t>HIKO</w:t>
      </w:r>
      <w:r w:rsidR="009D60CE">
        <w:rPr>
          <w:bCs/>
          <w:color w:val="000000"/>
          <w:sz w:val="24"/>
          <w:szCs w:val="24"/>
        </w:rPr>
        <w:t xml:space="preserve"> argued that portions of those statements 1) included answers to leading questions regarding whether sales representatives guaranteed savings</w:t>
      </w:r>
      <w:r w:rsidR="00087450">
        <w:rPr>
          <w:bCs/>
          <w:color w:val="000000"/>
          <w:sz w:val="24"/>
          <w:szCs w:val="24"/>
        </w:rPr>
        <w:t xml:space="preserve">; 2) </w:t>
      </w:r>
      <w:r w:rsidR="009D60CE">
        <w:rPr>
          <w:bCs/>
          <w:color w:val="000000"/>
          <w:sz w:val="24"/>
          <w:szCs w:val="24"/>
        </w:rPr>
        <w:t xml:space="preserve">included inadmissible hearsay </w:t>
      </w:r>
      <w:r w:rsidR="00087450">
        <w:rPr>
          <w:bCs/>
          <w:color w:val="000000"/>
          <w:sz w:val="24"/>
          <w:szCs w:val="24"/>
        </w:rPr>
        <w:t>in many of the statements; and 3) included vague and incomplete answers relating to the consumer’s account of his or her interactions with a HIKO sales representative</w:t>
      </w:r>
      <w:r w:rsidR="009D60CE">
        <w:rPr>
          <w:bCs/>
          <w:color w:val="000000"/>
          <w:sz w:val="24"/>
          <w:szCs w:val="24"/>
        </w:rPr>
        <w:t>.</w:t>
      </w:r>
    </w:p>
    <w:p w:rsidR="009D60CE" w:rsidRDefault="009D60CE" w:rsidP="00D269E9">
      <w:pPr>
        <w:autoSpaceDE/>
        <w:autoSpaceDN/>
        <w:spacing w:line="360" w:lineRule="auto"/>
        <w:ind w:firstLine="1440"/>
        <w:rPr>
          <w:bCs/>
          <w:color w:val="000000"/>
          <w:sz w:val="24"/>
          <w:szCs w:val="24"/>
        </w:rPr>
      </w:pPr>
    </w:p>
    <w:p w:rsidR="00317BB5" w:rsidRDefault="009D60CE" w:rsidP="00D269E9">
      <w:pPr>
        <w:autoSpaceDE/>
        <w:autoSpaceDN/>
        <w:spacing w:line="360" w:lineRule="auto"/>
        <w:ind w:firstLine="1440"/>
        <w:rPr>
          <w:bCs/>
          <w:color w:val="000000"/>
          <w:sz w:val="24"/>
          <w:szCs w:val="24"/>
        </w:rPr>
      </w:pPr>
      <w:r>
        <w:rPr>
          <w:bCs/>
          <w:color w:val="000000"/>
          <w:sz w:val="24"/>
          <w:szCs w:val="24"/>
        </w:rPr>
        <w:t xml:space="preserve">On March </w:t>
      </w:r>
      <w:r w:rsidR="00087450">
        <w:rPr>
          <w:bCs/>
          <w:color w:val="000000"/>
          <w:sz w:val="24"/>
          <w:szCs w:val="24"/>
        </w:rPr>
        <w:t>17</w:t>
      </w:r>
      <w:r>
        <w:rPr>
          <w:bCs/>
          <w:color w:val="000000"/>
          <w:sz w:val="24"/>
          <w:szCs w:val="24"/>
        </w:rPr>
        <w:t xml:space="preserve">, 2015, </w:t>
      </w:r>
      <w:r w:rsidR="00087450">
        <w:rPr>
          <w:bCs/>
          <w:color w:val="000000"/>
          <w:sz w:val="24"/>
          <w:szCs w:val="24"/>
        </w:rPr>
        <w:t>the Joint Complainants</w:t>
      </w:r>
      <w:r>
        <w:rPr>
          <w:bCs/>
          <w:color w:val="000000"/>
          <w:sz w:val="24"/>
          <w:szCs w:val="24"/>
        </w:rPr>
        <w:t xml:space="preserve"> filed a</w:t>
      </w:r>
      <w:r w:rsidR="00087450">
        <w:rPr>
          <w:bCs/>
          <w:color w:val="000000"/>
          <w:sz w:val="24"/>
          <w:szCs w:val="24"/>
        </w:rPr>
        <w:t xml:space="preserve"> Joint</w:t>
      </w:r>
      <w:r>
        <w:rPr>
          <w:bCs/>
          <w:color w:val="000000"/>
          <w:sz w:val="24"/>
          <w:szCs w:val="24"/>
        </w:rPr>
        <w:t xml:space="preserve"> Answer to </w:t>
      </w:r>
      <w:r w:rsidR="00087450">
        <w:rPr>
          <w:bCs/>
          <w:color w:val="000000"/>
          <w:sz w:val="24"/>
          <w:szCs w:val="24"/>
        </w:rPr>
        <w:t>HIKO</w:t>
      </w:r>
      <w:r>
        <w:rPr>
          <w:bCs/>
          <w:color w:val="000000"/>
          <w:sz w:val="24"/>
          <w:szCs w:val="24"/>
        </w:rPr>
        <w:t xml:space="preserve">’s Motion.  In </w:t>
      </w:r>
      <w:r w:rsidR="00087450">
        <w:rPr>
          <w:bCs/>
          <w:color w:val="000000"/>
          <w:sz w:val="24"/>
          <w:szCs w:val="24"/>
        </w:rPr>
        <w:t>the Joint</w:t>
      </w:r>
      <w:r>
        <w:rPr>
          <w:bCs/>
          <w:color w:val="000000"/>
          <w:sz w:val="24"/>
          <w:szCs w:val="24"/>
        </w:rPr>
        <w:t xml:space="preserve"> Answer, </w:t>
      </w:r>
      <w:r w:rsidR="00087450">
        <w:rPr>
          <w:bCs/>
          <w:color w:val="000000"/>
          <w:sz w:val="24"/>
          <w:szCs w:val="24"/>
        </w:rPr>
        <w:t>the Joint Complainants either</w:t>
      </w:r>
      <w:r>
        <w:rPr>
          <w:bCs/>
          <w:color w:val="000000"/>
          <w:sz w:val="24"/>
          <w:szCs w:val="24"/>
        </w:rPr>
        <w:t xml:space="preserve"> </w:t>
      </w:r>
      <w:r w:rsidR="00683208">
        <w:rPr>
          <w:bCs/>
          <w:color w:val="000000"/>
          <w:sz w:val="24"/>
          <w:szCs w:val="24"/>
        </w:rPr>
        <w:t xml:space="preserve">admitted or denied the various arguments raised by </w:t>
      </w:r>
      <w:r w:rsidR="00EF161E">
        <w:rPr>
          <w:bCs/>
          <w:color w:val="000000"/>
          <w:sz w:val="24"/>
          <w:szCs w:val="24"/>
        </w:rPr>
        <w:t>HIKO</w:t>
      </w:r>
      <w:r w:rsidR="00683208">
        <w:rPr>
          <w:bCs/>
          <w:color w:val="000000"/>
          <w:sz w:val="24"/>
          <w:szCs w:val="24"/>
        </w:rPr>
        <w:t xml:space="preserve"> in each paragraph of its Motion.  </w:t>
      </w:r>
      <w:r w:rsidR="00087450">
        <w:rPr>
          <w:bCs/>
          <w:color w:val="000000"/>
          <w:sz w:val="24"/>
          <w:szCs w:val="24"/>
        </w:rPr>
        <w:t xml:space="preserve">Specifically, Joint Complainants contend </w:t>
      </w:r>
      <w:r w:rsidR="00683208">
        <w:rPr>
          <w:bCs/>
          <w:color w:val="000000"/>
          <w:sz w:val="24"/>
          <w:szCs w:val="24"/>
        </w:rPr>
        <w:t xml:space="preserve">that </w:t>
      </w:r>
      <w:r w:rsidR="00087450">
        <w:rPr>
          <w:bCs/>
          <w:color w:val="000000"/>
          <w:sz w:val="24"/>
          <w:szCs w:val="24"/>
        </w:rPr>
        <w:t>HIKO</w:t>
      </w:r>
      <w:r w:rsidR="00683208">
        <w:rPr>
          <w:bCs/>
          <w:color w:val="000000"/>
          <w:sz w:val="24"/>
          <w:szCs w:val="24"/>
        </w:rPr>
        <w:t xml:space="preserve">’s argument regarding leading questions is </w:t>
      </w:r>
      <w:r w:rsidR="00087450">
        <w:rPr>
          <w:bCs/>
          <w:color w:val="000000"/>
          <w:sz w:val="24"/>
          <w:szCs w:val="24"/>
        </w:rPr>
        <w:t xml:space="preserve">without merit </w:t>
      </w:r>
      <w:r w:rsidR="00683208">
        <w:rPr>
          <w:bCs/>
          <w:color w:val="000000"/>
          <w:sz w:val="24"/>
          <w:szCs w:val="24"/>
        </w:rPr>
        <w:t xml:space="preserve">because </w:t>
      </w:r>
      <w:r w:rsidR="00087450">
        <w:rPr>
          <w:bCs/>
          <w:color w:val="000000"/>
          <w:sz w:val="24"/>
          <w:szCs w:val="24"/>
        </w:rPr>
        <w:t>the question</w:t>
      </w:r>
      <w:r w:rsidR="00317BB5">
        <w:rPr>
          <w:bCs/>
          <w:color w:val="000000"/>
          <w:sz w:val="24"/>
          <w:szCs w:val="24"/>
        </w:rPr>
        <w:t xml:space="preserve"> and statement at 12.a and 12.b respectively, which state: </w:t>
      </w:r>
      <w:r w:rsidR="00087450">
        <w:rPr>
          <w:bCs/>
          <w:color w:val="000000"/>
          <w:sz w:val="24"/>
          <w:szCs w:val="24"/>
        </w:rPr>
        <w:t xml:space="preserve"> “Did the EGS salesperson</w:t>
      </w:r>
      <w:r w:rsidR="00317BB5">
        <w:rPr>
          <w:bCs/>
          <w:color w:val="000000"/>
          <w:sz w:val="24"/>
          <w:szCs w:val="24"/>
        </w:rPr>
        <w:t xml:space="preserve"> guarantee savings?  If yes, please explain.” are not unduly leading because the consumer is free to answer either “yes” or “no”, and explain his/her response in an open-ended manner.    </w:t>
      </w:r>
    </w:p>
    <w:p w:rsidR="00317BB5" w:rsidRDefault="00317BB5" w:rsidP="00D269E9">
      <w:pPr>
        <w:autoSpaceDE/>
        <w:autoSpaceDN/>
        <w:spacing w:line="360" w:lineRule="auto"/>
        <w:ind w:firstLine="1440"/>
        <w:rPr>
          <w:bCs/>
          <w:color w:val="000000"/>
          <w:sz w:val="24"/>
          <w:szCs w:val="24"/>
        </w:rPr>
      </w:pPr>
    </w:p>
    <w:p w:rsidR="0012162E" w:rsidRDefault="008F53EA" w:rsidP="00D269E9">
      <w:pPr>
        <w:autoSpaceDE/>
        <w:autoSpaceDN/>
        <w:spacing w:line="360" w:lineRule="auto"/>
        <w:ind w:firstLine="1440"/>
        <w:rPr>
          <w:bCs/>
          <w:color w:val="000000"/>
          <w:sz w:val="24"/>
          <w:szCs w:val="24"/>
        </w:rPr>
      </w:pPr>
      <w:r>
        <w:rPr>
          <w:bCs/>
          <w:color w:val="000000"/>
          <w:sz w:val="24"/>
          <w:szCs w:val="24"/>
        </w:rPr>
        <w:t xml:space="preserve">With regard to </w:t>
      </w:r>
      <w:r w:rsidR="00317BB5">
        <w:rPr>
          <w:bCs/>
          <w:color w:val="000000"/>
          <w:sz w:val="24"/>
          <w:szCs w:val="24"/>
        </w:rPr>
        <w:t>HIKO</w:t>
      </w:r>
      <w:r>
        <w:rPr>
          <w:bCs/>
          <w:color w:val="000000"/>
          <w:sz w:val="24"/>
          <w:szCs w:val="24"/>
        </w:rPr>
        <w:t>’s arguments regarding hearsay, the Joint Complainants argued that Presiding Officers are not bound by the technical rules of evidence in administra</w:t>
      </w:r>
      <w:r w:rsidR="0061793B">
        <w:rPr>
          <w:bCs/>
          <w:color w:val="000000"/>
          <w:sz w:val="24"/>
          <w:szCs w:val="24"/>
        </w:rPr>
        <w:t xml:space="preserve">tive hearings and, even if certain statements </w:t>
      </w:r>
      <w:r>
        <w:rPr>
          <w:bCs/>
          <w:color w:val="000000"/>
          <w:sz w:val="24"/>
          <w:szCs w:val="24"/>
        </w:rPr>
        <w:t>are hearsay, the statements identified fall within one of the established exceptions to the rule against admitting hearsay.</w:t>
      </w:r>
    </w:p>
    <w:p w:rsidR="00F3679C" w:rsidRDefault="00F3679C" w:rsidP="00D269E9">
      <w:pPr>
        <w:autoSpaceDE/>
        <w:autoSpaceDN/>
        <w:spacing w:line="360" w:lineRule="auto"/>
        <w:ind w:firstLine="1440"/>
        <w:rPr>
          <w:bCs/>
          <w:color w:val="000000"/>
          <w:sz w:val="24"/>
          <w:szCs w:val="24"/>
        </w:rPr>
      </w:pPr>
    </w:p>
    <w:p w:rsidR="009D60CE" w:rsidRDefault="00317BB5" w:rsidP="00D269E9">
      <w:pPr>
        <w:autoSpaceDE/>
        <w:autoSpaceDN/>
        <w:spacing w:line="360" w:lineRule="auto"/>
        <w:ind w:firstLine="1440"/>
        <w:rPr>
          <w:bCs/>
          <w:color w:val="000000"/>
          <w:sz w:val="24"/>
          <w:szCs w:val="24"/>
        </w:rPr>
      </w:pPr>
      <w:r>
        <w:rPr>
          <w:bCs/>
          <w:color w:val="000000"/>
          <w:sz w:val="24"/>
          <w:szCs w:val="24"/>
        </w:rPr>
        <w:t xml:space="preserve">Regarding HIKO’s contention that direct testimony with vague or incomplete answers should be stricken, the Joint Complainants contend they obtained direct testimony in the format directed by the Presiding Officers, and the fact that some of the answers to questions are blank or vague should not result in the striking of the consumer’s entire testimony.  </w:t>
      </w:r>
      <w:r w:rsidR="00F3679C">
        <w:rPr>
          <w:bCs/>
          <w:color w:val="000000"/>
          <w:sz w:val="24"/>
          <w:szCs w:val="24"/>
        </w:rPr>
        <w:t>HIKO had an opportunity to engage in informal or formal discovery and could have raised this issue sooner than 10 days prior to the hearings in light of the fact that they were served with the testimonies ninety-eight days prior to the filing of the Motion.  Further, HIKO will have an opportunity through cross examination to request clarification of the witnesses’ statements.</w:t>
      </w:r>
    </w:p>
    <w:p w:rsidR="00F3679C" w:rsidRDefault="00F3679C" w:rsidP="00D269E9">
      <w:pPr>
        <w:autoSpaceDE/>
        <w:autoSpaceDN/>
        <w:spacing w:line="360" w:lineRule="auto"/>
        <w:ind w:firstLine="1440"/>
        <w:rPr>
          <w:bCs/>
          <w:color w:val="000000"/>
          <w:sz w:val="24"/>
          <w:szCs w:val="24"/>
        </w:rPr>
      </w:pPr>
    </w:p>
    <w:p w:rsidR="009D60CE" w:rsidRDefault="00317BB5" w:rsidP="00D269E9">
      <w:pPr>
        <w:autoSpaceDE/>
        <w:autoSpaceDN/>
        <w:spacing w:line="360" w:lineRule="auto"/>
        <w:ind w:firstLine="1440"/>
        <w:rPr>
          <w:bCs/>
          <w:color w:val="000000"/>
          <w:sz w:val="24"/>
          <w:szCs w:val="24"/>
        </w:rPr>
      </w:pPr>
      <w:r>
        <w:rPr>
          <w:bCs/>
          <w:color w:val="000000"/>
          <w:sz w:val="24"/>
          <w:szCs w:val="24"/>
        </w:rPr>
        <w:t>HIKO</w:t>
      </w:r>
      <w:r w:rsidR="009D60CE">
        <w:rPr>
          <w:bCs/>
          <w:color w:val="000000"/>
          <w:sz w:val="24"/>
          <w:szCs w:val="24"/>
        </w:rPr>
        <w:t xml:space="preserve">’s Motion to Strike is ready for disposition.  As discussed below, </w:t>
      </w:r>
      <w:r>
        <w:rPr>
          <w:bCs/>
          <w:color w:val="000000"/>
          <w:sz w:val="24"/>
          <w:szCs w:val="24"/>
        </w:rPr>
        <w:t>HIKO</w:t>
      </w:r>
      <w:r w:rsidR="009D60CE">
        <w:rPr>
          <w:bCs/>
          <w:color w:val="000000"/>
          <w:sz w:val="24"/>
          <w:szCs w:val="24"/>
        </w:rPr>
        <w:t>’s Motion will be granted in part and denied in part.</w:t>
      </w:r>
    </w:p>
    <w:p w:rsidR="009D60CE" w:rsidRDefault="009D60CE" w:rsidP="009D60CE">
      <w:pPr>
        <w:autoSpaceDE/>
        <w:autoSpaceDN/>
        <w:spacing w:line="360" w:lineRule="auto"/>
        <w:rPr>
          <w:bCs/>
          <w:color w:val="000000"/>
          <w:sz w:val="24"/>
          <w:szCs w:val="24"/>
        </w:rPr>
      </w:pPr>
    </w:p>
    <w:p w:rsidR="009D60CE" w:rsidRPr="006F3971" w:rsidRDefault="009D60CE" w:rsidP="009D60CE">
      <w:pPr>
        <w:autoSpaceDE/>
        <w:autoSpaceDN/>
        <w:spacing w:line="360" w:lineRule="auto"/>
        <w:rPr>
          <w:bCs/>
          <w:color w:val="000000"/>
          <w:sz w:val="24"/>
          <w:szCs w:val="24"/>
        </w:rPr>
      </w:pPr>
      <w:r w:rsidRPr="006F3971">
        <w:rPr>
          <w:bCs/>
          <w:color w:val="000000"/>
          <w:sz w:val="24"/>
          <w:szCs w:val="24"/>
          <w:u w:val="single"/>
        </w:rPr>
        <w:t>Leading Question</w:t>
      </w:r>
    </w:p>
    <w:p w:rsidR="009D60CE" w:rsidRDefault="009D60CE" w:rsidP="009D60CE">
      <w:pPr>
        <w:autoSpaceDE/>
        <w:autoSpaceDN/>
        <w:spacing w:line="360" w:lineRule="auto"/>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In its Motion, </w:t>
      </w:r>
      <w:r w:rsidR="00F3679C">
        <w:rPr>
          <w:bCs/>
          <w:color w:val="000000"/>
          <w:sz w:val="24"/>
          <w:szCs w:val="24"/>
        </w:rPr>
        <w:t>HIKO</w:t>
      </w:r>
      <w:r>
        <w:rPr>
          <w:bCs/>
          <w:color w:val="000000"/>
          <w:sz w:val="24"/>
          <w:szCs w:val="24"/>
        </w:rPr>
        <w:t xml:space="preserve"> argued that </w:t>
      </w:r>
      <w:r w:rsidR="00EF60D3">
        <w:rPr>
          <w:bCs/>
          <w:color w:val="000000"/>
          <w:sz w:val="24"/>
          <w:szCs w:val="24"/>
        </w:rPr>
        <w:t xml:space="preserve">the question “Did the EGS salesperson guarantee savings?  If yes, please explain” is a leading question and that any affirmative answers to that question and the follow up </w:t>
      </w:r>
      <w:r w:rsidR="00F3679C">
        <w:rPr>
          <w:bCs/>
          <w:color w:val="000000"/>
          <w:sz w:val="24"/>
          <w:szCs w:val="24"/>
        </w:rPr>
        <w:t>statement</w:t>
      </w:r>
      <w:r w:rsidR="00EF60D3">
        <w:rPr>
          <w:bCs/>
          <w:color w:val="000000"/>
          <w:sz w:val="24"/>
          <w:szCs w:val="24"/>
        </w:rPr>
        <w:t xml:space="preserve"> are inadmissible and should be stricken.  </w:t>
      </w:r>
      <w:r w:rsidR="00F3679C">
        <w:rPr>
          <w:bCs/>
          <w:color w:val="000000"/>
          <w:sz w:val="24"/>
          <w:szCs w:val="24"/>
        </w:rPr>
        <w:t>HIKO</w:t>
      </w:r>
      <w:r w:rsidR="00EF60D3">
        <w:rPr>
          <w:bCs/>
          <w:color w:val="000000"/>
          <w:sz w:val="24"/>
          <w:szCs w:val="24"/>
        </w:rPr>
        <w:t xml:space="preserve"> </w:t>
      </w:r>
      <w:r w:rsidR="00F3679C">
        <w:rPr>
          <w:bCs/>
          <w:color w:val="000000"/>
          <w:sz w:val="24"/>
          <w:szCs w:val="24"/>
        </w:rPr>
        <w:t xml:space="preserve">contends </w:t>
      </w:r>
      <w:r w:rsidR="00EF60D3">
        <w:rPr>
          <w:bCs/>
          <w:color w:val="000000"/>
          <w:sz w:val="24"/>
          <w:szCs w:val="24"/>
        </w:rPr>
        <w:t xml:space="preserve">that </w:t>
      </w:r>
      <w:r w:rsidR="00575CFB">
        <w:rPr>
          <w:bCs/>
          <w:color w:val="000000"/>
          <w:sz w:val="24"/>
          <w:szCs w:val="24"/>
        </w:rPr>
        <w:t>t</w:t>
      </w:r>
      <w:r w:rsidR="00EF60D3">
        <w:rPr>
          <w:bCs/>
          <w:color w:val="000000"/>
          <w:sz w:val="24"/>
          <w:szCs w:val="24"/>
        </w:rPr>
        <w:t>he question clearly suggests that an affirmative answer is both desired and the one most likely to produce</w:t>
      </w:r>
      <w:r w:rsidR="00F3679C">
        <w:rPr>
          <w:bCs/>
          <w:color w:val="000000"/>
          <w:sz w:val="24"/>
          <w:szCs w:val="24"/>
        </w:rPr>
        <w:t xml:space="preserve"> a refund</w:t>
      </w:r>
      <w:r w:rsidR="00EF60D3">
        <w:rPr>
          <w:bCs/>
          <w:color w:val="000000"/>
          <w:sz w:val="24"/>
          <w:szCs w:val="24"/>
        </w:rPr>
        <w:t xml:space="preserve"> for the witness.  </w:t>
      </w:r>
      <w:r w:rsidR="00F3679C">
        <w:rPr>
          <w:bCs/>
          <w:color w:val="000000"/>
          <w:sz w:val="24"/>
          <w:szCs w:val="24"/>
        </w:rPr>
        <w:t xml:space="preserve">HIKO </w:t>
      </w:r>
      <w:r w:rsidR="00575CFB">
        <w:rPr>
          <w:bCs/>
          <w:color w:val="000000"/>
          <w:sz w:val="24"/>
          <w:szCs w:val="24"/>
        </w:rPr>
        <w:t>argues</w:t>
      </w:r>
      <w:r w:rsidR="00F3679C">
        <w:rPr>
          <w:bCs/>
          <w:color w:val="000000"/>
          <w:sz w:val="24"/>
          <w:szCs w:val="24"/>
        </w:rPr>
        <w:t xml:space="preserve"> the responses to this question should be stricken in all of the testimonies because </w:t>
      </w:r>
      <w:r w:rsidR="00EF60D3">
        <w:rPr>
          <w:bCs/>
          <w:color w:val="000000"/>
          <w:sz w:val="24"/>
          <w:szCs w:val="24"/>
        </w:rPr>
        <w:t xml:space="preserve">the Joint Complainants </w:t>
      </w:r>
      <w:r w:rsidR="00575CFB">
        <w:rPr>
          <w:bCs/>
          <w:color w:val="000000"/>
          <w:sz w:val="24"/>
          <w:szCs w:val="24"/>
        </w:rPr>
        <w:t>c</w:t>
      </w:r>
      <w:r w:rsidR="00EF60D3">
        <w:rPr>
          <w:bCs/>
          <w:color w:val="000000"/>
          <w:sz w:val="24"/>
          <w:szCs w:val="24"/>
        </w:rPr>
        <w:t xml:space="preserve">ould have easily elicited relevant testimony without signaling the desired answer and that </w:t>
      </w:r>
      <w:r w:rsidR="00575CFB">
        <w:rPr>
          <w:bCs/>
          <w:color w:val="000000"/>
          <w:sz w:val="24"/>
          <w:szCs w:val="24"/>
        </w:rPr>
        <w:t>HIKO</w:t>
      </w:r>
      <w:r w:rsidR="00EF60D3">
        <w:rPr>
          <w:bCs/>
          <w:color w:val="000000"/>
          <w:sz w:val="24"/>
          <w:szCs w:val="24"/>
        </w:rPr>
        <w:t xml:space="preserve"> should be required to defend allegations only when they are offered by the consumer without being prompted by an impermissible leading question.</w:t>
      </w:r>
    </w:p>
    <w:p w:rsidR="00D91597" w:rsidRDefault="00D91597" w:rsidP="00D91597">
      <w:pPr>
        <w:autoSpaceDE/>
        <w:autoSpaceDN/>
        <w:spacing w:line="360" w:lineRule="auto"/>
        <w:ind w:firstLine="1440"/>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In response, </w:t>
      </w:r>
      <w:r w:rsidR="00575CFB">
        <w:rPr>
          <w:bCs/>
          <w:color w:val="000000"/>
          <w:sz w:val="24"/>
          <w:szCs w:val="24"/>
        </w:rPr>
        <w:t>Joint Complainants contend that</w:t>
      </w:r>
      <w:r w:rsidR="00792502">
        <w:rPr>
          <w:bCs/>
          <w:color w:val="000000"/>
          <w:sz w:val="24"/>
          <w:szCs w:val="24"/>
        </w:rPr>
        <w:t xml:space="preserve"> the question did not lead the witness </w:t>
      </w:r>
      <w:r w:rsidR="00575CFB">
        <w:rPr>
          <w:bCs/>
          <w:color w:val="000000"/>
          <w:sz w:val="24"/>
          <w:szCs w:val="24"/>
        </w:rPr>
        <w:t xml:space="preserve">because </w:t>
      </w:r>
      <w:r w:rsidR="00296B98">
        <w:rPr>
          <w:bCs/>
          <w:color w:val="000000"/>
          <w:sz w:val="24"/>
          <w:szCs w:val="24"/>
        </w:rPr>
        <w:t xml:space="preserve">the </w:t>
      </w:r>
      <w:r w:rsidR="00575CFB">
        <w:rPr>
          <w:bCs/>
          <w:color w:val="000000"/>
          <w:sz w:val="24"/>
          <w:szCs w:val="24"/>
        </w:rPr>
        <w:t>follow up statement to the question,</w:t>
      </w:r>
      <w:r w:rsidR="00792502">
        <w:rPr>
          <w:bCs/>
          <w:color w:val="000000"/>
          <w:sz w:val="24"/>
          <w:szCs w:val="24"/>
        </w:rPr>
        <w:t xml:space="preserve"> “if yes, please explain” cues the reader that the answer to the first question </w:t>
      </w:r>
      <w:r w:rsidR="00575CFB">
        <w:rPr>
          <w:bCs/>
          <w:color w:val="000000"/>
          <w:sz w:val="24"/>
          <w:szCs w:val="24"/>
        </w:rPr>
        <w:t>m</w:t>
      </w:r>
      <w:r w:rsidR="00792502">
        <w:rPr>
          <w:bCs/>
          <w:color w:val="000000"/>
          <w:sz w:val="24"/>
          <w:szCs w:val="24"/>
        </w:rPr>
        <w:t xml:space="preserve">ay well be either affirmative or negative.  The Joint Complainants added that even if the question is leading, any objection during a hearing would require the question to be rephrased, not to have the answer stricken and that striking the answer now would be unduly harsh.  The Joint Complainants agreed that leading questions should not be used during direct examination but that the Pennsylvania Rules of Evidence allow such questions when “necessary to develop the witness’s testimony” and that such is the case here given the circumstances of this case.  Joint Complainants </w:t>
      </w:r>
      <w:r w:rsidR="00575CFB">
        <w:rPr>
          <w:bCs/>
          <w:color w:val="000000"/>
          <w:sz w:val="24"/>
          <w:szCs w:val="24"/>
        </w:rPr>
        <w:t>aver</w:t>
      </w:r>
      <w:r w:rsidR="00792502">
        <w:rPr>
          <w:bCs/>
          <w:color w:val="000000"/>
          <w:sz w:val="24"/>
          <w:szCs w:val="24"/>
        </w:rPr>
        <w:t xml:space="preserve"> that </w:t>
      </w:r>
      <w:r w:rsidR="00575CFB">
        <w:rPr>
          <w:bCs/>
          <w:color w:val="000000"/>
          <w:sz w:val="24"/>
          <w:szCs w:val="24"/>
        </w:rPr>
        <w:t>HIKO</w:t>
      </w:r>
      <w:r w:rsidR="00792502">
        <w:rPr>
          <w:bCs/>
          <w:color w:val="000000"/>
          <w:sz w:val="24"/>
          <w:szCs w:val="24"/>
        </w:rPr>
        <w:t xml:space="preserve"> could explore any concerns with answers to this question either through discovery or cross-examination.</w:t>
      </w:r>
    </w:p>
    <w:p w:rsidR="00D91597" w:rsidRDefault="00D91597" w:rsidP="00D91597">
      <w:pPr>
        <w:autoSpaceDE/>
        <w:autoSpaceDN/>
        <w:spacing w:line="360" w:lineRule="auto"/>
        <w:ind w:firstLine="1440"/>
        <w:rPr>
          <w:bCs/>
          <w:color w:val="000000"/>
          <w:sz w:val="24"/>
          <w:szCs w:val="24"/>
        </w:rPr>
      </w:pPr>
    </w:p>
    <w:p w:rsidR="002C5BF0" w:rsidRDefault="00575CFB" w:rsidP="00D91597">
      <w:pPr>
        <w:autoSpaceDE/>
        <w:autoSpaceDN/>
        <w:spacing w:line="360" w:lineRule="auto"/>
        <w:ind w:firstLine="1440"/>
        <w:rPr>
          <w:bCs/>
          <w:color w:val="000000"/>
          <w:sz w:val="24"/>
          <w:szCs w:val="24"/>
        </w:rPr>
      </w:pPr>
      <w:r>
        <w:rPr>
          <w:bCs/>
          <w:color w:val="000000"/>
          <w:sz w:val="24"/>
          <w:szCs w:val="24"/>
        </w:rPr>
        <w:t>We are unpersuaded by HIKO’s</w:t>
      </w:r>
      <w:r w:rsidR="00D91597">
        <w:rPr>
          <w:bCs/>
          <w:color w:val="000000"/>
          <w:sz w:val="24"/>
          <w:szCs w:val="24"/>
        </w:rPr>
        <w:t xml:space="preserve"> argument</w:t>
      </w:r>
      <w:r>
        <w:rPr>
          <w:bCs/>
          <w:color w:val="000000"/>
          <w:sz w:val="24"/>
          <w:szCs w:val="24"/>
        </w:rPr>
        <w:t xml:space="preserve"> to strike responses to 12.a and 12.b</w:t>
      </w:r>
      <w:r w:rsidR="00792502">
        <w:rPr>
          <w:bCs/>
          <w:color w:val="000000"/>
          <w:sz w:val="24"/>
          <w:szCs w:val="24"/>
        </w:rPr>
        <w:t xml:space="preserve">.  </w:t>
      </w:r>
      <w:r>
        <w:rPr>
          <w:bCs/>
          <w:color w:val="000000"/>
          <w:sz w:val="24"/>
          <w:szCs w:val="24"/>
        </w:rPr>
        <w:t>HIKO</w:t>
      </w:r>
      <w:r w:rsidR="00AA6014">
        <w:rPr>
          <w:bCs/>
          <w:color w:val="000000"/>
          <w:sz w:val="24"/>
          <w:szCs w:val="24"/>
        </w:rPr>
        <w:t xml:space="preserve"> is correct that a party may not</w:t>
      </w:r>
      <w:r>
        <w:rPr>
          <w:bCs/>
          <w:color w:val="000000"/>
          <w:sz w:val="24"/>
          <w:szCs w:val="24"/>
        </w:rPr>
        <w:t xml:space="preserve"> generally </w:t>
      </w:r>
      <w:r w:rsidR="00AA6014">
        <w:rPr>
          <w:bCs/>
          <w:color w:val="000000"/>
          <w:sz w:val="24"/>
          <w:szCs w:val="24"/>
        </w:rPr>
        <w:t xml:space="preserve">lead its own witness with suggestive questions and that answers to such questions are </w:t>
      </w:r>
      <w:r>
        <w:rPr>
          <w:bCs/>
          <w:color w:val="000000"/>
          <w:sz w:val="24"/>
          <w:szCs w:val="24"/>
        </w:rPr>
        <w:t xml:space="preserve">generally </w:t>
      </w:r>
      <w:r w:rsidR="00AA6014">
        <w:rPr>
          <w:bCs/>
          <w:color w:val="000000"/>
          <w:sz w:val="24"/>
          <w:szCs w:val="24"/>
        </w:rPr>
        <w:t>not admissible</w:t>
      </w:r>
      <w:r w:rsidR="00221C67">
        <w:rPr>
          <w:bCs/>
          <w:color w:val="000000"/>
          <w:sz w:val="24"/>
          <w:szCs w:val="24"/>
        </w:rPr>
        <w:t>.  Pa. R. Evid. 611(c).  However,</w:t>
      </w:r>
      <w:r>
        <w:rPr>
          <w:bCs/>
          <w:color w:val="000000"/>
          <w:sz w:val="24"/>
          <w:szCs w:val="24"/>
        </w:rPr>
        <w:t xml:space="preserve"> we find </w:t>
      </w:r>
      <w:r w:rsidR="002C5BF0">
        <w:rPr>
          <w:bCs/>
          <w:color w:val="000000"/>
          <w:sz w:val="24"/>
          <w:szCs w:val="24"/>
        </w:rPr>
        <w:t xml:space="preserve">the question “Did the EGS salesperson guarantee savings?  If yes, please explain” is </w:t>
      </w:r>
      <w:r>
        <w:rPr>
          <w:bCs/>
          <w:color w:val="000000"/>
          <w:sz w:val="24"/>
          <w:szCs w:val="24"/>
        </w:rPr>
        <w:t xml:space="preserve">essentially an open-ended question calling for </w:t>
      </w:r>
      <w:r w:rsidR="00EF161E">
        <w:rPr>
          <w:bCs/>
          <w:color w:val="000000"/>
          <w:sz w:val="24"/>
          <w:szCs w:val="24"/>
        </w:rPr>
        <w:t xml:space="preserve">an </w:t>
      </w:r>
      <w:r>
        <w:rPr>
          <w:bCs/>
          <w:color w:val="000000"/>
          <w:sz w:val="24"/>
          <w:szCs w:val="24"/>
        </w:rPr>
        <w:t xml:space="preserve">explanation </w:t>
      </w:r>
      <w:r w:rsidR="00EF161E">
        <w:rPr>
          <w:bCs/>
          <w:color w:val="000000"/>
          <w:sz w:val="24"/>
          <w:szCs w:val="24"/>
        </w:rPr>
        <w:t>and it</w:t>
      </w:r>
      <w:r>
        <w:rPr>
          <w:bCs/>
          <w:color w:val="000000"/>
          <w:sz w:val="24"/>
          <w:szCs w:val="24"/>
        </w:rPr>
        <w:t xml:space="preserve"> implies a yes or no response may be made.  T</w:t>
      </w:r>
      <w:r w:rsidR="00D828AF">
        <w:rPr>
          <w:bCs/>
          <w:color w:val="000000"/>
          <w:sz w:val="24"/>
          <w:szCs w:val="24"/>
        </w:rPr>
        <w:t xml:space="preserve">he use of </w:t>
      </w:r>
      <w:r>
        <w:rPr>
          <w:bCs/>
          <w:color w:val="000000"/>
          <w:sz w:val="24"/>
          <w:szCs w:val="24"/>
        </w:rPr>
        <w:t xml:space="preserve">the word </w:t>
      </w:r>
      <w:r w:rsidR="00D828AF">
        <w:rPr>
          <w:bCs/>
          <w:color w:val="000000"/>
          <w:sz w:val="24"/>
          <w:szCs w:val="24"/>
        </w:rPr>
        <w:t>“</w:t>
      </w:r>
      <w:r>
        <w:rPr>
          <w:bCs/>
          <w:color w:val="000000"/>
          <w:sz w:val="24"/>
          <w:szCs w:val="24"/>
        </w:rPr>
        <w:t>i</w:t>
      </w:r>
      <w:r w:rsidR="00D828AF">
        <w:rPr>
          <w:bCs/>
          <w:color w:val="000000"/>
          <w:sz w:val="24"/>
          <w:szCs w:val="24"/>
        </w:rPr>
        <w:t xml:space="preserve">f” conveys to consumers that it is possible that the salesperson may not have guaranteed savings.  It is further noted that each of the </w:t>
      </w:r>
      <w:r w:rsidR="00221C67">
        <w:rPr>
          <w:bCs/>
          <w:color w:val="000000"/>
          <w:sz w:val="24"/>
          <w:szCs w:val="24"/>
        </w:rPr>
        <w:t xml:space="preserve">statements </w:t>
      </w:r>
      <w:r w:rsidR="00D828AF">
        <w:rPr>
          <w:bCs/>
          <w:color w:val="000000"/>
          <w:sz w:val="24"/>
          <w:szCs w:val="24"/>
        </w:rPr>
        <w:t xml:space="preserve">of pre-served written testimony is accompanied by a verification that requires the consumer to verify that the answers are true and correct.  </w:t>
      </w:r>
      <w:r>
        <w:rPr>
          <w:bCs/>
          <w:color w:val="000000"/>
          <w:sz w:val="24"/>
          <w:szCs w:val="24"/>
        </w:rPr>
        <w:t>HIKO</w:t>
      </w:r>
      <w:r w:rsidR="00627348">
        <w:rPr>
          <w:bCs/>
          <w:color w:val="000000"/>
          <w:sz w:val="24"/>
          <w:szCs w:val="24"/>
        </w:rPr>
        <w:t xml:space="preserve"> could have inquired further regarding answers to this question in discovery and </w:t>
      </w:r>
      <w:r>
        <w:rPr>
          <w:bCs/>
          <w:color w:val="000000"/>
          <w:sz w:val="24"/>
          <w:szCs w:val="24"/>
        </w:rPr>
        <w:t xml:space="preserve">will be given an opportunity to cross-examine these witnesses at hearing regarding their responses to this question. </w:t>
      </w:r>
      <w:r w:rsidR="00627348">
        <w:rPr>
          <w:bCs/>
          <w:color w:val="000000"/>
          <w:sz w:val="24"/>
          <w:szCs w:val="24"/>
        </w:rPr>
        <w:t xml:space="preserve">  </w:t>
      </w:r>
    </w:p>
    <w:p w:rsidR="002C5BF0" w:rsidRDefault="002C5BF0" w:rsidP="00D91597">
      <w:pPr>
        <w:autoSpaceDE/>
        <w:autoSpaceDN/>
        <w:spacing w:line="360" w:lineRule="auto"/>
        <w:ind w:firstLine="1440"/>
        <w:rPr>
          <w:bCs/>
          <w:color w:val="000000"/>
          <w:sz w:val="24"/>
          <w:szCs w:val="24"/>
        </w:rPr>
      </w:pPr>
    </w:p>
    <w:p w:rsidR="00D91597" w:rsidRDefault="002C5BF0" w:rsidP="00D91597">
      <w:pPr>
        <w:autoSpaceDE/>
        <w:autoSpaceDN/>
        <w:spacing w:line="360" w:lineRule="auto"/>
        <w:ind w:firstLine="1440"/>
        <w:rPr>
          <w:bCs/>
          <w:color w:val="000000"/>
          <w:sz w:val="24"/>
          <w:szCs w:val="24"/>
        </w:rPr>
      </w:pPr>
      <w:r>
        <w:rPr>
          <w:bCs/>
          <w:color w:val="000000"/>
          <w:sz w:val="24"/>
          <w:szCs w:val="24"/>
        </w:rPr>
        <w:t>Furthermore, t</w:t>
      </w:r>
      <w:r w:rsidR="00AA6014">
        <w:rPr>
          <w:bCs/>
          <w:color w:val="000000"/>
          <w:sz w:val="24"/>
          <w:szCs w:val="24"/>
        </w:rPr>
        <w:t>he unique circumstances surrounding this, and related cases, warrants the exercise of judicial discretion in order to “secure the just, speedy and inexpensive determination” of this proceeding, a</w:t>
      </w:r>
      <w:r w:rsidR="00272606">
        <w:rPr>
          <w:bCs/>
          <w:color w:val="000000"/>
          <w:sz w:val="24"/>
          <w:szCs w:val="24"/>
        </w:rPr>
        <w:t>s noted above</w:t>
      </w:r>
      <w:r w:rsidR="00AA6014">
        <w:rPr>
          <w:bCs/>
          <w:color w:val="000000"/>
          <w:sz w:val="24"/>
          <w:szCs w:val="24"/>
        </w:rPr>
        <w:t>.  The submission of pre-served consumer testimony in this proceeding, subject to cross-examination and timely motions, has greatly facilitated the efficient and effective development of the record</w:t>
      </w:r>
      <w:r w:rsidR="00221C67">
        <w:rPr>
          <w:bCs/>
          <w:color w:val="000000"/>
          <w:sz w:val="24"/>
          <w:szCs w:val="24"/>
        </w:rPr>
        <w:t>.</w:t>
      </w:r>
    </w:p>
    <w:p w:rsidR="00221C67" w:rsidRDefault="00221C67" w:rsidP="00D91597">
      <w:pPr>
        <w:autoSpaceDE/>
        <w:autoSpaceDN/>
        <w:spacing w:line="360" w:lineRule="auto"/>
        <w:ind w:firstLine="1440"/>
        <w:rPr>
          <w:bCs/>
          <w:color w:val="000000"/>
          <w:sz w:val="24"/>
          <w:szCs w:val="24"/>
        </w:rPr>
      </w:pPr>
    </w:p>
    <w:p w:rsidR="002F2797" w:rsidRDefault="00221C67" w:rsidP="002F2797">
      <w:pPr>
        <w:autoSpaceDE/>
        <w:autoSpaceDN/>
        <w:spacing w:line="360" w:lineRule="auto"/>
        <w:ind w:firstLine="1440"/>
        <w:rPr>
          <w:bCs/>
          <w:color w:val="000000"/>
          <w:sz w:val="24"/>
          <w:szCs w:val="24"/>
        </w:rPr>
      </w:pPr>
      <w:r>
        <w:rPr>
          <w:bCs/>
          <w:color w:val="000000"/>
          <w:sz w:val="24"/>
          <w:szCs w:val="24"/>
        </w:rPr>
        <w:t>Therefore, HIKO</w:t>
      </w:r>
      <w:r w:rsidR="002F2797">
        <w:rPr>
          <w:bCs/>
          <w:color w:val="000000"/>
          <w:sz w:val="24"/>
          <w:szCs w:val="24"/>
        </w:rPr>
        <w:t xml:space="preserve">’s </w:t>
      </w:r>
      <w:r w:rsidR="004314F9">
        <w:rPr>
          <w:bCs/>
          <w:color w:val="000000"/>
          <w:sz w:val="24"/>
          <w:szCs w:val="24"/>
        </w:rPr>
        <w:t xml:space="preserve">argument that </w:t>
      </w:r>
      <w:r w:rsidR="002F2797">
        <w:rPr>
          <w:bCs/>
          <w:color w:val="000000"/>
          <w:sz w:val="24"/>
          <w:szCs w:val="24"/>
        </w:rPr>
        <w:t>any affirmative answers to the question “Did the EGS salesperson guarantee savings?” as well as any answers to the follow-up question</w:t>
      </w:r>
      <w:r w:rsidR="004314F9">
        <w:rPr>
          <w:bCs/>
          <w:color w:val="000000"/>
          <w:sz w:val="24"/>
          <w:szCs w:val="24"/>
        </w:rPr>
        <w:t xml:space="preserve"> should be stricken as leading</w:t>
      </w:r>
      <w:r w:rsidR="002F2797">
        <w:rPr>
          <w:bCs/>
          <w:color w:val="000000"/>
          <w:sz w:val="24"/>
          <w:szCs w:val="24"/>
        </w:rPr>
        <w:t xml:space="preserve"> </w:t>
      </w:r>
      <w:r>
        <w:rPr>
          <w:bCs/>
          <w:color w:val="000000"/>
          <w:sz w:val="24"/>
          <w:szCs w:val="24"/>
        </w:rPr>
        <w:t xml:space="preserve">is </w:t>
      </w:r>
      <w:r w:rsidR="002F2797">
        <w:rPr>
          <w:bCs/>
          <w:color w:val="000000"/>
          <w:sz w:val="24"/>
          <w:szCs w:val="24"/>
        </w:rPr>
        <w:t xml:space="preserve">rejected.  </w:t>
      </w:r>
      <w:r>
        <w:rPr>
          <w:bCs/>
          <w:color w:val="000000"/>
          <w:sz w:val="24"/>
          <w:szCs w:val="24"/>
        </w:rPr>
        <w:t>HIKO will have an opportunity at the hearing to cross-examine the witnesses regarding their responses to question 12.</w:t>
      </w:r>
    </w:p>
    <w:p w:rsidR="00221C67" w:rsidRDefault="00221C67" w:rsidP="009D60CE">
      <w:pPr>
        <w:autoSpaceDE/>
        <w:autoSpaceDN/>
        <w:spacing w:line="360" w:lineRule="auto"/>
        <w:rPr>
          <w:b/>
          <w:bCs/>
          <w:color w:val="000000"/>
          <w:sz w:val="24"/>
          <w:szCs w:val="24"/>
          <w:u w:val="single"/>
        </w:rPr>
      </w:pPr>
    </w:p>
    <w:p w:rsidR="006F3971" w:rsidRDefault="006F3971" w:rsidP="009D60CE">
      <w:pPr>
        <w:autoSpaceDE/>
        <w:autoSpaceDN/>
        <w:spacing w:line="360" w:lineRule="auto"/>
        <w:rPr>
          <w:bCs/>
          <w:color w:val="000000"/>
          <w:sz w:val="24"/>
          <w:szCs w:val="24"/>
          <w:u w:val="single"/>
        </w:rPr>
      </w:pPr>
    </w:p>
    <w:p w:rsidR="009D60CE" w:rsidRPr="006F3971" w:rsidRDefault="009D60CE" w:rsidP="009D60CE">
      <w:pPr>
        <w:autoSpaceDE/>
        <w:autoSpaceDN/>
        <w:spacing w:line="360" w:lineRule="auto"/>
        <w:rPr>
          <w:bCs/>
          <w:color w:val="000000"/>
          <w:sz w:val="24"/>
          <w:szCs w:val="24"/>
        </w:rPr>
      </w:pPr>
      <w:r w:rsidRPr="006F3971">
        <w:rPr>
          <w:bCs/>
          <w:color w:val="000000"/>
          <w:sz w:val="24"/>
          <w:szCs w:val="24"/>
          <w:u w:val="single"/>
        </w:rPr>
        <w:t>Hearsay</w:t>
      </w:r>
    </w:p>
    <w:p w:rsidR="009D60CE" w:rsidRDefault="009D60CE" w:rsidP="009D60CE">
      <w:pPr>
        <w:autoSpaceDE/>
        <w:autoSpaceDN/>
        <w:spacing w:line="360" w:lineRule="auto"/>
        <w:rPr>
          <w:bCs/>
          <w:color w:val="000000"/>
          <w:sz w:val="24"/>
          <w:szCs w:val="24"/>
        </w:rPr>
      </w:pPr>
    </w:p>
    <w:p w:rsidR="007D361E" w:rsidRDefault="00D91597" w:rsidP="00D91597">
      <w:pPr>
        <w:autoSpaceDE/>
        <w:autoSpaceDN/>
        <w:spacing w:line="360" w:lineRule="auto"/>
        <w:ind w:firstLine="1440"/>
        <w:rPr>
          <w:bCs/>
          <w:color w:val="000000"/>
          <w:sz w:val="24"/>
          <w:szCs w:val="24"/>
        </w:rPr>
      </w:pPr>
      <w:r>
        <w:rPr>
          <w:bCs/>
          <w:color w:val="000000"/>
          <w:sz w:val="24"/>
          <w:szCs w:val="24"/>
        </w:rPr>
        <w:t xml:space="preserve">In its Motion, </w:t>
      </w:r>
      <w:r w:rsidR="00221C67">
        <w:rPr>
          <w:bCs/>
          <w:color w:val="000000"/>
          <w:sz w:val="24"/>
          <w:szCs w:val="24"/>
        </w:rPr>
        <w:t>HIKO</w:t>
      </w:r>
      <w:r>
        <w:rPr>
          <w:bCs/>
          <w:color w:val="000000"/>
          <w:sz w:val="24"/>
          <w:szCs w:val="24"/>
        </w:rPr>
        <w:t xml:space="preserve"> argued that </w:t>
      </w:r>
      <w:r w:rsidR="000F49D4">
        <w:rPr>
          <w:bCs/>
          <w:color w:val="000000"/>
          <w:sz w:val="24"/>
          <w:szCs w:val="24"/>
        </w:rPr>
        <w:t xml:space="preserve">several </w:t>
      </w:r>
      <w:r w:rsidR="004314F9">
        <w:rPr>
          <w:bCs/>
          <w:color w:val="000000"/>
          <w:sz w:val="24"/>
          <w:szCs w:val="24"/>
        </w:rPr>
        <w:t xml:space="preserve">of </w:t>
      </w:r>
      <w:r w:rsidR="000F49D4">
        <w:rPr>
          <w:bCs/>
          <w:color w:val="000000"/>
          <w:sz w:val="24"/>
          <w:szCs w:val="24"/>
        </w:rPr>
        <w:t>the consumer witness testimon</w:t>
      </w:r>
      <w:r w:rsidR="00B70DA1">
        <w:rPr>
          <w:bCs/>
          <w:color w:val="000000"/>
          <w:sz w:val="24"/>
          <w:szCs w:val="24"/>
        </w:rPr>
        <w:t>ies</w:t>
      </w:r>
      <w:r w:rsidR="000F49D4">
        <w:rPr>
          <w:bCs/>
          <w:color w:val="000000"/>
          <w:sz w:val="24"/>
          <w:szCs w:val="24"/>
        </w:rPr>
        <w:t xml:space="preserve"> contain inadmissible hearsay</w:t>
      </w:r>
      <w:r w:rsidR="00221C67">
        <w:rPr>
          <w:bCs/>
          <w:color w:val="000000"/>
          <w:sz w:val="24"/>
          <w:szCs w:val="24"/>
        </w:rPr>
        <w:t>,</w:t>
      </w:r>
      <w:r w:rsidR="000F49D4">
        <w:rPr>
          <w:bCs/>
          <w:color w:val="000000"/>
          <w:sz w:val="24"/>
          <w:szCs w:val="24"/>
        </w:rPr>
        <w:t xml:space="preserve"> which should be stricken.  </w:t>
      </w:r>
      <w:r w:rsidR="007D361E">
        <w:rPr>
          <w:bCs/>
          <w:color w:val="000000"/>
          <w:sz w:val="24"/>
          <w:szCs w:val="24"/>
        </w:rPr>
        <w:t>Specifically, HIKO contends that out of court statements made by Respondent’s sales agents to Michael Walker, Mary Miller, and Leverne Shughart, who later conveyed the information to Betty Shughart are inadmissible pursuant to the hearsay rule, Pa. R. Evid. 801.  HIKO contends those</w:t>
      </w:r>
      <w:r w:rsidR="000F49D4">
        <w:rPr>
          <w:bCs/>
          <w:color w:val="000000"/>
          <w:sz w:val="24"/>
          <w:szCs w:val="24"/>
        </w:rPr>
        <w:t xml:space="preserve"> out-of-court verbal statements</w:t>
      </w:r>
      <w:r w:rsidR="007D361E">
        <w:rPr>
          <w:bCs/>
          <w:color w:val="000000"/>
          <w:sz w:val="24"/>
          <w:szCs w:val="24"/>
        </w:rPr>
        <w:t xml:space="preserve"> made by sales representative are</w:t>
      </w:r>
      <w:r w:rsidR="000F49D4">
        <w:rPr>
          <w:bCs/>
          <w:color w:val="000000"/>
          <w:sz w:val="24"/>
          <w:szCs w:val="24"/>
        </w:rPr>
        <w:t xml:space="preserve"> being offered to prove matters asserted</w:t>
      </w:r>
      <w:r w:rsidR="007D361E">
        <w:rPr>
          <w:bCs/>
          <w:color w:val="000000"/>
          <w:sz w:val="24"/>
          <w:szCs w:val="24"/>
        </w:rPr>
        <w:t xml:space="preserve"> and do not fall under any exception to hearsay rule</w:t>
      </w:r>
      <w:r w:rsidR="000F49D4">
        <w:rPr>
          <w:bCs/>
          <w:color w:val="000000"/>
          <w:sz w:val="24"/>
          <w:szCs w:val="24"/>
        </w:rPr>
        <w:t xml:space="preserve">.  </w:t>
      </w:r>
    </w:p>
    <w:p w:rsidR="007D361E" w:rsidRDefault="007D361E" w:rsidP="00D91597">
      <w:pPr>
        <w:autoSpaceDE/>
        <w:autoSpaceDN/>
        <w:spacing w:line="360" w:lineRule="auto"/>
        <w:ind w:firstLine="1440"/>
        <w:rPr>
          <w:bCs/>
          <w:color w:val="000000"/>
          <w:sz w:val="24"/>
          <w:szCs w:val="24"/>
        </w:rPr>
      </w:pPr>
    </w:p>
    <w:p w:rsidR="00D91597" w:rsidRDefault="00D91597" w:rsidP="00D91597">
      <w:pPr>
        <w:autoSpaceDE/>
        <w:autoSpaceDN/>
        <w:spacing w:line="360" w:lineRule="auto"/>
        <w:ind w:firstLine="1440"/>
        <w:rPr>
          <w:bCs/>
          <w:color w:val="000000"/>
          <w:sz w:val="24"/>
          <w:szCs w:val="24"/>
        </w:rPr>
      </w:pPr>
      <w:r>
        <w:rPr>
          <w:bCs/>
          <w:color w:val="000000"/>
          <w:sz w:val="24"/>
          <w:szCs w:val="24"/>
        </w:rPr>
        <w:t xml:space="preserve">In response, </w:t>
      </w:r>
      <w:r w:rsidR="007D361E">
        <w:rPr>
          <w:bCs/>
          <w:color w:val="000000"/>
          <w:sz w:val="24"/>
          <w:szCs w:val="24"/>
        </w:rPr>
        <w:t xml:space="preserve">Joint Complainants argue that many of these statements are not offered to prove the truth of the matter asserted.  Further, Joint Complainants will attempt to make available </w:t>
      </w:r>
      <w:r w:rsidR="00B02B2C">
        <w:rPr>
          <w:bCs/>
          <w:color w:val="000000"/>
          <w:sz w:val="24"/>
          <w:szCs w:val="24"/>
        </w:rPr>
        <w:t xml:space="preserve">the declarants of the statements identified by </w:t>
      </w:r>
      <w:r w:rsidR="007D361E">
        <w:rPr>
          <w:bCs/>
          <w:color w:val="000000"/>
          <w:sz w:val="24"/>
          <w:szCs w:val="24"/>
        </w:rPr>
        <w:t xml:space="preserve">HIKO </w:t>
      </w:r>
      <w:r w:rsidR="00B02B2C">
        <w:rPr>
          <w:bCs/>
          <w:color w:val="000000"/>
          <w:sz w:val="24"/>
          <w:szCs w:val="24"/>
        </w:rPr>
        <w:t>for cross-examination and can verify at that time that the statements are true and correct</w:t>
      </w:r>
      <w:r w:rsidR="00AF4BDA">
        <w:rPr>
          <w:bCs/>
          <w:color w:val="000000"/>
          <w:sz w:val="24"/>
          <w:szCs w:val="24"/>
        </w:rPr>
        <w:t xml:space="preserve">.  </w:t>
      </w:r>
      <w:r>
        <w:rPr>
          <w:bCs/>
          <w:color w:val="000000"/>
          <w:sz w:val="24"/>
          <w:szCs w:val="24"/>
        </w:rPr>
        <w:t xml:space="preserve">Similarly, the Joint Complainants argued </w:t>
      </w:r>
      <w:r w:rsidR="003E7E9A">
        <w:rPr>
          <w:bCs/>
          <w:color w:val="000000"/>
          <w:sz w:val="24"/>
          <w:szCs w:val="24"/>
        </w:rPr>
        <w:t xml:space="preserve">that the third party statements in the consumer testimonies are not hearsay or are within an exception to the hearsay rule or, in the alternative, should be admitted into the record and assigned the appropriate weight by the Presiding Officers.  The Joint Complainants further argued that </w:t>
      </w:r>
      <w:r w:rsidR="00BC6E84">
        <w:rPr>
          <w:bCs/>
          <w:color w:val="000000"/>
          <w:sz w:val="24"/>
          <w:szCs w:val="24"/>
        </w:rPr>
        <w:t xml:space="preserve">the Presiding Officers are not bound by the rules of evidence and routinely admit hearsay if relevant to develop the evidentiary record, although hearsay evidence may not be given the same weight as non-hearsay evidence </w:t>
      </w:r>
      <w:r w:rsidR="00B70DA1">
        <w:rPr>
          <w:bCs/>
          <w:color w:val="000000"/>
          <w:sz w:val="24"/>
          <w:szCs w:val="24"/>
        </w:rPr>
        <w:t xml:space="preserve">but </w:t>
      </w:r>
      <w:r w:rsidR="00BC6E84">
        <w:rPr>
          <w:bCs/>
          <w:color w:val="000000"/>
          <w:sz w:val="24"/>
          <w:szCs w:val="24"/>
        </w:rPr>
        <w:t xml:space="preserve">may support a finding if corroborated by non-hearsay evidence.  The Joint Complainants also note that statements made by </w:t>
      </w:r>
      <w:r w:rsidR="00EF161E">
        <w:rPr>
          <w:bCs/>
          <w:color w:val="000000"/>
          <w:sz w:val="24"/>
          <w:szCs w:val="24"/>
        </w:rPr>
        <w:t>HIKO</w:t>
      </w:r>
      <w:r w:rsidR="00BC6E84">
        <w:rPr>
          <w:bCs/>
          <w:color w:val="000000"/>
          <w:sz w:val="24"/>
          <w:szCs w:val="24"/>
        </w:rPr>
        <w:t xml:space="preserve">’s own employees are admissible as a hearsay exception.  </w:t>
      </w:r>
    </w:p>
    <w:p w:rsidR="00091890" w:rsidRDefault="00091890" w:rsidP="00D91597">
      <w:pPr>
        <w:autoSpaceDE/>
        <w:autoSpaceDN/>
        <w:spacing w:line="360" w:lineRule="auto"/>
        <w:ind w:firstLine="1440"/>
        <w:rPr>
          <w:bCs/>
          <w:color w:val="000000"/>
          <w:sz w:val="24"/>
          <w:szCs w:val="24"/>
        </w:rPr>
      </w:pPr>
    </w:p>
    <w:p w:rsidR="00091890" w:rsidRDefault="00091890" w:rsidP="00610E87">
      <w:pPr>
        <w:autoSpaceDE/>
        <w:autoSpaceDN/>
        <w:spacing w:line="360" w:lineRule="auto"/>
        <w:ind w:firstLine="1440"/>
        <w:rPr>
          <w:bCs/>
          <w:color w:val="000000"/>
          <w:sz w:val="24"/>
          <w:szCs w:val="24"/>
        </w:rPr>
      </w:pPr>
      <w:r>
        <w:rPr>
          <w:bCs/>
          <w:color w:val="000000"/>
          <w:sz w:val="24"/>
          <w:szCs w:val="24"/>
        </w:rPr>
        <w:t>HIKO’s</w:t>
      </w:r>
      <w:r w:rsidR="00D91597">
        <w:rPr>
          <w:bCs/>
          <w:color w:val="000000"/>
          <w:sz w:val="24"/>
          <w:szCs w:val="24"/>
        </w:rPr>
        <w:t xml:space="preserve"> </w:t>
      </w:r>
      <w:r>
        <w:rPr>
          <w:bCs/>
          <w:color w:val="000000"/>
          <w:sz w:val="24"/>
          <w:szCs w:val="24"/>
        </w:rPr>
        <w:t xml:space="preserve">motion to strike testimony on the basis of the hearsay rule </w:t>
      </w:r>
      <w:r w:rsidR="00D91597">
        <w:rPr>
          <w:bCs/>
          <w:color w:val="000000"/>
          <w:sz w:val="24"/>
          <w:szCs w:val="24"/>
        </w:rPr>
        <w:t xml:space="preserve">be </w:t>
      </w:r>
      <w:r w:rsidR="00792A6B">
        <w:rPr>
          <w:bCs/>
          <w:color w:val="000000"/>
          <w:sz w:val="24"/>
          <w:szCs w:val="24"/>
        </w:rPr>
        <w:t xml:space="preserve">granted in part and </w:t>
      </w:r>
      <w:r>
        <w:rPr>
          <w:bCs/>
          <w:color w:val="000000"/>
          <w:sz w:val="24"/>
          <w:szCs w:val="24"/>
        </w:rPr>
        <w:t xml:space="preserve">denied </w:t>
      </w:r>
      <w:r w:rsidR="00792A6B">
        <w:rPr>
          <w:bCs/>
          <w:color w:val="000000"/>
          <w:sz w:val="24"/>
          <w:szCs w:val="24"/>
        </w:rPr>
        <w:t xml:space="preserve">in part.  </w:t>
      </w:r>
      <w:r>
        <w:rPr>
          <w:bCs/>
          <w:color w:val="000000"/>
          <w:sz w:val="24"/>
          <w:szCs w:val="24"/>
        </w:rPr>
        <w:t>H</w:t>
      </w:r>
      <w:r w:rsidR="00BC6E84">
        <w:rPr>
          <w:bCs/>
          <w:color w:val="000000"/>
          <w:sz w:val="24"/>
          <w:szCs w:val="24"/>
        </w:rPr>
        <w:t xml:space="preserve">earsay is </w:t>
      </w:r>
      <w:r w:rsidR="00026FF2">
        <w:rPr>
          <w:bCs/>
          <w:color w:val="000000"/>
          <w:sz w:val="24"/>
          <w:szCs w:val="24"/>
        </w:rPr>
        <w:t xml:space="preserve">a statement, other than one made by the declarant while testifying at the trial or hearing, offered in evidence to prove the truth of the matter asserted.  </w:t>
      </w:r>
      <w:r w:rsidR="00B9204F">
        <w:rPr>
          <w:bCs/>
          <w:color w:val="000000"/>
          <w:sz w:val="24"/>
          <w:szCs w:val="24"/>
        </w:rPr>
        <w:t>Pa. R. Evid</w:t>
      </w:r>
      <w:r w:rsidR="005E371B">
        <w:rPr>
          <w:bCs/>
          <w:color w:val="000000"/>
          <w:sz w:val="24"/>
          <w:szCs w:val="24"/>
        </w:rPr>
        <w:t>. 801</w:t>
      </w:r>
      <w:r w:rsidR="00026FF2">
        <w:rPr>
          <w:bCs/>
          <w:color w:val="000000"/>
          <w:sz w:val="24"/>
          <w:szCs w:val="24"/>
        </w:rPr>
        <w:t>(c)</w:t>
      </w:r>
      <w:r w:rsidR="005E371B">
        <w:rPr>
          <w:bCs/>
          <w:color w:val="000000"/>
          <w:sz w:val="24"/>
          <w:szCs w:val="24"/>
        </w:rPr>
        <w:t>.  A</w:t>
      </w:r>
      <w:r w:rsidR="00BC6E84">
        <w:rPr>
          <w:bCs/>
          <w:color w:val="000000"/>
          <w:sz w:val="24"/>
          <w:szCs w:val="24"/>
        </w:rPr>
        <w:t xml:space="preserve"> finding based wholly on hearsay cannot support a legal conclusion by an administrative agency.</w:t>
      </w:r>
      <w:r w:rsidR="005E371B">
        <w:rPr>
          <w:bCs/>
          <w:color w:val="000000"/>
          <w:sz w:val="24"/>
          <w:szCs w:val="24"/>
        </w:rPr>
        <w:t xml:space="preserve">  </w:t>
      </w:r>
      <w:r w:rsidR="00B9204F">
        <w:rPr>
          <w:bCs/>
          <w:color w:val="000000"/>
          <w:sz w:val="24"/>
          <w:szCs w:val="24"/>
        </w:rPr>
        <w:t>Pa. R. Evid</w:t>
      </w:r>
      <w:r w:rsidR="005E371B">
        <w:rPr>
          <w:bCs/>
          <w:color w:val="000000"/>
          <w:sz w:val="24"/>
          <w:szCs w:val="24"/>
        </w:rPr>
        <w:t>. 802.</w:t>
      </w:r>
      <w:r w:rsidR="00BC6E84">
        <w:rPr>
          <w:bCs/>
          <w:color w:val="000000"/>
          <w:sz w:val="24"/>
          <w:szCs w:val="24"/>
        </w:rPr>
        <w:t xml:space="preserve"> </w:t>
      </w:r>
      <w:r>
        <w:rPr>
          <w:bCs/>
          <w:color w:val="000000"/>
          <w:sz w:val="24"/>
          <w:szCs w:val="24"/>
        </w:rPr>
        <w:t xml:space="preserve"> However, </w:t>
      </w:r>
      <w:r w:rsidR="00BC6E84">
        <w:rPr>
          <w:bCs/>
          <w:color w:val="000000"/>
          <w:sz w:val="24"/>
          <w:szCs w:val="24"/>
        </w:rPr>
        <w:t>a statement is not hearsay if it does not go to the truth of the matter asserted</w:t>
      </w:r>
      <w:r>
        <w:rPr>
          <w:bCs/>
          <w:color w:val="000000"/>
          <w:sz w:val="24"/>
          <w:szCs w:val="24"/>
        </w:rPr>
        <w:t>, but rather to the weight of the evidence,</w:t>
      </w:r>
      <w:r w:rsidR="00BC6E84">
        <w:rPr>
          <w:bCs/>
          <w:color w:val="000000"/>
          <w:sz w:val="24"/>
          <w:szCs w:val="24"/>
        </w:rPr>
        <w:t xml:space="preserve"> and there are numerous exceptions to the hearsay rule.  </w:t>
      </w:r>
      <w:r>
        <w:rPr>
          <w:bCs/>
          <w:color w:val="000000"/>
          <w:sz w:val="24"/>
          <w:szCs w:val="24"/>
        </w:rPr>
        <w:t>T</w:t>
      </w:r>
      <w:r w:rsidR="00610E87">
        <w:rPr>
          <w:bCs/>
          <w:color w:val="000000"/>
          <w:sz w:val="24"/>
          <w:szCs w:val="24"/>
        </w:rPr>
        <w:t>estimony from consumer witnesses regarding what they were told by agents</w:t>
      </w:r>
      <w:r>
        <w:rPr>
          <w:bCs/>
          <w:color w:val="000000"/>
          <w:sz w:val="24"/>
          <w:szCs w:val="24"/>
        </w:rPr>
        <w:t xml:space="preserve">, </w:t>
      </w:r>
      <w:r w:rsidR="00610E87">
        <w:rPr>
          <w:bCs/>
          <w:color w:val="000000"/>
          <w:sz w:val="24"/>
          <w:szCs w:val="24"/>
        </w:rPr>
        <w:t>employees</w:t>
      </w:r>
      <w:r>
        <w:rPr>
          <w:bCs/>
          <w:color w:val="000000"/>
          <w:sz w:val="24"/>
          <w:szCs w:val="24"/>
        </w:rPr>
        <w:t>, or independent contractors</w:t>
      </w:r>
      <w:r w:rsidR="00610E87">
        <w:rPr>
          <w:bCs/>
          <w:color w:val="000000"/>
          <w:sz w:val="24"/>
          <w:szCs w:val="24"/>
        </w:rPr>
        <w:t xml:space="preserve"> </w:t>
      </w:r>
      <w:r>
        <w:rPr>
          <w:bCs/>
          <w:color w:val="000000"/>
          <w:sz w:val="24"/>
          <w:szCs w:val="24"/>
        </w:rPr>
        <w:t>of HIKO during the</w:t>
      </w:r>
      <w:r w:rsidR="009E6A4F">
        <w:rPr>
          <w:bCs/>
          <w:color w:val="000000"/>
          <w:sz w:val="24"/>
          <w:szCs w:val="24"/>
        </w:rPr>
        <w:t>se</w:t>
      </w:r>
      <w:r>
        <w:rPr>
          <w:bCs/>
          <w:color w:val="000000"/>
          <w:sz w:val="24"/>
          <w:szCs w:val="24"/>
        </w:rPr>
        <w:t xml:space="preserve"> business </w:t>
      </w:r>
      <w:r w:rsidR="009E6A4F">
        <w:rPr>
          <w:bCs/>
          <w:color w:val="000000"/>
          <w:sz w:val="24"/>
          <w:szCs w:val="24"/>
        </w:rPr>
        <w:t>transactions is</w:t>
      </w:r>
      <w:r>
        <w:rPr>
          <w:bCs/>
          <w:color w:val="000000"/>
          <w:sz w:val="24"/>
          <w:szCs w:val="24"/>
        </w:rPr>
        <w:t xml:space="preserve"> admissible under Pa. R. Evid. 803 (25) (relating to admission by a party-opponent).  The availability of the sales agent is immaterial to the admission of that declarant’s statement. </w:t>
      </w:r>
    </w:p>
    <w:p w:rsidR="00091890" w:rsidRDefault="00091890" w:rsidP="00610E87">
      <w:pPr>
        <w:autoSpaceDE/>
        <w:autoSpaceDN/>
        <w:spacing w:line="360" w:lineRule="auto"/>
        <w:ind w:firstLine="1440"/>
        <w:rPr>
          <w:bCs/>
          <w:color w:val="000000"/>
          <w:sz w:val="24"/>
          <w:szCs w:val="24"/>
        </w:rPr>
      </w:pPr>
    </w:p>
    <w:p w:rsidR="009E6A4F" w:rsidRDefault="009E6A4F" w:rsidP="00D91597">
      <w:pPr>
        <w:autoSpaceDE/>
        <w:autoSpaceDN/>
        <w:spacing w:line="360" w:lineRule="auto"/>
        <w:ind w:firstLine="1440"/>
        <w:rPr>
          <w:bCs/>
          <w:color w:val="000000"/>
          <w:sz w:val="24"/>
          <w:szCs w:val="24"/>
        </w:rPr>
      </w:pPr>
      <w:r>
        <w:rPr>
          <w:bCs/>
          <w:color w:val="000000"/>
          <w:sz w:val="24"/>
          <w:szCs w:val="24"/>
        </w:rPr>
        <w:t xml:space="preserve">We decline from pre-emptively striking the testimony of Michael Walker with regard to his spouse’s statements </w:t>
      </w:r>
      <w:r w:rsidR="006F3971">
        <w:rPr>
          <w:bCs/>
          <w:color w:val="000000"/>
          <w:sz w:val="24"/>
          <w:szCs w:val="24"/>
        </w:rPr>
        <w:t>regarding</w:t>
      </w:r>
      <w:r>
        <w:rPr>
          <w:bCs/>
          <w:color w:val="000000"/>
          <w:sz w:val="24"/>
          <w:szCs w:val="24"/>
        </w:rPr>
        <w:t xml:space="preserve"> the statements or actions of a HIKO representative </w:t>
      </w:r>
      <w:r w:rsidR="006F3971">
        <w:rPr>
          <w:bCs/>
          <w:color w:val="000000"/>
          <w:sz w:val="24"/>
          <w:szCs w:val="24"/>
        </w:rPr>
        <w:t>because</w:t>
      </w:r>
      <w:r>
        <w:rPr>
          <w:bCs/>
          <w:color w:val="000000"/>
          <w:sz w:val="24"/>
          <w:szCs w:val="24"/>
        </w:rPr>
        <w:t xml:space="preserve"> the Joint Complainants have indicated</w:t>
      </w:r>
      <w:r w:rsidR="006F3971">
        <w:rPr>
          <w:bCs/>
          <w:color w:val="000000"/>
          <w:sz w:val="24"/>
          <w:szCs w:val="24"/>
        </w:rPr>
        <w:t xml:space="preserve"> they will attempt</w:t>
      </w:r>
      <w:r>
        <w:rPr>
          <w:bCs/>
          <w:color w:val="000000"/>
          <w:sz w:val="24"/>
          <w:szCs w:val="24"/>
        </w:rPr>
        <w:t xml:space="preserve"> to have Mrs. Walker appear as a witness at the hearing.  Similarly, Mary Miller’s “significant other” may appear at the hearing to testify.  Finally, Cindy Fracker</w:t>
      </w:r>
      <w:r w:rsidR="00EF161E">
        <w:rPr>
          <w:bCs/>
          <w:color w:val="000000"/>
          <w:sz w:val="24"/>
          <w:szCs w:val="24"/>
        </w:rPr>
        <w:t xml:space="preserve"> and her mother,</w:t>
      </w:r>
      <w:r>
        <w:rPr>
          <w:bCs/>
          <w:color w:val="000000"/>
          <w:sz w:val="24"/>
          <w:szCs w:val="24"/>
        </w:rPr>
        <w:t xml:space="preserve"> Betty Shughart, may be available at the hearing to testify.  However, because Leverne Shughart is deceased, any out-of-court statement made by him to Betty Shughart</w:t>
      </w:r>
      <w:r w:rsidR="00EF161E">
        <w:rPr>
          <w:bCs/>
          <w:color w:val="000000"/>
          <w:sz w:val="24"/>
          <w:szCs w:val="24"/>
        </w:rPr>
        <w:t xml:space="preserve"> or Cindy Fracker</w:t>
      </w:r>
      <w:r>
        <w:rPr>
          <w:bCs/>
          <w:color w:val="000000"/>
          <w:sz w:val="24"/>
          <w:szCs w:val="24"/>
        </w:rPr>
        <w:t xml:space="preserve"> will be stricken from the record as he </w:t>
      </w:r>
      <w:r w:rsidR="004C5DBC">
        <w:rPr>
          <w:bCs/>
          <w:color w:val="000000"/>
          <w:sz w:val="24"/>
          <w:szCs w:val="24"/>
        </w:rPr>
        <w:t xml:space="preserve">is </w:t>
      </w:r>
      <w:r w:rsidR="006F3971">
        <w:rPr>
          <w:bCs/>
          <w:color w:val="000000"/>
          <w:sz w:val="24"/>
          <w:szCs w:val="24"/>
        </w:rPr>
        <w:t xml:space="preserve">an </w:t>
      </w:r>
      <w:r>
        <w:rPr>
          <w:bCs/>
          <w:color w:val="000000"/>
          <w:sz w:val="24"/>
          <w:szCs w:val="24"/>
        </w:rPr>
        <w:t xml:space="preserve">unavailable </w:t>
      </w:r>
      <w:r w:rsidR="006F3971">
        <w:rPr>
          <w:bCs/>
          <w:color w:val="000000"/>
          <w:sz w:val="24"/>
          <w:szCs w:val="24"/>
        </w:rPr>
        <w:t>declarant</w:t>
      </w:r>
      <w:r>
        <w:rPr>
          <w:bCs/>
          <w:color w:val="000000"/>
          <w:sz w:val="24"/>
          <w:szCs w:val="24"/>
        </w:rPr>
        <w:t xml:space="preserve">, and his statement </w:t>
      </w:r>
      <w:r w:rsidR="006F3971">
        <w:rPr>
          <w:bCs/>
          <w:color w:val="000000"/>
          <w:sz w:val="24"/>
          <w:szCs w:val="24"/>
        </w:rPr>
        <w:t xml:space="preserve">does not </w:t>
      </w:r>
      <w:r>
        <w:rPr>
          <w:bCs/>
          <w:color w:val="000000"/>
          <w:sz w:val="24"/>
          <w:szCs w:val="24"/>
        </w:rPr>
        <w:t xml:space="preserve">fall under one of the permissible exceptions to hearsay pursuant to Pa. R. Evid. 804(b). </w:t>
      </w:r>
    </w:p>
    <w:p w:rsidR="006F3971" w:rsidRDefault="006F3971">
      <w:pPr>
        <w:autoSpaceDE/>
        <w:autoSpaceDN/>
        <w:rPr>
          <w:bCs/>
          <w:color w:val="000000"/>
          <w:sz w:val="24"/>
          <w:szCs w:val="24"/>
        </w:rPr>
      </w:pPr>
    </w:p>
    <w:p w:rsidR="006F3971" w:rsidRDefault="006F3971">
      <w:pPr>
        <w:autoSpaceDE/>
        <w:autoSpaceDN/>
        <w:rPr>
          <w:bCs/>
          <w:color w:val="000000"/>
          <w:sz w:val="24"/>
          <w:szCs w:val="24"/>
          <w:u w:val="single"/>
        </w:rPr>
      </w:pPr>
      <w:r>
        <w:rPr>
          <w:bCs/>
          <w:color w:val="000000"/>
          <w:sz w:val="24"/>
          <w:szCs w:val="24"/>
          <w:u w:val="single"/>
        </w:rPr>
        <w:t>Vague and Incomplete Responses</w:t>
      </w:r>
    </w:p>
    <w:p w:rsidR="006F3971" w:rsidRDefault="006F3971">
      <w:pPr>
        <w:autoSpaceDE/>
        <w:autoSpaceDN/>
        <w:rPr>
          <w:bCs/>
          <w:color w:val="000000"/>
          <w:sz w:val="24"/>
          <w:szCs w:val="24"/>
          <w:u w:val="single"/>
        </w:rPr>
      </w:pPr>
    </w:p>
    <w:p w:rsidR="007034C0" w:rsidRDefault="006F3971" w:rsidP="007034C0">
      <w:pPr>
        <w:autoSpaceDE/>
        <w:autoSpaceDN/>
        <w:spacing w:line="360" w:lineRule="auto"/>
        <w:rPr>
          <w:bCs/>
          <w:color w:val="000000"/>
          <w:sz w:val="24"/>
          <w:szCs w:val="24"/>
        </w:rPr>
      </w:pPr>
      <w:r>
        <w:rPr>
          <w:bCs/>
          <w:color w:val="000000"/>
          <w:sz w:val="24"/>
          <w:szCs w:val="24"/>
        </w:rPr>
        <w:tab/>
      </w:r>
      <w:r>
        <w:rPr>
          <w:bCs/>
          <w:color w:val="000000"/>
          <w:sz w:val="24"/>
          <w:szCs w:val="24"/>
        </w:rPr>
        <w:tab/>
      </w:r>
      <w:r w:rsidR="007034C0">
        <w:rPr>
          <w:bCs/>
          <w:color w:val="000000"/>
          <w:sz w:val="24"/>
          <w:szCs w:val="24"/>
        </w:rPr>
        <w:t xml:space="preserve">HIKO contends the vague and incomplete responses to Joint Complainants’ questions deprive HIKO of its right to effective cross-examination.  Accordingly, HIKO requests that the pre-served direct testimonies of Isabel Santiago, Nancy Williams, and Barbara Gabello be stricken in their entirety. </w:t>
      </w:r>
    </w:p>
    <w:p w:rsidR="007034C0" w:rsidRDefault="007034C0" w:rsidP="007034C0">
      <w:pPr>
        <w:autoSpaceDE/>
        <w:autoSpaceDN/>
        <w:spacing w:line="360" w:lineRule="auto"/>
        <w:rPr>
          <w:bCs/>
          <w:color w:val="000000"/>
          <w:sz w:val="24"/>
          <w:szCs w:val="24"/>
        </w:rPr>
      </w:pPr>
    </w:p>
    <w:p w:rsidR="00B9204F" w:rsidRDefault="007034C0" w:rsidP="00B9204F">
      <w:pPr>
        <w:autoSpaceDE/>
        <w:autoSpaceDN/>
        <w:spacing w:line="360" w:lineRule="auto"/>
        <w:rPr>
          <w:bCs/>
          <w:color w:val="000000"/>
          <w:sz w:val="24"/>
          <w:szCs w:val="24"/>
        </w:rPr>
      </w:pPr>
      <w:r>
        <w:rPr>
          <w:bCs/>
          <w:color w:val="000000"/>
          <w:sz w:val="24"/>
          <w:szCs w:val="24"/>
        </w:rPr>
        <w:tab/>
      </w:r>
      <w:r>
        <w:rPr>
          <w:bCs/>
          <w:color w:val="000000"/>
          <w:sz w:val="24"/>
          <w:szCs w:val="24"/>
        </w:rPr>
        <w:tab/>
        <w:t xml:space="preserve">We agree with Joint Complainants that if HIKO had an issue with the legibility or completeness of any of these aforementioned statements, it could have engaged in informal or formal discovery, or raised the issue sooner, thus giving Joint Complainants an opportunity to clarify responses.  If there are blank or incomplete responses to some of the questions posed to these witnesses, HIKO will have an opportunity to seek clarification of the direct testimony on cross examination.  </w:t>
      </w:r>
      <w:r w:rsidR="00B9204F">
        <w:rPr>
          <w:bCs/>
          <w:color w:val="000000"/>
          <w:sz w:val="24"/>
          <w:szCs w:val="24"/>
        </w:rPr>
        <w:t xml:space="preserve">Therefore, HIKO’s motion to strike the pre-served direct testimonies of Isabel Santiago, Nancy Williams, and Barbara Gabello in their entirety is denied. </w:t>
      </w:r>
    </w:p>
    <w:p w:rsidR="006F3971" w:rsidRDefault="006F3971" w:rsidP="007034C0">
      <w:pPr>
        <w:autoSpaceDE/>
        <w:autoSpaceDN/>
        <w:spacing w:line="360" w:lineRule="auto"/>
        <w:rPr>
          <w:bCs/>
          <w:color w:val="000000"/>
          <w:sz w:val="24"/>
          <w:szCs w:val="24"/>
        </w:rPr>
      </w:pPr>
      <w:r>
        <w:rPr>
          <w:bCs/>
          <w:color w:val="000000"/>
          <w:sz w:val="24"/>
          <w:szCs w:val="24"/>
        </w:rPr>
        <w:br w:type="page"/>
      </w:r>
    </w:p>
    <w:p w:rsidR="002750F9" w:rsidRPr="002750F9" w:rsidRDefault="002750F9" w:rsidP="002750F9">
      <w:pPr>
        <w:spacing w:line="360" w:lineRule="auto"/>
        <w:jc w:val="center"/>
        <w:rPr>
          <w:sz w:val="24"/>
          <w:szCs w:val="24"/>
        </w:rPr>
      </w:pPr>
      <w:r w:rsidRPr="002750F9">
        <w:rPr>
          <w:sz w:val="24"/>
          <w:szCs w:val="24"/>
          <w:u w:val="single"/>
        </w:rPr>
        <w:t>ORDER</w:t>
      </w:r>
    </w:p>
    <w:p w:rsidR="002750F9" w:rsidRPr="002750F9" w:rsidRDefault="002750F9" w:rsidP="002750F9">
      <w:pPr>
        <w:spacing w:line="360" w:lineRule="auto"/>
        <w:rPr>
          <w:sz w:val="24"/>
          <w:szCs w:val="24"/>
        </w:rPr>
      </w:pPr>
    </w:p>
    <w:p w:rsidR="002750F9" w:rsidRPr="002750F9" w:rsidRDefault="002750F9" w:rsidP="002750F9">
      <w:pPr>
        <w:spacing w:line="360" w:lineRule="auto"/>
        <w:ind w:firstLine="1440"/>
        <w:rPr>
          <w:bCs/>
          <w:sz w:val="24"/>
          <w:szCs w:val="24"/>
        </w:rPr>
      </w:pPr>
      <w:r w:rsidRPr="002750F9">
        <w:rPr>
          <w:bCs/>
          <w:sz w:val="24"/>
          <w:szCs w:val="24"/>
        </w:rPr>
        <w:t>THEREFORE,</w:t>
      </w:r>
    </w:p>
    <w:p w:rsidR="002750F9" w:rsidRPr="002750F9" w:rsidRDefault="002750F9" w:rsidP="002750F9">
      <w:pPr>
        <w:spacing w:line="360" w:lineRule="auto"/>
        <w:ind w:firstLine="1440"/>
        <w:rPr>
          <w:sz w:val="24"/>
          <w:szCs w:val="24"/>
        </w:rPr>
      </w:pPr>
    </w:p>
    <w:p w:rsidR="002750F9" w:rsidRPr="002750F9" w:rsidRDefault="002750F9" w:rsidP="002750F9">
      <w:pPr>
        <w:spacing w:line="360" w:lineRule="auto"/>
        <w:ind w:firstLine="1440"/>
        <w:rPr>
          <w:bCs/>
          <w:sz w:val="24"/>
          <w:szCs w:val="24"/>
        </w:rPr>
      </w:pPr>
      <w:r w:rsidRPr="002750F9">
        <w:rPr>
          <w:bCs/>
          <w:sz w:val="24"/>
          <w:szCs w:val="24"/>
        </w:rPr>
        <w:t>IT IS ORDERED:</w:t>
      </w:r>
    </w:p>
    <w:p w:rsidR="002750F9" w:rsidRPr="002750F9" w:rsidRDefault="002750F9" w:rsidP="002750F9">
      <w:pPr>
        <w:spacing w:line="360" w:lineRule="auto"/>
        <w:ind w:firstLine="1440"/>
        <w:rPr>
          <w:bCs/>
          <w:sz w:val="24"/>
          <w:szCs w:val="24"/>
        </w:rPr>
      </w:pPr>
    </w:p>
    <w:p w:rsidR="0012162E" w:rsidRDefault="002750F9" w:rsidP="002750F9">
      <w:pPr>
        <w:numPr>
          <w:ilvl w:val="0"/>
          <w:numId w:val="3"/>
        </w:numPr>
        <w:spacing w:line="360" w:lineRule="auto"/>
        <w:ind w:left="0" w:firstLine="1440"/>
        <w:rPr>
          <w:sz w:val="24"/>
          <w:szCs w:val="24"/>
        </w:rPr>
      </w:pPr>
      <w:r w:rsidRPr="002750F9">
        <w:rPr>
          <w:sz w:val="24"/>
          <w:szCs w:val="24"/>
        </w:rPr>
        <w:t xml:space="preserve">That </w:t>
      </w:r>
      <w:r w:rsidR="000F51D6">
        <w:rPr>
          <w:sz w:val="24"/>
          <w:szCs w:val="24"/>
        </w:rPr>
        <w:t xml:space="preserve">the Motion to Strike Pre-Served Consumer Direct Testimony filed by </w:t>
      </w:r>
      <w:r w:rsidR="006F3971">
        <w:rPr>
          <w:sz w:val="24"/>
          <w:szCs w:val="24"/>
        </w:rPr>
        <w:t>HIKO Energy</w:t>
      </w:r>
      <w:r w:rsidR="000F51D6">
        <w:rPr>
          <w:sz w:val="24"/>
          <w:szCs w:val="24"/>
        </w:rPr>
        <w:t>, LLC at Docket Number C-2014-24</w:t>
      </w:r>
      <w:r w:rsidR="006F3971">
        <w:rPr>
          <w:sz w:val="24"/>
          <w:szCs w:val="24"/>
        </w:rPr>
        <w:t>27</w:t>
      </w:r>
      <w:r w:rsidR="000F51D6">
        <w:rPr>
          <w:sz w:val="24"/>
          <w:szCs w:val="24"/>
        </w:rPr>
        <w:t>6</w:t>
      </w:r>
      <w:r w:rsidR="006F3971">
        <w:rPr>
          <w:sz w:val="24"/>
          <w:szCs w:val="24"/>
        </w:rPr>
        <w:t>52</w:t>
      </w:r>
      <w:r w:rsidR="000F51D6">
        <w:rPr>
          <w:sz w:val="24"/>
          <w:szCs w:val="24"/>
        </w:rPr>
        <w:t xml:space="preserve"> and dated </w:t>
      </w:r>
      <w:r w:rsidR="006F3971">
        <w:rPr>
          <w:sz w:val="24"/>
          <w:szCs w:val="24"/>
        </w:rPr>
        <w:t>March 13</w:t>
      </w:r>
      <w:r w:rsidR="000F51D6">
        <w:rPr>
          <w:sz w:val="24"/>
          <w:szCs w:val="24"/>
        </w:rPr>
        <w:t>, 2015 is hereby granted in part and denied in part</w:t>
      </w:r>
      <w:r w:rsidR="006F3971">
        <w:rPr>
          <w:sz w:val="24"/>
          <w:szCs w:val="24"/>
        </w:rPr>
        <w:t xml:space="preserve"> consistent with this Order.</w:t>
      </w:r>
    </w:p>
    <w:p w:rsidR="0012162E" w:rsidRDefault="0012162E" w:rsidP="0012162E">
      <w:pPr>
        <w:spacing w:line="360" w:lineRule="auto"/>
        <w:ind w:left="1440"/>
        <w:rPr>
          <w:sz w:val="24"/>
          <w:szCs w:val="24"/>
        </w:rPr>
      </w:pPr>
    </w:p>
    <w:p w:rsidR="0012162E" w:rsidRDefault="0012162E" w:rsidP="004C5DBC">
      <w:pPr>
        <w:numPr>
          <w:ilvl w:val="0"/>
          <w:numId w:val="3"/>
        </w:numPr>
        <w:spacing w:line="360" w:lineRule="auto"/>
        <w:ind w:left="0" w:firstLine="1440"/>
        <w:rPr>
          <w:sz w:val="24"/>
          <w:szCs w:val="24"/>
        </w:rPr>
      </w:pPr>
      <w:r>
        <w:rPr>
          <w:sz w:val="24"/>
          <w:szCs w:val="24"/>
        </w:rPr>
        <w:t xml:space="preserve">That </w:t>
      </w:r>
      <w:r w:rsidR="006F3971">
        <w:rPr>
          <w:sz w:val="24"/>
          <w:szCs w:val="24"/>
        </w:rPr>
        <w:t xml:space="preserve">Leverne Shughart’s out-of-court statement as referenced in the pre-served direct testimony of </w:t>
      </w:r>
      <w:r w:rsidR="00B9204F">
        <w:rPr>
          <w:sz w:val="24"/>
          <w:szCs w:val="24"/>
        </w:rPr>
        <w:t>Betty Shughart</w:t>
      </w:r>
      <w:r w:rsidR="006F3971">
        <w:rPr>
          <w:sz w:val="24"/>
          <w:szCs w:val="24"/>
        </w:rPr>
        <w:t xml:space="preserve"> </w:t>
      </w:r>
      <w:r w:rsidR="00EF161E">
        <w:rPr>
          <w:sz w:val="24"/>
          <w:szCs w:val="24"/>
        </w:rPr>
        <w:t xml:space="preserve">on page 312 of Volume 2 of the Consumer Direct Testimony </w:t>
      </w:r>
      <w:r w:rsidR="006F3971">
        <w:rPr>
          <w:sz w:val="24"/>
          <w:szCs w:val="24"/>
        </w:rPr>
        <w:t xml:space="preserve">is hereby stricken.  </w:t>
      </w:r>
    </w:p>
    <w:p w:rsidR="0012162E" w:rsidRDefault="0012162E" w:rsidP="004C5DBC">
      <w:pPr>
        <w:pStyle w:val="ListParagraph"/>
        <w:spacing w:line="360" w:lineRule="auto"/>
      </w:pPr>
    </w:p>
    <w:p w:rsidR="002750F9" w:rsidRPr="002750F9" w:rsidRDefault="006F3971" w:rsidP="004C5DBC">
      <w:pPr>
        <w:spacing w:line="360" w:lineRule="auto"/>
        <w:rPr>
          <w:sz w:val="24"/>
          <w:szCs w:val="24"/>
        </w:rPr>
      </w:pPr>
      <w:r>
        <w:rPr>
          <w:sz w:val="24"/>
          <w:szCs w:val="24"/>
        </w:rPr>
        <w:tab/>
      </w:r>
      <w:r>
        <w:rPr>
          <w:sz w:val="24"/>
          <w:szCs w:val="24"/>
        </w:rPr>
        <w:tab/>
        <w:t>3.</w:t>
      </w:r>
      <w:r>
        <w:rPr>
          <w:sz w:val="24"/>
          <w:szCs w:val="24"/>
        </w:rPr>
        <w:tab/>
        <w:t>That in all other respects, HIKO Energy, LLC’s Motion to Strike is denied.</w:t>
      </w:r>
    </w:p>
    <w:p w:rsidR="002750F9" w:rsidRPr="002750F9" w:rsidRDefault="002750F9" w:rsidP="002750F9">
      <w:pPr>
        <w:rPr>
          <w:sz w:val="24"/>
          <w:szCs w:val="24"/>
        </w:rPr>
      </w:pPr>
    </w:p>
    <w:p w:rsidR="002750F9" w:rsidRPr="002750F9" w:rsidRDefault="002750F9" w:rsidP="002750F9">
      <w:pPr>
        <w:rPr>
          <w:sz w:val="24"/>
          <w:szCs w:val="24"/>
        </w:rPr>
      </w:pPr>
    </w:p>
    <w:p w:rsidR="002750F9" w:rsidRPr="002750F9" w:rsidRDefault="002750F9" w:rsidP="002750F9">
      <w:pPr>
        <w:rPr>
          <w:sz w:val="24"/>
          <w:szCs w:val="24"/>
          <w:u w:val="single"/>
        </w:rPr>
      </w:pPr>
      <w:r w:rsidRPr="002750F9">
        <w:rPr>
          <w:sz w:val="24"/>
          <w:szCs w:val="24"/>
        </w:rPr>
        <w:t xml:space="preserve">Date: </w:t>
      </w:r>
      <w:r w:rsidR="0012162E">
        <w:rPr>
          <w:sz w:val="24"/>
          <w:szCs w:val="24"/>
          <w:u w:val="single"/>
        </w:rPr>
        <w:t xml:space="preserve">March </w:t>
      </w:r>
      <w:r w:rsidR="006F3971">
        <w:rPr>
          <w:sz w:val="24"/>
          <w:szCs w:val="24"/>
          <w:u w:val="single"/>
        </w:rPr>
        <w:t>18</w:t>
      </w:r>
      <w:r w:rsidRPr="002750F9">
        <w:rPr>
          <w:sz w:val="24"/>
          <w:szCs w:val="24"/>
          <w:u w:val="single"/>
        </w:rPr>
        <w:t>, 2015</w:t>
      </w:r>
      <w:r w:rsidRPr="002750F9">
        <w:rPr>
          <w:sz w:val="24"/>
          <w:szCs w:val="24"/>
        </w:rPr>
        <w:tab/>
      </w:r>
      <w:r w:rsidRPr="002750F9">
        <w:rPr>
          <w:sz w:val="24"/>
          <w:szCs w:val="24"/>
        </w:rPr>
        <w:tab/>
      </w:r>
      <w:r w:rsidR="0012162E">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2750F9" w:rsidRPr="002750F9" w:rsidRDefault="002750F9"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 xml:space="preserve">Joel H. Cheskis </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4C5DBC" w:rsidRDefault="004C5DBC" w:rsidP="002750F9">
      <w:pPr>
        <w:autoSpaceDE/>
        <w:autoSpaceDN/>
        <w:spacing w:line="360" w:lineRule="auto"/>
        <w:ind w:firstLine="1440"/>
        <w:rPr>
          <w:sz w:val="24"/>
          <w:szCs w:val="24"/>
        </w:rPr>
        <w:sectPr w:rsidR="004C5DBC" w:rsidSect="00752691">
          <w:footerReference w:type="first" r:id="rId11"/>
          <w:pgSz w:w="12240" w:h="15840" w:code="1"/>
          <w:pgMar w:top="1440" w:right="1440" w:bottom="1440" w:left="1440" w:header="720" w:footer="720" w:gutter="0"/>
          <w:cols w:space="720"/>
          <w:titlePg/>
          <w:docGrid w:linePitch="360"/>
        </w:sectPr>
      </w:pPr>
    </w:p>
    <w:p w:rsidR="00C07FC2" w:rsidRPr="00C07FC2" w:rsidRDefault="00C07FC2" w:rsidP="00C07FC2">
      <w:pPr>
        <w:autoSpaceDE/>
        <w:autoSpaceDN/>
        <w:rPr>
          <w:rFonts w:ascii="Microsoft Sans Serif" w:hAnsi="Calibri"/>
          <w:b/>
          <w:sz w:val="24"/>
          <w:szCs w:val="22"/>
          <w:u w:val="single"/>
        </w:rPr>
      </w:pPr>
      <w:r w:rsidRPr="00C07FC2">
        <w:rPr>
          <w:rFonts w:ascii="Microsoft Sans Serif" w:hAnsi="Calibri"/>
          <w:b/>
          <w:sz w:val="24"/>
          <w:szCs w:val="22"/>
          <w:u w:val="single"/>
        </w:rPr>
        <w:t xml:space="preserve">C-2014-2427652 - ATTORNEY GENERAL PA &amp; OFFICE OF CONSUMER ADVOCATE v. HIKO ENERGY LLC </w:t>
      </w:r>
    </w:p>
    <w:p w:rsidR="00C07FC2" w:rsidRPr="00C07FC2" w:rsidRDefault="00C07FC2" w:rsidP="00C07FC2">
      <w:pPr>
        <w:autoSpaceDE/>
        <w:autoSpaceDN/>
        <w:rPr>
          <w:rFonts w:ascii="Microsoft Sans Serif" w:hAnsi="Calibri"/>
          <w:b/>
          <w:sz w:val="24"/>
          <w:szCs w:val="22"/>
          <w:u w:val="single"/>
        </w:rPr>
      </w:pPr>
    </w:p>
    <w:p w:rsidR="00C07FC2" w:rsidRPr="00C07FC2" w:rsidRDefault="00C07FC2" w:rsidP="00C07FC2">
      <w:pPr>
        <w:autoSpaceDE/>
        <w:autoSpaceDN/>
        <w:rPr>
          <w:rFonts w:ascii="Microsoft Sans Serif" w:hAnsi="Calibri"/>
          <w:b/>
          <w:sz w:val="24"/>
          <w:szCs w:val="22"/>
          <w:u w:val="single"/>
        </w:rPr>
      </w:pPr>
      <w:r w:rsidRPr="00C07FC2">
        <w:rPr>
          <w:rFonts w:ascii="Microsoft Sans Serif" w:hAnsi="Calibri"/>
          <w:b/>
          <w:i/>
          <w:sz w:val="24"/>
          <w:szCs w:val="22"/>
          <w:u w:val="single"/>
        </w:rPr>
        <w:t>Revised  2/20/15</w:t>
      </w:r>
    </w:p>
    <w:p w:rsidR="00C07FC2" w:rsidRPr="00C07FC2" w:rsidRDefault="00C07FC2" w:rsidP="00C07FC2">
      <w:pPr>
        <w:autoSpaceDE/>
        <w:autoSpaceDN/>
        <w:rPr>
          <w:rFonts w:ascii="Microsoft Sans Serif" w:hAnsi="Calibri"/>
          <w:b/>
          <w:sz w:val="24"/>
          <w:szCs w:val="22"/>
          <w:u w:val="single"/>
        </w:rPr>
      </w:pPr>
    </w:p>
    <w:p w:rsidR="00C07FC2" w:rsidRPr="00C07FC2" w:rsidRDefault="00C07FC2" w:rsidP="00C07FC2">
      <w:pPr>
        <w:autoSpaceDE/>
        <w:autoSpaceDN/>
        <w:rPr>
          <w:rFonts w:ascii="Microsoft Sans Serif" w:hAnsi="Calibri"/>
          <w:b/>
          <w:sz w:val="24"/>
          <w:szCs w:val="22"/>
        </w:rPr>
      </w:pPr>
      <w:r w:rsidRPr="00C07FC2">
        <w:rPr>
          <w:rFonts w:ascii="Microsoft Sans Serif" w:hAnsi="Calibri"/>
          <w:sz w:val="24"/>
          <w:szCs w:val="22"/>
        </w:rPr>
        <w:t>NICOLE R BECK ESQUIRE</w:t>
      </w:r>
      <w:r w:rsidRPr="00C07FC2">
        <w:rPr>
          <w:rFonts w:ascii="Microsoft Sans Serif" w:hAnsi="Calibri"/>
          <w:sz w:val="24"/>
          <w:szCs w:val="22"/>
        </w:rPr>
        <w:cr/>
        <w:t>JOHN M ABEL ESQUIRE</w:t>
      </w:r>
      <w:r w:rsidRPr="00C07FC2">
        <w:rPr>
          <w:rFonts w:ascii="Microsoft Sans Serif" w:hAnsi="Calibri"/>
          <w:sz w:val="24"/>
          <w:szCs w:val="22"/>
        </w:rPr>
        <w:cr/>
        <w:t>PA OFFICE OF ATTORNEY GENERAL</w:t>
      </w:r>
      <w:r w:rsidRPr="00C07FC2">
        <w:rPr>
          <w:rFonts w:ascii="Microsoft Sans Serif" w:hAnsi="Calibri"/>
          <w:sz w:val="24"/>
          <w:szCs w:val="22"/>
        </w:rPr>
        <w:cr/>
        <w:t>BUREAU OF CONSUMER PROTECTION</w:t>
      </w:r>
      <w:r w:rsidRPr="00C07FC2">
        <w:rPr>
          <w:rFonts w:ascii="Microsoft Sans Serif" w:hAnsi="Calibri"/>
          <w:sz w:val="24"/>
          <w:szCs w:val="22"/>
        </w:rPr>
        <w:cr/>
        <w:t>15</w:t>
      </w:r>
      <w:r w:rsidRPr="00C07FC2">
        <w:rPr>
          <w:rFonts w:ascii="Microsoft Sans Serif" w:hAnsi="Calibri"/>
          <w:sz w:val="24"/>
          <w:szCs w:val="22"/>
          <w:vertAlign w:val="superscript"/>
        </w:rPr>
        <w:t>TH</w:t>
      </w:r>
      <w:r w:rsidRPr="00C07FC2">
        <w:rPr>
          <w:rFonts w:ascii="Microsoft Sans Serif" w:hAnsi="Calibri"/>
          <w:sz w:val="24"/>
          <w:szCs w:val="22"/>
        </w:rPr>
        <w:t xml:space="preserve"> FL STRAWBERRY SQUARE</w:t>
      </w:r>
      <w:r w:rsidRPr="00C07FC2">
        <w:rPr>
          <w:rFonts w:ascii="Microsoft Sans Serif" w:hAnsi="Calibri"/>
          <w:sz w:val="24"/>
          <w:szCs w:val="22"/>
        </w:rPr>
        <w:cr/>
        <w:t>HARRISBURG PA  17120</w:t>
      </w:r>
      <w:r w:rsidRPr="00C07FC2">
        <w:rPr>
          <w:rFonts w:ascii="Microsoft Sans Serif" w:hAnsi="Calibri"/>
          <w:sz w:val="24"/>
          <w:szCs w:val="22"/>
        </w:rPr>
        <w:cr/>
      </w: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CANDIS A TUNILO ESQUIRE</w:t>
      </w:r>
      <w:r w:rsidRPr="00C07FC2">
        <w:rPr>
          <w:rFonts w:ascii="Microsoft Sans Serif" w:hAnsi="Calibri"/>
          <w:sz w:val="24"/>
          <w:szCs w:val="22"/>
        </w:rPr>
        <w:cr/>
        <w:t>HOBART J WEBSTER ESQUIRE</w:t>
      </w:r>
      <w:r w:rsidRPr="00C07FC2">
        <w:rPr>
          <w:rFonts w:ascii="Microsoft Sans Serif" w:hAnsi="Calibri"/>
          <w:sz w:val="24"/>
          <w:szCs w:val="22"/>
        </w:rPr>
        <w:cr/>
        <w:t>KRISTINE E ROBINSON ESQUIRE</w:t>
      </w:r>
    </w:p>
    <w:p w:rsidR="00C07FC2" w:rsidRPr="00C07FC2" w:rsidRDefault="00C07FC2" w:rsidP="00C07FC2">
      <w:pPr>
        <w:autoSpaceDE/>
        <w:autoSpaceDN/>
        <w:rPr>
          <w:rFonts w:ascii="Microsoft Sans Serif" w:hAnsi="Calibri"/>
          <w:b/>
          <w:sz w:val="24"/>
          <w:szCs w:val="22"/>
        </w:rPr>
      </w:pPr>
      <w:r w:rsidRPr="00C07FC2">
        <w:rPr>
          <w:rFonts w:ascii="Microsoft Sans Serif" w:hAnsi="Calibri"/>
          <w:sz w:val="24"/>
          <w:szCs w:val="22"/>
        </w:rPr>
        <w:t>OFFICE OF CONSUMER ADVOCATE</w:t>
      </w:r>
      <w:r w:rsidRPr="00C07FC2">
        <w:rPr>
          <w:rFonts w:ascii="Microsoft Sans Serif" w:hAnsi="Calibri"/>
          <w:sz w:val="24"/>
          <w:szCs w:val="22"/>
        </w:rPr>
        <w:cr/>
        <w:t>5</w:t>
      </w:r>
      <w:r w:rsidRPr="00C07FC2">
        <w:rPr>
          <w:rFonts w:ascii="Microsoft Sans Serif" w:hAnsi="Calibri"/>
          <w:sz w:val="24"/>
          <w:szCs w:val="22"/>
          <w:vertAlign w:val="superscript"/>
        </w:rPr>
        <w:t>TH</w:t>
      </w:r>
      <w:r w:rsidRPr="00C07FC2">
        <w:rPr>
          <w:rFonts w:ascii="Microsoft Sans Serif" w:hAnsi="Calibri"/>
          <w:sz w:val="24"/>
          <w:szCs w:val="22"/>
        </w:rPr>
        <w:t xml:space="preserve"> FLOOR FORUM PLACE</w:t>
      </w:r>
      <w:r w:rsidRPr="00C07FC2">
        <w:rPr>
          <w:rFonts w:ascii="Microsoft Sans Serif" w:hAnsi="Calibri"/>
          <w:sz w:val="24"/>
          <w:szCs w:val="22"/>
        </w:rPr>
        <w:cr/>
        <w:t>555 WALNUT STREET</w:t>
      </w:r>
      <w:r w:rsidRPr="00C07FC2">
        <w:rPr>
          <w:rFonts w:ascii="Microsoft Sans Serif" w:hAnsi="Calibri"/>
          <w:sz w:val="24"/>
          <w:szCs w:val="22"/>
        </w:rPr>
        <w:cr/>
        <w:t>HARRISBURG PA  17101-1923</w:t>
      </w:r>
      <w:r w:rsidRPr="00C07FC2">
        <w:rPr>
          <w:rFonts w:ascii="Microsoft Sans Serif" w:hAnsi="Calibri"/>
          <w:sz w:val="24"/>
          <w:szCs w:val="22"/>
        </w:rPr>
        <w:cr/>
      </w:r>
      <w:r w:rsidRPr="00C07FC2">
        <w:rPr>
          <w:rFonts w:ascii="Microsoft Sans Serif" w:hAnsi="Calibri"/>
          <w:b/>
          <w:sz w:val="24"/>
          <w:szCs w:val="22"/>
        </w:rPr>
        <w:t>1-800-684-6560</w:t>
      </w:r>
      <w:r w:rsidRPr="00C07FC2">
        <w:rPr>
          <w:rFonts w:ascii="Microsoft Sans Serif" w:hAnsi="Calibri"/>
          <w:b/>
          <w:sz w:val="24"/>
          <w:szCs w:val="22"/>
        </w:rPr>
        <w:cr/>
      </w:r>
    </w:p>
    <w:p w:rsidR="00C07FC2" w:rsidRPr="00C07FC2" w:rsidRDefault="00C07FC2" w:rsidP="00C07FC2">
      <w:pPr>
        <w:autoSpaceDE/>
        <w:autoSpaceDN/>
        <w:rPr>
          <w:rFonts w:ascii="Microsoft Sans Serif" w:hAnsi="Calibri"/>
          <w:b/>
          <w:i/>
          <w:sz w:val="24"/>
          <w:szCs w:val="22"/>
          <w:u w:val="single"/>
        </w:rPr>
      </w:pPr>
      <w:r w:rsidRPr="00C07FC2">
        <w:rPr>
          <w:rFonts w:ascii="Microsoft Sans Serif" w:hAnsi="Calibri"/>
          <w:sz w:val="24"/>
          <w:szCs w:val="22"/>
        </w:rPr>
        <w:t>SHARON WEBB ESQUIRE</w:t>
      </w:r>
      <w:r w:rsidRPr="00C07FC2">
        <w:rPr>
          <w:rFonts w:ascii="Microsoft Sans Serif" w:hAnsi="Calibri"/>
          <w:sz w:val="24"/>
          <w:szCs w:val="22"/>
        </w:rPr>
        <w:cr/>
        <w:t>OFFICE OF SMALL BUSINESS ADVOCATE</w:t>
      </w:r>
      <w:r w:rsidRPr="00C07FC2">
        <w:rPr>
          <w:rFonts w:ascii="Microsoft Sans Serif" w:hAnsi="Calibri"/>
          <w:sz w:val="24"/>
          <w:szCs w:val="22"/>
        </w:rPr>
        <w:cr/>
        <w:t>SUITE 202</w:t>
      </w:r>
      <w:r w:rsidRPr="00C07FC2">
        <w:rPr>
          <w:rFonts w:ascii="Microsoft Sans Serif" w:hAnsi="Calibri"/>
          <w:sz w:val="24"/>
          <w:szCs w:val="22"/>
        </w:rPr>
        <w:cr/>
        <w:t>300 NORTH SECOND STREET</w:t>
      </w:r>
      <w:r w:rsidRPr="00C07FC2">
        <w:rPr>
          <w:rFonts w:ascii="Microsoft Sans Serif" w:hAnsi="Calibri"/>
          <w:sz w:val="24"/>
          <w:szCs w:val="22"/>
        </w:rPr>
        <w:cr/>
        <w:t>HARRISBURG PA  17101</w:t>
      </w:r>
      <w:r w:rsidRPr="00C07FC2">
        <w:rPr>
          <w:rFonts w:ascii="Microsoft Sans Serif" w:hAnsi="Calibri"/>
          <w:sz w:val="24"/>
          <w:szCs w:val="22"/>
        </w:rPr>
        <w:cr/>
      </w:r>
      <w:r w:rsidRPr="00C07FC2">
        <w:rPr>
          <w:rFonts w:ascii="Microsoft Sans Serif" w:hAnsi="Calibri"/>
          <w:b/>
          <w:sz w:val="24"/>
          <w:szCs w:val="22"/>
        </w:rPr>
        <w:t>717-783-2525</w:t>
      </w:r>
      <w:r w:rsidRPr="00C07FC2">
        <w:rPr>
          <w:rFonts w:ascii="Microsoft Sans Serif" w:hAnsi="Calibri"/>
          <w:b/>
          <w:sz w:val="24"/>
          <w:szCs w:val="22"/>
        </w:rPr>
        <w:cr/>
      </w:r>
      <w:r w:rsidRPr="00C07FC2">
        <w:rPr>
          <w:rFonts w:ascii="Microsoft Sans Serif" w:hAnsi="Calibri"/>
          <w:b/>
          <w:i/>
          <w:sz w:val="24"/>
          <w:szCs w:val="22"/>
          <w:u w:val="single"/>
        </w:rPr>
        <w:t>Accepts eService</w:t>
      </w:r>
    </w:p>
    <w:p w:rsidR="00C07FC2" w:rsidRPr="00C07FC2" w:rsidRDefault="00C07FC2" w:rsidP="00C07FC2">
      <w:pPr>
        <w:autoSpaceDE/>
        <w:autoSpaceDN/>
        <w:rPr>
          <w:rFonts w:ascii="Microsoft Sans Serif" w:hAnsi="Calibri"/>
          <w:b/>
          <w:sz w:val="24"/>
          <w:szCs w:val="22"/>
        </w:rPr>
      </w:pPr>
    </w:p>
    <w:p w:rsidR="00C07FC2" w:rsidRPr="00C07FC2" w:rsidRDefault="00C07FC2" w:rsidP="00C07FC2">
      <w:pPr>
        <w:autoSpaceDE/>
        <w:autoSpaceDN/>
        <w:rPr>
          <w:rFonts w:ascii="Microsoft Sans Serif" w:hAnsi="Calibri"/>
          <w:b/>
          <w:i/>
          <w:sz w:val="24"/>
          <w:szCs w:val="22"/>
          <w:u w:val="single"/>
        </w:rPr>
      </w:pPr>
      <w:r w:rsidRPr="00C07FC2">
        <w:rPr>
          <w:rFonts w:ascii="Microsoft Sans Serif" w:hAnsi="Calibri"/>
          <w:sz w:val="24"/>
          <w:szCs w:val="22"/>
        </w:rPr>
        <w:t>MICHAEL L SWINDLER ESQUIRE</w:t>
      </w:r>
      <w:r w:rsidRPr="00C07FC2">
        <w:rPr>
          <w:rFonts w:ascii="Microsoft Sans Serif" w:hAnsi="Calibri"/>
          <w:sz w:val="24"/>
          <w:szCs w:val="22"/>
        </w:rPr>
        <w:cr/>
        <w:t>PA PUC BI&amp;E</w:t>
      </w:r>
      <w:r w:rsidRPr="00C07FC2">
        <w:rPr>
          <w:rFonts w:ascii="Microsoft Sans Serif" w:hAnsi="Calibri"/>
          <w:sz w:val="24"/>
          <w:szCs w:val="22"/>
        </w:rPr>
        <w:cr/>
        <w:t>400 NORTH STREET</w:t>
      </w:r>
      <w:r w:rsidRPr="00C07FC2">
        <w:rPr>
          <w:rFonts w:ascii="Microsoft Sans Serif" w:hAnsi="Calibri"/>
          <w:sz w:val="24"/>
          <w:szCs w:val="22"/>
        </w:rPr>
        <w:cr/>
        <w:t>PO BOX 3265</w:t>
      </w:r>
      <w:r w:rsidRPr="00C07FC2">
        <w:rPr>
          <w:rFonts w:ascii="Microsoft Sans Serif" w:hAnsi="Calibri"/>
          <w:sz w:val="24"/>
          <w:szCs w:val="22"/>
        </w:rPr>
        <w:cr/>
        <w:t>HARRISBURG PA  17105-3265</w:t>
      </w:r>
      <w:r w:rsidRPr="00C07FC2">
        <w:rPr>
          <w:rFonts w:ascii="Microsoft Sans Serif" w:hAnsi="Calibri"/>
          <w:sz w:val="24"/>
          <w:szCs w:val="22"/>
        </w:rPr>
        <w:cr/>
      </w:r>
      <w:r w:rsidRPr="00C07FC2">
        <w:rPr>
          <w:rFonts w:ascii="Microsoft Sans Serif" w:hAnsi="Calibri"/>
          <w:b/>
          <w:sz w:val="24"/>
          <w:szCs w:val="22"/>
        </w:rPr>
        <w:t>717-783-6369</w:t>
      </w:r>
      <w:r w:rsidRPr="00C07FC2">
        <w:rPr>
          <w:rFonts w:ascii="Microsoft Sans Serif" w:hAnsi="Calibri"/>
          <w:b/>
          <w:sz w:val="24"/>
          <w:szCs w:val="22"/>
        </w:rPr>
        <w:cr/>
      </w:r>
      <w:r w:rsidRPr="00C07FC2">
        <w:rPr>
          <w:rFonts w:ascii="Microsoft Sans Serif" w:hAnsi="Calibri"/>
          <w:b/>
          <w:i/>
          <w:sz w:val="24"/>
          <w:szCs w:val="22"/>
          <w:u w:val="single"/>
        </w:rPr>
        <w:t>Accepts eService</w:t>
      </w:r>
    </w:p>
    <w:p w:rsidR="00C07FC2" w:rsidRPr="00C07FC2" w:rsidRDefault="00C07FC2" w:rsidP="00C07FC2">
      <w:pPr>
        <w:autoSpaceDE/>
        <w:autoSpaceDN/>
        <w:rPr>
          <w:rFonts w:ascii="Microsoft Sans Serif" w:hAnsi="Calibri"/>
          <w:sz w:val="24"/>
          <w:szCs w:val="22"/>
        </w:rPr>
      </w:pPr>
    </w:p>
    <w:p w:rsidR="00C07FC2" w:rsidRPr="00C07FC2" w:rsidRDefault="00C07FC2" w:rsidP="00C07FC2">
      <w:pPr>
        <w:autoSpaceDE/>
        <w:autoSpaceDN/>
        <w:rPr>
          <w:rFonts w:ascii="Microsoft Sans Serif" w:hAnsi="Microsoft Sans Serif" w:cs="Microsoft Sans Serif"/>
          <w:sz w:val="24"/>
          <w:szCs w:val="24"/>
        </w:rPr>
      </w:pPr>
      <w:r w:rsidRPr="00C07FC2">
        <w:rPr>
          <w:rFonts w:ascii="Microsoft Sans Serif" w:hAnsi="Calibri"/>
          <w:sz w:val="24"/>
          <w:szCs w:val="22"/>
        </w:rPr>
        <w:t>STEPHANIE M WIMER ESQUIRE</w:t>
      </w:r>
      <w:r w:rsidRPr="00C07FC2">
        <w:rPr>
          <w:rFonts w:ascii="Microsoft Sans Serif" w:hAnsi="Calibri"/>
          <w:sz w:val="24"/>
          <w:szCs w:val="22"/>
        </w:rPr>
        <w:cr/>
        <w:t>PA PUC LAW BUREAU</w:t>
      </w:r>
      <w:r w:rsidRPr="00C07FC2">
        <w:rPr>
          <w:rFonts w:ascii="Microsoft Sans Serif" w:hAnsi="Calibri"/>
          <w:sz w:val="24"/>
          <w:szCs w:val="22"/>
        </w:rPr>
        <w:cr/>
        <w:t>PO BOX 3265</w:t>
      </w:r>
      <w:r w:rsidRPr="00C07FC2">
        <w:rPr>
          <w:rFonts w:ascii="Microsoft Sans Serif" w:hAnsi="Calibri"/>
          <w:sz w:val="24"/>
          <w:szCs w:val="22"/>
        </w:rPr>
        <w:cr/>
        <w:t>HARRISBURG PA  17105-3265</w:t>
      </w:r>
      <w:r w:rsidRPr="00C07FC2">
        <w:rPr>
          <w:rFonts w:ascii="Microsoft Sans Serif" w:hAnsi="Calibri"/>
          <w:sz w:val="24"/>
          <w:szCs w:val="22"/>
        </w:rPr>
        <w:cr/>
      </w:r>
      <w:r w:rsidRPr="00C07FC2">
        <w:rPr>
          <w:rFonts w:ascii="Microsoft Sans Serif" w:hAnsi="Calibri"/>
          <w:b/>
          <w:sz w:val="24"/>
          <w:szCs w:val="22"/>
        </w:rPr>
        <w:t>717-787-5000</w:t>
      </w:r>
      <w:r w:rsidRPr="00C07FC2">
        <w:rPr>
          <w:rFonts w:ascii="Microsoft Sans Serif" w:hAnsi="Calibri"/>
          <w:b/>
          <w:sz w:val="24"/>
          <w:szCs w:val="22"/>
        </w:rPr>
        <w:cr/>
      </w:r>
      <w:r w:rsidRPr="00C07FC2">
        <w:rPr>
          <w:rFonts w:ascii="Microsoft Sans Serif" w:hAnsi="Calibri"/>
          <w:b/>
          <w:i/>
          <w:sz w:val="24"/>
          <w:szCs w:val="22"/>
          <w:u w:val="single"/>
        </w:rPr>
        <w:t>Accepts eService</w:t>
      </w:r>
    </w:p>
    <w:p w:rsidR="00C07FC2" w:rsidRPr="00C07FC2" w:rsidRDefault="00C07FC2" w:rsidP="00C07FC2">
      <w:pPr>
        <w:autoSpaceDE/>
        <w:autoSpaceDN/>
        <w:rPr>
          <w:rFonts w:ascii="Microsoft Sans Serif" w:hAnsi="Microsoft Sans Serif" w:cs="Microsoft Sans Serif"/>
          <w:sz w:val="24"/>
          <w:szCs w:val="24"/>
        </w:rPr>
      </w:pPr>
    </w:p>
    <w:p w:rsidR="00C07FC2" w:rsidRDefault="00C07FC2" w:rsidP="00C07FC2">
      <w:pPr>
        <w:autoSpaceDE/>
        <w:autoSpaceDN/>
        <w:rPr>
          <w:rFonts w:ascii="Microsoft Sans Serif" w:hAnsi="Calibri"/>
          <w:sz w:val="24"/>
          <w:szCs w:val="22"/>
        </w:rPr>
      </w:pPr>
    </w:p>
    <w:p w:rsidR="00C07FC2" w:rsidRDefault="00C07FC2" w:rsidP="00C07FC2">
      <w:pPr>
        <w:autoSpaceDE/>
        <w:autoSpaceDN/>
        <w:rPr>
          <w:rFonts w:ascii="Microsoft Sans Serif" w:hAnsi="Calibri"/>
          <w:sz w:val="24"/>
          <w:szCs w:val="22"/>
        </w:rPr>
      </w:pPr>
    </w:p>
    <w:p w:rsidR="00C07FC2" w:rsidRDefault="00C07FC2" w:rsidP="00C07FC2">
      <w:pPr>
        <w:autoSpaceDE/>
        <w:autoSpaceDN/>
        <w:rPr>
          <w:rFonts w:ascii="Microsoft Sans Serif" w:hAnsi="Calibri"/>
          <w:sz w:val="24"/>
          <w:szCs w:val="22"/>
        </w:rPr>
      </w:pP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GINENE A LEWIS ESQUIRE</w:t>
      </w: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VINCENT E GENTILE ESQUIRE</w:t>
      </w: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DRINKER BIDDLE &amp; REATH LLP</w:t>
      </w:r>
    </w:p>
    <w:p w:rsidR="00C07FC2" w:rsidRPr="00C07FC2" w:rsidRDefault="00C07FC2" w:rsidP="00C07FC2">
      <w:pPr>
        <w:autoSpaceDE/>
        <w:autoSpaceDN/>
        <w:rPr>
          <w:rFonts w:ascii="Microsoft Sans Serif" w:hAnsi="Calibri"/>
          <w:i/>
          <w:sz w:val="24"/>
          <w:szCs w:val="22"/>
        </w:rPr>
      </w:pPr>
      <w:r w:rsidRPr="00C07FC2">
        <w:rPr>
          <w:rFonts w:ascii="Microsoft Sans Serif" w:hAnsi="Calibri"/>
          <w:sz w:val="24"/>
          <w:szCs w:val="22"/>
        </w:rPr>
        <w:t>ONE LOGAN SQUARE</w:t>
      </w:r>
      <w:r w:rsidRPr="00C07FC2">
        <w:rPr>
          <w:rFonts w:ascii="Microsoft Sans Serif" w:hAnsi="Calibri"/>
          <w:sz w:val="24"/>
          <w:szCs w:val="22"/>
        </w:rPr>
        <w:cr/>
        <w:t>SUITE 2000</w:t>
      </w:r>
      <w:r w:rsidRPr="00C07FC2">
        <w:rPr>
          <w:rFonts w:ascii="Microsoft Sans Serif" w:hAnsi="Calibri"/>
          <w:sz w:val="24"/>
          <w:szCs w:val="22"/>
        </w:rPr>
        <w:cr/>
        <w:t>PHILADELPHIA PA  19103</w:t>
      </w:r>
      <w:r w:rsidRPr="00C07FC2">
        <w:rPr>
          <w:rFonts w:ascii="Microsoft Sans Serif" w:hAnsi="Calibri"/>
          <w:sz w:val="24"/>
          <w:szCs w:val="22"/>
        </w:rPr>
        <w:cr/>
      </w:r>
      <w:r w:rsidRPr="00C07FC2">
        <w:rPr>
          <w:rFonts w:ascii="Microsoft Sans Serif" w:hAnsi="Calibri"/>
          <w:b/>
          <w:sz w:val="24"/>
          <w:szCs w:val="22"/>
        </w:rPr>
        <w:t>215-988-2707</w:t>
      </w:r>
      <w:r w:rsidRPr="00C07FC2">
        <w:rPr>
          <w:rFonts w:ascii="Microsoft Sans Serif" w:hAnsi="Calibri"/>
          <w:b/>
          <w:sz w:val="24"/>
          <w:szCs w:val="22"/>
        </w:rPr>
        <w:cr/>
      </w:r>
      <w:r w:rsidRPr="00C07FC2">
        <w:rPr>
          <w:rFonts w:ascii="Microsoft Sans Serif" w:hAnsi="Calibri"/>
          <w:i/>
          <w:sz w:val="24"/>
          <w:szCs w:val="22"/>
        </w:rPr>
        <w:t>(For HIKO)</w:t>
      </w:r>
    </w:p>
    <w:p w:rsidR="00C07FC2" w:rsidRPr="00C07FC2" w:rsidRDefault="00C07FC2" w:rsidP="00C07FC2">
      <w:pPr>
        <w:autoSpaceDE/>
        <w:autoSpaceDN/>
        <w:rPr>
          <w:rFonts w:ascii="Microsoft Sans Serif" w:hAnsi="Calibri"/>
          <w:b/>
          <w:i/>
          <w:sz w:val="24"/>
          <w:szCs w:val="22"/>
          <w:u w:val="single"/>
        </w:rPr>
      </w:pPr>
      <w:r w:rsidRPr="00C07FC2">
        <w:rPr>
          <w:rFonts w:ascii="Microsoft Sans Serif" w:hAnsi="Calibri"/>
          <w:b/>
          <w:i/>
          <w:sz w:val="24"/>
          <w:szCs w:val="22"/>
          <w:u w:val="single"/>
        </w:rPr>
        <w:t>Accepts eService</w:t>
      </w:r>
    </w:p>
    <w:p w:rsidR="00C07FC2" w:rsidRPr="00C07FC2" w:rsidRDefault="00C07FC2" w:rsidP="00C07FC2">
      <w:pPr>
        <w:autoSpaceDE/>
        <w:autoSpaceDN/>
        <w:rPr>
          <w:rFonts w:ascii="Microsoft Sans Serif" w:hAnsi="Calibri"/>
          <w:b/>
          <w:i/>
          <w:sz w:val="24"/>
          <w:szCs w:val="22"/>
          <w:u w:val="single"/>
        </w:rPr>
      </w:pP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MOTTY SCHULMAN ESQUIRE</w:t>
      </w: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WILLIAM MARSILLO ESQUIRE</w:t>
      </w: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ANDREW DRESSEL ESQUIRE</w:t>
      </w: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BOIES SCHILLER &amp; FLEXNER LLP</w:t>
      </w: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333 MAIN STREET</w:t>
      </w:r>
    </w:p>
    <w:p w:rsidR="00C07FC2" w:rsidRPr="00C07FC2" w:rsidRDefault="00C07FC2" w:rsidP="00C07FC2">
      <w:pPr>
        <w:autoSpaceDE/>
        <w:autoSpaceDN/>
        <w:rPr>
          <w:rFonts w:ascii="Microsoft Sans Serif" w:hAnsi="Calibri"/>
          <w:sz w:val="24"/>
          <w:szCs w:val="22"/>
        </w:rPr>
      </w:pPr>
      <w:r w:rsidRPr="00C07FC2">
        <w:rPr>
          <w:rFonts w:ascii="Microsoft Sans Serif" w:hAnsi="Calibri"/>
          <w:sz w:val="24"/>
          <w:szCs w:val="22"/>
        </w:rPr>
        <w:t>ARMONK NY  10504</w:t>
      </w:r>
    </w:p>
    <w:p w:rsidR="00C07FC2" w:rsidRPr="00C07FC2" w:rsidRDefault="00C07FC2" w:rsidP="00C07FC2">
      <w:pPr>
        <w:autoSpaceDE/>
        <w:autoSpaceDN/>
        <w:rPr>
          <w:rFonts w:ascii="Microsoft Sans Serif" w:hAnsi="Calibri"/>
          <w:b/>
          <w:sz w:val="24"/>
          <w:szCs w:val="22"/>
        </w:rPr>
      </w:pPr>
      <w:r w:rsidRPr="00C07FC2">
        <w:rPr>
          <w:rFonts w:ascii="Microsoft Sans Serif" w:hAnsi="Calibri"/>
          <w:b/>
          <w:sz w:val="24"/>
          <w:szCs w:val="22"/>
        </w:rPr>
        <w:t>914-749-8200</w:t>
      </w:r>
    </w:p>
    <w:p w:rsidR="00C07FC2" w:rsidRPr="00C07FC2" w:rsidRDefault="00C07FC2" w:rsidP="00C07FC2">
      <w:pPr>
        <w:autoSpaceDE/>
        <w:autoSpaceDN/>
        <w:rPr>
          <w:rFonts w:ascii="Microsoft Sans Serif" w:hAnsi="Calibri"/>
          <w:i/>
          <w:sz w:val="24"/>
          <w:szCs w:val="22"/>
        </w:rPr>
      </w:pPr>
      <w:r w:rsidRPr="00C07FC2">
        <w:rPr>
          <w:rFonts w:ascii="Microsoft Sans Serif" w:hAnsi="Calibri"/>
          <w:i/>
          <w:sz w:val="24"/>
          <w:szCs w:val="22"/>
        </w:rPr>
        <w:t>(For HIKO)</w:t>
      </w:r>
    </w:p>
    <w:p w:rsidR="003551D8" w:rsidRDefault="003551D8" w:rsidP="00C07FC2">
      <w:pPr>
        <w:autoSpaceDE/>
        <w:autoSpaceDN/>
        <w:spacing w:line="360" w:lineRule="auto"/>
        <w:rPr>
          <w:sz w:val="24"/>
          <w:szCs w:val="24"/>
        </w:rPr>
      </w:pPr>
    </w:p>
    <w:sectPr w:rsidR="003551D8" w:rsidSect="0075269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36" w:rsidRDefault="007F2336">
      <w:r>
        <w:separator/>
      </w:r>
    </w:p>
  </w:endnote>
  <w:endnote w:type="continuationSeparator" w:id="0">
    <w:p w:rsidR="007F2336" w:rsidRDefault="007F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332EC7">
          <w:rPr>
            <w:noProof/>
          </w:rPr>
          <w:t>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67" w:rsidRDefault="00BA3167">
    <w:pPr>
      <w:pStyle w:val="Footer"/>
      <w:jc w:val="center"/>
    </w:pPr>
  </w:p>
  <w:p w:rsidR="00BA3167" w:rsidRDefault="00BA3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507799"/>
      <w:docPartObj>
        <w:docPartGallery w:val="Page Numbers (Bottom of Page)"/>
        <w:docPartUnique/>
      </w:docPartObj>
    </w:sdtPr>
    <w:sdtEndPr>
      <w:rPr>
        <w:noProof/>
      </w:rPr>
    </w:sdtEndPr>
    <w:sdtContent>
      <w:p w:rsidR="00B8408C" w:rsidRDefault="00B8408C">
        <w:pPr>
          <w:pStyle w:val="Footer"/>
          <w:jc w:val="center"/>
        </w:pPr>
        <w:r>
          <w:fldChar w:fldCharType="begin"/>
        </w:r>
        <w:r>
          <w:instrText xml:space="preserve"> PAGE   \* MERGEFORMAT </w:instrText>
        </w:r>
        <w:r>
          <w:fldChar w:fldCharType="separate"/>
        </w:r>
        <w:r w:rsidR="00332EC7">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BC" w:rsidRDefault="004C5D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36" w:rsidRDefault="007F2336">
      <w:r>
        <w:separator/>
      </w:r>
    </w:p>
  </w:footnote>
  <w:footnote w:type="continuationSeparator" w:id="0">
    <w:p w:rsidR="007F2336" w:rsidRDefault="007F2336">
      <w:r>
        <w:continuationSeparator/>
      </w:r>
    </w:p>
  </w:footnote>
  <w:footnote w:id="1">
    <w:p w:rsidR="00DD43A3" w:rsidRPr="006034E2" w:rsidRDefault="00B8408C" w:rsidP="00DD43A3">
      <w:pPr>
        <w:pStyle w:val="Heading4"/>
        <w:shd w:val="clear" w:color="auto" w:fill="FFFFFF"/>
        <w:rPr>
          <w:rFonts w:ascii="Times New Roman" w:hAnsi="Times New Roman" w:cs="Lucida Sans Unicode"/>
          <w:b w:val="0"/>
          <w:i w:val="0"/>
          <w:color w:val="auto"/>
          <w:szCs w:val="21"/>
          <w:lang w:val="en" w:eastAsia="zh-CN"/>
        </w:rPr>
      </w:pPr>
      <w:r>
        <w:rPr>
          <w:rFonts w:ascii="Times New Roman" w:hAnsi="Times New Roman"/>
          <w:b w:val="0"/>
          <w:i w:val="0"/>
          <w:color w:val="auto"/>
        </w:rPr>
        <w:tab/>
      </w:r>
      <w:r w:rsidR="00DD43A3" w:rsidRPr="00717B2C">
        <w:rPr>
          <w:rStyle w:val="FootnoteReference"/>
          <w:rFonts w:ascii="Times New Roman" w:hAnsi="Times New Roman"/>
          <w:b w:val="0"/>
          <w:i w:val="0"/>
          <w:color w:val="auto"/>
        </w:rPr>
        <w:footnoteRef/>
      </w:r>
      <w:r w:rsidR="00DD43A3" w:rsidRPr="00717B2C">
        <w:rPr>
          <w:rFonts w:ascii="Times New Roman" w:hAnsi="Times New Roman"/>
          <w:b w:val="0"/>
          <w:i w:val="0"/>
          <w:color w:val="auto"/>
        </w:rPr>
        <w:t xml:space="preserve"> </w:t>
      </w:r>
      <w:r>
        <w:rPr>
          <w:rFonts w:ascii="Times New Roman" w:hAnsi="Times New Roman"/>
          <w:b w:val="0"/>
          <w:i w:val="0"/>
          <w:color w:val="auto"/>
        </w:rPr>
        <w:tab/>
      </w:r>
      <w:r w:rsidR="00DD43A3" w:rsidRPr="006034E2">
        <w:rPr>
          <w:rFonts w:ascii="Times New Roman" w:hAnsi="Times New Roman" w:cs="Lucida Sans Unicode"/>
          <w:b w:val="0"/>
          <w:i w:val="0"/>
          <w:color w:val="auto"/>
          <w:szCs w:val="21"/>
          <w:lang w:val="en" w:eastAsia="zh-CN"/>
        </w:rPr>
        <w:t>In a</w:t>
      </w:r>
      <w:r w:rsidR="00DD43A3">
        <w:rPr>
          <w:rFonts w:ascii="Times New Roman" w:hAnsi="Times New Roman" w:cs="Lucida Sans Unicode"/>
          <w:b w:val="0"/>
          <w:i w:val="0"/>
          <w:color w:val="auto"/>
          <w:szCs w:val="21"/>
          <w:lang w:val="en" w:eastAsia="zh-CN"/>
        </w:rPr>
        <w:t>n electric</w:t>
      </w:r>
      <w:r w:rsidR="00DD43A3" w:rsidRPr="006034E2">
        <w:rPr>
          <w:rFonts w:ascii="Times New Roman" w:hAnsi="Times New Roman" w:cs="Lucida Sans Unicode"/>
          <w:b w:val="0"/>
          <w:i w:val="0"/>
          <w:color w:val="auto"/>
          <w:szCs w:val="21"/>
          <w:lang w:val="en" w:eastAsia="zh-CN"/>
        </w:rPr>
        <w:t xml:space="preserve"> purchase of receivables (POR) program, the </w:t>
      </w:r>
      <w:r w:rsidR="00DD43A3">
        <w:rPr>
          <w:rFonts w:ascii="Times New Roman" w:hAnsi="Times New Roman" w:cs="Lucida Sans Unicode"/>
          <w:b w:val="0"/>
          <w:i w:val="0"/>
          <w:color w:val="auto"/>
          <w:szCs w:val="21"/>
          <w:lang w:val="en" w:eastAsia="zh-CN"/>
        </w:rPr>
        <w:t xml:space="preserve">electric distribution company (EDC) </w:t>
      </w:r>
      <w:r w:rsidR="00DD43A3" w:rsidRPr="006034E2">
        <w:rPr>
          <w:rFonts w:ascii="Times New Roman" w:hAnsi="Times New Roman" w:cs="Lucida Sans Unicode"/>
          <w:b w:val="0"/>
          <w:i w:val="0"/>
          <w:color w:val="auto"/>
          <w:szCs w:val="21"/>
          <w:lang w:val="en" w:eastAsia="zh-CN"/>
        </w:rPr>
        <w:t>purchases the receivables of an</w:t>
      </w:r>
      <w:r w:rsidR="00DD43A3">
        <w:rPr>
          <w:rFonts w:ascii="Times New Roman" w:hAnsi="Times New Roman" w:cs="Lucida Sans Unicode"/>
          <w:b w:val="0"/>
          <w:i w:val="0"/>
          <w:color w:val="auto"/>
          <w:szCs w:val="21"/>
          <w:lang w:val="en" w:eastAsia="zh-CN"/>
        </w:rPr>
        <w:t xml:space="preserve"> alternative retail electric supplier (ARES) a/k/a electric generation supplier (EGS).</w:t>
      </w:r>
    </w:p>
    <w:p w:rsidR="00DD43A3" w:rsidRDefault="00DD43A3" w:rsidP="00DD43A3">
      <w:pPr>
        <w:pStyle w:val="FootnoteText"/>
        <w:rPr>
          <w:lang w:val="en"/>
        </w:rPr>
      </w:pPr>
    </w:p>
    <w:p w:rsidR="00DD43A3" w:rsidRPr="00717B2C" w:rsidRDefault="00B8408C" w:rsidP="00DD43A3">
      <w:pPr>
        <w:pStyle w:val="FootnoteText"/>
        <w:rPr>
          <w:lang w:val="en"/>
        </w:rPr>
      </w:pPr>
      <w:r>
        <w:rPr>
          <w:lang w:val="en"/>
        </w:rPr>
        <w:tab/>
      </w:r>
      <w:r>
        <w:rPr>
          <w:lang w:val="en"/>
        </w:rPr>
        <w:tab/>
      </w:r>
      <w:r w:rsidR="00DD43A3">
        <w:rPr>
          <w:lang w:val="en"/>
        </w:rPr>
        <w:t xml:space="preserve">In a natural gas purchase of receivables (POR) program, a natural gas distribution company (NGDC) may purchase accounts receivable from licensed natural gas suppliers (NGSs) which operate on the NGDC system and who wish to </w:t>
      </w:r>
      <w:r w:rsidR="00AF4BDA">
        <w:rPr>
          <w:lang w:val="en"/>
        </w:rPr>
        <w:t>sell their receivables.  52 Pa.</w:t>
      </w:r>
      <w:r w:rsidR="00DD43A3">
        <w:rPr>
          <w:lang w:val="en"/>
        </w:rPr>
        <w:t>Code § 62.224 (relating to POR programs).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26FF2"/>
    <w:rsid w:val="000535FC"/>
    <w:rsid w:val="00067AA0"/>
    <w:rsid w:val="00071F40"/>
    <w:rsid w:val="00087450"/>
    <w:rsid w:val="00087F9D"/>
    <w:rsid w:val="00091890"/>
    <w:rsid w:val="000A028D"/>
    <w:rsid w:val="000B40DB"/>
    <w:rsid w:val="000D39CD"/>
    <w:rsid w:val="000D42F1"/>
    <w:rsid w:val="000E64D7"/>
    <w:rsid w:val="000E672F"/>
    <w:rsid w:val="000F0E92"/>
    <w:rsid w:val="000F49D4"/>
    <w:rsid w:val="000F51D6"/>
    <w:rsid w:val="001049DD"/>
    <w:rsid w:val="00115F44"/>
    <w:rsid w:val="00120926"/>
    <w:rsid w:val="0012162E"/>
    <w:rsid w:val="00122DFB"/>
    <w:rsid w:val="00147BBA"/>
    <w:rsid w:val="00150EB1"/>
    <w:rsid w:val="00160071"/>
    <w:rsid w:val="001600B8"/>
    <w:rsid w:val="00163C9A"/>
    <w:rsid w:val="0016688B"/>
    <w:rsid w:val="00166B0E"/>
    <w:rsid w:val="001765C3"/>
    <w:rsid w:val="001A0634"/>
    <w:rsid w:val="001B3CA8"/>
    <w:rsid w:val="001C5B6F"/>
    <w:rsid w:val="001F7F8A"/>
    <w:rsid w:val="002066A0"/>
    <w:rsid w:val="00221C67"/>
    <w:rsid w:val="00224B33"/>
    <w:rsid w:val="00251B56"/>
    <w:rsid w:val="00272606"/>
    <w:rsid w:val="002750F9"/>
    <w:rsid w:val="00296B98"/>
    <w:rsid w:val="002C5BF0"/>
    <w:rsid w:val="002D1370"/>
    <w:rsid w:val="002F2797"/>
    <w:rsid w:val="003112BF"/>
    <w:rsid w:val="00315566"/>
    <w:rsid w:val="00317BB5"/>
    <w:rsid w:val="00332EC7"/>
    <w:rsid w:val="00337F8B"/>
    <w:rsid w:val="003551D8"/>
    <w:rsid w:val="00355692"/>
    <w:rsid w:val="00361125"/>
    <w:rsid w:val="00375B1F"/>
    <w:rsid w:val="00377F83"/>
    <w:rsid w:val="0039005C"/>
    <w:rsid w:val="003A3CED"/>
    <w:rsid w:val="003A5CD9"/>
    <w:rsid w:val="003A6970"/>
    <w:rsid w:val="003E7E9A"/>
    <w:rsid w:val="003F2366"/>
    <w:rsid w:val="003F308E"/>
    <w:rsid w:val="003F6F58"/>
    <w:rsid w:val="00400E5C"/>
    <w:rsid w:val="0040234D"/>
    <w:rsid w:val="00407A27"/>
    <w:rsid w:val="00422E5D"/>
    <w:rsid w:val="004314F9"/>
    <w:rsid w:val="004602AD"/>
    <w:rsid w:val="00462D04"/>
    <w:rsid w:val="00463D5C"/>
    <w:rsid w:val="0046497E"/>
    <w:rsid w:val="00466F8B"/>
    <w:rsid w:val="00471E24"/>
    <w:rsid w:val="004878D2"/>
    <w:rsid w:val="00496408"/>
    <w:rsid w:val="00496B51"/>
    <w:rsid w:val="004A538F"/>
    <w:rsid w:val="004B306D"/>
    <w:rsid w:val="004B4835"/>
    <w:rsid w:val="004C5DBC"/>
    <w:rsid w:val="004C623A"/>
    <w:rsid w:val="004E2873"/>
    <w:rsid w:val="005031B5"/>
    <w:rsid w:val="0050701F"/>
    <w:rsid w:val="0051329C"/>
    <w:rsid w:val="005414E2"/>
    <w:rsid w:val="00546E24"/>
    <w:rsid w:val="00554116"/>
    <w:rsid w:val="00571EDD"/>
    <w:rsid w:val="00575CFB"/>
    <w:rsid w:val="00591A62"/>
    <w:rsid w:val="00596DE7"/>
    <w:rsid w:val="005A7648"/>
    <w:rsid w:val="005B1756"/>
    <w:rsid w:val="005B53D0"/>
    <w:rsid w:val="005E371B"/>
    <w:rsid w:val="005E7F5F"/>
    <w:rsid w:val="006034E2"/>
    <w:rsid w:val="00604E56"/>
    <w:rsid w:val="00610E87"/>
    <w:rsid w:val="0061793B"/>
    <w:rsid w:val="00627348"/>
    <w:rsid w:val="006327B7"/>
    <w:rsid w:val="00655882"/>
    <w:rsid w:val="0067197F"/>
    <w:rsid w:val="00683208"/>
    <w:rsid w:val="00685397"/>
    <w:rsid w:val="00687073"/>
    <w:rsid w:val="0069128C"/>
    <w:rsid w:val="00695840"/>
    <w:rsid w:val="006A18BD"/>
    <w:rsid w:val="006A75B3"/>
    <w:rsid w:val="006B08C2"/>
    <w:rsid w:val="006B1E2F"/>
    <w:rsid w:val="006B3980"/>
    <w:rsid w:val="006C49F8"/>
    <w:rsid w:val="006E0F54"/>
    <w:rsid w:val="006E16E6"/>
    <w:rsid w:val="006F3971"/>
    <w:rsid w:val="00701ABD"/>
    <w:rsid w:val="00702F40"/>
    <w:rsid w:val="007034C0"/>
    <w:rsid w:val="00717B2C"/>
    <w:rsid w:val="00723A87"/>
    <w:rsid w:val="00726AAE"/>
    <w:rsid w:val="00732E00"/>
    <w:rsid w:val="00736CC4"/>
    <w:rsid w:val="00752691"/>
    <w:rsid w:val="00770378"/>
    <w:rsid w:val="00771959"/>
    <w:rsid w:val="0077461C"/>
    <w:rsid w:val="007751E5"/>
    <w:rsid w:val="00777417"/>
    <w:rsid w:val="00783231"/>
    <w:rsid w:val="00792502"/>
    <w:rsid w:val="00792A6B"/>
    <w:rsid w:val="007C4C3B"/>
    <w:rsid w:val="007D361E"/>
    <w:rsid w:val="007D464D"/>
    <w:rsid w:val="007E56EB"/>
    <w:rsid w:val="007E5F82"/>
    <w:rsid w:val="007E6BA7"/>
    <w:rsid w:val="007F2336"/>
    <w:rsid w:val="007F29A5"/>
    <w:rsid w:val="008009A4"/>
    <w:rsid w:val="008011FE"/>
    <w:rsid w:val="00807CE1"/>
    <w:rsid w:val="008103F7"/>
    <w:rsid w:val="00833A51"/>
    <w:rsid w:val="00834E99"/>
    <w:rsid w:val="008675F2"/>
    <w:rsid w:val="0087075E"/>
    <w:rsid w:val="008774F2"/>
    <w:rsid w:val="00881072"/>
    <w:rsid w:val="00882840"/>
    <w:rsid w:val="008934DA"/>
    <w:rsid w:val="008D3EE7"/>
    <w:rsid w:val="008F2FCF"/>
    <w:rsid w:val="008F53EA"/>
    <w:rsid w:val="009119CA"/>
    <w:rsid w:val="009152CE"/>
    <w:rsid w:val="00925D67"/>
    <w:rsid w:val="0093282A"/>
    <w:rsid w:val="00933192"/>
    <w:rsid w:val="0094378D"/>
    <w:rsid w:val="009601B9"/>
    <w:rsid w:val="00961DD4"/>
    <w:rsid w:val="00981D63"/>
    <w:rsid w:val="00983AC6"/>
    <w:rsid w:val="009B05B1"/>
    <w:rsid w:val="009D205E"/>
    <w:rsid w:val="009D60CE"/>
    <w:rsid w:val="009D67F1"/>
    <w:rsid w:val="009E6A4F"/>
    <w:rsid w:val="00A01330"/>
    <w:rsid w:val="00A346E8"/>
    <w:rsid w:val="00A4149A"/>
    <w:rsid w:val="00A51AA0"/>
    <w:rsid w:val="00A66698"/>
    <w:rsid w:val="00A67CFF"/>
    <w:rsid w:val="00A67E94"/>
    <w:rsid w:val="00A82EF8"/>
    <w:rsid w:val="00AA6014"/>
    <w:rsid w:val="00AB2A2D"/>
    <w:rsid w:val="00AB6E9E"/>
    <w:rsid w:val="00AE6262"/>
    <w:rsid w:val="00AF288A"/>
    <w:rsid w:val="00AF4AD9"/>
    <w:rsid w:val="00AF4BDA"/>
    <w:rsid w:val="00B02B2C"/>
    <w:rsid w:val="00B218EC"/>
    <w:rsid w:val="00B23652"/>
    <w:rsid w:val="00B31FF9"/>
    <w:rsid w:val="00B33E3D"/>
    <w:rsid w:val="00B61D35"/>
    <w:rsid w:val="00B67424"/>
    <w:rsid w:val="00B70DA1"/>
    <w:rsid w:val="00B8408C"/>
    <w:rsid w:val="00B86061"/>
    <w:rsid w:val="00B9204F"/>
    <w:rsid w:val="00BA3167"/>
    <w:rsid w:val="00BB63B5"/>
    <w:rsid w:val="00BC6E84"/>
    <w:rsid w:val="00BE36CD"/>
    <w:rsid w:val="00C02B4D"/>
    <w:rsid w:val="00C07D26"/>
    <w:rsid w:val="00C07FC2"/>
    <w:rsid w:val="00C170D9"/>
    <w:rsid w:val="00C250C7"/>
    <w:rsid w:val="00C54039"/>
    <w:rsid w:val="00C751CE"/>
    <w:rsid w:val="00C82AA0"/>
    <w:rsid w:val="00C851DD"/>
    <w:rsid w:val="00CA63AA"/>
    <w:rsid w:val="00CB7E48"/>
    <w:rsid w:val="00CF2C2D"/>
    <w:rsid w:val="00D13544"/>
    <w:rsid w:val="00D25A4C"/>
    <w:rsid w:val="00D269E9"/>
    <w:rsid w:val="00D30140"/>
    <w:rsid w:val="00D52DAE"/>
    <w:rsid w:val="00D55527"/>
    <w:rsid w:val="00D651E3"/>
    <w:rsid w:val="00D7197E"/>
    <w:rsid w:val="00D72D4A"/>
    <w:rsid w:val="00D828AF"/>
    <w:rsid w:val="00D90B13"/>
    <w:rsid w:val="00D91597"/>
    <w:rsid w:val="00DA1FE4"/>
    <w:rsid w:val="00DB273F"/>
    <w:rsid w:val="00DD43A3"/>
    <w:rsid w:val="00DF0230"/>
    <w:rsid w:val="00DF0E50"/>
    <w:rsid w:val="00DF545D"/>
    <w:rsid w:val="00E0098E"/>
    <w:rsid w:val="00E01DD4"/>
    <w:rsid w:val="00E04142"/>
    <w:rsid w:val="00E3299D"/>
    <w:rsid w:val="00E64AFC"/>
    <w:rsid w:val="00E96E6C"/>
    <w:rsid w:val="00EB5C92"/>
    <w:rsid w:val="00ED6AB1"/>
    <w:rsid w:val="00EF144C"/>
    <w:rsid w:val="00EF161E"/>
    <w:rsid w:val="00EF60D3"/>
    <w:rsid w:val="00F10EDB"/>
    <w:rsid w:val="00F2122C"/>
    <w:rsid w:val="00F25271"/>
    <w:rsid w:val="00F26904"/>
    <w:rsid w:val="00F278E4"/>
    <w:rsid w:val="00F3679C"/>
    <w:rsid w:val="00F44FEA"/>
    <w:rsid w:val="00F953C0"/>
    <w:rsid w:val="00F967C6"/>
    <w:rsid w:val="00F968FF"/>
    <w:rsid w:val="00FA6CB2"/>
    <w:rsid w:val="00FD0D93"/>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034E2"/>
  </w:style>
  <w:style w:type="character" w:customStyle="1" w:styleId="FootnoteTextChar">
    <w:name w:val="Footnote Text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034E2"/>
  </w:style>
  <w:style w:type="character" w:customStyle="1" w:styleId="FootnoteTextChar">
    <w:name w:val="Footnote Text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0EFC-AFB4-4B0F-9DD3-66D70BA3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2</cp:revision>
  <cp:lastPrinted>2015-03-19T14:37:00Z</cp:lastPrinted>
  <dcterms:created xsi:type="dcterms:W3CDTF">2015-03-19T14:38:00Z</dcterms:created>
  <dcterms:modified xsi:type="dcterms:W3CDTF">2015-03-19T14:38:00Z</dcterms:modified>
</cp:coreProperties>
</file>