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D7653F" w:rsidRPr="00D7653F">
        <w:trPr>
          <w:trHeight w:val="990"/>
        </w:trPr>
        <w:tc>
          <w:tcPr>
            <w:tcW w:w="1363" w:type="dxa"/>
          </w:tcPr>
          <w:p w:rsidR="00C74A51" w:rsidRPr="00D7653F" w:rsidRDefault="00463EE5">
            <w:pPr>
              <w:rPr>
                <w:color w:val="000000" w:themeColor="text1"/>
                <w:sz w:val="24"/>
              </w:rPr>
            </w:pPr>
            <w:r w:rsidRPr="00D7653F">
              <w:rPr>
                <w:noProof/>
                <w:color w:val="000000" w:themeColor="text1"/>
                <w:spacing w:val="-2"/>
              </w:rPr>
              <w:drawing>
                <wp:inline distT="0" distB="0" distL="0" distR="0" wp14:anchorId="7D08644F" wp14:editId="45FD1C1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D7653F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</w:p>
          <w:p w:rsidR="00C74A51" w:rsidRPr="00D7653F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D7653F">
              <w:rPr>
                <w:rFonts w:ascii="Arial" w:hAnsi="Arial"/>
                <w:color w:val="000000" w:themeColor="text1"/>
                <w:spacing w:val="-3"/>
                <w:sz w:val="26"/>
              </w:rPr>
              <w:t>COMMONWEALTH OF PENNSYLVANIA</w:t>
            </w:r>
          </w:p>
          <w:p w:rsidR="00C74A51" w:rsidRPr="00D7653F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D7653F">
              <w:rPr>
                <w:rFonts w:ascii="Arial" w:hAnsi="Arial"/>
                <w:color w:val="000000" w:themeColor="text1"/>
                <w:spacing w:val="-3"/>
                <w:sz w:val="26"/>
              </w:rPr>
              <w:t>PENNSYLVANIA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D7653F">
              <w:rPr>
                <w:rFonts w:ascii="Arial" w:hAnsi="Arial"/>
                <w:color w:val="000000" w:themeColor="text1"/>
                <w:spacing w:val="-3"/>
                <w:sz w:val="26"/>
              </w:rPr>
              <w:t>P.O. BOX 3265, HARRISBURG, PA 17105-3265</w:t>
            </w:r>
          </w:p>
          <w:p w:rsidR="00900A7D" w:rsidRDefault="00900A7D">
            <w:pPr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</w:p>
          <w:p w:rsidR="00900A7D" w:rsidRPr="00D7653F" w:rsidRDefault="00900A7D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  <w:r w:rsidRPr="00D7653F">
              <w:rPr>
                <w:b/>
                <w:color w:val="000000" w:themeColor="text1"/>
                <w:sz w:val="22"/>
                <w:szCs w:val="22"/>
              </w:rPr>
              <w:t xml:space="preserve">March 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D7653F">
              <w:rPr>
                <w:b/>
                <w:color w:val="000000" w:themeColor="text1"/>
                <w:sz w:val="22"/>
                <w:szCs w:val="22"/>
              </w:rPr>
              <w:t>, 2015</w:t>
            </w:r>
          </w:p>
        </w:tc>
        <w:tc>
          <w:tcPr>
            <w:tcW w:w="1440" w:type="dxa"/>
          </w:tcPr>
          <w:p w:rsidR="00C74A51" w:rsidRPr="00D7653F" w:rsidRDefault="00C74A51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C74A51" w:rsidRPr="00D7653F" w:rsidRDefault="00C74A51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C74A51" w:rsidRPr="00D7653F" w:rsidRDefault="00C74A51">
            <w:pPr>
              <w:jc w:val="right"/>
              <w:rPr>
                <w:rFonts w:ascii="Arial" w:hAnsi="Arial"/>
                <w:b/>
                <w:color w:val="000000" w:themeColor="text1"/>
                <w:spacing w:val="-1"/>
                <w:sz w:val="12"/>
              </w:rPr>
            </w:pPr>
            <w:r w:rsidRPr="00D7653F">
              <w:rPr>
                <w:rFonts w:ascii="Arial" w:hAnsi="Arial"/>
                <w:b/>
                <w:color w:val="000000" w:themeColor="text1"/>
                <w:spacing w:val="-1"/>
                <w:sz w:val="12"/>
              </w:rPr>
              <w:t>IN REPLY PLEASE REFER TO OUR FILE</w:t>
            </w:r>
          </w:p>
          <w:p w:rsidR="004F32B3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M-2014-2401127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M-2014-2401085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M-2014-2401103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M-2014-2401119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M-2014-2401130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M-2014-2401155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M-2014-2401151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M-2014-2401148</w:t>
            </w:r>
          </w:p>
          <w:p w:rsidR="00900A7D" w:rsidRPr="00900A7D" w:rsidRDefault="00900A7D">
            <w:pPr>
              <w:jc w:val="right"/>
              <w:rPr>
                <w:color w:val="000000" w:themeColor="text1"/>
                <w:sz w:val="14"/>
                <w:szCs w:val="16"/>
              </w:rPr>
            </w:pPr>
            <w:r w:rsidRPr="00900A7D">
              <w:rPr>
                <w:color w:val="000000" w:themeColor="text1"/>
                <w:sz w:val="14"/>
                <w:szCs w:val="16"/>
              </w:rPr>
              <w:t>M-2014-2401126</w:t>
            </w:r>
          </w:p>
          <w:p w:rsidR="003569E8" w:rsidRPr="00D7653F" w:rsidRDefault="003569E8" w:rsidP="00695E35">
            <w:pPr>
              <w:jc w:val="right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</w:tbl>
    <w:p w:rsidR="00C74A51" w:rsidRPr="00D7653F" w:rsidRDefault="00C74A51">
      <w:pPr>
        <w:rPr>
          <w:color w:val="000000" w:themeColor="text1"/>
          <w:sz w:val="24"/>
        </w:rPr>
        <w:sectPr w:rsidR="00C74A51" w:rsidRPr="00D7653F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1B4A9B" w:rsidRPr="00D7653F" w:rsidRDefault="009F637F" w:rsidP="001B4A9B">
      <w:pPr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lastRenderedPageBreak/>
        <w:t>To:</w:t>
      </w:r>
      <w:r w:rsidRPr="00D7653F">
        <w:rPr>
          <w:color w:val="000000" w:themeColor="text1"/>
          <w:sz w:val="26"/>
          <w:szCs w:val="26"/>
        </w:rPr>
        <w:tab/>
      </w:r>
      <w:r w:rsidR="006E2533" w:rsidRPr="00D7653F">
        <w:rPr>
          <w:color w:val="000000" w:themeColor="text1"/>
          <w:sz w:val="26"/>
          <w:szCs w:val="26"/>
        </w:rPr>
        <w:tab/>
      </w:r>
      <w:r w:rsidR="001B4A9B" w:rsidRPr="00D7653F">
        <w:rPr>
          <w:color w:val="000000" w:themeColor="text1"/>
          <w:sz w:val="26"/>
          <w:szCs w:val="26"/>
        </w:rPr>
        <w:t>All Jurisdictional Electric Distribution Companies</w:t>
      </w:r>
    </w:p>
    <w:p w:rsidR="001B4A9B" w:rsidRPr="00D7653F" w:rsidRDefault="001B4A9B" w:rsidP="001B4A9B">
      <w:pPr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ab/>
      </w:r>
      <w:r w:rsidRPr="00D7653F">
        <w:rPr>
          <w:color w:val="000000" w:themeColor="text1"/>
          <w:sz w:val="26"/>
          <w:szCs w:val="26"/>
        </w:rPr>
        <w:tab/>
        <w:t>Electric Retail Markets Investigation Participants</w:t>
      </w:r>
    </w:p>
    <w:p w:rsidR="001B4A9B" w:rsidRPr="00D7653F" w:rsidRDefault="001B4A9B" w:rsidP="001B4A9B">
      <w:pPr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ab/>
      </w:r>
      <w:r w:rsidRPr="00D7653F">
        <w:rPr>
          <w:color w:val="000000" w:themeColor="text1"/>
          <w:sz w:val="26"/>
          <w:szCs w:val="26"/>
        </w:rPr>
        <w:tab/>
        <w:t>Committee Handling Activities for Growth in Electricity</w:t>
      </w:r>
    </w:p>
    <w:p w:rsidR="009F637F" w:rsidRPr="00D7653F" w:rsidRDefault="009F637F" w:rsidP="001B4A9B">
      <w:pPr>
        <w:rPr>
          <w:color w:val="000000" w:themeColor="text1"/>
          <w:sz w:val="26"/>
          <w:szCs w:val="26"/>
        </w:rPr>
      </w:pPr>
    </w:p>
    <w:p w:rsidR="00695E35" w:rsidRPr="00D7653F" w:rsidRDefault="00695E35" w:rsidP="00EB5668">
      <w:pPr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Re: </w:t>
      </w:r>
      <w:r w:rsidR="005F26A1" w:rsidRPr="00D7653F">
        <w:rPr>
          <w:color w:val="000000" w:themeColor="text1"/>
          <w:sz w:val="26"/>
          <w:szCs w:val="26"/>
        </w:rPr>
        <w:t xml:space="preserve"> </w:t>
      </w:r>
      <w:r w:rsidR="006E2533" w:rsidRPr="00D7653F">
        <w:rPr>
          <w:color w:val="000000" w:themeColor="text1"/>
          <w:sz w:val="26"/>
          <w:szCs w:val="26"/>
        </w:rPr>
        <w:tab/>
      </w:r>
      <w:r w:rsidR="006E2533" w:rsidRPr="00D7653F">
        <w:rPr>
          <w:color w:val="000000" w:themeColor="text1"/>
          <w:sz w:val="26"/>
          <w:szCs w:val="26"/>
        </w:rPr>
        <w:tab/>
      </w:r>
      <w:r w:rsidR="004E2BC9" w:rsidRPr="00D7653F">
        <w:rPr>
          <w:color w:val="000000" w:themeColor="text1"/>
          <w:sz w:val="26"/>
          <w:szCs w:val="26"/>
        </w:rPr>
        <w:t xml:space="preserve">EDC plan filings for Seamless Moves </w:t>
      </w:r>
      <w:r w:rsidR="006003D4" w:rsidRPr="00D7653F">
        <w:rPr>
          <w:color w:val="000000" w:themeColor="text1"/>
          <w:sz w:val="26"/>
          <w:szCs w:val="26"/>
        </w:rPr>
        <w:t>and Instant Connects.</w:t>
      </w:r>
    </w:p>
    <w:p w:rsidR="006B5192" w:rsidRPr="00D7653F" w:rsidRDefault="006B5192" w:rsidP="00EB5668">
      <w:pPr>
        <w:rPr>
          <w:color w:val="000000" w:themeColor="text1"/>
          <w:sz w:val="26"/>
          <w:szCs w:val="26"/>
        </w:rPr>
      </w:pPr>
    </w:p>
    <w:p w:rsidR="00EE3B9C" w:rsidRPr="00D7653F" w:rsidRDefault="006B5192" w:rsidP="00900A7D">
      <w:pPr>
        <w:widowControl w:val="0"/>
        <w:ind w:left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Docket No</w:t>
      </w:r>
      <w:r w:rsidR="000B0E5B" w:rsidRPr="00D7653F">
        <w:rPr>
          <w:color w:val="000000" w:themeColor="text1"/>
          <w:sz w:val="26"/>
          <w:szCs w:val="26"/>
        </w:rPr>
        <w:t>s</w:t>
      </w:r>
      <w:r w:rsidRPr="00D7653F">
        <w:rPr>
          <w:color w:val="000000" w:themeColor="text1"/>
          <w:sz w:val="26"/>
          <w:szCs w:val="26"/>
        </w:rPr>
        <w:t>.:</w:t>
      </w:r>
      <w:r w:rsidRPr="00D7653F">
        <w:rPr>
          <w:color w:val="000000" w:themeColor="text1"/>
          <w:sz w:val="26"/>
          <w:szCs w:val="26"/>
        </w:rPr>
        <w:tab/>
      </w:r>
      <w:r w:rsidR="00EE3B9C" w:rsidRPr="00D7653F">
        <w:rPr>
          <w:color w:val="000000" w:themeColor="text1"/>
          <w:sz w:val="26"/>
          <w:szCs w:val="26"/>
        </w:rPr>
        <w:t>M-2014-2401127</w:t>
      </w:r>
      <w:r w:rsidR="00EE3B9C" w:rsidRPr="00D7653F">
        <w:rPr>
          <w:color w:val="000000" w:themeColor="text1"/>
          <w:sz w:val="26"/>
          <w:szCs w:val="26"/>
        </w:rPr>
        <w:tab/>
        <w:t>Duquesne Light</w:t>
      </w:r>
      <w:r w:rsidR="00591507" w:rsidRPr="00D7653F">
        <w:rPr>
          <w:color w:val="000000" w:themeColor="text1"/>
          <w:sz w:val="26"/>
          <w:szCs w:val="26"/>
        </w:rPr>
        <w:t xml:space="preserve"> Company  </w:t>
      </w:r>
    </w:p>
    <w:p w:rsidR="00591507" w:rsidRPr="00D7653F" w:rsidRDefault="00EE3B9C" w:rsidP="00900A7D">
      <w:pPr>
        <w:ind w:left="1872" w:hanging="432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ab/>
      </w:r>
      <w:r w:rsidRPr="00D7653F">
        <w:rPr>
          <w:color w:val="000000" w:themeColor="text1"/>
          <w:sz w:val="26"/>
          <w:szCs w:val="26"/>
        </w:rPr>
        <w:tab/>
        <w:t>M-2014-2401085</w:t>
      </w:r>
      <w:r w:rsidRPr="00D7653F">
        <w:rPr>
          <w:color w:val="000000" w:themeColor="text1"/>
          <w:sz w:val="26"/>
          <w:szCs w:val="26"/>
        </w:rPr>
        <w:tab/>
        <w:t>PECO</w:t>
      </w:r>
      <w:r w:rsidR="00591507" w:rsidRPr="00D7653F">
        <w:rPr>
          <w:color w:val="000000" w:themeColor="text1"/>
          <w:sz w:val="26"/>
          <w:szCs w:val="26"/>
        </w:rPr>
        <w:t xml:space="preserve"> Energy Company</w:t>
      </w:r>
    </w:p>
    <w:p w:rsidR="00EE3B9C" w:rsidRPr="00D7653F" w:rsidRDefault="00EE3B9C" w:rsidP="00900A7D">
      <w:pPr>
        <w:ind w:left="1872" w:firstLine="288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M-2014-2401103</w:t>
      </w:r>
      <w:r w:rsidRPr="00D7653F">
        <w:rPr>
          <w:color w:val="000000" w:themeColor="text1"/>
          <w:sz w:val="26"/>
          <w:szCs w:val="26"/>
        </w:rPr>
        <w:tab/>
        <w:t>PPL</w:t>
      </w:r>
      <w:r w:rsidR="00591507" w:rsidRPr="00D7653F">
        <w:rPr>
          <w:color w:val="000000" w:themeColor="text1"/>
          <w:sz w:val="26"/>
          <w:szCs w:val="26"/>
        </w:rPr>
        <w:t xml:space="preserve"> Electric Utilities</w:t>
      </w:r>
    </w:p>
    <w:p w:rsidR="00EE3B9C" w:rsidRPr="00D7653F" w:rsidRDefault="00900A7D" w:rsidP="00EE3B9C">
      <w:pPr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ab/>
      </w:r>
      <w:r w:rsidR="00EE3B9C" w:rsidRPr="00D7653F">
        <w:rPr>
          <w:color w:val="000000" w:themeColor="text1"/>
          <w:sz w:val="26"/>
          <w:szCs w:val="26"/>
        </w:rPr>
        <w:t>M-2014-2401119</w:t>
      </w:r>
      <w:r w:rsidR="00EE3B9C" w:rsidRPr="00D7653F">
        <w:rPr>
          <w:color w:val="000000" w:themeColor="text1"/>
          <w:sz w:val="26"/>
          <w:szCs w:val="26"/>
        </w:rPr>
        <w:tab/>
        <w:t>Pike County Light and Power</w:t>
      </w:r>
    </w:p>
    <w:p w:rsidR="00EE3B9C" w:rsidRPr="00D7653F" w:rsidRDefault="00900A7D" w:rsidP="00EE3B9C">
      <w:pPr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ab/>
      </w:r>
      <w:r w:rsidR="00EE3B9C" w:rsidRPr="00D7653F">
        <w:rPr>
          <w:color w:val="000000" w:themeColor="text1"/>
          <w:sz w:val="26"/>
          <w:szCs w:val="26"/>
        </w:rPr>
        <w:t>M-2014-2401130</w:t>
      </w:r>
      <w:r w:rsidR="00EE3B9C" w:rsidRPr="00D7653F">
        <w:rPr>
          <w:color w:val="000000" w:themeColor="text1"/>
          <w:sz w:val="26"/>
          <w:szCs w:val="26"/>
        </w:rPr>
        <w:tab/>
        <w:t>Met</w:t>
      </w:r>
      <w:r w:rsidR="00591507" w:rsidRPr="00D7653F">
        <w:rPr>
          <w:color w:val="000000" w:themeColor="text1"/>
          <w:sz w:val="26"/>
          <w:szCs w:val="26"/>
        </w:rPr>
        <w:t>ropolitan</w:t>
      </w:r>
      <w:r w:rsidR="00EE3B9C" w:rsidRPr="00D7653F">
        <w:rPr>
          <w:color w:val="000000" w:themeColor="text1"/>
          <w:sz w:val="26"/>
          <w:szCs w:val="26"/>
        </w:rPr>
        <w:t xml:space="preserve"> Ed</w:t>
      </w:r>
      <w:r w:rsidR="00591507" w:rsidRPr="00D7653F">
        <w:rPr>
          <w:color w:val="000000" w:themeColor="text1"/>
          <w:sz w:val="26"/>
          <w:szCs w:val="26"/>
        </w:rPr>
        <w:t xml:space="preserve">ison Company </w:t>
      </w:r>
    </w:p>
    <w:p w:rsidR="00EE3B9C" w:rsidRPr="00D7653F" w:rsidRDefault="00900A7D" w:rsidP="00EE3B9C">
      <w:pPr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EE3B9C" w:rsidRPr="00D7653F">
        <w:rPr>
          <w:color w:val="000000" w:themeColor="text1"/>
          <w:sz w:val="26"/>
          <w:szCs w:val="26"/>
        </w:rPr>
        <w:t>M-2014-2401155</w:t>
      </w:r>
      <w:r w:rsidR="00EE3B9C" w:rsidRPr="00D7653F">
        <w:rPr>
          <w:color w:val="000000" w:themeColor="text1"/>
          <w:sz w:val="26"/>
          <w:szCs w:val="26"/>
        </w:rPr>
        <w:tab/>
        <w:t>Pen</w:t>
      </w:r>
      <w:r w:rsidR="00591507" w:rsidRPr="00D7653F">
        <w:rPr>
          <w:color w:val="000000" w:themeColor="text1"/>
          <w:sz w:val="26"/>
          <w:szCs w:val="26"/>
        </w:rPr>
        <w:t>nsylvania El</w:t>
      </w:r>
      <w:r w:rsidR="00EE3B9C" w:rsidRPr="00D7653F">
        <w:rPr>
          <w:color w:val="000000" w:themeColor="text1"/>
          <w:sz w:val="26"/>
          <w:szCs w:val="26"/>
        </w:rPr>
        <w:t>ec</w:t>
      </w:r>
      <w:r w:rsidR="00591507" w:rsidRPr="00D7653F">
        <w:rPr>
          <w:color w:val="000000" w:themeColor="text1"/>
          <w:sz w:val="26"/>
          <w:szCs w:val="26"/>
        </w:rPr>
        <w:t xml:space="preserve">tric Company </w:t>
      </w:r>
    </w:p>
    <w:p w:rsidR="00EE3B9C" w:rsidRPr="00D7653F" w:rsidRDefault="00EE3B9C" w:rsidP="00900A7D">
      <w:pPr>
        <w:ind w:left="720" w:firstLine="144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M-2014-2401151</w:t>
      </w:r>
      <w:r w:rsidRPr="00D7653F">
        <w:rPr>
          <w:color w:val="000000" w:themeColor="text1"/>
          <w:sz w:val="26"/>
          <w:szCs w:val="26"/>
        </w:rPr>
        <w:tab/>
        <w:t>Penn</w:t>
      </w:r>
      <w:r w:rsidR="00591507" w:rsidRPr="00D7653F">
        <w:rPr>
          <w:color w:val="000000" w:themeColor="text1"/>
          <w:sz w:val="26"/>
          <w:szCs w:val="26"/>
        </w:rPr>
        <w:t xml:space="preserve">sylvania </w:t>
      </w:r>
      <w:r w:rsidRPr="00D7653F">
        <w:rPr>
          <w:color w:val="000000" w:themeColor="text1"/>
          <w:sz w:val="26"/>
          <w:szCs w:val="26"/>
        </w:rPr>
        <w:t>Power</w:t>
      </w:r>
      <w:r w:rsidR="00591507" w:rsidRPr="00D7653F">
        <w:rPr>
          <w:color w:val="000000" w:themeColor="text1"/>
          <w:sz w:val="26"/>
          <w:szCs w:val="26"/>
        </w:rPr>
        <w:t xml:space="preserve"> Company  </w:t>
      </w:r>
    </w:p>
    <w:p w:rsidR="00EE3B9C" w:rsidRPr="00D7653F" w:rsidRDefault="00EE3B9C" w:rsidP="00900A7D">
      <w:pPr>
        <w:ind w:left="720" w:firstLine="144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M-2014-2401148  </w:t>
      </w:r>
      <w:r w:rsidRPr="00D7653F">
        <w:rPr>
          <w:color w:val="000000" w:themeColor="text1"/>
          <w:sz w:val="26"/>
          <w:szCs w:val="26"/>
        </w:rPr>
        <w:tab/>
        <w:t>West Penn Power</w:t>
      </w:r>
      <w:r w:rsidR="00591507" w:rsidRPr="00D7653F">
        <w:rPr>
          <w:color w:val="000000" w:themeColor="text1"/>
          <w:sz w:val="26"/>
          <w:szCs w:val="26"/>
        </w:rPr>
        <w:t xml:space="preserve"> Company</w:t>
      </w:r>
      <w:r w:rsidRPr="00D7653F">
        <w:rPr>
          <w:color w:val="000000" w:themeColor="text1"/>
          <w:sz w:val="26"/>
          <w:szCs w:val="26"/>
        </w:rPr>
        <w:t xml:space="preserve">  </w:t>
      </w:r>
    </w:p>
    <w:p w:rsidR="00EE3B9C" w:rsidRPr="00D7653F" w:rsidRDefault="00EE3B9C" w:rsidP="00900A7D">
      <w:pPr>
        <w:ind w:left="720" w:firstLine="144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M-2014-2401126  </w:t>
      </w:r>
      <w:r w:rsidRPr="00D7653F">
        <w:rPr>
          <w:color w:val="000000" w:themeColor="text1"/>
          <w:sz w:val="26"/>
          <w:szCs w:val="26"/>
        </w:rPr>
        <w:tab/>
        <w:t xml:space="preserve">UGI </w:t>
      </w:r>
      <w:r w:rsidR="00591507" w:rsidRPr="00D7653F">
        <w:rPr>
          <w:color w:val="000000" w:themeColor="text1"/>
          <w:sz w:val="26"/>
          <w:szCs w:val="26"/>
        </w:rPr>
        <w:t xml:space="preserve">Utilities – </w:t>
      </w:r>
      <w:r w:rsidRPr="00D7653F">
        <w:rPr>
          <w:color w:val="000000" w:themeColor="text1"/>
          <w:sz w:val="26"/>
          <w:szCs w:val="26"/>
        </w:rPr>
        <w:t>Electric</w:t>
      </w:r>
      <w:r w:rsidR="00591507" w:rsidRPr="00D7653F">
        <w:rPr>
          <w:color w:val="000000" w:themeColor="text1"/>
          <w:sz w:val="26"/>
          <w:szCs w:val="26"/>
        </w:rPr>
        <w:t xml:space="preserve"> Division</w:t>
      </w:r>
    </w:p>
    <w:p w:rsidR="004E2BC9" w:rsidRPr="00D7653F" w:rsidRDefault="004E2BC9" w:rsidP="00EE3B9C">
      <w:pPr>
        <w:rPr>
          <w:b/>
          <w:color w:val="000000" w:themeColor="text1"/>
          <w:sz w:val="26"/>
          <w:szCs w:val="26"/>
        </w:rPr>
      </w:pPr>
    </w:p>
    <w:p w:rsidR="006003D4" w:rsidRPr="00D7653F" w:rsidRDefault="00E42588" w:rsidP="001048A6">
      <w:pPr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ab/>
      </w:r>
      <w:r w:rsidR="004E2BC9" w:rsidRPr="00D7653F">
        <w:rPr>
          <w:color w:val="000000" w:themeColor="text1"/>
          <w:sz w:val="26"/>
          <w:szCs w:val="26"/>
        </w:rPr>
        <w:t xml:space="preserve">The purpose of this Secretarial Letter is to inform all interested parties of the </w:t>
      </w:r>
      <w:r w:rsidR="0096785B" w:rsidRPr="00D7653F">
        <w:rPr>
          <w:color w:val="000000" w:themeColor="text1"/>
          <w:sz w:val="26"/>
          <w:szCs w:val="26"/>
        </w:rPr>
        <w:t xml:space="preserve">modification of the implementation timelines for </w:t>
      </w:r>
      <w:r w:rsidR="006003D4" w:rsidRPr="00D7653F">
        <w:rPr>
          <w:color w:val="000000" w:themeColor="text1"/>
          <w:sz w:val="26"/>
          <w:szCs w:val="26"/>
        </w:rPr>
        <w:t>Electric Distribution Companies (</w:t>
      </w:r>
      <w:r w:rsidR="0096785B" w:rsidRPr="00D7653F">
        <w:rPr>
          <w:color w:val="000000" w:themeColor="text1"/>
          <w:sz w:val="26"/>
          <w:szCs w:val="26"/>
        </w:rPr>
        <w:t>EDCs</w:t>
      </w:r>
      <w:r w:rsidR="006003D4" w:rsidRPr="00D7653F">
        <w:rPr>
          <w:color w:val="000000" w:themeColor="text1"/>
          <w:sz w:val="26"/>
          <w:szCs w:val="26"/>
        </w:rPr>
        <w:t>)</w:t>
      </w:r>
      <w:r w:rsidR="0096785B" w:rsidRPr="00D7653F">
        <w:rPr>
          <w:color w:val="000000" w:themeColor="text1"/>
          <w:sz w:val="26"/>
          <w:szCs w:val="26"/>
        </w:rPr>
        <w:t xml:space="preserve"> and the plans for </w:t>
      </w:r>
      <w:r w:rsidR="0096785B" w:rsidRPr="00D7653F">
        <w:rPr>
          <w:i/>
          <w:color w:val="000000" w:themeColor="text1"/>
          <w:sz w:val="26"/>
          <w:szCs w:val="26"/>
        </w:rPr>
        <w:t>seamless moves</w:t>
      </w:r>
      <w:r w:rsidR="006003D4" w:rsidRPr="00D7653F">
        <w:rPr>
          <w:color w:val="000000" w:themeColor="text1"/>
          <w:sz w:val="26"/>
          <w:szCs w:val="26"/>
        </w:rPr>
        <w:t xml:space="preserve"> and </w:t>
      </w:r>
      <w:r w:rsidR="006003D4" w:rsidRPr="00D7653F">
        <w:rPr>
          <w:i/>
          <w:color w:val="000000" w:themeColor="text1"/>
          <w:sz w:val="26"/>
          <w:szCs w:val="26"/>
        </w:rPr>
        <w:t>instant connects</w:t>
      </w:r>
      <w:r w:rsidR="0096785B" w:rsidRPr="00D7653F">
        <w:rPr>
          <w:color w:val="000000" w:themeColor="text1"/>
          <w:sz w:val="26"/>
          <w:szCs w:val="26"/>
        </w:rPr>
        <w:t xml:space="preserve">. </w:t>
      </w:r>
    </w:p>
    <w:p w:rsidR="006003D4" w:rsidRPr="00D7653F" w:rsidRDefault="006003D4" w:rsidP="001048A6">
      <w:pPr>
        <w:rPr>
          <w:color w:val="000000" w:themeColor="text1"/>
          <w:sz w:val="26"/>
          <w:szCs w:val="26"/>
        </w:rPr>
      </w:pPr>
    </w:p>
    <w:p w:rsidR="00FC2821" w:rsidRPr="00D7653F" w:rsidRDefault="006003D4" w:rsidP="006003D4">
      <w:pPr>
        <w:ind w:firstLine="720"/>
        <w:rPr>
          <w:color w:val="000000" w:themeColor="text1"/>
          <w:sz w:val="26"/>
          <w:szCs w:val="26"/>
        </w:rPr>
      </w:pP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and </w:t>
      </w:r>
      <w:r w:rsidRPr="00D7653F">
        <w:rPr>
          <w:i/>
          <w:color w:val="000000" w:themeColor="text1"/>
          <w:sz w:val="26"/>
          <w:szCs w:val="26"/>
        </w:rPr>
        <w:t>instant connects</w:t>
      </w:r>
      <w:r w:rsidRPr="00D7653F">
        <w:rPr>
          <w:color w:val="000000" w:themeColor="text1"/>
          <w:sz w:val="26"/>
          <w:szCs w:val="26"/>
        </w:rPr>
        <w:t xml:space="preserve"> arose from the RMI </w:t>
      </w:r>
      <w:r w:rsidRPr="00D7653F">
        <w:rPr>
          <w:i/>
          <w:color w:val="000000" w:themeColor="text1"/>
          <w:sz w:val="26"/>
          <w:szCs w:val="26"/>
        </w:rPr>
        <w:t>End State Final Order</w:t>
      </w:r>
      <w:r w:rsidRPr="00D7653F">
        <w:rPr>
          <w:color w:val="000000" w:themeColor="text1"/>
          <w:sz w:val="26"/>
          <w:szCs w:val="26"/>
        </w:rPr>
        <w:t>.</w:t>
      </w:r>
      <w:r w:rsidRPr="00D7653F">
        <w:rPr>
          <w:color w:val="000000" w:themeColor="text1"/>
          <w:sz w:val="26"/>
          <w:szCs w:val="26"/>
          <w:vertAlign w:val="superscript"/>
        </w:rPr>
        <w:footnoteReference w:id="1"/>
      </w:r>
      <w:r w:rsidRPr="00D7653F">
        <w:rPr>
          <w:color w:val="000000" w:themeColor="text1"/>
          <w:sz w:val="26"/>
          <w:szCs w:val="26"/>
        </w:rPr>
        <w:t xml:space="preserve">  In this Order, the Commission directed the EDCs to file, by the end of 2013, plans for implementing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and </w:t>
      </w:r>
      <w:r w:rsidRPr="00D7653F">
        <w:rPr>
          <w:i/>
          <w:color w:val="000000" w:themeColor="text1"/>
          <w:sz w:val="26"/>
          <w:szCs w:val="26"/>
        </w:rPr>
        <w:t>instant connects</w:t>
      </w:r>
      <w:r w:rsidRPr="00D7653F">
        <w:rPr>
          <w:color w:val="000000" w:themeColor="text1"/>
          <w:sz w:val="26"/>
          <w:szCs w:val="26"/>
        </w:rPr>
        <w:t xml:space="preserve"> in their service territories by June 2015.  A “</w:t>
      </w:r>
      <w:r w:rsidRPr="00D7653F">
        <w:rPr>
          <w:i/>
          <w:color w:val="000000" w:themeColor="text1"/>
          <w:sz w:val="26"/>
          <w:szCs w:val="26"/>
        </w:rPr>
        <w:t>seamless move”</w:t>
      </w:r>
      <w:r w:rsidRPr="00D7653F">
        <w:rPr>
          <w:color w:val="000000" w:themeColor="text1"/>
          <w:sz w:val="26"/>
          <w:szCs w:val="26"/>
        </w:rPr>
        <w:t xml:space="preserve"> is the ability of a customer to move </w:t>
      </w:r>
      <w:r w:rsidR="000B0E5B" w:rsidRPr="00D7653F">
        <w:rPr>
          <w:color w:val="000000" w:themeColor="text1"/>
          <w:sz w:val="26"/>
          <w:szCs w:val="26"/>
        </w:rPr>
        <w:t xml:space="preserve">to </w:t>
      </w:r>
      <w:r w:rsidRPr="00D7653F">
        <w:rPr>
          <w:color w:val="000000" w:themeColor="text1"/>
          <w:sz w:val="26"/>
          <w:szCs w:val="26"/>
        </w:rPr>
        <w:t>a new address and retain its current electric generation supplier (EGS) without interruption.  “</w:t>
      </w:r>
      <w:r w:rsidRPr="00D7653F">
        <w:rPr>
          <w:i/>
          <w:color w:val="000000" w:themeColor="text1"/>
          <w:sz w:val="26"/>
          <w:szCs w:val="26"/>
        </w:rPr>
        <w:t xml:space="preserve">Instant </w:t>
      </w:r>
      <w:proofErr w:type="gramStart"/>
      <w:r w:rsidRPr="00D7653F">
        <w:rPr>
          <w:i/>
          <w:color w:val="000000" w:themeColor="text1"/>
          <w:sz w:val="26"/>
          <w:szCs w:val="26"/>
        </w:rPr>
        <w:t>connect</w:t>
      </w:r>
      <w:proofErr w:type="gramEnd"/>
      <w:r w:rsidRPr="00D7653F">
        <w:rPr>
          <w:color w:val="000000" w:themeColor="text1"/>
          <w:sz w:val="26"/>
          <w:szCs w:val="26"/>
        </w:rPr>
        <w:t xml:space="preserve">” is the ability of competitive generation supply service to start on “day one” of new utility service – without the customer first having to go on default service.  </w:t>
      </w:r>
    </w:p>
    <w:p w:rsidR="00FC2821" w:rsidRPr="00D7653F" w:rsidRDefault="00FC2821" w:rsidP="006003D4">
      <w:pPr>
        <w:ind w:firstLine="720"/>
        <w:rPr>
          <w:color w:val="000000" w:themeColor="text1"/>
          <w:sz w:val="26"/>
          <w:szCs w:val="26"/>
        </w:rPr>
      </w:pPr>
    </w:p>
    <w:p w:rsidR="001048A6" w:rsidRPr="00D7653F" w:rsidRDefault="0096785B" w:rsidP="006003D4">
      <w:pPr>
        <w:ind w:firstLine="720"/>
        <w:rPr>
          <w:i/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The </w:t>
      </w:r>
      <w:r w:rsidR="004E2BC9" w:rsidRPr="00D7653F">
        <w:rPr>
          <w:color w:val="000000" w:themeColor="text1"/>
          <w:sz w:val="26"/>
          <w:szCs w:val="26"/>
        </w:rPr>
        <w:t>filings submitted by the EDCs in response to the Commission’s directives concerning</w:t>
      </w:r>
      <w:r w:rsidR="001D1C24" w:rsidRPr="00D7653F">
        <w:rPr>
          <w:color w:val="000000" w:themeColor="text1"/>
          <w:sz w:val="26"/>
          <w:szCs w:val="26"/>
        </w:rPr>
        <w:t xml:space="preserve"> </w:t>
      </w:r>
      <w:r w:rsidRPr="00D7653F">
        <w:rPr>
          <w:color w:val="000000" w:themeColor="text1"/>
          <w:sz w:val="26"/>
          <w:szCs w:val="26"/>
        </w:rPr>
        <w:t xml:space="preserve">these processes </w:t>
      </w:r>
      <w:r w:rsidR="001048A6" w:rsidRPr="00D7653F">
        <w:rPr>
          <w:color w:val="000000" w:themeColor="text1"/>
          <w:sz w:val="26"/>
          <w:szCs w:val="26"/>
        </w:rPr>
        <w:t xml:space="preserve">are available for review on the Commission’s website by using the “Search </w:t>
      </w:r>
      <w:proofErr w:type="gramStart"/>
      <w:r w:rsidR="001048A6" w:rsidRPr="00D7653F">
        <w:rPr>
          <w:color w:val="000000" w:themeColor="text1"/>
          <w:sz w:val="26"/>
          <w:szCs w:val="26"/>
        </w:rPr>
        <w:t>For</w:t>
      </w:r>
      <w:proofErr w:type="gramEnd"/>
      <w:r w:rsidR="001048A6" w:rsidRPr="00D7653F">
        <w:rPr>
          <w:color w:val="000000" w:themeColor="text1"/>
          <w:sz w:val="26"/>
          <w:szCs w:val="26"/>
        </w:rPr>
        <w:t xml:space="preserve"> Documents” webpage (link:  </w:t>
      </w:r>
      <w:hyperlink r:id="rId12" w:history="1">
        <w:r w:rsidR="001048A6" w:rsidRPr="00D7653F">
          <w:rPr>
            <w:rStyle w:val="Hyperlink"/>
            <w:color w:val="000000" w:themeColor="text1"/>
            <w:sz w:val="26"/>
            <w:szCs w:val="26"/>
          </w:rPr>
          <w:t>http://www.puc.pa.gov/about_puc/search_results.aspx?advanced=true</w:t>
        </w:r>
      </w:hyperlink>
      <w:r w:rsidR="001048A6" w:rsidRPr="00D7653F">
        <w:rPr>
          <w:color w:val="000000" w:themeColor="text1"/>
          <w:sz w:val="26"/>
          <w:szCs w:val="26"/>
        </w:rPr>
        <w:t xml:space="preserve">) and inputting the appropriate docket number (the docket numbers for each EDC are listed above).      </w:t>
      </w:r>
      <w:r w:rsidR="004E2BC9" w:rsidRPr="00D7653F">
        <w:rPr>
          <w:color w:val="000000" w:themeColor="text1"/>
          <w:sz w:val="26"/>
          <w:szCs w:val="26"/>
        </w:rPr>
        <w:t xml:space="preserve">  </w:t>
      </w:r>
    </w:p>
    <w:p w:rsidR="001048A6" w:rsidRPr="00D7653F" w:rsidRDefault="001048A6" w:rsidP="00B1042A">
      <w:pPr>
        <w:rPr>
          <w:color w:val="000000" w:themeColor="text1"/>
          <w:sz w:val="26"/>
          <w:szCs w:val="26"/>
        </w:rPr>
      </w:pPr>
    </w:p>
    <w:p w:rsidR="00900A7D" w:rsidRDefault="00900A7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404881" w:rsidRPr="00D7653F" w:rsidRDefault="00F174BA" w:rsidP="001048A6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lastRenderedPageBreak/>
        <w:t>S</w:t>
      </w:r>
      <w:r w:rsidR="001F3754" w:rsidRPr="00D7653F">
        <w:rPr>
          <w:color w:val="000000" w:themeColor="text1"/>
          <w:sz w:val="26"/>
          <w:szCs w:val="26"/>
        </w:rPr>
        <w:t xml:space="preserve">ubsequent events caused </w:t>
      </w:r>
      <w:r w:rsidR="0096785B" w:rsidRPr="00D7653F">
        <w:rPr>
          <w:color w:val="000000" w:themeColor="text1"/>
          <w:sz w:val="26"/>
          <w:szCs w:val="26"/>
        </w:rPr>
        <w:t>the Commission</w:t>
      </w:r>
      <w:r w:rsidR="001F3754" w:rsidRPr="00D7653F">
        <w:rPr>
          <w:color w:val="000000" w:themeColor="text1"/>
          <w:sz w:val="26"/>
          <w:szCs w:val="26"/>
        </w:rPr>
        <w:t xml:space="preserve"> to </w:t>
      </w:r>
      <w:r w:rsidR="0096785B" w:rsidRPr="00D7653F">
        <w:rPr>
          <w:color w:val="000000" w:themeColor="text1"/>
          <w:sz w:val="26"/>
          <w:szCs w:val="26"/>
        </w:rPr>
        <w:t>modify the implementation timelines for</w:t>
      </w:r>
      <w:r w:rsidR="001F3754" w:rsidRPr="00D7653F">
        <w:rPr>
          <w:color w:val="000000" w:themeColor="text1"/>
          <w:sz w:val="26"/>
          <w:szCs w:val="26"/>
        </w:rPr>
        <w:t xml:space="preserve"> these </w:t>
      </w:r>
      <w:r w:rsidR="00681FF1" w:rsidRPr="00D7653F">
        <w:rPr>
          <w:color w:val="000000" w:themeColor="text1"/>
          <w:sz w:val="26"/>
          <w:szCs w:val="26"/>
        </w:rPr>
        <w:t xml:space="preserve">new </w:t>
      </w:r>
      <w:r w:rsidR="001F3754" w:rsidRPr="00D7653F">
        <w:rPr>
          <w:color w:val="000000" w:themeColor="text1"/>
          <w:sz w:val="26"/>
          <w:szCs w:val="26"/>
        </w:rPr>
        <w:t xml:space="preserve">market enhancements.  Specifically, </w:t>
      </w:r>
      <w:r w:rsidR="00F2183B" w:rsidRPr="00D7653F">
        <w:rPr>
          <w:color w:val="000000" w:themeColor="text1"/>
          <w:sz w:val="26"/>
          <w:szCs w:val="26"/>
        </w:rPr>
        <w:t>o</w:t>
      </w:r>
      <w:r w:rsidR="001F3754" w:rsidRPr="00D7653F">
        <w:rPr>
          <w:color w:val="000000" w:themeColor="text1"/>
          <w:sz w:val="26"/>
          <w:szCs w:val="26"/>
        </w:rPr>
        <w:t>n April 3, 2014</w:t>
      </w:r>
      <w:r w:rsidR="0008483B" w:rsidRPr="00D7653F">
        <w:rPr>
          <w:color w:val="000000" w:themeColor="text1"/>
          <w:sz w:val="26"/>
          <w:szCs w:val="26"/>
        </w:rPr>
        <w:t>,</w:t>
      </w:r>
      <w:r w:rsidR="001F3754" w:rsidRPr="00D7653F">
        <w:rPr>
          <w:color w:val="000000" w:themeColor="text1"/>
          <w:sz w:val="26"/>
          <w:szCs w:val="26"/>
        </w:rPr>
        <w:t xml:space="preserve"> the Commission promulgated new regulations directing the EDCs to develop 3-</w:t>
      </w:r>
      <w:r w:rsidR="00D22C20" w:rsidRPr="00D7653F">
        <w:rPr>
          <w:color w:val="000000" w:themeColor="text1"/>
          <w:sz w:val="26"/>
          <w:szCs w:val="26"/>
        </w:rPr>
        <w:t xml:space="preserve">business </w:t>
      </w:r>
      <w:r w:rsidR="001F3754" w:rsidRPr="00D7653F">
        <w:rPr>
          <w:color w:val="000000" w:themeColor="text1"/>
          <w:sz w:val="26"/>
          <w:szCs w:val="26"/>
        </w:rPr>
        <w:t xml:space="preserve">day supplier switching </w:t>
      </w:r>
      <w:r w:rsidR="00D22C20" w:rsidRPr="00D7653F">
        <w:rPr>
          <w:color w:val="000000" w:themeColor="text1"/>
          <w:sz w:val="26"/>
          <w:szCs w:val="26"/>
        </w:rPr>
        <w:t>timeframes.</w:t>
      </w:r>
      <w:r w:rsidR="00D22C20" w:rsidRPr="00D7653F">
        <w:rPr>
          <w:rStyle w:val="FootnoteReference"/>
          <w:color w:val="000000" w:themeColor="text1"/>
          <w:sz w:val="26"/>
          <w:szCs w:val="26"/>
        </w:rPr>
        <w:footnoteReference w:id="2"/>
      </w:r>
      <w:r w:rsidR="00D22C20" w:rsidRPr="00D7653F">
        <w:rPr>
          <w:color w:val="000000" w:themeColor="text1"/>
          <w:sz w:val="26"/>
          <w:szCs w:val="26"/>
        </w:rPr>
        <w:t xml:space="preserve">  </w:t>
      </w:r>
      <w:r w:rsidR="0096785B" w:rsidRPr="00D7653F">
        <w:rPr>
          <w:color w:val="000000" w:themeColor="text1"/>
          <w:sz w:val="26"/>
          <w:szCs w:val="26"/>
        </w:rPr>
        <w:t>Imple</w:t>
      </w:r>
      <w:r w:rsidR="007B1A12" w:rsidRPr="00D7653F">
        <w:rPr>
          <w:color w:val="000000" w:themeColor="text1"/>
          <w:sz w:val="26"/>
          <w:szCs w:val="26"/>
        </w:rPr>
        <w:t>me</w:t>
      </w:r>
      <w:r w:rsidR="0096785B" w:rsidRPr="00D7653F">
        <w:rPr>
          <w:color w:val="000000" w:themeColor="text1"/>
          <w:sz w:val="26"/>
          <w:szCs w:val="26"/>
        </w:rPr>
        <w:t xml:space="preserve">ntation of the 3-business day switch </w:t>
      </w:r>
      <w:r w:rsidRPr="00D7653F">
        <w:rPr>
          <w:color w:val="000000" w:themeColor="text1"/>
          <w:sz w:val="26"/>
          <w:szCs w:val="26"/>
        </w:rPr>
        <w:t xml:space="preserve">went </w:t>
      </w:r>
      <w:r w:rsidR="00D22C20" w:rsidRPr="00D7653F">
        <w:rPr>
          <w:color w:val="000000" w:themeColor="text1"/>
          <w:sz w:val="26"/>
          <w:szCs w:val="26"/>
        </w:rPr>
        <w:t xml:space="preserve">into effect </w:t>
      </w:r>
      <w:r w:rsidR="0096785B" w:rsidRPr="00D7653F">
        <w:rPr>
          <w:color w:val="000000" w:themeColor="text1"/>
          <w:sz w:val="26"/>
          <w:szCs w:val="26"/>
        </w:rPr>
        <w:t xml:space="preserve">on </w:t>
      </w:r>
      <w:r w:rsidR="00D22C20" w:rsidRPr="00D7653F">
        <w:rPr>
          <w:color w:val="000000" w:themeColor="text1"/>
          <w:sz w:val="26"/>
          <w:szCs w:val="26"/>
        </w:rPr>
        <w:t>December 14, 2014. The Commission acknowledge</w:t>
      </w:r>
      <w:r w:rsidRPr="00D7653F">
        <w:rPr>
          <w:color w:val="000000" w:themeColor="text1"/>
          <w:sz w:val="26"/>
          <w:szCs w:val="26"/>
        </w:rPr>
        <w:t>d</w:t>
      </w:r>
      <w:r w:rsidR="00D22C20" w:rsidRPr="00D7653F">
        <w:rPr>
          <w:color w:val="000000" w:themeColor="text1"/>
          <w:sz w:val="26"/>
          <w:szCs w:val="26"/>
        </w:rPr>
        <w:t xml:space="preserve"> that the implementation of 3-day supplier switching require</w:t>
      </w:r>
      <w:r w:rsidRPr="00D7653F">
        <w:rPr>
          <w:color w:val="000000" w:themeColor="text1"/>
          <w:sz w:val="26"/>
          <w:szCs w:val="26"/>
        </w:rPr>
        <w:t>d</w:t>
      </w:r>
      <w:r w:rsidR="00D22C20" w:rsidRPr="00D7653F">
        <w:rPr>
          <w:color w:val="000000" w:themeColor="text1"/>
          <w:sz w:val="26"/>
          <w:szCs w:val="26"/>
        </w:rPr>
        <w:t xml:space="preserve"> significant effort by the EDCs</w:t>
      </w:r>
      <w:r w:rsidRPr="00D7653F">
        <w:rPr>
          <w:color w:val="000000" w:themeColor="text1"/>
          <w:sz w:val="26"/>
          <w:szCs w:val="26"/>
        </w:rPr>
        <w:t xml:space="preserve"> and that t</w:t>
      </w:r>
      <w:r w:rsidR="008F49C8" w:rsidRPr="00D7653F">
        <w:rPr>
          <w:color w:val="000000" w:themeColor="text1"/>
          <w:sz w:val="26"/>
          <w:szCs w:val="26"/>
        </w:rPr>
        <w:t xml:space="preserve">he </w:t>
      </w:r>
      <w:r w:rsidR="0096785B" w:rsidRPr="00D7653F">
        <w:rPr>
          <w:color w:val="000000" w:themeColor="text1"/>
          <w:sz w:val="26"/>
          <w:szCs w:val="26"/>
        </w:rPr>
        <w:t xml:space="preserve">timely </w:t>
      </w:r>
      <w:r w:rsidR="008F49C8" w:rsidRPr="00D7653F">
        <w:rPr>
          <w:color w:val="000000" w:themeColor="text1"/>
          <w:sz w:val="26"/>
          <w:szCs w:val="26"/>
        </w:rPr>
        <w:t xml:space="preserve">development of 3-business day switching </w:t>
      </w:r>
      <w:r w:rsidRPr="00D7653F">
        <w:rPr>
          <w:color w:val="000000" w:themeColor="text1"/>
          <w:sz w:val="26"/>
          <w:szCs w:val="26"/>
        </w:rPr>
        <w:t xml:space="preserve">was a priority over </w:t>
      </w:r>
      <w:r w:rsidRPr="00D7653F">
        <w:rPr>
          <w:i/>
          <w:color w:val="000000" w:themeColor="text1"/>
          <w:sz w:val="26"/>
          <w:szCs w:val="26"/>
        </w:rPr>
        <w:t>instant</w:t>
      </w:r>
      <w:r w:rsidRPr="00D7653F">
        <w:rPr>
          <w:color w:val="000000" w:themeColor="text1"/>
          <w:sz w:val="26"/>
          <w:szCs w:val="26"/>
        </w:rPr>
        <w:t xml:space="preserve"> </w:t>
      </w:r>
      <w:r w:rsidR="008F49C8" w:rsidRPr="00D7653F">
        <w:rPr>
          <w:i/>
          <w:color w:val="000000" w:themeColor="text1"/>
          <w:sz w:val="26"/>
          <w:szCs w:val="26"/>
        </w:rPr>
        <w:t>connects</w:t>
      </w:r>
      <w:r w:rsidR="008F49C8" w:rsidRPr="00D7653F">
        <w:rPr>
          <w:color w:val="000000" w:themeColor="text1"/>
          <w:sz w:val="26"/>
          <w:szCs w:val="26"/>
        </w:rPr>
        <w:t xml:space="preserve"> and </w:t>
      </w:r>
      <w:r w:rsidR="008F49C8" w:rsidRPr="00D7653F">
        <w:rPr>
          <w:i/>
          <w:color w:val="000000" w:themeColor="text1"/>
          <w:sz w:val="26"/>
          <w:szCs w:val="26"/>
        </w:rPr>
        <w:t>seamless moves</w:t>
      </w:r>
      <w:r w:rsidR="00681FF1" w:rsidRPr="00D7653F">
        <w:rPr>
          <w:color w:val="000000" w:themeColor="text1"/>
          <w:sz w:val="26"/>
          <w:szCs w:val="26"/>
        </w:rPr>
        <w:t>.</w:t>
      </w:r>
      <w:r w:rsidR="008F49C8" w:rsidRPr="00D7653F">
        <w:rPr>
          <w:color w:val="000000" w:themeColor="text1"/>
          <w:sz w:val="26"/>
          <w:szCs w:val="26"/>
        </w:rPr>
        <w:t xml:space="preserve">  </w:t>
      </w:r>
      <w:r w:rsidRPr="00D7653F">
        <w:rPr>
          <w:color w:val="000000" w:themeColor="text1"/>
          <w:sz w:val="26"/>
          <w:szCs w:val="26"/>
        </w:rPr>
        <w:t xml:space="preserve">As such, by </w:t>
      </w:r>
      <w:r w:rsidR="00681FF1" w:rsidRPr="00D7653F">
        <w:rPr>
          <w:color w:val="000000" w:themeColor="text1"/>
          <w:sz w:val="26"/>
          <w:szCs w:val="26"/>
        </w:rPr>
        <w:t xml:space="preserve">means of </w:t>
      </w:r>
      <w:r w:rsidRPr="00D7653F">
        <w:rPr>
          <w:color w:val="000000" w:themeColor="text1"/>
          <w:sz w:val="26"/>
          <w:szCs w:val="26"/>
        </w:rPr>
        <w:t>an August 13, 2014</w:t>
      </w:r>
      <w:r w:rsidR="00681FF1" w:rsidRPr="00D7653F">
        <w:rPr>
          <w:color w:val="000000" w:themeColor="text1"/>
          <w:sz w:val="26"/>
          <w:szCs w:val="26"/>
        </w:rPr>
        <w:t xml:space="preserve"> Secretarial Letter</w:t>
      </w:r>
      <w:r w:rsidR="001D1C24" w:rsidRPr="00D7653F">
        <w:rPr>
          <w:color w:val="000000" w:themeColor="text1"/>
          <w:sz w:val="26"/>
          <w:szCs w:val="26"/>
        </w:rPr>
        <w:t xml:space="preserve"> served at the above-referenced dockets</w:t>
      </w:r>
      <w:r w:rsidR="00681FF1" w:rsidRPr="00D7653F">
        <w:rPr>
          <w:color w:val="000000" w:themeColor="text1"/>
          <w:sz w:val="26"/>
          <w:szCs w:val="26"/>
        </w:rPr>
        <w:t>, w</w:t>
      </w:r>
      <w:r w:rsidRPr="00D7653F">
        <w:rPr>
          <w:color w:val="000000" w:themeColor="text1"/>
          <w:sz w:val="26"/>
          <w:szCs w:val="26"/>
        </w:rPr>
        <w:t>e</w:t>
      </w:r>
      <w:r w:rsidR="00681FF1" w:rsidRPr="00D7653F">
        <w:rPr>
          <w:color w:val="000000" w:themeColor="text1"/>
          <w:sz w:val="26"/>
          <w:szCs w:val="26"/>
        </w:rPr>
        <w:t xml:space="preserve"> </w:t>
      </w:r>
      <w:r w:rsidR="00DE2032" w:rsidRPr="00D7653F">
        <w:rPr>
          <w:color w:val="000000" w:themeColor="text1"/>
          <w:sz w:val="26"/>
          <w:szCs w:val="26"/>
        </w:rPr>
        <w:t>permitted the</w:t>
      </w:r>
      <w:r w:rsidR="00681FF1" w:rsidRPr="00D7653F">
        <w:rPr>
          <w:color w:val="000000" w:themeColor="text1"/>
          <w:sz w:val="26"/>
          <w:szCs w:val="26"/>
        </w:rPr>
        <w:t xml:space="preserve"> EDCs to delay the development of </w:t>
      </w:r>
      <w:r w:rsidR="00681FF1" w:rsidRPr="00D7653F">
        <w:rPr>
          <w:i/>
          <w:color w:val="000000" w:themeColor="text1"/>
          <w:sz w:val="26"/>
          <w:szCs w:val="26"/>
        </w:rPr>
        <w:t>instant connects</w:t>
      </w:r>
      <w:r w:rsidR="00681FF1" w:rsidRPr="00D7653F">
        <w:rPr>
          <w:color w:val="000000" w:themeColor="text1"/>
          <w:sz w:val="26"/>
          <w:szCs w:val="26"/>
        </w:rPr>
        <w:t xml:space="preserve"> and </w:t>
      </w:r>
      <w:r w:rsidR="00681FF1" w:rsidRPr="00D7653F">
        <w:rPr>
          <w:i/>
          <w:color w:val="000000" w:themeColor="text1"/>
          <w:sz w:val="26"/>
          <w:szCs w:val="26"/>
        </w:rPr>
        <w:t>seamless moves</w:t>
      </w:r>
      <w:r w:rsidR="00681FF1" w:rsidRPr="00D7653F">
        <w:rPr>
          <w:color w:val="000000" w:themeColor="text1"/>
          <w:sz w:val="26"/>
          <w:szCs w:val="26"/>
        </w:rPr>
        <w:t xml:space="preserve"> if </w:t>
      </w:r>
      <w:r w:rsidR="008F64C1" w:rsidRPr="00D7653F">
        <w:rPr>
          <w:color w:val="000000" w:themeColor="text1"/>
          <w:sz w:val="26"/>
          <w:szCs w:val="26"/>
        </w:rPr>
        <w:t>an</w:t>
      </w:r>
      <w:r w:rsidR="00681FF1" w:rsidRPr="00D7653F">
        <w:rPr>
          <w:color w:val="000000" w:themeColor="text1"/>
          <w:sz w:val="26"/>
          <w:szCs w:val="26"/>
        </w:rPr>
        <w:t xml:space="preserve"> EDC determine</w:t>
      </w:r>
      <w:r w:rsidRPr="00D7653F">
        <w:rPr>
          <w:color w:val="000000" w:themeColor="text1"/>
          <w:sz w:val="26"/>
          <w:szCs w:val="26"/>
        </w:rPr>
        <w:t>d</w:t>
      </w:r>
      <w:r w:rsidR="00681FF1" w:rsidRPr="00D7653F">
        <w:rPr>
          <w:color w:val="000000" w:themeColor="text1"/>
          <w:sz w:val="26"/>
          <w:szCs w:val="26"/>
        </w:rPr>
        <w:t xml:space="preserve"> that developing these processes could hinder or delay the development of 3-business day supplier switching</w:t>
      </w:r>
      <w:r w:rsidRPr="00D7653F">
        <w:rPr>
          <w:color w:val="000000" w:themeColor="text1"/>
          <w:sz w:val="26"/>
          <w:szCs w:val="26"/>
        </w:rPr>
        <w:t xml:space="preserve"> (the </w:t>
      </w:r>
      <w:r w:rsidR="008F64C1" w:rsidRPr="00D7653F">
        <w:rPr>
          <w:color w:val="000000" w:themeColor="text1"/>
          <w:sz w:val="26"/>
          <w:szCs w:val="26"/>
        </w:rPr>
        <w:t xml:space="preserve">previous </w:t>
      </w:r>
      <w:r w:rsidR="00404881" w:rsidRPr="00D7653F">
        <w:rPr>
          <w:color w:val="000000" w:themeColor="text1"/>
          <w:sz w:val="26"/>
          <w:szCs w:val="26"/>
        </w:rPr>
        <w:t xml:space="preserve">June 2015 deadline </w:t>
      </w:r>
      <w:r w:rsidR="000B0E5B" w:rsidRPr="00D7653F">
        <w:rPr>
          <w:color w:val="000000" w:themeColor="text1"/>
          <w:sz w:val="26"/>
          <w:szCs w:val="26"/>
        </w:rPr>
        <w:t xml:space="preserve">is </w:t>
      </w:r>
      <w:r w:rsidR="00404881" w:rsidRPr="00D7653F">
        <w:rPr>
          <w:color w:val="000000" w:themeColor="text1"/>
          <w:sz w:val="26"/>
          <w:szCs w:val="26"/>
        </w:rPr>
        <w:t>no longer in effect</w:t>
      </w:r>
      <w:r w:rsidRPr="00D7653F">
        <w:rPr>
          <w:color w:val="000000" w:themeColor="text1"/>
          <w:sz w:val="26"/>
          <w:szCs w:val="26"/>
        </w:rPr>
        <w:t>)</w:t>
      </w:r>
      <w:r w:rsidR="00404881" w:rsidRPr="00D7653F">
        <w:rPr>
          <w:color w:val="000000" w:themeColor="text1"/>
          <w:sz w:val="26"/>
          <w:szCs w:val="26"/>
        </w:rPr>
        <w:t>.</w:t>
      </w:r>
      <w:r w:rsidR="008F64C1" w:rsidRPr="00D7653F">
        <w:rPr>
          <w:color w:val="000000" w:themeColor="text1"/>
          <w:sz w:val="26"/>
          <w:szCs w:val="26"/>
        </w:rPr>
        <w:t xml:space="preserve">  </w:t>
      </w:r>
      <w:r w:rsidRPr="00D7653F">
        <w:rPr>
          <w:color w:val="000000" w:themeColor="text1"/>
          <w:sz w:val="26"/>
          <w:szCs w:val="26"/>
        </w:rPr>
        <w:t xml:space="preserve">All of the </w:t>
      </w:r>
      <w:r w:rsidR="008F64C1" w:rsidRPr="00D7653F">
        <w:rPr>
          <w:color w:val="000000" w:themeColor="text1"/>
          <w:sz w:val="26"/>
          <w:szCs w:val="26"/>
        </w:rPr>
        <w:t xml:space="preserve">EDCs </w:t>
      </w:r>
      <w:r w:rsidRPr="00D7653F">
        <w:rPr>
          <w:color w:val="000000" w:themeColor="text1"/>
          <w:sz w:val="26"/>
          <w:szCs w:val="26"/>
        </w:rPr>
        <w:t xml:space="preserve">subsequently notified the Commission’s </w:t>
      </w:r>
      <w:r w:rsidR="008F64C1" w:rsidRPr="00D7653F">
        <w:rPr>
          <w:color w:val="000000" w:themeColor="text1"/>
          <w:sz w:val="26"/>
          <w:szCs w:val="26"/>
        </w:rPr>
        <w:t xml:space="preserve">Office of Competitive Market Oversight (OCMO) </w:t>
      </w:r>
      <w:r w:rsidRPr="00D7653F">
        <w:rPr>
          <w:color w:val="000000" w:themeColor="text1"/>
          <w:sz w:val="26"/>
          <w:szCs w:val="26"/>
        </w:rPr>
        <w:t xml:space="preserve">that they were postponing </w:t>
      </w:r>
      <w:r w:rsidR="00DE2032" w:rsidRPr="00D7653F">
        <w:rPr>
          <w:color w:val="000000" w:themeColor="text1"/>
          <w:sz w:val="26"/>
          <w:szCs w:val="26"/>
        </w:rPr>
        <w:t>implementation</w:t>
      </w:r>
      <w:r w:rsidR="00AB2BF7" w:rsidRPr="00D7653F">
        <w:rPr>
          <w:color w:val="000000" w:themeColor="text1"/>
          <w:sz w:val="26"/>
          <w:szCs w:val="26"/>
        </w:rPr>
        <w:t xml:space="preserve"> </w:t>
      </w:r>
      <w:r w:rsidR="000B0E5B" w:rsidRPr="00D7653F">
        <w:rPr>
          <w:color w:val="000000" w:themeColor="text1"/>
          <w:sz w:val="26"/>
          <w:szCs w:val="26"/>
        </w:rPr>
        <w:t xml:space="preserve">of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and </w:t>
      </w:r>
      <w:r w:rsidRPr="00D7653F">
        <w:rPr>
          <w:i/>
          <w:color w:val="000000" w:themeColor="text1"/>
          <w:sz w:val="26"/>
          <w:szCs w:val="26"/>
        </w:rPr>
        <w:t>instant connects</w:t>
      </w:r>
      <w:r w:rsidRPr="00D7653F">
        <w:rPr>
          <w:color w:val="000000" w:themeColor="text1"/>
          <w:sz w:val="26"/>
          <w:szCs w:val="26"/>
        </w:rPr>
        <w:t xml:space="preserve">.  </w:t>
      </w:r>
    </w:p>
    <w:p w:rsidR="00404881" w:rsidRPr="00D7653F" w:rsidRDefault="00404881" w:rsidP="001048A6">
      <w:pPr>
        <w:ind w:firstLine="720"/>
        <w:rPr>
          <w:color w:val="000000" w:themeColor="text1"/>
          <w:sz w:val="26"/>
          <w:szCs w:val="26"/>
        </w:rPr>
      </w:pPr>
    </w:p>
    <w:p w:rsidR="001048A6" w:rsidRPr="00D7653F" w:rsidRDefault="00DE2032" w:rsidP="001048A6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I</w:t>
      </w:r>
      <w:r w:rsidR="00F174BA" w:rsidRPr="00D7653F">
        <w:rPr>
          <w:color w:val="000000" w:themeColor="text1"/>
          <w:sz w:val="26"/>
          <w:szCs w:val="26"/>
        </w:rPr>
        <w:t>n th</w:t>
      </w:r>
      <w:r w:rsidRPr="00D7653F">
        <w:rPr>
          <w:color w:val="000000" w:themeColor="text1"/>
          <w:sz w:val="26"/>
          <w:szCs w:val="26"/>
        </w:rPr>
        <w:t>at</w:t>
      </w:r>
      <w:r w:rsidR="00F174BA" w:rsidRPr="00D7653F">
        <w:rPr>
          <w:color w:val="000000" w:themeColor="text1"/>
          <w:sz w:val="26"/>
          <w:szCs w:val="26"/>
        </w:rPr>
        <w:t xml:space="preserve"> same </w:t>
      </w:r>
      <w:r w:rsidRPr="00D7653F">
        <w:rPr>
          <w:color w:val="000000" w:themeColor="text1"/>
          <w:sz w:val="26"/>
          <w:szCs w:val="26"/>
        </w:rPr>
        <w:t xml:space="preserve">August 13, 2014 </w:t>
      </w:r>
      <w:r w:rsidR="00F174BA" w:rsidRPr="00D7653F">
        <w:rPr>
          <w:color w:val="000000" w:themeColor="text1"/>
          <w:sz w:val="26"/>
          <w:szCs w:val="26"/>
        </w:rPr>
        <w:t xml:space="preserve">Secretarial Letter, we voiced our continuing support of these two </w:t>
      </w:r>
      <w:r w:rsidR="00404881" w:rsidRPr="00D7653F">
        <w:rPr>
          <w:color w:val="000000" w:themeColor="text1"/>
          <w:sz w:val="26"/>
          <w:szCs w:val="26"/>
        </w:rPr>
        <w:t xml:space="preserve">market enhancements </w:t>
      </w:r>
      <w:r w:rsidR="000A469E" w:rsidRPr="00D7653F">
        <w:rPr>
          <w:color w:val="000000" w:themeColor="text1"/>
          <w:sz w:val="26"/>
          <w:szCs w:val="26"/>
        </w:rPr>
        <w:t xml:space="preserve">and </w:t>
      </w:r>
      <w:r w:rsidR="00404881" w:rsidRPr="00D7653F">
        <w:rPr>
          <w:color w:val="000000" w:themeColor="text1"/>
          <w:sz w:val="26"/>
          <w:szCs w:val="26"/>
        </w:rPr>
        <w:t>direct</w:t>
      </w:r>
      <w:r w:rsidR="000A469E" w:rsidRPr="00D7653F">
        <w:rPr>
          <w:color w:val="000000" w:themeColor="text1"/>
          <w:sz w:val="26"/>
          <w:szCs w:val="26"/>
        </w:rPr>
        <w:t>ed</w:t>
      </w:r>
      <w:r w:rsidR="00404881" w:rsidRPr="00D7653F">
        <w:rPr>
          <w:color w:val="000000" w:themeColor="text1"/>
          <w:sz w:val="26"/>
          <w:szCs w:val="26"/>
        </w:rPr>
        <w:t xml:space="preserve"> OCMO to submit a recommendation to the Commission </w:t>
      </w:r>
      <w:r w:rsidR="00056553" w:rsidRPr="00D7653F">
        <w:rPr>
          <w:color w:val="000000" w:themeColor="text1"/>
          <w:sz w:val="26"/>
          <w:szCs w:val="26"/>
        </w:rPr>
        <w:t>with</w:t>
      </w:r>
      <w:r w:rsidR="00404881" w:rsidRPr="00D7653F">
        <w:rPr>
          <w:color w:val="000000" w:themeColor="text1"/>
          <w:sz w:val="26"/>
          <w:szCs w:val="26"/>
        </w:rPr>
        <w:t xml:space="preserve"> </w:t>
      </w:r>
      <w:r w:rsidR="00F13825" w:rsidRPr="00D7653F">
        <w:rPr>
          <w:color w:val="000000" w:themeColor="text1"/>
          <w:sz w:val="26"/>
          <w:szCs w:val="26"/>
        </w:rPr>
        <w:t xml:space="preserve">a </w:t>
      </w:r>
      <w:r w:rsidR="00056553" w:rsidRPr="00D7653F">
        <w:rPr>
          <w:color w:val="000000" w:themeColor="text1"/>
          <w:sz w:val="26"/>
          <w:szCs w:val="26"/>
        </w:rPr>
        <w:t>proposed</w:t>
      </w:r>
      <w:r w:rsidR="00404881" w:rsidRPr="00D7653F">
        <w:rPr>
          <w:color w:val="000000" w:themeColor="text1"/>
          <w:sz w:val="26"/>
          <w:szCs w:val="26"/>
        </w:rPr>
        <w:t xml:space="preserve"> implementation timeframe for </w:t>
      </w:r>
      <w:r w:rsidR="00404881" w:rsidRPr="00D7653F">
        <w:rPr>
          <w:i/>
          <w:color w:val="000000" w:themeColor="text1"/>
          <w:sz w:val="26"/>
          <w:szCs w:val="26"/>
        </w:rPr>
        <w:t>seamless moves</w:t>
      </w:r>
      <w:r w:rsidR="0008483B" w:rsidRPr="00D7653F">
        <w:rPr>
          <w:color w:val="000000" w:themeColor="text1"/>
          <w:sz w:val="26"/>
          <w:szCs w:val="26"/>
        </w:rPr>
        <w:t xml:space="preserve"> and </w:t>
      </w:r>
      <w:r w:rsidR="0008483B" w:rsidRPr="00D7653F">
        <w:rPr>
          <w:i/>
          <w:color w:val="000000" w:themeColor="text1"/>
          <w:sz w:val="26"/>
          <w:szCs w:val="26"/>
        </w:rPr>
        <w:t>instant connects</w:t>
      </w:r>
      <w:r w:rsidR="00404881" w:rsidRPr="00D7653F">
        <w:rPr>
          <w:color w:val="000000" w:themeColor="text1"/>
          <w:sz w:val="26"/>
          <w:szCs w:val="26"/>
        </w:rPr>
        <w:t xml:space="preserve">.  </w:t>
      </w:r>
      <w:r w:rsidR="004F6584" w:rsidRPr="00D7653F">
        <w:rPr>
          <w:color w:val="000000" w:themeColor="text1"/>
          <w:sz w:val="26"/>
          <w:szCs w:val="26"/>
        </w:rPr>
        <w:t>OCMO</w:t>
      </w:r>
      <w:r w:rsidR="00056553" w:rsidRPr="00D7653F">
        <w:rPr>
          <w:color w:val="000000" w:themeColor="text1"/>
          <w:sz w:val="26"/>
          <w:szCs w:val="26"/>
        </w:rPr>
        <w:t xml:space="preserve"> </w:t>
      </w:r>
      <w:r w:rsidR="000A469E" w:rsidRPr="00D7653F">
        <w:rPr>
          <w:color w:val="000000" w:themeColor="text1"/>
          <w:sz w:val="26"/>
          <w:szCs w:val="26"/>
        </w:rPr>
        <w:t>was</w:t>
      </w:r>
      <w:r w:rsidR="00056553" w:rsidRPr="00D7653F">
        <w:rPr>
          <w:color w:val="000000" w:themeColor="text1"/>
          <w:sz w:val="26"/>
          <w:szCs w:val="26"/>
        </w:rPr>
        <w:t xml:space="preserve"> directed</w:t>
      </w:r>
      <w:r w:rsidR="004F6584" w:rsidRPr="00D7653F">
        <w:rPr>
          <w:color w:val="000000" w:themeColor="text1"/>
          <w:sz w:val="26"/>
          <w:szCs w:val="26"/>
        </w:rPr>
        <w:t xml:space="preserve"> to</w:t>
      </w:r>
      <w:r w:rsidR="000A469E" w:rsidRPr="00D7653F">
        <w:rPr>
          <w:color w:val="000000" w:themeColor="text1"/>
          <w:sz w:val="26"/>
          <w:szCs w:val="26"/>
        </w:rPr>
        <w:t xml:space="preserve"> first</w:t>
      </w:r>
      <w:r w:rsidR="004F6584" w:rsidRPr="00D7653F">
        <w:rPr>
          <w:color w:val="000000" w:themeColor="text1"/>
          <w:sz w:val="26"/>
          <w:szCs w:val="26"/>
        </w:rPr>
        <w:t xml:space="preserve"> consult with the EDCs </w:t>
      </w:r>
      <w:r w:rsidR="00056553" w:rsidRPr="00D7653F">
        <w:rPr>
          <w:color w:val="000000" w:themeColor="text1"/>
          <w:sz w:val="26"/>
          <w:szCs w:val="26"/>
        </w:rPr>
        <w:t>in the preparation of th</w:t>
      </w:r>
      <w:r w:rsidR="000A469E" w:rsidRPr="00D7653F">
        <w:rPr>
          <w:color w:val="000000" w:themeColor="text1"/>
          <w:sz w:val="26"/>
          <w:szCs w:val="26"/>
        </w:rPr>
        <w:t xml:space="preserve">e new </w:t>
      </w:r>
      <w:r w:rsidR="00056553" w:rsidRPr="00D7653F">
        <w:rPr>
          <w:color w:val="000000" w:themeColor="text1"/>
          <w:sz w:val="26"/>
          <w:szCs w:val="26"/>
        </w:rPr>
        <w:t xml:space="preserve">implementation timeframe.  </w:t>
      </w:r>
      <w:r w:rsidR="000A469E" w:rsidRPr="00D7653F">
        <w:rPr>
          <w:color w:val="000000" w:themeColor="text1"/>
          <w:sz w:val="26"/>
          <w:szCs w:val="26"/>
        </w:rPr>
        <w:t xml:space="preserve">OCMO has submitted a recommendation and </w:t>
      </w:r>
      <w:r w:rsidR="00DD1841" w:rsidRPr="00D7653F">
        <w:rPr>
          <w:color w:val="000000" w:themeColor="text1"/>
          <w:sz w:val="26"/>
          <w:szCs w:val="26"/>
        </w:rPr>
        <w:t xml:space="preserve">the Commission </w:t>
      </w:r>
      <w:r w:rsidR="000A469E" w:rsidRPr="00D7653F">
        <w:rPr>
          <w:color w:val="000000" w:themeColor="text1"/>
          <w:sz w:val="26"/>
          <w:szCs w:val="26"/>
        </w:rPr>
        <w:t xml:space="preserve">is now announcing, via this Secretarial Letter, a </w:t>
      </w:r>
      <w:r w:rsidR="00056553" w:rsidRPr="00D7653F">
        <w:rPr>
          <w:color w:val="000000" w:themeColor="text1"/>
          <w:sz w:val="26"/>
          <w:szCs w:val="26"/>
        </w:rPr>
        <w:t>revised</w:t>
      </w:r>
      <w:r w:rsidR="000A469E" w:rsidRPr="00D7653F">
        <w:rPr>
          <w:color w:val="000000" w:themeColor="text1"/>
          <w:sz w:val="26"/>
          <w:szCs w:val="26"/>
        </w:rPr>
        <w:t xml:space="preserve"> plan for </w:t>
      </w:r>
      <w:r w:rsidR="00056553" w:rsidRPr="00D7653F">
        <w:rPr>
          <w:color w:val="000000" w:themeColor="text1"/>
          <w:sz w:val="26"/>
          <w:szCs w:val="26"/>
        </w:rPr>
        <w:t>implementation</w:t>
      </w:r>
      <w:r w:rsidR="000A469E" w:rsidRPr="00D7653F">
        <w:rPr>
          <w:color w:val="000000" w:themeColor="text1"/>
          <w:sz w:val="26"/>
          <w:szCs w:val="26"/>
        </w:rPr>
        <w:t xml:space="preserve">.  </w:t>
      </w:r>
      <w:r w:rsidR="00F13825" w:rsidRPr="00D7653F">
        <w:rPr>
          <w:color w:val="000000" w:themeColor="text1"/>
          <w:sz w:val="26"/>
          <w:szCs w:val="26"/>
        </w:rPr>
        <w:t xml:space="preserve">  </w:t>
      </w:r>
      <w:r w:rsidR="00404881" w:rsidRPr="00D7653F">
        <w:rPr>
          <w:color w:val="000000" w:themeColor="text1"/>
          <w:sz w:val="26"/>
          <w:szCs w:val="26"/>
        </w:rPr>
        <w:t xml:space="preserve">       </w:t>
      </w:r>
      <w:r w:rsidR="00681FF1" w:rsidRPr="00D7653F">
        <w:rPr>
          <w:color w:val="000000" w:themeColor="text1"/>
          <w:sz w:val="26"/>
          <w:szCs w:val="26"/>
        </w:rPr>
        <w:t xml:space="preserve">    </w:t>
      </w:r>
    </w:p>
    <w:p w:rsidR="00681FF1" w:rsidRPr="00D7653F" w:rsidRDefault="00681FF1" w:rsidP="001048A6">
      <w:pPr>
        <w:ind w:firstLine="720"/>
        <w:rPr>
          <w:color w:val="000000" w:themeColor="text1"/>
          <w:sz w:val="26"/>
          <w:szCs w:val="26"/>
        </w:rPr>
      </w:pPr>
    </w:p>
    <w:p w:rsidR="00233F81" w:rsidRPr="00D7653F" w:rsidRDefault="00233F81" w:rsidP="00233F81">
      <w:pPr>
        <w:rPr>
          <w:b/>
          <w:color w:val="000000" w:themeColor="text1"/>
          <w:sz w:val="26"/>
          <w:szCs w:val="26"/>
        </w:rPr>
      </w:pPr>
      <w:r w:rsidRPr="00D7653F">
        <w:rPr>
          <w:b/>
          <w:color w:val="000000" w:themeColor="text1"/>
          <w:sz w:val="26"/>
          <w:szCs w:val="26"/>
        </w:rPr>
        <w:t>INSTANT CONNECTS:</w:t>
      </w:r>
    </w:p>
    <w:p w:rsidR="00233F81" w:rsidRPr="00D7653F" w:rsidRDefault="00233F81" w:rsidP="00233F81">
      <w:pPr>
        <w:ind w:firstLine="720"/>
        <w:rPr>
          <w:color w:val="000000" w:themeColor="text1"/>
          <w:sz w:val="26"/>
          <w:szCs w:val="26"/>
        </w:rPr>
      </w:pPr>
    </w:p>
    <w:p w:rsidR="00233F81" w:rsidRPr="00D7653F" w:rsidRDefault="00233F81" w:rsidP="00233F81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After carefully considering the issue, w</w:t>
      </w:r>
      <w:r w:rsidR="00996C2A" w:rsidRPr="00D7653F">
        <w:rPr>
          <w:color w:val="000000" w:themeColor="text1"/>
          <w:sz w:val="26"/>
          <w:szCs w:val="26"/>
        </w:rPr>
        <w:t xml:space="preserve">hile </w:t>
      </w:r>
      <w:r w:rsidRPr="00D7653F">
        <w:rPr>
          <w:color w:val="000000" w:themeColor="text1"/>
          <w:sz w:val="26"/>
          <w:szCs w:val="26"/>
        </w:rPr>
        <w:t>3-</w:t>
      </w:r>
      <w:r w:rsidR="000B0E5B" w:rsidRPr="00D7653F">
        <w:rPr>
          <w:color w:val="000000" w:themeColor="text1"/>
          <w:sz w:val="26"/>
          <w:szCs w:val="26"/>
        </w:rPr>
        <w:t xml:space="preserve">business </w:t>
      </w:r>
      <w:r w:rsidRPr="00D7653F">
        <w:rPr>
          <w:color w:val="000000" w:themeColor="text1"/>
          <w:sz w:val="26"/>
          <w:szCs w:val="26"/>
        </w:rPr>
        <w:t>day supplier switching</w:t>
      </w:r>
      <w:r w:rsidR="00996C2A" w:rsidRPr="00D7653F">
        <w:rPr>
          <w:color w:val="000000" w:themeColor="text1"/>
          <w:sz w:val="26"/>
          <w:szCs w:val="26"/>
        </w:rPr>
        <w:t xml:space="preserve"> is a</w:t>
      </w:r>
      <w:r w:rsidRPr="00D7653F">
        <w:rPr>
          <w:color w:val="000000" w:themeColor="text1"/>
          <w:sz w:val="26"/>
          <w:szCs w:val="26"/>
        </w:rPr>
        <w:t xml:space="preserve"> reality across most of the Commonwealth – and with full implementation expected in the summer of 2015 –</w:t>
      </w:r>
      <w:r w:rsidR="00996C2A" w:rsidRPr="00D7653F">
        <w:rPr>
          <w:color w:val="000000" w:themeColor="text1"/>
          <w:sz w:val="26"/>
          <w:szCs w:val="26"/>
        </w:rPr>
        <w:t xml:space="preserve"> we believe that </w:t>
      </w:r>
      <w:r w:rsidRPr="00D7653F">
        <w:rPr>
          <w:i/>
          <w:color w:val="000000" w:themeColor="text1"/>
          <w:sz w:val="26"/>
          <w:szCs w:val="26"/>
        </w:rPr>
        <w:t>instant connects</w:t>
      </w:r>
      <w:r w:rsidRPr="00D7653F">
        <w:rPr>
          <w:color w:val="000000" w:themeColor="text1"/>
          <w:sz w:val="26"/>
          <w:szCs w:val="26"/>
        </w:rPr>
        <w:t xml:space="preserve"> are </w:t>
      </w:r>
      <w:r w:rsidR="00996C2A" w:rsidRPr="00D7653F">
        <w:rPr>
          <w:color w:val="000000" w:themeColor="text1"/>
          <w:sz w:val="26"/>
          <w:szCs w:val="26"/>
        </w:rPr>
        <w:t>still needed.   Even w</w:t>
      </w:r>
      <w:r w:rsidRPr="00D7653F">
        <w:rPr>
          <w:color w:val="000000" w:themeColor="text1"/>
          <w:sz w:val="26"/>
          <w:szCs w:val="26"/>
        </w:rPr>
        <w:t xml:space="preserve">ith a customer able to switch to a supplier within days of initiating utility service, </w:t>
      </w:r>
      <w:r w:rsidR="00996C2A" w:rsidRPr="00D7653F">
        <w:rPr>
          <w:color w:val="000000" w:themeColor="text1"/>
          <w:sz w:val="26"/>
          <w:szCs w:val="26"/>
        </w:rPr>
        <w:t xml:space="preserve">this delay can </w:t>
      </w:r>
      <w:r w:rsidR="004064C5" w:rsidRPr="00D7653F">
        <w:rPr>
          <w:color w:val="000000" w:themeColor="text1"/>
          <w:sz w:val="26"/>
          <w:szCs w:val="26"/>
        </w:rPr>
        <w:t xml:space="preserve">still </w:t>
      </w:r>
      <w:r w:rsidR="00996C2A" w:rsidRPr="00D7653F">
        <w:rPr>
          <w:color w:val="000000" w:themeColor="text1"/>
          <w:sz w:val="26"/>
          <w:szCs w:val="26"/>
        </w:rPr>
        <w:t xml:space="preserve">have serious negative impacts, especially for large commercial and industrial customers.  </w:t>
      </w:r>
      <w:r w:rsidR="004064C5" w:rsidRPr="00D7653F">
        <w:rPr>
          <w:color w:val="000000" w:themeColor="text1"/>
          <w:sz w:val="26"/>
          <w:szCs w:val="26"/>
        </w:rPr>
        <w:t xml:space="preserve">However, our primary reason for wanting to pursue </w:t>
      </w:r>
      <w:r w:rsidR="004064C5" w:rsidRPr="00D7653F">
        <w:rPr>
          <w:i/>
          <w:color w:val="000000" w:themeColor="text1"/>
          <w:sz w:val="26"/>
          <w:szCs w:val="26"/>
        </w:rPr>
        <w:t>instant connects</w:t>
      </w:r>
      <w:r w:rsidR="004064C5" w:rsidRPr="00D7653F">
        <w:rPr>
          <w:color w:val="000000" w:themeColor="text1"/>
          <w:sz w:val="26"/>
          <w:szCs w:val="26"/>
        </w:rPr>
        <w:t xml:space="preserve"> continues to be based on the concern expressed throughout this proceeding that the lack of </w:t>
      </w:r>
      <w:r w:rsidR="004064C5" w:rsidRPr="00D7653F">
        <w:rPr>
          <w:i/>
          <w:color w:val="000000" w:themeColor="text1"/>
          <w:sz w:val="26"/>
          <w:szCs w:val="26"/>
        </w:rPr>
        <w:t>instant connects</w:t>
      </w:r>
      <w:r w:rsidR="004064C5" w:rsidRPr="00D7653F">
        <w:rPr>
          <w:color w:val="000000" w:themeColor="text1"/>
          <w:sz w:val="26"/>
          <w:szCs w:val="26"/>
        </w:rPr>
        <w:t xml:space="preserve"> – making all consumers first go on default service – inappropriately elevates default service to a favored, primary service role. </w:t>
      </w:r>
      <w:r w:rsidR="00996C2A" w:rsidRPr="00D7653F">
        <w:rPr>
          <w:color w:val="000000" w:themeColor="text1"/>
          <w:sz w:val="26"/>
          <w:szCs w:val="26"/>
        </w:rPr>
        <w:t xml:space="preserve">  </w:t>
      </w:r>
    </w:p>
    <w:p w:rsidR="00996C2A" w:rsidRPr="00D7653F" w:rsidRDefault="00996C2A" w:rsidP="00233F81">
      <w:pPr>
        <w:ind w:firstLine="720"/>
        <w:rPr>
          <w:color w:val="000000" w:themeColor="text1"/>
          <w:sz w:val="26"/>
          <w:szCs w:val="26"/>
        </w:rPr>
      </w:pPr>
    </w:p>
    <w:p w:rsidR="00996C2A" w:rsidRPr="00D7653F" w:rsidRDefault="00996C2A" w:rsidP="00233F81">
      <w:pPr>
        <w:ind w:firstLine="720"/>
        <w:rPr>
          <w:color w:val="000000" w:themeColor="text1"/>
          <w:sz w:val="26"/>
          <w:szCs w:val="26"/>
        </w:rPr>
      </w:pPr>
    </w:p>
    <w:p w:rsidR="00233F81" w:rsidRPr="00D7653F" w:rsidRDefault="00233F81" w:rsidP="00233F81">
      <w:pPr>
        <w:rPr>
          <w:b/>
          <w:color w:val="000000" w:themeColor="text1"/>
          <w:sz w:val="26"/>
          <w:szCs w:val="26"/>
        </w:rPr>
      </w:pPr>
      <w:r w:rsidRPr="00D7653F">
        <w:rPr>
          <w:b/>
          <w:color w:val="000000" w:themeColor="text1"/>
          <w:sz w:val="26"/>
          <w:szCs w:val="26"/>
        </w:rPr>
        <w:t>SEAMLESS MOVES:</w:t>
      </w:r>
    </w:p>
    <w:p w:rsidR="00233F81" w:rsidRPr="00D7653F" w:rsidRDefault="00233F81" w:rsidP="00233F81">
      <w:pPr>
        <w:ind w:firstLine="720"/>
        <w:rPr>
          <w:color w:val="000000" w:themeColor="text1"/>
          <w:sz w:val="26"/>
          <w:szCs w:val="26"/>
        </w:rPr>
      </w:pPr>
    </w:p>
    <w:p w:rsidR="00233F81" w:rsidRPr="00D7653F" w:rsidRDefault="00233F81" w:rsidP="00233F81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Some have also questioned the need for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in a 3-</w:t>
      </w:r>
      <w:r w:rsidR="000B0E5B" w:rsidRPr="00D7653F">
        <w:rPr>
          <w:color w:val="000000" w:themeColor="text1"/>
          <w:sz w:val="26"/>
          <w:szCs w:val="26"/>
        </w:rPr>
        <w:t xml:space="preserve">business </w:t>
      </w:r>
      <w:r w:rsidRPr="00D7653F">
        <w:rPr>
          <w:color w:val="000000" w:themeColor="text1"/>
          <w:sz w:val="26"/>
          <w:szCs w:val="26"/>
        </w:rPr>
        <w:t xml:space="preserve">day switching environment - arguing that a customer that has moved can enroll with a supplier at their new location within 3 business days.  However, after carefully </w:t>
      </w:r>
      <w:r w:rsidRPr="00D7653F">
        <w:rPr>
          <w:color w:val="000000" w:themeColor="text1"/>
          <w:sz w:val="26"/>
          <w:szCs w:val="26"/>
        </w:rPr>
        <w:lastRenderedPageBreak/>
        <w:t xml:space="preserve">considering the matter, </w:t>
      </w:r>
      <w:r w:rsidR="00DC3ED4" w:rsidRPr="00D7653F">
        <w:rPr>
          <w:color w:val="000000" w:themeColor="text1"/>
          <w:sz w:val="26"/>
          <w:szCs w:val="26"/>
        </w:rPr>
        <w:t xml:space="preserve">we do not </w:t>
      </w:r>
      <w:r w:rsidRPr="00D7653F">
        <w:rPr>
          <w:color w:val="000000" w:themeColor="text1"/>
          <w:sz w:val="26"/>
          <w:szCs w:val="26"/>
        </w:rPr>
        <w:t xml:space="preserve">believe that the need for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has been obviated by 3-</w:t>
      </w:r>
      <w:r w:rsidR="000B0E5B" w:rsidRPr="00D7653F">
        <w:rPr>
          <w:color w:val="000000" w:themeColor="text1"/>
          <w:sz w:val="26"/>
          <w:szCs w:val="26"/>
        </w:rPr>
        <w:t xml:space="preserve">business </w:t>
      </w:r>
      <w:r w:rsidRPr="00D7653F">
        <w:rPr>
          <w:color w:val="000000" w:themeColor="text1"/>
          <w:sz w:val="26"/>
          <w:szCs w:val="26"/>
        </w:rPr>
        <w:t xml:space="preserve">day switching.  </w:t>
      </w:r>
      <w:r w:rsidR="00DE2032" w:rsidRPr="00D7653F">
        <w:rPr>
          <w:color w:val="000000" w:themeColor="text1"/>
          <w:sz w:val="26"/>
          <w:szCs w:val="26"/>
        </w:rPr>
        <w:t>Although</w:t>
      </w:r>
      <w:r w:rsidRPr="00D7653F">
        <w:rPr>
          <w:color w:val="000000" w:themeColor="text1"/>
          <w:sz w:val="26"/>
          <w:szCs w:val="26"/>
        </w:rPr>
        <w:t xml:space="preserve"> a moving customer can obtain new supplier service at their new address within days</w:t>
      </w:r>
      <w:r w:rsidR="00DE2032" w:rsidRPr="00D7653F">
        <w:rPr>
          <w:color w:val="000000" w:themeColor="text1"/>
          <w:sz w:val="26"/>
          <w:szCs w:val="26"/>
        </w:rPr>
        <w:t xml:space="preserve">, </w:t>
      </w:r>
      <w:r w:rsidRPr="00D7653F">
        <w:rPr>
          <w:color w:val="000000" w:themeColor="text1"/>
          <w:sz w:val="26"/>
          <w:szCs w:val="26"/>
        </w:rPr>
        <w:t>this misses the point that the customer should not have to obtain new supplier service simply because they moved locations within the EDC</w:t>
      </w:r>
      <w:r w:rsidR="00DC3ED4" w:rsidRPr="00D7653F">
        <w:rPr>
          <w:color w:val="000000" w:themeColor="text1"/>
          <w:sz w:val="26"/>
          <w:szCs w:val="26"/>
        </w:rPr>
        <w:t>’</w:t>
      </w:r>
      <w:r w:rsidRPr="00D7653F">
        <w:rPr>
          <w:color w:val="000000" w:themeColor="text1"/>
          <w:sz w:val="26"/>
          <w:szCs w:val="26"/>
        </w:rPr>
        <w:t xml:space="preserve">s service territory.  The customer should not have their previous supplier contract voided, and then have to enter into a new contract (possibly at less-advantageous terms and conditions) at their new address.  It is reasonable for customers to expect that their supplier choice and contract </w:t>
      </w:r>
      <w:r w:rsidR="00DE1904" w:rsidRPr="00D7653F">
        <w:rPr>
          <w:color w:val="000000" w:themeColor="text1"/>
          <w:sz w:val="26"/>
          <w:szCs w:val="26"/>
        </w:rPr>
        <w:t>be</w:t>
      </w:r>
      <w:r w:rsidR="00DC3ED4" w:rsidRPr="00D7653F">
        <w:rPr>
          <w:color w:val="000000" w:themeColor="text1"/>
          <w:sz w:val="26"/>
          <w:szCs w:val="26"/>
        </w:rPr>
        <w:t xml:space="preserve"> </w:t>
      </w:r>
      <w:r w:rsidRPr="00D7653F">
        <w:rPr>
          <w:color w:val="000000" w:themeColor="text1"/>
          <w:sz w:val="26"/>
          <w:szCs w:val="26"/>
        </w:rPr>
        <w:t>simply “port</w:t>
      </w:r>
      <w:r w:rsidR="00DE1904" w:rsidRPr="00D7653F">
        <w:rPr>
          <w:color w:val="000000" w:themeColor="text1"/>
          <w:sz w:val="26"/>
          <w:szCs w:val="26"/>
        </w:rPr>
        <w:t>ed</w:t>
      </w:r>
      <w:r w:rsidRPr="00D7653F">
        <w:rPr>
          <w:color w:val="000000" w:themeColor="text1"/>
          <w:sz w:val="26"/>
          <w:szCs w:val="26"/>
        </w:rPr>
        <w:t>” to their new location.  The fact that it does</w:t>
      </w:r>
      <w:r w:rsidR="001D1C24" w:rsidRPr="00D7653F">
        <w:rPr>
          <w:color w:val="000000" w:themeColor="text1"/>
          <w:sz w:val="26"/>
          <w:szCs w:val="26"/>
        </w:rPr>
        <w:t xml:space="preserve"> </w:t>
      </w:r>
      <w:r w:rsidRPr="00D7653F">
        <w:rPr>
          <w:color w:val="000000" w:themeColor="text1"/>
          <w:sz w:val="26"/>
          <w:szCs w:val="26"/>
        </w:rPr>
        <w:t>n</w:t>
      </w:r>
      <w:r w:rsidR="001D1C24" w:rsidRPr="00D7653F">
        <w:rPr>
          <w:color w:val="000000" w:themeColor="text1"/>
          <w:sz w:val="26"/>
          <w:szCs w:val="26"/>
        </w:rPr>
        <w:t>o</w:t>
      </w:r>
      <w:r w:rsidRPr="00D7653F">
        <w:rPr>
          <w:color w:val="000000" w:themeColor="text1"/>
          <w:sz w:val="26"/>
          <w:szCs w:val="26"/>
        </w:rPr>
        <w:t xml:space="preserve">t is merely a result of the limitations of the </w:t>
      </w:r>
      <w:r w:rsidR="00DD1841" w:rsidRPr="00D7653F">
        <w:rPr>
          <w:color w:val="000000" w:themeColor="text1"/>
          <w:sz w:val="26"/>
          <w:szCs w:val="26"/>
        </w:rPr>
        <w:t>EDC’s</w:t>
      </w:r>
      <w:r w:rsidRPr="00D7653F">
        <w:rPr>
          <w:color w:val="000000" w:themeColor="text1"/>
          <w:sz w:val="26"/>
          <w:szCs w:val="26"/>
        </w:rPr>
        <w:t xml:space="preserve"> current customer account systems – not the result of any sound policy decision.  </w:t>
      </w:r>
    </w:p>
    <w:p w:rsidR="004064C5" w:rsidRPr="00D7653F" w:rsidRDefault="004064C5" w:rsidP="00233F81">
      <w:pPr>
        <w:ind w:firstLine="720"/>
        <w:rPr>
          <w:color w:val="000000" w:themeColor="text1"/>
          <w:sz w:val="26"/>
          <w:szCs w:val="26"/>
        </w:rPr>
      </w:pPr>
    </w:p>
    <w:p w:rsidR="004064C5" w:rsidRPr="00D7653F" w:rsidRDefault="004064C5" w:rsidP="004064C5">
      <w:pPr>
        <w:rPr>
          <w:b/>
          <w:color w:val="000000" w:themeColor="text1"/>
          <w:sz w:val="26"/>
          <w:szCs w:val="26"/>
        </w:rPr>
      </w:pPr>
      <w:r w:rsidRPr="00D7653F">
        <w:rPr>
          <w:b/>
          <w:color w:val="000000" w:themeColor="text1"/>
          <w:sz w:val="26"/>
          <w:szCs w:val="26"/>
        </w:rPr>
        <w:t>PROCESS:</w:t>
      </w:r>
    </w:p>
    <w:p w:rsidR="00DC3ED4" w:rsidRPr="00D7653F" w:rsidRDefault="00DC3ED4" w:rsidP="00233F81">
      <w:pPr>
        <w:ind w:firstLine="720"/>
        <w:rPr>
          <w:color w:val="000000" w:themeColor="text1"/>
          <w:sz w:val="26"/>
          <w:szCs w:val="26"/>
        </w:rPr>
      </w:pPr>
    </w:p>
    <w:p w:rsidR="00DC3ED4" w:rsidRPr="00D7653F" w:rsidRDefault="00DC3ED4" w:rsidP="00233F81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We acknowledge that the EDCs </w:t>
      </w:r>
      <w:r w:rsidR="001D1C24" w:rsidRPr="00D7653F">
        <w:rPr>
          <w:color w:val="000000" w:themeColor="text1"/>
          <w:sz w:val="26"/>
          <w:szCs w:val="26"/>
        </w:rPr>
        <w:t xml:space="preserve">currently </w:t>
      </w:r>
      <w:r w:rsidRPr="00D7653F">
        <w:rPr>
          <w:color w:val="000000" w:themeColor="text1"/>
          <w:sz w:val="26"/>
          <w:szCs w:val="26"/>
        </w:rPr>
        <w:t>have numerous demands on their resources.  This includes full 3-</w:t>
      </w:r>
      <w:r w:rsidR="00DE1904" w:rsidRPr="00D7653F">
        <w:rPr>
          <w:color w:val="000000" w:themeColor="text1"/>
          <w:sz w:val="26"/>
          <w:szCs w:val="26"/>
        </w:rPr>
        <w:t xml:space="preserve">business </w:t>
      </w:r>
      <w:r w:rsidRPr="00D7653F">
        <w:rPr>
          <w:color w:val="000000" w:themeColor="text1"/>
          <w:sz w:val="26"/>
          <w:szCs w:val="26"/>
        </w:rPr>
        <w:t>day supplier switching implementation by the summer of 2015, joint EDC/EGS bills by the summer of 2015,</w:t>
      </w:r>
      <w:r w:rsidR="001D1C24" w:rsidRPr="00D7653F">
        <w:rPr>
          <w:rStyle w:val="FootnoteReference"/>
          <w:color w:val="000000" w:themeColor="text1"/>
          <w:sz w:val="26"/>
          <w:szCs w:val="26"/>
        </w:rPr>
        <w:footnoteReference w:id="3"/>
      </w:r>
      <w:r w:rsidRPr="00D7653F">
        <w:rPr>
          <w:color w:val="000000" w:themeColor="text1"/>
          <w:sz w:val="26"/>
          <w:szCs w:val="26"/>
        </w:rPr>
        <w:t xml:space="preserve"> eligible customer list (ECL) refreshing in early 2015,</w:t>
      </w:r>
      <w:r w:rsidR="001D1C24" w:rsidRPr="00D7653F">
        <w:rPr>
          <w:rStyle w:val="FootnoteReference"/>
          <w:color w:val="000000" w:themeColor="text1"/>
          <w:sz w:val="26"/>
          <w:szCs w:val="26"/>
        </w:rPr>
        <w:footnoteReference w:id="4"/>
      </w:r>
      <w:r w:rsidRPr="00D7653F">
        <w:rPr>
          <w:color w:val="000000" w:themeColor="text1"/>
          <w:sz w:val="26"/>
          <w:szCs w:val="26"/>
        </w:rPr>
        <w:t xml:space="preserve"> and other, individual </w:t>
      </w:r>
      <w:r w:rsidR="00DE2032" w:rsidRPr="00D7653F">
        <w:rPr>
          <w:color w:val="000000" w:themeColor="text1"/>
          <w:sz w:val="26"/>
          <w:szCs w:val="26"/>
        </w:rPr>
        <w:t>projects</w:t>
      </w:r>
      <w:r w:rsidRPr="00D7653F">
        <w:rPr>
          <w:color w:val="000000" w:themeColor="text1"/>
          <w:sz w:val="26"/>
          <w:szCs w:val="26"/>
        </w:rPr>
        <w:t xml:space="preserve"> that they may have committed to do in their recent default service plan proceedings.  We want to provide a realistic timeframe for implementing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</w:t>
      </w:r>
      <w:r w:rsidR="004064C5" w:rsidRPr="00D7653F">
        <w:rPr>
          <w:color w:val="000000" w:themeColor="text1"/>
          <w:sz w:val="26"/>
          <w:szCs w:val="26"/>
        </w:rPr>
        <w:t xml:space="preserve">and </w:t>
      </w:r>
      <w:r w:rsidR="004064C5" w:rsidRPr="00D7653F">
        <w:rPr>
          <w:i/>
          <w:color w:val="000000" w:themeColor="text1"/>
          <w:sz w:val="26"/>
          <w:szCs w:val="26"/>
        </w:rPr>
        <w:t>instant connects</w:t>
      </w:r>
      <w:r w:rsidR="004064C5" w:rsidRPr="00D7653F">
        <w:rPr>
          <w:color w:val="000000" w:themeColor="text1"/>
          <w:sz w:val="26"/>
          <w:szCs w:val="26"/>
        </w:rPr>
        <w:t xml:space="preserve"> </w:t>
      </w:r>
      <w:r w:rsidRPr="00D7653F">
        <w:rPr>
          <w:color w:val="000000" w:themeColor="text1"/>
          <w:sz w:val="26"/>
          <w:szCs w:val="26"/>
        </w:rPr>
        <w:t xml:space="preserve">– one that will not conflict with current </w:t>
      </w:r>
      <w:r w:rsidR="00DE1904" w:rsidRPr="00D7653F">
        <w:rPr>
          <w:color w:val="000000" w:themeColor="text1"/>
          <w:sz w:val="26"/>
          <w:szCs w:val="26"/>
        </w:rPr>
        <w:t xml:space="preserve">more </w:t>
      </w:r>
      <w:r w:rsidRPr="00D7653F">
        <w:rPr>
          <w:color w:val="000000" w:themeColor="text1"/>
          <w:sz w:val="26"/>
          <w:szCs w:val="26"/>
        </w:rPr>
        <w:t xml:space="preserve">urgent </w:t>
      </w:r>
      <w:r w:rsidR="00DD1841" w:rsidRPr="00D7653F">
        <w:rPr>
          <w:color w:val="000000" w:themeColor="text1"/>
          <w:sz w:val="26"/>
          <w:szCs w:val="26"/>
        </w:rPr>
        <w:t>projects</w:t>
      </w:r>
      <w:r w:rsidRPr="00D7653F">
        <w:rPr>
          <w:color w:val="000000" w:themeColor="text1"/>
          <w:sz w:val="26"/>
          <w:szCs w:val="26"/>
        </w:rPr>
        <w:t xml:space="preserve">.  We believe that it is reasonable to expect the EDCs to have </w:t>
      </w:r>
      <w:r w:rsidRPr="00D7653F">
        <w:rPr>
          <w:i/>
          <w:color w:val="000000" w:themeColor="text1"/>
          <w:sz w:val="26"/>
          <w:szCs w:val="26"/>
        </w:rPr>
        <w:t>seamless moves</w:t>
      </w:r>
      <w:r w:rsidRPr="00D7653F">
        <w:rPr>
          <w:color w:val="000000" w:themeColor="text1"/>
          <w:sz w:val="26"/>
          <w:szCs w:val="26"/>
        </w:rPr>
        <w:t xml:space="preserve"> </w:t>
      </w:r>
      <w:r w:rsidR="004064C5" w:rsidRPr="00D7653F">
        <w:rPr>
          <w:color w:val="000000" w:themeColor="text1"/>
          <w:sz w:val="26"/>
          <w:szCs w:val="26"/>
        </w:rPr>
        <w:t xml:space="preserve">and </w:t>
      </w:r>
      <w:r w:rsidR="004064C5" w:rsidRPr="00D7653F">
        <w:rPr>
          <w:i/>
          <w:color w:val="000000" w:themeColor="text1"/>
          <w:sz w:val="26"/>
          <w:szCs w:val="26"/>
        </w:rPr>
        <w:t>instant connects</w:t>
      </w:r>
      <w:r w:rsidR="004064C5" w:rsidRPr="00D7653F">
        <w:rPr>
          <w:color w:val="000000" w:themeColor="text1"/>
          <w:sz w:val="26"/>
          <w:szCs w:val="26"/>
        </w:rPr>
        <w:t xml:space="preserve"> </w:t>
      </w:r>
      <w:r w:rsidRPr="00D7653F">
        <w:rPr>
          <w:color w:val="000000" w:themeColor="text1"/>
          <w:sz w:val="26"/>
          <w:szCs w:val="26"/>
        </w:rPr>
        <w:t xml:space="preserve">in place by July 1, 2016.  </w:t>
      </w:r>
    </w:p>
    <w:p w:rsidR="00DC3ED4" w:rsidRPr="00D7653F" w:rsidRDefault="00DC3ED4" w:rsidP="00233F81">
      <w:pPr>
        <w:ind w:firstLine="720"/>
        <w:rPr>
          <w:color w:val="000000" w:themeColor="text1"/>
          <w:sz w:val="26"/>
          <w:szCs w:val="26"/>
        </w:rPr>
      </w:pPr>
    </w:p>
    <w:p w:rsidR="004B745B" w:rsidRPr="00D7653F" w:rsidRDefault="00DC3ED4" w:rsidP="0047633A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We expect the </w:t>
      </w:r>
      <w:r w:rsidR="00233F81" w:rsidRPr="00D7653F">
        <w:rPr>
          <w:color w:val="000000" w:themeColor="text1"/>
          <w:sz w:val="26"/>
          <w:szCs w:val="26"/>
        </w:rPr>
        <w:t>EDCs to file</w:t>
      </w:r>
      <w:r w:rsidRPr="00D7653F">
        <w:rPr>
          <w:color w:val="000000" w:themeColor="text1"/>
          <w:sz w:val="26"/>
          <w:szCs w:val="26"/>
        </w:rPr>
        <w:t xml:space="preserve"> under the docket numbers listed above</w:t>
      </w:r>
      <w:r w:rsidR="00233F81" w:rsidRPr="00D7653F">
        <w:rPr>
          <w:color w:val="000000" w:themeColor="text1"/>
          <w:sz w:val="26"/>
          <w:szCs w:val="26"/>
        </w:rPr>
        <w:t>, within 30 days</w:t>
      </w:r>
      <w:r w:rsidR="0047633A" w:rsidRPr="00D7653F">
        <w:rPr>
          <w:color w:val="000000" w:themeColor="text1"/>
          <w:sz w:val="26"/>
          <w:szCs w:val="26"/>
        </w:rPr>
        <w:t xml:space="preserve"> of </w:t>
      </w:r>
      <w:r w:rsidR="00AA7496" w:rsidRPr="00D7653F">
        <w:rPr>
          <w:color w:val="000000" w:themeColor="text1"/>
          <w:sz w:val="26"/>
          <w:szCs w:val="26"/>
        </w:rPr>
        <w:t xml:space="preserve">the date of </w:t>
      </w:r>
      <w:r w:rsidR="0047633A" w:rsidRPr="00D7653F">
        <w:rPr>
          <w:color w:val="000000" w:themeColor="text1"/>
          <w:sz w:val="26"/>
          <w:szCs w:val="26"/>
        </w:rPr>
        <w:t>this Secretarial Letter</w:t>
      </w:r>
      <w:r w:rsidR="00AA7496" w:rsidRPr="00D7653F">
        <w:rPr>
          <w:color w:val="000000" w:themeColor="text1"/>
          <w:sz w:val="26"/>
          <w:szCs w:val="26"/>
        </w:rPr>
        <w:t>,</w:t>
      </w:r>
      <w:r w:rsidR="004B745B" w:rsidRPr="00D7653F">
        <w:rPr>
          <w:color w:val="000000" w:themeColor="text1"/>
          <w:sz w:val="26"/>
          <w:szCs w:val="26"/>
        </w:rPr>
        <w:t xml:space="preserve"> </w:t>
      </w:r>
      <w:r w:rsidR="00AA7496" w:rsidRPr="00D7653F">
        <w:rPr>
          <w:color w:val="000000" w:themeColor="text1"/>
          <w:sz w:val="26"/>
          <w:szCs w:val="26"/>
        </w:rPr>
        <w:t xml:space="preserve">a </w:t>
      </w:r>
      <w:r w:rsidR="00233F81" w:rsidRPr="00D7653F">
        <w:rPr>
          <w:color w:val="000000" w:themeColor="text1"/>
          <w:sz w:val="26"/>
          <w:szCs w:val="26"/>
        </w:rPr>
        <w:t xml:space="preserve">revised plan to implement </w:t>
      </w:r>
      <w:r w:rsidR="00233F81" w:rsidRPr="00D7653F">
        <w:rPr>
          <w:i/>
          <w:color w:val="000000" w:themeColor="text1"/>
          <w:sz w:val="26"/>
          <w:szCs w:val="26"/>
        </w:rPr>
        <w:t>seamless moves</w:t>
      </w:r>
      <w:r w:rsidR="00233F81" w:rsidRPr="00D7653F">
        <w:rPr>
          <w:color w:val="000000" w:themeColor="text1"/>
          <w:sz w:val="26"/>
          <w:szCs w:val="26"/>
        </w:rPr>
        <w:t xml:space="preserve"> </w:t>
      </w:r>
      <w:r w:rsidR="00996C2A" w:rsidRPr="00D7653F">
        <w:rPr>
          <w:color w:val="000000" w:themeColor="text1"/>
          <w:sz w:val="26"/>
          <w:szCs w:val="26"/>
        </w:rPr>
        <w:t xml:space="preserve">and </w:t>
      </w:r>
      <w:r w:rsidR="00996C2A" w:rsidRPr="00D7653F">
        <w:rPr>
          <w:i/>
          <w:color w:val="000000" w:themeColor="text1"/>
          <w:sz w:val="26"/>
          <w:szCs w:val="26"/>
        </w:rPr>
        <w:t>instant connects</w:t>
      </w:r>
      <w:r w:rsidR="00996C2A" w:rsidRPr="00D7653F">
        <w:rPr>
          <w:color w:val="000000" w:themeColor="text1"/>
          <w:sz w:val="26"/>
          <w:szCs w:val="26"/>
        </w:rPr>
        <w:t xml:space="preserve"> </w:t>
      </w:r>
      <w:r w:rsidR="00233F81" w:rsidRPr="00D7653F">
        <w:rPr>
          <w:color w:val="000000" w:themeColor="text1"/>
          <w:sz w:val="26"/>
          <w:szCs w:val="26"/>
        </w:rPr>
        <w:t xml:space="preserve">in their service territories by July 1, 2016. </w:t>
      </w:r>
      <w:r w:rsidRPr="00D7653F">
        <w:rPr>
          <w:color w:val="000000" w:themeColor="text1"/>
          <w:sz w:val="26"/>
          <w:szCs w:val="26"/>
        </w:rPr>
        <w:t xml:space="preserve"> </w:t>
      </w:r>
      <w:r w:rsidR="00AA7496" w:rsidRPr="00D7653F">
        <w:rPr>
          <w:color w:val="000000" w:themeColor="text1"/>
          <w:sz w:val="26"/>
          <w:szCs w:val="26"/>
        </w:rPr>
        <w:t xml:space="preserve">Each </w:t>
      </w:r>
      <w:r w:rsidR="0047633A" w:rsidRPr="00D7653F">
        <w:rPr>
          <w:color w:val="000000" w:themeColor="text1"/>
          <w:sz w:val="26"/>
          <w:szCs w:val="26"/>
        </w:rPr>
        <w:t>EDC</w:t>
      </w:r>
      <w:r w:rsidR="00D7653F" w:rsidRPr="00D7653F">
        <w:rPr>
          <w:color w:val="000000" w:themeColor="text1"/>
          <w:sz w:val="26"/>
          <w:szCs w:val="26"/>
        </w:rPr>
        <w:t>’</w:t>
      </w:r>
      <w:r w:rsidR="0047633A" w:rsidRPr="00D7653F">
        <w:rPr>
          <w:color w:val="000000" w:themeColor="text1"/>
          <w:sz w:val="26"/>
          <w:szCs w:val="26"/>
        </w:rPr>
        <w:t xml:space="preserve">s plan should demonstrate how the EDC </w:t>
      </w:r>
      <w:r w:rsidR="00AA7496" w:rsidRPr="00D7653F">
        <w:rPr>
          <w:color w:val="000000" w:themeColor="text1"/>
          <w:sz w:val="26"/>
          <w:szCs w:val="26"/>
        </w:rPr>
        <w:t>will achieve</w:t>
      </w:r>
      <w:r w:rsidR="0047633A" w:rsidRPr="00D7653F">
        <w:rPr>
          <w:color w:val="000000" w:themeColor="text1"/>
          <w:sz w:val="26"/>
          <w:szCs w:val="26"/>
        </w:rPr>
        <w:t xml:space="preserve"> </w:t>
      </w:r>
      <w:r w:rsidR="0047633A" w:rsidRPr="00D7653F">
        <w:rPr>
          <w:i/>
          <w:color w:val="000000" w:themeColor="text1"/>
          <w:sz w:val="26"/>
          <w:szCs w:val="26"/>
        </w:rPr>
        <w:t>seamless moves</w:t>
      </w:r>
      <w:r w:rsidR="0047633A" w:rsidRPr="00D7653F">
        <w:rPr>
          <w:color w:val="000000" w:themeColor="text1"/>
          <w:sz w:val="26"/>
          <w:szCs w:val="26"/>
        </w:rPr>
        <w:t xml:space="preserve"> </w:t>
      </w:r>
      <w:r w:rsidR="00996C2A" w:rsidRPr="00D7653F">
        <w:rPr>
          <w:color w:val="000000" w:themeColor="text1"/>
          <w:sz w:val="26"/>
          <w:szCs w:val="26"/>
        </w:rPr>
        <w:t xml:space="preserve">and </w:t>
      </w:r>
      <w:r w:rsidR="00996C2A" w:rsidRPr="00D7653F">
        <w:rPr>
          <w:i/>
          <w:color w:val="000000" w:themeColor="text1"/>
          <w:sz w:val="26"/>
          <w:szCs w:val="26"/>
        </w:rPr>
        <w:t>instant connects</w:t>
      </w:r>
      <w:r w:rsidR="00996C2A" w:rsidRPr="00D7653F">
        <w:rPr>
          <w:color w:val="000000" w:themeColor="text1"/>
          <w:sz w:val="26"/>
          <w:szCs w:val="26"/>
        </w:rPr>
        <w:t xml:space="preserve"> </w:t>
      </w:r>
      <w:r w:rsidR="0047633A" w:rsidRPr="00D7653F">
        <w:rPr>
          <w:color w:val="000000" w:themeColor="text1"/>
          <w:sz w:val="26"/>
          <w:szCs w:val="26"/>
        </w:rPr>
        <w:t>and the timeframes for implement</w:t>
      </w:r>
      <w:r w:rsidR="00057C77" w:rsidRPr="00D7653F">
        <w:rPr>
          <w:color w:val="000000" w:themeColor="text1"/>
          <w:sz w:val="26"/>
          <w:szCs w:val="26"/>
        </w:rPr>
        <w:t>ation</w:t>
      </w:r>
      <w:r w:rsidR="00AA7496" w:rsidRPr="00D7653F">
        <w:rPr>
          <w:color w:val="000000" w:themeColor="text1"/>
          <w:sz w:val="26"/>
          <w:szCs w:val="26"/>
        </w:rPr>
        <w:t xml:space="preserve"> to meet the July 1, 2016 implementation</w:t>
      </w:r>
      <w:r w:rsidR="00D7653F" w:rsidRPr="00D7653F">
        <w:rPr>
          <w:color w:val="000000" w:themeColor="text1"/>
          <w:sz w:val="26"/>
          <w:szCs w:val="26"/>
        </w:rPr>
        <w:t xml:space="preserve"> </w:t>
      </w:r>
      <w:r w:rsidR="00AA7496" w:rsidRPr="00D7653F">
        <w:rPr>
          <w:color w:val="000000" w:themeColor="text1"/>
          <w:sz w:val="26"/>
          <w:szCs w:val="26"/>
        </w:rPr>
        <w:t>deadline</w:t>
      </w:r>
      <w:r w:rsidR="0047633A" w:rsidRPr="00D7653F">
        <w:rPr>
          <w:color w:val="000000" w:themeColor="text1"/>
          <w:sz w:val="26"/>
          <w:szCs w:val="26"/>
        </w:rPr>
        <w:t xml:space="preserve">.  </w:t>
      </w:r>
      <w:r w:rsidR="00AA7496" w:rsidRPr="00D7653F">
        <w:rPr>
          <w:color w:val="000000" w:themeColor="text1"/>
          <w:sz w:val="26"/>
          <w:szCs w:val="26"/>
        </w:rPr>
        <w:t>Each plan</w:t>
      </w:r>
      <w:r w:rsidR="0047633A" w:rsidRPr="00D7653F">
        <w:rPr>
          <w:color w:val="000000" w:themeColor="text1"/>
          <w:sz w:val="26"/>
          <w:szCs w:val="26"/>
        </w:rPr>
        <w:t xml:space="preserve"> should also </w:t>
      </w:r>
      <w:r w:rsidR="00AA7496" w:rsidRPr="00D7653F">
        <w:rPr>
          <w:color w:val="000000" w:themeColor="text1"/>
          <w:sz w:val="26"/>
          <w:szCs w:val="26"/>
        </w:rPr>
        <w:t xml:space="preserve">provide an estimate of the </w:t>
      </w:r>
      <w:r w:rsidR="0047633A" w:rsidRPr="00D7653F">
        <w:rPr>
          <w:color w:val="000000" w:themeColor="text1"/>
          <w:sz w:val="26"/>
          <w:szCs w:val="26"/>
        </w:rPr>
        <w:t>costs</w:t>
      </w:r>
      <w:r w:rsidR="00AA7496" w:rsidRPr="00D7653F">
        <w:rPr>
          <w:color w:val="000000" w:themeColor="text1"/>
          <w:sz w:val="26"/>
          <w:szCs w:val="26"/>
        </w:rPr>
        <w:t xml:space="preserve"> to design, test, implement and maintain </w:t>
      </w:r>
      <w:r w:rsidR="00CD2DA0" w:rsidRPr="00D7653F">
        <w:rPr>
          <w:color w:val="000000" w:themeColor="text1"/>
          <w:sz w:val="26"/>
          <w:szCs w:val="26"/>
        </w:rPr>
        <w:t>seamless moves and instant connects,</w:t>
      </w:r>
      <w:r w:rsidR="0047633A" w:rsidRPr="00D7653F">
        <w:rPr>
          <w:color w:val="000000" w:themeColor="text1"/>
          <w:sz w:val="26"/>
          <w:szCs w:val="26"/>
        </w:rPr>
        <w:t xml:space="preserve"> and proposals for the recovery of those costs. </w:t>
      </w:r>
      <w:r w:rsidR="004B745B" w:rsidRPr="00D7653F">
        <w:rPr>
          <w:color w:val="000000" w:themeColor="text1"/>
          <w:sz w:val="26"/>
          <w:szCs w:val="26"/>
        </w:rPr>
        <w:t xml:space="preserve"> </w:t>
      </w:r>
    </w:p>
    <w:p w:rsidR="0047633A" w:rsidRPr="00D7653F" w:rsidRDefault="004B745B" w:rsidP="0047633A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 xml:space="preserve"> </w:t>
      </w:r>
    </w:p>
    <w:p w:rsidR="0047633A" w:rsidRPr="00D7653F" w:rsidRDefault="00057C77" w:rsidP="0047633A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t>W</w:t>
      </w:r>
      <w:r w:rsidR="00DC3ED4" w:rsidRPr="00D7653F">
        <w:rPr>
          <w:color w:val="000000" w:themeColor="text1"/>
          <w:sz w:val="26"/>
          <w:szCs w:val="26"/>
        </w:rPr>
        <w:t xml:space="preserve">e </w:t>
      </w:r>
      <w:r w:rsidR="0047633A" w:rsidRPr="00D7653F">
        <w:rPr>
          <w:color w:val="000000" w:themeColor="text1"/>
          <w:sz w:val="26"/>
          <w:szCs w:val="26"/>
        </w:rPr>
        <w:t xml:space="preserve">are </w:t>
      </w:r>
      <w:r w:rsidR="00DC3ED4" w:rsidRPr="00D7653F">
        <w:rPr>
          <w:color w:val="000000" w:themeColor="text1"/>
          <w:sz w:val="26"/>
          <w:szCs w:val="26"/>
        </w:rPr>
        <w:t>provid</w:t>
      </w:r>
      <w:r w:rsidR="0047633A" w:rsidRPr="00D7653F">
        <w:rPr>
          <w:color w:val="000000" w:themeColor="text1"/>
          <w:sz w:val="26"/>
          <w:szCs w:val="26"/>
        </w:rPr>
        <w:t>ing</w:t>
      </w:r>
      <w:r w:rsidR="00DC3ED4" w:rsidRPr="00D7653F">
        <w:rPr>
          <w:color w:val="000000" w:themeColor="text1"/>
          <w:sz w:val="26"/>
          <w:szCs w:val="26"/>
        </w:rPr>
        <w:t xml:space="preserve"> a </w:t>
      </w:r>
      <w:r w:rsidR="00233F81" w:rsidRPr="00D7653F">
        <w:rPr>
          <w:color w:val="000000" w:themeColor="text1"/>
          <w:sz w:val="26"/>
          <w:szCs w:val="26"/>
        </w:rPr>
        <w:t>30</w:t>
      </w:r>
      <w:r w:rsidR="00DC3ED4" w:rsidRPr="00D7653F">
        <w:rPr>
          <w:color w:val="000000" w:themeColor="text1"/>
          <w:sz w:val="26"/>
          <w:szCs w:val="26"/>
        </w:rPr>
        <w:t>-</w:t>
      </w:r>
      <w:r w:rsidR="00233F81" w:rsidRPr="00D7653F">
        <w:rPr>
          <w:color w:val="000000" w:themeColor="text1"/>
          <w:sz w:val="26"/>
          <w:szCs w:val="26"/>
        </w:rPr>
        <w:t xml:space="preserve">day comment </w:t>
      </w:r>
      <w:r w:rsidR="0047633A" w:rsidRPr="00D7653F">
        <w:rPr>
          <w:color w:val="000000" w:themeColor="text1"/>
          <w:sz w:val="26"/>
          <w:szCs w:val="26"/>
        </w:rPr>
        <w:t xml:space="preserve">period </w:t>
      </w:r>
      <w:r w:rsidR="00233F81" w:rsidRPr="00D7653F">
        <w:rPr>
          <w:color w:val="000000" w:themeColor="text1"/>
          <w:sz w:val="26"/>
          <w:szCs w:val="26"/>
        </w:rPr>
        <w:t>on the plans filed by the EDCs.</w:t>
      </w:r>
      <w:r w:rsidR="0047633A" w:rsidRPr="00D7653F">
        <w:rPr>
          <w:color w:val="000000" w:themeColor="text1"/>
          <w:sz w:val="26"/>
          <w:szCs w:val="26"/>
        </w:rPr>
        <w:t xml:space="preserve">  </w:t>
      </w:r>
      <w:r w:rsidR="00CD2DA0" w:rsidRPr="00D7653F">
        <w:rPr>
          <w:color w:val="000000" w:themeColor="text1"/>
          <w:sz w:val="26"/>
          <w:szCs w:val="26"/>
        </w:rPr>
        <w:t>Interested parties are to file comments with the Secretary under the dockets listed above, within 30 days of each plan filing date.</w:t>
      </w:r>
      <w:r w:rsidR="00996C2A" w:rsidRPr="00D7653F">
        <w:rPr>
          <w:color w:val="000000" w:themeColor="text1"/>
          <w:sz w:val="26"/>
          <w:szCs w:val="26"/>
        </w:rPr>
        <w:t xml:space="preserve">  </w:t>
      </w:r>
      <w:r w:rsidR="0047633A" w:rsidRPr="00D7653F">
        <w:rPr>
          <w:color w:val="000000" w:themeColor="text1"/>
          <w:sz w:val="26"/>
          <w:szCs w:val="26"/>
        </w:rPr>
        <w:t>The Commission w</w:t>
      </w:r>
      <w:r w:rsidR="00233F81" w:rsidRPr="00D7653F">
        <w:rPr>
          <w:color w:val="000000" w:themeColor="text1"/>
          <w:sz w:val="26"/>
          <w:szCs w:val="26"/>
        </w:rPr>
        <w:t xml:space="preserve">ill then review </w:t>
      </w:r>
      <w:r w:rsidR="00DC3ED4" w:rsidRPr="00D7653F">
        <w:rPr>
          <w:color w:val="000000" w:themeColor="text1"/>
          <w:sz w:val="26"/>
          <w:szCs w:val="26"/>
        </w:rPr>
        <w:t>t</w:t>
      </w:r>
      <w:r w:rsidR="00233F81" w:rsidRPr="00D7653F">
        <w:rPr>
          <w:color w:val="000000" w:themeColor="text1"/>
          <w:sz w:val="26"/>
          <w:szCs w:val="26"/>
        </w:rPr>
        <w:t>he comments</w:t>
      </w:r>
      <w:r w:rsidR="0047633A" w:rsidRPr="00D7653F">
        <w:rPr>
          <w:color w:val="000000" w:themeColor="text1"/>
          <w:sz w:val="26"/>
          <w:szCs w:val="26"/>
        </w:rPr>
        <w:t xml:space="preserve"> and determine </w:t>
      </w:r>
      <w:r w:rsidRPr="00D7653F">
        <w:rPr>
          <w:color w:val="000000" w:themeColor="text1"/>
          <w:sz w:val="26"/>
          <w:szCs w:val="26"/>
        </w:rPr>
        <w:t xml:space="preserve">appropriate further actions with regard to the filed plans.  </w:t>
      </w:r>
      <w:r w:rsidR="0047633A" w:rsidRPr="00D7653F">
        <w:rPr>
          <w:color w:val="000000" w:themeColor="text1"/>
          <w:sz w:val="26"/>
          <w:szCs w:val="26"/>
        </w:rPr>
        <w:t xml:space="preserve">  </w:t>
      </w:r>
      <w:r w:rsidR="00233F81" w:rsidRPr="00D7653F">
        <w:rPr>
          <w:color w:val="000000" w:themeColor="text1"/>
          <w:sz w:val="26"/>
          <w:szCs w:val="26"/>
        </w:rPr>
        <w:t xml:space="preserve">    </w:t>
      </w:r>
    </w:p>
    <w:p w:rsidR="0047633A" w:rsidRPr="00D7653F" w:rsidRDefault="0047633A" w:rsidP="0047633A">
      <w:pPr>
        <w:ind w:firstLine="720"/>
        <w:rPr>
          <w:color w:val="000000" w:themeColor="text1"/>
          <w:sz w:val="26"/>
          <w:szCs w:val="26"/>
        </w:rPr>
      </w:pPr>
    </w:p>
    <w:p w:rsidR="00900A7D" w:rsidRDefault="00900A7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D400BB" w:rsidRPr="00D7653F" w:rsidRDefault="0047633A" w:rsidP="0047633A">
      <w:pPr>
        <w:ind w:firstLine="720"/>
        <w:rPr>
          <w:color w:val="000000" w:themeColor="text1"/>
          <w:sz w:val="26"/>
          <w:szCs w:val="26"/>
        </w:rPr>
      </w:pPr>
      <w:r w:rsidRPr="00D7653F">
        <w:rPr>
          <w:color w:val="000000" w:themeColor="text1"/>
          <w:sz w:val="26"/>
          <w:szCs w:val="26"/>
        </w:rPr>
        <w:lastRenderedPageBreak/>
        <w:t>A</w:t>
      </w:r>
      <w:r w:rsidR="00D400BB" w:rsidRPr="00D7653F">
        <w:rPr>
          <w:color w:val="000000" w:themeColor="text1"/>
          <w:sz w:val="26"/>
          <w:szCs w:val="26"/>
        </w:rPr>
        <w:t xml:space="preserve">ny questions about this Secretarial Letter should be directed to the Office of Competitive Market Oversight by email at </w:t>
      </w:r>
      <w:hyperlink r:id="rId13" w:history="1">
        <w:r w:rsidR="00D00E43" w:rsidRPr="00D7653F">
          <w:rPr>
            <w:rStyle w:val="Hyperlink"/>
            <w:color w:val="000000" w:themeColor="text1"/>
            <w:sz w:val="26"/>
            <w:szCs w:val="26"/>
          </w:rPr>
          <w:t>ra-OCMO@</w:t>
        </w:r>
      </w:hyperlink>
      <w:r w:rsidR="001D1C24" w:rsidRPr="00D7653F">
        <w:rPr>
          <w:rStyle w:val="Hyperlink"/>
          <w:color w:val="000000" w:themeColor="text1"/>
          <w:sz w:val="26"/>
          <w:szCs w:val="26"/>
        </w:rPr>
        <w:t>pa.gov</w:t>
      </w:r>
      <w:r w:rsidR="00872596" w:rsidRPr="00D7653F">
        <w:rPr>
          <w:rStyle w:val="Hyperlink"/>
          <w:color w:val="000000" w:themeColor="text1"/>
          <w:sz w:val="26"/>
          <w:szCs w:val="26"/>
        </w:rPr>
        <w:t>.</w:t>
      </w:r>
    </w:p>
    <w:p w:rsidR="006E18F6" w:rsidRPr="00D7653F" w:rsidRDefault="006E18F6" w:rsidP="0008483B">
      <w:pPr>
        <w:keepNext/>
        <w:keepLines/>
        <w:ind w:left="1440" w:right="1440"/>
        <w:rPr>
          <w:color w:val="000000" w:themeColor="text1"/>
          <w:sz w:val="22"/>
          <w:szCs w:val="22"/>
        </w:rPr>
      </w:pPr>
    </w:p>
    <w:p w:rsidR="00EB5668" w:rsidRPr="00D7653F" w:rsidRDefault="00900A7D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7B02FD" wp14:editId="6D2E738E">
            <wp:simplePos x="0" y="0"/>
            <wp:positionH relativeFrom="column">
              <wp:posOffset>2863850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DBC" w:rsidRPr="00D7653F">
        <w:rPr>
          <w:color w:val="000000" w:themeColor="text1"/>
          <w:sz w:val="26"/>
          <w:szCs w:val="22"/>
        </w:rPr>
        <w:t>Sincerely,</w:t>
      </w:r>
    </w:p>
    <w:p w:rsidR="004F7B18" w:rsidRPr="00D7653F" w:rsidRDefault="004F7B18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</w:p>
    <w:p w:rsidR="004F7B18" w:rsidRPr="00D7653F" w:rsidRDefault="004F7B18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</w:p>
    <w:p w:rsidR="00900A7D" w:rsidRDefault="00900A7D">
      <w:bookmarkStart w:id="0" w:name="_GoBack"/>
      <w:bookmarkEnd w:id="0"/>
    </w:p>
    <w:p w:rsidR="00A54DBC" w:rsidRPr="00D7653F" w:rsidRDefault="00A54DBC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</w:p>
    <w:p w:rsidR="00A54DBC" w:rsidRPr="00D7653F" w:rsidRDefault="00A54DBC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  <w:r w:rsidRPr="00D7653F">
        <w:rPr>
          <w:color w:val="000000" w:themeColor="text1"/>
          <w:sz w:val="26"/>
          <w:szCs w:val="22"/>
        </w:rPr>
        <w:t>Rosemary Chiavetta</w:t>
      </w:r>
    </w:p>
    <w:p w:rsidR="00A54DBC" w:rsidRPr="00D7653F" w:rsidRDefault="00A54DBC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  <w:r w:rsidRPr="00D7653F">
        <w:rPr>
          <w:color w:val="000000" w:themeColor="text1"/>
          <w:sz w:val="26"/>
          <w:szCs w:val="22"/>
        </w:rPr>
        <w:t>Secretary</w:t>
      </w:r>
    </w:p>
    <w:p w:rsidR="00457A20" w:rsidRPr="00D7653F" w:rsidRDefault="00457A20" w:rsidP="0008483B">
      <w:pPr>
        <w:keepNext/>
        <w:keepLines/>
        <w:ind w:left="5040"/>
        <w:rPr>
          <w:color w:val="000000" w:themeColor="text1"/>
          <w:sz w:val="26"/>
          <w:szCs w:val="22"/>
        </w:rPr>
      </w:pPr>
    </w:p>
    <w:p w:rsidR="00457A20" w:rsidRPr="00D7653F" w:rsidRDefault="00457A20" w:rsidP="0008483B">
      <w:pPr>
        <w:keepNext/>
        <w:keepLines/>
        <w:rPr>
          <w:color w:val="000000" w:themeColor="text1"/>
          <w:sz w:val="26"/>
          <w:szCs w:val="22"/>
        </w:rPr>
      </w:pPr>
    </w:p>
    <w:p w:rsidR="00457A20" w:rsidRPr="00D7653F" w:rsidRDefault="004F7B18" w:rsidP="0008483B">
      <w:pPr>
        <w:keepNext/>
        <w:keepLines/>
        <w:rPr>
          <w:color w:val="000000" w:themeColor="text1"/>
          <w:sz w:val="26"/>
          <w:szCs w:val="22"/>
        </w:rPr>
      </w:pPr>
      <w:r w:rsidRPr="00D7653F">
        <w:rPr>
          <w:color w:val="000000" w:themeColor="text1"/>
          <w:sz w:val="26"/>
          <w:szCs w:val="22"/>
        </w:rPr>
        <w:t>c</w:t>
      </w:r>
      <w:r w:rsidR="00457A20" w:rsidRPr="00D7653F">
        <w:rPr>
          <w:color w:val="000000" w:themeColor="text1"/>
          <w:sz w:val="26"/>
          <w:szCs w:val="22"/>
        </w:rPr>
        <w:t xml:space="preserve">c:  </w:t>
      </w:r>
      <w:r w:rsidR="00457A20" w:rsidRPr="00D7653F">
        <w:rPr>
          <w:color w:val="000000" w:themeColor="text1"/>
          <w:sz w:val="26"/>
          <w:szCs w:val="22"/>
        </w:rPr>
        <w:tab/>
        <w:t>Office of Competitive Market Oversight</w:t>
      </w:r>
    </w:p>
    <w:p w:rsidR="00457A20" w:rsidRPr="00D7653F" w:rsidRDefault="00900A7D" w:rsidP="0008483B">
      <w:pPr>
        <w:keepNext/>
        <w:keepLines/>
        <w:rPr>
          <w:color w:val="000000" w:themeColor="text1"/>
          <w:sz w:val="26"/>
          <w:szCs w:val="22"/>
        </w:rPr>
      </w:pPr>
      <w:r>
        <w:rPr>
          <w:color w:val="000000" w:themeColor="text1"/>
          <w:sz w:val="26"/>
          <w:szCs w:val="22"/>
        </w:rPr>
        <w:tab/>
        <w:t xml:space="preserve">Office of Consumer </w:t>
      </w:r>
      <w:r w:rsidR="00457A20" w:rsidRPr="00D7653F">
        <w:rPr>
          <w:color w:val="000000" w:themeColor="text1"/>
          <w:sz w:val="26"/>
          <w:szCs w:val="22"/>
        </w:rPr>
        <w:t>Advocate</w:t>
      </w:r>
    </w:p>
    <w:p w:rsidR="00457A20" w:rsidRPr="00D7653F" w:rsidRDefault="00900A7D" w:rsidP="0008483B">
      <w:pPr>
        <w:keepNext/>
        <w:keepLines/>
        <w:rPr>
          <w:color w:val="000000" w:themeColor="text1"/>
          <w:sz w:val="26"/>
          <w:szCs w:val="22"/>
        </w:rPr>
      </w:pPr>
      <w:r>
        <w:rPr>
          <w:color w:val="000000" w:themeColor="text1"/>
          <w:sz w:val="26"/>
          <w:szCs w:val="22"/>
        </w:rPr>
        <w:tab/>
        <w:t xml:space="preserve">Office of Small Business </w:t>
      </w:r>
      <w:r w:rsidR="00457A20" w:rsidRPr="00D7653F">
        <w:rPr>
          <w:color w:val="000000" w:themeColor="text1"/>
          <w:sz w:val="26"/>
          <w:szCs w:val="22"/>
        </w:rPr>
        <w:t>Advocate</w:t>
      </w:r>
    </w:p>
    <w:p w:rsidR="00872596" w:rsidRPr="00D7653F" w:rsidRDefault="00872596" w:rsidP="0008483B">
      <w:pPr>
        <w:keepNext/>
        <w:keepLines/>
        <w:rPr>
          <w:color w:val="000000" w:themeColor="text1"/>
          <w:sz w:val="26"/>
          <w:szCs w:val="22"/>
        </w:rPr>
      </w:pPr>
      <w:r w:rsidRPr="00D7653F">
        <w:rPr>
          <w:color w:val="000000" w:themeColor="text1"/>
          <w:sz w:val="26"/>
          <w:szCs w:val="22"/>
        </w:rPr>
        <w:tab/>
      </w:r>
    </w:p>
    <w:p w:rsidR="00DE1634" w:rsidRPr="00D7653F" w:rsidRDefault="00DE1634" w:rsidP="00DE1634">
      <w:pPr>
        <w:rPr>
          <w:color w:val="000000" w:themeColor="text1"/>
          <w:sz w:val="26"/>
          <w:szCs w:val="22"/>
        </w:rPr>
      </w:pPr>
    </w:p>
    <w:sectPr w:rsidR="00DE1634" w:rsidRPr="00D7653F" w:rsidSect="00900A7D">
      <w:footerReference w:type="even" r:id="rId15"/>
      <w:footerReference w:type="default" r:id="rId16"/>
      <w:type w:val="continuous"/>
      <w:pgSz w:w="12240" w:h="15840" w:code="1"/>
      <w:pgMar w:top="1440" w:right="1440" w:bottom="1296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46" w:rsidRDefault="000B4F46">
      <w:r>
        <w:separator/>
      </w:r>
    </w:p>
  </w:endnote>
  <w:endnote w:type="continuationSeparator" w:id="0">
    <w:p w:rsidR="000B4F46" w:rsidRDefault="000B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1" w:rsidRDefault="00FC2821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821" w:rsidRDefault="00FC2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1" w:rsidRDefault="00FC2821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821" w:rsidRDefault="00FC2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1" w:rsidRDefault="00FC2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2821" w:rsidRDefault="00FC282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21" w:rsidRDefault="00FC28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530">
      <w:rPr>
        <w:noProof/>
      </w:rPr>
      <w:t>2</w:t>
    </w:r>
    <w:r>
      <w:rPr>
        <w:noProof/>
      </w:rPr>
      <w:fldChar w:fldCharType="end"/>
    </w:r>
  </w:p>
  <w:p w:rsidR="00FC2821" w:rsidRDefault="00FC2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46" w:rsidRDefault="000B4F46">
      <w:r>
        <w:separator/>
      </w:r>
    </w:p>
  </w:footnote>
  <w:footnote w:type="continuationSeparator" w:id="0">
    <w:p w:rsidR="000B4F46" w:rsidRDefault="000B4F46">
      <w:r>
        <w:continuationSeparator/>
      </w:r>
    </w:p>
  </w:footnote>
  <w:footnote w:id="1">
    <w:p w:rsidR="00FC2821" w:rsidRPr="00B13223" w:rsidRDefault="00FC2821" w:rsidP="006003D4">
      <w:pPr>
        <w:pStyle w:val="FootnoteText"/>
      </w:pPr>
      <w:r w:rsidRPr="00B13223">
        <w:rPr>
          <w:rStyle w:val="FootnoteReference"/>
        </w:rPr>
        <w:footnoteRef/>
      </w:r>
      <w:r w:rsidRPr="00B13223">
        <w:t xml:space="preserve"> </w:t>
      </w:r>
      <w:r w:rsidRPr="00B13223">
        <w:rPr>
          <w:i/>
        </w:rPr>
        <w:t>See</w:t>
      </w:r>
      <w:r>
        <w:rPr>
          <w:i/>
        </w:rPr>
        <w:t>,</w:t>
      </w:r>
      <w:r w:rsidRPr="00B13223">
        <w:rPr>
          <w:i/>
        </w:rPr>
        <w:t xml:space="preserve"> Investigation of Pennsylvania’s Retail Electricity Market: End State of Default Service</w:t>
      </w:r>
      <w:r w:rsidRPr="00B13223">
        <w:t>, Docket No. I-2011-2237952 (Order entered February 15, 2013)</w:t>
      </w:r>
      <w:r>
        <w:t>, pages 69-75 and 112.</w:t>
      </w:r>
      <w:r w:rsidRPr="00B13223">
        <w:t xml:space="preserve"> </w:t>
      </w:r>
    </w:p>
  </w:footnote>
  <w:footnote w:id="2">
    <w:p w:rsidR="00FC2821" w:rsidRDefault="00FC28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756F">
        <w:rPr>
          <w:i/>
        </w:rPr>
        <w:t>See Rulemaking t</w:t>
      </w:r>
      <w:r>
        <w:rPr>
          <w:i/>
        </w:rPr>
        <w:t>o</w:t>
      </w:r>
      <w:r w:rsidRPr="00D1756F">
        <w:rPr>
          <w:i/>
        </w:rPr>
        <w:t xml:space="preserve"> Amend the Provisions of 52 Pa. Code, Chapter 57 Regulations Regarding Standards for Changing a Customer’s Electricity Generation Supplier</w:t>
      </w:r>
      <w:r>
        <w:t>, Docket L-2014-2409383 (entered April 3, 2014).</w:t>
      </w:r>
    </w:p>
  </w:footnote>
  <w:footnote w:id="3">
    <w:p w:rsidR="001D1C24" w:rsidRPr="00651B4E" w:rsidRDefault="001D1C24" w:rsidP="001D1C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Retail Electricity Market: </w:t>
      </w:r>
      <w:r w:rsidRPr="00651B4E">
        <w:rPr>
          <w:i/>
        </w:rPr>
        <w:t>Joint Electric Distribution Company –Electric Generation Supplier Bill</w:t>
      </w:r>
      <w:r>
        <w:t xml:space="preserve">, Docket No. </w:t>
      </w:r>
      <w:r w:rsidRPr="00651B4E">
        <w:t>M-2014-2401345</w:t>
      </w:r>
      <w:r>
        <w:t xml:space="preserve"> (Final Order entered May 23, 2014).</w:t>
      </w:r>
    </w:p>
    <w:p w:rsidR="001D1C24" w:rsidRDefault="001D1C24">
      <w:pPr>
        <w:pStyle w:val="FootnoteText"/>
      </w:pPr>
    </w:p>
  </w:footnote>
  <w:footnote w:id="4">
    <w:p w:rsidR="001D1C24" w:rsidRPr="00415587" w:rsidRDefault="001D1C24" w:rsidP="001D1C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 Interim Guidelines for Eligible Customer Lists</w:t>
      </w:r>
      <w:r>
        <w:t xml:space="preserve">, Docket No. </w:t>
      </w:r>
      <w:r w:rsidRPr="00415587">
        <w:t>M-2010-2183412</w:t>
      </w:r>
      <w:r>
        <w:t xml:space="preserve"> (Final Order entered October 23, 2014).</w:t>
      </w:r>
    </w:p>
    <w:p w:rsidR="001D1C24" w:rsidRDefault="001D1C2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140A"/>
    <w:rsid w:val="00013C88"/>
    <w:rsid w:val="00020BC6"/>
    <w:rsid w:val="000227B9"/>
    <w:rsid w:val="00027267"/>
    <w:rsid w:val="00034796"/>
    <w:rsid w:val="000373FD"/>
    <w:rsid w:val="00040B6C"/>
    <w:rsid w:val="00046DED"/>
    <w:rsid w:val="00047304"/>
    <w:rsid w:val="00056553"/>
    <w:rsid w:val="00057C77"/>
    <w:rsid w:val="00067B3B"/>
    <w:rsid w:val="00076B03"/>
    <w:rsid w:val="00081BA3"/>
    <w:rsid w:val="0008483B"/>
    <w:rsid w:val="000A469E"/>
    <w:rsid w:val="000B0E5B"/>
    <w:rsid w:val="000B4F46"/>
    <w:rsid w:val="000E4C77"/>
    <w:rsid w:val="001048A6"/>
    <w:rsid w:val="001209F1"/>
    <w:rsid w:val="0012404A"/>
    <w:rsid w:val="00124DD5"/>
    <w:rsid w:val="00127EB2"/>
    <w:rsid w:val="0013245B"/>
    <w:rsid w:val="00145900"/>
    <w:rsid w:val="00170283"/>
    <w:rsid w:val="00183F1F"/>
    <w:rsid w:val="001B4A9B"/>
    <w:rsid w:val="001C1967"/>
    <w:rsid w:val="001D1C24"/>
    <w:rsid w:val="001D3F9E"/>
    <w:rsid w:val="001D5DBB"/>
    <w:rsid w:val="001E1BF3"/>
    <w:rsid w:val="001E706D"/>
    <w:rsid w:val="001F2EDC"/>
    <w:rsid w:val="001F3754"/>
    <w:rsid w:val="00202276"/>
    <w:rsid w:val="002134D6"/>
    <w:rsid w:val="00215385"/>
    <w:rsid w:val="00221BD0"/>
    <w:rsid w:val="0022227B"/>
    <w:rsid w:val="002229C3"/>
    <w:rsid w:val="002257A9"/>
    <w:rsid w:val="002258FF"/>
    <w:rsid w:val="00233F81"/>
    <w:rsid w:val="0025446A"/>
    <w:rsid w:val="00280E91"/>
    <w:rsid w:val="00287E68"/>
    <w:rsid w:val="00292374"/>
    <w:rsid w:val="0029471C"/>
    <w:rsid w:val="00295A33"/>
    <w:rsid w:val="00295E15"/>
    <w:rsid w:val="002A52A0"/>
    <w:rsid w:val="002C24A6"/>
    <w:rsid w:val="002E0B8A"/>
    <w:rsid w:val="002F0138"/>
    <w:rsid w:val="0031429F"/>
    <w:rsid w:val="00345522"/>
    <w:rsid w:val="003516A6"/>
    <w:rsid w:val="00353111"/>
    <w:rsid w:val="003544FF"/>
    <w:rsid w:val="00355BB1"/>
    <w:rsid w:val="003569E8"/>
    <w:rsid w:val="0036151A"/>
    <w:rsid w:val="00366BB5"/>
    <w:rsid w:val="00385530"/>
    <w:rsid w:val="003B1C2F"/>
    <w:rsid w:val="003B26C3"/>
    <w:rsid w:val="003C102A"/>
    <w:rsid w:val="003C1323"/>
    <w:rsid w:val="003C4E18"/>
    <w:rsid w:val="003C56E2"/>
    <w:rsid w:val="003E1DEE"/>
    <w:rsid w:val="003E4B39"/>
    <w:rsid w:val="003F614F"/>
    <w:rsid w:val="00404881"/>
    <w:rsid w:val="004064C5"/>
    <w:rsid w:val="00413784"/>
    <w:rsid w:val="0041614A"/>
    <w:rsid w:val="004270FD"/>
    <w:rsid w:val="004344B0"/>
    <w:rsid w:val="004354A5"/>
    <w:rsid w:val="004440B7"/>
    <w:rsid w:val="00457A20"/>
    <w:rsid w:val="00462A7A"/>
    <w:rsid w:val="00463EE5"/>
    <w:rsid w:val="004701EC"/>
    <w:rsid w:val="0047633A"/>
    <w:rsid w:val="0047674B"/>
    <w:rsid w:val="004833FE"/>
    <w:rsid w:val="004933E8"/>
    <w:rsid w:val="004A1767"/>
    <w:rsid w:val="004B23EE"/>
    <w:rsid w:val="004B745B"/>
    <w:rsid w:val="004C1889"/>
    <w:rsid w:val="004D2698"/>
    <w:rsid w:val="004E2BC9"/>
    <w:rsid w:val="004F32B3"/>
    <w:rsid w:val="004F5AAA"/>
    <w:rsid w:val="004F6584"/>
    <w:rsid w:val="004F7B18"/>
    <w:rsid w:val="00507C2D"/>
    <w:rsid w:val="0051276D"/>
    <w:rsid w:val="00513DCA"/>
    <w:rsid w:val="0051639C"/>
    <w:rsid w:val="00526ADA"/>
    <w:rsid w:val="005332D6"/>
    <w:rsid w:val="00556387"/>
    <w:rsid w:val="00584C01"/>
    <w:rsid w:val="00591507"/>
    <w:rsid w:val="005A0955"/>
    <w:rsid w:val="005A4BEF"/>
    <w:rsid w:val="005B3262"/>
    <w:rsid w:val="005C0D7A"/>
    <w:rsid w:val="005D3569"/>
    <w:rsid w:val="005E0CED"/>
    <w:rsid w:val="005E25C5"/>
    <w:rsid w:val="005E3ADA"/>
    <w:rsid w:val="005F26A1"/>
    <w:rsid w:val="005F3D24"/>
    <w:rsid w:val="006003D4"/>
    <w:rsid w:val="00621814"/>
    <w:rsid w:val="00621AE9"/>
    <w:rsid w:val="00623BCF"/>
    <w:rsid w:val="00626E3D"/>
    <w:rsid w:val="006755C0"/>
    <w:rsid w:val="00681FF1"/>
    <w:rsid w:val="006933E2"/>
    <w:rsid w:val="00695E35"/>
    <w:rsid w:val="006B4BF5"/>
    <w:rsid w:val="006B5192"/>
    <w:rsid w:val="006C5C47"/>
    <w:rsid w:val="006D6779"/>
    <w:rsid w:val="006E18F6"/>
    <w:rsid w:val="006E1A84"/>
    <w:rsid w:val="006E2533"/>
    <w:rsid w:val="00700501"/>
    <w:rsid w:val="00701ED5"/>
    <w:rsid w:val="007134CE"/>
    <w:rsid w:val="00724AC7"/>
    <w:rsid w:val="00730B41"/>
    <w:rsid w:val="00734191"/>
    <w:rsid w:val="00741934"/>
    <w:rsid w:val="007617B1"/>
    <w:rsid w:val="0077210F"/>
    <w:rsid w:val="00772716"/>
    <w:rsid w:val="007A16AE"/>
    <w:rsid w:val="007B1A12"/>
    <w:rsid w:val="007B4ECA"/>
    <w:rsid w:val="007E64B5"/>
    <w:rsid w:val="007F0775"/>
    <w:rsid w:val="007F59F7"/>
    <w:rsid w:val="00832D4F"/>
    <w:rsid w:val="00841791"/>
    <w:rsid w:val="00857BCE"/>
    <w:rsid w:val="00872596"/>
    <w:rsid w:val="00886B15"/>
    <w:rsid w:val="00892A68"/>
    <w:rsid w:val="00895C5F"/>
    <w:rsid w:val="008C31AD"/>
    <w:rsid w:val="008E0013"/>
    <w:rsid w:val="008F49C8"/>
    <w:rsid w:val="008F4ED1"/>
    <w:rsid w:val="008F595E"/>
    <w:rsid w:val="008F64C1"/>
    <w:rsid w:val="008F78AA"/>
    <w:rsid w:val="00900A7D"/>
    <w:rsid w:val="00907278"/>
    <w:rsid w:val="00914B27"/>
    <w:rsid w:val="00930003"/>
    <w:rsid w:val="00933733"/>
    <w:rsid w:val="0096785B"/>
    <w:rsid w:val="00981235"/>
    <w:rsid w:val="00984274"/>
    <w:rsid w:val="00996C2A"/>
    <w:rsid w:val="0099767B"/>
    <w:rsid w:val="00997E63"/>
    <w:rsid w:val="009A1144"/>
    <w:rsid w:val="009A266F"/>
    <w:rsid w:val="009A3296"/>
    <w:rsid w:val="009A6EE2"/>
    <w:rsid w:val="009B23D8"/>
    <w:rsid w:val="009B2E39"/>
    <w:rsid w:val="009D633A"/>
    <w:rsid w:val="009E04CD"/>
    <w:rsid w:val="009E40EC"/>
    <w:rsid w:val="009E65F6"/>
    <w:rsid w:val="009E7E5D"/>
    <w:rsid w:val="009F5F66"/>
    <w:rsid w:val="009F637F"/>
    <w:rsid w:val="00A36B93"/>
    <w:rsid w:val="00A54DBC"/>
    <w:rsid w:val="00A66D1F"/>
    <w:rsid w:val="00A84699"/>
    <w:rsid w:val="00A85260"/>
    <w:rsid w:val="00A94C57"/>
    <w:rsid w:val="00A955FA"/>
    <w:rsid w:val="00A976A0"/>
    <w:rsid w:val="00AA7496"/>
    <w:rsid w:val="00AB2BF7"/>
    <w:rsid w:val="00AB36A9"/>
    <w:rsid w:val="00AE534F"/>
    <w:rsid w:val="00B00393"/>
    <w:rsid w:val="00B1042A"/>
    <w:rsid w:val="00B12BFD"/>
    <w:rsid w:val="00B54FCF"/>
    <w:rsid w:val="00B8521A"/>
    <w:rsid w:val="00B94894"/>
    <w:rsid w:val="00B95560"/>
    <w:rsid w:val="00B97014"/>
    <w:rsid w:val="00BA0A84"/>
    <w:rsid w:val="00BB2138"/>
    <w:rsid w:val="00BB50DF"/>
    <w:rsid w:val="00BB75D0"/>
    <w:rsid w:val="00BC3A3C"/>
    <w:rsid w:val="00BC5968"/>
    <w:rsid w:val="00BC7ABE"/>
    <w:rsid w:val="00BD3A5C"/>
    <w:rsid w:val="00BD752E"/>
    <w:rsid w:val="00BE4A72"/>
    <w:rsid w:val="00BE5119"/>
    <w:rsid w:val="00BF6F03"/>
    <w:rsid w:val="00C119E2"/>
    <w:rsid w:val="00C11C89"/>
    <w:rsid w:val="00C11E3D"/>
    <w:rsid w:val="00C33C87"/>
    <w:rsid w:val="00C74A51"/>
    <w:rsid w:val="00C75C49"/>
    <w:rsid w:val="00C77F29"/>
    <w:rsid w:val="00C85628"/>
    <w:rsid w:val="00C90506"/>
    <w:rsid w:val="00C92A65"/>
    <w:rsid w:val="00C96CF9"/>
    <w:rsid w:val="00CB3BF2"/>
    <w:rsid w:val="00CB5738"/>
    <w:rsid w:val="00CD2DA0"/>
    <w:rsid w:val="00CD6469"/>
    <w:rsid w:val="00CE2264"/>
    <w:rsid w:val="00CE2A65"/>
    <w:rsid w:val="00CE2F96"/>
    <w:rsid w:val="00CF047C"/>
    <w:rsid w:val="00D00E43"/>
    <w:rsid w:val="00D109C3"/>
    <w:rsid w:val="00D11CD4"/>
    <w:rsid w:val="00D13077"/>
    <w:rsid w:val="00D1602A"/>
    <w:rsid w:val="00D22C20"/>
    <w:rsid w:val="00D32D45"/>
    <w:rsid w:val="00D400BB"/>
    <w:rsid w:val="00D42783"/>
    <w:rsid w:val="00D47F47"/>
    <w:rsid w:val="00D51F3F"/>
    <w:rsid w:val="00D7055D"/>
    <w:rsid w:val="00D7653F"/>
    <w:rsid w:val="00DB7094"/>
    <w:rsid w:val="00DC35C5"/>
    <w:rsid w:val="00DC3ED4"/>
    <w:rsid w:val="00DD0924"/>
    <w:rsid w:val="00DD1841"/>
    <w:rsid w:val="00DD1A19"/>
    <w:rsid w:val="00DD3C81"/>
    <w:rsid w:val="00DD42EC"/>
    <w:rsid w:val="00DD7880"/>
    <w:rsid w:val="00DE1634"/>
    <w:rsid w:val="00DE1904"/>
    <w:rsid w:val="00DE2032"/>
    <w:rsid w:val="00DE3C6A"/>
    <w:rsid w:val="00DF3914"/>
    <w:rsid w:val="00E04B5F"/>
    <w:rsid w:val="00E106A1"/>
    <w:rsid w:val="00E22A7B"/>
    <w:rsid w:val="00E23B6D"/>
    <w:rsid w:val="00E32C71"/>
    <w:rsid w:val="00E349DA"/>
    <w:rsid w:val="00E42588"/>
    <w:rsid w:val="00E45FEB"/>
    <w:rsid w:val="00E463F5"/>
    <w:rsid w:val="00E872DE"/>
    <w:rsid w:val="00E96068"/>
    <w:rsid w:val="00E96AB6"/>
    <w:rsid w:val="00EA585B"/>
    <w:rsid w:val="00EB5668"/>
    <w:rsid w:val="00EC71DD"/>
    <w:rsid w:val="00EE3B9C"/>
    <w:rsid w:val="00F06A54"/>
    <w:rsid w:val="00F11A81"/>
    <w:rsid w:val="00F13825"/>
    <w:rsid w:val="00F174BA"/>
    <w:rsid w:val="00F2183B"/>
    <w:rsid w:val="00F26C87"/>
    <w:rsid w:val="00F40985"/>
    <w:rsid w:val="00F55F6F"/>
    <w:rsid w:val="00F61C22"/>
    <w:rsid w:val="00F7094C"/>
    <w:rsid w:val="00F84C96"/>
    <w:rsid w:val="00F90527"/>
    <w:rsid w:val="00FA0E37"/>
    <w:rsid w:val="00FA3BFF"/>
    <w:rsid w:val="00FB0DCB"/>
    <w:rsid w:val="00FB4C4A"/>
    <w:rsid w:val="00FC11AA"/>
    <w:rsid w:val="00FC2821"/>
    <w:rsid w:val="00FE3B47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DCB"/>
  </w:style>
  <w:style w:type="paragraph" w:styleId="Heading1">
    <w:name w:val="heading 1"/>
    <w:basedOn w:val="Normal"/>
    <w:next w:val="Normal"/>
    <w:qFormat/>
    <w:rsid w:val="00FB0DCB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0DCB"/>
    <w:pPr>
      <w:ind w:left="360"/>
    </w:pPr>
    <w:rPr>
      <w:sz w:val="24"/>
    </w:rPr>
  </w:style>
  <w:style w:type="paragraph" w:styleId="Header">
    <w:name w:val="header"/>
    <w:basedOn w:val="Normal"/>
    <w:rsid w:val="00FB0D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PlainText">
    <w:name w:val="Plain Text"/>
    <w:basedOn w:val="Normal"/>
    <w:link w:val="PlainTextChar"/>
    <w:uiPriority w:val="99"/>
    <w:unhideWhenUsed/>
    <w:rsid w:val="00B1042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42A"/>
    <w:rPr>
      <w:rFonts w:ascii="Consolas" w:eastAsia="Calibri" w:hAnsi="Consolas"/>
      <w:sz w:val="21"/>
      <w:szCs w:val="21"/>
    </w:rPr>
  </w:style>
  <w:style w:type="character" w:styleId="FollowedHyperlink">
    <w:name w:val="FollowedHyperlink"/>
    <w:basedOn w:val="DefaultParagraphFont"/>
    <w:rsid w:val="00CD646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1048A6"/>
  </w:style>
  <w:style w:type="character" w:customStyle="1" w:styleId="FootnoteTextChar">
    <w:name w:val="Footnote Text Char"/>
    <w:basedOn w:val="DefaultParagraphFont"/>
    <w:link w:val="FootnoteText"/>
    <w:uiPriority w:val="99"/>
    <w:rsid w:val="001048A6"/>
  </w:style>
  <w:style w:type="character" w:styleId="FootnoteReference">
    <w:name w:val="footnote reference"/>
    <w:basedOn w:val="DefaultParagraphFont"/>
    <w:uiPriority w:val="99"/>
    <w:rsid w:val="00104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-OCMO@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c.pa.gov/about_puc/search_results.aspx?advanced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B200-4D0C-4C37-B9EE-8EFAAE14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Reynolds, Doris</cp:lastModifiedBy>
  <cp:revision>4</cp:revision>
  <cp:lastPrinted>2015-02-17T20:13:00Z</cp:lastPrinted>
  <dcterms:created xsi:type="dcterms:W3CDTF">2015-03-20T14:48:00Z</dcterms:created>
  <dcterms:modified xsi:type="dcterms:W3CDTF">2015-03-20T15:27:00Z</dcterms:modified>
</cp:coreProperties>
</file>