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24" w:rsidRPr="00195424" w:rsidRDefault="00195424" w:rsidP="00195424">
      <w:pPr>
        <w:spacing w:after="0" w:line="240" w:lineRule="auto"/>
        <w:jc w:val="center"/>
        <w:rPr>
          <w:rFonts w:ascii="Times New Roman" w:eastAsia="Times New Roman" w:hAnsi="Times New Roman" w:cs="Times New Roman"/>
          <w:b/>
          <w:sz w:val="24"/>
          <w:szCs w:val="24"/>
        </w:rPr>
      </w:pPr>
      <w:r w:rsidRPr="00195424">
        <w:rPr>
          <w:rFonts w:ascii="Times New Roman" w:eastAsia="Times New Roman" w:hAnsi="Times New Roman" w:cs="Times New Roman"/>
          <w:b/>
          <w:sz w:val="24"/>
          <w:szCs w:val="24"/>
        </w:rPr>
        <w:t>BEFORE THE</w:t>
      </w:r>
    </w:p>
    <w:p w:rsidR="00195424" w:rsidRPr="00195424" w:rsidRDefault="00195424" w:rsidP="00195424">
      <w:pPr>
        <w:spacing w:after="0" w:line="240" w:lineRule="auto"/>
        <w:jc w:val="center"/>
        <w:rPr>
          <w:rFonts w:ascii="Times New Roman" w:eastAsia="Times New Roman" w:hAnsi="Times New Roman" w:cs="Times New Roman"/>
          <w:b/>
          <w:sz w:val="24"/>
          <w:szCs w:val="24"/>
        </w:rPr>
      </w:pPr>
      <w:r w:rsidRPr="00195424">
        <w:rPr>
          <w:rFonts w:ascii="Times New Roman" w:eastAsia="Times New Roman" w:hAnsi="Times New Roman" w:cs="Times New Roman"/>
          <w:b/>
          <w:sz w:val="24"/>
          <w:szCs w:val="24"/>
        </w:rPr>
        <w:t>PENNSYLVANIA PUBLIC UTILITY COMMISSION</w:t>
      </w:r>
    </w:p>
    <w:p w:rsidR="00195424" w:rsidRPr="00195424" w:rsidRDefault="00195424" w:rsidP="00195424">
      <w:pPr>
        <w:spacing w:after="0" w:line="240" w:lineRule="auto"/>
        <w:jc w:val="both"/>
        <w:rPr>
          <w:rFonts w:ascii="Times New Roman" w:eastAsia="Times New Roman" w:hAnsi="Times New Roman" w:cs="Times New Roman"/>
          <w:sz w:val="24"/>
          <w:szCs w:val="24"/>
        </w:rPr>
      </w:pPr>
    </w:p>
    <w:p w:rsidR="00195424" w:rsidRPr="00195424" w:rsidRDefault="00195424" w:rsidP="00195424">
      <w:pPr>
        <w:spacing w:after="0" w:line="240" w:lineRule="auto"/>
        <w:jc w:val="both"/>
        <w:rPr>
          <w:rFonts w:ascii="Times New Roman" w:eastAsia="Times New Roman" w:hAnsi="Times New Roman" w:cs="Times New Roman"/>
          <w:sz w:val="24"/>
          <w:szCs w:val="24"/>
        </w:rPr>
      </w:pPr>
    </w:p>
    <w:p w:rsidR="00195424" w:rsidRPr="00195424" w:rsidRDefault="00195424" w:rsidP="00195424">
      <w:pPr>
        <w:spacing w:after="0" w:line="240" w:lineRule="auto"/>
        <w:jc w:val="both"/>
        <w:rPr>
          <w:rFonts w:ascii="Times New Roman" w:eastAsia="Times New Roman" w:hAnsi="Times New Roman" w:cs="Times New Roman"/>
          <w:sz w:val="24"/>
          <w:szCs w:val="24"/>
        </w:rPr>
      </w:pPr>
    </w:p>
    <w:p w:rsidR="00195424" w:rsidRPr="00195424" w:rsidRDefault="00195424" w:rsidP="00195424">
      <w:pPr>
        <w:spacing w:after="0" w:line="240" w:lineRule="auto"/>
        <w:jc w:val="both"/>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Monica Morris</w:t>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t>:</w:t>
      </w:r>
    </w:p>
    <w:p w:rsidR="00195424" w:rsidRPr="00195424" w:rsidRDefault="00195424" w:rsidP="00195424">
      <w:pPr>
        <w:spacing w:after="0" w:line="240" w:lineRule="auto"/>
        <w:ind w:left="1440" w:firstLine="720"/>
        <w:jc w:val="both"/>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t>:</w:t>
      </w:r>
    </w:p>
    <w:p w:rsidR="00195424" w:rsidRPr="00195424" w:rsidRDefault="00195424" w:rsidP="00195424">
      <w:pPr>
        <w:spacing w:after="0" w:line="240" w:lineRule="auto"/>
        <w:ind w:firstLine="720"/>
        <w:jc w:val="both"/>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v.</w:t>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t xml:space="preserve">:     </w:t>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Pr>
          <w:rFonts w:ascii="Times New Roman" w:eastAsia="Times New Roman" w:hAnsi="Times New Roman" w:cs="Times New Roman"/>
          <w:sz w:val="24"/>
          <w:szCs w:val="24"/>
        </w:rPr>
        <w:t>C-2014-2418125</w:t>
      </w:r>
    </w:p>
    <w:p w:rsidR="00195424" w:rsidRPr="00195424" w:rsidRDefault="00195424" w:rsidP="00195424">
      <w:pPr>
        <w:spacing w:after="0" w:line="240" w:lineRule="auto"/>
        <w:ind w:left="4320" w:firstLine="720"/>
        <w:jc w:val="both"/>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w:t>
      </w:r>
    </w:p>
    <w:p w:rsidR="00195424" w:rsidRPr="00195424" w:rsidRDefault="00195424" w:rsidP="00195424">
      <w:pPr>
        <w:spacing w:after="0" w:line="240" w:lineRule="auto"/>
        <w:jc w:val="both"/>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 xml:space="preserve">Philadelphia Gas Works </w:t>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t xml:space="preserve">:     </w:t>
      </w:r>
    </w:p>
    <w:p w:rsidR="00195424" w:rsidRPr="00195424" w:rsidRDefault="00195424" w:rsidP="00195424">
      <w:pPr>
        <w:spacing w:after="0" w:line="240" w:lineRule="auto"/>
        <w:jc w:val="both"/>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r>
    </w:p>
    <w:p w:rsidR="00195424" w:rsidRPr="00195424" w:rsidRDefault="00195424" w:rsidP="00195424">
      <w:pPr>
        <w:spacing w:after="0" w:line="240" w:lineRule="auto"/>
        <w:jc w:val="both"/>
        <w:rPr>
          <w:rFonts w:ascii="Times New Roman" w:eastAsia="Times New Roman" w:hAnsi="Times New Roman" w:cs="Times New Roman"/>
          <w:sz w:val="24"/>
          <w:szCs w:val="24"/>
        </w:rPr>
      </w:pPr>
    </w:p>
    <w:p w:rsidR="00195424" w:rsidRPr="00195424" w:rsidRDefault="00195424" w:rsidP="00195424">
      <w:pPr>
        <w:keepNext/>
        <w:spacing w:after="0" w:line="240" w:lineRule="auto"/>
        <w:jc w:val="center"/>
        <w:outlineLvl w:val="0"/>
        <w:rPr>
          <w:rFonts w:ascii="Times New Roman" w:eastAsia="Times New Roman" w:hAnsi="Times New Roman" w:cs="Times New Roman"/>
          <w:b/>
          <w:sz w:val="24"/>
          <w:szCs w:val="24"/>
          <w:u w:val="single"/>
        </w:rPr>
      </w:pPr>
    </w:p>
    <w:p w:rsidR="00195424" w:rsidRPr="00195424" w:rsidRDefault="00195424" w:rsidP="00195424">
      <w:pPr>
        <w:keepNext/>
        <w:spacing w:after="0" w:line="240" w:lineRule="auto"/>
        <w:jc w:val="center"/>
        <w:outlineLvl w:val="0"/>
        <w:rPr>
          <w:rFonts w:ascii="Times New Roman" w:eastAsia="Times New Roman" w:hAnsi="Times New Roman" w:cs="Times New Roman"/>
          <w:b/>
          <w:sz w:val="24"/>
          <w:szCs w:val="24"/>
          <w:u w:val="single"/>
        </w:rPr>
      </w:pPr>
      <w:r w:rsidRPr="00195424">
        <w:rPr>
          <w:rFonts w:ascii="Times New Roman" w:eastAsia="Times New Roman" w:hAnsi="Times New Roman" w:cs="Times New Roman"/>
          <w:b/>
          <w:sz w:val="24"/>
          <w:szCs w:val="24"/>
          <w:u w:val="single"/>
        </w:rPr>
        <w:t>INITIAL DECISION</w:t>
      </w:r>
    </w:p>
    <w:p w:rsidR="00195424" w:rsidRPr="00195424" w:rsidRDefault="00195424" w:rsidP="00195424">
      <w:pPr>
        <w:spacing w:after="0" w:line="240" w:lineRule="auto"/>
        <w:jc w:val="center"/>
        <w:rPr>
          <w:rFonts w:ascii="Times New Roman" w:eastAsia="Times New Roman" w:hAnsi="Times New Roman" w:cs="Times New Roman"/>
          <w:sz w:val="24"/>
          <w:szCs w:val="24"/>
        </w:rPr>
      </w:pPr>
    </w:p>
    <w:p w:rsidR="00195424" w:rsidRPr="00195424" w:rsidRDefault="00195424" w:rsidP="00195424">
      <w:pPr>
        <w:spacing w:after="0" w:line="240" w:lineRule="auto"/>
        <w:jc w:val="center"/>
        <w:rPr>
          <w:rFonts w:ascii="Times New Roman" w:eastAsia="Times New Roman" w:hAnsi="Times New Roman" w:cs="Times New Roman"/>
          <w:sz w:val="24"/>
          <w:szCs w:val="24"/>
        </w:rPr>
      </w:pPr>
    </w:p>
    <w:p w:rsidR="00195424" w:rsidRPr="00195424" w:rsidRDefault="00195424" w:rsidP="00195424">
      <w:pPr>
        <w:spacing w:after="0" w:line="240" w:lineRule="auto"/>
        <w:jc w:val="center"/>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Before</w:t>
      </w:r>
    </w:p>
    <w:p w:rsidR="00195424" w:rsidRPr="00195424" w:rsidRDefault="00195424" w:rsidP="00195424">
      <w:pPr>
        <w:spacing w:after="0" w:line="240" w:lineRule="auto"/>
        <w:jc w:val="center"/>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Eranda Vero</w:t>
      </w:r>
    </w:p>
    <w:p w:rsidR="00195424" w:rsidRPr="00195424" w:rsidRDefault="00195424" w:rsidP="00195424">
      <w:pPr>
        <w:spacing w:after="0" w:line="240" w:lineRule="auto"/>
        <w:jc w:val="center"/>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Administrative Law Judge</w:t>
      </w:r>
    </w:p>
    <w:p w:rsidR="00195424" w:rsidRDefault="00195424" w:rsidP="00195424">
      <w:pPr>
        <w:spacing w:after="0" w:line="240" w:lineRule="auto"/>
        <w:jc w:val="center"/>
        <w:rPr>
          <w:rFonts w:ascii="Times New Roman" w:eastAsia="Times New Roman" w:hAnsi="Times New Roman" w:cs="Times New Roman"/>
          <w:sz w:val="24"/>
          <w:szCs w:val="24"/>
        </w:rPr>
      </w:pPr>
    </w:p>
    <w:p w:rsidR="00B02589" w:rsidRDefault="00B02589" w:rsidP="00195424">
      <w:pPr>
        <w:spacing w:after="0" w:line="240" w:lineRule="auto"/>
        <w:jc w:val="center"/>
        <w:rPr>
          <w:rFonts w:ascii="Times New Roman" w:eastAsia="Times New Roman" w:hAnsi="Times New Roman" w:cs="Times New Roman"/>
          <w:sz w:val="24"/>
          <w:szCs w:val="24"/>
        </w:rPr>
      </w:pPr>
    </w:p>
    <w:p w:rsidR="00B02589" w:rsidRPr="00F00EF6" w:rsidRDefault="00B02589" w:rsidP="00B02589">
      <w:pPr>
        <w:spacing w:after="0" w:line="360" w:lineRule="auto"/>
        <w:ind w:firstLine="1440"/>
        <w:rPr>
          <w:rFonts w:ascii="Times New Roman" w:hAnsi="Times New Roman" w:cs="Times New Roman"/>
          <w:bCs/>
          <w:sz w:val="24"/>
          <w:szCs w:val="24"/>
        </w:rPr>
      </w:pPr>
      <w:r w:rsidRPr="00F00EF6">
        <w:rPr>
          <w:rFonts w:ascii="Times New Roman" w:hAnsi="Times New Roman" w:cs="Times New Roman"/>
          <w:bCs/>
          <w:sz w:val="24"/>
          <w:szCs w:val="24"/>
        </w:rPr>
        <w:t xml:space="preserve">This Initial Decision dismisses the Formal Complaint of </w:t>
      </w:r>
      <w:r w:rsidR="00B24710">
        <w:rPr>
          <w:rFonts w:ascii="Times New Roman" w:hAnsi="Times New Roman" w:cs="Times New Roman"/>
          <w:bCs/>
          <w:sz w:val="24"/>
          <w:szCs w:val="24"/>
        </w:rPr>
        <w:t xml:space="preserve">Monica Morris </w:t>
      </w:r>
      <w:r w:rsidRPr="00F00EF6">
        <w:rPr>
          <w:rFonts w:ascii="Times New Roman" w:hAnsi="Times New Roman" w:cs="Times New Roman"/>
          <w:bCs/>
          <w:sz w:val="24"/>
          <w:szCs w:val="24"/>
        </w:rPr>
        <w:t>f</w:t>
      </w:r>
      <w:r w:rsidR="00B24710">
        <w:rPr>
          <w:rFonts w:ascii="Times New Roman" w:hAnsi="Times New Roman" w:cs="Times New Roman"/>
          <w:bCs/>
          <w:sz w:val="24"/>
          <w:szCs w:val="24"/>
        </w:rPr>
        <w:t>iled against Philadelphia Gas Works</w:t>
      </w:r>
      <w:r w:rsidRPr="00F00EF6">
        <w:rPr>
          <w:rFonts w:ascii="Times New Roman" w:hAnsi="Times New Roman" w:cs="Times New Roman"/>
          <w:bCs/>
          <w:sz w:val="24"/>
          <w:szCs w:val="24"/>
        </w:rPr>
        <w:t xml:space="preserve"> with the Pennsylvania Public Utility Commission at Docket No. </w:t>
      </w:r>
    </w:p>
    <w:p w:rsidR="00B02589" w:rsidRPr="00F00EF6" w:rsidRDefault="001805A8" w:rsidP="00B02589">
      <w:pPr>
        <w:spacing w:after="0" w:line="360" w:lineRule="auto"/>
        <w:rPr>
          <w:rFonts w:ascii="Times New Roman" w:hAnsi="Times New Roman" w:cs="Times New Roman"/>
          <w:bCs/>
          <w:sz w:val="24"/>
          <w:szCs w:val="24"/>
        </w:rPr>
      </w:pPr>
      <w:proofErr w:type="gramStart"/>
      <w:r>
        <w:rPr>
          <w:rFonts w:ascii="Times New Roman" w:hAnsi="Times New Roman" w:cs="Times New Roman"/>
          <w:bCs/>
          <w:sz w:val="24"/>
          <w:szCs w:val="24"/>
        </w:rPr>
        <w:t>C-2014-2418125, because Ms. Morris failed to</w:t>
      </w:r>
      <w:r w:rsidRPr="00F00EF6">
        <w:rPr>
          <w:rFonts w:ascii="Times New Roman" w:hAnsi="Times New Roman" w:cs="Times New Roman"/>
          <w:bCs/>
          <w:sz w:val="24"/>
          <w:szCs w:val="24"/>
        </w:rPr>
        <w:t xml:space="preserve"> carry her burden of proof.</w:t>
      </w:r>
      <w:proofErr w:type="gramEnd"/>
    </w:p>
    <w:p w:rsidR="00B02589" w:rsidRDefault="00B02589" w:rsidP="00195424">
      <w:pPr>
        <w:spacing w:after="0" w:line="240" w:lineRule="auto"/>
        <w:jc w:val="center"/>
        <w:rPr>
          <w:rFonts w:ascii="Times New Roman" w:eastAsia="Times New Roman" w:hAnsi="Times New Roman" w:cs="Times New Roman"/>
          <w:sz w:val="24"/>
          <w:szCs w:val="24"/>
        </w:rPr>
      </w:pPr>
    </w:p>
    <w:p w:rsidR="00B02589" w:rsidRPr="00195424" w:rsidRDefault="00B02589" w:rsidP="00195424">
      <w:pPr>
        <w:spacing w:after="0" w:line="240" w:lineRule="auto"/>
        <w:jc w:val="center"/>
        <w:rPr>
          <w:rFonts w:ascii="Times New Roman" w:eastAsia="Times New Roman" w:hAnsi="Times New Roman" w:cs="Times New Roman"/>
          <w:sz w:val="24"/>
          <w:szCs w:val="24"/>
        </w:rPr>
      </w:pPr>
    </w:p>
    <w:p w:rsidR="00195424" w:rsidRPr="00195424" w:rsidRDefault="00195424" w:rsidP="00195424">
      <w:pPr>
        <w:spacing w:after="0" w:line="360" w:lineRule="auto"/>
        <w:jc w:val="center"/>
        <w:rPr>
          <w:rFonts w:ascii="Times New Roman" w:eastAsia="Times New Roman" w:hAnsi="Times New Roman" w:cs="Times New Roman"/>
          <w:caps/>
          <w:sz w:val="24"/>
          <w:szCs w:val="24"/>
          <w:u w:val="single"/>
        </w:rPr>
      </w:pPr>
      <w:r w:rsidRPr="00195424">
        <w:rPr>
          <w:rFonts w:ascii="Times New Roman" w:eastAsia="Times New Roman" w:hAnsi="Times New Roman" w:cs="Times New Roman"/>
          <w:caps/>
          <w:sz w:val="24"/>
          <w:szCs w:val="24"/>
          <w:u w:val="single"/>
        </w:rPr>
        <w:t>history of the proceeding</w:t>
      </w:r>
    </w:p>
    <w:p w:rsidR="0006494C" w:rsidRDefault="0006494C" w:rsidP="00B02589">
      <w:pPr>
        <w:spacing w:after="0" w:line="360" w:lineRule="auto"/>
        <w:rPr>
          <w:rFonts w:ascii="Times New Roman" w:eastAsia="Times New Roman" w:hAnsi="Times New Roman" w:cs="Times New Roman"/>
          <w:sz w:val="24"/>
          <w:szCs w:val="24"/>
        </w:rPr>
      </w:pPr>
    </w:p>
    <w:p w:rsidR="00AC1E1F" w:rsidRDefault="0006494C" w:rsidP="00A223FD">
      <w:pPr>
        <w:spacing w:after="0" w:line="360" w:lineRule="auto"/>
        <w:ind w:firstLine="1440"/>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April 15, 2014</w:t>
      </w:r>
      <w:r w:rsidRPr="00195424">
        <w:rPr>
          <w:rFonts w:ascii="Times New Roman" w:eastAsia="Times New Roman" w:hAnsi="Times New Roman" w:cs="Times New Roman"/>
          <w:sz w:val="24"/>
          <w:szCs w:val="24"/>
        </w:rPr>
        <w:t xml:space="preserve">, </w:t>
      </w:r>
      <w:r w:rsidRPr="00195424">
        <w:rPr>
          <w:rFonts w:ascii="Times New Roman" w:eastAsia="Times New Roman" w:hAnsi="Times New Roman" w:cs="Times New Roman"/>
          <w:spacing w:val="-3"/>
          <w:sz w:val="24"/>
          <w:szCs w:val="24"/>
        </w:rPr>
        <w:t xml:space="preserve">Monica Morris </w:t>
      </w:r>
      <w:r w:rsidRPr="00195424">
        <w:rPr>
          <w:rFonts w:ascii="Times New Roman" w:eastAsia="Times New Roman" w:hAnsi="Times New Roman" w:cs="Times New Roman"/>
          <w:sz w:val="24"/>
          <w:szCs w:val="24"/>
        </w:rPr>
        <w:t>(Ms. Morris or Complainant) filed a formal Complaint (Complaint) against Philadelphia Gas Works (Respondent or PGW) with the Pennsylvania Public Utility Commission (Commission) alleging that Respondent</w:t>
      </w:r>
      <w:r>
        <w:rPr>
          <w:rFonts w:ascii="Times New Roman" w:eastAsia="Times New Roman" w:hAnsi="Times New Roman" w:cs="Times New Roman"/>
          <w:sz w:val="24"/>
          <w:szCs w:val="24"/>
        </w:rPr>
        <w:t xml:space="preserve"> was threatening to shut off her service, and that there were incorrect charges on her gas bills from PGW</w:t>
      </w:r>
      <w:r w:rsidRPr="00195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particular, Ms. Morris alleged that PGW had estimated her bills; that her PGW account showed a $30,000 outstanding balance; that PGW had not provided her with information regarding the accumulation of her outstanding balance; </w:t>
      </w:r>
      <w:r w:rsidR="00AC1E1F">
        <w:rPr>
          <w:rFonts w:ascii="Times New Roman" w:eastAsia="Times New Roman" w:hAnsi="Times New Roman" w:cs="Times New Roman"/>
          <w:sz w:val="24"/>
          <w:szCs w:val="24"/>
        </w:rPr>
        <w:t>and that she did not have a house heater for a few years.  Ms. Morris ques</w:t>
      </w:r>
      <w:r w:rsidR="00375CA8">
        <w:rPr>
          <w:rFonts w:ascii="Times New Roman" w:eastAsia="Times New Roman" w:hAnsi="Times New Roman" w:cs="Times New Roman"/>
          <w:sz w:val="24"/>
          <w:szCs w:val="24"/>
        </w:rPr>
        <w:t>tioned PGW’s authority to issue</w:t>
      </w:r>
      <w:r w:rsidR="00AC1E1F">
        <w:rPr>
          <w:rFonts w:ascii="Times New Roman" w:eastAsia="Times New Roman" w:hAnsi="Times New Roman" w:cs="Times New Roman"/>
          <w:sz w:val="24"/>
          <w:szCs w:val="24"/>
        </w:rPr>
        <w:t xml:space="preserve"> a makeup bill covering several years and its expectation for that bill to be paid all at once.  </w:t>
      </w:r>
    </w:p>
    <w:p w:rsidR="0006494C" w:rsidRPr="00195424" w:rsidRDefault="0006494C" w:rsidP="0006494C">
      <w:pPr>
        <w:spacing w:after="0" w:line="360" w:lineRule="auto"/>
        <w:ind w:firstLine="1440"/>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lastRenderedPageBreak/>
        <w:t xml:space="preserve">As </w:t>
      </w:r>
      <w:r w:rsidR="005D1C22">
        <w:rPr>
          <w:rFonts w:ascii="Times New Roman" w:eastAsia="Times New Roman" w:hAnsi="Times New Roman" w:cs="Times New Roman"/>
          <w:sz w:val="24"/>
          <w:szCs w:val="24"/>
        </w:rPr>
        <w:t>relief, the Complainant requested</w:t>
      </w:r>
      <w:r w:rsidR="00AC1E1F">
        <w:rPr>
          <w:rFonts w:ascii="Times New Roman" w:eastAsia="Times New Roman" w:hAnsi="Times New Roman" w:cs="Times New Roman"/>
          <w:sz w:val="24"/>
          <w:szCs w:val="24"/>
        </w:rPr>
        <w:t xml:space="preserve"> that “the estimated and delayed charges be removed from [her] bill.” </w:t>
      </w:r>
      <w:r w:rsidR="00D64EF7">
        <w:rPr>
          <w:rFonts w:ascii="Times New Roman" w:eastAsia="Times New Roman" w:hAnsi="Times New Roman" w:cs="Times New Roman"/>
          <w:sz w:val="24"/>
          <w:szCs w:val="24"/>
        </w:rPr>
        <w:t xml:space="preserve"> </w:t>
      </w:r>
      <w:proofErr w:type="gramStart"/>
      <w:r w:rsidR="00AC1E1F">
        <w:rPr>
          <w:rFonts w:ascii="Times New Roman" w:eastAsia="Times New Roman" w:hAnsi="Times New Roman" w:cs="Times New Roman"/>
          <w:sz w:val="24"/>
          <w:szCs w:val="24"/>
        </w:rPr>
        <w:t>Formal Complainant ¶ 5.</w:t>
      </w:r>
      <w:proofErr w:type="gramEnd"/>
      <w:r w:rsidR="00AC1E1F">
        <w:rPr>
          <w:rFonts w:ascii="Times New Roman" w:eastAsia="Times New Roman" w:hAnsi="Times New Roman" w:cs="Times New Roman"/>
          <w:sz w:val="24"/>
          <w:szCs w:val="24"/>
        </w:rPr>
        <w:t xml:space="preserve">  In addition</w:t>
      </w:r>
      <w:r w:rsidR="00D64EF7">
        <w:rPr>
          <w:rFonts w:ascii="Times New Roman" w:eastAsia="Times New Roman" w:hAnsi="Times New Roman" w:cs="Times New Roman"/>
          <w:sz w:val="24"/>
          <w:szCs w:val="24"/>
        </w:rPr>
        <w:t>,</w:t>
      </w:r>
      <w:r w:rsidR="00AC1E1F">
        <w:rPr>
          <w:rFonts w:ascii="Times New Roman" w:eastAsia="Times New Roman" w:hAnsi="Times New Roman" w:cs="Times New Roman"/>
          <w:sz w:val="24"/>
          <w:szCs w:val="24"/>
        </w:rPr>
        <w:t xml:space="preserve"> she requested that the Commission issue a reasonable and affordable payment arrangement on her behalf.</w:t>
      </w:r>
    </w:p>
    <w:p w:rsidR="0006494C" w:rsidRPr="00195424" w:rsidRDefault="0006494C" w:rsidP="0006494C">
      <w:pPr>
        <w:spacing w:after="0" w:line="360" w:lineRule="auto"/>
        <w:ind w:firstLine="1440"/>
        <w:rPr>
          <w:rFonts w:ascii="Times New Roman" w:eastAsia="Times New Roman" w:hAnsi="Times New Roman" w:cs="Times New Roman"/>
          <w:sz w:val="24"/>
          <w:szCs w:val="24"/>
        </w:rPr>
      </w:pPr>
    </w:p>
    <w:p w:rsidR="0006494C" w:rsidRPr="00195424" w:rsidRDefault="00AC1E1F" w:rsidP="0006494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15, 2015</w:t>
      </w:r>
      <w:r w:rsidR="0006494C" w:rsidRPr="00195424">
        <w:rPr>
          <w:rFonts w:ascii="Times New Roman" w:eastAsia="Times New Roman" w:hAnsi="Times New Roman" w:cs="Times New Roman"/>
          <w:sz w:val="24"/>
          <w:szCs w:val="24"/>
        </w:rPr>
        <w:t>, Respondent filed an Answer denying the material allegations of the Complaint.</w:t>
      </w:r>
      <w:r w:rsidRPr="00AC1E1F">
        <w:rPr>
          <w:rFonts w:ascii="Times New Roman" w:eastAsia="Times New Roman" w:hAnsi="Times New Roman" w:cs="Times New Roman"/>
          <w:sz w:val="24"/>
          <w:szCs w:val="24"/>
        </w:rPr>
        <w:t xml:space="preserve"> </w:t>
      </w:r>
      <w:r w:rsidR="004D77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Along with its Answer, PGW filed a New Matter</w:t>
      </w:r>
      <w:r w:rsidR="004D77EF">
        <w:rPr>
          <w:rFonts w:ascii="Times New Roman" w:eastAsia="Times New Roman" w:hAnsi="Times New Roman" w:cs="Times New Roman"/>
          <w:sz w:val="24"/>
          <w:szCs w:val="24"/>
        </w:rPr>
        <w:t xml:space="preserve"> requesting that the Complainant be prohibited from putting forth any claims that were part of her previous Formal Complaint against PGW, at Docket No. </w:t>
      </w:r>
      <w:proofErr w:type="gramStart"/>
      <w:r w:rsidR="004D77EF">
        <w:rPr>
          <w:rFonts w:ascii="Times New Roman" w:eastAsia="Times New Roman" w:hAnsi="Times New Roman" w:cs="Times New Roman"/>
          <w:sz w:val="24"/>
          <w:szCs w:val="24"/>
        </w:rPr>
        <w:t>C-2013-2375477, which was dismissed with prejudice due to Complainant’s failure to appear at the scheduled evidentiary hearing and prosecute her Complaint.</w:t>
      </w:r>
      <w:proofErr w:type="gramEnd"/>
    </w:p>
    <w:p w:rsidR="0006494C" w:rsidRPr="00195424" w:rsidRDefault="0006494C" w:rsidP="0006494C">
      <w:pPr>
        <w:spacing w:after="0" w:line="360" w:lineRule="auto"/>
        <w:rPr>
          <w:rFonts w:ascii="Times New Roman" w:eastAsia="Times New Roman" w:hAnsi="Times New Roman" w:cs="Times New Roman"/>
          <w:sz w:val="24"/>
          <w:szCs w:val="24"/>
        </w:rPr>
      </w:pPr>
    </w:p>
    <w:p w:rsidR="0006494C" w:rsidRPr="00195424" w:rsidRDefault="0006494C" w:rsidP="0006494C">
      <w:pPr>
        <w:spacing w:after="0" w:line="360" w:lineRule="auto"/>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ab/>
      </w:r>
      <w:r w:rsidRPr="00195424">
        <w:rPr>
          <w:rFonts w:ascii="Times New Roman" w:eastAsia="Times New Roman" w:hAnsi="Times New Roman" w:cs="Times New Roman"/>
          <w:sz w:val="24"/>
          <w:szCs w:val="24"/>
        </w:rPr>
        <w:tab/>
        <w:t>A Hearing Notice dated</w:t>
      </w:r>
      <w:r>
        <w:rPr>
          <w:rFonts w:ascii="Times New Roman" w:eastAsia="Times New Roman" w:hAnsi="Times New Roman" w:cs="Times New Roman"/>
          <w:sz w:val="24"/>
          <w:szCs w:val="24"/>
        </w:rPr>
        <w:t xml:space="preserve"> May 19, 2014</w:t>
      </w:r>
      <w:r w:rsidRPr="00195424">
        <w:rPr>
          <w:rFonts w:ascii="Times New Roman" w:eastAsia="Times New Roman" w:hAnsi="Times New Roman" w:cs="Times New Roman"/>
          <w:sz w:val="24"/>
          <w:szCs w:val="24"/>
        </w:rPr>
        <w:t xml:space="preserve">, notified the parties that an initial hearing was scheduled for </w:t>
      </w:r>
      <w:r>
        <w:rPr>
          <w:rFonts w:ascii="Times New Roman" w:eastAsia="Times New Roman" w:hAnsi="Times New Roman" w:cs="Times New Roman"/>
          <w:sz w:val="24"/>
          <w:szCs w:val="24"/>
        </w:rPr>
        <w:t>Tuesday, July 1, 2014, at 10:00 a</w:t>
      </w:r>
      <w:r w:rsidRPr="00195424">
        <w:rPr>
          <w:rFonts w:ascii="Times New Roman" w:eastAsia="Times New Roman" w:hAnsi="Times New Roman" w:cs="Times New Roman"/>
          <w:sz w:val="24"/>
          <w:szCs w:val="24"/>
        </w:rPr>
        <w:t xml:space="preserve">.m.  </w:t>
      </w:r>
    </w:p>
    <w:p w:rsidR="0006494C" w:rsidRPr="00195424" w:rsidRDefault="0006494C" w:rsidP="0006494C">
      <w:pPr>
        <w:spacing w:after="0" w:line="360" w:lineRule="auto"/>
        <w:rPr>
          <w:rFonts w:ascii="Times New Roman" w:eastAsia="Times New Roman" w:hAnsi="Times New Roman" w:cs="Times New Roman"/>
          <w:sz w:val="24"/>
          <w:szCs w:val="24"/>
        </w:rPr>
      </w:pPr>
    </w:p>
    <w:p w:rsidR="0006494C" w:rsidRPr="00195424" w:rsidRDefault="0006494C" w:rsidP="0006494C">
      <w:pPr>
        <w:spacing w:after="0" w:line="360" w:lineRule="auto"/>
        <w:ind w:firstLine="1440"/>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 xml:space="preserve">A Prehearing Order was issued </w:t>
      </w:r>
      <w:r>
        <w:rPr>
          <w:rFonts w:ascii="Times New Roman" w:eastAsia="Times New Roman" w:hAnsi="Times New Roman" w:cs="Times New Roman"/>
          <w:sz w:val="24"/>
          <w:szCs w:val="24"/>
        </w:rPr>
        <w:t>on June 3, 2014</w:t>
      </w:r>
      <w:r w:rsidRPr="00195424">
        <w:rPr>
          <w:rFonts w:ascii="Times New Roman" w:eastAsia="Times New Roman" w:hAnsi="Times New Roman" w:cs="Times New Roman"/>
          <w:sz w:val="24"/>
          <w:szCs w:val="24"/>
        </w:rPr>
        <w:t xml:space="preserve">, advising the parties of the date and time of the scheduled hearing, informing them of the procedures applicable to this proceeding, and directing the submission of documents prior to the hearing.  </w:t>
      </w:r>
    </w:p>
    <w:p w:rsidR="0006494C" w:rsidRDefault="0006494C" w:rsidP="00195424">
      <w:pPr>
        <w:spacing w:after="0" w:line="360" w:lineRule="auto"/>
        <w:ind w:firstLine="1440"/>
        <w:rPr>
          <w:rFonts w:ascii="Times New Roman" w:eastAsia="Times New Roman" w:hAnsi="Times New Roman" w:cs="Times New Roman"/>
          <w:sz w:val="24"/>
          <w:szCs w:val="24"/>
        </w:rPr>
      </w:pPr>
    </w:p>
    <w:p w:rsidR="004D77EF" w:rsidRPr="004D77EF" w:rsidRDefault="00AC1E1F" w:rsidP="004D77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AC1E1F">
        <w:rPr>
          <w:rFonts w:ascii="Times New Roman" w:eastAsia="Calibri" w:hAnsi="Times New Roman" w:cs="Times New Roman"/>
          <w:sz w:val="24"/>
          <w:szCs w:val="24"/>
        </w:rPr>
        <w:t>The initial hearing convened as scheduled</w:t>
      </w:r>
      <w:r w:rsidRPr="00AC1E1F">
        <w:rPr>
          <w:rFonts w:ascii="Times New Roman" w:eastAsia="Times New Roman" w:hAnsi="Times New Roman" w:cs="Times New Roman"/>
          <w:sz w:val="24"/>
          <w:szCs w:val="24"/>
        </w:rPr>
        <w:t xml:space="preserve">.  </w:t>
      </w:r>
      <w:r w:rsidR="004D77EF">
        <w:rPr>
          <w:rFonts w:ascii="Times New Roman" w:eastAsia="Times New Roman" w:hAnsi="Times New Roman" w:cs="Times New Roman"/>
          <w:sz w:val="24"/>
          <w:szCs w:val="24"/>
        </w:rPr>
        <w:t xml:space="preserve">Monica Morris </w:t>
      </w:r>
      <w:r w:rsidRPr="00AC1E1F">
        <w:rPr>
          <w:rFonts w:ascii="Times New Roman" w:eastAsia="Times New Roman" w:hAnsi="Times New Roman" w:cs="Times New Roman"/>
          <w:sz w:val="24"/>
          <w:szCs w:val="24"/>
        </w:rPr>
        <w:t xml:space="preserve">appeared </w:t>
      </w:r>
      <w:r w:rsidRPr="00AC1E1F">
        <w:rPr>
          <w:rFonts w:ascii="Times New Roman" w:eastAsia="Times New Roman" w:hAnsi="Times New Roman" w:cs="Times New Roman"/>
          <w:i/>
          <w:sz w:val="24"/>
          <w:szCs w:val="24"/>
        </w:rPr>
        <w:t xml:space="preserve">pro se </w:t>
      </w:r>
      <w:r w:rsidRPr="00AC1E1F">
        <w:rPr>
          <w:rFonts w:ascii="Times New Roman" w:eastAsia="Times New Roman" w:hAnsi="Times New Roman" w:cs="Times New Roman"/>
          <w:sz w:val="24"/>
          <w:szCs w:val="24"/>
        </w:rPr>
        <w:t>and testified in support of the Complaint</w:t>
      </w:r>
      <w:r w:rsidR="004D77EF">
        <w:rPr>
          <w:rFonts w:ascii="Times New Roman" w:eastAsia="Times New Roman" w:hAnsi="Times New Roman" w:cs="Times New Roman"/>
          <w:sz w:val="24"/>
          <w:szCs w:val="24"/>
        </w:rPr>
        <w:t xml:space="preserve"> along with her husband, Richard Elijah</w:t>
      </w:r>
      <w:r w:rsidRPr="00AC1E1F">
        <w:rPr>
          <w:rFonts w:ascii="Times New Roman" w:eastAsia="Times New Roman" w:hAnsi="Times New Roman" w:cs="Times New Roman"/>
          <w:sz w:val="24"/>
          <w:szCs w:val="24"/>
        </w:rPr>
        <w:t xml:space="preserve">.  </w:t>
      </w:r>
      <w:r w:rsidR="004D77EF">
        <w:rPr>
          <w:rFonts w:ascii="Times New Roman" w:eastAsia="Times New Roman" w:hAnsi="Times New Roman" w:cs="Times New Roman"/>
          <w:sz w:val="24"/>
          <w:szCs w:val="24"/>
        </w:rPr>
        <w:t xml:space="preserve">Laureto Farinas, </w:t>
      </w:r>
      <w:r w:rsidRPr="00AC1E1F">
        <w:rPr>
          <w:rFonts w:ascii="Times New Roman" w:eastAsia="Times New Roman" w:hAnsi="Times New Roman" w:cs="Times New Roman"/>
          <w:sz w:val="24"/>
          <w:szCs w:val="24"/>
        </w:rPr>
        <w:t xml:space="preserve">Esq. represented the Respondent, and presented the testimony of Wendy </w:t>
      </w:r>
      <w:proofErr w:type="spellStart"/>
      <w:r w:rsidRPr="00AC1E1F">
        <w:rPr>
          <w:rFonts w:ascii="Times New Roman" w:eastAsia="Times New Roman" w:hAnsi="Times New Roman" w:cs="Times New Roman"/>
          <w:sz w:val="24"/>
          <w:szCs w:val="24"/>
        </w:rPr>
        <w:t>Vacca</w:t>
      </w:r>
      <w:proofErr w:type="spellEnd"/>
      <w:r w:rsidRPr="00AC1E1F">
        <w:rPr>
          <w:rFonts w:ascii="Times New Roman" w:eastAsia="Times New Roman" w:hAnsi="Times New Roman" w:cs="Times New Roman"/>
          <w:sz w:val="24"/>
          <w:szCs w:val="24"/>
        </w:rPr>
        <w:t>, who is a Customer Review Unit Officer with PGW in charge of reviewing and investi</w:t>
      </w:r>
      <w:bookmarkStart w:id="0" w:name="_GoBack"/>
      <w:bookmarkEnd w:id="0"/>
      <w:r w:rsidRPr="00AC1E1F">
        <w:rPr>
          <w:rFonts w:ascii="Times New Roman" w:eastAsia="Times New Roman" w:hAnsi="Times New Roman" w:cs="Times New Roman"/>
          <w:sz w:val="24"/>
          <w:szCs w:val="24"/>
        </w:rPr>
        <w:t>gating formal and informal complaints filed with the Commission.</w:t>
      </w:r>
      <w:r w:rsidR="004D77EF">
        <w:rPr>
          <w:rFonts w:ascii="Times New Roman" w:eastAsia="Times New Roman" w:hAnsi="Times New Roman" w:cs="Times New Roman"/>
          <w:sz w:val="24"/>
          <w:szCs w:val="24"/>
        </w:rPr>
        <w:t xml:space="preserve">  </w:t>
      </w:r>
      <w:r w:rsidR="004D77EF" w:rsidRPr="004D77EF">
        <w:rPr>
          <w:rFonts w:ascii="Times New Roman" w:eastAsia="Times New Roman" w:hAnsi="Times New Roman" w:cs="Times New Roman"/>
          <w:sz w:val="24"/>
          <w:szCs w:val="24"/>
        </w:rPr>
        <w:t xml:space="preserve">The </w:t>
      </w:r>
      <w:r w:rsidR="004D77EF">
        <w:rPr>
          <w:rFonts w:ascii="Times New Roman" w:eastAsia="Times New Roman" w:hAnsi="Times New Roman" w:cs="Times New Roman"/>
          <w:sz w:val="24"/>
          <w:szCs w:val="24"/>
        </w:rPr>
        <w:t>Respondent sponsored three (3</w:t>
      </w:r>
      <w:r w:rsidR="004D77EF" w:rsidRPr="004D77EF">
        <w:rPr>
          <w:rFonts w:ascii="Times New Roman" w:eastAsia="Times New Roman" w:hAnsi="Times New Roman" w:cs="Times New Roman"/>
          <w:sz w:val="24"/>
          <w:szCs w:val="24"/>
        </w:rPr>
        <w:t xml:space="preserve">) exhibits, all of which were admitted into the record.  </w:t>
      </w:r>
    </w:p>
    <w:p w:rsidR="004D77EF" w:rsidRDefault="004D77EF" w:rsidP="004D77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8E11EB" w:rsidRDefault="008E11EB" w:rsidP="004D77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beginning of the hearing, Mr. Farinas made a Motion to dismiss Ms. Morris’ present Complaint because it </w:t>
      </w:r>
      <w:proofErr w:type="gramStart"/>
      <w:r>
        <w:rPr>
          <w:rFonts w:ascii="Times New Roman" w:eastAsia="Times New Roman" w:hAnsi="Times New Roman" w:cs="Times New Roman"/>
          <w:sz w:val="24"/>
          <w:szCs w:val="24"/>
        </w:rPr>
        <w:t>raises</w:t>
      </w:r>
      <w:proofErr w:type="gramEnd"/>
      <w:r>
        <w:rPr>
          <w:rFonts w:ascii="Times New Roman" w:eastAsia="Times New Roman" w:hAnsi="Times New Roman" w:cs="Times New Roman"/>
          <w:sz w:val="24"/>
          <w:szCs w:val="24"/>
        </w:rPr>
        <w:t xml:space="preserve"> issues identical to the previous Complaint at Docket No. </w:t>
      </w:r>
      <w:proofErr w:type="gramStart"/>
      <w:r>
        <w:rPr>
          <w:rFonts w:ascii="Times New Roman" w:eastAsia="Times New Roman" w:hAnsi="Times New Roman" w:cs="Times New Roman"/>
          <w:sz w:val="24"/>
          <w:szCs w:val="24"/>
        </w:rPr>
        <w:t>C-2013-2375477</w:t>
      </w:r>
      <w:r w:rsidR="00DD5CDC">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Tr. 5-7.  Ms. Morris objected to the Motion.  After carefully reviewing both pleadings, I granted in part</w:t>
      </w:r>
      <w:r w:rsidR="00D64E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denied</w:t>
      </w:r>
      <w:r w:rsidR="00D64E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part, PGW’s Motion.  The present </w:t>
      </w:r>
      <w:r w:rsidR="00375CA8">
        <w:rPr>
          <w:rFonts w:ascii="Times New Roman" w:eastAsia="Times New Roman" w:hAnsi="Times New Roman" w:cs="Times New Roman"/>
          <w:sz w:val="24"/>
          <w:szCs w:val="24"/>
        </w:rPr>
        <w:t>Complai</w:t>
      </w:r>
      <w:r w:rsidR="002E0826">
        <w:rPr>
          <w:rFonts w:ascii="Times New Roman" w:eastAsia="Times New Roman" w:hAnsi="Times New Roman" w:cs="Times New Roman"/>
          <w:sz w:val="24"/>
          <w:szCs w:val="24"/>
        </w:rPr>
        <w:t>nt was amended to challenge the accuracy of the new meter s</w:t>
      </w:r>
      <w:r w:rsidR="00663B77">
        <w:rPr>
          <w:rFonts w:ascii="Times New Roman" w:eastAsia="Times New Roman" w:hAnsi="Times New Roman" w:cs="Times New Roman"/>
          <w:sz w:val="24"/>
          <w:szCs w:val="24"/>
        </w:rPr>
        <w:t>erving Ms. Morris’ residence,</w:t>
      </w:r>
      <w:r w:rsidR="002E0826">
        <w:rPr>
          <w:rFonts w:ascii="Times New Roman" w:eastAsia="Times New Roman" w:hAnsi="Times New Roman" w:cs="Times New Roman"/>
          <w:sz w:val="24"/>
          <w:szCs w:val="24"/>
        </w:rPr>
        <w:t xml:space="preserve"> the balance accumulated after the </w:t>
      </w:r>
      <w:r w:rsidR="002E0826" w:rsidRPr="00B469B7">
        <w:rPr>
          <w:rFonts w:ascii="Times New Roman" w:eastAsia="Times New Roman" w:hAnsi="Times New Roman" w:cs="Times New Roman"/>
          <w:sz w:val="24"/>
          <w:szCs w:val="24"/>
        </w:rPr>
        <w:t>filing of the previous Complaint</w:t>
      </w:r>
      <w:r w:rsidR="00663B77" w:rsidRPr="00B469B7">
        <w:rPr>
          <w:rFonts w:ascii="Times New Roman" w:eastAsia="Times New Roman" w:hAnsi="Times New Roman" w:cs="Times New Roman"/>
          <w:sz w:val="24"/>
          <w:szCs w:val="24"/>
        </w:rPr>
        <w:t>, an</w:t>
      </w:r>
      <w:r w:rsidR="00800116">
        <w:rPr>
          <w:rFonts w:ascii="Times New Roman" w:eastAsia="Times New Roman" w:hAnsi="Times New Roman" w:cs="Times New Roman"/>
          <w:sz w:val="24"/>
          <w:szCs w:val="24"/>
        </w:rPr>
        <w:t>d the number of payments credi</w:t>
      </w:r>
      <w:r w:rsidR="003D6B68">
        <w:rPr>
          <w:rFonts w:ascii="Times New Roman" w:eastAsia="Times New Roman" w:hAnsi="Times New Roman" w:cs="Times New Roman"/>
          <w:sz w:val="24"/>
          <w:szCs w:val="24"/>
        </w:rPr>
        <w:t>t</w:t>
      </w:r>
      <w:r w:rsidR="00800116">
        <w:rPr>
          <w:rFonts w:ascii="Times New Roman" w:eastAsia="Times New Roman" w:hAnsi="Times New Roman" w:cs="Times New Roman"/>
          <w:sz w:val="24"/>
          <w:szCs w:val="24"/>
        </w:rPr>
        <w:t>ed</w:t>
      </w:r>
      <w:r w:rsidR="00663B77" w:rsidRPr="00B469B7">
        <w:rPr>
          <w:rFonts w:ascii="Times New Roman" w:eastAsia="Times New Roman" w:hAnsi="Times New Roman" w:cs="Times New Roman"/>
          <w:sz w:val="24"/>
          <w:szCs w:val="24"/>
        </w:rPr>
        <w:t xml:space="preserve"> to Ms. Morris’ account with PGW</w:t>
      </w:r>
      <w:r w:rsidR="002E0826" w:rsidRPr="00B469B7">
        <w:rPr>
          <w:rFonts w:ascii="Times New Roman" w:eastAsia="Times New Roman" w:hAnsi="Times New Roman" w:cs="Times New Roman"/>
          <w:sz w:val="24"/>
          <w:szCs w:val="24"/>
        </w:rPr>
        <w:t>.  Tr. 12</w:t>
      </w:r>
      <w:r w:rsidR="002E0826">
        <w:rPr>
          <w:rFonts w:ascii="Times New Roman" w:eastAsia="Times New Roman" w:hAnsi="Times New Roman" w:cs="Times New Roman"/>
          <w:sz w:val="24"/>
          <w:szCs w:val="24"/>
        </w:rPr>
        <w:t>-13, 18</w:t>
      </w:r>
      <w:r w:rsidR="00663B77">
        <w:rPr>
          <w:rFonts w:ascii="Times New Roman" w:eastAsia="Times New Roman" w:hAnsi="Times New Roman" w:cs="Times New Roman"/>
          <w:sz w:val="24"/>
          <w:szCs w:val="24"/>
        </w:rPr>
        <w:t>, 23-24</w:t>
      </w:r>
      <w:r w:rsidR="003D6B68">
        <w:rPr>
          <w:rFonts w:ascii="Times New Roman" w:eastAsia="Times New Roman" w:hAnsi="Times New Roman" w:cs="Times New Roman"/>
          <w:sz w:val="24"/>
          <w:szCs w:val="24"/>
        </w:rPr>
        <w:t>.  At the Complainant’s request, t</w:t>
      </w:r>
      <w:r w:rsidR="002E0826">
        <w:rPr>
          <w:rFonts w:ascii="Times New Roman" w:eastAsia="Times New Roman" w:hAnsi="Times New Roman" w:cs="Times New Roman"/>
          <w:sz w:val="24"/>
          <w:szCs w:val="24"/>
        </w:rPr>
        <w:t>he Complaint was further amended to strike</w:t>
      </w:r>
      <w:r w:rsidR="003D6B68">
        <w:rPr>
          <w:rFonts w:ascii="Times New Roman" w:eastAsia="Times New Roman" w:hAnsi="Times New Roman" w:cs="Times New Roman"/>
          <w:sz w:val="24"/>
          <w:szCs w:val="24"/>
        </w:rPr>
        <w:t xml:space="preserve"> off</w:t>
      </w:r>
      <w:r w:rsidR="002E0826">
        <w:rPr>
          <w:rFonts w:ascii="Times New Roman" w:eastAsia="Times New Roman" w:hAnsi="Times New Roman" w:cs="Times New Roman"/>
          <w:sz w:val="24"/>
          <w:szCs w:val="24"/>
        </w:rPr>
        <w:t xml:space="preserve"> the request for </w:t>
      </w:r>
      <w:r w:rsidR="00375CA8">
        <w:rPr>
          <w:rFonts w:ascii="Times New Roman" w:eastAsia="Times New Roman" w:hAnsi="Times New Roman" w:cs="Times New Roman"/>
          <w:sz w:val="24"/>
          <w:szCs w:val="24"/>
        </w:rPr>
        <w:t xml:space="preserve">a </w:t>
      </w:r>
      <w:r w:rsidR="002E0826">
        <w:rPr>
          <w:rFonts w:ascii="Times New Roman" w:eastAsia="Times New Roman" w:hAnsi="Times New Roman" w:cs="Times New Roman"/>
          <w:sz w:val="24"/>
          <w:szCs w:val="24"/>
        </w:rPr>
        <w:t>payment arrangement</w:t>
      </w:r>
      <w:r w:rsidR="00E70EEC">
        <w:rPr>
          <w:rFonts w:ascii="Times New Roman" w:eastAsia="Times New Roman" w:hAnsi="Times New Roman" w:cs="Times New Roman"/>
          <w:sz w:val="24"/>
          <w:szCs w:val="24"/>
        </w:rPr>
        <w:t xml:space="preserve">.  </w:t>
      </w:r>
      <w:r w:rsidR="00401260">
        <w:rPr>
          <w:rFonts w:ascii="Times New Roman" w:eastAsia="Times New Roman" w:hAnsi="Times New Roman" w:cs="Times New Roman"/>
          <w:sz w:val="24"/>
          <w:szCs w:val="24"/>
        </w:rPr>
        <w:t>Tr. 52-54.</w:t>
      </w:r>
    </w:p>
    <w:p w:rsidR="008E11EB" w:rsidRPr="004D77EF" w:rsidRDefault="008E11EB" w:rsidP="004D77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4D77EF" w:rsidRDefault="004D77EF" w:rsidP="004D77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4D77EF">
        <w:rPr>
          <w:rFonts w:ascii="Times New Roman" w:eastAsia="Times New Roman" w:hAnsi="Times New Roman" w:cs="Times New Roman"/>
          <w:sz w:val="24"/>
          <w:szCs w:val="24"/>
        </w:rPr>
        <w:t xml:space="preserve">Before concluding the hearing, I directed the </w:t>
      </w:r>
      <w:r>
        <w:rPr>
          <w:rFonts w:ascii="Times New Roman" w:eastAsia="Times New Roman" w:hAnsi="Times New Roman" w:cs="Times New Roman"/>
          <w:sz w:val="24"/>
          <w:szCs w:val="24"/>
        </w:rPr>
        <w:t xml:space="preserve">Complainant </w:t>
      </w:r>
      <w:r w:rsidRPr="004D77EF">
        <w:rPr>
          <w:rFonts w:ascii="Times New Roman" w:eastAsia="Times New Roman" w:hAnsi="Times New Roman" w:cs="Times New Roman"/>
          <w:sz w:val="24"/>
          <w:szCs w:val="24"/>
        </w:rPr>
        <w:t>to submit, as a late-filed exhibit,</w:t>
      </w:r>
      <w:r>
        <w:rPr>
          <w:rFonts w:ascii="Times New Roman" w:eastAsia="Times New Roman" w:hAnsi="Times New Roman" w:cs="Times New Roman"/>
          <w:sz w:val="24"/>
          <w:szCs w:val="24"/>
        </w:rPr>
        <w:t xml:space="preserve"> documentation substantiating her claim that PGW had failed to credit several payments to her account.  </w:t>
      </w:r>
      <w:r w:rsidR="008579E1">
        <w:rPr>
          <w:rFonts w:ascii="Times New Roman" w:eastAsia="Times New Roman" w:hAnsi="Times New Roman" w:cs="Times New Roman"/>
          <w:sz w:val="24"/>
          <w:szCs w:val="24"/>
        </w:rPr>
        <w:t xml:space="preserve">Tr. 23, 54-55.  </w:t>
      </w:r>
      <w:r w:rsidR="00D93477">
        <w:rPr>
          <w:rFonts w:ascii="Times New Roman" w:eastAsia="Times New Roman" w:hAnsi="Times New Roman" w:cs="Times New Roman"/>
          <w:sz w:val="24"/>
          <w:szCs w:val="24"/>
        </w:rPr>
        <w:t xml:space="preserve">The Respondent was instructed to submit information regarding a security deposit imposed on Ms. Morris’ account.  </w:t>
      </w:r>
      <w:proofErr w:type="gramStart"/>
      <w:r w:rsidR="00D93477">
        <w:rPr>
          <w:rFonts w:ascii="Times New Roman" w:eastAsia="Times New Roman" w:hAnsi="Times New Roman" w:cs="Times New Roman"/>
          <w:sz w:val="24"/>
          <w:szCs w:val="24"/>
        </w:rPr>
        <w:t>Tr. 43.</w:t>
      </w:r>
      <w:proofErr w:type="gramEnd"/>
      <w:r w:rsidR="00D934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addition, </w:t>
      </w:r>
      <w:r w:rsidRPr="004D77EF">
        <w:rPr>
          <w:rFonts w:ascii="Times New Roman" w:eastAsia="Times New Roman" w:hAnsi="Times New Roman" w:cs="Times New Roman"/>
          <w:sz w:val="24"/>
          <w:szCs w:val="24"/>
        </w:rPr>
        <w:t xml:space="preserve">I directed the Respondent to </w:t>
      </w:r>
      <w:r w:rsidR="008579E1">
        <w:rPr>
          <w:rFonts w:ascii="Times New Roman" w:eastAsia="Times New Roman" w:hAnsi="Times New Roman" w:cs="Times New Roman"/>
          <w:sz w:val="24"/>
          <w:szCs w:val="24"/>
        </w:rPr>
        <w:t xml:space="preserve">test the meter serving Ms. Morris’ residence for accuracy and to </w:t>
      </w:r>
      <w:r w:rsidRPr="004D77EF">
        <w:rPr>
          <w:rFonts w:ascii="Times New Roman" w:eastAsia="Times New Roman" w:hAnsi="Times New Roman" w:cs="Times New Roman"/>
          <w:sz w:val="24"/>
          <w:szCs w:val="24"/>
        </w:rPr>
        <w:t>submit</w:t>
      </w:r>
      <w:r w:rsidR="008579E1">
        <w:rPr>
          <w:rFonts w:ascii="Times New Roman" w:eastAsia="Times New Roman" w:hAnsi="Times New Roman" w:cs="Times New Roman"/>
          <w:sz w:val="24"/>
          <w:szCs w:val="24"/>
        </w:rPr>
        <w:t xml:space="preserve"> the results of the test</w:t>
      </w:r>
      <w:r w:rsidRPr="004D77EF">
        <w:rPr>
          <w:rFonts w:ascii="Times New Roman" w:eastAsia="Times New Roman" w:hAnsi="Times New Roman" w:cs="Times New Roman"/>
          <w:sz w:val="24"/>
          <w:szCs w:val="24"/>
        </w:rPr>
        <w:t xml:space="preserve"> as a late-filed exhibit.  </w:t>
      </w:r>
      <w:r w:rsidR="008E11EB">
        <w:rPr>
          <w:rFonts w:ascii="Times New Roman" w:eastAsia="Times New Roman" w:hAnsi="Times New Roman" w:cs="Times New Roman"/>
          <w:sz w:val="24"/>
          <w:szCs w:val="24"/>
        </w:rPr>
        <w:t xml:space="preserve">Tr. 52-55.  </w:t>
      </w:r>
      <w:r w:rsidRPr="004D77EF">
        <w:rPr>
          <w:rFonts w:ascii="Times New Roman" w:eastAsia="Times New Roman" w:hAnsi="Times New Roman" w:cs="Times New Roman"/>
          <w:sz w:val="24"/>
          <w:szCs w:val="24"/>
        </w:rPr>
        <w:t>The parties were instructed that late-filed exh</w:t>
      </w:r>
      <w:r w:rsidR="008579E1">
        <w:rPr>
          <w:rFonts w:ascii="Times New Roman" w:eastAsia="Times New Roman" w:hAnsi="Times New Roman" w:cs="Times New Roman"/>
          <w:sz w:val="24"/>
          <w:szCs w:val="24"/>
        </w:rPr>
        <w:t>i</w:t>
      </w:r>
      <w:r w:rsidR="00800116">
        <w:rPr>
          <w:rFonts w:ascii="Times New Roman" w:eastAsia="Times New Roman" w:hAnsi="Times New Roman" w:cs="Times New Roman"/>
          <w:sz w:val="24"/>
          <w:szCs w:val="24"/>
        </w:rPr>
        <w:t>bits were due by August 15, 2014</w:t>
      </w:r>
      <w:r w:rsidRPr="004D77EF">
        <w:rPr>
          <w:rFonts w:ascii="Times New Roman" w:eastAsia="Times New Roman" w:hAnsi="Times New Roman" w:cs="Times New Roman"/>
          <w:sz w:val="24"/>
          <w:szCs w:val="24"/>
        </w:rPr>
        <w:t>, with wr</w:t>
      </w:r>
      <w:r w:rsidR="008579E1">
        <w:rPr>
          <w:rFonts w:ascii="Times New Roman" w:eastAsia="Times New Roman" w:hAnsi="Times New Roman" w:cs="Times New Roman"/>
          <w:sz w:val="24"/>
          <w:szCs w:val="24"/>
        </w:rPr>
        <w:t>itten objections due by August 25</w:t>
      </w:r>
      <w:r w:rsidRPr="004D77EF">
        <w:rPr>
          <w:rFonts w:ascii="Times New Roman" w:eastAsia="Times New Roman" w:hAnsi="Times New Roman" w:cs="Times New Roman"/>
          <w:sz w:val="24"/>
          <w:szCs w:val="24"/>
        </w:rPr>
        <w:t>, 2014.</w:t>
      </w:r>
      <w:r w:rsidR="008579E1">
        <w:rPr>
          <w:rFonts w:ascii="Times New Roman" w:eastAsia="Times New Roman" w:hAnsi="Times New Roman" w:cs="Times New Roman"/>
          <w:sz w:val="24"/>
          <w:szCs w:val="24"/>
        </w:rPr>
        <w:t xml:space="preserve">  </w:t>
      </w:r>
      <w:proofErr w:type="gramStart"/>
      <w:r w:rsidR="008579E1">
        <w:rPr>
          <w:rFonts w:ascii="Times New Roman" w:eastAsia="Times New Roman" w:hAnsi="Times New Roman" w:cs="Times New Roman"/>
          <w:sz w:val="24"/>
          <w:szCs w:val="24"/>
        </w:rPr>
        <w:t>Tr. 55.</w:t>
      </w:r>
      <w:proofErr w:type="gramEnd"/>
      <w:r w:rsidRPr="004D77EF">
        <w:rPr>
          <w:rFonts w:ascii="Times New Roman" w:eastAsia="Times New Roman" w:hAnsi="Times New Roman" w:cs="Times New Roman"/>
          <w:sz w:val="24"/>
          <w:szCs w:val="24"/>
        </w:rPr>
        <w:t xml:space="preserve"> </w:t>
      </w:r>
    </w:p>
    <w:p w:rsidR="00663B77" w:rsidRDefault="00663B77" w:rsidP="004D77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663B77" w:rsidRPr="004D77EF" w:rsidRDefault="00D93477" w:rsidP="00B469B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D93477">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July 28, 2014</w:t>
      </w:r>
      <w:r w:rsidRPr="00D93477">
        <w:rPr>
          <w:rFonts w:ascii="Times New Roman" w:eastAsia="Times New Roman" w:hAnsi="Times New Roman" w:cs="Times New Roman"/>
          <w:sz w:val="24"/>
          <w:szCs w:val="24"/>
        </w:rPr>
        <w:t>, PGW submitted the requested information identified</w:t>
      </w:r>
      <w:r>
        <w:rPr>
          <w:rFonts w:ascii="Times New Roman" w:eastAsia="Times New Roman" w:hAnsi="Times New Roman" w:cs="Times New Roman"/>
          <w:sz w:val="24"/>
          <w:szCs w:val="24"/>
        </w:rPr>
        <w:t xml:space="preserve"> as PGW late-filed Exhibits 7 and 8.</w:t>
      </w:r>
      <w:r>
        <w:rPr>
          <w:rStyle w:val="FootnoteReference"/>
          <w:rFonts w:ascii="Times New Roman" w:eastAsia="Times New Roman" w:hAnsi="Times New Roman" w:cs="Times New Roman"/>
          <w:sz w:val="24"/>
          <w:szCs w:val="24"/>
        </w:rPr>
        <w:footnoteReference w:id="2"/>
      </w:r>
      <w:r w:rsidRPr="00D93477">
        <w:rPr>
          <w:rFonts w:ascii="Times New Roman" w:eastAsia="Times New Roman" w:hAnsi="Times New Roman" w:cs="Times New Roman"/>
          <w:sz w:val="24"/>
          <w:szCs w:val="24"/>
        </w:rPr>
        <w:t xml:space="preserve">  As of the day of</w:t>
      </w:r>
      <w:r>
        <w:rPr>
          <w:rFonts w:ascii="Times New Roman" w:eastAsia="Times New Roman" w:hAnsi="Times New Roman" w:cs="Times New Roman"/>
          <w:sz w:val="24"/>
          <w:szCs w:val="24"/>
        </w:rPr>
        <w:t xml:space="preserve"> this Initial Decision</w:t>
      </w:r>
      <w:r w:rsidRPr="00D93477">
        <w:rPr>
          <w:rFonts w:ascii="Times New Roman" w:eastAsia="Times New Roman" w:hAnsi="Times New Roman" w:cs="Times New Roman"/>
          <w:sz w:val="24"/>
          <w:szCs w:val="24"/>
        </w:rPr>
        <w:t>, the Complainant has not submitted any</w:t>
      </w:r>
      <w:r>
        <w:rPr>
          <w:rFonts w:ascii="Times New Roman" w:eastAsia="Times New Roman" w:hAnsi="Times New Roman" w:cs="Times New Roman"/>
          <w:sz w:val="24"/>
          <w:szCs w:val="24"/>
        </w:rPr>
        <w:t xml:space="preserve"> late-filed exhibits of her own.  In addition, the Complainant has not submitted</w:t>
      </w:r>
      <w:r w:rsidRPr="00D934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any </w:t>
      </w:r>
      <w:r w:rsidRPr="00D93477">
        <w:rPr>
          <w:rFonts w:ascii="Times New Roman" w:eastAsia="Times New Roman" w:hAnsi="Times New Roman" w:cs="Times New Roman"/>
          <w:sz w:val="24"/>
          <w:szCs w:val="24"/>
        </w:rPr>
        <w:t>written objections to PGW’s late-filed exhibit</w:t>
      </w:r>
      <w:r>
        <w:rPr>
          <w:rFonts w:ascii="Times New Roman" w:eastAsia="Times New Roman" w:hAnsi="Times New Roman" w:cs="Times New Roman"/>
          <w:sz w:val="24"/>
          <w:szCs w:val="24"/>
        </w:rPr>
        <w:t>s</w:t>
      </w:r>
      <w:r w:rsidRPr="00D93477">
        <w:rPr>
          <w:rFonts w:ascii="Times New Roman" w:eastAsia="Times New Roman" w:hAnsi="Times New Roman" w:cs="Times New Roman"/>
          <w:sz w:val="24"/>
          <w:szCs w:val="24"/>
        </w:rPr>
        <w:t xml:space="preserve">.  For this </w:t>
      </w:r>
      <w:r>
        <w:rPr>
          <w:rFonts w:ascii="Times New Roman" w:eastAsia="Times New Roman" w:hAnsi="Times New Roman" w:cs="Times New Roman"/>
          <w:sz w:val="24"/>
          <w:szCs w:val="24"/>
        </w:rPr>
        <w:t>reason, PGW’s late-filed Exhibits 7 and 8</w:t>
      </w:r>
      <w:r w:rsidRPr="00D93477">
        <w:rPr>
          <w:rFonts w:ascii="Times New Roman" w:eastAsia="Times New Roman" w:hAnsi="Times New Roman" w:cs="Times New Roman"/>
          <w:sz w:val="24"/>
          <w:szCs w:val="24"/>
        </w:rPr>
        <w:t xml:space="preserve"> </w:t>
      </w:r>
      <w:r w:rsidR="00B469B7">
        <w:rPr>
          <w:rFonts w:ascii="Times New Roman" w:eastAsia="Times New Roman" w:hAnsi="Times New Roman" w:cs="Times New Roman"/>
          <w:sz w:val="24"/>
          <w:szCs w:val="24"/>
        </w:rPr>
        <w:t xml:space="preserve">shall </w:t>
      </w:r>
      <w:r w:rsidRPr="00D93477">
        <w:rPr>
          <w:rFonts w:ascii="Times New Roman" w:eastAsia="Times New Roman" w:hAnsi="Times New Roman" w:cs="Times New Roman"/>
          <w:sz w:val="24"/>
          <w:szCs w:val="24"/>
        </w:rPr>
        <w:t>be admitted into the record in this matter</w:t>
      </w:r>
      <w:r w:rsidR="00B469B7">
        <w:rPr>
          <w:rFonts w:ascii="Times New Roman" w:eastAsia="Times New Roman" w:hAnsi="Times New Roman" w:cs="Times New Roman"/>
          <w:sz w:val="24"/>
          <w:szCs w:val="24"/>
        </w:rPr>
        <w:t>.</w:t>
      </w:r>
    </w:p>
    <w:p w:rsidR="00AC1E1F" w:rsidRPr="00AC1E1F" w:rsidRDefault="00AC1E1F" w:rsidP="00B469B7">
      <w:pPr>
        <w:tabs>
          <w:tab w:val="left" w:pos="-1440"/>
          <w:tab w:val="left" w:pos="-720"/>
        </w:tabs>
        <w:suppressAutoHyphens/>
        <w:spacing w:after="0" w:line="360" w:lineRule="auto"/>
        <w:rPr>
          <w:rFonts w:ascii="Times New Roman" w:eastAsia="Times New Roman" w:hAnsi="Times New Roman" w:cs="Times New Roman"/>
          <w:sz w:val="24"/>
          <w:szCs w:val="24"/>
        </w:rPr>
      </w:pPr>
    </w:p>
    <w:p w:rsidR="00AC1E1F" w:rsidRPr="00AC1E1F" w:rsidRDefault="00AC1E1F" w:rsidP="00AC1E1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AC1E1F">
        <w:rPr>
          <w:rFonts w:ascii="Times New Roman" w:eastAsia="Times New Roman" w:hAnsi="Times New Roman" w:cs="Times New Roman"/>
          <w:sz w:val="24"/>
          <w:szCs w:val="24"/>
        </w:rPr>
        <w:t>The record closed on</w:t>
      </w:r>
      <w:r w:rsidR="008579E1">
        <w:rPr>
          <w:rFonts w:ascii="Times New Roman" w:eastAsia="Times New Roman" w:hAnsi="Times New Roman" w:cs="Times New Roman"/>
          <w:sz w:val="24"/>
          <w:szCs w:val="24"/>
        </w:rPr>
        <w:t xml:space="preserve"> August 25, 2014</w:t>
      </w:r>
      <w:r w:rsidRPr="00AC1E1F">
        <w:rPr>
          <w:rFonts w:ascii="Times New Roman" w:eastAsia="Times New Roman" w:hAnsi="Times New Roman" w:cs="Times New Roman"/>
          <w:sz w:val="24"/>
          <w:szCs w:val="24"/>
        </w:rPr>
        <w:t>.</w:t>
      </w:r>
    </w:p>
    <w:p w:rsidR="0006494C" w:rsidRDefault="0006494C" w:rsidP="00195424">
      <w:pPr>
        <w:spacing w:after="0" w:line="360" w:lineRule="auto"/>
        <w:ind w:firstLine="1440"/>
        <w:rPr>
          <w:rFonts w:ascii="Times New Roman" w:eastAsia="Times New Roman" w:hAnsi="Times New Roman" w:cs="Times New Roman"/>
          <w:sz w:val="24"/>
          <w:szCs w:val="24"/>
        </w:rPr>
      </w:pPr>
    </w:p>
    <w:p w:rsidR="00195424" w:rsidRPr="00195424" w:rsidRDefault="00195424" w:rsidP="00B469B7">
      <w:pPr>
        <w:tabs>
          <w:tab w:val="left" w:pos="2160"/>
        </w:tabs>
        <w:spacing w:after="0" w:line="360" w:lineRule="auto"/>
        <w:rPr>
          <w:rFonts w:ascii="Times New Roman" w:eastAsia="Times New Roman" w:hAnsi="Times New Roman" w:cs="Times New Roman"/>
          <w:sz w:val="24"/>
          <w:szCs w:val="24"/>
        </w:rPr>
      </w:pPr>
    </w:p>
    <w:p w:rsidR="00195424" w:rsidRPr="00195424" w:rsidRDefault="00195424" w:rsidP="00195424">
      <w:pPr>
        <w:spacing w:after="0" w:line="360" w:lineRule="auto"/>
        <w:jc w:val="center"/>
        <w:rPr>
          <w:rFonts w:ascii="Times New Roman" w:eastAsia="Times New Roman" w:hAnsi="Times New Roman" w:cs="Times New Roman"/>
          <w:sz w:val="24"/>
          <w:szCs w:val="24"/>
          <w:u w:val="single"/>
        </w:rPr>
      </w:pPr>
      <w:r w:rsidRPr="00195424">
        <w:rPr>
          <w:rFonts w:ascii="Times New Roman" w:eastAsia="Times New Roman" w:hAnsi="Times New Roman" w:cs="Times New Roman"/>
          <w:sz w:val="24"/>
          <w:szCs w:val="24"/>
          <w:u w:val="single"/>
        </w:rPr>
        <w:t>FINDINGS OF FACT</w:t>
      </w:r>
    </w:p>
    <w:p w:rsidR="00195424" w:rsidRPr="00195424" w:rsidRDefault="00195424" w:rsidP="00B469B7">
      <w:pPr>
        <w:tabs>
          <w:tab w:val="left" w:pos="1440"/>
        </w:tabs>
        <w:spacing w:after="0" w:line="360" w:lineRule="auto"/>
        <w:jc w:val="center"/>
        <w:rPr>
          <w:rFonts w:ascii="Times New Roman" w:eastAsia="Times New Roman" w:hAnsi="Times New Roman" w:cs="Times New Roman"/>
          <w:sz w:val="24"/>
          <w:szCs w:val="24"/>
          <w:u w:val="single"/>
        </w:rPr>
      </w:pPr>
    </w:p>
    <w:p w:rsidR="00195424" w:rsidRPr="00195424" w:rsidRDefault="00195424" w:rsidP="00B469B7">
      <w:pPr>
        <w:numPr>
          <w:ilvl w:val="0"/>
          <w:numId w:val="2"/>
        </w:numPr>
        <w:tabs>
          <w:tab w:val="left" w:pos="1440"/>
        </w:tabs>
        <w:spacing w:after="0" w:line="360" w:lineRule="auto"/>
        <w:ind w:left="0" w:firstLine="1440"/>
        <w:contextualSpacing/>
        <w:rPr>
          <w:rFonts w:ascii="Times New Roman" w:eastAsia="Times New Roman" w:hAnsi="Times New Roman" w:cs="Times New Roman"/>
          <w:sz w:val="24"/>
          <w:szCs w:val="24"/>
        </w:rPr>
      </w:pPr>
      <w:r w:rsidRPr="00195424">
        <w:rPr>
          <w:rFonts w:ascii="Times New Roman" w:eastAsia="Times New Roman" w:hAnsi="Times New Roman" w:cs="Times New Roman"/>
          <w:sz w:val="24"/>
          <w:szCs w:val="24"/>
        </w:rPr>
        <w:t>The Complainant is Monica Morris, whose mailing address is 126 E. Washington Lane, Philadelphia, PA 19144</w:t>
      </w:r>
      <w:r w:rsidR="00DD5CDC">
        <w:rPr>
          <w:rFonts w:ascii="Times New Roman" w:eastAsia="Times New Roman" w:hAnsi="Times New Roman" w:cs="Times New Roman"/>
          <w:sz w:val="24"/>
          <w:szCs w:val="24"/>
        </w:rPr>
        <w:t xml:space="preserve"> (Service Address)</w:t>
      </w:r>
      <w:r w:rsidRPr="00195424">
        <w:rPr>
          <w:rFonts w:ascii="Times New Roman" w:eastAsia="Times New Roman" w:hAnsi="Times New Roman" w:cs="Times New Roman"/>
          <w:sz w:val="24"/>
          <w:szCs w:val="24"/>
        </w:rPr>
        <w:t xml:space="preserve">.  </w:t>
      </w:r>
    </w:p>
    <w:p w:rsidR="00195424" w:rsidRPr="00195424" w:rsidRDefault="00195424" w:rsidP="00195424">
      <w:pPr>
        <w:spacing w:after="0" w:line="360" w:lineRule="auto"/>
        <w:contextualSpacing/>
        <w:rPr>
          <w:rFonts w:ascii="Times New Roman" w:eastAsia="Times New Roman" w:hAnsi="Times New Roman" w:cs="Times New Roman"/>
          <w:sz w:val="24"/>
          <w:szCs w:val="24"/>
        </w:rPr>
      </w:pPr>
    </w:p>
    <w:p w:rsidR="00195424" w:rsidRPr="0071042B" w:rsidRDefault="00195424" w:rsidP="00175863">
      <w:pPr>
        <w:pStyle w:val="ListParagraph"/>
        <w:numPr>
          <w:ilvl w:val="0"/>
          <w:numId w:val="2"/>
        </w:numPr>
        <w:spacing w:after="0" w:line="360" w:lineRule="auto"/>
        <w:rPr>
          <w:rFonts w:ascii="Times New Roman" w:eastAsia="Times New Roman" w:hAnsi="Times New Roman" w:cs="Times New Roman"/>
          <w:sz w:val="24"/>
          <w:szCs w:val="24"/>
        </w:rPr>
      </w:pPr>
      <w:r w:rsidRPr="0071042B">
        <w:rPr>
          <w:rFonts w:ascii="Times New Roman" w:eastAsia="Times New Roman" w:hAnsi="Times New Roman" w:cs="Times New Roman"/>
          <w:sz w:val="24"/>
          <w:szCs w:val="24"/>
        </w:rPr>
        <w:t>Respondent is Philadelphia Gas Works.</w:t>
      </w:r>
    </w:p>
    <w:p w:rsidR="0053108B" w:rsidRPr="00175863" w:rsidRDefault="0053108B" w:rsidP="00175863">
      <w:pPr>
        <w:spacing w:after="0" w:line="360" w:lineRule="auto"/>
        <w:rPr>
          <w:rFonts w:ascii="Times New Roman" w:eastAsia="Times New Roman" w:hAnsi="Times New Roman" w:cs="Times New Roman"/>
          <w:sz w:val="24"/>
          <w:szCs w:val="24"/>
        </w:rPr>
      </w:pPr>
    </w:p>
    <w:p w:rsidR="00046835" w:rsidRDefault="0053108B" w:rsidP="00175863">
      <w:pPr>
        <w:pStyle w:val="ListParagraph"/>
        <w:numPr>
          <w:ilvl w:val="0"/>
          <w:numId w:val="2"/>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filing of the previous Complaint against PGW at Docket No. C-2013-2375477, PGW assigned the Complainant a new Service Agreement Number, SA # 7919301816, under her regular Account Number 987839372.</w:t>
      </w:r>
      <w:r w:rsidRPr="005310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PGW Exhibit 1.</w:t>
      </w:r>
    </w:p>
    <w:p w:rsidR="00046835" w:rsidRPr="00046835" w:rsidRDefault="00046835" w:rsidP="00046835">
      <w:pPr>
        <w:pStyle w:val="ListParagraph"/>
        <w:rPr>
          <w:rFonts w:ascii="Times New Roman" w:eastAsia="Times New Roman" w:hAnsi="Times New Roman" w:cs="Times New Roman"/>
          <w:sz w:val="24"/>
          <w:szCs w:val="24"/>
        </w:rPr>
      </w:pPr>
    </w:p>
    <w:p w:rsidR="0053108B" w:rsidRPr="00046835" w:rsidRDefault="00D3384D" w:rsidP="00175863">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046835">
        <w:rPr>
          <w:rFonts w:ascii="Times New Roman" w:eastAsia="Times New Roman" w:hAnsi="Times New Roman" w:cs="Times New Roman"/>
          <w:sz w:val="24"/>
          <w:szCs w:val="24"/>
        </w:rPr>
        <w:t>The first bill under SA # 7919301816 was issued on July 22, 2013,</w:t>
      </w:r>
      <w:r w:rsidR="00175863" w:rsidRPr="00046835">
        <w:rPr>
          <w:rFonts w:ascii="Times New Roman" w:eastAsia="Times New Roman" w:hAnsi="Times New Roman" w:cs="Times New Roman"/>
          <w:sz w:val="24"/>
          <w:szCs w:val="24"/>
        </w:rPr>
        <w:t xml:space="preserve"> for 17 CCF of gas used</w:t>
      </w:r>
      <w:r w:rsidRPr="00046835">
        <w:rPr>
          <w:rFonts w:ascii="Times New Roman" w:eastAsia="Times New Roman" w:hAnsi="Times New Roman" w:cs="Times New Roman"/>
          <w:sz w:val="24"/>
          <w:szCs w:val="24"/>
        </w:rPr>
        <w:t xml:space="preserve"> and showed </w:t>
      </w:r>
      <w:r w:rsidR="00175863" w:rsidRPr="00046835">
        <w:rPr>
          <w:rFonts w:ascii="Times New Roman" w:eastAsia="Times New Roman" w:hAnsi="Times New Roman" w:cs="Times New Roman"/>
          <w:sz w:val="24"/>
          <w:szCs w:val="24"/>
        </w:rPr>
        <w:t>a current balance of $37.</w:t>
      </w:r>
      <w:r w:rsidRPr="00046835">
        <w:rPr>
          <w:rFonts w:ascii="Times New Roman" w:eastAsia="Times New Roman" w:hAnsi="Times New Roman" w:cs="Times New Roman"/>
          <w:sz w:val="24"/>
          <w:szCs w:val="24"/>
        </w:rPr>
        <w:t>35.  PGW Exhibit 1.</w:t>
      </w:r>
    </w:p>
    <w:p w:rsidR="00175863" w:rsidRPr="0053108B" w:rsidRDefault="00175863" w:rsidP="00175863">
      <w:pPr>
        <w:spacing w:after="0" w:line="360" w:lineRule="auto"/>
        <w:rPr>
          <w:rFonts w:ascii="Times New Roman" w:eastAsia="Times New Roman" w:hAnsi="Times New Roman" w:cs="Times New Roman"/>
          <w:sz w:val="24"/>
          <w:szCs w:val="24"/>
        </w:rPr>
      </w:pPr>
    </w:p>
    <w:p w:rsidR="0053108B" w:rsidRPr="00175863" w:rsidRDefault="0071042B" w:rsidP="00175863">
      <w:pPr>
        <w:pStyle w:val="ListParagraph"/>
        <w:numPr>
          <w:ilvl w:val="0"/>
          <w:numId w:val="2"/>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Between </w:t>
      </w:r>
      <w:r w:rsidR="00136D42">
        <w:rPr>
          <w:rFonts w:ascii="Times New Roman" w:eastAsia="Times New Roman" w:hAnsi="Times New Roman" w:cs="Times New Roman"/>
          <w:sz w:val="24"/>
          <w:szCs w:val="24"/>
        </w:rPr>
        <w:t>July 22</w:t>
      </w:r>
      <w:r>
        <w:rPr>
          <w:rFonts w:ascii="Times New Roman" w:eastAsia="Times New Roman" w:hAnsi="Times New Roman" w:cs="Times New Roman"/>
          <w:sz w:val="24"/>
          <w:szCs w:val="24"/>
        </w:rPr>
        <w:t>, 2013, and July 1, 2014</w:t>
      </w:r>
      <w:r w:rsidR="00136D42">
        <w:rPr>
          <w:rFonts w:ascii="Times New Roman" w:eastAsia="Times New Roman" w:hAnsi="Times New Roman" w:cs="Times New Roman"/>
          <w:sz w:val="24"/>
          <w:szCs w:val="24"/>
        </w:rPr>
        <w:t>, the Complainant</w:t>
      </w:r>
      <w:r>
        <w:rPr>
          <w:rFonts w:ascii="Times New Roman" w:eastAsia="Times New Roman" w:hAnsi="Times New Roman" w:cs="Times New Roman"/>
          <w:sz w:val="24"/>
          <w:szCs w:val="24"/>
        </w:rPr>
        <w:t xml:space="preserve"> made only two payments</w:t>
      </w:r>
      <w:r w:rsidR="00136D42">
        <w:rPr>
          <w:rFonts w:ascii="Times New Roman" w:eastAsia="Times New Roman" w:hAnsi="Times New Roman" w:cs="Times New Roman"/>
          <w:sz w:val="24"/>
          <w:szCs w:val="24"/>
        </w:rPr>
        <w:t xml:space="preserve"> to her account with PGW</w:t>
      </w:r>
      <w:r w:rsidR="001D54C4">
        <w:rPr>
          <w:rFonts w:ascii="Times New Roman" w:eastAsia="Times New Roman" w:hAnsi="Times New Roman" w:cs="Times New Roman"/>
          <w:sz w:val="24"/>
          <w:szCs w:val="24"/>
        </w:rPr>
        <w:t>.  Tr</w:t>
      </w:r>
      <w:r w:rsidR="00800116">
        <w:rPr>
          <w:rFonts w:ascii="Times New Roman" w:eastAsia="Times New Roman" w:hAnsi="Times New Roman" w:cs="Times New Roman"/>
          <w:sz w:val="24"/>
          <w:szCs w:val="24"/>
        </w:rPr>
        <w:t xml:space="preserve">.36, </w:t>
      </w:r>
      <w:r w:rsidR="00136D42">
        <w:rPr>
          <w:rFonts w:ascii="Times New Roman" w:eastAsia="Times New Roman" w:hAnsi="Times New Roman" w:cs="Times New Roman"/>
          <w:sz w:val="24"/>
          <w:szCs w:val="24"/>
        </w:rPr>
        <w:t>PGW Exhibit 2</w:t>
      </w:r>
      <w:r w:rsidR="00046835">
        <w:rPr>
          <w:rFonts w:ascii="Times New Roman" w:eastAsia="Times New Roman" w:hAnsi="Times New Roman" w:cs="Times New Roman"/>
          <w:sz w:val="24"/>
          <w:szCs w:val="24"/>
        </w:rPr>
        <w:t xml:space="preserve"> and PGW late-filed Exhibit 7</w:t>
      </w:r>
      <w:r w:rsidR="00136D42">
        <w:rPr>
          <w:rFonts w:ascii="Times New Roman" w:eastAsia="Times New Roman" w:hAnsi="Times New Roman" w:cs="Times New Roman"/>
          <w:sz w:val="24"/>
          <w:szCs w:val="24"/>
        </w:rPr>
        <w:t>.</w:t>
      </w:r>
    </w:p>
    <w:p w:rsidR="0053108B" w:rsidRDefault="0053108B" w:rsidP="00175863">
      <w:pPr>
        <w:pStyle w:val="ListParagraph"/>
        <w:spacing w:after="0" w:line="360" w:lineRule="auto"/>
        <w:ind w:left="1440"/>
        <w:rPr>
          <w:rFonts w:ascii="Times New Roman" w:eastAsia="Times New Roman" w:hAnsi="Times New Roman" w:cs="Times New Roman"/>
          <w:sz w:val="24"/>
          <w:szCs w:val="24"/>
        </w:rPr>
      </w:pPr>
    </w:p>
    <w:p w:rsidR="0053108B" w:rsidRDefault="00136D42" w:rsidP="00175863">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53108B">
        <w:rPr>
          <w:rFonts w:ascii="Times New Roman" w:eastAsia="Times New Roman" w:hAnsi="Times New Roman" w:cs="Times New Roman"/>
          <w:sz w:val="24"/>
          <w:szCs w:val="24"/>
        </w:rPr>
        <w:t>The two payments of $200.00 each were part of a security deposit requested by PGW.</w:t>
      </w:r>
      <w:r w:rsidR="00046835">
        <w:rPr>
          <w:rFonts w:ascii="Times New Roman" w:eastAsia="Times New Roman" w:hAnsi="Times New Roman" w:cs="Times New Roman"/>
          <w:sz w:val="24"/>
          <w:szCs w:val="24"/>
        </w:rPr>
        <w:t xml:space="preserve">  </w:t>
      </w:r>
      <w:r w:rsidR="004448B5">
        <w:rPr>
          <w:rFonts w:ascii="Times New Roman" w:eastAsia="Times New Roman" w:hAnsi="Times New Roman" w:cs="Times New Roman"/>
          <w:sz w:val="24"/>
          <w:szCs w:val="24"/>
        </w:rPr>
        <w:t>Tr. 35-37, PGW Exhibit 2 and PGW late-filed Exhibit 7.</w:t>
      </w:r>
    </w:p>
    <w:p w:rsidR="00175863" w:rsidRDefault="00175863" w:rsidP="00175863">
      <w:pPr>
        <w:pStyle w:val="ListParagraph"/>
        <w:spacing w:after="0" w:line="360" w:lineRule="auto"/>
        <w:ind w:left="1440"/>
        <w:rPr>
          <w:rFonts w:ascii="Times New Roman" w:eastAsia="Times New Roman" w:hAnsi="Times New Roman" w:cs="Times New Roman"/>
          <w:sz w:val="24"/>
          <w:szCs w:val="24"/>
        </w:rPr>
      </w:pPr>
    </w:p>
    <w:p w:rsidR="00175863" w:rsidRPr="00175863" w:rsidRDefault="00136D42" w:rsidP="00175863">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53108B">
        <w:rPr>
          <w:rFonts w:ascii="Times New Roman" w:eastAsia="Times New Roman" w:hAnsi="Times New Roman" w:cs="Times New Roman"/>
          <w:sz w:val="24"/>
          <w:szCs w:val="24"/>
        </w:rPr>
        <w:t xml:space="preserve">The security deposit </w:t>
      </w:r>
      <w:r w:rsidR="00467F79">
        <w:rPr>
          <w:rFonts w:ascii="Times New Roman" w:eastAsia="Times New Roman" w:hAnsi="Times New Roman" w:cs="Times New Roman"/>
          <w:sz w:val="24"/>
          <w:szCs w:val="24"/>
        </w:rPr>
        <w:t>with</w:t>
      </w:r>
      <w:r w:rsidRPr="0053108B">
        <w:rPr>
          <w:rFonts w:ascii="Times New Roman" w:eastAsia="Times New Roman" w:hAnsi="Times New Roman" w:cs="Times New Roman"/>
          <w:sz w:val="24"/>
          <w:szCs w:val="24"/>
        </w:rPr>
        <w:t xml:space="preserve"> accumulated interest was applied back to the Complainant’s account in two installments dated January 24, 2014, and February 26, 2014, respectively. </w:t>
      </w:r>
      <w:r w:rsidR="00800116">
        <w:rPr>
          <w:rFonts w:ascii="Times New Roman" w:eastAsia="Times New Roman" w:hAnsi="Times New Roman" w:cs="Times New Roman"/>
          <w:sz w:val="24"/>
          <w:szCs w:val="24"/>
        </w:rPr>
        <w:t xml:space="preserve"> </w:t>
      </w:r>
      <w:r w:rsidR="004448B5">
        <w:rPr>
          <w:rFonts w:ascii="Times New Roman" w:eastAsia="Times New Roman" w:hAnsi="Times New Roman" w:cs="Times New Roman"/>
          <w:sz w:val="24"/>
          <w:szCs w:val="24"/>
        </w:rPr>
        <w:t xml:space="preserve">Tr. 35-37, </w:t>
      </w:r>
      <w:r w:rsidRPr="0053108B">
        <w:rPr>
          <w:rFonts w:ascii="Times New Roman" w:eastAsia="Times New Roman" w:hAnsi="Times New Roman" w:cs="Times New Roman"/>
          <w:sz w:val="24"/>
          <w:szCs w:val="24"/>
        </w:rPr>
        <w:t xml:space="preserve">PGW late-filed Exhibit 7. </w:t>
      </w:r>
    </w:p>
    <w:p w:rsidR="00175863" w:rsidRDefault="00175863" w:rsidP="00175863">
      <w:pPr>
        <w:pStyle w:val="ListParagraph"/>
        <w:spacing w:after="0" w:line="360" w:lineRule="auto"/>
        <w:ind w:left="1440"/>
        <w:rPr>
          <w:rFonts w:ascii="Times New Roman" w:eastAsia="Times New Roman" w:hAnsi="Times New Roman" w:cs="Times New Roman"/>
          <w:sz w:val="24"/>
          <w:szCs w:val="24"/>
        </w:rPr>
      </w:pPr>
    </w:p>
    <w:p w:rsidR="0053108B" w:rsidRDefault="0053108B" w:rsidP="00175863">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53108B">
        <w:rPr>
          <w:rFonts w:ascii="Times New Roman" w:eastAsia="Times New Roman" w:hAnsi="Times New Roman" w:cs="Times New Roman"/>
          <w:sz w:val="24"/>
          <w:szCs w:val="24"/>
        </w:rPr>
        <w:t>As of the day of the hearing in this matter, the Complainant</w:t>
      </w:r>
      <w:r w:rsidR="00D3384D">
        <w:rPr>
          <w:rFonts w:ascii="Times New Roman" w:eastAsia="Times New Roman" w:hAnsi="Times New Roman" w:cs="Times New Roman"/>
          <w:sz w:val="24"/>
          <w:szCs w:val="24"/>
        </w:rPr>
        <w:t xml:space="preserve"> had accumulated an</w:t>
      </w:r>
      <w:r w:rsidRPr="0053108B">
        <w:rPr>
          <w:rFonts w:ascii="Times New Roman" w:eastAsia="Times New Roman" w:hAnsi="Times New Roman" w:cs="Times New Roman"/>
          <w:sz w:val="24"/>
          <w:szCs w:val="24"/>
        </w:rPr>
        <w:t xml:space="preserve"> outstanding balance </w:t>
      </w:r>
      <w:r w:rsidR="00D3384D">
        <w:rPr>
          <w:rFonts w:ascii="Times New Roman" w:eastAsia="Times New Roman" w:hAnsi="Times New Roman" w:cs="Times New Roman"/>
          <w:sz w:val="24"/>
          <w:szCs w:val="24"/>
        </w:rPr>
        <w:t>of $4,944.00 under SA # 7919301816.</w:t>
      </w:r>
      <w:r w:rsidR="00046835">
        <w:rPr>
          <w:rFonts w:ascii="Times New Roman" w:eastAsia="Times New Roman" w:hAnsi="Times New Roman" w:cs="Times New Roman"/>
          <w:sz w:val="24"/>
          <w:szCs w:val="24"/>
        </w:rPr>
        <w:t xml:space="preserve">  PGW Exhibit 1.</w:t>
      </w:r>
    </w:p>
    <w:p w:rsidR="00175863" w:rsidRDefault="00175863" w:rsidP="00175863">
      <w:pPr>
        <w:pStyle w:val="ListParagraph"/>
        <w:spacing w:after="0" w:line="360" w:lineRule="auto"/>
        <w:ind w:left="1440"/>
        <w:rPr>
          <w:rFonts w:ascii="Times New Roman" w:eastAsia="Times New Roman" w:hAnsi="Times New Roman" w:cs="Times New Roman"/>
          <w:sz w:val="24"/>
          <w:szCs w:val="24"/>
        </w:rPr>
      </w:pPr>
    </w:p>
    <w:p w:rsidR="00467F79" w:rsidRDefault="00467F79" w:rsidP="00175863">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175863">
        <w:rPr>
          <w:rFonts w:ascii="Times New Roman" w:eastAsia="Times New Roman" w:hAnsi="Times New Roman" w:cs="Times New Roman"/>
          <w:sz w:val="24"/>
          <w:szCs w:val="24"/>
        </w:rPr>
        <w:t xml:space="preserve">Meter # 1442559 </w:t>
      </w:r>
      <w:r>
        <w:rPr>
          <w:rFonts w:ascii="Times New Roman" w:eastAsia="Times New Roman" w:hAnsi="Times New Roman" w:cs="Times New Roman"/>
          <w:sz w:val="24"/>
          <w:szCs w:val="24"/>
        </w:rPr>
        <w:t>was inst</w:t>
      </w:r>
      <w:r w:rsidR="00046835">
        <w:rPr>
          <w:rFonts w:ascii="Times New Roman" w:eastAsia="Times New Roman" w:hAnsi="Times New Roman" w:cs="Times New Roman"/>
          <w:sz w:val="24"/>
          <w:szCs w:val="24"/>
        </w:rPr>
        <w:t xml:space="preserve">alled at the Service Address on or about June 15, 2012, replacing Meter # 1607487 which was removed by PGW due to its age.  </w:t>
      </w:r>
      <w:r w:rsidR="00E247DF">
        <w:rPr>
          <w:rFonts w:ascii="Times New Roman" w:eastAsia="Times New Roman" w:hAnsi="Times New Roman" w:cs="Times New Roman"/>
          <w:sz w:val="24"/>
          <w:szCs w:val="24"/>
        </w:rPr>
        <w:t xml:space="preserve">Tr. 39, </w:t>
      </w:r>
      <w:r w:rsidR="00046835">
        <w:rPr>
          <w:rFonts w:ascii="Times New Roman" w:eastAsia="Times New Roman" w:hAnsi="Times New Roman" w:cs="Times New Roman"/>
          <w:sz w:val="24"/>
          <w:szCs w:val="24"/>
        </w:rPr>
        <w:t>PGW Exhibit 3.</w:t>
      </w:r>
    </w:p>
    <w:p w:rsidR="00467F79" w:rsidRPr="00467F79" w:rsidRDefault="00467F79" w:rsidP="00467F79">
      <w:pPr>
        <w:pStyle w:val="ListParagraph"/>
        <w:rPr>
          <w:rFonts w:ascii="Times New Roman" w:eastAsia="Times New Roman" w:hAnsi="Times New Roman" w:cs="Times New Roman"/>
          <w:sz w:val="24"/>
          <w:szCs w:val="24"/>
        </w:rPr>
      </w:pPr>
    </w:p>
    <w:p w:rsidR="00175863" w:rsidRDefault="00175863" w:rsidP="00175863">
      <w:pPr>
        <w:pStyle w:val="ListParagraph"/>
        <w:numPr>
          <w:ilvl w:val="0"/>
          <w:numId w:val="2"/>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July of 2014, PGW removed the meter serving the Service Address (Meter # 1442559) pursuant to my instructions during the evidentiary hearing of July 1, 20</w:t>
      </w:r>
      <w:r w:rsidR="00046835">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046835" w:rsidRPr="00046835">
        <w:rPr>
          <w:rFonts w:ascii="Times New Roman" w:eastAsia="Times New Roman" w:hAnsi="Times New Roman" w:cs="Times New Roman"/>
          <w:sz w:val="24"/>
          <w:szCs w:val="24"/>
        </w:rPr>
        <w:t xml:space="preserve"> </w:t>
      </w:r>
      <w:r w:rsidR="00046835" w:rsidRPr="00175863">
        <w:rPr>
          <w:rFonts w:ascii="Times New Roman" w:eastAsia="Times New Roman" w:hAnsi="Times New Roman" w:cs="Times New Roman"/>
          <w:sz w:val="24"/>
          <w:szCs w:val="24"/>
        </w:rPr>
        <w:t>PGW late-filed Exhibit 8.</w:t>
      </w:r>
    </w:p>
    <w:p w:rsidR="00175863" w:rsidRPr="00175863" w:rsidRDefault="00175863" w:rsidP="00175863">
      <w:pPr>
        <w:pStyle w:val="ListParagraph"/>
        <w:spacing w:after="0" w:line="360" w:lineRule="auto"/>
        <w:rPr>
          <w:rFonts w:ascii="Times New Roman" w:eastAsia="Times New Roman" w:hAnsi="Times New Roman" w:cs="Times New Roman"/>
          <w:sz w:val="24"/>
          <w:szCs w:val="24"/>
        </w:rPr>
      </w:pPr>
    </w:p>
    <w:p w:rsidR="00175863" w:rsidRPr="00046835" w:rsidRDefault="00175863" w:rsidP="00046835">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175863">
        <w:rPr>
          <w:rFonts w:ascii="Times New Roman" w:eastAsia="Times New Roman" w:hAnsi="Times New Roman" w:cs="Times New Roman"/>
          <w:sz w:val="24"/>
          <w:szCs w:val="24"/>
        </w:rPr>
        <w:t>Meter #1442559 was tested for accuracy on July 18, 2014.</w:t>
      </w:r>
      <w:r w:rsidR="00046835" w:rsidRPr="00046835">
        <w:rPr>
          <w:rFonts w:ascii="Times New Roman" w:eastAsia="Times New Roman" w:hAnsi="Times New Roman" w:cs="Times New Roman"/>
          <w:sz w:val="24"/>
          <w:szCs w:val="24"/>
        </w:rPr>
        <w:t xml:space="preserve"> </w:t>
      </w:r>
      <w:r w:rsidR="00046835">
        <w:rPr>
          <w:rFonts w:ascii="Times New Roman" w:eastAsia="Times New Roman" w:hAnsi="Times New Roman" w:cs="Times New Roman"/>
          <w:sz w:val="24"/>
          <w:szCs w:val="24"/>
        </w:rPr>
        <w:t xml:space="preserve"> </w:t>
      </w:r>
      <w:r w:rsidR="00046835" w:rsidRPr="00046835">
        <w:rPr>
          <w:rFonts w:ascii="Times New Roman" w:eastAsia="Times New Roman" w:hAnsi="Times New Roman" w:cs="Times New Roman"/>
          <w:i/>
          <w:sz w:val="24"/>
          <w:szCs w:val="24"/>
        </w:rPr>
        <w:t>Id.</w:t>
      </w:r>
    </w:p>
    <w:p w:rsidR="00175863" w:rsidRPr="00175863" w:rsidRDefault="00175863" w:rsidP="00175863">
      <w:pPr>
        <w:pStyle w:val="ListParagraph"/>
        <w:spacing w:after="0" w:line="360" w:lineRule="auto"/>
        <w:rPr>
          <w:rFonts w:ascii="Times New Roman" w:eastAsia="Times New Roman" w:hAnsi="Times New Roman" w:cs="Times New Roman"/>
          <w:sz w:val="24"/>
          <w:szCs w:val="24"/>
        </w:rPr>
      </w:pPr>
    </w:p>
    <w:p w:rsidR="00175863" w:rsidRDefault="00046835" w:rsidP="00175863">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75863" w:rsidRPr="00175863">
        <w:rPr>
          <w:rFonts w:ascii="Times New Roman" w:eastAsia="Times New Roman" w:hAnsi="Times New Roman" w:cs="Times New Roman"/>
          <w:sz w:val="24"/>
          <w:szCs w:val="24"/>
        </w:rPr>
        <w:t>.</w:t>
      </w:r>
      <w:r w:rsidR="00175863" w:rsidRPr="00175863">
        <w:rPr>
          <w:rFonts w:ascii="Times New Roman" w:eastAsia="Times New Roman" w:hAnsi="Times New Roman" w:cs="Times New Roman"/>
          <w:sz w:val="24"/>
          <w:szCs w:val="24"/>
        </w:rPr>
        <w:tab/>
        <w:t xml:space="preserve">The tests indicated that Meter # 1442559 was 98.6% accurate and </w:t>
      </w:r>
      <w:r w:rsidR="00175863" w:rsidRPr="00175863">
        <w:rPr>
          <w:rFonts w:ascii="Times New Roman" w:hAnsi="Times New Roman" w:cs="Times New Roman"/>
          <w:sz w:val="24"/>
          <w:szCs w:val="24"/>
        </w:rPr>
        <w:t xml:space="preserve">within the </w:t>
      </w:r>
      <w:r w:rsidR="00175863" w:rsidRPr="00175863">
        <w:rPr>
          <w:rStyle w:val="term1"/>
          <w:rFonts w:ascii="Times New Roman" w:hAnsi="Times New Roman" w:cs="Times New Roman"/>
          <w:b w:val="0"/>
          <w:sz w:val="24"/>
          <w:szCs w:val="24"/>
        </w:rPr>
        <w:t>2%</w:t>
      </w:r>
      <w:r w:rsidR="00175863" w:rsidRPr="00175863">
        <w:rPr>
          <w:rFonts w:ascii="Times New Roman" w:hAnsi="Times New Roman" w:cs="Times New Roman"/>
          <w:sz w:val="24"/>
          <w:szCs w:val="24"/>
        </w:rPr>
        <w:t xml:space="preserve"> margin of error </w:t>
      </w:r>
      <w:r w:rsidR="00175863" w:rsidRPr="00175863">
        <w:rPr>
          <w:rFonts w:ascii="Times New Roman" w:eastAsia="Times New Roman" w:hAnsi="Times New Roman" w:cs="Times New Roman"/>
          <w:sz w:val="24"/>
          <w:szCs w:val="24"/>
        </w:rPr>
        <w:t>allowed by the Commission’s regulation</w:t>
      </w:r>
      <w:r w:rsidR="00175863" w:rsidRPr="00175863">
        <w:rPr>
          <w:rFonts w:ascii="Times New Roman" w:hAnsi="Times New Roman" w:cs="Times New Roman"/>
          <w:sz w:val="24"/>
          <w:szCs w:val="24"/>
        </w:rPr>
        <w:t xml:space="preserve"> at 52 Pa.Code § 59.22</w:t>
      </w:r>
      <w:r w:rsidR="00175863" w:rsidRPr="00175863">
        <w:rPr>
          <w:rFonts w:ascii="Times New Roman" w:eastAsia="Times New Roman" w:hAnsi="Times New Roman" w:cs="Times New Roman"/>
          <w:sz w:val="24"/>
          <w:szCs w:val="24"/>
        </w:rPr>
        <w:t xml:space="preserve">.  </w:t>
      </w:r>
      <w:proofErr w:type="gramStart"/>
      <w:r w:rsidR="00175863" w:rsidRPr="00175863">
        <w:rPr>
          <w:rFonts w:ascii="Times New Roman" w:eastAsia="Times New Roman" w:hAnsi="Times New Roman" w:cs="Times New Roman"/>
          <w:sz w:val="24"/>
          <w:szCs w:val="24"/>
        </w:rPr>
        <w:t>PGW late-filed Exhibit 8.</w:t>
      </w:r>
      <w:proofErr w:type="gramEnd"/>
    </w:p>
    <w:p w:rsidR="00F10559" w:rsidRDefault="00F10559" w:rsidP="00175863">
      <w:pPr>
        <w:pStyle w:val="ListParagraph"/>
        <w:spacing w:after="0" w:line="360" w:lineRule="auto"/>
        <w:ind w:left="0" w:firstLine="1440"/>
        <w:rPr>
          <w:rFonts w:ascii="Times New Roman" w:eastAsia="Times New Roman" w:hAnsi="Times New Roman" w:cs="Times New Roman"/>
          <w:sz w:val="24"/>
          <w:szCs w:val="24"/>
        </w:rPr>
      </w:pPr>
    </w:p>
    <w:p w:rsidR="00F10559" w:rsidRDefault="00176CE3" w:rsidP="00175863">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T</w:t>
      </w:r>
      <w:r w:rsidR="00F10559">
        <w:rPr>
          <w:rFonts w:ascii="Times New Roman" w:eastAsia="Times New Roman" w:hAnsi="Times New Roman" w:cs="Times New Roman"/>
          <w:sz w:val="24"/>
          <w:szCs w:val="24"/>
        </w:rPr>
        <w:t xml:space="preserve">he Complainant’s gas usage, as recorded and reported by </w:t>
      </w:r>
      <w:r w:rsidR="00F10559" w:rsidRPr="00175863">
        <w:rPr>
          <w:rFonts w:ascii="Times New Roman" w:eastAsia="Times New Roman" w:hAnsi="Times New Roman" w:cs="Times New Roman"/>
          <w:sz w:val="24"/>
          <w:szCs w:val="24"/>
        </w:rPr>
        <w:t>Meter #1442559</w:t>
      </w:r>
      <w:r>
        <w:rPr>
          <w:rFonts w:ascii="Times New Roman" w:eastAsia="Times New Roman" w:hAnsi="Times New Roman" w:cs="Times New Roman"/>
          <w:sz w:val="24"/>
          <w:szCs w:val="24"/>
        </w:rPr>
        <w:t xml:space="preserve"> is seasonal, with gas usage increasing and decreasing in step with Heating Degree Days</w:t>
      </w:r>
      <w:r>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w:t>
      </w:r>
      <w:proofErr w:type="gramStart"/>
      <w:r w:rsidR="00E247DF">
        <w:rPr>
          <w:rFonts w:ascii="Times New Roman" w:eastAsia="Times New Roman" w:hAnsi="Times New Roman" w:cs="Times New Roman"/>
          <w:sz w:val="24"/>
          <w:szCs w:val="24"/>
        </w:rPr>
        <w:t>Tr. 38,</w:t>
      </w:r>
      <w:r>
        <w:rPr>
          <w:rFonts w:ascii="Times New Roman" w:eastAsia="Times New Roman" w:hAnsi="Times New Roman" w:cs="Times New Roman"/>
          <w:sz w:val="24"/>
          <w:szCs w:val="24"/>
        </w:rPr>
        <w:t xml:space="preserve"> PGW Exhibit 1.</w:t>
      </w:r>
      <w:proofErr w:type="gramEnd"/>
    </w:p>
    <w:p w:rsidR="000E0EF1" w:rsidRPr="00175863" w:rsidRDefault="000E0EF1" w:rsidP="00175863">
      <w:pPr>
        <w:pStyle w:val="ListParagraph"/>
        <w:spacing w:after="0" w:line="360" w:lineRule="auto"/>
        <w:ind w:left="0" w:firstLine="1440"/>
        <w:rPr>
          <w:rFonts w:ascii="Times New Roman" w:eastAsia="Times New Roman" w:hAnsi="Times New Roman" w:cs="Times New Roman"/>
          <w:sz w:val="24"/>
          <w:szCs w:val="24"/>
        </w:rPr>
      </w:pPr>
    </w:p>
    <w:p w:rsidR="00195424" w:rsidRPr="00195424" w:rsidRDefault="00195424" w:rsidP="00195424">
      <w:pPr>
        <w:spacing w:after="0" w:line="360" w:lineRule="auto"/>
        <w:rPr>
          <w:rFonts w:ascii="Times New Roman" w:eastAsia="Times New Roman" w:hAnsi="Times New Roman" w:cs="Times New Roman"/>
          <w:sz w:val="24"/>
          <w:szCs w:val="24"/>
        </w:rPr>
      </w:pPr>
    </w:p>
    <w:p w:rsidR="00195424" w:rsidRPr="00195424" w:rsidRDefault="00195424" w:rsidP="00195424">
      <w:pPr>
        <w:spacing w:after="0" w:line="360" w:lineRule="auto"/>
        <w:jc w:val="center"/>
        <w:rPr>
          <w:rFonts w:ascii="Times New Roman" w:eastAsia="Times New Roman" w:hAnsi="Times New Roman" w:cs="Times New Roman"/>
          <w:sz w:val="24"/>
          <w:szCs w:val="24"/>
          <w:u w:val="single"/>
        </w:rPr>
      </w:pPr>
      <w:r w:rsidRPr="00195424">
        <w:rPr>
          <w:rFonts w:ascii="Times New Roman" w:eastAsia="Times New Roman" w:hAnsi="Times New Roman" w:cs="Times New Roman"/>
          <w:sz w:val="24"/>
          <w:szCs w:val="24"/>
          <w:u w:val="single"/>
        </w:rPr>
        <w:t>DISCUSSION</w:t>
      </w:r>
    </w:p>
    <w:p w:rsidR="00195424" w:rsidRPr="00195424" w:rsidRDefault="00195424" w:rsidP="00195424">
      <w:pPr>
        <w:spacing w:after="0" w:line="360" w:lineRule="auto"/>
        <w:rPr>
          <w:rFonts w:ascii="Times New Roman" w:eastAsia="Times New Roman" w:hAnsi="Times New Roman" w:cs="Times New Roman"/>
          <w:sz w:val="24"/>
          <w:szCs w:val="24"/>
        </w:rPr>
      </w:pPr>
    </w:p>
    <w:p w:rsidR="00175863" w:rsidRDefault="00E47FCE" w:rsidP="00EA379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amended by my ruling on PGW’s Motion at the evidentiary hearing on July 1, 2014, Ms. Morris’ </w:t>
      </w:r>
      <w:r w:rsidR="00176CE3">
        <w:rPr>
          <w:rFonts w:ascii="Times New Roman" w:eastAsia="Times New Roman" w:hAnsi="Times New Roman" w:cs="Times New Roman"/>
          <w:sz w:val="24"/>
          <w:szCs w:val="24"/>
        </w:rPr>
        <w:t>present</w:t>
      </w:r>
      <w:r w:rsidR="00EA3791">
        <w:rPr>
          <w:rFonts w:ascii="Times New Roman" w:eastAsia="Times New Roman" w:hAnsi="Times New Roman" w:cs="Times New Roman"/>
          <w:sz w:val="24"/>
          <w:szCs w:val="24"/>
        </w:rPr>
        <w:t xml:space="preserve"> formal Complaint against PGW</w:t>
      </w:r>
      <w:r w:rsidR="00175863" w:rsidRPr="00262E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challenges the accuracy of the new meter s</w:t>
      </w:r>
      <w:r w:rsidR="00EA3791">
        <w:rPr>
          <w:rFonts w:ascii="Times New Roman" w:eastAsia="Times New Roman" w:hAnsi="Times New Roman" w:cs="Times New Roman"/>
          <w:sz w:val="24"/>
          <w:szCs w:val="24"/>
        </w:rPr>
        <w:t>erving the Service Address</w:t>
      </w:r>
      <w:r>
        <w:rPr>
          <w:rFonts w:ascii="Times New Roman" w:eastAsia="Times New Roman" w:hAnsi="Times New Roman" w:cs="Times New Roman"/>
          <w:sz w:val="24"/>
          <w:szCs w:val="24"/>
        </w:rPr>
        <w:t xml:space="preserve">, the balance accumulated after the </w:t>
      </w:r>
      <w:r w:rsidRPr="00B469B7">
        <w:rPr>
          <w:rFonts w:ascii="Times New Roman" w:eastAsia="Times New Roman" w:hAnsi="Times New Roman" w:cs="Times New Roman"/>
          <w:sz w:val="24"/>
          <w:szCs w:val="24"/>
        </w:rPr>
        <w:t>filing of the previous Complaint, an</w:t>
      </w:r>
      <w:r w:rsidR="00800116">
        <w:rPr>
          <w:rFonts w:ascii="Times New Roman" w:eastAsia="Times New Roman" w:hAnsi="Times New Roman" w:cs="Times New Roman"/>
          <w:sz w:val="24"/>
          <w:szCs w:val="24"/>
        </w:rPr>
        <w:t>d the number of payments credited</w:t>
      </w:r>
      <w:r w:rsidRPr="00B469B7">
        <w:rPr>
          <w:rFonts w:ascii="Times New Roman" w:eastAsia="Times New Roman" w:hAnsi="Times New Roman" w:cs="Times New Roman"/>
          <w:sz w:val="24"/>
          <w:szCs w:val="24"/>
        </w:rPr>
        <w:t xml:space="preserve"> to Ms. Morris’ account with PGW.  </w:t>
      </w:r>
    </w:p>
    <w:p w:rsidR="00856BE3" w:rsidRDefault="00856BE3" w:rsidP="00EA3791">
      <w:pPr>
        <w:spacing w:after="0" w:line="360" w:lineRule="auto"/>
        <w:ind w:firstLine="1440"/>
        <w:rPr>
          <w:rFonts w:ascii="Times New Roman" w:eastAsia="Times New Roman" w:hAnsi="Times New Roman" w:cs="Times New Roman"/>
          <w:sz w:val="24"/>
          <w:szCs w:val="24"/>
        </w:rPr>
      </w:pPr>
    </w:p>
    <w:p w:rsidR="00856BE3" w:rsidRPr="00856BE3" w:rsidRDefault="00856BE3" w:rsidP="00856BE3">
      <w:pPr>
        <w:pStyle w:val="ListParagraph"/>
        <w:numPr>
          <w:ilvl w:val="0"/>
          <w:numId w:val="3"/>
        </w:numPr>
        <w:spacing w:after="0" w:line="360" w:lineRule="auto"/>
        <w:rPr>
          <w:rFonts w:ascii="Times New Roman" w:eastAsia="Times New Roman" w:hAnsi="Times New Roman" w:cs="Times New Roman"/>
          <w:b/>
          <w:sz w:val="24"/>
          <w:szCs w:val="24"/>
        </w:rPr>
      </w:pPr>
      <w:r w:rsidRPr="00856BE3">
        <w:rPr>
          <w:rFonts w:ascii="Times New Roman" w:eastAsia="Times New Roman" w:hAnsi="Times New Roman" w:cs="Times New Roman"/>
          <w:b/>
          <w:sz w:val="24"/>
          <w:szCs w:val="24"/>
        </w:rPr>
        <w:t>High Billing Dispute</w:t>
      </w:r>
    </w:p>
    <w:p w:rsidR="00175863" w:rsidRPr="00262E9E" w:rsidRDefault="00175863" w:rsidP="00175863">
      <w:pPr>
        <w:spacing w:after="0" w:line="360" w:lineRule="auto"/>
        <w:ind w:firstLine="1440"/>
        <w:rPr>
          <w:rFonts w:ascii="Times New Roman" w:eastAsia="Times New Roman" w:hAnsi="Times New Roman" w:cs="Times New Roman"/>
          <w:sz w:val="24"/>
          <w:szCs w:val="24"/>
        </w:rPr>
      </w:pPr>
    </w:p>
    <w:p w:rsidR="00175863" w:rsidRPr="00B0742D" w:rsidRDefault="00175863" w:rsidP="00175863">
      <w:pPr>
        <w:spacing w:after="0" w:line="360" w:lineRule="auto"/>
        <w:ind w:firstLine="1440"/>
        <w:rPr>
          <w:rFonts w:ascii="Times New Roman" w:eastAsia="Times New Roman" w:hAnsi="Times New Roman" w:cs="Times New Roman"/>
          <w:sz w:val="24"/>
          <w:szCs w:val="24"/>
        </w:rPr>
      </w:pPr>
      <w:r w:rsidRPr="00B0742D">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B0742D">
        <w:rPr>
          <w:rFonts w:ascii="Times New Roman" w:eastAsia="Times New Roman" w:hAnsi="Times New Roman" w:cs="Times New Roman"/>
          <w:i/>
          <w:iCs/>
          <w:sz w:val="24"/>
          <w:szCs w:val="24"/>
        </w:rPr>
        <w:t>Patterson v. Bell Telephone Company of Pennsylvania</w:t>
      </w:r>
      <w:r w:rsidRPr="00B0742D">
        <w:rPr>
          <w:rFonts w:ascii="Times New Roman" w:eastAsia="Times New Roman" w:hAnsi="Times New Roman" w:cs="Times New Roman"/>
          <w:sz w:val="24"/>
          <w:szCs w:val="24"/>
        </w:rPr>
        <w:t>, 72 Pa. PUC 196 (1990).</w:t>
      </w:r>
      <w:proofErr w:type="gramEnd"/>
      <w:r w:rsidRPr="00B0742D">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B0742D">
        <w:rPr>
          <w:rFonts w:ascii="Times New Roman" w:eastAsia="Times New Roman" w:hAnsi="Times New Roman" w:cs="Times New Roman"/>
          <w:i/>
          <w:iCs/>
          <w:sz w:val="24"/>
          <w:szCs w:val="24"/>
        </w:rPr>
        <w:t>Samuel J. Lansberry, Inc. v. Pa. Pub.</w:t>
      </w:r>
      <w:proofErr w:type="gramEnd"/>
      <w:r w:rsidRPr="00B0742D">
        <w:rPr>
          <w:rFonts w:ascii="Times New Roman" w:eastAsia="Times New Roman" w:hAnsi="Times New Roman" w:cs="Times New Roman"/>
          <w:i/>
          <w:iCs/>
          <w:sz w:val="24"/>
          <w:szCs w:val="24"/>
        </w:rPr>
        <w:t xml:space="preserve"> Util. Comm’n,</w:t>
      </w:r>
      <w:r w:rsidRPr="00B0742D">
        <w:rPr>
          <w:rFonts w:ascii="Times New Roman" w:eastAsia="Times New Roman" w:hAnsi="Times New Roman" w:cs="Times New Roman"/>
          <w:sz w:val="24"/>
          <w:szCs w:val="24"/>
        </w:rPr>
        <w:t xml:space="preserve"> 578 A.2d 600 (Pa. Cmwlth. 1990) </w:t>
      </w:r>
      <w:r w:rsidRPr="00B0742D">
        <w:rPr>
          <w:rFonts w:ascii="Times New Roman" w:eastAsia="Times New Roman" w:hAnsi="Times New Roman" w:cs="Times New Roman"/>
          <w:i/>
          <w:iCs/>
          <w:sz w:val="24"/>
          <w:szCs w:val="24"/>
        </w:rPr>
        <w:t xml:space="preserve">alloc. </w:t>
      </w:r>
      <w:proofErr w:type="gramStart"/>
      <w:r w:rsidRPr="00B0742D">
        <w:rPr>
          <w:rFonts w:ascii="Times New Roman" w:eastAsia="Times New Roman" w:hAnsi="Times New Roman" w:cs="Times New Roman"/>
          <w:i/>
          <w:iCs/>
          <w:sz w:val="24"/>
          <w:szCs w:val="24"/>
        </w:rPr>
        <w:t>den.</w:t>
      </w:r>
      <w:r w:rsidRPr="00B0742D">
        <w:rPr>
          <w:rFonts w:ascii="Times New Roman" w:eastAsia="Times New Roman" w:hAnsi="Times New Roman" w:cs="Times New Roman"/>
          <w:sz w:val="24"/>
          <w:szCs w:val="24"/>
        </w:rPr>
        <w:t>, 529 Pa. 654, 602 A.2d 863 (1992).</w:t>
      </w:r>
      <w:proofErr w:type="gramEnd"/>
      <w:r w:rsidRPr="00B0742D">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B0742D">
        <w:rPr>
          <w:rFonts w:ascii="Times New Roman" w:eastAsia="Times New Roman" w:hAnsi="Times New Roman" w:cs="Times New Roman"/>
          <w:i/>
          <w:iCs/>
          <w:sz w:val="24"/>
          <w:szCs w:val="24"/>
        </w:rPr>
        <w:t>Norfolk and Western Railway Co. v. Pa. Pub.</w:t>
      </w:r>
      <w:proofErr w:type="gramEnd"/>
      <w:r w:rsidRPr="00B0742D">
        <w:rPr>
          <w:rFonts w:ascii="Times New Roman" w:eastAsia="Times New Roman" w:hAnsi="Times New Roman" w:cs="Times New Roman"/>
          <w:i/>
          <w:iCs/>
          <w:sz w:val="24"/>
          <w:szCs w:val="24"/>
        </w:rPr>
        <w:t xml:space="preserve"> </w:t>
      </w:r>
      <w:proofErr w:type="gramStart"/>
      <w:r w:rsidRPr="00B0742D">
        <w:rPr>
          <w:rFonts w:ascii="Times New Roman" w:eastAsia="Times New Roman" w:hAnsi="Times New Roman" w:cs="Times New Roman"/>
          <w:i/>
          <w:iCs/>
          <w:sz w:val="24"/>
          <w:szCs w:val="24"/>
        </w:rPr>
        <w:t>Util. Comm’n</w:t>
      </w:r>
      <w:r w:rsidRPr="00B0742D">
        <w:rPr>
          <w:rFonts w:ascii="Times New Roman" w:eastAsia="Times New Roman" w:hAnsi="Times New Roman" w:cs="Times New Roman"/>
          <w:sz w:val="24"/>
          <w:szCs w:val="24"/>
        </w:rPr>
        <w:t>, 489 Pa. 109, 413 A.2d 1037 (1980).</w:t>
      </w:r>
      <w:proofErr w:type="gramEnd"/>
    </w:p>
    <w:p w:rsidR="00175863" w:rsidRPr="00B0742D" w:rsidRDefault="00175863" w:rsidP="00175863">
      <w:pPr>
        <w:spacing w:after="0" w:line="360" w:lineRule="auto"/>
        <w:ind w:firstLine="1440"/>
        <w:rPr>
          <w:rFonts w:ascii="Times New Roman" w:eastAsia="Times New Roman" w:hAnsi="Times New Roman" w:cs="Times New Roman"/>
          <w:sz w:val="24"/>
          <w:szCs w:val="24"/>
        </w:rPr>
      </w:pPr>
    </w:p>
    <w:p w:rsidR="00175863" w:rsidRPr="00B0742D" w:rsidRDefault="00175863" w:rsidP="00175863">
      <w:pPr>
        <w:spacing w:after="0" w:line="360" w:lineRule="auto"/>
        <w:ind w:firstLine="1440"/>
        <w:rPr>
          <w:rFonts w:ascii="Times New Roman" w:eastAsia="Times New Roman" w:hAnsi="Times New Roman" w:cs="Times New Roman"/>
          <w:sz w:val="24"/>
          <w:szCs w:val="24"/>
        </w:rPr>
      </w:pPr>
      <w:r w:rsidRPr="00B0742D">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proofErr w:type="gramStart"/>
      <w:r w:rsidRPr="00B0742D">
        <w:rPr>
          <w:rFonts w:ascii="Times New Roman" w:eastAsia="Times New Roman" w:hAnsi="Times New Roman" w:cs="Times New Roman"/>
          <w:i/>
          <w:iCs/>
          <w:sz w:val="24"/>
          <w:szCs w:val="24"/>
        </w:rPr>
        <w:t>Burleson v. Pa. Pub.</w:t>
      </w:r>
      <w:proofErr w:type="gramEnd"/>
      <w:r w:rsidRPr="00B0742D">
        <w:rPr>
          <w:rFonts w:ascii="Times New Roman" w:eastAsia="Times New Roman" w:hAnsi="Times New Roman" w:cs="Times New Roman"/>
          <w:i/>
          <w:iCs/>
          <w:sz w:val="24"/>
          <w:szCs w:val="24"/>
        </w:rPr>
        <w:t xml:space="preserve"> Util. Comm’n</w:t>
      </w:r>
      <w:r w:rsidRPr="00B0742D">
        <w:rPr>
          <w:rFonts w:ascii="Times New Roman" w:eastAsia="Times New Roman" w:hAnsi="Times New Roman" w:cs="Times New Roman"/>
          <w:sz w:val="24"/>
          <w:szCs w:val="24"/>
        </w:rPr>
        <w:t xml:space="preserve">, 443 A.2d 1373 (Pa. Cmwlth. 1982), </w:t>
      </w:r>
      <w:r w:rsidRPr="00B0742D">
        <w:rPr>
          <w:rFonts w:ascii="Times New Roman" w:eastAsia="Times New Roman" w:hAnsi="Times New Roman" w:cs="Times New Roman"/>
          <w:i/>
          <w:iCs/>
          <w:sz w:val="24"/>
          <w:szCs w:val="24"/>
        </w:rPr>
        <w:t>aff'd</w:t>
      </w:r>
      <w:r w:rsidRPr="00B0742D">
        <w:rPr>
          <w:rFonts w:ascii="Times New Roman" w:eastAsia="Times New Roman" w:hAnsi="Times New Roman" w:cs="Times New Roman"/>
          <w:sz w:val="24"/>
          <w:szCs w:val="24"/>
        </w:rPr>
        <w:t xml:space="preserve">, 501 Pa. 433, 461 A.2d 1234 (1983).  </w:t>
      </w:r>
    </w:p>
    <w:p w:rsidR="00175863" w:rsidRPr="00B0742D" w:rsidRDefault="00175863" w:rsidP="00175863">
      <w:pPr>
        <w:spacing w:after="0" w:line="360" w:lineRule="auto"/>
        <w:ind w:firstLine="1440"/>
        <w:rPr>
          <w:rFonts w:ascii="Times New Roman" w:eastAsia="Times New Roman" w:hAnsi="Times New Roman" w:cs="Times New Roman"/>
          <w:sz w:val="24"/>
          <w:szCs w:val="24"/>
        </w:rPr>
      </w:pPr>
    </w:p>
    <w:p w:rsidR="00175863" w:rsidRPr="00B0742D" w:rsidRDefault="00175863" w:rsidP="00175863">
      <w:pPr>
        <w:spacing w:after="0" w:line="360" w:lineRule="auto"/>
        <w:ind w:firstLine="1440"/>
        <w:rPr>
          <w:rFonts w:ascii="Times New Roman" w:eastAsia="Times New Roman" w:hAnsi="Times New Roman" w:cs="Times New Roman"/>
          <w:sz w:val="24"/>
          <w:szCs w:val="24"/>
        </w:rPr>
      </w:pPr>
      <w:r w:rsidRPr="00B0742D">
        <w:rPr>
          <w:rFonts w:ascii="Times New Roman" w:eastAsia="Times New Roman" w:hAnsi="Times New Roman" w:cs="Times New Roman"/>
          <w:sz w:val="24"/>
          <w:szCs w:val="24"/>
        </w:rPr>
        <w:t xml:space="preserve">While the </w:t>
      </w:r>
      <w:r w:rsidRPr="00B0742D">
        <w:rPr>
          <w:rFonts w:ascii="Times New Roman" w:eastAsia="Times New Roman" w:hAnsi="Times New Roman" w:cs="Times New Roman"/>
          <w:bCs/>
          <w:sz w:val="24"/>
          <w:szCs w:val="24"/>
        </w:rPr>
        <w:t>burden of persuasion</w:t>
      </w:r>
      <w:r w:rsidRPr="00B0742D">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B0742D">
        <w:rPr>
          <w:rFonts w:ascii="Times New Roman" w:eastAsia="Times New Roman" w:hAnsi="Times New Roman" w:cs="Times New Roman"/>
          <w:i/>
          <w:iCs/>
          <w:sz w:val="24"/>
          <w:szCs w:val="24"/>
        </w:rPr>
        <w:t>Milkie</w:t>
      </w:r>
      <w:proofErr w:type="spellEnd"/>
      <w:r w:rsidRPr="00B0742D">
        <w:rPr>
          <w:rFonts w:ascii="Times New Roman" w:eastAsia="Times New Roman" w:hAnsi="Times New Roman" w:cs="Times New Roman"/>
          <w:i/>
          <w:iCs/>
          <w:sz w:val="24"/>
          <w:szCs w:val="24"/>
        </w:rPr>
        <w:t xml:space="preserve"> v. Pa. Pub.</w:t>
      </w:r>
      <w:proofErr w:type="gramEnd"/>
      <w:r w:rsidRPr="00B0742D">
        <w:rPr>
          <w:rFonts w:ascii="Times New Roman" w:eastAsia="Times New Roman" w:hAnsi="Times New Roman" w:cs="Times New Roman"/>
          <w:i/>
          <w:iCs/>
          <w:sz w:val="24"/>
          <w:szCs w:val="24"/>
        </w:rPr>
        <w:t xml:space="preserve"> </w:t>
      </w:r>
      <w:proofErr w:type="gramStart"/>
      <w:r w:rsidRPr="00B0742D">
        <w:rPr>
          <w:rFonts w:ascii="Times New Roman" w:eastAsia="Times New Roman" w:hAnsi="Times New Roman" w:cs="Times New Roman"/>
          <w:i/>
          <w:iCs/>
          <w:sz w:val="24"/>
          <w:szCs w:val="24"/>
        </w:rPr>
        <w:t>Util. Comm’n</w:t>
      </w:r>
      <w:r w:rsidRPr="00B0742D">
        <w:rPr>
          <w:rFonts w:ascii="Times New Roman" w:eastAsia="Times New Roman" w:hAnsi="Times New Roman" w:cs="Times New Roman"/>
          <w:sz w:val="24"/>
          <w:szCs w:val="24"/>
        </w:rPr>
        <w:t>, 768 A.2d 1217 (Pa. Cmwlth. 2001).</w:t>
      </w:r>
      <w:proofErr w:type="gramEnd"/>
    </w:p>
    <w:p w:rsidR="00175863" w:rsidRPr="00B0742D" w:rsidRDefault="00175863" w:rsidP="00175863">
      <w:pPr>
        <w:spacing w:after="0" w:line="360" w:lineRule="auto"/>
        <w:rPr>
          <w:rFonts w:ascii="Times New Roman" w:eastAsia="Times New Roman" w:hAnsi="Times New Roman" w:cs="Times New Roman"/>
          <w:sz w:val="24"/>
          <w:szCs w:val="24"/>
        </w:rPr>
      </w:pPr>
    </w:p>
    <w:p w:rsidR="00175863" w:rsidRPr="00B0742D" w:rsidRDefault="00175863" w:rsidP="00175863">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In </w:t>
      </w:r>
      <w:r w:rsidRPr="00B0742D">
        <w:rPr>
          <w:rFonts w:ascii="Times New Roman" w:eastAsia="Calibri" w:hAnsi="Times New Roman" w:cs="Times New Roman"/>
          <w:i/>
          <w:iCs/>
          <w:sz w:val="24"/>
          <w:szCs w:val="24"/>
        </w:rPr>
        <w:t>Waldron v. Philadelphia Electric Company, (Waldron)</w:t>
      </w:r>
      <w:r w:rsidRPr="00B0742D">
        <w:rPr>
          <w:rFonts w:ascii="Times New Roman" w:eastAsia="Calibri" w:hAnsi="Times New Roman" w:cs="Times New Roman"/>
          <w:sz w:val="24"/>
          <w:szCs w:val="24"/>
        </w:rPr>
        <w:t xml:space="preserve">, 54 Pa. PUC 98 (1980), the Commission adopted the Michigan Public Service Commission’s (PSC’s) policy annunciated in </w:t>
      </w:r>
      <w:proofErr w:type="spellStart"/>
      <w:r w:rsidRPr="00B0742D">
        <w:rPr>
          <w:rFonts w:ascii="Times New Roman" w:eastAsia="Calibri" w:hAnsi="Times New Roman" w:cs="Times New Roman"/>
          <w:i/>
          <w:iCs/>
          <w:sz w:val="24"/>
          <w:szCs w:val="24"/>
        </w:rPr>
        <w:t>Hallifax</w:t>
      </w:r>
      <w:proofErr w:type="spellEnd"/>
      <w:r w:rsidRPr="00B0742D">
        <w:rPr>
          <w:rFonts w:ascii="Times New Roman" w:eastAsia="Calibri" w:hAnsi="Times New Roman" w:cs="Times New Roman"/>
          <w:i/>
          <w:iCs/>
          <w:sz w:val="24"/>
          <w:szCs w:val="24"/>
        </w:rPr>
        <w:t xml:space="preserve"> v. O &amp; A Electric Co-Op</w:t>
      </w:r>
      <w:r w:rsidRPr="00B0742D">
        <w:rPr>
          <w:rFonts w:ascii="Times New Roman" w:eastAsia="Calibri" w:hAnsi="Times New Roman" w:cs="Times New Roman"/>
          <w:sz w:val="24"/>
          <w:szCs w:val="24"/>
        </w:rPr>
        <w:t xml:space="preserve">, Case No. </w:t>
      </w:r>
      <w:proofErr w:type="gramStart"/>
      <w:r w:rsidRPr="00B0742D">
        <w:rPr>
          <w:rFonts w:ascii="Times New Roman" w:eastAsia="Calibri" w:hAnsi="Times New Roman" w:cs="Times New Roman"/>
          <w:sz w:val="24"/>
          <w:szCs w:val="24"/>
        </w:rPr>
        <w:t>U-5825 (May 1979), which stated that, while the accuracy of the meter is an important factor in resolving billing disputes, it is not the sole criterion.</w:t>
      </w:r>
      <w:proofErr w:type="gramEnd"/>
      <w:r w:rsidRPr="00B0742D">
        <w:rPr>
          <w:rFonts w:ascii="Times New Roman" w:eastAsia="Calibri" w:hAnsi="Times New Roman" w:cs="Times New Roman"/>
          <w:sz w:val="24"/>
          <w:szCs w:val="24"/>
        </w:rPr>
        <w:t xml:space="preserve">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at 100.</w:t>
      </w:r>
      <w:proofErr w:type="gramEnd"/>
    </w:p>
    <w:p w:rsidR="00175863" w:rsidRPr="00B0742D" w:rsidRDefault="00175863" w:rsidP="00175863">
      <w:pPr>
        <w:spacing w:after="0" w:line="360" w:lineRule="auto"/>
        <w:ind w:firstLine="1440"/>
        <w:rPr>
          <w:rFonts w:ascii="Times New Roman" w:eastAsia="Calibri" w:hAnsi="Times New Roman" w:cs="Times New Roman"/>
          <w:sz w:val="24"/>
          <w:szCs w:val="24"/>
        </w:rPr>
      </w:pPr>
    </w:p>
    <w:p w:rsidR="00175863" w:rsidRPr="00B0742D" w:rsidRDefault="00175863" w:rsidP="00175863">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While a comparison of the disputed monthly bill to the Complainant’s billing history and the consistency of his usage pattern are important criteria to consider, they alone do not resolve the issue of the Complainant’s disputed high bill.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does not limit the establishment of a prima facie case to the above two elements alone.  Rather,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See </w:t>
      </w:r>
      <w:proofErr w:type="spellStart"/>
      <w:r w:rsidRPr="00B0742D">
        <w:rPr>
          <w:rFonts w:ascii="Times New Roman" w:eastAsia="Calibri" w:hAnsi="Times New Roman" w:cs="Times New Roman"/>
          <w:i/>
          <w:iCs/>
          <w:sz w:val="24"/>
          <w:szCs w:val="24"/>
        </w:rPr>
        <w:t>Charisse</w:t>
      </w:r>
      <w:proofErr w:type="spellEnd"/>
      <w:r w:rsidRPr="00B0742D">
        <w:rPr>
          <w:rFonts w:ascii="Times New Roman" w:eastAsia="Calibri" w:hAnsi="Times New Roman" w:cs="Times New Roman"/>
          <w:i/>
          <w:iCs/>
          <w:sz w:val="24"/>
          <w:szCs w:val="24"/>
        </w:rPr>
        <w:t xml:space="preserve"> Bennett v. Peoples Natural Gas Co.</w:t>
      </w:r>
      <w:r w:rsidRPr="00B0742D">
        <w:rPr>
          <w:rFonts w:ascii="Times New Roman" w:eastAsia="Calibri" w:hAnsi="Times New Roman" w:cs="Times New Roman"/>
          <w:sz w:val="24"/>
          <w:szCs w:val="24"/>
        </w:rPr>
        <w:t xml:space="preserve">, Docket No. C-2009-2122979 (Order entered October 13, 2010); </w:t>
      </w:r>
      <w:r w:rsidRPr="00B0742D">
        <w:rPr>
          <w:rFonts w:ascii="Times New Roman" w:eastAsia="Calibri" w:hAnsi="Times New Roman" w:cs="Times New Roman"/>
          <w:i/>
          <w:iCs/>
          <w:sz w:val="24"/>
          <w:szCs w:val="24"/>
        </w:rPr>
        <w:t>Thomas v. PECO Energy Company</w:t>
      </w:r>
      <w:r w:rsidRPr="00B0742D">
        <w:rPr>
          <w:rFonts w:ascii="Times New Roman" w:eastAsia="Calibri" w:hAnsi="Times New Roman" w:cs="Times New Roman"/>
          <w:sz w:val="24"/>
          <w:szCs w:val="24"/>
        </w:rPr>
        <w:t>, Docket No. C-2010-2187197 (Order entered November 15, 2011).</w:t>
      </w:r>
    </w:p>
    <w:p w:rsidR="00175863" w:rsidRPr="00B0742D" w:rsidRDefault="00175863" w:rsidP="00175863">
      <w:pPr>
        <w:spacing w:after="0" w:line="360" w:lineRule="auto"/>
        <w:ind w:firstLine="1440"/>
        <w:rPr>
          <w:rFonts w:ascii="Times New Roman" w:eastAsia="Calibri" w:hAnsi="Times New Roman" w:cs="Times New Roman"/>
          <w:sz w:val="24"/>
          <w:szCs w:val="24"/>
        </w:rPr>
      </w:pPr>
    </w:p>
    <w:p w:rsidR="00175863" w:rsidRPr="00B0742D" w:rsidRDefault="00175863" w:rsidP="00175863">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Thus, a complainant in a high bill case has the opportunity to present any other relevant evidence which, if sufficient to establish a prima facie case, can be used to sustain the burden of proof.  There is no specific requirement as to what particular facts the complainant must offer.  This will likely vary from case to case.  In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for example, the complainant did not provide a comparison of prior billing, but asserted that the apartment was uninhabited during the billing period in question and that the only operating appliances were a clock and a refrigerator; that two air conditioners were disconnected; and that, even if the latter had been connected, the complainant could not possibly have used the energy reflected in the billing.  The Commission remanded the complaint in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reasoning that, had the record been properly developed, those facts may have established a prima facie high bill case, and then the Company would have had to introduce evidence to overcome the prima facie case.  </w:t>
      </w:r>
      <w:proofErr w:type="gramStart"/>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at 101.</w:t>
      </w:r>
      <w:proofErr w:type="gramEnd"/>
      <w:r w:rsidRPr="00B0742D">
        <w:rPr>
          <w:rFonts w:ascii="Times New Roman" w:eastAsia="Calibri" w:hAnsi="Times New Roman" w:cs="Times New Roman"/>
          <w:sz w:val="24"/>
          <w:szCs w:val="24"/>
        </w:rPr>
        <w:t xml:space="preserve"> Therefore, to establish a prima facie case under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p>
    <w:p w:rsidR="00175863" w:rsidRPr="00B0742D" w:rsidRDefault="00175863" w:rsidP="00175863">
      <w:pPr>
        <w:spacing w:after="0" w:line="360" w:lineRule="auto"/>
        <w:ind w:firstLine="1440"/>
        <w:rPr>
          <w:rFonts w:ascii="Times New Roman" w:eastAsia="Calibri" w:hAnsi="Times New Roman" w:cs="Times New Roman"/>
          <w:sz w:val="24"/>
          <w:szCs w:val="24"/>
        </w:rPr>
      </w:pPr>
    </w:p>
    <w:p w:rsidR="00175863" w:rsidRPr="00B0742D" w:rsidRDefault="00175863" w:rsidP="00411041">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As set forth in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evidence proffered by a utility relating to the accuracy of a meter test alone, in response to a high bill complaint, is not conclusive evidence and would not, by itself, require a finding against a complainant and in favor of a company.  </w:t>
      </w:r>
      <w:r w:rsidRPr="00B0742D">
        <w:rPr>
          <w:rFonts w:ascii="Times New Roman" w:eastAsia="Calibri" w:hAnsi="Times New Roman" w:cs="Times New Roman"/>
          <w:i/>
          <w:sz w:val="24"/>
          <w:szCs w:val="24"/>
        </w:rPr>
        <w:t>Id.</w:t>
      </w:r>
      <w:r w:rsidRPr="00B0742D">
        <w:rPr>
          <w:rFonts w:ascii="Times New Roman" w:eastAsia="Calibri" w:hAnsi="Times New Roman" w:cs="Times New Roman"/>
          <w:sz w:val="24"/>
          <w:szCs w:val="24"/>
        </w:rPr>
        <w:t xml:space="preserve">  In other words, evidence of a meter test showing that the meter worked within the acceptable degree of accuracy can be overcome with circumstantial evidence that otherwise indicates that a bill was too high.</w:t>
      </w:r>
    </w:p>
    <w:p w:rsidR="00175863" w:rsidRPr="00262E9E" w:rsidRDefault="00175863" w:rsidP="00411041">
      <w:pPr>
        <w:spacing w:after="0" w:line="360" w:lineRule="auto"/>
        <w:rPr>
          <w:rFonts w:ascii="Times New Roman" w:eastAsia="Times New Roman" w:hAnsi="Times New Roman" w:cs="Times New Roman"/>
          <w:sz w:val="24"/>
          <w:szCs w:val="24"/>
        </w:rPr>
      </w:pPr>
    </w:p>
    <w:p w:rsidR="00195424" w:rsidRDefault="00175863" w:rsidP="00411041">
      <w:pPr>
        <w:spacing w:after="0" w:line="360" w:lineRule="auto"/>
        <w:ind w:firstLine="1440"/>
        <w:rPr>
          <w:rFonts w:ascii="Times New Roman" w:eastAsia="Times New Roman" w:hAnsi="Times New Roman" w:cs="Times New Roman"/>
          <w:sz w:val="24"/>
          <w:szCs w:val="24"/>
        </w:rPr>
      </w:pPr>
      <w:r w:rsidRPr="00262E9E">
        <w:rPr>
          <w:rFonts w:ascii="Times New Roman" w:eastAsia="Times New Roman" w:hAnsi="Times New Roman" w:cs="Times New Roman"/>
          <w:sz w:val="24"/>
          <w:szCs w:val="24"/>
        </w:rPr>
        <w:t xml:space="preserve">At the hearing, Ms. </w:t>
      </w:r>
      <w:r w:rsidR="00856BE3">
        <w:rPr>
          <w:rFonts w:ascii="Times New Roman" w:eastAsia="Times New Roman" w:hAnsi="Times New Roman" w:cs="Times New Roman"/>
          <w:sz w:val="24"/>
          <w:szCs w:val="24"/>
        </w:rPr>
        <w:t>Morris</w:t>
      </w:r>
      <w:r>
        <w:rPr>
          <w:rFonts w:ascii="Times New Roman" w:eastAsia="Times New Roman" w:hAnsi="Times New Roman" w:cs="Times New Roman"/>
          <w:sz w:val="24"/>
          <w:szCs w:val="24"/>
        </w:rPr>
        <w:t xml:space="preserve"> testified</w:t>
      </w:r>
      <w:r w:rsidR="00856BE3">
        <w:rPr>
          <w:rFonts w:ascii="Times New Roman" w:eastAsia="Times New Roman" w:hAnsi="Times New Roman" w:cs="Times New Roman"/>
          <w:sz w:val="24"/>
          <w:szCs w:val="24"/>
        </w:rPr>
        <w:t xml:space="preserve"> that she believed her gas bills to be estimated by PGW and not based on actual meter readings.  </w:t>
      </w:r>
      <w:proofErr w:type="gramStart"/>
      <w:r w:rsidR="00856BE3">
        <w:rPr>
          <w:rFonts w:ascii="Times New Roman" w:eastAsia="Times New Roman" w:hAnsi="Times New Roman" w:cs="Times New Roman"/>
          <w:sz w:val="24"/>
          <w:szCs w:val="24"/>
        </w:rPr>
        <w:t>Tr. 21.</w:t>
      </w:r>
      <w:proofErr w:type="gramEnd"/>
      <w:r w:rsidR="00856BE3">
        <w:rPr>
          <w:rFonts w:ascii="Times New Roman" w:eastAsia="Times New Roman" w:hAnsi="Times New Roman" w:cs="Times New Roman"/>
          <w:sz w:val="24"/>
          <w:szCs w:val="24"/>
        </w:rPr>
        <w:t xml:space="preserve"> She explained that she did not believe that her household consumed the amount of gas </w:t>
      </w:r>
      <w:r w:rsidR="00A2380C">
        <w:rPr>
          <w:rFonts w:ascii="Times New Roman" w:eastAsia="Times New Roman" w:hAnsi="Times New Roman" w:cs="Times New Roman"/>
          <w:sz w:val="24"/>
          <w:szCs w:val="24"/>
        </w:rPr>
        <w:t xml:space="preserve">for which </w:t>
      </w:r>
      <w:r w:rsidR="00856BE3">
        <w:rPr>
          <w:rFonts w:ascii="Times New Roman" w:eastAsia="Times New Roman" w:hAnsi="Times New Roman" w:cs="Times New Roman"/>
          <w:sz w:val="24"/>
          <w:szCs w:val="24"/>
        </w:rPr>
        <w:t>she was being charged</w:t>
      </w:r>
      <w:r w:rsidR="00A2380C">
        <w:rPr>
          <w:rFonts w:ascii="Times New Roman" w:eastAsia="Times New Roman" w:hAnsi="Times New Roman" w:cs="Times New Roman"/>
          <w:sz w:val="24"/>
          <w:szCs w:val="24"/>
        </w:rPr>
        <w:t xml:space="preserve">, and based that conclusion on the fact that her recent gas bills are higher than the ones she received a few years ago.  </w:t>
      </w:r>
      <w:proofErr w:type="gramStart"/>
      <w:r w:rsidR="00A2380C">
        <w:rPr>
          <w:rFonts w:ascii="Times New Roman" w:eastAsia="Times New Roman" w:hAnsi="Times New Roman" w:cs="Times New Roman"/>
          <w:sz w:val="24"/>
          <w:szCs w:val="24"/>
        </w:rPr>
        <w:t>Tr. 21, 26.</w:t>
      </w:r>
      <w:proofErr w:type="gramEnd"/>
      <w:r w:rsidR="00A2380C">
        <w:rPr>
          <w:rFonts w:ascii="Times New Roman" w:eastAsia="Times New Roman" w:hAnsi="Times New Roman" w:cs="Times New Roman"/>
          <w:sz w:val="24"/>
          <w:szCs w:val="24"/>
        </w:rPr>
        <w:t xml:space="preserve">  According to the Complainant, her gas bills “were no more than a hundred dollars, and now they are coming in over $300.00 more.”  </w:t>
      </w:r>
      <w:proofErr w:type="gramStart"/>
      <w:r w:rsidR="00A2380C">
        <w:rPr>
          <w:rFonts w:ascii="Times New Roman" w:eastAsia="Times New Roman" w:hAnsi="Times New Roman" w:cs="Times New Roman"/>
          <w:sz w:val="24"/>
          <w:szCs w:val="24"/>
        </w:rPr>
        <w:t>Tr. 22.</w:t>
      </w:r>
      <w:proofErr w:type="gramEnd"/>
      <w:r w:rsidR="00A2380C">
        <w:rPr>
          <w:rFonts w:ascii="Times New Roman" w:eastAsia="Times New Roman" w:hAnsi="Times New Roman" w:cs="Times New Roman"/>
          <w:sz w:val="24"/>
          <w:szCs w:val="24"/>
        </w:rPr>
        <w:t xml:space="preserve">  Her gas bills for the winter months are over $600.00</w:t>
      </w:r>
      <w:r w:rsidR="005C3641">
        <w:rPr>
          <w:rFonts w:ascii="Times New Roman" w:eastAsia="Times New Roman" w:hAnsi="Times New Roman" w:cs="Times New Roman"/>
          <w:sz w:val="24"/>
          <w:szCs w:val="24"/>
        </w:rPr>
        <w:t xml:space="preserve"> per month</w:t>
      </w:r>
      <w:r w:rsidR="00A2380C">
        <w:rPr>
          <w:rFonts w:ascii="Times New Roman" w:eastAsia="Times New Roman" w:hAnsi="Times New Roman" w:cs="Times New Roman"/>
          <w:sz w:val="24"/>
          <w:szCs w:val="24"/>
        </w:rPr>
        <w:t xml:space="preserve">, while </w:t>
      </w:r>
      <w:r w:rsidR="005C3641">
        <w:rPr>
          <w:rFonts w:ascii="Times New Roman" w:eastAsia="Times New Roman" w:hAnsi="Times New Roman" w:cs="Times New Roman"/>
          <w:sz w:val="24"/>
          <w:szCs w:val="24"/>
        </w:rPr>
        <w:t xml:space="preserve">before </w:t>
      </w:r>
      <w:r w:rsidR="00A2380C">
        <w:rPr>
          <w:rFonts w:ascii="Times New Roman" w:eastAsia="Times New Roman" w:hAnsi="Times New Roman" w:cs="Times New Roman"/>
          <w:sz w:val="24"/>
          <w:szCs w:val="24"/>
        </w:rPr>
        <w:t>they did not exceed $200.00</w:t>
      </w:r>
      <w:r w:rsidR="005C3641">
        <w:rPr>
          <w:rFonts w:ascii="Times New Roman" w:eastAsia="Times New Roman" w:hAnsi="Times New Roman" w:cs="Times New Roman"/>
          <w:sz w:val="24"/>
          <w:szCs w:val="24"/>
        </w:rPr>
        <w:t xml:space="preserve"> per month</w:t>
      </w:r>
      <w:r w:rsidR="00A2380C">
        <w:rPr>
          <w:rFonts w:ascii="Times New Roman" w:eastAsia="Times New Roman" w:hAnsi="Times New Roman" w:cs="Times New Roman"/>
          <w:sz w:val="24"/>
          <w:szCs w:val="24"/>
        </w:rPr>
        <w:t xml:space="preserve">.  </w:t>
      </w:r>
      <w:proofErr w:type="gramStart"/>
      <w:r w:rsidR="00A2380C">
        <w:rPr>
          <w:rFonts w:ascii="Times New Roman" w:eastAsia="Times New Roman" w:hAnsi="Times New Roman" w:cs="Times New Roman"/>
          <w:sz w:val="24"/>
          <w:szCs w:val="24"/>
        </w:rPr>
        <w:t>Tr. 22.</w:t>
      </w:r>
      <w:proofErr w:type="gramEnd"/>
    </w:p>
    <w:p w:rsidR="00A2380C" w:rsidRDefault="00A2380C" w:rsidP="00411041">
      <w:pPr>
        <w:spacing w:after="0" w:line="360" w:lineRule="auto"/>
        <w:ind w:firstLine="1440"/>
        <w:rPr>
          <w:rFonts w:ascii="Times New Roman" w:eastAsia="Times New Roman" w:hAnsi="Times New Roman" w:cs="Times New Roman"/>
          <w:sz w:val="24"/>
          <w:szCs w:val="24"/>
        </w:rPr>
      </w:pPr>
    </w:p>
    <w:p w:rsidR="00306E92" w:rsidRDefault="00A2380C" w:rsidP="004110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w:t>
      </w:r>
      <w:r w:rsidR="00850B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she testified that</w:t>
      </w:r>
      <w:r w:rsidR="00D907CC">
        <w:rPr>
          <w:rFonts w:ascii="Times New Roman" w:eastAsia="Times New Roman" w:hAnsi="Times New Roman" w:cs="Times New Roman"/>
          <w:sz w:val="24"/>
          <w:szCs w:val="24"/>
        </w:rPr>
        <w:t xml:space="preserve"> she resides at the Service Address along with her husband and her three children. Tr. 27-28.  T</w:t>
      </w:r>
      <w:r>
        <w:rPr>
          <w:rFonts w:ascii="Times New Roman" w:eastAsia="Times New Roman" w:hAnsi="Times New Roman" w:cs="Times New Roman"/>
          <w:sz w:val="24"/>
          <w:szCs w:val="24"/>
        </w:rPr>
        <w:t>he Service Address consists of four floors, including the basement.  There are three rooms on the first floor, three</w:t>
      </w:r>
      <w:r w:rsidR="00850BF0">
        <w:rPr>
          <w:rFonts w:ascii="Times New Roman" w:eastAsia="Times New Roman" w:hAnsi="Times New Roman" w:cs="Times New Roman"/>
          <w:sz w:val="24"/>
          <w:szCs w:val="24"/>
        </w:rPr>
        <w:t xml:space="preserve"> rooms</w:t>
      </w:r>
      <w:r>
        <w:rPr>
          <w:rFonts w:ascii="Times New Roman" w:eastAsia="Times New Roman" w:hAnsi="Times New Roman" w:cs="Times New Roman"/>
          <w:sz w:val="24"/>
          <w:szCs w:val="24"/>
        </w:rPr>
        <w:t xml:space="preserve"> on the second floor and two rooms on the third floor.  The Service Address has two bathrooms.  Tr. 26-27.  The Complainant testified that, as of the day of the hearing, she had a gas heater, and a gas water heater.  </w:t>
      </w:r>
      <w:proofErr w:type="gramStart"/>
      <w:r w:rsidR="00D907CC">
        <w:rPr>
          <w:rFonts w:ascii="Times New Roman" w:eastAsia="Times New Roman" w:hAnsi="Times New Roman" w:cs="Times New Roman"/>
          <w:sz w:val="24"/>
          <w:szCs w:val="24"/>
        </w:rPr>
        <w:t>Tr. 28.</w:t>
      </w:r>
      <w:proofErr w:type="gramEnd"/>
      <w:r w:rsidR="00D907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She </w:t>
      </w:r>
      <w:r w:rsidR="00D907CC">
        <w:rPr>
          <w:rFonts w:ascii="Times New Roman" w:eastAsia="Times New Roman" w:hAnsi="Times New Roman" w:cs="Times New Roman"/>
          <w:sz w:val="24"/>
          <w:szCs w:val="24"/>
        </w:rPr>
        <w:t xml:space="preserve">had not used her gas stove in a year.  </w:t>
      </w:r>
      <w:proofErr w:type="gramStart"/>
      <w:r w:rsidR="00D907CC">
        <w:rPr>
          <w:rFonts w:ascii="Times New Roman" w:eastAsia="Times New Roman" w:hAnsi="Times New Roman" w:cs="Times New Roman"/>
          <w:sz w:val="24"/>
          <w:szCs w:val="24"/>
        </w:rPr>
        <w:t>Tr. 27.</w:t>
      </w:r>
      <w:proofErr w:type="gramEnd"/>
    </w:p>
    <w:p w:rsidR="00306E92" w:rsidRDefault="00306E92" w:rsidP="00411041">
      <w:pPr>
        <w:spacing w:after="0" w:line="360" w:lineRule="auto"/>
        <w:ind w:firstLine="1440"/>
        <w:rPr>
          <w:rFonts w:ascii="Times New Roman" w:eastAsia="Times New Roman" w:hAnsi="Times New Roman" w:cs="Times New Roman"/>
          <w:sz w:val="24"/>
          <w:szCs w:val="24"/>
        </w:rPr>
      </w:pPr>
    </w:p>
    <w:p w:rsidR="00850BF0" w:rsidRDefault="004614CF" w:rsidP="004110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Ms. Morris’ testimony, PGW’</w:t>
      </w:r>
      <w:r w:rsidR="00000428">
        <w:rPr>
          <w:rFonts w:ascii="Times New Roman" w:eastAsia="Times New Roman" w:hAnsi="Times New Roman" w:cs="Times New Roman"/>
          <w:sz w:val="24"/>
          <w:szCs w:val="24"/>
        </w:rPr>
        <w:t xml:space="preserve">s witness, Ms. </w:t>
      </w:r>
      <w:proofErr w:type="spellStart"/>
      <w:r w:rsidR="00000428">
        <w:rPr>
          <w:rFonts w:ascii="Times New Roman" w:eastAsia="Times New Roman" w:hAnsi="Times New Roman" w:cs="Times New Roman"/>
          <w:sz w:val="24"/>
          <w:szCs w:val="24"/>
        </w:rPr>
        <w:t>Vacca</w:t>
      </w:r>
      <w:proofErr w:type="spellEnd"/>
      <w:r w:rsidR="00000428">
        <w:rPr>
          <w:rFonts w:ascii="Times New Roman" w:eastAsia="Times New Roman" w:hAnsi="Times New Roman" w:cs="Times New Roman"/>
          <w:sz w:val="24"/>
          <w:szCs w:val="24"/>
        </w:rPr>
        <w:t xml:space="preserve"> testified that the meter currently serving the Service Address (</w:t>
      </w:r>
      <w:r w:rsidR="00306E92" w:rsidRPr="00306E92">
        <w:rPr>
          <w:rFonts w:ascii="Times New Roman" w:eastAsia="Times New Roman" w:hAnsi="Times New Roman" w:cs="Times New Roman"/>
          <w:sz w:val="24"/>
          <w:szCs w:val="24"/>
        </w:rPr>
        <w:t>Meter # 1442559</w:t>
      </w:r>
      <w:r w:rsidR="00000428">
        <w:rPr>
          <w:rFonts w:ascii="Times New Roman" w:eastAsia="Times New Roman" w:hAnsi="Times New Roman" w:cs="Times New Roman"/>
          <w:sz w:val="24"/>
          <w:szCs w:val="24"/>
        </w:rPr>
        <w:t>)</w:t>
      </w:r>
      <w:r w:rsidR="00306E92" w:rsidRPr="00306E92">
        <w:rPr>
          <w:rFonts w:ascii="Times New Roman" w:eastAsia="Times New Roman" w:hAnsi="Times New Roman" w:cs="Times New Roman"/>
          <w:sz w:val="24"/>
          <w:szCs w:val="24"/>
        </w:rPr>
        <w:t xml:space="preserve"> was installed at the Service Address on or about June 15, 2012, replacing Meter # 1607487</w:t>
      </w:r>
      <w:r w:rsidR="00850BF0">
        <w:rPr>
          <w:rFonts w:ascii="Times New Roman" w:eastAsia="Times New Roman" w:hAnsi="Times New Roman" w:cs="Times New Roman"/>
          <w:sz w:val="24"/>
          <w:szCs w:val="24"/>
        </w:rPr>
        <w:t>,</w:t>
      </w:r>
      <w:r w:rsidR="00306E92" w:rsidRPr="00306E92">
        <w:rPr>
          <w:rFonts w:ascii="Times New Roman" w:eastAsia="Times New Roman" w:hAnsi="Times New Roman" w:cs="Times New Roman"/>
          <w:sz w:val="24"/>
          <w:szCs w:val="24"/>
        </w:rPr>
        <w:t xml:space="preserve"> which was removed by PGW due to its age.  </w:t>
      </w:r>
      <w:proofErr w:type="gramStart"/>
      <w:r w:rsidR="00E247DF">
        <w:rPr>
          <w:rFonts w:ascii="Times New Roman" w:eastAsia="Times New Roman" w:hAnsi="Times New Roman" w:cs="Times New Roman"/>
          <w:sz w:val="24"/>
          <w:szCs w:val="24"/>
        </w:rPr>
        <w:t xml:space="preserve">Tr. 39, </w:t>
      </w:r>
      <w:r w:rsidR="00306E92" w:rsidRPr="00306E92">
        <w:rPr>
          <w:rFonts w:ascii="Times New Roman" w:eastAsia="Times New Roman" w:hAnsi="Times New Roman" w:cs="Times New Roman"/>
          <w:sz w:val="24"/>
          <w:szCs w:val="24"/>
        </w:rPr>
        <w:t>PGW Exhibit 3.</w:t>
      </w:r>
      <w:proofErr w:type="gramEnd"/>
      <w:r w:rsidR="00000428">
        <w:rPr>
          <w:rFonts w:ascii="Times New Roman" w:eastAsia="Times New Roman" w:hAnsi="Times New Roman" w:cs="Times New Roman"/>
          <w:sz w:val="24"/>
          <w:szCs w:val="24"/>
        </w:rPr>
        <w:t xml:space="preserve">  She testified</w:t>
      </w:r>
      <w:r w:rsidR="00850BF0">
        <w:rPr>
          <w:rFonts w:ascii="Times New Roman" w:eastAsia="Times New Roman" w:hAnsi="Times New Roman" w:cs="Times New Roman"/>
          <w:sz w:val="24"/>
          <w:szCs w:val="24"/>
        </w:rPr>
        <w:t xml:space="preserve"> that</w:t>
      </w:r>
      <w:r w:rsidR="00000428">
        <w:rPr>
          <w:rFonts w:ascii="Times New Roman" w:eastAsia="Times New Roman" w:hAnsi="Times New Roman" w:cs="Times New Roman"/>
          <w:sz w:val="24"/>
          <w:szCs w:val="24"/>
        </w:rPr>
        <w:t xml:space="preserve"> Ms. Morris was not billed based on estimated readings</w:t>
      </w:r>
      <w:r w:rsidR="00000428" w:rsidRPr="00000428">
        <w:rPr>
          <w:rFonts w:ascii="Times New Roman" w:eastAsia="Times New Roman" w:hAnsi="Times New Roman" w:cs="Times New Roman"/>
          <w:sz w:val="24"/>
          <w:szCs w:val="24"/>
        </w:rPr>
        <w:t xml:space="preserve"> </w:t>
      </w:r>
      <w:r w:rsidR="00000428">
        <w:rPr>
          <w:rFonts w:ascii="Times New Roman" w:eastAsia="Times New Roman" w:hAnsi="Times New Roman" w:cs="Times New Roman"/>
          <w:sz w:val="24"/>
          <w:szCs w:val="24"/>
        </w:rPr>
        <w:t xml:space="preserve">but on actual readings from </w:t>
      </w:r>
      <w:r w:rsidR="00000428" w:rsidRPr="00306E92">
        <w:rPr>
          <w:rFonts w:ascii="Times New Roman" w:eastAsia="Times New Roman" w:hAnsi="Times New Roman" w:cs="Times New Roman"/>
          <w:sz w:val="24"/>
          <w:szCs w:val="24"/>
        </w:rPr>
        <w:t>Meter # 1442559</w:t>
      </w:r>
      <w:r w:rsidR="005C3641">
        <w:rPr>
          <w:rFonts w:ascii="Times New Roman" w:eastAsia="Times New Roman" w:hAnsi="Times New Roman" w:cs="Times New Roman"/>
          <w:sz w:val="24"/>
          <w:szCs w:val="24"/>
        </w:rPr>
        <w:t>,</w:t>
      </w:r>
      <w:r w:rsidR="005C3641" w:rsidRPr="005C3641">
        <w:rPr>
          <w:rFonts w:ascii="Times New Roman" w:eastAsia="Times New Roman" w:hAnsi="Times New Roman" w:cs="Times New Roman"/>
          <w:sz w:val="24"/>
          <w:szCs w:val="24"/>
        </w:rPr>
        <w:t xml:space="preserve"> </w:t>
      </w:r>
      <w:r w:rsidR="005C3641">
        <w:rPr>
          <w:rFonts w:ascii="Times New Roman" w:eastAsia="Times New Roman" w:hAnsi="Times New Roman" w:cs="Times New Roman"/>
          <w:sz w:val="24"/>
          <w:szCs w:val="24"/>
        </w:rPr>
        <w:t>and that the Complainant’s gas usage, was seasonal, with gas usage increasing and decreasing in step with Heating Degree Days</w:t>
      </w:r>
      <w:r w:rsidR="00000428">
        <w:rPr>
          <w:rFonts w:ascii="Times New Roman" w:eastAsia="Times New Roman" w:hAnsi="Times New Roman" w:cs="Times New Roman"/>
          <w:sz w:val="24"/>
          <w:szCs w:val="24"/>
        </w:rPr>
        <w:t xml:space="preserve">.  </w:t>
      </w:r>
      <w:proofErr w:type="gramStart"/>
      <w:r w:rsidR="00000428">
        <w:rPr>
          <w:rFonts w:ascii="Times New Roman" w:eastAsia="Times New Roman" w:hAnsi="Times New Roman" w:cs="Times New Roman"/>
          <w:sz w:val="24"/>
          <w:szCs w:val="24"/>
        </w:rPr>
        <w:t>Tr. 37</w:t>
      </w:r>
      <w:r w:rsidR="005C3641">
        <w:rPr>
          <w:rFonts w:ascii="Times New Roman" w:eastAsia="Times New Roman" w:hAnsi="Times New Roman" w:cs="Times New Roman"/>
          <w:sz w:val="24"/>
          <w:szCs w:val="24"/>
        </w:rPr>
        <w:t>, 38</w:t>
      </w:r>
      <w:r w:rsidR="00E247DF">
        <w:rPr>
          <w:rFonts w:ascii="Times New Roman" w:eastAsia="Times New Roman" w:hAnsi="Times New Roman" w:cs="Times New Roman"/>
          <w:sz w:val="24"/>
          <w:szCs w:val="24"/>
        </w:rPr>
        <w:t>.</w:t>
      </w:r>
      <w:proofErr w:type="gramEnd"/>
      <w:r w:rsidR="005C3641">
        <w:rPr>
          <w:rFonts w:ascii="Times New Roman" w:eastAsia="Times New Roman" w:hAnsi="Times New Roman" w:cs="Times New Roman"/>
          <w:sz w:val="24"/>
          <w:szCs w:val="24"/>
        </w:rPr>
        <w:t xml:space="preserve"> </w:t>
      </w:r>
    </w:p>
    <w:p w:rsidR="009D3DBC" w:rsidRDefault="005C3641" w:rsidP="004110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6E92" w:rsidRDefault="005C3641" w:rsidP="0041104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Ms. </w:t>
      </w:r>
      <w:proofErr w:type="spellStart"/>
      <w:r>
        <w:rPr>
          <w:rFonts w:ascii="Times New Roman" w:eastAsia="Times New Roman" w:hAnsi="Times New Roman" w:cs="Times New Roman"/>
          <w:sz w:val="24"/>
          <w:szCs w:val="24"/>
        </w:rPr>
        <w:t>Vacca</w:t>
      </w:r>
      <w:proofErr w:type="spellEnd"/>
      <w:r>
        <w:rPr>
          <w:rFonts w:ascii="Times New Roman" w:eastAsia="Times New Roman" w:hAnsi="Times New Roman" w:cs="Times New Roman"/>
          <w:sz w:val="24"/>
          <w:szCs w:val="24"/>
        </w:rPr>
        <w:t xml:space="preserve"> </w:t>
      </w:r>
      <w:r w:rsidR="00E247DF">
        <w:rPr>
          <w:rFonts w:ascii="Times New Roman" w:eastAsia="Times New Roman" w:hAnsi="Times New Roman" w:cs="Times New Roman"/>
          <w:sz w:val="24"/>
          <w:szCs w:val="24"/>
        </w:rPr>
        <w:t>testified that</w:t>
      </w:r>
      <w:r w:rsidR="00000428">
        <w:rPr>
          <w:rFonts w:ascii="Times New Roman" w:eastAsia="Times New Roman" w:hAnsi="Times New Roman" w:cs="Times New Roman"/>
          <w:sz w:val="24"/>
          <w:szCs w:val="24"/>
        </w:rPr>
        <w:t xml:space="preserve"> information kept by the City of </w:t>
      </w:r>
      <w:r w:rsidR="00E247DF">
        <w:rPr>
          <w:rFonts w:ascii="Times New Roman" w:eastAsia="Times New Roman" w:hAnsi="Times New Roman" w:cs="Times New Roman"/>
          <w:sz w:val="24"/>
          <w:szCs w:val="24"/>
        </w:rPr>
        <w:t>Philadelphia</w:t>
      </w:r>
      <w:r w:rsidR="00000428">
        <w:rPr>
          <w:rFonts w:ascii="Times New Roman" w:eastAsia="Times New Roman" w:hAnsi="Times New Roman" w:cs="Times New Roman"/>
          <w:sz w:val="24"/>
          <w:szCs w:val="24"/>
        </w:rPr>
        <w:t xml:space="preserve"> Bureau of Revision of Taxes (BRT) </w:t>
      </w:r>
      <w:r w:rsidR="00E247DF">
        <w:rPr>
          <w:rFonts w:ascii="Times New Roman" w:eastAsia="Times New Roman" w:hAnsi="Times New Roman" w:cs="Times New Roman"/>
          <w:sz w:val="24"/>
          <w:szCs w:val="24"/>
        </w:rPr>
        <w:t>indicates that the Service Address has a square footage of 2,676, and that the PGW technician who visited the Service Address to change the meter in June of 2012 had found the following operational appliances in the property: a 260,000 BTU gas heater, a 40,000 BTU gas water heater, and a 65,000 BTU gas range.  Tr. 37-39.</w:t>
      </w:r>
    </w:p>
    <w:p w:rsidR="00411041" w:rsidRDefault="00411041" w:rsidP="00411041">
      <w:pPr>
        <w:spacing w:after="0" w:line="360" w:lineRule="auto"/>
        <w:ind w:firstLine="1440"/>
        <w:rPr>
          <w:rFonts w:ascii="Times New Roman" w:eastAsia="Times New Roman" w:hAnsi="Times New Roman" w:cs="Times New Roman"/>
          <w:sz w:val="24"/>
          <w:szCs w:val="24"/>
        </w:rPr>
      </w:pPr>
    </w:p>
    <w:p w:rsidR="005C3641" w:rsidRDefault="005C3641" w:rsidP="002337A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Elijah stated that the square footage for the Service Address mentioned in Ms. </w:t>
      </w:r>
      <w:proofErr w:type="spellStart"/>
      <w:r>
        <w:rPr>
          <w:rFonts w:ascii="Times New Roman" w:eastAsia="Times New Roman" w:hAnsi="Times New Roman" w:cs="Times New Roman"/>
          <w:sz w:val="24"/>
          <w:szCs w:val="24"/>
        </w:rPr>
        <w:t>Vacca’s</w:t>
      </w:r>
      <w:proofErr w:type="spellEnd"/>
      <w:r>
        <w:rPr>
          <w:rFonts w:ascii="Times New Roman" w:eastAsia="Times New Roman" w:hAnsi="Times New Roman" w:cs="Times New Roman"/>
          <w:sz w:val="24"/>
          <w:szCs w:val="24"/>
        </w:rPr>
        <w:t xml:space="preserve"> testimony was incorrect, but he did not explain why</w:t>
      </w:r>
      <w:r w:rsidR="00850B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nor did he provide different numbers for the property’s square footage.  </w:t>
      </w:r>
      <w:r w:rsidR="003D6B68">
        <w:rPr>
          <w:rFonts w:ascii="Times New Roman" w:eastAsia="Times New Roman" w:hAnsi="Times New Roman" w:cs="Times New Roman"/>
          <w:sz w:val="24"/>
          <w:szCs w:val="24"/>
        </w:rPr>
        <w:t xml:space="preserve">Tr. 37-38. </w:t>
      </w:r>
      <w:r>
        <w:rPr>
          <w:rFonts w:ascii="Times New Roman" w:eastAsia="Times New Roman" w:hAnsi="Times New Roman" w:cs="Times New Roman"/>
          <w:sz w:val="24"/>
          <w:szCs w:val="24"/>
        </w:rPr>
        <w:t xml:space="preserve"> Mr. Elijah challenged the information </w:t>
      </w:r>
      <w:r w:rsidR="00850BF0">
        <w:rPr>
          <w:rFonts w:ascii="Times New Roman" w:eastAsia="Times New Roman" w:hAnsi="Times New Roman" w:cs="Times New Roman"/>
          <w:sz w:val="24"/>
          <w:szCs w:val="24"/>
        </w:rPr>
        <w:t>listed by the field</w:t>
      </w:r>
      <w:r w:rsidR="00411041">
        <w:rPr>
          <w:rFonts w:ascii="Times New Roman" w:eastAsia="Times New Roman" w:hAnsi="Times New Roman" w:cs="Times New Roman"/>
          <w:sz w:val="24"/>
          <w:szCs w:val="24"/>
        </w:rPr>
        <w:t xml:space="preserve"> technician with regard to the gas range, but admitted that the technician had been alone in the basement where the other two gas appliances were located.  Tr. 46-47.</w:t>
      </w:r>
    </w:p>
    <w:p w:rsidR="002337A8" w:rsidRDefault="002337A8" w:rsidP="002337A8">
      <w:pPr>
        <w:spacing w:after="0" w:line="360" w:lineRule="auto"/>
        <w:ind w:firstLine="1440"/>
        <w:rPr>
          <w:rFonts w:ascii="Times New Roman" w:eastAsia="Times New Roman" w:hAnsi="Times New Roman" w:cs="Times New Roman"/>
          <w:sz w:val="24"/>
          <w:szCs w:val="24"/>
        </w:rPr>
      </w:pPr>
    </w:p>
    <w:p w:rsidR="00411041" w:rsidRDefault="002337A8" w:rsidP="002337A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FF370D">
        <w:rPr>
          <w:rFonts w:ascii="Times New Roman" w:eastAsia="Times New Roman" w:hAnsi="Times New Roman" w:cs="Times New Roman"/>
          <w:sz w:val="24"/>
          <w:szCs w:val="24"/>
        </w:rPr>
        <w:t>ursuant to my instructions</w:t>
      </w:r>
      <w:r>
        <w:rPr>
          <w:rFonts w:ascii="Times New Roman" w:eastAsia="Times New Roman" w:hAnsi="Times New Roman" w:cs="Times New Roman"/>
          <w:sz w:val="24"/>
          <w:szCs w:val="24"/>
        </w:rPr>
        <w:t xml:space="preserve"> during the evidentiary hearing, </w:t>
      </w:r>
      <w:r w:rsidR="00FF370D" w:rsidRPr="00FF370D">
        <w:rPr>
          <w:rFonts w:ascii="Times New Roman" w:eastAsia="Times New Roman" w:hAnsi="Times New Roman" w:cs="Times New Roman"/>
          <w:sz w:val="24"/>
          <w:szCs w:val="24"/>
        </w:rPr>
        <w:t>PGW removed the meter serving the Service Add</w:t>
      </w:r>
      <w:r>
        <w:rPr>
          <w:rFonts w:ascii="Times New Roman" w:eastAsia="Times New Roman" w:hAnsi="Times New Roman" w:cs="Times New Roman"/>
          <w:sz w:val="24"/>
          <w:szCs w:val="24"/>
        </w:rPr>
        <w:t>ress (Meter # 1442559)</w:t>
      </w:r>
      <w:r w:rsidR="00FF370D" w:rsidRPr="00FF37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FF370D">
        <w:rPr>
          <w:rFonts w:ascii="Times New Roman" w:eastAsia="Times New Roman" w:hAnsi="Times New Roman" w:cs="Times New Roman"/>
          <w:sz w:val="24"/>
          <w:szCs w:val="24"/>
        </w:rPr>
        <w:t xml:space="preserve">tested </w:t>
      </w:r>
      <w:r>
        <w:rPr>
          <w:rFonts w:ascii="Times New Roman" w:eastAsia="Times New Roman" w:hAnsi="Times New Roman" w:cs="Times New Roman"/>
          <w:sz w:val="24"/>
          <w:szCs w:val="24"/>
        </w:rPr>
        <w:t xml:space="preserve">it </w:t>
      </w:r>
      <w:r w:rsidRPr="00FF370D">
        <w:rPr>
          <w:rFonts w:ascii="Times New Roman" w:eastAsia="Times New Roman" w:hAnsi="Times New Roman" w:cs="Times New Roman"/>
          <w:sz w:val="24"/>
          <w:szCs w:val="24"/>
        </w:rPr>
        <w:t>for accuracy on July 18, 2014</w:t>
      </w:r>
      <w:r>
        <w:rPr>
          <w:rFonts w:ascii="Times New Roman" w:eastAsia="Times New Roman" w:hAnsi="Times New Roman" w:cs="Times New Roman"/>
          <w:sz w:val="24"/>
          <w:szCs w:val="24"/>
        </w:rPr>
        <w:t xml:space="preserve">.  </w:t>
      </w:r>
      <w:r w:rsidR="00FF370D" w:rsidRPr="00FF370D">
        <w:rPr>
          <w:rFonts w:ascii="Times New Roman" w:eastAsia="Times New Roman" w:hAnsi="Times New Roman" w:cs="Times New Roman"/>
          <w:sz w:val="24"/>
          <w:szCs w:val="24"/>
        </w:rPr>
        <w:t xml:space="preserve">The tests indicated that Meter # 1442559 was 98.6% accurate and within the 2% margin of error allowed by the Commission’s regulation at 52 Pa.Code § 59.22.  </w:t>
      </w:r>
    </w:p>
    <w:p w:rsidR="002337A8" w:rsidRDefault="002337A8" w:rsidP="002337A8">
      <w:pPr>
        <w:spacing w:after="0" w:line="360" w:lineRule="auto"/>
        <w:ind w:firstLine="1440"/>
        <w:rPr>
          <w:rFonts w:ascii="Times New Roman" w:eastAsia="Times New Roman" w:hAnsi="Times New Roman" w:cs="Times New Roman"/>
          <w:sz w:val="24"/>
          <w:szCs w:val="24"/>
        </w:rPr>
      </w:pPr>
    </w:p>
    <w:p w:rsidR="00411041" w:rsidRDefault="00411041" w:rsidP="002337A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Ms. Morris’ gas consumption</w:t>
      </w:r>
      <w:r w:rsidR="00FF370D">
        <w:rPr>
          <w:rFonts w:ascii="Times New Roman" w:eastAsia="Times New Roman" w:hAnsi="Times New Roman" w:cs="Times New Roman"/>
          <w:sz w:val="24"/>
          <w:szCs w:val="24"/>
        </w:rPr>
        <w:t xml:space="preserve"> and billing</w:t>
      </w:r>
      <w:r>
        <w:rPr>
          <w:rFonts w:ascii="Times New Roman" w:eastAsia="Times New Roman" w:hAnsi="Times New Roman" w:cs="Times New Roman"/>
          <w:sz w:val="24"/>
          <w:szCs w:val="24"/>
        </w:rPr>
        <w:t xml:space="preserve"> history from the day of the new meter installation </w:t>
      </w:r>
      <w:r w:rsidR="00C357D5">
        <w:rPr>
          <w:rFonts w:ascii="Times New Roman" w:eastAsia="Times New Roman" w:hAnsi="Times New Roman" w:cs="Times New Roman"/>
          <w:sz w:val="24"/>
          <w:szCs w:val="24"/>
        </w:rPr>
        <w:t xml:space="preserve">(June 15, 2012) </w:t>
      </w:r>
      <w:r>
        <w:rPr>
          <w:rFonts w:ascii="Times New Roman" w:eastAsia="Times New Roman" w:hAnsi="Times New Roman" w:cs="Times New Roman"/>
          <w:sz w:val="24"/>
          <w:szCs w:val="24"/>
        </w:rPr>
        <w:t>to the day of the hearing in the present Complaint</w:t>
      </w:r>
      <w:r w:rsidR="00C357D5">
        <w:rPr>
          <w:rFonts w:ascii="Times New Roman" w:eastAsia="Times New Roman" w:hAnsi="Times New Roman" w:cs="Times New Roman"/>
          <w:sz w:val="24"/>
          <w:szCs w:val="24"/>
        </w:rPr>
        <w:t xml:space="preserve"> (July 1, 2014)</w:t>
      </w:r>
      <w:r>
        <w:rPr>
          <w:rFonts w:ascii="Times New Roman" w:eastAsia="Times New Roman" w:hAnsi="Times New Roman" w:cs="Times New Roman"/>
          <w:sz w:val="24"/>
          <w:szCs w:val="24"/>
        </w:rPr>
        <w:t xml:space="preserve"> is as follows:</w:t>
      </w:r>
    </w:p>
    <w:p w:rsidR="00411041" w:rsidRDefault="00411041" w:rsidP="00411041">
      <w:pPr>
        <w:ind w:firstLine="144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262"/>
        <w:gridCol w:w="678"/>
        <w:gridCol w:w="761"/>
        <w:gridCol w:w="1057"/>
        <w:gridCol w:w="734"/>
        <w:gridCol w:w="770"/>
        <w:gridCol w:w="1286"/>
        <w:gridCol w:w="670"/>
        <w:gridCol w:w="1080"/>
        <w:gridCol w:w="1278"/>
      </w:tblGrid>
      <w:tr w:rsidR="00BE4815" w:rsidRPr="000E0EF1" w:rsidTr="000E0EF1">
        <w:tc>
          <w:tcPr>
            <w:tcW w:w="1262" w:type="dxa"/>
            <w:vMerge w:val="restart"/>
            <w:tcBorders>
              <w:bottom w:val="nil"/>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Billing Month</w:t>
            </w:r>
          </w:p>
        </w:tc>
        <w:tc>
          <w:tcPr>
            <w:tcW w:w="2496" w:type="dxa"/>
            <w:gridSpan w:val="3"/>
            <w:tcBorders>
              <w:left w:val="single" w:sz="4" w:space="0" w:color="auto"/>
              <w:right w:val="single" w:sz="4" w:space="0" w:color="auto"/>
            </w:tcBorders>
          </w:tcPr>
          <w:p w:rsidR="00BE4815" w:rsidRPr="000E0EF1" w:rsidRDefault="00BE4815" w:rsidP="00411041">
            <w:pPr>
              <w:jc w:val="center"/>
              <w:rPr>
                <w:rFonts w:ascii="Times New Roman" w:eastAsia="Times New Roman" w:hAnsi="Times New Roman" w:cs="Times New Roman"/>
                <w:b/>
                <w:sz w:val="24"/>
                <w:szCs w:val="24"/>
              </w:rPr>
            </w:pPr>
            <w:r w:rsidRPr="000E0EF1">
              <w:rPr>
                <w:rFonts w:ascii="Times New Roman" w:eastAsia="Times New Roman" w:hAnsi="Times New Roman" w:cs="Times New Roman"/>
                <w:b/>
                <w:sz w:val="24"/>
                <w:szCs w:val="24"/>
              </w:rPr>
              <w:t>2012</w:t>
            </w:r>
          </w:p>
        </w:tc>
        <w:tc>
          <w:tcPr>
            <w:tcW w:w="2790" w:type="dxa"/>
            <w:gridSpan w:val="3"/>
            <w:tcBorders>
              <w:left w:val="single" w:sz="4" w:space="0" w:color="auto"/>
              <w:right w:val="single" w:sz="4" w:space="0" w:color="auto"/>
            </w:tcBorders>
          </w:tcPr>
          <w:p w:rsidR="00BE4815" w:rsidRPr="000E0EF1" w:rsidRDefault="00BE4815" w:rsidP="00411041">
            <w:pPr>
              <w:jc w:val="center"/>
              <w:rPr>
                <w:rFonts w:ascii="Times New Roman" w:eastAsia="Times New Roman" w:hAnsi="Times New Roman" w:cs="Times New Roman"/>
                <w:b/>
                <w:sz w:val="24"/>
                <w:szCs w:val="24"/>
              </w:rPr>
            </w:pPr>
            <w:r w:rsidRPr="000E0EF1">
              <w:rPr>
                <w:rFonts w:ascii="Times New Roman" w:eastAsia="Times New Roman" w:hAnsi="Times New Roman" w:cs="Times New Roman"/>
                <w:b/>
                <w:sz w:val="24"/>
                <w:szCs w:val="24"/>
              </w:rPr>
              <w:t>2013</w:t>
            </w:r>
          </w:p>
        </w:tc>
        <w:tc>
          <w:tcPr>
            <w:tcW w:w="3028" w:type="dxa"/>
            <w:gridSpan w:val="3"/>
            <w:tcBorders>
              <w:left w:val="single" w:sz="4" w:space="0" w:color="auto"/>
            </w:tcBorders>
          </w:tcPr>
          <w:p w:rsidR="00BE4815" w:rsidRPr="000E0EF1" w:rsidRDefault="00BE4815" w:rsidP="00411041">
            <w:pPr>
              <w:jc w:val="center"/>
              <w:rPr>
                <w:rFonts w:ascii="Times New Roman" w:eastAsia="Times New Roman" w:hAnsi="Times New Roman" w:cs="Times New Roman"/>
                <w:b/>
                <w:sz w:val="24"/>
                <w:szCs w:val="24"/>
              </w:rPr>
            </w:pPr>
            <w:r w:rsidRPr="000E0EF1">
              <w:rPr>
                <w:rFonts w:ascii="Times New Roman" w:eastAsia="Times New Roman" w:hAnsi="Times New Roman" w:cs="Times New Roman"/>
                <w:b/>
                <w:sz w:val="24"/>
                <w:szCs w:val="24"/>
              </w:rPr>
              <w:t>2014</w:t>
            </w:r>
          </w:p>
        </w:tc>
      </w:tr>
      <w:tr w:rsidR="00BE4815" w:rsidRPr="000E0EF1" w:rsidTr="000E0EF1">
        <w:tc>
          <w:tcPr>
            <w:tcW w:w="1262" w:type="dxa"/>
            <w:vMerge/>
            <w:tcBorders>
              <w:bottom w:val="nil"/>
              <w:right w:val="single" w:sz="4" w:space="0" w:color="auto"/>
            </w:tcBorders>
          </w:tcPr>
          <w:p w:rsidR="00BE4815" w:rsidRPr="000E0EF1" w:rsidRDefault="00BE4815" w:rsidP="00411041">
            <w:pPr>
              <w:rPr>
                <w:rFonts w:ascii="Times New Roman" w:eastAsia="Times New Roman" w:hAnsi="Times New Roman" w:cs="Times New Roman"/>
                <w:sz w:val="24"/>
                <w:szCs w:val="24"/>
              </w:rPr>
            </w:pPr>
          </w:p>
        </w:tc>
        <w:tc>
          <w:tcPr>
            <w:tcW w:w="678"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CCF</w:t>
            </w:r>
          </w:p>
        </w:tc>
        <w:tc>
          <w:tcPr>
            <w:tcW w:w="761"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HDD</w:t>
            </w:r>
          </w:p>
        </w:tc>
        <w:tc>
          <w:tcPr>
            <w:tcW w:w="1057"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Amount</w:t>
            </w:r>
          </w:p>
        </w:tc>
        <w:tc>
          <w:tcPr>
            <w:tcW w:w="734"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CCF</w:t>
            </w:r>
          </w:p>
        </w:tc>
        <w:tc>
          <w:tcPr>
            <w:tcW w:w="770"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HDD</w:t>
            </w:r>
          </w:p>
        </w:tc>
        <w:tc>
          <w:tcPr>
            <w:tcW w:w="1286"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Amount</w:t>
            </w:r>
          </w:p>
        </w:tc>
        <w:tc>
          <w:tcPr>
            <w:tcW w:w="670"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CCF</w:t>
            </w:r>
          </w:p>
        </w:tc>
        <w:tc>
          <w:tcPr>
            <w:tcW w:w="1080"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HDD</w:t>
            </w:r>
          </w:p>
        </w:tc>
        <w:tc>
          <w:tcPr>
            <w:tcW w:w="1278" w:type="dxa"/>
            <w:tcBorders>
              <w:lef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Amount</w:t>
            </w:r>
          </w:p>
        </w:tc>
      </w:tr>
      <w:tr w:rsidR="00BE4815" w:rsidRPr="000E0EF1" w:rsidTr="000E0EF1">
        <w:tc>
          <w:tcPr>
            <w:tcW w:w="1262" w:type="dxa"/>
            <w:tcBorders>
              <w:top w:val="nil"/>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January</w:t>
            </w:r>
          </w:p>
        </w:tc>
        <w:tc>
          <w:tcPr>
            <w:tcW w:w="678"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p>
        </w:tc>
        <w:tc>
          <w:tcPr>
            <w:tcW w:w="761"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p>
        </w:tc>
        <w:tc>
          <w:tcPr>
            <w:tcW w:w="1057"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p>
        </w:tc>
        <w:tc>
          <w:tcPr>
            <w:tcW w:w="734"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689</w:t>
            </w:r>
          </w:p>
        </w:tc>
        <w:tc>
          <w:tcPr>
            <w:tcW w:w="770"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950</w:t>
            </w:r>
          </w:p>
        </w:tc>
        <w:tc>
          <w:tcPr>
            <w:tcW w:w="1286"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$1,058.97</w:t>
            </w:r>
          </w:p>
        </w:tc>
        <w:tc>
          <w:tcPr>
            <w:tcW w:w="670"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680</w:t>
            </w:r>
          </w:p>
        </w:tc>
        <w:tc>
          <w:tcPr>
            <w:tcW w:w="1080"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1018</w:t>
            </w:r>
          </w:p>
        </w:tc>
        <w:tc>
          <w:tcPr>
            <w:tcW w:w="1278" w:type="dxa"/>
            <w:tcBorders>
              <w:left w:val="single" w:sz="4" w:space="0" w:color="auto"/>
            </w:tcBorders>
          </w:tcPr>
          <w:p w:rsidR="00BE4815" w:rsidRPr="000E0EF1" w:rsidRDefault="00FF370D"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$988.01</w:t>
            </w:r>
          </w:p>
        </w:tc>
      </w:tr>
      <w:tr w:rsidR="00FF370D" w:rsidRPr="000E0EF1" w:rsidTr="000E0EF1">
        <w:tc>
          <w:tcPr>
            <w:tcW w:w="1262" w:type="dxa"/>
            <w:tcBorders>
              <w:right w:val="single" w:sz="4" w:space="0" w:color="auto"/>
            </w:tcBorders>
          </w:tcPr>
          <w:p w:rsidR="00FF370D" w:rsidRPr="000E0EF1" w:rsidRDefault="00FF370D"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February</w:t>
            </w:r>
          </w:p>
        </w:tc>
        <w:tc>
          <w:tcPr>
            <w:tcW w:w="678" w:type="dxa"/>
            <w:tcBorders>
              <w:left w:val="single" w:sz="4" w:space="0" w:color="auto"/>
              <w:right w:val="single" w:sz="4" w:space="0" w:color="auto"/>
            </w:tcBorders>
          </w:tcPr>
          <w:p w:rsidR="00FF370D" w:rsidRPr="000E0EF1" w:rsidRDefault="00FF370D" w:rsidP="00411041">
            <w:pPr>
              <w:rPr>
                <w:rFonts w:ascii="Times New Roman" w:eastAsia="Times New Roman" w:hAnsi="Times New Roman" w:cs="Times New Roman"/>
                <w:sz w:val="24"/>
                <w:szCs w:val="24"/>
              </w:rPr>
            </w:pPr>
          </w:p>
        </w:tc>
        <w:tc>
          <w:tcPr>
            <w:tcW w:w="761" w:type="dxa"/>
            <w:tcBorders>
              <w:left w:val="single" w:sz="4" w:space="0" w:color="auto"/>
              <w:right w:val="single" w:sz="4" w:space="0" w:color="auto"/>
            </w:tcBorders>
          </w:tcPr>
          <w:p w:rsidR="00FF370D" w:rsidRPr="000E0EF1" w:rsidRDefault="00FF370D" w:rsidP="00411041">
            <w:pPr>
              <w:rPr>
                <w:rFonts w:ascii="Times New Roman" w:eastAsia="Times New Roman" w:hAnsi="Times New Roman" w:cs="Times New Roman"/>
                <w:sz w:val="24"/>
                <w:szCs w:val="24"/>
              </w:rPr>
            </w:pPr>
          </w:p>
        </w:tc>
        <w:tc>
          <w:tcPr>
            <w:tcW w:w="1057" w:type="dxa"/>
            <w:tcBorders>
              <w:left w:val="single" w:sz="4" w:space="0" w:color="auto"/>
              <w:right w:val="single" w:sz="4" w:space="0" w:color="auto"/>
            </w:tcBorders>
          </w:tcPr>
          <w:p w:rsidR="00FF370D" w:rsidRPr="000E0EF1" w:rsidRDefault="00FF370D" w:rsidP="00411041">
            <w:pPr>
              <w:rPr>
                <w:rFonts w:ascii="Times New Roman" w:eastAsia="Times New Roman" w:hAnsi="Times New Roman" w:cs="Times New Roman"/>
                <w:sz w:val="24"/>
                <w:szCs w:val="24"/>
              </w:rPr>
            </w:pPr>
          </w:p>
        </w:tc>
        <w:tc>
          <w:tcPr>
            <w:tcW w:w="734" w:type="dxa"/>
            <w:tcBorders>
              <w:left w:val="single" w:sz="4" w:space="0" w:color="auto"/>
              <w:right w:val="single" w:sz="4" w:space="0" w:color="auto"/>
            </w:tcBorders>
          </w:tcPr>
          <w:p w:rsidR="00FF370D" w:rsidRPr="000E0EF1" w:rsidRDefault="00FF370D"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681</w:t>
            </w:r>
          </w:p>
        </w:tc>
        <w:tc>
          <w:tcPr>
            <w:tcW w:w="770" w:type="dxa"/>
            <w:tcBorders>
              <w:left w:val="single" w:sz="4" w:space="0" w:color="auto"/>
              <w:right w:val="single" w:sz="4" w:space="0" w:color="auto"/>
            </w:tcBorders>
          </w:tcPr>
          <w:p w:rsidR="00FF370D" w:rsidRPr="000E0EF1" w:rsidRDefault="00FF370D"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899</w:t>
            </w:r>
          </w:p>
        </w:tc>
        <w:tc>
          <w:tcPr>
            <w:tcW w:w="1286" w:type="dxa"/>
            <w:tcBorders>
              <w:left w:val="single" w:sz="4" w:space="0" w:color="auto"/>
              <w:right w:val="single" w:sz="4" w:space="0" w:color="auto"/>
            </w:tcBorders>
          </w:tcPr>
          <w:p w:rsidR="00FF370D" w:rsidRPr="000E0EF1" w:rsidRDefault="00FF370D"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$1,006.29</w:t>
            </w:r>
          </w:p>
        </w:tc>
        <w:tc>
          <w:tcPr>
            <w:tcW w:w="670" w:type="dxa"/>
            <w:tcBorders>
              <w:left w:val="single" w:sz="4" w:space="0" w:color="auto"/>
              <w:right w:val="single" w:sz="4" w:space="0" w:color="auto"/>
            </w:tcBorders>
          </w:tcPr>
          <w:p w:rsidR="00FF370D" w:rsidRPr="000E0EF1" w:rsidRDefault="00FF370D"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725</w:t>
            </w:r>
          </w:p>
        </w:tc>
        <w:tc>
          <w:tcPr>
            <w:tcW w:w="1080" w:type="dxa"/>
            <w:tcBorders>
              <w:left w:val="single" w:sz="4" w:space="0" w:color="auto"/>
              <w:right w:val="single" w:sz="4" w:space="0" w:color="auto"/>
            </w:tcBorders>
          </w:tcPr>
          <w:p w:rsidR="00FF370D" w:rsidRPr="000E0EF1" w:rsidRDefault="00FF370D"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1078</w:t>
            </w:r>
          </w:p>
        </w:tc>
        <w:tc>
          <w:tcPr>
            <w:tcW w:w="1278" w:type="dxa"/>
            <w:tcBorders>
              <w:lef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$988.56</w:t>
            </w:r>
          </w:p>
        </w:tc>
      </w:tr>
      <w:tr w:rsidR="00FF370D" w:rsidRPr="000E0EF1" w:rsidTr="000E0EF1">
        <w:tc>
          <w:tcPr>
            <w:tcW w:w="1262" w:type="dxa"/>
            <w:tcBorders>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March</w:t>
            </w:r>
          </w:p>
        </w:tc>
        <w:tc>
          <w:tcPr>
            <w:tcW w:w="678"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761"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1057"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734"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485</w:t>
            </w:r>
          </w:p>
        </w:tc>
        <w:tc>
          <w:tcPr>
            <w:tcW w:w="77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672</w:t>
            </w:r>
          </w:p>
        </w:tc>
        <w:tc>
          <w:tcPr>
            <w:tcW w:w="1286"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$750.32</w:t>
            </w:r>
          </w:p>
        </w:tc>
        <w:tc>
          <w:tcPr>
            <w:tcW w:w="67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618</w:t>
            </w:r>
          </w:p>
        </w:tc>
        <w:tc>
          <w:tcPr>
            <w:tcW w:w="108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864</w:t>
            </w:r>
          </w:p>
        </w:tc>
        <w:tc>
          <w:tcPr>
            <w:tcW w:w="1278" w:type="dxa"/>
            <w:tcBorders>
              <w:lef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$887.71</w:t>
            </w:r>
          </w:p>
        </w:tc>
      </w:tr>
      <w:tr w:rsidR="00FF370D" w:rsidRPr="000E0EF1" w:rsidTr="000E0EF1">
        <w:tc>
          <w:tcPr>
            <w:tcW w:w="1262" w:type="dxa"/>
            <w:tcBorders>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April</w:t>
            </w:r>
          </w:p>
        </w:tc>
        <w:tc>
          <w:tcPr>
            <w:tcW w:w="678"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761"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1057"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734"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364</w:t>
            </w:r>
          </w:p>
        </w:tc>
        <w:tc>
          <w:tcPr>
            <w:tcW w:w="77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446</w:t>
            </w:r>
          </w:p>
        </w:tc>
        <w:tc>
          <w:tcPr>
            <w:tcW w:w="1286"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$567.21</w:t>
            </w:r>
          </w:p>
        </w:tc>
        <w:tc>
          <w:tcPr>
            <w:tcW w:w="67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284</w:t>
            </w:r>
          </w:p>
        </w:tc>
        <w:tc>
          <w:tcPr>
            <w:tcW w:w="108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425</w:t>
            </w:r>
          </w:p>
        </w:tc>
        <w:tc>
          <w:tcPr>
            <w:tcW w:w="1278" w:type="dxa"/>
            <w:tcBorders>
              <w:lef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$430.78</w:t>
            </w:r>
          </w:p>
        </w:tc>
      </w:tr>
      <w:tr w:rsidR="00FF370D" w:rsidRPr="000E0EF1" w:rsidTr="000E0EF1">
        <w:tc>
          <w:tcPr>
            <w:tcW w:w="1262" w:type="dxa"/>
            <w:tcBorders>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May</w:t>
            </w:r>
          </w:p>
        </w:tc>
        <w:tc>
          <w:tcPr>
            <w:tcW w:w="678"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761"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1057"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734" w:type="dxa"/>
            <w:tcBorders>
              <w:left w:val="single" w:sz="4" w:space="0" w:color="auto"/>
              <w:right w:val="single" w:sz="4" w:space="0" w:color="auto"/>
            </w:tcBorders>
          </w:tcPr>
          <w:p w:rsidR="00FF370D" w:rsidRPr="000E0EF1" w:rsidRDefault="00750EC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w:t>
            </w:r>
            <w:r w:rsidRPr="000E0EF1">
              <w:rPr>
                <w:rStyle w:val="FootnoteReference"/>
                <w:rFonts w:ascii="Times New Roman" w:eastAsia="Times New Roman" w:hAnsi="Times New Roman" w:cs="Times New Roman"/>
                <w:sz w:val="24"/>
                <w:szCs w:val="24"/>
              </w:rPr>
              <w:footnoteReference w:id="4"/>
            </w:r>
          </w:p>
        </w:tc>
        <w:tc>
          <w:tcPr>
            <w:tcW w:w="77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1286"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67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83</w:t>
            </w:r>
          </w:p>
        </w:tc>
        <w:tc>
          <w:tcPr>
            <w:tcW w:w="108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121</w:t>
            </w:r>
          </w:p>
        </w:tc>
        <w:tc>
          <w:tcPr>
            <w:tcW w:w="1278" w:type="dxa"/>
            <w:tcBorders>
              <w:lef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$142.65</w:t>
            </w:r>
          </w:p>
        </w:tc>
      </w:tr>
      <w:tr w:rsidR="00FF370D" w:rsidRPr="000E0EF1" w:rsidTr="000E0EF1">
        <w:tc>
          <w:tcPr>
            <w:tcW w:w="1262" w:type="dxa"/>
            <w:tcBorders>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June</w:t>
            </w:r>
          </w:p>
        </w:tc>
        <w:tc>
          <w:tcPr>
            <w:tcW w:w="678"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761"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1057"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p>
        </w:tc>
        <w:tc>
          <w:tcPr>
            <w:tcW w:w="734"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17</w:t>
            </w:r>
          </w:p>
        </w:tc>
        <w:tc>
          <w:tcPr>
            <w:tcW w:w="77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172</w:t>
            </w:r>
          </w:p>
        </w:tc>
        <w:tc>
          <w:tcPr>
            <w:tcW w:w="1286"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$37.35</w:t>
            </w:r>
          </w:p>
        </w:tc>
        <w:tc>
          <w:tcPr>
            <w:tcW w:w="67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37</w:t>
            </w:r>
          </w:p>
        </w:tc>
        <w:tc>
          <w:tcPr>
            <w:tcW w:w="1080" w:type="dxa"/>
            <w:tcBorders>
              <w:left w:val="single" w:sz="4" w:space="0" w:color="auto"/>
              <w:righ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8</w:t>
            </w:r>
          </w:p>
        </w:tc>
        <w:tc>
          <w:tcPr>
            <w:tcW w:w="1278" w:type="dxa"/>
            <w:tcBorders>
              <w:left w:val="single" w:sz="4" w:space="0" w:color="auto"/>
            </w:tcBorders>
          </w:tcPr>
          <w:p w:rsidR="00FF370D" w:rsidRPr="000E0EF1" w:rsidRDefault="00FF370D"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$72.86</w:t>
            </w:r>
          </w:p>
        </w:tc>
      </w:tr>
      <w:tr w:rsidR="00BE4815" w:rsidRPr="000E0EF1" w:rsidTr="000E0EF1">
        <w:tc>
          <w:tcPr>
            <w:tcW w:w="1262" w:type="dxa"/>
            <w:tcBorders>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July</w:t>
            </w:r>
          </w:p>
        </w:tc>
        <w:tc>
          <w:tcPr>
            <w:tcW w:w="678"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36</w:t>
            </w:r>
          </w:p>
        </w:tc>
        <w:tc>
          <w:tcPr>
            <w:tcW w:w="761"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0</w:t>
            </w:r>
          </w:p>
        </w:tc>
        <w:tc>
          <w:tcPr>
            <w:tcW w:w="1057"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$60.82</w:t>
            </w:r>
          </w:p>
        </w:tc>
        <w:tc>
          <w:tcPr>
            <w:tcW w:w="734"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19</w:t>
            </w:r>
          </w:p>
        </w:tc>
        <w:tc>
          <w:tcPr>
            <w:tcW w:w="770"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0</w:t>
            </w:r>
          </w:p>
        </w:tc>
        <w:tc>
          <w:tcPr>
            <w:tcW w:w="1286"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$40.98</w:t>
            </w:r>
          </w:p>
        </w:tc>
        <w:tc>
          <w:tcPr>
            <w:tcW w:w="670"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p>
        </w:tc>
        <w:tc>
          <w:tcPr>
            <w:tcW w:w="1080" w:type="dxa"/>
            <w:tcBorders>
              <w:left w:val="single" w:sz="4" w:space="0" w:color="auto"/>
              <w:right w:val="single" w:sz="4" w:space="0" w:color="auto"/>
            </w:tcBorders>
          </w:tcPr>
          <w:p w:rsidR="00BE4815" w:rsidRPr="000E0EF1" w:rsidRDefault="00BE4815" w:rsidP="00411041">
            <w:pPr>
              <w:rPr>
                <w:rFonts w:ascii="Times New Roman" w:eastAsia="Times New Roman" w:hAnsi="Times New Roman" w:cs="Times New Roman"/>
                <w:sz w:val="24"/>
                <w:szCs w:val="24"/>
              </w:rPr>
            </w:pPr>
          </w:p>
        </w:tc>
        <w:tc>
          <w:tcPr>
            <w:tcW w:w="1278" w:type="dxa"/>
            <w:tcBorders>
              <w:left w:val="single" w:sz="4" w:space="0" w:color="auto"/>
            </w:tcBorders>
          </w:tcPr>
          <w:p w:rsidR="00BE4815" w:rsidRPr="000E0EF1" w:rsidRDefault="00BE4815" w:rsidP="00411041">
            <w:pPr>
              <w:rPr>
                <w:rFonts w:ascii="Times New Roman" w:eastAsia="Times New Roman" w:hAnsi="Times New Roman" w:cs="Times New Roman"/>
                <w:sz w:val="24"/>
                <w:szCs w:val="24"/>
              </w:rPr>
            </w:pPr>
          </w:p>
        </w:tc>
      </w:tr>
      <w:tr w:rsidR="00BE4815" w:rsidRPr="000E0EF1" w:rsidTr="000E0EF1">
        <w:tc>
          <w:tcPr>
            <w:tcW w:w="1262" w:type="dxa"/>
            <w:tcBorders>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August</w:t>
            </w:r>
          </w:p>
        </w:tc>
        <w:tc>
          <w:tcPr>
            <w:tcW w:w="678"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29</w:t>
            </w:r>
          </w:p>
        </w:tc>
        <w:tc>
          <w:tcPr>
            <w:tcW w:w="761"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0</w:t>
            </w:r>
          </w:p>
        </w:tc>
        <w:tc>
          <w:tcPr>
            <w:tcW w:w="1057"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$51.33</w:t>
            </w:r>
          </w:p>
        </w:tc>
        <w:tc>
          <w:tcPr>
            <w:tcW w:w="734"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17</w:t>
            </w:r>
          </w:p>
        </w:tc>
        <w:tc>
          <w:tcPr>
            <w:tcW w:w="77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0</w:t>
            </w:r>
          </w:p>
        </w:tc>
        <w:tc>
          <w:tcPr>
            <w:tcW w:w="1286"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$38.21</w:t>
            </w:r>
          </w:p>
        </w:tc>
        <w:tc>
          <w:tcPr>
            <w:tcW w:w="67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p>
        </w:tc>
        <w:tc>
          <w:tcPr>
            <w:tcW w:w="108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p>
        </w:tc>
        <w:tc>
          <w:tcPr>
            <w:tcW w:w="1278" w:type="dxa"/>
            <w:tcBorders>
              <w:left w:val="single" w:sz="4" w:space="0" w:color="auto"/>
            </w:tcBorders>
          </w:tcPr>
          <w:p w:rsidR="00BE4815" w:rsidRPr="000E0EF1" w:rsidRDefault="00BE4815" w:rsidP="00D04643">
            <w:pPr>
              <w:rPr>
                <w:rFonts w:ascii="Times New Roman" w:eastAsia="Times New Roman" w:hAnsi="Times New Roman" w:cs="Times New Roman"/>
                <w:sz w:val="24"/>
                <w:szCs w:val="24"/>
              </w:rPr>
            </w:pPr>
          </w:p>
        </w:tc>
      </w:tr>
      <w:tr w:rsidR="00BE4815" w:rsidRPr="000E0EF1" w:rsidTr="000E0EF1">
        <w:tc>
          <w:tcPr>
            <w:tcW w:w="1262" w:type="dxa"/>
            <w:tcBorders>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September</w:t>
            </w:r>
          </w:p>
        </w:tc>
        <w:tc>
          <w:tcPr>
            <w:tcW w:w="678"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30</w:t>
            </w:r>
          </w:p>
        </w:tc>
        <w:tc>
          <w:tcPr>
            <w:tcW w:w="761"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w:t>
            </w:r>
          </w:p>
        </w:tc>
        <w:tc>
          <w:tcPr>
            <w:tcW w:w="1057"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$53.71</w:t>
            </w:r>
          </w:p>
        </w:tc>
        <w:tc>
          <w:tcPr>
            <w:tcW w:w="734"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19</w:t>
            </w:r>
          </w:p>
        </w:tc>
        <w:tc>
          <w:tcPr>
            <w:tcW w:w="77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20</w:t>
            </w:r>
          </w:p>
        </w:tc>
        <w:tc>
          <w:tcPr>
            <w:tcW w:w="1286"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$40.27</w:t>
            </w:r>
          </w:p>
        </w:tc>
        <w:tc>
          <w:tcPr>
            <w:tcW w:w="67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p>
        </w:tc>
        <w:tc>
          <w:tcPr>
            <w:tcW w:w="108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p>
        </w:tc>
        <w:tc>
          <w:tcPr>
            <w:tcW w:w="1278" w:type="dxa"/>
            <w:tcBorders>
              <w:left w:val="single" w:sz="4" w:space="0" w:color="auto"/>
            </w:tcBorders>
          </w:tcPr>
          <w:p w:rsidR="00BE4815" w:rsidRPr="000E0EF1" w:rsidRDefault="00BE4815" w:rsidP="00D04643">
            <w:pPr>
              <w:rPr>
                <w:rFonts w:ascii="Times New Roman" w:eastAsia="Times New Roman" w:hAnsi="Times New Roman" w:cs="Times New Roman"/>
                <w:sz w:val="24"/>
                <w:szCs w:val="24"/>
              </w:rPr>
            </w:pPr>
          </w:p>
        </w:tc>
      </w:tr>
      <w:tr w:rsidR="00BE4815" w:rsidRPr="000E0EF1" w:rsidTr="000E0EF1">
        <w:tc>
          <w:tcPr>
            <w:tcW w:w="1262" w:type="dxa"/>
            <w:tcBorders>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October</w:t>
            </w:r>
          </w:p>
        </w:tc>
        <w:tc>
          <w:tcPr>
            <w:tcW w:w="678"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99</w:t>
            </w:r>
          </w:p>
        </w:tc>
        <w:tc>
          <w:tcPr>
            <w:tcW w:w="761"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148</w:t>
            </w:r>
          </w:p>
        </w:tc>
        <w:tc>
          <w:tcPr>
            <w:tcW w:w="1057"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$151.34</w:t>
            </w:r>
          </w:p>
        </w:tc>
        <w:tc>
          <w:tcPr>
            <w:tcW w:w="734"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24</w:t>
            </w:r>
          </w:p>
        </w:tc>
        <w:tc>
          <w:tcPr>
            <w:tcW w:w="77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77</w:t>
            </w:r>
          </w:p>
        </w:tc>
        <w:tc>
          <w:tcPr>
            <w:tcW w:w="1286"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$48.89</w:t>
            </w:r>
          </w:p>
        </w:tc>
        <w:tc>
          <w:tcPr>
            <w:tcW w:w="67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p>
        </w:tc>
        <w:tc>
          <w:tcPr>
            <w:tcW w:w="108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p>
        </w:tc>
        <w:tc>
          <w:tcPr>
            <w:tcW w:w="1278" w:type="dxa"/>
            <w:tcBorders>
              <w:left w:val="single" w:sz="4" w:space="0" w:color="auto"/>
            </w:tcBorders>
          </w:tcPr>
          <w:p w:rsidR="00BE4815" w:rsidRPr="000E0EF1" w:rsidRDefault="00BE4815" w:rsidP="00D04643">
            <w:pPr>
              <w:rPr>
                <w:rFonts w:ascii="Times New Roman" w:eastAsia="Times New Roman" w:hAnsi="Times New Roman" w:cs="Times New Roman"/>
                <w:sz w:val="24"/>
                <w:szCs w:val="24"/>
              </w:rPr>
            </w:pPr>
          </w:p>
        </w:tc>
      </w:tr>
      <w:tr w:rsidR="00BE4815" w:rsidRPr="000E0EF1" w:rsidTr="000E0EF1">
        <w:tc>
          <w:tcPr>
            <w:tcW w:w="1262" w:type="dxa"/>
            <w:tcBorders>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November</w:t>
            </w:r>
          </w:p>
        </w:tc>
        <w:tc>
          <w:tcPr>
            <w:tcW w:w="678"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350</w:t>
            </w:r>
          </w:p>
        </w:tc>
        <w:tc>
          <w:tcPr>
            <w:tcW w:w="761"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460</w:t>
            </w:r>
          </w:p>
        </w:tc>
        <w:tc>
          <w:tcPr>
            <w:tcW w:w="1057"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$499.18</w:t>
            </w:r>
          </w:p>
        </w:tc>
        <w:tc>
          <w:tcPr>
            <w:tcW w:w="734"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241</w:t>
            </w:r>
          </w:p>
        </w:tc>
        <w:tc>
          <w:tcPr>
            <w:tcW w:w="77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451</w:t>
            </w:r>
          </w:p>
        </w:tc>
        <w:tc>
          <w:tcPr>
            <w:tcW w:w="1286"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$356.08</w:t>
            </w:r>
          </w:p>
        </w:tc>
        <w:tc>
          <w:tcPr>
            <w:tcW w:w="67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p>
        </w:tc>
        <w:tc>
          <w:tcPr>
            <w:tcW w:w="108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p>
        </w:tc>
        <w:tc>
          <w:tcPr>
            <w:tcW w:w="1278" w:type="dxa"/>
            <w:tcBorders>
              <w:left w:val="single" w:sz="4" w:space="0" w:color="auto"/>
            </w:tcBorders>
          </w:tcPr>
          <w:p w:rsidR="00BE4815" w:rsidRPr="000E0EF1" w:rsidRDefault="00BE4815" w:rsidP="00D04643">
            <w:pPr>
              <w:rPr>
                <w:rFonts w:ascii="Times New Roman" w:eastAsia="Times New Roman" w:hAnsi="Times New Roman" w:cs="Times New Roman"/>
                <w:sz w:val="24"/>
                <w:szCs w:val="24"/>
              </w:rPr>
            </w:pPr>
          </w:p>
        </w:tc>
      </w:tr>
      <w:tr w:rsidR="00BE4815" w:rsidTr="000E0EF1">
        <w:tc>
          <w:tcPr>
            <w:tcW w:w="1262" w:type="dxa"/>
            <w:tcBorders>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December</w:t>
            </w:r>
          </w:p>
        </w:tc>
        <w:tc>
          <w:tcPr>
            <w:tcW w:w="678"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481</w:t>
            </w:r>
          </w:p>
        </w:tc>
        <w:tc>
          <w:tcPr>
            <w:tcW w:w="761"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610</w:t>
            </w:r>
          </w:p>
        </w:tc>
        <w:tc>
          <w:tcPr>
            <w:tcW w:w="1057"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$759.98</w:t>
            </w:r>
          </w:p>
        </w:tc>
        <w:tc>
          <w:tcPr>
            <w:tcW w:w="734"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595</w:t>
            </w:r>
          </w:p>
        </w:tc>
        <w:tc>
          <w:tcPr>
            <w:tcW w:w="770"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788</w:t>
            </w:r>
          </w:p>
        </w:tc>
        <w:tc>
          <w:tcPr>
            <w:tcW w:w="1286" w:type="dxa"/>
            <w:tcBorders>
              <w:left w:val="single" w:sz="4" w:space="0" w:color="auto"/>
              <w:right w:val="single" w:sz="4" w:space="0" w:color="auto"/>
            </w:tcBorders>
          </w:tcPr>
          <w:p w:rsidR="00BE4815" w:rsidRPr="000E0EF1" w:rsidRDefault="00BE4815" w:rsidP="00D04643">
            <w:pPr>
              <w:rPr>
                <w:rFonts w:ascii="Times New Roman" w:eastAsia="Times New Roman" w:hAnsi="Times New Roman" w:cs="Times New Roman"/>
                <w:sz w:val="24"/>
                <w:szCs w:val="24"/>
              </w:rPr>
            </w:pPr>
            <w:r w:rsidRPr="000E0EF1">
              <w:rPr>
                <w:rFonts w:ascii="Times New Roman" w:eastAsia="Times New Roman" w:hAnsi="Times New Roman" w:cs="Times New Roman"/>
                <w:sz w:val="24"/>
                <w:szCs w:val="24"/>
              </w:rPr>
              <w:t>$820.71</w:t>
            </w:r>
          </w:p>
        </w:tc>
        <w:tc>
          <w:tcPr>
            <w:tcW w:w="670" w:type="dxa"/>
            <w:tcBorders>
              <w:left w:val="single" w:sz="4" w:space="0" w:color="auto"/>
              <w:right w:val="single" w:sz="4" w:space="0" w:color="auto"/>
            </w:tcBorders>
          </w:tcPr>
          <w:p w:rsidR="00BE4815" w:rsidRDefault="00BE4815" w:rsidP="00D04643">
            <w:pPr>
              <w:rPr>
                <w:rFonts w:ascii="Times New Roman" w:eastAsia="Times New Roman" w:hAnsi="Times New Roman" w:cs="Times New Roman"/>
                <w:sz w:val="24"/>
                <w:szCs w:val="24"/>
              </w:rPr>
            </w:pPr>
          </w:p>
        </w:tc>
        <w:tc>
          <w:tcPr>
            <w:tcW w:w="1080" w:type="dxa"/>
            <w:tcBorders>
              <w:left w:val="single" w:sz="4" w:space="0" w:color="auto"/>
              <w:right w:val="single" w:sz="4" w:space="0" w:color="auto"/>
            </w:tcBorders>
          </w:tcPr>
          <w:p w:rsidR="00BE4815" w:rsidRDefault="00BE4815" w:rsidP="00D04643">
            <w:pPr>
              <w:rPr>
                <w:rFonts w:ascii="Times New Roman" w:eastAsia="Times New Roman" w:hAnsi="Times New Roman" w:cs="Times New Roman"/>
                <w:sz w:val="24"/>
                <w:szCs w:val="24"/>
              </w:rPr>
            </w:pPr>
          </w:p>
        </w:tc>
        <w:tc>
          <w:tcPr>
            <w:tcW w:w="1278" w:type="dxa"/>
            <w:tcBorders>
              <w:left w:val="single" w:sz="4" w:space="0" w:color="auto"/>
            </w:tcBorders>
          </w:tcPr>
          <w:p w:rsidR="00BE4815" w:rsidRDefault="00BE4815" w:rsidP="00D04643">
            <w:pPr>
              <w:rPr>
                <w:rFonts w:ascii="Times New Roman" w:eastAsia="Times New Roman" w:hAnsi="Times New Roman" w:cs="Times New Roman"/>
                <w:sz w:val="24"/>
                <w:szCs w:val="24"/>
              </w:rPr>
            </w:pPr>
          </w:p>
        </w:tc>
      </w:tr>
    </w:tbl>
    <w:p w:rsidR="00BE4815" w:rsidRDefault="00BE4815" w:rsidP="00BE4815">
      <w:pPr>
        <w:spacing w:after="0" w:line="360" w:lineRule="auto"/>
        <w:rPr>
          <w:rFonts w:ascii="Times New Roman" w:eastAsia="Times New Roman" w:hAnsi="Times New Roman" w:cs="Times New Roman"/>
          <w:sz w:val="24"/>
          <w:szCs w:val="24"/>
        </w:rPr>
      </w:pPr>
    </w:p>
    <w:p w:rsidR="00BE4815" w:rsidRDefault="00E51B55" w:rsidP="00BE4815">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PGW Exhibit 1.</w:t>
      </w:r>
      <w:proofErr w:type="gramEnd"/>
      <w:r>
        <w:rPr>
          <w:rFonts w:ascii="Times New Roman" w:eastAsia="Times New Roman" w:hAnsi="Times New Roman" w:cs="Times New Roman"/>
          <w:sz w:val="24"/>
          <w:szCs w:val="24"/>
        </w:rPr>
        <w:t xml:space="preserve">  The gas consumption </w:t>
      </w:r>
      <w:r w:rsidR="00FF370D">
        <w:rPr>
          <w:rFonts w:ascii="Times New Roman" w:eastAsia="Times New Roman" w:hAnsi="Times New Roman" w:cs="Times New Roman"/>
          <w:sz w:val="24"/>
          <w:szCs w:val="24"/>
        </w:rPr>
        <w:t xml:space="preserve">and billing </w:t>
      </w:r>
      <w:r>
        <w:rPr>
          <w:rFonts w:ascii="Times New Roman" w:eastAsia="Times New Roman" w:hAnsi="Times New Roman" w:cs="Times New Roman"/>
          <w:sz w:val="24"/>
          <w:szCs w:val="24"/>
        </w:rPr>
        <w:t xml:space="preserve">history supports Ms. </w:t>
      </w:r>
      <w:proofErr w:type="spellStart"/>
      <w:r>
        <w:rPr>
          <w:rFonts w:ascii="Times New Roman" w:eastAsia="Times New Roman" w:hAnsi="Times New Roman" w:cs="Times New Roman"/>
          <w:sz w:val="24"/>
          <w:szCs w:val="24"/>
        </w:rPr>
        <w:t>Vacca’s</w:t>
      </w:r>
      <w:proofErr w:type="spellEnd"/>
      <w:r>
        <w:rPr>
          <w:rFonts w:ascii="Times New Roman" w:eastAsia="Times New Roman" w:hAnsi="Times New Roman" w:cs="Times New Roman"/>
          <w:sz w:val="24"/>
          <w:szCs w:val="24"/>
        </w:rPr>
        <w:t xml:space="preserve"> statement</w:t>
      </w:r>
      <w:r w:rsidRPr="00E51B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the Complainant’s gas usage is seasonal</w:t>
      </w:r>
      <w:r w:rsidR="00FF37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increasing and decreasing in step with Heating Degree Days.  It also shows a slight decrease in gas consumption during the twelve-month period July 2013-June 2014, as compared with the previous twelve-m</w:t>
      </w:r>
      <w:r w:rsidR="00375CA8">
        <w:rPr>
          <w:rFonts w:ascii="Times New Roman" w:eastAsia="Times New Roman" w:hAnsi="Times New Roman" w:cs="Times New Roman"/>
          <w:sz w:val="24"/>
          <w:szCs w:val="24"/>
        </w:rPr>
        <w:t>onth period July 2012-</w:t>
      </w:r>
      <w:r w:rsidR="00850BF0">
        <w:rPr>
          <w:rFonts w:ascii="Times New Roman" w:eastAsia="Times New Roman" w:hAnsi="Times New Roman" w:cs="Times New Roman"/>
          <w:sz w:val="24"/>
          <w:szCs w:val="24"/>
        </w:rPr>
        <w:t>June 2013</w:t>
      </w:r>
      <w:r>
        <w:rPr>
          <w:rFonts w:ascii="Times New Roman" w:eastAsia="Times New Roman" w:hAnsi="Times New Roman" w:cs="Times New Roman"/>
          <w:sz w:val="24"/>
          <w:szCs w:val="24"/>
        </w:rPr>
        <w:t>, which supports Ms. Morris</w:t>
      </w:r>
      <w:r w:rsidR="00850BF0">
        <w:rPr>
          <w:rFonts w:ascii="Times New Roman" w:eastAsia="Times New Roman" w:hAnsi="Times New Roman" w:cs="Times New Roman"/>
          <w:sz w:val="24"/>
          <w:szCs w:val="24"/>
        </w:rPr>
        <w:t>’ testimony</w:t>
      </w:r>
      <w:r w:rsidR="00BE48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00BE4815">
        <w:rPr>
          <w:rFonts w:ascii="Times New Roman" w:eastAsia="Times New Roman" w:hAnsi="Times New Roman" w:cs="Times New Roman"/>
          <w:sz w:val="24"/>
          <w:szCs w:val="24"/>
        </w:rPr>
        <w:t xml:space="preserve">she had not used her gas stove in a year.  </w:t>
      </w:r>
      <w:r w:rsidR="002337A8">
        <w:rPr>
          <w:rFonts w:ascii="Times New Roman" w:eastAsia="Times New Roman" w:hAnsi="Times New Roman" w:cs="Times New Roman"/>
          <w:sz w:val="24"/>
          <w:szCs w:val="24"/>
        </w:rPr>
        <w:t>Apart from this slight decrease, Ms. Morris’ gas consumption during the twelve-month period July 2013-June 2014 is very similar to her gas consumption during the previous twelve-m</w:t>
      </w:r>
      <w:r w:rsidR="00850BF0">
        <w:rPr>
          <w:rFonts w:ascii="Times New Roman" w:eastAsia="Times New Roman" w:hAnsi="Times New Roman" w:cs="Times New Roman"/>
          <w:sz w:val="24"/>
          <w:szCs w:val="24"/>
        </w:rPr>
        <w:t xml:space="preserve">onth period July </w:t>
      </w:r>
      <w:r w:rsidR="00375CA8">
        <w:rPr>
          <w:rFonts w:ascii="Times New Roman" w:eastAsia="Times New Roman" w:hAnsi="Times New Roman" w:cs="Times New Roman"/>
          <w:sz w:val="24"/>
          <w:szCs w:val="24"/>
        </w:rPr>
        <w:t>2012-</w:t>
      </w:r>
      <w:r w:rsidR="00850BF0">
        <w:rPr>
          <w:rFonts w:ascii="Times New Roman" w:eastAsia="Times New Roman" w:hAnsi="Times New Roman" w:cs="Times New Roman"/>
          <w:sz w:val="24"/>
          <w:szCs w:val="24"/>
        </w:rPr>
        <w:t>June 2013</w:t>
      </w:r>
      <w:r w:rsidR="002337A8">
        <w:rPr>
          <w:rFonts w:ascii="Times New Roman" w:eastAsia="Times New Roman" w:hAnsi="Times New Roman" w:cs="Times New Roman"/>
          <w:sz w:val="24"/>
          <w:szCs w:val="24"/>
        </w:rPr>
        <w:t>.  The historic comparison of her gas usage cannot be extended any further than June of 2012 bec</w:t>
      </w:r>
      <w:r w:rsidR="00041814">
        <w:rPr>
          <w:rFonts w:ascii="Times New Roman" w:eastAsia="Times New Roman" w:hAnsi="Times New Roman" w:cs="Times New Roman"/>
          <w:sz w:val="24"/>
          <w:szCs w:val="24"/>
        </w:rPr>
        <w:t xml:space="preserve">ause her old meter (Meter # 1607487) was exchanged </w:t>
      </w:r>
      <w:r w:rsidR="002337A8">
        <w:rPr>
          <w:rFonts w:ascii="Times New Roman" w:eastAsia="Times New Roman" w:hAnsi="Times New Roman" w:cs="Times New Roman"/>
          <w:sz w:val="24"/>
          <w:szCs w:val="24"/>
        </w:rPr>
        <w:t>on June 15, 2012</w:t>
      </w:r>
      <w:r w:rsidR="00041814">
        <w:rPr>
          <w:rFonts w:ascii="Times New Roman" w:eastAsia="Times New Roman" w:hAnsi="Times New Roman" w:cs="Times New Roman"/>
          <w:sz w:val="24"/>
          <w:szCs w:val="24"/>
        </w:rPr>
        <w:t>.</w:t>
      </w:r>
      <w:r w:rsidR="00041814">
        <w:rPr>
          <w:rStyle w:val="FootnoteReference"/>
          <w:rFonts w:ascii="Times New Roman" w:eastAsia="Times New Roman" w:hAnsi="Times New Roman" w:cs="Times New Roman"/>
          <w:sz w:val="24"/>
          <w:szCs w:val="24"/>
        </w:rPr>
        <w:footnoteReference w:id="5"/>
      </w:r>
      <w:r w:rsidR="00041814">
        <w:rPr>
          <w:rFonts w:ascii="Times New Roman" w:eastAsia="Times New Roman" w:hAnsi="Times New Roman" w:cs="Times New Roman"/>
          <w:sz w:val="24"/>
          <w:szCs w:val="24"/>
        </w:rPr>
        <w:t xml:space="preserve"> </w:t>
      </w:r>
      <w:r w:rsidR="009D3DBC">
        <w:rPr>
          <w:rFonts w:ascii="Times New Roman" w:eastAsia="Times New Roman" w:hAnsi="Times New Roman" w:cs="Times New Roman"/>
          <w:sz w:val="24"/>
          <w:szCs w:val="24"/>
        </w:rPr>
        <w:t xml:space="preserve"> </w:t>
      </w:r>
      <w:r w:rsidR="00041814">
        <w:rPr>
          <w:rFonts w:ascii="Times New Roman" w:eastAsia="Times New Roman" w:hAnsi="Times New Roman" w:cs="Times New Roman"/>
          <w:sz w:val="24"/>
          <w:szCs w:val="24"/>
        </w:rPr>
        <w:t>The information that was subsequently retrieved from it led PGW to believe that the readings reported by that meter had been incorrect.</w:t>
      </w:r>
      <w:r w:rsidR="009D3DBC">
        <w:rPr>
          <w:rFonts w:ascii="Times New Roman" w:eastAsia="Times New Roman" w:hAnsi="Times New Roman" w:cs="Times New Roman"/>
          <w:sz w:val="24"/>
          <w:szCs w:val="24"/>
        </w:rPr>
        <w:t xml:space="preserve">  </w:t>
      </w:r>
      <w:proofErr w:type="gramStart"/>
      <w:r w:rsidR="009D3DBC">
        <w:rPr>
          <w:rFonts w:ascii="Times New Roman" w:eastAsia="Times New Roman" w:hAnsi="Times New Roman" w:cs="Times New Roman"/>
          <w:sz w:val="24"/>
          <w:szCs w:val="24"/>
        </w:rPr>
        <w:t>Tr. 21, 24, 29-30, 33, 39.</w:t>
      </w:r>
      <w:proofErr w:type="gramEnd"/>
      <w:r w:rsidR="00750EC5">
        <w:rPr>
          <w:rFonts w:ascii="Times New Roman" w:eastAsia="Times New Roman" w:hAnsi="Times New Roman" w:cs="Times New Roman"/>
          <w:sz w:val="24"/>
          <w:szCs w:val="24"/>
        </w:rPr>
        <w:t xml:space="preserve">  </w:t>
      </w:r>
    </w:p>
    <w:p w:rsidR="00750EC5" w:rsidRDefault="00750EC5" w:rsidP="00BE4815">
      <w:pPr>
        <w:spacing w:after="0" w:line="360" w:lineRule="auto"/>
        <w:rPr>
          <w:rFonts w:ascii="Times New Roman" w:eastAsia="Times New Roman" w:hAnsi="Times New Roman" w:cs="Times New Roman"/>
          <w:sz w:val="24"/>
          <w:szCs w:val="24"/>
        </w:rPr>
      </w:pPr>
    </w:p>
    <w:p w:rsidR="00750EC5" w:rsidRDefault="00750EC5" w:rsidP="00750EC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view of the above, I find that the Complainant has failed to carry her burden of proof with regard to her high billing dispute.</w:t>
      </w:r>
    </w:p>
    <w:p w:rsidR="00E51B55" w:rsidRDefault="00E51B55" w:rsidP="00E51B55">
      <w:pPr>
        <w:rPr>
          <w:rFonts w:ascii="Times New Roman" w:eastAsia="Times New Roman" w:hAnsi="Times New Roman" w:cs="Times New Roman"/>
          <w:sz w:val="24"/>
          <w:szCs w:val="24"/>
        </w:rPr>
      </w:pPr>
    </w:p>
    <w:p w:rsidR="00FB795D" w:rsidRPr="004448B5" w:rsidRDefault="00FB795D" w:rsidP="00FB795D">
      <w:pPr>
        <w:pStyle w:val="ListParagraph"/>
        <w:numPr>
          <w:ilvl w:val="0"/>
          <w:numId w:val="3"/>
        </w:numPr>
        <w:rPr>
          <w:rFonts w:ascii="Times New Roman" w:eastAsia="Times New Roman" w:hAnsi="Times New Roman" w:cs="Times New Roman"/>
          <w:b/>
          <w:sz w:val="24"/>
          <w:szCs w:val="24"/>
        </w:rPr>
      </w:pPr>
      <w:r w:rsidRPr="004448B5">
        <w:rPr>
          <w:rFonts w:ascii="Times New Roman" w:eastAsia="Times New Roman" w:hAnsi="Times New Roman" w:cs="Times New Roman"/>
          <w:b/>
          <w:sz w:val="24"/>
          <w:szCs w:val="24"/>
        </w:rPr>
        <w:t>Number of Payments</w:t>
      </w:r>
    </w:p>
    <w:p w:rsidR="00FB795D" w:rsidRPr="00FB795D" w:rsidRDefault="00FB795D" w:rsidP="004448B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At the hearing on July 1, 20</w:t>
      </w:r>
      <w:r w:rsidR="005C257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4, Ms. Morris testified that she had made “at least five” payments to her account with PGW in 2014.  </w:t>
      </w:r>
      <w:proofErr w:type="gramStart"/>
      <w:r>
        <w:rPr>
          <w:rFonts w:ascii="Times New Roman" w:eastAsia="Times New Roman" w:hAnsi="Times New Roman" w:cs="Times New Roman"/>
          <w:sz w:val="24"/>
          <w:szCs w:val="24"/>
        </w:rPr>
        <w:t>Tr. 25.</w:t>
      </w:r>
      <w:proofErr w:type="gramEnd"/>
      <w:r>
        <w:rPr>
          <w:rFonts w:ascii="Times New Roman" w:eastAsia="Times New Roman" w:hAnsi="Times New Roman" w:cs="Times New Roman"/>
          <w:sz w:val="24"/>
          <w:szCs w:val="24"/>
        </w:rPr>
        <w:t xml:space="preserve">  She testified that the payments were made online on PGW’s website.  She stated that she generally gets e-mail confirmations stating that her payments have been submitted.  Tr. 24-25.</w:t>
      </w:r>
    </w:p>
    <w:p w:rsidR="00EC0284" w:rsidRPr="0053108B" w:rsidRDefault="00EC0284" w:rsidP="004448B5">
      <w:pPr>
        <w:spacing w:after="0" w:line="360" w:lineRule="auto"/>
        <w:rPr>
          <w:rFonts w:ascii="Times New Roman" w:eastAsia="Times New Roman" w:hAnsi="Times New Roman" w:cs="Times New Roman"/>
          <w:sz w:val="24"/>
          <w:szCs w:val="24"/>
        </w:rPr>
      </w:pPr>
    </w:p>
    <w:p w:rsidR="00EC0284" w:rsidRDefault="00EC0284" w:rsidP="004448B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Vacca</w:t>
      </w:r>
      <w:proofErr w:type="spellEnd"/>
      <w:r>
        <w:rPr>
          <w:rFonts w:ascii="Times New Roman" w:eastAsia="Times New Roman" w:hAnsi="Times New Roman" w:cs="Times New Roman"/>
          <w:sz w:val="24"/>
          <w:szCs w:val="24"/>
        </w:rPr>
        <w:t xml:space="preserve"> testified that, b</w:t>
      </w:r>
      <w:r w:rsidRPr="00EC0284">
        <w:rPr>
          <w:rFonts w:ascii="Times New Roman" w:eastAsia="Times New Roman" w:hAnsi="Times New Roman" w:cs="Times New Roman"/>
          <w:sz w:val="24"/>
          <w:szCs w:val="24"/>
        </w:rPr>
        <w:t xml:space="preserve">etween July 22, 2013, and July 1, 2014, the Complainant </w:t>
      </w:r>
      <w:r>
        <w:rPr>
          <w:rFonts w:ascii="Times New Roman" w:eastAsia="Times New Roman" w:hAnsi="Times New Roman" w:cs="Times New Roman"/>
          <w:sz w:val="24"/>
          <w:szCs w:val="24"/>
        </w:rPr>
        <w:t xml:space="preserve">had </w:t>
      </w:r>
      <w:r w:rsidRPr="00EC0284">
        <w:rPr>
          <w:rFonts w:ascii="Times New Roman" w:eastAsia="Times New Roman" w:hAnsi="Times New Roman" w:cs="Times New Roman"/>
          <w:sz w:val="24"/>
          <w:szCs w:val="24"/>
        </w:rPr>
        <w:t>made only two payments to her account with PGW.  The two payments of $200.00 each were part of a security deposit requested by PGW.  The security deposit with accumulated interest was applied back to the Complainant’s account in two installments dated January 24, 2014, and February 26, 2014, respectively.</w:t>
      </w:r>
      <w:r w:rsidR="005C2575">
        <w:rPr>
          <w:rFonts w:ascii="Times New Roman" w:eastAsia="Times New Roman" w:hAnsi="Times New Roman" w:cs="Times New Roman"/>
          <w:sz w:val="24"/>
          <w:szCs w:val="24"/>
        </w:rPr>
        <w:t xml:space="preserve"> </w:t>
      </w:r>
      <w:r w:rsidRPr="00EC0284">
        <w:rPr>
          <w:rFonts w:ascii="Times New Roman" w:eastAsia="Times New Roman" w:hAnsi="Times New Roman" w:cs="Times New Roman"/>
          <w:sz w:val="24"/>
          <w:szCs w:val="24"/>
        </w:rPr>
        <w:t xml:space="preserve"> As of the day of the hearing in this matter, the Complainant had accumulated an outstanding balance of $4,944.00 under SA # 7919301816.  </w:t>
      </w:r>
    </w:p>
    <w:p w:rsidR="004448B5" w:rsidRDefault="004448B5" w:rsidP="004448B5">
      <w:pPr>
        <w:spacing w:after="0" w:line="360" w:lineRule="auto"/>
        <w:ind w:firstLine="1440"/>
        <w:rPr>
          <w:rFonts w:ascii="Times New Roman" w:eastAsia="Times New Roman" w:hAnsi="Times New Roman" w:cs="Times New Roman"/>
          <w:sz w:val="24"/>
          <w:szCs w:val="24"/>
        </w:rPr>
      </w:pPr>
    </w:p>
    <w:p w:rsidR="00933DE0" w:rsidRDefault="00933DE0" w:rsidP="00933DE0">
      <w:pPr>
        <w:spacing w:after="0" w:line="360" w:lineRule="auto"/>
        <w:ind w:firstLine="1440"/>
        <w:rPr>
          <w:rFonts w:ascii="Times New Roman" w:eastAsia="Times New Roman" w:hAnsi="Times New Roman" w:cs="Times New Roman"/>
          <w:snapToGrid w:val="0"/>
          <w:spacing w:val="-3"/>
          <w:sz w:val="24"/>
          <w:szCs w:val="24"/>
        </w:rPr>
      </w:pPr>
      <w:r w:rsidRPr="008B3EA2">
        <w:rPr>
          <w:rFonts w:ascii="Times New Roman" w:eastAsia="Times New Roman" w:hAnsi="Times New Roman" w:cs="Times New Roman"/>
          <w:sz w:val="24"/>
          <w:szCs w:val="24"/>
        </w:rPr>
        <w:t>The Complainant’</w:t>
      </w:r>
      <w:r>
        <w:rPr>
          <w:rFonts w:ascii="Times New Roman" w:eastAsia="Times New Roman" w:hAnsi="Times New Roman" w:cs="Times New Roman"/>
          <w:sz w:val="24"/>
          <w:szCs w:val="24"/>
        </w:rPr>
        <w:t xml:space="preserve">s evidence with regard to the number of payments made to her PGW account in 2014 </w:t>
      </w:r>
      <w:r w:rsidRPr="008B3EA2">
        <w:rPr>
          <w:rFonts w:ascii="Times New Roman" w:eastAsia="Times New Roman" w:hAnsi="Times New Roman" w:cs="Times New Roman"/>
          <w:sz w:val="24"/>
          <w:szCs w:val="24"/>
        </w:rPr>
        <w:t>consists only of</w:t>
      </w:r>
      <w:r>
        <w:rPr>
          <w:rFonts w:ascii="Times New Roman" w:eastAsia="Times New Roman" w:hAnsi="Times New Roman" w:cs="Times New Roman"/>
          <w:sz w:val="24"/>
          <w:szCs w:val="24"/>
        </w:rPr>
        <w:t xml:space="preserve"> her</w:t>
      </w:r>
      <w:r w:rsidRPr="008B3EA2">
        <w:rPr>
          <w:rFonts w:ascii="Times New Roman" w:eastAsia="Times New Roman" w:hAnsi="Times New Roman" w:cs="Times New Roman"/>
          <w:sz w:val="24"/>
          <w:szCs w:val="24"/>
        </w:rPr>
        <w:t xml:space="preserve"> unsupported assertions</w:t>
      </w:r>
      <w:r w:rsidR="00375CA8">
        <w:rPr>
          <w:rFonts w:ascii="Times New Roman" w:eastAsia="Times New Roman" w:hAnsi="Times New Roman" w:cs="Times New Roman"/>
          <w:sz w:val="24"/>
          <w:szCs w:val="24"/>
        </w:rPr>
        <w:t>.  These assertions, no matter h</w:t>
      </w:r>
      <w:r w:rsidRPr="008B3EA2">
        <w:rPr>
          <w:rFonts w:ascii="Times New Roman" w:eastAsia="Times New Roman" w:hAnsi="Times New Roman" w:cs="Times New Roman"/>
          <w:sz w:val="24"/>
          <w:szCs w:val="24"/>
        </w:rPr>
        <w:t>ow honest or strong cannot fo</w:t>
      </w:r>
      <w:r w:rsidR="005C2575">
        <w:rPr>
          <w:rFonts w:ascii="Times New Roman" w:eastAsia="Times New Roman" w:hAnsi="Times New Roman" w:cs="Times New Roman"/>
          <w:sz w:val="24"/>
          <w:szCs w:val="24"/>
        </w:rPr>
        <w:t>rm the basis of a finding in her</w:t>
      </w:r>
      <w:r w:rsidRPr="008B3EA2">
        <w:rPr>
          <w:rFonts w:ascii="Times New Roman" w:eastAsia="Times New Roman" w:hAnsi="Times New Roman" w:cs="Times New Roman"/>
          <w:sz w:val="24"/>
          <w:szCs w:val="24"/>
        </w:rPr>
        <w:t xml:space="preserve"> favor.  Unsubstantiated assertions, personal opinions or perceptions do not constitute evidence.  </w:t>
      </w:r>
      <w:r w:rsidRPr="008B3EA2">
        <w:rPr>
          <w:rFonts w:ascii="Times New Roman" w:eastAsia="Times New Roman" w:hAnsi="Times New Roman" w:cs="Times New Roman"/>
          <w:snapToGrid w:val="0"/>
          <w:sz w:val="24"/>
          <w:szCs w:val="24"/>
        </w:rPr>
        <w:t xml:space="preserve">See </w:t>
      </w:r>
      <w:r w:rsidRPr="008B3EA2">
        <w:rPr>
          <w:rFonts w:ascii="Times New Roman" w:eastAsia="Times New Roman" w:hAnsi="Times New Roman" w:cs="Times New Roman"/>
          <w:i/>
          <w:snapToGrid w:val="0"/>
          <w:sz w:val="24"/>
          <w:szCs w:val="24"/>
        </w:rPr>
        <w:t>Pennsylvania Bureau of Corrections v. City of Pittsburgh</w:t>
      </w:r>
      <w:r w:rsidRPr="008B3EA2">
        <w:rPr>
          <w:rFonts w:ascii="Times New Roman" w:eastAsia="Times New Roman" w:hAnsi="Times New Roman" w:cs="Times New Roman"/>
          <w:snapToGrid w:val="0"/>
          <w:sz w:val="24"/>
          <w:szCs w:val="24"/>
        </w:rPr>
        <w:t xml:space="preserve">, </w:t>
      </w:r>
      <w:proofErr w:type="gramStart"/>
      <w:r w:rsidRPr="008B3EA2">
        <w:rPr>
          <w:rFonts w:ascii="Times New Roman" w:eastAsia="Times New Roman" w:hAnsi="Times New Roman" w:cs="Times New Roman"/>
          <w:snapToGrid w:val="0"/>
          <w:sz w:val="24"/>
          <w:szCs w:val="24"/>
        </w:rPr>
        <w:t>532 A.2d 12</w:t>
      </w:r>
      <w:proofErr w:type="gramEnd"/>
      <w:r w:rsidRPr="008B3EA2">
        <w:rPr>
          <w:rFonts w:ascii="Times New Roman" w:eastAsia="Times New Roman" w:hAnsi="Times New Roman" w:cs="Times New Roman"/>
          <w:snapToGrid w:val="0"/>
          <w:sz w:val="24"/>
          <w:szCs w:val="24"/>
        </w:rPr>
        <w:t xml:space="preserve"> (1987).</w:t>
      </w:r>
      <w:r w:rsidRPr="008B3EA2">
        <w:rPr>
          <w:rFonts w:ascii="Times New Roman" w:eastAsia="Times New Roman" w:hAnsi="Times New Roman" w:cs="Times New Roman"/>
          <w:snapToGrid w:val="0"/>
          <w:spacing w:val="-3"/>
          <w:sz w:val="24"/>
          <w:szCs w:val="24"/>
        </w:rPr>
        <w:t xml:space="preserve">  </w:t>
      </w:r>
      <w:r>
        <w:rPr>
          <w:rFonts w:ascii="Times New Roman" w:eastAsia="Times New Roman" w:hAnsi="Times New Roman" w:cs="Times New Roman"/>
          <w:snapToGrid w:val="0"/>
          <w:spacing w:val="-3"/>
          <w:sz w:val="24"/>
          <w:szCs w:val="24"/>
        </w:rPr>
        <w:t xml:space="preserve">I </w:t>
      </w:r>
      <w:r w:rsidR="002C0BE9">
        <w:rPr>
          <w:rFonts w:ascii="Times New Roman" w:eastAsia="Times New Roman" w:hAnsi="Times New Roman" w:cs="Times New Roman"/>
          <w:snapToGrid w:val="0"/>
          <w:spacing w:val="-3"/>
          <w:sz w:val="24"/>
          <w:szCs w:val="24"/>
        </w:rPr>
        <w:t>provided Ms. Morris with an opportunity to submit supporting documentatio</w:t>
      </w:r>
      <w:r w:rsidR="000E0EF1">
        <w:rPr>
          <w:rFonts w:ascii="Times New Roman" w:eastAsia="Times New Roman" w:hAnsi="Times New Roman" w:cs="Times New Roman"/>
          <w:snapToGrid w:val="0"/>
          <w:spacing w:val="-3"/>
          <w:sz w:val="24"/>
          <w:szCs w:val="24"/>
        </w:rPr>
        <w:t>n as a late-</w:t>
      </w:r>
      <w:r w:rsidR="002C0BE9">
        <w:rPr>
          <w:rFonts w:ascii="Times New Roman" w:eastAsia="Times New Roman" w:hAnsi="Times New Roman" w:cs="Times New Roman"/>
          <w:snapToGrid w:val="0"/>
          <w:spacing w:val="-3"/>
          <w:sz w:val="24"/>
          <w:szCs w:val="24"/>
        </w:rPr>
        <w:t xml:space="preserve">filed exhibit, but she </w:t>
      </w:r>
      <w:r w:rsidR="0004552F">
        <w:rPr>
          <w:rFonts w:ascii="Times New Roman" w:eastAsia="Times New Roman" w:hAnsi="Times New Roman" w:cs="Times New Roman"/>
          <w:snapToGrid w:val="0"/>
          <w:spacing w:val="-3"/>
          <w:sz w:val="24"/>
          <w:szCs w:val="24"/>
        </w:rPr>
        <w:t xml:space="preserve">did </w:t>
      </w:r>
      <w:r w:rsidR="002C0BE9">
        <w:rPr>
          <w:rFonts w:ascii="Times New Roman" w:eastAsia="Times New Roman" w:hAnsi="Times New Roman" w:cs="Times New Roman"/>
          <w:snapToGrid w:val="0"/>
          <w:spacing w:val="-3"/>
          <w:sz w:val="24"/>
          <w:szCs w:val="24"/>
        </w:rPr>
        <w:t xml:space="preserve">not avail herself of that opportunity.  </w:t>
      </w:r>
      <w:r w:rsidRPr="008B3EA2">
        <w:rPr>
          <w:rFonts w:ascii="Times New Roman" w:eastAsia="Calibri" w:hAnsi="Times New Roman" w:cs="Times New Roman"/>
          <w:sz w:val="24"/>
          <w:szCs w:val="24"/>
        </w:rPr>
        <w:t xml:space="preserve">The Respondent submitted business records indicating </w:t>
      </w:r>
      <w:r>
        <w:rPr>
          <w:rFonts w:ascii="Times New Roman" w:eastAsia="Calibri" w:hAnsi="Times New Roman" w:cs="Times New Roman"/>
          <w:sz w:val="24"/>
          <w:szCs w:val="24"/>
        </w:rPr>
        <w:t>that Ms. Morris made only two payments</w:t>
      </w:r>
      <w:r w:rsidR="0004552F">
        <w:rPr>
          <w:rFonts w:ascii="Times New Roman" w:eastAsia="Calibri" w:hAnsi="Times New Roman" w:cs="Times New Roman"/>
          <w:sz w:val="24"/>
          <w:szCs w:val="24"/>
        </w:rPr>
        <w:t xml:space="preserve"> </w:t>
      </w:r>
      <w:r w:rsidR="0004552F">
        <w:rPr>
          <w:rFonts w:ascii="Times New Roman" w:eastAsia="Times New Roman" w:hAnsi="Times New Roman" w:cs="Times New Roman"/>
          <w:sz w:val="24"/>
          <w:szCs w:val="24"/>
        </w:rPr>
        <w:t>b</w:t>
      </w:r>
      <w:r w:rsidR="0004552F" w:rsidRPr="00EC0284">
        <w:rPr>
          <w:rFonts w:ascii="Times New Roman" w:eastAsia="Times New Roman" w:hAnsi="Times New Roman" w:cs="Times New Roman"/>
          <w:sz w:val="24"/>
          <w:szCs w:val="24"/>
        </w:rPr>
        <w:t>etween July 22, 2013, and July 1, 2014</w:t>
      </w:r>
      <w:r>
        <w:rPr>
          <w:rFonts w:ascii="Times New Roman" w:eastAsia="Calibri" w:hAnsi="Times New Roman" w:cs="Times New Roman"/>
          <w:sz w:val="24"/>
          <w:szCs w:val="24"/>
        </w:rPr>
        <w:t xml:space="preserve">. </w:t>
      </w:r>
      <w:r w:rsidRPr="008B3EA2">
        <w:rPr>
          <w:rFonts w:ascii="Times New Roman" w:eastAsia="Calibri" w:hAnsi="Times New Roman" w:cs="Times New Roman"/>
          <w:sz w:val="24"/>
          <w:szCs w:val="24"/>
        </w:rPr>
        <w:t xml:space="preserve"> This evidence is entitled to more weight than the Complainant’s </w:t>
      </w:r>
      <w:r w:rsidRPr="008B3EA2">
        <w:rPr>
          <w:rFonts w:ascii="Times New Roman" w:eastAsia="Calibri" w:hAnsi="Times New Roman" w:cs="Times New Roman"/>
          <w:bCs/>
          <w:sz w:val="24"/>
          <w:szCs w:val="24"/>
        </w:rPr>
        <w:t>unsubstantiated</w:t>
      </w:r>
      <w:r w:rsidRPr="008B3EA2">
        <w:rPr>
          <w:rFonts w:ascii="Times New Roman" w:eastAsia="Calibri" w:hAnsi="Times New Roman" w:cs="Times New Roman"/>
          <w:b/>
          <w:sz w:val="24"/>
          <w:szCs w:val="24"/>
        </w:rPr>
        <w:t xml:space="preserve"> </w:t>
      </w:r>
      <w:r w:rsidRPr="008B3EA2">
        <w:rPr>
          <w:rFonts w:ascii="Times New Roman" w:eastAsia="Calibri" w:hAnsi="Times New Roman" w:cs="Times New Roman"/>
          <w:sz w:val="24"/>
          <w:szCs w:val="24"/>
        </w:rPr>
        <w:t>claims that</w:t>
      </w:r>
      <w:r w:rsidR="002C0BE9">
        <w:rPr>
          <w:rFonts w:ascii="Times New Roman" w:eastAsia="Calibri" w:hAnsi="Times New Roman" w:cs="Times New Roman"/>
          <w:sz w:val="24"/>
          <w:szCs w:val="24"/>
        </w:rPr>
        <w:t>,</w:t>
      </w:r>
      <w:r w:rsidRPr="008B3EA2">
        <w:rPr>
          <w:rFonts w:ascii="Times New Roman" w:eastAsia="Calibri" w:hAnsi="Times New Roman" w:cs="Times New Roman"/>
          <w:sz w:val="24"/>
          <w:szCs w:val="24"/>
        </w:rPr>
        <w:t xml:space="preserve"> </w:t>
      </w:r>
      <w:r w:rsidR="002C0BE9">
        <w:rPr>
          <w:rFonts w:ascii="Times New Roman" w:eastAsia="Calibri" w:hAnsi="Times New Roman" w:cs="Times New Roman"/>
          <w:sz w:val="24"/>
          <w:szCs w:val="24"/>
        </w:rPr>
        <w:t>as of the day of the hearing, she had missed only one payment in 2014</w:t>
      </w:r>
      <w:r w:rsidRPr="008B3EA2">
        <w:rPr>
          <w:rFonts w:ascii="Times New Roman" w:eastAsia="Calibri" w:hAnsi="Times New Roman" w:cs="Times New Roman"/>
          <w:sz w:val="24"/>
          <w:szCs w:val="24"/>
        </w:rPr>
        <w:t>.</w:t>
      </w:r>
      <w:r w:rsidRPr="008B3EA2">
        <w:rPr>
          <w:rFonts w:ascii="Times New Roman" w:eastAsia="Times New Roman" w:hAnsi="Times New Roman" w:cs="Times New Roman"/>
          <w:snapToGrid w:val="0"/>
          <w:sz w:val="24"/>
          <w:szCs w:val="24"/>
        </w:rPr>
        <w:t xml:space="preserve">  See </w:t>
      </w:r>
      <w:r w:rsidRPr="008B3EA2">
        <w:rPr>
          <w:rFonts w:ascii="Times New Roman" w:eastAsia="Times New Roman" w:hAnsi="Times New Roman" w:cs="Times New Roman"/>
          <w:i/>
          <w:snapToGrid w:val="0"/>
          <w:spacing w:val="-3"/>
          <w:sz w:val="24"/>
          <w:szCs w:val="24"/>
        </w:rPr>
        <w:t>Richard Kirby v. PPL Electric Utilities Corporation</w:t>
      </w:r>
      <w:r w:rsidRPr="008B3EA2">
        <w:rPr>
          <w:rFonts w:ascii="Times New Roman" w:eastAsia="Times New Roman" w:hAnsi="Times New Roman" w:cs="Times New Roman"/>
          <w:snapToGrid w:val="0"/>
          <w:spacing w:val="-3"/>
          <w:sz w:val="24"/>
          <w:szCs w:val="24"/>
        </w:rPr>
        <w:t>, Docket No. C</w:t>
      </w:r>
      <w:r w:rsidRPr="008B3EA2">
        <w:rPr>
          <w:rFonts w:ascii="Times New Roman" w:eastAsia="Times New Roman" w:hAnsi="Times New Roman" w:cs="Times New Roman"/>
          <w:snapToGrid w:val="0"/>
          <w:spacing w:val="-3"/>
          <w:sz w:val="24"/>
          <w:szCs w:val="24"/>
        </w:rPr>
        <w:noBreakHyphen/>
        <w:t>20066297 (Final O</w:t>
      </w:r>
      <w:r w:rsidR="002C0BE9">
        <w:rPr>
          <w:rFonts w:ascii="Times New Roman" w:eastAsia="Times New Roman" w:hAnsi="Times New Roman" w:cs="Times New Roman"/>
          <w:snapToGrid w:val="0"/>
          <w:spacing w:val="-3"/>
          <w:sz w:val="24"/>
          <w:szCs w:val="24"/>
        </w:rPr>
        <w:t>rder entered November 16, 2006)</w:t>
      </w:r>
      <w:r w:rsidR="0004552F">
        <w:rPr>
          <w:rFonts w:ascii="Times New Roman" w:eastAsia="Times New Roman" w:hAnsi="Times New Roman" w:cs="Times New Roman"/>
          <w:snapToGrid w:val="0"/>
          <w:spacing w:val="-3"/>
          <w:sz w:val="24"/>
          <w:szCs w:val="24"/>
        </w:rPr>
        <w:t xml:space="preserve">, </w:t>
      </w:r>
      <w:r w:rsidR="005F20ED">
        <w:rPr>
          <w:rFonts w:ascii="Times New Roman" w:eastAsia="Times New Roman" w:hAnsi="Times New Roman" w:cs="Times New Roman"/>
          <w:snapToGrid w:val="0"/>
          <w:spacing w:val="-3"/>
          <w:sz w:val="24"/>
          <w:szCs w:val="24"/>
        </w:rPr>
        <w:t xml:space="preserve">see also, </w:t>
      </w:r>
      <w:r w:rsidR="0004552F">
        <w:rPr>
          <w:rFonts w:ascii="Times New Roman" w:eastAsia="Times New Roman" w:hAnsi="Times New Roman" w:cs="Times New Roman"/>
          <w:snapToGrid w:val="0"/>
          <w:spacing w:val="-3"/>
          <w:sz w:val="24"/>
          <w:szCs w:val="24"/>
        </w:rPr>
        <w:t>Tr. 25.  Consequently, the Complainant has failed to carry her burden of proving that her outstanding balance with PGW fails to reflect all the payments she has made to her account.</w:t>
      </w:r>
    </w:p>
    <w:p w:rsidR="0004552F" w:rsidRDefault="0004552F" w:rsidP="00933DE0">
      <w:pPr>
        <w:spacing w:after="0" w:line="360" w:lineRule="auto"/>
        <w:ind w:firstLine="1440"/>
        <w:rPr>
          <w:rFonts w:ascii="Times New Roman" w:eastAsia="Times New Roman" w:hAnsi="Times New Roman" w:cs="Times New Roman"/>
          <w:snapToGrid w:val="0"/>
          <w:spacing w:val="-3"/>
          <w:sz w:val="24"/>
          <w:szCs w:val="24"/>
        </w:rPr>
      </w:pPr>
    </w:p>
    <w:p w:rsidR="004448B5" w:rsidRDefault="0004552F" w:rsidP="004448B5">
      <w:pPr>
        <w:spacing w:after="0" w:line="360" w:lineRule="auto"/>
        <w:ind w:firstLine="1440"/>
        <w:rPr>
          <w:rFonts w:ascii="Times New Roman" w:eastAsia="Times New Roman" w:hAnsi="Times New Roman" w:cs="Times New Roman"/>
          <w:snapToGrid w:val="0"/>
          <w:spacing w:val="-3"/>
          <w:sz w:val="24"/>
          <w:szCs w:val="24"/>
        </w:rPr>
      </w:pPr>
      <w:r>
        <w:rPr>
          <w:rFonts w:ascii="Times New Roman" w:eastAsia="Times New Roman" w:hAnsi="Times New Roman" w:cs="Times New Roman"/>
          <w:snapToGrid w:val="0"/>
          <w:spacing w:val="-3"/>
          <w:sz w:val="24"/>
          <w:szCs w:val="24"/>
        </w:rPr>
        <w:t>For the reaso</w:t>
      </w:r>
      <w:r w:rsidR="005C2575">
        <w:rPr>
          <w:rFonts w:ascii="Times New Roman" w:eastAsia="Times New Roman" w:hAnsi="Times New Roman" w:cs="Times New Roman"/>
          <w:snapToGrid w:val="0"/>
          <w:spacing w:val="-3"/>
          <w:sz w:val="24"/>
          <w:szCs w:val="24"/>
        </w:rPr>
        <w:t xml:space="preserve">ns stated above, </w:t>
      </w:r>
      <w:r w:rsidR="005F20ED">
        <w:rPr>
          <w:rFonts w:ascii="Times New Roman" w:eastAsia="Times New Roman" w:hAnsi="Times New Roman" w:cs="Times New Roman"/>
          <w:snapToGrid w:val="0"/>
          <w:spacing w:val="-3"/>
          <w:sz w:val="24"/>
          <w:szCs w:val="24"/>
        </w:rPr>
        <w:t>Monica Morris’</w:t>
      </w:r>
      <w:r>
        <w:rPr>
          <w:rFonts w:ascii="Times New Roman" w:eastAsia="Times New Roman" w:hAnsi="Times New Roman" w:cs="Times New Roman"/>
          <w:snapToGrid w:val="0"/>
          <w:spacing w:val="-3"/>
          <w:sz w:val="24"/>
          <w:szCs w:val="24"/>
        </w:rPr>
        <w:t xml:space="preserve"> present Complaint against</w:t>
      </w:r>
      <w:r w:rsidR="005F20ED">
        <w:rPr>
          <w:rFonts w:ascii="Times New Roman" w:eastAsia="Times New Roman" w:hAnsi="Times New Roman" w:cs="Times New Roman"/>
          <w:snapToGrid w:val="0"/>
          <w:spacing w:val="-3"/>
          <w:sz w:val="24"/>
          <w:szCs w:val="24"/>
        </w:rPr>
        <w:t xml:space="preserve"> Philadelphia Gas Works at Docket No. C-2014-2418125</w:t>
      </w:r>
      <w:r>
        <w:rPr>
          <w:rFonts w:ascii="Times New Roman" w:eastAsia="Times New Roman" w:hAnsi="Times New Roman" w:cs="Times New Roman"/>
          <w:snapToGrid w:val="0"/>
          <w:spacing w:val="-3"/>
          <w:sz w:val="24"/>
          <w:szCs w:val="24"/>
        </w:rPr>
        <w:t xml:space="preserve"> is dismissed in its entirety </w:t>
      </w:r>
      <w:r w:rsidR="005F20ED">
        <w:rPr>
          <w:rFonts w:ascii="Times New Roman" w:eastAsia="Times New Roman" w:hAnsi="Times New Roman" w:cs="Times New Roman"/>
          <w:snapToGrid w:val="0"/>
          <w:spacing w:val="-3"/>
          <w:sz w:val="24"/>
          <w:szCs w:val="24"/>
        </w:rPr>
        <w:t xml:space="preserve">for failure to carry the </w:t>
      </w:r>
      <w:r>
        <w:rPr>
          <w:rFonts w:ascii="Times New Roman" w:eastAsia="Times New Roman" w:hAnsi="Times New Roman" w:cs="Times New Roman"/>
          <w:snapToGrid w:val="0"/>
          <w:spacing w:val="-3"/>
          <w:sz w:val="24"/>
          <w:szCs w:val="24"/>
        </w:rPr>
        <w:t xml:space="preserve">burden of proof.  </w:t>
      </w:r>
    </w:p>
    <w:p w:rsidR="00F42CB6" w:rsidRDefault="00F42CB6" w:rsidP="00F42CB6">
      <w:pPr>
        <w:spacing w:after="0" w:line="360" w:lineRule="auto"/>
        <w:ind w:firstLine="1440"/>
        <w:rPr>
          <w:rFonts w:ascii="Times New Roman" w:hAnsi="Times New Roman" w:cs="Times New Roman"/>
          <w:sz w:val="24"/>
          <w:szCs w:val="24"/>
        </w:rPr>
      </w:pPr>
    </w:p>
    <w:p w:rsidR="00F42CB6" w:rsidRPr="00E604A9" w:rsidRDefault="00F42CB6" w:rsidP="00F42CB6">
      <w:pPr>
        <w:spacing w:after="0" w:line="360" w:lineRule="auto"/>
        <w:ind w:firstLine="1440"/>
        <w:rPr>
          <w:rFonts w:ascii="Times New Roman" w:eastAsia="Times New Roman" w:hAnsi="Times New Roman" w:cs="Times New Roman"/>
          <w:sz w:val="24"/>
          <w:szCs w:val="26"/>
        </w:rPr>
      </w:pPr>
    </w:p>
    <w:p w:rsidR="00F42CB6" w:rsidRPr="00E604A9" w:rsidRDefault="00F42CB6" w:rsidP="00F42CB6">
      <w:pPr>
        <w:spacing w:after="0" w:line="360" w:lineRule="auto"/>
        <w:jc w:val="center"/>
        <w:outlineLvl w:val="0"/>
        <w:rPr>
          <w:rFonts w:ascii="Times New Roman" w:eastAsia="Times New Roman" w:hAnsi="Times New Roman" w:cs="Times New Roman"/>
          <w:spacing w:val="-3"/>
          <w:sz w:val="24"/>
          <w:szCs w:val="24"/>
          <w:u w:val="single"/>
        </w:rPr>
      </w:pPr>
      <w:r w:rsidRPr="00E604A9">
        <w:rPr>
          <w:rFonts w:ascii="Times New Roman" w:eastAsia="Times New Roman" w:hAnsi="Times New Roman" w:cs="Times New Roman"/>
          <w:spacing w:val="-3"/>
          <w:sz w:val="24"/>
          <w:szCs w:val="24"/>
          <w:u w:val="single"/>
        </w:rPr>
        <w:t>CONCLUSIONS OF LAW</w:t>
      </w:r>
    </w:p>
    <w:p w:rsidR="00F42CB6" w:rsidRPr="00E604A9" w:rsidRDefault="00F42CB6" w:rsidP="00F42CB6">
      <w:pPr>
        <w:spacing w:after="0" w:line="360" w:lineRule="auto"/>
        <w:rPr>
          <w:rFonts w:ascii="Times New Roman" w:eastAsia="Times New Roman" w:hAnsi="Times New Roman" w:cs="Times New Roman"/>
          <w:spacing w:val="-3"/>
          <w:sz w:val="24"/>
          <w:szCs w:val="24"/>
        </w:rPr>
      </w:pPr>
    </w:p>
    <w:p w:rsidR="00F42CB6" w:rsidRPr="00E604A9" w:rsidRDefault="00F42CB6" w:rsidP="00F42CB6">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1.</w:t>
      </w:r>
      <w:r w:rsidRPr="00E604A9">
        <w:rPr>
          <w:rFonts w:ascii="Times New Roman" w:eastAsia="Times New Roman" w:hAnsi="Times New Roman" w:cs="Times New Roman"/>
          <w:spacing w:val="-3"/>
          <w:sz w:val="24"/>
          <w:szCs w:val="24"/>
        </w:rPr>
        <w:tab/>
        <w:t xml:space="preserve">The Commission has jurisdiction over the parties and the subject matter of this proceeding.  </w:t>
      </w:r>
      <w:proofErr w:type="gramStart"/>
      <w:r w:rsidRPr="00E604A9">
        <w:rPr>
          <w:rFonts w:ascii="Times New Roman" w:eastAsia="Times New Roman" w:hAnsi="Times New Roman" w:cs="Times New Roman"/>
          <w:spacing w:val="-3"/>
          <w:sz w:val="24"/>
          <w:szCs w:val="24"/>
        </w:rPr>
        <w:t>66 Pa. C.S.A. § 701.</w:t>
      </w:r>
      <w:proofErr w:type="gramEnd"/>
    </w:p>
    <w:p w:rsidR="00F42CB6" w:rsidRPr="00E604A9" w:rsidRDefault="00F42CB6" w:rsidP="00F42CB6">
      <w:pPr>
        <w:spacing w:after="0" w:line="360" w:lineRule="auto"/>
        <w:rPr>
          <w:rFonts w:ascii="Times New Roman" w:eastAsia="Times New Roman" w:hAnsi="Times New Roman" w:cs="Times New Roman"/>
          <w:spacing w:val="-3"/>
          <w:sz w:val="24"/>
          <w:szCs w:val="24"/>
        </w:rPr>
      </w:pPr>
    </w:p>
    <w:p w:rsidR="00F42CB6" w:rsidRDefault="00F42CB6" w:rsidP="00F42CB6">
      <w:pPr>
        <w:spacing w:after="0" w:line="360" w:lineRule="auto"/>
        <w:ind w:firstLine="1440"/>
        <w:rPr>
          <w:rFonts w:ascii="Times New Roman" w:eastAsia="Times New Roman" w:hAnsi="Times New Roman" w:cs="Times New Roman"/>
          <w:sz w:val="24"/>
          <w:szCs w:val="24"/>
        </w:rPr>
      </w:pPr>
      <w:r w:rsidRPr="00E604A9">
        <w:rPr>
          <w:rFonts w:ascii="Times New Roman" w:eastAsia="Times New Roman" w:hAnsi="Times New Roman" w:cs="Times New Roman"/>
          <w:spacing w:val="-3"/>
          <w:sz w:val="24"/>
          <w:szCs w:val="24"/>
        </w:rPr>
        <w:t>2.</w:t>
      </w:r>
      <w:r w:rsidRPr="00E604A9">
        <w:rPr>
          <w:rFonts w:ascii="Times New Roman" w:eastAsia="Times New Roman" w:hAnsi="Times New Roman" w:cs="Times New Roman"/>
          <w:spacing w:val="-3"/>
          <w:sz w:val="24"/>
          <w:szCs w:val="24"/>
        </w:rPr>
        <w:tab/>
      </w:r>
      <w:r w:rsidRPr="00B0742D">
        <w:rPr>
          <w:rFonts w:ascii="Times New Roman" w:eastAsia="Times New Roman" w:hAnsi="Times New Roman" w:cs="Times New Roman"/>
          <w:spacing w:val="-3"/>
          <w:sz w:val="24"/>
          <w:szCs w:val="24"/>
        </w:rPr>
        <w:t xml:space="preserve">The Complainant seeking affirmative relief from the Commission has the burden of proving the Complaint allegations by producing evidence which established material facts by a preponderance of the evidence.  </w:t>
      </w:r>
      <w:proofErr w:type="gramStart"/>
      <w:r w:rsidRPr="00B0742D">
        <w:rPr>
          <w:rFonts w:ascii="Times New Roman" w:eastAsia="Times New Roman" w:hAnsi="Times New Roman" w:cs="Times New Roman"/>
          <w:spacing w:val="-3"/>
          <w:sz w:val="24"/>
          <w:szCs w:val="24"/>
        </w:rPr>
        <w:t>66 Pa.C.S.A.</w:t>
      </w:r>
      <w:proofErr w:type="gramEnd"/>
      <w:r w:rsidRPr="00B0742D">
        <w:rPr>
          <w:rFonts w:ascii="Times New Roman" w:eastAsia="Times New Roman" w:hAnsi="Times New Roman" w:cs="Times New Roman"/>
          <w:spacing w:val="-3"/>
          <w:sz w:val="24"/>
          <w:szCs w:val="24"/>
        </w:rPr>
        <w:t xml:space="preserve"> § 332(a).</w:t>
      </w:r>
    </w:p>
    <w:p w:rsidR="00F42CB6" w:rsidRPr="00E604A9" w:rsidRDefault="00F42CB6" w:rsidP="00F42CB6">
      <w:pPr>
        <w:spacing w:after="0" w:line="360" w:lineRule="auto"/>
        <w:ind w:firstLine="1440"/>
        <w:rPr>
          <w:rFonts w:ascii="Times New Roman" w:eastAsia="Times New Roman" w:hAnsi="Times New Roman" w:cs="Times New Roman"/>
          <w:sz w:val="24"/>
          <w:szCs w:val="24"/>
        </w:rPr>
      </w:pPr>
      <w:r w:rsidRPr="00E604A9">
        <w:rPr>
          <w:rFonts w:ascii="Times New Roman" w:eastAsia="Times New Roman" w:hAnsi="Times New Roman" w:cs="Times New Roman"/>
          <w:sz w:val="24"/>
          <w:szCs w:val="24"/>
        </w:rPr>
        <w:t xml:space="preserve"> </w:t>
      </w:r>
    </w:p>
    <w:p w:rsidR="00F42CB6" w:rsidRPr="00B0742D" w:rsidRDefault="00F42CB6" w:rsidP="00F42CB6">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z w:val="24"/>
          <w:szCs w:val="24"/>
        </w:rPr>
        <w:t>3.</w:t>
      </w:r>
      <w:r w:rsidRPr="00E604A9">
        <w:rPr>
          <w:rFonts w:ascii="Times New Roman" w:eastAsia="Times New Roman" w:hAnsi="Times New Roman" w:cs="Times New Roman"/>
          <w:sz w:val="24"/>
          <w:szCs w:val="24"/>
        </w:rPr>
        <w:tab/>
      </w:r>
      <w:r w:rsidRPr="000E54FA">
        <w:rPr>
          <w:rFonts w:ascii="Times New Roman" w:hAnsi="Times New Roman" w:cs="Times New Roman"/>
          <w:sz w:val="24"/>
          <w:szCs w:val="24"/>
        </w:rPr>
        <w:t xml:space="preserve"> </w:t>
      </w:r>
      <w:r w:rsidRPr="00B0742D">
        <w:rPr>
          <w:rFonts w:ascii="Times New Roman" w:eastAsia="Times New Roman" w:hAnsi="Times New Roman" w:cs="Times New Roman"/>
          <w:spacing w:val="-3"/>
          <w:sz w:val="24"/>
          <w:szCs w:val="24"/>
        </w:rPr>
        <w:t xml:space="preserve">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B0742D">
        <w:rPr>
          <w:rFonts w:ascii="Times New Roman" w:eastAsia="Times New Roman" w:hAnsi="Times New Roman" w:cs="Times New Roman"/>
          <w:bCs/>
          <w:i/>
          <w:spacing w:val="-3"/>
          <w:sz w:val="24"/>
          <w:szCs w:val="24"/>
        </w:rPr>
        <w:t>Waldron</w:t>
      </w:r>
      <w:r w:rsidRPr="00B0742D">
        <w:rPr>
          <w:rFonts w:ascii="Times New Roman" w:eastAsia="Times New Roman" w:hAnsi="Times New Roman" w:cs="Times New Roman"/>
          <w:i/>
          <w:spacing w:val="-3"/>
          <w:sz w:val="24"/>
          <w:szCs w:val="24"/>
        </w:rPr>
        <w:t xml:space="preserve"> v. Philadelphia Electric Co.</w:t>
      </w:r>
      <w:r w:rsidRPr="00B0742D">
        <w:rPr>
          <w:rFonts w:ascii="Times New Roman" w:eastAsia="Times New Roman" w:hAnsi="Times New Roman" w:cs="Times New Roman"/>
          <w:i/>
          <w:iCs/>
          <w:spacing w:val="-3"/>
          <w:sz w:val="24"/>
          <w:szCs w:val="24"/>
        </w:rPr>
        <w:t>,</w:t>
      </w:r>
      <w:r w:rsidRPr="00B0742D">
        <w:rPr>
          <w:rFonts w:ascii="Times New Roman" w:eastAsia="Times New Roman" w:hAnsi="Times New Roman" w:cs="Times New Roman"/>
          <w:spacing w:val="-3"/>
          <w:sz w:val="24"/>
          <w:szCs w:val="24"/>
        </w:rPr>
        <w:t xml:space="preserve"> 54 Pa. PUC 98, 100 (1980).</w:t>
      </w:r>
      <w:proofErr w:type="gramEnd"/>
    </w:p>
    <w:p w:rsidR="00F42CB6" w:rsidRPr="00B0742D" w:rsidRDefault="00F42CB6" w:rsidP="00F42CB6">
      <w:pPr>
        <w:spacing w:after="0" w:line="360" w:lineRule="auto"/>
        <w:ind w:firstLine="1440"/>
        <w:rPr>
          <w:rFonts w:ascii="Times New Roman" w:eastAsia="Times New Roman" w:hAnsi="Times New Roman" w:cs="Times New Roman"/>
          <w:spacing w:val="-3"/>
          <w:sz w:val="24"/>
          <w:szCs w:val="24"/>
        </w:rPr>
      </w:pPr>
    </w:p>
    <w:p w:rsidR="00F42CB6" w:rsidRDefault="00F42CB6" w:rsidP="00F42CB6">
      <w:pPr>
        <w:spacing w:after="0" w:line="360" w:lineRule="auto"/>
        <w:ind w:firstLine="1440"/>
        <w:rPr>
          <w:rFonts w:ascii="Times New Roman" w:hAnsi="Times New Roman" w:cs="Times New Roman"/>
          <w:sz w:val="24"/>
          <w:szCs w:val="24"/>
        </w:rPr>
      </w:pPr>
      <w:r w:rsidRPr="00B0742D">
        <w:rPr>
          <w:rFonts w:ascii="Times New Roman" w:eastAsia="Calibri" w:hAnsi="Times New Roman" w:cs="Times New Roman"/>
          <w:sz w:val="24"/>
          <w:szCs w:val="24"/>
        </w:rPr>
        <w:t>4.</w:t>
      </w:r>
      <w:r w:rsidRPr="00B0742D">
        <w:rPr>
          <w:rFonts w:ascii="Times New Roman" w:eastAsia="Calibri" w:hAnsi="Times New Roman" w:cs="Times New Roman"/>
          <w:sz w:val="24"/>
          <w:szCs w:val="24"/>
        </w:rPr>
        <w:tab/>
        <w:t xml:space="preserve">Complainant has failed to carry her burden of proof under </w:t>
      </w:r>
      <w:r w:rsidRPr="00B0742D">
        <w:rPr>
          <w:rFonts w:ascii="Times New Roman" w:eastAsia="Calibri" w:hAnsi="Times New Roman" w:cs="Times New Roman"/>
          <w:i/>
          <w:sz w:val="24"/>
          <w:szCs w:val="24"/>
        </w:rPr>
        <w:t>Waldron</w:t>
      </w:r>
      <w:r w:rsidRPr="00B0742D">
        <w:rPr>
          <w:rFonts w:ascii="Times New Roman" w:eastAsia="Calibri" w:hAnsi="Times New Roman" w:cs="Times New Roman"/>
          <w:sz w:val="24"/>
          <w:szCs w:val="24"/>
        </w:rPr>
        <w:t xml:space="preserve"> with respect to the disputed bills.  </w:t>
      </w:r>
    </w:p>
    <w:p w:rsidR="00F42CB6" w:rsidRDefault="00F42CB6" w:rsidP="00F42CB6">
      <w:pPr>
        <w:spacing w:after="0" w:line="360" w:lineRule="auto"/>
        <w:ind w:firstLine="1440"/>
        <w:rPr>
          <w:rFonts w:ascii="Times New Roman" w:hAnsi="Times New Roman" w:cs="Times New Roman"/>
          <w:sz w:val="24"/>
          <w:szCs w:val="24"/>
        </w:rPr>
      </w:pPr>
    </w:p>
    <w:p w:rsidR="00F42CB6" w:rsidRPr="00F42CB6" w:rsidRDefault="00F42CB6" w:rsidP="00F42CB6">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E604A9">
        <w:rPr>
          <w:rFonts w:ascii="Times New Roman" w:eastAsia="Times New Roman" w:hAnsi="Times New Roman" w:cs="Times New Roman"/>
          <w:sz w:val="24"/>
          <w:szCs w:val="24"/>
        </w:rPr>
        <w:t xml:space="preserve">The Complainant failed to carry her burden of proving </w:t>
      </w:r>
      <w:r>
        <w:rPr>
          <w:rFonts w:ascii="Times New Roman" w:hAnsi="Times New Roman" w:cs="Times New Roman"/>
          <w:sz w:val="24"/>
          <w:szCs w:val="24"/>
        </w:rPr>
        <w:t xml:space="preserve">that PGW failed to properly credit her account for payments made.  </w:t>
      </w:r>
    </w:p>
    <w:p w:rsidR="00F42CB6" w:rsidRPr="00E604A9" w:rsidRDefault="00F42CB6" w:rsidP="00F42CB6">
      <w:pPr>
        <w:spacing w:after="0" w:line="360" w:lineRule="auto"/>
        <w:ind w:firstLine="1440"/>
        <w:rPr>
          <w:rFonts w:ascii="Times New Roman" w:eastAsia="Times New Roman" w:hAnsi="Times New Roman" w:cs="Times New Roman"/>
          <w:sz w:val="24"/>
          <w:szCs w:val="24"/>
        </w:rPr>
      </w:pPr>
    </w:p>
    <w:p w:rsidR="00F42CB6" w:rsidRPr="00E604A9" w:rsidRDefault="00F42CB6" w:rsidP="00F42CB6">
      <w:pPr>
        <w:spacing w:after="0" w:line="360" w:lineRule="auto"/>
        <w:jc w:val="center"/>
        <w:outlineLvl w:val="0"/>
        <w:rPr>
          <w:rFonts w:ascii="Times New Roman" w:eastAsia="Times New Roman" w:hAnsi="Times New Roman" w:cs="Times New Roman"/>
          <w:spacing w:val="-3"/>
          <w:sz w:val="24"/>
          <w:szCs w:val="24"/>
          <w:u w:val="single"/>
        </w:rPr>
      </w:pPr>
      <w:r w:rsidRPr="00E604A9">
        <w:rPr>
          <w:rFonts w:ascii="Times New Roman" w:eastAsia="Times New Roman" w:hAnsi="Times New Roman" w:cs="Times New Roman"/>
          <w:spacing w:val="-3"/>
          <w:sz w:val="24"/>
          <w:szCs w:val="24"/>
          <w:u w:val="single"/>
        </w:rPr>
        <w:t>ORDER</w:t>
      </w:r>
    </w:p>
    <w:p w:rsidR="00F42CB6" w:rsidRPr="00E604A9" w:rsidRDefault="00F42CB6" w:rsidP="00F42CB6">
      <w:pPr>
        <w:spacing w:after="0" w:line="360" w:lineRule="auto"/>
        <w:rPr>
          <w:rFonts w:ascii="Times New Roman" w:eastAsia="Times New Roman" w:hAnsi="Times New Roman" w:cs="Times New Roman"/>
          <w:spacing w:val="-3"/>
          <w:sz w:val="24"/>
          <w:szCs w:val="24"/>
        </w:rPr>
      </w:pPr>
    </w:p>
    <w:p w:rsidR="00F42CB6" w:rsidRPr="00E604A9" w:rsidRDefault="00F42CB6" w:rsidP="00F42CB6">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THEREFORE,</w:t>
      </w:r>
    </w:p>
    <w:p w:rsidR="00F42CB6" w:rsidRPr="00E604A9" w:rsidRDefault="00F42CB6" w:rsidP="00F42CB6">
      <w:pPr>
        <w:spacing w:after="0" w:line="360" w:lineRule="auto"/>
        <w:ind w:firstLine="1440"/>
        <w:rPr>
          <w:rFonts w:ascii="Times New Roman" w:eastAsia="Times New Roman" w:hAnsi="Times New Roman" w:cs="Times New Roman"/>
          <w:spacing w:val="-3"/>
          <w:sz w:val="24"/>
          <w:szCs w:val="24"/>
        </w:rPr>
      </w:pPr>
    </w:p>
    <w:p w:rsidR="00F42CB6" w:rsidRPr="00E604A9" w:rsidRDefault="00F42CB6" w:rsidP="00F42CB6">
      <w:pPr>
        <w:spacing w:after="0" w:line="360" w:lineRule="auto"/>
        <w:ind w:firstLine="1440"/>
        <w:outlineLvl w:val="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IT IS ORDERED:</w:t>
      </w:r>
    </w:p>
    <w:p w:rsidR="00F42CB6" w:rsidRPr="00E604A9" w:rsidRDefault="00F42CB6" w:rsidP="00F42CB6">
      <w:pPr>
        <w:spacing w:after="0" w:line="360" w:lineRule="auto"/>
        <w:rPr>
          <w:rFonts w:ascii="Times New Roman" w:eastAsia="Times New Roman" w:hAnsi="Times New Roman" w:cs="Times New Roman"/>
          <w:spacing w:val="-3"/>
          <w:sz w:val="24"/>
          <w:szCs w:val="24"/>
        </w:rPr>
      </w:pPr>
    </w:p>
    <w:p w:rsidR="00F42CB6" w:rsidRPr="00E604A9" w:rsidRDefault="00F42CB6" w:rsidP="00F42CB6">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1.</w:t>
      </w:r>
      <w:r w:rsidRPr="00E604A9">
        <w:rPr>
          <w:rFonts w:ascii="Times New Roman" w:eastAsia="Times New Roman" w:hAnsi="Times New Roman" w:cs="Times New Roman"/>
          <w:spacing w:val="-3"/>
          <w:sz w:val="24"/>
          <w:szCs w:val="24"/>
        </w:rPr>
        <w:tab/>
        <w:t xml:space="preserve">That </w:t>
      </w:r>
      <w:r>
        <w:rPr>
          <w:rFonts w:ascii="Times New Roman" w:eastAsia="Times New Roman" w:hAnsi="Times New Roman" w:cs="Times New Roman"/>
          <w:spacing w:val="-3"/>
          <w:sz w:val="24"/>
          <w:szCs w:val="24"/>
        </w:rPr>
        <w:t>PGW’s late-filed Exhibits 7 and 8 are</w:t>
      </w:r>
      <w:r w:rsidRPr="00E604A9">
        <w:rPr>
          <w:rFonts w:ascii="Times New Roman" w:eastAsia="Times New Roman" w:hAnsi="Times New Roman" w:cs="Times New Roman"/>
          <w:spacing w:val="-3"/>
          <w:sz w:val="24"/>
          <w:szCs w:val="24"/>
        </w:rPr>
        <w:t xml:space="preserve"> admitted into the record in this case.</w:t>
      </w:r>
    </w:p>
    <w:p w:rsidR="00F42CB6" w:rsidRPr="00E604A9" w:rsidRDefault="00F42CB6" w:rsidP="00F42CB6">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p>
    <w:p w:rsidR="00F42CB6" w:rsidRPr="00E604A9" w:rsidRDefault="00F42CB6" w:rsidP="00F42CB6">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2.</w:t>
      </w:r>
      <w:r w:rsidRPr="00E604A9">
        <w:rPr>
          <w:rFonts w:ascii="Times New Roman" w:eastAsia="Times New Roman" w:hAnsi="Times New Roman" w:cs="Times New Roman"/>
          <w:spacing w:val="-3"/>
          <w:sz w:val="24"/>
          <w:szCs w:val="24"/>
        </w:rPr>
        <w:tab/>
        <w:t xml:space="preserve">That the formal Complaint filed by </w:t>
      </w:r>
      <w:r>
        <w:rPr>
          <w:rFonts w:ascii="Times New Roman" w:eastAsia="Times New Roman" w:hAnsi="Times New Roman" w:cs="Times New Roman"/>
          <w:spacing w:val="-3"/>
          <w:sz w:val="24"/>
          <w:szCs w:val="24"/>
        </w:rPr>
        <w:t>Monica Morris against Philadelphia Gas Works at Docket No. C-2014-2418125</w:t>
      </w:r>
      <w:r w:rsidRPr="00E604A9">
        <w:rPr>
          <w:rFonts w:ascii="Times New Roman" w:eastAsia="Times New Roman" w:hAnsi="Times New Roman" w:cs="Times New Roman"/>
          <w:spacing w:val="-3"/>
          <w:sz w:val="24"/>
          <w:szCs w:val="24"/>
        </w:rPr>
        <w:t xml:space="preserve"> is dismissed i</w:t>
      </w:r>
      <w:r>
        <w:rPr>
          <w:rFonts w:ascii="Times New Roman" w:eastAsia="Times New Roman" w:hAnsi="Times New Roman" w:cs="Times New Roman"/>
          <w:spacing w:val="-3"/>
          <w:sz w:val="24"/>
          <w:szCs w:val="24"/>
        </w:rPr>
        <w:t>n its entirety</w:t>
      </w:r>
      <w:r w:rsidRPr="00E604A9">
        <w:rPr>
          <w:rFonts w:ascii="Times New Roman" w:eastAsia="Times New Roman" w:hAnsi="Times New Roman" w:cs="Times New Roman"/>
          <w:spacing w:val="-3"/>
          <w:sz w:val="24"/>
          <w:szCs w:val="24"/>
        </w:rPr>
        <w:t>.</w:t>
      </w:r>
    </w:p>
    <w:p w:rsidR="00F42CB6" w:rsidRPr="00E604A9" w:rsidRDefault="00F42CB6" w:rsidP="00F42CB6">
      <w:pPr>
        <w:spacing w:after="0" w:line="360" w:lineRule="auto"/>
        <w:ind w:firstLine="1440"/>
        <w:rPr>
          <w:rFonts w:ascii="Times New Roman" w:eastAsia="Times New Roman" w:hAnsi="Times New Roman" w:cs="Times New Roman"/>
          <w:spacing w:val="-3"/>
          <w:sz w:val="24"/>
          <w:szCs w:val="24"/>
        </w:rPr>
      </w:pPr>
    </w:p>
    <w:p w:rsidR="00F42CB6" w:rsidRPr="00E26536" w:rsidRDefault="006D144B" w:rsidP="00F42CB6">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3</w:t>
      </w:r>
      <w:r w:rsidR="00F42CB6" w:rsidRPr="00E26536">
        <w:rPr>
          <w:rFonts w:ascii="Times New Roman" w:eastAsia="Times New Roman" w:hAnsi="Times New Roman" w:cs="Times New Roman"/>
          <w:sz w:val="24"/>
          <w:szCs w:val="24"/>
        </w:rPr>
        <w:t>.</w:t>
      </w:r>
      <w:r w:rsidR="00F42CB6" w:rsidRPr="00E26536">
        <w:rPr>
          <w:rFonts w:ascii="Times New Roman" w:eastAsia="Times New Roman" w:hAnsi="Times New Roman" w:cs="Times New Roman"/>
          <w:sz w:val="24"/>
          <w:szCs w:val="24"/>
        </w:rPr>
        <w:tab/>
      </w:r>
      <w:r w:rsidR="00F42CB6" w:rsidRPr="00E26536">
        <w:rPr>
          <w:rFonts w:ascii="Times New Roman" w:eastAsia="Calibri" w:hAnsi="Times New Roman" w:cs="Times New Roman"/>
          <w:sz w:val="24"/>
          <w:szCs w:val="24"/>
        </w:rPr>
        <w:t xml:space="preserve">That the Secretary </w:t>
      </w:r>
      <w:proofErr w:type="gramStart"/>
      <w:r w:rsidR="00F42CB6" w:rsidRPr="00E26536">
        <w:rPr>
          <w:rFonts w:ascii="Times New Roman" w:eastAsia="Calibri" w:hAnsi="Times New Roman" w:cs="Times New Roman"/>
          <w:sz w:val="24"/>
          <w:szCs w:val="24"/>
        </w:rPr>
        <w:t>mark</w:t>
      </w:r>
      <w:proofErr w:type="gramEnd"/>
      <w:r w:rsidR="00F42CB6" w:rsidRPr="00E26536">
        <w:rPr>
          <w:rFonts w:ascii="Times New Roman" w:eastAsia="Calibri" w:hAnsi="Times New Roman" w:cs="Times New Roman"/>
          <w:sz w:val="24"/>
          <w:szCs w:val="24"/>
        </w:rPr>
        <w:t xml:space="preserve"> this docket closed.</w:t>
      </w:r>
    </w:p>
    <w:p w:rsidR="00F42CB6" w:rsidRPr="00E26536" w:rsidRDefault="00F42CB6" w:rsidP="00F42CB6">
      <w:pPr>
        <w:autoSpaceDE w:val="0"/>
        <w:autoSpaceDN w:val="0"/>
        <w:spacing w:after="0" w:line="360" w:lineRule="auto"/>
        <w:ind w:firstLine="1440"/>
        <w:rPr>
          <w:rFonts w:ascii="Times New Roman" w:eastAsia="Times New Roman" w:hAnsi="Times New Roman" w:cs="Times New Roman"/>
          <w:spacing w:val="-3"/>
          <w:sz w:val="24"/>
          <w:szCs w:val="24"/>
        </w:rPr>
      </w:pPr>
    </w:p>
    <w:p w:rsidR="00F42CB6" w:rsidRPr="00E26536" w:rsidRDefault="00F42CB6" w:rsidP="00F42CB6">
      <w:pPr>
        <w:spacing w:after="0" w:line="360" w:lineRule="auto"/>
        <w:ind w:left="1440"/>
        <w:rPr>
          <w:rFonts w:ascii="Times New Roman" w:eastAsia="Times New Roman" w:hAnsi="Times New Roman" w:cs="Times New Roman"/>
          <w:spacing w:val="-3"/>
          <w:sz w:val="24"/>
          <w:szCs w:val="24"/>
        </w:rPr>
      </w:pPr>
    </w:p>
    <w:p w:rsidR="005C2575" w:rsidRPr="000852FA" w:rsidRDefault="005C2575" w:rsidP="005C2575">
      <w:pPr>
        <w:tabs>
          <w:tab w:val="num" w:pos="2160"/>
          <w:tab w:val="left" w:pos="5048"/>
        </w:tabs>
        <w:spacing w:line="240" w:lineRule="auto"/>
        <w:rPr>
          <w:u w:val="single"/>
        </w:rPr>
      </w:pPr>
      <w:r>
        <w:rPr>
          <w:rFonts w:ascii="Times New Roman" w:eastAsia="Times New Roman" w:hAnsi="Times New Roman" w:cs="Times New Roman"/>
          <w:spacing w:val="-3"/>
          <w:sz w:val="24"/>
          <w:szCs w:val="24"/>
        </w:rPr>
        <w:t>Dated:  February 27, 2015</w:t>
      </w:r>
      <w:r>
        <w:tab/>
      </w:r>
      <w:r w:rsidRPr="000852FA">
        <w:rPr>
          <w:u w:val="single"/>
        </w:rPr>
        <w:tab/>
      </w:r>
      <w:r w:rsidRPr="000852FA">
        <w:rPr>
          <w:u w:val="single"/>
        </w:rPr>
        <w:tab/>
        <w:t>/s/</w:t>
      </w:r>
      <w:r w:rsidRPr="000852FA">
        <w:rPr>
          <w:u w:val="single"/>
        </w:rPr>
        <w:tab/>
      </w:r>
      <w:r w:rsidRPr="000852FA">
        <w:rPr>
          <w:u w:val="single"/>
        </w:rPr>
        <w:tab/>
      </w:r>
      <w:r w:rsidRPr="000852FA">
        <w:rPr>
          <w:u w:val="single"/>
        </w:rPr>
        <w:tab/>
      </w:r>
      <w:r>
        <w:rPr>
          <w:u w:val="single"/>
        </w:rPr>
        <w:t>_____</w:t>
      </w:r>
    </w:p>
    <w:p w:rsidR="005C2575" w:rsidRPr="005C2575" w:rsidRDefault="005C2575" w:rsidP="005C2575">
      <w:pPr>
        <w:pStyle w:val="NoSpacing"/>
        <w:rPr>
          <w:rFonts w:ascii="Times New Roman" w:hAnsi="Times New Roman" w:cs="Times New Roman"/>
          <w:sz w:val="24"/>
          <w:szCs w:val="24"/>
        </w:rPr>
      </w:pPr>
      <w:r w:rsidRPr="000852FA">
        <w:tab/>
      </w:r>
      <w:r w:rsidRPr="000852FA">
        <w:tab/>
      </w:r>
      <w:r>
        <w:tab/>
      </w:r>
      <w:r>
        <w:tab/>
      </w:r>
      <w:r>
        <w:tab/>
      </w:r>
      <w:r>
        <w:tab/>
      </w:r>
      <w:r>
        <w:tab/>
      </w:r>
      <w:r w:rsidRPr="005C2575">
        <w:rPr>
          <w:rFonts w:ascii="Times New Roman" w:hAnsi="Times New Roman" w:cs="Times New Roman"/>
          <w:sz w:val="24"/>
          <w:szCs w:val="24"/>
        </w:rPr>
        <w:t xml:space="preserve">Eranda Vero </w:t>
      </w:r>
    </w:p>
    <w:p w:rsidR="005C2575" w:rsidRPr="005C2575" w:rsidRDefault="005C2575" w:rsidP="005C2575">
      <w:pPr>
        <w:pStyle w:val="NoSpacing"/>
        <w:rPr>
          <w:rFonts w:ascii="Times New Roman" w:hAnsi="Times New Roman" w:cs="Times New Roman"/>
          <w:sz w:val="24"/>
          <w:szCs w:val="24"/>
        </w:rPr>
      </w:pPr>
      <w:r w:rsidRPr="005C2575">
        <w:rPr>
          <w:rFonts w:ascii="Times New Roman" w:hAnsi="Times New Roman" w:cs="Times New Roman"/>
          <w:sz w:val="24"/>
          <w:szCs w:val="24"/>
        </w:rPr>
        <w:tab/>
      </w:r>
      <w:r w:rsidRPr="005C257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2575">
        <w:rPr>
          <w:rFonts w:ascii="Times New Roman" w:hAnsi="Times New Roman" w:cs="Times New Roman"/>
          <w:sz w:val="24"/>
          <w:szCs w:val="24"/>
        </w:rPr>
        <w:t>Administrative Law Judge</w:t>
      </w:r>
    </w:p>
    <w:p w:rsidR="00F42CB6" w:rsidRPr="005C2575" w:rsidRDefault="00F42CB6" w:rsidP="005C2575">
      <w:pPr>
        <w:spacing w:after="0" w:line="240" w:lineRule="auto"/>
        <w:outlineLvl w:val="0"/>
        <w:rPr>
          <w:rFonts w:ascii="Times New Roman" w:eastAsia="Times New Roman" w:hAnsi="Times New Roman" w:cs="Times New Roman"/>
          <w:spacing w:val="-3"/>
          <w:sz w:val="24"/>
          <w:szCs w:val="24"/>
        </w:rPr>
      </w:pPr>
    </w:p>
    <w:p w:rsidR="00F42CB6" w:rsidRPr="00E604A9" w:rsidRDefault="00F42CB6" w:rsidP="00F42CB6">
      <w:pPr>
        <w:spacing w:after="0" w:line="360" w:lineRule="auto"/>
        <w:ind w:firstLine="1440"/>
        <w:rPr>
          <w:rFonts w:ascii="Times New Roman" w:eastAsia="Times New Roman" w:hAnsi="Times New Roman" w:cs="Times New Roman"/>
          <w:sz w:val="24"/>
          <w:szCs w:val="26"/>
        </w:rPr>
      </w:pPr>
    </w:p>
    <w:p w:rsidR="00F42CB6" w:rsidRPr="00E604A9" w:rsidRDefault="00F42CB6" w:rsidP="00F42CB6">
      <w:pPr>
        <w:spacing w:after="0" w:line="360" w:lineRule="auto"/>
        <w:ind w:firstLine="1440"/>
        <w:rPr>
          <w:rFonts w:ascii="Times New Roman" w:eastAsia="Times New Roman" w:hAnsi="Times New Roman" w:cs="Times New Roman"/>
          <w:sz w:val="24"/>
          <w:szCs w:val="26"/>
        </w:rPr>
      </w:pPr>
    </w:p>
    <w:p w:rsidR="00411041" w:rsidRDefault="00411041" w:rsidP="00306E92">
      <w:pPr>
        <w:ind w:firstLine="1440"/>
        <w:rPr>
          <w:rFonts w:ascii="Times New Roman" w:eastAsia="Times New Roman" w:hAnsi="Times New Roman" w:cs="Times New Roman"/>
          <w:sz w:val="24"/>
          <w:szCs w:val="24"/>
        </w:rPr>
      </w:pPr>
    </w:p>
    <w:p w:rsidR="005C3641" w:rsidRDefault="005C3641" w:rsidP="00306E92">
      <w:pPr>
        <w:ind w:firstLine="1440"/>
        <w:rPr>
          <w:rFonts w:ascii="Times New Roman" w:eastAsia="Times New Roman" w:hAnsi="Times New Roman" w:cs="Times New Roman"/>
          <w:sz w:val="24"/>
          <w:szCs w:val="24"/>
        </w:rPr>
      </w:pPr>
    </w:p>
    <w:p w:rsidR="005C3641" w:rsidRPr="00306E92" w:rsidRDefault="005C3641" w:rsidP="00306E92">
      <w:pPr>
        <w:ind w:firstLine="1440"/>
        <w:rPr>
          <w:rFonts w:ascii="Times New Roman" w:eastAsia="Times New Roman" w:hAnsi="Times New Roman" w:cs="Times New Roman"/>
          <w:sz w:val="24"/>
          <w:szCs w:val="24"/>
        </w:rPr>
      </w:pPr>
    </w:p>
    <w:p w:rsidR="00195424" w:rsidRPr="00195424" w:rsidRDefault="00195424" w:rsidP="00195424">
      <w:pPr>
        <w:rPr>
          <w:rFonts w:ascii="Calibri" w:eastAsia="Calibri" w:hAnsi="Calibri" w:cs="Times New Roman"/>
        </w:rPr>
      </w:pPr>
    </w:p>
    <w:sectPr w:rsidR="00195424" w:rsidRPr="00195424" w:rsidSect="00F41BDA">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55" w:rsidRDefault="002B4655" w:rsidP="0006494C">
      <w:pPr>
        <w:spacing w:after="0" w:line="240" w:lineRule="auto"/>
      </w:pPr>
      <w:r>
        <w:separator/>
      </w:r>
    </w:p>
  </w:endnote>
  <w:endnote w:type="continuationSeparator" w:id="0">
    <w:p w:rsidR="002B4655" w:rsidRDefault="002B4655" w:rsidP="0006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DA" w:rsidRDefault="00993980" w:rsidP="00F41B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1BDA" w:rsidRDefault="002B4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DA" w:rsidRPr="000B7EF6" w:rsidRDefault="00993980" w:rsidP="00F41BDA">
    <w:pPr>
      <w:pStyle w:val="Footer"/>
      <w:framePr w:wrap="around" w:vAnchor="text" w:hAnchor="margin" w:xAlign="center" w:y="1"/>
      <w:rPr>
        <w:rStyle w:val="PageNumber"/>
        <w:sz w:val="24"/>
        <w:szCs w:val="24"/>
      </w:rPr>
    </w:pPr>
    <w:r w:rsidRPr="000B7EF6">
      <w:rPr>
        <w:rStyle w:val="PageNumber"/>
        <w:sz w:val="24"/>
        <w:szCs w:val="24"/>
      </w:rPr>
      <w:fldChar w:fldCharType="begin"/>
    </w:r>
    <w:r w:rsidRPr="000B7EF6">
      <w:rPr>
        <w:rStyle w:val="PageNumber"/>
        <w:sz w:val="24"/>
        <w:szCs w:val="24"/>
      </w:rPr>
      <w:instrText xml:space="preserve">PAGE  </w:instrText>
    </w:r>
    <w:r w:rsidRPr="000B7EF6">
      <w:rPr>
        <w:rStyle w:val="PageNumber"/>
        <w:sz w:val="24"/>
        <w:szCs w:val="24"/>
      </w:rPr>
      <w:fldChar w:fldCharType="separate"/>
    </w:r>
    <w:r w:rsidR="0099035F">
      <w:rPr>
        <w:rStyle w:val="PageNumber"/>
        <w:noProof/>
        <w:sz w:val="24"/>
        <w:szCs w:val="24"/>
      </w:rPr>
      <w:t>12</w:t>
    </w:r>
    <w:r w:rsidRPr="000B7EF6">
      <w:rPr>
        <w:rStyle w:val="PageNumber"/>
        <w:sz w:val="24"/>
        <w:szCs w:val="24"/>
      </w:rPr>
      <w:fldChar w:fldCharType="end"/>
    </w:r>
  </w:p>
  <w:p w:rsidR="00F41BDA" w:rsidRDefault="002B4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55" w:rsidRDefault="002B4655" w:rsidP="0006494C">
      <w:pPr>
        <w:spacing w:after="0" w:line="240" w:lineRule="auto"/>
      </w:pPr>
      <w:r>
        <w:separator/>
      </w:r>
    </w:p>
  </w:footnote>
  <w:footnote w:type="continuationSeparator" w:id="0">
    <w:p w:rsidR="002B4655" w:rsidRDefault="002B4655" w:rsidP="0006494C">
      <w:pPr>
        <w:spacing w:after="0" w:line="240" w:lineRule="auto"/>
      </w:pPr>
      <w:r>
        <w:continuationSeparator/>
      </w:r>
    </w:p>
  </w:footnote>
  <w:footnote w:id="1">
    <w:p w:rsidR="00DD5CDC" w:rsidRDefault="00DD5CDC">
      <w:pPr>
        <w:pStyle w:val="FootnoteText"/>
        <w:rPr>
          <w:rFonts w:ascii="Times New Roman" w:eastAsia="Times New Roman" w:hAnsi="Times New Roman" w:cs="Times New Roman"/>
        </w:rPr>
      </w:pPr>
      <w:r>
        <w:rPr>
          <w:rStyle w:val="FootnoteReference"/>
        </w:rPr>
        <w:footnoteRef/>
      </w:r>
      <w:r>
        <w:t xml:space="preserve"> </w:t>
      </w:r>
      <w:r w:rsidR="00E47FCE">
        <w:tab/>
      </w:r>
      <w:r w:rsidRPr="00DD5CDC">
        <w:rPr>
          <w:rFonts w:ascii="Times New Roman" w:hAnsi="Times New Roman" w:cs="Times New Roman"/>
        </w:rPr>
        <w:t xml:space="preserve">For a complete history of the proceedings </w:t>
      </w:r>
      <w:r>
        <w:rPr>
          <w:rFonts w:ascii="Times New Roman" w:hAnsi="Times New Roman" w:cs="Times New Roman"/>
        </w:rPr>
        <w:t xml:space="preserve">in the matter of </w:t>
      </w:r>
      <w:r w:rsidRPr="00DD5CDC">
        <w:rPr>
          <w:rFonts w:ascii="Times New Roman" w:hAnsi="Times New Roman" w:cs="Times New Roman"/>
          <w:i/>
        </w:rPr>
        <w:t>Monica Morris v. Philadelphia Gas Works</w:t>
      </w:r>
      <w:r w:rsidRPr="00DD5CDC">
        <w:rPr>
          <w:rFonts w:ascii="Times New Roman" w:hAnsi="Times New Roman" w:cs="Times New Roman"/>
        </w:rPr>
        <w:t xml:space="preserve">, Docket No. </w:t>
      </w:r>
      <w:r w:rsidRPr="00DD5CDC">
        <w:rPr>
          <w:rFonts w:ascii="Times New Roman" w:eastAsia="Times New Roman" w:hAnsi="Times New Roman" w:cs="Times New Roman"/>
        </w:rPr>
        <w:t xml:space="preserve">C-2013-2375477, see the Initial Decision issued on December 3, 2013, </w:t>
      </w:r>
      <w:r w:rsidR="00E47FCE" w:rsidRPr="00DD5CDC">
        <w:rPr>
          <w:rFonts w:ascii="Times New Roman" w:eastAsia="Times New Roman" w:hAnsi="Times New Roman" w:cs="Times New Roman"/>
        </w:rPr>
        <w:t>and</w:t>
      </w:r>
      <w:r w:rsidR="00E47FCE">
        <w:rPr>
          <w:rFonts w:ascii="Times New Roman" w:eastAsia="Times New Roman" w:hAnsi="Times New Roman" w:cs="Times New Roman"/>
        </w:rPr>
        <w:t xml:space="preserve"> the</w:t>
      </w:r>
      <w:r>
        <w:rPr>
          <w:rFonts w:ascii="Times New Roman" w:eastAsia="Times New Roman" w:hAnsi="Times New Roman" w:cs="Times New Roman"/>
        </w:rPr>
        <w:t xml:space="preserve"> C</w:t>
      </w:r>
      <w:r w:rsidR="00D64EF7">
        <w:rPr>
          <w:rFonts w:ascii="Times New Roman" w:eastAsia="Times New Roman" w:hAnsi="Times New Roman" w:cs="Times New Roman"/>
        </w:rPr>
        <w:t>ommission’s Final Order issued i</w:t>
      </w:r>
      <w:r>
        <w:rPr>
          <w:rFonts w:ascii="Times New Roman" w:eastAsia="Times New Roman" w:hAnsi="Times New Roman" w:cs="Times New Roman"/>
        </w:rPr>
        <w:t>n that matter on March 6, 2014.</w:t>
      </w:r>
    </w:p>
    <w:p w:rsidR="00DD5CDC" w:rsidRDefault="00DD5CDC">
      <w:pPr>
        <w:pStyle w:val="FootnoteText"/>
      </w:pPr>
    </w:p>
  </w:footnote>
  <w:footnote w:id="2">
    <w:p w:rsidR="00D93477" w:rsidRDefault="00D93477">
      <w:pPr>
        <w:pStyle w:val="FootnoteText"/>
      </w:pPr>
      <w:r>
        <w:rPr>
          <w:rStyle w:val="FootnoteReference"/>
        </w:rPr>
        <w:footnoteRef/>
      </w:r>
      <w:r>
        <w:t xml:space="preserve"> </w:t>
      </w:r>
      <w:r w:rsidR="00AC708E">
        <w:tab/>
      </w:r>
      <w:r w:rsidRPr="00DD5CDC">
        <w:rPr>
          <w:rFonts w:ascii="Times New Roman" w:hAnsi="Times New Roman" w:cs="Times New Roman"/>
        </w:rPr>
        <w:t xml:space="preserve">There </w:t>
      </w:r>
      <w:r w:rsidR="00DD5CDC" w:rsidRPr="00DD5CDC">
        <w:rPr>
          <w:rFonts w:ascii="Times New Roman" w:hAnsi="Times New Roman" w:cs="Times New Roman"/>
        </w:rPr>
        <w:t>are</w:t>
      </w:r>
      <w:r w:rsidRPr="00DD5CDC">
        <w:rPr>
          <w:rFonts w:ascii="Times New Roman" w:hAnsi="Times New Roman" w:cs="Times New Roman"/>
        </w:rPr>
        <w:t xml:space="preserve"> no PGW Exhibit</w:t>
      </w:r>
      <w:r w:rsidR="00DD5CDC" w:rsidRPr="00DD5CDC">
        <w:rPr>
          <w:rFonts w:ascii="Times New Roman" w:hAnsi="Times New Roman" w:cs="Times New Roman"/>
        </w:rPr>
        <w:t>s 4</w:t>
      </w:r>
      <w:r w:rsidR="0071042B">
        <w:rPr>
          <w:rFonts w:ascii="Times New Roman" w:hAnsi="Times New Roman" w:cs="Times New Roman"/>
        </w:rPr>
        <w:t xml:space="preserve"> </w:t>
      </w:r>
      <w:r w:rsidR="00DD5CDC" w:rsidRPr="00DD5CDC">
        <w:rPr>
          <w:rFonts w:ascii="Times New Roman" w:hAnsi="Times New Roman" w:cs="Times New Roman"/>
        </w:rPr>
        <w:t>-</w:t>
      </w:r>
      <w:r w:rsidRPr="00DD5CDC">
        <w:rPr>
          <w:rFonts w:ascii="Times New Roman" w:hAnsi="Times New Roman" w:cs="Times New Roman"/>
        </w:rPr>
        <w:t xml:space="preserve"> 6.</w:t>
      </w:r>
    </w:p>
  </w:footnote>
  <w:footnote w:id="3">
    <w:p w:rsidR="00176CE3" w:rsidRPr="00176CE3" w:rsidRDefault="00176CE3">
      <w:pPr>
        <w:pStyle w:val="FootnoteText"/>
        <w:rPr>
          <w:rFonts w:ascii="Times New Roman" w:hAnsi="Times New Roman" w:cs="Times New Roman"/>
        </w:rPr>
      </w:pPr>
      <w:r>
        <w:rPr>
          <w:rStyle w:val="FootnoteReference"/>
        </w:rPr>
        <w:footnoteRef/>
      </w:r>
      <w:r>
        <w:t xml:space="preserve"> </w:t>
      </w:r>
      <w:r w:rsidR="00AC708E">
        <w:tab/>
      </w:r>
      <w:r>
        <w:rPr>
          <w:rFonts w:ascii="Times New Roman" w:hAnsi="Times New Roman"/>
        </w:rPr>
        <w:t xml:space="preserve">Degree Day – A unit measuring the extent to which the outdoor mean (average of maximum and minimum) daily dry-bulb temperature falls below (in the case of heating) or rises above (in the case of cooling) an assumed base.  The base is normally taken as 65°F for heating and for cooling unless otherwise designated.  One degree-day is counted for each degree of deficiency below (for heating) or excess over (for cooling) the assumed base, for each calendar day on which such deficiency or excess occurs.  James H. Cawley and Norman Kennard, </w:t>
      </w:r>
      <w:r w:rsidRPr="009A743B">
        <w:rPr>
          <w:rFonts w:ascii="Times New Roman" w:hAnsi="Times New Roman"/>
          <w:i/>
        </w:rPr>
        <w:t>Rate Case Handbook, A Guide to Utility Ratemaking before the Pennsylvania Public Utility Commission</w:t>
      </w:r>
      <w:r>
        <w:rPr>
          <w:rFonts w:ascii="Times New Roman" w:hAnsi="Times New Roman"/>
        </w:rPr>
        <w:t>, Glossary of Terms, Appendix Q (Pa. PUC 1983).</w:t>
      </w:r>
    </w:p>
  </w:footnote>
  <w:footnote w:id="4">
    <w:p w:rsidR="00750EC5" w:rsidRDefault="00750EC5">
      <w:pPr>
        <w:pStyle w:val="FootnoteText"/>
      </w:pPr>
      <w:r>
        <w:rPr>
          <w:rStyle w:val="FootnoteReference"/>
        </w:rPr>
        <w:footnoteRef/>
      </w:r>
      <w:r>
        <w:t xml:space="preserve"> </w:t>
      </w:r>
      <w:r>
        <w:tab/>
      </w:r>
      <w:r w:rsidRPr="00750EC5">
        <w:rPr>
          <w:rFonts w:ascii="Times New Roman" w:hAnsi="Times New Roman" w:cs="Times New Roman"/>
        </w:rPr>
        <w:t xml:space="preserve">PGW Exhibit 1 does not contain CCF and HDD information for </w:t>
      </w:r>
      <w:r w:rsidR="007A4E3B">
        <w:rPr>
          <w:rFonts w:ascii="Times New Roman" w:hAnsi="Times New Roman" w:cs="Times New Roman"/>
        </w:rPr>
        <w:t xml:space="preserve">the bill issued </w:t>
      </w:r>
      <w:r w:rsidRPr="00750EC5">
        <w:rPr>
          <w:rFonts w:ascii="Times New Roman" w:hAnsi="Times New Roman" w:cs="Times New Roman"/>
        </w:rPr>
        <w:t xml:space="preserve">May </w:t>
      </w:r>
      <w:r w:rsidR="007A4E3B">
        <w:rPr>
          <w:rFonts w:ascii="Times New Roman" w:hAnsi="Times New Roman" w:cs="Times New Roman"/>
        </w:rPr>
        <w:t xml:space="preserve">23, </w:t>
      </w:r>
      <w:r w:rsidRPr="00750EC5">
        <w:rPr>
          <w:rFonts w:ascii="Times New Roman" w:hAnsi="Times New Roman" w:cs="Times New Roman"/>
        </w:rPr>
        <w:t>2013.</w:t>
      </w:r>
    </w:p>
  </w:footnote>
  <w:footnote w:id="5">
    <w:p w:rsidR="00041814" w:rsidRDefault="00041814">
      <w:pPr>
        <w:pStyle w:val="FootnoteText"/>
      </w:pPr>
      <w:r>
        <w:rPr>
          <w:rStyle w:val="FootnoteReference"/>
        </w:rPr>
        <w:footnoteRef/>
      </w:r>
      <w:r>
        <w:t xml:space="preserve"> </w:t>
      </w:r>
      <w:r w:rsidR="009D3DBC">
        <w:tab/>
      </w:r>
      <w:r>
        <w:t xml:space="preserve"> </w:t>
      </w:r>
      <w:r w:rsidR="009D3DBC" w:rsidRPr="009D3DBC">
        <w:rPr>
          <w:rFonts w:ascii="Times New Roman" w:eastAsia="Times New Roman" w:hAnsi="Times New Roman" w:cs="Times New Roman"/>
        </w:rPr>
        <w:t>Ms. Morris’ o</w:t>
      </w:r>
      <w:r w:rsidRPr="009D3DBC">
        <w:rPr>
          <w:rFonts w:ascii="Times New Roman" w:eastAsia="Times New Roman" w:hAnsi="Times New Roman" w:cs="Times New Roman"/>
        </w:rPr>
        <w:t>ld meter (Meter # 1607487) was the sub</w:t>
      </w:r>
      <w:r w:rsidR="005C2575">
        <w:rPr>
          <w:rFonts w:ascii="Times New Roman" w:eastAsia="Times New Roman" w:hAnsi="Times New Roman" w:cs="Times New Roman"/>
        </w:rPr>
        <w:t>ject of PGW’s claims of meter ta</w:t>
      </w:r>
      <w:r w:rsidRPr="009D3DBC">
        <w:rPr>
          <w:rFonts w:ascii="Times New Roman" w:eastAsia="Times New Roman" w:hAnsi="Times New Roman" w:cs="Times New Roman"/>
        </w:rPr>
        <w:t xml:space="preserve">mpering and of the issuance of a makeup bill that the Complainant challenged in her previous formal Complaint against PGW, at Docket No. </w:t>
      </w:r>
      <w:proofErr w:type="gramStart"/>
      <w:r w:rsidRPr="009D3DBC">
        <w:rPr>
          <w:rFonts w:ascii="Times New Roman" w:eastAsia="Times New Roman" w:hAnsi="Times New Roman" w:cs="Times New Roman"/>
        </w:rPr>
        <w:t>C-2013-2375477.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B57C37"/>
    <w:multiLevelType w:val="hybridMultilevel"/>
    <w:tmpl w:val="D8B66712"/>
    <w:lvl w:ilvl="0" w:tplc="4468DB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97C1233"/>
    <w:multiLevelType w:val="hybridMultilevel"/>
    <w:tmpl w:val="631A57F8"/>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424"/>
    <w:rsid w:val="00000428"/>
    <w:rsid w:val="00041814"/>
    <w:rsid w:val="0004552F"/>
    <w:rsid w:val="00046835"/>
    <w:rsid w:val="0006494C"/>
    <w:rsid w:val="000E0EF1"/>
    <w:rsid w:val="000E1EF3"/>
    <w:rsid w:val="0010250E"/>
    <w:rsid w:val="00111DDE"/>
    <w:rsid w:val="00126890"/>
    <w:rsid w:val="00136D42"/>
    <w:rsid w:val="00175863"/>
    <w:rsid w:val="00176CE3"/>
    <w:rsid w:val="001805A8"/>
    <w:rsid w:val="00195424"/>
    <w:rsid w:val="001D54C4"/>
    <w:rsid w:val="00203E45"/>
    <w:rsid w:val="002337A8"/>
    <w:rsid w:val="002412C6"/>
    <w:rsid w:val="002B4655"/>
    <w:rsid w:val="002C0BE9"/>
    <w:rsid w:val="002E0826"/>
    <w:rsid w:val="00306E92"/>
    <w:rsid w:val="00375CA8"/>
    <w:rsid w:val="003D068C"/>
    <w:rsid w:val="003D6B68"/>
    <w:rsid w:val="00401260"/>
    <w:rsid w:val="00411041"/>
    <w:rsid w:val="004448B5"/>
    <w:rsid w:val="004614CF"/>
    <w:rsid w:val="00467F79"/>
    <w:rsid w:val="004D77EF"/>
    <w:rsid w:val="0053108B"/>
    <w:rsid w:val="005C2575"/>
    <w:rsid w:val="005C3641"/>
    <w:rsid w:val="005D1C22"/>
    <w:rsid w:val="005F20ED"/>
    <w:rsid w:val="00663B77"/>
    <w:rsid w:val="00697897"/>
    <w:rsid w:val="006D144B"/>
    <w:rsid w:val="0071042B"/>
    <w:rsid w:val="00750EC5"/>
    <w:rsid w:val="00762BD2"/>
    <w:rsid w:val="007A4E3B"/>
    <w:rsid w:val="00800116"/>
    <w:rsid w:val="00850BF0"/>
    <w:rsid w:val="00856BE3"/>
    <w:rsid w:val="008579E1"/>
    <w:rsid w:val="008B0E2E"/>
    <w:rsid w:val="008E11EB"/>
    <w:rsid w:val="00933DE0"/>
    <w:rsid w:val="0099035F"/>
    <w:rsid w:val="00993980"/>
    <w:rsid w:val="009D3DBC"/>
    <w:rsid w:val="009F1CB2"/>
    <w:rsid w:val="00A223FD"/>
    <w:rsid w:val="00A2380C"/>
    <w:rsid w:val="00AC15DB"/>
    <w:rsid w:val="00AC1E1F"/>
    <w:rsid w:val="00AC708E"/>
    <w:rsid w:val="00B02589"/>
    <w:rsid w:val="00B24710"/>
    <w:rsid w:val="00B469B7"/>
    <w:rsid w:val="00B64647"/>
    <w:rsid w:val="00BE4815"/>
    <w:rsid w:val="00C32971"/>
    <w:rsid w:val="00C357D5"/>
    <w:rsid w:val="00CA1E09"/>
    <w:rsid w:val="00CB0849"/>
    <w:rsid w:val="00D3384D"/>
    <w:rsid w:val="00D64EF7"/>
    <w:rsid w:val="00D907CC"/>
    <w:rsid w:val="00D93477"/>
    <w:rsid w:val="00DB75FA"/>
    <w:rsid w:val="00DD5CDC"/>
    <w:rsid w:val="00E059CB"/>
    <w:rsid w:val="00E247DF"/>
    <w:rsid w:val="00E47FCE"/>
    <w:rsid w:val="00E51263"/>
    <w:rsid w:val="00E51B55"/>
    <w:rsid w:val="00E70EEC"/>
    <w:rsid w:val="00EA3791"/>
    <w:rsid w:val="00EC0284"/>
    <w:rsid w:val="00EC2835"/>
    <w:rsid w:val="00F10559"/>
    <w:rsid w:val="00F42CB6"/>
    <w:rsid w:val="00F90337"/>
    <w:rsid w:val="00FB795D"/>
    <w:rsid w:val="00FF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424"/>
  </w:style>
  <w:style w:type="character" w:styleId="PageNumber">
    <w:name w:val="page number"/>
    <w:basedOn w:val="DefaultParagraphFont"/>
    <w:rsid w:val="00195424"/>
  </w:style>
  <w:style w:type="paragraph" w:styleId="FootnoteText">
    <w:name w:val="footnote text"/>
    <w:basedOn w:val="Normal"/>
    <w:link w:val="FootnoteTextChar"/>
    <w:uiPriority w:val="99"/>
    <w:semiHidden/>
    <w:unhideWhenUsed/>
    <w:rsid w:val="00064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94C"/>
    <w:rPr>
      <w:sz w:val="20"/>
      <w:szCs w:val="20"/>
    </w:rPr>
  </w:style>
  <w:style w:type="character" w:styleId="FootnoteReference">
    <w:name w:val="footnote reference"/>
    <w:basedOn w:val="DefaultParagraphFont"/>
    <w:uiPriority w:val="99"/>
    <w:semiHidden/>
    <w:unhideWhenUsed/>
    <w:rsid w:val="0006494C"/>
    <w:rPr>
      <w:vertAlign w:val="superscript"/>
    </w:rPr>
  </w:style>
  <w:style w:type="character" w:styleId="CommentReference">
    <w:name w:val="annotation reference"/>
    <w:basedOn w:val="DefaultParagraphFont"/>
    <w:uiPriority w:val="99"/>
    <w:semiHidden/>
    <w:unhideWhenUsed/>
    <w:rsid w:val="0006494C"/>
    <w:rPr>
      <w:sz w:val="16"/>
      <w:szCs w:val="16"/>
    </w:rPr>
  </w:style>
  <w:style w:type="paragraph" w:styleId="CommentText">
    <w:name w:val="annotation text"/>
    <w:basedOn w:val="Normal"/>
    <w:link w:val="CommentTextChar"/>
    <w:uiPriority w:val="99"/>
    <w:semiHidden/>
    <w:unhideWhenUsed/>
    <w:rsid w:val="0006494C"/>
    <w:pPr>
      <w:spacing w:line="240" w:lineRule="auto"/>
    </w:pPr>
    <w:rPr>
      <w:sz w:val="20"/>
      <w:szCs w:val="20"/>
    </w:rPr>
  </w:style>
  <w:style w:type="character" w:customStyle="1" w:styleId="CommentTextChar">
    <w:name w:val="Comment Text Char"/>
    <w:basedOn w:val="DefaultParagraphFont"/>
    <w:link w:val="CommentText"/>
    <w:uiPriority w:val="99"/>
    <w:semiHidden/>
    <w:rsid w:val="0006494C"/>
    <w:rPr>
      <w:sz w:val="20"/>
      <w:szCs w:val="20"/>
    </w:rPr>
  </w:style>
  <w:style w:type="paragraph" w:styleId="CommentSubject">
    <w:name w:val="annotation subject"/>
    <w:basedOn w:val="CommentText"/>
    <w:next w:val="CommentText"/>
    <w:link w:val="CommentSubjectChar"/>
    <w:uiPriority w:val="99"/>
    <w:semiHidden/>
    <w:unhideWhenUsed/>
    <w:rsid w:val="0006494C"/>
    <w:rPr>
      <w:b/>
      <w:bCs/>
    </w:rPr>
  </w:style>
  <w:style w:type="character" w:customStyle="1" w:styleId="CommentSubjectChar">
    <w:name w:val="Comment Subject Char"/>
    <w:basedOn w:val="CommentTextChar"/>
    <w:link w:val="CommentSubject"/>
    <w:uiPriority w:val="99"/>
    <w:semiHidden/>
    <w:rsid w:val="0006494C"/>
    <w:rPr>
      <w:b/>
      <w:bCs/>
      <w:sz w:val="20"/>
      <w:szCs w:val="20"/>
    </w:rPr>
  </w:style>
  <w:style w:type="paragraph" w:styleId="BalloonText">
    <w:name w:val="Balloon Text"/>
    <w:basedOn w:val="Normal"/>
    <w:link w:val="BalloonTextChar"/>
    <w:uiPriority w:val="99"/>
    <w:semiHidden/>
    <w:unhideWhenUsed/>
    <w:rsid w:val="0006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94C"/>
    <w:rPr>
      <w:rFonts w:ascii="Tahoma" w:hAnsi="Tahoma" w:cs="Tahoma"/>
      <w:sz w:val="16"/>
      <w:szCs w:val="16"/>
    </w:rPr>
  </w:style>
  <w:style w:type="paragraph" w:styleId="ListParagraph">
    <w:name w:val="List Paragraph"/>
    <w:basedOn w:val="Normal"/>
    <w:uiPriority w:val="34"/>
    <w:qFormat/>
    <w:rsid w:val="0071042B"/>
    <w:pPr>
      <w:ind w:left="720"/>
      <w:contextualSpacing/>
    </w:pPr>
  </w:style>
  <w:style w:type="character" w:customStyle="1" w:styleId="term1">
    <w:name w:val="term1"/>
    <w:basedOn w:val="DefaultParagraphFont"/>
    <w:rsid w:val="00175863"/>
    <w:rPr>
      <w:b/>
      <w:bCs/>
    </w:rPr>
  </w:style>
  <w:style w:type="table" w:styleId="TableGrid">
    <w:name w:val="Table Grid"/>
    <w:basedOn w:val="TableNormal"/>
    <w:uiPriority w:val="59"/>
    <w:rsid w:val="0041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3FD"/>
  </w:style>
  <w:style w:type="paragraph" w:styleId="NoSpacing">
    <w:name w:val="No Spacing"/>
    <w:uiPriority w:val="1"/>
    <w:qFormat/>
    <w:rsid w:val="005C25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424"/>
  </w:style>
  <w:style w:type="character" w:styleId="PageNumber">
    <w:name w:val="page number"/>
    <w:basedOn w:val="DefaultParagraphFont"/>
    <w:rsid w:val="00195424"/>
  </w:style>
  <w:style w:type="paragraph" w:styleId="FootnoteText">
    <w:name w:val="footnote text"/>
    <w:basedOn w:val="Normal"/>
    <w:link w:val="FootnoteTextChar"/>
    <w:uiPriority w:val="99"/>
    <w:semiHidden/>
    <w:unhideWhenUsed/>
    <w:rsid w:val="00064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94C"/>
    <w:rPr>
      <w:sz w:val="20"/>
      <w:szCs w:val="20"/>
    </w:rPr>
  </w:style>
  <w:style w:type="character" w:styleId="FootnoteReference">
    <w:name w:val="footnote reference"/>
    <w:basedOn w:val="DefaultParagraphFont"/>
    <w:uiPriority w:val="99"/>
    <w:semiHidden/>
    <w:unhideWhenUsed/>
    <w:rsid w:val="0006494C"/>
    <w:rPr>
      <w:vertAlign w:val="superscript"/>
    </w:rPr>
  </w:style>
  <w:style w:type="character" w:styleId="CommentReference">
    <w:name w:val="annotation reference"/>
    <w:basedOn w:val="DefaultParagraphFont"/>
    <w:uiPriority w:val="99"/>
    <w:semiHidden/>
    <w:unhideWhenUsed/>
    <w:rsid w:val="0006494C"/>
    <w:rPr>
      <w:sz w:val="16"/>
      <w:szCs w:val="16"/>
    </w:rPr>
  </w:style>
  <w:style w:type="paragraph" w:styleId="CommentText">
    <w:name w:val="annotation text"/>
    <w:basedOn w:val="Normal"/>
    <w:link w:val="CommentTextChar"/>
    <w:uiPriority w:val="99"/>
    <w:semiHidden/>
    <w:unhideWhenUsed/>
    <w:rsid w:val="0006494C"/>
    <w:pPr>
      <w:spacing w:line="240" w:lineRule="auto"/>
    </w:pPr>
    <w:rPr>
      <w:sz w:val="20"/>
      <w:szCs w:val="20"/>
    </w:rPr>
  </w:style>
  <w:style w:type="character" w:customStyle="1" w:styleId="CommentTextChar">
    <w:name w:val="Comment Text Char"/>
    <w:basedOn w:val="DefaultParagraphFont"/>
    <w:link w:val="CommentText"/>
    <w:uiPriority w:val="99"/>
    <w:semiHidden/>
    <w:rsid w:val="0006494C"/>
    <w:rPr>
      <w:sz w:val="20"/>
      <w:szCs w:val="20"/>
    </w:rPr>
  </w:style>
  <w:style w:type="paragraph" w:styleId="CommentSubject">
    <w:name w:val="annotation subject"/>
    <w:basedOn w:val="CommentText"/>
    <w:next w:val="CommentText"/>
    <w:link w:val="CommentSubjectChar"/>
    <w:uiPriority w:val="99"/>
    <w:semiHidden/>
    <w:unhideWhenUsed/>
    <w:rsid w:val="0006494C"/>
    <w:rPr>
      <w:b/>
      <w:bCs/>
    </w:rPr>
  </w:style>
  <w:style w:type="character" w:customStyle="1" w:styleId="CommentSubjectChar">
    <w:name w:val="Comment Subject Char"/>
    <w:basedOn w:val="CommentTextChar"/>
    <w:link w:val="CommentSubject"/>
    <w:uiPriority w:val="99"/>
    <w:semiHidden/>
    <w:rsid w:val="0006494C"/>
    <w:rPr>
      <w:b/>
      <w:bCs/>
      <w:sz w:val="20"/>
      <w:szCs w:val="20"/>
    </w:rPr>
  </w:style>
  <w:style w:type="paragraph" w:styleId="BalloonText">
    <w:name w:val="Balloon Text"/>
    <w:basedOn w:val="Normal"/>
    <w:link w:val="BalloonTextChar"/>
    <w:uiPriority w:val="99"/>
    <w:semiHidden/>
    <w:unhideWhenUsed/>
    <w:rsid w:val="0006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94C"/>
    <w:rPr>
      <w:rFonts w:ascii="Tahoma" w:hAnsi="Tahoma" w:cs="Tahoma"/>
      <w:sz w:val="16"/>
      <w:szCs w:val="16"/>
    </w:rPr>
  </w:style>
  <w:style w:type="paragraph" w:styleId="ListParagraph">
    <w:name w:val="List Paragraph"/>
    <w:basedOn w:val="Normal"/>
    <w:uiPriority w:val="34"/>
    <w:qFormat/>
    <w:rsid w:val="0071042B"/>
    <w:pPr>
      <w:ind w:left="720"/>
      <w:contextualSpacing/>
    </w:pPr>
  </w:style>
  <w:style w:type="character" w:customStyle="1" w:styleId="term1">
    <w:name w:val="term1"/>
    <w:basedOn w:val="DefaultParagraphFont"/>
    <w:rsid w:val="00175863"/>
    <w:rPr>
      <w:b/>
      <w:bCs/>
    </w:rPr>
  </w:style>
  <w:style w:type="table" w:styleId="TableGrid">
    <w:name w:val="Table Grid"/>
    <w:basedOn w:val="TableNormal"/>
    <w:uiPriority w:val="59"/>
    <w:rsid w:val="0041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3FD"/>
  </w:style>
  <w:style w:type="paragraph" w:styleId="NoSpacing">
    <w:name w:val="No Spacing"/>
    <w:uiPriority w:val="1"/>
    <w:qFormat/>
    <w:rsid w:val="005C2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BAA4-8BC7-4B62-BC92-60C46ED1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2</cp:revision>
  <cp:lastPrinted>2015-03-25T19:40:00Z</cp:lastPrinted>
  <dcterms:created xsi:type="dcterms:W3CDTF">2015-03-25T19:40:00Z</dcterms:created>
  <dcterms:modified xsi:type="dcterms:W3CDTF">2015-03-25T19:40:00Z</dcterms:modified>
</cp:coreProperties>
</file>