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747547" w:rsidP="00747547">
      <w:pPr>
        <w:pStyle w:val="Heading5"/>
        <w:spacing w:before="0" w:after="0"/>
        <w:ind w:right="-630"/>
        <w:jc w:val="center"/>
        <w:rPr>
          <w:i w:val="0"/>
        </w:rPr>
      </w:pPr>
      <w:r>
        <w:rPr>
          <w:i w:val="0"/>
        </w:rPr>
        <w:t>March 27, 2015</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ED3022">
        <w:rPr>
          <w:i w:val="0"/>
          <w:sz w:val="24"/>
          <w:szCs w:val="24"/>
        </w:rPr>
        <w:t>891</w:t>
      </w:r>
      <w:r w:rsidR="001C37CC">
        <w:rPr>
          <w:i w:val="0"/>
          <w:sz w:val="24"/>
          <w:szCs w:val="24"/>
        </w:rPr>
        <w:t>7</w:t>
      </w:r>
      <w:r w:rsidR="00DB471C">
        <w:rPr>
          <w:i w:val="0"/>
          <w:sz w:val="24"/>
          <w:szCs w:val="24"/>
        </w:rPr>
        <w:t>4</w:t>
      </w:r>
      <w:r w:rsidR="008E6656">
        <w:rPr>
          <w:i w:val="0"/>
          <w:sz w:val="24"/>
          <w:szCs w:val="24"/>
        </w:rPr>
        <w:t>93</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703E60">
        <w:rPr>
          <w:i w:val="0"/>
          <w:sz w:val="24"/>
          <w:szCs w:val="24"/>
        </w:rPr>
        <w:t>2015-</w:t>
      </w:r>
      <w:r w:rsidR="00ED3022">
        <w:rPr>
          <w:i w:val="0"/>
          <w:sz w:val="24"/>
          <w:szCs w:val="24"/>
        </w:rPr>
        <w:t>24</w:t>
      </w:r>
      <w:r w:rsidR="00DB471C">
        <w:rPr>
          <w:i w:val="0"/>
          <w:sz w:val="24"/>
          <w:szCs w:val="24"/>
        </w:rPr>
        <w:t>7</w:t>
      </w:r>
      <w:r w:rsidR="008E6656">
        <w:rPr>
          <w:i w:val="0"/>
          <w:sz w:val="24"/>
          <w:szCs w:val="24"/>
        </w:rPr>
        <w:t>3631</w:t>
      </w:r>
    </w:p>
    <w:p w:rsidR="00813BE6" w:rsidRDefault="00813BE6" w:rsidP="00813BE6">
      <w:pPr>
        <w:pStyle w:val="Heading5"/>
        <w:ind w:left="7920" w:firstLine="720"/>
        <w:rPr>
          <w:sz w:val="24"/>
          <w:szCs w:val="24"/>
        </w:rPr>
      </w:pPr>
      <w:r w:rsidRPr="002442B1">
        <w:rPr>
          <w:sz w:val="24"/>
          <w:szCs w:val="24"/>
        </w:rPr>
        <w:t>25</w:t>
      </w:r>
    </w:p>
    <w:p w:rsidR="00813BE6" w:rsidRPr="00B85C7C" w:rsidRDefault="00813BE6" w:rsidP="00813BE6"/>
    <w:p w:rsidR="0051080C" w:rsidRDefault="008E6656" w:rsidP="0051080C">
      <w:pPr>
        <w:pStyle w:val="BodyTextIndent"/>
        <w:ind w:left="0"/>
        <w:rPr>
          <w:szCs w:val="24"/>
        </w:rPr>
      </w:pPr>
      <w:r>
        <w:rPr>
          <w:szCs w:val="24"/>
        </w:rPr>
        <w:t>TYLER TRANSPORT SOLUTIONS, LLC</w:t>
      </w:r>
    </w:p>
    <w:p w:rsidR="00302E3C" w:rsidRDefault="008E6656" w:rsidP="00813BE6">
      <w:pPr>
        <w:pStyle w:val="BodyTextIndent"/>
        <w:ind w:left="0"/>
        <w:rPr>
          <w:szCs w:val="24"/>
        </w:rPr>
      </w:pPr>
      <w:r>
        <w:rPr>
          <w:szCs w:val="24"/>
        </w:rPr>
        <w:t>PO BOX 63</w:t>
      </w:r>
    </w:p>
    <w:p w:rsidR="00813BE6" w:rsidRPr="002442B1" w:rsidRDefault="008E6656" w:rsidP="00813BE6">
      <w:pPr>
        <w:pStyle w:val="BodyTextIndent"/>
        <w:ind w:left="0"/>
        <w:rPr>
          <w:szCs w:val="24"/>
        </w:rPr>
      </w:pPr>
      <w:r>
        <w:rPr>
          <w:szCs w:val="24"/>
        </w:rPr>
        <w:t>CHESTER HEIGHTS PA  19017</w:t>
      </w:r>
    </w:p>
    <w:p w:rsidR="00813BE6" w:rsidRPr="002442B1" w:rsidRDefault="00813BE6" w:rsidP="00813BE6">
      <w:pPr>
        <w:pStyle w:val="BodyTextIndent"/>
        <w:ind w:left="0"/>
        <w:rPr>
          <w:szCs w:val="24"/>
        </w:rPr>
      </w:pPr>
    </w:p>
    <w:p w:rsidR="00813BE6" w:rsidRPr="002442B1" w:rsidRDefault="00813BE6" w:rsidP="00813BE6">
      <w:pPr>
        <w:pStyle w:val="BodyTextIndent"/>
        <w:ind w:left="0"/>
        <w:rPr>
          <w:szCs w:val="24"/>
        </w:rPr>
      </w:pPr>
    </w:p>
    <w:p w:rsidR="00813BE6" w:rsidRPr="002442B1" w:rsidRDefault="00813BE6" w:rsidP="00813BE6">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8E6656">
        <w:rPr>
          <w:b w:val="0"/>
          <w:i w:val="0"/>
          <w:sz w:val="24"/>
          <w:szCs w:val="24"/>
        </w:rPr>
        <w:t>Tyler Transport Solutions, LLC, 44 Partridge Lane, Glen Mills, Delaware County, Pennsylvania 19342.  (610) 416-4818</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Pr>
          <w:b/>
          <w:spacing w:val="-3"/>
          <w:sz w:val="24"/>
          <w:szCs w:val="24"/>
        </w:rPr>
        <w:t>-</w:t>
      </w:r>
      <w:r w:rsidR="007A122A">
        <w:rPr>
          <w:b/>
          <w:spacing w:val="-3"/>
          <w:sz w:val="24"/>
          <w:szCs w:val="24"/>
        </w:rPr>
        <w:t>8917</w:t>
      </w:r>
      <w:r w:rsidR="008E6656">
        <w:rPr>
          <w:b/>
          <w:spacing w:val="-3"/>
          <w:sz w:val="24"/>
          <w:szCs w:val="24"/>
        </w:rPr>
        <w:t>493</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8E6656">
        <w:rPr>
          <w:b/>
          <w:sz w:val="24"/>
          <w:szCs w:val="24"/>
        </w:rPr>
        <w:t xml:space="preserve"> Tyler Transport Solutions, LLC</w:t>
      </w:r>
      <w:r w:rsidRPr="007C52A2">
        <w:rPr>
          <w:b/>
          <w:spacing w:val="-3"/>
          <w:sz w:val="22"/>
          <w:szCs w:val="22"/>
        </w:rPr>
        <w:t>; also advise your insurance carrier to place the following numbers at the top of your insurance form: A-</w:t>
      </w:r>
      <w:r w:rsidR="007A122A">
        <w:rPr>
          <w:b/>
          <w:spacing w:val="-3"/>
          <w:sz w:val="22"/>
          <w:szCs w:val="22"/>
        </w:rPr>
        <w:t>8917</w:t>
      </w:r>
      <w:r w:rsidR="00726B15">
        <w:rPr>
          <w:b/>
          <w:spacing w:val="-3"/>
          <w:sz w:val="22"/>
          <w:szCs w:val="22"/>
        </w:rPr>
        <w:t>4</w:t>
      </w:r>
      <w:r w:rsidR="008E6656">
        <w:rPr>
          <w:b/>
          <w:spacing w:val="-3"/>
          <w:sz w:val="22"/>
          <w:szCs w:val="22"/>
        </w:rPr>
        <w:t>93</w:t>
      </w:r>
      <w:r w:rsidR="00703E60">
        <w:rPr>
          <w:b/>
          <w:spacing w:val="-3"/>
          <w:sz w:val="22"/>
          <w:szCs w:val="22"/>
        </w:rPr>
        <w:t xml:space="preserve"> </w:t>
      </w:r>
      <w:r w:rsidRPr="007C52A2">
        <w:rPr>
          <w:b/>
          <w:spacing w:val="-3"/>
          <w:sz w:val="22"/>
          <w:szCs w:val="22"/>
        </w:rPr>
        <w:t>and A-</w:t>
      </w:r>
      <w:r w:rsidR="00703E60">
        <w:rPr>
          <w:b/>
          <w:spacing w:val="-3"/>
          <w:sz w:val="22"/>
          <w:szCs w:val="22"/>
        </w:rPr>
        <w:t>2015-2</w:t>
      </w:r>
      <w:r w:rsidR="007A122A">
        <w:rPr>
          <w:b/>
          <w:spacing w:val="-3"/>
          <w:sz w:val="22"/>
          <w:szCs w:val="22"/>
        </w:rPr>
        <w:t>4</w:t>
      </w:r>
      <w:r w:rsidR="00EE0D56">
        <w:rPr>
          <w:b/>
          <w:spacing w:val="-3"/>
          <w:sz w:val="22"/>
          <w:szCs w:val="22"/>
        </w:rPr>
        <w:t>7</w:t>
      </w:r>
      <w:r w:rsidR="00726B15">
        <w:rPr>
          <w:b/>
          <w:spacing w:val="-3"/>
          <w:sz w:val="22"/>
          <w:szCs w:val="22"/>
        </w:rPr>
        <w:t>3</w:t>
      </w:r>
      <w:r w:rsidR="008E6656">
        <w:rPr>
          <w:b/>
          <w:spacing w:val="-3"/>
          <w:sz w:val="22"/>
          <w:szCs w:val="22"/>
        </w:rPr>
        <w:t>631</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747547"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5C753A10" wp14:editId="18415267">
            <wp:simplePos x="0" y="0"/>
            <wp:positionH relativeFrom="column">
              <wp:posOffset>3038475</wp:posOffset>
            </wp:positionH>
            <wp:positionV relativeFrom="paragraph">
              <wp:posOffset>26035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747547" w:rsidRDefault="00F77C97">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Default="00F77C97" w:rsidP="00F77C97">
      <w:pPr>
        <w:tabs>
          <w:tab w:val="left" w:pos="-720"/>
        </w:tabs>
        <w:suppressAutoHyphens/>
        <w:jc w:val="both"/>
        <w:rPr>
          <w:spacing w:val="-3"/>
          <w:sz w:val="22"/>
          <w:szCs w:val="22"/>
        </w:rPr>
      </w:pPr>
    </w:p>
    <w:p w:rsidR="00B85C7C" w:rsidRPr="007C52A2" w:rsidRDefault="00B85C7C" w:rsidP="00F77C97">
      <w:pPr>
        <w:tabs>
          <w:tab w:val="left" w:pos="-720"/>
        </w:tabs>
        <w:suppressAutoHyphens/>
        <w:jc w:val="both"/>
        <w:rPr>
          <w:spacing w:val="-3"/>
          <w:sz w:val="22"/>
          <w:szCs w:val="22"/>
        </w:rPr>
      </w:pPr>
      <w:bookmarkStart w:id="0" w:name="_GoBack"/>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 xml:space="preserve">Rosemary </w:t>
      </w:r>
      <w:proofErr w:type="spellStart"/>
      <w:r w:rsidRPr="007C52A2">
        <w:rPr>
          <w:spacing w:val="-3"/>
          <w:sz w:val="22"/>
          <w:szCs w:val="22"/>
        </w:rPr>
        <w:t>Chiavetta</w:t>
      </w:r>
      <w:proofErr w:type="spellEnd"/>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44B" w:rsidRDefault="002A044B" w:rsidP="00E8536A">
      <w:r>
        <w:separator/>
      </w:r>
    </w:p>
  </w:endnote>
  <w:endnote w:type="continuationSeparator" w:id="0">
    <w:p w:rsidR="002A044B" w:rsidRDefault="002A044B"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44B" w:rsidRDefault="002A044B" w:rsidP="00E8536A">
      <w:r>
        <w:separator/>
      </w:r>
    </w:p>
  </w:footnote>
  <w:footnote w:type="continuationSeparator" w:id="0">
    <w:p w:rsidR="002A044B" w:rsidRDefault="002A044B"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44B"/>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754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5100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2015-03-27T18:08:00Z</cp:lastPrinted>
  <dcterms:created xsi:type="dcterms:W3CDTF">2015-03-27T18:17:00Z</dcterms:created>
  <dcterms:modified xsi:type="dcterms:W3CDTF">2015-03-27T18:19:00Z</dcterms:modified>
</cp:coreProperties>
</file>