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552101" w:rsidRPr="00E622F6" w:rsidTr="006B5E43">
        <w:trPr>
          <w:trHeight w:val="990"/>
        </w:trPr>
        <w:tc>
          <w:tcPr>
            <w:tcW w:w="1363" w:type="dxa"/>
          </w:tcPr>
          <w:p w:rsidR="00552101" w:rsidRPr="00E622F6" w:rsidRDefault="00552101" w:rsidP="006B5E43">
            <w:pPr>
              <w:rPr>
                <w:sz w:val="24"/>
              </w:rPr>
            </w:pPr>
            <w:r w:rsidRPr="00E622F6">
              <w:rPr>
                <w:noProof/>
                <w:spacing w:val="-2"/>
              </w:rPr>
              <w:drawing>
                <wp:inline distT="0" distB="0" distL="0" distR="0" wp14:anchorId="372670B3" wp14:editId="58BE64E2">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552101" w:rsidRPr="00E622F6" w:rsidRDefault="00552101" w:rsidP="006B5E43">
            <w:pPr>
              <w:suppressAutoHyphens/>
              <w:spacing w:line="204" w:lineRule="auto"/>
              <w:jc w:val="center"/>
              <w:rPr>
                <w:rFonts w:ascii="Arial" w:hAnsi="Arial"/>
                <w:spacing w:val="-3"/>
                <w:sz w:val="26"/>
              </w:rPr>
            </w:pPr>
          </w:p>
          <w:p w:rsidR="00552101" w:rsidRPr="00E622F6" w:rsidRDefault="00552101" w:rsidP="006B5E43">
            <w:pPr>
              <w:suppressAutoHyphens/>
              <w:spacing w:line="204" w:lineRule="auto"/>
              <w:jc w:val="center"/>
              <w:rPr>
                <w:rFonts w:ascii="Arial" w:hAnsi="Arial"/>
                <w:spacing w:val="-3"/>
                <w:sz w:val="26"/>
              </w:rPr>
            </w:pPr>
            <w:r w:rsidRPr="00E622F6">
              <w:rPr>
                <w:rFonts w:ascii="Arial" w:hAnsi="Arial"/>
                <w:spacing w:val="-3"/>
                <w:sz w:val="26"/>
              </w:rPr>
              <w:t>COMMONWEALTH OF PENNSYLVANIA</w:t>
            </w:r>
          </w:p>
          <w:p w:rsidR="00552101" w:rsidRPr="00E622F6" w:rsidRDefault="00552101" w:rsidP="006B5E43">
            <w:pPr>
              <w:suppressAutoHyphens/>
              <w:spacing w:line="204" w:lineRule="auto"/>
              <w:jc w:val="center"/>
              <w:rPr>
                <w:rFonts w:ascii="Arial" w:hAnsi="Arial"/>
                <w:spacing w:val="-3"/>
                <w:sz w:val="26"/>
              </w:rPr>
            </w:pPr>
            <w:r w:rsidRPr="00E622F6">
              <w:rPr>
                <w:rFonts w:ascii="Arial" w:hAnsi="Arial"/>
                <w:spacing w:val="-3"/>
                <w:sz w:val="26"/>
              </w:rPr>
              <w:t>PENNSYLVANIA PUBLIC UTILITY COMMISSION</w:t>
            </w:r>
          </w:p>
          <w:p w:rsidR="00552101" w:rsidRPr="00E622F6" w:rsidRDefault="00552101" w:rsidP="006B5E43">
            <w:pPr>
              <w:jc w:val="center"/>
              <w:rPr>
                <w:rFonts w:ascii="Arial" w:hAnsi="Arial"/>
                <w:sz w:val="12"/>
              </w:rPr>
            </w:pPr>
            <w:r w:rsidRPr="00E622F6">
              <w:rPr>
                <w:rFonts w:ascii="Arial" w:hAnsi="Arial"/>
                <w:spacing w:val="-3"/>
                <w:sz w:val="26"/>
              </w:rPr>
              <w:t>P.O. BOX 3265, HARRISBURG, PA 17105-3265</w:t>
            </w:r>
          </w:p>
        </w:tc>
        <w:tc>
          <w:tcPr>
            <w:tcW w:w="1440" w:type="dxa"/>
          </w:tcPr>
          <w:p w:rsidR="00552101" w:rsidRPr="00E622F6" w:rsidRDefault="00552101" w:rsidP="006B5E43">
            <w:pPr>
              <w:rPr>
                <w:rFonts w:ascii="Arial" w:hAnsi="Arial"/>
                <w:sz w:val="12"/>
              </w:rPr>
            </w:pPr>
          </w:p>
          <w:p w:rsidR="00552101" w:rsidRPr="00E622F6" w:rsidRDefault="00552101" w:rsidP="006B5E43">
            <w:pPr>
              <w:rPr>
                <w:rFonts w:ascii="Arial" w:hAnsi="Arial"/>
                <w:sz w:val="12"/>
              </w:rPr>
            </w:pPr>
          </w:p>
          <w:p w:rsidR="00552101" w:rsidRDefault="00552101" w:rsidP="006B5E43">
            <w:pPr>
              <w:jc w:val="right"/>
              <w:rPr>
                <w:rFonts w:ascii="Arial" w:hAnsi="Arial"/>
                <w:b/>
                <w:spacing w:val="-1"/>
                <w:sz w:val="12"/>
              </w:rPr>
            </w:pPr>
            <w:r w:rsidRPr="00E622F6">
              <w:rPr>
                <w:rFonts w:ascii="Arial" w:hAnsi="Arial"/>
                <w:b/>
                <w:spacing w:val="-1"/>
                <w:sz w:val="12"/>
              </w:rPr>
              <w:t>IN REPLY PLEASE REFER TO OUR FILE</w:t>
            </w:r>
          </w:p>
          <w:p w:rsidR="00552101" w:rsidRPr="00E622F6" w:rsidRDefault="00552101" w:rsidP="006B5E43">
            <w:pPr>
              <w:jc w:val="right"/>
              <w:rPr>
                <w:rFonts w:ascii="Arial" w:hAnsi="Arial"/>
                <w:sz w:val="16"/>
                <w:szCs w:val="16"/>
              </w:rPr>
            </w:pPr>
          </w:p>
        </w:tc>
      </w:tr>
    </w:tbl>
    <w:p w:rsidR="00552101" w:rsidRPr="00E622F6" w:rsidRDefault="00552101" w:rsidP="00552101">
      <w:pPr>
        <w:rPr>
          <w:sz w:val="24"/>
        </w:rPr>
        <w:sectPr w:rsidR="00552101" w:rsidRPr="00E622F6" w:rsidSect="002B420D">
          <w:footerReference w:type="even" r:id="rId10"/>
          <w:footerReference w:type="default" r:id="rId11"/>
          <w:footerReference w:type="first" r:id="rId12"/>
          <w:pgSz w:w="12240" w:h="15840"/>
          <w:pgMar w:top="504" w:right="1440" w:bottom="1440" w:left="1440" w:header="720" w:footer="720" w:gutter="0"/>
          <w:cols w:space="720"/>
          <w:docGrid w:linePitch="272"/>
        </w:sectPr>
      </w:pPr>
    </w:p>
    <w:p w:rsidR="00552101" w:rsidRPr="00E622F6" w:rsidRDefault="00737477" w:rsidP="00552101">
      <w:pPr>
        <w:jc w:val="center"/>
        <w:rPr>
          <w:b/>
          <w:sz w:val="26"/>
          <w:szCs w:val="26"/>
        </w:rPr>
      </w:pPr>
      <w:r>
        <w:rPr>
          <w:b/>
          <w:sz w:val="26"/>
          <w:szCs w:val="26"/>
        </w:rPr>
        <w:lastRenderedPageBreak/>
        <w:t>April 1, 2015</w:t>
      </w:r>
    </w:p>
    <w:p w:rsidR="00552101" w:rsidRPr="00E622F6" w:rsidRDefault="00552101" w:rsidP="00552101">
      <w:pPr>
        <w:jc w:val="center"/>
        <w:rPr>
          <w:b/>
          <w:sz w:val="24"/>
          <w:szCs w:val="24"/>
        </w:rPr>
      </w:pPr>
    </w:p>
    <w:p w:rsidR="00552101" w:rsidRDefault="00552101" w:rsidP="00552101">
      <w:pPr>
        <w:ind w:left="6480"/>
        <w:jc w:val="right"/>
        <w:rPr>
          <w:sz w:val="24"/>
          <w:szCs w:val="24"/>
        </w:rPr>
      </w:pPr>
      <w:r w:rsidRPr="00E622F6">
        <w:rPr>
          <w:sz w:val="24"/>
          <w:szCs w:val="24"/>
        </w:rPr>
        <w:t>Docket No. M-</w:t>
      </w:r>
      <w:r>
        <w:rPr>
          <w:sz w:val="24"/>
          <w:szCs w:val="24"/>
        </w:rPr>
        <w:t>2015</w:t>
      </w:r>
      <w:r w:rsidRPr="00E622F6">
        <w:rPr>
          <w:sz w:val="24"/>
          <w:szCs w:val="24"/>
        </w:rPr>
        <w:t>-</w:t>
      </w:r>
      <w:r>
        <w:rPr>
          <w:sz w:val="24"/>
          <w:szCs w:val="24"/>
        </w:rPr>
        <w:t>247292</w:t>
      </w:r>
      <w:r w:rsidR="00994BA6">
        <w:rPr>
          <w:sz w:val="24"/>
          <w:szCs w:val="24"/>
        </w:rPr>
        <w:t>7</w:t>
      </w:r>
    </w:p>
    <w:p w:rsidR="00552101" w:rsidRPr="00E622F6" w:rsidRDefault="00552101" w:rsidP="00552101">
      <w:pPr>
        <w:ind w:left="6480"/>
        <w:jc w:val="right"/>
        <w:rPr>
          <w:sz w:val="24"/>
          <w:szCs w:val="24"/>
        </w:rPr>
      </w:pPr>
      <w:r w:rsidRPr="00E622F6">
        <w:rPr>
          <w:sz w:val="24"/>
          <w:szCs w:val="24"/>
        </w:rPr>
        <w:t>Utility Code: 312050</w:t>
      </w:r>
    </w:p>
    <w:p w:rsidR="00552101" w:rsidRPr="00E622F6" w:rsidRDefault="00552101" w:rsidP="00552101">
      <w:pPr>
        <w:rPr>
          <w:caps/>
          <w:sz w:val="24"/>
          <w:szCs w:val="24"/>
        </w:rPr>
      </w:pPr>
      <w:r>
        <w:rPr>
          <w:caps/>
          <w:sz w:val="24"/>
          <w:szCs w:val="24"/>
        </w:rPr>
        <w:t>NICOLE WINTERS</w:t>
      </w:r>
      <w:r w:rsidRPr="00E622F6">
        <w:rPr>
          <w:caps/>
          <w:sz w:val="24"/>
          <w:szCs w:val="24"/>
        </w:rPr>
        <w:tab/>
      </w:r>
    </w:p>
    <w:p w:rsidR="00552101" w:rsidRPr="00E622F6" w:rsidRDefault="00552101" w:rsidP="00552101">
      <w:pPr>
        <w:rPr>
          <w:caps/>
          <w:sz w:val="24"/>
          <w:szCs w:val="24"/>
        </w:rPr>
      </w:pPr>
      <w:r w:rsidRPr="00E622F6">
        <w:rPr>
          <w:caps/>
          <w:sz w:val="24"/>
          <w:szCs w:val="24"/>
        </w:rPr>
        <w:t xml:space="preserve">WINDSTREAM </w:t>
      </w:r>
      <w:r>
        <w:rPr>
          <w:caps/>
          <w:sz w:val="24"/>
          <w:szCs w:val="24"/>
        </w:rPr>
        <w:t>SERVICES LLC</w:t>
      </w:r>
    </w:p>
    <w:p w:rsidR="00552101" w:rsidRPr="00E622F6" w:rsidRDefault="00552101" w:rsidP="00552101">
      <w:pPr>
        <w:rPr>
          <w:caps/>
          <w:sz w:val="24"/>
          <w:szCs w:val="24"/>
        </w:rPr>
      </w:pPr>
      <w:r>
        <w:rPr>
          <w:caps/>
          <w:sz w:val="24"/>
          <w:szCs w:val="24"/>
        </w:rPr>
        <w:t>4001 RODNEY PARHAM ROAD</w:t>
      </w:r>
    </w:p>
    <w:p w:rsidR="00552101" w:rsidRPr="00E622F6" w:rsidRDefault="00552101" w:rsidP="00552101">
      <w:pPr>
        <w:rPr>
          <w:sz w:val="24"/>
          <w:szCs w:val="24"/>
        </w:rPr>
      </w:pPr>
      <w:r>
        <w:rPr>
          <w:caps/>
          <w:sz w:val="24"/>
          <w:szCs w:val="24"/>
        </w:rPr>
        <w:t>LITTLE ROCK ARKANSAS</w:t>
      </w:r>
    </w:p>
    <w:p w:rsidR="00552101" w:rsidRPr="00E622F6" w:rsidRDefault="00552101" w:rsidP="00552101">
      <w:pPr>
        <w:rPr>
          <w:sz w:val="24"/>
          <w:szCs w:val="24"/>
        </w:rPr>
      </w:pPr>
    </w:p>
    <w:p w:rsidR="00552101" w:rsidRPr="00E622F6" w:rsidRDefault="00552101" w:rsidP="00552101">
      <w:pPr>
        <w:ind w:left="720"/>
        <w:rPr>
          <w:b/>
          <w:sz w:val="24"/>
          <w:szCs w:val="24"/>
        </w:rPr>
      </w:pPr>
      <w:r w:rsidRPr="00E622F6">
        <w:rPr>
          <w:sz w:val="24"/>
          <w:szCs w:val="24"/>
        </w:rPr>
        <w:t xml:space="preserve">Re: </w:t>
      </w:r>
      <w:r>
        <w:rPr>
          <w:sz w:val="24"/>
          <w:szCs w:val="24"/>
        </w:rPr>
        <w:t xml:space="preserve">Windstream Pennsylvania, LLC </w:t>
      </w:r>
      <w:r w:rsidRPr="00E622F6">
        <w:rPr>
          <w:sz w:val="24"/>
          <w:szCs w:val="24"/>
        </w:rPr>
        <w:t xml:space="preserve">Safety Valve Request for 814 NPA </w:t>
      </w:r>
      <w:proofErr w:type="spellStart"/>
      <w:r w:rsidR="00994BA6">
        <w:rPr>
          <w:sz w:val="24"/>
          <w:szCs w:val="24"/>
        </w:rPr>
        <w:t>Sligo</w:t>
      </w:r>
      <w:proofErr w:type="spellEnd"/>
      <w:r w:rsidR="00994BA6">
        <w:rPr>
          <w:sz w:val="24"/>
          <w:szCs w:val="24"/>
        </w:rPr>
        <w:t xml:space="preserve"> and 724 NPA </w:t>
      </w:r>
      <w:proofErr w:type="spellStart"/>
      <w:r w:rsidR="00994BA6">
        <w:rPr>
          <w:sz w:val="24"/>
          <w:szCs w:val="24"/>
        </w:rPr>
        <w:t>Enon</w:t>
      </w:r>
      <w:proofErr w:type="spellEnd"/>
      <w:r w:rsidR="002401A2">
        <w:rPr>
          <w:sz w:val="24"/>
          <w:szCs w:val="24"/>
        </w:rPr>
        <w:t xml:space="preserve"> Valley R</w:t>
      </w:r>
      <w:r w:rsidR="00994BA6">
        <w:rPr>
          <w:sz w:val="24"/>
          <w:szCs w:val="24"/>
        </w:rPr>
        <w:t xml:space="preserve">ate </w:t>
      </w:r>
      <w:r w:rsidR="002401A2">
        <w:rPr>
          <w:sz w:val="24"/>
          <w:szCs w:val="24"/>
        </w:rPr>
        <w:t>C</w:t>
      </w:r>
      <w:r w:rsidR="00994BA6">
        <w:rPr>
          <w:sz w:val="24"/>
          <w:szCs w:val="24"/>
        </w:rPr>
        <w:t>enters</w:t>
      </w:r>
    </w:p>
    <w:p w:rsidR="00552101" w:rsidRPr="00E622F6" w:rsidRDefault="00552101" w:rsidP="00552101">
      <w:pPr>
        <w:rPr>
          <w:sz w:val="24"/>
          <w:szCs w:val="24"/>
        </w:rPr>
      </w:pPr>
    </w:p>
    <w:p w:rsidR="00552101" w:rsidRPr="00E622F6" w:rsidRDefault="00552101" w:rsidP="00552101">
      <w:pPr>
        <w:rPr>
          <w:sz w:val="24"/>
          <w:szCs w:val="24"/>
        </w:rPr>
      </w:pPr>
      <w:r w:rsidRPr="00E622F6">
        <w:rPr>
          <w:sz w:val="24"/>
          <w:szCs w:val="24"/>
        </w:rPr>
        <w:t xml:space="preserve">Dear Ms. </w:t>
      </w:r>
      <w:r>
        <w:rPr>
          <w:sz w:val="24"/>
          <w:szCs w:val="24"/>
        </w:rPr>
        <w:t>Winters</w:t>
      </w:r>
      <w:r w:rsidRPr="00E622F6">
        <w:rPr>
          <w:sz w:val="24"/>
          <w:szCs w:val="24"/>
        </w:rPr>
        <w:t>,</w:t>
      </w:r>
    </w:p>
    <w:p w:rsidR="00552101" w:rsidRPr="00E622F6" w:rsidRDefault="00552101" w:rsidP="00552101">
      <w:pPr>
        <w:rPr>
          <w:sz w:val="24"/>
          <w:szCs w:val="24"/>
        </w:rPr>
      </w:pPr>
    </w:p>
    <w:p w:rsidR="00552101" w:rsidRDefault="00552101" w:rsidP="00552101">
      <w:pPr>
        <w:ind w:firstLine="720"/>
        <w:rPr>
          <w:sz w:val="24"/>
          <w:szCs w:val="24"/>
        </w:rPr>
      </w:pPr>
      <w:r w:rsidRPr="00E622F6">
        <w:rPr>
          <w:sz w:val="24"/>
          <w:szCs w:val="24"/>
        </w:rPr>
        <w:t xml:space="preserve">On </w:t>
      </w:r>
      <w:r>
        <w:rPr>
          <w:sz w:val="24"/>
          <w:szCs w:val="24"/>
        </w:rPr>
        <w:t>March 16,</w:t>
      </w:r>
      <w:r w:rsidRPr="00E622F6">
        <w:rPr>
          <w:sz w:val="24"/>
          <w:szCs w:val="24"/>
        </w:rPr>
        <w:t xml:space="preserve"> 201</w:t>
      </w:r>
      <w:r>
        <w:rPr>
          <w:sz w:val="24"/>
          <w:szCs w:val="24"/>
        </w:rPr>
        <w:t>5</w:t>
      </w:r>
      <w:r w:rsidRPr="00E622F6">
        <w:rPr>
          <w:sz w:val="24"/>
          <w:szCs w:val="24"/>
        </w:rPr>
        <w:t>, Windstream Pennsylvania,</w:t>
      </w:r>
      <w:r>
        <w:rPr>
          <w:sz w:val="24"/>
          <w:szCs w:val="24"/>
        </w:rPr>
        <w:t xml:space="preserve"> LLC</w:t>
      </w:r>
      <w:r w:rsidRPr="00E622F6">
        <w:rPr>
          <w:sz w:val="24"/>
          <w:szCs w:val="24"/>
        </w:rPr>
        <w:t xml:space="preserve"> (Windstream PA</w:t>
      </w:r>
      <w:r>
        <w:rPr>
          <w:sz w:val="24"/>
          <w:szCs w:val="24"/>
        </w:rPr>
        <w:t xml:space="preserve"> or the Company</w:t>
      </w:r>
      <w:r w:rsidRPr="00E622F6">
        <w:rPr>
          <w:sz w:val="24"/>
          <w:szCs w:val="24"/>
        </w:rPr>
        <w:t xml:space="preserve">), submitted a Pennsylvania Safety Valve Numbering Resource Request form pursuant to our order entered at </w:t>
      </w:r>
      <w:r w:rsidRPr="00E622F6">
        <w:rPr>
          <w:kern w:val="1"/>
          <w:sz w:val="24"/>
          <w:szCs w:val="24"/>
        </w:rPr>
        <w:t>M-2008-2</w:t>
      </w:r>
      <w:r w:rsidRPr="00E622F6">
        <w:rPr>
          <w:sz w:val="24"/>
          <w:szCs w:val="24"/>
        </w:rPr>
        <w:t>032767.</w:t>
      </w:r>
      <w:r w:rsidRPr="00E622F6">
        <w:rPr>
          <w:rStyle w:val="FootnoteReference"/>
          <w:sz w:val="24"/>
          <w:szCs w:val="24"/>
        </w:rPr>
        <w:footnoteReference w:id="1"/>
      </w:r>
      <w:r w:rsidRPr="00E622F6">
        <w:rPr>
          <w:sz w:val="24"/>
          <w:szCs w:val="24"/>
        </w:rPr>
        <w:t xml:space="preserve">  Windstream PA is requesting expedited review of a denial by the Pooling Administrator of its request for additional numbering resources in the </w:t>
      </w:r>
      <w:proofErr w:type="spellStart"/>
      <w:r w:rsidR="00994BA6">
        <w:rPr>
          <w:sz w:val="24"/>
          <w:szCs w:val="24"/>
        </w:rPr>
        <w:t>Sligo</w:t>
      </w:r>
      <w:proofErr w:type="spellEnd"/>
      <w:r w:rsidR="00994BA6">
        <w:rPr>
          <w:sz w:val="24"/>
          <w:szCs w:val="24"/>
        </w:rPr>
        <w:t xml:space="preserve"> and </w:t>
      </w:r>
      <w:proofErr w:type="spellStart"/>
      <w:r w:rsidR="00994BA6">
        <w:rPr>
          <w:sz w:val="24"/>
          <w:szCs w:val="24"/>
        </w:rPr>
        <w:t>Enon</w:t>
      </w:r>
      <w:proofErr w:type="spellEnd"/>
      <w:r w:rsidR="00994BA6">
        <w:rPr>
          <w:sz w:val="24"/>
          <w:szCs w:val="24"/>
        </w:rPr>
        <w:t xml:space="preserve"> Valley </w:t>
      </w:r>
      <w:r w:rsidRPr="00E622F6">
        <w:rPr>
          <w:sz w:val="24"/>
          <w:szCs w:val="24"/>
        </w:rPr>
        <w:t>rate center</w:t>
      </w:r>
      <w:r>
        <w:rPr>
          <w:sz w:val="24"/>
          <w:szCs w:val="24"/>
        </w:rPr>
        <w:t>s</w:t>
      </w:r>
      <w:r w:rsidRPr="00E622F6">
        <w:rPr>
          <w:sz w:val="24"/>
          <w:szCs w:val="24"/>
        </w:rPr>
        <w:t xml:space="preserve"> </w:t>
      </w:r>
      <w:r>
        <w:rPr>
          <w:sz w:val="24"/>
          <w:szCs w:val="24"/>
        </w:rPr>
        <w:t xml:space="preserve">of the </w:t>
      </w:r>
      <w:r w:rsidRPr="00E622F6">
        <w:rPr>
          <w:sz w:val="24"/>
          <w:szCs w:val="24"/>
        </w:rPr>
        <w:t>814</w:t>
      </w:r>
      <w:r>
        <w:rPr>
          <w:sz w:val="24"/>
          <w:szCs w:val="24"/>
        </w:rPr>
        <w:t xml:space="preserve"> and 724</w:t>
      </w:r>
      <w:r w:rsidRPr="00E622F6">
        <w:rPr>
          <w:sz w:val="24"/>
          <w:szCs w:val="24"/>
        </w:rPr>
        <w:t xml:space="preserve"> Number</w:t>
      </w:r>
      <w:r>
        <w:rPr>
          <w:sz w:val="24"/>
          <w:szCs w:val="24"/>
        </w:rPr>
        <w:t>ing</w:t>
      </w:r>
      <w:r w:rsidRPr="00E622F6">
        <w:rPr>
          <w:sz w:val="24"/>
          <w:szCs w:val="24"/>
        </w:rPr>
        <w:t xml:space="preserve"> Plan Area</w:t>
      </w:r>
      <w:r>
        <w:rPr>
          <w:sz w:val="24"/>
          <w:szCs w:val="24"/>
        </w:rPr>
        <w:t>s</w:t>
      </w:r>
      <w:r w:rsidRPr="00E622F6">
        <w:rPr>
          <w:sz w:val="24"/>
          <w:szCs w:val="24"/>
        </w:rPr>
        <w:t xml:space="preserve"> (NPA</w:t>
      </w:r>
      <w:r w:rsidR="002401A2">
        <w:rPr>
          <w:sz w:val="24"/>
          <w:szCs w:val="24"/>
        </w:rPr>
        <w:t>s</w:t>
      </w:r>
      <w:r w:rsidRPr="00E622F6">
        <w:rPr>
          <w:sz w:val="24"/>
          <w:szCs w:val="24"/>
        </w:rPr>
        <w:t xml:space="preserve">).  </w:t>
      </w:r>
      <w:r>
        <w:rPr>
          <w:sz w:val="24"/>
          <w:szCs w:val="24"/>
        </w:rPr>
        <w:t xml:space="preserve">The Company </w:t>
      </w:r>
      <w:r w:rsidRPr="00E622F6">
        <w:rPr>
          <w:sz w:val="24"/>
          <w:szCs w:val="24"/>
        </w:rPr>
        <w:t xml:space="preserve">requests </w:t>
      </w:r>
      <w:r>
        <w:rPr>
          <w:sz w:val="24"/>
          <w:szCs w:val="24"/>
        </w:rPr>
        <w:t>codes</w:t>
      </w:r>
      <w:r w:rsidRPr="00E622F6">
        <w:rPr>
          <w:sz w:val="24"/>
          <w:szCs w:val="24"/>
        </w:rPr>
        <w:t xml:space="preserve"> consisting of ten thousand (10,000) numbers</w:t>
      </w:r>
      <w:r w:rsidR="00454FB5">
        <w:rPr>
          <w:sz w:val="24"/>
          <w:szCs w:val="24"/>
        </w:rPr>
        <w:t xml:space="preserve"> or an NXX code for LRN purposes</w:t>
      </w:r>
      <w:r w:rsidRPr="00E622F6">
        <w:rPr>
          <w:sz w:val="24"/>
          <w:szCs w:val="24"/>
        </w:rPr>
        <w:t xml:space="preserve"> </w:t>
      </w:r>
      <w:r>
        <w:rPr>
          <w:sz w:val="24"/>
          <w:szCs w:val="24"/>
        </w:rPr>
        <w:t>for</w:t>
      </w:r>
      <w:r w:rsidRPr="00E622F6">
        <w:rPr>
          <w:sz w:val="24"/>
          <w:szCs w:val="24"/>
        </w:rPr>
        <w:t xml:space="preserve"> it</w:t>
      </w:r>
      <w:r>
        <w:rPr>
          <w:sz w:val="24"/>
          <w:szCs w:val="24"/>
        </w:rPr>
        <w:t xml:space="preserve">s </w:t>
      </w:r>
      <w:r w:rsidRPr="00E622F6">
        <w:rPr>
          <w:sz w:val="24"/>
          <w:szCs w:val="24"/>
        </w:rPr>
        <w:t>new packet switch</w:t>
      </w:r>
      <w:r>
        <w:rPr>
          <w:sz w:val="24"/>
          <w:szCs w:val="24"/>
        </w:rPr>
        <w:t>es</w:t>
      </w:r>
      <w:r w:rsidRPr="00E622F6">
        <w:rPr>
          <w:sz w:val="24"/>
          <w:szCs w:val="24"/>
        </w:rPr>
        <w:t xml:space="preserve"> </w:t>
      </w:r>
      <w:r>
        <w:rPr>
          <w:sz w:val="24"/>
          <w:szCs w:val="24"/>
        </w:rPr>
        <w:t xml:space="preserve">that are being deployed for projects supported by the Federal Communications </w:t>
      </w:r>
      <w:r w:rsidR="002401A2">
        <w:rPr>
          <w:sz w:val="24"/>
          <w:szCs w:val="24"/>
        </w:rPr>
        <w:t xml:space="preserve">Commission (FCC) </w:t>
      </w:r>
      <w:r>
        <w:rPr>
          <w:sz w:val="24"/>
          <w:szCs w:val="24"/>
        </w:rPr>
        <w:t>Connect America Fund Phase I</w:t>
      </w:r>
      <w:r w:rsidR="002401A2">
        <w:rPr>
          <w:sz w:val="24"/>
          <w:szCs w:val="24"/>
        </w:rPr>
        <w:t xml:space="preserve"> (CAF I) funding distributions</w:t>
      </w:r>
      <w:r>
        <w:rPr>
          <w:sz w:val="24"/>
          <w:szCs w:val="24"/>
        </w:rPr>
        <w:t xml:space="preserve">.  </w:t>
      </w:r>
    </w:p>
    <w:p w:rsidR="00552101" w:rsidRDefault="00552101" w:rsidP="00552101">
      <w:pPr>
        <w:ind w:firstLine="720"/>
        <w:rPr>
          <w:sz w:val="24"/>
          <w:szCs w:val="24"/>
        </w:rPr>
      </w:pPr>
    </w:p>
    <w:p w:rsidR="00552101" w:rsidRPr="00E622F6" w:rsidRDefault="00552101" w:rsidP="00552101">
      <w:pPr>
        <w:ind w:firstLine="720"/>
        <w:rPr>
          <w:sz w:val="24"/>
          <w:szCs w:val="24"/>
        </w:rPr>
      </w:pPr>
      <w:r>
        <w:rPr>
          <w:sz w:val="24"/>
          <w:szCs w:val="24"/>
        </w:rPr>
        <w:t>According to the applicable industry Location Routing Number (LRN) Assignment Practices document (ATIS-0300065), Windstream</w:t>
      </w:r>
      <w:r w:rsidR="00994BA6">
        <w:rPr>
          <w:sz w:val="24"/>
          <w:szCs w:val="24"/>
        </w:rPr>
        <w:t xml:space="preserve"> PA</w:t>
      </w:r>
      <w:r>
        <w:rPr>
          <w:sz w:val="24"/>
          <w:szCs w:val="24"/>
        </w:rPr>
        <w:t xml:space="preserve"> must establish a unique LRN to identify the recipient switch or</w:t>
      </w:r>
      <w:r w:rsidR="002401A2">
        <w:rPr>
          <w:sz w:val="24"/>
          <w:szCs w:val="24"/>
        </w:rPr>
        <w:t xml:space="preserve"> point of interconnection</w:t>
      </w:r>
      <w:r>
        <w:rPr>
          <w:sz w:val="24"/>
          <w:szCs w:val="24"/>
        </w:rPr>
        <w:t xml:space="preserve"> </w:t>
      </w:r>
      <w:r w:rsidR="002401A2">
        <w:rPr>
          <w:sz w:val="24"/>
          <w:szCs w:val="24"/>
        </w:rPr>
        <w:t>(</w:t>
      </w:r>
      <w:r>
        <w:rPr>
          <w:sz w:val="24"/>
          <w:szCs w:val="24"/>
        </w:rPr>
        <w:t>POI</w:t>
      </w:r>
      <w:r w:rsidR="002401A2">
        <w:rPr>
          <w:sz w:val="24"/>
          <w:szCs w:val="24"/>
        </w:rPr>
        <w:t>)</w:t>
      </w:r>
      <w:r>
        <w:rPr>
          <w:sz w:val="24"/>
          <w:szCs w:val="24"/>
        </w:rPr>
        <w:t xml:space="preserve"> and must establish a</w:t>
      </w:r>
      <w:r w:rsidR="002401A2">
        <w:rPr>
          <w:sz w:val="24"/>
          <w:szCs w:val="24"/>
        </w:rPr>
        <w:t>n</w:t>
      </w:r>
      <w:r>
        <w:rPr>
          <w:sz w:val="24"/>
          <w:szCs w:val="24"/>
        </w:rPr>
        <w:t xml:space="preserve"> LRN per LATA per switch from an assigned NXX for the recipient switch in the number portability capable network.  </w:t>
      </w:r>
      <w:r w:rsidRPr="00E622F6">
        <w:rPr>
          <w:sz w:val="24"/>
          <w:szCs w:val="24"/>
        </w:rPr>
        <w:t>Windstream PA will keep a one thousand (1,000) number block</w:t>
      </w:r>
      <w:r w:rsidR="00454FB5">
        <w:rPr>
          <w:sz w:val="24"/>
          <w:szCs w:val="24"/>
        </w:rPr>
        <w:t xml:space="preserve"> or 1K block</w:t>
      </w:r>
      <w:r w:rsidRPr="00E622F6">
        <w:rPr>
          <w:sz w:val="24"/>
          <w:szCs w:val="24"/>
        </w:rPr>
        <w:t xml:space="preserve"> for its use</w:t>
      </w:r>
      <w:r>
        <w:rPr>
          <w:sz w:val="24"/>
          <w:szCs w:val="24"/>
        </w:rPr>
        <w:t xml:space="preserve"> in each rate center</w:t>
      </w:r>
      <w:r w:rsidRPr="00E622F6">
        <w:rPr>
          <w:sz w:val="24"/>
          <w:szCs w:val="24"/>
        </w:rPr>
        <w:t xml:space="preserve"> and return the remaining nine thousand (9,000) numbers to </w:t>
      </w:r>
      <w:proofErr w:type="spellStart"/>
      <w:r w:rsidRPr="00E622F6">
        <w:rPr>
          <w:sz w:val="24"/>
          <w:szCs w:val="24"/>
        </w:rPr>
        <w:t>Neustar</w:t>
      </w:r>
      <w:proofErr w:type="spellEnd"/>
      <w:r w:rsidR="002401A2">
        <w:rPr>
          <w:sz w:val="24"/>
          <w:szCs w:val="24"/>
        </w:rPr>
        <w:t>, the Number</w:t>
      </w:r>
      <w:r w:rsidRPr="00E622F6">
        <w:rPr>
          <w:sz w:val="24"/>
          <w:szCs w:val="24"/>
        </w:rPr>
        <w:t xml:space="preserve"> Pooling</w:t>
      </w:r>
      <w:r w:rsidR="002401A2">
        <w:rPr>
          <w:sz w:val="24"/>
          <w:szCs w:val="24"/>
        </w:rPr>
        <w:t xml:space="preserve"> Administrator</w:t>
      </w:r>
      <w:r w:rsidRPr="00E622F6">
        <w:rPr>
          <w:sz w:val="24"/>
          <w:szCs w:val="24"/>
        </w:rPr>
        <w:t xml:space="preserve">. </w:t>
      </w:r>
      <w:r>
        <w:rPr>
          <w:sz w:val="24"/>
          <w:szCs w:val="24"/>
        </w:rPr>
        <w:t xml:space="preserve"> The Company's </w:t>
      </w:r>
      <w:r w:rsidRPr="00E622F6">
        <w:rPr>
          <w:sz w:val="24"/>
          <w:szCs w:val="24"/>
        </w:rPr>
        <w:t xml:space="preserve">request comes before the Commission since it did not meet the months-to-exhaust criteria or the utilization criteria established by the </w:t>
      </w:r>
      <w:r w:rsidR="002401A2">
        <w:rPr>
          <w:sz w:val="24"/>
          <w:szCs w:val="24"/>
        </w:rPr>
        <w:t>FCC</w:t>
      </w:r>
      <w:r w:rsidRPr="00E622F6">
        <w:rPr>
          <w:sz w:val="24"/>
          <w:szCs w:val="24"/>
        </w:rPr>
        <w:t xml:space="preserve"> in its </w:t>
      </w:r>
      <w:r w:rsidRPr="00E622F6">
        <w:rPr>
          <w:i/>
          <w:sz w:val="24"/>
          <w:szCs w:val="24"/>
        </w:rPr>
        <w:t>Third Report and Order.</w:t>
      </w:r>
      <w:r w:rsidRPr="00E622F6">
        <w:rPr>
          <w:rStyle w:val="FootnoteReference"/>
          <w:sz w:val="24"/>
          <w:szCs w:val="24"/>
        </w:rPr>
        <w:footnoteReference w:id="2"/>
      </w:r>
      <w:r w:rsidRPr="00E622F6">
        <w:rPr>
          <w:sz w:val="24"/>
          <w:szCs w:val="24"/>
        </w:rPr>
        <w:t xml:space="preserve">  </w:t>
      </w:r>
    </w:p>
    <w:p w:rsidR="00552101" w:rsidRDefault="00552101" w:rsidP="00552101">
      <w:pPr>
        <w:pStyle w:val="p3"/>
        <w:widowControl/>
        <w:tabs>
          <w:tab w:val="clear" w:pos="204"/>
          <w:tab w:val="left" w:pos="720"/>
        </w:tabs>
        <w:spacing w:before="240"/>
        <w:ind w:firstLine="720"/>
        <w:rPr>
          <w:vertAlign w:val="superscript"/>
        </w:rPr>
      </w:pPr>
      <w:r w:rsidRPr="00E622F6">
        <w:t>The FCC granted state commissions the authority to provide relief to telecommunications carriers for additional numbering resources in a given rate center if the carrier cannot meet the demand for resources through its current inventory.</w:t>
      </w:r>
      <w:r w:rsidRPr="00D00183">
        <w:rPr>
          <w:vertAlign w:val="superscript"/>
        </w:rPr>
        <w:footnoteReference w:id="3"/>
      </w:r>
      <w:r w:rsidRPr="00E622F6">
        <w:t xml:space="preserve">  In accordance with the </w:t>
      </w:r>
      <w:r w:rsidRPr="00D00183">
        <w:t xml:space="preserve">Third Report and </w:t>
      </w:r>
      <w:r w:rsidRPr="00D00183">
        <w:lastRenderedPageBreak/>
        <w:t>Order</w:t>
      </w:r>
      <w:r w:rsidRPr="00E622F6">
        <w:t>, carriers may demonstrate such a need by providing documentation of customer requests and current proof of utilization in the rate center.</w:t>
      </w:r>
      <w:r w:rsidRPr="00D00183">
        <w:rPr>
          <w:vertAlign w:val="superscript"/>
        </w:rPr>
        <w:footnoteReference w:id="4"/>
      </w:r>
      <w:r w:rsidRPr="00D00183">
        <w:rPr>
          <w:vertAlign w:val="superscript"/>
        </w:rPr>
        <w:t xml:space="preserve"> </w:t>
      </w:r>
    </w:p>
    <w:p w:rsidR="00552101" w:rsidRPr="00E622F6" w:rsidRDefault="00552101" w:rsidP="00552101">
      <w:pPr>
        <w:pStyle w:val="p3"/>
        <w:tabs>
          <w:tab w:val="clear" w:pos="204"/>
          <w:tab w:val="left" w:pos="720"/>
        </w:tabs>
        <w:spacing w:before="240"/>
        <w:ind w:firstLine="720"/>
      </w:pPr>
      <w:r w:rsidRPr="00E622F6">
        <w:t>Mandatory 1,000 number pooling was implemented in the 814</w:t>
      </w:r>
      <w:r>
        <w:t xml:space="preserve"> and 724</w:t>
      </w:r>
      <w:r w:rsidRPr="00E622F6">
        <w:t xml:space="preserve"> NPA</w:t>
      </w:r>
      <w:r>
        <w:t>s</w:t>
      </w:r>
      <w:r w:rsidRPr="00E622F6">
        <w:t xml:space="preserve"> </w:t>
      </w:r>
      <w:r>
        <w:t xml:space="preserve">pursuant to </w:t>
      </w:r>
      <w:r w:rsidRPr="00E622F6">
        <w:t>the FCC’s national rollout schedule for pooling.</w:t>
      </w:r>
      <w:r w:rsidRPr="00E622F6">
        <w:rPr>
          <w:rStyle w:val="FootnoteReference"/>
        </w:rPr>
        <w:footnoteReference w:id="5"/>
      </w:r>
      <w:r w:rsidRPr="00E622F6">
        <w:t xml:space="preserve">  Accordingly, as a pooling carrier,</w:t>
      </w:r>
      <w:r>
        <w:t xml:space="preserve"> </w:t>
      </w:r>
      <w:r w:rsidRPr="00E622F6">
        <w:t>Windstream PA must comply with the FCC’s thousand-</w:t>
      </w:r>
      <w:r w:rsidR="002401A2">
        <w:t xml:space="preserve">number </w:t>
      </w:r>
      <w:r w:rsidRPr="00E622F6">
        <w:t>block pooling regulations.</w:t>
      </w:r>
      <w:r w:rsidRPr="00E622F6">
        <w:rPr>
          <w:rStyle w:val="FootnoteReference"/>
        </w:rPr>
        <w:footnoteReference w:id="6"/>
      </w:r>
      <w:r w:rsidRPr="00E622F6">
        <w:t xml:space="preserve">  Consequently, Windstream PA as a pooling carrier is required to obtain its numbering resources from </w:t>
      </w:r>
      <w:proofErr w:type="spellStart"/>
      <w:r w:rsidRPr="00E622F6">
        <w:t>Neustar</w:t>
      </w:r>
      <w:proofErr w:type="spellEnd"/>
      <w:r w:rsidRPr="00E622F6">
        <w:t>.</w:t>
      </w:r>
      <w:r w:rsidRPr="00E622F6">
        <w:rPr>
          <w:rStyle w:val="FootnoteReference"/>
        </w:rPr>
        <w:footnoteReference w:id="7"/>
      </w:r>
      <w:r w:rsidRPr="00E622F6">
        <w:t xml:space="preserve">  </w:t>
      </w:r>
    </w:p>
    <w:p w:rsidR="00552101" w:rsidRPr="00E622F6" w:rsidRDefault="00552101" w:rsidP="00552101">
      <w:pPr>
        <w:pStyle w:val="p3"/>
        <w:spacing w:before="240"/>
        <w:ind w:firstLine="720"/>
      </w:pPr>
      <w:r w:rsidRPr="00E622F6">
        <w:t xml:space="preserve">Windstream PA </w:t>
      </w:r>
      <w:r>
        <w:t xml:space="preserve">states </w:t>
      </w:r>
      <w:r w:rsidRPr="00E622F6">
        <w:t xml:space="preserve">its current inventory and utilization of numbers in the </w:t>
      </w:r>
      <w:proofErr w:type="spellStart"/>
      <w:r w:rsidR="00994BA6">
        <w:t>Sligo</w:t>
      </w:r>
      <w:proofErr w:type="spellEnd"/>
      <w:r w:rsidR="00994BA6">
        <w:t xml:space="preserve"> and </w:t>
      </w:r>
      <w:proofErr w:type="spellStart"/>
      <w:r w:rsidR="00994BA6">
        <w:t>Enon</w:t>
      </w:r>
      <w:proofErr w:type="spellEnd"/>
      <w:r w:rsidR="00994BA6">
        <w:t xml:space="preserve"> Valley</w:t>
      </w:r>
      <w:r w:rsidRPr="00E622F6">
        <w:t xml:space="preserve"> rate center</w:t>
      </w:r>
      <w:r>
        <w:t>s</w:t>
      </w:r>
      <w:r w:rsidR="002401A2">
        <w:t xml:space="preserve"> will not permit the C</w:t>
      </w:r>
      <w:r w:rsidRPr="00E622F6">
        <w:t>ompany to reach the FCC's required six-months-to-exhaust criteria for rate centers.</w:t>
      </w:r>
      <w:r w:rsidRPr="00E622F6">
        <w:rPr>
          <w:rStyle w:val="FootnoteReference"/>
        </w:rPr>
        <w:footnoteReference w:id="8"/>
      </w:r>
      <w:r w:rsidRPr="00E622F6">
        <w:t xml:space="preserve">  </w:t>
      </w:r>
      <w:proofErr w:type="spellStart"/>
      <w:r w:rsidRPr="00E622F6">
        <w:t>Neustar</w:t>
      </w:r>
      <w:proofErr w:type="spellEnd"/>
      <w:r w:rsidRPr="00E622F6">
        <w:t xml:space="preserve">, </w:t>
      </w:r>
      <w:r>
        <w:t xml:space="preserve">per </w:t>
      </w:r>
      <w:r w:rsidRPr="00E622F6">
        <w:t xml:space="preserve">the FCC’s </w:t>
      </w:r>
      <w:r w:rsidRPr="00D00183">
        <w:rPr>
          <w:i/>
        </w:rPr>
        <w:t>Second</w:t>
      </w:r>
      <w:r w:rsidRPr="00E622F6">
        <w:rPr>
          <w:i/>
        </w:rPr>
        <w:t xml:space="preserve"> Report and Order</w:t>
      </w:r>
      <w:r w:rsidRPr="00E622F6">
        <w:t xml:space="preserve">, rejected Windstream PA’s requests for </w:t>
      </w:r>
      <w:r w:rsidR="00454FB5">
        <w:t xml:space="preserve">an NXX code </w:t>
      </w:r>
      <w:r>
        <w:t>for each rate center</w:t>
      </w:r>
      <w:r w:rsidRPr="00E622F6">
        <w:t xml:space="preserve"> since the carrier could not meet the growth requirements for obtaining addit</w:t>
      </w:r>
      <w:r>
        <w:t>ional numbering resources in these</w:t>
      </w:r>
      <w:r w:rsidRPr="00E622F6">
        <w:t xml:space="preserve"> specific rate center</w:t>
      </w:r>
      <w:r>
        <w:t>s</w:t>
      </w:r>
      <w:r w:rsidRPr="00E622F6">
        <w:t>.</w:t>
      </w:r>
      <w:r>
        <w:t xml:space="preserve"> I</w:t>
      </w:r>
      <w:r w:rsidRPr="00E622F6">
        <w:t xml:space="preserve">n compliance with the FCC’s </w:t>
      </w:r>
      <w:r w:rsidRPr="00E622F6">
        <w:rPr>
          <w:i/>
        </w:rPr>
        <w:t>Third Report and Order,</w:t>
      </w:r>
      <w:r w:rsidRPr="00E622F6">
        <w:t xml:space="preserve"> </w:t>
      </w:r>
      <w:r>
        <w:t xml:space="preserve">the Company </w:t>
      </w:r>
      <w:r w:rsidRPr="00E622F6">
        <w:t xml:space="preserve">petitioned the Commission to obtain additional numbering resources in the </w:t>
      </w:r>
      <w:proofErr w:type="spellStart"/>
      <w:r w:rsidR="00994BA6" w:rsidRPr="00994BA6">
        <w:t>Sligo</w:t>
      </w:r>
      <w:proofErr w:type="spellEnd"/>
      <w:r w:rsidR="00994BA6" w:rsidRPr="00994BA6">
        <w:t xml:space="preserve"> and </w:t>
      </w:r>
      <w:proofErr w:type="spellStart"/>
      <w:r w:rsidR="00994BA6" w:rsidRPr="00994BA6">
        <w:t>Enon</w:t>
      </w:r>
      <w:proofErr w:type="spellEnd"/>
      <w:r w:rsidR="00994BA6" w:rsidRPr="00994BA6">
        <w:t xml:space="preserve"> Valley</w:t>
      </w:r>
      <w:r>
        <w:t xml:space="preserve"> </w:t>
      </w:r>
      <w:r w:rsidRPr="00E622F6">
        <w:t>rate center</w:t>
      </w:r>
      <w:r>
        <w:t>s</w:t>
      </w:r>
      <w:r w:rsidRPr="00E622F6">
        <w:t xml:space="preserve"> </w:t>
      </w:r>
      <w:r>
        <w:t>of</w:t>
      </w:r>
      <w:r w:rsidRPr="00E622F6">
        <w:t xml:space="preserve"> the 814</w:t>
      </w:r>
      <w:r>
        <w:t xml:space="preserve"> and 724</w:t>
      </w:r>
      <w:r w:rsidRPr="00E622F6">
        <w:t xml:space="preserve"> NPA</w:t>
      </w:r>
      <w:r>
        <w:t>s</w:t>
      </w:r>
      <w:r w:rsidRPr="00E622F6">
        <w:t>.</w:t>
      </w:r>
      <w:r w:rsidRPr="00E622F6">
        <w:rPr>
          <w:rStyle w:val="FootnoteReference"/>
        </w:rPr>
        <w:footnoteReference w:id="9"/>
      </w:r>
      <w:r w:rsidRPr="00E622F6">
        <w:t xml:space="preserve">  </w:t>
      </w:r>
    </w:p>
    <w:p w:rsidR="00552101" w:rsidRDefault="00552101" w:rsidP="00552101">
      <w:pPr>
        <w:pStyle w:val="Default"/>
        <w:spacing w:before="240"/>
        <w:ind w:firstLine="720"/>
        <w:rPr>
          <w:color w:val="auto"/>
        </w:rPr>
      </w:pPr>
      <w:r w:rsidRPr="00E622F6">
        <w:rPr>
          <w:color w:val="auto"/>
        </w:rPr>
        <w:t xml:space="preserve">The FCC has clearly </w:t>
      </w:r>
      <w:r>
        <w:rPr>
          <w:color w:val="auto"/>
        </w:rPr>
        <w:t>specified</w:t>
      </w:r>
      <w:r w:rsidRPr="00E622F6">
        <w:rPr>
          <w:color w:val="auto"/>
        </w:rPr>
        <w:t xml:space="preserve"> that </w:t>
      </w:r>
      <w:r>
        <w:rPr>
          <w:color w:val="auto"/>
        </w:rPr>
        <w:t xml:space="preserve">certain </w:t>
      </w:r>
      <w:r w:rsidRPr="00E622F6">
        <w:rPr>
          <w:color w:val="auto"/>
        </w:rPr>
        <w:t>state</w:t>
      </w:r>
      <w:r>
        <w:rPr>
          <w:color w:val="auto"/>
        </w:rPr>
        <w:t xml:space="preserve"> commission</w:t>
      </w:r>
      <w:r w:rsidRPr="00E622F6">
        <w:rPr>
          <w:color w:val="auto"/>
        </w:rPr>
        <w:t xml:space="preserve">s may grant relief if a carrier demonstrates it received a </w:t>
      </w:r>
      <w:r w:rsidR="00454FB5">
        <w:rPr>
          <w:color w:val="auto"/>
        </w:rPr>
        <w:t>denial</w:t>
      </w:r>
      <w:r>
        <w:rPr>
          <w:color w:val="auto"/>
        </w:rPr>
        <w:t xml:space="preserve"> of its </w:t>
      </w:r>
      <w:r w:rsidRPr="00E622F6">
        <w:rPr>
          <w:color w:val="auto"/>
        </w:rPr>
        <w:t>request for numbering resources in a given rate center for which it cannot meet that request with its current inventory</w:t>
      </w:r>
      <w:r w:rsidRPr="00D00183">
        <w:rPr>
          <w:color w:val="auto"/>
        </w:rPr>
        <w:t>.</w:t>
      </w:r>
      <w:r w:rsidRPr="00D00183">
        <w:rPr>
          <w:rStyle w:val="FootnoteReference"/>
          <w:color w:val="auto"/>
        </w:rPr>
        <w:footnoteReference w:id="10"/>
      </w:r>
      <w:r w:rsidRPr="00D00183">
        <w:rPr>
          <w:color w:val="auto"/>
        </w:rPr>
        <w:t xml:space="preserve">  </w:t>
      </w:r>
      <w:r w:rsidRPr="00D00183">
        <w:t>Windstream PA provided</w:t>
      </w:r>
      <w:r w:rsidRPr="00E622F6">
        <w:t xml:space="preserve"> supporting documentation that verifies that </w:t>
      </w:r>
      <w:r>
        <w:t xml:space="preserve">the Company </w:t>
      </w:r>
      <w:r w:rsidRPr="00E622F6">
        <w:t>is deploying new switch</w:t>
      </w:r>
      <w:r>
        <w:t>es</w:t>
      </w:r>
      <w:r w:rsidRPr="00E622F6">
        <w:t xml:space="preserve"> in the 814 </w:t>
      </w:r>
      <w:r>
        <w:t xml:space="preserve">and 724 </w:t>
      </w:r>
      <w:r w:rsidRPr="00E622F6">
        <w:t>NPA</w:t>
      </w:r>
      <w:r>
        <w:t>s</w:t>
      </w:r>
      <w:r w:rsidRPr="00E622F6">
        <w:t>.</w:t>
      </w:r>
      <w:r w:rsidRPr="008B1E20">
        <w:rPr>
          <w:color w:val="auto"/>
        </w:rPr>
        <w:t xml:space="preserve"> </w:t>
      </w:r>
      <w:r>
        <w:rPr>
          <w:color w:val="auto"/>
        </w:rPr>
        <w:t xml:space="preserve"> We have determined the public interest will be served by granting Windstream PA's request.  </w:t>
      </w:r>
    </w:p>
    <w:p w:rsidR="00552101" w:rsidRDefault="00552101" w:rsidP="00552101">
      <w:pPr>
        <w:pStyle w:val="Default"/>
        <w:spacing w:before="240"/>
        <w:ind w:firstLine="720"/>
        <w:contextualSpacing/>
        <w:rPr>
          <w:color w:val="auto"/>
        </w:rPr>
      </w:pPr>
    </w:p>
    <w:p w:rsidR="00552101" w:rsidRDefault="00552101" w:rsidP="00552101">
      <w:pPr>
        <w:pStyle w:val="Default"/>
        <w:spacing w:before="240"/>
        <w:ind w:firstLine="720"/>
        <w:contextualSpacing/>
        <w:rPr>
          <w:color w:val="auto"/>
        </w:rPr>
      </w:pPr>
      <w:r>
        <w:rPr>
          <w:color w:val="auto"/>
        </w:rPr>
        <w:t xml:space="preserve">We note that Windstream </w:t>
      </w:r>
      <w:r w:rsidR="00994BA6">
        <w:rPr>
          <w:color w:val="auto"/>
        </w:rPr>
        <w:t xml:space="preserve">PA </w:t>
      </w:r>
      <w:r>
        <w:rPr>
          <w:color w:val="auto"/>
        </w:rPr>
        <w:t xml:space="preserve">has provided supporting documentation that verifies that </w:t>
      </w:r>
      <w:r w:rsidR="00994BA6">
        <w:rPr>
          <w:color w:val="auto"/>
        </w:rPr>
        <w:t>it has</w:t>
      </w:r>
      <w:r>
        <w:rPr>
          <w:color w:val="auto"/>
        </w:rPr>
        <w:t xml:space="preserve"> requested </w:t>
      </w:r>
      <w:r w:rsidR="00454FB5">
        <w:rPr>
          <w:color w:val="auto"/>
        </w:rPr>
        <w:t>that an NXX code be</w:t>
      </w:r>
      <w:r>
        <w:rPr>
          <w:color w:val="auto"/>
        </w:rPr>
        <w:t xml:space="preserve"> assigned to the </w:t>
      </w:r>
      <w:proofErr w:type="spellStart"/>
      <w:r w:rsidR="00994BA6" w:rsidRPr="00994BA6">
        <w:rPr>
          <w:color w:val="auto"/>
        </w:rPr>
        <w:t>Sligo</w:t>
      </w:r>
      <w:proofErr w:type="spellEnd"/>
      <w:r w:rsidR="00994BA6" w:rsidRPr="00994BA6">
        <w:rPr>
          <w:color w:val="auto"/>
        </w:rPr>
        <w:t xml:space="preserve"> and </w:t>
      </w:r>
      <w:proofErr w:type="spellStart"/>
      <w:r w:rsidR="00994BA6" w:rsidRPr="00994BA6">
        <w:rPr>
          <w:color w:val="auto"/>
        </w:rPr>
        <w:t>Enon</w:t>
      </w:r>
      <w:proofErr w:type="spellEnd"/>
      <w:r w:rsidR="00994BA6" w:rsidRPr="00994BA6">
        <w:rPr>
          <w:color w:val="auto"/>
        </w:rPr>
        <w:t xml:space="preserve"> Valley</w:t>
      </w:r>
      <w:r>
        <w:rPr>
          <w:color w:val="auto"/>
        </w:rPr>
        <w:t xml:space="preserve"> rate centers for its exclusive use.  In order to comply with its current internal dialing plan, the Company is in need of the blocks of telephone numbers that match the following numbers:</w:t>
      </w:r>
    </w:p>
    <w:p w:rsidR="00552101" w:rsidRDefault="00552101" w:rsidP="00552101">
      <w:pPr>
        <w:pStyle w:val="Default"/>
        <w:spacing w:before="240"/>
        <w:ind w:firstLine="720"/>
        <w:contextualSpacing/>
        <w:rPr>
          <w:color w:val="auto"/>
        </w:rPr>
      </w:pPr>
    </w:p>
    <w:p w:rsidR="00552101" w:rsidRDefault="00552101" w:rsidP="00552101">
      <w:pPr>
        <w:pStyle w:val="Default"/>
        <w:spacing w:before="240"/>
        <w:ind w:firstLine="720"/>
        <w:contextualSpacing/>
        <w:rPr>
          <w:color w:val="auto"/>
        </w:rPr>
      </w:pPr>
      <w:r>
        <w:rPr>
          <w:color w:val="auto"/>
        </w:rPr>
        <w:t>814-xxx-9 (</w:t>
      </w:r>
      <w:proofErr w:type="spellStart"/>
      <w:r w:rsidR="00994BA6">
        <w:rPr>
          <w:color w:val="auto"/>
        </w:rPr>
        <w:t>Sligo</w:t>
      </w:r>
      <w:proofErr w:type="spellEnd"/>
      <w:r>
        <w:rPr>
          <w:color w:val="auto"/>
        </w:rPr>
        <w:t>)</w:t>
      </w:r>
    </w:p>
    <w:p w:rsidR="00552101" w:rsidRDefault="00552101" w:rsidP="00552101">
      <w:pPr>
        <w:pStyle w:val="Default"/>
        <w:spacing w:before="240"/>
        <w:ind w:firstLine="720"/>
        <w:contextualSpacing/>
        <w:rPr>
          <w:color w:val="auto"/>
        </w:rPr>
      </w:pPr>
      <w:r>
        <w:rPr>
          <w:color w:val="auto"/>
        </w:rPr>
        <w:t>724-xxx-9 (</w:t>
      </w:r>
      <w:proofErr w:type="spellStart"/>
      <w:r w:rsidR="00994BA6">
        <w:rPr>
          <w:color w:val="auto"/>
        </w:rPr>
        <w:t>Enon</w:t>
      </w:r>
      <w:proofErr w:type="spellEnd"/>
      <w:r w:rsidR="00994BA6">
        <w:rPr>
          <w:color w:val="auto"/>
        </w:rPr>
        <w:t xml:space="preserve"> Valley</w:t>
      </w:r>
      <w:r>
        <w:rPr>
          <w:color w:val="auto"/>
        </w:rPr>
        <w:t>)</w:t>
      </w:r>
    </w:p>
    <w:p w:rsidR="00552101" w:rsidRDefault="00552101" w:rsidP="00552101">
      <w:pPr>
        <w:pStyle w:val="Default"/>
        <w:spacing w:before="240"/>
        <w:ind w:firstLine="720"/>
        <w:contextualSpacing/>
        <w:rPr>
          <w:color w:val="auto"/>
        </w:rPr>
      </w:pPr>
    </w:p>
    <w:p w:rsidR="00552101" w:rsidRPr="00E622F6" w:rsidRDefault="00552101" w:rsidP="00552101">
      <w:pPr>
        <w:pStyle w:val="Default"/>
        <w:spacing w:before="240"/>
        <w:ind w:firstLine="720"/>
        <w:contextualSpacing/>
        <w:rPr>
          <w:color w:val="auto"/>
        </w:rPr>
      </w:pPr>
      <w:r>
        <w:rPr>
          <w:color w:val="auto"/>
        </w:rPr>
        <w:t xml:space="preserve">There is verifiable evidence that Windstream </w:t>
      </w:r>
      <w:r w:rsidR="00994BA6">
        <w:rPr>
          <w:color w:val="auto"/>
        </w:rPr>
        <w:t xml:space="preserve">PA </w:t>
      </w:r>
      <w:r>
        <w:rPr>
          <w:color w:val="auto"/>
        </w:rPr>
        <w:t xml:space="preserve">is unable to satisfy the request from its current inventory.  Accordingly, the Commission hereby approves its request to obtain 10,000 </w:t>
      </w:r>
      <w:r>
        <w:rPr>
          <w:color w:val="auto"/>
        </w:rPr>
        <w:lastRenderedPageBreak/>
        <w:t xml:space="preserve">numbers in the 814 and 724 NPAs for assignment to the </w:t>
      </w:r>
      <w:proofErr w:type="spellStart"/>
      <w:r w:rsidR="00994BA6" w:rsidRPr="00994BA6">
        <w:rPr>
          <w:color w:val="auto"/>
        </w:rPr>
        <w:t>Sligo</w:t>
      </w:r>
      <w:proofErr w:type="spellEnd"/>
      <w:r w:rsidR="00994BA6" w:rsidRPr="00994BA6">
        <w:rPr>
          <w:color w:val="auto"/>
        </w:rPr>
        <w:t xml:space="preserve"> and </w:t>
      </w:r>
      <w:proofErr w:type="spellStart"/>
      <w:r w:rsidR="00994BA6" w:rsidRPr="00994BA6">
        <w:rPr>
          <w:color w:val="auto"/>
        </w:rPr>
        <w:t>Enon</w:t>
      </w:r>
      <w:proofErr w:type="spellEnd"/>
      <w:r w:rsidR="00994BA6" w:rsidRPr="00994BA6">
        <w:rPr>
          <w:color w:val="auto"/>
        </w:rPr>
        <w:t xml:space="preserve"> Valley</w:t>
      </w:r>
      <w:r>
        <w:rPr>
          <w:color w:val="auto"/>
        </w:rPr>
        <w:t xml:space="preserve"> rate centers by </w:t>
      </w:r>
      <w:proofErr w:type="spellStart"/>
      <w:r>
        <w:rPr>
          <w:color w:val="auto"/>
        </w:rPr>
        <w:t>Neustar’s</w:t>
      </w:r>
      <w:proofErr w:type="spellEnd"/>
      <w:r>
        <w:rPr>
          <w:color w:val="auto"/>
        </w:rPr>
        <w:t xml:space="preserve"> Pooling Administrator.  </w:t>
      </w:r>
    </w:p>
    <w:p w:rsidR="00552101" w:rsidRPr="00E622F6" w:rsidRDefault="00552101" w:rsidP="00552101">
      <w:pPr>
        <w:pStyle w:val="Default"/>
        <w:spacing w:before="240"/>
        <w:ind w:firstLine="720"/>
      </w:pPr>
      <w:r>
        <w:t xml:space="preserve">Consistent </w:t>
      </w:r>
      <w:r w:rsidRPr="00E622F6">
        <w:t xml:space="preserve">with the FCC's delegation of authority to this Commission, we direct </w:t>
      </w:r>
      <w:proofErr w:type="spellStart"/>
      <w:r w:rsidRPr="00E622F6">
        <w:t>Neustar’s</w:t>
      </w:r>
      <w:proofErr w:type="spellEnd"/>
      <w:r w:rsidRPr="00E622F6">
        <w:t xml:space="preserve"> Pooling Administrator to assign </w:t>
      </w:r>
      <w:r w:rsidR="00454FB5">
        <w:t xml:space="preserve">an NXX code </w:t>
      </w:r>
      <w:r>
        <w:t xml:space="preserve">to </w:t>
      </w:r>
      <w:r w:rsidR="00454FB5">
        <w:t xml:space="preserve">each of </w:t>
      </w:r>
      <w:r>
        <w:t xml:space="preserve">the </w:t>
      </w:r>
      <w:proofErr w:type="spellStart"/>
      <w:r w:rsidR="00994BA6" w:rsidRPr="00994BA6">
        <w:t>Sligo</w:t>
      </w:r>
      <w:proofErr w:type="spellEnd"/>
      <w:r w:rsidR="00994BA6" w:rsidRPr="00994BA6">
        <w:t xml:space="preserve"> and </w:t>
      </w:r>
      <w:proofErr w:type="spellStart"/>
      <w:r w:rsidR="00994BA6" w:rsidRPr="00994BA6">
        <w:t>Enon</w:t>
      </w:r>
      <w:proofErr w:type="spellEnd"/>
      <w:r w:rsidR="00994BA6" w:rsidRPr="00994BA6">
        <w:t xml:space="preserve"> Valley</w:t>
      </w:r>
      <w:r>
        <w:t xml:space="preserve"> rate centers for </w:t>
      </w:r>
      <w:r w:rsidRPr="00E622F6">
        <w:t xml:space="preserve">Windstream PA within three business days after receipt of its request and documentation pursuant to this order, so that </w:t>
      </w:r>
      <w:r>
        <w:t>the Company</w:t>
      </w:r>
      <w:r w:rsidRPr="00E622F6">
        <w:t xml:space="preserve"> has the necessary numbers to provide telecommunications service</w:t>
      </w:r>
      <w:r w:rsidR="002401A2">
        <w:t>s</w:t>
      </w:r>
      <w:r w:rsidRPr="00E622F6">
        <w:t xml:space="preserve"> to its customers in a timely manner.</w:t>
      </w:r>
      <w:r w:rsidR="00716369">
        <w:t xml:space="preserve"> </w:t>
      </w:r>
      <w:r w:rsidRPr="00E622F6">
        <w:t xml:space="preserve"> </w:t>
      </w:r>
      <w:r w:rsidR="00716369" w:rsidRPr="00716369">
        <w:t xml:space="preserve">Windstream PA will keep one 1K block of the </w:t>
      </w:r>
      <w:r w:rsidR="00454FB5">
        <w:t>assigned NXX code</w:t>
      </w:r>
      <w:r w:rsidR="00716369" w:rsidRPr="00716369">
        <w:t xml:space="preserve"> it receives for each rate center from the Pooling Administrator and return the remaining </w:t>
      </w:r>
      <w:r w:rsidR="00716369">
        <w:t>18</w:t>
      </w:r>
      <w:r w:rsidR="00716369" w:rsidRPr="00716369">
        <w:t xml:space="preserve">,000 numbers </w:t>
      </w:r>
      <w:r w:rsidR="001D11AE">
        <w:t xml:space="preserve">or 18 1K blocks </w:t>
      </w:r>
      <w:r w:rsidR="00716369" w:rsidRPr="00716369">
        <w:t xml:space="preserve">back to the pool.  The Company is only permitted to activate the </w:t>
      </w:r>
      <w:r w:rsidR="00454FB5">
        <w:t xml:space="preserve">1K block of numbers for LRN purposes </w:t>
      </w:r>
      <w:r w:rsidR="00716369" w:rsidRPr="00716369">
        <w:t xml:space="preserve">to accommodate the specific telecommunications needs of this particular switch deployment.  Otherwise, Windstream PA must return the numbering resources to </w:t>
      </w:r>
      <w:proofErr w:type="spellStart"/>
      <w:r w:rsidR="00716369" w:rsidRPr="00716369">
        <w:t>Neustar</w:t>
      </w:r>
      <w:proofErr w:type="spellEnd"/>
      <w:r w:rsidR="00716369" w:rsidRPr="00716369">
        <w:t xml:space="preserve"> and may not retain the numbering resources to serve any other customers without first meeting the FCC's growth numbering resource requirements.  Lastly, the Commission will mark this matter closed.</w:t>
      </w:r>
    </w:p>
    <w:p w:rsidR="00552101" w:rsidRPr="00E622F6" w:rsidRDefault="00552101" w:rsidP="00552101">
      <w:pPr>
        <w:rPr>
          <w:sz w:val="24"/>
          <w:szCs w:val="24"/>
        </w:rPr>
      </w:pPr>
    </w:p>
    <w:p w:rsidR="00552101" w:rsidRDefault="00552101" w:rsidP="00552101">
      <w:pPr>
        <w:ind w:left="3600"/>
        <w:rPr>
          <w:sz w:val="24"/>
          <w:szCs w:val="24"/>
        </w:rPr>
      </w:pPr>
      <w:r w:rsidRPr="00E622F6">
        <w:rPr>
          <w:sz w:val="24"/>
          <w:szCs w:val="24"/>
        </w:rPr>
        <w:tab/>
      </w:r>
    </w:p>
    <w:p w:rsidR="00552101" w:rsidRDefault="00552101" w:rsidP="00552101">
      <w:pPr>
        <w:ind w:left="3600"/>
        <w:rPr>
          <w:sz w:val="24"/>
          <w:szCs w:val="24"/>
        </w:rPr>
      </w:pPr>
    </w:p>
    <w:p w:rsidR="00994BA6" w:rsidRPr="00E622F6" w:rsidRDefault="00737477" w:rsidP="00994BA6">
      <w:pPr>
        <w:ind w:left="3600" w:firstLine="720"/>
        <w:rPr>
          <w:sz w:val="24"/>
          <w:szCs w:val="24"/>
        </w:rPr>
      </w:pPr>
      <w:bookmarkStart w:id="0" w:name="_GoBack"/>
      <w:r>
        <w:rPr>
          <w:noProof/>
        </w:rPr>
        <w:drawing>
          <wp:anchor distT="0" distB="0" distL="114300" distR="114300" simplePos="0" relativeHeight="251659264" behindDoc="1" locked="0" layoutInCell="1" allowOverlap="1" wp14:anchorId="767650EF" wp14:editId="340BC4DB">
            <wp:simplePos x="0" y="0"/>
            <wp:positionH relativeFrom="column">
              <wp:posOffset>2254885</wp:posOffset>
            </wp:positionH>
            <wp:positionV relativeFrom="paragraph">
              <wp:posOffset>-2540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94BA6" w:rsidRPr="00E622F6">
        <w:rPr>
          <w:sz w:val="24"/>
          <w:szCs w:val="24"/>
        </w:rPr>
        <w:t>Sincerely,</w:t>
      </w:r>
    </w:p>
    <w:p w:rsidR="00994BA6" w:rsidRPr="00E622F6" w:rsidRDefault="00994BA6" w:rsidP="00994BA6">
      <w:pPr>
        <w:ind w:left="3600"/>
        <w:rPr>
          <w:sz w:val="24"/>
          <w:szCs w:val="24"/>
        </w:rPr>
      </w:pPr>
    </w:p>
    <w:p w:rsidR="00994BA6" w:rsidRPr="00E622F6" w:rsidRDefault="00994BA6" w:rsidP="00994BA6">
      <w:pPr>
        <w:ind w:left="3600"/>
        <w:rPr>
          <w:sz w:val="24"/>
          <w:szCs w:val="24"/>
        </w:rPr>
      </w:pPr>
    </w:p>
    <w:p w:rsidR="00994BA6" w:rsidRPr="00E622F6" w:rsidRDefault="00994BA6" w:rsidP="00994BA6">
      <w:pPr>
        <w:ind w:left="3600"/>
        <w:rPr>
          <w:sz w:val="24"/>
          <w:szCs w:val="24"/>
        </w:rPr>
      </w:pPr>
    </w:p>
    <w:p w:rsidR="00994BA6" w:rsidRPr="00E622F6" w:rsidRDefault="00994BA6" w:rsidP="00994BA6">
      <w:pPr>
        <w:ind w:left="3600"/>
        <w:rPr>
          <w:sz w:val="24"/>
          <w:szCs w:val="24"/>
        </w:rPr>
      </w:pPr>
      <w:r w:rsidRPr="00E622F6">
        <w:rPr>
          <w:sz w:val="24"/>
          <w:szCs w:val="24"/>
        </w:rPr>
        <w:tab/>
        <w:t>Rosemary Chiavetta</w:t>
      </w:r>
    </w:p>
    <w:p w:rsidR="00994BA6" w:rsidRDefault="00994BA6" w:rsidP="00994BA6">
      <w:pPr>
        <w:ind w:left="3600"/>
        <w:rPr>
          <w:sz w:val="24"/>
          <w:szCs w:val="24"/>
        </w:rPr>
      </w:pPr>
      <w:r w:rsidRPr="00E622F6">
        <w:rPr>
          <w:sz w:val="24"/>
          <w:szCs w:val="24"/>
        </w:rPr>
        <w:tab/>
        <w:t>Secretary</w:t>
      </w:r>
    </w:p>
    <w:p w:rsidR="00994BA6" w:rsidRPr="00E622F6" w:rsidRDefault="00994BA6" w:rsidP="00994BA6">
      <w:pPr>
        <w:ind w:left="3600"/>
        <w:rPr>
          <w:sz w:val="24"/>
          <w:szCs w:val="24"/>
        </w:rPr>
      </w:pPr>
    </w:p>
    <w:p w:rsidR="00994BA6" w:rsidRPr="00E622F6" w:rsidRDefault="00994BA6" w:rsidP="00994BA6">
      <w:pPr>
        <w:rPr>
          <w:sz w:val="24"/>
          <w:szCs w:val="24"/>
        </w:rPr>
      </w:pPr>
      <w:r w:rsidRPr="00E622F6">
        <w:rPr>
          <w:sz w:val="24"/>
          <w:szCs w:val="24"/>
        </w:rPr>
        <w:t xml:space="preserve">cc:         </w:t>
      </w:r>
      <w:proofErr w:type="spellStart"/>
      <w:r w:rsidRPr="00E622F6">
        <w:rPr>
          <w:sz w:val="24"/>
          <w:szCs w:val="24"/>
        </w:rPr>
        <w:t>Neustar</w:t>
      </w:r>
      <w:proofErr w:type="spellEnd"/>
      <w:r w:rsidRPr="00E622F6">
        <w:rPr>
          <w:sz w:val="24"/>
          <w:szCs w:val="24"/>
        </w:rPr>
        <w:t xml:space="preserve"> Pooling Administrator</w:t>
      </w:r>
    </w:p>
    <w:p w:rsidR="00E622F6" w:rsidRPr="00552101" w:rsidRDefault="00E622F6" w:rsidP="00552101"/>
    <w:sectPr w:rsidR="00E622F6" w:rsidRPr="00552101" w:rsidSect="00076F90">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B4" w:rsidRDefault="00EC34B4">
      <w:r>
        <w:separator/>
      </w:r>
    </w:p>
  </w:endnote>
  <w:endnote w:type="continuationSeparator" w:id="0">
    <w:p w:rsidR="00EC34B4" w:rsidRDefault="00EC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01" w:rsidRDefault="0055210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101" w:rsidRDefault="00552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01" w:rsidRDefault="00552101">
    <w:pPr>
      <w:pStyle w:val="Footer"/>
      <w:jc w:val="center"/>
    </w:pPr>
  </w:p>
  <w:p w:rsidR="00552101" w:rsidRDefault="00552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623"/>
      <w:docPartObj>
        <w:docPartGallery w:val="Page Numbers (Bottom of Page)"/>
        <w:docPartUnique/>
      </w:docPartObj>
    </w:sdtPr>
    <w:sdtEndPr>
      <w:rPr>
        <w:noProof/>
      </w:rPr>
    </w:sdtEndPr>
    <w:sdtContent>
      <w:p w:rsidR="00552101" w:rsidRDefault="005521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52101" w:rsidRDefault="00552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92" w:rsidRDefault="00A23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3D92" w:rsidRDefault="00A23D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89020"/>
      <w:docPartObj>
        <w:docPartGallery w:val="Page Numbers (Bottom of Page)"/>
        <w:docPartUnique/>
      </w:docPartObj>
    </w:sdtPr>
    <w:sdtEndPr>
      <w:rPr>
        <w:noProof/>
      </w:rPr>
    </w:sdtEndPr>
    <w:sdtContent>
      <w:p w:rsidR="004A0711" w:rsidRDefault="004A0711">
        <w:pPr>
          <w:pStyle w:val="Footer"/>
          <w:jc w:val="center"/>
        </w:pPr>
        <w:r>
          <w:fldChar w:fldCharType="begin"/>
        </w:r>
        <w:r>
          <w:instrText xml:space="preserve"> PAGE   \* MERGEFORMAT </w:instrText>
        </w:r>
        <w:r>
          <w:fldChar w:fldCharType="separate"/>
        </w:r>
        <w:r w:rsidR="00737477">
          <w:rPr>
            <w:noProof/>
          </w:rPr>
          <w:t>2</w:t>
        </w:r>
        <w:r>
          <w:rPr>
            <w:noProof/>
          </w:rPr>
          <w:fldChar w:fldCharType="end"/>
        </w:r>
      </w:p>
    </w:sdtContent>
  </w:sdt>
  <w:p w:rsidR="00A23D92" w:rsidRDefault="00A2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B4" w:rsidRDefault="00EC34B4">
      <w:r>
        <w:separator/>
      </w:r>
    </w:p>
  </w:footnote>
  <w:footnote w:type="continuationSeparator" w:id="0">
    <w:p w:rsidR="00EC34B4" w:rsidRDefault="00EC34B4">
      <w:r>
        <w:continuationSeparator/>
      </w:r>
    </w:p>
  </w:footnote>
  <w:footnote w:id="1">
    <w:p w:rsidR="00552101" w:rsidRPr="007E55BC" w:rsidRDefault="00552101" w:rsidP="00552101">
      <w:pPr>
        <w:pStyle w:val="FootnoteText"/>
        <w:contextualSpacing/>
      </w:pPr>
      <w:r w:rsidRPr="007E55BC">
        <w:rPr>
          <w:rStyle w:val="FootnoteReference"/>
        </w:rPr>
        <w:footnoteRef/>
      </w:r>
      <w:r w:rsidRPr="007E55BC">
        <w:t xml:space="preserve"> </w:t>
      </w:r>
      <w:r w:rsidRPr="007E55BC">
        <w:rPr>
          <w:i/>
        </w:rPr>
        <w:t>Additional Numbering Resources to Local Exchange Carriers:  Safety Valve Process</w:t>
      </w:r>
      <w:r w:rsidRPr="007E55BC">
        <w:t>, Docket No. M-2008-2032767 (Orders entered November 6, 2008 and January 13, 2012).  In this proceeding, the Commission streamlined its safety valve request process for telecommunications carriers.</w:t>
      </w:r>
    </w:p>
  </w:footnote>
  <w:footnote w:id="2">
    <w:p w:rsidR="00552101" w:rsidRPr="007E55BC" w:rsidRDefault="00552101" w:rsidP="00716369">
      <w:pPr>
        <w:pStyle w:val="FootnoteText"/>
        <w:contextualSpacing/>
      </w:pPr>
      <w:r w:rsidRPr="007E55BC">
        <w:rPr>
          <w:rStyle w:val="FootnoteReference"/>
        </w:rPr>
        <w:footnoteRef/>
      </w:r>
      <w:r w:rsidRPr="007E55BC">
        <w:t xml:space="preserve"> </w:t>
      </w:r>
      <w:proofErr w:type="gramStart"/>
      <w:r w:rsidRPr="007E55BC">
        <w:rPr>
          <w:i/>
        </w:rPr>
        <w:t>In the Matter of Numbering Resource Optimization.</w:t>
      </w:r>
      <w:proofErr w:type="gramEnd"/>
      <w:r w:rsidRPr="007E55BC">
        <w:rPr>
          <w:i/>
        </w:rPr>
        <w:t xml:space="preserve">  Third Report and Order and Second Order on Reconsideration</w:t>
      </w:r>
      <w:r w:rsidRPr="007E55BC">
        <w:t>, CC Docket No. 99-200 (</w:t>
      </w:r>
      <w:r w:rsidRPr="007E55BC">
        <w:rPr>
          <w:i/>
        </w:rPr>
        <w:t xml:space="preserve">Third Report and Order, </w:t>
      </w:r>
      <w:r w:rsidRPr="007E55BC">
        <w:t xml:space="preserve">adopted December 12, 2001).  The order, among other things, addresses the issue of national thousand-block pooling. </w:t>
      </w:r>
    </w:p>
  </w:footnote>
  <w:footnote w:id="3">
    <w:p w:rsidR="00552101" w:rsidRPr="007E55BC" w:rsidRDefault="00552101" w:rsidP="00716369">
      <w:pPr>
        <w:contextualSpacing/>
      </w:pPr>
      <w:r w:rsidRPr="007E55BC">
        <w:rPr>
          <w:rStyle w:val="FootnoteReference"/>
        </w:rPr>
        <w:footnoteRef/>
      </w:r>
      <w:r w:rsidRPr="007E55BC">
        <w:t xml:space="preserve"> </w:t>
      </w:r>
      <w:r w:rsidRPr="007E55BC">
        <w:rPr>
          <w:i/>
        </w:rPr>
        <w:t xml:space="preserve">In </w:t>
      </w:r>
      <w:r w:rsidRPr="007E55BC">
        <w:rPr>
          <w:i/>
          <w:iCs/>
        </w:rPr>
        <w:t xml:space="preserve">the Matter of Numbering Resources, Third Report and Order, </w:t>
      </w:r>
      <w:r w:rsidRPr="007E55BC">
        <w:t xml:space="preserve">CC Docket No. 99-200 (Order adopted December 12, 2001) at ¶64. </w:t>
      </w:r>
    </w:p>
  </w:footnote>
  <w:footnote w:id="4">
    <w:p w:rsidR="00552101" w:rsidRPr="007E55BC" w:rsidRDefault="00552101" w:rsidP="00552101">
      <w:pPr>
        <w:pStyle w:val="FootnoteText"/>
        <w:contextualSpacing/>
      </w:pPr>
      <w:r w:rsidRPr="007E55BC">
        <w:rPr>
          <w:rStyle w:val="FootnoteReference"/>
        </w:rPr>
        <w:footnoteRef/>
      </w:r>
      <w:r w:rsidRPr="007E55BC">
        <w:t xml:space="preserve"> </w:t>
      </w:r>
      <w:proofErr w:type="gramStart"/>
      <w:r w:rsidRPr="007E55BC">
        <w:rPr>
          <w:i/>
        </w:rPr>
        <w:t>Id.</w:t>
      </w:r>
      <w:r w:rsidRPr="007E55BC">
        <w:t xml:space="preserve"> at ¶64.</w:t>
      </w:r>
      <w:proofErr w:type="gramEnd"/>
    </w:p>
  </w:footnote>
  <w:footnote w:id="5">
    <w:p w:rsidR="00552101" w:rsidRPr="007E55BC" w:rsidRDefault="00552101" w:rsidP="00552101">
      <w:pPr>
        <w:pStyle w:val="FootnoteText"/>
        <w:spacing w:before="240"/>
        <w:contextualSpacing/>
      </w:pPr>
      <w:r w:rsidRPr="007E55BC">
        <w:rPr>
          <w:rStyle w:val="FootnoteReference"/>
        </w:rPr>
        <w:footnoteRef/>
      </w:r>
      <w:r w:rsidRPr="007E55BC">
        <w:t xml:space="preserve"> </w:t>
      </w:r>
      <w:proofErr w:type="gramStart"/>
      <w:r w:rsidRPr="007E55BC">
        <w:rPr>
          <w:i/>
        </w:rPr>
        <w:t>See In the Matter of Numbering Resource Optimization,</w:t>
      </w:r>
      <w:r w:rsidRPr="007E55BC">
        <w:t xml:space="preserve"> CC Docket No. 99-200, ¶¶1-10 (Order adopted April 24, 2002).</w:t>
      </w:r>
      <w:proofErr w:type="gramEnd"/>
      <w:r w:rsidRPr="007E55BC">
        <w:t xml:space="preserve">  </w:t>
      </w:r>
    </w:p>
  </w:footnote>
  <w:footnote w:id="6">
    <w:p w:rsidR="00552101" w:rsidRPr="007E55BC" w:rsidRDefault="00552101" w:rsidP="00552101">
      <w:pPr>
        <w:pStyle w:val="FootnoteText"/>
        <w:spacing w:before="240"/>
        <w:contextualSpacing/>
      </w:pPr>
      <w:r w:rsidRPr="007E55BC">
        <w:rPr>
          <w:rStyle w:val="FootnoteReference"/>
        </w:rPr>
        <w:footnoteRef/>
      </w:r>
      <w:r w:rsidRPr="007E55BC">
        <w:t xml:space="preserve"> The FCC directs that all service providers required to participate in thousands-block number pooling shall donate thousand blocks with less than ten percent contamination to the thousands-block number pool for the rate center within which the numbering resources are assigned.  52 C.F.R. § 52.20(c</w:t>
      </w:r>
      <w:proofErr w:type="gramStart"/>
      <w:r w:rsidRPr="007E55BC">
        <w:t>)(</w:t>
      </w:r>
      <w:proofErr w:type="gramEnd"/>
      <w:r w:rsidRPr="007E55BC">
        <w:t>1).</w:t>
      </w:r>
    </w:p>
  </w:footnote>
  <w:footnote w:id="7">
    <w:p w:rsidR="00552101" w:rsidRPr="007E55BC" w:rsidRDefault="00552101" w:rsidP="00552101">
      <w:pPr>
        <w:pStyle w:val="FootnoteText"/>
        <w:spacing w:before="240"/>
        <w:contextualSpacing/>
        <w:rPr>
          <w:i/>
        </w:rPr>
      </w:pPr>
      <w:r w:rsidRPr="007E55BC">
        <w:rPr>
          <w:rStyle w:val="FootnoteReference"/>
        </w:rPr>
        <w:footnoteRef/>
      </w:r>
      <w:r w:rsidRPr="007E55BC">
        <w:t xml:space="preserve"> </w:t>
      </w:r>
      <w:proofErr w:type="gramStart"/>
      <w:r w:rsidRPr="007E55BC">
        <w:rPr>
          <w:i/>
        </w:rPr>
        <w:t xml:space="preserve">Federal Communications Commission’s Common Carrier Bureau Selects </w:t>
      </w:r>
      <w:proofErr w:type="spellStart"/>
      <w:r w:rsidRPr="007E55BC">
        <w:rPr>
          <w:i/>
        </w:rPr>
        <w:t>Neustar</w:t>
      </w:r>
      <w:proofErr w:type="spellEnd"/>
      <w:r w:rsidRPr="007E55BC">
        <w:rPr>
          <w:i/>
        </w:rPr>
        <w:t xml:space="preserve">, </w:t>
      </w:r>
      <w:proofErr w:type="spellStart"/>
      <w:r w:rsidRPr="007E55BC">
        <w:rPr>
          <w:i/>
        </w:rPr>
        <w:t>Inc</w:t>
      </w:r>
      <w:proofErr w:type="spellEnd"/>
      <w:r w:rsidRPr="007E55BC">
        <w:rPr>
          <w:i/>
        </w:rPr>
        <w:t xml:space="preserve"> as National Thousands-Block Number Pooling Administrator</w:t>
      </w:r>
      <w:r w:rsidRPr="007E55BC">
        <w:t>, Press Release (rel. June 18, 2001).</w:t>
      </w:r>
      <w:proofErr w:type="gramEnd"/>
      <w:r w:rsidRPr="007E55BC">
        <w:t xml:space="preserve"> </w:t>
      </w:r>
      <w:r w:rsidRPr="007E55BC">
        <w:rPr>
          <w:i/>
        </w:rPr>
        <w:t xml:space="preserve"> </w:t>
      </w:r>
    </w:p>
  </w:footnote>
  <w:footnote w:id="8">
    <w:p w:rsidR="00552101" w:rsidRPr="007E55BC" w:rsidRDefault="00552101" w:rsidP="00552101">
      <w:pPr>
        <w:pStyle w:val="FootnoteText"/>
        <w:spacing w:before="240"/>
        <w:contextualSpacing/>
      </w:pPr>
      <w:r w:rsidRPr="007E55BC">
        <w:rPr>
          <w:rStyle w:val="FootnoteReference"/>
        </w:rPr>
        <w:footnoteRef/>
      </w:r>
      <w:r w:rsidRPr="007E55BC">
        <w:t xml:space="preserve"> </w:t>
      </w:r>
      <w:r w:rsidRPr="007E55BC">
        <w:rPr>
          <w:i/>
        </w:rPr>
        <w:t>See In the Matter of Numbering Resources Optimization, First Report and Order</w:t>
      </w:r>
      <w:r w:rsidRPr="007E55BC">
        <w:t xml:space="preserve"> (Order adopted March 13, 2000) ¶¶ 101-102</w:t>
      </w:r>
      <w:r w:rsidRPr="007E55BC">
        <w:rPr>
          <w:i/>
        </w:rPr>
        <w:t>;see also In the Matter of Numbering Resources</w:t>
      </w:r>
      <w:r w:rsidRPr="007E55BC">
        <w:t xml:space="preserve">, </w:t>
      </w:r>
      <w:r w:rsidRPr="007E55BC">
        <w:rPr>
          <w:i/>
        </w:rPr>
        <w:t>Second Report and Order</w:t>
      </w:r>
      <w:r w:rsidRPr="007E55BC">
        <w:t>, CC Docket No. 99-200 (Order adopted December 7, 2000) at ¶¶23, 27-29.</w:t>
      </w:r>
    </w:p>
  </w:footnote>
  <w:footnote w:id="9">
    <w:p w:rsidR="00552101" w:rsidRPr="007E55BC" w:rsidRDefault="00552101" w:rsidP="00552101">
      <w:pPr>
        <w:pStyle w:val="FootnoteText"/>
        <w:spacing w:before="240"/>
        <w:contextualSpacing/>
      </w:pPr>
      <w:r w:rsidRPr="007E55BC">
        <w:rPr>
          <w:rStyle w:val="FootnoteReference"/>
        </w:rPr>
        <w:footnoteRef/>
      </w:r>
      <w:r w:rsidRPr="007E55BC">
        <w:t xml:space="preserve"> </w:t>
      </w:r>
      <w:r w:rsidRPr="007E55BC">
        <w:rPr>
          <w:i/>
        </w:rPr>
        <w:t>In the Matter of Numbering Resources, Third Report and Order</w:t>
      </w:r>
      <w:r w:rsidRPr="007E55BC">
        <w:t>, CC Docket No. 99-200 (Order adopted December 12, 2001) at ¶61.</w:t>
      </w:r>
    </w:p>
  </w:footnote>
  <w:footnote w:id="10">
    <w:p w:rsidR="00552101" w:rsidRPr="007E55BC" w:rsidRDefault="00552101" w:rsidP="00552101">
      <w:pPr>
        <w:pStyle w:val="FootnoteText"/>
        <w:spacing w:before="240"/>
        <w:contextualSpacing/>
      </w:pPr>
      <w:r w:rsidRPr="007E55BC">
        <w:rPr>
          <w:rStyle w:val="FootnoteReference"/>
        </w:rPr>
        <w:footnoteRef/>
      </w:r>
      <w:r w:rsidRPr="007E55BC">
        <w:t xml:space="preserve"> </w:t>
      </w:r>
      <w:proofErr w:type="gramStart"/>
      <w:r w:rsidRPr="007E55BC">
        <w:rPr>
          <w:i/>
        </w:rPr>
        <w:t xml:space="preserve">Id </w:t>
      </w:r>
      <w:r w:rsidRPr="007E55BC">
        <w:t>at ¶64.</w:t>
      </w:r>
      <w:proofErr w:type="gramEnd"/>
      <w:r w:rsidRPr="007E55B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528A"/>
    <w:rsid w:val="000212D6"/>
    <w:rsid w:val="00024729"/>
    <w:rsid w:val="0003044B"/>
    <w:rsid w:val="00035FEF"/>
    <w:rsid w:val="00047AC9"/>
    <w:rsid w:val="00064DEF"/>
    <w:rsid w:val="00076F90"/>
    <w:rsid w:val="000A7608"/>
    <w:rsid w:val="000B2C25"/>
    <w:rsid w:val="000B696F"/>
    <w:rsid w:val="000C457B"/>
    <w:rsid w:val="000D5AC0"/>
    <w:rsid w:val="000D78A7"/>
    <w:rsid w:val="000E099D"/>
    <w:rsid w:val="000F68BC"/>
    <w:rsid w:val="001152B7"/>
    <w:rsid w:val="001209F1"/>
    <w:rsid w:val="00141489"/>
    <w:rsid w:val="00166896"/>
    <w:rsid w:val="00180318"/>
    <w:rsid w:val="001818D4"/>
    <w:rsid w:val="001A3139"/>
    <w:rsid w:val="001C2B5E"/>
    <w:rsid w:val="001C3A9F"/>
    <w:rsid w:val="001D11AE"/>
    <w:rsid w:val="001E0854"/>
    <w:rsid w:val="001E1BF3"/>
    <w:rsid w:val="001F23F9"/>
    <w:rsid w:val="002229C3"/>
    <w:rsid w:val="00224973"/>
    <w:rsid w:val="002401A2"/>
    <w:rsid w:val="00270A95"/>
    <w:rsid w:val="0027508A"/>
    <w:rsid w:val="0029471C"/>
    <w:rsid w:val="002B0C88"/>
    <w:rsid w:val="002B420D"/>
    <w:rsid w:val="002D0BD5"/>
    <w:rsid w:val="002F0138"/>
    <w:rsid w:val="002F4AA4"/>
    <w:rsid w:val="003005EF"/>
    <w:rsid w:val="00301B99"/>
    <w:rsid w:val="00312179"/>
    <w:rsid w:val="00322EFA"/>
    <w:rsid w:val="00326E77"/>
    <w:rsid w:val="003401E3"/>
    <w:rsid w:val="00351F76"/>
    <w:rsid w:val="0035678B"/>
    <w:rsid w:val="003569E8"/>
    <w:rsid w:val="00360B7D"/>
    <w:rsid w:val="00360BB8"/>
    <w:rsid w:val="0038104C"/>
    <w:rsid w:val="00392458"/>
    <w:rsid w:val="003A50F2"/>
    <w:rsid w:val="003A7B80"/>
    <w:rsid w:val="003B5CE4"/>
    <w:rsid w:val="003C6385"/>
    <w:rsid w:val="003E00E1"/>
    <w:rsid w:val="00421D4D"/>
    <w:rsid w:val="00454FB5"/>
    <w:rsid w:val="00463680"/>
    <w:rsid w:val="0048302A"/>
    <w:rsid w:val="004A0711"/>
    <w:rsid w:val="004A6E54"/>
    <w:rsid w:val="004A7D21"/>
    <w:rsid w:val="004D2698"/>
    <w:rsid w:val="004E7B70"/>
    <w:rsid w:val="004F7E57"/>
    <w:rsid w:val="00511946"/>
    <w:rsid w:val="0051639C"/>
    <w:rsid w:val="00520D8C"/>
    <w:rsid w:val="00552101"/>
    <w:rsid w:val="005706C2"/>
    <w:rsid w:val="005A09DB"/>
    <w:rsid w:val="005B1EE7"/>
    <w:rsid w:val="005E25C5"/>
    <w:rsid w:val="005F2B5B"/>
    <w:rsid w:val="006209A8"/>
    <w:rsid w:val="00630E99"/>
    <w:rsid w:val="006513C3"/>
    <w:rsid w:val="00667515"/>
    <w:rsid w:val="00667546"/>
    <w:rsid w:val="006755C0"/>
    <w:rsid w:val="00685A0E"/>
    <w:rsid w:val="006A2988"/>
    <w:rsid w:val="006F230A"/>
    <w:rsid w:val="00716369"/>
    <w:rsid w:val="00737477"/>
    <w:rsid w:val="0074390D"/>
    <w:rsid w:val="0074727E"/>
    <w:rsid w:val="00750031"/>
    <w:rsid w:val="00752101"/>
    <w:rsid w:val="007554B8"/>
    <w:rsid w:val="007617B1"/>
    <w:rsid w:val="007623BE"/>
    <w:rsid w:val="00771088"/>
    <w:rsid w:val="007729B5"/>
    <w:rsid w:val="007B31F4"/>
    <w:rsid w:val="007C5380"/>
    <w:rsid w:val="007C6670"/>
    <w:rsid w:val="007E55BC"/>
    <w:rsid w:val="007E5669"/>
    <w:rsid w:val="007F3843"/>
    <w:rsid w:val="00834353"/>
    <w:rsid w:val="00853381"/>
    <w:rsid w:val="00867F7B"/>
    <w:rsid w:val="00870C80"/>
    <w:rsid w:val="00877AAA"/>
    <w:rsid w:val="0088102B"/>
    <w:rsid w:val="008841E6"/>
    <w:rsid w:val="008B1CCB"/>
    <w:rsid w:val="008B1E20"/>
    <w:rsid w:val="008B5862"/>
    <w:rsid w:val="008C5DF1"/>
    <w:rsid w:val="008E4659"/>
    <w:rsid w:val="008E6F4A"/>
    <w:rsid w:val="009164BC"/>
    <w:rsid w:val="00976A5B"/>
    <w:rsid w:val="00994BA6"/>
    <w:rsid w:val="009B23D8"/>
    <w:rsid w:val="009C0FA6"/>
    <w:rsid w:val="009D48C2"/>
    <w:rsid w:val="009E40EC"/>
    <w:rsid w:val="009F5F66"/>
    <w:rsid w:val="00A23D92"/>
    <w:rsid w:val="00A33A02"/>
    <w:rsid w:val="00A50815"/>
    <w:rsid w:val="00A83855"/>
    <w:rsid w:val="00AD48DF"/>
    <w:rsid w:val="00AE13FE"/>
    <w:rsid w:val="00AE47B9"/>
    <w:rsid w:val="00AF2951"/>
    <w:rsid w:val="00B6686D"/>
    <w:rsid w:val="00B72238"/>
    <w:rsid w:val="00B80083"/>
    <w:rsid w:val="00B86DB7"/>
    <w:rsid w:val="00B91C73"/>
    <w:rsid w:val="00BC6889"/>
    <w:rsid w:val="00BD4D7C"/>
    <w:rsid w:val="00BE2E67"/>
    <w:rsid w:val="00BE3C97"/>
    <w:rsid w:val="00BE4A72"/>
    <w:rsid w:val="00BE5119"/>
    <w:rsid w:val="00BF4C49"/>
    <w:rsid w:val="00C04C87"/>
    <w:rsid w:val="00C069D6"/>
    <w:rsid w:val="00C2474D"/>
    <w:rsid w:val="00C37E0F"/>
    <w:rsid w:val="00C46374"/>
    <w:rsid w:val="00C74A51"/>
    <w:rsid w:val="00C77F29"/>
    <w:rsid w:val="00C820C3"/>
    <w:rsid w:val="00C85905"/>
    <w:rsid w:val="00C90506"/>
    <w:rsid w:val="00CB2A99"/>
    <w:rsid w:val="00CB5738"/>
    <w:rsid w:val="00CB6AEB"/>
    <w:rsid w:val="00CD3BF7"/>
    <w:rsid w:val="00CD54AF"/>
    <w:rsid w:val="00CD576A"/>
    <w:rsid w:val="00CE1DC6"/>
    <w:rsid w:val="00CE21B2"/>
    <w:rsid w:val="00CF047C"/>
    <w:rsid w:val="00CF4050"/>
    <w:rsid w:val="00D00183"/>
    <w:rsid w:val="00D04452"/>
    <w:rsid w:val="00D33949"/>
    <w:rsid w:val="00D708B1"/>
    <w:rsid w:val="00D71635"/>
    <w:rsid w:val="00D7647C"/>
    <w:rsid w:val="00D80B9D"/>
    <w:rsid w:val="00DA369D"/>
    <w:rsid w:val="00DB36D8"/>
    <w:rsid w:val="00DB64C2"/>
    <w:rsid w:val="00DE1CFF"/>
    <w:rsid w:val="00DE78E1"/>
    <w:rsid w:val="00DF14F2"/>
    <w:rsid w:val="00E20D1D"/>
    <w:rsid w:val="00E349DA"/>
    <w:rsid w:val="00E52B40"/>
    <w:rsid w:val="00E622F6"/>
    <w:rsid w:val="00E6327C"/>
    <w:rsid w:val="00E71B24"/>
    <w:rsid w:val="00E73262"/>
    <w:rsid w:val="00E756E8"/>
    <w:rsid w:val="00E85502"/>
    <w:rsid w:val="00EA3294"/>
    <w:rsid w:val="00EA4D35"/>
    <w:rsid w:val="00EB2615"/>
    <w:rsid w:val="00EB4E45"/>
    <w:rsid w:val="00EC34B4"/>
    <w:rsid w:val="00EE54CB"/>
    <w:rsid w:val="00EF7171"/>
    <w:rsid w:val="00F02ACB"/>
    <w:rsid w:val="00F213DD"/>
    <w:rsid w:val="00F26104"/>
    <w:rsid w:val="00F32AD3"/>
    <w:rsid w:val="00F33E6C"/>
    <w:rsid w:val="00F50D2D"/>
    <w:rsid w:val="00F6399B"/>
    <w:rsid w:val="00F65D6E"/>
    <w:rsid w:val="00F7094C"/>
    <w:rsid w:val="00F8441E"/>
    <w:rsid w:val="00F85779"/>
    <w:rsid w:val="00F96BF0"/>
    <w:rsid w:val="00FA0E37"/>
    <w:rsid w:val="00FC6FBB"/>
    <w:rsid w:val="00FD199C"/>
    <w:rsid w:val="00FE294D"/>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BB8"/>
  </w:style>
  <w:style w:type="paragraph" w:styleId="Heading1">
    <w:name w:val="heading 1"/>
    <w:basedOn w:val="Normal"/>
    <w:next w:val="Normal"/>
    <w:qFormat/>
    <w:rsid w:val="00360BB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0BB8"/>
    <w:pPr>
      <w:ind w:left="360"/>
    </w:pPr>
    <w:rPr>
      <w:sz w:val="24"/>
    </w:rPr>
  </w:style>
  <w:style w:type="paragraph" w:styleId="Header">
    <w:name w:val="header"/>
    <w:basedOn w:val="Normal"/>
    <w:rsid w:val="00360BB8"/>
    <w:pPr>
      <w:tabs>
        <w:tab w:val="center" w:pos="4320"/>
        <w:tab w:val="right" w:pos="8640"/>
      </w:tabs>
    </w:pPr>
  </w:style>
  <w:style w:type="paragraph" w:styleId="Footer">
    <w:name w:val="footer"/>
    <w:basedOn w:val="Normal"/>
    <w:link w:val="FooterChar"/>
    <w:uiPriority w:val="99"/>
    <w:rsid w:val="00360BB8"/>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semiHidden/>
    <w:rsid w:val="00076F90"/>
    <w:pPr>
      <w:overflowPunct w:val="0"/>
      <w:autoSpaceDE w:val="0"/>
      <w:autoSpaceDN w:val="0"/>
      <w:adjustRightInd w:val="0"/>
    </w:pPr>
  </w:style>
  <w:style w:type="paragraph" w:customStyle="1" w:styleId="p3">
    <w:name w:val="p3"/>
    <w:basedOn w:val="Normal"/>
    <w:rsid w:val="00076F90"/>
    <w:pPr>
      <w:widowControl w:val="0"/>
      <w:tabs>
        <w:tab w:val="left" w:pos="204"/>
      </w:tabs>
      <w:autoSpaceDE w:val="0"/>
      <w:autoSpaceDN w:val="0"/>
      <w:adjustRightInd w:val="0"/>
    </w:pPr>
    <w:rPr>
      <w:sz w:val="24"/>
      <w:szCs w:val="24"/>
    </w:rPr>
  </w:style>
  <w:style w:type="character" w:styleId="FootnoteReference">
    <w:name w:val="footnote reference"/>
    <w:semiHidden/>
    <w:rsid w:val="00076F90"/>
    <w:rPr>
      <w:vertAlign w:val="superscript"/>
    </w:rPr>
  </w:style>
  <w:style w:type="paragraph" w:customStyle="1" w:styleId="Default">
    <w:name w:val="Default"/>
    <w:rsid w:val="00B91C73"/>
    <w:pPr>
      <w:autoSpaceDE w:val="0"/>
      <w:autoSpaceDN w:val="0"/>
      <w:adjustRightInd w:val="0"/>
    </w:pPr>
    <w:rPr>
      <w:color w:val="000000"/>
      <w:sz w:val="24"/>
      <w:szCs w:val="24"/>
    </w:rPr>
  </w:style>
  <w:style w:type="table" w:styleId="TableGrid">
    <w:name w:val="Table Grid"/>
    <w:basedOn w:val="TableNormal"/>
    <w:rsid w:val="00EB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B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BB8"/>
  </w:style>
  <w:style w:type="paragraph" w:styleId="Heading1">
    <w:name w:val="heading 1"/>
    <w:basedOn w:val="Normal"/>
    <w:next w:val="Normal"/>
    <w:qFormat/>
    <w:rsid w:val="00360BB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0BB8"/>
    <w:pPr>
      <w:ind w:left="360"/>
    </w:pPr>
    <w:rPr>
      <w:sz w:val="24"/>
    </w:rPr>
  </w:style>
  <w:style w:type="paragraph" w:styleId="Header">
    <w:name w:val="header"/>
    <w:basedOn w:val="Normal"/>
    <w:rsid w:val="00360BB8"/>
    <w:pPr>
      <w:tabs>
        <w:tab w:val="center" w:pos="4320"/>
        <w:tab w:val="right" w:pos="8640"/>
      </w:tabs>
    </w:pPr>
  </w:style>
  <w:style w:type="paragraph" w:styleId="Footer">
    <w:name w:val="footer"/>
    <w:basedOn w:val="Normal"/>
    <w:link w:val="FooterChar"/>
    <w:uiPriority w:val="99"/>
    <w:rsid w:val="00360BB8"/>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semiHidden/>
    <w:rsid w:val="00076F90"/>
    <w:pPr>
      <w:overflowPunct w:val="0"/>
      <w:autoSpaceDE w:val="0"/>
      <w:autoSpaceDN w:val="0"/>
      <w:adjustRightInd w:val="0"/>
    </w:pPr>
  </w:style>
  <w:style w:type="paragraph" w:customStyle="1" w:styleId="p3">
    <w:name w:val="p3"/>
    <w:basedOn w:val="Normal"/>
    <w:rsid w:val="00076F90"/>
    <w:pPr>
      <w:widowControl w:val="0"/>
      <w:tabs>
        <w:tab w:val="left" w:pos="204"/>
      </w:tabs>
      <w:autoSpaceDE w:val="0"/>
      <w:autoSpaceDN w:val="0"/>
      <w:adjustRightInd w:val="0"/>
    </w:pPr>
    <w:rPr>
      <w:sz w:val="24"/>
      <w:szCs w:val="24"/>
    </w:rPr>
  </w:style>
  <w:style w:type="character" w:styleId="FootnoteReference">
    <w:name w:val="footnote reference"/>
    <w:semiHidden/>
    <w:rsid w:val="00076F90"/>
    <w:rPr>
      <w:vertAlign w:val="superscript"/>
    </w:rPr>
  </w:style>
  <w:style w:type="paragraph" w:customStyle="1" w:styleId="Default">
    <w:name w:val="Default"/>
    <w:rsid w:val="00B91C73"/>
    <w:pPr>
      <w:autoSpaceDE w:val="0"/>
      <w:autoSpaceDN w:val="0"/>
      <w:adjustRightInd w:val="0"/>
    </w:pPr>
    <w:rPr>
      <w:color w:val="000000"/>
      <w:sz w:val="24"/>
      <w:szCs w:val="24"/>
    </w:rPr>
  </w:style>
  <w:style w:type="table" w:styleId="TableGrid">
    <w:name w:val="Table Grid"/>
    <w:basedOn w:val="TableNormal"/>
    <w:rsid w:val="00EB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B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5DFD-E96B-46B0-81C6-8CD929B8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9</cp:revision>
  <cp:lastPrinted>2015-04-01T15:21:00Z</cp:lastPrinted>
  <dcterms:created xsi:type="dcterms:W3CDTF">2015-03-26T15:35:00Z</dcterms:created>
  <dcterms:modified xsi:type="dcterms:W3CDTF">2015-04-01T15:21:00Z</dcterms:modified>
</cp:coreProperties>
</file>