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4960" w:rsidRDefault="005861CE" w:rsidP="005861CE">
      <w:pPr>
        <w:spacing w:line="240" w:lineRule="auto"/>
        <w:rPr>
          <w:b/>
        </w:rPr>
      </w:pPr>
      <w:r>
        <w:rPr>
          <w:b/>
        </w:rPr>
        <w:t xml:space="preserve">BEFORE THE </w:t>
      </w:r>
    </w:p>
    <w:p w:rsidR="005861CE" w:rsidRDefault="005861CE" w:rsidP="005861CE">
      <w:pPr>
        <w:spacing w:line="240" w:lineRule="auto"/>
        <w:rPr>
          <w:b/>
        </w:rPr>
      </w:pPr>
      <w:r>
        <w:rPr>
          <w:b/>
        </w:rPr>
        <w:t>PENNSYLVANIA PUBLIC UTILITY COMMISSION</w:t>
      </w:r>
    </w:p>
    <w:p w:rsidR="005861CE" w:rsidRDefault="005861CE" w:rsidP="005861CE">
      <w:pPr>
        <w:spacing w:line="240" w:lineRule="auto"/>
        <w:rPr>
          <w:b/>
        </w:rPr>
      </w:pPr>
    </w:p>
    <w:p w:rsidR="005861CE" w:rsidRDefault="005861CE" w:rsidP="005861CE">
      <w:pPr>
        <w:spacing w:line="240" w:lineRule="auto"/>
        <w:rPr>
          <w:b/>
        </w:rPr>
      </w:pPr>
    </w:p>
    <w:p w:rsidR="005C14B6" w:rsidRDefault="005C14B6" w:rsidP="005861CE">
      <w:pPr>
        <w:spacing w:line="240" w:lineRule="auto"/>
        <w:rPr>
          <w:b/>
        </w:rPr>
      </w:pPr>
    </w:p>
    <w:p w:rsidR="005861CE" w:rsidRDefault="00BA1A63" w:rsidP="005861CE">
      <w:pPr>
        <w:spacing w:line="240" w:lineRule="auto"/>
        <w:jc w:val="left"/>
      </w:pPr>
      <w:r>
        <w:t>Sharon Laffey</w:t>
      </w:r>
      <w:r w:rsidR="00232397">
        <w:tab/>
      </w:r>
      <w:r w:rsidR="00232397">
        <w:tab/>
      </w:r>
      <w:r w:rsidR="00232397">
        <w:tab/>
      </w:r>
      <w:r w:rsidR="00232397">
        <w:tab/>
      </w:r>
      <w:r>
        <w:tab/>
      </w:r>
      <w:r w:rsidR="00232397">
        <w:tab/>
      </w:r>
      <w:r w:rsidR="005861CE">
        <w:t>:</w:t>
      </w:r>
    </w:p>
    <w:p w:rsidR="005861CE" w:rsidRDefault="005861CE" w:rsidP="005861CE">
      <w:pPr>
        <w:spacing w:line="240" w:lineRule="auto"/>
        <w:jc w:val="left"/>
      </w:pPr>
      <w:r>
        <w:tab/>
      </w:r>
      <w:r>
        <w:tab/>
      </w:r>
      <w:r>
        <w:tab/>
      </w:r>
      <w:r>
        <w:tab/>
      </w:r>
      <w:r>
        <w:tab/>
      </w:r>
      <w:r>
        <w:tab/>
      </w:r>
      <w:r>
        <w:tab/>
        <w:t>:</w:t>
      </w:r>
    </w:p>
    <w:p w:rsidR="005861CE" w:rsidRDefault="005861CE" w:rsidP="005861CE">
      <w:pPr>
        <w:spacing w:line="240" w:lineRule="auto"/>
        <w:jc w:val="left"/>
      </w:pPr>
      <w:r>
        <w:tab/>
        <w:t>v.</w:t>
      </w:r>
      <w:r>
        <w:tab/>
      </w:r>
      <w:r>
        <w:tab/>
      </w:r>
      <w:r>
        <w:tab/>
      </w:r>
      <w:r>
        <w:tab/>
      </w:r>
      <w:r>
        <w:tab/>
      </w:r>
      <w:r>
        <w:tab/>
        <w:t>:</w:t>
      </w:r>
      <w:r>
        <w:tab/>
      </w:r>
      <w:r>
        <w:tab/>
      </w:r>
      <w:r>
        <w:tab/>
      </w:r>
      <w:r w:rsidR="00BA1A63">
        <w:t>C-2015-2462487</w:t>
      </w:r>
      <w:r>
        <w:tab/>
      </w:r>
    </w:p>
    <w:p w:rsidR="005861CE" w:rsidRDefault="005861CE" w:rsidP="005861CE">
      <w:pPr>
        <w:spacing w:line="240" w:lineRule="auto"/>
        <w:jc w:val="left"/>
      </w:pPr>
      <w:r>
        <w:tab/>
      </w:r>
      <w:r>
        <w:tab/>
      </w:r>
      <w:r>
        <w:tab/>
      </w:r>
      <w:r>
        <w:tab/>
      </w:r>
      <w:r>
        <w:tab/>
      </w:r>
      <w:r>
        <w:tab/>
      </w:r>
      <w:r>
        <w:tab/>
        <w:t>:</w:t>
      </w:r>
    </w:p>
    <w:p w:rsidR="00232397" w:rsidRDefault="00BA1A63" w:rsidP="005861CE">
      <w:pPr>
        <w:spacing w:line="240" w:lineRule="auto"/>
        <w:jc w:val="left"/>
      </w:pPr>
      <w:r>
        <w:t>Knox Energy Cooperative</w:t>
      </w:r>
      <w:r>
        <w:tab/>
      </w:r>
      <w:r w:rsidR="00232397">
        <w:tab/>
      </w:r>
      <w:r w:rsidR="00232397">
        <w:tab/>
      </w:r>
      <w:r w:rsidR="00232397">
        <w:tab/>
        <w:t>:</w:t>
      </w:r>
    </w:p>
    <w:p w:rsidR="005861CE" w:rsidRDefault="00BA1A63" w:rsidP="005861CE">
      <w:pPr>
        <w:spacing w:line="240" w:lineRule="auto"/>
        <w:jc w:val="left"/>
      </w:pPr>
      <w:r>
        <w:t>Association, Inc.</w:t>
      </w:r>
      <w:r>
        <w:tab/>
      </w:r>
      <w:r>
        <w:tab/>
      </w:r>
      <w:r>
        <w:tab/>
      </w:r>
      <w:r>
        <w:tab/>
      </w:r>
      <w:r w:rsidR="00232397">
        <w:tab/>
      </w:r>
      <w:r w:rsidR="005861CE">
        <w:t>:</w:t>
      </w:r>
    </w:p>
    <w:p w:rsidR="005861CE" w:rsidRDefault="005861CE" w:rsidP="005861CE">
      <w:pPr>
        <w:spacing w:line="240" w:lineRule="auto"/>
        <w:jc w:val="left"/>
      </w:pPr>
    </w:p>
    <w:p w:rsidR="005861CE" w:rsidRDefault="005861CE" w:rsidP="005861CE">
      <w:pPr>
        <w:spacing w:line="240" w:lineRule="auto"/>
        <w:jc w:val="left"/>
      </w:pPr>
    </w:p>
    <w:p w:rsidR="005C14B6" w:rsidRDefault="005C14B6" w:rsidP="005861CE">
      <w:pPr>
        <w:spacing w:line="240" w:lineRule="auto"/>
        <w:jc w:val="left"/>
      </w:pPr>
    </w:p>
    <w:p w:rsidR="005861CE" w:rsidRPr="00AE00E2" w:rsidRDefault="00AE00E2" w:rsidP="00AE00E2">
      <w:pPr>
        <w:spacing w:line="240" w:lineRule="auto"/>
        <w:rPr>
          <w:b/>
          <w:color w:val="000000" w:themeColor="text1"/>
          <w:u w:val="single"/>
        </w:rPr>
      </w:pPr>
      <w:r w:rsidRPr="00AE00E2">
        <w:rPr>
          <w:b/>
          <w:color w:val="000000" w:themeColor="text1"/>
          <w:u w:val="single"/>
        </w:rPr>
        <w:t>INITIAL DECISION</w:t>
      </w:r>
      <w:r w:rsidR="007C12D9" w:rsidRPr="00AE00E2">
        <w:rPr>
          <w:b/>
          <w:color w:val="000000" w:themeColor="text1"/>
          <w:u w:val="single"/>
        </w:rPr>
        <w:t xml:space="preserve"> </w:t>
      </w:r>
    </w:p>
    <w:p w:rsidR="007C12D9" w:rsidRPr="005C14B6" w:rsidRDefault="007C12D9" w:rsidP="005861CE">
      <w:pPr>
        <w:spacing w:line="240" w:lineRule="auto"/>
        <w:rPr>
          <w:b/>
        </w:rPr>
      </w:pPr>
    </w:p>
    <w:p w:rsidR="0042227A" w:rsidRPr="005C14B6" w:rsidRDefault="0042227A" w:rsidP="005861CE">
      <w:pPr>
        <w:spacing w:line="240" w:lineRule="auto"/>
        <w:rPr>
          <w:b/>
        </w:rPr>
      </w:pPr>
    </w:p>
    <w:p w:rsidR="0042227A" w:rsidRPr="005C14B6" w:rsidRDefault="0042227A" w:rsidP="0042227A">
      <w:pPr>
        <w:spacing w:line="240" w:lineRule="auto"/>
        <w:rPr>
          <w:rFonts w:eastAsia="Calibri"/>
        </w:rPr>
      </w:pPr>
      <w:r w:rsidRPr="005C14B6">
        <w:rPr>
          <w:rFonts w:eastAsia="Calibri"/>
        </w:rPr>
        <w:t>Before</w:t>
      </w:r>
    </w:p>
    <w:p w:rsidR="0042227A" w:rsidRPr="00280FDD" w:rsidRDefault="0042227A" w:rsidP="0042227A">
      <w:pPr>
        <w:spacing w:line="240" w:lineRule="auto"/>
        <w:rPr>
          <w:rFonts w:eastAsia="Calibri"/>
        </w:rPr>
      </w:pPr>
      <w:r w:rsidRPr="00280FDD">
        <w:rPr>
          <w:rFonts w:eastAsia="Calibri"/>
        </w:rPr>
        <w:t>Susan D. Colwell</w:t>
      </w:r>
    </w:p>
    <w:p w:rsidR="0042227A" w:rsidRDefault="0042227A" w:rsidP="0042227A">
      <w:pPr>
        <w:spacing w:line="240" w:lineRule="auto"/>
        <w:rPr>
          <w:rFonts w:eastAsia="Calibri"/>
        </w:rPr>
      </w:pPr>
      <w:r w:rsidRPr="00280FDD">
        <w:rPr>
          <w:rFonts w:eastAsia="Calibri"/>
        </w:rPr>
        <w:t>Administrative Law Judge</w:t>
      </w:r>
    </w:p>
    <w:p w:rsidR="000F5D78" w:rsidRPr="00280FDD" w:rsidRDefault="000F5D78" w:rsidP="0042227A">
      <w:pPr>
        <w:spacing w:line="240" w:lineRule="auto"/>
        <w:rPr>
          <w:rFonts w:eastAsia="Calibri"/>
        </w:rPr>
      </w:pPr>
    </w:p>
    <w:p w:rsidR="0042227A" w:rsidRDefault="0042227A" w:rsidP="0042227A">
      <w:pPr>
        <w:spacing w:line="240" w:lineRule="auto"/>
        <w:rPr>
          <w:rFonts w:eastAsia="Calibri"/>
        </w:rPr>
      </w:pPr>
    </w:p>
    <w:p w:rsidR="000F5D78" w:rsidRPr="000F5D78" w:rsidRDefault="000F5D78" w:rsidP="00F81122">
      <w:pPr>
        <w:rPr>
          <w:rFonts w:eastAsia="Calibri"/>
          <w:u w:val="single"/>
        </w:rPr>
      </w:pPr>
      <w:r w:rsidRPr="000F5D78">
        <w:rPr>
          <w:rFonts w:eastAsia="Calibri"/>
          <w:u w:val="single"/>
        </w:rPr>
        <w:t>INTRODUCTION</w:t>
      </w:r>
    </w:p>
    <w:p w:rsidR="000F5D78" w:rsidRDefault="000F5D78" w:rsidP="00F81122">
      <w:pPr>
        <w:rPr>
          <w:rFonts w:eastAsia="Calibri"/>
        </w:rPr>
      </w:pPr>
    </w:p>
    <w:p w:rsidR="000F5D78" w:rsidRPr="00280FDD" w:rsidRDefault="000F5D78" w:rsidP="00F81122">
      <w:pPr>
        <w:jc w:val="left"/>
        <w:rPr>
          <w:rFonts w:eastAsia="Calibri"/>
        </w:rPr>
      </w:pPr>
      <w:r>
        <w:rPr>
          <w:rFonts w:eastAsia="Calibri"/>
        </w:rPr>
        <w:tab/>
      </w:r>
      <w:r>
        <w:rPr>
          <w:rFonts w:eastAsia="Calibri"/>
        </w:rPr>
        <w:tab/>
        <w:t xml:space="preserve">This Initial Decision grants the </w:t>
      </w:r>
      <w:r w:rsidR="00A35487">
        <w:rPr>
          <w:rFonts w:eastAsia="Calibri"/>
        </w:rPr>
        <w:t>Motion for Judgment on the Pleadings</w:t>
      </w:r>
      <w:r>
        <w:rPr>
          <w:rFonts w:eastAsia="Calibri"/>
        </w:rPr>
        <w:t xml:space="preserve"> of Knox Energy Cooperative Association, Inc. and dismisses the Complaint </w:t>
      </w:r>
      <w:r w:rsidR="00D8315F">
        <w:rPr>
          <w:rFonts w:eastAsia="Calibri"/>
        </w:rPr>
        <w:t>because</w:t>
      </w:r>
      <w:r>
        <w:rPr>
          <w:rFonts w:eastAsia="Calibri"/>
        </w:rPr>
        <w:t xml:space="preserve"> Respondent is a bona fide cooperative association and not </w:t>
      </w:r>
      <w:r w:rsidR="00D8315F">
        <w:rPr>
          <w:rFonts w:eastAsia="Calibri"/>
        </w:rPr>
        <w:t>regulated by</w:t>
      </w:r>
      <w:r>
        <w:rPr>
          <w:rFonts w:eastAsia="Calibri"/>
        </w:rPr>
        <w:t xml:space="preserve"> the </w:t>
      </w:r>
      <w:r w:rsidR="00D8315F">
        <w:rPr>
          <w:rFonts w:eastAsia="Calibri"/>
        </w:rPr>
        <w:t>Commission</w:t>
      </w:r>
      <w:r>
        <w:rPr>
          <w:rFonts w:eastAsia="Calibri"/>
        </w:rPr>
        <w:t>.</w:t>
      </w:r>
    </w:p>
    <w:p w:rsidR="0042227A" w:rsidRPr="00280FDD" w:rsidRDefault="0042227A" w:rsidP="00F81122">
      <w:pPr>
        <w:rPr>
          <w:rFonts w:eastAsia="Calibri"/>
        </w:rPr>
      </w:pPr>
    </w:p>
    <w:p w:rsidR="00FB05E3" w:rsidRPr="000F5D78" w:rsidRDefault="0042227A" w:rsidP="00F81122">
      <w:pPr>
        <w:rPr>
          <w:rFonts w:eastAsia="Calibri"/>
          <w:i/>
          <w:color w:val="4F81BD" w:themeColor="accent1"/>
        </w:rPr>
      </w:pPr>
      <w:r w:rsidRPr="00280FDD">
        <w:rPr>
          <w:rFonts w:eastAsia="Calibri"/>
          <w:u w:val="single"/>
        </w:rPr>
        <w:t>HISTORY OF THE PROCEEDING</w:t>
      </w:r>
      <w:r>
        <w:rPr>
          <w:rFonts w:eastAsia="Calibri"/>
          <w:i/>
          <w:color w:val="4F81BD" w:themeColor="accent1"/>
        </w:rPr>
        <w:t xml:space="preserve"> </w:t>
      </w:r>
    </w:p>
    <w:p w:rsidR="007C12D9" w:rsidRPr="005C14B6" w:rsidRDefault="007C12D9" w:rsidP="00F81122">
      <w:pPr>
        <w:jc w:val="left"/>
      </w:pPr>
    </w:p>
    <w:p w:rsidR="0074623E" w:rsidRDefault="004C583B" w:rsidP="00F81122">
      <w:pPr>
        <w:jc w:val="left"/>
      </w:pPr>
      <w:r>
        <w:tab/>
      </w:r>
      <w:r>
        <w:tab/>
      </w:r>
      <w:r w:rsidR="00BA1A63">
        <w:t>On or about December 17, 2014, Sharron Laffey (Complainant) filed a Formal Complaint against Knox Energy Cooperative Association, Inc. (Knox or Respondent). Complainant alleg</w:t>
      </w:r>
      <w:r w:rsidR="00AE00E2">
        <w:t>es</w:t>
      </w:r>
      <w:r w:rsidR="00BA1A63">
        <w:t xml:space="preserve"> that a portion of the gas line to her residence </w:t>
      </w:r>
      <w:r w:rsidR="006D7E62">
        <w:t>is</w:t>
      </w:r>
      <w:r w:rsidR="00BA1A63">
        <w:t xml:space="preserve"> not buried and protrudes from the ground, and that she believe</w:t>
      </w:r>
      <w:r w:rsidR="006D7E62">
        <w:t>s</w:t>
      </w:r>
      <w:r w:rsidR="00BA1A63">
        <w:t xml:space="preserve"> this exposure </w:t>
      </w:r>
      <w:r w:rsidR="00D8315F">
        <w:t>creates</w:t>
      </w:r>
      <w:r w:rsidR="00BA1A63">
        <w:t xml:space="preserve"> a hazardous condition</w:t>
      </w:r>
      <w:r w:rsidR="005C14B6">
        <w:t xml:space="preserve">.  </w:t>
      </w:r>
      <w:r w:rsidR="00BA1A63">
        <w:t>Complainant wants the Pennsylvania Public Utility Commission (Commission) to order Respondent to bury the gas line</w:t>
      </w:r>
      <w:r w:rsidR="005C14B6">
        <w:t xml:space="preserve">.  </w:t>
      </w:r>
      <w:r w:rsidR="00BA1A63">
        <w:t xml:space="preserve">Complainant states that Respondent promised </w:t>
      </w:r>
      <w:r w:rsidR="003B4DD9">
        <w:t>that it</w:t>
      </w:r>
      <w:r w:rsidR="00BA1A63">
        <w:t xml:space="preserve"> would bu</w:t>
      </w:r>
      <w:r w:rsidR="003B4DD9">
        <w:t>ry t</w:t>
      </w:r>
      <w:r w:rsidR="004109FE">
        <w:t>he gas line in Spring 2014, but</w:t>
      </w:r>
      <w:r w:rsidR="003B4DD9">
        <w:t xml:space="preserve"> </w:t>
      </w:r>
      <w:r w:rsidR="006D7E62">
        <w:t>has not done so</w:t>
      </w:r>
      <w:r w:rsidR="004109FE">
        <w:t xml:space="preserve"> as of the date of filing.</w:t>
      </w:r>
    </w:p>
    <w:p w:rsidR="003B4DD9" w:rsidRDefault="003B4DD9" w:rsidP="00BA1A63">
      <w:pPr>
        <w:jc w:val="left"/>
      </w:pPr>
    </w:p>
    <w:p w:rsidR="003B4DD9" w:rsidRDefault="003B4DD9" w:rsidP="00BA1A63">
      <w:pPr>
        <w:jc w:val="left"/>
      </w:pPr>
      <w:r>
        <w:lastRenderedPageBreak/>
        <w:tab/>
      </w:r>
      <w:r>
        <w:tab/>
        <w:t>On February 5, 201</w:t>
      </w:r>
      <w:r w:rsidR="00F81122">
        <w:t>5</w:t>
      </w:r>
      <w:r>
        <w:t xml:space="preserve">, Knox filed </w:t>
      </w:r>
      <w:r w:rsidR="00394311">
        <w:t>an</w:t>
      </w:r>
      <w:r w:rsidR="00894A8B">
        <w:t xml:space="preserve"> </w:t>
      </w:r>
      <w:r>
        <w:t xml:space="preserve">Answer and New Matter </w:t>
      </w:r>
      <w:r w:rsidR="00D8315F">
        <w:t xml:space="preserve">with a Notice to Plead </w:t>
      </w:r>
      <w:r>
        <w:t>in res</w:t>
      </w:r>
      <w:r w:rsidR="00720E55">
        <w:t>ponse to the Complaint</w:t>
      </w:r>
      <w:r w:rsidR="00F40CAC">
        <w:t>, as well as Preliminary Objections (POs)</w:t>
      </w:r>
      <w:r w:rsidR="005C14B6">
        <w:t xml:space="preserve">.  </w:t>
      </w:r>
      <w:r w:rsidR="00720E55">
        <w:t>In its A</w:t>
      </w:r>
      <w:r>
        <w:t>nswer, Respondent admitted that a portion of the gas line traversing Complainant’s property is currently above ground</w:t>
      </w:r>
      <w:r w:rsidR="005C14B6">
        <w:t xml:space="preserve">.  </w:t>
      </w:r>
      <w:r>
        <w:t>However, Respondent denies that this exposed section of gas line constitutes a hazard</w:t>
      </w:r>
      <w:r w:rsidR="005C14B6">
        <w:t xml:space="preserve">.  </w:t>
      </w:r>
      <w:r>
        <w:t>Respondent avers that Respondent’s facilities are subject to annual Commission safety audits and that the most recent Commission audit of Respondent’s facilities was performed on September 26, 2014, and found all of Respondent’s facilities to be in compliance with all applicable state and federal pipeline safety regulations</w:t>
      </w:r>
      <w:r w:rsidR="005C14B6">
        <w:t xml:space="preserve">.  </w:t>
      </w:r>
      <w:r>
        <w:t>Respondent also alleges that no enforcement actions were initiated and that there are no outstanding compliance issues with its system</w:t>
      </w:r>
      <w:r w:rsidR="005C14B6">
        <w:t xml:space="preserve">.  </w:t>
      </w:r>
      <w:r>
        <w:t>Respondent avers that it has been in contact with Complainant through Knox’s complaint resolution process to reach an amicable solution</w:t>
      </w:r>
      <w:r w:rsidR="005C14B6">
        <w:t xml:space="preserve">.  </w:t>
      </w:r>
      <w:r>
        <w:t xml:space="preserve">Specifically, Respondent is developing plans to relocate the gas line </w:t>
      </w:r>
      <w:bookmarkStart w:id="0" w:name="_GoBack"/>
      <w:bookmarkEnd w:id="0"/>
      <w:r>
        <w:t>which is the subject of this Complaint</w:t>
      </w:r>
      <w:r w:rsidR="005C14B6">
        <w:t xml:space="preserve">.  </w:t>
      </w:r>
      <w:r>
        <w:t>Respondent, however, notes that these plans cannot be carried out until Spring 2015 when the weather will be more suitable for such work</w:t>
      </w:r>
      <w:r w:rsidR="005C14B6">
        <w:t xml:space="preserve">.  </w:t>
      </w:r>
      <w:r w:rsidR="0044490C" w:rsidRPr="0044490C">
        <w:t>In New Matter, Knox asserted that it had been found to be a bona fide cooperative in the Commission’s Order of March 22, 2007, approving the sale o</w:t>
      </w:r>
      <w:r w:rsidR="00192D00">
        <w:t xml:space="preserve">f Gasco’s Kane Division to Respondent </w:t>
      </w:r>
      <w:r w:rsidR="005C14B6">
        <w:t>at Docket No. A</w:t>
      </w:r>
      <w:r w:rsidR="005C14B6">
        <w:noBreakHyphen/>
      </w:r>
      <w:r w:rsidR="0044490C" w:rsidRPr="0044490C">
        <w:t>120002F2000</w:t>
      </w:r>
      <w:r w:rsidR="0044490C">
        <w:rPr>
          <w:rStyle w:val="FootnoteReference"/>
        </w:rPr>
        <w:footnoteReference w:id="1"/>
      </w:r>
      <w:r w:rsidR="005C14B6">
        <w:t xml:space="preserve">.  </w:t>
      </w:r>
      <w:r w:rsidR="00192D00">
        <w:t xml:space="preserve">Respondent </w:t>
      </w:r>
      <w:r w:rsidR="004E5152">
        <w:t>further alleged that no changes have been made to its operating structure, and no orders, directives, or pronouncements f</w:t>
      </w:r>
      <w:r w:rsidR="003864D5">
        <w:t>r</w:t>
      </w:r>
      <w:r w:rsidR="004E5152">
        <w:t>om any state or federal agencies have altered its status as a bona fide cooperative association</w:t>
      </w:r>
      <w:r w:rsidR="005C14B6">
        <w:t xml:space="preserve">.  </w:t>
      </w:r>
      <w:r w:rsidR="005E0726">
        <w:t xml:space="preserve">Respondent also alleged that Complainant is a member of Knox and takes natural gas service from its Clayville, Pennsylvania System, which is the system at issue in the </w:t>
      </w:r>
      <w:r w:rsidR="005E0726" w:rsidRPr="005E0726">
        <w:rPr>
          <w:i/>
        </w:rPr>
        <w:t>Gasco Abandonment Order</w:t>
      </w:r>
      <w:r w:rsidR="005E0726">
        <w:t xml:space="preserve">, and also made several other </w:t>
      </w:r>
      <w:r w:rsidR="00D24DA7">
        <w:t xml:space="preserve">statements to support its purported </w:t>
      </w:r>
      <w:r w:rsidR="005E0726">
        <w:t xml:space="preserve">status as a bona fide cooperative association. </w:t>
      </w:r>
    </w:p>
    <w:p w:rsidR="009A3BCF" w:rsidRDefault="009A3BCF" w:rsidP="00BA1A63">
      <w:pPr>
        <w:jc w:val="left"/>
      </w:pPr>
    </w:p>
    <w:p w:rsidR="00955D81" w:rsidRDefault="009A3BCF" w:rsidP="00BA1A63">
      <w:pPr>
        <w:jc w:val="left"/>
      </w:pPr>
      <w:r>
        <w:tab/>
      </w:r>
      <w:r>
        <w:tab/>
      </w:r>
      <w:r w:rsidR="008F59B3">
        <w:t xml:space="preserve">In its </w:t>
      </w:r>
      <w:r w:rsidR="00D13661">
        <w:t>PO</w:t>
      </w:r>
      <w:r w:rsidR="00F40CAC">
        <w:t>s</w:t>
      </w:r>
      <w:r w:rsidR="0044490C">
        <w:t>, Knox asserted that the Complaint should be dismissed due to lack of jurisdi</w:t>
      </w:r>
      <w:r w:rsidR="007673DE">
        <w:t xml:space="preserve">ction because the </w:t>
      </w:r>
      <w:r w:rsidR="0044490C">
        <w:t xml:space="preserve">Respondent </w:t>
      </w:r>
      <w:r w:rsidR="007673DE">
        <w:t>is</w:t>
      </w:r>
      <w:r w:rsidR="0044490C">
        <w:t xml:space="preserve"> a bona fide cooperative</w:t>
      </w:r>
      <w:r w:rsidR="00AE00E2">
        <w:t xml:space="preserve"> association</w:t>
      </w:r>
      <w:r w:rsidR="0044490C">
        <w:t xml:space="preserve"> in the </w:t>
      </w:r>
      <w:r w:rsidR="0044490C" w:rsidRPr="00D07B74">
        <w:rPr>
          <w:i/>
        </w:rPr>
        <w:t>Gasco Abandonment Order</w:t>
      </w:r>
      <w:r w:rsidR="006C5BBC" w:rsidRPr="00D07B74">
        <w:rPr>
          <w:i/>
        </w:rPr>
        <w:t xml:space="preserve"> </w:t>
      </w:r>
      <w:r w:rsidR="006C5BBC" w:rsidRPr="0044490C">
        <w:t>(copy of Order attached to</w:t>
      </w:r>
      <w:r w:rsidR="006C5BBC">
        <w:t xml:space="preserve"> Preliminary Objections). </w:t>
      </w:r>
      <w:r w:rsidR="0044490C">
        <w:t xml:space="preserve"> </w:t>
      </w:r>
      <w:r w:rsidR="0044490C" w:rsidRPr="00D07B74">
        <w:rPr>
          <w:i/>
        </w:rPr>
        <w:t>See</w:t>
      </w:r>
      <w:r w:rsidR="0044490C">
        <w:t>, 66 Pa.C.S. §</w:t>
      </w:r>
      <w:r w:rsidR="00394311">
        <w:t xml:space="preserve"> </w:t>
      </w:r>
      <w:r w:rsidR="0044490C">
        <w:t>102.</w:t>
      </w:r>
      <w:r w:rsidR="00955D81">
        <w:t xml:space="preserve"> </w:t>
      </w:r>
    </w:p>
    <w:p w:rsidR="0074623E" w:rsidRDefault="0074623E" w:rsidP="005861CE">
      <w:pPr>
        <w:jc w:val="left"/>
      </w:pPr>
    </w:p>
    <w:p w:rsidR="00B459CF" w:rsidRDefault="00B459CF" w:rsidP="005861CE">
      <w:pPr>
        <w:jc w:val="left"/>
        <w:rPr>
          <w:rFonts w:eastAsia="Calibri"/>
          <w:color w:val="000000" w:themeColor="text1"/>
        </w:rPr>
      </w:pPr>
      <w:r>
        <w:rPr>
          <w:rFonts w:eastAsia="Calibri"/>
          <w:color w:val="000000" w:themeColor="text1"/>
        </w:rPr>
        <w:tab/>
      </w:r>
      <w:r>
        <w:rPr>
          <w:rFonts w:eastAsia="Calibri"/>
          <w:color w:val="000000" w:themeColor="text1"/>
        </w:rPr>
        <w:tab/>
      </w:r>
      <w:r w:rsidRPr="00030667">
        <w:rPr>
          <w:rFonts w:eastAsia="Calibri"/>
          <w:color w:val="000000" w:themeColor="text1"/>
        </w:rPr>
        <w:t xml:space="preserve">On </w:t>
      </w:r>
      <w:r>
        <w:rPr>
          <w:rFonts w:eastAsia="Calibri"/>
          <w:color w:val="000000" w:themeColor="text1"/>
        </w:rPr>
        <w:t>March 4</w:t>
      </w:r>
      <w:r w:rsidRPr="00030667">
        <w:rPr>
          <w:rFonts w:eastAsia="Calibri"/>
          <w:color w:val="000000" w:themeColor="text1"/>
        </w:rPr>
        <w:t>, 2015, the matter was assigned to me by Motion Judge Assignment Notice.</w:t>
      </w:r>
    </w:p>
    <w:p w:rsidR="00F40CAC" w:rsidRDefault="00F40CAC" w:rsidP="005861CE">
      <w:pPr>
        <w:jc w:val="left"/>
      </w:pPr>
    </w:p>
    <w:p w:rsidR="00D8315F" w:rsidRDefault="003E54B5" w:rsidP="005861CE">
      <w:pPr>
        <w:jc w:val="left"/>
      </w:pPr>
      <w:r>
        <w:tab/>
      </w:r>
      <w:r>
        <w:tab/>
      </w:r>
      <w:r w:rsidR="00D8315F">
        <w:t xml:space="preserve">The time for filing responsive pleadings to the POs and to the new matter has run, and no responsive pleading has been filed.  </w:t>
      </w:r>
    </w:p>
    <w:p w:rsidR="005C14B6" w:rsidRDefault="005C14B6" w:rsidP="005861CE">
      <w:pPr>
        <w:jc w:val="left"/>
      </w:pPr>
    </w:p>
    <w:p w:rsidR="003E54B5" w:rsidRDefault="00B0355A" w:rsidP="005861CE">
      <w:pPr>
        <w:jc w:val="left"/>
      </w:pPr>
      <w:r>
        <w:tab/>
      </w:r>
      <w:r>
        <w:tab/>
      </w:r>
      <w:r w:rsidR="003E54B5">
        <w:t>The matter is ripe for disposition.</w:t>
      </w:r>
    </w:p>
    <w:p w:rsidR="003E54B5" w:rsidRDefault="003E54B5" w:rsidP="005861CE">
      <w:pPr>
        <w:jc w:val="left"/>
      </w:pPr>
    </w:p>
    <w:p w:rsidR="002D5B2A" w:rsidRDefault="002D5B2A" w:rsidP="002D5B2A">
      <w:pPr>
        <w:rPr>
          <w:u w:val="single"/>
        </w:rPr>
      </w:pPr>
      <w:r>
        <w:rPr>
          <w:u w:val="single"/>
        </w:rPr>
        <w:t>FINDINGS OF FACT</w:t>
      </w:r>
    </w:p>
    <w:p w:rsidR="002D5B2A" w:rsidRPr="00280FDD" w:rsidRDefault="002D5B2A" w:rsidP="002D5B2A">
      <w:pPr>
        <w:jc w:val="left"/>
        <w:rPr>
          <w:rFonts w:eastAsia="Calibri"/>
          <w:u w:val="single"/>
        </w:rPr>
      </w:pPr>
    </w:p>
    <w:p w:rsidR="002D5B2A" w:rsidRPr="00B31D9A" w:rsidRDefault="002D5B2A" w:rsidP="002D5B2A">
      <w:pPr>
        <w:jc w:val="left"/>
        <w:rPr>
          <w:rFonts w:eastAsia="Calibri"/>
          <w:color w:val="4F81BD" w:themeColor="accent1"/>
        </w:rPr>
      </w:pPr>
      <w:r w:rsidRPr="00280FDD">
        <w:rPr>
          <w:rFonts w:eastAsia="Calibri"/>
        </w:rPr>
        <w:tab/>
      </w:r>
      <w:r w:rsidRPr="00A73870">
        <w:rPr>
          <w:rFonts w:eastAsia="Calibri"/>
          <w:color w:val="000000" w:themeColor="text1"/>
        </w:rPr>
        <w:tab/>
        <w:t>1.</w:t>
      </w:r>
      <w:r w:rsidRPr="00A73870">
        <w:rPr>
          <w:rFonts w:eastAsia="Calibri"/>
          <w:color w:val="000000" w:themeColor="text1"/>
        </w:rPr>
        <w:tab/>
        <w:t xml:space="preserve">Complainant is </w:t>
      </w:r>
      <w:r w:rsidR="00961E49">
        <w:rPr>
          <w:rFonts w:eastAsia="Calibri"/>
          <w:color w:val="000000" w:themeColor="text1"/>
        </w:rPr>
        <w:t>Sharon Laffey, 1066 S. Sunset Beach Road, Claysville, PA 15323</w:t>
      </w:r>
      <w:r w:rsidR="008A75B6">
        <w:rPr>
          <w:rFonts w:eastAsia="Calibri"/>
          <w:color w:val="000000" w:themeColor="text1"/>
        </w:rPr>
        <w:t xml:space="preserve">, </w:t>
      </w:r>
      <w:r w:rsidR="008A75B6" w:rsidRPr="008A75B6">
        <w:rPr>
          <w:rFonts w:eastAsia="Calibri"/>
          <w:color w:val="000000" w:themeColor="text1"/>
        </w:rPr>
        <w:t>a member of Knox Energ</w:t>
      </w:r>
      <w:r w:rsidR="008A75B6">
        <w:rPr>
          <w:rFonts w:eastAsia="Calibri"/>
          <w:color w:val="000000" w:themeColor="text1"/>
        </w:rPr>
        <w:t>y Cooperative Association, Inc.</w:t>
      </w:r>
    </w:p>
    <w:p w:rsidR="002D5B2A" w:rsidRPr="00A73870" w:rsidRDefault="002D5B2A" w:rsidP="002D5B2A">
      <w:pPr>
        <w:jc w:val="left"/>
        <w:rPr>
          <w:rFonts w:eastAsia="Calibri"/>
          <w:color w:val="000000" w:themeColor="text1"/>
        </w:rPr>
      </w:pPr>
    </w:p>
    <w:p w:rsidR="002D5B2A" w:rsidRDefault="002D5B2A" w:rsidP="002D5B2A">
      <w:pPr>
        <w:jc w:val="left"/>
        <w:rPr>
          <w:rFonts w:eastAsia="Calibri"/>
          <w:color w:val="000000" w:themeColor="text1"/>
        </w:rPr>
      </w:pPr>
      <w:r w:rsidRPr="00A73870">
        <w:rPr>
          <w:rFonts w:eastAsia="Calibri"/>
          <w:color w:val="000000" w:themeColor="text1"/>
        </w:rPr>
        <w:tab/>
      </w:r>
      <w:r w:rsidRPr="00A73870">
        <w:rPr>
          <w:rFonts w:eastAsia="Calibri"/>
          <w:color w:val="000000" w:themeColor="text1"/>
        </w:rPr>
        <w:tab/>
        <w:t>2.</w:t>
      </w:r>
      <w:r w:rsidRPr="00A73870">
        <w:rPr>
          <w:rFonts w:eastAsia="Calibri"/>
          <w:color w:val="000000" w:themeColor="text1"/>
        </w:rPr>
        <w:tab/>
        <w:t xml:space="preserve">Respondent is </w:t>
      </w:r>
      <w:r w:rsidR="00961E49">
        <w:rPr>
          <w:rFonts w:eastAsia="Calibri"/>
          <w:color w:val="000000" w:themeColor="text1"/>
        </w:rPr>
        <w:t xml:space="preserve">Knox Energy Cooperative Association, Inc., a non-profit cooperative based in Ohio. </w:t>
      </w:r>
    </w:p>
    <w:p w:rsidR="002D5B2A" w:rsidRDefault="002D5B2A" w:rsidP="002D5B2A">
      <w:pPr>
        <w:jc w:val="left"/>
        <w:rPr>
          <w:rFonts w:eastAsia="Calibri"/>
          <w:color w:val="000000" w:themeColor="text1"/>
        </w:rPr>
      </w:pPr>
    </w:p>
    <w:p w:rsidR="002D5B2A" w:rsidRPr="00A73870" w:rsidRDefault="00961E49" w:rsidP="002D5B2A">
      <w:pPr>
        <w:jc w:val="left"/>
        <w:rPr>
          <w:rFonts w:eastAsia="Calibri"/>
          <w:color w:val="000000" w:themeColor="text1"/>
        </w:rPr>
      </w:pPr>
      <w:r>
        <w:rPr>
          <w:rFonts w:eastAsia="Calibri"/>
          <w:color w:val="000000" w:themeColor="text1"/>
        </w:rPr>
        <w:tab/>
      </w:r>
      <w:r>
        <w:rPr>
          <w:rFonts w:eastAsia="Calibri"/>
          <w:color w:val="000000" w:themeColor="text1"/>
        </w:rPr>
        <w:tab/>
        <w:t>3</w:t>
      </w:r>
      <w:r w:rsidR="002D5B2A">
        <w:rPr>
          <w:rFonts w:eastAsia="Calibri"/>
          <w:color w:val="000000" w:themeColor="text1"/>
        </w:rPr>
        <w:t>.</w:t>
      </w:r>
      <w:r w:rsidR="002D5B2A">
        <w:rPr>
          <w:rFonts w:eastAsia="Calibri"/>
          <w:color w:val="000000" w:themeColor="text1"/>
        </w:rPr>
        <w:tab/>
      </w:r>
      <w:r w:rsidR="002D5B2A" w:rsidRPr="002D5B2A">
        <w:rPr>
          <w:rFonts w:eastAsia="Calibri"/>
          <w:color w:val="000000" w:themeColor="text1"/>
        </w:rPr>
        <w:t xml:space="preserve">On or about </w:t>
      </w:r>
      <w:r w:rsidR="00FE53E5">
        <w:rPr>
          <w:rFonts w:eastAsia="Calibri"/>
          <w:color w:val="000000" w:themeColor="text1"/>
        </w:rPr>
        <w:t>December 17, 2014</w:t>
      </w:r>
      <w:r w:rsidR="002D5B2A" w:rsidRPr="00A73870">
        <w:rPr>
          <w:rFonts w:eastAsia="Calibri"/>
          <w:color w:val="000000" w:themeColor="text1"/>
        </w:rPr>
        <w:t xml:space="preserve">, Complainant filed a formal Complaint </w:t>
      </w:r>
      <w:r w:rsidR="002D5B2A">
        <w:rPr>
          <w:rFonts w:eastAsia="Calibri"/>
          <w:color w:val="000000" w:themeColor="text1"/>
        </w:rPr>
        <w:t>alleging that Respondent</w:t>
      </w:r>
      <w:r w:rsidR="00505518">
        <w:rPr>
          <w:rFonts w:eastAsia="Calibri"/>
          <w:color w:val="000000" w:themeColor="text1"/>
        </w:rPr>
        <w:t xml:space="preserve"> failed to bury a partially-exposed gas line on her property.</w:t>
      </w:r>
    </w:p>
    <w:p w:rsidR="002D5B2A" w:rsidRPr="00A73870" w:rsidRDefault="002D5B2A" w:rsidP="002D5B2A">
      <w:pPr>
        <w:jc w:val="left"/>
        <w:rPr>
          <w:rFonts w:eastAsia="Calibri"/>
          <w:color w:val="000000" w:themeColor="text1"/>
        </w:rPr>
      </w:pPr>
    </w:p>
    <w:p w:rsidR="00E31BE8" w:rsidRDefault="00961E49" w:rsidP="002D5B2A">
      <w:pPr>
        <w:jc w:val="left"/>
        <w:rPr>
          <w:rFonts w:eastAsia="Calibri"/>
          <w:color w:val="000000" w:themeColor="text1"/>
        </w:rPr>
      </w:pPr>
      <w:r>
        <w:rPr>
          <w:rFonts w:eastAsia="Calibri"/>
          <w:color w:val="000000" w:themeColor="text1"/>
        </w:rPr>
        <w:tab/>
      </w:r>
      <w:r>
        <w:rPr>
          <w:rFonts w:eastAsia="Calibri"/>
          <w:color w:val="000000" w:themeColor="text1"/>
        </w:rPr>
        <w:tab/>
        <w:t>4</w:t>
      </w:r>
      <w:r w:rsidR="002D5B2A" w:rsidRPr="00A73870">
        <w:rPr>
          <w:rFonts w:eastAsia="Calibri"/>
          <w:color w:val="000000" w:themeColor="text1"/>
        </w:rPr>
        <w:t>.</w:t>
      </w:r>
      <w:r w:rsidR="002D5B2A" w:rsidRPr="00A73870">
        <w:rPr>
          <w:rFonts w:eastAsia="Calibri"/>
          <w:color w:val="000000" w:themeColor="text1"/>
        </w:rPr>
        <w:tab/>
      </w:r>
      <w:r w:rsidR="00E31BE8">
        <w:rPr>
          <w:rFonts w:eastAsia="Calibri"/>
          <w:color w:val="000000" w:themeColor="text1"/>
        </w:rPr>
        <w:t xml:space="preserve">The Complaint sets forth a single count, seeking </w:t>
      </w:r>
      <w:r w:rsidR="00B31D9A" w:rsidRPr="00D8315F">
        <w:rPr>
          <w:rFonts w:eastAsia="Calibri"/>
          <w:color w:val="000000" w:themeColor="text1"/>
        </w:rPr>
        <w:t>a</w:t>
      </w:r>
      <w:r w:rsidR="00E31BE8" w:rsidRPr="00137C91">
        <w:rPr>
          <w:rFonts w:eastAsia="Calibri"/>
          <w:color w:val="000000" w:themeColor="text1"/>
        </w:rPr>
        <w:t xml:space="preserve"> Commission order </w:t>
      </w:r>
      <w:r w:rsidR="00B31D9A" w:rsidRPr="00137C91">
        <w:rPr>
          <w:rFonts w:eastAsia="Calibri"/>
          <w:color w:val="000000" w:themeColor="text1"/>
        </w:rPr>
        <w:t xml:space="preserve">directing </w:t>
      </w:r>
      <w:r w:rsidR="00E31BE8">
        <w:rPr>
          <w:rFonts w:eastAsia="Calibri"/>
          <w:color w:val="000000" w:themeColor="text1"/>
        </w:rPr>
        <w:t>Respondent to bury the exposed gas line.</w:t>
      </w:r>
    </w:p>
    <w:p w:rsidR="00E31BE8" w:rsidRDefault="00E31BE8" w:rsidP="002D5B2A">
      <w:pPr>
        <w:jc w:val="left"/>
        <w:rPr>
          <w:rFonts w:eastAsia="Calibri"/>
          <w:color w:val="000000" w:themeColor="text1"/>
        </w:rPr>
      </w:pPr>
    </w:p>
    <w:p w:rsidR="002D5B2A" w:rsidRPr="00A73870" w:rsidRDefault="00E31BE8" w:rsidP="002D5B2A">
      <w:pPr>
        <w:jc w:val="left"/>
        <w:rPr>
          <w:rFonts w:eastAsia="Calibri"/>
          <w:color w:val="000000" w:themeColor="text1"/>
        </w:rPr>
      </w:pPr>
      <w:r>
        <w:rPr>
          <w:rFonts w:eastAsia="Calibri"/>
          <w:color w:val="000000" w:themeColor="text1"/>
        </w:rPr>
        <w:tab/>
      </w:r>
      <w:r>
        <w:rPr>
          <w:rFonts w:eastAsia="Calibri"/>
          <w:color w:val="000000" w:themeColor="text1"/>
        </w:rPr>
        <w:tab/>
        <w:t>5.</w:t>
      </w:r>
      <w:r>
        <w:rPr>
          <w:rFonts w:eastAsia="Calibri"/>
          <w:color w:val="000000" w:themeColor="text1"/>
        </w:rPr>
        <w:tab/>
      </w:r>
      <w:r w:rsidR="002D5B2A" w:rsidRPr="00A73870">
        <w:rPr>
          <w:rFonts w:eastAsia="Calibri"/>
          <w:color w:val="000000" w:themeColor="text1"/>
        </w:rPr>
        <w:t xml:space="preserve">On </w:t>
      </w:r>
      <w:r w:rsidR="00FE53E5">
        <w:rPr>
          <w:rFonts w:eastAsia="Calibri"/>
          <w:color w:val="000000" w:themeColor="text1"/>
        </w:rPr>
        <w:t>February 5</w:t>
      </w:r>
      <w:r w:rsidR="002D5B2A" w:rsidRPr="00A73870">
        <w:rPr>
          <w:rFonts w:eastAsia="Calibri"/>
          <w:color w:val="000000" w:themeColor="text1"/>
        </w:rPr>
        <w:t xml:space="preserve">, 2015, </w:t>
      </w:r>
      <w:r w:rsidR="002D5B2A">
        <w:rPr>
          <w:rFonts w:eastAsia="Calibri"/>
          <w:color w:val="000000" w:themeColor="text1"/>
        </w:rPr>
        <w:t>Respondent</w:t>
      </w:r>
      <w:r w:rsidR="002D5B2A" w:rsidRPr="00A73870">
        <w:rPr>
          <w:rFonts w:eastAsia="Calibri"/>
          <w:color w:val="000000" w:themeColor="text1"/>
        </w:rPr>
        <w:t xml:space="preserve"> filed its Answer </w:t>
      </w:r>
      <w:r w:rsidR="00FE53E5">
        <w:rPr>
          <w:rFonts w:eastAsia="Calibri"/>
          <w:color w:val="000000" w:themeColor="text1"/>
        </w:rPr>
        <w:t xml:space="preserve">and New Matter, </w:t>
      </w:r>
      <w:r w:rsidR="002D5B2A" w:rsidRPr="00A73870">
        <w:rPr>
          <w:rFonts w:eastAsia="Calibri"/>
          <w:color w:val="000000" w:themeColor="text1"/>
        </w:rPr>
        <w:t>as well as POs to the formal Complaint.</w:t>
      </w:r>
    </w:p>
    <w:p w:rsidR="002D5B2A" w:rsidRPr="00A73870" w:rsidRDefault="002D5B2A" w:rsidP="002D5B2A">
      <w:pPr>
        <w:jc w:val="left"/>
        <w:rPr>
          <w:rFonts w:eastAsia="Calibri"/>
          <w:color w:val="000000" w:themeColor="text1"/>
        </w:rPr>
      </w:pPr>
    </w:p>
    <w:p w:rsidR="002D5B2A" w:rsidRPr="005C2527" w:rsidRDefault="00961E49" w:rsidP="002D5B2A">
      <w:pPr>
        <w:jc w:val="left"/>
        <w:rPr>
          <w:rFonts w:eastAsia="Calibri"/>
          <w:color w:val="000000" w:themeColor="text1"/>
        </w:rPr>
      </w:pPr>
      <w:r>
        <w:rPr>
          <w:rFonts w:eastAsia="Calibri"/>
          <w:color w:val="000000" w:themeColor="text1"/>
        </w:rPr>
        <w:tab/>
      </w:r>
      <w:r>
        <w:rPr>
          <w:rFonts w:eastAsia="Calibri"/>
          <w:color w:val="000000" w:themeColor="text1"/>
        </w:rPr>
        <w:tab/>
      </w:r>
      <w:r w:rsidR="00E31BE8">
        <w:rPr>
          <w:rFonts w:eastAsia="Calibri"/>
          <w:color w:val="000000" w:themeColor="text1"/>
        </w:rPr>
        <w:t>6</w:t>
      </w:r>
      <w:r w:rsidR="002D5B2A" w:rsidRPr="00A73870">
        <w:rPr>
          <w:rFonts w:eastAsia="Calibri"/>
          <w:color w:val="000000" w:themeColor="text1"/>
        </w:rPr>
        <w:t>.</w:t>
      </w:r>
      <w:r w:rsidR="002D5B2A" w:rsidRPr="00A73870">
        <w:rPr>
          <w:rFonts w:eastAsia="Calibri"/>
          <w:color w:val="000000" w:themeColor="text1"/>
        </w:rPr>
        <w:tab/>
        <w:t xml:space="preserve">No responsive pleading was filed to the </w:t>
      </w:r>
      <w:r w:rsidR="002D5B2A">
        <w:rPr>
          <w:rFonts w:eastAsia="Calibri"/>
          <w:color w:val="000000" w:themeColor="text1"/>
        </w:rPr>
        <w:t>Answer</w:t>
      </w:r>
      <w:r w:rsidR="002D5B2A" w:rsidRPr="00A73870">
        <w:rPr>
          <w:rFonts w:eastAsia="Calibri"/>
          <w:color w:val="000000" w:themeColor="text1"/>
        </w:rPr>
        <w:t xml:space="preserve"> or to the POs.  </w:t>
      </w:r>
    </w:p>
    <w:p w:rsidR="002D5B2A" w:rsidRDefault="002D5B2A" w:rsidP="003E54B5">
      <w:pPr>
        <w:rPr>
          <w:u w:val="single"/>
        </w:rPr>
      </w:pPr>
    </w:p>
    <w:p w:rsidR="003E54B5" w:rsidRDefault="003E54B5" w:rsidP="003E54B5">
      <w:pPr>
        <w:rPr>
          <w:u w:val="single"/>
        </w:rPr>
      </w:pPr>
      <w:r w:rsidRPr="003E54B5">
        <w:rPr>
          <w:u w:val="single"/>
        </w:rPr>
        <w:t>DISCUSSION</w:t>
      </w:r>
    </w:p>
    <w:p w:rsidR="008C4D41" w:rsidRDefault="008C4D41" w:rsidP="008C4D41">
      <w:pPr>
        <w:jc w:val="left"/>
      </w:pPr>
    </w:p>
    <w:p w:rsidR="00D1514D" w:rsidRDefault="008C4D41" w:rsidP="00D1514D">
      <w:pPr>
        <w:jc w:val="left"/>
      </w:pPr>
      <w:r>
        <w:tab/>
      </w:r>
      <w:r>
        <w:tab/>
        <w:t>Res</w:t>
      </w:r>
      <w:r w:rsidR="00285C9A">
        <w:t>pondent’s P</w:t>
      </w:r>
      <w:r w:rsidR="003E13E3">
        <w:t>O</w:t>
      </w:r>
      <w:r w:rsidR="00A55FBB">
        <w:t>s</w:t>
      </w:r>
      <w:r>
        <w:t xml:space="preserve"> seek </w:t>
      </w:r>
      <w:r w:rsidR="00D1514D">
        <w:t xml:space="preserve">to dismiss the case because </w:t>
      </w:r>
      <w:r w:rsidR="003A7600">
        <w:t>the Commiss</w:t>
      </w:r>
      <w:r w:rsidR="00D1514D">
        <w:t xml:space="preserve">ion has no jurisdiction to hear </w:t>
      </w:r>
      <w:r w:rsidR="000A0123">
        <w:t xml:space="preserve">formal Complaints filed against </w:t>
      </w:r>
      <w:r w:rsidR="003E13E3">
        <w:t xml:space="preserve">bona fide </w:t>
      </w:r>
      <w:r w:rsidR="00D1514D">
        <w:t>cooperative associations.</w:t>
      </w:r>
    </w:p>
    <w:p w:rsidR="009943BE" w:rsidRDefault="00D1514D" w:rsidP="009943BE">
      <w:pPr>
        <w:jc w:val="left"/>
      </w:pPr>
      <w:r>
        <w:rPr>
          <w:u w:val="single"/>
        </w:rPr>
        <w:t xml:space="preserve"> </w:t>
      </w:r>
      <w:r w:rsidR="009943BE">
        <w:tab/>
      </w:r>
      <w:r w:rsidR="009943BE">
        <w:tab/>
        <w:t xml:space="preserve">Commission preliminary objection practice is similar to Pennsylvania civil practice.  </w:t>
      </w:r>
      <w:r w:rsidR="009943BE">
        <w:rPr>
          <w:i/>
        </w:rPr>
        <w:t xml:space="preserve">Equitable Small Transportation Interveners v. Equitable Gas Company, </w:t>
      </w:r>
      <w:r w:rsidR="009943BE">
        <w:t xml:space="preserve">1994 Pa. PUC LEXIS 69, PUC Docket No. C-000935435 (July 18, 1994). </w:t>
      </w:r>
      <w:r w:rsidR="009943BE">
        <w:tab/>
        <w:t xml:space="preserve"> When considering the preliminary objection, the Commission must determine “whether the law says with certainty, based on well-pleaded factual averments . . . that no recovery or relief is possible.</w:t>
      </w:r>
      <w:r w:rsidR="00A55FBB">
        <w:t>"</w:t>
      </w:r>
      <w:r w:rsidR="009943BE">
        <w:t xml:space="preserve">  </w:t>
      </w:r>
      <w:r w:rsidR="009943BE">
        <w:rPr>
          <w:i/>
        </w:rPr>
        <w:t xml:space="preserve">P. J. S. v. Pa. State Ethics Commission, </w:t>
      </w:r>
      <w:r w:rsidR="009943BE">
        <w:t xml:space="preserve">669 A.2d 1105 (Pa. Cmwlth. 1996).  Any doubt must be resolved in favor of the non-moving party by refusing to sustain the </w:t>
      </w:r>
      <w:r w:rsidR="00D8315F">
        <w:t>POs</w:t>
      </w:r>
      <w:r w:rsidR="009943BE">
        <w:t xml:space="preserve">.  </w:t>
      </w:r>
      <w:r w:rsidR="009943BE">
        <w:rPr>
          <w:i/>
        </w:rPr>
        <w:t xml:space="preserve">Boyd v. Ward, </w:t>
      </w:r>
      <w:r w:rsidR="009943BE">
        <w:t xml:space="preserve">802 A.2d 705 (Pa. Cmwlth. 2002).”  </w:t>
      </w:r>
      <w:r w:rsidR="009943BE" w:rsidRPr="00F87999">
        <w:rPr>
          <w:i/>
        </w:rPr>
        <w:t xml:space="preserve">Dept. of Auditor General, et al. v. State Employees’ Retirement System, et al., </w:t>
      </w:r>
      <w:r w:rsidR="009943BE">
        <w:t xml:space="preserve">836 A.2d 1053, 1064 (Pa. Cmwlth. 2003).  </w:t>
      </w:r>
      <w:r w:rsidR="009943BE">
        <w:rPr>
          <w:i/>
        </w:rPr>
        <w:t xml:space="preserve"> </w:t>
      </w:r>
    </w:p>
    <w:p w:rsidR="009943BE" w:rsidRDefault="009943BE" w:rsidP="009943BE"/>
    <w:p w:rsidR="008D1C71" w:rsidRPr="00D67D44" w:rsidRDefault="009943BE" w:rsidP="002D56A9">
      <w:pPr>
        <w:jc w:val="left"/>
        <w:rPr>
          <w:color w:val="000000" w:themeColor="text1"/>
        </w:rPr>
      </w:pPr>
      <w:r>
        <w:tab/>
      </w:r>
      <w:r>
        <w:tab/>
        <w:t xml:space="preserve">The rules regarding </w:t>
      </w:r>
      <w:r w:rsidR="00D8315F">
        <w:t>POs</w:t>
      </w:r>
      <w:r>
        <w:t xml:space="preserve"> </w:t>
      </w:r>
      <w:r w:rsidR="00D8315F">
        <w:t xml:space="preserve">provide that they are available to parties and may be filed in response to a </w:t>
      </w:r>
      <w:r w:rsidR="00394311">
        <w:t>pleading 52</w:t>
      </w:r>
      <w:r w:rsidR="00D8315F">
        <w:t xml:space="preserve"> Pa.Code § 5.101.  While lack of Commission jurisdiction is a legitimate ground for a PO, 52 Pa.Code § 5.101(a)(1), here the lack of jurisdiction is not evident on the face of the Complaint.  In addition, the Respondent chose to raise the lack of juri</w:t>
      </w:r>
      <w:r w:rsidR="004F6560">
        <w:t>sdiction in New Matter</w:t>
      </w:r>
      <w:r w:rsidR="00D8315F">
        <w:t xml:space="preserve">.  </w:t>
      </w:r>
      <w:r w:rsidR="008D1C71" w:rsidRPr="00D67D44">
        <w:rPr>
          <w:color w:val="000000" w:themeColor="text1"/>
        </w:rPr>
        <w:t xml:space="preserve">As stated above, a PO can only be based on facts </w:t>
      </w:r>
      <w:r w:rsidR="00D176A2" w:rsidRPr="00D67D44">
        <w:rPr>
          <w:color w:val="000000" w:themeColor="text1"/>
        </w:rPr>
        <w:t>set forth</w:t>
      </w:r>
      <w:r w:rsidR="008D1C71" w:rsidRPr="00D67D44">
        <w:rPr>
          <w:color w:val="000000" w:themeColor="text1"/>
        </w:rPr>
        <w:t xml:space="preserve"> in the Complaint</w:t>
      </w:r>
      <w:r w:rsidR="005C14B6">
        <w:rPr>
          <w:color w:val="000000" w:themeColor="text1"/>
        </w:rPr>
        <w:t xml:space="preserve">.  </w:t>
      </w:r>
      <w:r w:rsidR="008D1C71" w:rsidRPr="00D67D44">
        <w:rPr>
          <w:color w:val="000000" w:themeColor="text1"/>
        </w:rPr>
        <w:t>Any facts or issues raised in responsive pleadings cannot be considered in the disposition of a PO.</w:t>
      </w:r>
    </w:p>
    <w:p w:rsidR="002D56A9" w:rsidRPr="00D67D44" w:rsidRDefault="002D56A9" w:rsidP="004F6560">
      <w:pPr>
        <w:jc w:val="left"/>
        <w:rPr>
          <w:color w:val="000000" w:themeColor="text1"/>
        </w:rPr>
      </w:pPr>
      <w:r w:rsidRPr="00D67D44">
        <w:rPr>
          <w:color w:val="000000" w:themeColor="text1"/>
        </w:rPr>
        <w:tab/>
      </w:r>
      <w:r w:rsidRPr="00D67D44">
        <w:rPr>
          <w:color w:val="000000" w:themeColor="text1"/>
        </w:rPr>
        <w:tab/>
      </w:r>
    </w:p>
    <w:p w:rsidR="002D56A9" w:rsidRPr="00D67D44" w:rsidRDefault="002D56A9" w:rsidP="002D56A9">
      <w:pPr>
        <w:jc w:val="left"/>
        <w:rPr>
          <w:color w:val="000000" w:themeColor="text1"/>
        </w:rPr>
      </w:pPr>
      <w:r w:rsidRPr="00D67D44">
        <w:rPr>
          <w:color w:val="000000" w:themeColor="text1"/>
        </w:rPr>
        <w:tab/>
      </w:r>
      <w:r w:rsidRPr="00D67D44">
        <w:rPr>
          <w:color w:val="000000" w:themeColor="text1"/>
        </w:rPr>
        <w:tab/>
        <w:t xml:space="preserve">Since the </w:t>
      </w:r>
      <w:r w:rsidR="00657F05" w:rsidRPr="00D67D44">
        <w:rPr>
          <w:color w:val="000000" w:themeColor="text1"/>
        </w:rPr>
        <w:t>Commission’s lack of jurisdiction</w:t>
      </w:r>
      <w:r w:rsidRPr="00D67D44">
        <w:rPr>
          <w:color w:val="000000" w:themeColor="text1"/>
        </w:rPr>
        <w:t xml:space="preserve"> is an affirmative defense, and the Respondent raised it in a timely fashion, the Respondent’s </w:t>
      </w:r>
      <w:r w:rsidR="008D1C71" w:rsidRPr="00D67D44">
        <w:rPr>
          <w:color w:val="000000" w:themeColor="text1"/>
        </w:rPr>
        <w:t xml:space="preserve">PO </w:t>
      </w:r>
      <w:r w:rsidR="004F6560">
        <w:rPr>
          <w:color w:val="000000" w:themeColor="text1"/>
        </w:rPr>
        <w:t xml:space="preserve">will be treated </w:t>
      </w:r>
      <w:r w:rsidR="008D1C71" w:rsidRPr="00D67D44">
        <w:rPr>
          <w:color w:val="000000" w:themeColor="text1"/>
        </w:rPr>
        <w:t>as a Motio</w:t>
      </w:r>
      <w:r w:rsidR="00C871AE">
        <w:rPr>
          <w:color w:val="000000" w:themeColor="text1"/>
        </w:rPr>
        <w:t xml:space="preserve">n for Judgment on the Pleadings (MJOP) </w:t>
      </w:r>
      <w:r w:rsidR="005C14B6">
        <w:rPr>
          <w:color w:val="000000" w:themeColor="text1"/>
        </w:rPr>
        <w:t>filed pursuant to 52 Pa.</w:t>
      </w:r>
      <w:r w:rsidRPr="00D67D44">
        <w:rPr>
          <w:color w:val="000000" w:themeColor="text1"/>
        </w:rPr>
        <w:t>Code § 5.102.</w:t>
      </w:r>
      <w:r w:rsidR="004F6560">
        <w:rPr>
          <w:color w:val="000000" w:themeColor="text1"/>
        </w:rPr>
        <w:t xml:space="preserve">  There is no</w:t>
      </w:r>
      <w:r w:rsidR="004F6560" w:rsidRPr="00D67D44">
        <w:rPr>
          <w:color w:val="000000" w:themeColor="text1"/>
        </w:rPr>
        <w:t xml:space="preserve"> adverse affect </w:t>
      </w:r>
      <w:r w:rsidR="004F6560">
        <w:rPr>
          <w:color w:val="000000" w:themeColor="text1"/>
        </w:rPr>
        <w:t xml:space="preserve">on </w:t>
      </w:r>
      <w:r w:rsidR="004F6560" w:rsidRPr="00D67D44">
        <w:rPr>
          <w:color w:val="000000" w:themeColor="text1"/>
        </w:rPr>
        <w:t>the Complainant’s rights since she had notice of the issue</w:t>
      </w:r>
      <w:r w:rsidR="004F6560">
        <w:rPr>
          <w:color w:val="000000" w:themeColor="text1"/>
        </w:rPr>
        <w:t>, and opportunity to be heard but</w:t>
      </w:r>
      <w:r w:rsidR="004F6560" w:rsidRPr="00D67D44">
        <w:rPr>
          <w:color w:val="000000" w:themeColor="text1"/>
        </w:rPr>
        <w:t xml:space="preserve"> has </w:t>
      </w:r>
      <w:r w:rsidR="004F6560" w:rsidRPr="006A6AC6">
        <w:rPr>
          <w:color w:val="000000" w:themeColor="text1"/>
        </w:rPr>
        <w:t>not</w:t>
      </w:r>
      <w:r w:rsidR="004F6560" w:rsidRPr="00D67D44">
        <w:rPr>
          <w:color w:val="000000" w:themeColor="text1"/>
        </w:rPr>
        <w:t xml:space="preserve"> responded.  </w:t>
      </w:r>
      <w:r w:rsidR="004F6560" w:rsidRPr="00D67D44">
        <w:rPr>
          <w:i/>
          <w:color w:val="000000" w:themeColor="text1"/>
        </w:rPr>
        <w:t>Wroblewski v. Pennsylvania Electric Company</w:t>
      </w:r>
      <w:r w:rsidR="004F6560" w:rsidRPr="00D67D44">
        <w:rPr>
          <w:color w:val="000000" w:themeColor="text1"/>
        </w:rPr>
        <w:t>, Docket No. C-2008-2058385 (Order entered May 15, 2009)</w:t>
      </w:r>
      <w:r w:rsidR="004F6560">
        <w:rPr>
          <w:color w:val="000000" w:themeColor="text1"/>
        </w:rPr>
        <w:t>.</w:t>
      </w:r>
    </w:p>
    <w:p w:rsidR="002D56A9" w:rsidRPr="00D67D44" w:rsidRDefault="002D56A9" w:rsidP="002D56A9">
      <w:pPr>
        <w:jc w:val="left"/>
        <w:rPr>
          <w:color w:val="000000" w:themeColor="text1"/>
        </w:rPr>
      </w:pPr>
    </w:p>
    <w:p w:rsidR="002D56A9" w:rsidRDefault="002D56A9" w:rsidP="002D56A9">
      <w:pPr>
        <w:jc w:val="left"/>
        <w:rPr>
          <w:color w:val="000000" w:themeColor="text1"/>
        </w:rPr>
      </w:pPr>
      <w:r w:rsidRPr="00D67D44">
        <w:rPr>
          <w:color w:val="000000" w:themeColor="text1"/>
        </w:rPr>
        <w:tab/>
      </w:r>
      <w:r w:rsidRPr="00D67D44">
        <w:rPr>
          <w:color w:val="000000" w:themeColor="text1"/>
        </w:rPr>
        <w:tab/>
        <w:t>The Commission regulation at 5</w:t>
      </w:r>
      <w:r w:rsidR="005C14B6">
        <w:rPr>
          <w:color w:val="000000" w:themeColor="text1"/>
        </w:rPr>
        <w:t>2 Pa.</w:t>
      </w:r>
      <w:r w:rsidRPr="00D67D44">
        <w:rPr>
          <w:color w:val="000000" w:themeColor="text1"/>
        </w:rPr>
        <w:t xml:space="preserve">Code </w:t>
      </w:r>
      <w:r w:rsidR="00394311">
        <w:rPr>
          <w:color w:val="000000" w:themeColor="text1"/>
        </w:rPr>
        <w:t xml:space="preserve">§ </w:t>
      </w:r>
      <w:r w:rsidRPr="00D67D44">
        <w:rPr>
          <w:color w:val="000000" w:themeColor="text1"/>
        </w:rPr>
        <w:t>5.21(a) states that a person may file a formal complaint claiming violation of a statute that the Commission has jurisdiction to admini</w:t>
      </w:r>
      <w:r w:rsidR="005C14B6">
        <w:rPr>
          <w:color w:val="000000" w:themeColor="text1"/>
        </w:rPr>
        <w:t>ster.  The regulation at 52 Pa.</w:t>
      </w:r>
      <w:r w:rsidRPr="00D67D44">
        <w:rPr>
          <w:color w:val="000000" w:themeColor="text1"/>
        </w:rPr>
        <w:t>Code §</w:t>
      </w:r>
      <w:r w:rsidR="00394311">
        <w:rPr>
          <w:color w:val="000000" w:themeColor="text1"/>
        </w:rPr>
        <w:t xml:space="preserve"> </w:t>
      </w:r>
      <w:r w:rsidRPr="00D67D44">
        <w:rPr>
          <w:color w:val="000000" w:themeColor="text1"/>
        </w:rPr>
        <w:t>5.21(d) authorizes the Commission to dismiss a complaint if a hearing is not necessary and authorizes preliminary objections, motions for summary judgment and motions for judgment on the pleadings to be filed in response to a complaint.</w:t>
      </w:r>
    </w:p>
    <w:p w:rsidR="008D1C71" w:rsidRPr="008D1C71" w:rsidRDefault="008D1C71" w:rsidP="008D1C71">
      <w:pPr>
        <w:jc w:val="left"/>
        <w:rPr>
          <w:color w:val="C0504D" w:themeColor="accent2"/>
        </w:rPr>
      </w:pPr>
      <w:r>
        <w:rPr>
          <w:color w:val="C0504D" w:themeColor="accent2"/>
        </w:rPr>
        <w:tab/>
      </w:r>
      <w:r>
        <w:rPr>
          <w:color w:val="C0504D" w:themeColor="accent2"/>
        </w:rPr>
        <w:tab/>
      </w:r>
      <w:r w:rsidRPr="001E417F">
        <w:rPr>
          <w:rFonts w:eastAsia="Times New Roman"/>
          <w:color w:val="000000"/>
        </w:rPr>
        <w:t>The Commission’s Rules of P</w:t>
      </w:r>
      <w:r w:rsidR="005C14B6">
        <w:rPr>
          <w:rFonts w:eastAsia="Times New Roman"/>
          <w:color w:val="000000"/>
        </w:rPr>
        <w:t>ractice and Procedure at 52 Pa.</w:t>
      </w:r>
      <w:r w:rsidRPr="001E417F">
        <w:rPr>
          <w:rFonts w:eastAsia="Times New Roman"/>
          <w:color w:val="000000"/>
        </w:rPr>
        <w:t xml:space="preserve">Code </w:t>
      </w:r>
      <w:r w:rsidR="00394311">
        <w:rPr>
          <w:rFonts w:eastAsia="Times New Roman"/>
          <w:color w:val="000000"/>
        </w:rPr>
        <w:t xml:space="preserve">§ </w:t>
      </w:r>
      <w:r w:rsidRPr="001E417F">
        <w:rPr>
          <w:rFonts w:eastAsia="Times New Roman"/>
          <w:color w:val="000000"/>
        </w:rPr>
        <w:t>5.102 govern motions for judgment on the pleadings.  The Commission will grant a motion for judgment on the pleadings only if the pleadings show there is no genuine issue as to a material fact and that the moving party is entitled to judgment as a matter of law.  52 Pa</w:t>
      </w:r>
      <w:r w:rsidR="005C14B6">
        <w:rPr>
          <w:rFonts w:eastAsia="Times New Roman"/>
          <w:color w:val="000000"/>
        </w:rPr>
        <w:t>.</w:t>
      </w:r>
      <w:r w:rsidRPr="001E417F">
        <w:rPr>
          <w:rFonts w:eastAsia="Times New Roman"/>
          <w:color w:val="000000"/>
        </w:rPr>
        <w:t xml:space="preserve">Code </w:t>
      </w:r>
      <w:r w:rsidR="00394311">
        <w:rPr>
          <w:rFonts w:eastAsia="Times New Roman"/>
          <w:color w:val="000000"/>
        </w:rPr>
        <w:t xml:space="preserve">§ </w:t>
      </w:r>
      <w:r w:rsidRPr="001E417F">
        <w:rPr>
          <w:rFonts w:eastAsia="Times New Roman"/>
          <w:color w:val="000000"/>
        </w:rPr>
        <w:t xml:space="preserve">5.102(d)(1)  Only in a case where the moving party’s right to prevail is so clear that a trial would be a fruitless exercise should judgment on the pleadings be granted.  </w:t>
      </w:r>
      <w:r w:rsidRPr="00D67D44">
        <w:rPr>
          <w:rFonts w:eastAsia="Times New Roman"/>
          <w:i/>
          <w:color w:val="000000"/>
        </w:rPr>
        <w:t>Williams v. Lewis</w:t>
      </w:r>
      <w:r w:rsidRPr="001E417F">
        <w:rPr>
          <w:rFonts w:eastAsia="Times New Roman"/>
          <w:color w:val="000000"/>
        </w:rPr>
        <w:t xml:space="preserve">, 466 A.2d 682 (Pa. Super. 1983); </w:t>
      </w:r>
      <w:r w:rsidRPr="00D67D44">
        <w:rPr>
          <w:rFonts w:eastAsia="Times New Roman"/>
          <w:i/>
          <w:color w:val="000000"/>
        </w:rPr>
        <w:t>Service Employees International Union, Local 69, AFL-CIO v. The Peoples Natural Gas Company, d/b/a Dominion Peoples,</w:t>
      </w:r>
      <w:r w:rsidRPr="001E417F">
        <w:rPr>
          <w:rFonts w:eastAsia="Times New Roman"/>
          <w:color w:val="000000"/>
        </w:rPr>
        <w:t xml:space="preserve"> Docket No. C-20028539 (Order entered December 19, 2003)  In ruling on a motion for judgment on the pleadings, the tribunal must consider as true all well-pleaded averments of the party against whom the motion is directed and consider against her only those facts she specifically admits.  Judgment on the pleadings should be entered only when the case is clear and free from doubt.  </w:t>
      </w:r>
      <w:r w:rsidRPr="00D67D44">
        <w:rPr>
          <w:rFonts w:eastAsia="Times New Roman"/>
          <w:i/>
          <w:color w:val="000000"/>
        </w:rPr>
        <w:t>Reuben v. O’Brien</w:t>
      </w:r>
      <w:r w:rsidRPr="001E417F">
        <w:rPr>
          <w:rFonts w:eastAsia="Times New Roman"/>
          <w:color w:val="000000"/>
        </w:rPr>
        <w:t>, 496 A.2d 913 (Pa. Super 1985)</w:t>
      </w:r>
    </w:p>
    <w:p w:rsidR="002D56A9" w:rsidRPr="00661A3F" w:rsidRDefault="002D56A9" w:rsidP="002D56A9">
      <w:pPr>
        <w:jc w:val="left"/>
        <w:rPr>
          <w:strike/>
          <w:color w:val="7F7F7F" w:themeColor="text1" w:themeTint="80"/>
        </w:rPr>
      </w:pPr>
    </w:p>
    <w:p w:rsidR="00547DC4" w:rsidRDefault="002D56A9" w:rsidP="002D56A9">
      <w:pPr>
        <w:jc w:val="left"/>
        <w:rPr>
          <w:color w:val="000000" w:themeColor="text1"/>
        </w:rPr>
      </w:pPr>
      <w:r>
        <w:rPr>
          <w:color w:val="7F7F7F" w:themeColor="text1" w:themeTint="80"/>
        </w:rPr>
        <w:tab/>
      </w:r>
      <w:r>
        <w:rPr>
          <w:color w:val="7F7F7F" w:themeColor="text1" w:themeTint="80"/>
        </w:rPr>
        <w:tab/>
      </w:r>
      <w:r w:rsidR="004F6560">
        <w:rPr>
          <w:color w:val="000000" w:themeColor="text1"/>
        </w:rPr>
        <w:t>There are no facts in dispute</w:t>
      </w:r>
      <w:r w:rsidR="005C14B6">
        <w:rPr>
          <w:color w:val="000000" w:themeColor="text1"/>
        </w:rPr>
        <w:t xml:space="preserve">.  </w:t>
      </w:r>
      <w:r w:rsidRPr="00AB56D4">
        <w:rPr>
          <w:color w:val="000000" w:themeColor="text1"/>
        </w:rPr>
        <w:t xml:space="preserve">The sole factual averment is that </w:t>
      </w:r>
      <w:r w:rsidR="00AB56D4" w:rsidRPr="00AB56D4">
        <w:rPr>
          <w:color w:val="000000" w:themeColor="text1"/>
        </w:rPr>
        <w:t xml:space="preserve">Respondent has not buried a partially-exposed gas </w:t>
      </w:r>
      <w:r w:rsidR="004F6560">
        <w:rPr>
          <w:color w:val="000000" w:themeColor="text1"/>
        </w:rPr>
        <w:t>line on Complainant’s property, and the Respondent admits this.</w:t>
      </w:r>
    </w:p>
    <w:p w:rsidR="004F6560" w:rsidRPr="00AB56D4" w:rsidRDefault="004F6560" w:rsidP="002D56A9">
      <w:pPr>
        <w:jc w:val="left"/>
        <w:rPr>
          <w:color w:val="000000" w:themeColor="text1"/>
        </w:rPr>
      </w:pPr>
    </w:p>
    <w:p w:rsidR="002D56A9" w:rsidRPr="00AB56D4" w:rsidRDefault="002D56A9" w:rsidP="002D56A9">
      <w:pPr>
        <w:jc w:val="left"/>
        <w:rPr>
          <w:color w:val="000000" w:themeColor="text1"/>
        </w:rPr>
      </w:pPr>
      <w:r w:rsidRPr="00AB56D4">
        <w:rPr>
          <w:color w:val="000000" w:themeColor="text1"/>
        </w:rPr>
        <w:tab/>
      </w:r>
      <w:r w:rsidRPr="00AB56D4">
        <w:rPr>
          <w:color w:val="000000" w:themeColor="text1"/>
        </w:rPr>
        <w:tab/>
        <w:t xml:space="preserve">In its Answer and New Matter, the Respondent asserts that </w:t>
      </w:r>
      <w:r w:rsidR="00AB56D4" w:rsidRPr="00AB56D4">
        <w:rPr>
          <w:color w:val="000000" w:themeColor="text1"/>
        </w:rPr>
        <w:t>it is working with the Complainant to relocate and rebury the gas li</w:t>
      </w:r>
      <w:r w:rsidR="00E030E4">
        <w:rPr>
          <w:color w:val="000000" w:themeColor="text1"/>
        </w:rPr>
        <w:t xml:space="preserve">ne on her property, that Complainant is a member of Knox Energy Cooperative Association, Inc., </w:t>
      </w:r>
      <w:r w:rsidR="00AB56D4" w:rsidRPr="00AB56D4">
        <w:rPr>
          <w:color w:val="000000" w:themeColor="text1"/>
        </w:rPr>
        <w:t>and alleges that Knox is a bona fide cooperative association and thus not within the Commission’s regulatory jurisdiction</w:t>
      </w:r>
      <w:r w:rsidR="005C14B6">
        <w:rPr>
          <w:color w:val="000000" w:themeColor="text1"/>
        </w:rPr>
        <w:t xml:space="preserve">.  </w:t>
      </w:r>
      <w:r w:rsidR="00AB56D4" w:rsidRPr="00AB56D4">
        <w:rPr>
          <w:color w:val="000000" w:themeColor="text1"/>
        </w:rPr>
        <w:t>The Complainant has not filed a written response to Res</w:t>
      </w:r>
      <w:r w:rsidR="004F6560">
        <w:rPr>
          <w:color w:val="000000" w:themeColor="text1"/>
        </w:rPr>
        <w:t>p</w:t>
      </w:r>
      <w:r w:rsidR="00AB56D4" w:rsidRPr="00AB56D4">
        <w:rPr>
          <w:color w:val="000000" w:themeColor="text1"/>
        </w:rPr>
        <w:t>ondent’</w:t>
      </w:r>
      <w:r w:rsidR="006A6AC6">
        <w:rPr>
          <w:color w:val="000000" w:themeColor="text1"/>
        </w:rPr>
        <w:t>s Answer and New Matter within 20 days since February 5, 2015, the date of service</w:t>
      </w:r>
      <w:r w:rsidR="005C14B6">
        <w:rPr>
          <w:color w:val="000000" w:themeColor="text1"/>
        </w:rPr>
        <w:t xml:space="preserve">.  </w:t>
      </w:r>
      <w:r w:rsidR="00263FD9">
        <w:rPr>
          <w:color w:val="000000" w:themeColor="text1"/>
        </w:rPr>
        <w:t>Therefore, facts set forth in</w:t>
      </w:r>
      <w:r w:rsidR="00AB56D4" w:rsidRPr="00AB56D4">
        <w:rPr>
          <w:color w:val="000000" w:themeColor="text1"/>
        </w:rPr>
        <w:t xml:space="preserve"> Respondent’s Answer and New Matter are deemed admitted </w:t>
      </w:r>
      <w:r w:rsidR="005C14B6">
        <w:rPr>
          <w:color w:val="000000" w:themeColor="text1"/>
        </w:rPr>
        <w:t>pursuant to 52 Pa.</w:t>
      </w:r>
      <w:r w:rsidR="00AB56D4" w:rsidRPr="00AB56D4">
        <w:rPr>
          <w:color w:val="000000" w:themeColor="text1"/>
        </w:rPr>
        <w:t xml:space="preserve">Code § 6.63(a). </w:t>
      </w:r>
    </w:p>
    <w:p w:rsidR="009943BE" w:rsidRDefault="009943BE" w:rsidP="004F6560">
      <w:pPr>
        <w:jc w:val="left"/>
      </w:pPr>
    </w:p>
    <w:p w:rsidR="00986649" w:rsidRDefault="009943BE" w:rsidP="009943BE">
      <w:pPr>
        <w:jc w:val="left"/>
      </w:pPr>
      <w:r>
        <w:tab/>
      </w:r>
      <w:r>
        <w:tab/>
        <w:t xml:space="preserve">The Commission must act within and cannot exceed its jurisdiction.  </w:t>
      </w:r>
      <w:r>
        <w:rPr>
          <w:i/>
        </w:rPr>
        <w:t>Behrend v. Bell Telephone Co.,</w:t>
      </w:r>
      <w:r>
        <w:t xml:space="preserve"> 363 A.2d 1152 (Pa. Super 1976).  </w:t>
      </w:r>
      <w:r w:rsidR="00705178" w:rsidRPr="00705178">
        <w:t xml:space="preserve">Jurisdiction may not be conferred by the parties where none exists.  </w:t>
      </w:r>
      <w:r w:rsidR="00705178" w:rsidRPr="00332673">
        <w:rPr>
          <w:i/>
        </w:rPr>
        <w:t>Roberts v. Martorano</w:t>
      </w:r>
      <w:r w:rsidR="00705178" w:rsidRPr="00705178">
        <w:t xml:space="preserve">, 427 Pa. 581, 235 A.2d 602 (1967).  </w:t>
      </w:r>
    </w:p>
    <w:p w:rsidR="00986649" w:rsidRDefault="00986649" w:rsidP="009943BE">
      <w:pPr>
        <w:jc w:val="left"/>
      </w:pPr>
    </w:p>
    <w:p w:rsidR="002D40F8" w:rsidRDefault="00332673" w:rsidP="002D40F8">
      <w:pPr>
        <w:jc w:val="left"/>
      </w:pPr>
      <w:r>
        <w:tab/>
      </w:r>
      <w:r>
        <w:tab/>
      </w:r>
      <w:r w:rsidR="003C7514">
        <w:t xml:space="preserve"> </w:t>
      </w:r>
      <w:r w:rsidR="002D40F8">
        <w:t xml:space="preserve">The Commission’s general regulatory authority is contained in </w:t>
      </w:r>
      <w:r w:rsidR="005C14B6">
        <w:t>Section 501 of the Code, 66 Pa.</w:t>
      </w:r>
      <w:r w:rsidR="002D40F8">
        <w:t xml:space="preserve">C.S. </w:t>
      </w:r>
      <w:r w:rsidR="00394311">
        <w:t xml:space="preserve">§ </w:t>
      </w:r>
      <w:r w:rsidR="002D40F8">
        <w:t>501.  Sec</w:t>
      </w:r>
      <w:r w:rsidR="005C14B6">
        <w:t>tion 501(b) of the Code, 66 Pa.</w:t>
      </w:r>
      <w:r w:rsidR="002D40F8">
        <w:t>C.S. §</w:t>
      </w:r>
      <w:r w:rsidR="005C14B6">
        <w:t xml:space="preserve"> </w:t>
      </w:r>
      <w:r w:rsidR="002D40F8">
        <w:t>501(b), states that the Commission shall have administrative power and authority to supervise and regulate all public utilities doing business in the Commonwealth.  Pursuant to Section 501(c) of the Code, 66 Pa</w:t>
      </w:r>
      <w:r w:rsidR="005C14B6">
        <w:t>.</w:t>
      </w:r>
      <w:r w:rsidR="002D40F8">
        <w:t>C.S. §</w:t>
      </w:r>
      <w:r w:rsidR="005C14B6">
        <w:t xml:space="preserve"> </w:t>
      </w:r>
      <w:r w:rsidR="002D40F8">
        <w:t xml:space="preserve">501(c), every public utility has a duty to observe, obey, and comply with the regulations or Orders of the Commission and the terms and conditions set forth therein. </w:t>
      </w:r>
    </w:p>
    <w:p w:rsidR="002D40F8" w:rsidRDefault="002D40F8" w:rsidP="002D40F8">
      <w:pPr>
        <w:jc w:val="left"/>
      </w:pPr>
    </w:p>
    <w:p w:rsidR="00BA5F88" w:rsidRDefault="002D40F8" w:rsidP="002D40F8">
      <w:pPr>
        <w:jc w:val="left"/>
        <w:rPr>
          <w:color w:val="000000" w:themeColor="text1"/>
        </w:rPr>
      </w:pPr>
      <w:r>
        <w:tab/>
      </w:r>
      <w:r>
        <w:tab/>
        <w:t>“Public utility,” as defined in Section 102 of the Code, 66 Pa.C.S. §</w:t>
      </w:r>
      <w:r w:rsidR="005C14B6">
        <w:t xml:space="preserve"> </w:t>
      </w:r>
      <w:r>
        <w:t>102, excludes “[a]ny bona fide cooperative association which furnishes service only to its stockholders or members on a nonprofit basis</w:t>
      </w:r>
      <w:r w:rsidRPr="00E21E2B">
        <w:rPr>
          <w:color w:val="7F7F7F" w:themeColor="text1" w:themeTint="80"/>
        </w:rPr>
        <w:t>.</w:t>
      </w:r>
      <w:r w:rsidRPr="006114BA">
        <w:rPr>
          <w:color w:val="000000" w:themeColor="text1"/>
        </w:rPr>
        <w:t>”</w:t>
      </w:r>
      <w:r w:rsidR="0098586D">
        <w:rPr>
          <w:color w:val="000000" w:themeColor="text1"/>
        </w:rPr>
        <w:t xml:space="preserve">  </w:t>
      </w:r>
      <w:r w:rsidR="004F3BAD">
        <w:rPr>
          <w:color w:val="000000" w:themeColor="text1"/>
        </w:rPr>
        <w:t>The Commission has ruled that f</w:t>
      </w:r>
      <w:r w:rsidR="0098586D">
        <w:rPr>
          <w:color w:val="000000" w:themeColor="text1"/>
        </w:rPr>
        <w:t>ormal Complaints against entities determined to be bona fide cooperative associations must be dismissed due to a lack of Commission jurisdiction</w:t>
      </w:r>
      <w:r w:rsidR="005C14B6">
        <w:rPr>
          <w:color w:val="000000" w:themeColor="text1"/>
        </w:rPr>
        <w:t xml:space="preserve">.  </w:t>
      </w:r>
      <w:r w:rsidR="0098586D" w:rsidRPr="0098586D">
        <w:rPr>
          <w:i/>
          <w:color w:val="000000" w:themeColor="text1"/>
        </w:rPr>
        <w:t>See</w:t>
      </w:r>
      <w:r w:rsidR="0098586D">
        <w:rPr>
          <w:color w:val="000000" w:themeColor="text1"/>
        </w:rPr>
        <w:t xml:space="preserve">, e.g. </w:t>
      </w:r>
      <w:r w:rsidR="0098586D" w:rsidRPr="0098586D">
        <w:rPr>
          <w:i/>
          <w:color w:val="000000" w:themeColor="text1"/>
        </w:rPr>
        <w:t>John F. Mellon v. Morea Citizens Water Company</w:t>
      </w:r>
      <w:r w:rsidR="0098586D">
        <w:rPr>
          <w:color w:val="000000" w:themeColor="text1"/>
        </w:rPr>
        <w:t xml:space="preserve">, 1991 Pa. PUC Lexis 91, Docket No. C-902997 (Order dated May 20, 1991). </w:t>
      </w:r>
    </w:p>
    <w:p w:rsidR="00BA5F88" w:rsidRDefault="00BA5F88" w:rsidP="002D40F8">
      <w:pPr>
        <w:jc w:val="left"/>
        <w:rPr>
          <w:color w:val="000000" w:themeColor="text1"/>
        </w:rPr>
      </w:pPr>
    </w:p>
    <w:p w:rsidR="00894A8B" w:rsidRDefault="00BA5F88" w:rsidP="002D40F8">
      <w:pPr>
        <w:jc w:val="left"/>
        <w:rPr>
          <w:color w:val="000000" w:themeColor="text1"/>
        </w:rPr>
      </w:pPr>
      <w:r>
        <w:rPr>
          <w:color w:val="000000" w:themeColor="text1"/>
        </w:rPr>
        <w:tab/>
      </w:r>
      <w:r>
        <w:rPr>
          <w:color w:val="000000" w:themeColor="text1"/>
        </w:rPr>
        <w:tab/>
      </w:r>
      <w:r w:rsidR="000049D4">
        <w:rPr>
          <w:color w:val="000000" w:themeColor="text1"/>
        </w:rPr>
        <w:t>The Commission has previously ruled that Respondent is a bona fide cooperative association</w:t>
      </w:r>
      <w:r w:rsidR="005C14B6">
        <w:rPr>
          <w:color w:val="000000" w:themeColor="text1"/>
        </w:rPr>
        <w:t xml:space="preserve">.  </w:t>
      </w:r>
      <w:r w:rsidR="001E5411" w:rsidRPr="001E5411">
        <w:rPr>
          <w:color w:val="000000" w:themeColor="text1"/>
        </w:rPr>
        <w:t xml:space="preserve">Paragraph 1 of the </w:t>
      </w:r>
      <w:r w:rsidR="001E5411" w:rsidRPr="001E5411">
        <w:rPr>
          <w:i/>
          <w:color w:val="000000" w:themeColor="text1"/>
        </w:rPr>
        <w:t>Gasco Abandonment Order</w:t>
      </w:r>
      <w:r w:rsidR="0098586D" w:rsidRPr="0098586D">
        <w:rPr>
          <w:color w:val="000000" w:themeColor="text1"/>
        </w:rPr>
        <w:t>,</w:t>
      </w:r>
      <w:r w:rsidR="0098586D">
        <w:rPr>
          <w:i/>
          <w:color w:val="000000" w:themeColor="text1"/>
        </w:rPr>
        <w:t xml:space="preserve"> </w:t>
      </w:r>
      <w:r w:rsidR="0098586D" w:rsidRPr="0098586D">
        <w:rPr>
          <w:color w:val="000000" w:themeColor="text1"/>
        </w:rPr>
        <w:t>however,</w:t>
      </w:r>
      <w:r w:rsidR="001E5411" w:rsidRPr="0098586D">
        <w:rPr>
          <w:color w:val="000000" w:themeColor="text1"/>
        </w:rPr>
        <w:t xml:space="preserve"> </w:t>
      </w:r>
      <w:r w:rsidR="001E5411" w:rsidRPr="001E5411">
        <w:rPr>
          <w:color w:val="000000" w:themeColor="text1"/>
        </w:rPr>
        <w:t>states that the parties have</w:t>
      </w:r>
      <w:r w:rsidR="00451446">
        <w:rPr>
          <w:color w:val="000000" w:themeColor="text1"/>
        </w:rPr>
        <w:t xml:space="preserve"> </w:t>
      </w:r>
      <w:r w:rsidR="00894A8B" w:rsidRPr="001E5411">
        <w:rPr>
          <w:color w:val="000000" w:themeColor="text1"/>
        </w:rPr>
        <w:t>“established a prima facie case to support their contention that Knox Energy Cooperative Association, Inc. is a bona fide cooperative</w:t>
      </w:r>
      <w:r w:rsidR="001E5411" w:rsidRPr="001E5411">
        <w:rPr>
          <w:color w:val="000000" w:themeColor="text1"/>
        </w:rPr>
        <w:t>.”</w:t>
      </w:r>
      <w:r w:rsidR="00894A8B" w:rsidRPr="001E5411">
        <w:rPr>
          <w:color w:val="000000" w:themeColor="text1"/>
        </w:rPr>
        <w:t xml:space="preserve">  </w:t>
      </w:r>
      <w:r w:rsidR="001E5411" w:rsidRPr="001E5411">
        <w:rPr>
          <w:color w:val="000000" w:themeColor="text1"/>
        </w:rPr>
        <w:t xml:space="preserve">The use of “prima facie case” means </w:t>
      </w:r>
      <w:r w:rsidR="00894A8B" w:rsidRPr="001E5411">
        <w:rPr>
          <w:color w:val="000000" w:themeColor="text1"/>
        </w:rPr>
        <w:t>that the party with the burden of proof has established the necessary elements</w:t>
      </w:r>
      <w:r>
        <w:rPr>
          <w:color w:val="000000" w:themeColor="text1"/>
        </w:rPr>
        <w:t>,</w:t>
      </w:r>
      <w:r w:rsidR="00894A8B" w:rsidRPr="001E5411">
        <w:rPr>
          <w:color w:val="000000" w:themeColor="text1"/>
        </w:rPr>
        <w:t xml:space="preserve"> which, in the absence of co-equal rebuttal evidence, allows the party to prevail.  </w:t>
      </w:r>
      <w:r w:rsidR="00894A8B" w:rsidRPr="001E5411">
        <w:rPr>
          <w:i/>
          <w:color w:val="000000" w:themeColor="text1"/>
        </w:rPr>
        <w:t>See</w:t>
      </w:r>
      <w:r w:rsidR="00894A8B" w:rsidRPr="001E5411">
        <w:rPr>
          <w:color w:val="000000" w:themeColor="text1"/>
        </w:rPr>
        <w:t xml:space="preserve">, </w:t>
      </w:r>
      <w:r w:rsidR="00894A8B" w:rsidRPr="001E5411">
        <w:rPr>
          <w:i/>
          <w:color w:val="000000" w:themeColor="text1"/>
        </w:rPr>
        <w:t>Waldron v. Philadelphia Electric Company</w:t>
      </w:r>
      <w:r w:rsidR="00894A8B" w:rsidRPr="001E5411">
        <w:rPr>
          <w:color w:val="000000" w:themeColor="text1"/>
        </w:rPr>
        <w:t>, 54 P</w:t>
      </w:r>
      <w:r w:rsidR="00B31D9A">
        <w:rPr>
          <w:color w:val="000000" w:themeColor="text1"/>
        </w:rPr>
        <w:t>a.</w:t>
      </w:r>
      <w:r w:rsidR="00894A8B" w:rsidRPr="001E5411">
        <w:rPr>
          <w:color w:val="000000" w:themeColor="text1"/>
        </w:rPr>
        <w:t xml:space="preserve"> PUC 98 (1980); see also, </w:t>
      </w:r>
      <w:r w:rsidR="00894A8B" w:rsidRPr="001E5411">
        <w:rPr>
          <w:i/>
          <w:color w:val="000000" w:themeColor="text1"/>
        </w:rPr>
        <w:t>Keystone Cooperative Association</w:t>
      </w:r>
      <w:r w:rsidR="005C14B6">
        <w:rPr>
          <w:color w:val="000000" w:themeColor="text1"/>
        </w:rPr>
        <w:t>, Docket No. P</w:t>
      </w:r>
      <w:r w:rsidR="005C14B6">
        <w:rPr>
          <w:color w:val="000000" w:themeColor="text1"/>
        </w:rPr>
        <w:noBreakHyphen/>
      </w:r>
      <w:r w:rsidR="00894A8B" w:rsidRPr="001E5411">
        <w:rPr>
          <w:color w:val="000000" w:themeColor="text1"/>
        </w:rPr>
        <w:t xml:space="preserve">00991710 (Order entered August 12, 1999).  In that context, the use of “prima facie case” in the </w:t>
      </w:r>
      <w:r w:rsidR="00894A8B" w:rsidRPr="001E5411">
        <w:rPr>
          <w:i/>
          <w:color w:val="000000" w:themeColor="text1"/>
        </w:rPr>
        <w:t>Gasco Abandonment Order</w:t>
      </w:r>
      <w:r w:rsidR="00894A8B" w:rsidRPr="001E5411">
        <w:rPr>
          <w:color w:val="000000" w:themeColor="text1"/>
        </w:rPr>
        <w:t xml:space="preserve"> allows for the possible future consideration of evidence rebutting Knox Energy’s “bona fide cooperative” status, in view of Respondent’s duty to report that information to the Commission</w:t>
      </w:r>
      <w:r w:rsidR="005C14B6">
        <w:rPr>
          <w:color w:val="000000" w:themeColor="text1"/>
        </w:rPr>
        <w:t xml:space="preserve">.  </w:t>
      </w:r>
      <w:r w:rsidR="00061AFB">
        <w:rPr>
          <w:color w:val="000000" w:themeColor="text1"/>
        </w:rPr>
        <w:t xml:space="preserve">Pg. 16, </w:t>
      </w:r>
      <w:r w:rsidR="006F04B0" w:rsidRPr="006F04B0">
        <w:rPr>
          <w:i/>
          <w:color w:val="000000" w:themeColor="text1"/>
        </w:rPr>
        <w:t>William L. Jones v. Knox Energy Cooperative Association, Inc.</w:t>
      </w:r>
      <w:r w:rsidR="006F04B0">
        <w:rPr>
          <w:color w:val="000000" w:themeColor="text1"/>
        </w:rPr>
        <w:t>, 2009 Pa. PUC Lexis 669, Docket No. C-2009-2086059.</w:t>
      </w:r>
    </w:p>
    <w:p w:rsidR="001612DE" w:rsidRDefault="001612DE" w:rsidP="002D40F8">
      <w:pPr>
        <w:jc w:val="left"/>
        <w:rPr>
          <w:color w:val="000000" w:themeColor="text1"/>
        </w:rPr>
      </w:pPr>
    </w:p>
    <w:p w:rsidR="00EC0BD7" w:rsidRDefault="001612DE" w:rsidP="002D40F8">
      <w:pPr>
        <w:jc w:val="left"/>
        <w:rPr>
          <w:color w:val="000000" w:themeColor="text1"/>
        </w:rPr>
      </w:pPr>
      <w:r>
        <w:rPr>
          <w:color w:val="7F7F7F" w:themeColor="text1" w:themeTint="80"/>
        </w:rPr>
        <w:tab/>
      </w:r>
      <w:r>
        <w:rPr>
          <w:color w:val="7F7F7F" w:themeColor="text1" w:themeTint="80"/>
        </w:rPr>
        <w:tab/>
      </w:r>
      <w:r w:rsidR="00874E9F">
        <w:rPr>
          <w:color w:val="000000" w:themeColor="text1"/>
        </w:rPr>
        <w:t>T</w:t>
      </w:r>
      <w:r w:rsidR="00692736" w:rsidRPr="00D00625">
        <w:rPr>
          <w:color w:val="000000" w:themeColor="text1"/>
        </w:rPr>
        <w:t>he Commission</w:t>
      </w:r>
      <w:r w:rsidR="00874E9F">
        <w:rPr>
          <w:color w:val="000000" w:themeColor="text1"/>
        </w:rPr>
        <w:t xml:space="preserve"> has</w:t>
      </w:r>
      <w:r w:rsidR="00692736" w:rsidRPr="00D00625">
        <w:rPr>
          <w:color w:val="000000" w:themeColor="text1"/>
        </w:rPr>
        <w:t xml:space="preserve"> stated that</w:t>
      </w:r>
      <w:r w:rsidR="00EC0BD7">
        <w:rPr>
          <w:color w:val="000000" w:themeColor="text1"/>
        </w:rPr>
        <w:t>:</w:t>
      </w:r>
      <w:r w:rsidR="00692736" w:rsidRPr="00D00625">
        <w:rPr>
          <w:color w:val="000000" w:themeColor="text1"/>
        </w:rPr>
        <w:t xml:space="preserve"> </w:t>
      </w:r>
    </w:p>
    <w:p w:rsidR="00CA506C" w:rsidRDefault="00CA506C" w:rsidP="002D40F8">
      <w:pPr>
        <w:jc w:val="left"/>
        <w:rPr>
          <w:color w:val="000000" w:themeColor="text1"/>
        </w:rPr>
      </w:pPr>
    </w:p>
    <w:p w:rsidR="00EC0BD7" w:rsidRDefault="00EC0BD7" w:rsidP="00B31D9A">
      <w:pPr>
        <w:spacing w:line="240" w:lineRule="auto"/>
        <w:ind w:left="1440" w:right="1440"/>
        <w:mirrorIndents/>
        <w:jc w:val="left"/>
        <w:rPr>
          <w:color w:val="000000" w:themeColor="text1"/>
        </w:rPr>
      </w:pPr>
      <w:r>
        <w:rPr>
          <w:color w:val="000000" w:themeColor="text1"/>
        </w:rPr>
        <w:t>[</w:t>
      </w:r>
      <w:r w:rsidR="00692736" w:rsidRPr="00D00625">
        <w:rPr>
          <w:color w:val="000000" w:themeColor="text1"/>
        </w:rPr>
        <w:t>a</w:t>
      </w:r>
      <w:r>
        <w:rPr>
          <w:color w:val="000000" w:themeColor="text1"/>
        </w:rPr>
        <w:t>]</w:t>
      </w:r>
      <w:r w:rsidR="001612DE" w:rsidRPr="00D00625">
        <w:rPr>
          <w:color w:val="000000" w:themeColor="text1"/>
        </w:rPr>
        <w:t xml:space="preserve"> nonprofit organization does not qualify ipso facto as a bona fide cooperative association, exempt from regulation by the commission,  [*2]  66 Pa CS § 102, </w:t>
      </w:r>
      <w:r w:rsidR="001612DE" w:rsidRPr="00D00625">
        <w:rPr>
          <w:i/>
          <w:color w:val="000000" w:themeColor="text1"/>
        </w:rPr>
        <w:t xml:space="preserve">Gorski v Moosic Lakes, Inc. </w:t>
      </w:r>
      <w:r w:rsidR="001612DE" w:rsidRPr="00D00625">
        <w:rPr>
          <w:color w:val="000000" w:themeColor="text1"/>
        </w:rPr>
        <w:t>(1962) 39 Pa PUC 749</w:t>
      </w:r>
      <w:r w:rsidR="005C14B6">
        <w:rPr>
          <w:color w:val="000000" w:themeColor="text1"/>
        </w:rPr>
        <w:t xml:space="preserve">.  </w:t>
      </w:r>
      <w:r w:rsidR="001612DE" w:rsidRPr="00D00625">
        <w:rPr>
          <w:color w:val="000000" w:themeColor="text1"/>
        </w:rPr>
        <w:t>The key factor is the internal structure of the organization; in the analysis of "bona fide cooperative," there are five generally accepted characteristics to be considered: (1) the purpose of the organization's internal structure is to furnish service; (2) the organization furnishes service, either directly or by contract with another organization, only to its members who are identified as such; (3) membership is limited to those who will avail themselves of the services furnished by the association; (4) control and ownership by each member is substantially equal; and (5) economic benefits are passed to the members on a substantially equal basis; Israel Packel, "</w:t>
      </w:r>
      <w:r w:rsidR="001612DE" w:rsidRPr="00D00625">
        <w:rPr>
          <w:i/>
          <w:color w:val="000000" w:themeColor="text1"/>
        </w:rPr>
        <w:t>The Organization and Operation of Cooperatives</w:t>
      </w:r>
      <w:r w:rsidR="001612DE" w:rsidRPr="00D00625">
        <w:rPr>
          <w:color w:val="000000" w:themeColor="text1"/>
        </w:rPr>
        <w:t xml:space="preserve">," A.L.I., 4th Ed., Philadelphia, 1970, pp. 4, 5.  </w:t>
      </w:r>
      <w:r w:rsidR="00F127D3" w:rsidRPr="00F127D3">
        <w:rPr>
          <w:color w:val="000000" w:themeColor="text1"/>
        </w:rPr>
        <w:t>The essential question in the analysis of these factors is whether, in the absence of regulations or protection of the public utility commission, the customers of an organization delivering utility service are able to protect themselves from unreasonable and arbitrary management decisions by exercising some degree of control over the organization.</w:t>
      </w:r>
      <w:r w:rsidR="00874E9F">
        <w:rPr>
          <w:color w:val="000000" w:themeColor="text1"/>
        </w:rPr>
        <w:t xml:space="preserve"> </w:t>
      </w:r>
    </w:p>
    <w:p w:rsidR="00874E9F" w:rsidRDefault="00874E9F" w:rsidP="00B31D9A">
      <w:pPr>
        <w:spacing w:line="240" w:lineRule="auto"/>
        <w:ind w:left="1440" w:right="1440"/>
        <w:mirrorIndents/>
        <w:jc w:val="left"/>
        <w:rPr>
          <w:color w:val="000000" w:themeColor="text1"/>
        </w:rPr>
      </w:pPr>
    </w:p>
    <w:p w:rsidR="00B31D9A" w:rsidRPr="002A0037" w:rsidRDefault="00874E9F" w:rsidP="00B31D9A">
      <w:pPr>
        <w:spacing w:line="240" w:lineRule="auto"/>
        <w:mirrorIndents/>
        <w:jc w:val="left"/>
        <w:rPr>
          <w:b/>
          <w:color w:val="FF0000"/>
        </w:rPr>
      </w:pPr>
      <w:r w:rsidRPr="00D00625">
        <w:rPr>
          <w:i/>
          <w:color w:val="000000" w:themeColor="text1"/>
        </w:rPr>
        <w:t>Re Adrian Water Company</w:t>
      </w:r>
      <w:r>
        <w:rPr>
          <w:i/>
          <w:color w:val="000000" w:themeColor="text1"/>
        </w:rPr>
        <w:t>,</w:t>
      </w:r>
      <w:r w:rsidRPr="00D00625">
        <w:rPr>
          <w:color w:val="000000" w:themeColor="text1"/>
        </w:rPr>
        <w:t xml:space="preserve"> </w:t>
      </w:r>
      <w:r w:rsidRPr="00874E9F">
        <w:rPr>
          <w:color w:val="000000" w:themeColor="text1"/>
        </w:rPr>
        <w:t>1979 Pa. PUC LEXIS 96; 53 Pa. PUC 139</w:t>
      </w:r>
      <w:r>
        <w:rPr>
          <w:color w:val="000000" w:themeColor="text1"/>
        </w:rPr>
        <w:t xml:space="preserve"> (</w:t>
      </w:r>
      <w:r w:rsidRPr="00874E9F">
        <w:rPr>
          <w:color w:val="000000" w:themeColor="text1"/>
        </w:rPr>
        <w:t>February 22, 1979</w:t>
      </w:r>
      <w:r>
        <w:rPr>
          <w:color w:val="000000" w:themeColor="text1"/>
        </w:rPr>
        <w:t>)</w:t>
      </w:r>
    </w:p>
    <w:p w:rsidR="00EC0BD7" w:rsidRDefault="00EC0BD7" w:rsidP="007C5271">
      <w:pPr>
        <w:jc w:val="left"/>
        <w:rPr>
          <w:color w:val="000000" w:themeColor="text1"/>
        </w:rPr>
      </w:pPr>
    </w:p>
    <w:p w:rsidR="009E3779" w:rsidRPr="0057492B" w:rsidRDefault="00EC0BD7" w:rsidP="00B74F73">
      <w:pPr>
        <w:jc w:val="left"/>
        <w:rPr>
          <w:color w:val="4F81BD" w:themeColor="accent1"/>
        </w:rPr>
      </w:pPr>
      <w:r>
        <w:rPr>
          <w:color w:val="000000" w:themeColor="text1"/>
        </w:rPr>
        <w:tab/>
      </w:r>
      <w:r>
        <w:rPr>
          <w:color w:val="000000" w:themeColor="text1"/>
        </w:rPr>
        <w:tab/>
      </w:r>
      <w:r w:rsidR="00692736" w:rsidRPr="00661A3F">
        <w:rPr>
          <w:color w:val="000000" w:themeColor="text1"/>
        </w:rPr>
        <w:t>In New Matter</w:t>
      </w:r>
      <w:r w:rsidR="00661A3F" w:rsidRPr="00661A3F">
        <w:rPr>
          <w:color w:val="000000" w:themeColor="text1"/>
        </w:rPr>
        <w:t xml:space="preserve">, </w:t>
      </w:r>
      <w:r w:rsidR="00692736" w:rsidRPr="00661A3F">
        <w:rPr>
          <w:color w:val="000000" w:themeColor="text1"/>
        </w:rPr>
        <w:t>Respondent asserts that the purpose of Knox’s internal structure is to provide utility service; that it provides natural gas services, either directly or by contract with another organization, only to its members; that membership in Knox is limited to those who will avail themselves of the natural gas services provided by the cooperative association; that control and ownership of Knox is held by each member in substantially equal shares; and that any economic benefits of Knox are passed on to the members on a substantially equal basis</w:t>
      </w:r>
      <w:r w:rsidR="005C14B6">
        <w:rPr>
          <w:color w:val="000000" w:themeColor="text1"/>
        </w:rPr>
        <w:t xml:space="preserve">.  </w:t>
      </w:r>
      <w:r w:rsidR="00692736" w:rsidRPr="00661A3F">
        <w:rPr>
          <w:color w:val="000000" w:themeColor="text1"/>
        </w:rPr>
        <w:t xml:space="preserve">These statements are </w:t>
      </w:r>
      <w:r w:rsidR="004109FE" w:rsidRPr="00661A3F">
        <w:rPr>
          <w:color w:val="000000" w:themeColor="text1"/>
        </w:rPr>
        <w:t xml:space="preserve">in keeping </w:t>
      </w:r>
      <w:r w:rsidR="00692736" w:rsidRPr="00661A3F">
        <w:rPr>
          <w:color w:val="000000" w:themeColor="text1"/>
        </w:rPr>
        <w:t xml:space="preserve">with the statutory definition of a bona fide cooperative association as found in </w:t>
      </w:r>
      <w:r w:rsidR="005C14B6">
        <w:t>66 Pa.</w:t>
      </w:r>
      <w:r w:rsidR="00692736" w:rsidRPr="00661A3F">
        <w:t>C.S. §</w:t>
      </w:r>
      <w:r w:rsidR="005C14B6">
        <w:t xml:space="preserve"> </w:t>
      </w:r>
      <w:r w:rsidR="00692736" w:rsidRPr="00661A3F">
        <w:t>102</w:t>
      </w:r>
      <w:r w:rsidR="0098586D" w:rsidRPr="00661A3F">
        <w:t xml:space="preserve">, consistent with the findings of the Commission in the </w:t>
      </w:r>
      <w:r w:rsidR="0098586D" w:rsidRPr="00661A3F">
        <w:rPr>
          <w:i/>
        </w:rPr>
        <w:t>Gasco Abandonment Order</w:t>
      </w:r>
      <w:r w:rsidR="0098586D" w:rsidRPr="00661A3F">
        <w:t>,</w:t>
      </w:r>
      <w:r w:rsidR="00692736" w:rsidRPr="00661A3F">
        <w:t xml:space="preserve"> and </w:t>
      </w:r>
      <w:r w:rsidRPr="00661A3F">
        <w:t xml:space="preserve">mirrors </w:t>
      </w:r>
      <w:r w:rsidR="00692736" w:rsidRPr="00661A3F">
        <w:t xml:space="preserve">the five characteristics laid out in </w:t>
      </w:r>
      <w:r w:rsidR="00692736" w:rsidRPr="00661A3F">
        <w:rPr>
          <w:i/>
        </w:rPr>
        <w:t>Re Adrian Water Company</w:t>
      </w:r>
      <w:r w:rsidR="00692736" w:rsidRPr="00661A3F">
        <w:t>.</w:t>
      </w:r>
      <w:r w:rsidR="009B52F8" w:rsidRPr="00661A3F">
        <w:t xml:space="preserve"> </w:t>
      </w:r>
      <w:r w:rsidR="003A3A3A">
        <w:rPr>
          <w:b/>
          <w:color w:val="4F81BD" w:themeColor="accent1"/>
        </w:rPr>
        <w:t xml:space="preserve"> </w:t>
      </w:r>
    </w:p>
    <w:p w:rsidR="009E3779" w:rsidRDefault="009E3779" w:rsidP="00232397">
      <w:pPr>
        <w:jc w:val="left"/>
      </w:pPr>
    </w:p>
    <w:p w:rsidR="003C7514" w:rsidRDefault="00332673" w:rsidP="00232397">
      <w:pPr>
        <w:jc w:val="left"/>
      </w:pPr>
      <w:r>
        <w:tab/>
      </w:r>
      <w:r>
        <w:tab/>
        <w:t xml:space="preserve"> </w:t>
      </w:r>
      <w:r w:rsidR="00E31BE8" w:rsidRPr="00E31BE8">
        <w:t xml:space="preserve">The </w:t>
      </w:r>
      <w:r w:rsidR="00A55FBB">
        <w:t>C</w:t>
      </w:r>
      <w:r w:rsidR="00E31BE8" w:rsidRPr="00E31BE8">
        <w:t xml:space="preserve">ommission may dismiss any complaint without a hearing if, in its opinion, a hearing is not necessary in the public interest.  66 Pa.C.S. § 703.  As the only count alleged </w:t>
      </w:r>
      <w:r w:rsidR="00F47CD8">
        <w:t xml:space="preserve">in the Complaint </w:t>
      </w:r>
      <w:r w:rsidR="00E31BE8" w:rsidRPr="00E31BE8">
        <w:t xml:space="preserve">is not within the jurisdiction of the Commission, and </w:t>
      </w:r>
      <w:r w:rsidR="00C871AE">
        <w:t>MJOP</w:t>
      </w:r>
      <w:r w:rsidR="00E31BE8">
        <w:t xml:space="preserve"> is</w:t>
      </w:r>
      <w:r w:rsidR="00E31BE8" w:rsidRPr="00E31BE8">
        <w:t xml:space="preserve"> granted and the Complaint is dismissed.</w:t>
      </w:r>
    </w:p>
    <w:p w:rsidR="00E31BE8" w:rsidRDefault="00E31BE8" w:rsidP="00232397">
      <w:pPr>
        <w:jc w:val="left"/>
      </w:pPr>
    </w:p>
    <w:p w:rsidR="00F81122" w:rsidRDefault="00F81122">
      <w:pPr>
        <w:rPr>
          <w:u w:val="single"/>
        </w:rPr>
      </w:pPr>
      <w:r>
        <w:rPr>
          <w:u w:val="single"/>
        </w:rPr>
        <w:br w:type="page"/>
      </w:r>
    </w:p>
    <w:p w:rsidR="00E31BE8" w:rsidRPr="00E31BE8" w:rsidRDefault="00E31BE8" w:rsidP="00E31BE8">
      <w:pPr>
        <w:rPr>
          <w:u w:val="single"/>
        </w:rPr>
      </w:pPr>
      <w:r w:rsidRPr="00E31BE8">
        <w:rPr>
          <w:u w:val="single"/>
        </w:rPr>
        <w:t>CONCLUSIONS OF LAW</w:t>
      </w:r>
    </w:p>
    <w:p w:rsidR="00E31BE8" w:rsidRDefault="00E31BE8" w:rsidP="00E31BE8">
      <w:pPr>
        <w:jc w:val="left"/>
      </w:pPr>
    </w:p>
    <w:p w:rsidR="00A41FAD" w:rsidRDefault="00E31BE8" w:rsidP="00A41FAD">
      <w:pPr>
        <w:jc w:val="left"/>
      </w:pPr>
      <w:r>
        <w:tab/>
      </w:r>
      <w:r>
        <w:tab/>
        <w:t xml:space="preserve"> </w:t>
      </w:r>
      <w:r w:rsidR="00A41FAD">
        <w:t>1.</w:t>
      </w:r>
      <w:r w:rsidR="00A41FAD">
        <w:tab/>
        <w:t>The Complaint must set forth anything done or omitted to be done by the utility company in violation of any law which the Commission has juri</w:t>
      </w:r>
      <w:r w:rsidR="005C14B6">
        <w:t>sdiction to administer.  66 Pa.C.S. § 701; 52 Pa.</w:t>
      </w:r>
      <w:r w:rsidR="00A41FAD">
        <w:t xml:space="preserve">Code § 5.21(a).  </w:t>
      </w:r>
    </w:p>
    <w:p w:rsidR="00A41FAD" w:rsidRDefault="00A41FAD" w:rsidP="00A41FAD">
      <w:pPr>
        <w:jc w:val="left"/>
      </w:pPr>
    </w:p>
    <w:p w:rsidR="001F6A1A" w:rsidRDefault="00A41FAD" w:rsidP="001F6A1A">
      <w:pPr>
        <w:jc w:val="left"/>
      </w:pPr>
      <w:r>
        <w:tab/>
      </w:r>
      <w:r>
        <w:tab/>
      </w:r>
      <w:r w:rsidR="001F6A1A">
        <w:t>2</w:t>
      </w:r>
      <w:r>
        <w:t>.</w:t>
      </w:r>
      <w:r>
        <w:tab/>
      </w:r>
      <w:r w:rsidR="001F6A1A" w:rsidRPr="001F6A1A">
        <w:t>The presiding officer or Commission may disregard an error or defect of procedure which does not affect the subs</w:t>
      </w:r>
      <w:r w:rsidR="001F6A1A">
        <w:t>tantive rights of the parties</w:t>
      </w:r>
      <w:r w:rsidR="005C14B6">
        <w:t>.  52 Pa.</w:t>
      </w:r>
      <w:r w:rsidR="001F6A1A" w:rsidRPr="001F6A1A">
        <w:t>Code §</w:t>
      </w:r>
      <w:r w:rsidR="005C14B6">
        <w:t xml:space="preserve"> </w:t>
      </w:r>
      <w:r w:rsidR="001F6A1A" w:rsidRPr="001F6A1A">
        <w:t>1.2(a)</w:t>
      </w:r>
      <w:r w:rsidR="001F6A1A">
        <w:t>.</w:t>
      </w:r>
    </w:p>
    <w:p w:rsidR="001F6A1A" w:rsidRDefault="001F6A1A" w:rsidP="001F6A1A">
      <w:pPr>
        <w:jc w:val="left"/>
      </w:pPr>
    </w:p>
    <w:p w:rsidR="001F6A1A" w:rsidRDefault="001F6A1A" w:rsidP="001F6A1A">
      <w:pPr>
        <w:jc w:val="left"/>
      </w:pPr>
      <w:r>
        <w:tab/>
      </w:r>
      <w:r>
        <w:tab/>
        <w:t>3.</w:t>
      </w:r>
      <w:r>
        <w:tab/>
        <w:t>A motion for judgment on the pleadings is properly granted where the pleadings show there is no genuine issue as to a material fact and that the moving party is entitled to judgment as a matter of law.  52 Pa.Code § 5.102(d)(1).</w:t>
      </w:r>
    </w:p>
    <w:p w:rsidR="001F6A1A" w:rsidRDefault="001F6A1A" w:rsidP="00A41FAD">
      <w:pPr>
        <w:jc w:val="left"/>
      </w:pPr>
    </w:p>
    <w:p w:rsidR="00A41FAD" w:rsidRDefault="001F6A1A" w:rsidP="00A41FAD">
      <w:pPr>
        <w:jc w:val="left"/>
      </w:pPr>
      <w:r>
        <w:tab/>
      </w:r>
      <w:r>
        <w:tab/>
        <w:t>4.</w:t>
      </w:r>
      <w:r>
        <w:tab/>
      </w:r>
      <w:r w:rsidR="00A41FAD">
        <w:t xml:space="preserve">The Commission must act within and cannot exceed its jurisdiction.  </w:t>
      </w:r>
      <w:r w:rsidR="00A41FAD">
        <w:rPr>
          <w:i/>
        </w:rPr>
        <w:t>Behrend v. Bell Telephone Co.,</w:t>
      </w:r>
      <w:r w:rsidR="00A41FAD">
        <w:t xml:space="preserve"> 363 A.2d 1152 (Pa. Super 1976).  </w:t>
      </w:r>
    </w:p>
    <w:p w:rsidR="00A41FAD" w:rsidRDefault="00A41FAD" w:rsidP="00A41FAD">
      <w:pPr>
        <w:jc w:val="left"/>
      </w:pPr>
    </w:p>
    <w:p w:rsidR="00A41FAD" w:rsidRDefault="00A41FAD" w:rsidP="00A41FAD">
      <w:pPr>
        <w:jc w:val="left"/>
      </w:pPr>
      <w:r>
        <w:tab/>
      </w:r>
      <w:r>
        <w:tab/>
      </w:r>
      <w:r w:rsidR="001F6A1A">
        <w:t>5</w:t>
      </w:r>
      <w:r>
        <w:t>.</w:t>
      </w:r>
      <w:r>
        <w:tab/>
      </w:r>
      <w:r w:rsidRPr="00705178">
        <w:t xml:space="preserve">Jurisdiction may not be conferred by the parties where none exists.  </w:t>
      </w:r>
      <w:r w:rsidRPr="00332673">
        <w:rPr>
          <w:i/>
        </w:rPr>
        <w:t>Roberts v. Martorano</w:t>
      </w:r>
      <w:r w:rsidRPr="00705178">
        <w:t xml:space="preserve">, 427 </w:t>
      </w:r>
      <w:r w:rsidR="005C14B6">
        <w:t xml:space="preserve">Pa. 581, 235 A.2d 602 (1967).  </w:t>
      </w:r>
      <w:r w:rsidRPr="00705178">
        <w:t>In order for</w:t>
      </w:r>
      <w:r>
        <w:t xml:space="preserve"> the</w:t>
      </w:r>
      <w:r w:rsidRPr="00705178">
        <w:t xml:space="preserve"> Complainant to prevail ultimately, there must be a statute, regulation or order which the Commission is authorized to enforce.   </w:t>
      </w:r>
    </w:p>
    <w:p w:rsidR="00A41FAD" w:rsidRDefault="00A41FAD" w:rsidP="00A41FAD">
      <w:pPr>
        <w:jc w:val="left"/>
      </w:pPr>
    </w:p>
    <w:p w:rsidR="00A41FAD" w:rsidRPr="00A41FAD" w:rsidRDefault="00A41FAD" w:rsidP="00A41FAD">
      <w:pPr>
        <w:jc w:val="left"/>
        <w:rPr>
          <w:color w:val="7F7F7F" w:themeColor="text1" w:themeTint="80"/>
        </w:rPr>
      </w:pPr>
      <w:r>
        <w:tab/>
      </w:r>
      <w:r>
        <w:tab/>
      </w:r>
      <w:r w:rsidR="00C871AE">
        <w:rPr>
          <w:color w:val="000000" w:themeColor="text1"/>
        </w:rPr>
        <w:t>6</w:t>
      </w:r>
      <w:r w:rsidRPr="004E76CD">
        <w:rPr>
          <w:color w:val="000000" w:themeColor="text1"/>
        </w:rPr>
        <w:t>.</w:t>
      </w:r>
      <w:r w:rsidRPr="00A41FAD">
        <w:rPr>
          <w:color w:val="7F7F7F" w:themeColor="text1" w:themeTint="80"/>
        </w:rPr>
        <w:tab/>
      </w:r>
      <w:r w:rsidR="004E76CD">
        <w:t xml:space="preserve">The Commission’s general regulatory authority is contained in </w:t>
      </w:r>
      <w:r w:rsidR="005C14B6">
        <w:t>Section 501 of the Code, 66 Pa.</w:t>
      </w:r>
      <w:r w:rsidR="004E76CD">
        <w:t>C.S. §</w:t>
      </w:r>
      <w:r w:rsidR="005C14B6">
        <w:t xml:space="preserve"> </w:t>
      </w:r>
      <w:r w:rsidR="004E76CD">
        <w:t>501.  Section 501(b) of the Code, 66 Pa.C.S. §</w:t>
      </w:r>
      <w:r w:rsidR="005C14B6">
        <w:t xml:space="preserve"> </w:t>
      </w:r>
      <w:r w:rsidR="004E76CD">
        <w:t>501(b), states that the Commission shall have administrative power and authority to supervise and regulate all public utilities doing business in the Commonwealth.  Pursuant to Section 501(c) of the Code, 66 Pa.C.S. §</w:t>
      </w:r>
      <w:r w:rsidR="007C5271">
        <w:t xml:space="preserve"> </w:t>
      </w:r>
      <w:r w:rsidR="004E76CD">
        <w:t>501(c), every public utility has a duty to observe, obey, and comply with the regulations or Orders of the Commission and the terms and conditions set forth therein.</w:t>
      </w:r>
    </w:p>
    <w:p w:rsidR="00A41FAD" w:rsidRPr="00A41FAD" w:rsidRDefault="00A41FAD" w:rsidP="00A41FAD">
      <w:pPr>
        <w:contextualSpacing/>
        <w:jc w:val="left"/>
        <w:rPr>
          <w:color w:val="7F7F7F" w:themeColor="text1" w:themeTint="80"/>
        </w:rPr>
      </w:pPr>
      <w:r w:rsidRPr="00A41FAD">
        <w:rPr>
          <w:color w:val="7F7F7F" w:themeColor="text1" w:themeTint="80"/>
        </w:rPr>
        <w:t xml:space="preserve"> </w:t>
      </w:r>
    </w:p>
    <w:p w:rsidR="00A41FAD" w:rsidRPr="00A41FAD" w:rsidRDefault="00A41FAD" w:rsidP="00A41FAD">
      <w:pPr>
        <w:jc w:val="left"/>
        <w:rPr>
          <w:color w:val="7F7F7F" w:themeColor="text1" w:themeTint="80"/>
        </w:rPr>
      </w:pPr>
      <w:r w:rsidRPr="00A41FAD">
        <w:rPr>
          <w:color w:val="7F7F7F" w:themeColor="text1" w:themeTint="80"/>
        </w:rPr>
        <w:tab/>
      </w:r>
      <w:r w:rsidRPr="00A41FAD">
        <w:rPr>
          <w:color w:val="7F7F7F" w:themeColor="text1" w:themeTint="80"/>
        </w:rPr>
        <w:tab/>
      </w:r>
      <w:r w:rsidR="00C871AE">
        <w:rPr>
          <w:color w:val="000000" w:themeColor="text1"/>
        </w:rPr>
        <w:t>7</w:t>
      </w:r>
      <w:r w:rsidRPr="004E76CD">
        <w:rPr>
          <w:color w:val="000000" w:themeColor="text1"/>
        </w:rPr>
        <w:t>.</w:t>
      </w:r>
      <w:r w:rsidRPr="00A41FAD">
        <w:rPr>
          <w:color w:val="7F7F7F" w:themeColor="text1" w:themeTint="80"/>
        </w:rPr>
        <w:tab/>
      </w:r>
      <w:r w:rsidR="004E76CD">
        <w:t xml:space="preserve">“Public utility,” as defined in </w:t>
      </w:r>
      <w:r w:rsidR="005C14B6">
        <w:t>Section 102 of the Code, 66 Pa.</w:t>
      </w:r>
      <w:r w:rsidR="004E76CD">
        <w:t>C.S. §</w:t>
      </w:r>
      <w:r w:rsidR="005C14B6">
        <w:t xml:space="preserve"> </w:t>
      </w:r>
      <w:r w:rsidR="004E76CD">
        <w:t>102, excludes “[a]ny bona fide cooperative association which furnishes service only to its stockholders or members on a nonprofit basis</w:t>
      </w:r>
      <w:r w:rsidR="004E76CD" w:rsidRPr="00E21E2B">
        <w:rPr>
          <w:color w:val="7F7F7F" w:themeColor="text1" w:themeTint="80"/>
        </w:rPr>
        <w:t>.</w:t>
      </w:r>
      <w:r w:rsidR="004E76CD" w:rsidRPr="006114BA">
        <w:rPr>
          <w:color w:val="000000" w:themeColor="text1"/>
        </w:rPr>
        <w:t>”</w:t>
      </w:r>
      <w:r w:rsidR="004E76CD">
        <w:rPr>
          <w:color w:val="000000" w:themeColor="text1"/>
        </w:rPr>
        <w:t xml:space="preserve">  </w:t>
      </w:r>
    </w:p>
    <w:p w:rsidR="004E76CD" w:rsidRDefault="00A41FAD" w:rsidP="00A41FAD">
      <w:pPr>
        <w:contextualSpacing/>
        <w:jc w:val="left"/>
      </w:pPr>
      <w:r>
        <w:tab/>
      </w:r>
      <w:r>
        <w:tab/>
      </w:r>
      <w:r w:rsidR="00C871AE">
        <w:t>8</w:t>
      </w:r>
      <w:r>
        <w:t>.</w:t>
      </w:r>
      <w:r>
        <w:tab/>
      </w:r>
      <w:r w:rsidR="004E76CD">
        <w:rPr>
          <w:color w:val="000000" w:themeColor="text1"/>
        </w:rPr>
        <w:t>Formal Complaints against entities determined to be bona fide cooperative associations must be dismissed due to a lack of Commission jurisdiction</w:t>
      </w:r>
      <w:r w:rsidR="005C14B6">
        <w:rPr>
          <w:color w:val="000000" w:themeColor="text1"/>
        </w:rPr>
        <w:t xml:space="preserve">.  </w:t>
      </w:r>
      <w:r w:rsidR="004E76CD" w:rsidRPr="0098586D">
        <w:rPr>
          <w:i/>
          <w:color w:val="000000" w:themeColor="text1"/>
        </w:rPr>
        <w:t>See</w:t>
      </w:r>
      <w:r w:rsidR="004E76CD">
        <w:rPr>
          <w:color w:val="000000" w:themeColor="text1"/>
        </w:rPr>
        <w:t xml:space="preserve">, e.g. </w:t>
      </w:r>
      <w:r w:rsidR="004E76CD" w:rsidRPr="0098586D">
        <w:rPr>
          <w:i/>
          <w:color w:val="000000" w:themeColor="text1"/>
        </w:rPr>
        <w:t>John F. Mellon v. Morea Citizens Water Company</w:t>
      </w:r>
      <w:r w:rsidR="004E76CD">
        <w:rPr>
          <w:color w:val="000000" w:themeColor="text1"/>
        </w:rPr>
        <w:t>, 1991 Pa. PUC Lexis 91, Docket No. C-902997 (Order dated May 20, 1991).</w:t>
      </w:r>
    </w:p>
    <w:p w:rsidR="004E76CD" w:rsidRDefault="004E76CD" w:rsidP="00A41FAD">
      <w:pPr>
        <w:contextualSpacing/>
        <w:jc w:val="left"/>
      </w:pPr>
    </w:p>
    <w:p w:rsidR="004E76CD" w:rsidRDefault="000049D4" w:rsidP="00A41FAD">
      <w:pPr>
        <w:contextualSpacing/>
        <w:jc w:val="left"/>
      </w:pPr>
      <w:r>
        <w:tab/>
      </w:r>
      <w:r>
        <w:tab/>
      </w:r>
      <w:r w:rsidR="00C871AE">
        <w:t>9</w:t>
      </w:r>
      <w:r>
        <w:t>.</w:t>
      </w:r>
      <w:r>
        <w:tab/>
      </w:r>
      <w:r>
        <w:rPr>
          <w:color w:val="000000" w:themeColor="text1"/>
        </w:rPr>
        <w:t xml:space="preserve">The Commission has </w:t>
      </w:r>
      <w:r w:rsidR="00B34CBA">
        <w:rPr>
          <w:color w:val="000000" w:themeColor="text1"/>
        </w:rPr>
        <w:t>determined</w:t>
      </w:r>
      <w:r>
        <w:rPr>
          <w:color w:val="000000" w:themeColor="text1"/>
        </w:rPr>
        <w:t xml:space="preserve"> that </w:t>
      </w:r>
      <w:r>
        <w:rPr>
          <w:rFonts w:eastAsia="Calibri"/>
          <w:color w:val="000000" w:themeColor="text1"/>
        </w:rPr>
        <w:t>Knox Energy Cooperative Association, Inc.</w:t>
      </w:r>
      <w:r>
        <w:rPr>
          <w:color w:val="000000" w:themeColor="text1"/>
        </w:rPr>
        <w:t xml:space="preserve"> is a bona fide cooperative association</w:t>
      </w:r>
      <w:r w:rsidR="005C14B6">
        <w:rPr>
          <w:color w:val="000000" w:themeColor="text1"/>
        </w:rPr>
        <w:t xml:space="preserve">.  </w:t>
      </w:r>
      <w:r w:rsidRPr="000049D4">
        <w:rPr>
          <w:i/>
          <w:color w:val="000000" w:themeColor="text1"/>
        </w:rPr>
        <w:t>Application of Gasco Distribution Systems, Inc. for approval of the transfer of its Kane Division’s assets to Utility Pipeline Ltd. and immediately thereafter to Knox Energy Cooperative Association, Inc. and for the abandonment of service by Gasco Distribution Systems, Inc</w:t>
      </w:r>
      <w:r w:rsidRPr="000049D4">
        <w:rPr>
          <w:color w:val="000000" w:themeColor="text1"/>
        </w:rPr>
        <w:t>., Docket No. A-120002F2000, Order entered March 22, 2007</w:t>
      </w:r>
      <w:r>
        <w:rPr>
          <w:color w:val="000000" w:themeColor="text1"/>
        </w:rPr>
        <w:t>.</w:t>
      </w:r>
    </w:p>
    <w:p w:rsidR="004E76CD" w:rsidRDefault="004E76CD" w:rsidP="00A41FAD">
      <w:pPr>
        <w:contextualSpacing/>
        <w:jc w:val="left"/>
      </w:pPr>
    </w:p>
    <w:p w:rsidR="00A41FAD" w:rsidRDefault="000049D4" w:rsidP="00A41FAD">
      <w:pPr>
        <w:contextualSpacing/>
        <w:jc w:val="left"/>
      </w:pPr>
      <w:r>
        <w:tab/>
      </w:r>
      <w:r>
        <w:tab/>
      </w:r>
      <w:r w:rsidR="001F6A1A">
        <w:t>1</w:t>
      </w:r>
      <w:r w:rsidR="00C871AE">
        <w:t>0</w:t>
      </w:r>
      <w:r>
        <w:t>.</w:t>
      </w:r>
      <w:r>
        <w:tab/>
      </w:r>
      <w:r w:rsidR="00A41FAD">
        <w:t xml:space="preserve">The commission may dismiss any complaint without a hearing if, in its opinion, a hearing is not necessary in the public interest.  66 Pa.C.S. § 703. </w:t>
      </w:r>
    </w:p>
    <w:p w:rsidR="00A41FAD" w:rsidRDefault="00A41FAD" w:rsidP="00A41FAD">
      <w:pPr>
        <w:contextualSpacing/>
        <w:jc w:val="left"/>
      </w:pPr>
    </w:p>
    <w:p w:rsidR="00A41FAD" w:rsidRPr="009C35D4" w:rsidRDefault="000049D4" w:rsidP="00A41FAD">
      <w:pPr>
        <w:contextualSpacing/>
        <w:jc w:val="left"/>
      </w:pPr>
      <w:r>
        <w:tab/>
      </w:r>
      <w:r>
        <w:tab/>
      </w:r>
      <w:r w:rsidR="001F6A1A">
        <w:t>1</w:t>
      </w:r>
      <w:r w:rsidR="00C871AE">
        <w:t>1</w:t>
      </w:r>
      <w:r w:rsidR="00A41FAD">
        <w:t>.</w:t>
      </w:r>
      <w:r w:rsidR="00A41FAD">
        <w:tab/>
        <w:t xml:space="preserve"> As the only count alleged is not within the jurisdiction of the Commission, and there is no other remedy sought or available, there is no reason to hold a hearing.  </w:t>
      </w:r>
    </w:p>
    <w:p w:rsidR="009943BE" w:rsidRDefault="009943BE" w:rsidP="009943BE">
      <w:pPr>
        <w:jc w:val="left"/>
      </w:pPr>
    </w:p>
    <w:p w:rsidR="009943BE" w:rsidRPr="003C7514" w:rsidRDefault="009943BE" w:rsidP="009943BE">
      <w:pPr>
        <w:rPr>
          <w:u w:val="single"/>
        </w:rPr>
      </w:pPr>
      <w:r w:rsidRPr="003C7514">
        <w:rPr>
          <w:u w:val="single"/>
        </w:rPr>
        <w:t>ORDER</w:t>
      </w:r>
    </w:p>
    <w:p w:rsidR="009943BE" w:rsidRDefault="009943BE" w:rsidP="009943BE">
      <w:pPr>
        <w:rPr>
          <w:b/>
        </w:rPr>
      </w:pPr>
    </w:p>
    <w:p w:rsidR="009943BE" w:rsidRDefault="009943BE" w:rsidP="009943BE">
      <w:pPr>
        <w:jc w:val="left"/>
      </w:pPr>
      <w:r>
        <w:tab/>
      </w:r>
      <w:r>
        <w:tab/>
        <w:t>THEREFORE,</w:t>
      </w:r>
    </w:p>
    <w:p w:rsidR="009943BE" w:rsidRDefault="009943BE" w:rsidP="009943BE">
      <w:pPr>
        <w:jc w:val="left"/>
      </w:pPr>
    </w:p>
    <w:p w:rsidR="009943BE" w:rsidRDefault="009943BE" w:rsidP="009943BE">
      <w:pPr>
        <w:jc w:val="left"/>
      </w:pPr>
      <w:r>
        <w:tab/>
      </w:r>
      <w:r>
        <w:tab/>
        <w:t>IT IS ORDERED:</w:t>
      </w:r>
    </w:p>
    <w:p w:rsidR="009943BE" w:rsidRDefault="009943BE" w:rsidP="009943BE">
      <w:pPr>
        <w:jc w:val="left"/>
      </w:pPr>
    </w:p>
    <w:p w:rsidR="009943BE" w:rsidRDefault="00387215" w:rsidP="009943BE">
      <w:pPr>
        <w:jc w:val="left"/>
      </w:pPr>
      <w:r>
        <w:tab/>
      </w:r>
      <w:r>
        <w:tab/>
        <w:t>1.</w:t>
      </w:r>
      <w:r>
        <w:tab/>
        <w:t xml:space="preserve">That the </w:t>
      </w:r>
      <w:r w:rsidR="00A57359">
        <w:t xml:space="preserve">Motion for Judgment on the Pleadings </w:t>
      </w:r>
      <w:r w:rsidR="009943BE">
        <w:t xml:space="preserve">filed in the case captioned </w:t>
      </w:r>
      <w:r w:rsidR="00BA1A63" w:rsidRPr="007C5271">
        <w:t>Sharon Laffey v. Knox Energy Cooperative Association, Inc.</w:t>
      </w:r>
      <w:r w:rsidR="00BA1A63">
        <w:rPr>
          <w:i/>
        </w:rPr>
        <w:t xml:space="preserve"> </w:t>
      </w:r>
      <w:r w:rsidR="009943BE">
        <w:t xml:space="preserve">at Docket No. </w:t>
      </w:r>
      <w:r w:rsidR="009A7481">
        <w:t>C-2015</w:t>
      </w:r>
      <w:r w:rsidR="00E21E2B">
        <w:t xml:space="preserve">-2462487 </w:t>
      </w:r>
      <w:r>
        <w:rPr>
          <w:color w:val="000000" w:themeColor="text1"/>
        </w:rPr>
        <w:t>is</w:t>
      </w:r>
      <w:r w:rsidR="009A7481" w:rsidRPr="003C7514">
        <w:rPr>
          <w:color w:val="000000" w:themeColor="text1"/>
        </w:rPr>
        <w:t xml:space="preserve"> granted.</w:t>
      </w:r>
    </w:p>
    <w:p w:rsidR="009943BE" w:rsidRDefault="009943BE" w:rsidP="009943BE">
      <w:pPr>
        <w:jc w:val="left"/>
      </w:pPr>
    </w:p>
    <w:p w:rsidR="009943BE" w:rsidRDefault="009943BE" w:rsidP="009943BE">
      <w:pPr>
        <w:jc w:val="left"/>
      </w:pPr>
      <w:r>
        <w:tab/>
      </w:r>
      <w:r>
        <w:tab/>
        <w:t>2.</w:t>
      </w:r>
      <w:r>
        <w:tab/>
      </w:r>
      <w:r w:rsidR="009A7481">
        <w:t xml:space="preserve">That the Complaint filed by </w:t>
      </w:r>
      <w:r w:rsidR="00BA1A63">
        <w:t xml:space="preserve">Sharon Laffey </w:t>
      </w:r>
      <w:r w:rsidR="009A7481" w:rsidRPr="009A7481">
        <w:t xml:space="preserve">against </w:t>
      </w:r>
      <w:r w:rsidR="00BA1A63">
        <w:t xml:space="preserve">Knox Energy Cooperative Association, Inc. </w:t>
      </w:r>
      <w:r w:rsidR="009A7481">
        <w:t>at Docket No. C-2015-246</w:t>
      </w:r>
      <w:r w:rsidR="00BA1A63">
        <w:t>2487</w:t>
      </w:r>
      <w:r w:rsidR="007C12D9" w:rsidRPr="003C7514">
        <w:rPr>
          <w:color w:val="000000" w:themeColor="text1"/>
        </w:rPr>
        <w:t xml:space="preserve">, </w:t>
      </w:r>
      <w:r w:rsidR="004F6560">
        <w:rPr>
          <w:color w:val="000000" w:themeColor="text1"/>
        </w:rPr>
        <w:t>i</w:t>
      </w:r>
      <w:r w:rsidR="009A7481" w:rsidRPr="003C7514">
        <w:rPr>
          <w:color w:val="000000" w:themeColor="text1"/>
        </w:rPr>
        <w:t>s dismissed.</w:t>
      </w:r>
    </w:p>
    <w:p w:rsidR="009943BE" w:rsidRPr="003C7514" w:rsidRDefault="009943BE" w:rsidP="009943BE">
      <w:pPr>
        <w:jc w:val="left"/>
        <w:rPr>
          <w:color w:val="000000" w:themeColor="text1"/>
        </w:rPr>
      </w:pPr>
      <w:r>
        <w:tab/>
      </w:r>
      <w:r>
        <w:tab/>
        <w:t>3.</w:t>
      </w:r>
      <w:r>
        <w:tab/>
      </w:r>
      <w:r w:rsidR="009A7481" w:rsidRPr="003C7514">
        <w:rPr>
          <w:color w:val="000000" w:themeColor="text1"/>
        </w:rPr>
        <w:t>That the Secretary mark this docket closed.</w:t>
      </w:r>
    </w:p>
    <w:p w:rsidR="009943BE" w:rsidRDefault="009943BE" w:rsidP="009943BE">
      <w:pPr>
        <w:jc w:val="left"/>
      </w:pPr>
    </w:p>
    <w:p w:rsidR="009943BE" w:rsidRDefault="009943BE" w:rsidP="009943BE">
      <w:pPr>
        <w:jc w:val="left"/>
      </w:pPr>
    </w:p>
    <w:p w:rsidR="009943BE" w:rsidRPr="007C5271" w:rsidRDefault="009943BE" w:rsidP="009943BE">
      <w:pPr>
        <w:spacing w:line="240" w:lineRule="auto"/>
        <w:contextualSpacing/>
        <w:jc w:val="left"/>
        <w:rPr>
          <w:u w:val="single"/>
        </w:rPr>
      </w:pPr>
      <w:r>
        <w:t>Dated:</w:t>
      </w:r>
      <w:r>
        <w:tab/>
      </w:r>
      <w:r w:rsidR="003C7514" w:rsidRPr="003C7514">
        <w:rPr>
          <w:color w:val="000000" w:themeColor="text1"/>
          <w:u w:val="single"/>
        </w:rPr>
        <w:t xml:space="preserve">March </w:t>
      </w:r>
      <w:r w:rsidR="004F6560">
        <w:rPr>
          <w:color w:val="000000" w:themeColor="text1"/>
          <w:u w:val="single"/>
        </w:rPr>
        <w:t>24</w:t>
      </w:r>
      <w:r w:rsidR="008B155B" w:rsidRPr="003C7514">
        <w:rPr>
          <w:color w:val="000000" w:themeColor="text1"/>
          <w:u w:val="single"/>
        </w:rPr>
        <w:t>, 2015</w:t>
      </w:r>
      <w:r w:rsidRPr="007C12D9">
        <w:tab/>
      </w:r>
      <w:r w:rsidRPr="007C12D9">
        <w:tab/>
      </w:r>
      <w:r w:rsidRPr="007C12D9">
        <w:tab/>
      </w:r>
      <w:r w:rsidRPr="007C12D9">
        <w:tab/>
      </w:r>
      <w:r w:rsidR="007C5271">
        <w:rPr>
          <w:u w:val="single"/>
        </w:rPr>
        <w:tab/>
        <w:t>/s/</w:t>
      </w:r>
      <w:r w:rsidR="007C5271">
        <w:rPr>
          <w:u w:val="single"/>
        </w:rPr>
        <w:tab/>
      </w:r>
      <w:r w:rsidR="007C5271">
        <w:rPr>
          <w:u w:val="single"/>
        </w:rPr>
        <w:tab/>
      </w:r>
      <w:r w:rsidR="007C5271">
        <w:rPr>
          <w:u w:val="single"/>
        </w:rPr>
        <w:tab/>
      </w:r>
      <w:r w:rsidR="007C5271">
        <w:rPr>
          <w:u w:val="single"/>
        </w:rPr>
        <w:tab/>
      </w:r>
      <w:r w:rsidR="007C5271">
        <w:rPr>
          <w:u w:val="single"/>
        </w:rPr>
        <w:tab/>
      </w:r>
    </w:p>
    <w:p w:rsidR="009943BE" w:rsidRDefault="009943BE" w:rsidP="009943BE">
      <w:pPr>
        <w:spacing w:line="240" w:lineRule="auto"/>
        <w:contextualSpacing/>
        <w:jc w:val="left"/>
      </w:pPr>
      <w:r w:rsidRPr="007C12D9">
        <w:tab/>
      </w:r>
      <w:r w:rsidRPr="007C12D9">
        <w:tab/>
      </w:r>
      <w:r w:rsidRPr="007C12D9">
        <w:tab/>
      </w:r>
      <w:r>
        <w:tab/>
      </w:r>
      <w:r>
        <w:tab/>
      </w:r>
      <w:r>
        <w:tab/>
      </w:r>
      <w:r>
        <w:tab/>
        <w:t>Susan D. Colwell</w:t>
      </w:r>
    </w:p>
    <w:p w:rsidR="009943BE" w:rsidRPr="003E54B5" w:rsidRDefault="009943BE" w:rsidP="002F4DA2">
      <w:pPr>
        <w:spacing w:line="240" w:lineRule="auto"/>
        <w:contextualSpacing/>
        <w:jc w:val="left"/>
      </w:pPr>
      <w:r>
        <w:tab/>
      </w:r>
      <w:r>
        <w:tab/>
      </w:r>
      <w:r>
        <w:tab/>
      </w:r>
      <w:r>
        <w:tab/>
      </w:r>
      <w:r>
        <w:tab/>
      </w:r>
      <w:r>
        <w:tab/>
      </w:r>
      <w:r>
        <w:tab/>
        <w:t>Administrative Law Judge</w:t>
      </w:r>
    </w:p>
    <w:sectPr w:rsidR="009943BE" w:rsidRPr="003E54B5" w:rsidSect="00986649">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11E" w:rsidRDefault="00A4311E" w:rsidP="009943BE">
      <w:pPr>
        <w:spacing w:line="240" w:lineRule="auto"/>
      </w:pPr>
      <w:r>
        <w:separator/>
      </w:r>
    </w:p>
  </w:endnote>
  <w:endnote w:type="continuationSeparator" w:id="0">
    <w:p w:rsidR="00A4311E" w:rsidRDefault="00A4311E" w:rsidP="00994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985522"/>
      <w:docPartObj>
        <w:docPartGallery w:val="Page Numbers (Bottom of Page)"/>
        <w:docPartUnique/>
      </w:docPartObj>
    </w:sdtPr>
    <w:sdtEndPr>
      <w:rPr>
        <w:noProof/>
      </w:rPr>
    </w:sdtEndPr>
    <w:sdtContent>
      <w:p w:rsidR="00986649" w:rsidRDefault="00986649">
        <w:pPr>
          <w:pStyle w:val="Footer"/>
        </w:pPr>
        <w:r>
          <w:fldChar w:fldCharType="begin"/>
        </w:r>
        <w:r>
          <w:instrText xml:space="preserve"> PAGE   \* MERGEFORMAT </w:instrText>
        </w:r>
        <w:r>
          <w:fldChar w:fldCharType="separate"/>
        </w:r>
        <w:r w:rsidR="008E2BD9">
          <w:rPr>
            <w:noProof/>
          </w:rPr>
          <w:t>10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11E" w:rsidRDefault="00A4311E" w:rsidP="007C5271">
      <w:pPr>
        <w:spacing w:line="240" w:lineRule="auto"/>
        <w:jc w:val="left"/>
      </w:pPr>
      <w:r>
        <w:separator/>
      </w:r>
    </w:p>
  </w:footnote>
  <w:footnote w:type="continuationSeparator" w:id="0">
    <w:p w:rsidR="00A4311E" w:rsidRDefault="00A4311E" w:rsidP="009943BE">
      <w:pPr>
        <w:spacing w:line="240" w:lineRule="auto"/>
      </w:pPr>
      <w:r>
        <w:continuationSeparator/>
      </w:r>
    </w:p>
  </w:footnote>
  <w:footnote w:id="1">
    <w:p w:rsidR="0044490C" w:rsidRDefault="007C5271" w:rsidP="0044490C">
      <w:pPr>
        <w:pStyle w:val="FootnoteText"/>
        <w:jc w:val="left"/>
      </w:pPr>
      <w:r>
        <w:tab/>
      </w:r>
      <w:r w:rsidR="0044490C">
        <w:rPr>
          <w:rStyle w:val="FootnoteReference"/>
        </w:rPr>
        <w:footnoteRef/>
      </w:r>
      <w:r w:rsidR="0044490C">
        <w:t xml:space="preserve"> </w:t>
      </w:r>
      <w:r>
        <w:tab/>
      </w:r>
      <w:r w:rsidR="0044490C">
        <w:rPr>
          <w:u w:val="single"/>
        </w:rPr>
        <w:t>See</w:t>
      </w:r>
      <w:r w:rsidR="0044490C">
        <w:t xml:space="preserve">, </w:t>
      </w:r>
      <w:r w:rsidR="0044490C">
        <w:rPr>
          <w:u w:val="single"/>
        </w:rPr>
        <w:t>Application of Gasco Distribution Systems, Inc. for approval of the transfer of its Kane Division’s assets to Utility Pipeline Ltd. and immediately thereafter to Knox Energy Cooperative Association, Inc. and for the abandonment of service by Gasco Distribution Systems, Inc.</w:t>
      </w:r>
      <w:r w:rsidR="0044490C">
        <w:t>, Docket No. A-120002F2000, Order entered March 22, 2007 (</w:t>
      </w:r>
      <w:r w:rsidR="0044490C">
        <w:rPr>
          <w:u w:val="single"/>
        </w:rPr>
        <w:t>Gasco Abandonment Order</w:t>
      </w:r>
      <w:r w:rsidR="0044490C">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0417C"/>
    <w:multiLevelType w:val="hybridMultilevel"/>
    <w:tmpl w:val="E4DC87CC"/>
    <w:lvl w:ilvl="0" w:tplc="DF9C1E6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67087CEC"/>
    <w:multiLevelType w:val="hybridMultilevel"/>
    <w:tmpl w:val="3FF2ACB0"/>
    <w:lvl w:ilvl="0" w:tplc="C60417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1CE"/>
    <w:rsid w:val="00001E3A"/>
    <w:rsid w:val="00001EF6"/>
    <w:rsid w:val="000028EA"/>
    <w:rsid w:val="00003D11"/>
    <w:rsid w:val="000049D4"/>
    <w:rsid w:val="00004AA3"/>
    <w:rsid w:val="00005558"/>
    <w:rsid w:val="000079FE"/>
    <w:rsid w:val="00012104"/>
    <w:rsid w:val="00012655"/>
    <w:rsid w:val="0001305A"/>
    <w:rsid w:val="00016E55"/>
    <w:rsid w:val="0002023D"/>
    <w:rsid w:val="00020760"/>
    <w:rsid w:val="0002105C"/>
    <w:rsid w:val="0002110E"/>
    <w:rsid w:val="0002235C"/>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1AFB"/>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80D"/>
    <w:rsid w:val="00097D77"/>
    <w:rsid w:val="000A0123"/>
    <w:rsid w:val="000A2192"/>
    <w:rsid w:val="000A4551"/>
    <w:rsid w:val="000A4E7A"/>
    <w:rsid w:val="000A5DEA"/>
    <w:rsid w:val="000A652E"/>
    <w:rsid w:val="000A770B"/>
    <w:rsid w:val="000B1BFC"/>
    <w:rsid w:val="000B1D64"/>
    <w:rsid w:val="000B2D0C"/>
    <w:rsid w:val="000B339A"/>
    <w:rsid w:val="000B7111"/>
    <w:rsid w:val="000C0311"/>
    <w:rsid w:val="000C2696"/>
    <w:rsid w:val="000C27AC"/>
    <w:rsid w:val="000C2A2B"/>
    <w:rsid w:val="000C34F3"/>
    <w:rsid w:val="000C4163"/>
    <w:rsid w:val="000C5976"/>
    <w:rsid w:val="000C683B"/>
    <w:rsid w:val="000C6B6E"/>
    <w:rsid w:val="000C6EF0"/>
    <w:rsid w:val="000C6FAA"/>
    <w:rsid w:val="000C7A4F"/>
    <w:rsid w:val="000D29BA"/>
    <w:rsid w:val="000D3E49"/>
    <w:rsid w:val="000D5763"/>
    <w:rsid w:val="000E2F36"/>
    <w:rsid w:val="000E44C4"/>
    <w:rsid w:val="000E49E6"/>
    <w:rsid w:val="000E4A42"/>
    <w:rsid w:val="000E503F"/>
    <w:rsid w:val="000E6655"/>
    <w:rsid w:val="000E6827"/>
    <w:rsid w:val="000E71B3"/>
    <w:rsid w:val="000E7515"/>
    <w:rsid w:val="000E7EF5"/>
    <w:rsid w:val="000F1890"/>
    <w:rsid w:val="000F2E5F"/>
    <w:rsid w:val="000F3819"/>
    <w:rsid w:val="000F47F1"/>
    <w:rsid w:val="000F51F1"/>
    <w:rsid w:val="000F5D78"/>
    <w:rsid w:val="000F678B"/>
    <w:rsid w:val="000F680A"/>
    <w:rsid w:val="000F78BE"/>
    <w:rsid w:val="0010080E"/>
    <w:rsid w:val="001021FB"/>
    <w:rsid w:val="00102A77"/>
    <w:rsid w:val="0010420D"/>
    <w:rsid w:val="00104518"/>
    <w:rsid w:val="00106EE8"/>
    <w:rsid w:val="001077F1"/>
    <w:rsid w:val="00113655"/>
    <w:rsid w:val="00113B1B"/>
    <w:rsid w:val="001155EF"/>
    <w:rsid w:val="00115BB6"/>
    <w:rsid w:val="00116578"/>
    <w:rsid w:val="001170B8"/>
    <w:rsid w:val="0012035F"/>
    <w:rsid w:val="00120D02"/>
    <w:rsid w:val="00120DE8"/>
    <w:rsid w:val="00121291"/>
    <w:rsid w:val="00121792"/>
    <w:rsid w:val="001219A5"/>
    <w:rsid w:val="0012343C"/>
    <w:rsid w:val="00124101"/>
    <w:rsid w:val="00124D49"/>
    <w:rsid w:val="00126739"/>
    <w:rsid w:val="0012770C"/>
    <w:rsid w:val="0013068D"/>
    <w:rsid w:val="00130A2C"/>
    <w:rsid w:val="0013273A"/>
    <w:rsid w:val="00135526"/>
    <w:rsid w:val="00137C91"/>
    <w:rsid w:val="00140273"/>
    <w:rsid w:val="0014105E"/>
    <w:rsid w:val="00143142"/>
    <w:rsid w:val="00143C25"/>
    <w:rsid w:val="00144D2D"/>
    <w:rsid w:val="00145327"/>
    <w:rsid w:val="0014747C"/>
    <w:rsid w:val="00150084"/>
    <w:rsid w:val="00150BAA"/>
    <w:rsid w:val="00152794"/>
    <w:rsid w:val="00152FD8"/>
    <w:rsid w:val="001537E3"/>
    <w:rsid w:val="00153C39"/>
    <w:rsid w:val="00154F0C"/>
    <w:rsid w:val="0015569F"/>
    <w:rsid w:val="00155E87"/>
    <w:rsid w:val="0015737B"/>
    <w:rsid w:val="00157490"/>
    <w:rsid w:val="00157E46"/>
    <w:rsid w:val="001612DE"/>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D00"/>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41D4"/>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C6AC3"/>
    <w:rsid w:val="001D05DB"/>
    <w:rsid w:val="001D0876"/>
    <w:rsid w:val="001D0F91"/>
    <w:rsid w:val="001D1F1B"/>
    <w:rsid w:val="001D30CE"/>
    <w:rsid w:val="001D4223"/>
    <w:rsid w:val="001D556B"/>
    <w:rsid w:val="001D6CAB"/>
    <w:rsid w:val="001E2642"/>
    <w:rsid w:val="001E3C9A"/>
    <w:rsid w:val="001E5411"/>
    <w:rsid w:val="001E5447"/>
    <w:rsid w:val="001E5DF5"/>
    <w:rsid w:val="001E604F"/>
    <w:rsid w:val="001E76FD"/>
    <w:rsid w:val="001E79A7"/>
    <w:rsid w:val="001F0835"/>
    <w:rsid w:val="001F09A7"/>
    <w:rsid w:val="001F1049"/>
    <w:rsid w:val="001F1139"/>
    <w:rsid w:val="001F33A3"/>
    <w:rsid w:val="001F4882"/>
    <w:rsid w:val="001F49C0"/>
    <w:rsid w:val="001F4DA0"/>
    <w:rsid w:val="001F6A1A"/>
    <w:rsid w:val="001F6E43"/>
    <w:rsid w:val="001F6F77"/>
    <w:rsid w:val="001F74FC"/>
    <w:rsid w:val="001F77B2"/>
    <w:rsid w:val="002004A8"/>
    <w:rsid w:val="002019B1"/>
    <w:rsid w:val="00201E65"/>
    <w:rsid w:val="00205C33"/>
    <w:rsid w:val="0021162B"/>
    <w:rsid w:val="002125E4"/>
    <w:rsid w:val="002131B7"/>
    <w:rsid w:val="00213BF6"/>
    <w:rsid w:val="00214E49"/>
    <w:rsid w:val="00215381"/>
    <w:rsid w:val="00215BA6"/>
    <w:rsid w:val="002163B7"/>
    <w:rsid w:val="00216C32"/>
    <w:rsid w:val="00216F76"/>
    <w:rsid w:val="0021750E"/>
    <w:rsid w:val="002178EA"/>
    <w:rsid w:val="0022017F"/>
    <w:rsid w:val="002205EC"/>
    <w:rsid w:val="00220D97"/>
    <w:rsid w:val="00221A88"/>
    <w:rsid w:val="00222D81"/>
    <w:rsid w:val="002241D0"/>
    <w:rsid w:val="00224756"/>
    <w:rsid w:val="0022478F"/>
    <w:rsid w:val="0022600E"/>
    <w:rsid w:val="00227A4A"/>
    <w:rsid w:val="00230CC6"/>
    <w:rsid w:val="00232397"/>
    <w:rsid w:val="002337D7"/>
    <w:rsid w:val="00234712"/>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DFD"/>
    <w:rsid w:val="00252F2A"/>
    <w:rsid w:val="0025351B"/>
    <w:rsid w:val="002546D8"/>
    <w:rsid w:val="002557C7"/>
    <w:rsid w:val="002558A3"/>
    <w:rsid w:val="00255930"/>
    <w:rsid w:val="00255ABE"/>
    <w:rsid w:val="00256505"/>
    <w:rsid w:val="00260459"/>
    <w:rsid w:val="00260814"/>
    <w:rsid w:val="00262A17"/>
    <w:rsid w:val="00262AF8"/>
    <w:rsid w:val="00263AD5"/>
    <w:rsid w:val="00263FD9"/>
    <w:rsid w:val="0026705F"/>
    <w:rsid w:val="002704DD"/>
    <w:rsid w:val="00270AF3"/>
    <w:rsid w:val="0027207B"/>
    <w:rsid w:val="0027210A"/>
    <w:rsid w:val="002748C2"/>
    <w:rsid w:val="002752C3"/>
    <w:rsid w:val="00275659"/>
    <w:rsid w:val="002761E2"/>
    <w:rsid w:val="00277591"/>
    <w:rsid w:val="00283282"/>
    <w:rsid w:val="00284760"/>
    <w:rsid w:val="00285C9A"/>
    <w:rsid w:val="00286A34"/>
    <w:rsid w:val="002871C2"/>
    <w:rsid w:val="00287CB1"/>
    <w:rsid w:val="0029096F"/>
    <w:rsid w:val="00290AD2"/>
    <w:rsid w:val="0029353E"/>
    <w:rsid w:val="00293F4E"/>
    <w:rsid w:val="00296B74"/>
    <w:rsid w:val="00297286"/>
    <w:rsid w:val="002A0037"/>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400B"/>
    <w:rsid w:val="002D40F8"/>
    <w:rsid w:val="002D56A9"/>
    <w:rsid w:val="002D5798"/>
    <w:rsid w:val="002D5B2A"/>
    <w:rsid w:val="002D6B36"/>
    <w:rsid w:val="002D7136"/>
    <w:rsid w:val="002D7978"/>
    <w:rsid w:val="002E2283"/>
    <w:rsid w:val="002E2CAD"/>
    <w:rsid w:val="002E32C2"/>
    <w:rsid w:val="002E5790"/>
    <w:rsid w:val="002E6CB4"/>
    <w:rsid w:val="002E7DDB"/>
    <w:rsid w:val="002F21B6"/>
    <w:rsid w:val="002F222D"/>
    <w:rsid w:val="002F2A4A"/>
    <w:rsid w:val="002F42FC"/>
    <w:rsid w:val="002F4DA2"/>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B2"/>
    <w:rsid w:val="003156D7"/>
    <w:rsid w:val="003169C1"/>
    <w:rsid w:val="00317261"/>
    <w:rsid w:val="0032130D"/>
    <w:rsid w:val="00321DB1"/>
    <w:rsid w:val="00326EEE"/>
    <w:rsid w:val="00326F3E"/>
    <w:rsid w:val="00330A67"/>
    <w:rsid w:val="00332673"/>
    <w:rsid w:val="00332A51"/>
    <w:rsid w:val="00333ADD"/>
    <w:rsid w:val="00334F62"/>
    <w:rsid w:val="00336496"/>
    <w:rsid w:val="003364EB"/>
    <w:rsid w:val="00336CE8"/>
    <w:rsid w:val="003415B9"/>
    <w:rsid w:val="003425CF"/>
    <w:rsid w:val="0034272B"/>
    <w:rsid w:val="00342BFE"/>
    <w:rsid w:val="00344C34"/>
    <w:rsid w:val="00345C65"/>
    <w:rsid w:val="00346679"/>
    <w:rsid w:val="003470E8"/>
    <w:rsid w:val="00347634"/>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087F"/>
    <w:rsid w:val="00375889"/>
    <w:rsid w:val="003760EB"/>
    <w:rsid w:val="00380892"/>
    <w:rsid w:val="00381B05"/>
    <w:rsid w:val="00383321"/>
    <w:rsid w:val="00385BF0"/>
    <w:rsid w:val="00385DAD"/>
    <w:rsid w:val="003864D5"/>
    <w:rsid w:val="00386626"/>
    <w:rsid w:val="00387215"/>
    <w:rsid w:val="003908D7"/>
    <w:rsid w:val="00390929"/>
    <w:rsid w:val="00390DBB"/>
    <w:rsid w:val="00391CFF"/>
    <w:rsid w:val="003924CC"/>
    <w:rsid w:val="00394311"/>
    <w:rsid w:val="00396333"/>
    <w:rsid w:val="00396ADD"/>
    <w:rsid w:val="0039716B"/>
    <w:rsid w:val="003A0B9C"/>
    <w:rsid w:val="003A0E5A"/>
    <w:rsid w:val="003A0F8D"/>
    <w:rsid w:val="003A3A3A"/>
    <w:rsid w:val="003A43C3"/>
    <w:rsid w:val="003A5E83"/>
    <w:rsid w:val="003A645E"/>
    <w:rsid w:val="003A6A5F"/>
    <w:rsid w:val="003A7581"/>
    <w:rsid w:val="003A7600"/>
    <w:rsid w:val="003B2E77"/>
    <w:rsid w:val="003B3FDD"/>
    <w:rsid w:val="003B4D40"/>
    <w:rsid w:val="003B4DD9"/>
    <w:rsid w:val="003B5D19"/>
    <w:rsid w:val="003B610B"/>
    <w:rsid w:val="003C34F1"/>
    <w:rsid w:val="003C421E"/>
    <w:rsid w:val="003C47E8"/>
    <w:rsid w:val="003C5102"/>
    <w:rsid w:val="003C5586"/>
    <w:rsid w:val="003C610C"/>
    <w:rsid w:val="003C6962"/>
    <w:rsid w:val="003C6F65"/>
    <w:rsid w:val="003C7514"/>
    <w:rsid w:val="003D1F46"/>
    <w:rsid w:val="003D41CF"/>
    <w:rsid w:val="003D5045"/>
    <w:rsid w:val="003E13E3"/>
    <w:rsid w:val="003E1442"/>
    <w:rsid w:val="003E2B14"/>
    <w:rsid w:val="003E2FDE"/>
    <w:rsid w:val="003E447A"/>
    <w:rsid w:val="003E5240"/>
    <w:rsid w:val="003E54B5"/>
    <w:rsid w:val="003E7E85"/>
    <w:rsid w:val="003F01A7"/>
    <w:rsid w:val="003F2E62"/>
    <w:rsid w:val="003F3925"/>
    <w:rsid w:val="003F425B"/>
    <w:rsid w:val="00401386"/>
    <w:rsid w:val="004017C5"/>
    <w:rsid w:val="004047B1"/>
    <w:rsid w:val="00404E55"/>
    <w:rsid w:val="0040584C"/>
    <w:rsid w:val="00406753"/>
    <w:rsid w:val="00406807"/>
    <w:rsid w:val="004078EF"/>
    <w:rsid w:val="00407C2F"/>
    <w:rsid w:val="0041082C"/>
    <w:rsid w:val="004109FE"/>
    <w:rsid w:val="00411425"/>
    <w:rsid w:val="00413B28"/>
    <w:rsid w:val="00413BA5"/>
    <w:rsid w:val="00413DAC"/>
    <w:rsid w:val="0041623E"/>
    <w:rsid w:val="00416A3B"/>
    <w:rsid w:val="00416AB2"/>
    <w:rsid w:val="00421203"/>
    <w:rsid w:val="004212AA"/>
    <w:rsid w:val="0042227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90C"/>
    <w:rsid w:val="00444DBF"/>
    <w:rsid w:val="00444E41"/>
    <w:rsid w:val="00445003"/>
    <w:rsid w:val="00445B46"/>
    <w:rsid w:val="00446B02"/>
    <w:rsid w:val="00446C81"/>
    <w:rsid w:val="00446CF6"/>
    <w:rsid w:val="0044708D"/>
    <w:rsid w:val="00447133"/>
    <w:rsid w:val="00447A63"/>
    <w:rsid w:val="00447DB3"/>
    <w:rsid w:val="0045034E"/>
    <w:rsid w:val="00451446"/>
    <w:rsid w:val="0045199A"/>
    <w:rsid w:val="004521D4"/>
    <w:rsid w:val="00452EEE"/>
    <w:rsid w:val="0045300F"/>
    <w:rsid w:val="00453A6E"/>
    <w:rsid w:val="00454158"/>
    <w:rsid w:val="00454723"/>
    <w:rsid w:val="00455691"/>
    <w:rsid w:val="004565C0"/>
    <w:rsid w:val="00456D4A"/>
    <w:rsid w:val="00457320"/>
    <w:rsid w:val="00460024"/>
    <w:rsid w:val="00460031"/>
    <w:rsid w:val="00460140"/>
    <w:rsid w:val="0046238B"/>
    <w:rsid w:val="004625E8"/>
    <w:rsid w:val="00464B18"/>
    <w:rsid w:val="00465D71"/>
    <w:rsid w:val="00466D15"/>
    <w:rsid w:val="0047070D"/>
    <w:rsid w:val="00477A71"/>
    <w:rsid w:val="00481269"/>
    <w:rsid w:val="00483704"/>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5BBD"/>
    <w:rsid w:val="004B652A"/>
    <w:rsid w:val="004B7DB2"/>
    <w:rsid w:val="004C015B"/>
    <w:rsid w:val="004C125D"/>
    <w:rsid w:val="004C1ABF"/>
    <w:rsid w:val="004C30D2"/>
    <w:rsid w:val="004C3AE2"/>
    <w:rsid w:val="004C4C1E"/>
    <w:rsid w:val="004C583B"/>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5152"/>
    <w:rsid w:val="004E60E4"/>
    <w:rsid w:val="004E76CD"/>
    <w:rsid w:val="004F160A"/>
    <w:rsid w:val="004F2F62"/>
    <w:rsid w:val="004F37CB"/>
    <w:rsid w:val="004F3BAD"/>
    <w:rsid w:val="004F45CA"/>
    <w:rsid w:val="004F5216"/>
    <w:rsid w:val="004F616B"/>
    <w:rsid w:val="004F64E4"/>
    <w:rsid w:val="004F6560"/>
    <w:rsid w:val="00500A53"/>
    <w:rsid w:val="00503634"/>
    <w:rsid w:val="00504F92"/>
    <w:rsid w:val="00505518"/>
    <w:rsid w:val="00505551"/>
    <w:rsid w:val="005078B3"/>
    <w:rsid w:val="00510A28"/>
    <w:rsid w:val="00511663"/>
    <w:rsid w:val="00511C54"/>
    <w:rsid w:val="0051292E"/>
    <w:rsid w:val="00515785"/>
    <w:rsid w:val="005160AC"/>
    <w:rsid w:val="00516207"/>
    <w:rsid w:val="00517995"/>
    <w:rsid w:val="00520C27"/>
    <w:rsid w:val="00521B57"/>
    <w:rsid w:val="00522DE9"/>
    <w:rsid w:val="00522EF8"/>
    <w:rsid w:val="0052399F"/>
    <w:rsid w:val="00523F60"/>
    <w:rsid w:val="00523FBA"/>
    <w:rsid w:val="00524079"/>
    <w:rsid w:val="0052469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47DC4"/>
    <w:rsid w:val="00550845"/>
    <w:rsid w:val="0055122B"/>
    <w:rsid w:val="00552915"/>
    <w:rsid w:val="005534BD"/>
    <w:rsid w:val="005623DE"/>
    <w:rsid w:val="00562A9A"/>
    <w:rsid w:val="00564A3A"/>
    <w:rsid w:val="005650FF"/>
    <w:rsid w:val="005659E3"/>
    <w:rsid w:val="00566DDB"/>
    <w:rsid w:val="005674B3"/>
    <w:rsid w:val="005674EF"/>
    <w:rsid w:val="00570742"/>
    <w:rsid w:val="00570C2E"/>
    <w:rsid w:val="00571577"/>
    <w:rsid w:val="00571C60"/>
    <w:rsid w:val="0057213D"/>
    <w:rsid w:val="005729E9"/>
    <w:rsid w:val="005731E7"/>
    <w:rsid w:val="005732E9"/>
    <w:rsid w:val="0057454E"/>
    <w:rsid w:val="0057492B"/>
    <w:rsid w:val="00575D4F"/>
    <w:rsid w:val="00575F27"/>
    <w:rsid w:val="0058036C"/>
    <w:rsid w:val="0058073B"/>
    <w:rsid w:val="00580815"/>
    <w:rsid w:val="00582289"/>
    <w:rsid w:val="0058363F"/>
    <w:rsid w:val="00584CB9"/>
    <w:rsid w:val="00585BD9"/>
    <w:rsid w:val="005861CE"/>
    <w:rsid w:val="00587B74"/>
    <w:rsid w:val="00591696"/>
    <w:rsid w:val="00593FF1"/>
    <w:rsid w:val="00594648"/>
    <w:rsid w:val="00594E77"/>
    <w:rsid w:val="0059623B"/>
    <w:rsid w:val="00596D1D"/>
    <w:rsid w:val="005A1839"/>
    <w:rsid w:val="005A2923"/>
    <w:rsid w:val="005A3759"/>
    <w:rsid w:val="005A44D9"/>
    <w:rsid w:val="005A5826"/>
    <w:rsid w:val="005A6ADE"/>
    <w:rsid w:val="005A7362"/>
    <w:rsid w:val="005B15DD"/>
    <w:rsid w:val="005B3D45"/>
    <w:rsid w:val="005B78C4"/>
    <w:rsid w:val="005C14B6"/>
    <w:rsid w:val="005C2527"/>
    <w:rsid w:val="005C2BD8"/>
    <w:rsid w:val="005C373B"/>
    <w:rsid w:val="005C3DD2"/>
    <w:rsid w:val="005C4AAA"/>
    <w:rsid w:val="005C610A"/>
    <w:rsid w:val="005D1442"/>
    <w:rsid w:val="005D1922"/>
    <w:rsid w:val="005D22EB"/>
    <w:rsid w:val="005D2788"/>
    <w:rsid w:val="005D4281"/>
    <w:rsid w:val="005D6E32"/>
    <w:rsid w:val="005E06D4"/>
    <w:rsid w:val="005E0726"/>
    <w:rsid w:val="005E1521"/>
    <w:rsid w:val="005E3768"/>
    <w:rsid w:val="005E448D"/>
    <w:rsid w:val="005F064D"/>
    <w:rsid w:val="005F512E"/>
    <w:rsid w:val="005F5A21"/>
    <w:rsid w:val="005F6A04"/>
    <w:rsid w:val="00600458"/>
    <w:rsid w:val="0060118D"/>
    <w:rsid w:val="0060281B"/>
    <w:rsid w:val="0060369E"/>
    <w:rsid w:val="00603824"/>
    <w:rsid w:val="0060530E"/>
    <w:rsid w:val="00605D75"/>
    <w:rsid w:val="006073B5"/>
    <w:rsid w:val="00610CE1"/>
    <w:rsid w:val="006113D8"/>
    <w:rsid w:val="006114BA"/>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38FE"/>
    <w:rsid w:val="006540C5"/>
    <w:rsid w:val="006543FB"/>
    <w:rsid w:val="006549F5"/>
    <w:rsid w:val="00655505"/>
    <w:rsid w:val="00655AA7"/>
    <w:rsid w:val="00655F80"/>
    <w:rsid w:val="00656541"/>
    <w:rsid w:val="00657F05"/>
    <w:rsid w:val="00660216"/>
    <w:rsid w:val="006609B7"/>
    <w:rsid w:val="00661A3F"/>
    <w:rsid w:val="006621E9"/>
    <w:rsid w:val="00662904"/>
    <w:rsid w:val="00664A57"/>
    <w:rsid w:val="00664C73"/>
    <w:rsid w:val="00665F1F"/>
    <w:rsid w:val="00671999"/>
    <w:rsid w:val="006764EA"/>
    <w:rsid w:val="00677DDE"/>
    <w:rsid w:val="00680B65"/>
    <w:rsid w:val="00681287"/>
    <w:rsid w:val="006815A6"/>
    <w:rsid w:val="00681FD9"/>
    <w:rsid w:val="0068285E"/>
    <w:rsid w:val="00684EF6"/>
    <w:rsid w:val="006856E2"/>
    <w:rsid w:val="00690E46"/>
    <w:rsid w:val="00692736"/>
    <w:rsid w:val="00693743"/>
    <w:rsid w:val="00693995"/>
    <w:rsid w:val="00693C61"/>
    <w:rsid w:val="00695397"/>
    <w:rsid w:val="0069562F"/>
    <w:rsid w:val="006A177A"/>
    <w:rsid w:val="006A1A5D"/>
    <w:rsid w:val="006A1EFE"/>
    <w:rsid w:val="006A3267"/>
    <w:rsid w:val="006A4533"/>
    <w:rsid w:val="006A5968"/>
    <w:rsid w:val="006A5F8B"/>
    <w:rsid w:val="006A600F"/>
    <w:rsid w:val="006A6AC6"/>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5BBC"/>
    <w:rsid w:val="006C62F8"/>
    <w:rsid w:val="006C6723"/>
    <w:rsid w:val="006C71BB"/>
    <w:rsid w:val="006D071F"/>
    <w:rsid w:val="006D09D1"/>
    <w:rsid w:val="006D1276"/>
    <w:rsid w:val="006D13C4"/>
    <w:rsid w:val="006D1E5C"/>
    <w:rsid w:val="006D2C14"/>
    <w:rsid w:val="006D3945"/>
    <w:rsid w:val="006D4C15"/>
    <w:rsid w:val="006D7692"/>
    <w:rsid w:val="006D7E62"/>
    <w:rsid w:val="006E1753"/>
    <w:rsid w:val="006E3BF0"/>
    <w:rsid w:val="006E4E29"/>
    <w:rsid w:val="006E5D2E"/>
    <w:rsid w:val="006E670A"/>
    <w:rsid w:val="006E7C63"/>
    <w:rsid w:val="006F04B0"/>
    <w:rsid w:val="006F15E9"/>
    <w:rsid w:val="006F252A"/>
    <w:rsid w:val="006F27FC"/>
    <w:rsid w:val="006F3153"/>
    <w:rsid w:val="006F4B6F"/>
    <w:rsid w:val="006F4F6D"/>
    <w:rsid w:val="006F6668"/>
    <w:rsid w:val="0070008A"/>
    <w:rsid w:val="007021FA"/>
    <w:rsid w:val="0070357F"/>
    <w:rsid w:val="00703DA7"/>
    <w:rsid w:val="00703E05"/>
    <w:rsid w:val="00704A16"/>
    <w:rsid w:val="00705178"/>
    <w:rsid w:val="00705262"/>
    <w:rsid w:val="00705CA5"/>
    <w:rsid w:val="0070653C"/>
    <w:rsid w:val="00706ED7"/>
    <w:rsid w:val="00710289"/>
    <w:rsid w:val="00712396"/>
    <w:rsid w:val="00713444"/>
    <w:rsid w:val="0071374E"/>
    <w:rsid w:val="00714B6A"/>
    <w:rsid w:val="00716D0A"/>
    <w:rsid w:val="00717AF6"/>
    <w:rsid w:val="00720157"/>
    <w:rsid w:val="00720579"/>
    <w:rsid w:val="00720848"/>
    <w:rsid w:val="00720E55"/>
    <w:rsid w:val="00721ECF"/>
    <w:rsid w:val="00722D13"/>
    <w:rsid w:val="007230FE"/>
    <w:rsid w:val="00725BEA"/>
    <w:rsid w:val="00726409"/>
    <w:rsid w:val="007306D1"/>
    <w:rsid w:val="00730BE2"/>
    <w:rsid w:val="00732046"/>
    <w:rsid w:val="007335EB"/>
    <w:rsid w:val="007337E0"/>
    <w:rsid w:val="007344C3"/>
    <w:rsid w:val="00734F8A"/>
    <w:rsid w:val="00736C31"/>
    <w:rsid w:val="007377A9"/>
    <w:rsid w:val="0074239D"/>
    <w:rsid w:val="00742CE1"/>
    <w:rsid w:val="0074372C"/>
    <w:rsid w:val="00744C7C"/>
    <w:rsid w:val="00745862"/>
    <w:rsid w:val="00745CB6"/>
    <w:rsid w:val="0074623E"/>
    <w:rsid w:val="00746657"/>
    <w:rsid w:val="0074687F"/>
    <w:rsid w:val="00746973"/>
    <w:rsid w:val="00747C4D"/>
    <w:rsid w:val="00751055"/>
    <w:rsid w:val="007517A4"/>
    <w:rsid w:val="007552DD"/>
    <w:rsid w:val="0075585E"/>
    <w:rsid w:val="00755A77"/>
    <w:rsid w:val="007572B6"/>
    <w:rsid w:val="00757985"/>
    <w:rsid w:val="007631D1"/>
    <w:rsid w:val="007635AC"/>
    <w:rsid w:val="007673DE"/>
    <w:rsid w:val="00772458"/>
    <w:rsid w:val="007733DB"/>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5AF3"/>
    <w:rsid w:val="007969E6"/>
    <w:rsid w:val="00796DA1"/>
    <w:rsid w:val="007A2C57"/>
    <w:rsid w:val="007A3440"/>
    <w:rsid w:val="007A34B3"/>
    <w:rsid w:val="007B1039"/>
    <w:rsid w:val="007B1644"/>
    <w:rsid w:val="007B2D1D"/>
    <w:rsid w:val="007B33F8"/>
    <w:rsid w:val="007B3B6F"/>
    <w:rsid w:val="007B3F3D"/>
    <w:rsid w:val="007B413B"/>
    <w:rsid w:val="007B4FD7"/>
    <w:rsid w:val="007B5461"/>
    <w:rsid w:val="007B6474"/>
    <w:rsid w:val="007B7F0F"/>
    <w:rsid w:val="007C12D9"/>
    <w:rsid w:val="007C19EC"/>
    <w:rsid w:val="007C342D"/>
    <w:rsid w:val="007C3C7F"/>
    <w:rsid w:val="007C51EB"/>
    <w:rsid w:val="007C5271"/>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30D4"/>
    <w:rsid w:val="008168A2"/>
    <w:rsid w:val="00820421"/>
    <w:rsid w:val="008213E7"/>
    <w:rsid w:val="00821687"/>
    <w:rsid w:val="0082217D"/>
    <w:rsid w:val="00822A40"/>
    <w:rsid w:val="008236C7"/>
    <w:rsid w:val="00823E67"/>
    <w:rsid w:val="00826045"/>
    <w:rsid w:val="008300D1"/>
    <w:rsid w:val="008307DB"/>
    <w:rsid w:val="00830A48"/>
    <w:rsid w:val="00833331"/>
    <w:rsid w:val="00833C36"/>
    <w:rsid w:val="00834B96"/>
    <w:rsid w:val="00836409"/>
    <w:rsid w:val="00836415"/>
    <w:rsid w:val="00836B47"/>
    <w:rsid w:val="00840A53"/>
    <w:rsid w:val="008427B3"/>
    <w:rsid w:val="008428A1"/>
    <w:rsid w:val="0085047D"/>
    <w:rsid w:val="00851019"/>
    <w:rsid w:val="008524EA"/>
    <w:rsid w:val="0085263B"/>
    <w:rsid w:val="008530B9"/>
    <w:rsid w:val="008537C0"/>
    <w:rsid w:val="00855167"/>
    <w:rsid w:val="00857642"/>
    <w:rsid w:val="00857872"/>
    <w:rsid w:val="00857F8E"/>
    <w:rsid w:val="00860759"/>
    <w:rsid w:val="008608F5"/>
    <w:rsid w:val="0086230F"/>
    <w:rsid w:val="0086268A"/>
    <w:rsid w:val="008644EC"/>
    <w:rsid w:val="00864B15"/>
    <w:rsid w:val="00864D3B"/>
    <w:rsid w:val="00865C18"/>
    <w:rsid w:val="0086621E"/>
    <w:rsid w:val="0086717D"/>
    <w:rsid w:val="0087121E"/>
    <w:rsid w:val="00874E9F"/>
    <w:rsid w:val="00876B32"/>
    <w:rsid w:val="00882CB8"/>
    <w:rsid w:val="00884366"/>
    <w:rsid w:val="00884650"/>
    <w:rsid w:val="008851B9"/>
    <w:rsid w:val="00885F50"/>
    <w:rsid w:val="00887314"/>
    <w:rsid w:val="00890EB4"/>
    <w:rsid w:val="00891D35"/>
    <w:rsid w:val="00893901"/>
    <w:rsid w:val="00894A8B"/>
    <w:rsid w:val="00894D00"/>
    <w:rsid w:val="0089667B"/>
    <w:rsid w:val="0089728F"/>
    <w:rsid w:val="008A0874"/>
    <w:rsid w:val="008A0FF6"/>
    <w:rsid w:val="008A28F5"/>
    <w:rsid w:val="008A51AD"/>
    <w:rsid w:val="008A75B6"/>
    <w:rsid w:val="008B155B"/>
    <w:rsid w:val="008B2218"/>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4D41"/>
    <w:rsid w:val="008C668F"/>
    <w:rsid w:val="008D1761"/>
    <w:rsid w:val="008D1C71"/>
    <w:rsid w:val="008D2DBA"/>
    <w:rsid w:val="008D530C"/>
    <w:rsid w:val="008D56D1"/>
    <w:rsid w:val="008D638B"/>
    <w:rsid w:val="008D7ECE"/>
    <w:rsid w:val="008E01A0"/>
    <w:rsid w:val="008E1BF6"/>
    <w:rsid w:val="008E2BD9"/>
    <w:rsid w:val="008E44FF"/>
    <w:rsid w:val="008E5A58"/>
    <w:rsid w:val="008E5F96"/>
    <w:rsid w:val="008E6FB7"/>
    <w:rsid w:val="008E7557"/>
    <w:rsid w:val="008E7FE5"/>
    <w:rsid w:val="008F1874"/>
    <w:rsid w:val="008F25DF"/>
    <w:rsid w:val="008F29E0"/>
    <w:rsid w:val="008F4FCE"/>
    <w:rsid w:val="008F59B3"/>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5F0F"/>
    <w:rsid w:val="009471B5"/>
    <w:rsid w:val="009502D3"/>
    <w:rsid w:val="00951A6C"/>
    <w:rsid w:val="00952928"/>
    <w:rsid w:val="009531DA"/>
    <w:rsid w:val="00953CFD"/>
    <w:rsid w:val="009540FD"/>
    <w:rsid w:val="0095579C"/>
    <w:rsid w:val="00955D81"/>
    <w:rsid w:val="00956E7E"/>
    <w:rsid w:val="00961E49"/>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586D"/>
    <w:rsid w:val="00986649"/>
    <w:rsid w:val="00987014"/>
    <w:rsid w:val="009871AC"/>
    <w:rsid w:val="00990892"/>
    <w:rsid w:val="00991AA6"/>
    <w:rsid w:val="009943BE"/>
    <w:rsid w:val="00997443"/>
    <w:rsid w:val="009A1BA1"/>
    <w:rsid w:val="009A2A81"/>
    <w:rsid w:val="009A2AFB"/>
    <w:rsid w:val="009A2DE2"/>
    <w:rsid w:val="009A3B62"/>
    <w:rsid w:val="009A3BCF"/>
    <w:rsid w:val="009A3ED4"/>
    <w:rsid w:val="009A4DCC"/>
    <w:rsid w:val="009A56EE"/>
    <w:rsid w:val="009A5C47"/>
    <w:rsid w:val="009A68E7"/>
    <w:rsid w:val="009A6BC5"/>
    <w:rsid w:val="009A7481"/>
    <w:rsid w:val="009A7F29"/>
    <w:rsid w:val="009B0164"/>
    <w:rsid w:val="009B2B90"/>
    <w:rsid w:val="009B4A92"/>
    <w:rsid w:val="009B4B7B"/>
    <w:rsid w:val="009B4CB6"/>
    <w:rsid w:val="009B52F8"/>
    <w:rsid w:val="009B66C0"/>
    <w:rsid w:val="009B72A1"/>
    <w:rsid w:val="009B74A5"/>
    <w:rsid w:val="009C0E90"/>
    <w:rsid w:val="009C24F9"/>
    <w:rsid w:val="009C4EC7"/>
    <w:rsid w:val="009C638A"/>
    <w:rsid w:val="009D3AAC"/>
    <w:rsid w:val="009D5B63"/>
    <w:rsid w:val="009D6C48"/>
    <w:rsid w:val="009E1679"/>
    <w:rsid w:val="009E1BE9"/>
    <w:rsid w:val="009E2348"/>
    <w:rsid w:val="009E239E"/>
    <w:rsid w:val="009E271D"/>
    <w:rsid w:val="009E362F"/>
    <w:rsid w:val="009E3779"/>
    <w:rsid w:val="009E40DF"/>
    <w:rsid w:val="009E59CA"/>
    <w:rsid w:val="009F0442"/>
    <w:rsid w:val="009F1AEE"/>
    <w:rsid w:val="009F1DB1"/>
    <w:rsid w:val="009F1EA5"/>
    <w:rsid w:val="009F231B"/>
    <w:rsid w:val="009F5E68"/>
    <w:rsid w:val="009F69E5"/>
    <w:rsid w:val="009F7476"/>
    <w:rsid w:val="009F768D"/>
    <w:rsid w:val="00A00F26"/>
    <w:rsid w:val="00A018F7"/>
    <w:rsid w:val="00A02ABC"/>
    <w:rsid w:val="00A039B4"/>
    <w:rsid w:val="00A03F1A"/>
    <w:rsid w:val="00A0555A"/>
    <w:rsid w:val="00A063F2"/>
    <w:rsid w:val="00A0799C"/>
    <w:rsid w:val="00A07D8F"/>
    <w:rsid w:val="00A12531"/>
    <w:rsid w:val="00A1274B"/>
    <w:rsid w:val="00A13C95"/>
    <w:rsid w:val="00A15615"/>
    <w:rsid w:val="00A1707A"/>
    <w:rsid w:val="00A215E2"/>
    <w:rsid w:val="00A2164F"/>
    <w:rsid w:val="00A23803"/>
    <w:rsid w:val="00A249F6"/>
    <w:rsid w:val="00A2509D"/>
    <w:rsid w:val="00A250AD"/>
    <w:rsid w:val="00A26704"/>
    <w:rsid w:val="00A27248"/>
    <w:rsid w:val="00A27289"/>
    <w:rsid w:val="00A321F9"/>
    <w:rsid w:val="00A32786"/>
    <w:rsid w:val="00A34AEC"/>
    <w:rsid w:val="00A35487"/>
    <w:rsid w:val="00A35AFD"/>
    <w:rsid w:val="00A3659B"/>
    <w:rsid w:val="00A40295"/>
    <w:rsid w:val="00A40731"/>
    <w:rsid w:val="00A40A39"/>
    <w:rsid w:val="00A41FAD"/>
    <w:rsid w:val="00A429D5"/>
    <w:rsid w:val="00A42E39"/>
    <w:rsid w:val="00A4311E"/>
    <w:rsid w:val="00A433E2"/>
    <w:rsid w:val="00A448EF"/>
    <w:rsid w:val="00A4598C"/>
    <w:rsid w:val="00A46087"/>
    <w:rsid w:val="00A510EE"/>
    <w:rsid w:val="00A51638"/>
    <w:rsid w:val="00A52A4E"/>
    <w:rsid w:val="00A5343C"/>
    <w:rsid w:val="00A55081"/>
    <w:rsid w:val="00A5538B"/>
    <w:rsid w:val="00A55FBB"/>
    <w:rsid w:val="00A57359"/>
    <w:rsid w:val="00A57796"/>
    <w:rsid w:val="00A57AB1"/>
    <w:rsid w:val="00A6290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0AE"/>
    <w:rsid w:val="00AB16AD"/>
    <w:rsid w:val="00AB24CE"/>
    <w:rsid w:val="00AB3CE6"/>
    <w:rsid w:val="00AB3E2B"/>
    <w:rsid w:val="00AB56D4"/>
    <w:rsid w:val="00AB65C7"/>
    <w:rsid w:val="00AB671D"/>
    <w:rsid w:val="00AB6BFE"/>
    <w:rsid w:val="00AB7130"/>
    <w:rsid w:val="00AB7311"/>
    <w:rsid w:val="00AB78D0"/>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0E2"/>
    <w:rsid w:val="00AE0945"/>
    <w:rsid w:val="00AE0BFC"/>
    <w:rsid w:val="00AE1A08"/>
    <w:rsid w:val="00AE1BBA"/>
    <w:rsid w:val="00AE3B57"/>
    <w:rsid w:val="00AE4BA3"/>
    <w:rsid w:val="00AE722F"/>
    <w:rsid w:val="00AE7422"/>
    <w:rsid w:val="00AE7CD5"/>
    <w:rsid w:val="00AE7E8A"/>
    <w:rsid w:val="00AF32D8"/>
    <w:rsid w:val="00AF3F64"/>
    <w:rsid w:val="00AF40CA"/>
    <w:rsid w:val="00AF4C64"/>
    <w:rsid w:val="00AF70FF"/>
    <w:rsid w:val="00B01BE5"/>
    <w:rsid w:val="00B02385"/>
    <w:rsid w:val="00B0355A"/>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5507"/>
    <w:rsid w:val="00B2793E"/>
    <w:rsid w:val="00B3022C"/>
    <w:rsid w:val="00B31D9A"/>
    <w:rsid w:val="00B32ABD"/>
    <w:rsid w:val="00B32E35"/>
    <w:rsid w:val="00B33B37"/>
    <w:rsid w:val="00B34CBA"/>
    <w:rsid w:val="00B35017"/>
    <w:rsid w:val="00B374E5"/>
    <w:rsid w:val="00B3764A"/>
    <w:rsid w:val="00B37AA5"/>
    <w:rsid w:val="00B41FA0"/>
    <w:rsid w:val="00B42826"/>
    <w:rsid w:val="00B430FA"/>
    <w:rsid w:val="00B43982"/>
    <w:rsid w:val="00B459AF"/>
    <w:rsid w:val="00B459C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4F73"/>
    <w:rsid w:val="00B759EC"/>
    <w:rsid w:val="00B75F96"/>
    <w:rsid w:val="00B773AD"/>
    <w:rsid w:val="00B774F6"/>
    <w:rsid w:val="00B778CB"/>
    <w:rsid w:val="00B809D9"/>
    <w:rsid w:val="00B8168B"/>
    <w:rsid w:val="00B824F8"/>
    <w:rsid w:val="00B83072"/>
    <w:rsid w:val="00B8362D"/>
    <w:rsid w:val="00B8368B"/>
    <w:rsid w:val="00B83A9E"/>
    <w:rsid w:val="00B86F52"/>
    <w:rsid w:val="00B878F5"/>
    <w:rsid w:val="00B91893"/>
    <w:rsid w:val="00B926BD"/>
    <w:rsid w:val="00B92DE8"/>
    <w:rsid w:val="00B93540"/>
    <w:rsid w:val="00B93D8F"/>
    <w:rsid w:val="00B96A32"/>
    <w:rsid w:val="00B9799D"/>
    <w:rsid w:val="00BA1322"/>
    <w:rsid w:val="00BA1A63"/>
    <w:rsid w:val="00BA25FD"/>
    <w:rsid w:val="00BA2D85"/>
    <w:rsid w:val="00BA3AA7"/>
    <w:rsid w:val="00BA3C3F"/>
    <w:rsid w:val="00BA5CEA"/>
    <w:rsid w:val="00BA5F88"/>
    <w:rsid w:val="00BA690D"/>
    <w:rsid w:val="00BA74D2"/>
    <w:rsid w:val="00BA7612"/>
    <w:rsid w:val="00BA7773"/>
    <w:rsid w:val="00BB1D36"/>
    <w:rsid w:val="00BB2E03"/>
    <w:rsid w:val="00BB3631"/>
    <w:rsid w:val="00BB3FF6"/>
    <w:rsid w:val="00BB5630"/>
    <w:rsid w:val="00BB6BE1"/>
    <w:rsid w:val="00BC392E"/>
    <w:rsid w:val="00BC542C"/>
    <w:rsid w:val="00BC60A6"/>
    <w:rsid w:val="00BC62E0"/>
    <w:rsid w:val="00BC6FBF"/>
    <w:rsid w:val="00BD00D9"/>
    <w:rsid w:val="00BD065C"/>
    <w:rsid w:val="00BD1886"/>
    <w:rsid w:val="00BD23E3"/>
    <w:rsid w:val="00BD40BC"/>
    <w:rsid w:val="00BD6234"/>
    <w:rsid w:val="00BE0437"/>
    <w:rsid w:val="00BE04F6"/>
    <w:rsid w:val="00BE107D"/>
    <w:rsid w:val="00BE2D6C"/>
    <w:rsid w:val="00BE34D0"/>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0E6A"/>
    <w:rsid w:val="00C11061"/>
    <w:rsid w:val="00C1120E"/>
    <w:rsid w:val="00C11391"/>
    <w:rsid w:val="00C114A8"/>
    <w:rsid w:val="00C12744"/>
    <w:rsid w:val="00C12EC0"/>
    <w:rsid w:val="00C1324E"/>
    <w:rsid w:val="00C138A5"/>
    <w:rsid w:val="00C14B96"/>
    <w:rsid w:val="00C158D4"/>
    <w:rsid w:val="00C16854"/>
    <w:rsid w:val="00C17BBA"/>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6E7A"/>
    <w:rsid w:val="00C478FE"/>
    <w:rsid w:val="00C502DD"/>
    <w:rsid w:val="00C54380"/>
    <w:rsid w:val="00C613E2"/>
    <w:rsid w:val="00C621E3"/>
    <w:rsid w:val="00C6430C"/>
    <w:rsid w:val="00C64E24"/>
    <w:rsid w:val="00C65047"/>
    <w:rsid w:val="00C653CC"/>
    <w:rsid w:val="00C65B4D"/>
    <w:rsid w:val="00C665D4"/>
    <w:rsid w:val="00C67E56"/>
    <w:rsid w:val="00C7308A"/>
    <w:rsid w:val="00C73CE1"/>
    <w:rsid w:val="00C74775"/>
    <w:rsid w:val="00C76F9B"/>
    <w:rsid w:val="00C77064"/>
    <w:rsid w:val="00C77955"/>
    <w:rsid w:val="00C80AB6"/>
    <w:rsid w:val="00C824FE"/>
    <w:rsid w:val="00C833D6"/>
    <w:rsid w:val="00C84CDE"/>
    <w:rsid w:val="00C871A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506C"/>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5645"/>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159"/>
    <w:rsid w:val="00CF6A79"/>
    <w:rsid w:val="00CF73D7"/>
    <w:rsid w:val="00D00625"/>
    <w:rsid w:val="00D00AAE"/>
    <w:rsid w:val="00D02D5A"/>
    <w:rsid w:val="00D03B9D"/>
    <w:rsid w:val="00D0498A"/>
    <w:rsid w:val="00D065E6"/>
    <w:rsid w:val="00D06F2D"/>
    <w:rsid w:val="00D07B74"/>
    <w:rsid w:val="00D10843"/>
    <w:rsid w:val="00D11B6A"/>
    <w:rsid w:val="00D13661"/>
    <w:rsid w:val="00D13B2D"/>
    <w:rsid w:val="00D1514D"/>
    <w:rsid w:val="00D154A5"/>
    <w:rsid w:val="00D15660"/>
    <w:rsid w:val="00D16E7D"/>
    <w:rsid w:val="00D176A2"/>
    <w:rsid w:val="00D17731"/>
    <w:rsid w:val="00D20E86"/>
    <w:rsid w:val="00D20FB3"/>
    <w:rsid w:val="00D21DFB"/>
    <w:rsid w:val="00D227C4"/>
    <w:rsid w:val="00D23048"/>
    <w:rsid w:val="00D2352A"/>
    <w:rsid w:val="00D23DD0"/>
    <w:rsid w:val="00D24DA7"/>
    <w:rsid w:val="00D251C3"/>
    <w:rsid w:val="00D26CB5"/>
    <w:rsid w:val="00D27EA0"/>
    <w:rsid w:val="00D31593"/>
    <w:rsid w:val="00D33231"/>
    <w:rsid w:val="00D36240"/>
    <w:rsid w:val="00D36D3E"/>
    <w:rsid w:val="00D36DB7"/>
    <w:rsid w:val="00D40AF9"/>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67D44"/>
    <w:rsid w:val="00D706BA"/>
    <w:rsid w:val="00D709A0"/>
    <w:rsid w:val="00D70A78"/>
    <w:rsid w:val="00D71394"/>
    <w:rsid w:val="00D7252A"/>
    <w:rsid w:val="00D73BC0"/>
    <w:rsid w:val="00D73C1D"/>
    <w:rsid w:val="00D76C93"/>
    <w:rsid w:val="00D771CC"/>
    <w:rsid w:val="00D80799"/>
    <w:rsid w:val="00D81512"/>
    <w:rsid w:val="00D8315F"/>
    <w:rsid w:val="00D84747"/>
    <w:rsid w:val="00D84BD3"/>
    <w:rsid w:val="00D85346"/>
    <w:rsid w:val="00D90E7B"/>
    <w:rsid w:val="00D91EDC"/>
    <w:rsid w:val="00D92D94"/>
    <w:rsid w:val="00D961DB"/>
    <w:rsid w:val="00DA0625"/>
    <w:rsid w:val="00DA2C03"/>
    <w:rsid w:val="00DA3748"/>
    <w:rsid w:val="00DA3AA1"/>
    <w:rsid w:val="00DA4C82"/>
    <w:rsid w:val="00DA533F"/>
    <w:rsid w:val="00DA671A"/>
    <w:rsid w:val="00DA756A"/>
    <w:rsid w:val="00DA7819"/>
    <w:rsid w:val="00DA78D9"/>
    <w:rsid w:val="00DA7E64"/>
    <w:rsid w:val="00DA7E6E"/>
    <w:rsid w:val="00DB07B8"/>
    <w:rsid w:val="00DB2D76"/>
    <w:rsid w:val="00DB345B"/>
    <w:rsid w:val="00DB3871"/>
    <w:rsid w:val="00DB38BB"/>
    <w:rsid w:val="00DB45E2"/>
    <w:rsid w:val="00DB4790"/>
    <w:rsid w:val="00DB4F49"/>
    <w:rsid w:val="00DB6D5A"/>
    <w:rsid w:val="00DC1ACA"/>
    <w:rsid w:val="00DC441C"/>
    <w:rsid w:val="00DC4772"/>
    <w:rsid w:val="00DC48CF"/>
    <w:rsid w:val="00DC5BB0"/>
    <w:rsid w:val="00DC6711"/>
    <w:rsid w:val="00DC6826"/>
    <w:rsid w:val="00DD0260"/>
    <w:rsid w:val="00DD20E3"/>
    <w:rsid w:val="00DD2605"/>
    <w:rsid w:val="00DD2AAA"/>
    <w:rsid w:val="00DD4C66"/>
    <w:rsid w:val="00DD50B5"/>
    <w:rsid w:val="00DD5275"/>
    <w:rsid w:val="00DD58A8"/>
    <w:rsid w:val="00DD5F86"/>
    <w:rsid w:val="00DD6047"/>
    <w:rsid w:val="00DD6EA2"/>
    <w:rsid w:val="00DD7205"/>
    <w:rsid w:val="00DD771A"/>
    <w:rsid w:val="00DD7F78"/>
    <w:rsid w:val="00DE262A"/>
    <w:rsid w:val="00DE2759"/>
    <w:rsid w:val="00DE2977"/>
    <w:rsid w:val="00DE4037"/>
    <w:rsid w:val="00DE43F4"/>
    <w:rsid w:val="00DE466B"/>
    <w:rsid w:val="00DE4A72"/>
    <w:rsid w:val="00DE5D8B"/>
    <w:rsid w:val="00DE6535"/>
    <w:rsid w:val="00DE7607"/>
    <w:rsid w:val="00DE761A"/>
    <w:rsid w:val="00DF21AE"/>
    <w:rsid w:val="00DF2338"/>
    <w:rsid w:val="00DF37CE"/>
    <w:rsid w:val="00DF4C70"/>
    <w:rsid w:val="00DF4D56"/>
    <w:rsid w:val="00DF63EB"/>
    <w:rsid w:val="00DF78BC"/>
    <w:rsid w:val="00E0212C"/>
    <w:rsid w:val="00E02A20"/>
    <w:rsid w:val="00E030AE"/>
    <w:rsid w:val="00E030E4"/>
    <w:rsid w:val="00E04587"/>
    <w:rsid w:val="00E04EFF"/>
    <w:rsid w:val="00E05212"/>
    <w:rsid w:val="00E05D02"/>
    <w:rsid w:val="00E0690D"/>
    <w:rsid w:val="00E101A9"/>
    <w:rsid w:val="00E12954"/>
    <w:rsid w:val="00E12A2F"/>
    <w:rsid w:val="00E12D9F"/>
    <w:rsid w:val="00E12FAE"/>
    <w:rsid w:val="00E13468"/>
    <w:rsid w:val="00E1638A"/>
    <w:rsid w:val="00E21E2B"/>
    <w:rsid w:val="00E24203"/>
    <w:rsid w:val="00E24543"/>
    <w:rsid w:val="00E2457B"/>
    <w:rsid w:val="00E247DE"/>
    <w:rsid w:val="00E257AB"/>
    <w:rsid w:val="00E31BE8"/>
    <w:rsid w:val="00E3212A"/>
    <w:rsid w:val="00E32221"/>
    <w:rsid w:val="00E32512"/>
    <w:rsid w:val="00E333C7"/>
    <w:rsid w:val="00E3374E"/>
    <w:rsid w:val="00E33A7F"/>
    <w:rsid w:val="00E34A79"/>
    <w:rsid w:val="00E3743F"/>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57F6"/>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0BD7"/>
    <w:rsid w:val="00EC33EA"/>
    <w:rsid w:val="00EC41C2"/>
    <w:rsid w:val="00EC4E71"/>
    <w:rsid w:val="00EC62F1"/>
    <w:rsid w:val="00EC6D41"/>
    <w:rsid w:val="00EC79CA"/>
    <w:rsid w:val="00ED03A3"/>
    <w:rsid w:val="00ED0AA7"/>
    <w:rsid w:val="00ED2F8A"/>
    <w:rsid w:val="00ED56E8"/>
    <w:rsid w:val="00ED58AF"/>
    <w:rsid w:val="00ED7658"/>
    <w:rsid w:val="00EE13F4"/>
    <w:rsid w:val="00EE171F"/>
    <w:rsid w:val="00EE1EE5"/>
    <w:rsid w:val="00EE2928"/>
    <w:rsid w:val="00EE2E23"/>
    <w:rsid w:val="00EE359A"/>
    <w:rsid w:val="00EE46A5"/>
    <w:rsid w:val="00EE4BD0"/>
    <w:rsid w:val="00EE5BA1"/>
    <w:rsid w:val="00EF2966"/>
    <w:rsid w:val="00EF5346"/>
    <w:rsid w:val="00EF7235"/>
    <w:rsid w:val="00F004A9"/>
    <w:rsid w:val="00F00A4D"/>
    <w:rsid w:val="00F014D5"/>
    <w:rsid w:val="00F01EA8"/>
    <w:rsid w:val="00F023A3"/>
    <w:rsid w:val="00F02A6F"/>
    <w:rsid w:val="00F030F9"/>
    <w:rsid w:val="00F04308"/>
    <w:rsid w:val="00F04C8C"/>
    <w:rsid w:val="00F054DA"/>
    <w:rsid w:val="00F06144"/>
    <w:rsid w:val="00F06530"/>
    <w:rsid w:val="00F07B2D"/>
    <w:rsid w:val="00F07BCF"/>
    <w:rsid w:val="00F127D3"/>
    <w:rsid w:val="00F14929"/>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CAC"/>
    <w:rsid w:val="00F40FF5"/>
    <w:rsid w:val="00F41E1E"/>
    <w:rsid w:val="00F4277F"/>
    <w:rsid w:val="00F43ED1"/>
    <w:rsid w:val="00F44759"/>
    <w:rsid w:val="00F45144"/>
    <w:rsid w:val="00F46284"/>
    <w:rsid w:val="00F4680B"/>
    <w:rsid w:val="00F4734D"/>
    <w:rsid w:val="00F473D4"/>
    <w:rsid w:val="00F47445"/>
    <w:rsid w:val="00F47CD8"/>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122"/>
    <w:rsid w:val="00F81710"/>
    <w:rsid w:val="00F81BF6"/>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05E3"/>
    <w:rsid w:val="00FB106B"/>
    <w:rsid w:val="00FB4326"/>
    <w:rsid w:val="00FB4C6F"/>
    <w:rsid w:val="00FB64A1"/>
    <w:rsid w:val="00FB6506"/>
    <w:rsid w:val="00FB6732"/>
    <w:rsid w:val="00FB7D16"/>
    <w:rsid w:val="00FC0858"/>
    <w:rsid w:val="00FC110D"/>
    <w:rsid w:val="00FC3800"/>
    <w:rsid w:val="00FC4527"/>
    <w:rsid w:val="00FC5DCE"/>
    <w:rsid w:val="00FC65BE"/>
    <w:rsid w:val="00FC70C0"/>
    <w:rsid w:val="00FC7307"/>
    <w:rsid w:val="00FD1EEA"/>
    <w:rsid w:val="00FD30C0"/>
    <w:rsid w:val="00FD33CF"/>
    <w:rsid w:val="00FD36CA"/>
    <w:rsid w:val="00FD3B41"/>
    <w:rsid w:val="00FD4E22"/>
    <w:rsid w:val="00FD6C73"/>
    <w:rsid w:val="00FE263F"/>
    <w:rsid w:val="00FE486C"/>
    <w:rsid w:val="00FE4BFD"/>
    <w:rsid w:val="00FE53E5"/>
    <w:rsid w:val="00FE578A"/>
    <w:rsid w:val="00FE7C48"/>
    <w:rsid w:val="00FF0BE2"/>
    <w:rsid w:val="00FF14A5"/>
    <w:rsid w:val="00FF621F"/>
    <w:rsid w:val="00FF67DA"/>
    <w:rsid w:val="00FF74BD"/>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43BE"/>
    <w:pPr>
      <w:spacing w:line="240" w:lineRule="auto"/>
    </w:pPr>
    <w:rPr>
      <w:rFonts w:eastAsia="Calibri"/>
      <w:sz w:val="20"/>
      <w:szCs w:val="20"/>
    </w:rPr>
  </w:style>
  <w:style w:type="character" w:customStyle="1" w:styleId="FootnoteTextChar">
    <w:name w:val="Footnote Text Char"/>
    <w:basedOn w:val="DefaultParagraphFont"/>
    <w:link w:val="FootnoteText"/>
    <w:uiPriority w:val="99"/>
    <w:semiHidden/>
    <w:rsid w:val="009943BE"/>
    <w:rPr>
      <w:rFonts w:eastAsia="Calibri"/>
      <w:sz w:val="20"/>
      <w:szCs w:val="20"/>
    </w:rPr>
  </w:style>
  <w:style w:type="character" w:styleId="FootnoteReference">
    <w:name w:val="footnote reference"/>
    <w:basedOn w:val="DefaultParagraphFont"/>
    <w:uiPriority w:val="99"/>
    <w:semiHidden/>
    <w:unhideWhenUsed/>
    <w:rsid w:val="009943BE"/>
    <w:rPr>
      <w:vertAlign w:val="superscript"/>
    </w:rPr>
  </w:style>
  <w:style w:type="paragraph" w:styleId="Header">
    <w:name w:val="header"/>
    <w:basedOn w:val="Normal"/>
    <w:link w:val="HeaderChar"/>
    <w:uiPriority w:val="99"/>
    <w:unhideWhenUsed/>
    <w:rsid w:val="00986649"/>
    <w:pPr>
      <w:tabs>
        <w:tab w:val="center" w:pos="4680"/>
        <w:tab w:val="right" w:pos="9360"/>
      </w:tabs>
      <w:spacing w:line="240" w:lineRule="auto"/>
    </w:pPr>
  </w:style>
  <w:style w:type="character" w:customStyle="1" w:styleId="HeaderChar">
    <w:name w:val="Header Char"/>
    <w:basedOn w:val="DefaultParagraphFont"/>
    <w:link w:val="Header"/>
    <w:uiPriority w:val="99"/>
    <w:rsid w:val="00986649"/>
  </w:style>
  <w:style w:type="paragraph" w:styleId="Footer">
    <w:name w:val="footer"/>
    <w:basedOn w:val="Normal"/>
    <w:link w:val="FooterChar"/>
    <w:uiPriority w:val="99"/>
    <w:unhideWhenUsed/>
    <w:rsid w:val="00986649"/>
    <w:pPr>
      <w:tabs>
        <w:tab w:val="center" w:pos="4680"/>
        <w:tab w:val="right" w:pos="9360"/>
      </w:tabs>
      <w:spacing w:line="240" w:lineRule="auto"/>
    </w:pPr>
  </w:style>
  <w:style w:type="character" w:customStyle="1" w:styleId="FooterChar">
    <w:name w:val="Footer Char"/>
    <w:basedOn w:val="DefaultParagraphFont"/>
    <w:link w:val="Footer"/>
    <w:uiPriority w:val="99"/>
    <w:rsid w:val="00986649"/>
  </w:style>
  <w:style w:type="paragraph" w:styleId="BalloonText">
    <w:name w:val="Balloon Text"/>
    <w:basedOn w:val="Normal"/>
    <w:link w:val="BalloonTextChar"/>
    <w:uiPriority w:val="99"/>
    <w:semiHidden/>
    <w:unhideWhenUsed/>
    <w:rsid w:val="009866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649"/>
    <w:rPr>
      <w:rFonts w:ascii="Tahoma" w:hAnsi="Tahoma" w:cs="Tahoma"/>
      <w:sz w:val="16"/>
      <w:szCs w:val="16"/>
    </w:rPr>
  </w:style>
  <w:style w:type="paragraph" w:styleId="ListParagraph">
    <w:name w:val="List Paragraph"/>
    <w:basedOn w:val="Normal"/>
    <w:uiPriority w:val="34"/>
    <w:qFormat/>
    <w:rsid w:val="002D5B2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9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43BE"/>
    <w:pPr>
      <w:spacing w:line="240" w:lineRule="auto"/>
    </w:pPr>
    <w:rPr>
      <w:rFonts w:eastAsia="Calibri"/>
      <w:sz w:val="20"/>
      <w:szCs w:val="20"/>
    </w:rPr>
  </w:style>
  <w:style w:type="character" w:customStyle="1" w:styleId="FootnoteTextChar">
    <w:name w:val="Footnote Text Char"/>
    <w:basedOn w:val="DefaultParagraphFont"/>
    <w:link w:val="FootnoteText"/>
    <w:uiPriority w:val="99"/>
    <w:semiHidden/>
    <w:rsid w:val="009943BE"/>
    <w:rPr>
      <w:rFonts w:eastAsia="Calibri"/>
      <w:sz w:val="20"/>
      <w:szCs w:val="20"/>
    </w:rPr>
  </w:style>
  <w:style w:type="character" w:styleId="FootnoteReference">
    <w:name w:val="footnote reference"/>
    <w:basedOn w:val="DefaultParagraphFont"/>
    <w:uiPriority w:val="99"/>
    <w:semiHidden/>
    <w:unhideWhenUsed/>
    <w:rsid w:val="009943BE"/>
    <w:rPr>
      <w:vertAlign w:val="superscript"/>
    </w:rPr>
  </w:style>
  <w:style w:type="paragraph" w:styleId="Header">
    <w:name w:val="header"/>
    <w:basedOn w:val="Normal"/>
    <w:link w:val="HeaderChar"/>
    <w:uiPriority w:val="99"/>
    <w:unhideWhenUsed/>
    <w:rsid w:val="00986649"/>
    <w:pPr>
      <w:tabs>
        <w:tab w:val="center" w:pos="4680"/>
        <w:tab w:val="right" w:pos="9360"/>
      </w:tabs>
      <w:spacing w:line="240" w:lineRule="auto"/>
    </w:pPr>
  </w:style>
  <w:style w:type="character" w:customStyle="1" w:styleId="HeaderChar">
    <w:name w:val="Header Char"/>
    <w:basedOn w:val="DefaultParagraphFont"/>
    <w:link w:val="Header"/>
    <w:uiPriority w:val="99"/>
    <w:rsid w:val="00986649"/>
  </w:style>
  <w:style w:type="paragraph" w:styleId="Footer">
    <w:name w:val="footer"/>
    <w:basedOn w:val="Normal"/>
    <w:link w:val="FooterChar"/>
    <w:uiPriority w:val="99"/>
    <w:unhideWhenUsed/>
    <w:rsid w:val="00986649"/>
    <w:pPr>
      <w:tabs>
        <w:tab w:val="center" w:pos="4680"/>
        <w:tab w:val="right" w:pos="9360"/>
      </w:tabs>
      <w:spacing w:line="240" w:lineRule="auto"/>
    </w:pPr>
  </w:style>
  <w:style w:type="character" w:customStyle="1" w:styleId="FooterChar">
    <w:name w:val="Footer Char"/>
    <w:basedOn w:val="DefaultParagraphFont"/>
    <w:link w:val="Footer"/>
    <w:uiPriority w:val="99"/>
    <w:rsid w:val="00986649"/>
  </w:style>
  <w:style w:type="paragraph" w:styleId="BalloonText">
    <w:name w:val="Balloon Text"/>
    <w:basedOn w:val="Normal"/>
    <w:link w:val="BalloonTextChar"/>
    <w:uiPriority w:val="99"/>
    <w:semiHidden/>
    <w:unhideWhenUsed/>
    <w:rsid w:val="0098664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649"/>
    <w:rPr>
      <w:rFonts w:ascii="Tahoma" w:hAnsi="Tahoma" w:cs="Tahoma"/>
      <w:sz w:val="16"/>
      <w:szCs w:val="16"/>
    </w:rPr>
  </w:style>
  <w:style w:type="paragraph" w:styleId="ListParagraph">
    <w:name w:val="List Paragraph"/>
    <w:basedOn w:val="Normal"/>
    <w:uiPriority w:val="34"/>
    <w:qFormat/>
    <w:rsid w:val="002D5B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7489C4-4C1C-4D63-8A15-85A9FA63E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2552</Words>
  <Characters>14550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17068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2015-04-02T17:53:00Z</cp:lastPrinted>
  <dcterms:created xsi:type="dcterms:W3CDTF">2015-04-02T18:04:00Z</dcterms:created>
  <dcterms:modified xsi:type="dcterms:W3CDTF">2015-04-02T18:04:00Z</dcterms:modified>
</cp:coreProperties>
</file>