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B36E7A" w:rsidRDefault="005861CE" w:rsidP="005861CE">
      <w:pPr>
        <w:spacing w:line="240" w:lineRule="auto"/>
        <w:rPr>
          <w:b/>
        </w:rPr>
      </w:pPr>
      <w:r w:rsidRPr="00B36E7A">
        <w:rPr>
          <w:b/>
        </w:rPr>
        <w:t xml:space="preserve">BEFORE THE </w:t>
      </w:r>
    </w:p>
    <w:p w:rsidR="005861CE" w:rsidRPr="00B36E7A" w:rsidRDefault="005861CE" w:rsidP="005861CE">
      <w:pPr>
        <w:spacing w:line="240" w:lineRule="auto"/>
        <w:rPr>
          <w:b/>
        </w:rPr>
      </w:pPr>
      <w:r w:rsidRPr="00B36E7A">
        <w:rPr>
          <w:b/>
        </w:rPr>
        <w:t>PENNSYLVANIA PUBLIC UTILITY COMMISSION</w:t>
      </w:r>
    </w:p>
    <w:p w:rsidR="005861CE" w:rsidRPr="00A60D15" w:rsidRDefault="005861CE" w:rsidP="005861CE">
      <w:pPr>
        <w:spacing w:line="240" w:lineRule="auto"/>
      </w:pPr>
    </w:p>
    <w:p w:rsidR="005861CE" w:rsidRPr="00A60D15" w:rsidRDefault="005861CE" w:rsidP="005861CE">
      <w:pPr>
        <w:spacing w:line="240" w:lineRule="auto"/>
      </w:pPr>
    </w:p>
    <w:p w:rsidR="00B36E7A" w:rsidRPr="00A60D15" w:rsidRDefault="00B36E7A" w:rsidP="005861CE">
      <w:pPr>
        <w:spacing w:line="240" w:lineRule="auto"/>
      </w:pPr>
    </w:p>
    <w:p w:rsidR="005861CE" w:rsidRPr="00B36E7A" w:rsidRDefault="00174AA8" w:rsidP="005861CE">
      <w:pPr>
        <w:spacing w:line="240" w:lineRule="auto"/>
        <w:jc w:val="left"/>
      </w:pPr>
      <w:r w:rsidRPr="00B36E7A">
        <w:t>Roberto Castellano</w:t>
      </w:r>
      <w:r w:rsidRPr="00B36E7A">
        <w:tab/>
      </w:r>
      <w:r w:rsidR="00232397" w:rsidRPr="00B36E7A">
        <w:tab/>
      </w:r>
      <w:r w:rsidR="00232397" w:rsidRPr="00B36E7A">
        <w:tab/>
      </w:r>
      <w:r w:rsidR="00232397" w:rsidRPr="00B36E7A">
        <w:tab/>
      </w:r>
      <w:r w:rsidR="00232397" w:rsidRPr="00B36E7A">
        <w:tab/>
      </w:r>
      <w:r w:rsidR="005861CE" w:rsidRPr="00B36E7A">
        <w:t>:</w:t>
      </w:r>
    </w:p>
    <w:p w:rsidR="005861CE" w:rsidRPr="00B36E7A" w:rsidRDefault="005861CE" w:rsidP="005861CE">
      <w:pPr>
        <w:spacing w:line="240" w:lineRule="auto"/>
        <w:jc w:val="left"/>
      </w:pPr>
      <w:r w:rsidRPr="00B36E7A">
        <w:tab/>
      </w:r>
      <w:r w:rsidRPr="00B36E7A">
        <w:tab/>
      </w:r>
      <w:r w:rsidRPr="00B36E7A">
        <w:tab/>
      </w:r>
      <w:r w:rsidRPr="00B36E7A">
        <w:tab/>
      </w:r>
      <w:r w:rsidRPr="00B36E7A">
        <w:tab/>
      </w:r>
      <w:r w:rsidRPr="00B36E7A">
        <w:tab/>
      </w:r>
      <w:r w:rsidRPr="00B36E7A">
        <w:tab/>
        <w:t>:</w:t>
      </w:r>
    </w:p>
    <w:p w:rsidR="005861CE" w:rsidRPr="00B36E7A" w:rsidRDefault="005861CE" w:rsidP="005861CE">
      <w:pPr>
        <w:spacing w:line="240" w:lineRule="auto"/>
        <w:jc w:val="left"/>
      </w:pPr>
      <w:r w:rsidRPr="00B36E7A">
        <w:tab/>
        <w:t>v.</w:t>
      </w:r>
      <w:r w:rsidRPr="00B36E7A">
        <w:tab/>
      </w:r>
      <w:r w:rsidRPr="00B36E7A">
        <w:tab/>
      </w:r>
      <w:r w:rsidRPr="00B36E7A">
        <w:tab/>
      </w:r>
      <w:r w:rsidRPr="00B36E7A">
        <w:tab/>
      </w:r>
      <w:r w:rsidRPr="00B36E7A">
        <w:tab/>
      </w:r>
      <w:r w:rsidRPr="00B36E7A">
        <w:tab/>
        <w:t>:</w:t>
      </w:r>
      <w:r w:rsidRPr="00B36E7A">
        <w:tab/>
      </w:r>
      <w:r w:rsidRPr="00B36E7A">
        <w:tab/>
      </w:r>
      <w:r w:rsidRPr="00B36E7A">
        <w:tab/>
        <w:t>C-</w:t>
      </w:r>
      <w:r w:rsidR="00232397" w:rsidRPr="00B36E7A">
        <w:t>2015-</w:t>
      </w:r>
      <w:r w:rsidR="00174AA8" w:rsidRPr="00B36E7A">
        <w:t>2465142</w:t>
      </w:r>
    </w:p>
    <w:p w:rsidR="005861CE" w:rsidRPr="00B36E7A" w:rsidRDefault="005861CE" w:rsidP="005861CE">
      <w:pPr>
        <w:spacing w:line="240" w:lineRule="auto"/>
        <w:jc w:val="left"/>
      </w:pPr>
      <w:r w:rsidRPr="00B36E7A">
        <w:tab/>
      </w:r>
      <w:r w:rsidRPr="00B36E7A">
        <w:tab/>
      </w:r>
      <w:r w:rsidRPr="00B36E7A">
        <w:tab/>
      </w:r>
      <w:r w:rsidRPr="00B36E7A">
        <w:tab/>
      </w:r>
      <w:r w:rsidRPr="00B36E7A">
        <w:tab/>
      </w:r>
      <w:r w:rsidRPr="00B36E7A">
        <w:tab/>
      </w:r>
      <w:r w:rsidRPr="00B36E7A">
        <w:tab/>
        <w:t>:</w:t>
      </w:r>
    </w:p>
    <w:p w:rsidR="00232397" w:rsidRPr="00B36E7A" w:rsidRDefault="008B4782" w:rsidP="005861CE">
      <w:pPr>
        <w:spacing w:line="240" w:lineRule="auto"/>
        <w:jc w:val="left"/>
      </w:pPr>
      <w:r w:rsidRPr="00B36E7A">
        <w:t>PECO Energy Company</w:t>
      </w:r>
      <w:r w:rsidR="000D6C57" w:rsidRPr="00B36E7A">
        <w:t xml:space="preserve"> and</w:t>
      </w:r>
      <w:r w:rsidR="000D6C57" w:rsidRPr="00B36E7A">
        <w:tab/>
      </w:r>
      <w:r w:rsidR="00174AA8" w:rsidRPr="00B36E7A">
        <w:tab/>
      </w:r>
      <w:r w:rsidR="00232397" w:rsidRPr="00B36E7A">
        <w:tab/>
      </w:r>
      <w:r w:rsidR="00232397" w:rsidRPr="00B36E7A">
        <w:tab/>
        <w:t>:</w:t>
      </w:r>
    </w:p>
    <w:p w:rsidR="005861CE" w:rsidRPr="00B36E7A" w:rsidRDefault="000D6C57" w:rsidP="005861CE">
      <w:pPr>
        <w:spacing w:line="240" w:lineRule="auto"/>
        <w:jc w:val="left"/>
      </w:pPr>
      <w:r w:rsidRPr="00B36E7A">
        <w:t>Public Power LLC</w:t>
      </w:r>
      <w:r w:rsidR="00232397" w:rsidRPr="00B36E7A">
        <w:tab/>
      </w:r>
      <w:r w:rsidR="00232397" w:rsidRPr="00B36E7A">
        <w:tab/>
      </w:r>
      <w:r w:rsidR="00174AA8" w:rsidRPr="00B36E7A">
        <w:tab/>
      </w:r>
      <w:r w:rsidR="006E1E61" w:rsidRPr="00B36E7A">
        <w:tab/>
      </w:r>
      <w:r w:rsidR="00174AA8" w:rsidRPr="00B36E7A">
        <w:tab/>
      </w:r>
      <w:r w:rsidR="005861CE" w:rsidRPr="00B36E7A">
        <w:t>:</w:t>
      </w:r>
    </w:p>
    <w:p w:rsidR="005861CE" w:rsidRPr="00B36E7A" w:rsidRDefault="005861CE" w:rsidP="005861CE">
      <w:pPr>
        <w:spacing w:line="240" w:lineRule="auto"/>
        <w:jc w:val="left"/>
      </w:pPr>
    </w:p>
    <w:p w:rsidR="005861CE" w:rsidRPr="00B36E7A" w:rsidRDefault="005861CE" w:rsidP="005861CE">
      <w:pPr>
        <w:spacing w:line="240" w:lineRule="auto"/>
        <w:jc w:val="left"/>
      </w:pPr>
    </w:p>
    <w:p w:rsidR="00B36E7A" w:rsidRPr="00B36E7A" w:rsidRDefault="00B36E7A" w:rsidP="005861CE">
      <w:pPr>
        <w:spacing w:line="240" w:lineRule="auto"/>
        <w:jc w:val="left"/>
      </w:pPr>
    </w:p>
    <w:p w:rsidR="009C35D4" w:rsidRPr="00B36E7A" w:rsidRDefault="009C35D4" w:rsidP="005861CE">
      <w:pPr>
        <w:spacing w:line="240" w:lineRule="auto"/>
        <w:rPr>
          <w:b/>
          <w:u w:val="single"/>
        </w:rPr>
      </w:pPr>
      <w:r w:rsidRPr="00B36E7A">
        <w:rPr>
          <w:b/>
          <w:u w:val="single"/>
        </w:rPr>
        <w:t>INITIAL DECISION</w:t>
      </w:r>
    </w:p>
    <w:p w:rsidR="009C35D4" w:rsidRPr="00A60D15" w:rsidRDefault="009C35D4" w:rsidP="005861CE">
      <w:pPr>
        <w:spacing w:line="240" w:lineRule="auto"/>
      </w:pPr>
    </w:p>
    <w:p w:rsidR="0042227A" w:rsidRPr="00A60D15" w:rsidRDefault="0042227A" w:rsidP="005861CE">
      <w:pPr>
        <w:spacing w:line="240" w:lineRule="auto"/>
      </w:pPr>
    </w:p>
    <w:p w:rsidR="0042227A" w:rsidRPr="00B36E7A" w:rsidRDefault="0042227A" w:rsidP="0042227A">
      <w:pPr>
        <w:spacing w:line="240" w:lineRule="auto"/>
        <w:rPr>
          <w:rFonts w:eastAsia="Calibri"/>
        </w:rPr>
      </w:pPr>
      <w:r w:rsidRPr="00B36E7A">
        <w:rPr>
          <w:rFonts w:eastAsia="Calibri"/>
        </w:rPr>
        <w:t>Before</w:t>
      </w:r>
    </w:p>
    <w:p w:rsidR="0042227A" w:rsidRPr="00B36E7A" w:rsidRDefault="0042227A" w:rsidP="0042227A">
      <w:pPr>
        <w:spacing w:line="240" w:lineRule="auto"/>
        <w:rPr>
          <w:rFonts w:eastAsia="Calibri"/>
        </w:rPr>
      </w:pPr>
      <w:r w:rsidRPr="00B36E7A">
        <w:rPr>
          <w:rFonts w:eastAsia="Calibri"/>
        </w:rPr>
        <w:t>Susan D. Colwell</w:t>
      </w:r>
    </w:p>
    <w:p w:rsidR="0042227A" w:rsidRPr="00B36E7A" w:rsidRDefault="0042227A" w:rsidP="0042227A">
      <w:pPr>
        <w:spacing w:line="240" w:lineRule="auto"/>
        <w:rPr>
          <w:rFonts w:eastAsia="Calibri"/>
        </w:rPr>
      </w:pPr>
      <w:r w:rsidRPr="00B36E7A">
        <w:rPr>
          <w:rFonts w:eastAsia="Calibri"/>
        </w:rPr>
        <w:t>Administrative Law Judge</w:t>
      </w:r>
    </w:p>
    <w:p w:rsidR="00E804F6" w:rsidRPr="00B36E7A" w:rsidRDefault="00E804F6" w:rsidP="0042227A">
      <w:pPr>
        <w:spacing w:line="240" w:lineRule="auto"/>
        <w:rPr>
          <w:rFonts w:eastAsia="Calibri"/>
        </w:rPr>
      </w:pPr>
    </w:p>
    <w:p w:rsidR="00E804F6" w:rsidRPr="00B36E7A" w:rsidRDefault="00E804F6" w:rsidP="0042227A">
      <w:pPr>
        <w:spacing w:line="240" w:lineRule="auto"/>
        <w:rPr>
          <w:rFonts w:eastAsia="Calibri"/>
        </w:rPr>
      </w:pPr>
    </w:p>
    <w:p w:rsidR="00E804F6" w:rsidRPr="00B36E7A" w:rsidRDefault="00E804F6" w:rsidP="0042227A">
      <w:pPr>
        <w:spacing w:line="240" w:lineRule="auto"/>
        <w:rPr>
          <w:rFonts w:eastAsia="Calibri"/>
          <w:u w:val="single"/>
        </w:rPr>
      </w:pPr>
      <w:r w:rsidRPr="00B36E7A">
        <w:rPr>
          <w:rFonts w:eastAsia="Calibri"/>
          <w:u w:val="single"/>
        </w:rPr>
        <w:t>INTRODUCTION</w:t>
      </w:r>
    </w:p>
    <w:p w:rsidR="00E804F6" w:rsidRDefault="00E804F6" w:rsidP="0042227A">
      <w:pPr>
        <w:spacing w:line="240" w:lineRule="auto"/>
        <w:rPr>
          <w:rFonts w:eastAsia="Calibri"/>
          <w:u w:val="single"/>
        </w:rPr>
      </w:pPr>
    </w:p>
    <w:p w:rsidR="00B36E7A" w:rsidRPr="00B36E7A" w:rsidRDefault="00B36E7A" w:rsidP="0042227A">
      <w:pPr>
        <w:spacing w:line="240" w:lineRule="auto"/>
        <w:rPr>
          <w:rFonts w:eastAsia="Calibri"/>
          <w:u w:val="single"/>
        </w:rPr>
      </w:pPr>
    </w:p>
    <w:p w:rsidR="0042227A" w:rsidRPr="00B36E7A" w:rsidRDefault="00E804F6" w:rsidP="00A60D15">
      <w:pPr>
        <w:jc w:val="left"/>
        <w:rPr>
          <w:rFonts w:eastAsia="Calibri"/>
        </w:rPr>
      </w:pPr>
      <w:r w:rsidRPr="00B36E7A">
        <w:rPr>
          <w:rFonts w:eastAsia="Calibri"/>
        </w:rPr>
        <w:tab/>
      </w:r>
      <w:r w:rsidRPr="00B36E7A">
        <w:rPr>
          <w:rFonts w:eastAsia="Calibri"/>
        </w:rPr>
        <w:tab/>
        <w:t xml:space="preserve">This Initial Decision grants the </w:t>
      </w:r>
      <w:r w:rsidR="006F119D">
        <w:rPr>
          <w:rFonts w:eastAsia="Calibri"/>
        </w:rPr>
        <w:t>Preliminary O</w:t>
      </w:r>
      <w:r w:rsidRPr="00B36E7A">
        <w:rPr>
          <w:rFonts w:eastAsia="Calibri"/>
        </w:rPr>
        <w:t xml:space="preserve">bjections of </w:t>
      </w:r>
      <w:r w:rsidR="00F824AD" w:rsidRPr="00B36E7A">
        <w:rPr>
          <w:rFonts w:eastAsia="Calibri"/>
        </w:rPr>
        <w:t xml:space="preserve">the </w:t>
      </w:r>
      <w:r w:rsidR="00C04BB0" w:rsidRPr="00B36E7A">
        <w:rPr>
          <w:rFonts w:eastAsia="Calibri"/>
        </w:rPr>
        <w:t>PECO Energy Company</w:t>
      </w:r>
      <w:r w:rsidR="000D6C57" w:rsidRPr="00B36E7A">
        <w:rPr>
          <w:rFonts w:eastAsia="Calibri"/>
        </w:rPr>
        <w:t xml:space="preserve"> to a</w:t>
      </w:r>
      <w:r w:rsidRPr="00B36E7A">
        <w:rPr>
          <w:rFonts w:eastAsia="Calibri"/>
        </w:rPr>
        <w:t xml:space="preserve"> customer's complaint </w:t>
      </w:r>
      <w:r w:rsidR="000D6C57" w:rsidRPr="00B36E7A">
        <w:rPr>
          <w:rFonts w:eastAsia="Calibri"/>
        </w:rPr>
        <w:t xml:space="preserve">seeking a refund for </w:t>
      </w:r>
      <w:r w:rsidR="00174AA8" w:rsidRPr="00B36E7A">
        <w:rPr>
          <w:rFonts w:eastAsia="Calibri"/>
        </w:rPr>
        <w:t xml:space="preserve">electricity </w:t>
      </w:r>
      <w:r w:rsidR="000D6C57" w:rsidRPr="00B36E7A">
        <w:rPr>
          <w:rFonts w:eastAsia="Calibri"/>
        </w:rPr>
        <w:t>purchased from an electric generation supplier</w:t>
      </w:r>
      <w:r w:rsidR="00174AA8" w:rsidRPr="00B36E7A">
        <w:rPr>
          <w:rFonts w:eastAsia="Calibri"/>
        </w:rPr>
        <w:t xml:space="preserve"> </w:t>
      </w:r>
      <w:r w:rsidR="000D6C57" w:rsidRPr="00B36E7A">
        <w:rPr>
          <w:rFonts w:eastAsia="Calibri"/>
        </w:rPr>
        <w:t xml:space="preserve">(EGS) </w:t>
      </w:r>
      <w:r w:rsidR="00174AA8" w:rsidRPr="00B36E7A">
        <w:rPr>
          <w:rFonts w:eastAsia="Calibri"/>
        </w:rPr>
        <w:t>because</w:t>
      </w:r>
      <w:r w:rsidR="002F1338" w:rsidRPr="00B36E7A">
        <w:rPr>
          <w:rFonts w:eastAsia="Calibri"/>
        </w:rPr>
        <w:t xml:space="preserve"> </w:t>
      </w:r>
      <w:r w:rsidR="00C04BB0" w:rsidRPr="00B36E7A">
        <w:rPr>
          <w:rFonts w:eastAsia="Calibri"/>
        </w:rPr>
        <w:t xml:space="preserve">PECO </w:t>
      </w:r>
      <w:r w:rsidR="00174AA8" w:rsidRPr="00B36E7A">
        <w:rPr>
          <w:rFonts w:eastAsia="Calibri"/>
        </w:rPr>
        <w:t xml:space="preserve">is not </w:t>
      </w:r>
      <w:r w:rsidR="00C04BB0" w:rsidRPr="00B36E7A">
        <w:rPr>
          <w:rFonts w:eastAsia="Calibri"/>
        </w:rPr>
        <w:t xml:space="preserve">a </w:t>
      </w:r>
      <w:r w:rsidR="000D6C57" w:rsidRPr="00B36E7A">
        <w:rPr>
          <w:rFonts w:eastAsia="Calibri"/>
        </w:rPr>
        <w:t xml:space="preserve">named </w:t>
      </w:r>
      <w:r w:rsidR="00C04BB0" w:rsidRPr="00B36E7A">
        <w:rPr>
          <w:rFonts w:eastAsia="Calibri"/>
        </w:rPr>
        <w:t>party to the complaint</w:t>
      </w:r>
      <w:r w:rsidR="00174AA8" w:rsidRPr="00B36E7A">
        <w:rPr>
          <w:rFonts w:eastAsia="Calibri"/>
        </w:rPr>
        <w:t xml:space="preserve">, </w:t>
      </w:r>
      <w:r w:rsidR="000D6C57" w:rsidRPr="00B36E7A">
        <w:rPr>
          <w:rFonts w:eastAsia="Calibri"/>
        </w:rPr>
        <w:t xml:space="preserve">and the remedy sought is from the EGS alone. </w:t>
      </w:r>
    </w:p>
    <w:p w:rsidR="0042227A" w:rsidRPr="00B36E7A" w:rsidRDefault="0042227A" w:rsidP="00A60D15">
      <w:pPr>
        <w:rPr>
          <w:rFonts w:eastAsia="Calibri"/>
        </w:rPr>
      </w:pPr>
    </w:p>
    <w:p w:rsidR="0042227A" w:rsidRPr="00B36E7A" w:rsidRDefault="0042227A" w:rsidP="00A60D15">
      <w:pPr>
        <w:rPr>
          <w:rFonts w:eastAsia="Calibri"/>
          <w:i/>
        </w:rPr>
      </w:pPr>
      <w:r w:rsidRPr="00B36E7A">
        <w:rPr>
          <w:rFonts w:eastAsia="Calibri"/>
          <w:u w:val="single"/>
        </w:rPr>
        <w:t>HISTORY OF THE PROCEEDING</w:t>
      </w:r>
      <w:r w:rsidRPr="00B36E7A">
        <w:rPr>
          <w:rFonts w:eastAsia="Calibri"/>
          <w:i/>
        </w:rPr>
        <w:t xml:space="preserve"> </w:t>
      </w:r>
    </w:p>
    <w:p w:rsidR="000D6C57" w:rsidRPr="00B36E7A" w:rsidRDefault="000D6C57" w:rsidP="00A60D15">
      <w:pPr>
        <w:rPr>
          <w:rFonts w:eastAsia="Calibri"/>
          <w:u w:val="single"/>
        </w:rPr>
      </w:pPr>
    </w:p>
    <w:p w:rsidR="000A3B1C" w:rsidRPr="00B36E7A" w:rsidRDefault="003C7514" w:rsidP="00A60D15">
      <w:pPr>
        <w:jc w:val="left"/>
      </w:pPr>
      <w:r w:rsidRPr="00B36E7A">
        <w:tab/>
      </w:r>
      <w:r w:rsidR="00372F23" w:rsidRPr="00B36E7A">
        <w:tab/>
      </w:r>
      <w:r w:rsidR="00473C91" w:rsidRPr="00B36E7A">
        <w:t xml:space="preserve">On or about January 5, 2015, Roberto Castellano (Complainant) filed a formal Complaint against </w:t>
      </w:r>
      <w:r w:rsidR="006E1E61" w:rsidRPr="00B36E7A">
        <w:t>Public Power, LLC</w:t>
      </w:r>
      <w:r w:rsidR="002C60D9" w:rsidRPr="00B36E7A">
        <w:t xml:space="preserve"> (Public Power</w:t>
      </w:r>
      <w:r w:rsidR="00473C91" w:rsidRPr="00B36E7A">
        <w:t xml:space="preserve">). </w:t>
      </w:r>
      <w:r w:rsidR="00B36E7A">
        <w:t xml:space="preserve"> </w:t>
      </w:r>
      <w:r w:rsidR="00473C91" w:rsidRPr="00B36E7A">
        <w:t>Compl</w:t>
      </w:r>
      <w:r w:rsidR="002C60D9" w:rsidRPr="00B36E7A">
        <w:t xml:space="preserve">ainant alleges that Public Power is his </w:t>
      </w:r>
      <w:r w:rsidR="000D6C57" w:rsidRPr="00B36E7A">
        <w:t>electric supplier</w:t>
      </w:r>
      <w:r w:rsidR="002C60D9" w:rsidRPr="00B36E7A">
        <w:t xml:space="preserve"> </w:t>
      </w:r>
      <w:r w:rsidR="00473C91" w:rsidRPr="00B36E7A">
        <w:t>and that he has incorrect charges on his electricity bill.</w:t>
      </w:r>
      <w:r w:rsidR="00B36E7A">
        <w:t xml:space="preserve"> </w:t>
      </w:r>
      <w:r w:rsidR="00473C91" w:rsidRPr="00B36E7A">
        <w:t xml:space="preserve"> </w:t>
      </w:r>
      <w:r w:rsidR="000D6C57" w:rsidRPr="00B36E7A">
        <w:t>Complainant alleges that, o</w:t>
      </w:r>
      <w:r w:rsidR="00F0551A" w:rsidRPr="00B36E7A">
        <w:t>n April 5, 2013</w:t>
      </w:r>
      <w:r w:rsidR="000D6C57" w:rsidRPr="00B36E7A">
        <w:t>,</w:t>
      </w:r>
      <w:r w:rsidR="00F0551A" w:rsidRPr="00B36E7A">
        <w:t xml:space="preserve"> </w:t>
      </w:r>
      <w:r w:rsidR="00C04BB0" w:rsidRPr="00B36E7A">
        <w:t>he</w:t>
      </w:r>
      <w:r w:rsidR="00F0551A" w:rsidRPr="00B36E7A">
        <w:t xml:space="preserve"> spoke with someone named “Mike” from Public Power, who made a verbal representation to Complainant that </w:t>
      </w:r>
      <w:r w:rsidR="00093B02" w:rsidRPr="00B36E7A">
        <w:t xml:space="preserve">if he switched to Public Power for his </w:t>
      </w:r>
      <w:r w:rsidR="00C04BB0" w:rsidRPr="00B36E7A">
        <w:t>electrical generation supplier (EGS)</w:t>
      </w:r>
      <w:r w:rsidR="00093B02" w:rsidRPr="00B36E7A">
        <w:t xml:space="preserve">, </w:t>
      </w:r>
      <w:r w:rsidR="00F0551A" w:rsidRPr="00B36E7A">
        <w:t xml:space="preserve">Complainant’s </w:t>
      </w:r>
      <w:r w:rsidR="00093B02" w:rsidRPr="00B36E7A">
        <w:t xml:space="preserve">electricity </w:t>
      </w:r>
      <w:r w:rsidR="00F0551A" w:rsidRPr="00B36E7A">
        <w:t>bills would be much lower than the rate of 8 cents per kilowatt that Complainant was being charged by PECO</w:t>
      </w:r>
      <w:r w:rsidR="005A1E3A" w:rsidRPr="00B36E7A">
        <w:t xml:space="preserve"> Energy Company (PECO</w:t>
      </w:r>
      <w:r w:rsidR="008B4782" w:rsidRPr="00B36E7A">
        <w:t xml:space="preserve"> or </w:t>
      </w:r>
      <w:r w:rsidR="008B4782" w:rsidRPr="00B36E7A">
        <w:lastRenderedPageBreak/>
        <w:t>Respondent</w:t>
      </w:r>
      <w:r w:rsidR="00CD5969" w:rsidRPr="00B36E7A">
        <w:t>)</w:t>
      </w:r>
      <w:r w:rsidR="00F0551A" w:rsidRPr="00B36E7A">
        <w:t xml:space="preserve">, who was Complainant’s </w:t>
      </w:r>
      <w:r w:rsidR="000D6C57" w:rsidRPr="00B36E7A">
        <w:t>electric supplier</w:t>
      </w:r>
      <w:r w:rsidR="00F0551A" w:rsidRPr="00B36E7A">
        <w:t xml:space="preserve"> at the time</w:t>
      </w:r>
      <w:r w:rsidR="00195B78">
        <w:t xml:space="preserve">.  </w:t>
      </w:r>
      <w:r w:rsidR="00093B02" w:rsidRPr="00B36E7A">
        <w:t xml:space="preserve">Complainant switched to Public Power for his </w:t>
      </w:r>
      <w:r w:rsidR="00C04BB0" w:rsidRPr="00B36E7A">
        <w:t>EGS</w:t>
      </w:r>
      <w:r w:rsidR="00C10226" w:rsidRPr="00B36E7A">
        <w:t xml:space="preserve">, </w:t>
      </w:r>
      <w:r w:rsidR="008A133B" w:rsidRPr="00B36E7A">
        <w:t>and</w:t>
      </w:r>
      <w:r w:rsidR="00093B02" w:rsidRPr="00B36E7A">
        <w:t xml:space="preserve"> </w:t>
      </w:r>
      <w:r w:rsidR="008533FB">
        <w:t>o</w:t>
      </w:r>
      <w:r w:rsidR="00F0551A" w:rsidRPr="00B36E7A">
        <w:t>n April 2014, Complainant was billed 17.5 cents per kilowatt</w:t>
      </w:r>
      <w:r w:rsidR="002C60D9" w:rsidRPr="00B36E7A">
        <w:t xml:space="preserve"> by Public Power</w:t>
      </w:r>
      <w:r w:rsidR="00195B78">
        <w:t xml:space="preserve">. </w:t>
      </w:r>
      <w:r w:rsidR="00F0551A" w:rsidRPr="00B36E7A">
        <w:t xml:space="preserve"> Complainant feels that these bills are “extremely high” for a </w:t>
      </w:r>
      <w:r w:rsidR="00503207" w:rsidRPr="00B36E7A">
        <w:t>house</w:t>
      </w:r>
      <w:r w:rsidR="00F0551A" w:rsidRPr="00B36E7A">
        <w:t xml:space="preserve"> as small as the one</w:t>
      </w:r>
      <w:r w:rsidR="00503207" w:rsidRPr="00B36E7A">
        <w:t xml:space="preserve"> he</w:t>
      </w:r>
      <w:r w:rsidR="00F0551A" w:rsidRPr="00B36E7A">
        <w:t xml:space="preserve"> </w:t>
      </w:r>
      <w:r w:rsidR="00503207" w:rsidRPr="00B36E7A">
        <w:t>resides</w:t>
      </w:r>
      <w:r w:rsidR="00F0551A" w:rsidRPr="00B36E7A">
        <w:t xml:space="preserve"> in and claims that</w:t>
      </w:r>
      <w:r w:rsidR="00C04BB0" w:rsidRPr="00B36E7A">
        <w:t xml:space="preserve"> he</w:t>
      </w:r>
      <w:r w:rsidR="00F0551A" w:rsidRPr="00B36E7A">
        <w:t xml:space="preserve"> is unable to sustain payments</w:t>
      </w:r>
      <w:r w:rsidR="00195B78">
        <w:t xml:space="preserve">. </w:t>
      </w:r>
      <w:r w:rsidR="00F0551A" w:rsidRPr="00B36E7A">
        <w:t xml:space="preserve"> He </w:t>
      </w:r>
      <w:r w:rsidR="008A133B" w:rsidRPr="00B36E7A">
        <w:t>asks</w:t>
      </w:r>
      <w:r w:rsidR="00F0551A" w:rsidRPr="00B36E7A">
        <w:t xml:space="preserve"> the Pennsylvania Public Utility Commission (Commission) to direct </w:t>
      </w:r>
      <w:r w:rsidR="002C60D9" w:rsidRPr="00B36E7A">
        <w:t xml:space="preserve">Public Power </w:t>
      </w:r>
      <w:r w:rsidR="00F0551A" w:rsidRPr="00B36E7A">
        <w:t>to reimburse him for the difference between what he would have paid at the 8 cents per kilowatt rate and the actual 17.5 cents per kilowatt rate he paid</w:t>
      </w:r>
      <w:r w:rsidR="00C04BB0" w:rsidRPr="00B36E7A">
        <w:t xml:space="preserve"> during the time period during which Public Power was his EGS</w:t>
      </w:r>
      <w:r w:rsidR="00F0551A" w:rsidRPr="00B36E7A">
        <w:t xml:space="preserve">. </w:t>
      </w:r>
      <w:r w:rsidR="002C60D9" w:rsidRPr="00B36E7A">
        <w:t xml:space="preserve"> </w:t>
      </w:r>
      <w:r w:rsidR="00F0551A" w:rsidRPr="00B36E7A">
        <w:t>Complainant requests a telephone he</w:t>
      </w:r>
      <w:r w:rsidR="000678DA" w:rsidRPr="00B36E7A">
        <w:t>aring to resolve the Complaint</w:t>
      </w:r>
      <w:r w:rsidR="00195B78">
        <w:t xml:space="preserve">. </w:t>
      </w:r>
      <w:r w:rsidR="000678DA" w:rsidRPr="00B36E7A">
        <w:t xml:space="preserve"> This is an untimely appeal of a Bureau of Consumer Services (BCS) informal decision, BCS Decision Report #003224304</w:t>
      </w:r>
      <w:r w:rsidR="0080371F" w:rsidRPr="00B36E7A">
        <w:t>,</w:t>
      </w:r>
      <w:r w:rsidR="008A133B" w:rsidRPr="00B36E7A">
        <w:t xml:space="preserve"> issued September 16, 2014</w:t>
      </w:r>
      <w:r w:rsidR="000678DA" w:rsidRPr="00B36E7A">
        <w:t xml:space="preserve">. </w:t>
      </w:r>
    </w:p>
    <w:p w:rsidR="000A3B1C" w:rsidRPr="00B36E7A" w:rsidRDefault="000A3B1C" w:rsidP="00B459CF">
      <w:pPr>
        <w:jc w:val="left"/>
      </w:pPr>
    </w:p>
    <w:p w:rsidR="003E54B5" w:rsidRPr="00B36E7A" w:rsidRDefault="000A3B1C" w:rsidP="00B459CF">
      <w:pPr>
        <w:jc w:val="left"/>
      </w:pPr>
      <w:r w:rsidRPr="00B36E7A">
        <w:tab/>
      </w:r>
      <w:r w:rsidRPr="00B36E7A">
        <w:tab/>
        <w:t xml:space="preserve">This formal Complaint was served on </w:t>
      </w:r>
      <w:r w:rsidR="0080371F" w:rsidRPr="00B36E7A">
        <w:t>February 2, 2015, to</w:t>
      </w:r>
      <w:r w:rsidRPr="00B36E7A">
        <w:t xml:space="preserve"> Public Power </w:t>
      </w:r>
      <w:r w:rsidR="0080371F" w:rsidRPr="00B36E7A">
        <w:t xml:space="preserve">by certified mail with a notice to plead, </w:t>
      </w:r>
      <w:r w:rsidRPr="00B36E7A">
        <w:t xml:space="preserve">and </w:t>
      </w:r>
      <w:r w:rsidR="0080371F" w:rsidRPr="00B36E7A">
        <w:t xml:space="preserve">to </w:t>
      </w:r>
      <w:r w:rsidRPr="00B36E7A">
        <w:t>PECO</w:t>
      </w:r>
      <w:r w:rsidR="0080371F" w:rsidRPr="00B36E7A">
        <w:t xml:space="preserve"> electronically</w:t>
      </w:r>
      <w:r w:rsidR="0080371F" w:rsidRPr="00B36E7A">
        <w:rPr>
          <w:rStyle w:val="FootnoteReference"/>
        </w:rPr>
        <w:footnoteReference w:id="1"/>
      </w:r>
      <w:r w:rsidRPr="00B36E7A">
        <w:t>.</w:t>
      </w:r>
    </w:p>
    <w:p w:rsidR="00483704" w:rsidRPr="00B36E7A" w:rsidRDefault="00483704" w:rsidP="00B459CF">
      <w:pPr>
        <w:jc w:val="left"/>
      </w:pPr>
    </w:p>
    <w:p w:rsidR="00483704" w:rsidRPr="00B36E7A" w:rsidRDefault="00483704" w:rsidP="00B459CF">
      <w:pPr>
        <w:jc w:val="left"/>
      </w:pPr>
      <w:r w:rsidRPr="00B36E7A">
        <w:tab/>
      </w:r>
      <w:r w:rsidRPr="00B36E7A">
        <w:tab/>
        <w:t xml:space="preserve">On February </w:t>
      </w:r>
      <w:r w:rsidR="0094014C" w:rsidRPr="00B36E7A">
        <w:t>3</w:t>
      </w:r>
      <w:r w:rsidRPr="00B36E7A">
        <w:t xml:space="preserve">, 2015, </w:t>
      </w:r>
      <w:r w:rsidR="00CD5969" w:rsidRPr="00B36E7A">
        <w:t>PECO filed an Answer to the Complaint</w:t>
      </w:r>
      <w:r w:rsidR="00195B78">
        <w:t xml:space="preserve">. </w:t>
      </w:r>
      <w:r w:rsidR="00CD5969" w:rsidRPr="00B36E7A">
        <w:t xml:space="preserve"> </w:t>
      </w:r>
      <w:r w:rsidR="000A3B1C" w:rsidRPr="00B36E7A">
        <w:t>PECO avers that Complainant chose Public Power as his electric supplier and that PECO is not a proper party to the Complainant’s Complaint regarding the rates charged by Public Power</w:t>
      </w:r>
      <w:r w:rsidR="00195B78">
        <w:t xml:space="preserve">. </w:t>
      </w:r>
      <w:r w:rsidR="000A3B1C" w:rsidRPr="00B36E7A">
        <w:t xml:space="preserve"> PECO states that Public Power and</w:t>
      </w:r>
      <w:r w:rsidR="00C04BB0" w:rsidRPr="00B36E7A">
        <w:t xml:space="preserve"> PECO are not the same company,</w:t>
      </w:r>
      <w:r w:rsidR="000A3B1C" w:rsidRPr="00B36E7A">
        <w:t xml:space="preserve"> that PECO is not a party to the contract between t</w:t>
      </w:r>
      <w:r w:rsidR="006F343F" w:rsidRPr="00B36E7A">
        <w:t>he Complainant and Public Power</w:t>
      </w:r>
      <w:r w:rsidR="00C04BB0" w:rsidRPr="00B36E7A">
        <w:t>,</w:t>
      </w:r>
      <w:r w:rsidR="006F343F" w:rsidRPr="00B36E7A">
        <w:t xml:space="preserve"> and furthermore </w:t>
      </w:r>
      <w:r w:rsidR="008B4782" w:rsidRPr="00B36E7A">
        <w:t xml:space="preserve">that </w:t>
      </w:r>
      <w:r w:rsidR="006F343F" w:rsidRPr="00B36E7A">
        <w:t>PECO has no control over the rates charged by Public Power</w:t>
      </w:r>
      <w:r w:rsidR="00195B78">
        <w:t xml:space="preserve">. </w:t>
      </w:r>
      <w:r w:rsidR="000A3B1C" w:rsidRPr="00B36E7A">
        <w:t xml:space="preserve"> PECO </w:t>
      </w:r>
      <w:r w:rsidR="00C04BB0" w:rsidRPr="00B36E7A">
        <w:t xml:space="preserve">states </w:t>
      </w:r>
      <w:r w:rsidR="000A3B1C" w:rsidRPr="00B36E7A">
        <w:t xml:space="preserve">that Complainant </w:t>
      </w:r>
      <w:r w:rsidR="006F343F" w:rsidRPr="00B36E7A">
        <w:t xml:space="preserve">enrolled with Public Power as his </w:t>
      </w:r>
      <w:r w:rsidR="00C04BB0" w:rsidRPr="00B36E7A">
        <w:t>EGS</w:t>
      </w:r>
      <w:r w:rsidR="006F343F" w:rsidRPr="00B36E7A">
        <w:t xml:space="preserve"> on May 3, 2013, and subsequently dropped Public Power as his </w:t>
      </w:r>
      <w:r w:rsidR="00C04BB0" w:rsidRPr="00B36E7A">
        <w:t>EGS</w:t>
      </w:r>
      <w:r w:rsidR="006F343F" w:rsidRPr="00B36E7A">
        <w:t xml:space="preserve"> on May 5, 2014. Complainant is currently enrolled with PECO as his </w:t>
      </w:r>
      <w:r w:rsidR="008533FB">
        <w:t>default supplier</w:t>
      </w:r>
      <w:r w:rsidR="00195B78">
        <w:t xml:space="preserve">. </w:t>
      </w:r>
      <w:r w:rsidR="006F343F" w:rsidRPr="00B36E7A">
        <w:t xml:space="preserve"> PECO refers to its tariff, which states that electric generation suppliers (EGSs) bear sole responsibility for contractual agreements with their customers, and that PECO has no responsibility to monitor, review, or enforce such agreements</w:t>
      </w:r>
      <w:r w:rsidR="00195B78">
        <w:t xml:space="preserve">. </w:t>
      </w:r>
      <w:r w:rsidR="006F343F" w:rsidRPr="00B36E7A">
        <w:t xml:space="preserve"> </w:t>
      </w:r>
      <w:r w:rsidR="00084D0E" w:rsidRPr="00B36E7A">
        <w:t>Therefore, PECO states that the Complaint is improperly placed against PECO and should be filed against Public Power only</w:t>
      </w:r>
      <w:r w:rsidR="00195B78">
        <w:t xml:space="preserve">. </w:t>
      </w:r>
      <w:r w:rsidR="00084D0E" w:rsidRPr="00B36E7A">
        <w:t xml:space="preserve"> PECO further states that it is required by the Commission and its own tariff to be the billing agent for EGSs. </w:t>
      </w:r>
    </w:p>
    <w:p w:rsidR="003E54B5" w:rsidRPr="00B36E7A" w:rsidRDefault="003E54B5" w:rsidP="005861CE">
      <w:pPr>
        <w:jc w:val="left"/>
      </w:pPr>
    </w:p>
    <w:p w:rsidR="0074623E" w:rsidRPr="00B36E7A" w:rsidRDefault="0074623E" w:rsidP="005861CE">
      <w:pPr>
        <w:jc w:val="left"/>
      </w:pPr>
      <w:r w:rsidRPr="00B36E7A">
        <w:tab/>
      </w:r>
      <w:r w:rsidRPr="00B36E7A">
        <w:tab/>
        <w:t xml:space="preserve">On </w:t>
      </w:r>
      <w:r w:rsidR="00AE7CD5" w:rsidRPr="00B36E7A">
        <w:t xml:space="preserve">February </w:t>
      </w:r>
      <w:r w:rsidR="0094014C" w:rsidRPr="00B36E7A">
        <w:t>3</w:t>
      </w:r>
      <w:r w:rsidR="00AE7CD5" w:rsidRPr="00B36E7A">
        <w:t xml:space="preserve">, 2015, </w:t>
      </w:r>
      <w:r w:rsidR="000D3A9F" w:rsidRPr="00B36E7A">
        <w:t xml:space="preserve">PECO </w:t>
      </w:r>
      <w:r w:rsidR="00AE7CD5" w:rsidRPr="00B36E7A">
        <w:t>also filed Prelimin</w:t>
      </w:r>
      <w:r w:rsidR="00277798" w:rsidRPr="00B36E7A">
        <w:t>ary Objections</w:t>
      </w:r>
      <w:r w:rsidR="006F119D">
        <w:t xml:space="preserve"> (POs)</w:t>
      </w:r>
      <w:r w:rsidR="00277798" w:rsidRPr="00B36E7A">
        <w:t xml:space="preserve"> to the Complaint on the grounds that the Complaint is legally insufficient because PECO is not a party to the electric generation transaction between Complainant and Public Power</w:t>
      </w:r>
      <w:r w:rsidR="00195B78">
        <w:t xml:space="preserve">. </w:t>
      </w:r>
      <w:r w:rsidR="00277798" w:rsidRPr="00B36E7A">
        <w:t xml:space="preserve"> PECO also points out that Complainant has not alleged that </w:t>
      </w:r>
      <w:r w:rsidR="007F08B1" w:rsidRPr="00B36E7A">
        <w:t>PECO incorrectly read his meter;</w:t>
      </w:r>
      <w:r w:rsidR="00277798" w:rsidRPr="00B36E7A">
        <w:t xml:space="preserve"> t</w:t>
      </w:r>
      <w:r w:rsidR="007F08B1" w:rsidRPr="00B36E7A">
        <w:t>hat PECO incorrectly billed him;</w:t>
      </w:r>
      <w:r w:rsidR="00277798" w:rsidRPr="00B36E7A">
        <w:t xml:space="preserve"> that he disputes the PECO’</w:t>
      </w:r>
      <w:r w:rsidR="007F08B1" w:rsidRPr="00B36E7A">
        <w:t>s charges on his bill; or that PECO violated the Public Utility Code, Commission regulations, or PECO’s Electric Service Tariff</w:t>
      </w:r>
      <w:r w:rsidR="00195B78">
        <w:t xml:space="preserve">. </w:t>
      </w:r>
      <w:r w:rsidR="007F08B1" w:rsidRPr="00B36E7A">
        <w:t xml:space="preserve"> PECO accordingly requests that the Complaint should be dismissed. </w:t>
      </w:r>
    </w:p>
    <w:p w:rsidR="0074623E" w:rsidRPr="00B36E7A" w:rsidRDefault="0074623E" w:rsidP="005861CE">
      <w:pPr>
        <w:jc w:val="left"/>
      </w:pPr>
    </w:p>
    <w:p w:rsidR="006735F9" w:rsidRPr="00B36E7A" w:rsidRDefault="00B459CF" w:rsidP="005861CE">
      <w:pPr>
        <w:jc w:val="left"/>
        <w:rPr>
          <w:rFonts w:eastAsia="Calibri"/>
        </w:rPr>
      </w:pPr>
      <w:r w:rsidRPr="00B36E7A">
        <w:rPr>
          <w:rFonts w:eastAsia="Calibri"/>
        </w:rPr>
        <w:tab/>
      </w:r>
      <w:r w:rsidRPr="00B36E7A">
        <w:rPr>
          <w:rFonts w:eastAsia="Calibri"/>
        </w:rPr>
        <w:tab/>
      </w:r>
      <w:r w:rsidR="00B36E7A">
        <w:rPr>
          <w:rFonts w:eastAsia="Calibri"/>
        </w:rPr>
        <w:t>B</w:t>
      </w:r>
      <w:r w:rsidR="006E1E61" w:rsidRPr="00B36E7A">
        <w:rPr>
          <w:rFonts w:eastAsia="Calibri"/>
        </w:rPr>
        <w:t xml:space="preserve">y Motion Judge Assignment Notice dated </w:t>
      </w:r>
      <w:r w:rsidRPr="00B36E7A">
        <w:rPr>
          <w:rFonts w:eastAsia="Calibri"/>
        </w:rPr>
        <w:t xml:space="preserve">March </w:t>
      </w:r>
      <w:r w:rsidR="006E1E61" w:rsidRPr="00B36E7A">
        <w:rPr>
          <w:rFonts w:eastAsia="Calibri"/>
        </w:rPr>
        <w:t>10</w:t>
      </w:r>
      <w:r w:rsidRPr="00B36E7A">
        <w:rPr>
          <w:rFonts w:eastAsia="Calibri"/>
        </w:rPr>
        <w:t>, 2015, the matter was assigned to me</w:t>
      </w:r>
      <w:r w:rsidR="006E1E61" w:rsidRPr="00B36E7A">
        <w:rPr>
          <w:rFonts w:eastAsia="Calibri"/>
        </w:rPr>
        <w:t>.</w:t>
      </w:r>
    </w:p>
    <w:p w:rsidR="006E1E61" w:rsidRPr="00B36E7A" w:rsidRDefault="006E1E61" w:rsidP="005861CE">
      <w:pPr>
        <w:jc w:val="left"/>
      </w:pPr>
    </w:p>
    <w:p w:rsidR="00B459CF" w:rsidRPr="00B36E7A" w:rsidRDefault="006735F9" w:rsidP="005861CE">
      <w:pPr>
        <w:jc w:val="left"/>
      </w:pPr>
      <w:r w:rsidRPr="00B36E7A">
        <w:tab/>
      </w:r>
      <w:r w:rsidRPr="00B36E7A">
        <w:tab/>
        <w:t>On March 25, 2015, Public Power filed a Certificate of Satisfaction.</w:t>
      </w:r>
    </w:p>
    <w:p w:rsidR="006735F9" w:rsidRPr="00B36E7A" w:rsidRDefault="006735F9" w:rsidP="005861CE">
      <w:pPr>
        <w:jc w:val="left"/>
      </w:pPr>
    </w:p>
    <w:p w:rsidR="003E54B5" w:rsidRPr="00B36E7A" w:rsidRDefault="003E54B5" w:rsidP="005861CE">
      <w:pPr>
        <w:jc w:val="left"/>
      </w:pPr>
      <w:r w:rsidRPr="00B36E7A">
        <w:tab/>
      </w:r>
      <w:r w:rsidRPr="00B36E7A">
        <w:tab/>
        <w:t xml:space="preserve">More than ten days has run since the filing of the Preliminary Objections, and no responsive pleading has been filed. </w:t>
      </w:r>
      <w:r w:rsidR="00195B78">
        <w:t xml:space="preserve"> 52 </w:t>
      </w:r>
      <w:r w:rsidR="00704458">
        <w:t>Pa.C</w:t>
      </w:r>
      <w:r w:rsidRPr="00B36E7A">
        <w:t>ode § 5.101(f)(1).  The matter is ripe for disposition.</w:t>
      </w:r>
    </w:p>
    <w:p w:rsidR="003E54B5" w:rsidRPr="00B36E7A" w:rsidRDefault="003E54B5" w:rsidP="005861CE">
      <w:pPr>
        <w:jc w:val="left"/>
      </w:pPr>
    </w:p>
    <w:p w:rsidR="002D5B2A" w:rsidRPr="00B36E7A" w:rsidRDefault="002D5B2A" w:rsidP="002D5B2A">
      <w:pPr>
        <w:rPr>
          <w:u w:val="single"/>
        </w:rPr>
      </w:pPr>
      <w:r w:rsidRPr="00B36E7A">
        <w:rPr>
          <w:u w:val="single"/>
        </w:rPr>
        <w:t>FINDINGS OF FACT</w:t>
      </w:r>
    </w:p>
    <w:p w:rsidR="002D5B2A" w:rsidRPr="00B36E7A" w:rsidRDefault="002D5B2A" w:rsidP="002D5B2A">
      <w:pPr>
        <w:jc w:val="left"/>
        <w:rPr>
          <w:rFonts w:eastAsia="Calibri"/>
          <w:u w:val="single"/>
        </w:rPr>
      </w:pPr>
    </w:p>
    <w:p w:rsidR="002D5B2A" w:rsidRPr="00B36E7A" w:rsidRDefault="002D5B2A" w:rsidP="002D5B2A">
      <w:pPr>
        <w:jc w:val="left"/>
        <w:rPr>
          <w:rFonts w:eastAsia="Calibri"/>
        </w:rPr>
      </w:pPr>
      <w:r w:rsidRPr="00B36E7A">
        <w:rPr>
          <w:rFonts w:eastAsia="Calibri"/>
        </w:rPr>
        <w:tab/>
      </w:r>
      <w:r w:rsidRPr="00B36E7A">
        <w:rPr>
          <w:rFonts w:eastAsia="Calibri"/>
        </w:rPr>
        <w:tab/>
        <w:t>1.</w:t>
      </w:r>
      <w:r w:rsidRPr="00B36E7A">
        <w:rPr>
          <w:rFonts w:eastAsia="Calibri"/>
        </w:rPr>
        <w:tab/>
        <w:t xml:space="preserve">Complainant is </w:t>
      </w:r>
      <w:r w:rsidR="005A1E3A" w:rsidRPr="00B36E7A">
        <w:rPr>
          <w:rFonts w:eastAsia="Calibri"/>
        </w:rPr>
        <w:t>Roberto Castellano</w:t>
      </w:r>
      <w:r w:rsidRPr="00B36E7A">
        <w:rPr>
          <w:rFonts w:eastAsia="Calibri"/>
        </w:rPr>
        <w:t xml:space="preserve">, </w:t>
      </w:r>
      <w:r w:rsidR="005A1E3A" w:rsidRPr="00B36E7A">
        <w:rPr>
          <w:rFonts w:eastAsia="Calibri"/>
        </w:rPr>
        <w:t>151 Woodland Dell Road, Delta, PA 17314</w:t>
      </w:r>
      <w:r w:rsidRPr="00B36E7A">
        <w:rPr>
          <w:rFonts w:eastAsia="Calibri"/>
        </w:rPr>
        <w:t>.</w:t>
      </w:r>
    </w:p>
    <w:p w:rsidR="002D5B2A" w:rsidRPr="00B36E7A" w:rsidRDefault="002D5B2A" w:rsidP="002D5B2A">
      <w:pPr>
        <w:jc w:val="left"/>
        <w:rPr>
          <w:rFonts w:eastAsia="Calibri"/>
        </w:rPr>
      </w:pPr>
    </w:p>
    <w:p w:rsidR="002D5B2A" w:rsidRPr="00B36E7A" w:rsidRDefault="002D5B2A" w:rsidP="002D5B2A">
      <w:pPr>
        <w:jc w:val="left"/>
        <w:rPr>
          <w:rFonts w:eastAsia="Calibri"/>
        </w:rPr>
      </w:pPr>
      <w:r w:rsidRPr="00B36E7A">
        <w:rPr>
          <w:rFonts w:eastAsia="Calibri"/>
        </w:rPr>
        <w:tab/>
      </w:r>
      <w:r w:rsidRPr="00B36E7A">
        <w:rPr>
          <w:rFonts w:eastAsia="Calibri"/>
        </w:rPr>
        <w:tab/>
        <w:t>2.</w:t>
      </w:r>
      <w:r w:rsidRPr="00B36E7A">
        <w:rPr>
          <w:rFonts w:eastAsia="Calibri"/>
        </w:rPr>
        <w:tab/>
        <w:t xml:space="preserve">Respondent is </w:t>
      </w:r>
      <w:r w:rsidR="008B4782" w:rsidRPr="00B36E7A">
        <w:rPr>
          <w:rFonts w:eastAsia="Calibri"/>
        </w:rPr>
        <w:t>PECO Energy Company, a jurisdictional public utility providing electric distribution service in the Commonwealth of Pennsylvania</w:t>
      </w:r>
      <w:r w:rsidR="00195B78">
        <w:rPr>
          <w:rFonts w:eastAsia="Calibri"/>
        </w:rPr>
        <w:t>.</w:t>
      </w:r>
    </w:p>
    <w:p w:rsidR="002D5B2A" w:rsidRPr="00B36E7A" w:rsidRDefault="002D5B2A" w:rsidP="002D5B2A">
      <w:pPr>
        <w:jc w:val="left"/>
        <w:rPr>
          <w:rFonts w:eastAsia="Calibri"/>
        </w:rPr>
      </w:pPr>
    </w:p>
    <w:p w:rsidR="006E1E61" w:rsidRPr="00B36E7A" w:rsidRDefault="006E1E61" w:rsidP="002D5B2A">
      <w:pPr>
        <w:jc w:val="left"/>
        <w:rPr>
          <w:rFonts w:eastAsia="Calibri"/>
        </w:rPr>
      </w:pPr>
      <w:r w:rsidRPr="00B36E7A">
        <w:rPr>
          <w:rFonts w:eastAsia="Calibri"/>
        </w:rPr>
        <w:tab/>
      </w:r>
      <w:r w:rsidRPr="00B36E7A">
        <w:rPr>
          <w:rFonts w:eastAsia="Calibri"/>
        </w:rPr>
        <w:tab/>
        <w:t>3.</w:t>
      </w:r>
      <w:r w:rsidRPr="00B36E7A">
        <w:rPr>
          <w:rFonts w:eastAsia="Calibri"/>
        </w:rPr>
        <w:tab/>
        <w:t>Respondent is Public Power, LLC, an electric generation supplier licensed to do business in the Commonwealth of Pennsylvania.</w:t>
      </w:r>
      <w:r w:rsidRPr="00B36E7A">
        <w:rPr>
          <w:rFonts w:eastAsia="Calibri"/>
        </w:rPr>
        <w:br/>
      </w:r>
    </w:p>
    <w:p w:rsidR="002D5B2A" w:rsidRPr="00B36E7A" w:rsidRDefault="002D5B2A" w:rsidP="002D5B2A">
      <w:pPr>
        <w:jc w:val="left"/>
        <w:rPr>
          <w:rFonts w:eastAsia="Calibri"/>
        </w:rPr>
      </w:pPr>
      <w:r w:rsidRPr="00B36E7A">
        <w:rPr>
          <w:rFonts w:eastAsia="Calibri"/>
        </w:rPr>
        <w:tab/>
      </w:r>
      <w:r w:rsidRPr="00B36E7A">
        <w:rPr>
          <w:rFonts w:eastAsia="Calibri"/>
        </w:rPr>
        <w:tab/>
      </w:r>
      <w:r w:rsidR="006E1E61" w:rsidRPr="00B36E7A">
        <w:rPr>
          <w:rFonts w:eastAsia="Calibri"/>
        </w:rPr>
        <w:t>4</w:t>
      </w:r>
      <w:r w:rsidR="00195B78">
        <w:rPr>
          <w:rFonts w:eastAsia="Calibri"/>
        </w:rPr>
        <w:t>.</w:t>
      </w:r>
      <w:r w:rsidR="005A1E3A" w:rsidRPr="00B36E7A">
        <w:rPr>
          <w:rFonts w:eastAsia="Calibri"/>
        </w:rPr>
        <w:tab/>
        <w:t>On or about January 5</w:t>
      </w:r>
      <w:r w:rsidRPr="00B36E7A">
        <w:rPr>
          <w:rFonts w:eastAsia="Calibri"/>
        </w:rPr>
        <w:t xml:space="preserve">, 2015, Complainant filed a formal Complaint alleging that </w:t>
      </w:r>
      <w:r w:rsidR="008B4782" w:rsidRPr="00B36E7A">
        <w:rPr>
          <w:rFonts w:eastAsia="Calibri"/>
        </w:rPr>
        <w:t xml:space="preserve">Public Power </w:t>
      </w:r>
      <w:r w:rsidR="008533FB">
        <w:rPr>
          <w:rFonts w:eastAsia="Calibri"/>
        </w:rPr>
        <w:t>LLC</w:t>
      </w:r>
      <w:r w:rsidRPr="00B36E7A">
        <w:rPr>
          <w:rFonts w:eastAsia="Calibri"/>
        </w:rPr>
        <w:t xml:space="preserve"> had misrepresented</w:t>
      </w:r>
      <w:r w:rsidR="005A1E3A" w:rsidRPr="00B36E7A">
        <w:rPr>
          <w:rFonts w:eastAsia="Calibri"/>
        </w:rPr>
        <w:t xml:space="preserve"> the amount of money Complainant would save on his electricity bill if he switched </w:t>
      </w:r>
      <w:r w:rsidR="00C04BB0" w:rsidRPr="00B36E7A">
        <w:rPr>
          <w:rFonts w:eastAsia="Calibri"/>
        </w:rPr>
        <w:t xml:space="preserve">from </w:t>
      </w:r>
      <w:r w:rsidR="00BA7796" w:rsidRPr="00B36E7A">
        <w:rPr>
          <w:rFonts w:eastAsia="Calibri"/>
        </w:rPr>
        <w:t>PECO Energy Company</w:t>
      </w:r>
      <w:r w:rsidR="00C04BB0" w:rsidRPr="00B36E7A">
        <w:rPr>
          <w:rFonts w:eastAsia="Calibri"/>
        </w:rPr>
        <w:t xml:space="preserve"> </w:t>
      </w:r>
      <w:r w:rsidR="005A1E3A" w:rsidRPr="00B36E7A">
        <w:rPr>
          <w:rFonts w:eastAsia="Calibri"/>
        </w:rPr>
        <w:t>to</w:t>
      </w:r>
      <w:r w:rsidR="008B4782" w:rsidRPr="00B36E7A">
        <w:rPr>
          <w:rFonts w:eastAsia="Calibri"/>
        </w:rPr>
        <w:t xml:space="preserve"> Public Power</w:t>
      </w:r>
      <w:r w:rsidR="005A1E3A" w:rsidRPr="00B36E7A">
        <w:rPr>
          <w:rFonts w:eastAsia="Calibri"/>
        </w:rPr>
        <w:t xml:space="preserve"> </w:t>
      </w:r>
      <w:r w:rsidR="008533FB">
        <w:rPr>
          <w:rFonts w:eastAsia="Calibri"/>
        </w:rPr>
        <w:t xml:space="preserve">LLC </w:t>
      </w:r>
      <w:r w:rsidR="005A1E3A" w:rsidRPr="00B36E7A">
        <w:rPr>
          <w:rFonts w:eastAsia="Calibri"/>
        </w:rPr>
        <w:t>for his electric generation supplier</w:t>
      </w:r>
      <w:r w:rsidRPr="00B36E7A">
        <w:rPr>
          <w:rFonts w:eastAsia="Calibri"/>
        </w:rPr>
        <w:t>.</w:t>
      </w:r>
    </w:p>
    <w:p w:rsidR="005A1E3A" w:rsidRPr="00B36E7A" w:rsidRDefault="002D5B2A" w:rsidP="002D5B2A">
      <w:pPr>
        <w:jc w:val="left"/>
        <w:rPr>
          <w:rFonts w:eastAsia="Calibri"/>
        </w:rPr>
      </w:pPr>
      <w:r w:rsidRPr="00B36E7A">
        <w:rPr>
          <w:rFonts w:eastAsia="Calibri"/>
        </w:rPr>
        <w:tab/>
      </w:r>
      <w:r w:rsidRPr="00B36E7A">
        <w:rPr>
          <w:rFonts w:eastAsia="Calibri"/>
        </w:rPr>
        <w:tab/>
        <w:t>5.</w:t>
      </w:r>
      <w:r w:rsidRPr="00B36E7A">
        <w:rPr>
          <w:rFonts w:eastAsia="Calibri"/>
        </w:rPr>
        <w:tab/>
      </w:r>
      <w:r w:rsidR="00C04BB0" w:rsidRPr="00B36E7A">
        <w:rPr>
          <w:rFonts w:eastAsia="Calibri"/>
        </w:rPr>
        <w:t xml:space="preserve">On February 2, 2015, </w:t>
      </w:r>
      <w:r w:rsidR="005A1E3A" w:rsidRPr="00B36E7A">
        <w:rPr>
          <w:rFonts w:eastAsia="Calibri"/>
        </w:rPr>
        <w:t>PECO Energy Company was served with a copy of the Complaint.</w:t>
      </w:r>
    </w:p>
    <w:p w:rsidR="005A1E3A" w:rsidRPr="00B36E7A" w:rsidRDefault="005A1E3A" w:rsidP="002D5B2A">
      <w:pPr>
        <w:jc w:val="left"/>
        <w:rPr>
          <w:rFonts w:eastAsia="Calibri"/>
        </w:rPr>
      </w:pPr>
    </w:p>
    <w:p w:rsidR="002D5B2A" w:rsidRPr="00B36E7A" w:rsidRDefault="005A1E3A" w:rsidP="002D5B2A">
      <w:pPr>
        <w:jc w:val="left"/>
        <w:rPr>
          <w:rFonts w:eastAsia="Calibri"/>
        </w:rPr>
      </w:pPr>
      <w:r w:rsidRPr="00B36E7A">
        <w:rPr>
          <w:rFonts w:eastAsia="Calibri"/>
        </w:rPr>
        <w:tab/>
      </w:r>
      <w:r w:rsidRPr="00B36E7A">
        <w:rPr>
          <w:rFonts w:eastAsia="Calibri"/>
        </w:rPr>
        <w:tab/>
        <w:t>6.</w:t>
      </w:r>
      <w:r w:rsidRPr="00B36E7A">
        <w:rPr>
          <w:rFonts w:eastAsia="Calibri"/>
        </w:rPr>
        <w:tab/>
      </w:r>
      <w:r w:rsidR="002D5B2A" w:rsidRPr="00B36E7A">
        <w:rPr>
          <w:rFonts w:eastAsia="Calibri"/>
        </w:rPr>
        <w:t xml:space="preserve">On </w:t>
      </w:r>
      <w:r w:rsidRPr="00B36E7A">
        <w:rPr>
          <w:rFonts w:eastAsia="Calibri"/>
        </w:rPr>
        <w:t>February 3</w:t>
      </w:r>
      <w:r w:rsidR="002D5B2A" w:rsidRPr="00B36E7A">
        <w:rPr>
          <w:rFonts w:eastAsia="Calibri"/>
        </w:rPr>
        <w:t xml:space="preserve">, 2015, </w:t>
      </w:r>
      <w:r w:rsidRPr="00B36E7A">
        <w:rPr>
          <w:rFonts w:eastAsia="Calibri"/>
        </w:rPr>
        <w:t>PECO</w:t>
      </w:r>
      <w:r w:rsidR="002D5B2A" w:rsidRPr="00B36E7A">
        <w:rPr>
          <w:rFonts w:eastAsia="Calibri"/>
        </w:rPr>
        <w:t xml:space="preserve"> filed its Answer as well as Preliminary Objections to the formal Complaint.</w:t>
      </w:r>
    </w:p>
    <w:p w:rsidR="002D5B2A" w:rsidRPr="00B36E7A" w:rsidRDefault="002D5B2A" w:rsidP="002D5B2A">
      <w:pPr>
        <w:jc w:val="left"/>
        <w:rPr>
          <w:rFonts w:eastAsia="Calibri"/>
        </w:rPr>
      </w:pPr>
    </w:p>
    <w:p w:rsidR="002D5B2A" w:rsidRPr="00B36E7A" w:rsidRDefault="001E6C03" w:rsidP="002D5B2A">
      <w:pPr>
        <w:jc w:val="left"/>
        <w:rPr>
          <w:rFonts w:eastAsia="Calibri"/>
        </w:rPr>
      </w:pPr>
      <w:r w:rsidRPr="00B36E7A">
        <w:rPr>
          <w:rFonts w:eastAsia="Calibri"/>
        </w:rPr>
        <w:tab/>
      </w:r>
      <w:r w:rsidRPr="00B36E7A">
        <w:rPr>
          <w:rFonts w:eastAsia="Calibri"/>
        </w:rPr>
        <w:tab/>
        <w:t>7</w:t>
      </w:r>
      <w:r w:rsidR="002D5B2A" w:rsidRPr="00B36E7A">
        <w:rPr>
          <w:rFonts w:eastAsia="Calibri"/>
        </w:rPr>
        <w:t>.</w:t>
      </w:r>
      <w:r w:rsidR="002D5B2A" w:rsidRPr="00B36E7A">
        <w:rPr>
          <w:rFonts w:eastAsia="Calibri"/>
        </w:rPr>
        <w:tab/>
      </w:r>
      <w:r w:rsidR="009C35D4" w:rsidRPr="00B36E7A">
        <w:rPr>
          <w:rFonts w:eastAsia="Calibri"/>
        </w:rPr>
        <w:t xml:space="preserve">The Complaint sets forth a single count, seeking a </w:t>
      </w:r>
      <w:r w:rsidR="005A1E3A" w:rsidRPr="00B36E7A">
        <w:rPr>
          <w:rFonts w:eastAsia="Calibri"/>
        </w:rPr>
        <w:t>refund for charges on his electricity bill.</w:t>
      </w:r>
    </w:p>
    <w:p w:rsidR="00F60714" w:rsidRPr="00B36E7A" w:rsidRDefault="00F60714" w:rsidP="003E54B5">
      <w:pPr>
        <w:rPr>
          <w:u w:val="single"/>
        </w:rPr>
      </w:pPr>
    </w:p>
    <w:p w:rsidR="003E54B5" w:rsidRPr="00B36E7A" w:rsidRDefault="003E54B5" w:rsidP="003E54B5">
      <w:pPr>
        <w:rPr>
          <w:u w:val="single"/>
        </w:rPr>
      </w:pPr>
      <w:r w:rsidRPr="00B36E7A">
        <w:rPr>
          <w:u w:val="single"/>
        </w:rPr>
        <w:t>DISCUSSION</w:t>
      </w:r>
    </w:p>
    <w:p w:rsidR="005D5E44" w:rsidRPr="00B36E7A" w:rsidRDefault="005D5E44" w:rsidP="008C4D41">
      <w:pPr>
        <w:jc w:val="left"/>
      </w:pPr>
    </w:p>
    <w:p w:rsidR="008C4D41" w:rsidRPr="00B36E7A" w:rsidRDefault="008C4D41" w:rsidP="008C4D41">
      <w:pPr>
        <w:jc w:val="left"/>
      </w:pPr>
      <w:r w:rsidRPr="00B36E7A">
        <w:tab/>
      </w:r>
      <w:r w:rsidRPr="00B36E7A">
        <w:tab/>
      </w:r>
      <w:r w:rsidR="00081015" w:rsidRPr="00B36E7A">
        <w:t>PECO</w:t>
      </w:r>
      <w:r w:rsidRPr="00B36E7A">
        <w:t xml:space="preserve">’s preliminary objections seek to dismiss the </w:t>
      </w:r>
      <w:r w:rsidR="00D1658F" w:rsidRPr="00B36E7A">
        <w:t xml:space="preserve">Complaint </w:t>
      </w:r>
      <w:r w:rsidRPr="00B36E7A">
        <w:t xml:space="preserve">because </w:t>
      </w:r>
      <w:r w:rsidR="00C2618B" w:rsidRPr="00B36E7A">
        <w:t>PECO</w:t>
      </w:r>
      <w:r w:rsidR="00081015" w:rsidRPr="00B36E7A">
        <w:t xml:space="preserve"> alleges that</w:t>
      </w:r>
      <w:r w:rsidR="001C0252" w:rsidRPr="00B36E7A">
        <w:t xml:space="preserve"> (1)</w:t>
      </w:r>
      <w:r w:rsidR="00F9402D" w:rsidRPr="00B36E7A">
        <w:t xml:space="preserve"> the Complaint involves a transaction between Complainant and Public Power, and therefore PECO</w:t>
      </w:r>
      <w:r w:rsidR="00081015" w:rsidRPr="00B36E7A">
        <w:t xml:space="preserve"> </w:t>
      </w:r>
      <w:r w:rsidR="001C0252" w:rsidRPr="00B36E7A">
        <w:t xml:space="preserve">is not a party to the Complaint; and (2) that </w:t>
      </w:r>
      <w:r w:rsidR="0050249F" w:rsidRPr="00B36E7A">
        <w:t>Complainant has not alleged that PECO has provided unreasonable service, or taken any action that would be in violation of its tariff or any applicable laws and regulations.</w:t>
      </w:r>
    </w:p>
    <w:p w:rsidR="003E54B5" w:rsidRPr="00B36E7A" w:rsidRDefault="003E54B5" w:rsidP="003E54B5">
      <w:pPr>
        <w:rPr>
          <w:u w:val="single"/>
        </w:rPr>
      </w:pPr>
    </w:p>
    <w:p w:rsidR="009943BE" w:rsidRPr="00B36E7A" w:rsidRDefault="009943BE" w:rsidP="009943BE">
      <w:pPr>
        <w:jc w:val="left"/>
      </w:pPr>
      <w:r w:rsidRPr="00B36E7A">
        <w:tab/>
      </w:r>
      <w:r w:rsidRPr="00B36E7A">
        <w:tab/>
        <w:t xml:space="preserve">Commission preliminary objection practice is similar to Pennsylvania civil practice.  </w:t>
      </w:r>
      <w:r w:rsidRPr="00B36E7A">
        <w:rPr>
          <w:i/>
        </w:rPr>
        <w:t xml:space="preserve">Equitable Small Transportation Interveners v. Equitable Gas Company, </w:t>
      </w:r>
      <w:r w:rsidRPr="00B36E7A">
        <w:t xml:space="preserve">1994 </w:t>
      </w:r>
      <w:smartTag w:uri="urn:schemas-microsoft-com:office:smarttags" w:element="place">
        <w:smartTag w:uri="urn:schemas-microsoft-com:office:smarttags" w:element="State">
          <w:r w:rsidRPr="00B36E7A">
            <w:t>Pa.</w:t>
          </w:r>
        </w:smartTag>
      </w:smartTag>
      <w:r w:rsidRPr="00B36E7A">
        <w:t xml:space="preserve"> PUC LEXIS 69, PUC Docket No. C-000935435 (July 18, 1994). </w:t>
      </w:r>
      <w:r w:rsidRPr="00B36E7A">
        <w:tab/>
        <w:t xml:space="preserve"> When considering the preliminary objection, the Commission must determine “whether the law says with certainty, based on well-pleaded factual averments . . . that no recovery or relief is possible.  </w:t>
      </w:r>
      <w:r w:rsidRPr="00B36E7A">
        <w:rPr>
          <w:i/>
        </w:rPr>
        <w:t xml:space="preserve">P. J. S. v. Pa. State Ethics Commission, </w:t>
      </w:r>
      <w:r w:rsidRPr="00B36E7A">
        <w:t xml:space="preserve">669 A.2d 1105 (Pa. Cmwlth. 1996).  Any doubt must be resolved in favor of the non-moving party by refusing to sustain the preliminary objections.  </w:t>
      </w:r>
      <w:r w:rsidRPr="00B36E7A">
        <w:rPr>
          <w:i/>
        </w:rPr>
        <w:t xml:space="preserve">Boyd v. Ward, </w:t>
      </w:r>
      <w:r w:rsidRPr="00B36E7A">
        <w:t xml:space="preserve">802 A.2d 705 (Pa. Cmwlth. 2002).”  </w:t>
      </w:r>
      <w:r w:rsidRPr="00B36E7A">
        <w:rPr>
          <w:i/>
        </w:rPr>
        <w:t xml:space="preserve">Dept. of Auditor General, et al. v. State Employees’ Retirement System, et al., </w:t>
      </w:r>
      <w:r w:rsidRPr="00B36E7A">
        <w:t xml:space="preserve">836 A.2d 1053, 1064 (Pa. Cmwlth. 2003).  </w:t>
      </w:r>
      <w:r w:rsidRPr="00B36E7A">
        <w:rPr>
          <w:i/>
        </w:rPr>
        <w:t xml:space="preserve"> </w:t>
      </w:r>
    </w:p>
    <w:p w:rsidR="009943BE" w:rsidRPr="00B36E7A" w:rsidRDefault="009943BE" w:rsidP="009943BE"/>
    <w:p w:rsidR="00B207EC" w:rsidRDefault="00B207EC" w:rsidP="009943BE">
      <w:pPr>
        <w:jc w:val="left"/>
      </w:pPr>
      <w:r>
        <w:br w:type="page"/>
      </w:r>
    </w:p>
    <w:p w:rsidR="009943BE" w:rsidRPr="00B36E7A" w:rsidRDefault="009943BE" w:rsidP="009943BE">
      <w:pPr>
        <w:jc w:val="left"/>
      </w:pPr>
      <w:r w:rsidRPr="00B36E7A">
        <w:tab/>
      </w:r>
      <w:r w:rsidRPr="00B36E7A">
        <w:tab/>
        <w:t>The rules regarding preliminary objections are as follows:</w:t>
      </w:r>
    </w:p>
    <w:p w:rsidR="009943BE" w:rsidRPr="00B36E7A" w:rsidRDefault="009943BE" w:rsidP="009943BE">
      <w:pPr>
        <w:jc w:val="left"/>
      </w:pPr>
    </w:p>
    <w:p w:rsidR="009943BE" w:rsidRPr="00B36E7A" w:rsidRDefault="009943BE" w:rsidP="009943BE">
      <w:pPr>
        <w:spacing w:line="240" w:lineRule="auto"/>
        <w:ind w:left="1440" w:right="1440"/>
        <w:contextualSpacing/>
        <w:jc w:val="left"/>
        <w:rPr>
          <w:b/>
        </w:rPr>
      </w:pPr>
      <w:r w:rsidRPr="00B36E7A">
        <w:rPr>
          <w:b/>
        </w:rPr>
        <w:t>§ 5.101.  Preliminary objections.</w:t>
      </w:r>
    </w:p>
    <w:p w:rsidR="009943BE" w:rsidRPr="00B36E7A" w:rsidRDefault="009943BE" w:rsidP="009943BE">
      <w:pPr>
        <w:spacing w:line="240" w:lineRule="auto"/>
        <w:ind w:left="1440" w:right="1440"/>
        <w:contextualSpacing/>
        <w:jc w:val="left"/>
      </w:pPr>
      <w:r w:rsidRPr="00B36E7A">
        <w:t>(a)</w:t>
      </w:r>
      <w:r w:rsidRPr="00B36E7A">
        <w:tab/>
      </w:r>
      <w:r w:rsidRPr="00B36E7A">
        <w:rPr>
          <w:i/>
        </w:rPr>
        <w:t>Grounds</w:t>
      </w:r>
      <w:r w:rsidR="00195B78">
        <w:rPr>
          <w:i/>
        </w:rPr>
        <w:t xml:space="preserve">. </w:t>
      </w:r>
      <w:r w:rsidRPr="00B36E7A">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943BE" w:rsidRPr="00B36E7A" w:rsidRDefault="009943BE" w:rsidP="009943BE">
      <w:pPr>
        <w:spacing w:line="240" w:lineRule="auto"/>
        <w:ind w:left="1440" w:right="1440"/>
        <w:contextualSpacing/>
        <w:jc w:val="left"/>
        <w:rPr>
          <w:i/>
        </w:rPr>
      </w:pPr>
    </w:p>
    <w:p w:rsidR="009943BE" w:rsidRPr="00B36E7A" w:rsidRDefault="00B207EC" w:rsidP="009943BE">
      <w:pPr>
        <w:spacing w:line="240" w:lineRule="auto"/>
        <w:ind w:left="1440" w:right="1440"/>
        <w:contextualSpacing/>
        <w:jc w:val="left"/>
      </w:pPr>
      <w:r>
        <w:t>(1)</w:t>
      </w:r>
      <w:r>
        <w:tab/>
      </w:r>
      <w:r w:rsidR="009943BE" w:rsidRPr="00B36E7A">
        <w:t>Lack of Commission jurisdiction or improper service of the pleading initiating the proceeding.</w:t>
      </w:r>
    </w:p>
    <w:p w:rsidR="009943BE" w:rsidRPr="00B36E7A" w:rsidRDefault="009943BE" w:rsidP="009943BE">
      <w:pPr>
        <w:spacing w:line="240" w:lineRule="auto"/>
        <w:ind w:left="1440" w:right="1440"/>
        <w:contextualSpacing/>
        <w:jc w:val="left"/>
      </w:pPr>
    </w:p>
    <w:p w:rsidR="009943BE" w:rsidRPr="00B36E7A" w:rsidRDefault="00B207EC" w:rsidP="009943BE">
      <w:pPr>
        <w:spacing w:line="240" w:lineRule="auto"/>
        <w:ind w:left="1440" w:right="1440"/>
        <w:contextualSpacing/>
        <w:jc w:val="left"/>
      </w:pPr>
      <w:r>
        <w:t>(2)</w:t>
      </w:r>
      <w:r>
        <w:tab/>
      </w:r>
      <w:r w:rsidR="009943BE" w:rsidRPr="00B36E7A">
        <w:t>Failure of a pleading to conform to this chapter or the inclusion of scandalous or impertinent matter.</w:t>
      </w:r>
    </w:p>
    <w:p w:rsidR="009943BE" w:rsidRPr="00B36E7A" w:rsidRDefault="009943BE" w:rsidP="009943BE">
      <w:pPr>
        <w:spacing w:line="240" w:lineRule="auto"/>
        <w:ind w:left="1440" w:right="1440"/>
        <w:contextualSpacing/>
        <w:jc w:val="left"/>
      </w:pPr>
    </w:p>
    <w:p w:rsidR="009943BE" w:rsidRPr="00B36E7A" w:rsidRDefault="00B207EC" w:rsidP="009943BE">
      <w:pPr>
        <w:spacing w:line="240" w:lineRule="auto"/>
        <w:ind w:left="1440" w:right="1440"/>
        <w:contextualSpacing/>
        <w:jc w:val="left"/>
      </w:pPr>
      <w:r>
        <w:t>(3)</w:t>
      </w:r>
      <w:r>
        <w:tab/>
      </w:r>
      <w:r w:rsidR="009943BE" w:rsidRPr="00B36E7A">
        <w:t>Insufficient specificity of a pleading.</w:t>
      </w:r>
    </w:p>
    <w:p w:rsidR="009943BE" w:rsidRPr="00B36E7A" w:rsidRDefault="009943BE" w:rsidP="009943BE">
      <w:pPr>
        <w:spacing w:line="240" w:lineRule="auto"/>
        <w:ind w:left="1440" w:right="1440"/>
        <w:contextualSpacing/>
        <w:jc w:val="left"/>
      </w:pPr>
    </w:p>
    <w:p w:rsidR="009943BE" w:rsidRPr="00B36E7A" w:rsidRDefault="00B207EC" w:rsidP="009943BE">
      <w:pPr>
        <w:spacing w:line="240" w:lineRule="auto"/>
        <w:ind w:left="1440" w:right="1440"/>
        <w:contextualSpacing/>
        <w:jc w:val="left"/>
      </w:pPr>
      <w:r>
        <w:t>(4)</w:t>
      </w:r>
      <w:r>
        <w:tab/>
      </w:r>
      <w:r w:rsidR="009943BE" w:rsidRPr="00B36E7A">
        <w:t>Legal insufficiency of a pleading.</w:t>
      </w:r>
    </w:p>
    <w:p w:rsidR="009943BE" w:rsidRPr="00B36E7A" w:rsidRDefault="009943BE" w:rsidP="009943BE">
      <w:pPr>
        <w:spacing w:line="240" w:lineRule="auto"/>
        <w:ind w:left="1440" w:right="1440"/>
        <w:contextualSpacing/>
        <w:jc w:val="left"/>
      </w:pPr>
    </w:p>
    <w:p w:rsidR="009943BE" w:rsidRPr="00B36E7A" w:rsidRDefault="00B207EC" w:rsidP="009943BE">
      <w:pPr>
        <w:spacing w:line="240" w:lineRule="auto"/>
        <w:ind w:left="1440" w:right="1440"/>
        <w:contextualSpacing/>
        <w:jc w:val="left"/>
      </w:pPr>
      <w:r>
        <w:t>(5)</w:t>
      </w:r>
      <w:r>
        <w:tab/>
      </w:r>
      <w:r w:rsidR="009943BE" w:rsidRPr="00B36E7A">
        <w:t>Lack of capacity to sue, nonjoinder of a necessary party or misjoinder of a cause of action.</w:t>
      </w:r>
    </w:p>
    <w:p w:rsidR="009943BE" w:rsidRPr="00B36E7A" w:rsidRDefault="009943BE" w:rsidP="009943BE">
      <w:pPr>
        <w:spacing w:line="240" w:lineRule="auto"/>
        <w:ind w:left="1440" w:right="1440"/>
        <w:contextualSpacing/>
        <w:jc w:val="left"/>
      </w:pPr>
    </w:p>
    <w:p w:rsidR="00BB2E03" w:rsidRPr="00B36E7A" w:rsidRDefault="00B207EC" w:rsidP="009943BE">
      <w:pPr>
        <w:spacing w:line="240" w:lineRule="auto"/>
        <w:ind w:left="1440" w:right="1440"/>
        <w:contextualSpacing/>
        <w:jc w:val="left"/>
      </w:pPr>
      <w:r>
        <w:t>(6)</w:t>
      </w:r>
      <w:r>
        <w:tab/>
      </w:r>
      <w:r w:rsidR="009943BE" w:rsidRPr="00B36E7A">
        <w:t xml:space="preserve">Pendency of a prior proceeding or agreement for alternative </w:t>
      </w:r>
    </w:p>
    <w:p w:rsidR="009943BE" w:rsidRPr="00B36E7A" w:rsidRDefault="009943BE" w:rsidP="009943BE">
      <w:pPr>
        <w:spacing w:line="240" w:lineRule="auto"/>
        <w:ind w:left="1440" w:right="1440"/>
        <w:contextualSpacing/>
        <w:jc w:val="left"/>
      </w:pPr>
      <w:r w:rsidRPr="00B36E7A">
        <w:t>dispute resolution.</w:t>
      </w:r>
    </w:p>
    <w:p w:rsidR="00BB2E03" w:rsidRPr="00B36E7A" w:rsidRDefault="00BB2E03" w:rsidP="009943BE">
      <w:pPr>
        <w:spacing w:line="240" w:lineRule="auto"/>
        <w:ind w:left="1440" w:right="1440"/>
        <w:contextualSpacing/>
        <w:jc w:val="left"/>
      </w:pPr>
    </w:p>
    <w:p w:rsidR="00BB2E03" w:rsidRPr="00B36E7A" w:rsidRDefault="00B207EC" w:rsidP="009943BE">
      <w:pPr>
        <w:spacing w:line="240" w:lineRule="auto"/>
        <w:ind w:left="1440" w:right="1440"/>
        <w:contextualSpacing/>
        <w:jc w:val="left"/>
      </w:pPr>
      <w:r>
        <w:t>(7)</w:t>
      </w:r>
      <w:r>
        <w:tab/>
      </w:r>
      <w:r w:rsidR="00BB2E03" w:rsidRPr="00B36E7A">
        <w:t>Standing of a party to participate in the proceeding.</w:t>
      </w:r>
    </w:p>
    <w:p w:rsidR="00BB2E03" w:rsidRPr="00B36E7A" w:rsidRDefault="00BB2E03" w:rsidP="009943BE">
      <w:pPr>
        <w:spacing w:line="240" w:lineRule="auto"/>
        <w:ind w:left="1440" w:right="1440"/>
        <w:contextualSpacing/>
        <w:jc w:val="left"/>
      </w:pPr>
    </w:p>
    <w:p w:rsidR="009943BE" w:rsidRPr="00B36E7A" w:rsidRDefault="009943BE" w:rsidP="009943BE">
      <w:pPr>
        <w:spacing w:line="240" w:lineRule="auto"/>
        <w:ind w:left="1440" w:right="1440"/>
        <w:contextualSpacing/>
      </w:pPr>
      <w:r w:rsidRPr="00B36E7A">
        <w:t>* * *</w:t>
      </w:r>
    </w:p>
    <w:p w:rsidR="009943BE" w:rsidRPr="00B36E7A" w:rsidRDefault="00195B78" w:rsidP="009943BE">
      <w:pPr>
        <w:spacing w:line="240" w:lineRule="auto"/>
        <w:ind w:left="1440" w:right="1440"/>
        <w:contextualSpacing/>
        <w:jc w:val="left"/>
      </w:pPr>
      <w:r>
        <w:t>52 Pa.</w:t>
      </w:r>
      <w:r w:rsidR="009943BE" w:rsidRPr="00B36E7A">
        <w:t xml:space="preserve">Code § 5.101(a).  </w:t>
      </w:r>
    </w:p>
    <w:p w:rsidR="009943BE" w:rsidRPr="00B36E7A" w:rsidRDefault="009943BE" w:rsidP="009943BE">
      <w:pPr>
        <w:ind w:left="1440" w:right="1440"/>
        <w:jc w:val="left"/>
      </w:pPr>
    </w:p>
    <w:p w:rsidR="009943BE" w:rsidRPr="00B36E7A" w:rsidRDefault="009943BE" w:rsidP="009943BE">
      <w:pPr>
        <w:jc w:val="left"/>
      </w:pPr>
      <w:r w:rsidRPr="00B36E7A">
        <w:tab/>
      </w:r>
      <w:r w:rsidRPr="00B36E7A">
        <w:tab/>
        <w:t xml:space="preserve">In reviewing preliminary objections, only the facts in the Complaint 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w:t>
      </w:r>
      <w:r w:rsidR="00E3743F" w:rsidRPr="00B36E7A">
        <w:t xml:space="preserve">the utility company </w:t>
      </w:r>
      <w:r w:rsidRPr="00B36E7A">
        <w:t>in violation of any law which the Commission has juri</w:t>
      </w:r>
      <w:r w:rsidR="00195B78">
        <w:t>sdiction to administer.  66 Pa.</w:t>
      </w:r>
      <w:r w:rsidRPr="00B36E7A">
        <w:t xml:space="preserve">C.S. § 701; 52 Pa.Code § 5.21(a).  </w:t>
      </w:r>
    </w:p>
    <w:p w:rsidR="009943BE" w:rsidRPr="00B36E7A" w:rsidRDefault="009943BE" w:rsidP="009943BE">
      <w:pPr>
        <w:jc w:val="left"/>
      </w:pPr>
    </w:p>
    <w:p w:rsidR="007C12D9" w:rsidRPr="00B36E7A" w:rsidRDefault="009943BE" w:rsidP="0002281E">
      <w:pPr>
        <w:jc w:val="left"/>
      </w:pPr>
      <w:r w:rsidRPr="00B36E7A">
        <w:tab/>
      </w:r>
      <w:r w:rsidRPr="00B36E7A">
        <w:tab/>
      </w:r>
      <w:r w:rsidR="0002281E" w:rsidRPr="00B36E7A">
        <w:t>The regul</w:t>
      </w:r>
      <w:r w:rsidR="00195B78">
        <w:t>ation at 52 Pa.</w:t>
      </w:r>
      <w:r w:rsidR="0002281E" w:rsidRPr="00B36E7A">
        <w:t>Code §5.101(a)(4) permits the filing of a preliminary objection to dismiss a pleading for legal insuffic</w:t>
      </w:r>
      <w:r w:rsidR="00195B78">
        <w:t>iency.  The provision at 52 Pa.</w:t>
      </w:r>
      <w:r w:rsidR="0002281E" w:rsidRPr="00B36E7A">
        <w:t xml:space="preserve">Code §5.101(a)(4) serves judicial economy by avoiding a hearing where no factual dispute exists.  If no factual issue pertinent to the resolution of a case exists, a </w:t>
      </w:r>
      <w:r w:rsidR="00195B78">
        <w:t>hearing is unnecessary.  66 Pa.</w:t>
      </w:r>
      <w:r w:rsidR="0002281E" w:rsidRPr="00B36E7A">
        <w:t xml:space="preserve">C.S. §703(a); </w:t>
      </w:r>
      <w:r w:rsidR="0002281E" w:rsidRPr="00B36E7A">
        <w:rPr>
          <w:i/>
        </w:rPr>
        <w:t>Lehigh Valley Power Committee v. P</w:t>
      </w:r>
      <w:r w:rsidR="006E1E61" w:rsidRPr="00B36E7A">
        <w:rPr>
          <w:i/>
        </w:rPr>
        <w:t>a.</w:t>
      </w:r>
      <w:r w:rsidR="0002281E" w:rsidRPr="00B36E7A">
        <w:rPr>
          <w:i/>
        </w:rPr>
        <w:t xml:space="preserve"> Pub. Util. Comm’n</w:t>
      </w:r>
      <w:r w:rsidR="0002281E" w:rsidRPr="00B36E7A">
        <w:t xml:space="preserve">., 563 A.2d 557 (Pa. Cmwlth. 1989); </w:t>
      </w:r>
      <w:r w:rsidR="0002281E" w:rsidRPr="00B36E7A">
        <w:rPr>
          <w:i/>
        </w:rPr>
        <w:t>Lehigh Valley Power Committee v. Pa</w:t>
      </w:r>
      <w:r w:rsidR="006E1E61" w:rsidRPr="00B36E7A">
        <w:rPr>
          <w:i/>
        </w:rPr>
        <w:t>.</w:t>
      </w:r>
      <w:r w:rsidR="0002281E" w:rsidRPr="00B36E7A">
        <w:rPr>
          <w:i/>
        </w:rPr>
        <w:t xml:space="preserve"> Pub. Util. Comm’n</w:t>
      </w:r>
      <w:r w:rsidR="0002281E" w:rsidRPr="00B36E7A">
        <w:t xml:space="preserve">., 563 A.2d 548 (Pa. Cmwlth. 1989); </w:t>
      </w:r>
      <w:r w:rsidR="0002281E" w:rsidRPr="00B36E7A">
        <w:rPr>
          <w:i/>
        </w:rPr>
        <w:t>S.M.E. Bessemer Cement, Inc. v. Pa</w:t>
      </w:r>
      <w:r w:rsidR="006E1E61" w:rsidRPr="00B36E7A">
        <w:rPr>
          <w:i/>
        </w:rPr>
        <w:t>.</w:t>
      </w:r>
      <w:r w:rsidR="0002281E" w:rsidRPr="00B36E7A">
        <w:rPr>
          <w:i/>
        </w:rPr>
        <w:t xml:space="preserve"> Pub. Util. Comm’n.,</w:t>
      </w:r>
      <w:r w:rsidR="0002281E" w:rsidRPr="00B36E7A">
        <w:t xml:space="preserve"> 540 A.2d 1006 (Pa. Cmwlth. 1988); </w:t>
      </w:r>
      <w:r w:rsidR="0002281E" w:rsidRPr="00B36E7A">
        <w:rPr>
          <w:i/>
        </w:rPr>
        <w:t>White Oak Borough Authority v. Pa</w:t>
      </w:r>
      <w:r w:rsidR="006E1E61" w:rsidRPr="00B36E7A">
        <w:rPr>
          <w:i/>
        </w:rPr>
        <w:t>.</w:t>
      </w:r>
      <w:r w:rsidR="0002281E" w:rsidRPr="00B36E7A">
        <w:rPr>
          <w:i/>
        </w:rPr>
        <w:t xml:space="preserve"> Pub. Util. Comm’n</w:t>
      </w:r>
      <w:r w:rsidR="0002281E" w:rsidRPr="00B36E7A">
        <w:t>., 103 A.2d 502 (Pa. Super. 1954).</w:t>
      </w:r>
    </w:p>
    <w:p w:rsidR="009C35D4" w:rsidRPr="00B36E7A" w:rsidRDefault="009C35D4" w:rsidP="00232397">
      <w:pPr>
        <w:jc w:val="left"/>
      </w:pPr>
    </w:p>
    <w:p w:rsidR="0002281E" w:rsidRPr="00B36E7A" w:rsidRDefault="0002281E" w:rsidP="009C35D4">
      <w:pPr>
        <w:jc w:val="left"/>
      </w:pPr>
      <w:r w:rsidRPr="00B36E7A">
        <w:tab/>
      </w:r>
      <w:r w:rsidRPr="00B36E7A">
        <w:tab/>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w:t>
      </w:r>
      <w:r w:rsidR="00195B78">
        <w:t>he Commission.”  52 Pa.</w:t>
      </w:r>
      <w:r w:rsidRPr="00B36E7A">
        <w:t>Code §5.22(a)(4).  Here, the Complaint does not allege any facts that could be construed as a violation by PECO of any statute, regulation or order which the Commission has jurisdiction to administer.  The Complaint is therefore legally insufficient as against PECO</w:t>
      </w:r>
      <w:r w:rsidR="00195B78">
        <w:t xml:space="preserve">. </w:t>
      </w:r>
      <w:r w:rsidR="00292FD8" w:rsidRPr="00B36E7A">
        <w:t xml:space="preserve"> </w:t>
      </w:r>
      <w:r w:rsidR="00292FD8" w:rsidRPr="00B36E7A">
        <w:rPr>
          <w:i/>
        </w:rPr>
        <w:t>Donald Mulzet v. PPL Electric Utilities Corporation</w:t>
      </w:r>
      <w:r w:rsidR="00292FD8" w:rsidRPr="00B36E7A">
        <w:t>, Docket No. C-2013-2367132 (Order entered July 22, 2013).</w:t>
      </w:r>
      <w:r w:rsidR="00654330" w:rsidRPr="00B36E7A">
        <w:t xml:space="preserve"> </w:t>
      </w:r>
    </w:p>
    <w:p w:rsidR="0002281E" w:rsidRPr="00B36E7A" w:rsidRDefault="0002281E" w:rsidP="009C35D4">
      <w:pPr>
        <w:jc w:val="left"/>
      </w:pPr>
    </w:p>
    <w:p w:rsidR="00942A6A" w:rsidRPr="00B36E7A" w:rsidRDefault="00942A6A" w:rsidP="009C35D4">
      <w:pPr>
        <w:jc w:val="left"/>
      </w:pPr>
      <w:r w:rsidRPr="00B36E7A">
        <w:tab/>
      </w:r>
      <w:r w:rsidRPr="00B36E7A">
        <w:tab/>
        <w:t>W</w:t>
      </w:r>
      <w:r w:rsidR="00392BE1" w:rsidRPr="00B36E7A">
        <w:t>ith regard to PECO’s allegation</w:t>
      </w:r>
      <w:r w:rsidRPr="00B36E7A">
        <w:t xml:space="preserve"> that it is not properly a party to the Complaint, </w:t>
      </w:r>
      <w:r w:rsidR="00392BE1" w:rsidRPr="00B36E7A">
        <w:t>it is informative to refer to the Complaint itself</w:t>
      </w:r>
      <w:r w:rsidR="00195B78">
        <w:t xml:space="preserve">. </w:t>
      </w:r>
      <w:r w:rsidR="00392BE1" w:rsidRPr="00B36E7A">
        <w:t xml:space="preserve"> In Paragraph 2 of the Complaint, marked “Name of Utility or Company (Respondent)</w:t>
      </w:r>
      <w:r w:rsidR="00FF570D" w:rsidRPr="00B36E7A">
        <w:t>,</w:t>
      </w:r>
      <w:r w:rsidR="00392BE1" w:rsidRPr="00B36E7A">
        <w:t>” Complainant has hand-written “Public Power Energy PA</w:t>
      </w:r>
      <w:r w:rsidR="00FF570D" w:rsidRPr="00B36E7A">
        <w:t>.</w:t>
      </w:r>
      <w:r w:rsidR="00392BE1" w:rsidRPr="00B36E7A">
        <w:t>”</w:t>
      </w:r>
      <w:r w:rsidR="00FF570D" w:rsidRPr="00B36E7A">
        <w:t xml:space="preserve"> </w:t>
      </w:r>
      <w:r w:rsidR="00B207EC">
        <w:t xml:space="preserve"> </w:t>
      </w:r>
      <w:r w:rsidR="00FF570D" w:rsidRPr="00B36E7A">
        <w:t>Nowhere in the Complaint does Complainant name PECO as a respondent or otherwise a party to the Complaint</w:t>
      </w:r>
      <w:r w:rsidR="00195B78">
        <w:t xml:space="preserve">. </w:t>
      </w:r>
      <w:r w:rsidR="00FF570D" w:rsidRPr="00B36E7A">
        <w:t xml:space="preserve"> Complainant mentions PECO in Paragraph 5 of the Complaint under “Relief Requested” purely as part of a narrative addressing his grievance against Public Power. </w:t>
      </w:r>
      <w:r w:rsidR="00B207EC">
        <w:t xml:space="preserve"> </w:t>
      </w:r>
      <w:r w:rsidR="00FF570D" w:rsidRPr="00B36E7A">
        <w:t>The bills reflect rates that are disputed by the Complainant</w:t>
      </w:r>
      <w:r w:rsidR="00A251C6" w:rsidRPr="00B36E7A">
        <w:t xml:space="preserve">, and set by Public Power, the named Respondent. </w:t>
      </w:r>
    </w:p>
    <w:p w:rsidR="006E1E61" w:rsidRPr="00B36E7A" w:rsidRDefault="006E1E61" w:rsidP="009C35D4">
      <w:pPr>
        <w:jc w:val="left"/>
      </w:pPr>
    </w:p>
    <w:p w:rsidR="006E1E61" w:rsidRPr="00B36E7A" w:rsidRDefault="006E1E61" w:rsidP="009C35D4">
      <w:pPr>
        <w:jc w:val="left"/>
      </w:pPr>
      <w:r w:rsidRPr="00B36E7A">
        <w:tab/>
      </w:r>
      <w:r w:rsidRPr="00B36E7A">
        <w:tab/>
        <w:t>In addition, the allegations are against Public Power, and the remedy sought is from Public Power.  PECO has no role in this case.</w:t>
      </w:r>
    </w:p>
    <w:p w:rsidR="006E1E61" w:rsidRPr="00B36E7A" w:rsidRDefault="006E1E61" w:rsidP="009C35D4">
      <w:pPr>
        <w:jc w:val="left"/>
      </w:pPr>
    </w:p>
    <w:p w:rsidR="009C35D4" w:rsidRPr="00B36E7A" w:rsidRDefault="009C35D4" w:rsidP="009C35D4">
      <w:pPr>
        <w:jc w:val="left"/>
      </w:pPr>
      <w:r w:rsidRPr="00B36E7A">
        <w:tab/>
      </w:r>
      <w:r w:rsidRPr="00B36E7A">
        <w:tab/>
      </w:r>
      <w:r w:rsidR="00195B78">
        <w:t>The C</w:t>
      </w:r>
      <w:r w:rsidRPr="00B36E7A">
        <w:t>ommission may dismiss any complaint without a hearing if, in its opinion, a hearing is not necessary in the public interest.  66 Pa.C.S. §</w:t>
      </w:r>
      <w:r w:rsidR="00E7116F" w:rsidRPr="00B36E7A">
        <w:t xml:space="preserve"> 703. </w:t>
      </w:r>
      <w:r w:rsidR="00B207EC">
        <w:t xml:space="preserve"> </w:t>
      </w:r>
      <w:r w:rsidRPr="00B36E7A">
        <w:t xml:space="preserve">As </w:t>
      </w:r>
      <w:r w:rsidR="0002281E" w:rsidRPr="00B36E7A">
        <w:t>PECO is not properly a party to the Complaint</w:t>
      </w:r>
      <w:r w:rsidRPr="00B36E7A">
        <w:t xml:space="preserve">, and there is no other </w:t>
      </w:r>
      <w:r w:rsidR="0002281E" w:rsidRPr="00B36E7A">
        <w:t xml:space="preserve">count alleged, </w:t>
      </w:r>
      <w:r w:rsidRPr="00B36E7A">
        <w:t>there is no reason to hold a hearing</w:t>
      </w:r>
      <w:r w:rsidR="00257009" w:rsidRPr="00B36E7A">
        <w:t xml:space="preserve"> involving PECO</w:t>
      </w:r>
      <w:r w:rsidRPr="00B36E7A">
        <w:t>.</w:t>
      </w:r>
      <w:r w:rsidR="00257009" w:rsidRPr="00B36E7A">
        <w:t xml:space="preserve">  In addition, the other Respondent, Public Power, has filed a Certificate of Satisfaction, meaning that there is no reason to hold a hearing at all.  </w:t>
      </w:r>
      <w:r w:rsidRPr="00B36E7A">
        <w:t>Accordingly, the POs are granted and the Complaint is dismissed</w:t>
      </w:r>
      <w:r w:rsidR="0002281E" w:rsidRPr="00B36E7A">
        <w:t xml:space="preserve"> as against PECO</w:t>
      </w:r>
      <w:r w:rsidRPr="00B36E7A">
        <w:t>.</w:t>
      </w:r>
    </w:p>
    <w:p w:rsidR="009C35D4" w:rsidRPr="00B36E7A" w:rsidRDefault="009C35D4" w:rsidP="009C35D4">
      <w:pPr>
        <w:jc w:val="left"/>
      </w:pPr>
    </w:p>
    <w:p w:rsidR="009C35D4" w:rsidRPr="00B36E7A" w:rsidRDefault="009C35D4" w:rsidP="009C35D4">
      <w:pPr>
        <w:rPr>
          <w:u w:val="single"/>
        </w:rPr>
      </w:pPr>
      <w:r w:rsidRPr="00B36E7A">
        <w:rPr>
          <w:u w:val="single"/>
        </w:rPr>
        <w:t>CONCLUSIONS OF LAW</w:t>
      </w:r>
    </w:p>
    <w:p w:rsidR="009C35D4" w:rsidRPr="00B36E7A" w:rsidRDefault="009C35D4" w:rsidP="009C35D4">
      <w:pPr>
        <w:rPr>
          <w:u w:val="single"/>
        </w:rPr>
      </w:pPr>
    </w:p>
    <w:p w:rsidR="009C35D4" w:rsidRPr="00B36E7A" w:rsidRDefault="009C35D4" w:rsidP="009C35D4">
      <w:pPr>
        <w:jc w:val="left"/>
      </w:pPr>
      <w:r w:rsidRPr="00B36E7A">
        <w:tab/>
      </w:r>
      <w:r w:rsidRPr="00B36E7A">
        <w:tab/>
        <w:t>1.</w:t>
      </w:r>
      <w:r w:rsidRPr="00B36E7A">
        <w:tab/>
        <w:t xml:space="preserve">Commission preliminary objection practice is similar to Pennsylvania civil practice.  </w:t>
      </w:r>
      <w:r w:rsidRPr="00B36E7A">
        <w:rPr>
          <w:i/>
        </w:rPr>
        <w:t xml:space="preserve">Equitable Small Transportation Interveners v. Equitable Gas Company, </w:t>
      </w:r>
      <w:r w:rsidRPr="00B36E7A">
        <w:t xml:space="preserve">1994 </w:t>
      </w:r>
      <w:smartTag w:uri="urn:schemas-microsoft-com:office:smarttags" w:element="place">
        <w:smartTag w:uri="urn:schemas-microsoft-com:office:smarttags" w:element="State">
          <w:r w:rsidRPr="00B36E7A">
            <w:t>Pa.</w:t>
          </w:r>
        </w:smartTag>
      </w:smartTag>
      <w:r w:rsidRPr="00B36E7A">
        <w:t xml:space="preserve"> PUC LEXIS 69, PUC Docket No. C-000935435 (July 18, 1994). </w:t>
      </w:r>
      <w:r w:rsidRPr="00B36E7A">
        <w:tab/>
        <w:t xml:space="preserve"> </w:t>
      </w:r>
    </w:p>
    <w:p w:rsidR="009C35D4" w:rsidRPr="00B36E7A" w:rsidRDefault="009C35D4" w:rsidP="009C35D4">
      <w:pPr>
        <w:jc w:val="left"/>
      </w:pPr>
    </w:p>
    <w:p w:rsidR="009C35D4" w:rsidRPr="00B36E7A" w:rsidRDefault="009C35D4" w:rsidP="009C35D4">
      <w:pPr>
        <w:jc w:val="left"/>
        <w:rPr>
          <w:i/>
        </w:rPr>
      </w:pPr>
      <w:r w:rsidRPr="00B36E7A">
        <w:tab/>
      </w:r>
      <w:r w:rsidRPr="00B36E7A">
        <w:tab/>
        <w:t>2.</w:t>
      </w:r>
      <w:r w:rsidRPr="00B36E7A">
        <w:tab/>
        <w:t xml:space="preserve">When considering the preliminary objection, the Commission must determine “whether the law says with certainty, based on well-pleaded factual averments . . . that no recovery or relief is possible.  </w:t>
      </w:r>
      <w:r w:rsidRPr="00B36E7A">
        <w:rPr>
          <w:i/>
        </w:rPr>
        <w:t xml:space="preserve">P. J. S. v. Pa. State Ethics Commission, </w:t>
      </w:r>
      <w:r w:rsidRPr="00B36E7A">
        <w:t xml:space="preserve">669 A.2d 1105 (Pa. Cmwlth. 1996).  Any doubt must be resolved in favor of the non-moving party by refusing to sustain the preliminary objections.  </w:t>
      </w:r>
      <w:r w:rsidRPr="00B36E7A">
        <w:rPr>
          <w:i/>
        </w:rPr>
        <w:t xml:space="preserve">Boyd v. Ward, </w:t>
      </w:r>
      <w:r w:rsidRPr="00B36E7A">
        <w:t xml:space="preserve">802 A.2d 705 (Pa. Cmwlth. 2002).”  </w:t>
      </w:r>
      <w:r w:rsidRPr="00B36E7A">
        <w:rPr>
          <w:i/>
        </w:rPr>
        <w:t xml:space="preserve">Dept. of Auditor General, et al. v. State Employees’ Retirement System, et al., </w:t>
      </w:r>
      <w:r w:rsidRPr="00B36E7A">
        <w:t xml:space="preserve">836 A.2d 1053, 1064 (Pa. Cmwlth. 2003).  </w:t>
      </w:r>
      <w:r w:rsidRPr="00B36E7A">
        <w:rPr>
          <w:i/>
        </w:rPr>
        <w:t xml:space="preserve"> </w:t>
      </w:r>
    </w:p>
    <w:p w:rsidR="009C35D4" w:rsidRPr="00B36E7A" w:rsidRDefault="009C35D4" w:rsidP="009C35D4">
      <w:pPr>
        <w:jc w:val="left"/>
        <w:rPr>
          <w:i/>
        </w:rPr>
      </w:pPr>
    </w:p>
    <w:p w:rsidR="009C35D4" w:rsidRPr="00B36E7A" w:rsidRDefault="009C35D4" w:rsidP="009C35D4">
      <w:pPr>
        <w:contextualSpacing/>
        <w:jc w:val="left"/>
      </w:pPr>
      <w:r w:rsidRPr="00B36E7A">
        <w:rPr>
          <w:i/>
        </w:rPr>
        <w:tab/>
      </w:r>
      <w:r w:rsidRPr="00B36E7A">
        <w:rPr>
          <w:i/>
        </w:rPr>
        <w:tab/>
      </w:r>
      <w:r w:rsidRPr="00B36E7A">
        <w:t>3.</w:t>
      </w:r>
      <w:r w:rsidRPr="00B36E7A">
        <w:tab/>
      </w:r>
      <w:r w:rsidR="004B26FD" w:rsidRPr="00B36E7A">
        <w:t xml:space="preserve">The regulation at 52 </w:t>
      </w:r>
      <w:r w:rsidR="00704458">
        <w:t>Pa.C</w:t>
      </w:r>
      <w:r w:rsidR="004B26FD" w:rsidRPr="00B36E7A">
        <w:t xml:space="preserve">ode §5.101(a)(4) permits the filing of a preliminary objection to dismiss a pleading for legal insufficiency.  The provision at 52 </w:t>
      </w:r>
      <w:r w:rsidR="00704458">
        <w:t>Pa.C</w:t>
      </w:r>
      <w:r w:rsidR="004B26FD" w:rsidRPr="00B36E7A">
        <w:t xml:space="preserve">ode §5.101(a)(4) serves judicial economy by avoiding a hearing where no factual dispute exists.  If no factual issue pertinent to the resolution of a case exists, a hearing is unnecessary.  66 </w:t>
      </w:r>
      <w:r w:rsidR="00704458">
        <w:t>Pa.C</w:t>
      </w:r>
      <w:r w:rsidR="004B26FD" w:rsidRPr="00B36E7A">
        <w:t xml:space="preserve">.S. §703(a); </w:t>
      </w:r>
      <w:r w:rsidR="004B26FD" w:rsidRPr="00B36E7A">
        <w:rPr>
          <w:i/>
        </w:rPr>
        <w:t>Lehigh Valley Power Committee v. Pa</w:t>
      </w:r>
      <w:r w:rsidR="006E1E61" w:rsidRPr="00B36E7A">
        <w:rPr>
          <w:i/>
        </w:rPr>
        <w:t>.</w:t>
      </w:r>
      <w:r w:rsidR="004B26FD" w:rsidRPr="00B36E7A">
        <w:rPr>
          <w:i/>
        </w:rPr>
        <w:t xml:space="preserve"> Pub. Util. Comm’n</w:t>
      </w:r>
      <w:r w:rsidR="004B26FD" w:rsidRPr="00B36E7A">
        <w:t xml:space="preserve">., 563 A.2d 557 (Pa. Cmwlth. 1989); </w:t>
      </w:r>
      <w:r w:rsidR="004B26FD" w:rsidRPr="00B36E7A">
        <w:rPr>
          <w:i/>
        </w:rPr>
        <w:t>Lehigh Valley Power Committee v. Pa</w:t>
      </w:r>
      <w:r w:rsidR="006E1E61" w:rsidRPr="00B36E7A">
        <w:rPr>
          <w:i/>
        </w:rPr>
        <w:t>.</w:t>
      </w:r>
      <w:r w:rsidR="004B26FD" w:rsidRPr="00B36E7A">
        <w:rPr>
          <w:i/>
        </w:rPr>
        <w:t xml:space="preserve"> Pub. Util. Comm’n</w:t>
      </w:r>
      <w:r w:rsidR="004B26FD" w:rsidRPr="00B36E7A">
        <w:t xml:space="preserve">., 563 A.2d 548 (Pa. Cmwlth. 1989); </w:t>
      </w:r>
      <w:r w:rsidR="004B26FD" w:rsidRPr="00B36E7A">
        <w:rPr>
          <w:i/>
        </w:rPr>
        <w:t>S.M.E. Bessemer Cement, Inc. v. Pa</w:t>
      </w:r>
      <w:r w:rsidR="006E1E61" w:rsidRPr="00B36E7A">
        <w:rPr>
          <w:i/>
        </w:rPr>
        <w:t>.</w:t>
      </w:r>
      <w:r w:rsidR="004B26FD" w:rsidRPr="00B36E7A">
        <w:rPr>
          <w:i/>
        </w:rPr>
        <w:t xml:space="preserve"> Pub. Util. Comm’n</w:t>
      </w:r>
      <w:r w:rsidR="004B26FD" w:rsidRPr="00B36E7A">
        <w:t xml:space="preserve">., 540 A.2d 1006 (Pa. Cmwlth. 1988); </w:t>
      </w:r>
      <w:r w:rsidR="004B26FD" w:rsidRPr="00B36E7A">
        <w:rPr>
          <w:i/>
        </w:rPr>
        <w:t>White Oak Borough Authority v. Pa</w:t>
      </w:r>
      <w:r w:rsidR="006E1E61" w:rsidRPr="00B36E7A">
        <w:rPr>
          <w:i/>
        </w:rPr>
        <w:t>.</w:t>
      </w:r>
      <w:r w:rsidR="004B26FD" w:rsidRPr="00B36E7A">
        <w:rPr>
          <w:i/>
        </w:rPr>
        <w:t xml:space="preserve"> Pub. Util. Comm’n</w:t>
      </w:r>
      <w:r w:rsidR="004B26FD" w:rsidRPr="00B36E7A">
        <w:t>., 103 A.2d 502 (Pa. Super. 1954).</w:t>
      </w:r>
    </w:p>
    <w:p w:rsidR="009C35D4" w:rsidRPr="00B36E7A" w:rsidRDefault="009C35D4" w:rsidP="009C35D4">
      <w:pPr>
        <w:contextualSpacing/>
        <w:jc w:val="left"/>
      </w:pPr>
    </w:p>
    <w:p w:rsidR="009C35D4" w:rsidRPr="00B36E7A" w:rsidRDefault="009C35D4" w:rsidP="004B26FD">
      <w:pPr>
        <w:jc w:val="left"/>
      </w:pPr>
      <w:r w:rsidRPr="00B36E7A">
        <w:tab/>
      </w:r>
      <w:r w:rsidRPr="00B36E7A">
        <w:tab/>
        <w:t>4.</w:t>
      </w:r>
      <w:r w:rsidRPr="00B36E7A">
        <w:tab/>
      </w:r>
      <w:r w:rsidR="004B26FD" w:rsidRPr="00B36E7A">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w:t>
      </w:r>
      <w:r w:rsidR="00704458">
        <w:t>Pa.C</w:t>
      </w:r>
      <w:r w:rsidR="004B26FD" w:rsidRPr="00B36E7A">
        <w:t xml:space="preserve">ode §5.22(a)(4).  </w:t>
      </w:r>
    </w:p>
    <w:p w:rsidR="00E804F6" w:rsidRPr="00B36E7A" w:rsidRDefault="009C35D4" w:rsidP="00E804F6">
      <w:pPr>
        <w:jc w:val="left"/>
      </w:pPr>
      <w:r w:rsidRPr="00B36E7A">
        <w:tab/>
      </w:r>
      <w:r w:rsidRPr="00B36E7A">
        <w:tab/>
      </w:r>
      <w:r w:rsidR="001A01D0" w:rsidRPr="00B36E7A">
        <w:t>5</w:t>
      </w:r>
      <w:r w:rsidRPr="00B36E7A">
        <w:t>.</w:t>
      </w:r>
      <w:r w:rsidRPr="00B36E7A">
        <w:tab/>
      </w:r>
      <w:r w:rsidR="004B26FD" w:rsidRPr="00B36E7A">
        <w:t>The C</w:t>
      </w:r>
      <w:r w:rsidR="00E804F6" w:rsidRPr="00B36E7A">
        <w:t xml:space="preserve">ommission may dismiss any complaint without a hearing if, in its opinion, a hearing is not necessary in the public interest.  66 Pa.C.S. § 703. </w:t>
      </w:r>
    </w:p>
    <w:p w:rsidR="006E1E61" w:rsidRPr="00B36E7A" w:rsidRDefault="006E1E61" w:rsidP="00E804F6">
      <w:pPr>
        <w:jc w:val="left"/>
      </w:pPr>
    </w:p>
    <w:p w:rsidR="00E804F6" w:rsidRPr="00B36E7A" w:rsidRDefault="006E1E61" w:rsidP="00E804F6">
      <w:pPr>
        <w:jc w:val="left"/>
      </w:pPr>
      <w:r w:rsidRPr="00B36E7A">
        <w:tab/>
      </w:r>
      <w:r w:rsidRPr="00B36E7A">
        <w:tab/>
        <w:t>6.</w:t>
      </w:r>
      <w:r w:rsidRPr="00B36E7A">
        <w:tab/>
        <w:t>In this case, a hearing is not necessary in the public interest.</w:t>
      </w:r>
    </w:p>
    <w:p w:rsidR="00E804F6" w:rsidRPr="00B36E7A" w:rsidRDefault="00E804F6" w:rsidP="009943BE">
      <w:pPr>
        <w:rPr>
          <w:u w:val="single"/>
        </w:rPr>
      </w:pPr>
    </w:p>
    <w:p w:rsidR="009943BE" w:rsidRPr="00B36E7A" w:rsidRDefault="009943BE" w:rsidP="009943BE">
      <w:pPr>
        <w:rPr>
          <w:u w:val="single"/>
        </w:rPr>
      </w:pPr>
      <w:r w:rsidRPr="00B36E7A">
        <w:rPr>
          <w:u w:val="single"/>
        </w:rPr>
        <w:t>ORDER</w:t>
      </w:r>
    </w:p>
    <w:p w:rsidR="009943BE" w:rsidRDefault="009943BE" w:rsidP="009943BE">
      <w:pPr>
        <w:rPr>
          <w:b/>
        </w:rPr>
      </w:pPr>
    </w:p>
    <w:p w:rsidR="009943BE" w:rsidRPr="00B36E7A" w:rsidRDefault="009943BE" w:rsidP="009943BE">
      <w:pPr>
        <w:jc w:val="left"/>
      </w:pPr>
      <w:r w:rsidRPr="00B36E7A">
        <w:tab/>
      </w:r>
      <w:r w:rsidRPr="00B36E7A">
        <w:tab/>
        <w:t>THEREFORE,</w:t>
      </w:r>
    </w:p>
    <w:p w:rsidR="009943BE" w:rsidRPr="00B36E7A" w:rsidRDefault="009943BE" w:rsidP="009943BE">
      <w:pPr>
        <w:jc w:val="left"/>
      </w:pPr>
    </w:p>
    <w:p w:rsidR="009943BE" w:rsidRPr="00B36E7A" w:rsidRDefault="009943BE" w:rsidP="009943BE">
      <w:pPr>
        <w:jc w:val="left"/>
      </w:pPr>
      <w:r w:rsidRPr="00B36E7A">
        <w:tab/>
      </w:r>
      <w:r w:rsidRPr="00B36E7A">
        <w:tab/>
        <w:t>IT IS ORDERED:</w:t>
      </w:r>
    </w:p>
    <w:p w:rsidR="009943BE" w:rsidRPr="00B36E7A" w:rsidRDefault="009943BE" w:rsidP="009943BE">
      <w:pPr>
        <w:jc w:val="left"/>
      </w:pPr>
      <w:bookmarkStart w:id="0" w:name="_GoBack"/>
      <w:bookmarkEnd w:id="0"/>
    </w:p>
    <w:p w:rsidR="009943BE" w:rsidRPr="00B36E7A" w:rsidRDefault="009943BE" w:rsidP="009943BE">
      <w:pPr>
        <w:jc w:val="left"/>
      </w:pPr>
      <w:r w:rsidRPr="00B36E7A">
        <w:tab/>
      </w:r>
      <w:r w:rsidRPr="00B36E7A">
        <w:tab/>
      </w:r>
      <w:r w:rsidR="00542AA2" w:rsidRPr="00B36E7A">
        <w:t>1.</w:t>
      </w:r>
      <w:r w:rsidR="00542AA2" w:rsidRPr="00B36E7A">
        <w:tab/>
      </w:r>
      <w:r w:rsidR="00542AA2" w:rsidRPr="00BF6968">
        <w:t>That PECO’s</w:t>
      </w:r>
      <w:r w:rsidRPr="00BF6968">
        <w:t xml:space="preserve"> Preliminary Objections filed in the case captioned </w:t>
      </w:r>
      <w:r w:rsidR="00542AA2" w:rsidRPr="00BF6968">
        <w:t>Rober</w:t>
      </w:r>
      <w:r w:rsidR="008533FB" w:rsidRPr="00BF6968">
        <w:t>to Costellano v. Public Power LLC and PECO Energy Company</w:t>
      </w:r>
      <w:r w:rsidR="008533FB">
        <w:rPr>
          <w:i/>
        </w:rPr>
        <w:t xml:space="preserve"> </w:t>
      </w:r>
      <w:r w:rsidRPr="00B36E7A">
        <w:t>at</w:t>
      </w:r>
      <w:r w:rsidR="00542AA2" w:rsidRPr="00B36E7A">
        <w:t xml:space="preserve"> Docket No.</w:t>
      </w:r>
      <w:r w:rsidRPr="00B36E7A">
        <w:t xml:space="preserve"> </w:t>
      </w:r>
      <w:r w:rsidR="00542AA2" w:rsidRPr="00B36E7A">
        <w:t>C-2015-2465142</w:t>
      </w:r>
      <w:r w:rsidRPr="00B36E7A">
        <w:t xml:space="preserve">, </w:t>
      </w:r>
      <w:r w:rsidR="009A7481" w:rsidRPr="00B36E7A">
        <w:t>are granted.</w:t>
      </w:r>
    </w:p>
    <w:p w:rsidR="009943BE" w:rsidRPr="00B36E7A" w:rsidRDefault="009943BE" w:rsidP="009943BE">
      <w:pPr>
        <w:jc w:val="left"/>
      </w:pPr>
    </w:p>
    <w:p w:rsidR="009943BE" w:rsidRPr="00B36E7A" w:rsidRDefault="009943BE" w:rsidP="009943BE">
      <w:pPr>
        <w:jc w:val="left"/>
      </w:pPr>
      <w:r w:rsidRPr="00B36E7A">
        <w:tab/>
      </w:r>
      <w:r w:rsidRPr="00B36E7A">
        <w:tab/>
        <w:t>2.</w:t>
      </w:r>
      <w:r w:rsidRPr="00B36E7A">
        <w:tab/>
      </w:r>
      <w:r w:rsidR="009A7481" w:rsidRPr="00B36E7A">
        <w:t xml:space="preserve">That the Complaint filed by </w:t>
      </w:r>
      <w:r w:rsidR="00542AA2" w:rsidRPr="00B36E7A">
        <w:t>Roberto Costellano</w:t>
      </w:r>
      <w:r w:rsidR="009A7481" w:rsidRPr="00B36E7A">
        <w:t xml:space="preserve"> against </w:t>
      </w:r>
      <w:r w:rsidR="008B4782" w:rsidRPr="00B36E7A">
        <w:t>PECO Energy Company</w:t>
      </w:r>
      <w:r w:rsidR="00542AA2" w:rsidRPr="00B36E7A">
        <w:t xml:space="preserve"> </w:t>
      </w:r>
      <w:r w:rsidR="008B4782" w:rsidRPr="00B36E7A">
        <w:t xml:space="preserve">and Public Power </w:t>
      </w:r>
      <w:r w:rsidR="008533FB">
        <w:t>LLC</w:t>
      </w:r>
      <w:r w:rsidR="008B4782" w:rsidRPr="00B36E7A">
        <w:t xml:space="preserve"> </w:t>
      </w:r>
      <w:r w:rsidR="009A7481" w:rsidRPr="00B36E7A">
        <w:t xml:space="preserve">at </w:t>
      </w:r>
      <w:r w:rsidR="00542AA2" w:rsidRPr="00B36E7A">
        <w:t>Docket No. C-2015-2465142</w:t>
      </w:r>
      <w:r w:rsidR="00C87BC7" w:rsidRPr="00B36E7A">
        <w:t>,</w:t>
      </w:r>
      <w:r w:rsidR="007C12D9" w:rsidRPr="00B36E7A">
        <w:t xml:space="preserve"> </w:t>
      </w:r>
      <w:r w:rsidR="008B4782" w:rsidRPr="00B36E7A">
        <w:t>is dismissed as against PECO Energy Company</w:t>
      </w:r>
      <w:r w:rsidR="00252632" w:rsidRPr="00B36E7A">
        <w:t>.</w:t>
      </w:r>
    </w:p>
    <w:p w:rsidR="009943BE" w:rsidRPr="00B36E7A" w:rsidRDefault="009943BE" w:rsidP="009943BE">
      <w:pPr>
        <w:jc w:val="left"/>
      </w:pPr>
    </w:p>
    <w:p w:rsidR="009943BE" w:rsidRPr="00B36E7A" w:rsidRDefault="009943BE" w:rsidP="009943BE">
      <w:pPr>
        <w:jc w:val="left"/>
      </w:pPr>
      <w:r w:rsidRPr="00B36E7A">
        <w:tab/>
      </w:r>
      <w:r w:rsidRPr="00B36E7A">
        <w:tab/>
        <w:t>3.</w:t>
      </w:r>
      <w:r w:rsidRPr="00B36E7A">
        <w:tab/>
      </w:r>
      <w:r w:rsidR="009A7481" w:rsidRPr="00B36E7A">
        <w:t xml:space="preserve">That the </w:t>
      </w:r>
      <w:r w:rsidR="00257009" w:rsidRPr="00B36E7A">
        <w:t>Secretary mark this docket closed.</w:t>
      </w:r>
    </w:p>
    <w:p w:rsidR="009943BE" w:rsidRPr="00B36E7A" w:rsidRDefault="009943BE" w:rsidP="009943BE">
      <w:pPr>
        <w:jc w:val="left"/>
      </w:pPr>
    </w:p>
    <w:p w:rsidR="009943BE" w:rsidRPr="00B36E7A" w:rsidRDefault="009943BE" w:rsidP="009943BE">
      <w:pPr>
        <w:jc w:val="left"/>
      </w:pPr>
    </w:p>
    <w:p w:rsidR="009943BE" w:rsidRPr="00BF6968" w:rsidRDefault="009943BE" w:rsidP="009943BE">
      <w:pPr>
        <w:spacing w:line="240" w:lineRule="auto"/>
        <w:contextualSpacing/>
        <w:jc w:val="left"/>
        <w:rPr>
          <w:u w:val="single"/>
        </w:rPr>
      </w:pPr>
      <w:r w:rsidRPr="00B36E7A">
        <w:t>Dated:</w:t>
      </w:r>
      <w:r w:rsidRPr="00B36E7A">
        <w:tab/>
      </w:r>
      <w:r w:rsidR="003C7514" w:rsidRPr="00B36E7A">
        <w:rPr>
          <w:u w:val="single"/>
        </w:rPr>
        <w:t xml:space="preserve">March </w:t>
      </w:r>
      <w:r w:rsidR="00C17856" w:rsidRPr="00B36E7A">
        <w:rPr>
          <w:u w:val="single"/>
        </w:rPr>
        <w:t>27</w:t>
      </w:r>
      <w:r w:rsidR="008B155B" w:rsidRPr="00B36E7A">
        <w:rPr>
          <w:u w:val="single"/>
        </w:rPr>
        <w:t>, 2015</w:t>
      </w:r>
      <w:r w:rsidRPr="00B36E7A">
        <w:tab/>
      </w:r>
      <w:r w:rsidRPr="00B36E7A">
        <w:tab/>
      </w:r>
      <w:r w:rsidRPr="00B36E7A">
        <w:tab/>
      </w:r>
      <w:r w:rsidRPr="00B36E7A">
        <w:tab/>
      </w:r>
      <w:r w:rsidR="00BF6968">
        <w:rPr>
          <w:u w:val="single"/>
        </w:rPr>
        <w:tab/>
        <w:t>/s/</w:t>
      </w:r>
      <w:r w:rsidR="00BF6968">
        <w:rPr>
          <w:u w:val="single"/>
        </w:rPr>
        <w:tab/>
      </w:r>
      <w:r w:rsidR="00BF6968">
        <w:rPr>
          <w:u w:val="single"/>
        </w:rPr>
        <w:tab/>
      </w:r>
      <w:r w:rsidR="00BF6968">
        <w:rPr>
          <w:u w:val="single"/>
        </w:rPr>
        <w:tab/>
      </w:r>
      <w:r w:rsidR="00BF6968">
        <w:rPr>
          <w:u w:val="single"/>
        </w:rPr>
        <w:tab/>
      </w:r>
      <w:r w:rsidR="00BF6968">
        <w:rPr>
          <w:u w:val="single"/>
        </w:rPr>
        <w:tab/>
      </w:r>
    </w:p>
    <w:p w:rsidR="009943BE" w:rsidRPr="00B36E7A" w:rsidRDefault="009943BE" w:rsidP="009943BE">
      <w:pPr>
        <w:spacing w:line="240" w:lineRule="auto"/>
        <w:contextualSpacing/>
        <w:jc w:val="left"/>
      </w:pPr>
      <w:r w:rsidRPr="00B36E7A">
        <w:tab/>
      </w:r>
      <w:r w:rsidRPr="00B36E7A">
        <w:tab/>
      </w:r>
      <w:r w:rsidRPr="00B36E7A">
        <w:tab/>
      </w:r>
      <w:r w:rsidRPr="00B36E7A">
        <w:tab/>
      </w:r>
      <w:r w:rsidRPr="00B36E7A">
        <w:tab/>
      </w:r>
      <w:r w:rsidRPr="00B36E7A">
        <w:tab/>
      </w:r>
      <w:r w:rsidRPr="00B36E7A">
        <w:tab/>
        <w:t>Susan D. Colwell</w:t>
      </w:r>
    </w:p>
    <w:p w:rsidR="009943BE" w:rsidRPr="00B36E7A" w:rsidRDefault="009943BE" w:rsidP="009943BE">
      <w:pPr>
        <w:spacing w:line="240" w:lineRule="auto"/>
        <w:contextualSpacing/>
        <w:jc w:val="left"/>
      </w:pPr>
      <w:r w:rsidRPr="00B36E7A">
        <w:tab/>
      </w:r>
      <w:r w:rsidRPr="00B36E7A">
        <w:tab/>
      </w:r>
      <w:r w:rsidRPr="00B36E7A">
        <w:tab/>
      </w:r>
      <w:r w:rsidRPr="00B36E7A">
        <w:tab/>
      </w:r>
      <w:r w:rsidRPr="00B36E7A">
        <w:tab/>
      </w:r>
      <w:r w:rsidRPr="00B36E7A">
        <w:tab/>
      </w:r>
      <w:r w:rsidRPr="00B36E7A">
        <w:tab/>
        <w:t>Administrative Law Judge</w:t>
      </w:r>
    </w:p>
    <w:p w:rsidR="009943BE" w:rsidRPr="00B36E7A" w:rsidRDefault="009943BE" w:rsidP="009943BE">
      <w:pPr>
        <w:contextualSpacing/>
        <w:jc w:val="left"/>
      </w:pPr>
    </w:p>
    <w:sectPr w:rsidR="009943BE" w:rsidRPr="00B36E7A" w:rsidSect="009866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6C" w:rsidRDefault="00D2196C" w:rsidP="009943BE">
      <w:pPr>
        <w:spacing w:line="240" w:lineRule="auto"/>
      </w:pPr>
      <w:r>
        <w:separator/>
      </w:r>
    </w:p>
  </w:endnote>
  <w:endnote w:type="continuationSeparator" w:id="0">
    <w:p w:rsidR="00D2196C" w:rsidRDefault="00D2196C" w:rsidP="0099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522"/>
      <w:docPartObj>
        <w:docPartGallery w:val="Page Numbers (Bottom of Page)"/>
        <w:docPartUnique/>
      </w:docPartObj>
    </w:sdtPr>
    <w:sdtEndPr>
      <w:rPr>
        <w:noProof/>
        <w:sz w:val="20"/>
        <w:szCs w:val="20"/>
      </w:rPr>
    </w:sdtEndPr>
    <w:sdtContent>
      <w:p w:rsidR="00986649" w:rsidRPr="00B36E7A" w:rsidRDefault="00986649" w:rsidP="00B36E7A">
        <w:pPr>
          <w:pStyle w:val="Footer"/>
          <w:rPr>
            <w:sz w:val="20"/>
            <w:szCs w:val="20"/>
          </w:rPr>
        </w:pPr>
        <w:r w:rsidRPr="00B36E7A">
          <w:rPr>
            <w:sz w:val="20"/>
            <w:szCs w:val="20"/>
          </w:rPr>
          <w:fldChar w:fldCharType="begin"/>
        </w:r>
        <w:r w:rsidRPr="00B36E7A">
          <w:rPr>
            <w:sz w:val="20"/>
            <w:szCs w:val="20"/>
          </w:rPr>
          <w:instrText xml:space="preserve"> PAGE   \* MERGEFORMAT </w:instrText>
        </w:r>
        <w:r w:rsidRPr="00B36E7A">
          <w:rPr>
            <w:sz w:val="20"/>
            <w:szCs w:val="20"/>
          </w:rPr>
          <w:fldChar w:fldCharType="separate"/>
        </w:r>
        <w:r w:rsidR="005E13CD">
          <w:rPr>
            <w:noProof/>
            <w:sz w:val="20"/>
            <w:szCs w:val="20"/>
          </w:rPr>
          <w:t>3</w:t>
        </w:r>
        <w:r w:rsidRPr="00B36E7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6C" w:rsidRDefault="00D2196C" w:rsidP="00B36E7A">
      <w:pPr>
        <w:spacing w:line="240" w:lineRule="auto"/>
        <w:jc w:val="left"/>
      </w:pPr>
      <w:r>
        <w:separator/>
      </w:r>
    </w:p>
  </w:footnote>
  <w:footnote w:type="continuationSeparator" w:id="0">
    <w:p w:rsidR="00D2196C" w:rsidRDefault="00D2196C" w:rsidP="009943BE">
      <w:pPr>
        <w:spacing w:line="240" w:lineRule="auto"/>
      </w:pPr>
      <w:r>
        <w:continuationSeparator/>
      </w:r>
    </w:p>
  </w:footnote>
  <w:footnote w:id="1">
    <w:p w:rsidR="0080371F" w:rsidRPr="0080371F" w:rsidRDefault="0080371F" w:rsidP="00B36E7A">
      <w:pPr>
        <w:spacing w:line="240" w:lineRule="auto"/>
        <w:ind w:firstLine="720"/>
        <w:jc w:val="left"/>
        <w:rPr>
          <w:sz w:val="20"/>
          <w:szCs w:val="20"/>
        </w:rPr>
      </w:pPr>
      <w:r>
        <w:rPr>
          <w:rStyle w:val="FootnoteReference"/>
        </w:rPr>
        <w:footnoteRef/>
      </w:r>
      <w:r w:rsidR="00B36E7A">
        <w:tab/>
      </w:r>
      <w:r w:rsidRPr="0080371F">
        <w:rPr>
          <w:sz w:val="20"/>
          <w:szCs w:val="20"/>
        </w:rPr>
        <w:t>PECO has signed a waiver of the Section 702 requirements for service of formal complaints, 66 Pa.C.S.  702, and has agreed to electronic service instead under the Commission’s Waiver of 702 program.  Service is listed in the Audit History of the cas</w:t>
      </w:r>
      <w:r>
        <w:rPr>
          <w:sz w:val="20"/>
          <w:szCs w:val="20"/>
        </w:rPr>
        <w:t>e as having been effected electronically on February 2, 2015</w:t>
      </w:r>
      <w:r w:rsidRPr="0080371F">
        <w:rPr>
          <w:sz w:val="20"/>
          <w:szCs w:val="20"/>
        </w:rPr>
        <w:t>.</w:t>
      </w:r>
    </w:p>
    <w:p w:rsidR="0080371F" w:rsidRDefault="0080371F" w:rsidP="0080371F">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0417C"/>
    <w:multiLevelType w:val="hybridMultilevel"/>
    <w:tmpl w:val="E4DC87CC"/>
    <w:lvl w:ilvl="0" w:tplc="DF9C1E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7087CEC"/>
    <w:multiLevelType w:val="hybridMultilevel"/>
    <w:tmpl w:val="3FF2ACB0"/>
    <w:lvl w:ilvl="0" w:tplc="C60417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CE"/>
    <w:rsid w:val="00001E3A"/>
    <w:rsid w:val="00001EF6"/>
    <w:rsid w:val="000028EA"/>
    <w:rsid w:val="00003D11"/>
    <w:rsid w:val="00004AA3"/>
    <w:rsid w:val="00004D11"/>
    <w:rsid w:val="00005558"/>
    <w:rsid w:val="000079FE"/>
    <w:rsid w:val="00012104"/>
    <w:rsid w:val="00012655"/>
    <w:rsid w:val="0001305A"/>
    <w:rsid w:val="00016E55"/>
    <w:rsid w:val="0002023D"/>
    <w:rsid w:val="00020760"/>
    <w:rsid w:val="0002105C"/>
    <w:rsid w:val="0002110E"/>
    <w:rsid w:val="0002281E"/>
    <w:rsid w:val="00022B3F"/>
    <w:rsid w:val="00025D7A"/>
    <w:rsid w:val="000304BF"/>
    <w:rsid w:val="00032379"/>
    <w:rsid w:val="0003306B"/>
    <w:rsid w:val="00033303"/>
    <w:rsid w:val="000338CD"/>
    <w:rsid w:val="00035BB8"/>
    <w:rsid w:val="000372C5"/>
    <w:rsid w:val="00037484"/>
    <w:rsid w:val="000377F5"/>
    <w:rsid w:val="00037E0F"/>
    <w:rsid w:val="00040EB6"/>
    <w:rsid w:val="00041ACF"/>
    <w:rsid w:val="00044B8B"/>
    <w:rsid w:val="00044FC0"/>
    <w:rsid w:val="0004643F"/>
    <w:rsid w:val="000466BF"/>
    <w:rsid w:val="00046714"/>
    <w:rsid w:val="00046940"/>
    <w:rsid w:val="000478E2"/>
    <w:rsid w:val="000541C0"/>
    <w:rsid w:val="0005423F"/>
    <w:rsid w:val="00055078"/>
    <w:rsid w:val="00055CC5"/>
    <w:rsid w:val="00057000"/>
    <w:rsid w:val="000576ED"/>
    <w:rsid w:val="000605B6"/>
    <w:rsid w:val="00061278"/>
    <w:rsid w:val="000634EB"/>
    <w:rsid w:val="00063801"/>
    <w:rsid w:val="0006752D"/>
    <w:rsid w:val="000676B2"/>
    <w:rsid w:val="000678DA"/>
    <w:rsid w:val="00067CBC"/>
    <w:rsid w:val="00070AA1"/>
    <w:rsid w:val="00071A36"/>
    <w:rsid w:val="00072595"/>
    <w:rsid w:val="00072D46"/>
    <w:rsid w:val="00073BE1"/>
    <w:rsid w:val="00074065"/>
    <w:rsid w:val="00076092"/>
    <w:rsid w:val="000779CB"/>
    <w:rsid w:val="00081015"/>
    <w:rsid w:val="00082363"/>
    <w:rsid w:val="00084D0E"/>
    <w:rsid w:val="000852E5"/>
    <w:rsid w:val="00085A52"/>
    <w:rsid w:val="00086449"/>
    <w:rsid w:val="000902E3"/>
    <w:rsid w:val="0009043B"/>
    <w:rsid w:val="00091F08"/>
    <w:rsid w:val="0009220F"/>
    <w:rsid w:val="00092B4E"/>
    <w:rsid w:val="00092E44"/>
    <w:rsid w:val="0009318F"/>
    <w:rsid w:val="000931F7"/>
    <w:rsid w:val="00093562"/>
    <w:rsid w:val="00093B02"/>
    <w:rsid w:val="00093E43"/>
    <w:rsid w:val="00094E20"/>
    <w:rsid w:val="00096B3F"/>
    <w:rsid w:val="00097D77"/>
    <w:rsid w:val="000A2192"/>
    <w:rsid w:val="000A3B1C"/>
    <w:rsid w:val="000A4551"/>
    <w:rsid w:val="000A4E7A"/>
    <w:rsid w:val="000A5DEA"/>
    <w:rsid w:val="000A652E"/>
    <w:rsid w:val="000A770B"/>
    <w:rsid w:val="000B1BFC"/>
    <w:rsid w:val="000B1D64"/>
    <w:rsid w:val="000B26DC"/>
    <w:rsid w:val="000B2D0C"/>
    <w:rsid w:val="000B339A"/>
    <w:rsid w:val="000B7111"/>
    <w:rsid w:val="000C0311"/>
    <w:rsid w:val="000C2696"/>
    <w:rsid w:val="000C2A2B"/>
    <w:rsid w:val="000C34F3"/>
    <w:rsid w:val="000C4163"/>
    <w:rsid w:val="000C5976"/>
    <w:rsid w:val="000C6B6E"/>
    <w:rsid w:val="000C6EF0"/>
    <w:rsid w:val="000C6FAA"/>
    <w:rsid w:val="000C7A4F"/>
    <w:rsid w:val="000D29BA"/>
    <w:rsid w:val="000D3A9F"/>
    <w:rsid w:val="000D3E49"/>
    <w:rsid w:val="000D5763"/>
    <w:rsid w:val="000D6C57"/>
    <w:rsid w:val="000E2F36"/>
    <w:rsid w:val="000E44C4"/>
    <w:rsid w:val="000E49E6"/>
    <w:rsid w:val="000E4A42"/>
    <w:rsid w:val="000E503F"/>
    <w:rsid w:val="000E6655"/>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1B11"/>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AA8"/>
    <w:rsid w:val="00174F7E"/>
    <w:rsid w:val="0017580D"/>
    <w:rsid w:val="00175F76"/>
    <w:rsid w:val="00176C44"/>
    <w:rsid w:val="00181AB1"/>
    <w:rsid w:val="001857EA"/>
    <w:rsid w:val="00186328"/>
    <w:rsid w:val="001868F5"/>
    <w:rsid w:val="00190B2C"/>
    <w:rsid w:val="00191522"/>
    <w:rsid w:val="00192EB5"/>
    <w:rsid w:val="00195B78"/>
    <w:rsid w:val="00195C2B"/>
    <w:rsid w:val="001966CB"/>
    <w:rsid w:val="001969A7"/>
    <w:rsid w:val="00196C5A"/>
    <w:rsid w:val="0019791B"/>
    <w:rsid w:val="00197E5D"/>
    <w:rsid w:val="001A01D0"/>
    <w:rsid w:val="001A0F84"/>
    <w:rsid w:val="001A103D"/>
    <w:rsid w:val="001A1644"/>
    <w:rsid w:val="001A216A"/>
    <w:rsid w:val="001A33F5"/>
    <w:rsid w:val="001A3A31"/>
    <w:rsid w:val="001A3D48"/>
    <w:rsid w:val="001A41D4"/>
    <w:rsid w:val="001A5421"/>
    <w:rsid w:val="001A6541"/>
    <w:rsid w:val="001A7F95"/>
    <w:rsid w:val="001B06B8"/>
    <w:rsid w:val="001B1B1D"/>
    <w:rsid w:val="001B3572"/>
    <w:rsid w:val="001B3D6F"/>
    <w:rsid w:val="001B477B"/>
    <w:rsid w:val="001B4B2B"/>
    <w:rsid w:val="001B4EC8"/>
    <w:rsid w:val="001B6470"/>
    <w:rsid w:val="001B760E"/>
    <w:rsid w:val="001C0252"/>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C03"/>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2D81"/>
    <w:rsid w:val="002241D0"/>
    <w:rsid w:val="00224756"/>
    <w:rsid w:val="0022478F"/>
    <w:rsid w:val="00227A4A"/>
    <w:rsid w:val="00230CC6"/>
    <w:rsid w:val="00232397"/>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632"/>
    <w:rsid w:val="00252DB6"/>
    <w:rsid w:val="00252DFD"/>
    <w:rsid w:val="00252F2A"/>
    <w:rsid w:val="0025351B"/>
    <w:rsid w:val="002546D8"/>
    <w:rsid w:val="002557C7"/>
    <w:rsid w:val="002558A3"/>
    <w:rsid w:val="00255930"/>
    <w:rsid w:val="00255ABE"/>
    <w:rsid w:val="00256505"/>
    <w:rsid w:val="00257009"/>
    <w:rsid w:val="00260459"/>
    <w:rsid w:val="00260814"/>
    <w:rsid w:val="00262A17"/>
    <w:rsid w:val="00262AF8"/>
    <w:rsid w:val="00263AD5"/>
    <w:rsid w:val="0026705F"/>
    <w:rsid w:val="002704DD"/>
    <w:rsid w:val="00270AF3"/>
    <w:rsid w:val="00270C7B"/>
    <w:rsid w:val="0027207B"/>
    <w:rsid w:val="0027210A"/>
    <w:rsid w:val="002748C2"/>
    <w:rsid w:val="002752C3"/>
    <w:rsid w:val="00275659"/>
    <w:rsid w:val="002761E2"/>
    <w:rsid w:val="00277591"/>
    <w:rsid w:val="00277798"/>
    <w:rsid w:val="00283282"/>
    <w:rsid w:val="00283433"/>
    <w:rsid w:val="00284760"/>
    <w:rsid w:val="00286A34"/>
    <w:rsid w:val="002871C2"/>
    <w:rsid w:val="00287CB1"/>
    <w:rsid w:val="0029096F"/>
    <w:rsid w:val="00290AD2"/>
    <w:rsid w:val="00292FD8"/>
    <w:rsid w:val="0029353E"/>
    <w:rsid w:val="00293F4E"/>
    <w:rsid w:val="00296B74"/>
    <w:rsid w:val="00297286"/>
    <w:rsid w:val="002A05C6"/>
    <w:rsid w:val="002A1522"/>
    <w:rsid w:val="002A17F4"/>
    <w:rsid w:val="002A33BD"/>
    <w:rsid w:val="002A4E7E"/>
    <w:rsid w:val="002A5F4D"/>
    <w:rsid w:val="002A70E9"/>
    <w:rsid w:val="002A7A0A"/>
    <w:rsid w:val="002B0D61"/>
    <w:rsid w:val="002B2AF4"/>
    <w:rsid w:val="002B3E20"/>
    <w:rsid w:val="002B541A"/>
    <w:rsid w:val="002B754D"/>
    <w:rsid w:val="002C0694"/>
    <w:rsid w:val="002C1023"/>
    <w:rsid w:val="002C4F02"/>
    <w:rsid w:val="002C60D9"/>
    <w:rsid w:val="002C69AD"/>
    <w:rsid w:val="002D0E4D"/>
    <w:rsid w:val="002D11F2"/>
    <w:rsid w:val="002D1E71"/>
    <w:rsid w:val="002D29B0"/>
    <w:rsid w:val="002D400B"/>
    <w:rsid w:val="002D5798"/>
    <w:rsid w:val="002D5B2A"/>
    <w:rsid w:val="002D6B36"/>
    <w:rsid w:val="002D7136"/>
    <w:rsid w:val="002D7978"/>
    <w:rsid w:val="002E2283"/>
    <w:rsid w:val="002E2CAD"/>
    <w:rsid w:val="002E32C2"/>
    <w:rsid w:val="002E5790"/>
    <w:rsid w:val="002E6CB4"/>
    <w:rsid w:val="002E7DDB"/>
    <w:rsid w:val="002F1338"/>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9C1"/>
    <w:rsid w:val="00317261"/>
    <w:rsid w:val="0032130D"/>
    <w:rsid w:val="00321DB1"/>
    <w:rsid w:val="00326EEE"/>
    <w:rsid w:val="00326F3E"/>
    <w:rsid w:val="00330A67"/>
    <w:rsid w:val="00332673"/>
    <w:rsid w:val="00332A51"/>
    <w:rsid w:val="00333ADD"/>
    <w:rsid w:val="00334F62"/>
    <w:rsid w:val="00336496"/>
    <w:rsid w:val="003364EB"/>
    <w:rsid w:val="00336CE8"/>
    <w:rsid w:val="003425CF"/>
    <w:rsid w:val="0034272B"/>
    <w:rsid w:val="00342BFE"/>
    <w:rsid w:val="00344C34"/>
    <w:rsid w:val="00345C65"/>
    <w:rsid w:val="00346679"/>
    <w:rsid w:val="003470E8"/>
    <w:rsid w:val="00347634"/>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F23"/>
    <w:rsid w:val="00375889"/>
    <w:rsid w:val="003760EB"/>
    <w:rsid w:val="00380892"/>
    <w:rsid w:val="00381B05"/>
    <w:rsid w:val="00383321"/>
    <w:rsid w:val="00385BF0"/>
    <w:rsid w:val="00385DAD"/>
    <w:rsid w:val="00386626"/>
    <w:rsid w:val="003908D7"/>
    <w:rsid w:val="00390929"/>
    <w:rsid w:val="00390DBB"/>
    <w:rsid w:val="00391CFF"/>
    <w:rsid w:val="003924CC"/>
    <w:rsid w:val="00392BE1"/>
    <w:rsid w:val="00396333"/>
    <w:rsid w:val="00396ADD"/>
    <w:rsid w:val="0039716B"/>
    <w:rsid w:val="003A0B9C"/>
    <w:rsid w:val="003A0E5A"/>
    <w:rsid w:val="003A0F8D"/>
    <w:rsid w:val="003A5E83"/>
    <w:rsid w:val="003A645E"/>
    <w:rsid w:val="003A6A5F"/>
    <w:rsid w:val="003A7581"/>
    <w:rsid w:val="003A7600"/>
    <w:rsid w:val="003B2E77"/>
    <w:rsid w:val="003B3FDD"/>
    <w:rsid w:val="003B4D40"/>
    <w:rsid w:val="003B5D19"/>
    <w:rsid w:val="003B610B"/>
    <w:rsid w:val="003C34F1"/>
    <w:rsid w:val="003C421E"/>
    <w:rsid w:val="003C47E8"/>
    <w:rsid w:val="003C5102"/>
    <w:rsid w:val="003C5586"/>
    <w:rsid w:val="003C610C"/>
    <w:rsid w:val="003C6962"/>
    <w:rsid w:val="003C6F65"/>
    <w:rsid w:val="003C7514"/>
    <w:rsid w:val="003D1F46"/>
    <w:rsid w:val="003D41CF"/>
    <w:rsid w:val="003D4977"/>
    <w:rsid w:val="003D5045"/>
    <w:rsid w:val="003E1442"/>
    <w:rsid w:val="003E2B14"/>
    <w:rsid w:val="003E2FDE"/>
    <w:rsid w:val="003E447A"/>
    <w:rsid w:val="003E5240"/>
    <w:rsid w:val="003E54B5"/>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7A"/>
    <w:rsid w:val="004222CB"/>
    <w:rsid w:val="00423359"/>
    <w:rsid w:val="00425C94"/>
    <w:rsid w:val="00426277"/>
    <w:rsid w:val="004262B3"/>
    <w:rsid w:val="00426605"/>
    <w:rsid w:val="00430FE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7B5C"/>
    <w:rsid w:val="0047070D"/>
    <w:rsid w:val="00473C91"/>
    <w:rsid w:val="00477A71"/>
    <w:rsid w:val="00481269"/>
    <w:rsid w:val="00483704"/>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26FD"/>
    <w:rsid w:val="004B570B"/>
    <w:rsid w:val="004B652A"/>
    <w:rsid w:val="004B7DB2"/>
    <w:rsid w:val="004C015B"/>
    <w:rsid w:val="004C125D"/>
    <w:rsid w:val="004C1ABF"/>
    <w:rsid w:val="004C30D2"/>
    <w:rsid w:val="004C3AE2"/>
    <w:rsid w:val="004C4C1E"/>
    <w:rsid w:val="004C583B"/>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249F"/>
    <w:rsid w:val="00503207"/>
    <w:rsid w:val="00503634"/>
    <w:rsid w:val="00504F92"/>
    <w:rsid w:val="00505551"/>
    <w:rsid w:val="005078B3"/>
    <w:rsid w:val="00510A28"/>
    <w:rsid w:val="00511C54"/>
    <w:rsid w:val="0051292E"/>
    <w:rsid w:val="00514EF8"/>
    <w:rsid w:val="005160AC"/>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AA2"/>
    <w:rsid w:val="005449AC"/>
    <w:rsid w:val="00544A16"/>
    <w:rsid w:val="005472EC"/>
    <w:rsid w:val="00547C82"/>
    <w:rsid w:val="00550845"/>
    <w:rsid w:val="0055122B"/>
    <w:rsid w:val="00551AF1"/>
    <w:rsid w:val="00552915"/>
    <w:rsid w:val="005534BD"/>
    <w:rsid w:val="005623DE"/>
    <w:rsid w:val="00562A9A"/>
    <w:rsid w:val="00564A3A"/>
    <w:rsid w:val="005650FF"/>
    <w:rsid w:val="005659E3"/>
    <w:rsid w:val="00566DDB"/>
    <w:rsid w:val="005674EF"/>
    <w:rsid w:val="00570742"/>
    <w:rsid w:val="00570C2E"/>
    <w:rsid w:val="00571577"/>
    <w:rsid w:val="00571C60"/>
    <w:rsid w:val="0057213D"/>
    <w:rsid w:val="005729E9"/>
    <w:rsid w:val="005731E7"/>
    <w:rsid w:val="005732E9"/>
    <w:rsid w:val="0057454E"/>
    <w:rsid w:val="00575D4F"/>
    <w:rsid w:val="00575F27"/>
    <w:rsid w:val="0058036C"/>
    <w:rsid w:val="0058073B"/>
    <w:rsid w:val="00580815"/>
    <w:rsid w:val="00582289"/>
    <w:rsid w:val="0058363F"/>
    <w:rsid w:val="00584CB9"/>
    <w:rsid w:val="00585BD9"/>
    <w:rsid w:val="005861CE"/>
    <w:rsid w:val="00587B74"/>
    <w:rsid w:val="00591696"/>
    <w:rsid w:val="00593FF1"/>
    <w:rsid w:val="00594648"/>
    <w:rsid w:val="00594E77"/>
    <w:rsid w:val="0059623B"/>
    <w:rsid w:val="00596D1D"/>
    <w:rsid w:val="005A1839"/>
    <w:rsid w:val="005A1E3A"/>
    <w:rsid w:val="005A2923"/>
    <w:rsid w:val="005A3759"/>
    <w:rsid w:val="005A44D9"/>
    <w:rsid w:val="005A5826"/>
    <w:rsid w:val="005A6ADE"/>
    <w:rsid w:val="005B3D45"/>
    <w:rsid w:val="005B78C4"/>
    <w:rsid w:val="005C2527"/>
    <w:rsid w:val="005C373B"/>
    <w:rsid w:val="005C3DD2"/>
    <w:rsid w:val="005C4AAA"/>
    <w:rsid w:val="005C610A"/>
    <w:rsid w:val="005D1442"/>
    <w:rsid w:val="005D1922"/>
    <w:rsid w:val="005D2788"/>
    <w:rsid w:val="005D4281"/>
    <w:rsid w:val="005D5E44"/>
    <w:rsid w:val="005D6E32"/>
    <w:rsid w:val="005E06D4"/>
    <w:rsid w:val="005E13CD"/>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30"/>
    <w:rsid w:val="006543FB"/>
    <w:rsid w:val="006549F5"/>
    <w:rsid w:val="00655505"/>
    <w:rsid w:val="00655AA7"/>
    <w:rsid w:val="00655F80"/>
    <w:rsid w:val="00656541"/>
    <w:rsid w:val="00660216"/>
    <w:rsid w:val="006609B7"/>
    <w:rsid w:val="006621E9"/>
    <w:rsid w:val="00662904"/>
    <w:rsid w:val="00664A57"/>
    <w:rsid w:val="00664C73"/>
    <w:rsid w:val="00665F1F"/>
    <w:rsid w:val="00671999"/>
    <w:rsid w:val="006735F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09D1"/>
    <w:rsid w:val="006D1276"/>
    <w:rsid w:val="006D13C4"/>
    <w:rsid w:val="006D1E5C"/>
    <w:rsid w:val="006D2C14"/>
    <w:rsid w:val="006D3945"/>
    <w:rsid w:val="006D4C15"/>
    <w:rsid w:val="006D5BD5"/>
    <w:rsid w:val="006D7692"/>
    <w:rsid w:val="006E1753"/>
    <w:rsid w:val="006E1E61"/>
    <w:rsid w:val="006E3BF0"/>
    <w:rsid w:val="006E4E29"/>
    <w:rsid w:val="006E5D2E"/>
    <w:rsid w:val="006E670A"/>
    <w:rsid w:val="006E7C63"/>
    <w:rsid w:val="006F119D"/>
    <w:rsid w:val="006F15E9"/>
    <w:rsid w:val="006F252A"/>
    <w:rsid w:val="006F27FC"/>
    <w:rsid w:val="006F3153"/>
    <w:rsid w:val="006F343F"/>
    <w:rsid w:val="006F4B6F"/>
    <w:rsid w:val="006F4F6D"/>
    <w:rsid w:val="006F6668"/>
    <w:rsid w:val="0070008A"/>
    <w:rsid w:val="007021FA"/>
    <w:rsid w:val="0070357F"/>
    <w:rsid w:val="00703DA7"/>
    <w:rsid w:val="00703E05"/>
    <w:rsid w:val="00704458"/>
    <w:rsid w:val="00704A16"/>
    <w:rsid w:val="00705178"/>
    <w:rsid w:val="00705262"/>
    <w:rsid w:val="00705CA5"/>
    <w:rsid w:val="0070653C"/>
    <w:rsid w:val="00706ED7"/>
    <w:rsid w:val="00707683"/>
    <w:rsid w:val="00710289"/>
    <w:rsid w:val="00713444"/>
    <w:rsid w:val="0071374E"/>
    <w:rsid w:val="00714B6A"/>
    <w:rsid w:val="00716D0A"/>
    <w:rsid w:val="00717AF6"/>
    <w:rsid w:val="00720157"/>
    <w:rsid w:val="00720579"/>
    <w:rsid w:val="00721ECF"/>
    <w:rsid w:val="00722D13"/>
    <w:rsid w:val="007230FE"/>
    <w:rsid w:val="00725BEA"/>
    <w:rsid w:val="00725CB5"/>
    <w:rsid w:val="00726409"/>
    <w:rsid w:val="007306D1"/>
    <w:rsid w:val="00730BE2"/>
    <w:rsid w:val="00732046"/>
    <w:rsid w:val="007335EB"/>
    <w:rsid w:val="007337E0"/>
    <w:rsid w:val="007344C3"/>
    <w:rsid w:val="00736C31"/>
    <w:rsid w:val="0074239D"/>
    <w:rsid w:val="00742CE1"/>
    <w:rsid w:val="0074372C"/>
    <w:rsid w:val="00744C7C"/>
    <w:rsid w:val="00745862"/>
    <w:rsid w:val="0074623E"/>
    <w:rsid w:val="00746657"/>
    <w:rsid w:val="0074687F"/>
    <w:rsid w:val="00746973"/>
    <w:rsid w:val="00747C4D"/>
    <w:rsid w:val="00751055"/>
    <w:rsid w:val="007517A4"/>
    <w:rsid w:val="007552DD"/>
    <w:rsid w:val="0075585E"/>
    <w:rsid w:val="00755A77"/>
    <w:rsid w:val="00757985"/>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2D9"/>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08B1"/>
    <w:rsid w:val="007F2A44"/>
    <w:rsid w:val="007F6E2B"/>
    <w:rsid w:val="007F7699"/>
    <w:rsid w:val="007F773D"/>
    <w:rsid w:val="008003C8"/>
    <w:rsid w:val="00802118"/>
    <w:rsid w:val="008033F1"/>
    <w:rsid w:val="0080371F"/>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3FB"/>
    <w:rsid w:val="008537C0"/>
    <w:rsid w:val="00855167"/>
    <w:rsid w:val="00857642"/>
    <w:rsid w:val="00857872"/>
    <w:rsid w:val="00857F8E"/>
    <w:rsid w:val="00860759"/>
    <w:rsid w:val="0086230F"/>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133B"/>
    <w:rsid w:val="008A28F5"/>
    <w:rsid w:val="008A51AD"/>
    <w:rsid w:val="008B155B"/>
    <w:rsid w:val="008B2982"/>
    <w:rsid w:val="008B2F05"/>
    <w:rsid w:val="008B456E"/>
    <w:rsid w:val="008B4782"/>
    <w:rsid w:val="008B51B9"/>
    <w:rsid w:val="008B5BC6"/>
    <w:rsid w:val="008B6119"/>
    <w:rsid w:val="008B62FA"/>
    <w:rsid w:val="008B7153"/>
    <w:rsid w:val="008B727C"/>
    <w:rsid w:val="008B7B5D"/>
    <w:rsid w:val="008C03AD"/>
    <w:rsid w:val="008C11EE"/>
    <w:rsid w:val="008C1485"/>
    <w:rsid w:val="008C175C"/>
    <w:rsid w:val="008C2DAF"/>
    <w:rsid w:val="008C3720"/>
    <w:rsid w:val="008C4D41"/>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14C"/>
    <w:rsid w:val="00940622"/>
    <w:rsid w:val="009412D9"/>
    <w:rsid w:val="00942A6A"/>
    <w:rsid w:val="00944730"/>
    <w:rsid w:val="00944858"/>
    <w:rsid w:val="009471B5"/>
    <w:rsid w:val="00947A93"/>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6649"/>
    <w:rsid w:val="00987014"/>
    <w:rsid w:val="009871AC"/>
    <w:rsid w:val="00990892"/>
    <w:rsid w:val="009943BE"/>
    <w:rsid w:val="00997443"/>
    <w:rsid w:val="009A1BA1"/>
    <w:rsid w:val="009A2A81"/>
    <w:rsid w:val="009A2AFB"/>
    <w:rsid w:val="009A2DE2"/>
    <w:rsid w:val="009A3B62"/>
    <w:rsid w:val="009A3ED4"/>
    <w:rsid w:val="009A56EE"/>
    <w:rsid w:val="009A5C47"/>
    <w:rsid w:val="009A68E7"/>
    <w:rsid w:val="009A6BC5"/>
    <w:rsid w:val="009A7481"/>
    <w:rsid w:val="009B0164"/>
    <w:rsid w:val="009B2B90"/>
    <w:rsid w:val="009B4A92"/>
    <w:rsid w:val="009B4B7B"/>
    <w:rsid w:val="009B4CB6"/>
    <w:rsid w:val="009B66C0"/>
    <w:rsid w:val="009B72A1"/>
    <w:rsid w:val="009B74A5"/>
    <w:rsid w:val="009C0E90"/>
    <w:rsid w:val="009C24F9"/>
    <w:rsid w:val="009C35D4"/>
    <w:rsid w:val="009C638A"/>
    <w:rsid w:val="009D3AAC"/>
    <w:rsid w:val="009D40B2"/>
    <w:rsid w:val="009D5B63"/>
    <w:rsid w:val="009D6C48"/>
    <w:rsid w:val="009E1679"/>
    <w:rsid w:val="009E1BE9"/>
    <w:rsid w:val="009E2348"/>
    <w:rsid w:val="009E239E"/>
    <w:rsid w:val="009E271D"/>
    <w:rsid w:val="009E362F"/>
    <w:rsid w:val="009E40DF"/>
    <w:rsid w:val="009E59CA"/>
    <w:rsid w:val="009F0442"/>
    <w:rsid w:val="009F1AEE"/>
    <w:rsid w:val="009F1DB1"/>
    <w:rsid w:val="009F1EA5"/>
    <w:rsid w:val="009F5E68"/>
    <w:rsid w:val="009F69E5"/>
    <w:rsid w:val="009F7476"/>
    <w:rsid w:val="009F768D"/>
    <w:rsid w:val="00A00378"/>
    <w:rsid w:val="00A00F26"/>
    <w:rsid w:val="00A018F7"/>
    <w:rsid w:val="00A02ABC"/>
    <w:rsid w:val="00A039B4"/>
    <w:rsid w:val="00A0555A"/>
    <w:rsid w:val="00A063F2"/>
    <w:rsid w:val="00A0799C"/>
    <w:rsid w:val="00A07D8F"/>
    <w:rsid w:val="00A12531"/>
    <w:rsid w:val="00A1274B"/>
    <w:rsid w:val="00A13C95"/>
    <w:rsid w:val="00A15615"/>
    <w:rsid w:val="00A1707A"/>
    <w:rsid w:val="00A215E2"/>
    <w:rsid w:val="00A2164F"/>
    <w:rsid w:val="00A22514"/>
    <w:rsid w:val="00A23803"/>
    <w:rsid w:val="00A249F6"/>
    <w:rsid w:val="00A2509D"/>
    <w:rsid w:val="00A250AD"/>
    <w:rsid w:val="00A251C6"/>
    <w:rsid w:val="00A26704"/>
    <w:rsid w:val="00A27248"/>
    <w:rsid w:val="00A27289"/>
    <w:rsid w:val="00A321F9"/>
    <w:rsid w:val="00A32786"/>
    <w:rsid w:val="00A32DE6"/>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0D15"/>
    <w:rsid w:val="00A635D9"/>
    <w:rsid w:val="00A64C8D"/>
    <w:rsid w:val="00A6721B"/>
    <w:rsid w:val="00A70355"/>
    <w:rsid w:val="00A7046F"/>
    <w:rsid w:val="00A71E4D"/>
    <w:rsid w:val="00A73547"/>
    <w:rsid w:val="00A73D17"/>
    <w:rsid w:val="00A73D4F"/>
    <w:rsid w:val="00A74128"/>
    <w:rsid w:val="00A7538D"/>
    <w:rsid w:val="00A75C3A"/>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0AE"/>
    <w:rsid w:val="00AB16AD"/>
    <w:rsid w:val="00AB24CE"/>
    <w:rsid w:val="00AB3CE6"/>
    <w:rsid w:val="00AB3E2B"/>
    <w:rsid w:val="00AB65C7"/>
    <w:rsid w:val="00AB671D"/>
    <w:rsid w:val="00AB6BFE"/>
    <w:rsid w:val="00AB7130"/>
    <w:rsid w:val="00AB7311"/>
    <w:rsid w:val="00AB78D0"/>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422"/>
    <w:rsid w:val="00AE7CD5"/>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7EC"/>
    <w:rsid w:val="00B20FAA"/>
    <w:rsid w:val="00B21806"/>
    <w:rsid w:val="00B21CD8"/>
    <w:rsid w:val="00B21FBA"/>
    <w:rsid w:val="00B23036"/>
    <w:rsid w:val="00B23264"/>
    <w:rsid w:val="00B2793E"/>
    <w:rsid w:val="00B3022C"/>
    <w:rsid w:val="00B32ABD"/>
    <w:rsid w:val="00B32E35"/>
    <w:rsid w:val="00B33B37"/>
    <w:rsid w:val="00B35017"/>
    <w:rsid w:val="00B3524B"/>
    <w:rsid w:val="00B36E7A"/>
    <w:rsid w:val="00B374E5"/>
    <w:rsid w:val="00B3764A"/>
    <w:rsid w:val="00B37AA5"/>
    <w:rsid w:val="00B41FA0"/>
    <w:rsid w:val="00B42826"/>
    <w:rsid w:val="00B430FA"/>
    <w:rsid w:val="00B43982"/>
    <w:rsid w:val="00B459AF"/>
    <w:rsid w:val="00B459CF"/>
    <w:rsid w:val="00B475B6"/>
    <w:rsid w:val="00B55869"/>
    <w:rsid w:val="00B567F1"/>
    <w:rsid w:val="00B569FA"/>
    <w:rsid w:val="00B571D3"/>
    <w:rsid w:val="00B60E2D"/>
    <w:rsid w:val="00B621EB"/>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540"/>
    <w:rsid w:val="00B93D8F"/>
    <w:rsid w:val="00B96A32"/>
    <w:rsid w:val="00B9799D"/>
    <w:rsid w:val="00BA1322"/>
    <w:rsid w:val="00BA25FD"/>
    <w:rsid w:val="00BA2D85"/>
    <w:rsid w:val="00BA3AA7"/>
    <w:rsid w:val="00BA3C3F"/>
    <w:rsid w:val="00BA5CEA"/>
    <w:rsid w:val="00BA690D"/>
    <w:rsid w:val="00BA7612"/>
    <w:rsid w:val="00BA7773"/>
    <w:rsid w:val="00BA7796"/>
    <w:rsid w:val="00BB1D36"/>
    <w:rsid w:val="00BB2E03"/>
    <w:rsid w:val="00BB3631"/>
    <w:rsid w:val="00BB3FF6"/>
    <w:rsid w:val="00BB5630"/>
    <w:rsid w:val="00BB6BE1"/>
    <w:rsid w:val="00BC392E"/>
    <w:rsid w:val="00BC60A6"/>
    <w:rsid w:val="00BC62E0"/>
    <w:rsid w:val="00BC6FBF"/>
    <w:rsid w:val="00BD00D9"/>
    <w:rsid w:val="00BD065C"/>
    <w:rsid w:val="00BD1886"/>
    <w:rsid w:val="00BD23E3"/>
    <w:rsid w:val="00BD40BC"/>
    <w:rsid w:val="00BD6234"/>
    <w:rsid w:val="00BE0437"/>
    <w:rsid w:val="00BE04F6"/>
    <w:rsid w:val="00BE107D"/>
    <w:rsid w:val="00BE2D6C"/>
    <w:rsid w:val="00BE34D0"/>
    <w:rsid w:val="00BE4C2B"/>
    <w:rsid w:val="00BE52CA"/>
    <w:rsid w:val="00BE5D1C"/>
    <w:rsid w:val="00BE701E"/>
    <w:rsid w:val="00BE7640"/>
    <w:rsid w:val="00BF0242"/>
    <w:rsid w:val="00BF0AE5"/>
    <w:rsid w:val="00BF144D"/>
    <w:rsid w:val="00BF214A"/>
    <w:rsid w:val="00BF377B"/>
    <w:rsid w:val="00BF3E1B"/>
    <w:rsid w:val="00BF635B"/>
    <w:rsid w:val="00BF6968"/>
    <w:rsid w:val="00BF7D51"/>
    <w:rsid w:val="00C00699"/>
    <w:rsid w:val="00C01975"/>
    <w:rsid w:val="00C02723"/>
    <w:rsid w:val="00C02A91"/>
    <w:rsid w:val="00C04960"/>
    <w:rsid w:val="00C04BB0"/>
    <w:rsid w:val="00C05ABD"/>
    <w:rsid w:val="00C06163"/>
    <w:rsid w:val="00C10226"/>
    <w:rsid w:val="00C10713"/>
    <w:rsid w:val="00C10E6A"/>
    <w:rsid w:val="00C11061"/>
    <w:rsid w:val="00C1120E"/>
    <w:rsid w:val="00C11391"/>
    <w:rsid w:val="00C114A8"/>
    <w:rsid w:val="00C12744"/>
    <w:rsid w:val="00C12EC0"/>
    <w:rsid w:val="00C1324E"/>
    <w:rsid w:val="00C138A5"/>
    <w:rsid w:val="00C14B96"/>
    <w:rsid w:val="00C158D4"/>
    <w:rsid w:val="00C17856"/>
    <w:rsid w:val="00C211F9"/>
    <w:rsid w:val="00C22F92"/>
    <w:rsid w:val="00C238EE"/>
    <w:rsid w:val="00C25927"/>
    <w:rsid w:val="00C2618B"/>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4380"/>
    <w:rsid w:val="00C613E2"/>
    <w:rsid w:val="00C621E3"/>
    <w:rsid w:val="00C6430C"/>
    <w:rsid w:val="00C64E24"/>
    <w:rsid w:val="00C65047"/>
    <w:rsid w:val="00C653CC"/>
    <w:rsid w:val="00C665D4"/>
    <w:rsid w:val="00C67E56"/>
    <w:rsid w:val="00C73CE1"/>
    <w:rsid w:val="00C74775"/>
    <w:rsid w:val="00C74E0C"/>
    <w:rsid w:val="00C76F9B"/>
    <w:rsid w:val="00C77064"/>
    <w:rsid w:val="00C77955"/>
    <w:rsid w:val="00C80AB6"/>
    <w:rsid w:val="00C824FE"/>
    <w:rsid w:val="00C833D6"/>
    <w:rsid w:val="00C84CDE"/>
    <w:rsid w:val="00C8762A"/>
    <w:rsid w:val="00C87BC7"/>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645"/>
    <w:rsid w:val="00CC74BD"/>
    <w:rsid w:val="00CD0768"/>
    <w:rsid w:val="00CD3CC4"/>
    <w:rsid w:val="00CD5969"/>
    <w:rsid w:val="00CD788F"/>
    <w:rsid w:val="00CE047D"/>
    <w:rsid w:val="00CE1017"/>
    <w:rsid w:val="00CE358A"/>
    <w:rsid w:val="00CE373E"/>
    <w:rsid w:val="00CE43AF"/>
    <w:rsid w:val="00CE4913"/>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58F"/>
    <w:rsid w:val="00D16E7D"/>
    <w:rsid w:val="00D17731"/>
    <w:rsid w:val="00D20E86"/>
    <w:rsid w:val="00D20FB3"/>
    <w:rsid w:val="00D2196C"/>
    <w:rsid w:val="00D21DFB"/>
    <w:rsid w:val="00D227C4"/>
    <w:rsid w:val="00D23048"/>
    <w:rsid w:val="00D2352A"/>
    <w:rsid w:val="00D23DD0"/>
    <w:rsid w:val="00D245BC"/>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092"/>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0260"/>
    <w:rsid w:val="00DD20E3"/>
    <w:rsid w:val="00DD2605"/>
    <w:rsid w:val="00DD2AAA"/>
    <w:rsid w:val="00DD50B5"/>
    <w:rsid w:val="00DD5275"/>
    <w:rsid w:val="00DD58A8"/>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E8C"/>
    <w:rsid w:val="00E0212C"/>
    <w:rsid w:val="00E02A20"/>
    <w:rsid w:val="00E030AE"/>
    <w:rsid w:val="00E04587"/>
    <w:rsid w:val="00E04EFF"/>
    <w:rsid w:val="00E05212"/>
    <w:rsid w:val="00E05A11"/>
    <w:rsid w:val="00E05D02"/>
    <w:rsid w:val="00E0690D"/>
    <w:rsid w:val="00E101A9"/>
    <w:rsid w:val="00E12954"/>
    <w:rsid w:val="00E12A2F"/>
    <w:rsid w:val="00E12D9F"/>
    <w:rsid w:val="00E12FAE"/>
    <w:rsid w:val="00E13468"/>
    <w:rsid w:val="00E1638A"/>
    <w:rsid w:val="00E203D5"/>
    <w:rsid w:val="00E24543"/>
    <w:rsid w:val="00E2457B"/>
    <w:rsid w:val="00E247DE"/>
    <w:rsid w:val="00E257AB"/>
    <w:rsid w:val="00E3212A"/>
    <w:rsid w:val="00E32221"/>
    <w:rsid w:val="00E32512"/>
    <w:rsid w:val="00E333C7"/>
    <w:rsid w:val="00E33479"/>
    <w:rsid w:val="00E3374E"/>
    <w:rsid w:val="00E33A7F"/>
    <w:rsid w:val="00E34A79"/>
    <w:rsid w:val="00E3743F"/>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116F"/>
    <w:rsid w:val="00E73F29"/>
    <w:rsid w:val="00E74899"/>
    <w:rsid w:val="00E759B1"/>
    <w:rsid w:val="00E779AA"/>
    <w:rsid w:val="00E80333"/>
    <w:rsid w:val="00E804F6"/>
    <w:rsid w:val="00E8107B"/>
    <w:rsid w:val="00E83629"/>
    <w:rsid w:val="00E838DB"/>
    <w:rsid w:val="00E83F7E"/>
    <w:rsid w:val="00E865F0"/>
    <w:rsid w:val="00E868E7"/>
    <w:rsid w:val="00E9310C"/>
    <w:rsid w:val="00E93979"/>
    <w:rsid w:val="00E93CD3"/>
    <w:rsid w:val="00E93F61"/>
    <w:rsid w:val="00E9501F"/>
    <w:rsid w:val="00E957F6"/>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551A"/>
    <w:rsid w:val="00F06144"/>
    <w:rsid w:val="00F06530"/>
    <w:rsid w:val="00F07B2D"/>
    <w:rsid w:val="00F07BCF"/>
    <w:rsid w:val="00F14929"/>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714"/>
    <w:rsid w:val="00F60DF6"/>
    <w:rsid w:val="00F61E12"/>
    <w:rsid w:val="00F626E7"/>
    <w:rsid w:val="00F62D04"/>
    <w:rsid w:val="00F6434A"/>
    <w:rsid w:val="00F70887"/>
    <w:rsid w:val="00F70A7D"/>
    <w:rsid w:val="00F748DD"/>
    <w:rsid w:val="00F76633"/>
    <w:rsid w:val="00F77EEC"/>
    <w:rsid w:val="00F81710"/>
    <w:rsid w:val="00F81BF6"/>
    <w:rsid w:val="00F81FF7"/>
    <w:rsid w:val="00F824AD"/>
    <w:rsid w:val="00F83E64"/>
    <w:rsid w:val="00F86EF9"/>
    <w:rsid w:val="00F86FB1"/>
    <w:rsid w:val="00F87E61"/>
    <w:rsid w:val="00F9058E"/>
    <w:rsid w:val="00F908E0"/>
    <w:rsid w:val="00F90B86"/>
    <w:rsid w:val="00F9335A"/>
    <w:rsid w:val="00F93755"/>
    <w:rsid w:val="00F93A32"/>
    <w:rsid w:val="00F9402D"/>
    <w:rsid w:val="00F94769"/>
    <w:rsid w:val="00F95CF5"/>
    <w:rsid w:val="00F97EE2"/>
    <w:rsid w:val="00FA0810"/>
    <w:rsid w:val="00FA14B5"/>
    <w:rsid w:val="00FA16BB"/>
    <w:rsid w:val="00FA2895"/>
    <w:rsid w:val="00FA29A4"/>
    <w:rsid w:val="00FA3DD7"/>
    <w:rsid w:val="00FA4D12"/>
    <w:rsid w:val="00FA5031"/>
    <w:rsid w:val="00FA56FF"/>
    <w:rsid w:val="00FB05E3"/>
    <w:rsid w:val="00FB106B"/>
    <w:rsid w:val="00FB4326"/>
    <w:rsid w:val="00FB4C6F"/>
    <w:rsid w:val="00FB64A1"/>
    <w:rsid w:val="00FB6506"/>
    <w:rsid w:val="00FB6732"/>
    <w:rsid w:val="00FB7D16"/>
    <w:rsid w:val="00FC0858"/>
    <w:rsid w:val="00FC110D"/>
    <w:rsid w:val="00FC3800"/>
    <w:rsid w:val="00FC4527"/>
    <w:rsid w:val="00FC5DCE"/>
    <w:rsid w:val="00FC65BE"/>
    <w:rsid w:val="00FC70C0"/>
    <w:rsid w:val="00FC7307"/>
    <w:rsid w:val="00FD1EEA"/>
    <w:rsid w:val="00FD30C0"/>
    <w:rsid w:val="00FD33CF"/>
    <w:rsid w:val="00FD36CA"/>
    <w:rsid w:val="00FD374F"/>
    <w:rsid w:val="00FD3B41"/>
    <w:rsid w:val="00FD4E22"/>
    <w:rsid w:val="00FD5668"/>
    <w:rsid w:val="00FD6C73"/>
    <w:rsid w:val="00FE263F"/>
    <w:rsid w:val="00FE486C"/>
    <w:rsid w:val="00FE4BFD"/>
    <w:rsid w:val="00FE578A"/>
    <w:rsid w:val="00FE7C48"/>
    <w:rsid w:val="00FF0BE2"/>
    <w:rsid w:val="00FF14A5"/>
    <w:rsid w:val="00FF570D"/>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A83E-825E-4F78-B0F4-01C104CE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2015-04-03T14:16:00Z</cp:lastPrinted>
  <dcterms:created xsi:type="dcterms:W3CDTF">2015-03-31T18:40:00Z</dcterms:created>
  <dcterms:modified xsi:type="dcterms:W3CDTF">2015-04-03T14:16:00Z</dcterms:modified>
</cp:coreProperties>
</file>