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E5" w:rsidRPr="00B62BE4" w:rsidRDefault="008962E5" w:rsidP="008962E5">
      <w:pPr>
        <w:tabs>
          <w:tab w:val="left" w:pos="0"/>
        </w:tabs>
        <w:spacing w:after="0" w:line="240" w:lineRule="auto"/>
        <w:jc w:val="center"/>
        <w:rPr>
          <w:b/>
        </w:rPr>
      </w:pPr>
      <w:r w:rsidRPr="00B62BE4">
        <w:rPr>
          <w:b/>
        </w:rPr>
        <w:t>BEFORE THE</w:t>
      </w:r>
    </w:p>
    <w:p w:rsidR="008962E5" w:rsidRPr="00B62BE4" w:rsidRDefault="008962E5" w:rsidP="008962E5">
      <w:pPr>
        <w:tabs>
          <w:tab w:val="left" w:pos="0"/>
        </w:tabs>
        <w:spacing w:after="0" w:line="240" w:lineRule="auto"/>
        <w:jc w:val="center"/>
        <w:rPr>
          <w:b/>
        </w:rPr>
      </w:pPr>
      <w:r w:rsidRPr="00B62BE4">
        <w:rPr>
          <w:b/>
        </w:rPr>
        <w:t>PENNSYLVANIA PUBLIC UTILITY COMMISSION</w:t>
      </w:r>
    </w:p>
    <w:p w:rsidR="008962E5" w:rsidRPr="00B62BE4" w:rsidRDefault="008962E5" w:rsidP="008962E5">
      <w:pPr>
        <w:tabs>
          <w:tab w:val="left" w:pos="0"/>
        </w:tabs>
        <w:spacing w:after="0" w:line="240" w:lineRule="auto"/>
        <w:jc w:val="both"/>
        <w:rPr>
          <w:b/>
        </w:rPr>
      </w:pPr>
    </w:p>
    <w:p w:rsidR="008962E5" w:rsidRPr="00B62BE4" w:rsidRDefault="008962E5" w:rsidP="008962E5">
      <w:pPr>
        <w:tabs>
          <w:tab w:val="left" w:pos="0"/>
        </w:tabs>
        <w:spacing w:after="0" w:line="240" w:lineRule="auto"/>
        <w:jc w:val="both"/>
        <w:rPr>
          <w:b/>
        </w:rPr>
      </w:pPr>
    </w:p>
    <w:p w:rsidR="008962E5" w:rsidRPr="00B62BE4" w:rsidRDefault="008962E5" w:rsidP="008962E5">
      <w:pPr>
        <w:tabs>
          <w:tab w:val="left" w:pos="0"/>
        </w:tabs>
        <w:spacing w:after="0" w:line="240" w:lineRule="auto"/>
        <w:jc w:val="both"/>
        <w:rPr>
          <w:b/>
        </w:rPr>
      </w:pPr>
    </w:p>
    <w:p w:rsidR="008962E5" w:rsidRPr="00B62BE4" w:rsidRDefault="008962E5" w:rsidP="008962E5">
      <w:pPr>
        <w:tabs>
          <w:tab w:val="left" w:pos="0"/>
        </w:tabs>
        <w:spacing w:after="0" w:line="240" w:lineRule="auto"/>
        <w:jc w:val="both"/>
      </w:pPr>
      <w:r w:rsidRPr="00B62BE4">
        <w:t>Pennsylvania Public Utility Commission,</w:t>
      </w:r>
      <w:r w:rsidRPr="00B62BE4">
        <w:tab/>
      </w:r>
      <w:r w:rsidRPr="00B62BE4">
        <w:tab/>
        <w:t>:</w:t>
      </w:r>
    </w:p>
    <w:p w:rsidR="008962E5" w:rsidRPr="00B62BE4" w:rsidRDefault="008962E5" w:rsidP="008962E5">
      <w:pPr>
        <w:tabs>
          <w:tab w:val="left" w:pos="0"/>
        </w:tabs>
        <w:spacing w:after="0" w:line="240" w:lineRule="auto"/>
        <w:jc w:val="both"/>
        <w:rPr>
          <w:b/>
        </w:rPr>
      </w:pPr>
      <w:r w:rsidRPr="00B62BE4">
        <w:t xml:space="preserve">Bureau of </w:t>
      </w:r>
      <w:r>
        <w:t>Investigation and Enforcement</w:t>
      </w:r>
      <w:r w:rsidRPr="00B62BE4">
        <w:tab/>
      </w:r>
      <w:r w:rsidRPr="00B62BE4">
        <w:tab/>
        <w:t>:</w:t>
      </w:r>
    </w:p>
    <w:p w:rsidR="008962E5" w:rsidRPr="00B62BE4" w:rsidRDefault="008962E5" w:rsidP="008962E5">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8962E5" w:rsidRPr="00B62BE4" w:rsidRDefault="008962E5" w:rsidP="008962E5">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tab/>
      </w:r>
      <w:r w:rsidRPr="00B62BE4">
        <w:t>:</w:t>
      </w:r>
      <w:r w:rsidRPr="00B62BE4">
        <w:rPr>
          <w:b/>
        </w:rPr>
        <w:tab/>
      </w:r>
      <w:r w:rsidRPr="00B62BE4">
        <w:rPr>
          <w:b/>
        </w:rPr>
        <w:tab/>
      </w:r>
      <w:r w:rsidR="00997E61" w:rsidRPr="003A5CD9">
        <w:rPr>
          <w:bCs/>
          <w:color w:val="000000"/>
        </w:rPr>
        <w:t>C-2014-</w:t>
      </w:r>
      <w:r w:rsidR="00997E61">
        <w:rPr>
          <w:bCs/>
          <w:color w:val="000000"/>
        </w:rPr>
        <w:t>2431410</w:t>
      </w:r>
    </w:p>
    <w:p w:rsidR="008962E5" w:rsidRPr="00B62BE4" w:rsidRDefault="008962E5" w:rsidP="008962E5">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8962E5" w:rsidRDefault="00997E61" w:rsidP="008962E5">
      <w:pPr>
        <w:tabs>
          <w:tab w:val="left" w:pos="0"/>
        </w:tabs>
        <w:spacing w:after="0" w:line="240" w:lineRule="auto"/>
        <w:jc w:val="both"/>
      </w:pPr>
      <w:r>
        <w:t>HIKO Energy LLC</w:t>
      </w:r>
      <w:r>
        <w:tab/>
      </w:r>
      <w:r w:rsidR="008962E5">
        <w:tab/>
      </w:r>
      <w:r w:rsidR="008962E5" w:rsidRPr="00B62BE4">
        <w:tab/>
      </w:r>
      <w:r w:rsidR="008962E5" w:rsidRPr="00B62BE4">
        <w:tab/>
      </w:r>
      <w:r w:rsidR="008962E5" w:rsidRPr="00B62BE4">
        <w:tab/>
        <w:t>:</w:t>
      </w:r>
    </w:p>
    <w:p w:rsidR="00F73A61" w:rsidRPr="00B62BE4" w:rsidRDefault="00F73A61" w:rsidP="00DC1879">
      <w:pPr>
        <w:tabs>
          <w:tab w:val="left" w:pos="0"/>
        </w:tabs>
        <w:spacing w:after="0" w:line="240" w:lineRule="auto"/>
        <w:jc w:val="both"/>
      </w:pPr>
    </w:p>
    <w:p w:rsidR="008962E5" w:rsidRPr="00B62BE4" w:rsidRDefault="008962E5" w:rsidP="00DC1879">
      <w:pPr>
        <w:tabs>
          <w:tab w:val="left" w:pos="0"/>
        </w:tabs>
        <w:spacing w:after="0" w:line="240" w:lineRule="auto"/>
        <w:jc w:val="both"/>
      </w:pPr>
    </w:p>
    <w:p w:rsidR="00E0086A" w:rsidRDefault="00E0086A" w:rsidP="00DC1879">
      <w:pPr>
        <w:spacing w:after="0"/>
      </w:pPr>
    </w:p>
    <w:p w:rsidR="00E0086A" w:rsidRDefault="00997E61" w:rsidP="00F73A61">
      <w:pPr>
        <w:spacing w:after="0"/>
        <w:jc w:val="center"/>
        <w:rPr>
          <w:b/>
          <w:u w:val="single"/>
        </w:rPr>
      </w:pPr>
      <w:r>
        <w:rPr>
          <w:b/>
          <w:u w:val="single"/>
        </w:rPr>
        <w:t>ORDER GRANTING</w:t>
      </w:r>
      <w:r w:rsidR="00E0086A" w:rsidRPr="008F7104">
        <w:rPr>
          <w:b/>
          <w:u w:val="single"/>
        </w:rPr>
        <w:t xml:space="preserve"> APPLICATION</w:t>
      </w:r>
      <w:r>
        <w:rPr>
          <w:b/>
          <w:u w:val="single"/>
        </w:rPr>
        <w:t>S</w:t>
      </w:r>
      <w:r w:rsidR="00E0086A" w:rsidRPr="008F7104">
        <w:rPr>
          <w:b/>
          <w:u w:val="single"/>
        </w:rPr>
        <w:t xml:space="preserve"> FOR SUBPOENA</w:t>
      </w:r>
      <w:r>
        <w:rPr>
          <w:b/>
          <w:u w:val="single"/>
        </w:rPr>
        <w:t>S</w:t>
      </w:r>
    </w:p>
    <w:p w:rsidR="00F73A61" w:rsidRDefault="00F73A61" w:rsidP="009C10C7">
      <w:pPr>
        <w:spacing w:after="0"/>
        <w:rPr>
          <w:b/>
          <w:u w:val="single"/>
        </w:rPr>
      </w:pPr>
    </w:p>
    <w:p w:rsidR="00997E61" w:rsidRDefault="00E0086A" w:rsidP="00F73A61">
      <w:pPr>
        <w:spacing w:after="0"/>
      </w:pPr>
      <w:r>
        <w:tab/>
      </w:r>
      <w:r w:rsidR="00FE6ACB">
        <w:t>O</w:t>
      </w:r>
      <w:r>
        <w:t xml:space="preserve">n </w:t>
      </w:r>
      <w:r w:rsidR="00997E61">
        <w:t>March 18, 2015</w:t>
      </w:r>
      <w:r>
        <w:t>, the Bureau of Investigation and Enforc</w:t>
      </w:r>
      <w:r w:rsidR="00652DA1">
        <w:t>e</w:t>
      </w:r>
      <w:r>
        <w:t>ment (I</w:t>
      </w:r>
      <w:r w:rsidR="009C10C7">
        <w:t>&amp;</w:t>
      </w:r>
      <w:r>
        <w:t>E) filed</w:t>
      </w:r>
      <w:r w:rsidR="00997E61">
        <w:t xml:space="preserve"> two</w:t>
      </w:r>
      <w:r>
        <w:t xml:space="preserve"> application</w:t>
      </w:r>
      <w:r w:rsidR="00997E61">
        <w:t>s</w:t>
      </w:r>
      <w:r>
        <w:t xml:space="preserve"> for a subpoena </w:t>
      </w:r>
      <w:r w:rsidR="009C10C7">
        <w:t xml:space="preserve">pursuant to 52 Pa. Code § 5.421(a)(2), </w:t>
      </w:r>
      <w:r>
        <w:t xml:space="preserve">to secure the attendance of </w:t>
      </w:r>
      <w:proofErr w:type="spellStart"/>
      <w:r w:rsidR="00997E61">
        <w:t>Shevy</w:t>
      </w:r>
      <w:proofErr w:type="spellEnd"/>
      <w:r w:rsidR="00997E61">
        <w:t xml:space="preserve"> </w:t>
      </w:r>
      <w:proofErr w:type="spellStart"/>
      <w:r w:rsidR="00997E61">
        <w:t>Simins</w:t>
      </w:r>
      <w:proofErr w:type="spellEnd"/>
      <w:r w:rsidR="00997E61">
        <w:t xml:space="preserve"> and </w:t>
      </w:r>
      <w:proofErr w:type="spellStart"/>
      <w:r w:rsidR="00997E61">
        <w:t>Elly</w:t>
      </w:r>
      <w:proofErr w:type="spellEnd"/>
      <w:r w:rsidR="00997E61">
        <w:t xml:space="preserve"> Bernstein </w:t>
      </w:r>
      <w:r>
        <w:t>to testify at the evidentiary hearing scheduled</w:t>
      </w:r>
      <w:r w:rsidR="00997E61">
        <w:t xml:space="preserve"> for April 20-22, 2015,</w:t>
      </w:r>
      <w:r>
        <w:t xml:space="preserve"> in the above-captioned complaint.  </w:t>
      </w:r>
      <w:r w:rsidR="009C10C7">
        <w:t>I&amp;E</w:t>
      </w:r>
      <w:r>
        <w:t xml:space="preserve"> avers that </w:t>
      </w:r>
      <w:r w:rsidR="009C10C7">
        <w:t xml:space="preserve">Ms. </w:t>
      </w:r>
      <w:proofErr w:type="spellStart"/>
      <w:r w:rsidR="00997E61">
        <w:t>Shevy</w:t>
      </w:r>
      <w:proofErr w:type="spellEnd"/>
      <w:r w:rsidR="00997E61">
        <w:t xml:space="preserve"> </w:t>
      </w:r>
      <w:proofErr w:type="spellStart"/>
      <w:r w:rsidR="00997E61">
        <w:t>Simins</w:t>
      </w:r>
      <w:proofErr w:type="spellEnd"/>
      <w:r w:rsidR="00997E61">
        <w:t xml:space="preserve"> is the Regulatory Supervisor and </w:t>
      </w:r>
      <w:r w:rsidR="009C10C7">
        <w:t xml:space="preserve">Mr. </w:t>
      </w:r>
      <w:proofErr w:type="spellStart"/>
      <w:r w:rsidR="00997E61">
        <w:t>Elly</w:t>
      </w:r>
      <w:proofErr w:type="spellEnd"/>
      <w:r w:rsidR="00997E61">
        <w:t xml:space="preserve"> Bernstein is the Director of Operations at HIKO Energy LLC.   These two persons were identified by HIKO as the two representatives who sponsored </w:t>
      </w:r>
      <w:proofErr w:type="spellStart"/>
      <w:r w:rsidR="00997E61">
        <w:t>HIKO’s</w:t>
      </w:r>
      <w:proofErr w:type="spellEnd"/>
      <w:r w:rsidR="00997E61">
        <w:t xml:space="preserve"> responses to I&amp;E’s Data Requests, including spreadsheets I&amp;E intends to </w:t>
      </w:r>
      <w:r w:rsidR="009C10C7">
        <w:t>offer</w:t>
      </w:r>
      <w:r w:rsidR="00997E61">
        <w:t xml:space="preserve"> as evidence to support its claim.  </w:t>
      </w:r>
    </w:p>
    <w:p w:rsidR="00707D4C" w:rsidRDefault="00707D4C" w:rsidP="00707D4C">
      <w:pPr>
        <w:spacing w:after="0"/>
      </w:pPr>
    </w:p>
    <w:p w:rsidR="00707D4C" w:rsidRDefault="00707D4C" w:rsidP="00707D4C">
      <w:pPr>
        <w:spacing w:after="0"/>
      </w:pPr>
      <w:r>
        <w:tab/>
      </w:r>
      <w:r w:rsidR="009C10C7">
        <w:t>I&amp;E</w:t>
      </w:r>
      <w:r>
        <w:t xml:space="preserve"> further states that the testimony of </w:t>
      </w:r>
      <w:proofErr w:type="spellStart"/>
      <w:r>
        <w:t>Shevy</w:t>
      </w:r>
      <w:proofErr w:type="spellEnd"/>
      <w:r>
        <w:t xml:space="preserve"> </w:t>
      </w:r>
      <w:proofErr w:type="spellStart"/>
      <w:r>
        <w:t>Simins</w:t>
      </w:r>
      <w:proofErr w:type="spellEnd"/>
      <w:r>
        <w:t xml:space="preserve"> is essential to the authentication of </w:t>
      </w:r>
      <w:proofErr w:type="spellStart"/>
      <w:r>
        <w:t>HIKO’s</w:t>
      </w:r>
      <w:proofErr w:type="spellEnd"/>
      <w:r>
        <w:t xml:space="preserve"> spreadsheets and the information contained therein that are the crux of I&amp;E’s complaint against HIKO and it is necessary to have HIKO personnel responsible for sponsoring these data request responses available at hearing for questioning.  </w:t>
      </w:r>
      <w:r w:rsidR="009C10C7">
        <w:t>I&amp;E</w:t>
      </w:r>
      <w:r>
        <w:t xml:space="preserve"> believes </w:t>
      </w:r>
      <w:proofErr w:type="spellStart"/>
      <w:r>
        <w:t>Shevy</w:t>
      </w:r>
      <w:proofErr w:type="spellEnd"/>
      <w:r>
        <w:t xml:space="preserve"> </w:t>
      </w:r>
      <w:proofErr w:type="spellStart"/>
      <w:r>
        <w:t>Simins</w:t>
      </w:r>
      <w:proofErr w:type="spellEnd"/>
      <w:r>
        <w:t xml:space="preserve"> knows and/or has the ability to determine the authenticity of the data and spreadsheets which are included in I&amp;E’s </w:t>
      </w:r>
      <w:r w:rsidR="009C10C7">
        <w:t>e</w:t>
      </w:r>
      <w:r>
        <w:t xml:space="preserve">xhibits as well as the detailed customer information contained therein.  Specifically, I&amp;E believes Ms. </w:t>
      </w:r>
      <w:proofErr w:type="spellStart"/>
      <w:r>
        <w:t>S</w:t>
      </w:r>
      <w:r w:rsidR="009C10C7">
        <w:t>i</w:t>
      </w:r>
      <w:r>
        <w:t>mins</w:t>
      </w:r>
      <w:proofErr w:type="spellEnd"/>
      <w:r>
        <w:t xml:space="preserve"> has specific knowledge to define the column headings including but not limited to: rate, rate class, service date, </w:t>
      </w:r>
      <w:r w:rsidR="009C10C7">
        <w:t xml:space="preserve">and </w:t>
      </w:r>
      <w:r>
        <w:t xml:space="preserve">utility </w:t>
      </w:r>
      <w:proofErr w:type="spellStart"/>
      <w:r>
        <w:t>PTC</w:t>
      </w:r>
      <w:proofErr w:type="spellEnd"/>
      <w:r>
        <w:t xml:space="preserve">.  She also knows or has the ability to compare the data spreadsheet rate charged compared to the utility </w:t>
      </w:r>
      <w:proofErr w:type="spellStart"/>
      <w:r>
        <w:t>PTC</w:t>
      </w:r>
      <w:proofErr w:type="spellEnd"/>
      <w:r>
        <w:t xml:space="preserve"> for the service date period and explain whether the rate charged was higher or lower than </w:t>
      </w:r>
      <w:r>
        <w:lastRenderedPageBreak/>
        <w:t xml:space="preserve">the utility </w:t>
      </w:r>
      <w:proofErr w:type="spellStart"/>
      <w:r>
        <w:t>PTC</w:t>
      </w:r>
      <w:proofErr w:type="spellEnd"/>
      <w:r>
        <w:t xml:space="preserve">.  Further, I&amp;E contends that Ms. </w:t>
      </w:r>
      <w:proofErr w:type="spellStart"/>
      <w:r>
        <w:t>Simins</w:t>
      </w:r>
      <w:proofErr w:type="spellEnd"/>
      <w:r>
        <w:t xml:space="preserve"> kno</w:t>
      </w:r>
      <w:r w:rsidR="009C10C7">
        <w:t>w</w:t>
      </w:r>
      <w:r>
        <w:t xml:space="preserve">s and/or has the ability to confirm  based upon the service date and start date, whether the customer was within the first six months of introductory period as referenced in the price offering.  I&amp;E contends the testimony of Ms. </w:t>
      </w:r>
      <w:proofErr w:type="spellStart"/>
      <w:r>
        <w:t>Simins</w:t>
      </w:r>
      <w:proofErr w:type="spellEnd"/>
      <w:r>
        <w:t xml:space="preserve"> is material to the claim that HIKO charged its residential customers who enrolled in the price offering a rate per kilowatt hour (kWh) that exceeded the guaranteed discounted rate </w:t>
      </w:r>
      <w:r w:rsidR="00D22A28">
        <w:t>relative to electric distribution companies’ price to compare (</w:t>
      </w:r>
      <w:proofErr w:type="spellStart"/>
      <w:r w:rsidR="00D22A28">
        <w:t>PTC</w:t>
      </w:r>
      <w:proofErr w:type="spellEnd"/>
      <w:r w:rsidR="00D22A28">
        <w:t xml:space="preserve">) rates </w:t>
      </w:r>
      <w:r>
        <w:t>during the period</w:t>
      </w:r>
      <w:r w:rsidR="00D22A28">
        <w:t>s</w:t>
      </w:r>
      <w:r>
        <w:t xml:space="preserve"> in question.  </w:t>
      </w:r>
    </w:p>
    <w:p w:rsidR="00707D4C" w:rsidRDefault="00707D4C" w:rsidP="00707D4C">
      <w:pPr>
        <w:spacing w:after="0"/>
      </w:pPr>
    </w:p>
    <w:p w:rsidR="00AE1975" w:rsidRDefault="00707D4C" w:rsidP="00707D4C">
      <w:pPr>
        <w:spacing w:after="0"/>
      </w:pPr>
      <w:r>
        <w:tab/>
      </w:r>
      <w:r w:rsidR="009C10C7">
        <w:t>I&amp;E</w:t>
      </w:r>
      <w:r>
        <w:t xml:space="preserve"> further </w:t>
      </w:r>
      <w:r w:rsidR="009C10C7">
        <w:t>avers</w:t>
      </w:r>
      <w:r>
        <w:t xml:space="preserve"> that the testimony of </w:t>
      </w:r>
      <w:proofErr w:type="spellStart"/>
      <w:r>
        <w:t>Elly</w:t>
      </w:r>
      <w:proofErr w:type="spellEnd"/>
      <w:r>
        <w:t xml:space="preserve"> Bernstein is essential to the authentication of </w:t>
      </w:r>
      <w:proofErr w:type="spellStart"/>
      <w:r>
        <w:t>HIKO’s</w:t>
      </w:r>
      <w:proofErr w:type="spellEnd"/>
      <w:r>
        <w:t xml:space="preserve"> spreadsheets and the information contained therein that are the crux of I&amp;E’s complaint against HIKO and it is necessary to have HIKO personnel responsible for sponsoring these data request responses available at hearing for questioning.  </w:t>
      </w:r>
      <w:r w:rsidR="009C10C7">
        <w:t>I&amp;E</w:t>
      </w:r>
      <w:r>
        <w:t xml:space="preserve"> believes </w:t>
      </w:r>
      <w:proofErr w:type="spellStart"/>
      <w:r w:rsidR="00AE1975">
        <w:t>Elly</w:t>
      </w:r>
      <w:proofErr w:type="spellEnd"/>
      <w:r w:rsidR="00AE1975">
        <w:t xml:space="preserve"> Bernstein knows and/or has the ability to determine the authenticity of the data in the spreadsheets which are included in I&amp;E’s exhibits, as well as the detailed customer information contained therein including: 1) the customer’s invoice date; 2) charge type; 3) amount charged; 4) rate; 5) rate class; 6) service date; and 7) </w:t>
      </w:r>
      <w:proofErr w:type="spellStart"/>
      <w:r w:rsidR="00AE1975">
        <w:t>PTC</w:t>
      </w:r>
      <w:proofErr w:type="spellEnd"/>
      <w:r w:rsidR="00AE1975">
        <w:t xml:space="preserve"> rate.  </w:t>
      </w:r>
    </w:p>
    <w:p w:rsidR="00AE1975" w:rsidRDefault="00AE1975" w:rsidP="00707D4C">
      <w:pPr>
        <w:spacing w:after="0"/>
      </w:pPr>
    </w:p>
    <w:p w:rsidR="00AE1975" w:rsidRDefault="00AE1975" w:rsidP="00707D4C">
      <w:pPr>
        <w:spacing w:after="0"/>
      </w:pPr>
      <w:r>
        <w:tab/>
        <w:t xml:space="preserve">Specifically, I&amp;E avers Mr. Bernstein knows and/or has the ability to confirm from the data spreadsheet that the rate is the rate charged during the service date shown.  Further, I&amp;E believes Mr. Bernstein can authenticate and explain the data spreadsheets including whether the rate is higher or lower than the utility </w:t>
      </w:r>
      <w:proofErr w:type="spellStart"/>
      <w:r>
        <w:t>PTC</w:t>
      </w:r>
      <w:proofErr w:type="spellEnd"/>
      <w:r>
        <w:t xml:space="preserve"> and whether the customer was within an introductory period but charged a rate higher than the utilities’ </w:t>
      </w:r>
      <w:proofErr w:type="spellStart"/>
      <w:r>
        <w:t>PTC</w:t>
      </w:r>
      <w:proofErr w:type="spellEnd"/>
      <w:r>
        <w:t xml:space="preserve"> rate.  I&amp;E contends the testimony of </w:t>
      </w:r>
      <w:proofErr w:type="spellStart"/>
      <w:r>
        <w:t>Elly</w:t>
      </w:r>
      <w:proofErr w:type="spellEnd"/>
      <w:r>
        <w:t xml:space="preserve"> Bernstein is material to substantiate I&amp;E’s claim that HIKO charged its residential customers who enrolled in the price offering a rate per kilowatt hour (kWh) that exceeded the guaranteed discounted rate during the period in question.  </w:t>
      </w:r>
    </w:p>
    <w:p w:rsidR="009C10C7" w:rsidRPr="009C10C7" w:rsidRDefault="00AE1975" w:rsidP="00F73A61">
      <w:pPr>
        <w:spacing w:after="0"/>
      </w:pPr>
      <w:r>
        <w:tab/>
        <w:t xml:space="preserve">  </w:t>
      </w:r>
    </w:p>
    <w:p w:rsidR="009C10C7" w:rsidRDefault="00707D4C" w:rsidP="00F73A61">
      <w:pPr>
        <w:spacing w:after="0"/>
      </w:pPr>
      <w:r>
        <w:tab/>
      </w:r>
      <w:r w:rsidR="009C10C7">
        <w:t>O</w:t>
      </w:r>
      <w:r w:rsidR="00AE1975">
        <w:t xml:space="preserve">n March 30, 2015, HIKO filed Objections to the Applications for Subpoena.  </w:t>
      </w:r>
      <w:r w:rsidR="001D60E1">
        <w:t>Primarily, HIKO contends Section 309 of the Public Utility Code precludes the Commission from issuing a subpoena to a potential witness located outside the Commonwealth of Pennsylvania</w:t>
      </w:r>
      <w:r w:rsidR="009C10C7">
        <w:t xml:space="preserve"> and the company cites as authority for its position an </w:t>
      </w:r>
      <w:r w:rsidR="00C56A17">
        <w:t xml:space="preserve">interim </w:t>
      </w:r>
      <w:r w:rsidR="009C10C7">
        <w:t xml:space="preserve">order in the case of </w:t>
      </w:r>
      <w:r w:rsidR="009C10C7">
        <w:rPr>
          <w:i/>
        </w:rPr>
        <w:t xml:space="preserve">Pa. Pub. Util. Comm’n v. Uber Technologies, Inc., </w:t>
      </w:r>
      <w:r w:rsidR="009C10C7">
        <w:t>C-2014-2422723, Inter</w:t>
      </w:r>
      <w:r w:rsidR="00C56A17">
        <w:t xml:space="preserve">im Order, January 23, </w:t>
      </w:r>
      <w:r w:rsidR="00C56A17">
        <w:lastRenderedPageBreak/>
        <w:t>2015</w:t>
      </w:r>
      <w:r w:rsidR="00D22A28">
        <w:t xml:space="preserve"> (</w:t>
      </w:r>
      <w:r w:rsidR="00D22A28">
        <w:rPr>
          <w:i/>
        </w:rPr>
        <w:t>Uber Interim Order</w:t>
      </w:r>
      <w:r w:rsidR="00D22A28">
        <w:t>)</w:t>
      </w:r>
      <w:r w:rsidR="00C56A17">
        <w:t>, which interpreted Section 309 to mean the Commission had no power beyond the boundaries of Pennsylvania in the context of formal complaint proceedings.</w:t>
      </w:r>
    </w:p>
    <w:p w:rsidR="00C56A17" w:rsidRDefault="00C56A17" w:rsidP="00F73A61">
      <w:pPr>
        <w:spacing w:after="0"/>
      </w:pPr>
    </w:p>
    <w:p w:rsidR="001D60E1" w:rsidRDefault="00C56A17" w:rsidP="00F73A61">
      <w:pPr>
        <w:spacing w:after="0"/>
      </w:pPr>
      <w:r>
        <w:tab/>
        <w:t xml:space="preserve">Additionally, HIKO cites as authority for its position an Initial Decision issued in 2009, </w:t>
      </w:r>
      <w:r>
        <w:rPr>
          <w:i/>
        </w:rPr>
        <w:t xml:space="preserve">Palmerton Telephone Company v. Global </w:t>
      </w:r>
      <w:proofErr w:type="spellStart"/>
      <w:r>
        <w:rPr>
          <w:i/>
        </w:rPr>
        <w:t>NAPs</w:t>
      </w:r>
      <w:proofErr w:type="spellEnd"/>
      <w:r>
        <w:rPr>
          <w:i/>
        </w:rPr>
        <w:t xml:space="preserve"> South, Inc., </w:t>
      </w:r>
      <w:r>
        <w:t>C-2009-2093336, Initial Decision, August 11, 2009.</w:t>
      </w:r>
      <w:r w:rsidR="00D22A28">
        <w:t xml:space="preserve">  </w:t>
      </w:r>
      <w:r w:rsidR="00D22A28">
        <w:rPr>
          <w:i/>
        </w:rPr>
        <w:t xml:space="preserve">(Palmerton Initial Decision). </w:t>
      </w:r>
      <w:r>
        <w:t xml:space="preserve"> HIKO contends that because</w:t>
      </w:r>
      <w:r w:rsidR="001D60E1">
        <w:t xml:space="preserve"> Ms. </w:t>
      </w:r>
      <w:proofErr w:type="spellStart"/>
      <w:r w:rsidR="001D60E1">
        <w:t>Simins</w:t>
      </w:r>
      <w:proofErr w:type="spellEnd"/>
      <w:r w:rsidR="001D60E1">
        <w:t xml:space="preserve"> and Mr. Bernstein are residents of New York, they reside beyond the geographical scope of the Commission’s subpoena power.  Further, HIKO contends Ms. </w:t>
      </w:r>
      <w:proofErr w:type="spellStart"/>
      <w:r w:rsidR="001D60E1">
        <w:t>Simins</w:t>
      </w:r>
      <w:proofErr w:type="spellEnd"/>
      <w:r w:rsidR="001D60E1">
        <w:t xml:space="preserve"> only assists HIKO and she no longer works in a full-time capacity for the company. </w:t>
      </w:r>
    </w:p>
    <w:p w:rsidR="001D60E1" w:rsidRDefault="001D60E1" w:rsidP="00F73A61">
      <w:pPr>
        <w:spacing w:after="0"/>
      </w:pPr>
    </w:p>
    <w:p w:rsidR="001D60E1" w:rsidRDefault="001D60E1" w:rsidP="00F73A61">
      <w:pPr>
        <w:spacing w:after="0"/>
      </w:pPr>
      <w:r>
        <w:tab/>
      </w:r>
      <w:r w:rsidR="00B3101C">
        <w:t xml:space="preserve">Finally, </w:t>
      </w:r>
      <w:r>
        <w:t>HIKO contends</w:t>
      </w:r>
      <w:r w:rsidR="00C56A17">
        <w:t xml:space="preserve"> that</w:t>
      </w:r>
      <w:r>
        <w:t xml:space="preserve"> even if the Commission’s subpoena power could compel the attendance of a resident of New York, the subpoena is unwarranted because HIKO has agreed to stipulate to the authenticity of the spreadsheets, thereby obviating the senseless burden and expense on HIKO.  HIKO avers it will have a</w:t>
      </w:r>
      <w:r w:rsidR="00D9034B">
        <w:t xml:space="preserve">n undisclosed </w:t>
      </w:r>
      <w:r>
        <w:t xml:space="preserve">party representative present at the hearing who I&amp;E can question as to the authenticity of the documents. </w:t>
      </w:r>
    </w:p>
    <w:p w:rsidR="001D60E1" w:rsidRDefault="001D60E1" w:rsidP="00F73A61">
      <w:pPr>
        <w:spacing w:after="0"/>
      </w:pPr>
    </w:p>
    <w:p w:rsidR="00707D4C" w:rsidRDefault="001D60E1" w:rsidP="00F73A61">
      <w:pPr>
        <w:spacing w:after="0"/>
      </w:pPr>
      <w:r w:rsidRPr="001D60E1">
        <w:rPr>
          <w:u w:val="single"/>
        </w:rPr>
        <w:t>Disposition</w:t>
      </w:r>
    </w:p>
    <w:p w:rsidR="00707D4C" w:rsidRDefault="00707D4C" w:rsidP="00F73A61">
      <w:pPr>
        <w:spacing w:after="0"/>
      </w:pPr>
    </w:p>
    <w:p w:rsidR="00C90642" w:rsidRDefault="00707D4C" w:rsidP="008524F3">
      <w:pPr>
        <w:spacing w:after="0"/>
      </w:pPr>
      <w:r>
        <w:tab/>
      </w:r>
      <w:r w:rsidR="00C90642">
        <w:t>Our authority to issue a subpoena to compel the testimony of a witness is derived from Section 309 of the Public Utility Code:</w:t>
      </w:r>
    </w:p>
    <w:p w:rsidR="009D09C2" w:rsidRDefault="009D09C2" w:rsidP="00796343">
      <w:pPr>
        <w:spacing w:after="0" w:line="240" w:lineRule="auto"/>
      </w:pPr>
    </w:p>
    <w:p w:rsidR="00C90642" w:rsidRDefault="00C90642" w:rsidP="00CB2B6D">
      <w:pPr>
        <w:spacing w:after="0" w:line="240" w:lineRule="auto"/>
        <w:ind w:left="1440" w:right="806"/>
      </w:pPr>
      <w:r>
        <w:t>The commission, or its representative, shall have the power, in any part of this Commonwealth, to subpoena witnesses, to administer oaths, to examine witnesses, or to take such testimony, or compel the production of such books, records, papers, and documents as it may deem necessary or proper in, and pertinent to, any proceeding, investigation, or hearing, held by it, and to do all necessary and proper things and acts in the lawful exercise of its powers or the performance of those duties.</w:t>
      </w:r>
      <w:r>
        <w:rPr>
          <w:rStyle w:val="FootnoteReference"/>
        </w:rPr>
        <w:footnoteReference w:id="1"/>
      </w:r>
    </w:p>
    <w:p w:rsidR="009D09C2" w:rsidRDefault="009D09C2" w:rsidP="00CB2B6D">
      <w:pPr>
        <w:spacing w:after="0"/>
        <w:ind w:left="1440" w:right="806"/>
      </w:pPr>
    </w:p>
    <w:p w:rsidR="008524F3" w:rsidRPr="007A442D" w:rsidRDefault="00B3101C" w:rsidP="008524F3">
      <w:pPr>
        <w:spacing w:after="0"/>
      </w:pPr>
      <w:r>
        <w:t>The statute</w:t>
      </w:r>
      <w:r w:rsidR="009F196E">
        <w:t xml:space="preserve"> clearly provides us with subpoena power “in any part of this Commonwealth.” </w:t>
      </w:r>
      <w:r w:rsidR="00A85951">
        <w:t xml:space="preserve"> </w:t>
      </w:r>
      <w:r w:rsidR="0014451D">
        <w:t xml:space="preserve"> </w:t>
      </w:r>
      <w:r w:rsidR="008524F3">
        <w:t>ALJ Long and ALJ Watson</w:t>
      </w:r>
      <w:r w:rsidR="00206534">
        <w:t xml:space="preserve"> found Section 309</w:t>
      </w:r>
      <w:r w:rsidR="008524F3">
        <w:t xml:space="preserve"> does not appear to grant any power beyond the </w:t>
      </w:r>
      <w:r w:rsidR="008524F3">
        <w:lastRenderedPageBreak/>
        <w:t xml:space="preserve">boundaries of Pennsylvania in the context of formal complaint proceedings. </w:t>
      </w:r>
      <w:r w:rsidR="00D22A28">
        <w:t xml:space="preserve"> </w:t>
      </w:r>
      <w:r w:rsidR="00206534">
        <w:t xml:space="preserve">This </w:t>
      </w:r>
      <w:r w:rsidR="00520407">
        <w:t>conclusion</w:t>
      </w:r>
      <w:r w:rsidR="00206534">
        <w:t xml:space="preserve">, coupled with Uber’s identification of an alternative witness, led the ALJs to deny I&amp;E’s application for a subpoena of Mr. </w:t>
      </w:r>
      <w:proofErr w:type="spellStart"/>
      <w:r w:rsidR="00206534">
        <w:t>Kalanick</w:t>
      </w:r>
      <w:proofErr w:type="spellEnd"/>
      <w:r w:rsidR="00206534">
        <w:t xml:space="preserve">.  However, the ALJs granted I&amp;E leave to file an application to subpoena Jonathan J. Feldman to testify because Mr. Feldman had access to and knowledge of the documents in question, and he worked at Uber’s Pennsylvania office. </w:t>
      </w:r>
      <w:r w:rsidR="007A442D">
        <w:t xml:space="preserve">  Unlike the </w:t>
      </w:r>
      <w:r w:rsidR="007A442D">
        <w:rPr>
          <w:i/>
        </w:rPr>
        <w:t>Uber</w:t>
      </w:r>
      <w:r w:rsidR="007A442D">
        <w:t xml:space="preserve"> case, in the instant case, HIKO has not specifically named another individual residing in the Commonwealth capable and with the specific knowledge as to the accuracy</w:t>
      </w:r>
      <w:r w:rsidR="0014451D">
        <w:t xml:space="preserve"> and interpretation</w:t>
      </w:r>
      <w:r w:rsidR="007A442D">
        <w:t xml:space="preserve"> of the spreadsheets.  The company merely offers another “party representative” but does not state the title of the person, his job duties, or his residence or work address.  </w:t>
      </w:r>
    </w:p>
    <w:p w:rsidR="008524F3" w:rsidRDefault="008524F3" w:rsidP="008524F3">
      <w:pPr>
        <w:spacing w:after="0"/>
      </w:pPr>
    </w:p>
    <w:p w:rsidR="00FE6ACB" w:rsidRDefault="00206534" w:rsidP="009D09C2">
      <w:pPr>
        <w:spacing w:after="0"/>
      </w:pPr>
      <w:r>
        <w:tab/>
      </w:r>
      <w:r w:rsidR="00FE6ACB">
        <w:t>The ALJs cite</w:t>
      </w:r>
      <w:r w:rsidR="0014451D">
        <w:t>d</w:t>
      </w:r>
      <w:r w:rsidR="00FE6ACB">
        <w:t xml:space="preserve"> as precedence for their ruling </w:t>
      </w:r>
      <w:r w:rsidR="00FE6ACB">
        <w:rPr>
          <w:i/>
        </w:rPr>
        <w:t xml:space="preserve">Palmerton Telephone Company v. Global </w:t>
      </w:r>
      <w:proofErr w:type="spellStart"/>
      <w:r w:rsidR="00FE6ACB">
        <w:rPr>
          <w:i/>
        </w:rPr>
        <w:t>NAPs</w:t>
      </w:r>
      <w:proofErr w:type="spellEnd"/>
      <w:r w:rsidR="00FE6ACB">
        <w:rPr>
          <w:i/>
        </w:rPr>
        <w:t xml:space="preserve"> South Inc.</w:t>
      </w:r>
      <w:r w:rsidR="00FE6ACB">
        <w:t xml:space="preserve">, PUC Docket No. C-2009-2093336 (Initial Decision served August 11, 2009).  In </w:t>
      </w:r>
      <w:r w:rsidR="00FE6ACB" w:rsidRPr="00FE6ACB">
        <w:rPr>
          <w:i/>
        </w:rPr>
        <w:t xml:space="preserve">Palmerton </w:t>
      </w:r>
      <w:r w:rsidR="00FE6ACB">
        <w:t xml:space="preserve">ALJ </w:t>
      </w:r>
      <w:proofErr w:type="spellStart"/>
      <w:r w:rsidR="00D9034B">
        <w:t>Weismandel</w:t>
      </w:r>
      <w:proofErr w:type="spellEnd"/>
      <w:r w:rsidR="00D9034B">
        <w:t xml:space="preserve"> </w:t>
      </w:r>
      <w:r w:rsidR="00FE6ACB">
        <w:t>held:</w:t>
      </w:r>
    </w:p>
    <w:p w:rsidR="00FE6ACB" w:rsidRDefault="00FE6ACB" w:rsidP="009D09C2">
      <w:pPr>
        <w:spacing w:after="0"/>
      </w:pPr>
    </w:p>
    <w:p w:rsidR="006E46B7" w:rsidRPr="00D74E92" w:rsidRDefault="00FE6ACB" w:rsidP="006E46B7">
      <w:pPr>
        <w:spacing w:line="240" w:lineRule="auto"/>
        <w:ind w:left="720" w:right="720"/>
        <w:rPr>
          <w:u w:val="single"/>
        </w:rPr>
      </w:pPr>
      <w:r>
        <w:t xml:space="preserve">First, this case was a formal complaint case, not a Commission initiated investigation.  There were some serious repercussions from this distinction.  Perhaps of most significance was the ability, or lack thereof, of the parties to obtain evidence.  The Commission’s power to subpoena witnesses to appear and testify at a hearing does not extend beyond the boundaries of Pennsylvania.  Discovery is also made much more difficult when out-of-state witnesses must be deposed by use of written questions rather than upon oral examination.  </w:t>
      </w:r>
      <w:r w:rsidRPr="00D74E92">
        <w:rPr>
          <w:u w:val="single"/>
        </w:rPr>
        <w:t xml:space="preserve">A generic Commission investigation proceeding </w:t>
      </w:r>
      <w:r w:rsidR="006E46B7" w:rsidRPr="00D74E92">
        <w:rPr>
          <w:u w:val="single"/>
        </w:rPr>
        <w:t>could compel representatives of certificated public utilities to appear for examination at a hearing, even if the representative had to attend from out-of-state.</w:t>
      </w:r>
    </w:p>
    <w:p w:rsidR="00FE6ACB" w:rsidRPr="00D74E92" w:rsidRDefault="00FE6ACB" w:rsidP="00FE6ACB">
      <w:pPr>
        <w:spacing w:line="240" w:lineRule="auto"/>
        <w:ind w:left="720" w:right="720"/>
        <w:rPr>
          <w:u w:val="single"/>
        </w:rPr>
      </w:pPr>
    </w:p>
    <w:p w:rsidR="00D9034B" w:rsidRDefault="00D9034B" w:rsidP="009D09C2">
      <w:pPr>
        <w:spacing w:after="0"/>
        <w:rPr>
          <w:i/>
        </w:rPr>
      </w:pPr>
    </w:p>
    <w:p w:rsidR="00FE6ACB" w:rsidRPr="00D9034B" w:rsidRDefault="00D9034B" w:rsidP="009D09C2">
      <w:pPr>
        <w:spacing w:after="0"/>
      </w:pPr>
      <w:r>
        <w:rPr>
          <w:i/>
        </w:rPr>
        <w:t xml:space="preserve">Id. </w:t>
      </w:r>
      <w:r>
        <w:t>at 40.</w:t>
      </w:r>
      <w:r w:rsidR="00D74E92">
        <w:t xml:space="preserve"> (Emphasis added.)</w:t>
      </w:r>
    </w:p>
    <w:p w:rsidR="00D74E92" w:rsidRDefault="00D74E92" w:rsidP="002C0B7C">
      <w:pPr>
        <w:ind w:firstLine="1440"/>
      </w:pPr>
    </w:p>
    <w:p w:rsidR="002C0B7C" w:rsidRDefault="00FE6ACB" w:rsidP="002C0B7C">
      <w:pPr>
        <w:ind w:firstLine="1440"/>
      </w:pPr>
      <w:r>
        <w:t xml:space="preserve">In the </w:t>
      </w:r>
      <w:r w:rsidRPr="00520407">
        <w:rPr>
          <w:i/>
        </w:rPr>
        <w:t>Palmerton</w:t>
      </w:r>
      <w:r>
        <w:t xml:space="preserve"> case, the ALJ held a</w:t>
      </w:r>
      <w:r w:rsidR="002C0B7C">
        <w:t xml:space="preserve"> telephone conference to discuss the application for the issuance of a subpoena </w:t>
      </w:r>
      <w:proofErr w:type="spellStart"/>
      <w:r w:rsidR="002C0B7C" w:rsidRPr="00FE6ACB">
        <w:rPr>
          <w:i/>
        </w:rPr>
        <w:t>duces</w:t>
      </w:r>
      <w:proofErr w:type="spellEnd"/>
      <w:r w:rsidR="002C0B7C" w:rsidRPr="00FE6ACB">
        <w:rPr>
          <w:i/>
        </w:rPr>
        <w:t xml:space="preserve"> </w:t>
      </w:r>
      <w:proofErr w:type="spellStart"/>
      <w:r w:rsidR="002C0B7C" w:rsidRPr="00FE6ACB">
        <w:rPr>
          <w:i/>
        </w:rPr>
        <w:t>tecum</w:t>
      </w:r>
      <w:proofErr w:type="spellEnd"/>
      <w:r w:rsidR="002C0B7C">
        <w:t xml:space="preserve"> and </w:t>
      </w:r>
      <w:r w:rsidR="002C0B7C" w:rsidRPr="00FE6ACB">
        <w:rPr>
          <w:i/>
        </w:rPr>
        <w:t xml:space="preserve">ad </w:t>
      </w:r>
      <w:proofErr w:type="spellStart"/>
      <w:r w:rsidR="002C0B7C" w:rsidRPr="00FE6ACB">
        <w:rPr>
          <w:i/>
        </w:rPr>
        <w:t>testificandum</w:t>
      </w:r>
      <w:proofErr w:type="spellEnd"/>
      <w:r w:rsidR="002C0B7C">
        <w:t xml:space="preserve"> to </w:t>
      </w:r>
      <w:proofErr w:type="spellStart"/>
      <w:r w:rsidR="002C0B7C">
        <w:t>CommPartners</w:t>
      </w:r>
      <w:proofErr w:type="spellEnd"/>
      <w:r>
        <w:t>.</w:t>
      </w:r>
      <w:r w:rsidR="002C0B7C">
        <w:t xml:space="preserve">  An agreement was reached for the taking of the deposition of </w:t>
      </w:r>
      <w:proofErr w:type="spellStart"/>
      <w:r w:rsidR="002C0B7C">
        <w:t>CommPartners</w:t>
      </w:r>
      <w:proofErr w:type="spellEnd"/>
      <w:r w:rsidR="002C0B7C">
        <w:t xml:space="preserve"> by written questions pursuant to the provisions of 52 Pa.Code § 5.345.</w:t>
      </w:r>
      <w:r>
        <w:t xml:space="preserve"> Therefore, the ALJ issued subpoenas </w:t>
      </w:r>
      <w:proofErr w:type="spellStart"/>
      <w:r w:rsidRPr="00FE6ACB">
        <w:rPr>
          <w:i/>
        </w:rPr>
        <w:t>duces</w:t>
      </w:r>
      <w:proofErr w:type="spellEnd"/>
      <w:r w:rsidRPr="00FE6ACB">
        <w:rPr>
          <w:i/>
        </w:rPr>
        <w:t xml:space="preserve"> </w:t>
      </w:r>
      <w:proofErr w:type="spellStart"/>
      <w:r w:rsidRPr="00FE6ACB">
        <w:rPr>
          <w:i/>
        </w:rPr>
        <w:t>tecum</w:t>
      </w:r>
      <w:proofErr w:type="spellEnd"/>
      <w:r>
        <w:t xml:space="preserve"> and </w:t>
      </w:r>
      <w:r w:rsidRPr="00FE6ACB">
        <w:rPr>
          <w:i/>
        </w:rPr>
        <w:t xml:space="preserve">ad </w:t>
      </w:r>
      <w:proofErr w:type="spellStart"/>
      <w:r w:rsidRPr="00FE6ACB">
        <w:rPr>
          <w:i/>
        </w:rPr>
        <w:t>testificandum</w:t>
      </w:r>
      <w:proofErr w:type="spellEnd"/>
      <w:r>
        <w:t xml:space="preserve"> to Comcast, </w:t>
      </w:r>
      <w:proofErr w:type="spellStart"/>
      <w:r>
        <w:t>Paetec</w:t>
      </w:r>
      <w:proofErr w:type="spellEnd"/>
      <w:r>
        <w:t xml:space="preserve"> and XO for the taking of depositions by oral examination.</w:t>
      </w:r>
    </w:p>
    <w:p w:rsidR="00D74E92" w:rsidRDefault="00D74E92" w:rsidP="00D74E92">
      <w:pPr>
        <w:spacing w:after="0"/>
      </w:pPr>
      <w:r>
        <w:lastRenderedPageBreak/>
        <w:tab/>
      </w:r>
    </w:p>
    <w:p w:rsidR="006E46B7" w:rsidRDefault="00D74E92" w:rsidP="00D74E92">
      <w:pPr>
        <w:spacing w:after="0"/>
      </w:pPr>
      <w:r>
        <w:tab/>
        <w:t>The</w:t>
      </w:r>
      <w:r w:rsidR="00DB533C">
        <w:t xml:space="preserve"> facts in the</w:t>
      </w:r>
      <w:r>
        <w:t xml:space="preserve"> </w:t>
      </w:r>
      <w:r w:rsidRPr="00206534">
        <w:rPr>
          <w:i/>
        </w:rPr>
        <w:t>Palmerton</w:t>
      </w:r>
      <w:r>
        <w:t xml:space="preserve"> case </w:t>
      </w:r>
      <w:r w:rsidR="00DB533C">
        <w:t xml:space="preserve">are different </w:t>
      </w:r>
      <w:r>
        <w:t xml:space="preserve">from the instant case as follows.  First, the Complainant in the </w:t>
      </w:r>
      <w:r w:rsidRPr="00206534">
        <w:rPr>
          <w:i/>
        </w:rPr>
        <w:t>Palmerton</w:t>
      </w:r>
      <w:r>
        <w:t xml:space="preserve"> case was a telecommunications carrier.  The Complainant in the instant case is the Commission’s Bureau of Investigation and Enforcement, which presumably conducted an informal investigation prior to filing the instant complaint.  Thus, a granting of the instant applications for subpoena would be consistent with the </w:t>
      </w:r>
      <w:r w:rsidRPr="00D74E92">
        <w:rPr>
          <w:i/>
        </w:rPr>
        <w:t>Palmerton</w:t>
      </w:r>
      <w:r>
        <w:t xml:space="preserve"> case because </w:t>
      </w:r>
      <w:r w:rsidR="006E46B7">
        <w:t xml:space="preserve">the instant complaint stems from a Commission investigation which can compel representatives of an </w:t>
      </w:r>
      <w:proofErr w:type="spellStart"/>
      <w:r w:rsidR="006E46B7">
        <w:t>EGS</w:t>
      </w:r>
      <w:proofErr w:type="spellEnd"/>
      <w:r w:rsidR="006E46B7">
        <w:t xml:space="preserve"> to appear at hearing for examination even if that representative has to attend from out-of-state.  </w:t>
      </w:r>
    </w:p>
    <w:p w:rsidR="006E46B7" w:rsidRDefault="006E46B7" w:rsidP="00D74E92">
      <w:pPr>
        <w:spacing w:after="0"/>
      </w:pPr>
    </w:p>
    <w:p w:rsidR="00893FC5" w:rsidRDefault="006573BD" w:rsidP="00D74E92">
      <w:pPr>
        <w:spacing w:after="0"/>
      </w:pPr>
      <w:r>
        <w:tab/>
      </w:r>
      <w:r w:rsidR="006E46B7">
        <w:t>S</w:t>
      </w:r>
      <w:r w:rsidR="00D74E92">
        <w:t>imilar to certificated public utilities, electric generation supplier</w:t>
      </w:r>
      <w:r w:rsidR="00FD7E08">
        <w:t>s</w:t>
      </w:r>
      <w:r w:rsidR="00D74E92">
        <w:t xml:space="preserve"> </w:t>
      </w:r>
      <w:r w:rsidR="00DB533C">
        <w:t xml:space="preserve">receive </w:t>
      </w:r>
      <w:r w:rsidR="00FD7E08">
        <w:t>their</w:t>
      </w:r>
      <w:r w:rsidR="00DB533C">
        <w:t xml:space="preserve"> </w:t>
      </w:r>
      <w:r w:rsidR="00C01051">
        <w:t xml:space="preserve">licenses authorizing them </w:t>
      </w:r>
      <w:r w:rsidR="00DB533C">
        <w:t xml:space="preserve">to conduct business in Pennsylvania from this Commission. </w:t>
      </w:r>
      <w:r>
        <w:t xml:space="preserve">66 Pa. </w:t>
      </w:r>
      <w:proofErr w:type="spellStart"/>
      <w:r>
        <w:t>C.S</w:t>
      </w:r>
      <w:proofErr w:type="spellEnd"/>
      <w:r>
        <w:t>. §§ 2</w:t>
      </w:r>
      <w:r w:rsidR="00893FC5">
        <w:t>8</w:t>
      </w:r>
      <w:r>
        <w:t xml:space="preserve">03 </w:t>
      </w:r>
      <w:r>
        <w:rPr>
          <w:i/>
        </w:rPr>
        <w:t>et seq.</w:t>
      </w:r>
      <w:r w:rsidR="00DB533C">
        <w:t xml:space="preserve"> </w:t>
      </w:r>
      <w:r w:rsidR="00D74E92">
        <w:t>According to its Application filing</w:t>
      </w:r>
      <w:r w:rsidR="007A442D">
        <w:t xml:space="preserve"> in February, 2011</w:t>
      </w:r>
      <w:r w:rsidR="00D74E92">
        <w:t xml:space="preserve">, HIKO is a foreign limited liability company as defined by 15 Pa. </w:t>
      </w:r>
      <w:proofErr w:type="spellStart"/>
      <w:r w:rsidR="00D74E92">
        <w:t>C.S</w:t>
      </w:r>
      <w:proofErr w:type="spellEnd"/>
      <w:r w:rsidR="00D74E92">
        <w:t>. § 8981</w:t>
      </w:r>
      <w:r w:rsidR="00DB533C">
        <w:t xml:space="preserve">, and </w:t>
      </w:r>
      <w:r w:rsidR="00B3237B">
        <w:t>organized under the Limited Liability Company Law of the</w:t>
      </w:r>
      <w:r>
        <w:t xml:space="preserve"> state of New York, with a physical and mailing</w:t>
      </w:r>
      <w:r w:rsidR="00DB533C">
        <w:t xml:space="preserve"> address in New York. </w:t>
      </w:r>
      <w:r w:rsidR="007A442D">
        <w:t xml:space="preserve"> HIKO has actively marketed and sold its electric generation supply service/product throu</w:t>
      </w:r>
      <w:r w:rsidR="0014451D">
        <w:t>ghout Pennsylvania since 2012.</w:t>
      </w:r>
      <w:r w:rsidR="00526D22">
        <w:rPr>
          <w:rStyle w:val="FootnoteReference"/>
        </w:rPr>
        <w:footnoteReference w:id="2"/>
      </w:r>
      <w:r w:rsidR="0014451D">
        <w:t xml:space="preserve"> </w:t>
      </w:r>
      <w:r w:rsidR="00DB533C">
        <w:t xml:space="preserve"> </w:t>
      </w:r>
      <w:r w:rsidR="00893FC5">
        <w:t xml:space="preserve">The Complaint </w:t>
      </w:r>
      <w:r>
        <w:t>aver</w:t>
      </w:r>
      <w:r w:rsidR="00893FC5">
        <w:t>s</w:t>
      </w:r>
      <w:r>
        <w:t xml:space="preserve"> that </w:t>
      </w:r>
      <w:r w:rsidR="00526D22">
        <w:t>there were over 14,000 sales</w:t>
      </w:r>
      <w:r>
        <w:t xml:space="preserve"> transactions HIKO or its representatives had with business entities and residential consumers located in Pennsylvania </w:t>
      </w:r>
      <w:r w:rsidR="00526D22">
        <w:t xml:space="preserve">that </w:t>
      </w:r>
      <w:r>
        <w:t xml:space="preserve">are the source from which the cause of action of the instant complaint arose.  </w:t>
      </w:r>
    </w:p>
    <w:p w:rsidR="00893FC5" w:rsidRDefault="00893FC5" w:rsidP="00D74E92">
      <w:pPr>
        <w:spacing w:after="0"/>
      </w:pPr>
      <w:r>
        <w:tab/>
      </w:r>
    </w:p>
    <w:p w:rsidR="00D74E92" w:rsidRDefault="00893FC5" w:rsidP="00D74E92">
      <w:pPr>
        <w:spacing w:after="0"/>
      </w:pPr>
      <w:r>
        <w:tab/>
      </w:r>
      <w:proofErr w:type="spellStart"/>
      <w:r w:rsidR="00F22A5C">
        <w:t>Shevy</w:t>
      </w:r>
      <w:proofErr w:type="spellEnd"/>
      <w:r w:rsidR="00F22A5C">
        <w:t xml:space="preserve"> </w:t>
      </w:r>
      <w:proofErr w:type="spellStart"/>
      <w:r w:rsidR="00F22A5C">
        <w:t>Simins</w:t>
      </w:r>
      <w:proofErr w:type="spellEnd"/>
      <w:r w:rsidR="00F22A5C">
        <w:t xml:space="preserve"> is the contact person to whom complaints filed at the Commission are to be directed at the main office in New York and her title is Supervisor. </w:t>
      </w:r>
      <w:r w:rsidR="006573BD">
        <w:t xml:space="preserve"> </w:t>
      </w:r>
      <w:proofErr w:type="spellStart"/>
      <w:r w:rsidR="006573BD">
        <w:t>Elly</w:t>
      </w:r>
      <w:proofErr w:type="spellEnd"/>
      <w:r w:rsidR="006573BD">
        <w:t xml:space="preserve"> Bernstein is Director of Operations. </w:t>
      </w:r>
      <w:r w:rsidR="00F22A5C">
        <w:t xml:space="preserve"> </w:t>
      </w:r>
      <w:r w:rsidR="00F2591B">
        <w:t xml:space="preserve">The company’s principle place of business and mailing address is 12 College Road, Monsey, New York.  </w:t>
      </w:r>
      <w:r w:rsidR="00DB533C">
        <w:t xml:space="preserve">The Applicant, through the signature and affidavit of David </w:t>
      </w:r>
      <w:proofErr w:type="spellStart"/>
      <w:r w:rsidR="00DB533C">
        <w:t>Wanounou</w:t>
      </w:r>
      <w:proofErr w:type="spellEnd"/>
      <w:r w:rsidR="00DB533C">
        <w:t xml:space="preserve">, </w:t>
      </w:r>
      <w:r w:rsidR="00FD7E08">
        <w:t xml:space="preserve">President, </w:t>
      </w:r>
      <w:r w:rsidR="00DB533C">
        <w:t xml:space="preserve">did acknowledge </w:t>
      </w:r>
      <w:r w:rsidR="00056BFA">
        <w:t>HIKO</w:t>
      </w:r>
      <w:r w:rsidR="00DB533C">
        <w:t xml:space="preserve"> may have obligations pursuant to</w:t>
      </w:r>
      <w:r w:rsidR="00B3237B">
        <w:t xml:space="preserve"> its </w:t>
      </w:r>
      <w:proofErr w:type="spellStart"/>
      <w:r w:rsidR="00B3237B">
        <w:t>EGS</w:t>
      </w:r>
      <w:proofErr w:type="spellEnd"/>
      <w:r w:rsidR="00DB533C">
        <w:t xml:space="preserve"> </w:t>
      </w:r>
      <w:r w:rsidR="00B3237B">
        <w:t>A</w:t>
      </w:r>
      <w:r w:rsidR="00DB533C">
        <w:t xml:space="preserve">pplication </w:t>
      </w:r>
      <w:r w:rsidR="00B3237B">
        <w:t xml:space="preserve">filed on February 14, 2012, </w:t>
      </w:r>
      <w:r w:rsidR="00DB533C">
        <w:t xml:space="preserve">consistent with the </w:t>
      </w:r>
      <w:r w:rsidR="00F22A5C">
        <w:t>P</w:t>
      </w:r>
      <w:r w:rsidR="00DB533C">
        <w:t xml:space="preserve">ublic </w:t>
      </w:r>
      <w:r w:rsidR="00F22A5C">
        <w:t>U</w:t>
      </w:r>
      <w:r w:rsidR="00DB533C">
        <w:t xml:space="preserve">tility </w:t>
      </w:r>
      <w:r w:rsidR="00F22A5C">
        <w:t>C</w:t>
      </w:r>
      <w:r w:rsidR="00DB533C">
        <w:t xml:space="preserve">ode, </w:t>
      </w:r>
      <w:r w:rsidR="00F22A5C">
        <w:t>T</w:t>
      </w:r>
      <w:r w:rsidR="00DB533C">
        <w:t xml:space="preserve">itle 66 of the Pennsylvania Consolidated Statutes, or with other applicable statues or regulations.  Specifically, </w:t>
      </w:r>
      <w:r w:rsidR="00DB533C">
        <w:lastRenderedPageBreak/>
        <w:t xml:space="preserve">HIKO acknowledged at Appendix B </w:t>
      </w:r>
      <w:r w:rsidR="00B3237B">
        <w:t xml:space="preserve">of its filing </w:t>
      </w:r>
      <w:r w:rsidR="00DB533C">
        <w:t xml:space="preserve">that it has a statutory obligation to conform with 66 Pa. </w:t>
      </w:r>
      <w:proofErr w:type="spellStart"/>
      <w:r w:rsidR="00DB533C">
        <w:t>C.S</w:t>
      </w:r>
      <w:proofErr w:type="spellEnd"/>
      <w:r w:rsidR="00DB533C">
        <w:t>. § 506, §</w:t>
      </w:r>
      <w:r w:rsidR="000E68AF">
        <w:t xml:space="preserve"> </w:t>
      </w:r>
      <w:r w:rsidR="00DB533C">
        <w:t xml:space="preserve">2807(c), § 2809(b) and the standards and billing practices of 52 Pa. Code Chapter 56. </w:t>
      </w:r>
    </w:p>
    <w:p w:rsidR="00CB7F30" w:rsidRDefault="00CB7F30" w:rsidP="002C0B7C">
      <w:pPr>
        <w:ind w:firstLine="1440"/>
      </w:pPr>
    </w:p>
    <w:p w:rsidR="00CB7F30" w:rsidRDefault="00CB7F30" w:rsidP="002C0B7C">
      <w:pPr>
        <w:ind w:firstLine="1440"/>
      </w:pPr>
      <w:r>
        <w:t>Section 501 provides:</w:t>
      </w:r>
    </w:p>
    <w:p w:rsidR="00CB7F30" w:rsidRDefault="00CB7F30" w:rsidP="00CB7F30">
      <w:pPr>
        <w:spacing w:line="240" w:lineRule="auto"/>
        <w:ind w:left="720" w:right="720" w:firstLine="1440"/>
      </w:pPr>
      <w:r>
        <w:t>Every public utility, its officers, agents, and employees, and every other person or corporation subject to the provisions of this part, affected by or subject to any regulations or orders of the commission or of any court, made, issued, or entered under the provisions of this part, shall observe, obey and comply with such regulations or orders, and the terms and conditions thereof.</w:t>
      </w:r>
    </w:p>
    <w:p w:rsidR="00D74E92" w:rsidRDefault="00D74E92" w:rsidP="002C0B7C">
      <w:pPr>
        <w:ind w:firstLine="1440"/>
      </w:pPr>
    </w:p>
    <w:p w:rsidR="00CB7F30" w:rsidRDefault="00CB7F30" w:rsidP="00D22A28">
      <w:r>
        <w:t xml:space="preserve">66 Pa. </w:t>
      </w:r>
      <w:proofErr w:type="spellStart"/>
      <w:r>
        <w:t>C.S</w:t>
      </w:r>
      <w:proofErr w:type="spellEnd"/>
      <w:r>
        <w:t xml:space="preserve">. § 501(c). </w:t>
      </w:r>
    </w:p>
    <w:p w:rsidR="00CB7F30" w:rsidRDefault="00CB7F30" w:rsidP="002C0B7C">
      <w:pPr>
        <w:ind w:firstLine="1440"/>
      </w:pPr>
    </w:p>
    <w:p w:rsidR="00CB7F30" w:rsidRDefault="00CB7F30" w:rsidP="002C0B7C">
      <w:pPr>
        <w:ind w:firstLine="1440"/>
      </w:pPr>
      <w:r>
        <w:t>Section 505 provides:</w:t>
      </w:r>
    </w:p>
    <w:p w:rsidR="00CB7F30" w:rsidRDefault="00CB7F30" w:rsidP="00FD7E08">
      <w:pPr>
        <w:spacing w:line="240" w:lineRule="auto"/>
        <w:ind w:left="720" w:right="720" w:firstLine="1440"/>
      </w:pPr>
      <w:r>
        <w:t xml:space="preserve">Every public utility shall furnish to the commission, from time to time, and as the commission may require, all accounts, inventories, appraisals, valuations, maps, profiles, reports of engineers, books, papers, records, and other documents or memoranda, or copies of any and all of them, in aid of any inspection, examination, inquiry, investigation, or hearing, or in aid of any determination of the value of its property, or any </w:t>
      </w:r>
      <w:r w:rsidR="00FD7E08">
        <w:t>portion</w:t>
      </w:r>
      <w:r>
        <w:t xml:space="preserve"> thereof, and shall cooperate with the commission in the work of the valuation of its property or any portion thereof and </w:t>
      </w:r>
      <w:r w:rsidRPr="00893FC5">
        <w:rPr>
          <w:u w:val="single"/>
        </w:rPr>
        <w:t>shall furnish any and all other information to the commission as the commission may require, in any inspection, examination, inquiry, investigation, hearing,</w:t>
      </w:r>
      <w:r>
        <w:t xml:space="preserve"> or determination of such value of its property or any portion thereof. </w:t>
      </w:r>
    </w:p>
    <w:p w:rsidR="00FD7E08" w:rsidRDefault="00FD7E08" w:rsidP="00FD7E08">
      <w:pPr>
        <w:spacing w:line="240" w:lineRule="auto"/>
        <w:ind w:left="720" w:right="720" w:firstLine="1440"/>
      </w:pPr>
    </w:p>
    <w:p w:rsidR="00CB7F30" w:rsidRDefault="00CB7F30" w:rsidP="00D22A28">
      <w:r>
        <w:t xml:space="preserve">66 Pa. </w:t>
      </w:r>
      <w:proofErr w:type="spellStart"/>
      <w:r>
        <w:t>C.S</w:t>
      </w:r>
      <w:proofErr w:type="spellEnd"/>
      <w:r>
        <w:t>. § 505.</w:t>
      </w:r>
      <w:r w:rsidR="00893FC5">
        <w:t xml:space="preserve">  (Emphasis added).</w:t>
      </w:r>
    </w:p>
    <w:p w:rsidR="00B3237B" w:rsidRDefault="00B3237B" w:rsidP="002C0B7C">
      <w:pPr>
        <w:ind w:firstLine="1440"/>
      </w:pPr>
    </w:p>
    <w:p w:rsidR="00B3237B" w:rsidRDefault="00B3237B" w:rsidP="002C0B7C">
      <w:pPr>
        <w:ind w:firstLine="1440"/>
      </w:pPr>
      <w:r>
        <w:t>Section 506 provides:</w:t>
      </w:r>
    </w:p>
    <w:p w:rsidR="00B3237B" w:rsidRDefault="00B3237B" w:rsidP="00B3237B">
      <w:pPr>
        <w:spacing w:line="240" w:lineRule="auto"/>
        <w:ind w:left="720" w:right="720" w:firstLine="1440"/>
      </w:pPr>
      <w:r>
        <w:t xml:space="preserve">The commission shall have full power and authority, either by or through its members, or duly authorized representatives, whenever it shall deem it necessary or proper in carrying out any of the provisions of, or its duties under this part, to enter upon the premises, buildings, machinery, system, plant, and equipment, and make any inspection, valuation, physical examination, inquiry, or investigation of any and all plant and equipment, facilities, property , and </w:t>
      </w:r>
      <w:r>
        <w:lastRenderedPageBreak/>
        <w:t>pertinent records, books, papers, accounts, maps, inventories, appraisals, valuations, memoranda, documents, o</w:t>
      </w:r>
      <w:r w:rsidR="00056BFA">
        <w:t>r</w:t>
      </w:r>
      <w:r>
        <w:t xml:space="preserve"> effects whatsoever, or any public utility, or prepared or kept for it by others, and to hold any hearing for such purposes.  In the performance of such duties, the commission may have access to, and use any books, records, or documents in the possession of, and any department, board, or commission of the Commonwealth, or any political subdivision thereof.</w:t>
      </w:r>
    </w:p>
    <w:p w:rsidR="00B3237B" w:rsidRDefault="00B3237B" w:rsidP="00B3237B">
      <w:pPr>
        <w:spacing w:line="240" w:lineRule="auto"/>
        <w:ind w:left="720" w:right="720" w:firstLine="1440"/>
      </w:pPr>
    </w:p>
    <w:p w:rsidR="00B3237B" w:rsidRDefault="00B3237B" w:rsidP="00D22A28">
      <w:pPr>
        <w:spacing w:line="240" w:lineRule="auto"/>
        <w:ind w:right="720"/>
      </w:pPr>
      <w:r>
        <w:t xml:space="preserve">66 Pa. </w:t>
      </w:r>
      <w:proofErr w:type="spellStart"/>
      <w:r>
        <w:t>C.S</w:t>
      </w:r>
      <w:proofErr w:type="spellEnd"/>
      <w:r>
        <w:t>. § 506.</w:t>
      </w:r>
    </w:p>
    <w:p w:rsidR="002C2F59" w:rsidRDefault="002C2F59" w:rsidP="002C0B7C">
      <w:pPr>
        <w:ind w:firstLine="1440"/>
      </w:pPr>
    </w:p>
    <w:p w:rsidR="00893FC5" w:rsidRDefault="00526D22" w:rsidP="002C0B7C">
      <w:pPr>
        <w:ind w:firstLine="1440"/>
      </w:pPr>
      <w:r>
        <w:t xml:space="preserve">Pursuant to 66 Pa. </w:t>
      </w:r>
      <w:proofErr w:type="spellStart"/>
      <w:r>
        <w:t>C.S</w:t>
      </w:r>
      <w:proofErr w:type="spellEnd"/>
      <w:r>
        <w:t xml:space="preserve">. § 505, HIKO is under a duty to furnish any and all other information to the commission as it may require in any investigation, examination, inquiry or hearing.  </w:t>
      </w:r>
      <w:r w:rsidR="00C01051">
        <w:t xml:space="preserve">Pursuant to 66 Pa. </w:t>
      </w:r>
      <w:proofErr w:type="spellStart"/>
      <w:r w:rsidR="00C01051">
        <w:t>C.S</w:t>
      </w:r>
      <w:proofErr w:type="spellEnd"/>
      <w:r w:rsidR="00C01051">
        <w:t xml:space="preserve">. § 506, the Commission has the authority to inspect and inquire regarding the </w:t>
      </w:r>
      <w:proofErr w:type="spellStart"/>
      <w:r w:rsidR="00C01051">
        <w:t>EGS’s</w:t>
      </w:r>
      <w:proofErr w:type="spellEnd"/>
      <w:r w:rsidR="00C01051">
        <w:t xml:space="preserve"> records.  In the instant case, </w:t>
      </w:r>
      <w:r>
        <w:t xml:space="preserve">I&amp;E is requesting the presence of the two individuals who sponsored data spreadsheets that I&amp;E wishes to inquire about at hearing.  This request is reasonable and </w:t>
      </w:r>
      <w:r w:rsidR="00C01051">
        <w:t xml:space="preserve">HIKO has failed to show how their participation in the hearings April 20-22 would be unduly burdensome. </w:t>
      </w:r>
    </w:p>
    <w:p w:rsidR="00C01051" w:rsidRDefault="00C01051" w:rsidP="002C0B7C">
      <w:pPr>
        <w:ind w:firstLine="1440"/>
        <w:rPr>
          <w:szCs w:val="24"/>
        </w:rPr>
      </w:pPr>
    </w:p>
    <w:p w:rsidR="00F2591B" w:rsidRDefault="003F187B" w:rsidP="002C0B7C">
      <w:pPr>
        <w:ind w:firstLine="1440"/>
        <w:rPr>
          <w:szCs w:val="24"/>
        </w:rPr>
      </w:pPr>
      <w:r>
        <w:rPr>
          <w:szCs w:val="24"/>
        </w:rPr>
        <w:t xml:space="preserve">Under </w:t>
      </w:r>
      <w:r w:rsidR="00F2591B">
        <w:rPr>
          <w:szCs w:val="24"/>
        </w:rPr>
        <w:t xml:space="preserve">Federal </w:t>
      </w:r>
      <w:r>
        <w:rPr>
          <w:szCs w:val="24"/>
        </w:rPr>
        <w:t xml:space="preserve">Rule of Civil Procedure, Rule </w:t>
      </w:r>
      <w:proofErr w:type="spellStart"/>
      <w:r>
        <w:rPr>
          <w:szCs w:val="24"/>
        </w:rPr>
        <w:t>45.c.1</w:t>
      </w:r>
      <w:proofErr w:type="spellEnd"/>
      <w:r>
        <w:rPr>
          <w:szCs w:val="24"/>
        </w:rPr>
        <w:t xml:space="preserve"> (governing subpoenas), the law provides that a subpoena may command a person to attend a hearing only as follows: (a) within 100 miles of where the person resides, is employed or regularly transacts business in person; or (b) within the state where person resides, is employed, or regularly transacts business in person, if the person (</w:t>
      </w:r>
      <w:proofErr w:type="spellStart"/>
      <w:r>
        <w:rPr>
          <w:szCs w:val="24"/>
        </w:rPr>
        <w:t>i</w:t>
      </w:r>
      <w:proofErr w:type="spellEnd"/>
      <w:r>
        <w:rPr>
          <w:szCs w:val="24"/>
        </w:rPr>
        <w:t xml:space="preserve">) is a party or a party’s officer; or (ii) is commanded to attend a trial and would not incur substantial expense.  </w:t>
      </w:r>
    </w:p>
    <w:p w:rsidR="00F2591B" w:rsidRPr="00E82B94" w:rsidRDefault="00F2591B" w:rsidP="002C0B7C">
      <w:pPr>
        <w:ind w:firstLine="1440"/>
        <w:rPr>
          <w:szCs w:val="24"/>
        </w:rPr>
      </w:pPr>
    </w:p>
    <w:p w:rsidR="007A442D" w:rsidRDefault="00E82B94" w:rsidP="00E82B94">
      <w:pPr>
        <w:ind w:firstLine="1440"/>
        <w:rPr>
          <w:rFonts w:ascii="Arial" w:hAnsi="Arial" w:cs="Arial"/>
          <w:color w:val="222222"/>
          <w:sz w:val="23"/>
          <w:szCs w:val="23"/>
        </w:rPr>
      </w:pPr>
      <w:r w:rsidRPr="00E82B94">
        <w:rPr>
          <w:color w:val="222222"/>
          <w:szCs w:val="24"/>
        </w:rPr>
        <w:t xml:space="preserve">Under the due process clause of the Fifth Amendment, personal jurisdiction over a party does not exist unless that party has sufficient "minimum contacts" with the jurisdiction. </w:t>
      </w:r>
      <w:hyperlink r:id="rId9" w:history="1">
        <w:r w:rsidRPr="00E82B94">
          <w:rPr>
            <w:i/>
            <w:iCs/>
            <w:szCs w:val="24"/>
          </w:rPr>
          <w:t>International Shoe Co. v. Washington,</w:t>
        </w:r>
        <w:r w:rsidRPr="00E82B94">
          <w:rPr>
            <w:szCs w:val="24"/>
          </w:rPr>
          <w:t xml:space="preserve"> 326 U.S. 310, 316, 66 </w:t>
        </w:r>
        <w:proofErr w:type="spellStart"/>
        <w:r w:rsidRPr="00E82B94">
          <w:rPr>
            <w:szCs w:val="24"/>
          </w:rPr>
          <w:t>S.Ct</w:t>
        </w:r>
        <w:proofErr w:type="spellEnd"/>
        <w:r w:rsidRPr="00E82B94">
          <w:rPr>
            <w:szCs w:val="24"/>
          </w:rPr>
          <w:t xml:space="preserve">. 154, 158, 90 </w:t>
        </w:r>
        <w:proofErr w:type="spellStart"/>
        <w:r w:rsidRPr="00E82B94">
          <w:rPr>
            <w:szCs w:val="24"/>
          </w:rPr>
          <w:t>L.Ed</w:t>
        </w:r>
        <w:proofErr w:type="spellEnd"/>
        <w:r w:rsidRPr="00E82B94">
          <w:rPr>
            <w:szCs w:val="24"/>
          </w:rPr>
          <w:t>. 95 (1945)</w:t>
        </w:r>
      </w:hyperlink>
      <w:r w:rsidRPr="00E82B94">
        <w:rPr>
          <w:color w:val="222222"/>
          <w:szCs w:val="24"/>
        </w:rPr>
        <w:t xml:space="preserve">.  The exercise of jurisdiction must not "offend `traditional notions of fair play and substantial justice.'" </w:t>
      </w:r>
      <w:r w:rsidRPr="00E82B94">
        <w:rPr>
          <w:i/>
          <w:iCs/>
          <w:color w:val="222222"/>
          <w:szCs w:val="24"/>
        </w:rPr>
        <w:t>Id.</w:t>
      </w:r>
      <w:r w:rsidRPr="00E82B94">
        <w:rPr>
          <w:color w:val="222222"/>
          <w:szCs w:val="24"/>
        </w:rPr>
        <w:t xml:space="preserve"> (quoting </w:t>
      </w:r>
      <w:hyperlink r:id="rId10" w:history="1">
        <w:r w:rsidRPr="00E82B94">
          <w:rPr>
            <w:i/>
            <w:iCs/>
            <w:szCs w:val="24"/>
          </w:rPr>
          <w:t>Milliken v. Meyer,</w:t>
        </w:r>
        <w:r w:rsidRPr="00E82B94">
          <w:rPr>
            <w:szCs w:val="24"/>
          </w:rPr>
          <w:t xml:space="preserve"> 311 U.S. 457, 463, 61 </w:t>
        </w:r>
        <w:proofErr w:type="spellStart"/>
        <w:r w:rsidRPr="00E82B94">
          <w:rPr>
            <w:szCs w:val="24"/>
          </w:rPr>
          <w:t>S.Ct</w:t>
        </w:r>
        <w:proofErr w:type="spellEnd"/>
        <w:r w:rsidRPr="00E82B94">
          <w:rPr>
            <w:szCs w:val="24"/>
          </w:rPr>
          <w:t xml:space="preserve">. 339, 343, 85 </w:t>
        </w:r>
        <w:proofErr w:type="spellStart"/>
        <w:r w:rsidRPr="00E82B94">
          <w:rPr>
            <w:szCs w:val="24"/>
          </w:rPr>
          <w:t>L.Ed</w:t>
        </w:r>
        <w:proofErr w:type="spellEnd"/>
        <w:r w:rsidRPr="00E82B94">
          <w:rPr>
            <w:szCs w:val="24"/>
          </w:rPr>
          <w:t>. 278 (1940)</w:t>
        </w:r>
      </w:hyperlink>
      <w:r w:rsidRPr="00E82B94">
        <w:rPr>
          <w:color w:val="222222"/>
          <w:szCs w:val="24"/>
        </w:rPr>
        <w:t xml:space="preserve">). Furthermore, the party's activities within the jurisdiction must render it foreseeable that </w:t>
      </w:r>
      <w:r w:rsidRPr="00E82B94">
        <w:rPr>
          <w:color w:val="222222"/>
          <w:szCs w:val="24"/>
        </w:rPr>
        <w:lastRenderedPageBreak/>
        <w:t xml:space="preserve">the party should reasonably anticipate being </w:t>
      </w:r>
      <w:proofErr w:type="spellStart"/>
      <w:r w:rsidRPr="00E82B94">
        <w:rPr>
          <w:color w:val="222222"/>
          <w:szCs w:val="24"/>
        </w:rPr>
        <w:t>haled</w:t>
      </w:r>
      <w:proofErr w:type="spellEnd"/>
      <w:r w:rsidRPr="00E82B94">
        <w:rPr>
          <w:color w:val="222222"/>
          <w:szCs w:val="24"/>
        </w:rPr>
        <w:t xml:space="preserve"> into the forum court. </w:t>
      </w:r>
      <w:hyperlink r:id="rId11" w:history="1">
        <w:r w:rsidRPr="00E82B94">
          <w:rPr>
            <w:i/>
            <w:iCs/>
            <w:szCs w:val="24"/>
          </w:rPr>
          <w:t>World-Wide Volkswagen Corp. v. Woodson,</w:t>
        </w:r>
        <w:r w:rsidRPr="00E82B94">
          <w:rPr>
            <w:szCs w:val="24"/>
          </w:rPr>
          <w:t xml:space="preserve"> 444 U.S. 286, 297, 100 </w:t>
        </w:r>
        <w:proofErr w:type="spellStart"/>
        <w:r w:rsidRPr="00E82B94">
          <w:rPr>
            <w:szCs w:val="24"/>
          </w:rPr>
          <w:t>S.Ct</w:t>
        </w:r>
        <w:proofErr w:type="spellEnd"/>
        <w:r w:rsidRPr="00E82B94">
          <w:rPr>
            <w:szCs w:val="24"/>
          </w:rPr>
          <w:t xml:space="preserve">. 559, 567, 62 </w:t>
        </w:r>
        <w:proofErr w:type="spellStart"/>
        <w:r w:rsidRPr="00E82B94">
          <w:rPr>
            <w:szCs w:val="24"/>
          </w:rPr>
          <w:t>L.Ed.2d</w:t>
        </w:r>
        <w:proofErr w:type="spellEnd"/>
        <w:r w:rsidRPr="00E82B94">
          <w:rPr>
            <w:szCs w:val="24"/>
          </w:rPr>
          <w:t xml:space="preserve"> 490 (1980)</w:t>
        </w:r>
      </w:hyperlink>
      <w:r>
        <w:rPr>
          <w:rFonts w:ascii="Arial" w:hAnsi="Arial" w:cs="Arial"/>
          <w:color w:val="222222"/>
          <w:sz w:val="23"/>
          <w:szCs w:val="23"/>
        </w:rPr>
        <w:t>.</w:t>
      </w:r>
    </w:p>
    <w:p w:rsidR="0014451D" w:rsidRDefault="0014451D" w:rsidP="0014451D">
      <w:pPr>
        <w:spacing w:after="0"/>
      </w:pPr>
    </w:p>
    <w:p w:rsidR="00893FC5" w:rsidRDefault="0014451D" w:rsidP="0014451D">
      <w:pPr>
        <w:spacing w:after="0"/>
      </w:pPr>
      <w:r>
        <w:tab/>
      </w:r>
      <w:r w:rsidR="00C01051">
        <w:t>W</w:t>
      </w:r>
      <w:r>
        <w:t xml:space="preserve">e do not construe </w:t>
      </w:r>
      <w:r w:rsidR="00F2591B">
        <w:t>Section 309</w:t>
      </w:r>
      <w:r>
        <w:t xml:space="preserve"> to </w:t>
      </w:r>
      <w:r w:rsidR="00F2591B">
        <w:t xml:space="preserve">unconditionally </w:t>
      </w:r>
      <w:r>
        <w:t xml:space="preserve">limit the </w:t>
      </w:r>
      <w:r w:rsidR="00F2591B">
        <w:t xml:space="preserve">Commission’s or its representative’s authority </w:t>
      </w:r>
      <w:r>
        <w:t>to subpoena only those witnesses residing within the boundaries of the Commonwealth of Pennsylvania, if those witnesses are officers</w:t>
      </w:r>
      <w:r w:rsidR="00F2591B">
        <w:t>, supervisors, or directors</w:t>
      </w:r>
      <w:r>
        <w:t xml:space="preserve"> of a Pennsylvania-licensed electric generation supply company (</w:t>
      </w:r>
      <w:proofErr w:type="spellStart"/>
      <w:r>
        <w:t>EGS</w:t>
      </w:r>
      <w:proofErr w:type="spellEnd"/>
      <w:r>
        <w:t xml:space="preserve">) which is the subject of the Commission’s Bureau of Investigation and Enforcement’s investigation and subsequent formal complaint.  If the </w:t>
      </w:r>
      <w:r w:rsidR="00893FC5">
        <w:t>G</w:t>
      </w:r>
      <w:r>
        <w:t xml:space="preserve">eneral </w:t>
      </w:r>
      <w:r w:rsidR="00893FC5">
        <w:t>A</w:t>
      </w:r>
      <w:r>
        <w:t xml:space="preserve">ssembly had intended to qualify </w:t>
      </w:r>
      <w:r w:rsidR="00893FC5">
        <w:t>Section 309</w:t>
      </w:r>
      <w:r>
        <w:t xml:space="preserve"> and limit those persons who could be subpoenaed to only those individuals or entities with a primary residence located in Pennsylvania regardless of the number of business contacts it had in the Commonwealth, then it would have expressly stated such a limitation o</w:t>
      </w:r>
      <w:r w:rsidR="00893FC5">
        <w:t>f</w:t>
      </w:r>
      <w:r>
        <w:t xml:space="preserve"> the Commission’s powers. </w:t>
      </w:r>
      <w:r w:rsidR="00F2591B">
        <w:t xml:space="preserve"> </w:t>
      </w:r>
    </w:p>
    <w:p w:rsidR="00893FC5" w:rsidRDefault="00893FC5" w:rsidP="0014451D">
      <w:pPr>
        <w:spacing w:after="0"/>
      </w:pPr>
    </w:p>
    <w:p w:rsidR="0099481D" w:rsidRDefault="00893FC5" w:rsidP="00B82B33">
      <w:pPr>
        <w:spacing w:after="0"/>
      </w:pPr>
      <w:r>
        <w:tab/>
        <w:t>It appears t</w:t>
      </w:r>
      <w:r w:rsidR="00F2591B">
        <w:t xml:space="preserve">hat </w:t>
      </w:r>
      <w:proofErr w:type="spellStart"/>
      <w:r w:rsidR="00F2591B">
        <w:t>Shevy</w:t>
      </w:r>
      <w:proofErr w:type="spellEnd"/>
      <w:r w:rsidR="00F2591B">
        <w:t xml:space="preserve"> </w:t>
      </w:r>
      <w:proofErr w:type="spellStart"/>
      <w:r w:rsidR="00F2591B">
        <w:t>Simins</w:t>
      </w:r>
      <w:proofErr w:type="spellEnd"/>
      <w:r w:rsidR="00F2591B">
        <w:t xml:space="preserve">, Regulatory Supervisor and </w:t>
      </w:r>
      <w:proofErr w:type="spellStart"/>
      <w:r w:rsidR="00F2591B">
        <w:t>Elly</w:t>
      </w:r>
      <w:proofErr w:type="spellEnd"/>
      <w:r w:rsidR="00F2591B">
        <w:t xml:space="preserve"> Bernstein, Director of Operations regularly transact</w:t>
      </w:r>
      <w:r>
        <w:t>ed</w:t>
      </w:r>
      <w:r w:rsidR="00F2591B">
        <w:t xml:space="preserve"> business in the Commonwealth of Pennsylvania </w:t>
      </w:r>
      <w:r>
        <w:t>in their managerial capacities as</w:t>
      </w:r>
      <w:r w:rsidR="00F2591B">
        <w:t xml:space="preserve"> employees of HIKO Energy LLC, thus satisfying the “minimum contacts” test; and </w:t>
      </w:r>
      <w:proofErr w:type="spellStart"/>
      <w:r w:rsidR="00F2591B">
        <w:t>HIKO’s</w:t>
      </w:r>
      <w:proofErr w:type="spellEnd"/>
      <w:r w:rsidR="00F2591B">
        <w:t xml:space="preserve"> </w:t>
      </w:r>
      <w:r w:rsidR="00F2591B" w:rsidRPr="00E82B94">
        <w:rPr>
          <w:color w:val="222222"/>
          <w:szCs w:val="24"/>
        </w:rPr>
        <w:t xml:space="preserve">activities within </w:t>
      </w:r>
      <w:r w:rsidR="00F2591B">
        <w:rPr>
          <w:color w:val="222222"/>
          <w:szCs w:val="24"/>
        </w:rPr>
        <w:t xml:space="preserve">Pennsylvania </w:t>
      </w:r>
      <w:r w:rsidR="00F2591B" w:rsidRPr="00E82B94">
        <w:rPr>
          <w:color w:val="222222"/>
          <w:szCs w:val="24"/>
        </w:rPr>
        <w:t>render it foreseeable that</w:t>
      </w:r>
      <w:r w:rsidR="00417581">
        <w:rPr>
          <w:color w:val="222222"/>
          <w:szCs w:val="24"/>
        </w:rPr>
        <w:t xml:space="preserve"> </w:t>
      </w:r>
      <w:proofErr w:type="spellStart"/>
      <w:r w:rsidR="00417581">
        <w:rPr>
          <w:color w:val="222222"/>
          <w:szCs w:val="24"/>
        </w:rPr>
        <w:t>HIKO’s</w:t>
      </w:r>
      <w:proofErr w:type="spellEnd"/>
      <w:r w:rsidR="00417581">
        <w:rPr>
          <w:color w:val="222222"/>
          <w:szCs w:val="24"/>
        </w:rPr>
        <w:t xml:space="preserve"> supervisors who did sponsor answers to data requests and interrogatories made by I&amp;E </w:t>
      </w:r>
      <w:r w:rsidR="00F2591B" w:rsidRPr="00E82B94">
        <w:rPr>
          <w:color w:val="222222"/>
          <w:szCs w:val="24"/>
        </w:rPr>
        <w:t xml:space="preserve">should reasonably anticipate being </w:t>
      </w:r>
      <w:proofErr w:type="spellStart"/>
      <w:r w:rsidR="00F2591B" w:rsidRPr="00E82B94">
        <w:rPr>
          <w:color w:val="222222"/>
          <w:szCs w:val="24"/>
        </w:rPr>
        <w:t>haled</w:t>
      </w:r>
      <w:proofErr w:type="spellEnd"/>
      <w:r w:rsidR="00F2591B" w:rsidRPr="00E82B94">
        <w:rPr>
          <w:color w:val="222222"/>
          <w:szCs w:val="24"/>
        </w:rPr>
        <w:t xml:space="preserve"> into </w:t>
      </w:r>
      <w:r w:rsidR="00417581">
        <w:rPr>
          <w:color w:val="222222"/>
          <w:szCs w:val="24"/>
        </w:rPr>
        <w:t xml:space="preserve">a hearing before the </w:t>
      </w:r>
      <w:r w:rsidR="000E68AF">
        <w:rPr>
          <w:color w:val="222222"/>
          <w:szCs w:val="24"/>
        </w:rPr>
        <w:t>Commission</w:t>
      </w:r>
      <w:r w:rsidR="00417581">
        <w:rPr>
          <w:color w:val="222222"/>
          <w:szCs w:val="24"/>
        </w:rPr>
        <w:t>.</w:t>
      </w:r>
    </w:p>
    <w:p w:rsidR="0099481D" w:rsidRDefault="0099481D" w:rsidP="00B82B33">
      <w:pPr>
        <w:spacing w:after="0"/>
      </w:pPr>
    </w:p>
    <w:p w:rsidR="0099481D" w:rsidRDefault="0099481D" w:rsidP="00B82B33">
      <w:pPr>
        <w:spacing w:after="0"/>
      </w:pPr>
      <w:r>
        <w:tab/>
        <w:t>The Application for Subpoenas are sufficiently specific</w:t>
      </w:r>
      <w:r w:rsidR="00AF0000">
        <w:t xml:space="preserve"> regarding the scope, relevance and materiality of the testimonies,</w:t>
      </w:r>
      <w:r>
        <w:t xml:space="preserve"> and appear to request the production of documents related to the counts contained within the Complaint including but not limited to: </w:t>
      </w:r>
      <w:r w:rsidRPr="0099481D">
        <w:t>the Welcome Letter of HIKO Energy, LLC detailing the price offering in question, the Disclosure Statement of HIKO Energy, LLC</w:t>
      </w:r>
      <w:r>
        <w:t>,</w:t>
      </w:r>
      <w:r w:rsidRPr="0099481D">
        <w:t xml:space="preserve"> and the spreadsheets containing customer data regarding the billing information regarding the price offering for the period of January 2014 to April 2014</w:t>
      </w:r>
      <w:r>
        <w:t>.</w:t>
      </w:r>
      <w:r w:rsidR="00C01051">
        <w:t xml:space="preserve"> </w:t>
      </w:r>
      <w:r w:rsidR="00AF0000">
        <w:t xml:space="preserve"> 52 Pa. Code § 5.421(2)(b)</w:t>
      </w:r>
      <w:r w:rsidR="003870C7">
        <w:t xml:space="preserve">.  </w:t>
      </w:r>
      <w:r w:rsidR="00C01051">
        <w:t xml:space="preserve">Further, HIKO has failed to show how their appearance </w:t>
      </w:r>
      <w:r>
        <w:t xml:space="preserve">and the production of these documents </w:t>
      </w:r>
      <w:r w:rsidR="00C01051">
        <w:t>would be unduly burdensome</w:t>
      </w:r>
      <w:r>
        <w:t xml:space="preserve"> as the witnesses will be paid the same fees and mileage as paid for like services in the courts of common pleas of Pennsylvania</w:t>
      </w:r>
      <w:r w:rsidR="00C01051">
        <w:t xml:space="preserve">. </w:t>
      </w:r>
      <w:r>
        <w:t xml:space="preserve"> 52 Pa. Code § 5.421(e).</w:t>
      </w:r>
      <w:r w:rsidR="00C01051">
        <w:t xml:space="preserve">  </w:t>
      </w:r>
      <w:r w:rsidR="006378F7">
        <w:t>The witnesses may, however, agree to waive the fee.</w:t>
      </w:r>
    </w:p>
    <w:p w:rsidR="0099481D" w:rsidRDefault="0099481D" w:rsidP="00B82B33">
      <w:pPr>
        <w:spacing w:after="0"/>
      </w:pPr>
    </w:p>
    <w:p w:rsidR="003F187B" w:rsidRDefault="0099481D" w:rsidP="00B82B33">
      <w:pPr>
        <w:spacing w:after="0"/>
      </w:pPr>
      <w:r>
        <w:lastRenderedPageBreak/>
        <w:tab/>
      </w:r>
      <w:proofErr w:type="spellStart"/>
      <w:r w:rsidR="00C01051">
        <w:t>HIKOs</w:t>
      </w:r>
      <w:proofErr w:type="spellEnd"/>
      <w:r w:rsidR="00C01051">
        <w:t xml:space="preserve"> mere agreement to stipulate the spreadsheets into evidence is insufficient, as I&amp;E has a right to examine and make inquiries regarding the spreadsheets to the persons most likely involved in creating the spreadsheets, or managing the input and accuracy of the spreadsheets. </w:t>
      </w:r>
      <w:r w:rsidR="00F2591B">
        <w:t xml:space="preserve"> </w:t>
      </w:r>
      <w:r w:rsidR="00417581">
        <w:t>Accordingly, for all of these aforementioned reasons, the Applications shall be granted and the attached Subpoenas issued.</w:t>
      </w:r>
    </w:p>
    <w:p w:rsidR="00AF0000" w:rsidRDefault="00AF0000" w:rsidP="00B82B33">
      <w:pPr>
        <w:spacing w:after="0"/>
      </w:pPr>
    </w:p>
    <w:p w:rsidR="00AF0000" w:rsidRDefault="00AF0000" w:rsidP="00B82B33">
      <w:pPr>
        <w:spacing w:after="0"/>
      </w:pPr>
      <w:r>
        <w:tab/>
        <w:t>THEREFORE,</w:t>
      </w:r>
    </w:p>
    <w:p w:rsidR="00AF0000" w:rsidRDefault="00AF0000" w:rsidP="00B82B33">
      <w:pPr>
        <w:spacing w:after="0"/>
      </w:pPr>
    </w:p>
    <w:p w:rsidR="00AF0000" w:rsidRDefault="00AF0000" w:rsidP="00B82B33">
      <w:pPr>
        <w:spacing w:after="0"/>
      </w:pPr>
      <w:r>
        <w:tab/>
        <w:t>IT IS ORDERED:</w:t>
      </w:r>
    </w:p>
    <w:p w:rsidR="00AF0000" w:rsidRDefault="00AF0000" w:rsidP="00B82B33">
      <w:pPr>
        <w:spacing w:after="0"/>
      </w:pPr>
    </w:p>
    <w:p w:rsidR="006378F7" w:rsidRDefault="00AF0000" w:rsidP="00B82B33">
      <w:pPr>
        <w:spacing w:after="0"/>
      </w:pPr>
      <w:r>
        <w:tab/>
        <w:t>1.</w:t>
      </w:r>
      <w:r>
        <w:tab/>
        <w:t xml:space="preserve">That the Application For Subpoena </w:t>
      </w:r>
      <w:r w:rsidR="006378F7">
        <w:t xml:space="preserve">of </w:t>
      </w:r>
      <w:proofErr w:type="spellStart"/>
      <w:r w:rsidR="006378F7">
        <w:t>Shevy</w:t>
      </w:r>
      <w:proofErr w:type="spellEnd"/>
      <w:r w:rsidR="006378F7">
        <w:t xml:space="preserve"> </w:t>
      </w:r>
      <w:proofErr w:type="spellStart"/>
      <w:r w:rsidR="006378F7">
        <w:t>Simins</w:t>
      </w:r>
      <w:proofErr w:type="spellEnd"/>
      <w:r w:rsidR="006378F7">
        <w:t xml:space="preserve"> is granted.</w:t>
      </w:r>
    </w:p>
    <w:p w:rsidR="006378F7" w:rsidRDefault="006378F7" w:rsidP="00B82B33">
      <w:pPr>
        <w:spacing w:after="0"/>
      </w:pPr>
    </w:p>
    <w:p w:rsidR="006378F7" w:rsidRDefault="006378F7" w:rsidP="00B82B33">
      <w:pPr>
        <w:spacing w:after="0"/>
      </w:pPr>
      <w:r>
        <w:tab/>
        <w:t>2.</w:t>
      </w:r>
      <w:r>
        <w:tab/>
        <w:t xml:space="preserve">That the Application for Subpoena of </w:t>
      </w:r>
      <w:proofErr w:type="spellStart"/>
      <w:r>
        <w:t>Elly</w:t>
      </w:r>
      <w:proofErr w:type="spellEnd"/>
      <w:r>
        <w:t xml:space="preserve"> Bernstein is granted. </w:t>
      </w:r>
    </w:p>
    <w:p w:rsidR="00AF0000" w:rsidRDefault="006378F7" w:rsidP="00B82B33">
      <w:pPr>
        <w:spacing w:after="0"/>
        <w:rPr>
          <w:rFonts w:eastAsia="SimSun"/>
        </w:rPr>
      </w:pPr>
      <w:r>
        <w:t xml:space="preserve"> </w:t>
      </w:r>
    </w:p>
    <w:p w:rsidR="00AF0000" w:rsidRDefault="00AF0000" w:rsidP="00C05E11">
      <w:pPr>
        <w:tabs>
          <w:tab w:val="clear" w:pos="1440"/>
        </w:tabs>
        <w:spacing w:after="0" w:line="240" w:lineRule="auto"/>
        <w:ind w:left="5040" w:firstLine="720"/>
        <w:rPr>
          <w:rFonts w:eastAsia="SimSun"/>
        </w:rPr>
      </w:pPr>
    </w:p>
    <w:p w:rsidR="00C05E11" w:rsidRDefault="00C05E11" w:rsidP="00C05E11">
      <w:pPr>
        <w:tabs>
          <w:tab w:val="clear" w:pos="1440"/>
        </w:tabs>
        <w:spacing w:after="0" w:line="240" w:lineRule="auto"/>
        <w:ind w:left="5040" w:firstLine="720"/>
        <w:rPr>
          <w:rFonts w:eastAsia="SimSun"/>
        </w:rPr>
      </w:pPr>
      <w:r w:rsidRPr="00985788">
        <w:rPr>
          <w:rFonts w:eastAsia="SimSun"/>
        </w:rPr>
        <w:t>______________________________</w:t>
      </w:r>
      <w:r w:rsidRPr="00985788">
        <w:rPr>
          <w:rFonts w:eastAsia="SimSun"/>
        </w:rPr>
        <w:tab/>
      </w:r>
      <w:r w:rsidR="00FD7E08">
        <w:rPr>
          <w:rFonts w:eastAsia="SimSun"/>
        </w:rPr>
        <w:t>Elizabeth Barnes</w:t>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C05E11" w:rsidRPr="00985788" w:rsidRDefault="00C05E11" w:rsidP="00C05E11">
      <w:pPr>
        <w:tabs>
          <w:tab w:val="clear" w:pos="1440"/>
        </w:tabs>
        <w:spacing w:after="0" w:line="240" w:lineRule="auto"/>
        <w:rPr>
          <w:rFonts w:eastAsia="SimSun"/>
        </w:rPr>
      </w:pPr>
    </w:p>
    <w:p w:rsidR="00C05E11" w:rsidRPr="00985788" w:rsidRDefault="00C05E11" w:rsidP="00C05E11">
      <w:pPr>
        <w:tabs>
          <w:tab w:val="clear" w:pos="1440"/>
        </w:tabs>
        <w:spacing w:after="0" w:line="240" w:lineRule="auto"/>
        <w:rPr>
          <w:rFonts w:eastAsia="SimSun"/>
        </w:rPr>
      </w:pPr>
    </w:p>
    <w:p w:rsidR="00C0578C" w:rsidRDefault="00C05E11" w:rsidP="00206534">
      <w:pPr>
        <w:tabs>
          <w:tab w:val="clear" w:pos="1440"/>
        </w:tabs>
        <w:spacing w:after="0" w:line="240" w:lineRule="auto"/>
        <w:rPr>
          <w:rFonts w:eastAsia="SimSun"/>
        </w:rPr>
      </w:pPr>
      <w:r w:rsidRPr="00985788">
        <w:rPr>
          <w:rFonts w:eastAsia="SimSun"/>
        </w:rPr>
        <w:t xml:space="preserve">Date:  </w:t>
      </w:r>
      <w:r w:rsidR="00FD7E08">
        <w:rPr>
          <w:rFonts w:eastAsia="SimSun"/>
          <w:u w:val="single"/>
        </w:rPr>
        <w:t>April 7</w:t>
      </w:r>
      <w:r>
        <w:rPr>
          <w:rFonts w:eastAsia="SimSun"/>
          <w:u w:val="single"/>
        </w:rPr>
        <w:t>, 2015</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00FD7E08">
        <w:rPr>
          <w:rFonts w:eastAsia="SimSun"/>
        </w:rPr>
        <w:tab/>
      </w:r>
      <w:r w:rsidRPr="00985788">
        <w:rPr>
          <w:rFonts w:eastAsia="SimSun"/>
        </w:rPr>
        <w:t>______________________________</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00FD7E08">
        <w:rPr>
          <w:rFonts w:eastAsia="SimSun"/>
        </w:rPr>
        <w:t>Joel Cheskis</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00FD7E08">
        <w:rPr>
          <w:rFonts w:eastAsia="SimSun"/>
        </w:rPr>
        <w:tab/>
      </w:r>
      <w:r w:rsidR="00FD7E08">
        <w:rPr>
          <w:rFonts w:eastAsia="SimSun"/>
        </w:rPr>
        <w:tab/>
      </w:r>
      <w:r w:rsidR="00FD7E08">
        <w:rPr>
          <w:rFonts w:eastAsia="SimSun"/>
        </w:rPr>
        <w:tab/>
      </w:r>
      <w:r w:rsidRPr="00985788">
        <w:rPr>
          <w:rFonts w:eastAsia="SimSun"/>
        </w:rPr>
        <w:tab/>
        <w:t>Administrative Law Judge</w:t>
      </w:r>
    </w:p>
    <w:p w:rsidR="00C0578C" w:rsidRDefault="00C0578C">
      <w:pPr>
        <w:tabs>
          <w:tab w:val="clear" w:pos="1440"/>
        </w:tabs>
        <w:spacing w:after="200" w:line="276" w:lineRule="auto"/>
        <w:rPr>
          <w:rFonts w:eastAsia="SimSun"/>
        </w:rPr>
      </w:pPr>
      <w:r>
        <w:rPr>
          <w:rFonts w:eastAsia="SimSun"/>
        </w:rPr>
        <w:br w:type="page"/>
      </w:r>
    </w:p>
    <w:tbl>
      <w:tblPr>
        <w:tblW w:w="0" w:type="auto"/>
        <w:tblInd w:w="-162" w:type="dxa"/>
        <w:tblLayout w:type="fixed"/>
        <w:tblLook w:val="0000" w:firstRow="0" w:lastRow="0" w:firstColumn="0" w:lastColumn="0" w:noHBand="0" w:noVBand="0"/>
      </w:tblPr>
      <w:tblGrid>
        <w:gridCol w:w="1388"/>
        <w:gridCol w:w="7123"/>
        <w:gridCol w:w="1480"/>
      </w:tblGrid>
      <w:tr w:rsidR="00C0578C" w:rsidTr="00E8286A">
        <w:tc>
          <w:tcPr>
            <w:tcW w:w="1388" w:type="dxa"/>
          </w:tcPr>
          <w:p w:rsidR="00C0578C" w:rsidRDefault="00C0578C" w:rsidP="00C0578C">
            <w:pPr>
              <w:spacing w:after="0" w:line="240" w:lineRule="auto"/>
              <w:rPr>
                <w:sz w:val="18"/>
              </w:rPr>
            </w:pPr>
          </w:p>
        </w:tc>
        <w:tc>
          <w:tcPr>
            <w:tcW w:w="7123" w:type="dxa"/>
          </w:tcPr>
          <w:p w:rsidR="00C0578C" w:rsidRDefault="00C0578C" w:rsidP="00C0578C">
            <w:pPr>
              <w:suppressAutoHyphens/>
              <w:spacing w:after="0" w:line="240" w:lineRule="auto"/>
              <w:jc w:val="center"/>
              <w:rPr>
                <w:rFonts w:ascii="Lucida Sans Unicode" w:hAnsi="Lucida Sans Unicode"/>
                <w:b/>
                <w:spacing w:val="-3"/>
                <w:sz w:val="28"/>
              </w:rPr>
            </w:pPr>
            <w:r>
              <w:rPr>
                <w:noProof/>
                <w:spacing w:val="-2"/>
              </w:rPr>
              <w:drawing>
                <wp:inline distT="0" distB="0" distL="0" distR="0" wp14:anchorId="7D319A6B" wp14:editId="72FDFDC5">
                  <wp:extent cx="742950"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35" t="-14339" r="-35" b="-14229"/>
                          <a:stretch>
                            <a:fillRect/>
                          </a:stretch>
                        </pic:blipFill>
                        <pic:spPr bwMode="auto">
                          <a:xfrm>
                            <a:off x="0" y="0"/>
                            <a:ext cx="742950" cy="866775"/>
                          </a:xfrm>
                          <a:prstGeom prst="rect">
                            <a:avLst/>
                          </a:prstGeom>
                          <a:noFill/>
                          <a:ln>
                            <a:noFill/>
                          </a:ln>
                        </pic:spPr>
                      </pic:pic>
                    </a:graphicData>
                  </a:graphic>
                </wp:inline>
              </w:drawing>
            </w:r>
          </w:p>
          <w:p w:rsidR="00C0578C" w:rsidRDefault="00C0578C" w:rsidP="00C0578C">
            <w:pPr>
              <w:suppressAutoHyphens/>
              <w:spacing w:after="0" w:line="240" w:lineRule="auto"/>
              <w:jc w:val="center"/>
              <w:rPr>
                <w:rFonts w:ascii="Lucida Sans Unicode" w:hAnsi="Lucida Sans Unicode"/>
                <w:b/>
                <w:spacing w:val="-3"/>
                <w:sz w:val="28"/>
              </w:rPr>
            </w:pPr>
            <w:r>
              <w:rPr>
                <w:rFonts w:ascii="Lucida Sans Unicode" w:hAnsi="Lucida Sans Unicode"/>
                <w:b/>
                <w:spacing w:val="-3"/>
                <w:sz w:val="28"/>
              </w:rPr>
              <w:t>COMMONWEALTH OF PENNSYLVANIA</w:t>
            </w:r>
            <w:r>
              <w:rPr>
                <w:rFonts w:ascii="Lucida Sans Unicode" w:hAnsi="Lucida Sans Unicode"/>
                <w:b/>
                <w:spacing w:val="-3"/>
                <w:sz w:val="28"/>
              </w:rPr>
              <w:fldChar w:fldCharType="begin"/>
            </w:r>
            <w:r>
              <w:rPr>
                <w:rFonts w:ascii="Lucida Sans Unicode" w:hAnsi="Lucida Sans Unicode"/>
                <w:b/>
                <w:spacing w:val="-3"/>
                <w:sz w:val="28"/>
              </w:rPr>
              <w:instrText xml:space="preserve">PRIVATE </w:instrText>
            </w:r>
            <w:r>
              <w:rPr>
                <w:rFonts w:ascii="Lucida Sans Unicode" w:hAnsi="Lucida Sans Unicode"/>
                <w:b/>
                <w:spacing w:val="-3"/>
                <w:sz w:val="28"/>
              </w:rPr>
              <w:fldChar w:fldCharType="end"/>
            </w:r>
          </w:p>
          <w:p w:rsidR="00C0578C" w:rsidRDefault="00C0578C" w:rsidP="00C0578C">
            <w:pPr>
              <w:suppressAutoHyphens/>
              <w:spacing w:after="0" w:line="240" w:lineRule="auto"/>
              <w:jc w:val="center"/>
            </w:pPr>
            <w:r>
              <w:rPr>
                <w:rFonts w:ascii="Lucida Sans Unicode" w:hAnsi="Lucida Sans Unicode"/>
                <w:b/>
                <w:spacing w:val="-3"/>
                <w:sz w:val="28"/>
              </w:rPr>
              <w:t>PENNSYLVANIA PUBLIC UTILITY COMMISSION</w:t>
            </w:r>
          </w:p>
        </w:tc>
        <w:tc>
          <w:tcPr>
            <w:tcW w:w="1480" w:type="dxa"/>
          </w:tcPr>
          <w:p w:rsidR="00C0578C" w:rsidRDefault="00C0578C" w:rsidP="00C0578C">
            <w:pPr>
              <w:spacing w:after="0" w:line="240" w:lineRule="auto"/>
              <w:rPr>
                <w:rFonts w:ascii="Arial" w:hAnsi="Arial"/>
                <w:sz w:val="12"/>
              </w:rPr>
            </w:pPr>
          </w:p>
        </w:tc>
      </w:tr>
    </w:tbl>
    <w:p w:rsidR="00C0578C" w:rsidRDefault="00C0578C" w:rsidP="00C0578C">
      <w:pPr>
        <w:spacing w:after="0" w:line="240" w:lineRule="auto"/>
      </w:pPr>
    </w:p>
    <w:p w:rsidR="00C0578C" w:rsidRDefault="00C0578C" w:rsidP="00C0578C">
      <w:pPr>
        <w:spacing w:after="0" w:line="240" w:lineRule="auto"/>
      </w:pPr>
      <w:r>
        <w:rPr>
          <w:b/>
        </w:rPr>
        <w:t>In the Matter of:</w:t>
      </w:r>
      <w:r>
        <w:rPr>
          <w:b/>
        </w:rPr>
        <w:tab/>
      </w:r>
      <w:r>
        <w:rPr>
          <w:b/>
        </w:rPr>
        <w:tab/>
      </w:r>
      <w:r>
        <w:rPr>
          <w:b/>
        </w:rPr>
        <w:tab/>
      </w:r>
      <w:r>
        <w:rPr>
          <w:b/>
        </w:rPr>
        <w:tab/>
      </w:r>
      <w:r>
        <w:rPr>
          <w:b/>
        </w:rPr>
        <w:tab/>
        <w:t>Docket No.</w:t>
      </w:r>
      <w:r>
        <w:rPr>
          <w:b/>
          <w:u w:val="single"/>
        </w:rPr>
        <w:tab/>
        <w:t xml:space="preserve">C-2014-2431410 </w:t>
      </w:r>
      <w:r>
        <w:rPr>
          <w:b/>
          <w:u w:val="single"/>
        </w:rPr>
        <w:tab/>
      </w:r>
    </w:p>
    <w:p w:rsidR="00C0578C" w:rsidRDefault="00C0578C" w:rsidP="00C0578C">
      <w:pPr>
        <w:spacing w:after="0" w:line="240" w:lineRule="auto"/>
      </w:pPr>
      <w:r>
        <w:t>Pennsylvania Public Utility Commission,</w:t>
      </w:r>
    </w:p>
    <w:p w:rsidR="00C0578C" w:rsidRDefault="00C0578C" w:rsidP="00C0578C">
      <w:pPr>
        <w:spacing w:after="0" w:line="240" w:lineRule="auto"/>
      </w:pPr>
      <w:r>
        <w:t>Bureau of Investigation and Enforcement</w:t>
      </w:r>
    </w:p>
    <w:p w:rsidR="00C0578C" w:rsidRDefault="00C0578C" w:rsidP="00C0578C">
      <w:pPr>
        <w:spacing w:after="0" w:line="240" w:lineRule="auto"/>
      </w:pPr>
      <w:r>
        <w:t>v.</w:t>
      </w:r>
    </w:p>
    <w:p w:rsidR="00C0578C" w:rsidRPr="00F0141B" w:rsidRDefault="00C0578C" w:rsidP="00C0578C">
      <w:pPr>
        <w:spacing w:after="0" w:line="240" w:lineRule="auto"/>
        <w:rPr>
          <w:i/>
        </w:rPr>
      </w:pPr>
      <w:r>
        <w:t xml:space="preserve">HIKO Energy, LLC </w:t>
      </w:r>
    </w:p>
    <w:p w:rsidR="00C0578C" w:rsidRDefault="00C0578C" w:rsidP="00C0578C">
      <w:pPr>
        <w:spacing w:after="0" w:line="240" w:lineRule="auto"/>
      </w:pPr>
    </w:p>
    <w:p w:rsidR="00C0578C" w:rsidRDefault="00C0578C" w:rsidP="00C0578C">
      <w:pPr>
        <w:pStyle w:val="Heading1"/>
        <w:jc w:val="left"/>
        <w:rPr>
          <w:rFonts w:ascii="Times New Roman" w:hAnsi="Times New Roman"/>
        </w:rPr>
      </w:pPr>
      <w:r>
        <w:rPr>
          <w:rFonts w:ascii="Times New Roman" w:hAnsi="Times New Roman"/>
        </w:rPr>
        <w:t>SUBPOENA</w:t>
      </w:r>
    </w:p>
    <w:p w:rsidR="00C0578C" w:rsidRDefault="00C0578C" w:rsidP="00C0578C">
      <w:pPr>
        <w:spacing w:after="0" w:line="240" w:lineRule="auto"/>
      </w:pPr>
    </w:p>
    <w:p w:rsidR="00C0578C" w:rsidRPr="008D2EF8" w:rsidRDefault="00C0578C" w:rsidP="00C0578C">
      <w:pPr>
        <w:spacing w:after="0" w:line="240" w:lineRule="auto"/>
        <w:contextualSpacing/>
        <w:rPr>
          <w:szCs w:val="24"/>
        </w:rPr>
      </w:pPr>
      <w:r>
        <w:t xml:space="preserve">To:  </w:t>
      </w:r>
      <w:r>
        <w:rPr>
          <w:u w:val="single"/>
        </w:rPr>
        <w:tab/>
      </w:r>
      <w:proofErr w:type="spellStart"/>
      <w:r>
        <w:rPr>
          <w:u w:val="single"/>
        </w:rPr>
        <w:t>Elly</w:t>
      </w:r>
      <w:proofErr w:type="spellEnd"/>
      <w:r>
        <w:rPr>
          <w:u w:val="single"/>
        </w:rPr>
        <w:t xml:space="preserve"> Bernstein</w:t>
      </w:r>
      <w:r w:rsidRPr="00F0141B">
        <w:rPr>
          <w:szCs w:val="24"/>
          <w:u w:val="single"/>
        </w:rPr>
        <w:t xml:space="preserve">, </w:t>
      </w:r>
      <w:r w:rsidRPr="00480165">
        <w:rPr>
          <w:szCs w:val="24"/>
          <w:u w:val="single"/>
        </w:rPr>
        <w:t>HIKO Energy, LLC, 12 College Road, Suite 100, Monsey, NY 10952</w:t>
      </w:r>
      <w:r>
        <w:rPr>
          <w:szCs w:val="24"/>
          <w:u w:val="single"/>
        </w:rPr>
        <w:t xml:space="preserve"> c/o </w:t>
      </w:r>
      <w:proofErr w:type="spellStart"/>
      <w:r>
        <w:rPr>
          <w:szCs w:val="24"/>
          <w:u w:val="single"/>
        </w:rPr>
        <w:t>Ginene</w:t>
      </w:r>
      <w:proofErr w:type="spellEnd"/>
      <w:r>
        <w:rPr>
          <w:szCs w:val="24"/>
          <w:u w:val="single"/>
        </w:rPr>
        <w:t xml:space="preserve"> A. Lewis, Esquire, Drinker Biddle &amp; </w:t>
      </w:r>
      <w:proofErr w:type="spellStart"/>
      <w:r>
        <w:rPr>
          <w:szCs w:val="24"/>
          <w:u w:val="single"/>
        </w:rPr>
        <w:t>Reath</w:t>
      </w:r>
      <w:proofErr w:type="spellEnd"/>
      <w:r>
        <w:rPr>
          <w:szCs w:val="24"/>
          <w:u w:val="single"/>
        </w:rPr>
        <w:t xml:space="preserve">, One Logan Square, Suite 200, Philadelphia, PA 19103-6996 </w:t>
      </w:r>
      <w:r>
        <w:rPr>
          <w:szCs w:val="24"/>
        </w:rPr>
        <w:t>.</w:t>
      </w:r>
    </w:p>
    <w:p w:rsidR="00C0578C" w:rsidRDefault="00C0578C" w:rsidP="00C0578C">
      <w:pPr>
        <w:spacing w:after="0" w:line="240" w:lineRule="auto"/>
      </w:pPr>
    </w:p>
    <w:p w:rsidR="00C0578C" w:rsidRDefault="00C0578C" w:rsidP="00C0578C">
      <w:pPr>
        <w:pStyle w:val="BodyText"/>
        <w:jc w:val="left"/>
        <w:rPr>
          <w:rFonts w:ascii="Times New Roman" w:hAnsi="Times New Roman"/>
        </w:rPr>
      </w:pPr>
      <w:r>
        <w:rPr>
          <w:rFonts w:ascii="Times New Roman" w:hAnsi="Times New Roman"/>
        </w:rPr>
        <w:t>Pursuant to the authority of this Commission under §§309, 331(d)(2) and 333(j) of the Public Utility Code:</w:t>
      </w:r>
    </w:p>
    <w:p w:rsidR="00C0578C" w:rsidRDefault="00C0578C" w:rsidP="00C0578C">
      <w:pPr>
        <w:spacing w:after="0" w:line="240" w:lineRule="auto"/>
      </w:pPr>
    </w:p>
    <w:p w:rsidR="00C0578C" w:rsidRPr="008374EA" w:rsidRDefault="00C0578C" w:rsidP="00C0578C">
      <w:pPr>
        <w:spacing w:after="0" w:line="240" w:lineRule="auto"/>
        <w:rPr>
          <w:u w:val="single"/>
        </w:rPr>
      </w:pPr>
      <w:r>
        <w:tab/>
        <w:t>1.</w:t>
      </w:r>
      <w:r>
        <w:tab/>
        <w:t xml:space="preserve">YOU ARE ORDERED by the Commission to come to </w:t>
      </w:r>
      <w:r>
        <w:rPr>
          <w:u w:val="single"/>
        </w:rPr>
        <w:t>a Hearing Room on the Plaza Level, Commonwealth Keystone Building, 400 North Street</w:t>
      </w:r>
      <w:r>
        <w:t xml:space="preserve">, at </w:t>
      </w:r>
      <w:r>
        <w:rPr>
          <w:u w:val="single"/>
        </w:rPr>
        <w:tab/>
        <w:t>Harrisburg</w:t>
      </w:r>
      <w:r>
        <w:rPr>
          <w:u w:val="single"/>
        </w:rPr>
        <w:tab/>
      </w:r>
      <w:r>
        <w:rPr>
          <w:u w:val="single"/>
        </w:rPr>
        <w:tab/>
      </w:r>
    </w:p>
    <w:p w:rsidR="00C0578C" w:rsidRPr="00F0141B" w:rsidRDefault="00C0578C" w:rsidP="00C0578C">
      <w:pPr>
        <w:spacing w:after="0" w:line="240" w:lineRule="auto"/>
        <w:rPr>
          <w:sz w:val="20"/>
        </w:rPr>
      </w:pPr>
      <w:r w:rsidRPr="00F0141B">
        <w:rPr>
          <w:sz w:val="20"/>
        </w:rPr>
        <w:t>(place)</w:t>
      </w:r>
    </w:p>
    <w:p w:rsidR="00C0578C" w:rsidRDefault="00C0578C" w:rsidP="00C0578C">
      <w:pPr>
        <w:spacing w:after="0" w:line="240" w:lineRule="auto"/>
      </w:pPr>
      <w:r>
        <w:t xml:space="preserve">Pennsylvania, on </w:t>
      </w:r>
      <w:r>
        <w:rPr>
          <w:u w:val="single"/>
        </w:rPr>
        <w:t>April 20-22, 2015</w:t>
      </w:r>
      <w:r>
        <w:t xml:space="preserve">, at </w:t>
      </w:r>
      <w:r>
        <w:rPr>
          <w:u w:val="single"/>
        </w:rPr>
        <w:tab/>
        <w:t>09:00</w:t>
      </w:r>
      <w:r>
        <w:rPr>
          <w:u w:val="single"/>
        </w:rPr>
        <w:tab/>
      </w:r>
      <w:r>
        <w:rPr>
          <w:u w:val="single"/>
        </w:rPr>
        <w:tab/>
      </w:r>
      <w:r>
        <w:t xml:space="preserve">o’clock, in the above case, </w:t>
      </w:r>
    </w:p>
    <w:p w:rsidR="00C0578C" w:rsidRPr="00F0141B" w:rsidRDefault="00C0578C" w:rsidP="00C0578C">
      <w:pPr>
        <w:spacing w:after="0" w:line="240" w:lineRule="auto"/>
        <w:rPr>
          <w:sz w:val="20"/>
        </w:rPr>
      </w:pPr>
      <w:r>
        <w:t xml:space="preserve">                      </w:t>
      </w:r>
      <w:r>
        <w:tab/>
      </w:r>
      <w:r>
        <w:tab/>
      </w:r>
      <w:r w:rsidRPr="00F0141B">
        <w:rPr>
          <w:sz w:val="20"/>
        </w:rPr>
        <w:t>(date)</w:t>
      </w:r>
    </w:p>
    <w:p w:rsidR="00C0578C" w:rsidRPr="005B068B" w:rsidRDefault="00C0578C" w:rsidP="00C0578C">
      <w:pPr>
        <w:spacing w:after="0" w:line="240" w:lineRule="auto"/>
      </w:pPr>
      <w:r>
        <w:t xml:space="preserve">to testify on behalf of the </w:t>
      </w:r>
      <w:r>
        <w:rPr>
          <w:u w:val="single"/>
        </w:rPr>
        <w:t>Bureau of Investigation and Enforcement</w:t>
      </w:r>
      <w:r>
        <w:t xml:space="preserve"> and to remain until excused;</w:t>
      </w:r>
    </w:p>
    <w:p w:rsidR="00C0578C" w:rsidRDefault="00C0578C" w:rsidP="00C0578C">
      <w:pPr>
        <w:spacing w:after="0" w:line="240" w:lineRule="auto"/>
      </w:pPr>
    </w:p>
    <w:p w:rsidR="00C0578C" w:rsidRDefault="00C0578C" w:rsidP="00C0578C">
      <w:pPr>
        <w:spacing w:after="0" w:line="240" w:lineRule="auto"/>
        <w:rPr>
          <w:u w:val="single"/>
        </w:rPr>
      </w:pPr>
      <w:r>
        <w:tab/>
        <w:t>2.</w:t>
      </w:r>
      <w:r>
        <w:tab/>
      </w:r>
      <w:r w:rsidRPr="00394764">
        <w:t xml:space="preserve">And bring with you and produce the </w:t>
      </w:r>
      <w:r w:rsidRPr="008E4722">
        <w:t xml:space="preserve">following: </w:t>
      </w:r>
      <w:r w:rsidRPr="008E4722">
        <w:rPr>
          <w:u w:val="single"/>
        </w:rPr>
        <w:t>all documents produced in response to the Bureau of Investigation and Enforcement’s Data Requests Sets I through III, including, but not limited to, the Welcome Letter of HIKO Energy, LLC detailing the price offering in question, the Disclosure Statement of HIKO Energy, LLC and the spreadsheets containing customer data regarding the billing information regarding the price offering for the period of January 2014 to April 2014.</w:t>
      </w:r>
    </w:p>
    <w:p w:rsidR="00C0578C" w:rsidRDefault="00C0578C" w:rsidP="00C0578C">
      <w:pPr>
        <w:spacing w:after="0" w:line="240" w:lineRule="auto"/>
      </w:pPr>
    </w:p>
    <w:p w:rsidR="00C0578C" w:rsidRDefault="00C0578C" w:rsidP="00C0578C">
      <w:pPr>
        <w:spacing w:after="0" w:line="240" w:lineRule="auto"/>
      </w:pPr>
      <w:r>
        <w:t>This subpoena is issued subject to the provisions of 52 Pa. Code §5.421 (with regard to issuance, notice, service and witness fees).</w:t>
      </w:r>
    </w:p>
    <w:p w:rsidR="00C0578C" w:rsidRDefault="00C0578C" w:rsidP="00C0578C">
      <w:pPr>
        <w:pStyle w:val="BodyText"/>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BY THE COMMISSION</w:t>
      </w:r>
    </w:p>
    <w:p w:rsidR="00C0578C" w:rsidRDefault="00C0578C" w:rsidP="00C0578C">
      <w:pPr>
        <w:pStyle w:val="BodyText"/>
        <w:jc w:val="left"/>
        <w:rPr>
          <w:rFonts w:ascii="Times New Roman" w:hAnsi="Times New Roman"/>
        </w:rPr>
      </w:pPr>
    </w:p>
    <w:p w:rsidR="00C0578C" w:rsidRDefault="00C0578C" w:rsidP="00C0578C">
      <w:pPr>
        <w:pStyle w:val="BodyText"/>
        <w:jc w:val="left"/>
        <w:rPr>
          <w:rFonts w:ascii="Times New Roman" w:hAnsi="Times New Roman"/>
        </w:rPr>
      </w:pPr>
      <w:r>
        <w:rPr>
          <w:rFonts w:ascii="Times New Roman" w:hAnsi="Times New Roman"/>
          <w:b/>
        </w:rPr>
        <w:t xml:space="preserve">Date </w:t>
      </w:r>
      <w:r>
        <w:rPr>
          <w:rFonts w:ascii="Times New Roman" w:hAnsi="Times New Roman"/>
          <w:b/>
          <w:u w:val="single"/>
        </w:rPr>
        <w:tab/>
      </w:r>
      <w:r w:rsidR="00390FC7">
        <w:rPr>
          <w:rFonts w:ascii="Times New Roman" w:hAnsi="Times New Roman"/>
          <w:b/>
          <w:u w:val="single"/>
        </w:rPr>
        <w:t>April 7, 2015</w:t>
      </w:r>
      <w:r>
        <w:rPr>
          <w:rFonts w:ascii="Times New Roman" w:hAnsi="Times New Roman"/>
          <w:b/>
          <w:u w:val="single"/>
        </w:rPr>
        <w:tab/>
      </w:r>
      <w:r>
        <w:rPr>
          <w:rFonts w:ascii="Times New Roman" w:hAnsi="Times New Roman"/>
          <w:b/>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0578C" w:rsidRDefault="00C0578C" w:rsidP="00C0578C">
      <w:pPr>
        <w:pStyle w:val="BodyText"/>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Elizabeth H. Barnes</w:t>
      </w:r>
    </w:p>
    <w:p w:rsidR="00C0578C" w:rsidRDefault="00C0578C" w:rsidP="00C0578C">
      <w:pPr>
        <w:pStyle w:val="BodyText"/>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C0578C" w:rsidRDefault="00C0578C" w:rsidP="00C0578C">
      <w:pPr>
        <w:pStyle w:val="BodyText"/>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____________________________________</w:t>
      </w:r>
    </w:p>
    <w:p w:rsidR="00C0578C" w:rsidRDefault="00C0578C" w:rsidP="00C0578C">
      <w:pPr>
        <w:pStyle w:val="BodyText"/>
        <w:ind w:firstLine="72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Joel H. Cheskis, Administrative Law Judge</w:t>
      </w:r>
      <w:r>
        <w:rPr>
          <w:rFonts w:ascii="Times New Roman" w:hAnsi="Times New Roman"/>
        </w:rPr>
        <w:br w:type="page"/>
      </w:r>
    </w:p>
    <w:p w:rsidR="00C0578C" w:rsidRDefault="00C0578C" w:rsidP="00C0578C">
      <w:pPr>
        <w:pStyle w:val="BodyText"/>
        <w:rPr>
          <w:rFonts w:ascii="Times New Roman" w:hAnsi="Times New Roman"/>
          <w:b/>
        </w:rPr>
      </w:pPr>
      <w:r w:rsidRPr="008803AF">
        <w:rPr>
          <w:rFonts w:ascii="Times New Roman" w:hAnsi="Times New Roman"/>
          <w:b/>
        </w:rPr>
        <w:lastRenderedPageBreak/>
        <w:t>Commonwealth of Pennsylvania</w:t>
      </w:r>
      <w:r>
        <w:rPr>
          <w:rFonts w:ascii="Times New Roman" w:hAnsi="Times New Roman"/>
          <w:b/>
        </w:rPr>
        <w:tab/>
      </w:r>
      <w:r>
        <w:rPr>
          <w:rFonts w:ascii="Times New Roman" w:hAnsi="Times New Roman"/>
          <w:b/>
        </w:rPr>
        <w:tab/>
      </w:r>
      <w:r>
        <w:rPr>
          <w:rFonts w:ascii="Times New Roman" w:hAnsi="Times New Roman"/>
          <w:b/>
        </w:rPr>
        <w:tab/>
        <w:t>)</w:t>
      </w:r>
    </w:p>
    <w:p w:rsidR="00C0578C" w:rsidRDefault="00C0578C" w:rsidP="00C0578C">
      <w:pPr>
        <w:pStyle w:val="BodyText"/>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SS:</w:t>
      </w:r>
    </w:p>
    <w:p w:rsidR="00C0578C" w:rsidRDefault="00C0578C" w:rsidP="00C0578C">
      <w:pPr>
        <w:pStyle w:val="BodyText"/>
        <w:rPr>
          <w:rFonts w:ascii="Times New Roman" w:hAnsi="Times New Roman"/>
          <w:b/>
        </w:rPr>
      </w:pPr>
      <w:r>
        <w:rPr>
          <w:rFonts w:ascii="Times New Roman" w:hAnsi="Times New Roman"/>
          <w:b/>
        </w:rPr>
        <w:t>County of</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w:t>
      </w:r>
    </w:p>
    <w:p w:rsidR="00C0578C" w:rsidRDefault="00C0578C" w:rsidP="00C0578C">
      <w:pPr>
        <w:pStyle w:val="BodyText"/>
        <w:rPr>
          <w:rFonts w:ascii="Times New Roman" w:hAnsi="Times New Roman"/>
          <w:b/>
        </w:rPr>
      </w:pPr>
    </w:p>
    <w:p w:rsidR="00C0578C" w:rsidRDefault="00C0578C" w:rsidP="00C0578C">
      <w:pPr>
        <w:pStyle w:val="BodyText"/>
        <w:rPr>
          <w:rFonts w:ascii="Times New Roman" w:hAnsi="Times New Roman"/>
          <w:b/>
        </w:rPr>
      </w:pPr>
    </w:p>
    <w:p w:rsidR="00C0578C" w:rsidRDefault="00C0578C" w:rsidP="00C0578C">
      <w:pPr>
        <w:pStyle w:val="BodyText"/>
        <w:rPr>
          <w:rFonts w:ascii="Times New Roman" w:hAnsi="Times New Roman"/>
          <w:b/>
        </w:rPr>
      </w:pPr>
    </w:p>
    <w:p w:rsidR="00C0578C" w:rsidRDefault="00C0578C" w:rsidP="00C0578C">
      <w:pPr>
        <w:pStyle w:val="BodyText"/>
        <w:jc w:val="center"/>
        <w:rPr>
          <w:rFonts w:ascii="Times New Roman" w:hAnsi="Times New Roman"/>
        </w:rPr>
      </w:pPr>
      <w:r>
        <w:rPr>
          <w:rFonts w:ascii="Times New Roman" w:hAnsi="Times New Roman"/>
          <w:b/>
        </w:rPr>
        <w:t>AFFIDAVIT OF SERVICE</w:t>
      </w:r>
    </w:p>
    <w:p w:rsidR="00C0578C" w:rsidRDefault="00C0578C" w:rsidP="00C0578C">
      <w:pPr>
        <w:pStyle w:val="BodyText"/>
        <w:jc w:val="center"/>
        <w:rPr>
          <w:rFonts w:ascii="Times New Roman" w:hAnsi="Times New Roman"/>
        </w:rPr>
      </w:pPr>
    </w:p>
    <w:p w:rsidR="00C0578C" w:rsidRDefault="00C0578C" w:rsidP="00C0578C">
      <w:pPr>
        <w:pStyle w:val="BodyText"/>
        <w:rPr>
          <w:rFonts w:ascii="Times New Roman" w:hAnsi="Times New Roman"/>
          <w:u w:val="single"/>
        </w:rPr>
      </w:pPr>
      <w:r>
        <w:rPr>
          <w:rFonts w:ascii="Times New Roman" w:hAnsi="Times New Roman"/>
        </w:rPr>
        <w:tab/>
        <w:t xml:space="preserve">Before me, the undersigned authority, personally appeared </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0578C" w:rsidRDefault="00C0578C" w:rsidP="00C0578C">
      <w:pPr>
        <w:pStyle w:val="BodyText"/>
        <w:rPr>
          <w:rFonts w:ascii="Times New Roman" w:hAnsi="Times New Roman"/>
          <w:u w:val="single"/>
        </w:rPr>
      </w:pPr>
    </w:p>
    <w:p w:rsidR="00C0578C" w:rsidRDefault="00C0578C" w:rsidP="00C0578C">
      <w:pPr>
        <w:pStyle w:val="BodyText"/>
        <w:rPr>
          <w:rFonts w:ascii="Times New Roman" w:hAnsi="Times New Roman"/>
        </w:rPr>
      </w:pPr>
      <w:r>
        <w:rPr>
          <w:rFonts w:ascii="Times New Roman" w:hAnsi="Times New Roman"/>
        </w:rPr>
        <w:t xml:space="preserve">who, being duly sworn according to law, deposes and says that he/she served a true and correct </w:t>
      </w:r>
    </w:p>
    <w:p w:rsidR="00C0578C" w:rsidRDefault="00C0578C" w:rsidP="00C0578C">
      <w:pPr>
        <w:pStyle w:val="BodyText"/>
        <w:rPr>
          <w:rFonts w:ascii="Times New Roman" w:hAnsi="Times New Roman"/>
        </w:rPr>
      </w:pPr>
    </w:p>
    <w:p w:rsidR="00C0578C" w:rsidRDefault="00C0578C" w:rsidP="00C0578C">
      <w:pPr>
        <w:pStyle w:val="BodyText"/>
        <w:rPr>
          <w:rFonts w:ascii="Times New Roman" w:hAnsi="Times New Roman"/>
          <w:u w:val="single"/>
        </w:rPr>
      </w:pPr>
      <w:r>
        <w:rPr>
          <w:rFonts w:ascii="Times New Roman" w:hAnsi="Times New Roman"/>
        </w:rPr>
        <w:t xml:space="preserve">copy of the within SUBPOENA upon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0578C" w:rsidRDefault="00C0578C" w:rsidP="00C0578C">
      <w:pPr>
        <w:pStyle w:val="BodyText"/>
        <w:rPr>
          <w:rFonts w:ascii="Times New Roman" w:hAnsi="Times New Roman"/>
          <w:u w:val="single"/>
        </w:rPr>
      </w:pPr>
    </w:p>
    <w:p w:rsidR="00C0578C" w:rsidRDefault="00C0578C" w:rsidP="00C0578C">
      <w:pPr>
        <w:pStyle w:val="BodyText"/>
        <w:rPr>
          <w:rFonts w:ascii="Times New Roman" w:hAnsi="Times New Roman"/>
        </w:rPr>
      </w:pPr>
      <w:r>
        <w:rPr>
          <w:rFonts w:ascii="Times New Roman" w:hAnsi="Times New Roman"/>
        </w:rPr>
        <w:t xml:space="preserve">by handing the same to him/her at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on the </w:t>
      </w:r>
    </w:p>
    <w:p w:rsidR="00C0578C" w:rsidRDefault="00C0578C" w:rsidP="00C0578C">
      <w:pPr>
        <w:pStyle w:val="BodyText"/>
        <w:rPr>
          <w:rFonts w:ascii="Times New Roman" w:hAnsi="Times New Roman"/>
        </w:rPr>
      </w:pPr>
    </w:p>
    <w:p w:rsidR="00C0578C" w:rsidRDefault="00C0578C" w:rsidP="00C0578C">
      <w:pPr>
        <w:pStyle w:val="BodyText"/>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rPr>
        <w:t xml:space="preserve"> day of </w:t>
      </w:r>
      <w:r>
        <w:rPr>
          <w:rFonts w:ascii="Times New Roman" w:hAnsi="Times New Roman"/>
          <w:u w:val="single"/>
        </w:rPr>
        <w:tab/>
      </w:r>
      <w:r>
        <w:rPr>
          <w:rFonts w:ascii="Times New Roman" w:hAnsi="Times New Roman"/>
          <w:u w:val="single"/>
        </w:rPr>
        <w:tab/>
      </w:r>
      <w:r>
        <w:rPr>
          <w:rFonts w:ascii="Times New Roman" w:hAnsi="Times New Roman"/>
          <w:u w:val="single"/>
        </w:rPr>
        <w:tab/>
        <w:t>, 2015</w:t>
      </w:r>
      <w:r>
        <w:rPr>
          <w:rFonts w:ascii="Times New Roman" w:hAnsi="Times New Roman"/>
          <w:u w:val="single"/>
        </w:rPr>
        <w:tab/>
      </w:r>
      <w:r>
        <w:rPr>
          <w:rFonts w:ascii="Times New Roman" w:hAnsi="Times New Roman"/>
        </w:rPr>
        <w:t xml:space="preserve"> at </w:t>
      </w:r>
      <w:r>
        <w:rPr>
          <w:rFonts w:ascii="Times New Roman" w:hAnsi="Times New Roman"/>
          <w:u w:val="single"/>
        </w:rPr>
        <w:tab/>
      </w:r>
      <w:r>
        <w:rPr>
          <w:rFonts w:ascii="Times New Roman" w:hAnsi="Times New Roman"/>
          <w:u w:val="single"/>
        </w:rPr>
        <w:tab/>
      </w:r>
      <w:r>
        <w:rPr>
          <w:rFonts w:ascii="Times New Roman" w:hAnsi="Times New Roman"/>
        </w:rPr>
        <w:t xml:space="preserve"> a.m./p.m.</w:t>
      </w:r>
    </w:p>
    <w:p w:rsidR="00C0578C" w:rsidRDefault="00C0578C" w:rsidP="00C0578C">
      <w:pPr>
        <w:pStyle w:val="BodyText"/>
        <w:rPr>
          <w:rFonts w:ascii="Times New Roman" w:hAnsi="Times New Roman"/>
        </w:rPr>
      </w:pPr>
    </w:p>
    <w:p w:rsidR="00C0578C" w:rsidRDefault="00C0578C" w:rsidP="00C0578C">
      <w:pPr>
        <w:pStyle w:val="BodyText"/>
        <w:rPr>
          <w:rFonts w:ascii="Times New Roman" w:hAnsi="Times New Roman"/>
        </w:rPr>
      </w:pPr>
    </w:p>
    <w:p w:rsidR="00C0578C" w:rsidRDefault="00C0578C" w:rsidP="00C0578C">
      <w:pPr>
        <w:pStyle w:val="BodyText"/>
        <w:rPr>
          <w:rFonts w:ascii="Times New Roman" w:hAnsi="Times New Roman"/>
        </w:rPr>
      </w:pPr>
    </w:p>
    <w:p w:rsidR="00C0578C" w:rsidRDefault="00C0578C" w:rsidP="00C0578C">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0578C" w:rsidRDefault="00C0578C" w:rsidP="00C0578C">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0"/>
        </w:rPr>
        <w:t>(Signature)</w:t>
      </w:r>
      <w:r>
        <w:rPr>
          <w:rFonts w:ascii="Times New Roman" w:hAnsi="Times New Roman"/>
        </w:rPr>
        <w:tab/>
      </w:r>
      <w:r>
        <w:rPr>
          <w:rFonts w:ascii="Times New Roman" w:hAnsi="Times New Roman"/>
        </w:rPr>
        <w:tab/>
      </w:r>
      <w:r>
        <w:rPr>
          <w:rFonts w:ascii="Times New Roman" w:hAnsi="Times New Roman"/>
        </w:rPr>
        <w:tab/>
      </w:r>
    </w:p>
    <w:p w:rsidR="00C0578C" w:rsidRDefault="00C0578C" w:rsidP="00C0578C">
      <w:pPr>
        <w:pStyle w:val="BodyText"/>
        <w:rPr>
          <w:rFonts w:ascii="Times New Roman" w:hAnsi="Times New Roman"/>
        </w:rPr>
      </w:pPr>
    </w:p>
    <w:p w:rsidR="00C0578C" w:rsidRDefault="00C0578C" w:rsidP="00C0578C">
      <w:pPr>
        <w:pStyle w:val="BodyText"/>
        <w:rPr>
          <w:rFonts w:ascii="Times New Roman" w:hAnsi="Times New Roman"/>
        </w:rPr>
      </w:pPr>
    </w:p>
    <w:p w:rsidR="00C0578C" w:rsidRDefault="00C0578C" w:rsidP="00C0578C">
      <w:pPr>
        <w:pStyle w:val="BodyText"/>
        <w:rPr>
          <w:rFonts w:ascii="Times New Roman" w:hAnsi="Times New Roman"/>
        </w:rPr>
      </w:pPr>
      <w:r>
        <w:rPr>
          <w:rFonts w:ascii="Times New Roman" w:hAnsi="Times New Roman"/>
        </w:rPr>
        <w:t>Sworn to and subscribed before me</w:t>
      </w:r>
    </w:p>
    <w:p w:rsidR="00C0578C" w:rsidRDefault="00C0578C" w:rsidP="00C0578C">
      <w:pPr>
        <w:pStyle w:val="BodyText"/>
        <w:rPr>
          <w:rFonts w:ascii="Times New Roman" w:hAnsi="Times New Roman"/>
          <w:u w:val="single"/>
        </w:rPr>
      </w:pPr>
      <w:r>
        <w:rPr>
          <w:rFonts w:ascii="Times New Roman" w:hAnsi="Times New Roman"/>
        </w:rPr>
        <w:t xml:space="preserve">this </w:t>
      </w:r>
      <w:r>
        <w:rPr>
          <w:rFonts w:ascii="Times New Roman" w:hAnsi="Times New Roman"/>
          <w:u w:val="single"/>
        </w:rPr>
        <w:tab/>
      </w:r>
      <w:r>
        <w:rPr>
          <w:rFonts w:ascii="Times New Roman" w:hAnsi="Times New Roman"/>
          <w:u w:val="single"/>
        </w:rPr>
        <w:tab/>
      </w:r>
      <w:r>
        <w:rPr>
          <w:rFonts w:ascii="Times New Roman" w:hAnsi="Times New Roman"/>
        </w:rPr>
        <w:t xml:space="preserve"> day of </w:t>
      </w:r>
      <w:r>
        <w:rPr>
          <w:rFonts w:ascii="Times New Roman" w:hAnsi="Times New Roman"/>
          <w:u w:val="single"/>
        </w:rPr>
        <w:tab/>
      </w:r>
      <w:r>
        <w:rPr>
          <w:rFonts w:ascii="Times New Roman" w:hAnsi="Times New Roman"/>
          <w:u w:val="single"/>
        </w:rPr>
        <w:tab/>
      </w:r>
      <w:r>
        <w:rPr>
          <w:rFonts w:ascii="Times New Roman" w:hAnsi="Times New Roman"/>
          <w:u w:val="single"/>
        </w:rPr>
        <w:tab/>
        <w:t>, 2015</w:t>
      </w:r>
      <w:r>
        <w:rPr>
          <w:rFonts w:ascii="Times New Roman" w:hAnsi="Times New Roman"/>
          <w:u w:val="single"/>
        </w:rPr>
        <w:tab/>
      </w:r>
    </w:p>
    <w:p w:rsidR="00C0578C" w:rsidRDefault="00C0578C" w:rsidP="00C0578C">
      <w:pPr>
        <w:pStyle w:val="BodyText"/>
        <w:rPr>
          <w:rFonts w:ascii="Times New Roman" w:hAnsi="Times New Roman"/>
          <w:u w:val="single"/>
        </w:rPr>
      </w:pPr>
    </w:p>
    <w:p w:rsidR="00C0578C" w:rsidRDefault="00C0578C" w:rsidP="00C0578C">
      <w:pPr>
        <w:pStyle w:val="BodyText"/>
        <w:rPr>
          <w:rFonts w:ascii="Times New Roman" w:hAnsi="Times New Roman"/>
          <w:u w:val="single"/>
        </w:rPr>
      </w:pPr>
    </w:p>
    <w:p w:rsidR="00C0578C" w:rsidRDefault="00C0578C" w:rsidP="00C0578C">
      <w:pPr>
        <w:pStyle w:val="BodyText"/>
        <w:rPr>
          <w:rFonts w:ascii="Times New Roman" w:hAnsi="Times New Roman"/>
          <w:u w:val="single"/>
        </w:rPr>
      </w:pPr>
    </w:p>
    <w:p w:rsidR="00C0578C" w:rsidRDefault="00C0578C" w:rsidP="00C0578C">
      <w:pPr>
        <w:pStyle w:val="BodyText"/>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0578C" w:rsidRDefault="00C0578C" w:rsidP="00C0578C">
      <w:pPr>
        <w:pStyle w:val="BodyText"/>
        <w:rPr>
          <w:rFonts w:ascii="Times New Roman" w:hAnsi="Times New Roman"/>
          <w:i/>
          <w:sz w:val="20"/>
        </w:rPr>
      </w:pPr>
      <w:r>
        <w:rPr>
          <w:rFonts w:ascii="Times New Roman" w:hAnsi="Times New Roman"/>
        </w:rPr>
        <w:tab/>
      </w:r>
      <w:r>
        <w:rPr>
          <w:rFonts w:ascii="Times New Roman" w:hAnsi="Times New Roman"/>
        </w:rPr>
        <w:tab/>
      </w:r>
      <w:r>
        <w:rPr>
          <w:rFonts w:ascii="Times New Roman" w:hAnsi="Times New Roman"/>
          <w:i/>
          <w:sz w:val="20"/>
        </w:rPr>
        <w:t>Notary Public</w:t>
      </w:r>
    </w:p>
    <w:p w:rsidR="00E23D16" w:rsidRPr="00985788" w:rsidRDefault="00E23D16" w:rsidP="00206534">
      <w:pPr>
        <w:tabs>
          <w:tab w:val="clear" w:pos="1440"/>
        </w:tabs>
        <w:spacing w:after="0" w:line="240" w:lineRule="auto"/>
        <w:rPr>
          <w:rFonts w:eastAsia="SimSun"/>
        </w:rPr>
      </w:pPr>
    </w:p>
    <w:p w:rsidR="00390FC7" w:rsidRDefault="00390FC7">
      <w:pPr>
        <w:tabs>
          <w:tab w:val="clear" w:pos="1440"/>
        </w:tabs>
        <w:spacing w:after="200" w:line="276" w:lineRule="auto"/>
      </w:pPr>
      <w:r>
        <w:br w:type="page"/>
      </w:r>
    </w:p>
    <w:tbl>
      <w:tblPr>
        <w:tblW w:w="0" w:type="auto"/>
        <w:tblInd w:w="-162" w:type="dxa"/>
        <w:tblLayout w:type="fixed"/>
        <w:tblLook w:val="04A0" w:firstRow="1" w:lastRow="0" w:firstColumn="1" w:lastColumn="0" w:noHBand="0" w:noVBand="1"/>
      </w:tblPr>
      <w:tblGrid>
        <w:gridCol w:w="1388"/>
        <w:gridCol w:w="7123"/>
        <w:gridCol w:w="1480"/>
      </w:tblGrid>
      <w:tr w:rsidR="00390FC7" w:rsidTr="00390FC7">
        <w:tc>
          <w:tcPr>
            <w:tcW w:w="1388" w:type="dxa"/>
            <w:hideMark/>
          </w:tcPr>
          <w:p w:rsidR="00390FC7" w:rsidRDefault="00390FC7">
            <w:pPr>
              <w:rPr>
                <w:rFonts w:ascii="Courier New" w:hAnsi="Courier New"/>
                <w:sz w:val="18"/>
              </w:rPr>
            </w:pPr>
            <w:r>
              <w:rPr>
                <w:sz w:val="18"/>
              </w:rPr>
              <w:lastRenderedPageBreak/>
              <w:t>PUC-291</w:t>
            </w:r>
          </w:p>
        </w:tc>
        <w:tc>
          <w:tcPr>
            <w:tcW w:w="7123" w:type="dxa"/>
            <w:hideMark/>
          </w:tcPr>
          <w:p w:rsidR="00390FC7" w:rsidRDefault="00390FC7">
            <w:pPr>
              <w:suppressAutoHyphens/>
              <w:spacing w:line="204" w:lineRule="auto"/>
              <w:jc w:val="center"/>
              <w:rPr>
                <w:rFonts w:ascii="Lucida Sans Unicode" w:hAnsi="Lucida Sans Unicode"/>
                <w:b/>
                <w:spacing w:val="-3"/>
                <w:sz w:val="28"/>
              </w:rPr>
            </w:pPr>
            <w:r>
              <w:rPr>
                <w:noProof/>
                <w:spacing w:val="-2"/>
              </w:rPr>
              <w:drawing>
                <wp:inline distT="0" distB="0" distL="0" distR="0">
                  <wp:extent cx="742950"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35" t="-14339" r="-35" b="-14229"/>
                          <a:stretch>
                            <a:fillRect/>
                          </a:stretch>
                        </pic:blipFill>
                        <pic:spPr bwMode="auto">
                          <a:xfrm>
                            <a:off x="0" y="0"/>
                            <a:ext cx="742950" cy="866775"/>
                          </a:xfrm>
                          <a:prstGeom prst="rect">
                            <a:avLst/>
                          </a:prstGeom>
                          <a:noFill/>
                          <a:ln>
                            <a:noFill/>
                          </a:ln>
                        </pic:spPr>
                      </pic:pic>
                    </a:graphicData>
                  </a:graphic>
                </wp:inline>
              </w:drawing>
            </w:r>
          </w:p>
          <w:p w:rsidR="00390FC7" w:rsidRDefault="00390FC7">
            <w:pPr>
              <w:suppressAutoHyphens/>
              <w:spacing w:line="204" w:lineRule="auto"/>
              <w:jc w:val="center"/>
              <w:rPr>
                <w:rFonts w:ascii="Lucida Sans Unicode" w:hAnsi="Lucida Sans Unicode"/>
                <w:b/>
                <w:spacing w:val="-3"/>
                <w:sz w:val="28"/>
              </w:rPr>
            </w:pPr>
            <w:r>
              <w:rPr>
                <w:rFonts w:ascii="Lucida Sans Unicode" w:hAnsi="Lucida Sans Unicode"/>
                <w:b/>
                <w:spacing w:val="-3"/>
                <w:sz w:val="28"/>
              </w:rPr>
              <w:t>COMMONWEALTH OF PENNSYLVANIA</w:t>
            </w:r>
            <w:r>
              <w:rPr>
                <w:rFonts w:ascii="Lucida Sans Unicode" w:hAnsi="Lucida Sans Unicode"/>
                <w:b/>
                <w:spacing w:val="-3"/>
                <w:sz w:val="28"/>
              </w:rPr>
              <w:fldChar w:fldCharType="begin"/>
            </w:r>
            <w:r>
              <w:rPr>
                <w:rFonts w:ascii="Lucida Sans Unicode" w:hAnsi="Lucida Sans Unicode"/>
                <w:b/>
                <w:spacing w:val="-3"/>
                <w:sz w:val="28"/>
              </w:rPr>
              <w:instrText xml:space="preserve">PRIVATE </w:instrText>
            </w:r>
            <w:r>
              <w:rPr>
                <w:rFonts w:ascii="Lucida Sans Unicode" w:hAnsi="Lucida Sans Unicode"/>
                <w:b/>
                <w:spacing w:val="-3"/>
                <w:sz w:val="28"/>
              </w:rPr>
              <w:fldChar w:fldCharType="end"/>
            </w:r>
          </w:p>
          <w:p w:rsidR="00390FC7" w:rsidRDefault="00390FC7">
            <w:pPr>
              <w:suppressAutoHyphens/>
              <w:spacing w:line="204" w:lineRule="auto"/>
              <w:jc w:val="center"/>
              <w:rPr>
                <w:rFonts w:ascii="Courier New" w:hAnsi="Courier New"/>
              </w:rPr>
            </w:pPr>
            <w:r>
              <w:rPr>
                <w:rFonts w:ascii="Lucida Sans Unicode" w:hAnsi="Lucida Sans Unicode"/>
                <w:b/>
                <w:spacing w:val="-3"/>
                <w:sz w:val="28"/>
              </w:rPr>
              <w:t>PENNSYLVANIA PUBLIC UTILITY COMMISSION</w:t>
            </w:r>
          </w:p>
        </w:tc>
        <w:tc>
          <w:tcPr>
            <w:tcW w:w="1480" w:type="dxa"/>
          </w:tcPr>
          <w:p w:rsidR="00390FC7" w:rsidRDefault="00390FC7">
            <w:pPr>
              <w:jc w:val="right"/>
              <w:rPr>
                <w:rFonts w:ascii="Arial" w:hAnsi="Arial"/>
                <w:sz w:val="12"/>
              </w:rPr>
            </w:pPr>
          </w:p>
        </w:tc>
      </w:tr>
    </w:tbl>
    <w:p w:rsidR="00390FC7" w:rsidRPr="00390FC7" w:rsidRDefault="00390FC7" w:rsidP="00390FC7">
      <w:pPr>
        <w:spacing w:line="240" w:lineRule="auto"/>
        <w:rPr>
          <w:rFonts w:ascii="Courier New" w:hAnsi="Courier New"/>
          <w:szCs w:val="24"/>
        </w:rPr>
      </w:pPr>
    </w:p>
    <w:p w:rsidR="00390FC7" w:rsidRPr="00390FC7" w:rsidRDefault="00390FC7" w:rsidP="00390FC7">
      <w:pPr>
        <w:spacing w:after="0" w:line="240" w:lineRule="auto"/>
        <w:rPr>
          <w:szCs w:val="24"/>
        </w:rPr>
      </w:pPr>
      <w:r w:rsidRPr="00390FC7">
        <w:rPr>
          <w:b/>
          <w:szCs w:val="24"/>
        </w:rPr>
        <w:t>In the Matter of:</w:t>
      </w:r>
      <w:r w:rsidRPr="00390FC7">
        <w:rPr>
          <w:b/>
          <w:szCs w:val="24"/>
        </w:rPr>
        <w:tab/>
      </w:r>
      <w:r w:rsidRPr="00390FC7">
        <w:rPr>
          <w:b/>
          <w:szCs w:val="24"/>
        </w:rPr>
        <w:tab/>
      </w:r>
      <w:r w:rsidRPr="00390FC7">
        <w:rPr>
          <w:b/>
          <w:szCs w:val="24"/>
        </w:rPr>
        <w:tab/>
      </w:r>
      <w:r w:rsidRPr="00390FC7">
        <w:rPr>
          <w:b/>
          <w:szCs w:val="24"/>
        </w:rPr>
        <w:tab/>
      </w:r>
      <w:r w:rsidRPr="00390FC7">
        <w:rPr>
          <w:b/>
          <w:szCs w:val="24"/>
        </w:rPr>
        <w:tab/>
        <w:t>Docket No.</w:t>
      </w:r>
      <w:r w:rsidRPr="00390FC7">
        <w:rPr>
          <w:b/>
          <w:szCs w:val="24"/>
          <w:u w:val="single"/>
        </w:rPr>
        <w:tab/>
        <w:t xml:space="preserve">C-2014-2431410 </w:t>
      </w:r>
      <w:r w:rsidRPr="00390FC7">
        <w:rPr>
          <w:b/>
          <w:szCs w:val="24"/>
          <w:u w:val="single"/>
        </w:rPr>
        <w:tab/>
      </w:r>
    </w:p>
    <w:p w:rsidR="00390FC7" w:rsidRPr="00390FC7" w:rsidRDefault="00390FC7" w:rsidP="00390FC7">
      <w:pPr>
        <w:spacing w:after="0" w:line="240" w:lineRule="auto"/>
        <w:rPr>
          <w:szCs w:val="24"/>
        </w:rPr>
      </w:pPr>
      <w:r w:rsidRPr="00390FC7">
        <w:rPr>
          <w:szCs w:val="24"/>
        </w:rPr>
        <w:t>Pennsylvania Public Utility Commission,</w:t>
      </w:r>
    </w:p>
    <w:p w:rsidR="00390FC7" w:rsidRPr="00390FC7" w:rsidRDefault="00390FC7" w:rsidP="00390FC7">
      <w:pPr>
        <w:spacing w:after="0" w:line="240" w:lineRule="auto"/>
        <w:rPr>
          <w:szCs w:val="24"/>
        </w:rPr>
      </w:pPr>
      <w:r w:rsidRPr="00390FC7">
        <w:rPr>
          <w:szCs w:val="24"/>
        </w:rPr>
        <w:t>Bureau of Investigation and Enforcement</w:t>
      </w:r>
    </w:p>
    <w:p w:rsidR="00390FC7" w:rsidRPr="00390FC7" w:rsidRDefault="00390FC7" w:rsidP="00390FC7">
      <w:pPr>
        <w:spacing w:line="240" w:lineRule="auto"/>
        <w:rPr>
          <w:szCs w:val="24"/>
        </w:rPr>
      </w:pPr>
      <w:r w:rsidRPr="00390FC7">
        <w:rPr>
          <w:szCs w:val="24"/>
        </w:rPr>
        <w:t>v.</w:t>
      </w:r>
    </w:p>
    <w:p w:rsidR="00390FC7" w:rsidRPr="00390FC7" w:rsidRDefault="00390FC7" w:rsidP="00390FC7">
      <w:pPr>
        <w:spacing w:line="240" w:lineRule="auto"/>
        <w:rPr>
          <w:i/>
          <w:szCs w:val="24"/>
        </w:rPr>
      </w:pPr>
      <w:r w:rsidRPr="00390FC7">
        <w:rPr>
          <w:szCs w:val="24"/>
        </w:rPr>
        <w:t xml:space="preserve">HIKO Energy, LLC </w:t>
      </w:r>
    </w:p>
    <w:p w:rsidR="00390FC7" w:rsidRPr="00390FC7" w:rsidRDefault="00390FC7" w:rsidP="00390FC7">
      <w:pPr>
        <w:pStyle w:val="Heading1"/>
        <w:rPr>
          <w:rFonts w:ascii="Times New Roman" w:hAnsi="Times New Roman"/>
          <w:szCs w:val="24"/>
        </w:rPr>
      </w:pPr>
      <w:r w:rsidRPr="00390FC7">
        <w:rPr>
          <w:rFonts w:ascii="Times New Roman" w:hAnsi="Times New Roman"/>
          <w:szCs w:val="24"/>
        </w:rPr>
        <w:t>SUBPOENA</w:t>
      </w:r>
    </w:p>
    <w:p w:rsidR="00390FC7" w:rsidRPr="00390FC7" w:rsidRDefault="00390FC7" w:rsidP="00390FC7">
      <w:pPr>
        <w:spacing w:line="240" w:lineRule="auto"/>
        <w:jc w:val="center"/>
        <w:rPr>
          <w:szCs w:val="24"/>
        </w:rPr>
      </w:pPr>
    </w:p>
    <w:p w:rsidR="00390FC7" w:rsidRPr="00390FC7" w:rsidRDefault="00390FC7" w:rsidP="00390FC7">
      <w:pPr>
        <w:spacing w:line="240" w:lineRule="auto"/>
        <w:rPr>
          <w:szCs w:val="24"/>
        </w:rPr>
      </w:pPr>
      <w:r w:rsidRPr="00390FC7">
        <w:rPr>
          <w:szCs w:val="24"/>
        </w:rPr>
        <w:t xml:space="preserve">To:  </w:t>
      </w:r>
      <w:r w:rsidRPr="00390FC7">
        <w:rPr>
          <w:szCs w:val="24"/>
          <w:u w:val="single"/>
        </w:rPr>
        <w:tab/>
      </w:r>
      <w:proofErr w:type="spellStart"/>
      <w:r w:rsidRPr="00390FC7">
        <w:rPr>
          <w:szCs w:val="24"/>
          <w:u w:val="single"/>
        </w:rPr>
        <w:t>Shevy</w:t>
      </w:r>
      <w:proofErr w:type="spellEnd"/>
      <w:r w:rsidRPr="00390FC7">
        <w:rPr>
          <w:szCs w:val="24"/>
          <w:u w:val="single"/>
        </w:rPr>
        <w:t xml:space="preserve"> </w:t>
      </w:r>
      <w:proofErr w:type="spellStart"/>
      <w:r w:rsidRPr="00390FC7">
        <w:rPr>
          <w:szCs w:val="24"/>
          <w:u w:val="single"/>
        </w:rPr>
        <w:t>Simins</w:t>
      </w:r>
      <w:proofErr w:type="spellEnd"/>
      <w:r w:rsidRPr="00390FC7">
        <w:rPr>
          <w:szCs w:val="24"/>
          <w:u w:val="single"/>
        </w:rPr>
        <w:t xml:space="preserve">, HIKO Energy, LLC, 12 College Road, Suite 100, Monsey, NY 10952, c/o </w:t>
      </w:r>
      <w:proofErr w:type="spellStart"/>
      <w:r w:rsidRPr="00390FC7">
        <w:rPr>
          <w:szCs w:val="24"/>
          <w:u w:val="single"/>
        </w:rPr>
        <w:t>Ginene</w:t>
      </w:r>
      <w:proofErr w:type="spellEnd"/>
      <w:r w:rsidRPr="00390FC7">
        <w:rPr>
          <w:szCs w:val="24"/>
          <w:u w:val="single"/>
        </w:rPr>
        <w:t xml:space="preserve"> A. Lewis, Esquire, Drinker Biddle &amp; </w:t>
      </w:r>
      <w:proofErr w:type="spellStart"/>
      <w:r w:rsidRPr="00390FC7">
        <w:rPr>
          <w:szCs w:val="24"/>
          <w:u w:val="single"/>
        </w:rPr>
        <w:t>Reath</w:t>
      </w:r>
      <w:proofErr w:type="spellEnd"/>
      <w:r w:rsidRPr="00390FC7">
        <w:rPr>
          <w:szCs w:val="24"/>
          <w:u w:val="single"/>
        </w:rPr>
        <w:t xml:space="preserve">, One Logan Square, Suite 200, Philadelphia, PA 19103-6996 </w:t>
      </w:r>
      <w:r w:rsidRPr="00390FC7">
        <w:rPr>
          <w:szCs w:val="24"/>
        </w:rPr>
        <w:t>.</w:t>
      </w:r>
    </w:p>
    <w:p w:rsidR="00390FC7" w:rsidRPr="00390FC7" w:rsidRDefault="00390FC7" w:rsidP="00390FC7">
      <w:pPr>
        <w:spacing w:line="240" w:lineRule="auto"/>
        <w:jc w:val="center"/>
        <w:rPr>
          <w:szCs w:val="24"/>
        </w:rPr>
      </w:pPr>
    </w:p>
    <w:p w:rsidR="00390FC7" w:rsidRPr="00390FC7" w:rsidRDefault="00390FC7" w:rsidP="00390FC7">
      <w:pPr>
        <w:pStyle w:val="BodyText"/>
        <w:rPr>
          <w:rFonts w:ascii="Times New Roman" w:hAnsi="Times New Roman"/>
          <w:szCs w:val="24"/>
        </w:rPr>
      </w:pPr>
      <w:r w:rsidRPr="00390FC7">
        <w:rPr>
          <w:rFonts w:ascii="Times New Roman" w:hAnsi="Times New Roman"/>
          <w:szCs w:val="24"/>
        </w:rPr>
        <w:t>Pursuant to the authority of this Commission under §§309, 331(d)(2) and 333(j) of the Public Utility Code:</w:t>
      </w:r>
    </w:p>
    <w:p w:rsidR="00390FC7" w:rsidRPr="00390FC7" w:rsidRDefault="00390FC7" w:rsidP="00390FC7">
      <w:pPr>
        <w:spacing w:line="240" w:lineRule="auto"/>
        <w:rPr>
          <w:szCs w:val="24"/>
        </w:rPr>
      </w:pPr>
    </w:p>
    <w:p w:rsidR="00390FC7" w:rsidRPr="00390FC7" w:rsidRDefault="00390FC7" w:rsidP="00390FC7">
      <w:pPr>
        <w:spacing w:line="240" w:lineRule="auto"/>
        <w:rPr>
          <w:szCs w:val="24"/>
          <w:u w:val="single"/>
        </w:rPr>
      </w:pPr>
      <w:r w:rsidRPr="00390FC7">
        <w:rPr>
          <w:szCs w:val="24"/>
        </w:rPr>
        <w:tab/>
        <w:t>1.</w:t>
      </w:r>
      <w:r w:rsidRPr="00390FC7">
        <w:rPr>
          <w:szCs w:val="24"/>
        </w:rPr>
        <w:tab/>
        <w:t xml:space="preserve">YOU ARE ORDERED by the Commission to come to </w:t>
      </w:r>
      <w:r w:rsidRPr="00390FC7">
        <w:rPr>
          <w:szCs w:val="24"/>
          <w:u w:val="single"/>
        </w:rPr>
        <w:t xml:space="preserve">a Hearing Room on the </w:t>
      </w:r>
    </w:p>
    <w:p w:rsidR="00390FC7" w:rsidRPr="00390FC7" w:rsidRDefault="00390FC7" w:rsidP="00390FC7">
      <w:pPr>
        <w:spacing w:line="240" w:lineRule="auto"/>
        <w:rPr>
          <w:szCs w:val="24"/>
          <w:u w:val="single"/>
        </w:rPr>
      </w:pPr>
    </w:p>
    <w:p w:rsidR="00390FC7" w:rsidRPr="00390FC7" w:rsidRDefault="00390FC7" w:rsidP="00390FC7">
      <w:pPr>
        <w:spacing w:line="240" w:lineRule="auto"/>
        <w:rPr>
          <w:szCs w:val="24"/>
          <w:u w:val="single"/>
        </w:rPr>
      </w:pPr>
      <w:r w:rsidRPr="00390FC7">
        <w:rPr>
          <w:szCs w:val="24"/>
          <w:u w:val="single"/>
        </w:rPr>
        <w:t>Plaza Level, Commonwealth Keystone Building, 400 North Street</w:t>
      </w:r>
      <w:r w:rsidRPr="00390FC7">
        <w:rPr>
          <w:szCs w:val="24"/>
        </w:rPr>
        <w:t xml:space="preserve">, at </w:t>
      </w:r>
      <w:r w:rsidRPr="00390FC7">
        <w:rPr>
          <w:szCs w:val="24"/>
          <w:u w:val="single"/>
        </w:rPr>
        <w:tab/>
        <w:t>Harrisburg</w:t>
      </w:r>
      <w:r w:rsidRPr="00390FC7">
        <w:rPr>
          <w:szCs w:val="24"/>
          <w:u w:val="single"/>
        </w:rPr>
        <w:tab/>
      </w:r>
      <w:r w:rsidRPr="00390FC7">
        <w:rPr>
          <w:szCs w:val="24"/>
          <w:u w:val="single"/>
        </w:rPr>
        <w:tab/>
      </w:r>
    </w:p>
    <w:p w:rsidR="00390FC7" w:rsidRPr="00390FC7" w:rsidRDefault="00390FC7" w:rsidP="00390FC7">
      <w:pPr>
        <w:spacing w:line="240" w:lineRule="auto"/>
        <w:rPr>
          <w:szCs w:val="24"/>
        </w:rPr>
      </w:pPr>
      <w:r w:rsidRPr="00390FC7">
        <w:rPr>
          <w:szCs w:val="24"/>
          <w:u w:val="single"/>
        </w:rPr>
        <w:t>Pennsylvania,</w:t>
      </w:r>
      <w:r w:rsidRPr="00390FC7">
        <w:rPr>
          <w:szCs w:val="24"/>
        </w:rPr>
        <w:t xml:space="preserve"> on </w:t>
      </w:r>
      <w:r w:rsidRPr="00390FC7">
        <w:rPr>
          <w:szCs w:val="24"/>
          <w:u w:val="single"/>
        </w:rPr>
        <w:t>April 20-22, 2015</w:t>
      </w:r>
      <w:r w:rsidRPr="00390FC7">
        <w:rPr>
          <w:szCs w:val="24"/>
        </w:rPr>
        <w:t xml:space="preserve">, at </w:t>
      </w:r>
      <w:r w:rsidRPr="00390FC7">
        <w:rPr>
          <w:szCs w:val="24"/>
          <w:u w:val="single"/>
        </w:rPr>
        <w:tab/>
        <w:t>09:00</w:t>
      </w:r>
      <w:r w:rsidRPr="00390FC7">
        <w:rPr>
          <w:szCs w:val="24"/>
          <w:u w:val="single"/>
        </w:rPr>
        <w:tab/>
      </w:r>
      <w:r w:rsidRPr="00390FC7">
        <w:rPr>
          <w:szCs w:val="24"/>
          <w:u w:val="single"/>
        </w:rPr>
        <w:tab/>
      </w:r>
      <w:r w:rsidRPr="00390FC7">
        <w:rPr>
          <w:szCs w:val="24"/>
        </w:rPr>
        <w:t xml:space="preserve">o’clock, in the above case, </w:t>
      </w:r>
    </w:p>
    <w:p w:rsidR="00390FC7" w:rsidRPr="00390FC7" w:rsidRDefault="00390FC7" w:rsidP="00390FC7">
      <w:pPr>
        <w:spacing w:line="240" w:lineRule="auto"/>
        <w:rPr>
          <w:szCs w:val="24"/>
        </w:rPr>
      </w:pPr>
      <w:r w:rsidRPr="00390FC7">
        <w:rPr>
          <w:szCs w:val="24"/>
        </w:rPr>
        <w:t xml:space="preserve">                      </w:t>
      </w:r>
      <w:r w:rsidRPr="00390FC7">
        <w:rPr>
          <w:szCs w:val="24"/>
        </w:rPr>
        <w:tab/>
      </w:r>
      <w:r w:rsidRPr="00390FC7">
        <w:rPr>
          <w:szCs w:val="24"/>
        </w:rPr>
        <w:tab/>
        <w:t>(date)</w:t>
      </w:r>
    </w:p>
    <w:p w:rsidR="00390FC7" w:rsidRPr="00390FC7" w:rsidRDefault="00390FC7" w:rsidP="00390FC7">
      <w:pPr>
        <w:spacing w:line="240" w:lineRule="auto"/>
        <w:rPr>
          <w:szCs w:val="24"/>
        </w:rPr>
      </w:pPr>
      <w:r w:rsidRPr="00390FC7">
        <w:rPr>
          <w:szCs w:val="24"/>
        </w:rPr>
        <w:t xml:space="preserve">to testify on behalf of the </w:t>
      </w:r>
      <w:r w:rsidRPr="00390FC7">
        <w:rPr>
          <w:szCs w:val="24"/>
          <w:u w:val="single"/>
        </w:rPr>
        <w:t>Bureau of Investigation and Enforcement</w:t>
      </w:r>
      <w:r w:rsidRPr="00390FC7">
        <w:rPr>
          <w:szCs w:val="24"/>
        </w:rPr>
        <w:t xml:space="preserve"> and to remain until excused;</w:t>
      </w:r>
    </w:p>
    <w:p w:rsidR="00390FC7" w:rsidRPr="00390FC7" w:rsidRDefault="00390FC7" w:rsidP="00390FC7">
      <w:pPr>
        <w:spacing w:line="240" w:lineRule="auto"/>
        <w:rPr>
          <w:szCs w:val="24"/>
        </w:rPr>
      </w:pPr>
    </w:p>
    <w:p w:rsidR="00390FC7" w:rsidRPr="00390FC7" w:rsidRDefault="00390FC7" w:rsidP="00390FC7">
      <w:pPr>
        <w:spacing w:line="240" w:lineRule="auto"/>
        <w:rPr>
          <w:szCs w:val="24"/>
          <w:u w:val="single"/>
        </w:rPr>
      </w:pPr>
      <w:r w:rsidRPr="00390FC7">
        <w:rPr>
          <w:szCs w:val="24"/>
        </w:rPr>
        <w:tab/>
        <w:t>2.</w:t>
      </w:r>
      <w:r w:rsidRPr="00390FC7">
        <w:rPr>
          <w:szCs w:val="24"/>
        </w:rPr>
        <w:tab/>
        <w:t xml:space="preserve">And bring with you and produce the following: </w:t>
      </w:r>
      <w:r w:rsidRPr="00390FC7">
        <w:rPr>
          <w:szCs w:val="24"/>
          <w:u w:val="single"/>
        </w:rPr>
        <w:t>all documents produced in response to the Bureau of Investigation and Enforcement’s Data Requests Sets I through III, including, but not limited to, the Welcome Letter of HIKO Energy, LLC detailing the price offering in question, the Disclosure Statement of HIKO Energy, LLC and the spreadsheets containing customer data regarding the billing information regarding the price offering for the period of January 2014 to April 2014.</w:t>
      </w:r>
    </w:p>
    <w:p w:rsidR="00390FC7" w:rsidRPr="00390FC7" w:rsidRDefault="00390FC7" w:rsidP="00390FC7">
      <w:pPr>
        <w:spacing w:line="240" w:lineRule="auto"/>
        <w:rPr>
          <w:szCs w:val="24"/>
          <w:u w:val="single"/>
        </w:rPr>
      </w:pPr>
    </w:p>
    <w:p w:rsidR="00390FC7" w:rsidRPr="00390FC7" w:rsidRDefault="00390FC7" w:rsidP="00390FC7">
      <w:pPr>
        <w:pStyle w:val="BodyText"/>
        <w:rPr>
          <w:rFonts w:ascii="Times New Roman" w:hAnsi="Times New Roman"/>
          <w:szCs w:val="24"/>
        </w:rPr>
      </w:pPr>
      <w:r w:rsidRPr="00390FC7">
        <w:rPr>
          <w:rFonts w:ascii="Times New Roman" w:hAnsi="Times New Roman"/>
          <w:szCs w:val="24"/>
        </w:rPr>
        <w:lastRenderedPageBreak/>
        <w:t>This subpoena is issued subject to the provisions of 52 Pa. Code §5.421 (with regard to issuance, notice, service and witness fees).</w:t>
      </w:r>
    </w:p>
    <w:p w:rsidR="00390FC7" w:rsidRDefault="00390FC7" w:rsidP="00390FC7">
      <w:pPr>
        <w:pStyle w:val="BodyText"/>
        <w:rPr>
          <w:rFonts w:ascii="Times New Roman" w:hAnsi="Times New Roman"/>
        </w:rPr>
      </w:pPr>
      <w:r w:rsidRPr="00390FC7">
        <w:rPr>
          <w:rFonts w:ascii="Times New Roman" w:hAnsi="Times New Roman"/>
          <w:szCs w:val="24"/>
        </w:rPr>
        <w:tab/>
      </w:r>
      <w:r w:rsidRPr="00390FC7">
        <w:rPr>
          <w:rFonts w:ascii="Times New Roman" w:hAnsi="Times New Roman"/>
          <w:szCs w:val="24"/>
        </w:rPr>
        <w:tab/>
      </w:r>
      <w:r w:rsidRPr="00390FC7">
        <w:rPr>
          <w:rFonts w:ascii="Times New Roman" w:hAnsi="Times New Roman"/>
          <w:szCs w:val="24"/>
        </w:rPr>
        <w:tab/>
      </w:r>
      <w:r w:rsidRPr="00390FC7">
        <w:rPr>
          <w:rFonts w:ascii="Times New Roman" w:hAnsi="Times New Roman"/>
          <w:szCs w:val="24"/>
        </w:rPr>
        <w:tab/>
      </w:r>
      <w:r w:rsidRPr="00390FC7">
        <w:rPr>
          <w:rFonts w:ascii="Times New Roman" w:hAnsi="Times New Roman"/>
          <w:szCs w:val="24"/>
        </w:rPr>
        <w:tab/>
      </w:r>
      <w:r>
        <w:rPr>
          <w:rFonts w:ascii="Times New Roman" w:hAnsi="Times New Roman"/>
        </w:rPr>
        <w:tab/>
      </w:r>
      <w:r>
        <w:rPr>
          <w:rFonts w:ascii="Times New Roman" w:hAnsi="Times New Roman"/>
        </w:rPr>
        <w:tab/>
      </w:r>
      <w:r>
        <w:rPr>
          <w:rFonts w:ascii="Times New Roman" w:hAnsi="Times New Roman"/>
          <w:b/>
        </w:rPr>
        <w:t>BY THE COMMISSION</w:t>
      </w: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rPr>
      </w:pPr>
      <w:r>
        <w:rPr>
          <w:rFonts w:ascii="Times New Roman" w:hAnsi="Times New Roman"/>
          <w:b/>
        </w:rPr>
        <w:t xml:space="preserve">Date </w:t>
      </w:r>
      <w:r>
        <w:rPr>
          <w:rFonts w:ascii="Times New Roman" w:hAnsi="Times New Roman"/>
          <w:b/>
          <w:u w:val="single"/>
        </w:rPr>
        <w:tab/>
        <w:t>April 7, 2015</w:t>
      </w:r>
      <w:r>
        <w:rPr>
          <w:rFonts w:ascii="Times New Roman" w:hAnsi="Times New Roman"/>
          <w:b/>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390FC7" w:rsidRDefault="00390FC7" w:rsidP="00390FC7">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Elizabeth H. Barnes</w:t>
      </w:r>
    </w:p>
    <w:p w:rsidR="00390FC7" w:rsidRDefault="00390FC7" w:rsidP="00390FC7">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390FC7" w:rsidRDefault="00390FC7" w:rsidP="00390FC7">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90FC7" w:rsidRDefault="00390FC7" w:rsidP="00390FC7">
      <w:pPr>
        <w:pStyle w:val="BodyText"/>
        <w:ind w:left="4320" w:firstLine="720"/>
        <w:rPr>
          <w:rFonts w:ascii="Times New Roman" w:hAnsi="Times New Roman"/>
        </w:rPr>
      </w:pPr>
      <w:r>
        <w:rPr>
          <w:rFonts w:ascii="Times New Roman" w:hAnsi="Times New Roman"/>
        </w:rPr>
        <w:t>____________________________________</w:t>
      </w:r>
    </w:p>
    <w:p w:rsidR="00390FC7" w:rsidRDefault="00390FC7" w:rsidP="00390FC7">
      <w:pPr>
        <w:pStyle w:val="BodyText"/>
        <w:ind w:left="4320" w:firstLine="720"/>
        <w:rPr>
          <w:rFonts w:ascii="Times New Roman" w:hAnsi="Times New Roman"/>
        </w:rPr>
      </w:pPr>
      <w:r>
        <w:rPr>
          <w:rFonts w:ascii="Times New Roman" w:hAnsi="Times New Roman"/>
        </w:rPr>
        <w:t>Joel H. Cheskis</w:t>
      </w:r>
    </w:p>
    <w:p w:rsidR="00390FC7" w:rsidRDefault="00390FC7" w:rsidP="00390FC7">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390FC7" w:rsidRDefault="00390FC7" w:rsidP="00390FC7">
      <w:pPr>
        <w:pStyle w:val="BodyText"/>
        <w:rPr>
          <w:rFonts w:ascii="Times New Roman" w:hAnsi="Times New Roman"/>
        </w:rPr>
      </w:pPr>
      <w:r>
        <w:rPr>
          <w:rFonts w:ascii="Times New Roman" w:hAnsi="Times New Roman"/>
        </w:rPr>
        <w:br w:type="page"/>
      </w:r>
    </w:p>
    <w:p w:rsidR="00390FC7" w:rsidRDefault="00390FC7" w:rsidP="00390FC7">
      <w:pPr>
        <w:pStyle w:val="BodyText"/>
        <w:rPr>
          <w:rFonts w:ascii="Times New Roman" w:hAnsi="Times New Roman"/>
          <w:b/>
        </w:rPr>
      </w:pPr>
      <w:r>
        <w:rPr>
          <w:rFonts w:ascii="Times New Roman" w:hAnsi="Times New Roman"/>
          <w:b/>
        </w:rPr>
        <w:lastRenderedPageBreak/>
        <w:t>Commonwealth of Pennsylvania</w:t>
      </w:r>
      <w:r>
        <w:rPr>
          <w:rFonts w:ascii="Times New Roman" w:hAnsi="Times New Roman"/>
          <w:b/>
        </w:rPr>
        <w:tab/>
      </w:r>
      <w:r>
        <w:rPr>
          <w:rFonts w:ascii="Times New Roman" w:hAnsi="Times New Roman"/>
          <w:b/>
        </w:rPr>
        <w:tab/>
      </w:r>
      <w:r>
        <w:rPr>
          <w:rFonts w:ascii="Times New Roman" w:hAnsi="Times New Roman"/>
          <w:b/>
        </w:rPr>
        <w:tab/>
        <w:t>)</w:t>
      </w:r>
    </w:p>
    <w:p w:rsidR="00390FC7" w:rsidRDefault="00390FC7" w:rsidP="00390FC7">
      <w:pPr>
        <w:pStyle w:val="BodyText"/>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SS:</w:t>
      </w:r>
    </w:p>
    <w:p w:rsidR="00390FC7" w:rsidRDefault="00390FC7" w:rsidP="00390FC7">
      <w:pPr>
        <w:pStyle w:val="BodyText"/>
        <w:rPr>
          <w:rFonts w:ascii="Times New Roman" w:hAnsi="Times New Roman"/>
          <w:b/>
        </w:rPr>
      </w:pPr>
      <w:r>
        <w:rPr>
          <w:rFonts w:ascii="Times New Roman" w:hAnsi="Times New Roman"/>
          <w:b/>
        </w:rPr>
        <w:t>County of</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w:t>
      </w:r>
    </w:p>
    <w:p w:rsidR="00390FC7" w:rsidRDefault="00390FC7" w:rsidP="00390FC7">
      <w:pPr>
        <w:pStyle w:val="BodyText"/>
        <w:rPr>
          <w:rFonts w:ascii="Times New Roman" w:hAnsi="Times New Roman"/>
          <w:b/>
        </w:rPr>
      </w:pPr>
    </w:p>
    <w:p w:rsidR="00390FC7" w:rsidRDefault="00390FC7" w:rsidP="00390FC7">
      <w:pPr>
        <w:pStyle w:val="BodyText"/>
        <w:rPr>
          <w:rFonts w:ascii="Times New Roman" w:hAnsi="Times New Roman"/>
          <w:b/>
        </w:rPr>
      </w:pPr>
    </w:p>
    <w:p w:rsidR="00390FC7" w:rsidRDefault="00390FC7" w:rsidP="00390FC7">
      <w:pPr>
        <w:pStyle w:val="BodyText"/>
        <w:rPr>
          <w:rFonts w:ascii="Times New Roman" w:hAnsi="Times New Roman"/>
          <w:b/>
        </w:rPr>
      </w:pPr>
    </w:p>
    <w:p w:rsidR="00390FC7" w:rsidRDefault="00390FC7" w:rsidP="00390FC7">
      <w:pPr>
        <w:pStyle w:val="BodyText"/>
        <w:jc w:val="center"/>
        <w:rPr>
          <w:rFonts w:ascii="Times New Roman" w:hAnsi="Times New Roman"/>
        </w:rPr>
      </w:pPr>
      <w:r>
        <w:rPr>
          <w:rFonts w:ascii="Times New Roman" w:hAnsi="Times New Roman"/>
          <w:b/>
        </w:rPr>
        <w:t>AFFIDAVIT OF SERVICE</w:t>
      </w:r>
    </w:p>
    <w:p w:rsidR="00390FC7" w:rsidRDefault="00390FC7" w:rsidP="00390FC7">
      <w:pPr>
        <w:pStyle w:val="BodyText"/>
        <w:jc w:val="center"/>
        <w:rPr>
          <w:rFonts w:ascii="Times New Roman" w:hAnsi="Times New Roman"/>
        </w:rPr>
      </w:pPr>
    </w:p>
    <w:p w:rsidR="00390FC7" w:rsidRDefault="00390FC7" w:rsidP="00390FC7">
      <w:pPr>
        <w:pStyle w:val="BodyText"/>
        <w:rPr>
          <w:rFonts w:ascii="Times New Roman" w:hAnsi="Times New Roman"/>
          <w:u w:val="single"/>
        </w:rPr>
      </w:pPr>
      <w:r>
        <w:rPr>
          <w:rFonts w:ascii="Times New Roman" w:hAnsi="Times New Roman"/>
        </w:rPr>
        <w:tab/>
        <w:t xml:space="preserve">Before me, the undersigned authority, personally appeared </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90FC7" w:rsidRDefault="00390FC7" w:rsidP="00390FC7">
      <w:pPr>
        <w:pStyle w:val="BodyText"/>
        <w:rPr>
          <w:rFonts w:ascii="Times New Roman" w:hAnsi="Times New Roman"/>
          <w:u w:val="single"/>
        </w:rPr>
      </w:pPr>
    </w:p>
    <w:p w:rsidR="00390FC7" w:rsidRDefault="00390FC7" w:rsidP="00390FC7">
      <w:pPr>
        <w:pStyle w:val="BodyText"/>
        <w:rPr>
          <w:rFonts w:ascii="Times New Roman" w:hAnsi="Times New Roman"/>
        </w:rPr>
      </w:pPr>
      <w:r>
        <w:rPr>
          <w:rFonts w:ascii="Times New Roman" w:hAnsi="Times New Roman"/>
        </w:rPr>
        <w:t xml:space="preserve">who, being duly sworn according to law, deposes and says that he/she served a true and correct </w:t>
      </w: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u w:val="single"/>
        </w:rPr>
      </w:pPr>
      <w:r>
        <w:rPr>
          <w:rFonts w:ascii="Times New Roman" w:hAnsi="Times New Roman"/>
        </w:rPr>
        <w:t xml:space="preserve">copy of the within SUBPOENA upon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90FC7" w:rsidRDefault="00390FC7" w:rsidP="00390FC7">
      <w:pPr>
        <w:pStyle w:val="BodyText"/>
        <w:rPr>
          <w:rFonts w:ascii="Times New Roman" w:hAnsi="Times New Roman"/>
          <w:u w:val="single"/>
        </w:rPr>
      </w:pPr>
    </w:p>
    <w:p w:rsidR="00390FC7" w:rsidRDefault="00390FC7" w:rsidP="00390FC7">
      <w:pPr>
        <w:pStyle w:val="BodyText"/>
        <w:rPr>
          <w:rFonts w:ascii="Times New Roman" w:hAnsi="Times New Roman"/>
        </w:rPr>
      </w:pPr>
      <w:r>
        <w:rPr>
          <w:rFonts w:ascii="Times New Roman" w:hAnsi="Times New Roman"/>
        </w:rPr>
        <w:t xml:space="preserve">by handing the same to him/her at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on the </w:t>
      </w: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rPr>
        <w:t xml:space="preserve"> day of </w:t>
      </w:r>
      <w:r>
        <w:rPr>
          <w:rFonts w:ascii="Times New Roman" w:hAnsi="Times New Roman"/>
          <w:u w:val="single"/>
        </w:rPr>
        <w:tab/>
      </w:r>
      <w:r>
        <w:rPr>
          <w:rFonts w:ascii="Times New Roman" w:hAnsi="Times New Roman"/>
          <w:u w:val="single"/>
        </w:rPr>
        <w:tab/>
      </w:r>
      <w:r>
        <w:rPr>
          <w:rFonts w:ascii="Times New Roman" w:hAnsi="Times New Roman"/>
          <w:u w:val="single"/>
        </w:rPr>
        <w:tab/>
        <w:t>, 2015</w:t>
      </w:r>
      <w:r>
        <w:rPr>
          <w:rFonts w:ascii="Times New Roman" w:hAnsi="Times New Roman"/>
          <w:u w:val="single"/>
        </w:rPr>
        <w:tab/>
      </w:r>
      <w:r>
        <w:rPr>
          <w:rFonts w:ascii="Times New Roman" w:hAnsi="Times New Roman"/>
        </w:rPr>
        <w:t xml:space="preserve"> at </w:t>
      </w:r>
      <w:r>
        <w:rPr>
          <w:rFonts w:ascii="Times New Roman" w:hAnsi="Times New Roman"/>
          <w:u w:val="single"/>
        </w:rPr>
        <w:tab/>
      </w:r>
      <w:r>
        <w:rPr>
          <w:rFonts w:ascii="Times New Roman" w:hAnsi="Times New Roman"/>
          <w:u w:val="single"/>
        </w:rPr>
        <w:tab/>
      </w:r>
      <w:r>
        <w:rPr>
          <w:rFonts w:ascii="Times New Roman" w:hAnsi="Times New Roman"/>
        </w:rPr>
        <w:t xml:space="preserve"> a.m./p.m.</w:t>
      </w: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90FC7" w:rsidRDefault="00390FC7" w:rsidP="00390FC7">
      <w:pPr>
        <w:pStyle w:val="Body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0"/>
        </w:rPr>
        <w:t>(Signature)</w:t>
      </w:r>
      <w:r>
        <w:rPr>
          <w:rFonts w:ascii="Times New Roman" w:hAnsi="Times New Roman"/>
        </w:rPr>
        <w:tab/>
      </w:r>
      <w:r>
        <w:rPr>
          <w:rFonts w:ascii="Times New Roman" w:hAnsi="Times New Roman"/>
        </w:rPr>
        <w:tab/>
      </w:r>
      <w:r>
        <w:rPr>
          <w:rFonts w:ascii="Times New Roman" w:hAnsi="Times New Roman"/>
        </w:rPr>
        <w:tab/>
      </w: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rPr>
      </w:pPr>
    </w:p>
    <w:p w:rsidR="00390FC7" w:rsidRDefault="00390FC7" w:rsidP="00390FC7">
      <w:pPr>
        <w:pStyle w:val="BodyText"/>
        <w:rPr>
          <w:rFonts w:ascii="Times New Roman" w:hAnsi="Times New Roman"/>
        </w:rPr>
      </w:pPr>
      <w:r>
        <w:rPr>
          <w:rFonts w:ascii="Times New Roman" w:hAnsi="Times New Roman"/>
        </w:rPr>
        <w:t>Sworn to and subscribed before me</w:t>
      </w:r>
    </w:p>
    <w:p w:rsidR="00390FC7" w:rsidRDefault="00390FC7" w:rsidP="00390FC7">
      <w:pPr>
        <w:pStyle w:val="BodyText"/>
        <w:rPr>
          <w:rFonts w:ascii="Times New Roman" w:hAnsi="Times New Roman"/>
          <w:u w:val="single"/>
        </w:rPr>
      </w:pPr>
      <w:r>
        <w:rPr>
          <w:rFonts w:ascii="Times New Roman" w:hAnsi="Times New Roman"/>
        </w:rPr>
        <w:t xml:space="preserve">this </w:t>
      </w:r>
      <w:r>
        <w:rPr>
          <w:rFonts w:ascii="Times New Roman" w:hAnsi="Times New Roman"/>
          <w:u w:val="single"/>
        </w:rPr>
        <w:tab/>
      </w:r>
      <w:r>
        <w:rPr>
          <w:rFonts w:ascii="Times New Roman" w:hAnsi="Times New Roman"/>
          <w:u w:val="single"/>
        </w:rPr>
        <w:tab/>
      </w:r>
      <w:r>
        <w:rPr>
          <w:rFonts w:ascii="Times New Roman" w:hAnsi="Times New Roman"/>
        </w:rPr>
        <w:t xml:space="preserve"> day of </w:t>
      </w:r>
      <w:r>
        <w:rPr>
          <w:rFonts w:ascii="Times New Roman" w:hAnsi="Times New Roman"/>
          <w:u w:val="single"/>
        </w:rPr>
        <w:tab/>
      </w:r>
      <w:r>
        <w:rPr>
          <w:rFonts w:ascii="Times New Roman" w:hAnsi="Times New Roman"/>
          <w:u w:val="single"/>
        </w:rPr>
        <w:tab/>
      </w:r>
      <w:r>
        <w:rPr>
          <w:rFonts w:ascii="Times New Roman" w:hAnsi="Times New Roman"/>
          <w:u w:val="single"/>
        </w:rPr>
        <w:tab/>
        <w:t>, 2015</w:t>
      </w:r>
      <w:r>
        <w:rPr>
          <w:rFonts w:ascii="Times New Roman" w:hAnsi="Times New Roman"/>
          <w:u w:val="single"/>
        </w:rPr>
        <w:tab/>
      </w:r>
    </w:p>
    <w:p w:rsidR="00390FC7" w:rsidRDefault="00390FC7" w:rsidP="00390FC7">
      <w:pPr>
        <w:pStyle w:val="BodyText"/>
        <w:rPr>
          <w:rFonts w:ascii="Times New Roman" w:hAnsi="Times New Roman"/>
          <w:u w:val="single"/>
        </w:rPr>
      </w:pPr>
    </w:p>
    <w:p w:rsidR="00390FC7" w:rsidRDefault="00390FC7" w:rsidP="00390FC7">
      <w:pPr>
        <w:pStyle w:val="BodyText"/>
        <w:rPr>
          <w:rFonts w:ascii="Times New Roman" w:hAnsi="Times New Roman"/>
          <w:u w:val="single"/>
        </w:rPr>
      </w:pPr>
    </w:p>
    <w:p w:rsidR="00390FC7" w:rsidRDefault="00390FC7" w:rsidP="00390FC7">
      <w:pPr>
        <w:pStyle w:val="BodyText"/>
        <w:rPr>
          <w:rFonts w:ascii="Times New Roman" w:hAnsi="Times New Roman"/>
          <w:u w:val="single"/>
        </w:rPr>
      </w:pPr>
    </w:p>
    <w:p w:rsidR="00390FC7" w:rsidRDefault="00390FC7" w:rsidP="00390FC7">
      <w:pPr>
        <w:pStyle w:val="BodyText"/>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90FC7" w:rsidRDefault="00390FC7" w:rsidP="00390FC7">
      <w:pPr>
        <w:pStyle w:val="BodyText"/>
        <w:rPr>
          <w:rFonts w:ascii="Times New Roman" w:hAnsi="Times New Roman"/>
          <w:i/>
          <w:sz w:val="20"/>
        </w:rPr>
      </w:pPr>
      <w:r>
        <w:rPr>
          <w:rFonts w:ascii="Times New Roman" w:hAnsi="Times New Roman"/>
        </w:rPr>
        <w:tab/>
      </w:r>
      <w:r>
        <w:rPr>
          <w:rFonts w:ascii="Times New Roman" w:hAnsi="Times New Roman"/>
        </w:rPr>
        <w:tab/>
      </w:r>
      <w:r>
        <w:rPr>
          <w:rFonts w:ascii="Times New Roman" w:hAnsi="Times New Roman"/>
          <w:i/>
          <w:sz w:val="20"/>
        </w:rPr>
        <w:t>Notary Public</w:t>
      </w:r>
    </w:p>
    <w:p w:rsidR="00D75F16" w:rsidRDefault="00D75F16" w:rsidP="00C05E11">
      <w:pPr>
        <w:spacing w:after="0"/>
        <w:sectPr w:rsidR="00D75F16" w:rsidSect="00035DDF">
          <w:footerReference w:type="default" r:id="rId13"/>
          <w:pgSz w:w="12240" w:h="15840"/>
          <w:pgMar w:top="1440" w:right="1440" w:bottom="1440" w:left="1440" w:header="720" w:footer="720" w:gutter="0"/>
          <w:cols w:space="720"/>
          <w:titlePg/>
          <w:docGrid w:linePitch="360"/>
        </w:sectPr>
      </w:pP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b/>
          <w:szCs w:val="22"/>
          <w:u w:val="single"/>
        </w:rPr>
        <w:lastRenderedPageBreak/>
        <w:t xml:space="preserve">C-2014-2431410 </w:t>
      </w:r>
      <w:r w:rsidRPr="00D75F16">
        <w:rPr>
          <w:rFonts w:ascii="Microsoft Sans Serif" w:eastAsiaTheme="minorEastAsia" w:hAnsiTheme="minorHAnsi" w:cstheme="minorBidi"/>
          <w:b/>
          <w:szCs w:val="22"/>
          <w:u w:val="single"/>
        </w:rPr>
        <w:t>–</w:t>
      </w:r>
      <w:r w:rsidRPr="00D75F16">
        <w:rPr>
          <w:rFonts w:ascii="Microsoft Sans Serif" w:eastAsiaTheme="minorEastAsia" w:hAnsiTheme="minorHAnsi" w:cstheme="minorBidi"/>
          <w:b/>
          <w:szCs w:val="22"/>
          <w:u w:val="single"/>
        </w:rPr>
        <w:t xml:space="preserve"> PENNSYLVANIA PUBLIC UTILITY COMMISSION BUREAU OF INVESTIGATION AND ENFORCEMENT v. HIKO ENERGY LLC</w:t>
      </w:r>
      <w:r w:rsidRPr="00D75F16">
        <w:rPr>
          <w:rFonts w:ascii="Microsoft Sans Serif" w:eastAsiaTheme="minorEastAsia" w:hAnsiTheme="minorHAnsi" w:cstheme="minorBidi"/>
          <w:b/>
          <w:szCs w:val="22"/>
          <w:u w:val="single"/>
        </w:rPr>
        <w:cr/>
      </w:r>
      <w:r w:rsidRPr="00D75F16">
        <w:rPr>
          <w:rFonts w:ascii="Microsoft Sans Serif" w:eastAsiaTheme="minorEastAsia" w:hAnsiTheme="minorHAnsi" w:cstheme="minorBidi"/>
          <w:b/>
          <w:szCs w:val="22"/>
          <w:u w:val="single"/>
        </w:rPr>
        <w:cr/>
      </w:r>
      <w:r w:rsidRPr="00D75F16">
        <w:rPr>
          <w:rFonts w:ascii="Microsoft Sans Serif" w:eastAsiaTheme="minorEastAsia" w:hAnsiTheme="minorHAnsi" w:cstheme="minorBidi"/>
          <w:szCs w:val="22"/>
        </w:rPr>
        <w:t>UPDATED 12-30-14</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sectPr w:rsidR="00D75F16" w:rsidRPr="00D75F16" w:rsidSect="00493779">
          <w:pgSz w:w="12240" w:h="15840"/>
          <w:pgMar w:top="720" w:right="720" w:bottom="720" w:left="720" w:header="720" w:footer="720" w:gutter="0"/>
          <w:cols w:space="720"/>
          <w:docGrid w:linePitch="360"/>
        </w:sectPr>
      </w:pPr>
    </w:p>
    <w:p w:rsidR="00D75F16" w:rsidRPr="00D75F16" w:rsidRDefault="00D75F16" w:rsidP="00D75F16">
      <w:pPr>
        <w:tabs>
          <w:tab w:val="clear" w:pos="1440"/>
        </w:tabs>
        <w:spacing w:after="0" w:line="240" w:lineRule="auto"/>
        <w:rPr>
          <w:rFonts w:ascii="Microsoft Sans Serif" w:eastAsiaTheme="minorEastAsia" w:hAnsiTheme="minorHAnsi" w:cstheme="minorBidi"/>
          <w:b/>
          <w:i/>
          <w:szCs w:val="22"/>
          <w:u w:val="single"/>
        </w:rPr>
      </w:pPr>
      <w:r w:rsidRPr="00D75F16">
        <w:rPr>
          <w:rFonts w:ascii="Microsoft Sans Serif" w:eastAsiaTheme="minorEastAsia" w:hAnsiTheme="minorHAnsi" w:cstheme="minorBidi"/>
          <w:szCs w:val="22"/>
        </w:rPr>
        <w:lastRenderedPageBreak/>
        <w:t>MICHAEL L SWINDLER ESQUIRE</w:t>
      </w:r>
      <w:r w:rsidRPr="00D75F16">
        <w:rPr>
          <w:rFonts w:ascii="Microsoft Sans Serif" w:eastAsiaTheme="minorEastAsia" w:hAnsiTheme="minorHAnsi" w:cstheme="minorBidi"/>
          <w:szCs w:val="22"/>
        </w:rPr>
        <w:cr/>
        <w:t>PA PUC I&amp;E</w:t>
      </w:r>
      <w:r w:rsidRPr="00D75F16">
        <w:rPr>
          <w:rFonts w:ascii="Microsoft Sans Serif" w:eastAsiaTheme="minorEastAsia" w:hAnsiTheme="minorHAnsi" w:cstheme="minorBidi"/>
          <w:szCs w:val="22"/>
        </w:rPr>
        <w:cr/>
        <w:t>400 NORTH STREET</w:t>
      </w:r>
      <w:r w:rsidRPr="00D75F16">
        <w:rPr>
          <w:rFonts w:ascii="Microsoft Sans Serif" w:eastAsiaTheme="minorEastAsia" w:hAnsiTheme="minorHAnsi" w:cstheme="minorBidi"/>
          <w:szCs w:val="22"/>
        </w:rPr>
        <w:cr/>
        <w:t>PO BOX 3265</w:t>
      </w:r>
      <w:r w:rsidRPr="00D75F16">
        <w:rPr>
          <w:rFonts w:ascii="Microsoft Sans Serif" w:eastAsiaTheme="minorEastAsia" w:hAnsiTheme="minorHAnsi" w:cstheme="minorBidi"/>
          <w:szCs w:val="22"/>
        </w:rPr>
        <w:cr/>
        <w:t>HARRISBURG PA  17105-3265</w:t>
      </w:r>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b/>
          <w:szCs w:val="22"/>
        </w:rPr>
        <w:t>717-783-6369</w:t>
      </w:r>
      <w:r w:rsidRPr="00D75F16">
        <w:rPr>
          <w:rFonts w:ascii="Microsoft Sans Serif" w:eastAsiaTheme="minorEastAsia" w:hAnsiTheme="minorHAnsi" w:cstheme="minorBidi"/>
          <w:b/>
          <w:szCs w:val="22"/>
        </w:rPr>
        <w:cr/>
      </w:r>
      <w:r w:rsidRPr="00D75F16">
        <w:rPr>
          <w:rFonts w:ascii="Microsoft Sans Serif" w:eastAsiaTheme="minorEastAsia" w:hAnsiTheme="minorHAnsi" w:cstheme="minorBidi"/>
          <w:b/>
          <w:i/>
          <w:szCs w:val="22"/>
          <w:u w:val="single"/>
        </w:rPr>
        <w:t>Accepts e-Service</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p>
    <w:p w:rsidR="00D75F16" w:rsidRPr="00D75F16" w:rsidRDefault="00D75F16" w:rsidP="00D75F16">
      <w:pPr>
        <w:tabs>
          <w:tab w:val="clear" w:pos="1440"/>
        </w:tabs>
        <w:spacing w:after="0" w:line="240" w:lineRule="auto"/>
        <w:rPr>
          <w:rFonts w:ascii="Microsoft Sans Serif" w:eastAsiaTheme="minorEastAsia" w:hAnsiTheme="minorHAnsi" w:cstheme="minorBidi"/>
          <w:b/>
          <w:i/>
          <w:szCs w:val="22"/>
          <w:u w:val="single"/>
        </w:rPr>
      </w:pPr>
      <w:r w:rsidRPr="00D75F16">
        <w:rPr>
          <w:rFonts w:ascii="Microsoft Sans Serif" w:eastAsiaTheme="minorEastAsia" w:hAnsiTheme="minorHAnsi" w:cstheme="minorBidi"/>
          <w:szCs w:val="22"/>
        </w:rPr>
        <w:t>STEPHANIE M WIMER ESQUIRE</w:t>
      </w:r>
      <w:r w:rsidRPr="00D75F16">
        <w:rPr>
          <w:rFonts w:ascii="Microsoft Sans Serif" w:eastAsiaTheme="minorEastAsia" w:hAnsiTheme="minorHAnsi" w:cstheme="minorBidi"/>
          <w:szCs w:val="22"/>
        </w:rPr>
        <w:cr/>
        <w:t>PA PUC LAW BUREAU</w:t>
      </w:r>
      <w:r w:rsidRPr="00D75F16">
        <w:rPr>
          <w:rFonts w:ascii="Microsoft Sans Serif" w:eastAsiaTheme="minorEastAsia" w:hAnsiTheme="minorHAnsi" w:cstheme="minorBidi"/>
          <w:szCs w:val="22"/>
        </w:rPr>
        <w:cr/>
        <w:t>PO BOX 3265</w:t>
      </w:r>
      <w:r w:rsidRPr="00D75F16">
        <w:rPr>
          <w:rFonts w:ascii="Microsoft Sans Serif" w:eastAsiaTheme="minorEastAsia" w:hAnsiTheme="minorHAnsi" w:cstheme="minorBidi"/>
          <w:szCs w:val="22"/>
        </w:rPr>
        <w:cr/>
        <w:t>HARRISBURG PA  17105-3265</w:t>
      </w:r>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b/>
          <w:szCs w:val="22"/>
        </w:rPr>
        <w:t>717-787-5000</w:t>
      </w:r>
      <w:r w:rsidRPr="00D75F16">
        <w:rPr>
          <w:rFonts w:ascii="Microsoft Sans Serif" w:eastAsiaTheme="minorEastAsia" w:hAnsiTheme="minorHAnsi" w:cstheme="minorBidi"/>
          <w:b/>
          <w:szCs w:val="22"/>
        </w:rPr>
        <w:cr/>
      </w:r>
      <w:r w:rsidRPr="00D75F16">
        <w:rPr>
          <w:rFonts w:ascii="Microsoft Sans Serif" w:eastAsiaTheme="minorEastAsia" w:hAnsiTheme="minorHAnsi" w:cstheme="minorBidi"/>
          <w:b/>
          <w:i/>
          <w:szCs w:val="22"/>
          <w:u w:val="single"/>
        </w:rPr>
        <w:t>Accepts e-Service</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bookmarkStart w:id="0" w:name="_GoBack"/>
      <w:r w:rsidRPr="00D75F16">
        <w:rPr>
          <w:rFonts w:ascii="Microsoft Sans Serif" w:eastAsiaTheme="minorEastAsia" w:hAnsiTheme="minorHAnsi" w:cstheme="minorBidi"/>
          <w:szCs w:val="22"/>
        </w:rPr>
        <w:t>WAYNE T SCOTT ESQUIRE</w:t>
      </w:r>
      <w:r w:rsidRPr="00D75F16">
        <w:rPr>
          <w:rFonts w:ascii="Microsoft Sans Serif" w:eastAsiaTheme="minorEastAsia" w:hAnsiTheme="minorHAnsi" w:cstheme="minorBidi"/>
          <w:szCs w:val="22"/>
        </w:rPr>
        <w:cr/>
        <w:t xml:space="preserve">PA PUC BUREAU OF INVESTIGATION </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&amp; ENFORCEMENT</w:t>
      </w:r>
      <w:r w:rsidRPr="00D75F16">
        <w:rPr>
          <w:rFonts w:ascii="Microsoft Sans Serif" w:eastAsiaTheme="minorEastAsia" w:hAnsiTheme="minorHAnsi" w:cstheme="minorBidi"/>
          <w:szCs w:val="22"/>
        </w:rPr>
        <w:cr/>
        <w:t>PO BOX 3265</w:t>
      </w:r>
      <w:r w:rsidRPr="00D75F16">
        <w:rPr>
          <w:rFonts w:ascii="Microsoft Sans Serif" w:eastAsiaTheme="minorEastAsia" w:hAnsiTheme="minorHAnsi" w:cstheme="minorBidi"/>
          <w:szCs w:val="22"/>
        </w:rPr>
        <w:cr/>
        <w:t>HARRISBURG PA  17105-3265</w:t>
      </w:r>
      <w:bookmarkEnd w:id="0"/>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b/>
          <w:szCs w:val="22"/>
        </w:rPr>
        <w:t>717-783-6150</w:t>
      </w:r>
      <w:r w:rsidRPr="00D75F16">
        <w:rPr>
          <w:rFonts w:ascii="Microsoft Sans Serif" w:eastAsiaTheme="minorEastAsia" w:hAnsiTheme="minorHAnsi" w:cstheme="minorBidi"/>
          <w:b/>
          <w:szCs w:val="22"/>
        </w:rPr>
        <w:cr/>
      </w:r>
    </w:p>
    <w:p w:rsidR="00D75F16" w:rsidRPr="00D75F16" w:rsidRDefault="00D75F16" w:rsidP="00D75F16">
      <w:pPr>
        <w:tabs>
          <w:tab w:val="clear" w:pos="1440"/>
        </w:tabs>
        <w:spacing w:after="0" w:line="240" w:lineRule="auto"/>
        <w:rPr>
          <w:rFonts w:ascii="Microsoft Sans Serif" w:eastAsiaTheme="minorEastAsia" w:hAnsiTheme="minorHAnsi" w:cstheme="minorBidi"/>
          <w:b/>
          <w:szCs w:val="22"/>
          <w:u w:val="single"/>
        </w:rPr>
      </w:pPr>
      <w:proofErr w:type="spellStart"/>
      <w:r w:rsidRPr="00D75F16">
        <w:rPr>
          <w:rFonts w:ascii="Microsoft Sans Serif" w:eastAsiaTheme="minorEastAsia" w:hAnsiTheme="minorHAnsi" w:cstheme="minorBidi"/>
          <w:szCs w:val="22"/>
        </w:rPr>
        <w:t>GINENE</w:t>
      </w:r>
      <w:proofErr w:type="spellEnd"/>
      <w:r w:rsidRPr="00D75F16">
        <w:rPr>
          <w:rFonts w:ascii="Microsoft Sans Serif" w:eastAsiaTheme="minorEastAsia" w:hAnsiTheme="minorHAnsi" w:cstheme="minorBidi"/>
          <w:szCs w:val="22"/>
        </w:rPr>
        <w:t xml:space="preserve"> A LEWIS ESQUIRE</w:t>
      </w:r>
      <w:r w:rsidRPr="00D75F16">
        <w:rPr>
          <w:rFonts w:ascii="Microsoft Sans Serif" w:eastAsiaTheme="minorEastAsia" w:hAnsiTheme="minorHAnsi" w:cstheme="minorBidi"/>
          <w:szCs w:val="22"/>
        </w:rPr>
        <w:cr/>
        <w:t>ONE LOGAN SQUARE</w:t>
      </w:r>
      <w:r w:rsidRPr="00D75F16">
        <w:rPr>
          <w:rFonts w:ascii="Microsoft Sans Serif" w:eastAsiaTheme="minorEastAsia" w:hAnsiTheme="minorHAnsi" w:cstheme="minorBidi"/>
          <w:szCs w:val="22"/>
        </w:rPr>
        <w:cr/>
        <w:t>SUITE 2000</w:t>
      </w:r>
      <w:r w:rsidRPr="00D75F16">
        <w:rPr>
          <w:rFonts w:ascii="Microsoft Sans Serif" w:eastAsiaTheme="minorEastAsia" w:hAnsiTheme="minorHAnsi" w:cstheme="minorBidi"/>
          <w:szCs w:val="22"/>
        </w:rPr>
        <w:cr/>
        <w:t>PHILADELPHIA PA  19103</w:t>
      </w:r>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b/>
          <w:szCs w:val="22"/>
        </w:rPr>
        <w:t>215-988-2707</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b/>
          <w:i/>
          <w:szCs w:val="22"/>
          <w:u w:val="single"/>
        </w:rPr>
        <w:t>Accepts e-Service</w:t>
      </w:r>
      <w:r w:rsidRPr="00D75F16">
        <w:rPr>
          <w:rFonts w:ascii="Microsoft Sans Serif" w:eastAsiaTheme="minorEastAsia" w:hAnsiTheme="minorHAnsi" w:cstheme="minorBidi"/>
          <w:szCs w:val="22"/>
        </w:rPr>
        <w:t xml:space="preserve"> </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VINCENT E GENTILE ESQUIRE</w:t>
      </w:r>
      <w:r w:rsidRPr="00D75F16">
        <w:rPr>
          <w:rFonts w:ascii="Microsoft Sans Serif" w:eastAsiaTheme="minorEastAsia" w:hAnsiTheme="minorHAnsi" w:cstheme="minorBidi"/>
          <w:szCs w:val="22"/>
        </w:rPr>
        <w:cr/>
        <w:t xml:space="preserve">DRINKER BIDDLE &amp; </w:t>
      </w:r>
      <w:proofErr w:type="spellStart"/>
      <w:r w:rsidRPr="00D75F16">
        <w:rPr>
          <w:rFonts w:ascii="Microsoft Sans Serif" w:eastAsiaTheme="minorEastAsia" w:hAnsiTheme="minorHAnsi" w:cstheme="minorBidi"/>
          <w:szCs w:val="22"/>
        </w:rPr>
        <w:t>REATH</w:t>
      </w:r>
      <w:proofErr w:type="spellEnd"/>
      <w:r w:rsidRPr="00D75F16">
        <w:rPr>
          <w:rFonts w:ascii="Microsoft Sans Serif" w:eastAsiaTheme="minorEastAsia" w:hAnsiTheme="minorHAnsi" w:cstheme="minorBidi"/>
          <w:szCs w:val="22"/>
        </w:rPr>
        <w:t xml:space="preserve"> LLP</w:t>
      </w:r>
      <w:r w:rsidRPr="00D75F16">
        <w:rPr>
          <w:rFonts w:ascii="Microsoft Sans Serif" w:eastAsiaTheme="minorEastAsia" w:hAnsiTheme="minorHAnsi" w:cstheme="minorBidi"/>
          <w:szCs w:val="22"/>
        </w:rPr>
        <w:cr/>
        <w:t>105 COLLEGE ROAD EAST SUITE 300</w:t>
      </w:r>
      <w:r w:rsidRPr="00D75F16">
        <w:rPr>
          <w:rFonts w:ascii="Microsoft Sans Serif" w:eastAsiaTheme="minorEastAsia" w:hAnsiTheme="minorHAnsi" w:cstheme="minorBidi"/>
          <w:szCs w:val="22"/>
        </w:rPr>
        <w:cr/>
        <w:t>PRINCETON NJ  08540</w:t>
      </w:r>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b/>
          <w:szCs w:val="22"/>
        </w:rPr>
        <w:t>609-716-6619</w:t>
      </w:r>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b/>
          <w:i/>
          <w:szCs w:val="22"/>
          <w:u w:val="single"/>
        </w:rPr>
        <w:t>Accepts e-Service</w:t>
      </w:r>
      <w:r w:rsidRPr="00D75F16">
        <w:rPr>
          <w:rFonts w:ascii="Microsoft Sans Serif" w:eastAsiaTheme="minorEastAsia" w:hAnsiTheme="minorHAnsi" w:cstheme="minorBidi"/>
          <w:szCs w:val="22"/>
        </w:rPr>
        <w:t xml:space="preserve"> </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 xml:space="preserve">WILLIAM </w:t>
      </w:r>
      <w:proofErr w:type="spellStart"/>
      <w:r w:rsidRPr="00D75F16">
        <w:rPr>
          <w:rFonts w:ascii="Microsoft Sans Serif" w:eastAsiaTheme="minorEastAsia" w:hAnsiTheme="minorHAnsi" w:cstheme="minorBidi"/>
          <w:szCs w:val="22"/>
        </w:rPr>
        <w:t>MARSILLO</w:t>
      </w:r>
      <w:proofErr w:type="spellEnd"/>
      <w:r w:rsidRPr="00D75F16">
        <w:rPr>
          <w:rFonts w:ascii="Microsoft Sans Serif" w:eastAsiaTheme="minorEastAsia" w:hAnsiTheme="minorHAnsi" w:cstheme="minorBidi"/>
          <w:szCs w:val="22"/>
        </w:rPr>
        <w:t xml:space="preserve"> ESQUIRE</w:t>
      </w:r>
      <w:r w:rsidRPr="00D75F16">
        <w:rPr>
          <w:rFonts w:ascii="Microsoft Sans Serif" w:eastAsiaTheme="minorEastAsia" w:hAnsiTheme="minorHAnsi" w:cstheme="minorBidi"/>
          <w:szCs w:val="22"/>
        </w:rPr>
        <w:cr/>
        <w:t>MOTTY SHULMAN ESQUIRE</w:t>
      </w:r>
      <w:r w:rsidRPr="00D75F16">
        <w:rPr>
          <w:rFonts w:ascii="Microsoft Sans Serif" w:eastAsiaTheme="minorEastAsia" w:hAnsiTheme="minorHAnsi" w:cstheme="minorBidi"/>
          <w:szCs w:val="22"/>
        </w:rPr>
        <w:cr/>
        <w:t xml:space="preserve">ANDREW </w:t>
      </w:r>
      <w:proofErr w:type="spellStart"/>
      <w:r w:rsidRPr="00D75F16">
        <w:rPr>
          <w:rFonts w:ascii="Microsoft Sans Serif" w:eastAsiaTheme="minorEastAsia" w:hAnsiTheme="minorHAnsi" w:cstheme="minorBidi"/>
          <w:szCs w:val="22"/>
        </w:rPr>
        <w:t>DRESSEL</w:t>
      </w:r>
      <w:proofErr w:type="spellEnd"/>
      <w:r w:rsidRPr="00D75F16">
        <w:rPr>
          <w:rFonts w:ascii="Microsoft Sans Serif" w:eastAsiaTheme="minorEastAsia" w:hAnsiTheme="minorHAnsi" w:cstheme="minorBidi"/>
          <w:szCs w:val="22"/>
        </w:rPr>
        <w:t xml:space="preserve"> ESQUIRE</w:t>
      </w:r>
      <w:r w:rsidRPr="00D75F16">
        <w:rPr>
          <w:rFonts w:ascii="Microsoft Sans Serif" w:eastAsiaTheme="minorEastAsia" w:hAnsiTheme="minorHAnsi" w:cstheme="minorBidi"/>
          <w:szCs w:val="22"/>
        </w:rPr>
        <w:cr/>
      </w:r>
      <w:proofErr w:type="spellStart"/>
      <w:r w:rsidRPr="00D75F16">
        <w:rPr>
          <w:rFonts w:ascii="Microsoft Sans Serif" w:eastAsiaTheme="minorEastAsia" w:hAnsiTheme="minorHAnsi" w:cstheme="minorBidi"/>
          <w:szCs w:val="22"/>
        </w:rPr>
        <w:t>BOIES</w:t>
      </w:r>
      <w:proofErr w:type="spellEnd"/>
      <w:r w:rsidRPr="00D75F16">
        <w:rPr>
          <w:rFonts w:ascii="Microsoft Sans Serif" w:eastAsiaTheme="minorEastAsia" w:hAnsiTheme="minorHAnsi" w:cstheme="minorBidi"/>
          <w:szCs w:val="22"/>
        </w:rPr>
        <w:t xml:space="preserve"> SCHILLER &amp; FLEXNER LLP</w:t>
      </w:r>
      <w:r w:rsidRPr="00D75F16">
        <w:rPr>
          <w:rFonts w:ascii="Microsoft Sans Serif" w:eastAsiaTheme="minorEastAsia" w:hAnsiTheme="minorHAnsi" w:cstheme="minorBidi"/>
          <w:szCs w:val="22"/>
        </w:rPr>
        <w:cr/>
        <w:t>333 MAIN STREET</w:t>
      </w:r>
      <w:r w:rsidRPr="00D75F16">
        <w:rPr>
          <w:rFonts w:ascii="Microsoft Sans Serif" w:eastAsiaTheme="minorEastAsia" w:hAnsiTheme="minorHAnsi" w:cstheme="minorBidi"/>
          <w:szCs w:val="22"/>
        </w:rPr>
        <w:cr/>
        <w:t>ARMONK NY  10504</w:t>
      </w:r>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b/>
          <w:szCs w:val="22"/>
        </w:rPr>
        <w:t>914-749-8200</w:t>
      </w:r>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szCs w:val="22"/>
        </w:rPr>
        <w:cr/>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CANDIS A TUNILO ESQUIRE</w:t>
      </w:r>
      <w:r w:rsidRPr="00D75F16">
        <w:rPr>
          <w:rFonts w:ascii="Microsoft Sans Serif" w:eastAsiaTheme="minorEastAsia" w:hAnsiTheme="minorHAnsi" w:cstheme="minorBidi"/>
          <w:szCs w:val="22"/>
        </w:rPr>
        <w:cr/>
        <w:t>KRISTINE E ROBINSON</w:t>
      </w:r>
      <w:r w:rsidRPr="00D75F16">
        <w:rPr>
          <w:rFonts w:ascii="Microsoft Sans Serif" w:eastAsiaTheme="minorEastAsia" w:hAnsiTheme="minorHAnsi" w:cstheme="minorBidi"/>
          <w:szCs w:val="22"/>
        </w:rPr>
        <w:cr/>
        <w:t>OFFICE OF CONSUMER ADVOCATE</w:t>
      </w:r>
      <w:r w:rsidRPr="00D75F16">
        <w:rPr>
          <w:rFonts w:ascii="Microsoft Sans Serif" w:eastAsiaTheme="minorEastAsia" w:hAnsiTheme="minorHAnsi" w:cstheme="minorBidi"/>
          <w:szCs w:val="22"/>
        </w:rPr>
        <w:cr/>
      </w:r>
      <w:proofErr w:type="spellStart"/>
      <w:r w:rsidRPr="00D75F16">
        <w:rPr>
          <w:rFonts w:ascii="Microsoft Sans Serif" w:eastAsiaTheme="minorEastAsia" w:hAnsiTheme="minorHAnsi" w:cstheme="minorBidi"/>
          <w:szCs w:val="22"/>
        </w:rPr>
        <w:t>5</w:t>
      </w:r>
      <w:r w:rsidRPr="00D75F16">
        <w:rPr>
          <w:rFonts w:ascii="Microsoft Sans Serif" w:eastAsiaTheme="minorEastAsia" w:hAnsiTheme="minorHAnsi" w:cstheme="minorBidi"/>
          <w:szCs w:val="22"/>
          <w:vertAlign w:val="superscript"/>
        </w:rPr>
        <w:t>TH</w:t>
      </w:r>
      <w:proofErr w:type="spellEnd"/>
      <w:r w:rsidRPr="00D75F16">
        <w:rPr>
          <w:rFonts w:ascii="Microsoft Sans Serif" w:eastAsiaTheme="minorEastAsia" w:hAnsiTheme="minorHAnsi" w:cstheme="minorBidi"/>
          <w:szCs w:val="22"/>
        </w:rPr>
        <w:t xml:space="preserve"> FLOOR FORUM PLACE</w:t>
      </w:r>
      <w:r w:rsidRPr="00D75F16">
        <w:rPr>
          <w:rFonts w:ascii="Microsoft Sans Serif" w:eastAsiaTheme="minorEastAsia" w:hAnsiTheme="minorHAnsi" w:cstheme="minorBidi"/>
          <w:szCs w:val="22"/>
        </w:rPr>
        <w:cr/>
        <w:t>555 WALNUT STREET</w:t>
      </w:r>
      <w:r w:rsidRPr="00D75F16">
        <w:rPr>
          <w:rFonts w:ascii="Microsoft Sans Serif" w:eastAsiaTheme="minorEastAsia" w:hAnsiTheme="minorHAnsi" w:cstheme="minorBidi"/>
          <w:szCs w:val="22"/>
        </w:rPr>
        <w:cr/>
        <w:t>HARRISBURG PA  17101-1923</w:t>
      </w:r>
      <w:r w:rsidRPr="00D75F16">
        <w:rPr>
          <w:rFonts w:ascii="Microsoft Sans Serif" w:eastAsiaTheme="minorEastAsia" w:hAnsiTheme="minorHAnsi" w:cstheme="minorBidi"/>
          <w:szCs w:val="22"/>
        </w:rPr>
        <w:cr/>
      </w:r>
      <w:r w:rsidRPr="00D75F16">
        <w:rPr>
          <w:rFonts w:ascii="Microsoft Sans Serif" w:eastAsiaTheme="minorEastAsia" w:hAnsiTheme="minorHAnsi" w:cstheme="minorBidi"/>
          <w:b/>
          <w:szCs w:val="22"/>
        </w:rPr>
        <w:t>1-800-684-6560</w:t>
      </w:r>
      <w:r w:rsidRPr="00D75F16">
        <w:rPr>
          <w:rFonts w:ascii="Microsoft Sans Serif" w:eastAsiaTheme="minorEastAsia" w:hAnsiTheme="minorHAnsi" w:cstheme="minorBidi"/>
          <w:b/>
          <w:szCs w:val="22"/>
        </w:rPr>
        <w:cr/>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JOHN M ABEL ESQUIRE</w:t>
      </w:r>
      <w:r w:rsidRPr="00D75F16">
        <w:rPr>
          <w:rFonts w:ascii="Microsoft Sans Serif" w:eastAsiaTheme="minorEastAsia" w:hAnsiTheme="minorHAnsi" w:cstheme="minorBidi"/>
          <w:szCs w:val="22"/>
        </w:rPr>
        <w:cr/>
        <w:t>NICOLE R BECK ESQUIRE</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PA OFFICE OF ATTORNEY GENERAL</w:t>
      </w:r>
      <w:r w:rsidRPr="00D75F16">
        <w:rPr>
          <w:rFonts w:ascii="Microsoft Sans Serif" w:eastAsiaTheme="minorEastAsia" w:hAnsiTheme="minorHAnsi" w:cstheme="minorBidi"/>
          <w:szCs w:val="22"/>
        </w:rPr>
        <w:cr/>
        <w:t>BUREAU OF CONSUMER PROTECTION</w:t>
      </w:r>
      <w:r w:rsidRPr="00D75F16">
        <w:rPr>
          <w:rFonts w:ascii="Microsoft Sans Serif" w:eastAsiaTheme="minorEastAsia" w:hAnsiTheme="minorHAnsi" w:cstheme="minorBidi"/>
          <w:szCs w:val="22"/>
        </w:rPr>
        <w:cr/>
      </w:r>
      <w:proofErr w:type="spellStart"/>
      <w:r w:rsidRPr="00D75F16">
        <w:rPr>
          <w:rFonts w:ascii="Microsoft Sans Serif" w:eastAsiaTheme="minorEastAsia" w:hAnsiTheme="minorHAnsi" w:cstheme="minorBidi"/>
          <w:szCs w:val="22"/>
        </w:rPr>
        <w:t>15</w:t>
      </w:r>
      <w:r w:rsidRPr="00D75F16">
        <w:rPr>
          <w:rFonts w:ascii="Microsoft Sans Serif" w:eastAsiaTheme="minorEastAsia" w:hAnsiTheme="minorHAnsi" w:cstheme="minorBidi"/>
          <w:szCs w:val="22"/>
          <w:vertAlign w:val="superscript"/>
        </w:rPr>
        <w:t>TH</w:t>
      </w:r>
      <w:proofErr w:type="spellEnd"/>
      <w:r w:rsidRPr="00D75F16">
        <w:rPr>
          <w:rFonts w:ascii="Microsoft Sans Serif" w:eastAsiaTheme="minorEastAsia" w:hAnsiTheme="minorHAnsi" w:cstheme="minorBidi"/>
          <w:szCs w:val="22"/>
        </w:rPr>
        <w:t xml:space="preserve"> FL STRAWBERRY SQUARE</w:t>
      </w:r>
      <w:r w:rsidRPr="00D75F16">
        <w:rPr>
          <w:rFonts w:ascii="Microsoft Sans Serif" w:eastAsiaTheme="minorEastAsia" w:hAnsiTheme="minorHAnsi" w:cstheme="minorBidi"/>
          <w:szCs w:val="22"/>
        </w:rPr>
        <w:cr/>
        <w:t>HARRISBURG PA  17120</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STEVEN K BAINBRIDGE ESQUIRE</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PA PUC LAW BUREAU</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PO BOX 3265</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HARRISBURG PA  17120</w:t>
      </w:r>
    </w:p>
    <w:p w:rsidR="00D75F16" w:rsidRPr="00D75F16" w:rsidRDefault="00D75F16" w:rsidP="00D75F16">
      <w:pPr>
        <w:tabs>
          <w:tab w:val="clear" w:pos="1440"/>
        </w:tabs>
        <w:spacing w:after="0" w:line="240" w:lineRule="auto"/>
        <w:rPr>
          <w:rFonts w:ascii="Microsoft Sans Serif" w:eastAsiaTheme="minorEastAsia" w:hAnsiTheme="minorHAnsi" w:cstheme="minorBidi"/>
          <w:szCs w:val="22"/>
        </w:rPr>
      </w:pPr>
      <w:r w:rsidRPr="00D75F16">
        <w:rPr>
          <w:rFonts w:ascii="Microsoft Sans Serif" w:eastAsiaTheme="minorEastAsia" w:hAnsiTheme="minorHAnsi" w:cstheme="minorBidi"/>
          <w:szCs w:val="22"/>
        </w:rPr>
        <w:t>(Representing BCS)</w:t>
      </w:r>
    </w:p>
    <w:p w:rsidR="00D75F16" w:rsidRPr="00D75F16" w:rsidRDefault="00D75F16" w:rsidP="00D75F16">
      <w:pPr>
        <w:tabs>
          <w:tab w:val="clear" w:pos="1440"/>
        </w:tabs>
        <w:spacing w:after="0" w:line="240" w:lineRule="auto"/>
        <w:rPr>
          <w:rFonts w:ascii="Microsoft Sans Serif" w:eastAsiaTheme="minorEastAsia" w:hAnsiTheme="minorHAnsi" w:cstheme="minorBidi"/>
          <w:b/>
          <w:szCs w:val="22"/>
        </w:rPr>
      </w:pPr>
      <w:r w:rsidRPr="00D75F16">
        <w:rPr>
          <w:rFonts w:ascii="Microsoft Sans Serif" w:eastAsiaTheme="minorEastAsia" w:hAnsiTheme="minorHAnsi" w:cstheme="minorBidi"/>
          <w:b/>
          <w:szCs w:val="22"/>
        </w:rPr>
        <w:t>717-783-6165</w:t>
      </w:r>
    </w:p>
    <w:p w:rsidR="00D75F16" w:rsidRPr="00D75F16" w:rsidRDefault="00D75F16" w:rsidP="00D75F16">
      <w:pPr>
        <w:tabs>
          <w:tab w:val="clear" w:pos="1440"/>
        </w:tabs>
        <w:spacing w:after="0" w:line="240" w:lineRule="auto"/>
        <w:rPr>
          <w:rFonts w:asciiTheme="minorHAnsi" w:eastAsiaTheme="minorEastAsia" w:hAnsiTheme="minorHAnsi" w:cstheme="minorBidi"/>
          <w:b/>
          <w:i/>
          <w:sz w:val="22"/>
          <w:szCs w:val="22"/>
          <w:u w:val="single"/>
        </w:rPr>
      </w:pPr>
      <w:r w:rsidRPr="00D75F16">
        <w:rPr>
          <w:rFonts w:ascii="Microsoft Sans Serif" w:eastAsiaTheme="minorEastAsia" w:hAnsiTheme="minorHAnsi" w:cstheme="minorBidi"/>
          <w:b/>
          <w:i/>
          <w:szCs w:val="22"/>
          <w:u w:val="single"/>
        </w:rPr>
        <w:t>Accepts e-Service</w:t>
      </w:r>
    </w:p>
    <w:p w:rsidR="00D75F16" w:rsidRPr="00D75F16" w:rsidRDefault="00D75F16" w:rsidP="00D75F16">
      <w:pPr>
        <w:tabs>
          <w:tab w:val="clear" w:pos="1440"/>
        </w:tabs>
        <w:spacing w:after="0" w:line="240" w:lineRule="auto"/>
        <w:rPr>
          <w:rFonts w:ascii="Microsoft Sans Serif" w:eastAsiaTheme="minorEastAsia" w:hAnsi="Microsoft Sans Serif" w:cs="Microsoft Sans Serif"/>
          <w:szCs w:val="24"/>
        </w:rPr>
      </w:pPr>
    </w:p>
    <w:p w:rsidR="00C05E11" w:rsidRDefault="00C05E11" w:rsidP="00C05E11">
      <w:pPr>
        <w:spacing w:after="0"/>
      </w:pPr>
    </w:p>
    <w:sectPr w:rsidR="00C05E11" w:rsidSect="0067375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4C" w:rsidRDefault="0067024C" w:rsidP="00AE74B1">
      <w:pPr>
        <w:spacing w:after="0" w:line="240" w:lineRule="auto"/>
      </w:pPr>
      <w:r>
        <w:separator/>
      </w:r>
    </w:p>
  </w:endnote>
  <w:endnote w:type="continuationSeparator" w:id="0">
    <w:p w:rsidR="0067024C" w:rsidRDefault="0067024C" w:rsidP="00AE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725954"/>
      <w:docPartObj>
        <w:docPartGallery w:val="Page Numbers (Bottom of Page)"/>
        <w:docPartUnique/>
      </w:docPartObj>
    </w:sdtPr>
    <w:sdtEndPr>
      <w:rPr>
        <w:noProof/>
      </w:rPr>
    </w:sdtEndPr>
    <w:sdtContent>
      <w:p w:rsidR="00035DDF" w:rsidRDefault="00035DDF">
        <w:pPr>
          <w:pStyle w:val="Footer"/>
          <w:jc w:val="center"/>
        </w:pPr>
        <w:r>
          <w:fldChar w:fldCharType="begin"/>
        </w:r>
        <w:r>
          <w:instrText xml:space="preserve"> PAGE   \* MERGEFORMAT </w:instrText>
        </w:r>
        <w:r>
          <w:fldChar w:fldCharType="separate"/>
        </w:r>
        <w:r w:rsidR="00D75F16">
          <w:rPr>
            <w:noProof/>
          </w:rPr>
          <w:t>15</w:t>
        </w:r>
        <w:r>
          <w:rPr>
            <w:noProof/>
          </w:rPr>
          <w:fldChar w:fldCharType="end"/>
        </w:r>
      </w:p>
    </w:sdtContent>
  </w:sdt>
  <w:p w:rsidR="00035DDF" w:rsidRDefault="00035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4C" w:rsidRDefault="0067024C" w:rsidP="00AE74B1">
      <w:pPr>
        <w:spacing w:after="0" w:line="240" w:lineRule="auto"/>
      </w:pPr>
      <w:r>
        <w:separator/>
      </w:r>
    </w:p>
  </w:footnote>
  <w:footnote w:type="continuationSeparator" w:id="0">
    <w:p w:rsidR="0067024C" w:rsidRDefault="0067024C" w:rsidP="00AE74B1">
      <w:pPr>
        <w:spacing w:after="0" w:line="240" w:lineRule="auto"/>
      </w:pPr>
      <w:r>
        <w:continuationSeparator/>
      </w:r>
    </w:p>
  </w:footnote>
  <w:footnote w:id="1">
    <w:p w:rsidR="00C90642" w:rsidRDefault="00C90642" w:rsidP="00796343">
      <w:pPr>
        <w:pStyle w:val="FootnoteText"/>
        <w:spacing w:after="0"/>
        <w:ind w:firstLine="720"/>
      </w:pPr>
      <w:r>
        <w:rPr>
          <w:rStyle w:val="FootnoteReference"/>
        </w:rPr>
        <w:footnoteRef/>
      </w:r>
      <w:r>
        <w:t xml:space="preserve"> </w:t>
      </w:r>
      <w:r>
        <w:tab/>
        <w:t xml:space="preserve">66 Pa.C.S. § 309.  See also </w:t>
      </w:r>
      <w:r w:rsidR="009E7B38">
        <w:t>66 Pa.C.S. § 331(d)(2)(authorizing presiding officers to issue subpoena).</w:t>
      </w:r>
    </w:p>
    <w:p w:rsidR="00C05E11" w:rsidRDefault="00C05E11" w:rsidP="00C05E11">
      <w:pPr>
        <w:pStyle w:val="FootnoteText"/>
        <w:spacing w:after="0"/>
      </w:pPr>
    </w:p>
  </w:footnote>
  <w:footnote w:id="2">
    <w:p w:rsidR="00526D22" w:rsidRDefault="00526D22">
      <w:pPr>
        <w:pStyle w:val="FootnoteText"/>
      </w:pPr>
      <w:r>
        <w:rPr>
          <w:rStyle w:val="FootnoteReference"/>
        </w:rPr>
        <w:footnoteRef/>
      </w:r>
      <w:r>
        <w:t xml:space="preserve"> According to the Complaint, HIKO initiated supplier offerings in the electric distribution </w:t>
      </w:r>
      <w:r w:rsidR="000E68AF">
        <w:t>companies’</w:t>
      </w:r>
      <w:r>
        <w:t xml:space="preserve"> territories of Duquesne Light, Metropolitan Edison Company, PECO Energy Company and PPL Electric Company on December 31, 2012, and in the service territories of Pennsylvania Electric Company and West Penn Power where HIKO initiated its supplier offerings on or about August 15,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6A"/>
    <w:rsid w:val="00004C37"/>
    <w:rsid w:val="00035DDF"/>
    <w:rsid w:val="00043F12"/>
    <w:rsid w:val="00056BFA"/>
    <w:rsid w:val="000E68AF"/>
    <w:rsid w:val="00122C30"/>
    <w:rsid w:val="0014451D"/>
    <w:rsid w:val="001B1CBA"/>
    <w:rsid w:val="001D60E1"/>
    <w:rsid w:val="001F3E81"/>
    <w:rsid w:val="00206534"/>
    <w:rsid w:val="00213167"/>
    <w:rsid w:val="002420E6"/>
    <w:rsid w:val="002512F9"/>
    <w:rsid w:val="0025177D"/>
    <w:rsid w:val="002A11B5"/>
    <w:rsid w:val="002C0B7C"/>
    <w:rsid w:val="002C2F59"/>
    <w:rsid w:val="003540E2"/>
    <w:rsid w:val="003870C7"/>
    <w:rsid w:val="0038720E"/>
    <w:rsid w:val="00390FC7"/>
    <w:rsid w:val="00393C92"/>
    <w:rsid w:val="003F187B"/>
    <w:rsid w:val="00415EA6"/>
    <w:rsid w:val="00417581"/>
    <w:rsid w:val="004D523C"/>
    <w:rsid w:val="004E615C"/>
    <w:rsid w:val="00520407"/>
    <w:rsid w:val="00526D22"/>
    <w:rsid w:val="005A1C17"/>
    <w:rsid w:val="005A2ABA"/>
    <w:rsid w:val="005C4A88"/>
    <w:rsid w:val="0061775F"/>
    <w:rsid w:val="006378F7"/>
    <w:rsid w:val="00652DA1"/>
    <w:rsid w:val="006573BD"/>
    <w:rsid w:val="0067024C"/>
    <w:rsid w:val="006E082A"/>
    <w:rsid w:val="006E46B7"/>
    <w:rsid w:val="006F0329"/>
    <w:rsid w:val="00707D4C"/>
    <w:rsid w:val="00712E58"/>
    <w:rsid w:val="007417DF"/>
    <w:rsid w:val="00792796"/>
    <w:rsid w:val="00796343"/>
    <w:rsid w:val="007A442D"/>
    <w:rsid w:val="007E4CC4"/>
    <w:rsid w:val="007E6779"/>
    <w:rsid w:val="00820B4C"/>
    <w:rsid w:val="008524F3"/>
    <w:rsid w:val="008529D2"/>
    <w:rsid w:val="00893FC5"/>
    <w:rsid w:val="008962E5"/>
    <w:rsid w:val="008F7104"/>
    <w:rsid w:val="00976DA3"/>
    <w:rsid w:val="0099481D"/>
    <w:rsid w:val="00997E61"/>
    <w:rsid w:val="009B551B"/>
    <w:rsid w:val="009C10C7"/>
    <w:rsid w:val="009D09C2"/>
    <w:rsid w:val="009E3612"/>
    <w:rsid w:val="009E6E6E"/>
    <w:rsid w:val="009E7B38"/>
    <w:rsid w:val="009F196E"/>
    <w:rsid w:val="00A10D17"/>
    <w:rsid w:val="00A55096"/>
    <w:rsid w:val="00A61E36"/>
    <w:rsid w:val="00A82479"/>
    <w:rsid w:val="00A85951"/>
    <w:rsid w:val="00A9405A"/>
    <w:rsid w:val="00AA2EC5"/>
    <w:rsid w:val="00AB4C73"/>
    <w:rsid w:val="00AD33F3"/>
    <w:rsid w:val="00AD4928"/>
    <w:rsid w:val="00AE1975"/>
    <w:rsid w:val="00AE6F47"/>
    <w:rsid w:val="00AE74B1"/>
    <w:rsid w:val="00AF0000"/>
    <w:rsid w:val="00B3101C"/>
    <w:rsid w:val="00B3237B"/>
    <w:rsid w:val="00B6094B"/>
    <w:rsid w:val="00B82B33"/>
    <w:rsid w:val="00B83E62"/>
    <w:rsid w:val="00BC6B21"/>
    <w:rsid w:val="00C01051"/>
    <w:rsid w:val="00C028B4"/>
    <w:rsid w:val="00C0578C"/>
    <w:rsid w:val="00C05E11"/>
    <w:rsid w:val="00C56A17"/>
    <w:rsid w:val="00C87E57"/>
    <w:rsid w:val="00C90642"/>
    <w:rsid w:val="00CB2B6D"/>
    <w:rsid w:val="00CB7F30"/>
    <w:rsid w:val="00CC278C"/>
    <w:rsid w:val="00D22A28"/>
    <w:rsid w:val="00D412F9"/>
    <w:rsid w:val="00D62518"/>
    <w:rsid w:val="00D65F13"/>
    <w:rsid w:val="00D74E92"/>
    <w:rsid w:val="00D75F16"/>
    <w:rsid w:val="00D9034B"/>
    <w:rsid w:val="00DA3B2B"/>
    <w:rsid w:val="00DB3529"/>
    <w:rsid w:val="00DB533C"/>
    <w:rsid w:val="00DC1879"/>
    <w:rsid w:val="00DD5C37"/>
    <w:rsid w:val="00E0086A"/>
    <w:rsid w:val="00E23D16"/>
    <w:rsid w:val="00E32381"/>
    <w:rsid w:val="00E82B94"/>
    <w:rsid w:val="00EC1CBA"/>
    <w:rsid w:val="00EC2D24"/>
    <w:rsid w:val="00EE7801"/>
    <w:rsid w:val="00EF0319"/>
    <w:rsid w:val="00F018C8"/>
    <w:rsid w:val="00F16554"/>
    <w:rsid w:val="00F22A5C"/>
    <w:rsid w:val="00F2591B"/>
    <w:rsid w:val="00F349E4"/>
    <w:rsid w:val="00F544E1"/>
    <w:rsid w:val="00F650A1"/>
    <w:rsid w:val="00F73A61"/>
    <w:rsid w:val="00F87208"/>
    <w:rsid w:val="00FD5C10"/>
    <w:rsid w:val="00FD7E08"/>
    <w:rsid w:val="00FE5C41"/>
    <w:rsid w:val="00FE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paragraph" w:styleId="Heading1">
    <w:name w:val="heading 1"/>
    <w:basedOn w:val="Normal"/>
    <w:next w:val="Normal"/>
    <w:link w:val="Heading1Char"/>
    <w:qFormat/>
    <w:rsid w:val="00C0578C"/>
    <w:pPr>
      <w:keepNext/>
      <w:tabs>
        <w:tab w:val="clear" w:pos="1440"/>
      </w:tabs>
      <w:spacing w:after="0" w:line="240" w:lineRule="auto"/>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A1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17"/>
    <w:rPr>
      <w:rFonts w:ascii="Tahoma" w:hAnsi="Tahoma" w:cs="Tahoma"/>
      <w:sz w:val="16"/>
      <w:szCs w:val="16"/>
    </w:rPr>
  </w:style>
  <w:style w:type="paragraph" w:styleId="NormalWeb">
    <w:name w:val="Normal (Web)"/>
    <w:basedOn w:val="Normal"/>
    <w:uiPriority w:val="99"/>
    <w:semiHidden/>
    <w:unhideWhenUsed/>
    <w:rsid w:val="006573BD"/>
    <w:pPr>
      <w:tabs>
        <w:tab w:val="clear" w:pos="1440"/>
      </w:tabs>
      <w:spacing w:before="100" w:beforeAutospacing="1" w:after="100" w:afterAutospacing="1" w:line="240" w:lineRule="auto"/>
    </w:pPr>
    <w:rPr>
      <w:szCs w:val="24"/>
      <w:lang w:eastAsia="zh-CN"/>
    </w:rPr>
  </w:style>
  <w:style w:type="character" w:customStyle="1" w:styleId="Heading1Char">
    <w:name w:val="Heading 1 Char"/>
    <w:basedOn w:val="DefaultParagraphFont"/>
    <w:link w:val="Heading1"/>
    <w:rsid w:val="00C0578C"/>
    <w:rPr>
      <w:rFonts w:ascii="Courier New" w:hAnsi="Courier New" w:cs="Times New Roman"/>
      <w:b/>
      <w:sz w:val="24"/>
      <w:szCs w:val="20"/>
    </w:rPr>
  </w:style>
  <w:style w:type="paragraph" w:styleId="BodyText">
    <w:name w:val="Body Text"/>
    <w:basedOn w:val="Normal"/>
    <w:link w:val="BodyTextChar"/>
    <w:semiHidden/>
    <w:rsid w:val="00C0578C"/>
    <w:pPr>
      <w:tabs>
        <w:tab w:val="clear" w:pos="1440"/>
      </w:tabs>
      <w:spacing w:after="0" w:line="240" w:lineRule="auto"/>
      <w:jc w:val="both"/>
    </w:pPr>
    <w:rPr>
      <w:rFonts w:ascii="Courier New" w:hAnsi="Courier New"/>
    </w:rPr>
  </w:style>
  <w:style w:type="character" w:customStyle="1" w:styleId="BodyTextChar">
    <w:name w:val="Body Text Char"/>
    <w:basedOn w:val="DefaultParagraphFont"/>
    <w:link w:val="BodyText"/>
    <w:semiHidden/>
    <w:rsid w:val="00C0578C"/>
    <w:rPr>
      <w:rFonts w:ascii="Courier New"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paragraph" w:styleId="Heading1">
    <w:name w:val="heading 1"/>
    <w:basedOn w:val="Normal"/>
    <w:next w:val="Normal"/>
    <w:link w:val="Heading1Char"/>
    <w:qFormat/>
    <w:rsid w:val="00C0578C"/>
    <w:pPr>
      <w:keepNext/>
      <w:tabs>
        <w:tab w:val="clear" w:pos="1440"/>
      </w:tabs>
      <w:spacing w:after="0" w:line="240" w:lineRule="auto"/>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A1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17"/>
    <w:rPr>
      <w:rFonts w:ascii="Tahoma" w:hAnsi="Tahoma" w:cs="Tahoma"/>
      <w:sz w:val="16"/>
      <w:szCs w:val="16"/>
    </w:rPr>
  </w:style>
  <w:style w:type="paragraph" w:styleId="NormalWeb">
    <w:name w:val="Normal (Web)"/>
    <w:basedOn w:val="Normal"/>
    <w:uiPriority w:val="99"/>
    <w:semiHidden/>
    <w:unhideWhenUsed/>
    <w:rsid w:val="006573BD"/>
    <w:pPr>
      <w:tabs>
        <w:tab w:val="clear" w:pos="1440"/>
      </w:tabs>
      <w:spacing w:before="100" w:beforeAutospacing="1" w:after="100" w:afterAutospacing="1" w:line="240" w:lineRule="auto"/>
    </w:pPr>
    <w:rPr>
      <w:szCs w:val="24"/>
      <w:lang w:eastAsia="zh-CN"/>
    </w:rPr>
  </w:style>
  <w:style w:type="character" w:customStyle="1" w:styleId="Heading1Char">
    <w:name w:val="Heading 1 Char"/>
    <w:basedOn w:val="DefaultParagraphFont"/>
    <w:link w:val="Heading1"/>
    <w:rsid w:val="00C0578C"/>
    <w:rPr>
      <w:rFonts w:ascii="Courier New" w:hAnsi="Courier New" w:cs="Times New Roman"/>
      <w:b/>
      <w:sz w:val="24"/>
      <w:szCs w:val="20"/>
    </w:rPr>
  </w:style>
  <w:style w:type="paragraph" w:styleId="BodyText">
    <w:name w:val="Body Text"/>
    <w:basedOn w:val="Normal"/>
    <w:link w:val="BodyTextChar"/>
    <w:semiHidden/>
    <w:rsid w:val="00C0578C"/>
    <w:pPr>
      <w:tabs>
        <w:tab w:val="clear" w:pos="1440"/>
      </w:tabs>
      <w:spacing w:after="0" w:line="240" w:lineRule="auto"/>
      <w:jc w:val="both"/>
    </w:pPr>
    <w:rPr>
      <w:rFonts w:ascii="Courier New" w:hAnsi="Courier New"/>
    </w:rPr>
  </w:style>
  <w:style w:type="character" w:customStyle="1" w:styleId="BodyTextChar">
    <w:name w:val="Body Text Char"/>
    <w:basedOn w:val="DefaultParagraphFont"/>
    <w:link w:val="BodyText"/>
    <w:semiHidden/>
    <w:rsid w:val="00C0578C"/>
    <w:rPr>
      <w:rFonts w:ascii="Courier New"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7050">
      <w:bodyDiv w:val="1"/>
      <w:marLeft w:val="0"/>
      <w:marRight w:val="0"/>
      <w:marTop w:val="0"/>
      <w:marBottom w:val="0"/>
      <w:divBdr>
        <w:top w:val="none" w:sz="0" w:space="0" w:color="auto"/>
        <w:left w:val="none" w:sz="0" w:space="0" w:color="auto"/>
        <w:bottom w:val="none" w:sz="0" w:space="0" w:color="auto"/>
        <w:right w:val="none" w:sz="0" w:space="0" w:color="auto"/>
      </w:divBdr>
    </w:div>
    <w:div w:id="1712802898">
      <w:bodyDiv w:val="1"/>
      <w:marLeft w:val="0"/>
      <w:marRight w:val="0"/>
      <w:marTop w:val="0"/>
      <w:marBottom w:val="0"/>
      <w:divBdr>
        <w:top w:val="none" w:sz="0" w:space="0" w:color="auto"/>
        <w:left w:val="none" w:sz="0" w:space="0" w:color="auto"/>
        <w:bottom w:val="none" w:sz="0" w:space="0" w:color="auto"/>
        <w:right w:val="none" w:sz="0" w:space="0" w:color="auto"/>
      </w:divBdr>
      <w:divsChild>
        <w:div w:id="155762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lar.google.com/scholar_case?case=2649456870546423871&amp;q=SEC+v.+Knowles&amp;hl=en&amp;as_sdt=6,39&amp;as_vis=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holar.google.com/scholar_case?case=17349706952628716804&amp;q=SEC+v.+Knowles&amp;hl=en&amp;as_sdt=6,39&amp;as_vis=1" TargetMode="External"/><Relationship Id="rId4" Type="http://schemas.microsoft.com/office/2007/relationships/stylesWithEffects" Target="stylesWithEffects.xml"/><Relationship Id="rId9" Type="http://schemas.openxmlformats.org/officeDocument/2006/relationships/hyperlink" Target="http://scholar.google.com/scholar_case?case=5514563780081607825&amp;q=SEC+v.+Knowles&amp;hl=en&amp;as_sdt=6,39&amp;as_vis=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E90F-8EB1-4125-A8A8-0C47CF68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Reitenbach, Dawn</cp:lastModifiedBy>
  <cp:revision>3</cp:revision>
  <cp:lastPrinted>2015-04-08T11:49:00Z</cp:lastPrinted>
  <dcterms:created xsi:type="dcterms:W3CDTF">2015-04-08T11:47:00Z</dcterms:created>
  <dcterms:modified xsi:type="dcterms:W3CDTF">2015-04-08T11:49:00Z</dcterms:modified>
</cp:coreProperties>
</file>