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C9" w:rsidRPr="003B7488" w:rsidRDefault="00261CC9" w:rsidP="00161881">
      <w:pPr>
        <w:pStyle w:val="Title"/>
        <w:tabs>
          <w:tab w:val="left" w:pos="4104"/>
        </w:tabs>
        <w:rPr>
          <w:rFonts w:ascii="Times New Roman" w:hAnsi="Times New Roman"/>
          <w:szCs w:val="24"/>
        </w:rPr>
      </w:pPr>
      <w:r w:rsidRPr="003B7488">
        <w:rPr>
          <w:rFonts w:ascii="Times New Roman" w:hAnsi="Times New Roman"/>
          <w:szCs w:val="24"/>
        </w:rPr>
        <w:t>BEFORE THE</w:t>
      </w:r>
    </w:p>
    <w:p w:rsidR="00261CC9" w:rsidRPr="003B7488" w:rsidRDefault="00261CC9" w:rsidP="00642EA7">
      <w:pPr>
        <w:pStyle w:val="Subtitle"/>
        <w:rPr>
          <w:rFonts w:ascii="Times New Roman" w:hAnsi="Times New Roman"/>
          <w:szCs w:val="24"/>
        </w:rPr>
      </w:pPr>
      <w:r w:rsidRPr="003B7488">
        <w:rPr>
          <w:rFonts w:ascii="Times New Roman" w:hAnsi="Times New Roman"/>
          <w:szCs w:val="24"/>
        </w:rPr>
        <w:t>PENNSYLVANIA PUBLIC UTILITY COMMISSION</w:t>
      </w:r>
    </w:p>
    <w:p w:rsidR="00261CC9" w:rsidRPr="003B7488" w:rsidRDefault="00261CC9" w:rsidP="0013567B">
      <w:pPr>
        <w:spacing w:line="240" w:lineRule="auto"/>
        <w:jc w:val="both"/>
        <w:rPr>
          <w:rFonts w:ascii="Times New Roman" w:hAnsi="Times New Roman"/>
          <w:szCs w:val="24"/>
        </w:rPr>
      </w:pPr>
    </w:p>
    <w:p w:rsidR="00852DDF" w:rsidRPr="003B7488" w:rsidRDefault="00852DDF" w:rsidP="0013567B">
      <w:pPr>
        <w:tabs>
          <w:tab w:val="center" w:pos="4680"/>
        </w:tabs>
        <w:suppressAutoHyphens/>
        <w:spacing w:line="240" w:lineRule="auto"/>
        <w:rPr>
          <w:rFonts w:ascii="Times New Roman" w:hAnsi="Times New Roman"/>
          <w:spacing w:val="-3"/>
        </w:rPr>
      </w:pPr>
    </w:p>
    <w:p w:rsidR="00852DDF" w:rsidRPr="003B7488" w:rsidRDefault="00852DDF" w:rsidP="0013567B">
      <w:pPr>
        <w:tabs>
          <w:tab w:val="left" w:pos="-720"/>
        </w:tabs>
        <w:suppressAutoHyphens/>
        <w:spacing w:line="240" w:lineRule="auto"/>
        <w:rPr>
          <w:rFonts w:ascii="Times New Roman" w:hAnsi="Times New Roman"/>
          <w:spacing w:val="-3"/>
        </w:rPr>
      </w:pPr>
    </w:p>
    <w:p w:rsidR="00852DDF" w:rsidRPr="003B7488" w:rsidRDefault="00852DDF" w:rsidP="0013567B">
      <w:pPr>
        <w:tabs>
          <w:tab w:val="left" w:pos="-720"/>
        </w:tabs>
        <w:suppressAutoHyphens/>
        <w:spacing w:line="240" w:lineRule="auto"/>
        <w:rPr>
          <w:rFonts w:ascii="Times New Roman" w:hAnsi="Times New Roman"/>
          <w:spacing w:val="-3"/>
        </w:rPr>
      </w:pPr>
      <w:r w:rsidRPr="003B7488">
        <w:rPr>
          <w:rFonts w:ascii="Times New Roman" w:hAnsi="Times New Roman"/>
          <w:spacing w:val="-3"/>
        </w:rPr>
        <w:t>Pennsylvania Public Utility Commission</w:t>
      </w:r>
      <w:r w:rsidRPr="003B7488">
        <w:rPr>
          <w:rFonts w:ascii="Times New Roman" w:hAnsi="Times New Roman"/>
          <w:spacing w:val="-3"/>
        </w:rPr>
        <w:tab/>
      </w:r>
      <w:r w:rsidRPr="003B7488">
        <w:rPr>
          <w:rFonts w:ascii="Times New Roman" w:hAnsi="Times New Roman"/>
          <w:spacing w:val="-3"/>
        </w:rPr>
        <w:tab/>
        <w:t>:</w:t>
      </w:r>
      <w:r w:rsidRPr="003B7488">
        <w:rPr>
          <w:rFonts w:ascii="Times New Roman" w:hAnsi="Times New Roman"/>
          <w:spacing w:val="-3"/>
        </w:rPr>
        <w:tab/>
      </w:r>
      <w:r w:rsidRPr="003B7488">
        <w:rPr>
          <w:rFonts w:ascii="Times New Roman" w:hAnsi="Times New Roman"/>
          <w:spacing w:val="-3"/>
        </w:rPr>
        <w:tab/>
        <w:t>R-</w:t>
      </w:r>
      <w:r w:rsidR="00B13E57">
        <w:rPr>
          <w:rFonts w:ascii="Times New Roman" w:hAnsi="Times New Roman"/>
          <w:spacing w:val="-3"/>
        </w:rPr>
        <w:t>2014-2428744</w:t>
      </w:r>
    </w:p>
    <w:p w:rsidR="00852DDF" w:rsidRPr="003B7488" w:rsidRDefault="00852DDF" w:rsidP="003E4030">
      <w:pPr>
        <w:tabs>
          <w:tab w:val="left" w:pos="-720"/>
        </w:tabs>
        <w:suppressAutoHyphens/>
        <w:spacing w:line="240" w:lineRule="auto"/>
        <w:rPr>
          <w:rFonts w:ascii="Times New Roman" w:hAnsi="Times New Roman"/>
          <w:spacing w:val="-3"/>
        </w:rPr>
      </w:pPr>
      <w:r w:rsidRPr="003B7488">
        <w:rPr>
          <w:rFonts w:ascii="Times New Roman" w:hAnsi="Times New Roman"/>
          <w:spacing w:val="-3"/>
        </w:rPr>
        <w:t>Office of Small Business Advocate</w:t>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t>:</w:t>
      </w:r>
      <w:r w:rsidRPr="003B7488">
        <w:rPr>
          <w:rFonts w:ascii="Times New Roman" w:hAnsi="Times New Roman"/>
          <w:spacing w:val="-3"/>
        </w:rPr>
        <w:tab/>
      </w:r>
      <w:r w:rsidRPr="003B7488">
        <w:rPr>
          <w:rFonts w:ascii="Times New Roman" w:hAnsi="Times New Roman"/>
          <w:spacing w:val="-3"/>
        </w:rPr>
        <w:tab/>
        <w:t>C-</w:t>
      </w:r>
      <w:r w:rsidR="00B13E57">
        <w:rPr>
          <w:rFonts w:ascii="Times New Roman" w:hAnsi="Times New Roman"/>
          <w:spacing w:val="-3"/>
        </w:rPr>
        <w:t>2014-24434</w:t>
      </w:r>
      <w:r w:rsidR="00352BE9">
        <w:rPr>
          <w:rFonts w:ascii="Times New Roman" w:hAnsi="Times New Roman"/>
          <w:spacing w:val="-3"/>
        </w:rPr>
        <w:t>84</w:t>
      </w:r>
    </w:p>
    <w:p w:rsidR="00852DDF" w:rsidRPr="003B7488" w:rsidRDefault="00852DDF" w:rsidP="003E4030">
      <w:pPr>
        <w:tabs>
          <w:tab w:val="left" w:pos="-720"/>
        </w:tabs>
        <w:suppressAutoHyphens/>
        <w:spacing w:line="240" w:lineRule="auto"/>
        <w:rPr>
          <w:rFonts w:ascii="Times New Roman" w:hAnsi="Times New Roman"/>
          <w:spacing w:val="-3"/>
        </w:rPr>
      </w:pPr>
      <w:r w:rsidRPr="003B7488">
        <w:rPr>
          <w:rFonts w:ascii="Times New Roman" w:hAnsi="Times New Roman"/>
          <w:spacing w:val="-3"/>
        </w:rPr>
        <w:t>Office of Consumer Advocate</w:t>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t>:</w:t>
      </w:r>
      <w:r w:rsidRPr="003B7488">
        <w:rPr>
          <w:rFonts w:ascii="Times New Roman" w:hAnsi="Times New Roman"/>
          <w:spacing w:val="-3"/>
        </w:rPr>
        <w:tab/>
      </w:r>
      <w:r w:rsidRPr="003B7488">
        <w:rPr>
          <w:rFonts w:ascii="Times New Roman" w:hAnsi="Times New Roman"/>
          <w:spacing w:val="-3"/>
        </w:rPr>
        <w:tab/>
        <w:t>C-</w:t>
      </w:r>
      <w:r w:rsidR="002C54A4">
        <w:rPr>
          <w:rFonts w:ascii="Times New Roman" w:hAnsi="Times New Roman"/>
          <w:spacing w:val="-3"/>
        </w:rPr>
        <w:t>2014-24416</w:t>
      </w:r>
      <w:r w:rsidR="00352BE9">
        <w:rPr>
          <w:rFonts w:ascii="Times New Roman" w:hAnsi="Times New Roman"/>
          <w:spacing w:val="-3"/>
        </w:rPr>
        <w:t>53</w:t>
      </w:r>
    </w:p>
    <w:p w:rsidR="00852DDF" w:rsidRPr="003B7488" w:rsidRDefault="002C54A4" w:rsidP="003E4030">
      <w:pPr>
        <w:tabs>
          <w:tab w:val="left" w:pos="-720"/>
        </w:tabs>
        <w:suppressAutoHyphens/>
        <w:spacing w:line="240" w:lineRule="auto"/>
        <w:rPr>
          <w:rFonts w:ascii="Times New Roman" w:hAnsi="Times New Roman"/>
          <w:spacing w:val="-3"/>
        </w:rPr>
      </w:pPr>
      <w:r>
        <w:rPr>
          <w:rFonts w:ascii="Times New Roman" w:hAnsi="Times New Roman"/>
          <w:spacing w:val="-3"/>
        </w:rPr>
        <w:t xml:space="preserve">James </w:t>
      </w:r>
      <w:r w:rsidR="00B13E57">
        <w:rPr>
          <w:rFonts w:ascii="Times New Roman" w:hAnsi="Times New Roman"/>
          <w:spacing w:val="-3"/>
        </w:rPr>
        <w:t xml:space="preserve">F. </w:t>
      </w:r>
      <w:proofErr w:type="spellStart"/>
      <w:r w:rsidR="00B13E57">
        <w:rPr>
          <w:rFonts w:ascii="Times New Roman" w:hAnsi="Times New Roman"/>
          <w:spacing w:val="-3"/>
        </w:rPr>
        <w:t>Mrozek</w:t>
      </w:r>
      <w:proofErr w:type="spellEnd"/>
      <w:r w:rsidR="00852DDF" w:rsidRPr="003B7488">
        <w:rPr>
          <w:rFonts w:ascii="Times New Roman" w:hAnsi="Times New Roman"/>
          <w:spacing w:val="-3"/>
        </w:rPr>
        <w:tab/>
      </w:r>
      <w:r w:rsidR="00852DDF" w:rsidRPr="003B7488">
        <w:rPr>
          <w:rFonts w:ascii="Times New Roman" w:hAnsi="Times New Roman"/>
          <w:spacing w:val="-3"/>
        </w:rPr>
        <w:tab/>
      </w:r>
      <w:r w:rsidR="00852DDF" w:rsidRPr="003B7488">
        <w:rPr>
          <w:rFonts w:ascii="Times New Roman" w:hAnsi="Times New Roman"/>
          <w:spacing w:val="-3"/>
        </w:rPr>
        <w:tab/>
      </w:r>
      <w:r w:rsidR="00852DDF" w:rsidRPr="003B7488">
        <w:rPr>
          <w:rFonts w:ascii="Times New Roman" w:hAnsi="Times New Roman"/>
          <w:spacing w:val="-3"/>
        </w:rPr>
        <w:tab/>
      </w:r>
      <w:r w:rsidR="00852DDF" w:rsidRPr="003B7488">
        <w:rPr>
          <w:rFonts w:ascii="Times New Roman" w:hAnsi="Times New Roman"/>
          <w:spacing w:val="-3"/>
        </w:rPr>
        <w:tab/>
        <w:t>:</w:t>
      </w:r>
      <w:r w:rsidR="00852DDF" w:rsidRPr="003B7488">
        <w:rPr>
          <w:rFonts w:ascii="Times New Roman" w:hAnsi="Times New Roman"/>
          <w:spacing w:val="-3"/>
        </w:rPr>
        <w:tab/>
      </w:r>
      <w:r w:rsidR="00852DDF" w:rsidRPr="003B7488">
        <w:rPr>
          <w:rFonts w:ascii="Times New Roman" w:hAnsi="Times New Roman"/>
          <w:spacing w:val="-3"/>
        </w:rPr>
        <w:tab/>
        <w:t>C-</w:t>
      </w:r>
      <w:r w:rsidR="00B13E57">
        <w:rPr>
          <w:rFonts w:ascii="Times New Roman" w:hAnsi="Times New Roman"/>
          <w:spacing w:val="-3"/>
        </w:rPr>
        <w:t>2014-2441286</w:t>
      </w:r>
    </w:p>
    <w:p w:rsidR="00852DDF" w:rsidRDefault="00B13E57" w:rsidP="003E4030">
      <w:pPr>
        <w:tabs>
          <w:tab w:val="left" w:pos="-720"/>
        </w:tabs>
        <w:suppressAutoHyphens/>
        <w:spacing w:line="240" w:lineRule="auto"/>
        <w:rPr>
          <w:rFonts w:ascii="Times New Roman" w:hAnsi="Times New Roman"/>
          <w:spacing w:val="-3"/>
        </w:rPr>
      </w:pPr>
      <w:r>
        <w:rPr>
          <w:rFonts w:ascii="Times New Roman" w:hAnsi="Times New Roman"/>
          <w:spacing w:val="-3"/>
        </w:rPr>
        <w:t>Penn Power Users Group</w:t>
      </w:r>
      <w:r>
        <w:rPr>
          <w:rFonts w:ascii="Times New Roman" w:hAnsi="Times New Roman"/>
          <w:spacing w:val="-3"/>
        </w:rPr>
        <w:tab/>
      </w:r>
      <w:r>
        <w:rPr>
          <w:rFonts w:ascii="Times New Roman" w:hAnsi="Times New Roman"/>
          <w:spacing w:val="-3"/>
        </w:rPr>
        <w:tab/>
      </w:r>
      <w:r w:rsidR="00852DDF" w:rsidRPr="003B7488">
        <w:rPr>
          <w:rFonts w:ascii="Times New Roman" w:hAnsi="Times New Roman"/>
          <w:spacing w:val="-3"/>
        </w:rPr>
        <w:tab/>
      </w:r>
      <w:r w:rsidR="00852DDF" w:rsidRPr="003B7488">
        <w:rPr>
          <w:rFonts w:ascii="Times New Roman" w:hAnsi="Times New Roman"/>
          <w:spacing w:val="-3"/>
        </w:rPr>
        <w:tab/>
        <w:t>:</w:t>
      </w:r>
      <w:r w:rsidR="00852DDF" w:rsidRPr="003B7488">
        <w:rPr>
          <w:rFonts w:ascii="Times New Roman" w:hAnsi="Times New Roman"/>
          <w:spacing w:val="-3"/>
        </w:rPr>
        <w:tab/>
      </w:r>
      <w:r w:rsidR="00852DDF" w:rsidRPr="003B7488">
        <w:rPr>
          <w:rFonts w:ascii="Times New Roman" w:hAnsi="Times New Roman"/>
          <w:spacing w:val="-3"/>
        </w:rPr>
        <w:tab/>
        <w:t>C-</w:t>
      </w:r>
      <w:r w:rsidR="00352BE9">
        <w:rPr>
          <w:rFonts w:ascii="Times New Roman" w:hAnsi="Times New Roman"/>
          <w:spacing w:val="-3"/>
        </w:rPr>
        <w:t>2014-2442538</w:t>
      </w:r>
    </w:p>
    <w:p w:rsidR="00852DDF" w:rsidRPr="003B7488" w:rsidRDefault="00852DDF" w:rsidP="003E4030">
      <w:pPr>
        <w:tabs>
          <w:tab w:val="left" w:pos="-720"/>
        </w:tabs>
        <w:suppressAutoHyphens/>
        <w:spacing w:line="240" w:lineRule="auto"/>
        <w:rPr>
          <w:rFonts w:ascii="Times New Roman" w:hAnsi="Times New Roman"/>
          <w:spacing w:val="-3"/>
        </w:rPr>
      </w:pPr>
      <w:r w:rsidRPr="003B7488">
        <w:rPr>
          <w:rFonts w:ascii="Times New Roman" w:hAnsi="Times New Roman"/>
          <w:spacing w:val="-3"/>
        </w:rPr>
        <w:t>Pennsylvania State University</w:t>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t>:</w:t>
      </w:r>
      <w:r w:rsidRPr="003B7488">
        <w:rPr>
          <w:rFonts w:ascii="Times New Roman" w:hAnsi="Times New Roman"/>
          <w:spacing w:val="-3"/>
        </w:rPr>
        <w:tab/>
      </w:r>
      <w:r w:rsidRPr="003B7488">
        <w:rPr>
          <w:rFonts w:ascii="Times New Roman" w:hAnsi="Times New Roman"/>
          <w:spacing w:val="-3"/>
        </w:rPr>
        <w:tab/>
        <w:t>C-</w:t>
      </w:r>
      <w:r w:rsidR="00352BE9">
        <w:rPr>
          <w:rFonts w:ascii="Times New Roman" w:hAnsi="Times New Roman"/>
          <w:spacing w:val="-3"/>
        </w:rPr>
        <w:t>2014-2445716</w:t>
      </w:r>
    </w:p>
    <w:p w:rsidR="00852DDF" w:rsidRPr="003B7488" w:rsidRDefault="00852DDF" w:rsidP="003E4030">
      <w:pPr>
        <w:tabs>
          <w:tab w:val="left" w:pos="-720"/>
        </w:tabs>
        <w:suppressAutoHyphens/>
        <w:spacing w:line="240" w:lineRule="auto"/>
        <w:rPr>
          <w:rFonts w:ascii="Times New Roman" w:hAnsi="Times New Roman"/>
          <w:spacing w:val="-3"/>
        </w:rPr>
      </w:pP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t>:</w:t>
      </w:r>
    </w:p>
    <w:p w:rsidR="00852DDF" w:rsidRPr="003B7488" w:rsidRDefault="00852DDF" w:rsidP="003E4030">
      <w:pPr>
        <w:tabs>
          <w:tab w:val="left" w:pos="-720"/>
        </w:tabs>
        <w:suppressAutoHyphens/>
        <w:spacing w:line="240" w:lineRule="auto"/>
        <w:rPr>
          <w:rFonts w:ascii="Times New Roman" w:hAnsi="Times New Roman"/>
          <w:spacing w:val="-3"/>
        </w:rPr>
      </w:pPr>
      <w:r w:rsidRPr="003B7488">
        <w:rPr>
          <w:rFonts w:ascii="Times New Roman" w:hAnsi="Times New Roman"/>
          <w:spacing w:val="-3"/>
        </w:rPr>
        <w:tab/>
        <w:t>v.</w:t>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t>:</w:t>
      </w:r>
      <w:r w:rsidRPr="003B7488">
        <w:rPr>
          <w:rFonts w:ascii="Times New Roman" w:hAnsi="Times New Roman"/>
          <w:spacing w:val="-3"/>
        </w:rPr>
        <w:tab/>
      </w:r>
      <w:r w:rsidRPr="003B7488">
        <w:rPr>
          <w:rFonts w:ascii="Times New Roman" w:hAnsi="Times New Roman"/>
          <w:spacing w:val="-3"/>
        </w:rPr>
        <w:tab/>
      </w:r>
    </w:p>
    <w:p w:rsidR="00852DDF" w:rsidRPr="003B7488" w:rsidRDefault="00852DDF" w:rsidP="003E4030">
      <w:pPr>
        <w:tabs>
          <w:tab w:val="left" w:pos="-720"/>
        </w:tabs>
        <w:suppressAutoHyphens/>
        <w:spacing w:line="240" w:lineRule="auto"/>
        <w:rPr>
          <w:rFonts w:ascii="Times New Roman" w:hAnsi="Times New Roman"/>
          <w:spacing w:val="-3"/>
        </w:rPr>
      </w:pP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t>:</w:t>
      </w:r>
    </w:p>
    <w:p w:rsidR="00852DDF" w:rsidRPr="003B7488" w:rsidRDefault="00B13E57" w:rsidP="003E4030">
      <w:pPr>
        <w:tabs>
          <w:tab w:val="left" w:pos="-720"/>
        </w:tabs>
        <w:suppressAutoHyphens/>
        <w:spacing w:line="240" w:lineRule="auto"/>
        <w:rPr>
          <w:rFonts w:ascii="Times New Roman" w:hAnsi="Times New Roman"/>
          <w:spacing w:val="-3"/>
        </w:rPr>
      </w:pPr>
      <w:r>
        <w:rPr>
          <w:rFonts w:ascii="Times New Roman" w:hAnsi="Times New Roman"/>
          <w:spacing w:val="-3"/>
        </w:rPr>
        <w:t>Pennsylvania</w:t>
      </w:r>
      <w:r w:rsidR="002C54A4">
        <w:rPr>
          <w:rFonts w:ascii="Times New Roman" w:hAnsi="Times New Roman"/>
          <w:spacing w:val="-3"/>
        </w:rPr>
        <w:t xml:space="preserve"> Power Company</w:t>
      </w:r>
      <w:r w:rsidR="002C54A4">
        <w:rPr>
          <w:rFonts w:ascii="Times New Roman" w:hAnsi="Times New Roman"/>
          <w:spacing w:val="-3"/>
        </w:rPr>
        <w:tab/>
      </w:r>
      <w:r w:rsidR="00852DDF" w:rsidRPr="003B7488">
        <w:rPr>
          <w:rFonts w:ascii="Times New Roman" w:hAnsi="Times New Roman"/>
          <w:spacing w:val="-3"/>
        </w:rPr>
        <w:tab/>
      </w:r>
      <w:r w:rsidR="00852DDF" w:rsidRPr="003B7488">
        <w:rPr>
          <w:rFonts w:ascii="Times New Roman" w:hAnsi="Times New Roman"/>
          <w:spacing w:val="-3"/>
        </w:rPr>
        <w:tab/>
      </w:r>
      <w:r w:rsidR="00852DDF" w:rsidRPr="003B7488">
        <w:rPr>
          <w:rFonts w:ascii="Times New Roman" w:hAnsi="Times New Roman"/>
          <w:spacing w:val="-3"/>
        </w:rPr>
        <w:tab/>
        <w:t>:</w:t>
      </w:r>
    </w:p>
    <w:p w:rsidR="00852DDF" w:rsidRDefault="0085215D" w:rsidP="0085215D">
      <w:pPr>
        <w:tabs>
          <w:tab w:val="left" w:pos="-720"/>
        </w:tabs>
        <w:suppressAutoHyphens/>
        <w:spacing w:line="240" w:lineRule="auto"/>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231A36" w:rsidRDefault="00231A36" w:rsidP="00231A36">
      <w:pPr>
        <w:tabs>
          <w:tab w:val="left" w:pos="-720"/>
        </w:tabs>
        <w:suppressAutoHyphens/>
        <w:spacing w:line="240" w:lineRule="auto"/>
        <w:rPr>
          <w:rFonts w:ascii="Times New Roman" w:hAnsi="Times New Roman"/>
          <w:spacing w:val="-3"/>
        </w:rPr>
      </w:pPr>
      <w:r>
        <w:rPr>
          <w:rFonts w:ascii="Times New Roman" w:hAnsi="Times New Roman"/>
          <w:spacing w:val="-3"/>
        </w:rPr>
        <w:tab/>
      </w:r>
      <w:proofErr w:type="gramStart"/>
      <w:r>
        <w:rPr>
          <w:rFonts w:ascii="Times New Roman" w:hAnsi="Times New Roman"/>
          <w:spacing w:val="-3"/>
        </w:rPr>
        <w:t>and</w:t>
      </w:r>
      <w:proofErr w:type="gramEnd"/>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231A36" w:rsidRPr="003B7488" w:rsidRDefault="00231A36" w:rsidP="00231A36">
      <w:pPr>
        <w:tabs>
          <w:tab w:val="left" w:pos="-720"/>
        </w:tabs>
        <w:suppressAutoHyphens/>
        <w:spacing w:line="240" w:lineRule="auto"/>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231A36" w:rsidRDefault="00231A36" w:rsidP="00231A36">
      <w:pPr>
        <w:spacing w:line="240" w:lineRule="auto"/>
        <w:rPr>
          <w:rFonts w:ascii="Times New Roman" w:hAnsi="Times New Roman"/>
          <w:spacing w:val="-3"/>
        </w:rPr>
      </w:pPr>
      <w:r>
        <w:rPr>
          <w:rFonts w:ascii="Times New Roman" w:hAnsi="Times New Roman"/>
          <w:spacing w:val="-3"/>
        </w:rPr>
        <w:t xml:space="preserve">Petition of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r>
        <w:rPr>
          <w:rFonts w:ascii="Times New Roman" w:hAnsi="Times New Roman"/>
          <w:spacing w:val="-3"/>
        </w:rPr>
        <w:tab/>
      </w:r>
      <w:r>
        <w:rPr>
          <w:rFonts w:ascii="Times New Roman" w:hAnsi="Times New Roman"/>
          <w:spacing w:val="-3"/>
        </w:rPr>
        <w:tab/>
        <w:t>M-2013-2341993</w:t>
      </w:r>
    </w:p>
    <w:p w:rsidR="00231A36" w:rsidRPr="003B7488" w:rsidRDefault="00231A36" w:rsidP="00231A36">
      <w:pPr>
        <w:spacing w:line="240" w:lineRule="auto"/>
        <w:rPr>
          <w:rFonts w:ascii="Times New Roman" w:hAnsi="Times New Roman"/>
          <w:spacing w:val="-3"/>
        </w:rPr>
      </w:pPr>
      <w:r>
        <w:rPr>
          <w:rFonts w:ascii="Times New Roman" w:hAnsi="Times New Roman"/>
          <w:spacing w:val="-3"/>
        </w:rPr>
        <w:t>Pennsylvania Power Company</w:t>
      </w:r>
      <w:r>
        <w:rPr>
          <w:rFonts w:ascii="Times New Roman" w:hAnsi="Times New Roman"/>
          <w:spacing w:val="-3"/>
        </w:rPr>
        <w:tab/>
      </w:r>
      <w:r>
        <w:rPr>
          <w:rFonts w:ascii="Times New Roman" w:hAnsi="Times New Roman"/>
          <w:spacing w:val="-3"/>
        </w:rPr>
        <w:tab/>
      </w:r>
      <w:r w:rsidRPr="003B7488">
        <w:rPr>
          <w:rFonts w:ascii="Times New Roman" w:hAnsi="Times New Roman"/>
          <w:spacing w:val="-3"/>
        </w:rPr>
        <w:tab/>
      </w:r>
      <w:r w:rsidRPr="003B7488">
        <w:rPr>
          <w:rFonts w:ascii="Times New Roman" w:hAnsi="Times New Roman"/>
          <w:spacing w:val="-3"/>
        </w:rPr>
        <w:tab/>
        <w:t>:</w:t>
      </w:r>
      <w:r w:rsidRPr="003B7488">
        <w:rPr>
          <w:rFonts w:ascii="Times New Roman" w:hAnsi="Times New Roman"/>
          <w:spacing w:val="-3"/>
        </w:rPr>
        <w:tab/>
      </w:r>
      <w:r w:rsidRPr="003B7488">
        <w:rPr>
          <w:rFonts w:ascii="Times New Roman" w:hAnsi="Times New Roman"/>
          <w:spacing w:val="-3"/>
        </w:rPr>
        <w:tab/>
      </w:r>
    </w:p>
    <w:p w:rsidR="00231A36" w:rsidRPr="003B7488" w:rsidRDefault="00231A36" w:rsidP="00231A36">
      <w:pPr>
        <w:tabs>
          <w:tab w:val="left" w:pos="-720"/>
        </w:tabs>
        <w:suppressAutoHyphens/>
        <w:spacing w:line="240" w:lineRule="auto"/>
        <w:rPr>
          <w:rFonts w:ascii="Times New Roman" w:hAnsi="Times New Roman"/>
          <w:spacing w:val="-3"/>
        </w:rPr>
      </w:pPr>
      <w:r>
        <w:rPr>
          <w:rFonts w:ascii="Times New Roman" w:hAnsi="Times New Roman"/>
          <w:spacing w:val="-3"/>
        </w:rPr>
        <w:t>For Approval of Smart Meter Deployment Plan</w:t>
      </w:r>
      <w:r>
        <w:rPr>
          <w:rFonts w:ascii="Times New Roman" w:hAnsi="Times New Roman"/>
          <w:spacing w:val="-3"/>
        </w:rPr>
        <w:tab/>
        <w:t>:</w:t>
      </w:r>
    </w:p>
    <w:p w:rsidR="002C54A4" w:rsidRPr="003B7488" w:rsidRDefault="0085215D" w:rsidP="003E4030">
      <w:pPr>
        <w:tabs>
          <w:tab w:val="left" w:pos="-720"/>
        </w:tabs>
        <w:suppressAutoHyphens/>
        <w:spacing w:line="240" w:lineRule="auto"/>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rsidR="00852DDF" w:rsidRPr="003B7488" w:rsidRDefault="00852DDF" w:rsidP="0013567B">
      <w:pPr>
        <w:tabs>
          <w:tab w:val="left" w:pos="-720"/>
        </w:tabs>
        <w:suppressAutoHyphens/>
        <w:spacing w:line="240" w:lineRule="auto"/>
        <w:rPr>
          <w:rFonts w:ascii="Times New Roman" w:hAnsi="Times New Roman"/>
          <w:spacing w:val="-3"/>
        </w:rPr>
      </w:pPr>
    </w:p>
    <w:p w:rsidR="00852DDF" w:rsidRPr="003B7488" w:rsidRDefault="00852DDF" w:rsidP="0013567B">
      <w:pPr>
        <w:tabs>
          <w:tab w:val="left" w:pos="-720"/>
        </w:tabs>
        <w:suppressAutoHyphens/>
        <w:spacing w:line="240" w:lineRule="auto"/>
        <w:rPr>
          <w:rFonts w:ascii="Times New Roman" w:hAnsi="Times New Roman"/>
          <w:spacing w:val="-3"/>
        </w:rPr>
      </w:pPr>
    </w:p>
    <w:p w:rsidR="00261CC9" w:rsidRPr="003B7488" w:rsidRDefault="00261CC9" w:rsidP="0013567B">
      <w:pPr>
        <w:spacing w:line="240" w:lineRule="auto"/>
        <w:rPr>
          <w:rFonts w:ascii="Times New Roman" w:hAnsi="Times New Roman"/>
        </w:rPr>
      </w:pPr>
    </w:p>
    <w:p w:rsidR="00261CC9" w:rsidRPr="003B7488" w:rsidRDefault="00261CC9" w:rsidP="00642EA7">
      <w:pPr>
        <w:spacing w:line="240" w:lineRule="auto"/>
        <w:jc w:val="center"/>
        <w:rPr>
          <w:rFonts w:ascii="Times New Roman" w:hAnsi="Times New Roman"/>
        </w:rPr>
      </w:pPr>
      <w:r w:rsidRPr="003B7488">
        <w:rPr>
          <w:rFonts w:ascii="Times New Roman" w:hAnsi="Times New Roman"/>
          <w:b/>
          <w:u w:val="single"/>
        </w:rPr>
        <w:t>RECOMMENDED DECISION</w:t>
      </w:r>
    </w:p>
    <w:p w:rsidR="00261CC9" w:rsidRPr="003B7488" w:rsidRDefault="00261CC9" w:rsidP="00642EA7">
      <w:pPr>
        <w:spacing w:line="240" w:lineRule="auto"/>
        <w:jc w:val="center"/>
        <w:rPr>
          <w:rFonts w:ascii="Times New Roman" w:hAnsi="Times New Roman"/>
        </w:rPr>
      </w:pPr>
    </w:p>
    <w:p w:rsidR="00642EA7" w:rsidRPr="003B7488" w:rsidRDefault="00642EA7" w:rsidP="00642EA7">
      <w:pPr>
        <w:spacing w:line="240" w:lineRule="auto"/>
        <w:jc w:val="center"/>
        <w:rPr>
          <w:rFonts w:ascii="Times New Roman" w:hAnsi="Times New Roman"/>
        </w:rPr>
      </w:pPr>
    </w:p>
    <w:p w:rsidR="00261CC9" w:rsidRDefault="00261CC9" w:rsidP="00642EA7">
      <w:pPr>
        <w:spacing w:line="240" w:lineRule="auto"/>
        <w:jc w:val="center"/>
        <w:rPr>
          <w:rFonts w:ascii="Times New Roman" w:hAnsi="Times New Roman"/>
        </w:rPr>
      </w:pPr>
      <w:r w:rsidRPr="003B7488">
        <w:rPr>
          <w:rFonts w:ascii="Times New Roman" w:hAnsi="Times New Roman"/>
        </w:rPr>
        <w:t>Before</w:t>
      </w:r>
    </w:p>
    <w:p w:rsidR="00B9156B" w:rsidRDefault="00B9156B" w:rsidP="00642EA7">
      <w:pPr>
        <w:spacing w:line="240" w:lineRule="auto"/>
        <w:jc w:val="center"/>
        <w:rPr>
          <w:rFonts w:ascii="Times New Roman" w:hAnsi="Times New Roman"/>
        </w:rPr>
      </w:pPr>
      <w:r>
        <w:rPr>
          <w:rFonts w:ascii="Times New Roman" w:hAnsi="Times New Roman"/>
        </w:rPr>
        <w:t>Dennis J. Buckley</w:t>
      </w:r>
    </w:p>
    <w:p w:rsidR="00261CC9" w:rsidRPr="003B7488" w:rsidRDefault="0085215D" w:rsidP="00642EA7">
      <w:pPr>
        <w:spacing w:line="240" w:lineRule="auto"/>
        <w:jc w:val="center"/>
        <w:rPr>
          <w:rFonts w:ascii="Times New Roman" w:hAnsi="Times New Roman"/>
        </w:rPr>
      </w:pPr>
      <w:r>
        <w:rPr>
          <w:rFonts w:ascii="Times New Roman" w:hAnsi="Times New Roman"/>
        </w:rPr>
        <w:t>Katrina L. Dunderdale</w:t>
      </w:r>
    </w:p>
    <w:p w:rsidR="00C04AAC" w:rsidRDefault="00261CC9" w:rsidP="00642EA7">
      <w:pPr>
        <w:spacing w:line="240" w:lineRule="auto"/>
        <w:jc w:val="center"/>
        <w:rPr>
          <w:rFonts w:ascii="Times New Roman" w:hAnsi="Times New Roman"/>
        </w:rPr>
        <w:sectPr w:rsidR="00C04AAC" w:rsidSect="00642E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pPr>
      <w:r w:rsidRPr="003B7488">
        <w:rPr>
          <w:rFonts w:ascii="Times New Roman" w:hAnsi="Times New Roman"/>
        </w:rPr>
        <w:t>Administrative Law Judge</w:t>
      </w:r>
      <w:r w:rsidR="0085215D">
        <w:rPr>
          <w:rFonts w:ascii="Times New Roman" w:hAnsi="Times New Roman"/>
        </w:rPr>
        <w:t>s</w:t>
      </w:r>
    </w:p>
    <w:p w:rsidR="0067689C" w:rsidRDefault="0067689C" w:rsidP="0067689C">
      <w:pPr>
        <w:tabs>
          <w:tab w:val="left" w:pos="720"/>
          <w:tab w:val="left" w:pos="1440"/>
          <w:tab w:val="left" w:pos="2160"/>
          <w:tab w:val="center" w:pos="4680"/>
        </w:tabs>
        <w:jc w:val="center"/>
        <w:rPr>
          <w:b/>
          <w:szCs w:val="24"/>
          <w:u w:val="single"/>
        </w:rPr>
      </w:pPr>
      <w:r w:rsidRPr="009C0B03">
        <w:rPr>
          <w:b/>
          <w:szCs w:val="24"/>
          <w:u w:val="single"/>
        </w:rPr>
        <w:lastRenderedPageBreak/>
        <w:t>TABLE OF CONTENTS</w:t>
      </w:r>
    </w:p>
    <w:p w:rsidR="0067689C" w:rsidRPr="009C0B03" w:rsidRDefault="0067689C" w:rsidP="0067689C">
      <w:pPr>
        <w:tabs>
          <w:tab w:val="left" w:pos="720"/>
          <w:tab w:val="left" w:pos="1440"/>
          <w:tab w:val="left" w:pos="2160"/>
          <w:tab w:val="center" w:pos="4680"/>
        </w:tabs>
        <w:jc w:val="center"/>
        <w:rPr>
          <w:b/>
          <w:szCs w:val="24"/>
          <w:u w:val="single"/>
        </w:rPr>
      </w:pPr>
    </w:p>
    <w:p w:rsidR="0067689C" w:rsidRDefault="0067689C" w:rsidP="0067689C">
      <w:pPr>
        <w:tabs>
          <w:tab w:val="left" w:pos="720"/>
          <w:tab w:val="left" w:pos="1440"/>
          <w:tab w:val="left" w:pos="2160"/>
          <w:tab w:val="right" w:leader="dot" w:pos="9360"/>
        </w:tabs>
        <w:rPr>
          <w:szCs w:val="24"/>
        </w:rPr>
      </w:pPr>
      <w:r w:rsidRPr="009C0B03">
        <w:rPr>
          <w:szCs w:val="24"/>
        </w:rPr>
        <w:t>I.</w:t>
      </w:r>
      <w:r w:rsidRPr="009C0B03">
        <w:rPr>
          <w:szCs w:val="24"/>
        </w:rPr>
        <w:tab/>
      </w:r>
      <w:r w:rsidRPr="003607F2">
        <w:rPr>
          <w:caps/>
          <w:szCs w:val="24"/>
        </w:rPr>
        <w:t>History of the Proceeding</w:t>
      </w:r>
      <w:r w:rsidRPr="009C0B03">
        <w:rPr>
          <w:szCs w:val="24"/>
        </w:rPr>
        <w:tab/>
        <w:t>1</w:t>
      </w:r>
    </w:p>
    <w:p w:rsidR="0067689C" w:rsidRDefault="0067689C" w:rsidP="0067689C">
      <w:pPr>
        <w:tabs>
          <w:tab w:val="left" w:pos="720"/>
          <w:tab w:val="left" w:pos="1440"/>
          <w:tab w:val="left" w:pos="2160"/>
          <w:tab w:val="right" w:leader="dot" w:pos="9360"/>
        </w:tabs>
        <w:rPr>
          <w:szCs w:val="24"/>
        </w:rPr>
      </w:pPr>
      <w:r>
        <w:rPr>
          <w:szCs w:val="24"/>
        </w:rPr>
        <w:tab/>
        <w:t>A.</w:t>
      </w:r>
      <w:r>
        <w:rPr>
          <w:szCs w:val="24"/>
        </w:rPr>
        <w:tab/>
        <w:t>Introduction</w:t>
      </w:r>
      <w:r>
        <w:rPr>
          <w:szCs w:val="24"/>
        </w:rPr>
        <w:tab/>
        <w:t>1</w:t>
      </w:r>
    </w:p>
    <w:p w:rsidR="0067689C" w:rsidRDefault="0067689C" w:rsidP="0067689C">
      <w:pPr>
        <w:tabs>
          <w:tab w:val="left" w:pos="720"/>
          <w:tab w:val="left" w:pos="1440"/>
          <w:tab w:val="left" w:pos="2160"/>
          <w:tab w:val="right" w:leader="dot" w:pos="9360"/>
        </w:tabs>
        <w:rPr>
          <w:szCs w:val="24"/>
        </w:rPr>
      </w:pPr>
      <w:r>
        <w:rPr>
          <w:szCs w:val="24"/>
        </w:rPr>
        <w:tab/>
        <w:t>B.</w:t>
      </w:r>
      <w:r>
        <w:rPr>
          <w:szCs w:val="24"/>
        </w:rPr>
        <w:tab/>
        <w:t>Public Input Hearings</w:t>
      </w:r>
      <w:r>
        <w:rPr>
          <w:szCs w:val="24"/>
        </w:rPr>
        <w:tab/>
      </w:r>
      <w:r w:rsidR="00A8335F">
        <w:rPr>
          <w:szCs w:val="24"/>
        </w:rPr>
        <w:t>7</w:t>
      </w:r>
    </w:p>
    <w:p w:rsidR="0067689C" w:rsidRDefault="0067689C" w:rsidP="0067689C">
      <w:pPr>
        <w:tabs>
          <w:tab w:val="left" w:pos="720"/>
          <w:tab w:val="left" w:pos="1440"/>
          <w:tab w:val="left" w:pos="2160"/>
          <w:tab w:val="right" w:leader="dot" w:pos="9360"/>
        </w:tabs>
        <w:rPr>
          <w:szCs w:val="24"/>
        </w:rPr>
      </w:pPr>
      <w:r>
        <w:rPr>
          <w:szCs w:val="24"/>
        </w:rPr>
        <w:tab/>
        <w:t>C.</w:t>
      </w:r>
      <w:r>
        <w:rPr>
          <w:szCs w:val="24"/>
        </w:rPr>
        <w:tab/>
        <w:t>Description of the Company</w:t>
      </w:r>
      <w:r>
        <w:rPr>
          <w:szCs w:val="24"/>
        </w:rPr>
        <w:tab/>
      </w:r>
      <w:r w:rsidR="00595A54">
        <w:rPr>
          <w:szCs w:val="24"/>
        </w:rPr>
        <w:t>29</w:t>
      </w:r>
    </w:p>
    <w:p w:rsidR="0067689C" w:rsidRDefault="0067689C" w:rsidP="0067689C">
      <w:pPr>
        <w:tabs>
          <w:tab w:val="left" w:pos="720"/>
          <w:tab w:val="left" w:pos="1440"/>
          <w:tab w:val="left" w:pos="2160"/>
          <w:tab w:val="right" w:leader="dot" w:pos="9360"/>
        </w:tabs>
        <w:rPr>
          <w:szCs w:val="24"/>
        </w:rPr>
      </w:pPr>
      <w:r>
        <w:rPr>
          <w:szCs w:val="24"/>
        </w:rPr>
        <w:tab/>
        <w:t>D.</w:t>
      </w:r>
      <w:r>
        <w:rPr>
          <w:szCs w:val="24"/>
        </w:rPr>
        <w:tab/>
        <w:t>Rate Requests</w:t>
      </w:r>
      <w:r>
        <w:rPr>
          <w:szCs w:val="24"/>
        </w:rPr>
        <w:tab/>
      </w:r>
      <w:r w:rsidR="00595A54">
        <w:rPr>
          <w:szCs w:val="24"/>
        </w:rPr>
        <w:t>29</w:t>
      </w:r>
    </w:p>
    <w:p w:rsidR="0067689C" w:rsidRPr="009C0B03" w:rsidRDefault="0067689C" w:rsidP="0067689C">
      <w:pPr>
        <w:tabs>
          <w:tab w:val="left" w:pos="720"/>
          <w:tab w:val="left" w:pos="1440"/>
          <w:tab w:val="left" w:pos="2160"/>
          <w:tab w:val="right" w:leader="dot" w:pos="9360"/>
        </w:tabs>
        <w:rPr>
          <w:szCs w:val="24"/>
        </w:rPr>
      </w:pPr>
    </w:p>
    <w:p w:rsidR="0067689C" w:rsidRDefault="0067689C" w:rsidP="0067689C">
      <w:pPr>
        <w:tabs>
          <w:tab w:val="left" w:pos="720"/>
          <w:tab w:val="left" w:pos="1440"/>
          <w:tab w:val="right" w:leader="dot" w:pos="9360"/>
        </w:tabs>
        <w:rPr>
          <w:szCs w:val="24"/>
        </w:rPr>
      </w:pPr>
      <w:r>
        <w:rPr>
          <w:szCs w:val="24"/>
        </w:rPr>
        <w:t>II.</w:t>
      </w:r>
      <w:r w:rsidRPr="009C0B03">
        <w:rPr>
          <w:szCs w:val="24"/>
        </w:rPr>
        <w:tab/>
      </w:r>
      <w:r>
        <w:rPr>
          <w:szCs w:val="24"/>
        </w:rPr>
        <w:t>TERMS AND CONDITIONS OF SETTLEMENT</w:t>
      </w:r>
      <w:r w:rsidRPr="009C0B03">
        <w:rPr>
          <w:szCs w:val="24"/>
        </w:rPr>
        <w:tab/>
      </w:r>
      <w:r>
        <w:rPr>
          <w:szCs w:val="24"/>
        </w:rPr>
        <w:t>3</w:t>
      </w:r>
      <w:r w:rsidR="00A8335F">
        <w:rPr>
          <w:szCs w:val="24"/>
        </w:rPr>
        <w:t>1</w:t>
      </w:r>
    </w:p>
    <w:p w:rsidR="0067689C" w:rsidRDefault="0067689C" w:rsidP="0067689C">
      <w:pPr>
        <w:pStyle w:val="ListParagraph"/>
        <w:numPr>
          <w:ilvl w:val="0"/>
          <w:numId w:val="38"/>
        </w:numPr>
        <w:tabs>
          <w:tab w:val="left" w:pos="720"/>
          <w:tab w:val="left" w:pos="1440"/>
          <w:tab w:val="right" w:leader="dot" w:pos="9360"/>
        </w:tabs>
        <w:ind w:left="1440" w:hanging="720"/>
        <w:rPr>
          <w:szCs w:val="24"/>
        </w:rPr>
      </w:pPr>
      <w:r>
        <w:rPr>
          <w:szCs w:val="24"/>
        </w:rPr>
        <w:t>Legal/Policy Standards for Settlement Approval</w:t>
      </w:r>
      <w:r>
        <w:rPr>
          <w:szCs w:val="24"/>
        </w:rPr>
        <w:tab/>
        <w:t>3</w:t>
      </w:r>
      <w:r w:rsidR="00A8335F">
        <w:rPr>
          <w:szCs w:val="24"/>
        </w:rPr>
        <w:t>2</w:t>
      </w:r>
    </w:p>
    <w:p w:rsidR="0067689C" w:rsidRPr="00BA74D2" w:rsidRDefault="00A8335F" w:rsidP="0067689C">
      <w:pPr>
        <w:pStyle w:val="ListParagraph"/>
        <w:numPr>
          <w:ilvl w:val="0"/>
          <w:numId w:val="38"/>
        </w:numPr>
        <w:tabs>
          <w:tab w:val="left" w:pos="720"/>
          <w:tab w:val="left" w:pos="1440"/>
          <w:tab w:val="right" w:leader="dot" w:pos="9360"/>
        </w:tabs>
        <w:ind w:left="1440" w:hanging="720"/>
        <w:rPr>
          <w:szCs w:val="24"/>
        </w:rPr>
      </w:pPr>
      <w:r>
        <w:rPr>
          <w:szCs w:val="24"/>
        </w:rPr>
        <w:t xml:space="preserve">Description and Terms </w:t>
      </w:r>
      <w:r w:rsidR="00FD4B5A">
        <w:rPr>
          <w:szCs w:val="24"/>
        </w:rPr>
        <w:t xml:space="preserve">of </w:t>
      </w:r>
      <w:r>
        <w:rPr>
          <w:szCs w:val="24"/>
        </w:rPr>
        <w:t>the</w:t>
      </w:r>
      <w:r w:rsidR="0067689C">
        <w:rPr>
          <w:szCs w:val="24"/>
        </w:rPr>
        <w:t xml:space="preserve"> Settlement</w:t>
      </w:r>
      <w:r w:rsidR="0067689C">
        <w:rPr>
          <w:szCs w:val="24"/>
        </w:rPr>
        <w:tab/>
      </w:r>
      <w:r>
        <w:rPr>
          <w:szCs w:val="24"/>
        </w:rPr>
        <w:t>32</w:t>
      </w:r>
    </w:p>
    <w:p w:rsidR="0067689C" w:rsidRPr="009C0B03" w:rsidRDefault="0067689C" w:rsidP="0067689C">
      <w:pPr>
        <w:tabs>
          <w:tab w:val="left" w:pos="720"/>
          <w:tab w:val="left" w:pos="1440"/>
          <w:tab w:val="right" w:leader="dot" w:pos="9360"/>
        </w:tabs>
        <w:rPr>
          <w:szCs w:val="24"/>
        </w:rPr>
      </w:pPr>
    </w:p>
    <w:p w:rsidR="0067689C" w:rsidRPr="00D032A8" w:rsidRDefault="0067689C" w:rsidP="0067689C">
      <w:pPr>
        <w:tabs>
          <w:tab w:val="left" w:pos="720"/>
          <w:tab w:val="left" w:pos="1440"/>
          <w:tab w:val="left" w:pos="2160"/>
          <w:tab w:val="right" w:leader="dot" w:pos="9360"/>
        </w:tabs>
        <w:rPr>
          <w:szCs w:val="24"/>
        </w:rPr>
      </w:pPr>
      <w:r>
        <w:rPr>
          <w:szCs w:val="24"/>
        </w:rPr>
        <w:t>III.</w:t>
      </w:r>
      <w:r>
        <w:rPr>
          <w:szCs w:val="24"/>
        </w:rPr>
        <w:tab/>
        <w:t>DISCUSSION OF PARTIAL SETTLEMENT</w:t>
      </w:r>
      <w:r>
        <w:rPr>
          <w:szCs w:val="24"/>
        </w:rPr>
        <w:tab/>
        <w:t>4</w:t>
      </w:r>
      <w:r w:rsidR="00A8335F">
        <w:rPr>
          <w:szCs w:val="24"/>
        </w:rPr>
        <w:t>3</w:t>
      </w:r>
    </w:p>
    <w:p w:rsidR="0067689C" w:rsidRDefault="0067689C" w:rsidP="0067689C">
      <w:pPr>
        <w:tabs>
          <w:tab w:val="left" w:pos="720"/>
          <w:tab w:val="left" w:pos="1440"/>
          <w:tab w:val="right" w:leader="dot" w:pos="9360"/>
        </w:tabs>
        <w:rPr>
          <w:szCs w:val="24"/>
        </w:rPr>
      </w:pPr>
      <w:r w:rsidRPr="009C0B03">
        <w:rPr>
          <w:szCs w:val="24"/>
        </w:rPr>
        <w:tab/>
        <w:t>A.</w:t>
      </w:r>
      <w:r w:rsidRPr="009C0B03">
        <w:rPr>
          <w:szCs w:val="24"/>
        </w:rPr>
        <w:tab/>
      </w:r>
      <w:r>
        <w:rPr>
          <w:szCs w:val="24"/>
        </w:rPr>
        <w:t>Partial Settlement of the Rate Case</w:t>
      </w:r>
      <w:r w:rsidRPr="009C0B03">
        <w:rPr>
          <w:szCs w:val="24"/>
        </w:rPr>
        <w:tab/>
      </w:r>
      <w:r>
        <w:rPr>
          <w:szCs w:val="24"/>
        </w:rPr>
        <w:t>4</w:t>
      </w:r>
      <w:r w:rsidR="00A8335F">
        <w:rPr>
          <w:szCs w:val="24"/>
        </w:rPr>
        <w:t>4</w:t>
      </w:r>
    </w:p>
    <w:p w:rsidR="0067689C" w:rsidRDefault="0067689C" w:rsidP="0067689C">
      <w:pPr>
        <w:tabs>
          <w:tab w:val="left" w:pos="720"/>
          <w:tab w:val="left" w:pos="1440"/>
          <w:tab w:val="right" w:leader="dot" w:pos="9360"/>
        </w:tabs>
        <w:rPr>
          <w:szCs w:val="24"/>
        </w:rPr>
      </w:pPr>
      <w:r>
        <w:rPr>
          <w:szCs w:val="24"/>
        </w:rPr>
        <w:tab/>
        <w:t>B.</w:t>
      </w:r>
      <w:r>
        <w:rPr>
          <w:szCs w:val="24"/>
        </w:rPr>
        <w:tab/>
        <w:t>Penn</w:t>
      </w:r>
      <w:r w:rsidR="00A8335F">
        <w:rPr>
          <w:szCs w:val="24"/>
        </w:rPr>
        <w:t xml:space="preserve"> Power</w:t>
      </w:r>
      <w:r>
        <w:rPr>
          <w:szCs w:val="24"/>
        </w:rPr>
        <w:t>’s Statement in Support</w:t>
      </w:r>
      <w:r>
        <w:rPr>
          <w:szCs w:val="24"/>
        </w:rPr>
        <w:tab/>
        <w:t>4</w:t>
      </w:r>
      <w:r w:rsidR="00A8335F">
        <w:rPr>
          <w:szCs w:val="24"/>
        </w:rPr>
        <w:t>4</w:t>
      </w:r>
    </w:p>
    <w:p w:rsidR="0067689C" w:rsidRDefault="0067689C" w:rsidP="0067689C">
      <w:pPr>
        <w:tabs>
          <w:tab w:val="left" w:pos="720"/>
          <w:tab w:val="left" w:pos="1440"/>
          <w:tab w:val="right" w:leader="dot" w:pos="9360"/>
        </w:tabs>
        <w:rPr>
          <w:szCs w:val="24"/>
        </w:rPr>
      </w:pPr>
      <w:r>
        <w:rPr>
          <w:szCs w:val="24"/>
        </w:rPr>
        <w:tab/>
        <w:t>C.</w:t>
      </w:r>
      <w:r>
        <w:rPr>
          <w:szCs w:val="24"/>
        </w:rPr>
        <w:tab/>
        <w:t>OCA’s Statement in Support</w:t>
      </w:r>
      <w:r>
        <w:rPr>
          <w:szCs w:val="24"/>
        </w:rPr>
        <w:tab/>
      </w:r>
      <w:r w:rsidR="00A8335F">
        <w:rPr>
          <w:szCs w:val="24"/>
        </w:rPr>
        <w:t>77</w:t>
      </w:r>
    </w:p>
    <w:p w:rsidR="0067689C" w:rsidRDefault="0067689C" w:rsidP="0067689C">
      <w:pPr>
        <w:tabs>
          <w:tab w:val="left" w:pos="720"/>
          <w:tab w:val="left" w:pos="1440"/>
          <w:tab w:val="left" w:pos="2160"/>
          <w:tab w:val="right" w:leader="dot" w:pos="9360"/>
        </w:tabs>
        <w:rPr>
          <w:szCs w:val="24"/>
        </w:rPr>
      </w:pPr>
      <w:r>
        <w:rPr>
          <w:szCs w:val="24"/>
        </w:rPr>
        <w:tab/>
        <w:t>D.</w:t>
      </w:r>
      <w:r>
        <w:rPr>
          <w:szCs w:val="24"/>
        </w:rPr>
        <w:tab/>
        <w:t>OSBA’s Statement in Support</w:t>
      </w:r>
      <w:r>
        <w:rPr>
          <w:szCs w:val="24"/>
        </w:rPr>
        <w:tab/>
      </w:r>
      <w:r w:rsidR="003A25F5">
        <w:rPr>
          <w:szCs w:val="24"/>
        </w:rPr>
        <w:t>9</w:t>
      </w:r>
      <w:r>
        <w:rPr>
          <w:szCs w:val="24"/>
        </w:rPr>
        <w:t>2</w:t>
      </w:r>
    </w:p>
    <w:p w:rsidR="0067689C" w:rsidRDefault="0067689C" w:rsidP="0067689C">
      <w:pPr>
        <w:tabs>
          <w:tab w:val="left" w:pos="720"/>
          <w:tab w:val="left" w:pos="1440"/>
          <w:tab w:val="left" w:pos="2160"/>
          <w:tab w:val="left" w:pos="2880"/>
          <w:tab w:val="right" w:leader="dot" w:pos="9360"/>
        </w:tabs>
        <w:rPr>
          <w:szCs w:val="24"/>
        </w:rPr>
      </w:pPr>
      <w:r>
        <w:rPr>
          <w:szCs w:val="24"/>
        </w:rPr>
        <w:tab/>
        <w:t>E.</w:t>
      </w:r>
      <w:r>
        <w:rPr>
          <w:szCs w:val="24"/>
        </w:rPr>
        <w:tab/>
        <w:t>BIE’s Statement in Support</w:t>
      </w:r>
      <w:r>
        <w:rPr>
          <w:szCs w:val="24"/>
        </w:rPr>
        <w:tab/>
      </w:r>
      <w:r w:rsidR="003A25F5">
        <w:rPr>
          <w:szCs w:val="24"/>
        </w:rPr>
        <w:t>93</w:t>
      </w:r>
    </w:p>
    <w:p w:rsidR="0067689C" w:rsidRDefault="0067689C" w:rsidP="0067689C">
      <w:pPr>
        <w:tabs>
          <w:tab w:val="left" w:pos="720"/>
          <w:tab w:val="left" w:pos="1440"/>
          <w:tab w:val="left" w:pos="2160"/>
          <w:tab w:val="left" w:pos="2880"/>
          <w:tab w:val="right" w:leader="dot" w:pos="9360"/>
        </w:tabs>
        <w:rPr>
          <w:szCs w:val="24"/>
        </w:rPr>
      </w:pPr>
      <w:r>
        <w:rPr>
          <w:szCs w:val="24"/>
        </w:rPr>
        <w:tab/>
        <w:t>F.</w:t>
      </w:r>
      <w:r>
        <w:rPr>
          <w:szCs w:val="24"/>
        </w:rPr>
        <w:tab/>
      </w:r>
      <w:r w:rsidR="00FA7AC7">
        <w:rPr>
          <w:szCs w:val="24"/>
        </w:rPr>
        <w:t>Pennsylvania Power Users Group</w:t>
      </w:r>
      <w:r>
        <w:rPr>
          <w:szCs w:val="24"/>
        </w:rPr>
        <w:t xml:space="preserve"> Statement in Support</w:t>
      </w:r>
      <w:r>
        <w:rPr>
          <w:szCs w:val="24"/>
        </w:rPr>
        <w:tab/>
        <w:t>1</w:t>
      </w:r>
      <w:r w:rsidR="00FA7AC7">
        <w:rPr>
          <w:szCs w:val="24"/>
        </w:rPr>
        <w:t>11</w:t>
      </w:r>
    </w:p>
    <w:p w:rsidR="0067689C" w:rsidRDefault="0067689C" w:rsidP="0067689C">
      <w:pPr>
        <w:tabs>
          <w:tab w:val="left" w:pos="720"/>
          <w:tab w:val="left" w:pos="1440"/>
          <w:tab w:val="left" w:pos="2160"/>
          <w:tab w:val="left" w:pos="2880"/>
          <w:tab w:val="right" w:leader="dot" w:pos="9360"/>
        </w:tabs>
        <w:rPr>
          <w:szCs w:val="24"/>
        </w:rPr>
      </w:pPr>
      <w:r>
        <w:rPr>
          <w:szCs w:val="24"/>
        </w:rPr>
        <w:tab/>
        <w:t>G.</w:t>
      </w:r>
      <w:r>
        <w:rPr>
          <w:szCs w:val="24"/>
        </w:rPr>
        <w:tab/>
        <w:t>Pennsylvania State University’s Statement in Support</w:t>
      </w:r>
      <w:r>
        <w:rPr>
          <w:szCs w:val="24"/>
        </w:rPr>
        <w:tab/>
        <w:t>1</w:t>
      </w:r>
      <w:r w:rsidR="002A5935">
        <w:rPr>
          <w:szCs w:val="24"/>
        </w:rPr>
        <w:t>13</w:t>
      </w:r>
    </w:p>
    <w:p w:rsidR="0067689C" w:rsidRDefault="0067689C" w:rsidP="0067689C">
      <w:pPr>
        <w:tabs>
          <w:tab w:val="left" w:pos="720"/>
          <w:tab w:val="left" w:pos="1440"/>
          <w:tab w:val="left" w:pos="2160"/>
          <w:tab w:val="right" w:leader="dot" w:pos="9360"/>
        </w:tabs>
        <w:rPr>
          <w:szCs w:val="24"/>
        </w:rPr>
      </w:pPr>
      <w:r>
        <w:rPr>
          <w:szCs w:val="24"/>
        </w:rPr>
        <w:tab/>
        <w:t>H.</w:t>
      </w:r>
      <w:r>
        <w:rPr>
          <w:szCs w:val="24"/>
        </w:rPr>
        <w:tab/>
        <w:t>CAUSE-PA’s Statement in Support</w:t>
      </w:r>
      <w:r>
        <w:rPr>
          <w:szCs w:val="24"/>
        </w:rPr>
        <w:tab/>
        <w:t>1</w:t>
      </w:r>
      <w:r w:rsidR="002A5935">
        <w:rPr>
          <w:szCs w:val="24"/>
        </w:rPr>
        <w:t>13</w:t>
      </w:r>
    </w:p>
    <w:p w:rsidR="0067689C" w:rsidRDefault="0067689C" w:rsidP="0067689C">
      <w:pPr>
        <w:tabs>
          <w:tab w:val="left" w:pos="720"/>
          <w:tab w:val="left" w:pos="1440"/>
          <w:tab w:val="left" w:pos="2160"/>
          <w:tab w:val="right" w:leader="dot" w:pos="9360"/>
        </w:tabs>
        <w:rPr>
          <w:szCs w:val="24"/>
        </w:rPr>
      </w:pPr>
      <w:r>
        <w:rPr>
          <w:szCs w:val="24"/>
        </w:rPr>
        <w:tab/>
        <w:t>I.</w:t>
      </w:r>
      <w:r>
        <w:rPr>
          <w:szCs w:val="24"/>
        </w:rPr>
        <w:tab/>
        <w:t>EDF’s Statement in Support</w:t>
      </w:r>
      <w:r>
        <w:rPr>
          <w:szCs w:val="24"/>
        </w:rPr>
        <w:tab/>
        <w:t>1</w:t>
      </w:r>
      <w:r w:rsidR="002A5935">
        <w:rPr>
          <w:szCs w:val="24"/>
        </w:rPr>
        <w:t>14</w:t>
      </w:r>
    </w:p>
    <w:p w:rsidR="0067689C" w:rsidRDefault="0067689C" w:rsidP="0067689C">
      <w:pPr>
        <w:tabs>
          <w:tab w:val="left" w:pos="720"/>
          <w:tab w:val="left" w:pos="1440"/>
          <w:tab w:val="left" w:pos="2160"/>
          <w:tab w:val="right" w:leader="dot" w:pos="9360"/>
        </w:tabs>
        <w:rPr>
          <w:szCs w:val="24"/>
        </w:rPr>
      </w:pPr>
      <w:r>
        <w:rPr>
          <w:szCs w:val="24"/>
        </w:rPr>
        <w:tab/>
        <w:t>J.</w:t>
      </w:r>
      <w:r>
        <w:rPr>
          <w:szCs w:val="24"/>
        </w:rPr>
        <w:tab/>
        <w:t>Walmart’s Statement in Support</w:t>
      </w:r>
      <w:r>
        <w:rPr>
          <w:szCs w:val="24"/>
        </w:rPr>
        <w:tab/>
        <w:t>1</w:t>
      </w:r>
      <w:r w:rsidR="002A5935">
        <w:rPr>
          <w:szCs w:val="24"/>
        </w:rPr>
        <w:t>14</w:t>
      </w:r>
    </w:p>
    <w:p w:rsidR="0067689C" w:rsidRDefault="0067689C" w:rsidP="0067689C">
      <w:pPr>
        <w:tabs>
          <w:tab w:val="left" w:pos="720"/>
          <w:tab w:val="left" w:pos="1440"/>
          <w:tab w:val="left" w:pos="2160"/>
          <w:tab w:val="right" w:leader="dot" w:pos="9360"/>
        </w:tabs>
        <w:rPr>
          <w:szCs w:val="24"/>
        </w:rPr>
      </w:pPr>
      <w:r>
        <w:rPr>
          <w:szCs w:val="24"/>
        </w:rPr>
        <w:tab/>
      </w:r>
      <w:r w:rsidR="002A5935">
        <w:rPr>
          <w:szCs w:val="24"/>
        </w:rPr>
        <w:t>K</w:t>
      </w:r>
      <w:r>
        <w:rPr>
          <w:szCs w:val="24"/>
        </w:rPr>
        <w:t>.</w:t>
      </w:r>
      <w:r>
        <w:rPr>
          <w:szCs w:val="24"/>
        </w:rPr>
        <w:tab/>
        <w:t xml:space="preserve">ALJs’ Recommendation </w:t>
      </w:r>
      <w:r w:rsidR="002A5935">
        <w:rPr>
          <w:szCs w:val="24"/>
        </w:rPr>
        <w:t>on Partial Settlement</w:t>
      </w:r>
      <w:r w:rsidR="002A5935">
        <w:rPr>
          <w:szCs w:val="24"/>
        </w:rPr>
        <w:tab/>
      </w:r>
      <w:r>
        <w:rPr>
          <w:szCs w:val="24"/>
        </w:rPr>
        <w:t>1</w:t>
      </w:r>
      <w:r w:rsidR="002A5935">
        <w:rPr>
          <w:szCs w:val="24"/>
        </w:rPr>
        <w:t>16</w:t>
      </w:r>
    </w:p>
    <w:p w:rsidR="0067689C" w:rsidRDefault="0067689C" w:rsidP="0067689C">
      <w:pPr>
        <w:tabs>
          <w:tab w:val="left" w:pos="720"/>
          <w:tab w:val="left" w:pos="1440"/>
          <w:tab w:val="left" w:pos="2160"/>
          <w:tab w:val="right" w:leader="dot" w:pos="9360"/>
        </w:tabs>
        <w:rPr>
          <w:szCs w:val="24"/>
        </w:rPr>
      </w:pPr>
      <w:r>
        <w:rPr>
          <w:szCs w:val="24"/>
        </w:rPr>
        <w:tab/>
      </w:r>
      <w:r w:rsidR="002A7A85">
        <w:rPr>
          <w:szCs w:val="24"/>
        </w:rPr>
        <w:t>L</w:t>
      </w:r>
      <w:r>
        <w:rPr>
          <w:szCs w:val="24"/>
        </w:rPr>
        <w:t>.</w:t>
      </w:r>
      <w:r>
        <w:rPr>
          <w:szCs w:val="24"/>
        </w:rPr>
        <w:tab/>
        <w:t>ALJs’ Recommendation Concerning Smart Meter Charge</w:t>
      </w:r>
      <w:r>
        <w:rPr>
          <w:szCs w:val="24"/>
        </w:rPr>
        <w:tab/>
        <w:t>1</w:t>
      </w:r>
      <w:r w:rsidR="002A5935">
        <w:rPr>
          <w:szCs w:val="24"/>
        </w:rPr>
        <w:t>17</w:t>
      </w:r>
    </w:p>
    <w:p w:rsidR="0067689C" w:rsidRDefault="0067689C" w:rsidP="0067689C">
      <w:pPr>
        <w:tabs>
          <w:tab w:val="left" w:pos="720"/>
          <w:tab w:val="left" w:pos="1440"/>
          <w:tab w:val="left" w:pos="2160"/>
          <w:tab w:val="right" w:leader="dot" w:pos="9360"/>
        </w:tabs>
        <w:rPr>
          <w:szCs w:val="24"/>
        </w:rPr>
      </w:pPr>
      <w:r>
        <w:rPr>
          <w:szCs w:val="24"/>
        </w:rPr>
        <w:tab/>
      </w:r>
      <w:r>
        <w:rPr>
          <w:szCs w:val="24"/>
        </w:rPr>
        <w:tab/>
      </w:r>
    </w:p>
    <w:p w:rsidR="0067689C" w:rsidRDefault="0067689C" w:rsidP="0067689C">
      <w:pPr>
        <w:tabs>
          <w:tab w:val="left" w:pos="720"/>
          <w:tab w:val="left" w:pos="1440"/>
          <w:tab w:val="left" w:pos="2160"/>
          <w:tab w:val="right" w:leader="dot" w:pos="9360"/>
        </w:tabs>
        <w:rPr>
          <w:szCs w:val="24"/>
        </w:rPr>
      </w:pPr>
      <w:r>
        <w:rPr>
          <w:szCs w:val="24"/>
        </w:rPr>
        <w:t>IV.</w:t>
      </w:r>
      <w:r>
        <w:rPr>
          <w:szCs w:val="24"/>
        </w:rPr>
        <w:tab/>
        <w:t>DISCUSSION – LITIGATED ISSUES</w:t>
      </w:r>
      <w:r>
        <w:rPr>
          <w:szCs w:val="24"/>
        </w:rPr>
        <w:tab/>
        <w:t>1</w:t>
      </w:r>
      <w:r w:rsidR="00C237D8">
        <w:rPr>
          <w:szCs w:val="24"/>
        </w:rPr>
        <w:t>19</w:t>
      </w:r>
    </w:p>
    <w:p w:rsidR="0067689C" w:rsidRDefault="0067689C" w:rsidP="0067689C">
      <w:pPr>
        <w:tabs>
          <w:tab w:val="left" w:pos="720"/>
          <w:tab w:val="left" w:pos="1440"/>
          <w:tab w:val="left" w:pos="2160"/>
          <w:tab w:val="right" w:leader="dot" w:pos="9360"/>
        </w:tabs>
        <w:rPr>
          <w:szCs w:val="24"/>
        </w:rPr>
      </w:pPr>
      <w:r>
        <w:rPr>
          <w:szCs w:val="24"/>
        </w:rPr>
        <w:tab/>
        <w:t>A.</w:t>
      </w:r>
      <w:r>
        <w:rPr>
          <w:szCs w:val="24"/>
        </w:rPr>
        <w:tab/>
        <w:t>Burden of Proof</w:t>
      </w:r>
      <w:r>
        <w:rPr>
          <w:szCs w:val="24"/>
        </w:rPr>
        <w:tab/>
        <w:t>1</w:t>
      </w:r>
      <w:r w:rsidR="00C237D8">
        <w:rPr>
          <w:szCs w:val="24"/>
        </w:rPr>
        <w:t>19</w:t>
      </w:r>
    </w:p>
    <w:p w:rsidR="0067689C" w:rsidRDefault="0067689C" w:rsidP="0067689C">
      <w:pPr>
        <w:tabs>
          <w:tab w:val="left" w:pos="720"/>
          <w:tab w:val="left" w:pos="1440"/>
          <w:tab w:val="left" w:pos="2160"/>
          <w:tab w:val="right" w:leader="dot" w:pos="9360"/>
        </w:tabs>
        <w:rPr>
          <w:szCs w:val="24"/>
        </w:rPr>
      </w:pPr>
      <w:r>
        <w:rPr>
          <w:szCs w:val="24"/>
        </w:rPr>
        <w:tab/>
        <w:t>B.</w:t>
      </w:r>
      <w:r>
        <w:rPr>
          <w:szCs w:val="24"/>
        </w:rPr>
        <w:tab/>
        <w:t>Proposed LED Street Lighting Service Offering</w:t>
      </w:r>
      <w:r>
        <w:rPr>
          <w:szCs w:val="24"/>
        </w:rPr>
        <w:tab/>
        <w:t>1</w:t>
      </w:r>
      <w:r w:rsidR="00892839">
        <w:rPr>
          <w:szCs w:val="24"/>
        </w:rPr>
        <w:t>20</w:t>
      </w:r>
      <w:r>
        <w:rPr>
          <w:szCs w:val="24"/>
        </w:rPr>
        <w:t xml:space="preserve"> </w:t>
      </w:r>
    </w:p>
    <w:p w:rsidR="0067689C" w:rsidRDefault="0067689C" w:rsidP="0067689C">
      <w:pPr>
        <w:tabs>
          <w:tab w:val="left" w:pos="720"/>
          <w:tab w:val="left" w:pos="1440"/>
          <w:tab w:val="left" w:pos="2160"/>
          <w:tab w:val="right" w:leader="dot" w:pos="9360"/>
        </w:tabs>
        <w:rPr>
          <w:szCs w:val="24"/>
        </w:rPr>
      </w:pPr>
      <w:r>
        <w:rPr>
          <w:szCs w:val="24"/>
        </w:rPr>
        <w:tab/>
        <w:t>C.</w:t>
      </w:r>
      <w:r>
        <w:rPr>
          <w:szCs w:val="24"/>
        </w:rPr>
        <w:tab/>
      </w:r>
      <w:r w:rsidR="00892839">
        <w:rPr>
          <w:szCs w:val="24"/>
        </w:rPr>
        <w:t>Penn Power</w:t>
      </w:r>
      <w:r>
        <w:rPr>
          <w:szCs w:val="24"/>
        </w:rPr>
        <w:t>’s Position</w:t>
      </w:r>
      <w:r w:rsidR="00892839">
        <w:rPr>
          <w:szCs w:val="24"/>
        </w:rPr>
        <w:t xml:space="preserve"> Concerning Program</w:t>
      </w:r>
      <w:r>
        <w:rPr>
          <w:szCs w:val="24"/>
        </w:rPr>
        <w:tab/>
        <w:t>1</w:t>
      </w:r>
      <w:r w:rsidR="00892839">
        <w:rPr>
          <w:szCs w:val="24"/>
        </w:rPr>
        <w:t>21</w:t>
      </w:r>
    </w:p>
    <w:p w:rsidR="0067689C" w:rsidRDefault="0067689C" w:rsidP="0067689C">
      <w:pPr>
        <w:tabs>
          <w:tab w:val="left" w:pos="720"/>
          <w:tab w:val="left" w:pos="1440"/>
          <w:tab w:val="left" w:pos="2160"/>
          <w:tab w:val="right" w:leader="dot" w:pos="9360"/>
        </w:tabs>
        <w:rPr>
          <w:szCs w:val="24"/>
        </w:rPr>
      </w:pPr>
      <w:r>
        <w:rPr>
          <w:szCs w:val="24"/>
        </w:rPr>
        <w:tab/>
        <w:t>D.</w:t>
      </w:r>
      <w:r>
        <w:rPr>
          <w:szCs w:val="24"/>
        </w:rPr>
        <w:tab/>
      </w:r>
      <w:proofErr w:type="spellStart"/>
      <w:r>
        <w:rPr>
          <w:szCs w:val="24"/>
        </w:rPr>
        <w:t>PennFuture’s</w:t>
      </w:r>
      <w:proofErr w:type="spellEnd"/>
      <w:r>
        <w:rPr>
          <w:szCs w:val="24"/>
        </w:rPr>
        <w:t xml:space="preserve"> Position</w:t>
      </w:r>
      <w:r w:rsidR="00892839">
        <w:rPr>
          <w:szCs w:val="24"/>
        </w:rPr>
        <w:t xml:space="preserve"> Concerning Program</w:t>
      </w:r>
      <w:r>
        <w:rPr>
          <w:szCs w:val="24"/>
        </w:rPr>
        <w:tab/>
        <w:t>1</w:t>
      </w:r>
      <w:r w:rsidR="00892839">
        <w:rPr>
          <w:szCs w:val="24"/>
        </w:rPr>
        <w:t>29</w:t>
      </w:r>
    </w:p>
    <w:p w:rsidR="0067689C" w:rsidRDefault="0067689C" w:rsidP="0067689C">
      <w:pPr>
        <w:tabs>
          <w:tab w:val="left" w:pos="720"/>
          <w:tab w:val="left" w:pos="1440"/>
          <w:tab w:val="left" w:pos="2160"/>
          <w:tab w:val="right" w:leader="dot" w:pos="9360"/>
        </w:tabs>
        <w:rPr>
          <w:szCs w:val="24"/>
        </w:rPr>
      </w:pPr>
      <w:r>
        <w:rPr>
          <w:szCs w:val="24"/>
        </w:rPr>
        <w:lastRenderedPageBreak/>
        <w:tab/>
        <w:t>E.</w:t>
      </w:r>
      <w:r>
        <w:rPr>
          <w:szCs w:val="24"/>
        </w:rPr>
        <w:tab/>
        <w:t>ALJs’ Recommendation Concerning LED Street Lighting Service Offering</w:t>
      </w:r>
      <w:r>
        <w:rPr>
          <w:szCs w:val="24"/>
        </w:rPr>
        <w:tab/>
        <w:t>1</w:t>
      </w:r>
      <w:r w:rsidR="00892839">
        <w:rPr>
          <w:szCs w:val="24"/>
        </w:rPr>
        <w:t>34</w:t>
      </w:r>
    </w:p>
    <w:p w:rsidR="0067689C" w:rsidRDefault="0067689C" w:rsidP="0067689C">
      <w:pPr>
        <w:tabs>
          <w:tab w:val="left" w:pos="720"/>
          <w:tab w:val="left" w:pos="1440"/>
          <w:tab w:val="left" w:pos="2160"/>
          <w:tab w:val="right" w:leader="dot" w:pos="9360"/>
        </w:tabs>
        <w:rPr>
          <w:szCs w:val="24"/>
        </w:rPr>
      </w:pPr>
      <w:r>
        <w:rPr>
          <w:szCs w:val="24"/>
        </w:rPr>
        <w:tab/>
      </w:r>
    </w:p>
    <w:p w:rsidR="0067689C" w:rsidRDefault="0067689C" w:rsidP="0067689C">
      <w:pPr>
        <w:tabs>
          <w:tab w:val="left" w:pos="720"/>
          <w:tab w:val="left" w:pos="1440"/>
          <w:tab w:val="left" w:pos="2160"/>
          <w:tab w:val="right" w:leader="dot" w:pos="9360"/>
        </w:tabs>
        <w:rPr>
          <w:szCs w:val="24"/>
        </w:rPr>
      </w:pPr>
      <w:r>
        <w:rPr>
          <w:szCs w:val="24"/>
        </w:rPr>
        <w:t>V.</w:t>
      </w:r>
      <w:r>
        <w:rPr>
          <w:szCs w:val="24"/>
        </w:rPr>
        <w:tab/>
        <w:t>CONCLUSIONS OF LAW</w:t>
      </w:r>
      <w:r>
        <w:rPr>
          <w:szCs w:val="24"/>
        </w:rPr>
        <w:tab/>
        <w:t>1</w:t>
      </w:r>
      <w:r w:rsidR="00892839">
        <w:rPr>
          <w:szCs w:val="24"/>
        </w:rPr>
        <w:t>35</w:t>
      </w:r>
    </w:p>
    <w:p w:rsidR="0067689C" w:rsidRDefault="0067689C" w:rsidP="0067689C">
      <w:pPr>
        <w:tabs>
          <w:tab w:val="left" w:pos="720"/>
          <w:tab w:val="left" w:pos="1440"/>
          <w:tab w:val="left" w:pos="2160"/>
          <w:tab w:val="right" w:leader="dot" w:pos="9360"/>
        </w:tabs>
        <w:rPr>
          <w:szCs w:val="24"/>
        </w:rPr>
      </w:pPr>
    </w:p>
    <w:p w:rsidR="00931E68" w:rsidRDefault="0067689C" w:rsidP="0076634E">
      <w:pPr>
        <w:tabs>
          <w:tab w:val="left" w:pos="720"/>
          <w:tab w:val="left" w:pos="1440"/>
          <w:tab w:val="right" w:leader="dot" w:pos="9360"/>
        </w:tabs>
        <w:rPr>
          <w:szCs w:val="24"/>
        </w:rPr>
      </w:pPr>
      <w:r>
        <w:rPr>
          <w:szCs w:val="24"/>
        </w:rPr>
        <w:t>VI.</w:t>
      </w:r>
      <w:r>
        <w:rPr>
          <w:szCs w:val="24"/>
        </w:rPr>
        <w:tab/>
        <w:t>ORDER</w:t>
      </w:r>
      <w:r w:rsidR="0076634E">
        <w:rPr>
          <w:szCs w:val="24"/>
        </w:rPr>
        <w:tab/>
      </w:r>
      <w:r w:rsidR="00892839">
        <w:rPr>
          <w:szCs w:val="24"/>
        </w:rPr>
        <w:t>136</w:t>
      </w:r>
    </w:p>
    <w:p w:rsidR="00FE0505" w:rsidRDefault="00FE0505" w:rsidP="00C04AAC">
      <w:pPr>
        <w:tabs>
          <w:tab w:val="left" w:pos="720"/>
          <w:tab w:val="left" w:pos="1440"/>
          <w:tab w:val="left" w:pos="2160"/>
          <w:tab w:val="right" w:leader="dot" w:pos="9360"/>
        </w:tabs>
        <w:rPr>
          <w:szCs w:val="24"/>
        </w:rPr>
        <w:sectPr w:rsidR="00FE0505" w:rsidSect="00593F06">
          <w:pgSz w:w="12240" w:h="15840" w:code="1"/>
          <w:pgMar w:top="1440" w:right="1440" w:bottom="1440" w:left="1440" w:header="720" w:footer="720" w:gutter="0"/>
          <w:pgNumType w:fmt="lowerRoman" w:start="1"/>
          <w:cols w:space="720"/>
          <w:docGrid w:linePitch="360"/>
        </w:sectPr>
      </w:pPr>
    </w:p>
    <w:p w:rsidR="00261CC9" w:rsidRPr="00D42900" w:rsidRDefault="00D42900" w:rsidP="00FA0E23">
      <w:pPr>
        <w:pStyle w:val="ListParagraph"/>
        <w:numPr>
          <w:ilvl w:val="0"/>
          <w:numId w:val="11"/>
        </w:numPr>
        <w:ind w:left="0" w:firstLine="0"/>
        <w:jc w:val="center"/>
        <w:rPr>
          <w:rFonts w:ascii="Times New Roman" w:hAnsi="Times New Roman"/>
        </w:rPr>
      </w:pPr>
      <w:r>
        <w:rPr>
          <w:rFonts w:ascii="Times New Roman" w:hAnsi="Times New Roman"/>
          <w:u w:val="single"/>
        </w:rPr>
        <w:lastRenderedPageBreak/>
        <w:t>HISTORY OF THE PROCEEDING</w:t>
      </w:r>
    </w:p>
    <w:p w:rsidR="00D50CC1" w:rsidRPr="003B7488" w:rsidRDefault="00D50CC1" w:rsidP="00D50CC1">
      <w:pPr>
        <w:rPr>
          <w:rFonts w:ascii="Times New Roman" w:hAnsi="Times New Roman"/>
        </w:rPr>
      </w:pPr>
      <w:bookmarkStart w:id="0" w:name="_Toc71017857"/>
      <w:bookmarkStart w:id="1" w:name="_Toc73927071"/>
      <w:bookmarkStart w:id="2" w:name="_Toc73928087"/>
      <w:bookmarkStart w:id="3" w:name="_Toc73928648"/>
      <w:bookmarkStart w:id="4" w:name="_Toc73932040"/>
      <w:bookmarkStart w:id="5" w:name="_Toc73936974"/>
      <w:bookmarkStart w:id="6" w:name="_Toc74633006"/>
      <w:bookmarkStart w:id="7" w:name="_Toc74642255"/>
      <w:bookmarkStart w:id="8" w:name="_Toc74643065"/>
    </w:p>
    <w:p w:rsidR="00D50CC1" w:rsidRPr="003B7488" w:rsidRDefault="00D50CC1" w:rsidP="00D50CC1">
      <w:pPr>
        <w:rPr>
          <w:rFonts w:ascii="Times New Roman" w:hAnsi="Times New Roman"/>
          <w:u w:val="single"/>
        </w:rPr>
      </w:pPr>
      <w:r w:rsidRPr="003B7488">
        <w:rPr>
          <w:rFonts w:ascii="Times New Roman" w:hAnsi="Times New Roman"/>
        </w:rPr>
        <w:t>A.</w:t>
      </w:r>
      <w:r w:rsidRPr="003B7488">
        <w:rPr>
          <w:rFonts w:ascii="Times New Roman" w:hAnsi="Times New Roman"/>
        </w:rPr>
        <w:tab/>
      </w:r>
      <w:r w:rsidRPr="00A92598">
        <w:rPr>
          <w:rFonts w:ascii="Times New Roman" w:hAnsi="Times New Roman"/>
          <w:u w:val="single"/>
        </w:rPr>
        <w:t>Introduction</w:t>
      </w:r>
    </w:p>
    <w:p w:rsidR="00D50CC1" w:rsidRPr="003B7488" w:rsidRDefault="00D50CC1" w:rsidP="00D50CC1">
      <w:pPr>
        <w:rPr>
          <w:rFonts w:ascii="Times New Roman" w:hAnsi="Times New Roman"/>
        </w:rPr>
      </w:pPr>
    </w:p>
    <w:p w:rsidR="00D50CC1" w:rsidRPr="003B7488" w:rsidRDefault="00D50CC1" w:rsidP="00D50CC1">
      <w:pPr>
        <w:rPr>
          <w:rFonts w:ascii="Times New Roman" w:hAnsi="Times New Roman"/>
        </w:rPr>
      </w:pPr>
      <w:r w:rsidRPr="003B7488">
        <w:rPr>
          <w:rFonts w:ascii="Times New Roman" w:hAnsi="Times New Roman"/>
        </w:rPr>
        <w:tab/>
      </w:r>
      <w:r w:rsidRPr="003B7488">
        <w:rPr>
          <w:rFonts w:ascii="Times New Roman" w:hAnsi="Times New Roman"/>
        </w:rPr>
        <w:tab/>
      </w:r>
      <w:r w:rsidR="00286348">
        <w:rPr>
          <w:rFonts w:ascii="Times New Roman" w:hAnsi="Times New Roman"/>
        </w:rPr>
        <w:t>Pennsylvania</w:t>
      </w:r>
      <w:r>
        <w:rPr>
          <w:rFonts w:ascii="Times New Roman" w:hAnsi="Times New Roman"/>
        </w:rPr>
        <w:t xml:space="preserve"> Power Company</w:t>
      </w:r>
      <w:r w:rsidRPr="003B7488">
        <w:rPr>
          <w:rFonts w:ascii="Times New Roman" w:hAnsi="Times New Roman"/>
        </w:rPr>
        <w:t xml:space="preserve"> (</w:t>
      </w:r>
      <w:r>
        <w:rPr>
          <w:rFonts w:ascii="Times New Roman" w:hAnsi="Times New Roman"/>
        </w:rPr>
        <w:t>Penn</w:t>
      </w:r>
      <w:r w:rsidR="00286348">
        <w:rPr>
          <w:rFonts w:ascii="Times New Roman" w:hAnsi="Times New Roman"/>
        </w:rPr>
        <w:t xml:space="preserve"> Power</w:t>
      </w:r>
      <w:r>
        <w:rPr>
          <w:rFonts w:ascii="Times New Roman" w:hAnsi="Times New Roman"/>
        </w:rPr>
        <w:t xml:space="preserve"> </w:t>
      </w:r>
      <w:r w:rsidRPr="003B7488">
        <w:rPr>
          <w:rFonts w:ascii="Times New Roman" w:hAnsi="Times New Roman"/>
        </w:rPr>
        <w:t xml:space="preserve">or Company) is </w:t>
      </w:r>
      <w:r>
        <w:rPr>
          <w:rFonts w:ascii="Times New Roman" w:hAnsi="Times New Roman"/>
        </w:rPr>
        <w:t>an electric</w:t>
      </w:r>
      <w:r w:rsidRPr="003B7488">
        <w:rPr>
          <w:rFonts w:ascii="Times New Roman" w:hAnsi="Times New Roman"/>
        </w:rPr>
        <w:t xml:space="preserve"> distribution company providing </w:t>
      </w:r>
      <w:r>
        <w:rPr>
          <w:rFonts w:ascii="Times New Roman" w:hAnsi="Times New Roman"/>
        </w:rPr>
        <w:t>electric distribution</w:t>
      </w:r>
      <w:r w:rsidRPr="003B7488">
        <w:rPr>
          <w:rFonts w:ascii="Times New Roman" w:hAnsi="Times New Roman"/>
        </w:rPr>
        <w:t xml:space="preserve"> service subject to the jurisdiction of the Pennsylvania Public Utility Commission </w:t>
      </w:r>
      <w:r>
        <w:rPr>
          <w:rFonts w:ascii="Times New Roman" w:hAnsi="Times New Roman"/>
        </w:rPr>
        <w:t>(</w:t>
      </w:r>
      <w:r w:rsidRPr="003B7488">
        <w:rPr>
          <w:rFonts w:ascii="Times New Roman" w:hAnsi="Times New Roman"/>
        </w:rPr>
        <w:t xml:space="preserve">Commission) in parts of </w:t>
      </w:r>
      <w:r w:rsidR="00286348">
        <w:rPr>
          <w:rFonts w:ascii="Times New Roman" w:hAnsi="Times New Roman"/>
        </w:rPr>
        <w:t xml:space="preserve">central and </w:t>
      </w:r>
      <w:r w:rsidRPr="003B7488">
        <w:rPr>
          <w:rFonts w:ascii="Times New Roman" w:hAnsi="Times New Roman"/>
        </w:rPr>
        <w:t>western Pennsylvania.</w:t>
      </w:r>
    </w:p>
    <w:p w:rsidR="00D50CC1" w:rsidRPr="003B7488" w:rsidRDefault="00D50CC1" w:rsidP="00D50CC1">
      <w:pPr>
        <w:pStyle w:val="FirmDouble05"/>
        <w:spacing w:line="360" w:lineRule="auto"/>
        <w:ind w:firstLine="1440"/>
      </w:pPr>
      <w:r>
        <w:tab/>
      </w:r>
      <w:r>
        <w:tab/>
      </w:r>
      <w:r>
        <w:tab/>
      </w:r>
      <w:r>
        <w:tab/>
      </w:r>
      <w:r>
        <w:tab/>
      </w:r>
      <w:r>
        <w:tab/>
      </w:r>
      <w:r>
        <w:tab/>
      </w:r>
      <w:r>
        <w:tab/>
      </w:r>
      <w:r>
        <w:tab/>
      </w:r>
      <w:r>
        <w:tab/>
      </w:r>
      <w:r>
        <w:tab/>
      </w:r>
      <w:r>
        <w:tab/>
      </w:r>
      <w:r>
        <w:tab/>
      </w:r>
      <w:r w:rsidRPr="003B7488">
        <w:t xml:space="preserve">On </w:t>
      </w:r>
      <w:r>
        <w:t>August 4, 2014</w:t>
      </w:r>
      <w:r w:rsidRPr="003B7488">
        <w:t>,</w:t>
      </w:r>
      <w:r>
        <w:t xml:space="preserve"> Penn</w:t>
      </w:r>
      <w:r w:rsidRPr="003B7488">
        <w:t xml:space="preserve"> </w:t>
      </w:r>
      <w:r w:rsidR="00286348">
        <w:t xml:space="preserve">Power </w:t>
      </w:r>
      <w:r w:rsidRPr="003B7488">
        <w:t xml:space="preserve">filed Tariff </w:t>
      </w:r>
      <w:r>
        <w:t>Electric</w:t>
      </w:r>
      <w:r w:rsidRPr="003B7488">
        <w:t xml:space="preserve">-Pa. P.U.C. No. </w:t>
      </w:r>
      <w:r w:rsidR="00286348">
        <w:t>36 (Tariff No. 36</w:t>
      </w:r>
      <w:r>
        <w:t xml:space="preserve">) </w:t>
      </w:r>
      <w:r w:rsidRPr="003B7488">
        <w:t xml:space="preserve">to become effective </w:t>
      </w:r>
      <w:r>
        <w:t>May 3, 2015</w:t>
      </w:r>
      <w:r w:rsidRPr="003B7488">
        <w:t xml:space="preserve"> and requested </w:t>
      </w:r>
      <w:r>
        <w:t xml:space="preserve">an </w:t>
      </w:r>
      <w:r w:rsidRPr="00C51565">
        <w:t>increase to the base rates charged to ratepayers</w:t>
      </w:r>
      <w:r>
        <w:t xml:space="preserve">.  Specifically, </w:t>
      </w:r>
      <w:r w:rsidR="00286348">
        <w:t>Penn</w:t>
      </w:r>
      <w:r w:rsidR="00286348" w:rsidRPr="003B7488">
        <w:t xml:space="preserve"> </w:t>
      </w:r>
      <w:r w:rsidR="00286348">
        <w:t xml:space="preserve">Power </w:t>
      </w:r>
      <w:r>
        <w:t>requested the Commission approve an increase to its annual distrib</w:t>
      </w:r>
      <w:r w:rsidR="00286348">
        <w:t>ution revenue totaling $28.5 million (or 8.7</w:t>
      </w:r>
      <w:r>
        <w:t>%) of total electric operating revenue.  The Company’s proposed increase consisted of the sum of: (1) an increase in distribution base rate operating revenues of $</w:t>
      </w:r>
      <w:r w:rsidR="00286348">
        <w:t>29.557</w:t>
      </w:r>
      <w:r>
        <w:t xml:space="preserve"> million, including the roll-in to base rates of the smart meter revenue requirement; </w:t>
      </w:r>
      <w:r w:rsidR="00286348">
        <w:t xml:space="preserve">and </w:t>
      </w:r>
      <w:r>
        <w:t xml:space="preserve">(2) proposed </w:t>
      </w:r>
      <w:r w:rsidR="00286348">
        <w:t>decreases</w:t>
      </w:r>
      <w:r>
        <w:t xml:space="preserve"> in charges under the Company’s Default Service Support and Hourly Pricing Default Service Riders totaling $</w:t>
      </w:r>
      <w:r w:rsidR="00286348">
        <w:t>1.074</w:t>
      </w:r>
      <w:r>
        <w:t xml:space="preserve"> million.  </w:t>
      </w:r>
    </w:p>
    <w:p w:rsidR="00D50CC1" w:rsidRDefault="00D50CC1" w:rsidP="00D50CC1">
      <w:pPr>
        <w:pStyle w:val="FirmDouble05"/>
        <w:spacing w:line="360" w:lineRule="auto"/>
        <w:ind w:firstLine="1440"/>
      </w:pPr>
    </w:p>
    <w:p w:rsidR="00D50CC1" w:rsidRPr="00C51565" w:rsidRDefault="00D50CC1" w:rsidP="00D50CC1">
      <w:pPr>
        <w:pStyle w:val="FirmDouble05"/>
        <w:spacing w:line="360" w:lineRule="auto"/>
        <w:ind w:firstLine="1440"/>
      </w:pPr>
      <w:r>
        <w:t>Also o</w:t>
      </w:r>
      <w:r w:rsidRPr="00C51565">
        <w:t xml:space="preserve">n August 4, 2014, </w:t>
      </w:r>
      <w:r>
        <w:t>three related First</w:t>
      </w:r>
      <w:r w:rsidRPr="00C51565">
        <w:t xml:space="preserve">Energy Companies </w:t>
      </w:r>
      <w:r>
        <w:t xml:space="preserve">(the Companies) </w:t>
      </w:r>
      <w:r w:rsidRPr="00C51565">
        <w:t xml:space="preserve">filed tariff supplements requesting increases to the base rates charged to ratepayers by the electric distribution companies.  The </w:t>
      </w:r>
      <w:r w:rsidR="00EB3AB1">
        <w:t>three</w:t>
      </w:r>
      <w:r w:rsidRPr="00C51565">
        <w:t xml:space="preserve"> companies and the amount of the requested increase to its annual distribution revenue are: </w:t>
      </w:r>
    </w:p>
    <w:p w:rsidR="00D50CC1" w:rsidRPr="00C51565" w:rsidRDefault="00D50CC1" w:rsidP="00D50CC1">
      <w:pPr>
        <w:pStyle w:val="NoSpacing"/>
        <w:rPr>
          <w:rFonts w:ascii="Times New Roman" w:hAnsi="Times New Roman" w:cs="Times New Roman"/>
          <w:sz w:val="24"/>
          <w:szCs w:val="24"/>
        </w:rPr>
      </w:pPr>
    </w:p>
    <w:p w:rsidR="00D50CC1" w:rsidRDefault="00D50CC1" w:rsidP="00D50CC1">
      <w:pPr>
        <w:pStyle w:val="NoSpacing"/>
        <w:numPr>
          <w:ilvl w:val="0"/>
          <w:numId w:val="17"/>
        </w:numPr>
        <w:spacing w:line="276" w:lineRule="auto"/>
        <w:rPr>
          <w:rFonts w:ascii="Times New Roman" w:hAnsi="Times New Roman" w:cs="Times New Roman"/>
          <w:sz w:val="24"/>
          <w:szCs w:val="24"/>
        </w:rPr>
      </w:pPr>
      <w:r w:rsidRPr="00C51565">
        <w:rPr>
          <w:rFonts w:ascii="Times New Roman" w:hAnsi="Times New Roman" w:cs="Times New Roman"/>
          <w:sz w:val="24"/>
          <w:szCs w:val="24"/>
        </w:rPr>
        <w:t xml:space="preserve">Pennsylvania Electric Company – $119.8 million or 8.6% of total electric operating revenues; </w:t>
      </w:r>
    </w:p>
    <w:p w:rsidR="00D50CC1" w:rsidRPr="00C51565" w:rsidRDefault="00D50CC1" w:rsidP="00D50CC1">
      <w:pPr>
        <w:pStyle w:val="NoSpacing"/>
        <w:spacing w:line="276" w:lineRule="auto"/>
        <w:ind w:left="1800"/>
        <w:rPr>
          <w:rFonts w:ascii="Times New Roman" w:hAnsi="Times New Roman" w:cs="Times New Roman"/>
          <w:sz w:val="24"/>
          <w:szCs w:val="24"/>
        </w:rPr>
      </w:pPr>
    </w:p>
    <w:p w:rsidR="00D50CC1" w:rsidRDefault="00286348" w:rsidP="00D50CC1">
      <w:pPr>
        <w:pStyle w:val="NoSpacing"/>
        <w:numPr>
          <w:ilvl w:val="0"/>
          <w:numId w:val="17"/>
        </w:numPr>
        <w:spacing w:line="276" w:lineRule="auto"/>
        <w:rPr>
          <w:rFonts w:ascii="Times New Roman" w:hAnsi="Times New Roman" w:cs="Times New Roman"/>
          <w:sz w:val="24"/>
          <w:szCs w:val="24"/>
        </w:rPr>
      </w:pPr>
      <w:r>
        <w:rPr>
          <w:rFonts w:ascii="Times New Roman" w:hAnsi="Times New Roman" w:cs="Times New Roman"/>
          <w:sz w:val="24"/>
          <w:szCs w:val="24"/>
        </w:rPr>
        <w:t xml:space="preserve">West Penn </w:t>
      </w:r>
      <w:r w:rsidR="00D50CC1" w:rsidRPr="00C51565">
        <w:rPr>
          <w:rFonts w:ascii="Times New Roman" w:hAnsi="Times New Roman" w:cs="Times New Roman"/>
          <w:sz w:val="24"/>
          <w:szCs w:val="24"/>
        </w:rPr>
        <w:t xml:space="preserve">Power Company </w:t>
      </w:r>
      <w:r w:rsidR="00D50CC1">
        <w:rPr>
          <w:rFonts w:ascii="Times New Roman" w:hAnsi="Times New Roman" w:cs="Times New Roman"/>
          <w:sz w:val="24"/>
          <w:szCs w:val="24"/>
        </w:rPr>
        <w:t>–</w:t>
      </w:r>
      <w:r w:rsidR="00D50CC1" w:rsidRPr="00C51565">
        <w:rPr>
          <w:rFonts w:ascii="Times New Roman" w:hAnsi="Times New Roman" w:cs="Times New Roman"/>
          <w:sz w:val="24"/>
          <w:szCs w:val="24"/>
        </w:rPr>
        <w:t xml:space="preserve"> $</w:t>
      </w:r>
      <w:r>
        <w:rPr>
          <w:rFonts w:ascii="Times New Roman" w:hAnsi="Times New Roman" w:cs="Times New Roman"/>
          <w:sz w:val="24"/>
          <w:szCs w:val="24"/>
        </w:rPr>
        <w:t>115.5 million or 8.4</w:t>
      </w:r>
      <w:r w:rsidR="00D50CC1" w:rsidRPr="00C51565">
        <w:rPr>
          <w:rFonts w:ascii="Times New Roman" w:hAnsi="Times New Roman" w:cs="Times New Roman"/>
          <w:sz w:val="24"/>
          <w:szCs w:val="24"/>
        </w:rPr>
        <w:t xml:space="preserve">% of total electric operating revenues; and </w:t>
      </w:r>
    </w:p>
    <w:p w:rsidR="00D50CC1" w:rsidRPr="00C51565" w:rsidRDefault="00D50CC1" w:rsidP="00D50CC1">
      <w:pPr>
        <w:pStyle w:val="NoSpacing"/>
        <w:spacing w:line="276" w:lineRule="auto"/>
        <w:ind w:left="1800"/>
        <w:rPr>
          <w:rFonts w:ascii="Times New Roman" w:hAnsi="Times New Roman" w:cs="Times New Roman"/>
          <w:sz w:val="24"/>
          <w:szCs w:val="24"/>
        </w:rPr>
      </w:pPr>
    </w:p>
    <w:p w:rsidR="00D50CC1" w:rsidRPr="00C51565" w:rsidRDefault="00D50CC1" w:rsidP="00D50CC1">
      <w:pPr>
        <w:pStyle w:val="NoSpacing"/>
        <w:numPr>
          <w:ilvl w:val="0"/>
          <w:numId w:val="17"/>
        </w:numPr>
        <w:spacing w:line="276" w:lineRule="auto"/>
        <w:rPr>
          <w:rFonts w:ascii="Times New Roman" w:hAnsi="Times New Roman" w:cs="Times New Roman"/>
          <w:sz w:val="24"/>
          <w:szCs w:val="24"/>
        </w:rPr>
      </w:pPr>
      <w:r w:rsidRPr="00C51565">
        <w:rPr>
          <w:rFonts w:ascii="Times New Roman" w:hAnsi="Times New Roman" w:cs="Times New Roman"/>
          <w:sz w:val="24"/>
          <w:szCs w:val="24"/>
        </w:rPr>
        <w:t xml:space="preserve">Metropolitan Edison Company </w:t>
      </w:r>
      <w:r>
        <w:rPr>
          <w:rFonts w:ascii="Times New Roman" w:hAnsi="Times New Roman" w:cs="Times New Roman"/>
          <w:sz w:val="24"/>
          <w:szCs w:val="24"/>
        </w:rPr>
        <w:t>–</w:t>
      </w:r>
      <w:r w:rsidRPr="00C51565">
        <w:rPr>
          <w:rFonts w:ascii="Times New Roman" w:hAnsi="Times New Roman" w:cs="Times New Roman"/>
          <w:sz w:val="24"/>
          <w:szCs w:val="24"/>
        </w:rPr>
        <w:t xml:space="preserve"> $151.9 million or 11.5% of total electric operating revenues.      </w:t>
      </w:r>
    </w:p>
    <w:p w:rsidR="00D50CC1" w:rsidRPr="00C51565" w:rsidRDefault="00D50CC1" w:rsidP="00D50CC1">
      <w:pPr>
        <w:pStyle w:val="NoSpacing"/>
        <w:spacing w:line="360" w:lineRule="auto"/>
        <w:rPr>
          <w:rFonts w:ascii="Times New Roman" w:hAnsi="Times New Roman" w:cs="Times New Roman"/>
          <w:sz w:val="24"/>
          <w:szCs w:val="24"/>
        </w:rPr>
      </w:pPr>
    </w:p>
    <w:p w:rsidR="00D50CC1" w:rsidRPr="00C51565" w:rsidRDefault="00D50CC1" w:rsidP="00D50CC1">
      <w:pPr>
        <w:pStyle w:val="NoSpacing"/>
        <w:spacing w:line="360" w:lineRule="auto"/>
        <w:ind w:firstLine="1440"/>
        <w:rPr>
          <w:rFonts w:ascii="Times New Roman" w:hAnsi="Times New Roman" w:cs="Times New Roman"/>
          <w:sz w:val="24"/>
          <w:szCs w:val="24"/>
        </w:rPr>
      </w:pPr>
      <w:r w:rsidRPr="00C51565">
        <w:rPr>
          <w:rFonts w:ascii="Times New Roman" w:hAnsi="Times New Roman" w:cs="Times New Roman"/>
          <w:sz w:val="24"/>
          <w:szCs w:val="24"/>
        </w:rPr>
        <w:lastRenderedPageBreak/>
        <w:t xml:space="preserve">By Order entered October 2, 2014, the Pennsylvania Public Utility Commission suspended the filings by operation of law until May 3, 2015, and instituted an investigation to determine the lawfulness, justness and reasonableness of the proposed rates, rules, and regulations.  </w:t>
      </w:r>
    </w:p>
    <w:p w:rsidR="00D50CC1" w:rsidRPr="00C51565" w:rsidRDefault="00D50CC1" w:rsidP="00D50CC1">
      <w:pPr>
        <w:pStyle w:val="NoSpacing"/>
        <w:spacing w:line="360" w:lineRule="auto"/>
        <w:rPr>
          <w:rFonts w:ascii="Times New Roman" w:hAnsi="Times New Roman" w:cs="Times New Roman"/>
          <w:sz w:val="24"/>
          <w:szCs w:val="24"/>
        </w:rPr>
      </w:pPr>
    </w:p>
    <w:p w:rsidR="00D50CC1" w:rsidRDefault="00D50CC1" w:rsidP="00D50CC1">
      <w:pPr>
        <w:ind w:firstLine="1440"/>
        <w:rPr>
          <w:szCs w:val="24"/>
        </w:rPr>
      </w:pPr>
      <w:r w:rsidRPr="00C51565">
        <w:rPr>
          <w:szCs w:val="24"/>
        </w:rPr>
        <w:t xml:space="preserve">In addition to the four filings, </w:t>
      </w:r>
      <w:r>
        <w:rPr>
          <w:szCs w:val="24"/>
        </w:rPr>
        <w:t>FirstEnergy</w:t>
      </w:r>
      <w:r w:rsidRPr="00C51565">
        <w:rPr>
          <w:szCs w:val="24"/>
        </w:rPr>
        <w:t xml:space="preserve"> filed on behalf of all four utilities separate pro-forma tariff supplements on August 1, 2014 to implement the Smart Meter Technologies Charge (SMT-C) Rider pursuant to the Smart Meter Deployment Dockets for the Companies.  These filings, referred to as “M Docket” proceedings, were made in compliance with a prior Commission Order where the Commission directed the electric distribution companies to file by August 1</w:t>
      </w:r>
      <w:r w:rsidRPr="00C51565">
        <w:rPr>
          <w:szCs w:val="24"/>
          <w:vertAlign w:val="superscript"/>
        </w:rPr>
        <w:t>st</w:t>
      </w:r>
      <w:r w:rsidRPr="00C51565">
        <w:rPr>
          <w:szCs w:val="24"/>
        </w:rPr>
        <w:t xml:space="preserve"> of each year the SMT-C Rider Rates for the Residential, Commercial and Industrial Customer Classes for service rendered on or after January 1</w:t>
      </w:r>
      <w:r w:rsidRPr="00C51565">
        <w:rPr>
          <w:szCs w:val="24"/>
          <w:vertAlign w:val="superscript"/>
        </w:rPr>
        <w:t>st</w:t>
      </w:r>
      <w:r w:rsidRPr="00C51565">
        <w:rPr>
          <w:szCs w:val="24"/>
        </w:rPr>
        <w:t xml:space="preserve"> and continuing through December 31</w:t>
      </w:r>
      <w:r w:rsidRPr="00C51565">
        <w:rPr>
          <w:szCs w:val="24"/>
          <w:vertAlign w:val="superscript"/>
        </w:rPr>
        <w:t>st</w:t>
      </w:r>
      <w:r w:rsidRPr="00C51565">
        <w:rPr>
          <w:szCs w:val="24"/>
        </w:rPr>
        <w:t xml:space="preserve"> of each year.  </w:t>
      </w:r>
    </w:p>
    <w:p w:rsidR="00D50CC1" w:rsidRDefault="00D50CC1" w:rsidP="00D50CC1">
      <w:pPr>
        <w:ind w:firstLine="1440"/>
        <w:rPr>
          <w:szCs w:val="24"/>
        </w:rPr>
      </w:pPr>
    </w:p>
    <w:p w:rsidR="00D50CC1" w:rsidRPr="00C51565" w:rsidRDefault="00D50CC1" w:rsidP="00D50CC1">
      <w:pPr>
        <w:ind w:firstLine="1440"/>
        <w:rPr>
          <w:szCs w:val="24"/>
        </w:rPr>
      </w:pPr>
      <w:r>
        <w:rPr>
          <w:szCs w:val="24"/>
        </w:rPr>
        <w:t>On September 30, 2014, Administrative Law Judge Dennis Buckley (ALJ Buckley) issued the First Prehearing Order which scheduled the Initial Prehearing Conference for October 8, 2014, and which directed the parties to submit prehearing memoranda on or before October 6, 2014.</w:t>
      </w:r>
    </w:p>
    <w:p w:rsidR="00D50CC1" w:rsidRPr="00C51565"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On October 2, 2014, the</w:t>
      </w:r>
      <w:r w:rsidRPr="00C51565">
        <w:rPr>
          <w:rFonts w:ascii="Times New Roman" w:hAnsi="Times New Roman" w:cs="Times New Roman"/>
          <w:sz w:val="24"/>
          <w:szCs w:val="24"/>
        </w:rPr>
        <w:t xml:space="preserve"> Commission</w:t>
      </w:r>
      <w:r>
        <w:rPr>
          <w:rFonts w:ascii="Times New Roman" w:hAnsi="Times New Roman" w:cs="Times New Roman"/>
          <w:sz w:val="24"/>
          <w:szCs w:val="24"/>
        </w:rPr>
        <w:t xml:space="preserve"> suspended </w:t>
      </w:r>
      <w:r w:rsidR="00F550C7">
        <w:rPr>
          <w:rFonts w:ascii="Times New Roman" w:hAnsi="Times New Roman" w:cs="Times New Roman"/>
          <w:sz w:val="24"/>
          <w:szCs w:val="24"/>
        </w:rPr>
        <w:t>the</w:t>
      </w:r>
      <w:r>
        <w:rPr>
          <w:rFonts w:ascii="Times New Roman" w:hAnsi="Times New Roman" w:cs="Times New Roman"/>
          <w:sz w:val="24"/>
          <w:szCs w:val="24"/>
        </w:rPr>
        <w:t xml:space="preserve"> tariff filing (Penn</w:t>
      </w:r>
      <w:r w:rsidR="00F550C7">
        <w:rPr>
          <w:rFonts w:ascii="Times New Roman" w:hAnsi="Times New Roman" w:cs="Times New Roman"/>
          <w:sz w:val="24"/>
          <w:szCs w:val="24"/>
        </w:rPr>
        <w:t xml:space="preserve"> Power</w:t>
      </w:r>
      <w:r>
        <w:rPr>
          <w:rFonts w:ascii="Times New Roman" w:hAnsi="Times New Roman" w:cs="Times New Roman"/>
          <w:sz w:val="24"/>
          <w:szCs w:val="24"/>
        </w:rPr>
        <w:t>’s</w:t>
      </w:r>
      <w:r w:rsidR="00F550C7">
        <w:rPr>
          <w:rFonts w:ascii="Times New Roman" w:hAnsi="Times New Roman" w:cs="Times New Roman"/>
          <w:sz w:val="24"/>
          <w:szCs w:val="24"/>
        </w:rPr>
        <w:t xml:space="preserve"> Tariff No. 36</w:t>
      </w:r>
      <w:r>
        <w:rPr>
          <w:rFonts w:ascii="Times New Roman" w:hAnsi="Times New Roman" w:cs="Times New Roman"/>
          <w:sz w:val="24"/>
          <w:szCs w:val="24"/>
        </w:rPr>
        <w:t>) by operation of law until May 3, 2015 and</w:t>
      </w:r>
      <w:r w:rsidRPr="00C51565">
        <w:rPr>
          <w:rFonts w:ascii="Times New Roman" w:hAnsi="Times New Roman" w:cs="Times New Roman"/>
          <w:sz w:val="24"/>
          <w:szCs w:val="24"/>
        </w:rPr>
        <w:t xml:space="preserve"> directed the Office of Administrative Law Judge to hold </w:t>
      </w:r>
      <w:r>
        <w:rPr>
          <w:rFonts w:ascii="Times New Roman" w:hAnsi="Times New Roman" w:cs="Times New Roman"/>
          <w:sz w:val="24"/>
          <w:szCs w:val="24"/>
        </w:rPr>
        <w:t xml:space="preserve">appropriate evidentiary </w:t>
      </w:r>
      <w:r w:rsidRPr="00C51565">
        <w:rPr>
          <w:rFonts w:ascii="Times New Roman" w:hAnsi="Times New Roman" w:cs="Times New Roman"/>
          <w:sz w:val="24"/>
          <w:szCs w:val="24"/>
        </w:rPr>
        <w:t>proceedings and to render a Recommended Decision</w:t>
      </w:r>
      <w:r>
        <w:rPr>
          <w:rFonts w:ascii="Times New Roman" w:hAnsi="Times New Roman" w:cs="Times New Roman"/>
          <w:sz w:val="24"/>
          <w:szCs w:val="24"/>
        </w:rPr>
        <w:t xml:space="preserve"> in each proceeding</w:t>
      </w:r>
      <w:r w:rsidRPr="00C51565">
        <w:rPr>
          <w:rFonts w:ascii="Times New Roman" w:hAnsi="Times New Roman" w:cs="Times New Roman"/>
          <w:sz w:val="24"/>
          <w:szCs w:val="24"/>
        </w:rPr>
        <w:t xml:space="preserve">.  </w:t>
      </w:r>
    </w:p>
    <w:p w:rsidR="00D50CC1" w:rsidRDefault="00D50CC1" w:rsidP="00D50CC1">
      <w:pPr>
        <w:pStyle w:val="NoSpacing"/>
        <w:spacing w:line="360" w:lineRule="auto"/>
        <w:ind w:firstLine="1440"/>
        <w:rPr>
          <w:rFonts w:ascii="Times New Roman" w:hAnsi="Times New Roman" w:cs="Times New Roman"/>
          <w:sz w:val="24"/>
          <w:szCs w:val="24"/>
        </w:rPr>
      </w:pPr>
    </w:p>
    <w:p w:rsidR="00D50CC1" w:rsidRDefault="00D50CC1" w:rsidP="00D50CC1">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Notices of Appearance were filed on behalf of the Bureau of Investigation and Enforcement (BIE), the Office of </w:t>
      </w:r>
      <w:r w:rsidR="00352BE9">
        <w:rPr>
          <w:rFonts w:ascii="Times New Roman" w:hAnsi="Times New Roman" w:cs="Times New Roman"/>
          <w:sz w:val="24"/>
          <w:szCs w:val="24"/>
        </w:rPr>
        <w:t xml:space="preserve">Small Business Advocate (OSBA) and </w:t>
      </w:r>
      <w:r>
        <w:rPr>
          <w:rFonts w:ascii="Times New Roman" w:hAnsi="Times New Roman" w:cs="Times New Roman"/>
          <w:sz w:val="24"/>
          <w:szCs w:val="24"/>
        </w:rPr>
        <w:t>the Office of Consumer Advocate (OCA).  Formal comp</w:t>
      </w:r>
      <w:r w:rsidR="00352BE9">
        <w:rPr>
          <w:rFonts w:ascii="Times New Roman" w:hAnsi="Times New Roman" w:cs="Times New Roman"/>
          <w:sz w:val="24"/>
          <w:szCs w:val="24"/>
        </w:rPr>
        <w:t>laints were filed by OSBA</w:t>
      </w:r>
      <w:r w:rsidR="00F550C7">
        <w:rPr>
          <w:rFonts w:ascii="Times New Roman" w:hAnsi="Times New Roman" w:cs="Times New Roman"/>
          <w:sz w:val="24"/>
          <w:szCs w:val="24"/>
        </w:rPr>
        <w:t xml:space="preserve">, OCA, </w:t>
      </w:r>
      <w:r w:rsidR="00352BE9">
        <w:rPr>
          <w:rFonts w:ascii="Times New Roman" w:hAnsi="Times New Roman" w:cs="Times New Roman"/>
          <w:sz w:val="24"/>
          <w:szCs w:val="24"/>
        </w:rPr>
        <w:t>Penn Power Users Group (PPUG)</w:t>
      </w:r>
      <w:r w:rsidR="00F550C7">
        <w:rPr>
          <w:rFonts w:ascii="Times New Roman" w:hAnsi="Times New Roman" w:cs="Times New Roman"/>
          <w:sz w:val="24"/>
          <w:szCs w:val="24"/>
        </w:rPr>
        <w:t>, Pennsylvania State University (PSU), Noble Americas Energy Solutions LLC (Noble Americas), and the Environmental Defense Fund (EDF)</w:t>
      </w:r>
      <w:r w:rsidRPr="00352BE9">
        <w:rPr>
          <w:rFonts w:ascii="Times New Roman" w:hAnsi="Times New Roman" w:cs="Times New Roman"/>
          <w:sz w:val="24"/>
          <w:szCs w:val="24"/>
        </w:rPr>
        <w:t xml:space="preserve">, in addition to </w:t>
      </w:r>
      <w:r w:rsidR="00352BE9">
        <w:rPr>
          <w:rFonts w:ascii="Times New Roman" w:hAnsi="Times New Roman" w:cs="Times New Roman"/>
          <w:sz w:val="24"/>
          <w:szCs w:val="24"/>
        </w:rPr>
        <w:t xml:space="preserve">a </w:t>
      </w:r>
      <w:r w:rsidRPr="00352BE9">
        <w:rPr>
          <w:rFonts w:ascii="Times New Roman" w:hAnsi="Times New Roman" w:cs="Times New Roman"/>
          <w:sz w:val="24"/>
          <w:szCs w:val="24"/>
        </w:rPr>
        <w:t xml:space="preserve">formal complaint filed by </w:t>
      </w:r>
      <w:r w:rsidR="00352BE9" w:rsidRPr="00352BE9">
        <w:rPr>
          <w:rFonts w:ascii="Times New Roman" w:hAnsi="Times New Roman" w:cs="Times New Roman"/>
          <w:sz w:val="24"/>
          <w:szCs w:val="24"/>
        </w:rPr>
        <w:t>one</w:t>
      </w:r>
      <w:r w:rsidRPr="00352BE9">
        <w:rPr>
          <w:rFonts w:ascii="Times New Roman" w:hAnsi="Times New Roman" w:cs="Times New Roman"/>
          <w:sz w:val="24"/>
          <w:szCs w:val="24"/>
        </w:rPr>
        <w:t xml:space="preserve"> </w:t>
      </w:r>
      <w:r w:rsidR="00352BE9" w:rsidRPr="00352BE9">
        <w:rPr>
          <w:rFonts w:ascii="Times New Roman" w:hAnsi="Times New Roman" w:cs="Times New Roman"/>
          <w:sz w:val="24"/>
          <w:szCs w:val="24"/>
        </w:rPr>
        <w:t>individual residential customer</w:t>
      </w:r>
      <w:r w:rsidRPr="00352BE9">
        <w:rPr>
          <w:rFonts w:ascii="Times New Roman" w:hAnsi="Times New Roman" w:cs="Times New Roman"/>
          <w:sz w:val="24"/>
          <w:szCs w:val="24"/>
        </w:rPr>
        <w:t xml:space="preserve">: </w:t>
      </w:r>
      <w:r w:rsidR="00352BE9" w:rsidRPr="00352BE9">
        <w:rPr>
          <w:rFonts w:ascii="Times New Roman" w:hAnsi="Times New Roman"/>
          <w:spacing w:val="-3"/>
          <w:sz w:val="24"/>
          <w:szCs w:val="24"/>
        </w:rPr>
        <w:t xml:space="preserve">James F. </w:t>
      </w:r>
      <w:proofErr w:type="spellStart"/>
      <w:r w:rsidR="00352BE9" w:rsidRPr="00352BE9">
        <w:rPr>
          <w:rFonts w:ascii="Times New Roman" w:hAnsi="Times New Roman"/>
          <w:spacing w:val="-3"/>
          <w:sz w:val="24"/>
          <w:szCs w:val="24"/>
        </w:rPr>
        <w:t>Mrozek</w:t>
      </w:r>
      <w:proofErr w:type="spellEnd"/>
      <w:r w:rsidR="00352BE9" w:rsidRPr="00352BE9">
        <w:rPr>
          <w:rFonts w:ascii="Times New Roman" w:hAnsi="Times New Roman" w:cs="Times New Roman"/>
          <w:sz w:val="24"/>
          <w:szCs w:val="24"/>
        </w:rPr>
        <w:t xml:space="preserve">.  </w:t>
      </w:r>
      <w:r w:rsidRPr="00352BE9">
        <w:rPr>
          <w:rFonts w:ascii="Times New Roman" w:hAnsi="Times New Roman" w:cs="Times New Roman"/>
          <w:sz w:val="24"/>
          <w:szCs w:val="24"/>
        </w:rPr>
        <w:t xml:space="preserve">Petitions to Intervene were filed by: </w:t>
      </w:r>
      <w:r w:rsidRPr="00352BE9">
        <w:rPr>
          <w:rFonts w:ascii="Times New Roman" w:hAnsi="Times New Roman" w:cs="Times New Roman"/>
          <w:sz w:val="24"/>
          <w:szCs w:val="24"/>
        </w:rPr>
        <w:lastRenderedPageBreak/>
        <w:t xml:space="preserve">the </w:t>
      </w:r>
      <w:r w:rsidR="00F550C7">
        <w:rPr>
          <w:rFonts w:ascii="Times New Roman" w:hAnsi="Times New Roman" w:cs="Times New Roman"/>
          <w:sz w:val="24"/>
          <w:szCs w:val="24"/>
        </w:rPr>
        <w:t>Coalition for Affordable Utility Services and Energy Efficiency in Pennsylvania (CAUSE-PA)</w:t>
      </w:r>
      <w:r w:rsidRPr="00352BE9">
        <w:rPr>
          <w:rFonts w:ascii="Times New Roman" w:hAnsi="Times New Roman" w:cs="Times New Roman"/>
          <w:sz w:val="24"/>
          <w:szCs w:val="24"/>
        </w:rPr>
        <w:t xml:space="preserve">; </w:t>
      </w:r>
      <w:r>
        <w:rPr>
          <w:rFonts w:ascii="Times New Roman" w:hAnsi="Times New Roman" w:cs="Times New Roman"/>
          <w:sz w:val="24"/>
          <w:szCs w:val="24"/>
        </w:rPr>
        <w:t>and Wal-Mart Stores East, LP and Sam’s East, Inc. (Walmart).</w:t>
      </w:r>
    </w:p>
    <w:p w:rsidR="00D50CC1" w:rsidRDefault="00D50CC1" w:rsidP="00D50CC1">
      <w:pPr>
        <w:pStyle w:val="NoSpacing"/>
        <w:spacing w:line="360" w:lineRule="auto"/>
        <w:ind w:firstLine="1440"/>
        <w:rPr>
          <w:rFonts w:ascii="Times New Roman" w:hAnsi="Times New Roman" w:cs="Times New Roman"/>
          <w:sz w:val="24"/>
          <w:szCs w:val="24"/>
        </w:rPr>
      </w:pPr>
    </w:p>
    <w:p w:rsidR="00D50CC1" w:rsidRDefault="00D50CC1" w:rsidP="00D50CC1">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The Administrative Law Judges conducted a</w:t>
      </w:r>
      <w:r w:rsidRPr="00C51565">
        <w:rPr>
          <w:rFonts w:ascii="Times New Roman" w:hAnsi="Times New Roman" w:cs="Times New Roman"/>
          <w:sz w:val="24"/>
          <w:szCs w:val="24"/>
        </w:rPr>
        <w:t xml:space="preserve"> prehearing conference with the active parties on October 8, 2014 and </w:t>
      </w:r>
      <w:r>
        <w:rPr>
          <w:rFonts w:ascii="Times New Roman" w:hAnsi="Times New Roman" w:cs="Times New Roman"/>
          <w:sz w:val="24"/>
          <w:szCs w:val="24"/>
        </w:rPr>
        <w:t xml:space="preserve">established </w:t>
      </w:r>
      <w:r w:rsidRPr="00C51565">
        <w:rPr>
          <w:rFonts w:ascii="Times New Roman" w:hAnsi="Times New Roman" w:cs="Times New Roman"/>
          <w:sz w:val="24"/>
          <w:szCs w:val="24"/>
        </w:rPr>
        <w:t xml:space="preserve">a litigation schedule.  As a result, </w:t>
      </w:r>
      <w:r>
        <w:rPr>
          <w:rFonts w:ascii="Times New Roman" w:hAnsi="Times New Roman" w:cs="Times New Roman"/>
          <w:sz w:val="24"/>
          <w:szCs w:val="24"/>
        </w:rPr>
        <w:t xml:space="preserve">twelve </w:t>
      </w:r>
      <w:r w:rsidRPr="00C51565">
        <w:rPr>
          <w:rFonts w:ascii="Times New Roman" w:hAnsi="Times New Roman" w:cs="Times New Roman"/>
          <w:sz w:val="24"/>
          <w:szCs w:val="24"/>
        </w:rPr>
        <w:t xml:space="preserve">public input hearings </w:t>
      </w:r>
      <w:r>
        <w:rPr>
          <w:rFonts w:ascii="Times New Roman" w:hAnsi="Times New Roman" w:cs="Times New Roman"/>
          <w:sz w:val="24"/>
          <w:szCs w:val="24"/>
        </w:rPr>
        <w:t>were</w:t>
      </w:r>
      <w:r w:rsidRPr="00C51565">
        <w:rPr>
          <w:rFonts w:ascii="Times New Roman" w:hAnsi="Times New Roman" w:cs="Times New Roman"/>
          <w:sz w:val="24"/>
          <w:szCs w:val="24"/>
        </w:rPr>
        <w:t xml:space="preserve"> scheduled around the state </w:t>
      </w:r>
      <w:r>
        <w:rPr>
          <w:rFonts w:ascii="Times New Roman" w:hAnsi="Times New Roman" w:cs="Times New Roman"/>
          <w:sz w:val="24"/>
          <w:szCs w:val="24"/>
        </w:rPr>
        <w:t xml:space="preserve">in seven different locations </w:t>
      </w:r>
      <w:r w:rsidRPr="00C51565">
        <w:rPr>
          <w:rFonts w:ascii="Times New Roman" w:hAnsi="Times New Roman" w:cs="Times New Roman"/>
          <w:sz w:val="24"/>
          <w:szCs w:val="24"/>
        </w:rPr>
        <w:t xml:space="preserve">in order to obtain the input from customers and ratepayers about the proposed increases.  The </w:t>
      </w:r>
      <w:r>
        <w:rPr>
          <w:rFonts w:ascii="Times New Roman" w:hAnsi="Times New Roman" w:cs="Times New Roman"/>
          <w:sz w:val="24"/>
          <w:szCs w:val="24"/>
        </w:rPr>
        <w:t>Office of Administrative Law Judge conducted t</w:t>
      </w:r>
      <w:r w:rsidRPr="00C51565">
        <w:rPr>
          <w:rFonts w:ascii="Times New Roman" w:hAnsi="Times New Roman" w:cs="Times New Roman"/>
          <w:sz w:val="24"/>
          <w:szCs w:val="24"/>
        </w:rPr>
        <w:t xml:space="preserve">hose public input hearings </w:t>
      </w:r>
      <w:r>
        <w:rPr>
          <w:rFonts w:ascii="Times New Roman" w:hAnsi="Times New Roman" w:cs="Times New Roman"/>
          <w:sz w:val="24"/>
          <w:szCs w:val="24"/>
        </w:rPr>
        <w:t xml:space="preserve">on six different dates in November 2014 </w:t>
      </w:r>
      <w:r w:rsidRPr="00C51565">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C51565">
        <w:rPr>
          <w:rFonts w:ascii="Times New Roman" w:hAnsi="Times New Roman" w:cs="Times New Roman"/>
          <w:sz w:val="24"/>
          <w:szCs w:val="24"/>
        </w:rPr>
        <w:t>Warren, New Castle, Erie,</w:t>
      </w:r>
      <w:r>
        <w:rPr>
          <w:rFonts w:ascii="Times New Roman" w:hAnsi="Times New Roman" w:cs="Times New Roman"/>
          <w:sz w:val="24"/>
          <w:szCs w:val="24"/>
        </w:rPr>
        <w:t xml:space="preserve"> Washington, Uniontown</w:t>
      </w:r>
      <w:r w:rsidRPr="00C51565">
        <w:rPr>
          <w:rFonts w:ascii="Times New Roman" w:hAnsi="Times New Roman" w:cs="Times New Roman"/>
          <w:sz w:val="24"/>
          <w:szCs w:val="24"/>
        </w:rPr>
        <w:t xml:space="preserve">, Reading and East Stroudsburg.  </w:t>
      </w:r>
    </w:p>
    <w:p w:rsidR="00D50CC1" w:rsidRDefault="00D50CC1" w:rsidP="00D50CC1">
      <w:pPr>
        <w:pStyle w:val="NoSpacing"/>
        <w:spacing w:line="360" w:lineRule="auto"/>
        <w:ind w:firstLine="1440"/>
        <w:rPr>
          <w:rFonts w:ascii="Times New Roman" w:hAnsi="Times New Roman" w:cs="Times New Roman"/>
          <w:sz w:val="24"/>
          <w:szCs w:val="24"/>
        </w:rPr>
      </w:pPr>
    </w:p>
    <w:p w:rsidR="00D50CC1" w:rsidRPr="00C51565" w:rsidRDefault="00D50CC1" w:rsidP="00D50CC1">
      <w:pPr>
        <w:pStyle w:val="NoSpacing"/>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At the prehearing conference, the parties discussed a Motion to Compel filed by OCA against the Company because the Company refused to comply with reasonable discovery requests.  After discussion at the prehearing conference, the Company agreed to voluntarily extend the suspension period from May 3, 2015 to May 19, 2015 in order to provide all parties to conduct discovery.  The parties agreed, however, the Company would be permitted to recoup through a surcharge any revenues lost at the approved rates for the period from the statutorily prescribed end of suspension (i.e., May 3, 2015) through May 19, 2015, which is the new suspension date.    </w:t>
      </w:r>
    </w:p>
    <w:p w:rsidR="00D50CC1" w:rsidRPr="00C51565"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rPr>
          <w:rFonts w:ascii="Times New Roman" w:hAnsi="Times New Roman" w:cs="Times New Roman"/>
          <w:sz w:val="24"/>
          <w:szCs w:val="24"/>
        </w:rPr>
      </w:pPr>
      <w:r w:rsidRPr="005253EE">
        <w:rPr>
          <w:rFonts w:ascii="Times New Roman" w:hAnsi="Times New Roman" w:cs="Times New Roman"/>
          <w:sz w:val="24"/>
          <w:szCs w:val="24"/>
        </w:rPr>
        <w:tab/>
      </w:r>
      <w:r w:rsidRPr="005253EE">
        <w:rPr>
          <w:rFonts w:ascii="Times New Roman" w:hAnsi="Times New Roman" w:cs="Times New Roman"/>
          <w:sz w:val="24"/>
          <w:szCs w:val="24"/>
        </w:rPr>
        <w:tab/>
        <w:t xml:space="preserve">On October 22, 2014, the presiding officers issued the Second Prehearing Order commemorating the discussions at the initial prehearing conference.  In that order, the parties were advised the evidentiary hearings would commence on Tuesday, January 13, 2015 and end on Friday, January 16, 2015.  The parties were further advised in that order that the four base rate proceedings were not consolidated with each other and should proceed separately but </w:t>
      </w:r>
      <w:r w:rsidR="00031F82">
        <w:rPr>
          <w:rFonts w:ascii="Times New Roman" w:hAnsi="Times New Roman" w:cs="Times New Roman"/>
          <w:sz w:val="24"/>
          <w:szCs w:val="24"/>
        </w:rPr>
        <w:t>c</w:t>
      </w:r>
      <w:r w:rsidRPr="005253EE">
        <w:rPr>
          <w:rFonts w:ascii="Times New Roman" w:hAnsi="Times New Roman" w:cs="Times New Roman"/>
          <w:sz w:val="24"/>
          <w:szCs w:val="24"/>
        </w:rPr>
        <w:t xml:space="preserve">oncurrently.  However, the presiding officers held in abeyance a final decision on consolidation until after October 31, 2014 and permitted the parties an opportunity to present a comprehensive plan.  In the same order, the presiding officers advised the parties that the four SMT-C Rider Services dockets would not be consolidated but would be considered along with the corresponding base rate proceedings.  </w:t>
      </w:r>
    </w:p>
    <w:p w:rsidR="00D50CC1"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On October 29, 2014, the Company filed a suspension tariff supplement extending the suspension period from May 3, 2015 to May 19, 2015.</w:t>
      </w:r>
    </w:p>
    <w:p w:rsidR="00D50CC1" w:rsidRDefault="00D50CC1" w:rsidP="00D50CC1">
      <w:pPr>
        <w:pStyle w:val="NoSpacing"/>
        <w:spacing w:line="360" w:lineRule="auto"/>
        <w:rPr>
          <w:rFonts w:ascii="Times New Roman" w:hAnsi="Times New Roman" w:cs="Times New Roman"/>
          <w:sz w:val="24"/>
          <w:szCs w:val="24"/>
        </w:rPr>
      </w:pPr>
    </w:p>
    <w:p w:rsidR="00D50CC1" w:rsidRPr="005253EE" w:rsidRDefault="00D50CC1" w:rsidP="00D50CC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October 30, 2014, ALJ Buckley issued a Prehearing Order Granting the Motion to Compel Filed by the Office of Consumer Advocate, which ordered the Companies to provide the information requested in OCA’s Interrogatories Set II.  </w:t>
      </w:r>
    </w:p>
    <w:p w:rsidR="00D50CC1" w:rsidRDefault="00D50CC1" w:rsidP="00D50CC1">
      <w:pPr>
        <w:rPr>
          <w:szCs w:val="24"/>
        </w:rPr>
      </w:pPr>
    </w:p>
    <w:p w:rsidR="00D50CC1" w:rsidRDefault="00D50CC1" w:rsidP="00D50CC1">
      <w:pPr>
        <w:rPr>
          <w:szCs w:val="24"/>
        </w:rPr>
      </w:pPr>
      <w:r>
        <w:rPr>
          <w:szCs w:val="24"/>
        </w:rPr>
        <w:tab/>
      </w:r>
      <w:r>
        <w:rPr>
          <w:szCs w:val="24"/>
        </w:rPr>
        <w:tab/>
        <w:t xml:space="preserve">On October 31, 2014, the Companies submitted a proposal in which the Companies proposed written statements “will clearly demarcate the sections specifically pertaining to each Company (i.e., on a Company-by-Company basis) that is being addressed in that statement and will provide separate exhibits or schedules, as applicable, setting forth or addressing adjustments related to each such Company.  The parties will endeavor to address common issues in a manner that avoids duplication and undue repetition.”  In addition, the Companies proposed to submit only one main brief and one reply brief for all issues in all four base rate case dockets, and would follow a common table of contents delineating substantive areas being addressed.  The other active parties authorized the Companies to indicate there was an agreement amongst the parties to use this method of proceeding forward.  The presiding officers rejected this plan by Interim Order dated November 18, 2014.  </w:t>
      </w:r>
    </w:p>
    <w:p w:rsidR="00D50CC1" w:rsidRDefault="00D50CC1" w:rsidP="00D50CC1">
      <w:pPr>
        <w:rPr>
          <w:szCs w:val="24"/>
        </w:rPr>
      </w:pPr>
    </w:p>
    <w:p w:rsidR="00D50CC1" w:rsidRDefault="00D50CC1" w:rsidP="00D50CC1">
      <w:pPr>
        <w:rPr>
          <w:szCs w:val="24"/>
        </w:rPr>
      </w:pPr>
      <w:r>
        <w:rPr>
          <w:szCs w:val="24"/>
        </w:rPr>
        <w:tab/>
      </w:r>
      <w:r>
        <w:rPr>
          <w:szCs w:val="24"/>
        </w:rPr>
        <w:tab/>
        <w:t>On November 7, 2014, ALJ Buckley issued the Order Granting Petition to Intervene of Wal-Mart Stores East, LP and Sam’s East, Inc.</w:t>
      </w:r>
    </w:p>
    <w:p w:rsidR="00D50CC1" w:rsidRDefault="00D50CC1" w:rsidP="00D50CC1">
      <w:pPr>
        <w:rPr>
          <w:rFonts w:ascii="Times New Roman" w:hAnsi="Times New Roman"/>
        </w:rPr>
      </w:pPr>
    </w:p>
    <w:p w:rsidR="00D50CC1" w:rsidRPr="005253EE" w:rsidRDefault="00D50CC1" w:rsidP="00D50CC1">
      <w:pPr>
        <w:pStyle w:val="NoSpacing"/>
        <w:spacing w:line="360" w:lineRule="auto"/>
        <w:rPr>
          <w:rFonts w:ascii="Times New Roman" w:hAnsi="Times New Roman" w:cs="Times New Roman"/>
          <w:sz w:val="24"/>
          <w:szCs w:val="24"/>
        </w:rPr>
      </w:pPr>
      <w:r w:rsidRPr="005253EE">
        <w:rPr>
          <w:rFonts w:ascii="Times New Roman" w:hAnsi="Times New Roman" w:cs="Times New Roman"/>
          <w:sz w:val="24"/>
          <w:szCs w:val="24"/>
        </w:rPr>
        <w:tab/>
      </w:r>
      <w:r w:rsidRPr="005253EE">
        <w:rPr>
          <w:rFonts w:ascii="Times New Roman" w:hAnsi="Times New Roman" w:cs="Times New Roman"/>
          <w:sz w:val="24"/>
          <w:szCs w:val="24"/>
        </w:rPr>
        <w:tab/>
        <w:t xml:space="preserve">On November 18, 2014, the presiding officers issued the First Interim Order in which the requests to consolidate the four base rate proceedings into one proceeding were denied.  The presiding officers indicated the four base proceedings (with the corresponding Smart Meter Charge litigated simultaneously but separately) would be litigated side-by-side and would have separate hearing records, separate witness statements, separate exhibits, and separate briefs.  </w:t>
      </w:r>
    </w:p>
    <w:p w:rsidR="00D50CC1" w:rsidRPr="005253EE"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rPr>
          <w:rFonts w:ascii="Times New Roman" w:hAnsi="Times New Roman" w:cs="Times New Roman"/>
          <w:sz w:val="24"/>
          <w:szCs w:val="24"/>
        </w:rPr>
      </w:pPr>
      <w:r w:rsidRPr="005253EE">
        <w:rPr>
          <w:rFonts w:ascii="Times New Roman" w:hAnsi="Times New Roman" w:cs="Times New Roman"/>
          <w:sz w:val="24"/>
          <w:szCs w:val="24"/>
        </w:rPr>
        <w:tab/>
      </w:r>
      <w:r w:rsidRPr="005253EE">
        <w:rPr>
          <w:rFonts w:ascii="Times New Roman" w:hAnsi="Times New Roman" w:cs="Times New Roman"/>
          <w:sz w:val="24"/>
          <w:szCs w:val="24"/>
        </w:rPr>
        <w:tab/>
        <w:t xml:space="preserve">On November 25, 2014, in response to allegations and testimony obtained at the public input hearings in these proceedings, the presiding officers conducted a second prehearing </w:t>
      </w:r>
      <w:r w:rsidRPr="005253EE">
        <w:rPr>
          <w:rFonts w:ascii="Times New Roman" w:hAnsi="Times New Roman" w:cs="Times New Roman"/>
          <w:sz w:val="24"/>
          <w:szCs w:val="24"/>
        </w:rPr>
        <w:lastRenderedPageBreak/>
        <w:t xml:space="preserve">conference with the parties, and indicated each utility would be assigned one date in January 2015 when the applicable evidence could be presented and admitted into the record.  The parties were advised the base rate evidentiary hearings, scheduled for the week of January 11, 2015, would be conducted separately for each utility in conjunction with the corresponding Smart Meter proceeding.  Specifically the parties were told the separate utilities would be handled on separate days.  Thereafter, on December 5, 2014, the presiding officers issued an </w:t>
      </w:r>
      <w:r>
        <w:rPr>
          <w:rFonts w:ascii="Times New Roman" w:hAnsi="Times New Roman" w:cs="Times New Roman"/>
          <w:sz w:val="24"/>
          <w:szCs w:val="24"/>
        </w:rPr>
        <w:t>o</w:t>
      </w:r>
      <w:r w:rsidRPr="005253EE">
        <w:rPr>
          <w:rFonts w:ascii="Times New Roman" w:hAnsi="Times New Roman" w:cs="Times New Roman"/>
          <w:sz w:val="24"/>
          <w:szCs w:val="24"/>
        </w:rPr>
        <w:t xml:space="preserve">rder discussing various procedural and substantive issues.  The presiding officers again requested the parties present a proposal how the parties want to present evidence at the hearings (to be conducted on January 13, 2015 through January 16, 2015) including providing the presiding officers with a witness matrix in which the parties would indicate the level of anticipated cross-examination.  </w:t>
      </w:r>
    </w:p>
    <w:p w:rsidR="00D50CC1" w:rsidRDefault="00D50CC1" w:rsidP="00D50CC1">
      <w:pPr>
        <w:pStyle w:val="NoSpacing"/>
        <w:spacing w:line="360" w:lineRule="auto"/>
        <w:rPr>
          <w:rFonts w:ascii="Times New Roman" w:hAnsi="Times New Roman" w:cs="Times New Roman"/>
          <w:sz w:val="24"/>
          <w:szCs w:val="24"/>
        </w:rPr>
      </w:pPr>
    </w:p>
    <w:p w:rsidR="00D50CC1" w:rsidRPr="005253EE" w:rsidRDefault="00D50CC1" w:rsidP="00D50CC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December 5, 2014, the presiding officers issued an Order which outlined for the active parties the six specific issues raised in the public input hearings.  The presiding officers ordered the Companies to address</w:t>
      </w:r>
      <w:r w:rsidR="00231A36">
        <w:rPr>
          <w:rFonts w:ascii="Times New Roman" w:hAnsi="Times New Roman" w:cs="Times New Roman"/>
          <w:sz w:val="24"/>
          <w:szCs w:val="24"/>
        </w:rPr>
        <w:t xml:space="preserve"> these issues either within its</w:t>
      </w:r>
      <w:r>
        <w:rPr>
          <w:rFonts w:ascii="Times New Roman" w:hAnsi="Times New Roman" w:cs="Times New Roman"/>
          <w:sz w:val="24"/>
          <w:szCs w:val="24"/>
        </w:rPr>
        <w:t xml:space="preserve"> rebuttal testimony due on December 18, 2014 or in a separate filing due by December 26, 2014.  The parties </w:t>
      </w:r>
      <w:r w:rsidR="00F550C7">
        <w:rPr>
          <w:rFonts w:ascii="Times New Roman" w:hAnsi="Times New Roman" w:cs="Times New Roman"/>
          <w:sz w:val="24"/>
          <w:szCs w:val="24"/>
        </w:rPr>
        <w:t>were</w:t>
      </w:r>
      <w:r>
        <w:rPr>
          <w:rFonts w:ascii="Times New Roman" w:hAnsi="Times New Roman" w:cs="Times New Roman"/>
          <w:sz w:val="24"/>
          <w:szCs w:val="24"/>
        </w:rPr>
        <w:t xml:space="preserve"> given an opportunity to respond on or before January 7, 2015.  The Companies were required to provide a witness matrix for the hearings scheduled in January 2015.  Lastly, the parties were reminded the Smart Meter proceedings and the base rate proceedings were not consolidated but could be handled simultaneously as required by the Commission in the suspension order.  </w:t>
      </w:r>
    </w:p>
    <w:p w:rsidR="00D50CC1" w:rsidRPr="005253EE"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rPr>
          <w:rFonts w:ascii="Times New Roman" w:hAnsi="Times New Roman" w:cs="Times New Roman"/>
          <w:sz w:val="24"/>
          <w:szCs w:val="24"/>
        </w:rPr>
      </w:pPr>
      <w:r w:rsidRPr="005253EE">
        <w:rPr>
          <w:rFonts w:ascii="Times New Roman" w:hAnsi="Times New Roman" w:cs="Times New Roman"/>
          <w:sz w:val="24"/>
          <w:szCs w:val="24"/>
        </w:rPr>
        <w:tab/>
      </w:r>
      <w:r w:rsidRPr="005253EE">
        <w:rPr>
          <w:rFonts w:ascii="Times New Roman" w:hAnsi="Times New Roman" w:cs="Times New Roman"/>
          <w:sz w:val="24"/>
          <w:szCs w:val="24"/>
        </w:rPr>
        <w:tab/>
        <w:t>On December 9, 2014, the presiding officers issued a Third Interim Order reminding the parties that the eight dockets were not consolidated.  Specifically, the presiding officers indicated the specific dates when each utility’s evidence would be handled, starting with West Penn on Monday, January 12, 2015; Penn Power on Tuesday, January 13, 2015; Penelec on Wednesday, January 14, 2015; and Met Ed on Thursday, January 15, 2015.  Any testimony not admitted previously due to a lack of time could be moved for admission on Friday, January 16, 2015.  Accordingly, the parties were advised to ensure all written statements and exhibits are separate for each utility if the parties hope to submit the same into the hearing record in these proceedings.  No written statement and/or exhibit would be admitted into the hearing record if it lists or covers factual information for more than one utility.</w:t>
      </w:r>
    </w:p>
    <w:p w:rsidR="00D50CC1" w:rsidRDefault="00D50CC1" w:rsidP="00D50CC1">
      <w:pPr>
        <w:pStyle w:val="NoSpacing"/>
        <w:spacing w:line="360" w:lineRule="auto"/>
        <w:rPr>
          <w:rFonts w:ascii="Times New Roman" w:hAnsi="Times New Roman" w:cs="Times New Roman"/>
          <w:sz w:val="24"/>
          <w:szCs w:val="24"/>
        </w:rPr>
      </w:pPr>
      <w:r w:rsidRPr="005253EE">
        <w:rPr>
          <w:rFonts w:ascii="Times New Roman" w:hAnsi="Times New Roman" w:cs="Times New Roman"/>
          <w:sz w:val="24"/>
          <w:szCs w:val="24"/>
        </w:rPr>
        <w:lastRenderedPageBreak/>
        <w:tab/>
      </w:r>
      <w:r w:rsidRPr="005253EE">
        <w:rPr>
          <w:rFonts w:ascii="Times New Roman" w:hAnsi="Times New Roman" w:cs="Times New Roman"/>
          <w:sz w:val="24"/>
          <w:szCs w:val="24"/>
        </w:rPr>
        <w:tab/>
        <w:t xml:space="preserve">On December 10, 2014, the parties submitted a list of problems and concerns, witness availability, a witness matrix, and then proposed a process for how the evidentiary hearings would be conducted.  In brief, the parties proposed to present testimony based on subject matter and without separating the testimony between the testimony unique to one base rate proceeding versus any other base rate proceeding.  The parties made no proposal concerning the handling of the Smart Meter proceedings.  The parties also provided a list of witnesses grouped by subject or issue area.  The parties made no provision for how testimony would be solicited from two witnesses from the Industrial Customer Group who are not available all four days in January 2015.  </w:t>
      </w:r>
    </w:p>
    <w:p w:rsidR="00D50CC1"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December 17, 201</w:t>
      </w:r>
      <w:r w:rsidR="004E4E5B">
        <w:rPr>
          <w:rFonts w:ascii="Times New Roman" w:hAnsi="Times New Roman" w:cs="Times New Roman"/>
          <w:sz w:val="24"/>
          <w:szCs w:val="24"/>
        </w:rPr>
        <w:t>4</w:t>
      </w:r>
      <w:r>
        <w:rPr>
          <w:rFonts w:ascii="Times New Roman" w:hAnsi="Times New Roman" w:cs="Times New Roman"/>
          <w:sz w:val="24"/>
          <w:szCs w:val="24"/>
        </w:rPr>
        <w:t>, the presiding officers issued a Protective Order at the request of the Company.</w:t>
      </w:r>
    </w:p>
    <w:p w:rsidR="00D50CC1"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December 29, 2014, the presiding officers issued the Fourth Interim Order which clarified the dates of the evidentiary hearings and outlines the progression of witnesses during the evidentiary hearings.  </w:t>
      </w:r>
    </w:p>
    <w:p w:rsidR="00D50CC1"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active parties engaged in settlement discussions during the discovery and evidentiary phases of this proceeding.  These discussions resulted in a Partial Settlement which settled all but one issue concerning a LED lighting issue between the Company and PennFuture, which was briefed by the Company and PennFuture.  </w:t>
      </w:r>
    </w:p>
    <w:p w:rsidR="00D50CC1" w:rsidRDefault="00D50CC1" w:rsidP="00D50CC1">
      <w:pPr>
        <w:pStyle w:val="NoSpacing"/>
        <w:spacing w:line="360" w:lineRule="auto"/>
        <w:rPr>
          <w:rFonts w:ascii="Times New Roman" w:hAnsi="Times New Roman" w:cs="Times New Roman"/>
          <w:sz w:val="24"/>
          <w:szCs w:val="24"/>
        </w:rPr>
      </w:pPr>
    </w:p>
    <w:p w:rsidR="00D50CC1" w:rsidRPr="005253EE" w:rsidRDefault="00D50CC1" w:rsidP="00D50CC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January 15, 2015, the presiding officers conducted an evidentiary hearing with the four FirstEnergy companies and all active parties, at which time the parties presented evidentiary statements and exhibits for admission into the hearing record.  All parties waived cross-examination of each other’s witnesses and the presiding officers admitted the written statements and exhibits into the hearing record.  A complete list of all the written statements and exhibits </w:t>
      </w:r>
      <w:r w:rsidR="00980C30">
        <w:rPr>
          <w:rFonts w:ascii="Times New Roman" w:hAnsi="Times New Roman" w:cs="Times New Roman"/>
          <w:sz w:val="24"/>
          <w:szCs w:val="24"/>
        </w:rPr>
        <w:t>are</w:t>
      </w:r>
      <w:r>
        <w:rPr>
          <w:rFonts w:ascii="Times New Roman" w:hAnsi="Times New Roman" w:cs="Times New Roman"/>
          <w:sz w:val="24"/>
          <w:szCs w:val="24"/>
        </w:rPr>
        <w:t xml:space="preserve"> attached </w:t>
      </w:r>
      <w:r w:rsidR="00980C30">
        <w:rPr>
          <w:rFonts w:ascii="Times New Roman" w:hAnsi="Times New Roman" w:cs="Times New Roman"/>
          <w:sz w:val="24"/>
          <w:szCs w:val="24"/>
        </w:rPr>
        <w:t>to the transcript from the evidentiary hearing conducted on January 15, 2015.</w:t>
      </w:r>
      <w:r>
        <w:rPr>
          <w:rFonts w:ascii="Times New Roman" w:hAnsi="Times New Roman" w:cs="Times New Roman"/>
          <w:sz w:val="24"/>
          <w:szCs w:val="24"/>
        </w:rPr>
        <w:t xml:space="preserve">  </w:t>
      </w:r>
    </w:p>
    <w:p w:rsidR="00D50CC1"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On February 4, 2015, the Company submitted a Joint Petition for Partial Settlement in which it was joined by BIE, OCA, OSBA, PSU, </w:t>
      </w:r>
      <w:r w:rsidR="009C52CA">
        <w:rPr>
          <w:rFonts w:ascii="Times New Roman" w:hAnsi="Times New Roman" w:cs="Times New Roman"/>
          <w:sz w:val="24"/>
          <w:szCs w:val="24"/>
        </w:rPr>
        <w:t>PPUG</w:t>
      </w:r>
      <w:r>
        <w:rPr>
          <w:rFonts w:ascii="Times New Roman" w:hAnsi="Times New Roman" w:cs="Times New Roman"/>
          <w:sz w:val="24"/>
          <w:szCs w:val="24"/>
        </w:rPr>
        <w:t>, Walm</w:t>
      </w:r>
      <w:r w:rsidR="009C52CA">
        <w:rPr>
          <w:rFonts w:ascii="Times New Roman" w:hAnsi="Times New Roman" w:cs="Times New Roman"/>
          <w:sz w:val="24"/>
          <w:szCs w:val="24"/>
        </w:rPr>
        <w:t>art, EDF, and CAUSE-PA</w:t>
      </w:r>
      <w:r>
        <w:rPr>
          <w:rFonts w:ascii="Times New Roman" w:hAnsi="Times New Roman" w:cs="Times New Roman"/>
          <w:sz w:val="24"/>
          <w:szCs w:val="24"/>
        </w:rPr>
        <w:t>.  The Company provided a copy of the Settl</w:t>
      </w:r>
      <w:r w:rsidR="009C52CA">
        <w:rPr>
          <w:rFonts w:ascii="Times New Roman" w:hAnsi="Times New Roman" w:cs="Times New Roman"/>
          <w:sz w:val="24"/>
          <w:szCs w:val="24"/>
        </w:rPr>
        <w:t>ement to the formal complainant</w:t>
      </w:r>
      <w:r>
        <w:rPr>
          <w:rFonts w:ascii="Times New Roman" w:hAnsi="Times New Roman" w:cs="Times New Roman"/>
          <w:sz w:val="24"/>
          <w:szCs w:val="24"/>
        </w:rPr>
        <w:t>.  On February 10, 2015, ALJ Dunderdale sent a letter to all the formal complainants in all four base rate proceedings in which the formal complainants were advised as to how to communicate their acceptance of or objection to the Petition for Partial Settlement.  Formal complainants were advised that all responses, whether to accept or object, were to be postmarked by Thursday, February 19, 2015.</w:t>
      </w:r>
      <w:r w:rsidR="00980C30">
        <w:rPr>
          <w:rFonts w:ascii="Times New Roman" w:hAnsi="Times New Roman" w:cs="Times New Roman"/>
          <w:sz w:val="24"/>
          <w:szCs w:val="24"/>
        </w:rPr>
        <w:t xml:space="preserve">  No response</w:t>
      </w:r>
      <w:r w:rsidR="009C52CA">
        <w:rPr>
          <w:rFonts w:ascii="Times New Roman" w:hAnsi="Times New Roman" w:cs="Times New Roman"/>
          <w:sz w:val="24"/>
          <w:szCs w:val="24"/>
        </w:rPr>
        <w:t xml:space="preserve"> wa</w:t>
      </w:r>
      <w:r w:rsidR="00980C30">
        <w:rPr>
          <w:rFonts w:ascii="Times New Roman" w:hAnsi="Times New Roman" w:cs="Times New Roman"/>
          <w:sz w:val="24"/>
          <w:szCs w:val="24"/>
        </w:rPr>
        <w:t xml:space="preserve">s received from </w:t>
      </w:r>
      <w:r w:rsidR="009C52CA">
        <w:rPr>
          <w:rFonts w:ascii="Times New Roman" w:hAnsi="Times New Roman" w:cs="Times New Roman"/>
          <w:sz w:val="24"/>
          <w:szCs w:val="24"/>
        </w:rPr>
        <w:t>the formal</w:t>
      </w:r>
      <w:r w:rsidR="00980C30">
        <w:rPr>
          <w:rFonts w:ascii="Times New Roman" w:hAnsi="Times New Roman" w:cs="Times New Roman"/>
          <w:sz w:val="24"/>
          <w:szCs w:val="24"/>
        </w:rPr>
        <w:t xml:space="preserve"> complainant in this proceeding.</w:t>
      </w:r>
    </w:p>
    <w:p w:rsidR="00D50CC1" w:rsidRDefault="00D50CC1" w:rsidP="00D50CC1">
      <w:pPr>
        <w:pStyle w:val="NoSpacing"/>
        <w:spacing w:line="360" w:lineRule="auto"/>
        <w:rPr>
          <w:rFonts w:ascii="Times New Roman" w:hAnsi="Times New Roman" w:cs="Times New Roman"/>
          <w:sz w:val="24"/>
          <w:szCs w:val="24"/>
        </w:rPr>
      </w:pPr>
    </w:p>
    <w:p w:rsidR="00D50CC1" w:rsidRDefault="00D50CC1" w:rsidP="00D50CC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February 23, 2015, ALJ Dunderdale issued the Fifth Interim Order which closed the hearing record.  </w:t>
      </w:r>
    </w:p>
    <w:p w:rsidR="00D50CC1" w:rsidRPr="005253EE" w:rsidRDefault="00D50CC1" w:rsidP="00D50CC1">
      <w:pPr>
        <w:pStyle w:val="NoSpacing"/>
        <w:spacing w:line="360" w:lineRule="auto"/>
        <w:rPr>
          <w:rFonts w:ascii="Times New Roman" w:hAnsi="Times New Roman" w:cs="Times New Roman"/>
          <w:sz w:val="24"/>
          <w:szCs w:val="24"/>
        </w:rPr>
      </w:pPr>
    </w:p>
    <w:p w:rsidR="00D50CC1" w:rsidRPr="003B7488" w:rsidRDefault="00D50CC1" w:rsidP="00D50CC1">
      <w:pPr>
        <w:rPr>
          <w:rFonts w:ascii="Times New Roman" w:hAnsi="Times New Roman"/>
          <w:u w:val="single"/>
        </w:rPr>
      </w:pPr>
      <w:r w:rsidRPr="003B7488">
        <w:rPr>
          <w:rFonts w:ascii="Times New Roman" w:hAnsi="Times New Roman"/>
        </w:rPr>
        <w:t>B.</w:t>
      </w:r>
      <w:r w:rsidRPr="003B7488">
        <w:rPr>
          <w:rFonts w:ascii="Times New Roman" w:hAnsi="Times New Roman"/>
        </w:rPr>
        <w:tab/>
      </w:r>
      <w:r w:rsidRPr="003B7488">
        <w:rPr>
          <w:rFonts w:ascii="Times New Roman" w:hAnsi="Times New Roman"/>
          <w:u w:val="single"/>
        </w:rPr>
        <w:t>Public Input Hearings</w:t>
      </w:r>
    </w:p>
    <w:p w:rsidR="00D50CC1" w:rsidRPr="003B7488" w:rsidRDefault="00D50CC1" w:rsidP="00D50CC1">
      <w:pPr>
        <w:rPr>
          <w:rFonts w:ascii="Times New Roman" w:hAnsi="Times New Roman"/>
        </w:rPr>
      </w:pPr>
    </w:p>
    <w:p w:rsidR="00D50CC1" w:rsidRPr="003B7488" w:rsidRDefault="00D50CC1" w:rsidP="00D50CC1">
      <w:pPr>
        <w:tabs>
          <w:tab w:val="left" w:pos="-720"/>
        </w:tabs>
        <w:suppressAutoHyphens/>
        <w:rPr>
          <w:rFonts w:ascii="Times New Roman" w:hAnsi="Times New Roman"/>
          <w:spacing w:val="-3"/>
        </w:rPr>
      </w:pPr>
      <w:r w:rsidRPr="003B7488">
        <w:rPr>
          <w:rFonts w:ascii="Times New Roman" w:hAnsi="Times New Roman"/>
          <w:spacing w:val="-3"/>
        </w:rPr>
        <w:tab/>
      </w:r>
      <w:r w:rsidRPr="003B7488">
        <w:rPr>
          <w:rFonts w:ascii="Times New Roman" w:hAnsi="Times New Roman"/>
          <w:spacing w:val="-3"/>
        </w:rPr>
        <w:tab/>
        <w:t xml:space="preserve">The Commission received approximately </w:t>
      </w:r>
      <w:r>
        <w:rPr>
          <w:rFonts w:ascii="Times New Roman" w:hAnsi="Times New Roman"/>
          <w:spacing w:val="-3"/>
        </w:rPr>
        <w:t>eighteen (18) </w:t>
      </w:r>
      <w:r w:rsidRPr="003B7488">
        <w:rPr>
          <w:rFonts w:ascii="Times New Roman" w:hAnsi="Times New Roman"/>
          <w:spacing w:val="-3"/>
        </w:rPr>
        <w:t xml:space="preserve">formal customer complaints in the </w:t>
      </w:r>
      <w:r>
        <w:rPr>
          <w:rFonts w:ascii="Times New Roman" w:hAnsi="Times New Roman"/>
          <w:spacing w:val="-3"/>
        </w:rPr>
        <w:t xml:space="preserve">four </w:t>
      </w:r>
      <w:r w:rsidRPr="003B7488">
        <w:rPr>
          <w:rFonts w:ascii="Times New Roman" w:hAnsi="Times New Roman"/>
          <w:spacing w:val="-3"/>
        </w:rPr>
        <w:t>base rate matter</w:t>
      </w:r>
      <w:r>
        <w:rPr>
          <w:rFonts w:ascii="Times New Roman" w:hAnsi="Times New Roman"/>
          <w:spacing w:val="-3"/>
        </w:rPr>
        <w:t>s</w:t>
      </w:r>
      <w:r w:rsidRPr="003B7488">
        <w:rPr>
          <w:rFonts w:ascii="Times New Roman" w:hAnsi="Times New Roman"/>
          <w:spacing w:val="-3"/>
        </w:rPr>
        <w:t xml:space="preserve">.  Accordingly, the </w:t>
      </w:r>
      <w:r>
        <w:rPr>
          <w:rFonts w:ascii="Times New Roman" w:hAnsi="Times New Roman"/>
          <w:spacing w:val="-3"/>
        </w:rPr>
        <w:t>presiding officers</w:t>
      </w:r>
      <w:r w:rsidRPr="003B7488">
        <w:rPr>
          <w:rFonts w:ascii="Times New Roman" w:hAnsi="Times New Roman"/>
          <w:spacing w:val="-3"/>
        </w:rPr>
        <w:t xml:space="preserve"> scheduled </w:t>
      </w:r>
      <w:r w:rsidR="00231A36">
        <w:rPr>
          <w:rFonts w:ascii="Times New Roman" w:hAnsi="Times New Roman"/>
          <w:spacing w:val="-3"/>
        </w:rPr>
        <w:t>a total of twelve</w:t>
      </w:r>
      <w:r w:rsidRPr="003B7488">
        <w:rPr>
          <w:rFonts w:ascii="Times New Roman" w:hAnsi="Times New Roman"/>
          <w:spacing w:val="-3"/>
        </w:rPr>
        <w:t xml:space="preserve"> public input hearings </w:t>
      </w:r>
      <w:r w:rsidR="00231A36">
        <w:rPr>
          <w:rFonts w:ascii="Times New Roman" w:hAnsi="Times New Roman"/>
          <w:spacing w:val="-3"/>
        </w:rPr>
        <w:t xml:space="preserve">in seven different locations </w:t>
      </w:r>
      <w:r w:rsidRPr="003B7488">
        <w:rPr>
          <w:rFonts w:ascii="Times New Roman" w:hAnsi="Times New Roman"/>
          <w:spacing w:val="-3"/>
        </w:rPr>
        <w:t xml:space="preserve">within the Company’s service territory </w:t>
      </w:r>
      <w:r>
        <w:rPr>
          <w:rFonts w:ascii="Times New Roman" w:hAnsi="Times New Roman"/>
          <w:spacing w:val="-3"/>
        </w:rPr>
        <w:t xml:space="preserve">as well as the service territories of the other three FirstEnergy-related companies.  These public input hearings were scheduled </w:t>
      </w:r>
      <w:r w:rsidRPr="003B7488">
        <w:rPr>
          <w:rFonts w:ascii="Times New Roman" w:hAnsi="Times New Roman"/>
          <w:spacing w:val="-3"/>
        </w:rPr>
        <w:t xml:space="preserve">in order to provide customers with an opportunity to comment and testify concerning this proceeding.  </w:t>
      </w:r>
    </w:p>
    <w:p w:rsidR="00D50CC1" w:rsidRPr="003B7488" w:rsidRDefault="00D50CC1" w:rsidP="00D50CC1">
      <w:pPr>
        <w:tabs>
          <w:tab w:val="left" w:pos="-720"/>
        </w:tabs>
        <w:suppressAutoHyphens/>
        <w:rPr>
          <w:rFonts w:ascii="Times New Roman" w:hAnsi="Times New Roman"/>
          <w:spacing w:val="-3"/>
        </w:rPr>
      </w:pPr>
    </w:p>
    <w:p w:rsidR="00D50CC1" w:rsidRPr="003B7488" w:rsidRDefault="00D50CC1" w:rsidP="00D50CC1">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sidRPr="003B7488">
        <w:rPr>
          <w:rFonts w:ascii="Times New Roman" w:hAnsi="Times New Roman"/>
          <w:spacing w:val="-3"/>
        </w:rPr>
        <w:t>The Company was directed to provide notice to the public through advertisements in newspapers of general circu</w:t>
      </w:r>
      <w:r>
        <w:rPr>
          <w:rFonts w:ascii="Times New Roman" w:hAnsi="Times New Roman"/>
          <w:spacing w:val="-3"/>
        </w:rPr>
        <w:t xml:space="preserve">lation within the service area.  The following number of individuals appeared and testified </w:t>
      </w:r>
      <w:r w:rsidR="00980C30">
        <w:rPr>
          <w:rFonts w:ascii="Times New Roman" w:hAnsi="Times New Roman"/>
          <w:spacing w:val="-3"/>
        </w:rPr>
        <w:t xml:space="preserve">on the record with a court reporter present </w:t>
      </w:r>
      <w:r>
        <w:rPr>
          <w:rFonts w:ascii="Times New Roman" w:hAnsi="Times New Roman"/>
          <w:spacing w:val="-3"/>
        </w:rPr>
        <w:t>at the following public input locations:</w:t>
      </w:r>
    </w:p>
    <w:p w:rsidR="00D50CC1" w:rsidRDefault="00D50CC1" w:rsidP="00D13626">
      <w:pPr>
        <w:spacing w:line="240" w:lineRule="auto"/>
        <w:rPr>
          <w:rFonts w:ascii="Times New Roman" w:hAnsi="Times New Roman"/>
          <w:spacing w:val="-3"/>
        </w:rPr>
      </w:pP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Warren, Pennsylvania on November 5, 2014</w:t>
      </w: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Afternoon session: </w:t>
      </w:r>
      <w:r>
        <w:rPr>
          <w:rFonts w:ascii="Times New Roman" w:hAnsi="Times New Roman"/>
          <w:spacing w:val="-3"/>
        </w:rPr>
        <w:tab/>
        <w:t>0</w:t>
      </w: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Evening session: </w:t>
      </w:r>
      <w:r>
        <w:rPr>
          <w:rFonts w:ascii="Times New Roman" w:hAnsi="Times New Roman"/>
          <w:spacing w:val="-3"/>
        </w:rPr>
        <w:tab/>
        <w:t>0</w:t>
      </w: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New Castle, Pennsylvania on November 7, 2014</w:t>
      </w: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Afternoon session: </w:t>
      </w:r>
      <w:r>
        <w:rPr>
          <w:rFonts w:ascii="Times New Roman" w:hAnsi="Times New Roman"/>
          <w:spacing w:val="-3"/>
        </w:rPr>
        <w:tab/>
        <w:t>2</w:t>
      </w:r>
    </w:p>
    <w:p w:rsidR="00D50CC1" w:rsidRPr="003B7488" w:rsidRDefault="00D50CC1" w:rsidP="00D50CC1">
      <w:pPr>
        <w:rPr>
          <w:rFonts w:ascii="Times New Roman" w:hAnsi="Times New Roman"/>
          <w:spacing w:val="-3"/>
        </w:rPr>
      </w:pPr>
      <w:r>
        <w:rPr>
          <w:rFonts w:ascii="Times New Roman" w:hAnsi="Times New Roman"/>
          <w:spacing w:val="-3"/>
        </w:rPr>
        <w:lastRenderedPageBreak/>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Evening </w:t>
      </w:r>
      <w:r w:rsidR="0091439A">
        <w:rPr>
          <w:rFonts w:ascii="Times New Roman" w:hAnsi="Times New Roman"/>
          <w:spacing w:val="-3"/>
        </w:rPr>
        <w:t xml:space="preserve">session: </w:t>
      </w:r>
      <w:r w:rsidR="0091439A">
        <w:rPr>
          <w:rFonts w:ascii="Times New Roman" w:hAnsi="Times New Roman"/>
          <w:spacing w:val="-3"/>
        </w:rPr>
        <w:tab/>
        <w:t>0</w:t>
      </w:r>
    </w:p>
    <w:p w:rsidR="00D50CC1" w:rsidRDefault="0091439A"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Erie, </w:t>
      </w:r>
      <w:r w:rsidR="00D50CC1">
        <w:rPr>
          <w:rFonts w:ascii="Times New Roman" w:hAnsi="Times New Roman"/>
          <w:spacing w:val="-3"/>
        </w:rPr>
        <w:t>Pennsylvania on November 10, 2014</w:t>
      </w: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Afternoon session: </w:t>
      </w:r>
      <w:r>
        <w:rPr>
          <w:rFonts w:ascii="Times New Roman" w:hAnsi="Times New Roman"/>
          <w:spacing w:val="-3"/>
        </w:rPr>
        <w:tab/>
        <w:t>9</w:t>
      </w:r>
    </w:p>
    <w:p w:rsidR="00D50CC1" w:rsidRPr="003B7488"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Evening session: </w:t>
      </w:r>
      <w:r>
        <w:rPr>
          <w:rFonts w:ascii="Times New Roman" w:hAnsi="Times New Roman"/>
          <w:spacing w:val="-3"/>
        </w:rPr>
        <w:tab/>
        <w:t>3</w:t>
      </w:r>
    </w:p>
    <w:p w:rsidR="00D50CC1" w:rsidRDefault="00D50CC1" w:rsidP="00D50CC1">
      <w:pPr>
        <w:rPr>
          <w:rFonts w:ascii="Times New Roman" w:hAnsi="Times New Roman"/>
          <w:spacing w:val="-3"/>
        </w:rPr>
      </w:pP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Washington, Pennsylvania on November 13, 2014</w:t>
      </w: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Afternoon session: </w:t>
      </w:r>
      <w:r>
        <w:rPr>
          <w:rFonts w:ascii="Times New Roman" w:hAnsi="Times New Roman"/>
          <w:spacing w:val="-3"/>
        </w:rPr>
        <w:tab/>
        <w:t>6</w:t>
      </w:r>
    </w:p>
    <w:p w:rsidR="00D50CC1" w:rsidRDefault="00D50CC1" w:rsidP="00D50CC1">
      <w:pPr>
        <w:rPr>
          <w:rFonts w:ascii="Times New Roman" w:hAnsi="Times New Roman"/>
          <w:spacing w:val="-3"/>
        </w:rPr>
      </w:pP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Uniontown, Pennsylvania on November 13, 2014</w:t>
      </w:r>
    </w:p>
    <w:p w:rsidR="00D50CC1" w:rsidRPr="003B7488"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Evening session: </w:t>
      </w:r>
      <w:r>
        <w:rPr>
          <w:rFonts w:ascii="Times New Roman" w:hAnsi="Times New Roman"/>
          <w:spacing w:val="-3"/>
        </w:rPr>
        <w:tab/>
        <w:t>23</w:t>
      </w:r>
    </w:p>
    <w:p w:rsidR="00D50CC1" w:rsidRDefault="00D50CC1" w:rsidP="00D50CC1">
      <w:pPr>
        <w:rPr>
          <w:rFonts w:ascii="Times New Roman" w:hAnsi="Times New Roman"/>
          <w:spacing w:val="-3"/>
        </w:rPr>
      </w:pP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East Stroudsburg, Pennsylvania on November 17, 2014</w:t>
      </w: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Afternoon session: </w:t>
      </w:r>
      <w:r>
        <w:rPr>
          <w:rFonts w:ascii="Times New Roman" w:hAnsi="Times New Roman"/>
          <w:spacing w:val="-3"/>
        </w:rPr>
        <w:tab/>
        <w:t>4</w:t>
      </w:r>
    </w:p>
    <w:p w:rsidR="00D50CC1" w:rsidRPr="003B7488"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Evening session: </w:t>
      </w:r>
      <w:r>
        <w:rPr>
          <w:rFonts w:ascii="Times New Roman" w:hAnsi="Times New Roman"/>
          <w:spacing w:val="-3"/>
        </w:rPr>
        <w:tab/>
        <w:t>8</w:t>
      </w:r>
    </w:p>
    <w:p w:rsidR="00D50CC1" w:rsidRPr="006C3DD2" w:rsidRDefault="00D50CC1" w:rsidP="00D50CC1">
      <w:pPr>
        <w:rPr>
          <w:rFonts w:ascii="Times New Roman" w:hAnsi="Times New Roman"/>
          <w:szCs w:val="24"/>
        </w:rPr>
      </w:pP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t>Reading, Pennsylvania on November 18, 2014</w:t>
      </w:r>
    </w:p>
    <w:p w:rsidR="00D50CC1"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Afternoon session: </w:t>
      </w:r>
      <w:r>
        <w:rPr>
          <w:rFonts w:ascii="Times New Roman" w:hAnsi="Times New Roman"/>
          <w:spacing w:val="-3"/>
        </w:rPr>
        <w:tab/>
        <w:t>0</w:t>
      </w:r>
    </w:p>
    <w:p w:rsidR="00D50CC1" w:rsidRPr="003B7488" w:rsidRDefault="00D50CC1" w:rsidP="00D50CC1">
      <w:pPr>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 xml:space="preserve">Evening session: </w:t>
      </w:r>
      <w:r>
        <w:rPr>
          <w:rFonts w:ascii="Times New Roman" w:hAnsi="Times New Roman"/>
          <w:spacing w:val="-3"/>
        </w:rPr>
        <w:tab/>
        <w:t>4</w:t>
      </w:r>
    </w:p>
    <w:p w:rsidR="004F6031" w:rsidRDefault="004F6031" w:rsidP="00D50CC1">
      <w:pPr>
        <w:ind w:firstLine="1440"/>
        <w:rPr>
          <w:rFonts w:ascii="Times New Roman" w:hAnsi="Times New Roman"/>
          <w:szCs w:val="24"/>
        </w:rPr>
      </w:pPr>
    </w:p>
    <w:p w:rsidR="0063461E" w:rsidRDefault="0063461E" w:rsidP="00D50CC1">
      <w:pPr>
        <w:ind w:firstLine="1440"/>
        <w:rPr>
          <w:rFonts w:ascii="Times New Roman" w:hAnsi="Times New Roman"/>
          <w:szCs w:val="24"/>
        </w:rPr>
      </w:pPr>
      <w:r>
        <w:rPr>
          <w:rFonts w:ascii="Times New Roman" w:hAnsi="Times New Roman"/>
          <w:szCs w:val="24"/>
        </w:rPr>
        <w:t>Summary of Public Input Witness – Penn Power Company:</w:t>
      </w:r>
    </w:p>
    <w:p w:rsidR="0063461E" w:rsidRDefault="0063461E" w:rsidP="00D50CC1">
      <w:pPr>
        <w:ind w:firstLine="1440"/>
        <w:rPr>
          <w:rFonts w:ascii="Times New Roman" w:hAnsi="Times New Roman"/>
          <w:szCs w:val="24"/>
        </w:rPr>
      </w:pPr>
    </w:p>
    <w:p w:rsidR="00D50CC1" w:rsidRDefault="004F6031" w:rsidP="00D50CC1">
      <w:pPr>
        <w:ind w:firstLine="1440"/>
        <w:rPr>
          <w:rFonts w:ascii="Times New Roman" w:hAnsi="Times New Roman"/>
          <w:szCs w:val="24"/>
        </w:rPr>
      </w:pPr>
      <w:r>
        <w:rPr>
          <w:rFonts w:ascii="Times New Roman" w:hAnsi="Times New Roman"/>
          <w:szCs w:val="24"/>
        </w:rPr>
        <w:t xml:space="preserve">Ralph </w:t>
      </w:r>
      <w:proofErr w:type="spellStart"/>
      <w:r>
        <w:rPr>
          <w:rFonts w:ascii="Times New Roman" w:hAnsi="Times New Roman"/>
          <w:szCs w:val="24"/>
        </w:rPr>
        <w:t>C</w:t>
      </w:r>
      <w:r w:rsidR="00D50CC1" w:rsidRPr="006C3DD2">
        <w:rPr>
          <w:rFonts w:ascii="Times New Roman" w:hAnsi="Times New Roman"/>
          <w:szCs w:val="24"/>
        </w:rPr>
        <w:t>ambro</w:t>
      </w:r>
      <w:proofErr w:type="spellEnd"/>
      <w:r w:rsidR="00D50CC1" w:rsidRPr="006C3DD2">
        <w:rPr>
          <w:rFonts w:ascii="Times New Roman" w:hAnsi="Times New Roman"/>
          <w:szCs w:val="24"/>
        </w:rPr>
        <w:t xml:space="preserve"> testified in New Castle, Pennsylvania and has been a customer of Penn Power for 36 years.  He testified there should be some period of time, with progress in energy discoveries, when customers, such as </w:t>
      </w:r>
      <w:proofErr w:type="gramStart"/>
      <w:r w:rsidR="00D50CC1" w:rsidRPr="006C3DD2">
        <w:rPr>
          <w:rFonts w:ascii="Times New Roman" w:hAnsi="Times New Roman"/>
          <w:szCs w:val="24"/>
        </w:rPr>
        <w:t>himself</w:t>
      </w:r>
      <w:proofErr w:type="gramEnd"/>
      <w:r w:rsidR="00D50CC1" w:rsidRPr="006C3DD2">
        <w:rPr>
          <w:rFonts w:ascii="Times New Roman" w:hAnsi="Times New Roman"/>
          <w:szCs w:val="24"/>
        </w:rPr>
        <w:t xml:space="preserve">, will be granted a rebate for all the higher rates they have had to pay.  He pointed out that the Commission can give the utility company permission to increase its rates but no one is increasing his retirement income or assistance.  He says he is at the mercy of the utilities that charge higher rates and there is nothing he can do to stop it.  Mr. </w:t>
      </w:r>
      <w:proofErr w:type="spellStart"/>
      <w:r w:rsidR="00D50CC1" w:rsidRPr="006C3DD2">
        <w:rPr>
          <w:rFonts w:ascii="Times New Roman" w:hAnsi="Times New Roman"/>
          <w:szCs w:val="24"/>
        </w:rPr>
        <w:t>Cambro</w:t>
      </w:r>
      <w:proofErr w:type="spellEnd"/>
      <w:r w:rsidR="00D50CC1" w:rsidRPr="006C3DD2">
        <w:rPr>
          <w:rFonts w:ascii="Times New Roman" w:hAnsi="Times New Roman"/>
          <w:szCs w:val="24"/>
        </w:rPr>
        <w:t xml:space="preserve"> testified Penn Power’s customer service has always been good and calls have been timely recognized and acknowledged.</w:t>
      </w:r>
    </w:p>
    <w:p w:rsidR="00121C69" w:rsidRDefault="00121C69" w:rsidP="00121C69">
      <w:pPr>
        <w:rPr>
          <w:rFonts w:ascii="Times New Roman" w:hAnsi="Times New Roman"/>
          <w:szCs w:val="24"/>
        </w:rPr>
      </w:pPr>
    </w:p>
    <w:p w:rsidR="00031F82" w:rsidRDefault="00031F82">
      <w:pPr>
        <w:spacing w:line="240" w:lineRule="auto"/>
        <w:rPr>
          <w:rFonts w:ascii="Times New Roman" w:hAnsi="Times New Roman"/>
        </w:rPr>
      </w:pPr>
      <w:r>
        <w:rPr>
          <w:rFonts w:ascii="Times New Roman" w:hAnsi="Times New Roman"/>
        </w:rPr>
        <w:br w:type="page"/>
      </w:r>
    </w:p>
    <w:p w:rsidR="00930F72" w:rsidRPr="003B7488" w:rsidRDefault="00930F72" w:rsidP="00930F72">
      <w:pPr>
        <w:rPr>
          <w:rFonts w:ascii="Times New Roman" w:hAnsi="Times New Roman"/>
          <w:szCs w:val="24"/>
        </w:rPr>
      </w:pPr>
      <w:r w:rsidRPr="003B7488">
        <w:rPr>
          <w:rFonts w:ascii="Times New Roman" w:hAnsi="Times New Roman"/>
        </w:rPr>
        <w:lastRenderedPageBreak/>
        <w:t>C.</w:t>
      </w:r>
      <w:r w:rsidRPr="003B7488">
        <w:rPr>
          <w:rFonts w:ascii="Times New Roman" w:hAnsi="Times New Roman"/>
        </w:rPr>
        <w:tab/>
      </w:r>
      <w:r w:rsidRPr="003B7488">
        <w:rPr>
          <w:rFonts w:ascii="Times New Roman" w:hAnsi="Times New Roman"/>
          <w:u w:val="single"/>
        </w:rPr>
        <w:t>Description of the Company</w:t>
      </w:r>
      <w:bookmarkEnd w:id="0"/>
      <w:bookmarkEnd w:id="1"/>
      <w:bookmarkEnd w:id="2"/>
      <w:bookmarkEnd w:id="3"/>
      <w:bookmarkEnd w:id="4"/>
      <w:bookmarkEnd w:id="5"/>
      <w:bookmarkEnd w:id="6"/>
      <w:bookmarkEnd w:id="7"/>
      <w:bookmarkEnd w:id="8"/>
      <w:r w:rsidR="00FF47BD" w:rsidRPr="003B7488">
        <w:rPr>
          <w:rFonts w:ascii="Times New Roman" w:hAnsi="Times New Roman"/>
          <w:u w:val="single"/>
        </w:rPr>
        <w:fldChar w:fldCharType="begin"/>
      </w:r>
      <w:r w:rsidRPr="003B7488">
        <w:rPr>
          <w:rFonts w:ascii="Times New Roman" w:hAnsi="Times New Roman"/>
        </w:rPr>
        <w:instrText xml:space="preserve"> TC "</w:instrText>
      </w:r>
      <w:bookmarkStart w:id="9" w:name="_Toc206476785"/>
      <w:r w:rsidRPr="003B7488">
        <w:rPr>
          <w:rFonts w:ascii="Times New Roman" w:hAnsi="Times New Roman"/>
        </w:rPr>
        <w:instrText>C.</w:instrText>
      </w:r>
      <w:r w:rsidRPr="003B7488">
        <w:rPr>
          <w:rFonts w:ascii="Times New Roman" w:hAnsi="Times New Roman"/>
        </w:rPr>
        <w:tab/>
      </w:r>
      <w:r w:rsidRPr="003B7488">
        <w:rPr>
          <w:rFonts w:ascii="Times New Roman" w:hAnsi="Times New Roman"/>
          <w:u w:val="single"/>
        </w:rPr>
        <w:instrText>Description of the Company</w:instrText>
      </w:r>
      <w:bookmarkEnd w:id="9"/>
      <w:r w:rsidRPr="003B7488">
        <w:rPr>
          <w:rFonts w:ascii="Times New Roman" w:hAnsi="Times New Roman"/>
        </w:rPr>
        <w:instrText xml:space="preserve">" \f C \l "2" </w:instrText>
      </w:r>
      <w:r w:rsidR="00FF47BD" w:rsidRPr="003B7488">
        <w:rPr>
          <w:rFonts w:ascii="Times New Roman" w:hAnsi="Times New Roman"/>
          <w:u w:val="single"/>
        </w:rPr>
        <w:fldChar w:fldCharType="end"/>
      </w:r>
    </w:p>
    <w:p w:rsidR="00930F72" w:rsidRPr="003B7488" w:rsidRDefault="00930F72" w:rsidP="00930F72">
      <w:pPr>
        <w:pStyle w:val="BodyText"/>
        <w:rPr>
          <w:rFonts w:ascii="Times New Roman" w:hAnsi="Times New Roman"/>
          <w:szCs w:val="24"/>
        </w:rPr>
      </w:pPr>
    </w:p>
    <w:p w:rsidR="00EA20DE" w:rsidRDefault="00220E55" w:rsidP="00FA4F30">
      <w:pPr>
        <w:pStyle w:val="BodyText"/>
        <w:spacing w:after="0"/>
        <w:ind w:firstLine="1440"/>
        <w:rPr>
          <w:rFonts w:ascii="Times New Roman" w:hAnsi="Times New Roman"/>
          <w:szCs w:val="24"/>
        </w:rPr>
      </w:pPr>
      <w:r w:rsidRPr="003B7488">
        <w:rPr>
          <w:rFonts w:ascii="Times New Roman" w:hAnsi="Times New Roman"/>
          <w:szCs w:val="24"/>
        </w:rPr>
        <w:t xml:space="preserve">As noted by the parties in the Partial Settlement, </w:t>
      </w:r>
      <w:r w:rsidR="00F97659">
        <w:rPr>
          <w:rFonts w:ascii="Times New Roman" w:hAnsi="Times New Roman"/>
          <w:szCs w:val="24"/>
        </w:rPr>
        <w:t>Penn</w:t>
      </w:r>
      <w:r w:rsidRPr="003B7488">
        <w:rPr>
          <w:rFonts w:ascii="Times New Roman" w:hAnsi="Times New Roman"/>
          <w:szCs w:val="24"/>
        </w:rPr>
        <w:t xml:space="preserve"> </w:t>
      </w:r>
      <w:r w:rsidR="009C52CA">
        <w:rPr>
          <w:rFonts w:ascii="Times New Roman" w:hAnsi="Times New Roman"/>
          <w:szCs w:val="24"/>
        </w:rPr>
        <w:t xml:space="preserve">Power </w:t>
      </w:r>
      <w:r w:rsidRPr="003B7488">
        <w:rPr>
          <w:rFonts w:ascii="Times New Roman" w:hAnsi="Times New Roman"/>
        </w:rPr>
        <w:t>is a “public utility”</w:t>
      </w:r>
      <w:r w:rsidR="00F97659">
        <w:rPr>
          <w:rFonts w:ascii="Times New Roman" w:hAnsi="Times New Roman"/>
        </w:rPr>
        <w:t xml:space="preserve"> and “electric distribution company” (E</w:t>
      </w:r>
      <w:r w:rsidRPr="003B7488">
        <w:rPr>
          <w:rFonts w:ascii="Times New Roman" w:hAnsi="Times New Roman"/>
        </w:rPr>
        <w:t>DC) as those terms are defined in Sections</w:t>
      </w:r>
      <w:r w:rsidR="003E3797">
        <w:rPr>
          <w:rFonts w:ascii="Times New Roman" w:hAnsi="Times New Roman"/>
        </w:rPr>
        <w:t> </w:t>
      </w:r>
      <w:r w:rsidRPr="003B7488">
        <w:rPr>
          <w:rFonts w:ascii="Times New Roman" w:hAnsi="Times New Roman"/>
        </w:rPr>
        <w:t>102 and 2202 of the Pub</w:t>
      </w:r>
      <w:r w:rsidR="00D55658">
        <w:rPr>
          <w:rFonts w:ascii="Times New Roman" w:hAnsi="Times New Roman"/>
        </w:rPr>
        <w:t>lic Utilit</w:t>
      </w:r>
      <w:r w:rsidR="009C52CA">
        <w:rPr>
          <w:rFonts w:ascii="Times New Roman" w:hAnsi="Times New Roman"/>
        </w:rPr>
        <w:t xml:space="preserve">y Code, </w:t>
      </w:r>
      <w:r w:rsidR="00F00097">
        <w:rPr>
          <w:rFonts w:ascii="Times New Roman" w:hAnsi="Times New Roman"/>
        </w:rPr>
        <w:t xml:space="preserve">66 </w:t>
      </w:r>
      <w:r w:rsidR="002A76AF">
        <w:rPr>
          <w:rFonts w:ascii="Times New Roman" w:hAnsi="Times New Roman"/>
        </w:rPr>
        <w:t>Pa.C.S.</w:t>
      </w:r>
      <w:r w:rsidR="009C52CA">
        <w:rPr>
          <w:rFonts w:ascii="Times New Roman" w:hAnsi="Times New Roman"/>
        </w:rPr>
        <w:t xml:space="preserve">A. § </w:t>
      </w:r>
      <w:r w:rsidR="00F97659">
        <w:rPr>
          <w:rFonts w:ascii="Times New Roman" w:hAnsi="Times New Roman"/>
        </w:rPr>
        <w:t>102</w:t>
      </w:r>
      <w:r w:rsidR="00D55658">
        <w:rPr>
          <w:rFonts w:ascii="Times New Roman" w:hAnsi="Times New Roman"/>
        </w:rPr>
        <w:t xml:space="preserve"> and </w:t>
      </w:r>
      <w:r w:rsidR="009C52CA">
        <w:rPr>
          <w:rFonts w:ascii="Times New Roman" w:hAnsi="Times New Roman"/>
        </w:rPr>
        <w:t>§ 2803</w:t>
      </w:r>
      <w:r w:rsidRPr="003B7488">
        <w:rPr>
          <w:rFonts w:ascii="Times New Roman" w:hAnsi="Times New Roman"/>
        </w:rPr>
        <w:t xml:space="preserve">.  As such, </w:t>
      </w:r>
      <w:r w:rsidR="00F97659">
        <w:rPr>
          <w:rFonts w:ascii="Times New Roman" w:hAnsi="Times New Roman"/>
        </w:rPr>
        <w:t>Penn</w:t>
      </w:r>
      <w:r w:rsidR="009C52CA">
        <w:rPr>
          <w:rFonts w:ascii="Times New Roman" w:hAnsi="Times New Roman"/>
        </w:rPr>
        <w:t xml:space="preserve"> Power</w:t>
      </w:r>
      <w:r w:rsidRPr="003B7488">
        <w:rPr>
          <w:rFonts w:ascii="Times New Roman" w:hAnsi="Times New Roman"/>
        </w:rPr>
        <w:t xml:space="preserve"> provides </w:t>
      </w:r>
      <w:r w:rsidR="00F97659">
        <w:rPr>
          <w:rFonts w:ascii="Times New Roman" w:hAnsi="Times New Roman"/>
        </w:rPr>
        <w:t>electric</w:t>
      </w:r>
      <w:r w:rsidRPr="003B7488">
        <w:rPr>
          <w:rFonts w:ascii="Times New Roman" w:hAnsi="Times New Roman"/>
        </w:rPr>
        <w:t xml:space="preserve"> distribution, sales, transportation, and/or supplier of last resort services to retail customers in portions of </w:t>
      </w:r>
      <w:r w:rsidR="009C52CA">
        <w:rPr>
          <w:rFonts w:ascii="Times New Roman" w:hAnsi="Times New Roman"/>
        </w:rPr>
        <w:t>six</w:t>
      </w:r>
      <w:r w:rsidRPr="003B7488">
        <w:rPr>
          <w:rFonts w:ascii="Times New Roman" w:hAnsi="Times New Roman"/>
        </w:rPr>
        <w:t xml:space="preserve"> counties of </w:t>
      </w:r>
      <w:r w:rsidR="009C52CA">
        <w:rPr>
          <w:rFonts w:ascii="Times New Roman" w:hAnsi="Times New Roman"/>
        </w:rPr>
        <w:t xml:space="preserve">western </w:t>
      </w:r>
      <w:r w:rsidRPr="003B7488">
        <w:rPr>
          <w:rFonts w:ascii="Times New Roman" w:hAnsi="Times New Roman"/>
        </w:rPr>
        <w:t>Pennsylvania</w:t>
      </w:r>
      <w:r w:rsidR="009C52CA">
        <w:rPr>
          <w:rFonts w:ascii="Times New Roman" w:hAnsi="Times New Roman"/>
        </w:rPr>
        <w:t>: Allegheny, Beaver, Butler, Crawford, Lawrence, and Mercer</w:t>
      </w:r>
      <w:r w:rsidR="00930F72" w:rsidRPr="003B7488">
        <w:rPr>
          <w:rFonts w:ascii="Times New Roman" w:hAnsi="Times New Roman"/>
          <w:szCs w:val="24"/>
        </w:rPr>
        <w:t>.</w:t>
      </w:r>
    </w:p>
    <w:p w:rsidR="00B52EF5" w:rsidRPr="003B7488" w:rsidRDefault="00930F72" w:rsidP="00EA20DE">
      <w:pPr>
        <w:pStyle w:val="BodyText"/>
        <w:ind w:firstLine="1440"/>
        <w:rPr>
          <w:rFonts w:ascii="Times New Roman" w:hAnsi="Times New Roman"/>
          <w:szCs w:val="24"/>
        </w:rPr>
      </w:pPr>
      <w:r w:rsidRPr="003B7488">
        <w:rPr>
          <w:rFonts w:ascii="Times New Roman" w:hAnsi="Times New Roman"/>
          <w:szCs w:val="24"/>
        </w:rPr>
        <w:t xml:space="preserve"> </w:t>
      </w:r>
    </w:p>
    <w:p w:rsidR="00B52EF5" w:rsidRPr="003B7488" w:rsidRDefault="00B52EF5" w:rsidP="00EA20DE">
      <w:pPr>
        <w:tabs>
          <w:tab w:val="left" w:pos="-720"/>
        </w:tabs>
        <w:suppressAutoHyphens/>
        <w:rPr>
          <w:rFonts w:ascii="Times New Roman" w:hAnsi="Times New Roman"/>
          <w:u w:val="single"/>
        </w:rPr>
      </w:pPr>
      <w:r w:rsidRPr="003B7488">
        <w:rPr>
          <w:rFonts w:ascii="Times New Roman" w:hAnsi="Times New Roman"/>
        </w:rPr>
        <w:t>D.</w:t>
      </w:r>
      <w:bookmarkStart w:id="10" w:name="_Toc73927072"/>
      <w:bookmarkStart w:id="11" w:name="_Toc73928088"/>
      <w:bookmarkStart w:id="12" w:name="_Toc73928649"/>
      <w:bookmarkStart w:id="13" w:name="_Toc73932041"/>
      <w:bookmarkStart w:id="14" w:name="_Toc73936975"/>
      <w:bookmarkStart w:id="15" w:name="_Toc74633007"/>
      <w:bookmarkStart w:id="16" w:name="_Toc74642256"/>
      <w:bookmarkStart w:id="17" w:name="_Toc74643066"/>
      <w:r w:rsidRPr="003B7488">
        <w:rPr>
          <w:rFonts w:ascii="Times New Roman" w:hAnsi="Times New Roman"/>
        </w:rPr>
        <w:tab/>
      </w:r>
      <w:r w:rsidRPr="003B7488">
        <w:rPr>
          <w:rFonts w:ascii="Times New Roman" w:hAnsi="Times New Roman"/>
          <w:u w:val="single"/>
        </w:rPr>
        <w:t xml:space="preserve">Rate </w:t>
      </w:r>
      <w:bookmarkEnd w:id="10"/>
      <w:bookmarkEnd w:id="11"/>
      <w:bookmarkEnd w:id="12"/>
      <w:bookmarkEnd w:id="13"/>
      <w:bookmarkEnd w:id="14"/>
      <w:bookmarkEnd w:id="15"/>
      <w:bookmarkEnd w:id="16"/>
      <w:bookmarkEnd w:id="17"/>
      <w:r w:rsidR="002D2CD2" w:rsidRPr="003B7488">
        <w:rPr>
          <w:rFonts w:ascii="Times New Roman" w:hAnsi="Times New Roman"/>
          <w:u w:val="single"/>
        </w:rPr>
        <w:t>Requests</w:t>
      </w:r>
      <w:r w:rsidR="00FF47BD" w:rsidRPr="003B7488">
        <w:rPr>
          <w:rFonts w:ascii="Times New Roman" w:hAnsi="Times New Roman"/>
          <w:u w:val="single"/>
        </w:rPr>
        <w:fldChar w:fldCharType="begin"/>
      </w:r>
      <w:r w:rsidRPr="003B7488">
        <w:rPr>
          <w:rFonts w:ascii="Times New Roman" w:hAnsi="Times New Roman"/>
        </w:rPr>
        <w:instrText xml:space="preserve"> TC "</w:instrText>
      </w:r>
      <w:bookmarkStart w:id="18" w:name="_Toc206476786"/>
      <w:r w:rsidRPr="003B7488">
        <w:rPr>
          <w:rFonts w:ascii="Times New Roman" w:hAnsi="Times New Roman"/>
        </w:rPr>
        <w:instrText>D.</w:instrText>
      </w:r>
      <w:r w:rsidRPr="003B7488">
        <w:rPr>
          <w:rFonts w:ascii="Times New Roman" w:hAnsi="Times New Roman"/>
        </w:rPr>
        <w:tab/>
      </w:r>
      <w:r w:rsidRPr="003B7488">
        <w:rPr>
          <w:rFonts w:ascii="Times New Roman" w:hAnsi="Times New Roman"/>
          <w:u w:val="single"/>
        </w:rPr>
        <w:instrText>Rate Increase</w:instrText>
      </w:r>
      <w:bookmarkEnd w:id="18"/>
      <w:r w:rsidRPr="003B7488">
        <w:rPr>
          <w:rFonts w:ascii="Times New Roman" w:hAnsi="Times New Roman"/>
        </w:rPr>
        <w:instrText xml:space="preserve">" \f C \l "2" </w:instrText>
      </w:r>
      <w:r w:rsidR="00FF47BD" w:rsidRPr="003B7488">
        <w:rPr>
          <w:rFonts w:ascii="Times New Roman" w:hAnsi="Times New Roman"/>
          <w:u w:val="single"/>
        </w:rPr>
        <w:fldChar w:fldCharType="end"/>
      </w:r>
    </w:p>
    <w:p w:rsidR="00B52EF5" w:rsidRPr="003B7488" w:rsidRDefault="00B52EF5" w:rsidP="00EA20DE">
      <w:pPr>
        <w:tabs>
          <w:tab w:val="left" w:pos="-720"/>
        </w:tabs>
        <w:suppressAutoHyphens/>
        <w:rPr>
          <w:rFonts w:ascii="Times New Roman" w:hAnsi="Times New Roman"/>
        </w:rPr>
      </w:pPr>
    </w:p>
    <w:p w:rsidR="00F122AB" w:rsidRDefault="007A1668" w:rsidP="00EA20DE">
      <w:pPr>
        <w:tabs>
          <w:tab w:val="left" w:pos="-720"/>
        </w:tabs>
        <w:suppressAutoHyphens/>
        <w:rPr>
          <w:rFonts w:ascii="Times New Roman" w:hAnsi="Times New Roman"/>
        </w:rPr>
      </w:pPr>
      <w:r w:rsidRPr="003B7488">
        <w:rPr>
          <w:rFonts w:ascii="Times New Roman" w:hAnsi="Times New Roman"/>
        </w:rPr>
        <w:tab/>
      </w:r>
      <w:r w:rsidRPr="003B7488">
        <w:rPr>
          <w:rFonts w:ascii="Times New Roman" w:hAnsi="Times New Roman"/>
        </w:rPr>
        <w:tab/>
      </w:r>
      <w:r w:rsidR="009C52CA">
        <w:rPr>
          <w:rFonts w:ascii="Times New Roman" w:hAnsi="Times New Roman"/>
        </w:rPr>
        <w:t>Penn Power’s</w:t>
      </w:r>
      <w:r w:rsidRPr="003B7488">
        <w:rPr>
          <w:rFonts w:ascii="Times New Roman" w:hAnsi="Times New Roman"/>
        </w:rPr>
        <w:t xml:space="preserve"> increase request, as filed, </w:t>
      </w:r>
      <w:r w:rsidR="00916265">
        <w:rPr>
          <w:rFonts w:ascii="Times New Roman" w:hAnsi="Times New Roman"/>
        </w:rPr>
        <w:t xml:space="preserve">initially </w:t>
      </w:r>
      <w:r w:rsidR="002D2CD2" w:rsidRPr="003B7488">
        <w:rPr>
          <w:rFonts w:ascii="Times New Roman" w:hAnsi="Times New Roman"/>
        </w:rPr>
        <w:t xml:space="preserve">proposed increased rates designed to produce an overall revenue increase of </w:t>
      </w:r>
      <w:r w:rsidRPr="003B7488">
        <w:rPr>
          <w:rFonts w:ascii="Times New Roman" w:hAnsi="Times New Roman"/>
        </w:rPr>
        <w:t>$</w:t>
      </w:r>
      <w:r w:rsidR="009C52CA">
        <w:rPr>
          <w:rFonts w:ascii="Times New Roman" w:hAnsi="Times New Roman"/>
        </w:rPr>
        <w:t>28.5</w:t>
      </w:r>
      <w:r w:rsidR="002D2CD2" w:rsidRPr="003B7488">
        <w:rPr>
          <w:rFonts w:ascii="Times New Roman" w:hAnsi="Times New Roman"/>
        </w:rPr>
        <w:t xml:space="preserve"> million annually</w:t>
      </w:r>
      <w:r w:rsidR="00960AD4" w:rsidRPr="003B7488">
        <w:rPr>
          <w:rFonts w:ascii="Times New Roman" w:hAnsi="Times New Roman"/>
        </w:rPr>
        <w:t xml:space="preserve">, or approximately </w:t>
      </w:r>
    </w:p>
    <w:p w:rsidR="00DA7257" w:rsidRDefault="009C52CA" w:rsidP="00EA20DE">
      <w:pPr>
        <w:tabs>
          <w:tab w:val="left" w:pos="-720"/>
        </w:tabs>
        <w:suppressAutoHyphens/>
        <w:rPr>
          <w:rFonts w:ascii="Times New Roman" w:hAnsi="Times New Roman"/>
        </w:rPr>
      </w:pPr>
      <w:r>
        <w:rPr>
          <w:rFonts w:ascii="Times New Roman" w:hAnsi="Times New Roman"/>
        </w:rPr>
        <w:t>8.7</w:t>
      </w:r>
      <w:r w:rsidR="00960AD4" w:rsidRPr="003B7488">
        <w:rPr>
          <w:rFonts w:ascii="Times New Roman" w:hAnsi="Times New Roman"/>
        </w:rPr>
        <w:t>%,</w:t>
      </w:r>
      <w:r w:rsidR="002D2CD2" w:rsidRPr="003B7488">
        <w:rPr>
          <w:rFonts w:ascii="Times New Roman" w:hAnsi="Times New Roman"/>
        </w:rPr>
        <w:t xml:space="preserve"> </w:t>
      </w:r>
      <w:r>
        <w:rPr>
          <w:rFonts w:ascii="Times New Roman" w:hAnsi="Times New Roman"/>
        </w:rPr>
        <w:t>of its total electric operating revenues</w:t>
      </w:r>
      <w:r w:rsidR="00916265">
        <w:rPr>
          <w:rFonts w:ascii="Times New Roman" w:hAnsi="Times New Roman"/>
        </w:rPr>
        <w:t xml:space="preserve">.  </w:t>
      </w:r>
      <w:r>
        <w:rPr>
          <w:rFonts w:ascii="Times New Roman" w:hAnsi="Times New Roman"/>
        </w:rPr>
        <w:t>The impact</w:t>
      </w:r>
      <w:r w:rsidR="002A76AF">
        <w:rPr>
          <w:rFonts w:ascii="Times New Roman" w:hAnsi="Times New Roman"/>
        </w:rPr>
        <w:t>s</w:t>
      </w:r>
      <w:r>
        <w:rPr>
          <w:rFonts w:ascii="Times New Roman" w:hAnsi="Times New Roman"/>
        </w:rPr>
        <w:t xml:space="preserve"> of the initial request and the Partial Settlement are described below:</w:t>
      </w:r>
      <w:r w:rsidRPr="003B7488">
        <w:rPr>
          <w:rFonts w:ascii="Times New Roman" w:hAnsi="Times New Roman"/>
        </w:rPr>
        <w:t xml:space="preserve"> </w:t>
      </w:r>
      <w:r w:rsidR="007A1668" w:rsidRPr="003B7488">
        <w:rPr>
          <w:rFonts w:ascii="Times New Roman" w:hAnsi="Times New Roman"/>
        </w:rPr>
        <w:t xml:space="preserve"> </w:t>
      </w:r>
    </w:p>
    <w:p w:rsidR="00D63BC7" w:rsidRDefault="00D63BC7" w:rsidP="00EA20DE">
      <w:pPr>
        <w:tabs>
          <w:tab w:val="left" w:pos="-720"/>
        </w:tabs>
        <w:suppressAutoHyphens/>
        <w:rPr>
          <w:rFonts w:ascii="Times New Roman" w:hAnsi="Times New Roman"/>
        </w:rPr>
      </w:pPr>
    </w:p>
    <w:p w:rsidR="00E26B85" w:rsidRPr="00EC1DC7" w:rsidRDefault="00E26B85" w:rsidP="00F122AB">
      <w:pPr>
        <w:pStyle w:val="ListParagraph"/>
        <w:numPr>
          <w:ilvl w:val="0"/>
          <w:numId w:val="39"/>
        </w:numPr>
        <w:autoSpaceDE w:val="0"/>
        <w:autoSpaceDN w:val="0"/>
        <w:adjustRightInd w:val="0"/>
        <w:rPr>
          <w:rFonts w:ascii="Times New Roman" w:hAnsi="Times New Roman"/>
          <w:bCs/>
          <w:szCs w:val="24"/>
          <w:u w:val="single"/>
        </w:rPr>
      </w:pPr>
      <w:r w:rsidRPr="00EC1DC7">
        <w:rPr>
          <w:rFonts w:ascii="Times New Roman" w:hAnsi="Times New Roman"/>
          <w:bCs/>
          <w:szCs w:val="24"/>
          <w:u w:val="single"/>
        </w:rPr>
        <w:t>Residential Class</w:t>
      </w:r>
    </w:p>
    <w:p w:rsidR="00F122AB" w:rsidRPr="00F122AB" w:rsidRDefault="00F122AB" w:rsidP="00F122AB">
      <w:pPr>
        <w:pStyle w:val="ListParagraph"/>
        <w:autoSpaceDE w:val="0"/>
        <w:autoSpaceDN w:val="0"/>
        <w:adjustRightInd w:val="0"/>
        <w:ind w:left="1440"/>
        <w:rPr>
          <w:rFonts w:ascii="Times New Roman" w:hAnsi="Times New Roman"/>
          <w:b/>
          <w:bCs/>
          <w:szCs w:val="24"/>
        </w:rPr>
      </w:pPr>
    </w:p>
    <w:p w:rsidR="00E26B85" w:rsidRDefault="00E26B85" w:rsidP="00F550C7">
      <w:pPr>
        <w:autoSpaceDE w:val="0"/>
        <w:autoSpaceDN w:val="0"/>
        <w:adjustRightInd w:val="0"/>
        <w:ind w:firstLine="1440"/>
        <w:rPr>
          <w:rFonts w:ascii="Times New Roman" w:hAnsi="Times New Roman"/>
          <w:szCs w:val="24"/>
        </w:rPr>
      </w:pPr>
      <w:r w:rsidRPr="00E26B85">
        <w:rPr>
          <w:rFonts w:ascii="Times New Roman" w:hAnsi="Times New Roman"/>
          <w:szCs w:val="24"/>
        </w:rPr>
        <w:t xml:space="preserve">Under the Settlement Rates, </w:t>
      </w:r>
      <w:r w:rsidR="00F550C7">
        <w:rPr>
          <w:rFonts w:ascii="Times New Roman" w:hAnsi="Times New Roman"/>
          <w:szCs w:val="24"/>
        </w:rPr>
        <w:t>the monthly residential distribution customer charge will increase $1.96 (or 22.0%) from $8.89 to $10.85.  This increase in the distribution customer charge is in lieu of the Company’s proposed monthly distribution customer charge of $12.71, which represents a $3.82 increase (or 43.0%).  In addition, under the Settlement Rates, the bill for a typical Residential customer that uses 1,000 kWh per month will increase by $7.80 per month, from $104.76 to $112.56</w:t>
      </w:r>
      <w:r w:rsidR="00F550C7">
        <w:rPr>
          <w:rStyle w:val="FootnoteReference"/>
          <w:rFonts w:ascii="Times New Roman" w:hAnsi="Times New Roman"/>
          <w:szCs w:val="24"/>
        </w:rPr>
        <w:footnoteReference w:id="1"/>
      </w:r>
      <w:r w:rsidR="00F550C7">
        <w:rPr>
          <w:rFonts w:ascii="Times New Roman" w:hAnsi="Times New Roman"/>
          <w:szCs w:val="24"/>
        </w:rPr>
        <w:t xml:space="preserve"> (or 7.4%), including default service generation, taxes and other rider surcharges.  In comparison, in the Company’s proposed filing, the bill for a typical Residential customer that uses 1,000 kWh per month would have increased by $12.39 per month, </w:t>
      </w:r>
      <w:r w:rsidR="00F550C7">
        <w:rPr>
          <w:rFonts w:ascii="Times New Roman" w:hAnsi="Times New Roman"/>
          <w:szCs w:val="24"/>
        </w:rPr>
        <w:lastRenderedPageBreak/>
        <w:t>from $104.76 to $117.15</w:t>
      </w:r>
      <w:r w:rsidR="00F550C7">
        <w:rPr>
          <w:rStyle w:val="FootnoteReference"/>
          <w:rFonts w:ascii="Times New Roman" w:hAnsi="Times New Roman"/>
          <w:szCs w:val="24"/>
        </w:rPr>
        <w:footnoteReference w:id="2"/>
      </w:r>
      <w:r w:rsidR="00F550C7">
        <w:rPr>
          <w:rFonts w:ascii="Times New Roman" w:hAnsi="Times New Roman"/>
          <w:szCs w:val="24"/>
        </w:rPr>
        <w:t xml:space="preserve"> (or 11.8%), including default service generation, taxes, and other rider </w:t>
      </w:r>
      <w:r w:rsidRPr="00E26B85">
        <w:rPr>
          <w:rFonts w:ascii="Times New Roman" w:hAnsi="Times New Roman"/>
          <w:szCs w:val="24"/>
        </w:rPr>
        <w:t>surcharges.</w:t>
      </w:r>
    </w:p>
    <w:p w:rsidR="00E26B85" w:rsidRPr="00E26B85" w:rsidRDefault="00E26B85" w:rsidP="00E26B85">
      <w:pPr>
        <w:autoSpaceDE w:val="0"/>
        <w:autoSpaceDN w:val="0"/>
        <w:adjustRightInd w:val="0"/>
        <w:rPr>
          <w:rFonts w:ascii="Times New Roman" w:hAnsi="Times New Roman"/>
          <w:szCs w:val="24"/>
        </w:rPr>
      </w:pPr>
    </w:p>
    <w:p w:rsidR="00E26B85" w:rsidRPr="00EC1DC7" w:rsidRDefault="00E26B85" w:rsidP="004E6084">
      <w:pPr>
        <w:pStyle w:val="ListParagraph"/>
        <w:numPr>
          <w:ilvl w:val="0"/>
          <w:numId w:val="39"/>
        </w:numPr>
        <w:autoSpaceDE w:val="0"/>
        <w:autoSpaceDN w:val="0"/>
        <w:adjustRightInd w:val="0"/>
        <w:rPr>
          <w:rFonts w:ascii="Times New Roman" w:hAnsi="Times New Roman"/>
          <w:bCs/>
          <w:szCs w:val="24"/>
          <w:u w:val="single"/>
        </w:rPr>
      </w:pPr>
      <w:r w:rsidRPr="00EC1DC7">
        <w:rPr>
          <w:rFonts w:ascii="Times New Roman" w:hAnsi="Times New Roman"/>
          <w:bCs/>
          <w:szCs w:val="24"/>
          <w:u w:val="single"/>
        </w:rPr>
        <w:t>Commercial Class</w:t>
      </w:r>
    </w:p>
    <w:p w:rsidR="004E6084" w:rsidRPr="004E6084" w:rsidRDefault="004E6084" w:rsidP="004E6084">
      <w:pPr>
        <w:pStyle w:val="ListParagraph"/>
        <w:autoSpaceDE w:val="0"/>
        <w:autoSpaceDN w:val="0"/>
        <w:adjustRightInd w:val="0"/>
        <w:ind w:left="1440"/>
        <w:rPr>
          <w:rFonts w:ascii="Times New Roman" w:hAnsi="Times New Roman"/>
          <w:b/>
          <w:bCs/>
          <w:szCs w:val="24"/>
        </w:rPr>
      </w:pPr>
    </w:p>
    <w:p w:rsidR="00E26B85" w:rsidRDefault="00E26B85" w:rsidP="0089395B">
      <w:pPr>
        <w:autoSpaceDE w:val="0"/>
        <w:autoSpaceDN w:val="0"/>
        <w:adjustRightInd w:val="0"/>
        <w:ind w:firstLine="1440"/>
        <w:rPr>
          <w:rFonts w:ascii="Times New Roman" w:hAnsi="Times New Roman"/>
          <w:szCs w:val="24"/>
        </w:rPr>
      </w:pPr>
      <w:r w:rsidRPr="00E26B85">
        <w:rPr>
          <w:rFonts w:ascii="Times New Roman" w:hAnsi="Times New Roman"/>
          <w:szCs w:val="24"/>
        </w:rPr>
        <w:t xml:space="preserve">Under the Settlement Rates, </w:t>
      </w:r>
      <w:r w:rsidR="0089395B">
        <w:rPr>
          <w:rFonts w:ascii="Times New Roman" w:hAnsi="Times New Roman"/>
          <w:szCs w:val="24"/>
        </w:rPr>
        <w:t xml:space="preserve">the monthly distribution customer charge for a Rate Schedule GS Medium customer will increase $19.17 from $0.00 to $19.11 (there is no customer charge under current rates).  This increase in the distribution customer charge is the same as the monthly Rate Schedule GS Medium distribution customer charge in the Company’s proposed filing.  In addition, under the Settlement Rates, the bill for a typical Rate Schedule GS Medium customer with monthly billing demand of 40 kW and 250 hours use of demand will increase by $13.99 per month, from $876.22 to $890.21 (or 1.6%), including default service generation, taxes and other rider surcharges.  In comparison, in the Company’s proposed filing, the bill for a typical Rate Schedule GS Medium customer with monthly billing demand of 40 kW and 250 hours use of demand would have increased by $22.72 per month, from $876.22 to $898.94 (or 2.6%), including default service generation, taxes, and other rider </w:t>
      </w:r>
      <w:r w:rsidRPr="00E26B85">
        <w:rPr>
          <w:rFonts w:ascii="Times New Roman" w:hAnsi="Times New Roman"/>
          <w:szCs w:val="24"/>
        </w:rPr>
        <w:t>surcharges.</w:t>
      </w:r>
    </w:p>
    <w:p w:rsidR="0063461E" w:rsidRDefault="0063461E" w:rsidP="0089395B">
      <w:pPr>
        <w:autoSpaceDE w:val="0"/>
        <w:autoSpaceDN w:val="0"/>
        <w:adjustRightInd w:val="0"/>
        <w:ind w:firstLine="1440"/>
        <w:rPr>
          <w:rFonts w:ascii="Times New Roman" w:hAnsi="Times New Roman"/>
          <w:szCs w:val="24"/>
        </w:rPr>
      </w:pPr>
    </w:p>
    <w:p w:rsidR="00E26B85" w:rsidRPr="0063461E" w:rsidRDefault="00E26B85" w:rsidP="0063461E">
      <w:pPr>
        <w:pStyle w:val="ListParagraph"/>
        <w:numPr>
          <w:ilvl w:val="0"/>
          <w:numId w:val="39"/>
        </w:numPr>
        <w:autoSpaceDE w:val="0"/>
        <w:autoSpaceDN w:val="0"/>
        <w:adjustRightInd w:val="0"/>
        <w:rPr>
          <w:rFonts w:ascii="Times New Roman" w:hAnsi="Times New Roman"/>
          <w:bCs/>
          <w:szCs w:val="24"/>
          <w:u w:val="single"/>
        </w:rPr>
      </w:pPr>
      <w:r w:rsidRPr="0063461E">
        <w:rPr>
          <w:rFonts w:ascii="Times New Roman" w:hAnsi="Times New Roman"/>
          <w:bCs/>
          <w:szCs w:val="24"/>
          <w:u w:val="single"/>
        </w:rPr>
        <w:t>Industrial Class</w:t>
      </w:r>
    </w:p>
    <w:p w:rsidR="00EC1DC7" w:rsidRPr="00EC1DC7" w:rsidRDefault="00EC1DC7" w:rsidP="00EC1DC7">
      <w:pPr>
        <w:pStyle w:val="ListParagraph"/>
        <w:autoSpaceDE w:val="0"/>
        <w:autoSpaceDN w:val="0"/>
        <w:adjustRightInd w:val="0"/>
        <w:ind w:left="1440"/>
        <w:rPr>
          <w:rFonts w:ascii="Times New Roman" w:hAnsi="Times New Roman"/>
          <w:bCs/>
          <w:szCs w:val="24"/>
          <w:u w:val="single"/>
        </w:rPr>
      </w:pPr>
    </w:p>
    <w:p w:rsidR="00E26B85" w:rsidRPr="00E26B85" w:rsidRDefault="00E26B85" w:rsidP="00E26B85">
      <w:pPr>
        <w:autoSpaceDE w:val="0"/>
        <w:autoSpaceDN w:val="0"/>
        <w:adjustRightInd w:val="0"/>
        <w:ind w:firstLine="1440"/>
        <w:rPr>
          <w:rFonts w:ascii="Times New Roman" w:hAnsi="Times New Roman"/>
          <w:szCs w:val="24"/>
        </w:rPr>
      </w:pPr>
      <w:r w:rsidRPr="00E26B85">
        <w:rPr>
          <w:rFonts w:ascii="Times New Roman" w:hAnsi="Times New Roman"/>
          <w:szCs w:val="24"/>
        </w:rPr>
        <w:t xml:space="preserve">Under the Settlement Rates, </w:t>
      </w:r>
      <w:r w:rsidR="0089395B">
        <w:rPr>
          <w:rFonts w:ascii="Times New Roman" w:hAnsi="Times New Roman"/>
          <w:szCs w:val="24"/>
        </w:rPr>
        <w:t xml:space="preserve">the monthly distribution customer charge for a Rate Schedule GT customer will increase $258.42 from $0 to $258.42 (there is no customer charge under current rates).  This increase in the distribution customer charge is in lieu of the Company’s proposed monthly distribution customer charge of $254.56, which represents a $254.56 increase.  In addition, under the Settlement Rates, the bill for a typical Rate Schedule GT customer with monthly billing demand of 20 MW and 474 hours use of demand will increase by $5,428.20 per month, from $405,825.78 to $411,253.98 (or 1.3%), including default service generation, taxes and other rider surcharges.  In comparison, in the Company’s proposed filing, the bill for a typical Rate Schedule GT customer with monthly billing demand of 20 MW and </w:t>
      </w:r>
      <w:r w:rsidR="0089395B">
        <w:rPr>
          <w:rFonts w:ascii="Times New Roman" w:hAnsi="Times New Roman"/>
          <w:szCs w:val="24"/>
        </w:rPr>
        <w:lastRenderedPageBreak/>
        <w:t>474 hours use of demand would have decreased by $354.09 per month, from $405,825.78 to $405,471.70 (or -0.1%), including default service generation, taxes, and other rider</w:t>
      </w:r>
      <w:r w:rsidRPr="00E26B85">
        <w:rPr>
          <w:rFonts w:ascii="Times New Roman" w:hAnsi="Times New Roman"/>
          <w:szCs w:val="24"/>
        </w:rPr>
        <w:t xml:space="preserve"> surcharges.</w:t>
      </w:r>
    </w:p>
    <w:p w:rsidR="00E26B85" w:rsidRPr="003B7488" w:rsidRDefault="00E26B85" w:rsidP="007A1668">
      <w:pPr>
        <w:tabs>
          <w:tab w:val="left" w:pos="-720"/>
        </w:tabs>
        <w:suppressAutoHyphens/>
        <w:rPr>
          <w:rFonts w:ascii="Times New Roman" w:hAnsi="Times New Roman"/>
        </w:rPr>
      </w:pPr>
    </w:p>
    <w:p w:rsidR="0063461E" w:rsidRDefault="0063461E">
      <w:pPr>
        <w:spacing w:line="240" w:lineRule="auto"/>
        <w:rPr>
          <w:rFonts w:ascii="Times New Roman" w:hAnsi="Times New Roman"/>
        </w:rPr>
      </w:pPr>
    </w:p>
    <w:p w:rsidR="00B52EF5" w:rsidRPr="003B7488" w:rsidRDefault="00B52EF5" w:rsidP="00B52EF5">
      <w:pPr>
        <w:tabs>
          <w:tab w:val="left" w:pos="-720"/>
        </w:tabs>
        <w:suppressAutoHyphens/>
        <w:jc w:val="center"/>
        <w:rPr>
          <w:rFonts w:ascii="Times New Roman" w:hAnsi="Times New Roman"/>
          <w:u w:val="single"/>
        </w:rPr>
      </w:pPr>
      <w:r w:rsidRPr="003B7488">
        <w:rPr>
          <w:rFonts w:ascii="Times New Roman" w:hAnsi="Times New Roman"/>
        </w:rPr>
        <w:t>II.</w:t>
      </w:r>
      <w:r w:rsidRPr="003B7488">
        <w:rPr>
          <w:rFonts w:ascii="Times New Roman" w:hAnsi="Times New Roman"/>
        </w:rPr>
        <w:tab/>
      </w:r>
      <w:r w:rsidRPr="003B7488">
        <w:rPr>
          <w:rFonts w:ascii="Times New Roman" w:hAnsi="Times New Roman"/>
          <w:u w:val="single"/>
        </w:rPr>
        <w:t>TERMS AND CONDITIONS OF SETTLEMENT</w:t>
      </w:r>
      <w:r w:rsidR="00FF47BD" w:rsidRPr="003B7488">
        <w:rPr>
          <w:rFonts w:ascii="Times New Roman" w:hAnsi="Times New Roman"/>
          <w:u w:val="single"/>
        </w:rPr>
        <w:fldChar w:fldCharType="begin"/>
      </w:r>
      <w:r w:rsidRPr="003B7488">
        <w:rPr>
          <w:rFonts w:ascii="Times New Roman" w:hAnsi="Times New Roman"/>
        </w:rPr>
        <w:instrText xml:space="preserve"> TC "</w:instrText>
      </w:r>
      <w:bookmarkStart w:id="19" w:name="_Toc206476787"/>
      <w:r w:rsidRPr="003B7488">
        <w:rPr>
          <w:rFonts w:ascii="Times New Roman" w:hAnsi="Times New Roman"/>
        </w:rPr>
        <w:instrText>II.</w:instrText>
      </w:r>
      <w:r w:rsidRPr="003B7488">
        <w:rPr>
          <w:rFonts w:ascii="Times New Roman" w:hAnsi="Times New Roman"/>
        </w:rPr>
        <w:tab/>
      </w:r>
      <w:r w:rsidRPr="003B7488">
        <w:rPr>
          <w:rFonts w:ascii="Times New Roman" w:hAnsi="Times New Roman"/>
          <w:u w:val="single"/>
        </w:rPr>
        <w:instrText>TERMS AND CONDITIONS OF SETTLEMENT</w:instrText>
      </w:r>
      <w:bookmarkEnd w:id="19"/>
      <w:r w:rsidRPr="003B7488">
        <w:rPr>
          <w:rFonts w:ascii="Times New Roman" w:hAnsi="Times New Roman"/>
        </w:rPr>
        <w:instrText xml:space="preserve">" \f C \l "1" </w:instrText>
      </w:r>
      <w:r w:rsidR="00FF47BD" w:rsidRPr="003B7488">
        <w:rPr>
          <w:rFonts w:ascii="Times New Roman" w:hAnsi="Times New Roman"/>
          <w:u w:val="single"/>
        </w:rPr>
        <w:fldChar w:fldCharType="end"/>
      </w:r>
    </w:p>
    <w:p w:rsidR="00B52EF5" w:rsidRPr="003B7488" w:rsidRDefault="00B52EF5" w:rsidP="00B52EF5">
      <w:pPr>
        <w:tabs>
          <w:tab w:val="left" w:pos="-720"/>
        </w:tabs>
        <w:suppressAutoHyphens/>
        <w:jc w:val="center"/>
        <w:rPr>
          <w:rFonts w:ascii="Times New Roman" w:hAnsi="Times New Roman"/>
          <w:u w:val="single"/>
        </w:rPr>
      </w:pPr>
    </w:p>
    <w:p w:rsidR="00CB578E" w:rsidRPr="003B7488" w:rsidRDefault="00B52EF5" w:rsidP="00B52EF5">
      <w:pPr>
        <w:tabs>
          <w:tab w:val="left" w:pos="-720"/>
        </w:tabs>
        <w:suppressAutoHyphens/>
        <w:rPr>
          <w:rFonts w:ascii="Times New Roman" w:hAnsi="Times New Roman"/>
        </w:rPr>
      </w:pPr>
      <w:r w:rsidRPr="003B7488">
        <w:rPr>
          <w:rFonts w:ascii="Times New Roman" w:hAnsi="Times New Roman"/>
        </w:rPr>
        <w:tab/>
      </w:r>
      <w:r w:rsidRPr="003B7488">
        <w:rPr>
          <w:rFonts w:ascii="Times New Roman" w:hAnsi="Times New Roman"/>
        </w:rPr>
        <w:tab/>
      </w:r>
      <w:r w:rsidR="00CB578E" w:rsidRPr="003B7488">
        <w:rPr>
          <w:rFonts w:ascii="Times New Roman" w:hAnsi="Times New Roman"/>
        </w:rPr>
        <w:t xml:space="preserve">The Joint Petitioners agreed to a </w:t>
      </w:r>
      <w:r w:rsidR="006855C0">
        <w:rPr>
          <w:rFonts w:ascii="Times New Roman" w:hAnsi="Times New Roman"/>
        </w:rPr>
        <w:t>s</w:t>
      </w:r>
      <w:r w:rsidR="00CB578E" w:rsidRPr="003B7488">
        <w:rPr>
          <w:rFonts w:ascii="Times New Roman" w:hAnsi="Times New Roman"/>
        </w:rPr>
        <w:t xml:space="preserve">ettlement covering all but </w:t>
      </w:r>
      <w:r w:rsidR="00F97659">
        <w:rPr>
          <w:rFonts w:ascii="Times New Roman" w:hAnsi="Times New Roman"/>
        </w:rPr>
        <w:t>one</w:t>
      </w:r>
      <w:r w:rsidR="00CB578E" w:rsidRPr="003B7488">
        <w:rPr>
          <w:rFonts w:ascii="Times New Roman" w:hAnsi="Times New Roman"/>
        </w:rPr>
        <w:t xml:space="preserve"> issue in the proceeding.  The </w:t>
      </w:r>
      <w:r w:rsidR="00F97659">
        <w:rPr>
          <w:rFonts w:ascii="Times New Roman" w:hAnsi="Times New Roman"/>
        </w:rPr>
        <w:t>issue</w:t>
      </w:r>
      <w:r w:rsidR="00CB578E" w:rsidRPr="003B7488">
        <w:rPr>
          <w:rFonts w:ascii="Times New Roman" w:hAnsi="Times New Roman"/>
        </w:rPr>
        <w:t xml:space="preserve"> reserved for litigation concern</w:t>
      </w:r>
      <w:r w:rsidR="00F97659">
        <w:rPr>
          <w:rFonts w:ascii="Times New Roman" w:hAnsi="Times New Roman"/>
        </w:rPr>
        <w:t>s</w:t>
      </w:r>
      <w:r w:rsidR="00CB578E" w:rsidRPr="003B7488">
        <w:rPr>
          <w:rFonts w:ascii="Times New Roman" w:hAnsi="Times New Roman"/>
        </w:rPr>
        <w:t xml:space="preserve"> </w:t>
      </w:r>
      <w:r w:rsidR="00F56D30">
        <w:rPr>
          <w:rFonts w:ascii="Times New Roman" w:hAnsi="Times New Roman"/>
        </w:rPr>
        <w:t>Penn Future</w:t>
      </w:r>
      <w:r w:rsidR="00F97659">
        <w:rPr>
          <w:rFonts w:ascii="Times New Roman" w:hAnsi="Times New Roman"/>
        </w:rPr>
        <w:t>’</w:t>
      </w:r>
      <w:r w:rsidR="00E44B25">
        <w:rPr>
          <w:rFonts w:ascii="Times New Roman" w:hAnsi="Times New Roman"/>
        </w:rPr>
        <w:t>s</w:t>
      </w:r>
      <w:r w:rsidR="00CB578E" w:rsidRPr="003B7488">
        <w:rPr>
          <w:rFonts w:ascii="Times New Roman" w:hAnsi="Times New Roman"/>
        </w:rPr>
        <w:t xml:space="preserve"> challenge to </w:t>
      </w:r>
      <w:r w:rsidR="00F97659">
        <w:rPr>
          <w:rFonts w:ascii="Times New Roman" w:hAnsi="Times New Roman"/>
        </w:rPr>
        <w:t>Penn</w:t>
      </w:r>
      <w:r w:rsidR="009C52CA">
        <w:rPr>
          <w:rFonts w:ascii="Times New Roman" w:hAnsi="Times New Roman"/>
        </w:rPr>
        <w:t xml:space="preserve"> Power</w:t>
      </w:r>
      <w:r w:rsidR="00F97659">
        <w:rPr>
          <w:rFonts w:ascii="Times New Roman" w:hAnsi="Times New Roman"/>
        </w:rPr>
        <w:t>’s</w:t>
      </w:r>
      <w:r w:rsidR="00CB578E" w:rsidRPr="003B7488">
        <w:rPr>
          <w:rFonts w:ascii="Times New Roman" w:hAnsi="Times New Roman"/>
        </w:rPr>
        <w:t xml:space="preserve"> </w:t>
      </w:r>
      <w:r w:rsidR="00F56D30">
        <w:rPr>
          <w:rFonts w:ascii="Times New Roman" w:hAnsi="Times New Roman"/>
        </w:rPr>
        <w:t>Light Emitting Diode (LED) Street Lighting Service</w:t>
      </w:r>
      <w:r w:rsidR="00CB578E" w:rsidRPr="003B7488">
        <w:rPr>
          <w:rFonts w:ascii="Times New Roman" w:hAnsi="Times New Roman"/>
        </w:rPr>
        <w:t xml:space="preserve">.  Joint Petitioners agreed to a base rate increase, to an allocation of that revenue increase to the rate classes and to rate design for the rate classes to recover the portion of the rate increase allocated to such classes.  The Joint Petitioners are in full agreement the Settlement is in the best interests of </w:t>
      </w:r>
      <w:r w:rsidR="009C52CA">
        <w:rPr>
          <w:rFonts w:ascii="Times New Roman" w:hAnsi="Times New Roman"/>
        </w:rPr>
        <w:t>Penn Power</w:t>
      </w:r>
      <w:r w:rsidR="009C52CA" w:rsidRPr="003B7488">
        <w:rPr>
          <w:rFonts w:ascii="Times New Roman" w:hAnsi="Times New Roman"/>
        </w:rPr>
        <w:t xml:space="preserve"> </w:t>
      </w:r>
      <w:r w:rsidR="00CB578E" w:rsidRPr="003B7488">
        <w:rPr>
          <w:rFonts w:ascii="Times New Roman" w:hAnsi="Times New Roman"/>
        </w:rPr>
        <w:t>and its customers.</w:t>
      </w:r>
    </w:p>
    <w:p w:rsidR="00CB578E" w:rsidRPr="003B7488" w:rsidRDefault="00CB578E" w:rsidP="00B52EF5">
      <w:pPr>
        <w:tabs>
          <w:tab w:val="left" w:pos="-720"/>
        </w:tabs>
        <w:suppressAutoHyphens/>
        <w:rPr>
          <w:rFonts w:ascii="Times New Roman" w:hAnsi="Times New Roman"/>
        </w:rPr>
      </w:pPr>
    </w:p>
    <w:p w:rsidR="00B52EF5" w:rsidRDefault="00CB578E" w:rsidP="00B52EF5">
      <w:pPr>
        <w:tabs>
          <w:tab w:val="left" w:pos="-720"/>
        </w:tabs>
        <w:suppressAutoHyphens/>
        <w:rPr>
          <w:rFonts w:ascii="Times New Roman" w:hAnsi="Times New Roman"/>
        </w:rPr>
      </w:pPr>
      <w:r w:rsidRPr="003B7488">
        <w:rPr>
          <w:rFonts w:ascii="Times New Roman" w:hAnsi="Times New Roman"/>
        </w:rPr>
        <w:tab/>
      </w:r>
      <w:r w:rsidRPr="003B7488">
        <w:rPr>
          <w:rFonts w:ascii="Times New Roman" w:hAnsi="Times New Roman"/>
        </w:rPr>
        <w:tab/>
      </w:r>
      <w:r w:rsidR="00B52EF5" w:rsidRPr="003B7488">
        <w:rPr>
          <w:rFonts w:ascii="Times New Roman" w:hAnsi="Times New Roman"/>
        </w:rPr>
        <w:t xml:space="preserve">The terms and conditions of the Settlement are set forth fully in </w:t>
      </w:r>
      <w:r w:rsidRPr="003B7488">
        <w:rPr>
          <w:rFonts w:ascii="Times New Roman" w:hAnsi="Times New Roman"/>
        </w:rPr>
        <w:t xml:space="preserve">Section </w:t>
      </w:r>
      <w:r w:rsidR="008E2D1D">
        <w:rPr>
          <w:rFonts w:ascii="Times New Roman" w:hAnsi="Times New Roman"/>
        </w:rPr>
        <w:t>II Terms and Conditions</w:t>
      </w:r>
      <w:r w:rsidR="00B52EF5" w:rsidRPr="003B7488">
        <w:rPr>
          <w:rFonts w:ascii="Times New Roman" w:hAnsi="Times New Roman"/>
        </w:rPr>
        <w:t xml:space="preserve"> to the </w:t>
      </w:r>
      <w:r w:rsidRPr="003B7488">
        <w:rPr>
          <w:rFonts w:ascii="Times New Roman" w:hAnsi="Times New Roman"/>
        </w:rPr>
        <w:t xml:space="preserve">Partial </w:t>
      </w:r>
      <w:r w:rsidR="00B52EF5" w:rsidRPr="003B7488">
        <w:rPr>
          <w:rFonts w:ascii="Times New Roman" w:hAnsi="Times New Roman"/>
        </w:rPr>
        <w:t xml:space="preserve">Settlement </w:t>
      </w:r>
      <w:r w:rsidRPr="003B7488">
        <w:rPr>
          <w:rFonts w:ascii="Times New Roman" w:hAnsi="Times New Roman"/>
        </w:rPr>
        <w:t xml:space="preserve">filed </w:t>
      </w:r>
      <w:r w:rsidR="00F97659">
        <w:rPr>
          <w:rFonts w:ascii="Times New Roman" w:hAnsi="Times New Roman"/>
        </w:rPr>
        <w:t xml:space="preserve">with the Secretary’s Bureau </w:t>
      </w:r>
      <w:r w:rsidRPr="003B7488">
        <w:rPr>
          <w:rFonts w:ascii="Times New Roman" w:hAnsi="Times New Roman"/>
        </w:rPr>
        <w:t xml:space="preserve">on </w:t>
      </w:r>
      <w:r w:rsidR="00F97659">
        <w:rPr>
          <w:rFonts w:ascii="Times New Roman" w:hAnsi="Times New Roman"/>
        </w:rPr>
        <w:t>February 4, 2015</w:t>
      </w:r>
      <w:r w:rsidR="00B52EF5" w:rsidRPr="003B7488">
        <w:rPr>
          <w:rFonts w:ascii="Times New Roman" w:hAnsi="Times New Roman"/>
        </w:rPr>
        <w:t>, incorporated herein by reference</w:t>
      </w:r>
      <w:r w:rsidRPr="003B7488">
        <w:rPr>
          <w:rFonts w:ascii="Times New Roman" w:hAnsi="Times New Roman"/>
        </w:rPr>
        <w:t>, beginni</w:t>
      </w:r>
      <w:r w:rsidR="005B42AB" w:rsidRPr="003B7488">
        <w:rPr>
          <w:rFonts w:ascii="Times New Roman" w:hAnsi="Times New Roman"/>
        </w:rPr>
        <w:t xml:space="preserve">ng at numbered paragraph </w:t>
      </w:r>
      <w:r w:rsidR="008E2D1D">
        <w:rPr>
          <w:rFonts w:ascii="Times New Roman" w:hAnsi="Times New Roman"/>
        </w:rPr>
        <w:t>11</w:t>
      </w:r>
      <w:r w:rsidR="005B42AB" w:rsidRPr="003B7488">
        <w:rPr>
          <w:rFonts w:ascii="Times New Roman" w:hAnsi="Times New Roman"/>
        </w:rPr>
        <w:t xml:space="preserve"> through and including </w:t>
      </w:r>
      <w:r w:rsidR="004E3734">
        <w:rPr>
          <w:rFonts w:ascii="Times New Roman" w:hAnsi="Times New Roman"/>
        </w:rPr>
        <w:t>numbered paragraph 19</w:t>
      </w:r>
      <w:r w:rsidR="00B52EF5" w:rsidRPr="003B7488">
        <w:rPr>
          <w:rFonts w:ascii="Times New Roman" w:hAnsi="Times New Roman"/>
        </w:rPr>
        <w:t>.</w:t>
      </w:r>
    </w:p>
    <w:p w:rsidR="0029254A" w:rsidRDefault="0029254A" w:rsidP="00B52EF5">
      <w:pPr>
        <w:tabs>
          <w:tab w:val="left" w:pos="-720"/>
        </w:tabs>
        <w:suppressAutoHyphens/>
        <w:rPr>
          <w:rFonts w:ascii="Times New Roman" w:hAnsi="Times New Roman"/>
        </w:rPr>
      </w:pPr>
    </w:p>
    <w:p w:rsidR="004E3734" w:rsidRPr="004E3734" w:rsidRDefault="004E3734" w:rsidP="007828C2">
      <w:pPr>
        <w:rPr>
          <w:rFonts w:ascii="Times New Roman" w:hAnsi="Times New Roman"/>
          <w:u w:val="single"/>
        </w:rPr>
      </w:pPr>
      <w:r>
        <w:rPr>
          <w:rFonts w:ascii="Times New Roman" w:hAnsi="Times New Roman"/>
        </w:rPr>
        <w:t>A.</w:t>
      </w:r>
      <w:r>
        <w:rPr>
          <w:rFonts w:ascii="Times New Roman" w:hAnsi="Times New Roman"/>
        </w:rPr>
        <w:tab/>
      </w:r>
      <w:r w:rsidRPr="004E3734">
        <w:rPr>
          <w:rFonts w:ascii="Times New Roman" w:hAnsi="Times New Roman"/>
          <w:u w:val="single"/>
        </w:rPr>
        <w:t>Legal/Policy Standards for Settlement Approval</w:t>
      </w:r>
    </w:p>
    <w:p w:rsidR="004E3734" w:rsidRDefault="004E3734" w:rsidP="007828C2">
      <w:pPr>
        <w:rPr>
          <w:rFonts w:ascii="Times New Roman" w:hAnsi="Times New Roman"/>
        </w:rPr>
      </w:pPr>
    </w:p>
    <w:p w:rsidR="007828C2" w:rsidRPr="003B7488" w:rsidRDefault="004E3734" w:rsidP="007828C2">
      <w:pPr>
        <w:rPr>
          <w:rFonts w:ascii="Times New Roman" w:hAnsi="Times New Roman"/>
          <w:color w:val="000000"/>
        </w:rPr>
      </w:pPr>
      <w:r>
        <w:rPr>
          <w:rFonts w:ascii="Times New Roman" w:hAnsi="Times New Roman"/>
        </w:rPr>
        <w:tab/>
      </w:r>
      <w:r>
        <w:rPr>
          <w:rFonts w:ascii="Times New Roman" w:hAnsi="Times New Roman"/>
        </w:rPr>
        <w:tab/>
      </w:r>
      <w:r w:rsidR="007828C2" w:rsidRPr="003B7488">
        <w:rPr>
          <w:rFonts w:ascii="Times New Roman" w:hAnsi="Times New Roman"/>
        </w:rPr>
        <w:t xml:space="preserve">The policy of the Commission </w:t>
      </w:r>
      <w:r w:rsidR="007828C2" w:rsidRPr="003B7488">
        <w:rPr>
          <w:rFonts w:ascii="Times New Roman" w:hAnsi="Times New Roman"/>
          <w:color w:val="000000"/>
        </w:rPr>
        <w:t xml:space="preserve">is to encourage settlements and the Commission has stated that settlement rates are often preferable to those achieved at the conclusion of a fully litigated proceeding.  </w:t>
      </w:r>
      <w:proofErr w:type="gramStart"/>
      <w:r w:rsidR="007828C2" w:rsidRPr="003B7488">
        <w:rPr>
          <w:rFonts w:ascii="Times New Roman" w:hAnsi="Times New Roman"/>
          <w:color w:val="000000"/>
        </w:rPr>
        <w:t>52 Pa. Code §§5.231, 69.401.</w:t>
      </w:r>
      <w:proofErr w:type="gramEnd"/>
      <w:r w:rsidR="007828C2" w:rsidRPr="003B7488">
        <w:rPr>
          <w:rFonts w:ascii="Times New Roman" w:hAnsi="Times New Roman"/>
          <w:color w:val="000000"/>
        </w:rPr>
        <w:t xml:space="preserve">  A full settlement of all the issues in a proceeding eliminates the time, effort and expense that would otherwise have been used in litigating the proceeding, while a partial settlement may significantly reduce the time, effort and expense of litigating a case.  A settlement, whether whole or partial, benefits not only the named parties directly, but, indirectly, all customers of the public utility involved in the case.  </w:t>
      </w:r>
    </w:p>
    <w:p w:rsidR="007828C2" w:rsidRPr="003B7488" w:rsidRDefault="007828C2" w:rsidP="007828C2">
      <w:pPr>
        <w:rPr>
          <w:rFonts w:ascii="Times New Roman" w:hAnsi="Times New Roman"/>
          <w:color w:val="000000"/>
        </w:rPr>
      </w:pPr>
    </w:p>
    <w:p w:rsidR="007828C2" w:rsidRPr="003B7488" w:rsidRDefault="007828C2" w:rsidP="007828C2">
      <w:pPr>
        <w:rPr>
          <w:rFonts w:ascii="Times New Roman" w:hAnsi="Times New Roman"/>
          <w:color w:val="000000"/>
        </w:rPr>
      </w:pPr>
      <w:r w:rsidRPr="003B7488">
        <w:rPr>
          <w:rFonts w:ascii="Times New Roman" w:hAnsi="Times New Roman"/>
          <w:color w:val="000000"/>
        </w:rPr>
        <w:tab/>
      </w:r>
      <w:r w:rsidRPr="003B7488">
        <w:rPr>
          <w:rFonts w:ascii="Times New Roman" w:hAnsi="Times New Roman"/>
          <w:color w:val="000000"/>
        </w:rPr>
        <w:tab/>
        <w:t xml:space="preserve">The benchmark for determining the acceptability of a settlement or partial settlement is whether the proposed terms and conditions are in the public interest.  </w:t>
      </w:r>
      <w:r w:rsidRPr="003B7488">
        <w:rPr>
          <w:rFonts w:ascii="Times New Roman" w:hAnsi="Times New Roman"/>
          <w:color w:val="000000"/>
          <w:u w:val="single"/>
        </w:rPr>
        <w:t xml:space="preserve">Warner v. </w:t>
      </w:r>
      <w:r w:rsidRPr="003B7488">
        <w:rPr>
          <w:rFonts w:ascii="Times New Roman" w:hAnsi="Times New Roman"/>
          <w:color w:val="000000"/>
          <w:u w:val="single"/>
        </w:rPr>
        <w:lastRenderedPageBreak/>
        <w:t>GTE North, Inc.</w:t>
      </w:r>
      <w:r w:rsidRPr="003B7488">
        <w:rPr>
          <w:rFonts w:ascii="Times New Roman" w:hAnsi="Times New Roman"/>
          <w:color w:val="000000"/>
        </w:rPr>
        <w:t xml:space="preserve">, Docket No. C-00902815, Opinion and Order entered April 1, 1996; </w:t>
      </w:r>
      <w:r w:rsidRPr="003B7488">
        <w:rPr>
          <w:rFonts w:ascii="Times New Roman" w:hAnsi="Times New Roman"/>
          <w:color w:val="000000"/>
          <w:u w:val="single"/>
        </w:rPr>
        <w:t xml:space="preserve">Pa. </w:t>
      </w:r>
      <w:r w:rsidR="002A76AF">
        <w:rPr>
          <w:rFonts w:ascii="Times New Roman" w:hAnsi="Times New Roman"/>
          <w:color w:val="000000"/>
          <w:u w:val="single"/>
        </w:rPr>
        <w:t xml:space="preserve">Pub. </w:t>
      </w:r>
      <w:proofErr w:type="gramStart"/>
      <w:r w:rsidR="002A76AF">
        <w:rPr>
          <w:rFonts w:ascii="Times New Roman" w:hAnsi="Times New Roman"/>
          <w:color w:val="000000"/>
          <w:u w:val="single"/>
        </w:rPr>
        <w:t>Util. Comm’n</w:t>
      </w:r>
      <w:r w:rsidR="00E35A0E">
        <w:rPr>
          <w:rFonts w:ascii="Times New Roman" w:hAnsi="Times New Roman"/>
          <w:color w:val="000000"/>
          <w:u w:val="single"/>
        </w:rPr>
        <w:t> </w:t>
      </w:r>
      <w:r w:rsidRPr="003B7488">
        <w:rPr>
          <w:rFonts w:ascii="Times New Roman" w:hAnsi="Times New Roman"/>
          <w:color w:val="000000"/>
          <w:u w:val="single"/>
        </w:rPr>
        <w:t>v. CS Water and Sewer Associates</w:t>
      </w:r>
      <w:r w:rsidRPr="003B7488">
        <w:rPr>
          <w:rFonts w:ascii="Times New Roman" w:hAnsi="Times New Roman"/>
          <w:color w:val="000000"/>
        </w:rPr>
        <w:t>, 74 Pa. PUC 767 (1991).</w:t>
      </w:r>
      <w:proofErr w:type="gramEnd"/>
      <w:r w:rsidRPr="003B7488">
        <w:rPr>
          <w:rFonts w:ascii="Times New Roman" w:hAnsi="Times New Roman"/>
          <w:color w:val="000000"/>
        </w:rPr>
        <w:t xml:space="preserve">  For the following reasons, </w:t>
      </w:r>
      <w:r w:rsidR="00D55658">
        <w:rPr>
          <w:rFonts w:ascii="Times New Roman" w:hAnsi="Times New Roman"/>
          <w:color w:val="000000"/>
        </w:rPr>
        <w:t>I</w:t>
      </w:r>
      <w:r w:rsidRPr="003B7488">
        <w:rPr>
          <w:rFonts w:ascii="Times New Roman" w:hAnsi="Times New Roman"/>
          <w:color w:val="000000"/>
        </w:rPr>
        <w:t xml:space="preserve"> find that the proposed settlement embodied in the Settlement Petition is in the public interest and, with the minor clarifications set forth herein, recommend that it be approved without modification.</w:t>
      </w:r>
    </w:p>
    <w:p w:rsidR="007828C2" w:rsidRPr="003B7488" w:rsidRDefault="007828C2" w:rsidP="007828C2">
      <w:pPr>
        <w:rPr>
          <w:rFonts w:ascii="Times New Roman" w:hAnsi="Times New Roman"/>
          <w:color w:val="000000"/>
        </w:rPr>
      </w:pPr>
    </w:p>
    <w:p w:rsidR="007828C2" w:rsidRPr="003B7488" w:rsidRDefault="00845CA5" w:rsidP="007828C2">
      <w:pPr>
        <w:rPr>
          <w:rFonts w:ascii="Times New Roman" w:hAnsi="Times New Roman"/>
          <w:color w:val="000000"/>
        </w:rPr>
      </w:pPr>
      <w:r w:rsidRPr="00845CA5">
        <w:rPr>
          <w:rFonts w:ascii="Times New Roman" w:hAnsi="Times New Roman"/>
          <w:color w:val="000000"/>
        </w:rPr>
        <w:t xml:space="preserve">B. </w:t>
      </w:r>
      <w:r w:rsidRPr="00845CA5">
        <w:rPr>
          <w:rFonts w:ascii="Times New Roman" w:hAnsi="Times New Roman"/>
          <w:color w:val="000000"/>
        </w:rPr>
        <w:tab/>
      </w:r>
      <w:r w:rsidR="002532FB">
        <w:rPr>
          <w:rFonts w:ascii="Times New Roman" w:hAnsi="Times New Roman"/>
          <w:color w:val="000000"/>
          <w:u w:val="single"/>
        </w:rPr>
        <w:t>Description and Terms of the Settlement</w:t>
      </w:r>
      <w:r w:rsidR="007828C2" w:rsidRPr="003B7488">
        <w:rPr>
          <w:rFonts w:ascii="Times New Roman" w:hAnsi="Times New Roman"/>
          <w:color w:val="000000"/>
        </w:rPr>
        <w:t xml:space="preserve"> </w:t>
      </w:r>
    </w:p>
    <w:p w:rsidR="00B52EF5" w:rsidRPr="003B7488" w:rsidRDefault="00B52EF5" w:rsidP="00642EA7">
      <w:pPr>
        <w:rPr>
          <w:rFonts w:ascii="Times New Roman" w:hAnsi="Times New Roman"/>
        </w:rPr>
      </w:pPr>
    </w:p>
    <w:p w:rsidR="00FF0BAA" w:rsidRDefault="00471751" w:rsidP="001D7520">
      <w:pPr>
        <w:rPr>
          <w:rFonts w:ascii="Times New Roman" w:hAnsi="Times New Roman"/>
        </w:rPr>
      </w:pPr>
      <w:r w:rsidRPr="003B7488">
        <w:rPr>
          <w:rFonts w:ascii="Times New Roman" w:hAnsi="Times New Roman"/>
        </w:rPr>
        <w:tab/>
      </w:r>
      <w:r w:rsidRPr="003B7488">
        <w:rPr>
          <w:rFonts w:ascii="Times New Roman" w:hAnsi="Times New Roman"/>
        </w:rPr>
        <w:tab/>
        <w:t xml:space="preserve">The </w:t>
      </w:r>
      <w:r w:rsidR="005B42AB" w:rsidRPr="003B7488">
        <w:rPr>
          <w:rFonts w:ascii="Times New Roman" w:hAnsi="Times New Roman"/>
        </w:rPr>
        <w:t xml:space="preserve">Partial </w:t>
      </w:r>
      <w:r w:rsidRPr="003B7488">
        <w:rPr>
          <w:rFonts w:ascii="Times New Roman" w:hAnsi="Times New Roman"/>
        </w:rPr>
        <w:t xml:space="preserve">Settlement consists of the </w:t>
      </w:r>
      <w:r w:rsidR="008E2D1D">
        <w:rPr>
          <w:rFonts w:ascii="Times New Roman" w:hAnsi="Times New Roman"/>
        </w:rPr>
        <w:t>2</w:t>
      </w:r>
      <w:r w:rsidR="00FB06A0">
        <w:rPr>
          <w:rFonts w:ascii="Times New Roman" w:hAnsi="Times New Roman"/>
        </w:rPr>
        <w:t>0</w:t>
      </w:r>
      <w:r w:rsidR="005B42AB" w:rsidRPr="003B7488">
        <w:rPr>
          <w:rFonts w:ascii="Times New Roman" w:hAnsi="Times New Roman"/>
        </w:rPr>
        <w:t>-</w:t>
      </w:r>
      <w:r w:rsidRPr="003B7488">
        <w:rPr>
          <w:rFonts w:ascii="Times New Roman" w:hAnsi="Times New Roman"/>
        </w:rPr>
        <w:t xml:space="preserve">page Joint Petition containing the terms and conditions of the </w:t>
      </w:r>
      <w:r w:rsidR="005B42AB" w:rsidRPr="003B7488">
        <w:rPr>
          <w:rFonts w:ascii="Times New Roman" w:hAnsi="Times New Roman"/>
        </w:rPr>
        <w:t xml:space="preserve">Partial </w:t>
      </w:r>
      <w:r w:rsidRPr="003B7488">
        <w:rPr>
          <w:rFonts w:ascii="Times New Roman" w:hAnsi="Times New Roman"/>
        </w:rPr>
        <w:t xml:space="preserve">Settlement.  In addition, there are </w:t>
      </w:r>
      <w:r w:rsidR="008E2D1D">
        <w:rPr>
          <w:rFonts w:ascii="Times New Roman" w:hAnsi="Times New Roman"/>
        </w:rPr>
        <w:t>six</w:t>
      </w:r>
      <w:r w:rsidRPr="003B7488">
        <w:rPr>
          <w:rFonts w:ascii="Times New Roman" w:hAnsi="Times New Roman"/>
        </w:rPr>
        <w:t xml:space="preserve"> (</w:t>
      </w:r>
      <w:r w:rsidR="008E2D1D">
        <w:rPr>
          <w:rFonts w:ascii="Times New Roman" w:hAnsi="Times New Roman"/>
        </w:rPr>
        <w:t>6</w:t>
      </w:r>
      <w:r w:rsidR="005B42AB" w:rsidRPr="003B7488">
        <w:rPr>
          <w:rFonts w:ascii="Times New Roman" w:hAnsi="Times New Roman"/>
        </w:rPr>
        <w:t>)</w:t>
      </w:r>
      <w:r w:rsidRPr="003B7488">
        <w:rPr>
          <w:rFonts w:ascii="Times New Roman" w:hAnsi="Times New Roman"/>
        </w:rPr>
        <w:t xml:space="preserve"> </w:t>
      </w:r>
      <w:r w:rsidR="008E2D1D">
        <w:rPr>
          <w:rFonts w:ascii="Times New Roman" w:hAnsi="Times New Roman"/>
        </w:rPr>
        <w:t>exhibits attached to the Settlement.  Exhibit 1</w:t>
      </w:r>
      <w:r w:rsidR="00E65F38">
        <w:rPr>
          <w:rFonts w:ascii="Times New Roman" w:hAnsi="Times New Roman"/>
        </w:rPr>
        <w:t xml:space="preserve"> </w:t>
      </w:r>
      <w:r w:rsidRPr="003B7488">
        <w:rPr>
          <w:rFonts w:ascii="Times New Roman" w:hAnsi="Times New Roman"/>
        </w:rPr>
        <w:t xml:space="preserve">to the </w:t>
      </w:r>
      <w:r w:rsidR="008E2D1D">
        <w:rPr>
          <w:rFonts w:ascii="Times New Roman" w:hAnsi="Times New Roman"/>
        </w:rPr>
        <w:t xml:space="preserve">Partial </w:t>
      </w:r>
      <w:r w:rsidRPr="003B7488">
        <w:rPr>
          <w:rFonts w:ascii="Times New Roman" w:hAnsi="Times New Roman"/>
        </w:rPr>
        <w:t xml:space="preserve">Settlement </w:t>
      </w:r>
      <w:r w:rsidR="00E65F38">
        <w:rPr>
          <w:rFonts w:ascii="Times New Roman" w:hAnsi="Times New Roman"/>
        </w:rPr>
        <w:t>set</w:t>
      </w:r>
      <w:r w:rsidR="002A76AF">
        <w:rPr>
          <w:rFonts w:ascii="Times New Roman" w:hAnsi="Times New Roman"/>
        </w:rPr>
        <w:t>s</w:t>
      </w:r>
      <w:r w:rsidR="00CA523C" w:rsidRPr="003B7488">
        <w:rPr>
          <w:rFonts w:ascii="Times New Roman" w:hAnsi="Times New Roman"/>
        </w:rPr>
        <w:t xml:space="preserve"> out</w:t>
      </w:r>
      <w:r w:rsidRPr="003B7488">
        <w:rPr>
          <w:rFonts w:ascii="Times New Roman" w:hAnsi="Times New Roman"/>
        </w:rPr>
        <w:t xml:space="preserve"> </w:t>
      </w:r>
      <w:r w:rsidR="005B42AB" w:rsidRPr="003B7488">
        <w:rPr>
          <w:rFonts w:ascii="Times New Roman" w:hAnsi="Times New Roman"/>
        </w:rPr>
        <w:t xml:space="preserve">the </w:t>
      </w:r>
      <w:r w:rsidR="008E2D1D">
        <w:rPr>
          <w:rFonts w:ascii="Times New Roman" w:hAnsi="Times New Roman"/>
        </w:rPr>
        <w:t xml:space="preserve">new </w:t>
      </w:r>
      <w:r w:rsidR="002A76AF">
        <w:rPr>
          <w:rFonts w:ascii="Times New Roman" w:hAnsi="Times New Roman"/>
        </w:rPr>
        <w:t xml:space="preserve">Original </w:t>
      </w:r>
      <w:r w:rsidR="008E2D1D">
        <w:rPr>
          <w:rFonts w:ascii="Times New Roman" w:hAnsi="Times New Roman"/>
        </w:rPr>
        <w:t xml:space="preserve">Tariff Electric Pa. P.U.C. No. </w:t>
      </w:r>
      <w:r w:rsidR="00FB06A0">
        <w:rPr>
          <w:rFonts w:ascii="Times New Roman" w:hAnsi="Times New Roman"/>
        </w:rPr>
        <w:t>36</w:t>
      </w:r>
      <w:r w:rsidRPr="003B7488">
        <w:rPr>
          <w:rFonts w:ascii="Times New Roman" w:hAnsi="Times New Roman"/>
        </w:rPr>
        <w:t xml:space="preserve">.  </w:t>
      </w:r>
      <w:r w:rsidR="008E2D1D">
        <w:rPr>
          <w:rFonts w:ascii="Times New Roman" w:hAnsi="Times New Roman"/>
        </w:rPr>
        <w:t>Exhibit 2</w:t>
      </w:r>
      <w:r w:rsidR="005C1A31" w:rsidRPr="003B7488">
        <w:rPr>
          <w:rFonts w:ascii="Times New Roman" w:hAnsi="Times New Roman"/>
        </w:rPr>
        <w:t xml:space="preserve"> </w:t>
      </w:r>
      <w:r w:rsidRPr="003B7488">
        <w:rPr>
          <w:rFonts w:ascii="Times New Roman" w:hAnsi="Times New Roman"/>
        </w:rPr>
        <w:t xml:space="preserve">to the </w:t>
      </w:r>
      <w:r w:rsidR="008E2D1D">
        <w:rPr>
          <w:rFonts w:ascii="Times New Roman" w:hAnsi="Times New Roman"/>
        </w:rPr>
        <w:t xml:space="preserve">Partial </w:t>
      </w:r>
      <w:r w:rsidRPr="003B7488">
        <w:rPr>
          <w:rFonts w:ascii="Times New Roman" w:hAnsi="Times New Roman"/>
        </w:rPr>
        <w:t xml:space="preserve">Settlement </w:t>
      </w:r>
      <w:r w:rsidR="00CA523C" w:rsidRPr="003B7488">
        <w:rPr>
          <w:rFonts w:ascii="Times New Roman" w:hAnsi="Times New Roman"/>
        </w:rPr>
        <w:t>sets out</w:t>
      </w:r>
      <w:r w:rsidRPr="003B7488">
        <w:rPr>
          <w:rFonts w:ascii="Times New Roman" w:hAnsi="Times New Roman"/>
        </w:rPr>
        <w:t xml:space="preserve"> the </w:t>
      </w:r>
      <w:r w:rsidR="008E2D1D">
        <w:rPr>
          <w:rFonts w:ascii="Times New Roman" w:hAnsi="Times New Roman"/>
        </w:rPr>
        <w:t xml:space="preserve">Summary of Distribution of Revenue </w:t>
      </w:r>
      <w:r w:rsidR="00CA523C" w:rsidRPr="003B7488">
        <w:rPr>
          <w:rFonts w:ascii="Times New Roman" w:hAnsi="Times New Roman"/>
        </w:rPr>
        <w:t>for all</w:t>
      </w:r>
      <w:r w:rsidR="008E2D1D">
        <w:rPr>
          <w:rFonts w:ascii="Times New Roman" w:hAnsi="Times New Roman"/>
        </w:rPr>
        <w:t xml:space="preserve"> rate</w:t>
      </w:r>
      <w:r w:rsidR="00CA523C" w:rsidRPr="003B7488">
        <w:rPr>
          <w:rFonts w:ascii="Times New Roman" w:hAnsi="Times New Roman"/>
        </w:rPr>
        <w:t xml:space="preserve"> classes</w:t>
      </w:r>
      <w:r w:rsidRPr="003B7488">
        <w:rPr>
          <w:rFonts w:ascii="Times New Roman" w:hAnsi="Times New Roman"/>
        </w:rPr>
        <w:t xml:space="preserve">.  </w:t>
      </w:r>
      <w:r w:rsidR="008E2D1D">
        <w:rPr>
          <w:rFonts w:ascii="Times New Roman" w:hAnsi="Times New Roman"/>
        </w:rPr>
        <w:t>Exhibit 3</w:t>
      </w:r>
      <w:r w:rsidRPr="003B7488">
        <w:rPr>
          <w:rFonts w:ascii="Times New Roman" w:hAnsi="Times New Roman"/>
        </w:rPr>
        <w:t xml:space="preserve"> to the </w:t>
      </w:r>
      <w:r w:rsidR="008E2D1D">
        <w:rPr>
          <w:rFonts w:ascii="Times New Roman" w:hAnsi="Times New Roman"/>
        </w:rPr>
        <w:t xml:space="preserve">Partial </w:t>
      </w:r>
      <w:r w:rsidRPr="003B7488">
        <w:rPr>
          <w:rFonts w:ascii="Times New Roman" w:hAnsi="Times New Roman"/>
        </w:rPr>
        <w:t xml:space="preserve">Settlement is </w:t>
      </w:r>
      <w:r w:rsidR="00BD35A1" w:rsidRPr="003B7488">
        <w:rPr>
          <w:rFonts w:ascii="Times New Roman" w:hAnsi="Times New Roman"/>
        </w:rPr>
        <w:t xml:space="preserve">the </w:t>
      </w:r>
      <w:r w:rsidR="008E2D1D">
        <w:rPr>
          <w:rFonts w:ascii="Times New Roman" w:hAnsi="Times New Roman"/>
        </w:rPr>
        <w:t>Revenue Allocations</w:t>
      </w:r>
      <w:r w:rsidR="00BD35A1" w:rsidRPr="003B7488">
        <w:rPr>
          <w:rFonts w:ascii="Times New Roman" w:hAnsi="Times New Roman"/>
        </w:rPr>
        <w:t xml:space="preserve">.  </w:t>
      </w:r>
      <w:r w:rsidR="008E2D1D">
        <w:rPr>
          <w:rFonts w:ascii="Times New Roman" w:hAnsi="Times New Roman"/>
        </w:rPr>
        <w:t xml:space="preserve">Exhibit 4 to the Partial Settlement is the Revenue Effects of the Proposed Rates.  Exhibit 5 to the Partial Settlement is the Default Service Support Charge Rider/Hourly Pricing Rider.  Exhibit 6 to the Partial Settlement is the Cost Baseline for Savings of Smart Meter Deployment. In addition there are </w:t>
      </w:r>
      <w:r w:rsidR="00FB06A0">
        <w:rPr>
          <w:rFonts w:ascii="Times New Roman" w:hAnsi="Times New Roman"/>
        </w:rPr>
        <w:t>seven</w:t>
      </w:r>
      <w:r w:rsidR="008E2D1D">
        <w:rPr>
          <w:rFonts w:ascii="Times New Roman" w:hAnsi="Times New Roman"/>
        </w:rPr>
        <w:t xml:space="preserve"> Statements in Support, marked as</w:t>
      </w:r>
      <w:r w:rsidR="00FB06A0">
        <w:rPr>
          <w:rFonts w:ascii="Times New Roman" w:hAnsi="Times New Roman"/>
        </w:rPr>
        <w:t xml:space="preserve"> Statement A through Statement G</w:t>
      </w:r>
      <w:r w:rsidR="008E2D1D">
        <w:rPr>
          <w:rFonts w:ascii="Times New Roman" w:hAnsi="Times New Roman"/>
        </w:rPr>
        <w:t xml:space="preserve">, submitted by </w:t>
      </w:r>
      <w:r w:rsidR="00FB06A0">
        <w:rPr>
          <w:rFonts w:ascii="Times New Roman" w:hAnsi="Times New Roman"/>
        </w:rPr>
        <w:t>Penn Power</w:t>
      </w:r>
      <w:r w:rsidRPr="003B7488">
        <w:rPr>
          <w:rFonts w:ascii="Times New Roman" w:hAnsi="Times New Roman"/>
        </w:rPr>
        <w:t>,</w:t>
      </w:r>
      <w:r w:rsidR="008E2D1D">
        <w:rPr>
          <w:rFonts w:ascii="Times New Roman" w:hAnsi="Times New Roman"/>
        </w:rPr>
        <w:t xml:space="preserve"> </w:t>
      </w:r>
      <w:r w:rsidRPr="003B7488">
        <w:rPr>
          <w:rFonts w:ascii="Times New Roman" w:hAnsi="Times New Roman"/>
        </w:rPr>
        <w:t xml:space="preserve">OCA, OSBA, </w:t>
      </w:r>
      <w:r w:rsidR="008E2D1D">
        <w:rPr>
          <w:rFonts w:ascii="Times New Roman" w:hAnsi="Times New Roman"/>
        </w:rPr>
        <w:t xml:space="preserve">BIE, </w:t>
      </w:r>
      <w:r w:rsidR="00FB06A0">
        <w:rPr>
          <w:rFonts w:ascii="Times New Roman" w:hAnsi="Times New Roman"/>
        </w:rPr>
        <w:t>PPUG</w:t>
      </w:r>
      <w:r w:rsidR="008E2D1D">
        <w:rPr>
          <w:rFonts w:ascii="Times New Roman" w:hAnsi="Times New Roman"/>
        </w:rPr>
        <w:t xml:space="preserve">, </w:t>
      </w:r>
      <w:r w:rsidR="00FB06A0">
        <w:rPr>
          <w:rFonts w:ascii="Times New Roman" w:hAnsi="Times New Roman"/>
        </w:rPr>
        <w:t xml:space="preserve">EDF, and Walmart, </w:t>
      </w:r>
      <w:r w:rsidRPr="003B7488">
        <w:rPr>
          <w:rFonts w:ascii="Times New Roman" w:hAnsi="Times New Roman"/>
        </w:rPr>
        <w:t>respectively.</w:t>
      </w:r>
      <w:r w:rsidR="00FB06A0">
        <w:rPr>
          <w:rFonts w:ascii="Times New Roman" w:hAnsi="Times New Roman"/>
        </w:rPr>
        <w:t xml:space="preserve">  PSU and CAUSE-PA submitted Letters of Non-Opposition and </w:t>
      </w:r>
      <w:r w:rsidR="00FF0BAA">
        <w:rPr>
          <w:rFonts w:ascii="Times New Roman" w:hAnsi="Times New Roman"/>
        </w:rPr>
        <w:t>Support.</w:t>
      </w:r>
    </w:p>
    <w:p w:rsidR="00231A36" w:rsidRDefault="00231A36" w:rsidP="001D7520">
      <w:pPr>
        <w:rPr>
          <w:rFonts w:ascii="Times New Roman" w:hAnsi="Times New Roman"/>
        </w:rPr>
      </w:pPr>
    </w:p>
    <w:p w:rsidR="001D7520" w:rsidRDefault="00FF0BAA" w:rsidP="001D7520">
      <w:pPr>
        <w:rPr>
          <w:rFonts w:ascii="Times New Roman" w:hAnsi="Times New Roman"/>
        </w:rPr>
      </w:pPr>
      <w:r>
        <w:rPr>
          <w:rFonts w:ascii="Times New Roman" w:hAnsi="Times New Roman"/>
        </w:rPr>
        <w:tab/>
      </w:r>
      <w:r>
        <w:rPr>
          <w:rFonts w:ascii="Times New Roman" w:hAnsi="Times New Roman"/>
        </w:rPr>
        <w:tab/>
        <w:t xml:space="preserve">The </w:t>
      </w:r>
      <w:r w:rsidR="00B21843" w:rsidRPr="003B7488">
        <w:rPr>
          <w:rFonts w:ascii="Times New Roman" w:hAnsi="Times New Roman"/>
        </w:rPr>
        <w:t xml:space="preserve">essential terms of the </w:t>
      </w:r>
      <w:r w:rsidR="002B0D9B" w:rsidRPr="003B7488">
        <w:rPr>
          <w:rFonts w:ascii="Times New Roman" w:hAnsi="Times New Roman"/>
        </w:rPr>
        <w:t xml:space="preserve">Partial </w:t>
      </w:r>
      <w:r w:rsidR="00B21843" w:rsidRPr="003B7488">
        <w:rPr>
          <w:rFonts w:ascii="Times New Roman" w:hAnsi="Times New Roman"/>
        </w:rPr>
        <w:t xml:space="preserve">Settlement are contained in </w:t>
      </w:r>
      <w:r w:rsidR="00E65F38">
        <w:rPr>
          <w:rFonts w:ascii="Times New Roman" w:hAnsi="Times New Roman"/>
        </w:rPr>
        <w:t>paragraph no</w:t>
      </w:r>
      <w:r w:rsidR="00B26006">
        <w:rPr>
          <w:rFonts w:ascii="Times New Roman" w:hAnsi="Times New Roman"/>
        </w:rPr>
        <w:t>.</w:t>
      </w:r>
      <w:r w:rsidR="00B21843" w:rsidRPr="003B7488">
        <w:rPr>
          <w:rFonts w:ascii="Times New Roman" w:hAnsi="Times New Roman"/>
        </w:rPr>
        <w:t xml:space="preserve"> </w:t>
      </w:r>
      <w:r w:rsidR="008E2D1D">
        <w:rPr>
          <w:rFonts w:ascii="Times New Roman" w:hAnsi="Times New Roman"/>
        </w:rPr>
        <w:t>11</w:t>
      </w:r>
      <w:r w:rsidR="00BD35A1" w:rsidRPr="003B7488">
        <w:rPr>
          <w:rFonts w:ascii="Times New Roman" w:hAnsi="Times New Roman"/>
        </w:rPr>
        <w:t xml:space="preserve"> </w:t>
      </w:r>
      <w:r w:rsidR="00B21843" w:rsidRPr="003B7488">
        <w:rPr>
          <w:rFonts w:ascii="Times New Roman" w:hAnsi="Times New Roman"/>
        </w:rPr>
        <w:t>which provides</w:t>
      </w:r>
      <w:r w:rsidR="00E65F38">
        <w:rPr>
          <w:rFonts w:ascii="Times New Roman" w:hAnsi="Times New Roman"/>
        </w:rPr>
        <w:t>, as quoted below</w:t>
      </w:r>
      <w:r w:rsidR="00B21843" w:rsidRPr="003B7488">
        <w:rPr>
          <w:rFonts w:ascii="Times New Roman" w:hAnsi="Times New Roman"/>
        </w:rPr>
        <w:t>:</w:t>
      </w:r>
      <w:bookmarkStart w:id="20" w:name="_Toc410668036"/>
    </w:p>
    <w:p w:rsidR="001D7520" w:rsidRDefault="001D7520" w:rsidP="001D7520">
      <w:pPr>
        <w:rPr>
          <w:rFonts w:ascii="Times New Roman" w:hAnsi="Times New Roman"/>
        </w:rPr>
      </w:pPr>
    </w:p>
    <w:p w:rsidR="00FB06A0" w:rsidRDefault="001D7520" w:rsidP="001D7520">
      <w:pPr>
        <w:rPr>
          <w:u w:val="single"/>
        </w:rPr>
      </w:pPr>
      <w:r>
        <w:rPr>
          <w:rFonts w:ascii="Times New Roman" w:hAnsi="Times New Roman"/>
        </w:rPr>
        <w:tab/>
        <w:t>A.</w:t>
      </w:r>
      <w:r>
        <w:rPr>
          <w:rFonts w:ascii="Times New Roman" w:hAnsi="Times New Roman"/>
        </w:rPr>
        <w:tab/>
      </w:r>
      <w:r w:rsidR="00FB06A0" w:rsidRPr="00DA0DEE">
        <w:rPr>
          <w:u w:val="single"/>
        </w:rPr>
        <w:t>Revenue Requirement</w:t>
      </w:r>
      <w:bookmarkEnd w:id="20"/>
    </w:p>
    <w:p w:rsidR="00FB270E" w:rsidRPr="001D7520" w:rsidRDefault="00FB270E" w:rsidP="001D7520">
      <w:pPr>
        <w:rPr>
          <w:rFonts w:ascii="Times New Roman" w:hAnsi="Times New Roman"/>
        </w:rPr>
      </w:pPr>
    </w:p>
    <w:p w:rsidR="00FB06A0" w:rsidRPr="005706ED" w:rsidRDefault="00FB06A0" w:rsidP="00A334AD">
      <w:pPr>
        <w:pStyle w:val="OutlineL4"/>
        <w:tabs>
          <w:tab w:val="clear" w:pos="2160"/>
        </w:tabs>
        <w:spacing w:before="0" w:line="360" w:lineRule="auto"/>
        <w:ind w:left="720" w:firstLine="720"/>
        <w:outlineLvl w:val="9"/>
      </w:pPr>
      <w:r>
        <w:t xml:space="preserve">The rates set forth in Exhibit 1 have been designed to produce an increase in </w:t>
      </w:r>
      <w:r>
        <w:rPr>
          <w:lang w:val="en-US"/>
        </w:rPr>
        <w:t xml:space="preserve">distribution base rate </w:t>
      </w:r>
      <w:r>
        <w:t xml:space="preserve">operating revenues of $17 million for the twelve months ending April 30, 2016, to become effective no later than May 19, 2015, as shown in the proof of revenues provided as Exhibit 2.  </w:t>
      </w:r>
      <w:r>
        <w:rPr>
          <w:lang w:val="en-US"/>
        </w:rPr>
        <w:t xml:space="preserve">As agreed upon in exchange for an extension of the statutory suspension period, </w:t>
      </w:r>
      <w:proofErr w:type="spellStart"/>
      <w:r>
        <w:rPr>
          <w:lang w:val="en-US"/>
        </w:rPr>
        <w:t>t</w:t>
      </w:r>
      <w:r>
        <w:t>he</w:t>
      </w:r>
      <w:proofErr w:type="spellEnd"/>
      <w:r>
        <w:t xml:space="preserve"> Company will recoup, through a surcharge, revenues lost at the final approved rates for the period from </w:t>
      </w:r>
      <w:r>
        <w:rPr>
          <w:lang w:val="en-US"/>
        </w:rPr>
        <w:t>May 3, 2015 (</w:t>
      </w:r>
      <w:r>
        <w:t xml:space="preserve">the end of the statutory </w:t>
      </w:r>
      <w:r>
        <w:lastRenderedPageBreak/>
        <w:t>suspension period</w:t>
      </w:r>
      <w:r>
        <w:rPr>
          <w:lang w:val="en-US"/>
        </w:rPr>
        <w:t>)</w:t>
      </w:r>
      <w:r>
        <w:t xml:space="preserve"> through May 19, 2015</w:t>
      </w:r>
      <w:r>
        <w:rPr>
          <w:lang w:val="en-US"/>
        </w:rPr>
        <w:t>,</w:t>
      </w:r>
      <w:r>
        <w:t xml:space="preserve"> the date the Settlement Rates must become effective</w:t>
      </w:r>
      <w:r>
        <w:rPr>
          <w:lang w:val="en-US"/>
        </w:rPr>
        <w:t>.</w:t>
      </w:r>
      <w:r>
        <w:rPr>
          <w:rStyle w:val="FootnoteReference"/>
          <w:lang w:val="en-US"/>
        </w:rPr>
        <w:footnoteReference w:id="3"/>
      </w:r>
      <w:r>
        <w:t xml:space="preserve"> </w:t>
      </w:r>
      <w:r>
        <w:rPr>
          <w:lang w:val="en-US"/>
        </w:rPr>
        <w:t xml:space="preserve"> </w:t>
      </w:r>
      <w:r>
        <w:t>The Company will implement such a surcharge at the same time it begins to charge the Settlement Rates.  The surcharge will be calculated separately for residential, commercial, and industrial customer classes, with the residential and commercial classes determined consistently with the definition of those classes set forth in the Company’s Price to Compare Default Service Rider, while the industrial class shall be determined consistently with the first paragraph of the Availability section of the Company’s Hourly Pricing Default Service Rider.  The surcharge will be stated on a per-kWh basis for the residential and commercial classes and on a per kW basis for the industrial class.  The surcharge will remain in effect, for each class, until the lost revenue, determined for such class, is collected over a period not to exceed three months from the date the surcharge is initiated.</w:t>
      </w:r>
    </w:p>
    <w:p w:rsidR="005706ED" w:rsidRDefault="005706ED" w:rsidP="005706ED">
      <w:pPr>
        <w:pStyle w:val="OutlineL4"/>
        <w:numPr>
          <w:ilvl w:val="0"/>
          <w:numId w:val="0"/>
        </w:numPr>
        <w:spacing w:before="0" w:line="360" w:lineRule="auto"/>
        <w:ind w:left="2160"/>
        <w:outlineLvl w:val="9"/>
      </w:pPr>
    </w:p>
    <w:p w:rsidR="00FB06A0" w:rsidRPr="00B167AF" w:rsidRDefault="00FB06A0" w:rsidP="00A334AD">
      <w:pPr>
        <w:pStyle w:val="OutlineL4"/>
        <w:spacing w:before="0" w:line="360" w:lineRule="auto"/>
        <w:ind w:left="720" w:firstLine="720"/>
        <w:outlineLvl w:val="9"/>
      </w:pPr>
      <w:r>
        <w:t xml:space="preserve">The </w:t>
      </w:r>
      <w:r>
        <w:rPr>
          <w:lang w:val="en-US"/>
        </w:rPr>
        <w:t xml:space="preserve">Company’s </w:t>
      </w:r>
      <w:r>
        <w:t>total revenue requirement includes $12.483 million associated with smart meter deployment.  Once the aggregate investment and expense revenue requirements exceed $12.483 million, the Company may begin deferring costs that are eligible for recovery under its SMT-C Rider (Rider</w:t>
      </w:r>
      <w:r w:rsidR="00914336">
        <w:rPr>
          <w:lang w:val="en-US"/>
        </w:rPr>
        <w:t> </w:t>
      </w:r>
      <w:r>
        <w:t xml:space="preserve">G).  When the $12.483 million threshold is exceeded and the Company begins deferring costs in excess of </w:t>
      </w:r>
      <w:r>
        <w:rPr>
          <w:lang w:val="en-US"/>
        </w:rPr>
        <w:t>that amount</w:t>
      </w:r>
      <w:r>
        <w:t>, the Company will file a smart meter rate under Rider G to recover all investment and expense revenue requirements in excess of the $12.483 million included in base distribution rates.</w:t>
      </w:r>
    </w:p>
    <w:p w:rsidR="00B167AF" w:rsidRDefault="00B167AF" w:rsidP="00B167AF">
      <w:pPr>
        <w:pStyle w:val="OutlineL4"/>
        <w:numPr>
          <w:ilvl w:val="0"/>
          <w:numId w:val="0"/>
        </w:numPr>
        <w:spacing w:before="0" w:line="360" w:lineRule="auto"/>
        <w:ind w:left="2160"/>
        <w:outlineLvl w:val="9"/>
      </w:pPr>
    </w:p>
    <w:p w:rsidR="00FB06A0" w:rsidRPr="00B167AF" w:rsidRDefault="00FB06A0" w:rsidP="00A334AD">
      <w:pPr>
        <w:pStyle w:val="OutlineL4"/>
        <w:tabs>
          <w:tab w:val="left" w:pos="2160"/>
          <w:tab w:val="num" w:pos="2880"/>
        </w:tabs>
        <w:spacing w:before="0" w:line="360" w:lineRule="auto"/>
        <w:ind w:left="720" w:firstLine="720"/>
        <w:outlineLvl w:val="9"/>
      </w:pPr>
      <w:r>
        <w:t>The Company’s unamortized investment associated with legacy meters will be amortized over a five-year period, beginning on the date the Settlement Rates become effective.</w:t>
      </w:r>
    </w:p>
    <w:p w:rsidR="00B167AF" w:rsidRDefault="00B167AF" w:rsidP="00B167AF">
      <w:pPr>
        <w:pStyle w:val="OutlineL4"/>
        <w:numPr>
          <w:ilvl w:val="0"/>
          <w:numId w:val="0"/>
        </w:numPr>
        <w:spacing w:before="0" w:line="360" w:lineRule="auto"/>
        <w:ind w:left="2160"/>
        <w:outlineLvl w:val="9"/>
      </w:pPr>
    </w:p>
    <w:p w:rsidR="00FB06A0" w:rsidRPr="00C5282C" w:rsidRDefault="00FB06A0" w:rsidP="00A334AD">
      <w:pPr>
        <w:pStyle w:val="OutlineL4"/>
        <w:tabs>
          <w:tab w:val="left" w:pos="2160"/>
          <w:tab w:val="num" w:pos="2880"/>
        </w:tabs>
        <w:spacing w:before="0" w:line="360" w:lineRule="auto"/>
        <w:ind w:left="720" w:firstLine="720"/>
        <w:outlineLvl w:val="9"/>
      </w:pPr>
      <w:r>
        <w:t xml:space="preserve">A Storm Reserve Account will be established and maintained on the Company’s balance sheet beginning on the date the Settlement Rates become effective.  The Company’s total revenue requirement includes $1 million to be recovered for </w:t>
      </w:r>
      <w:r>
        <w:lastRenderedPageBreak/>
        <w:t>purposes of funding this reserve, which represents a five-year average of historical expenses</w:t>
      </w:r>
      <w:r>
        <w:rPr>
          <w:lang w:val="en-US"/>
        </w:rPr>
        <w:t xml:space="preserve">. </w:t>
      </w:r>
      <w:r>
        <w:t xml:space="preserve"> </w:t>
      </w:r>
      <w:r>
        <w:rPr>
          <w:lang w:val="en-US"/>
        </w:rPr>
        <w:t>Penn Power’s historical expenses for that period did not include any expenses related to damage from extraordinary storm events which the Company received Commission approval to defer</w:t>
      </w:r>
      <w:r>
        <w:t>.  Expenses related to storm damage, excluding those expenses related to damage from extraordinary storm events, will be recorded in the Storm Reserve Account in order to eliminate any impact of such expenses on the Company’s income statement.  Expenses related to damage from extraordinary storm events will be accounted for separately in accordance with the current practice of petitioning the Commission for approval to defer such expenses.  Both revenues received and costs incurred by the Company in support of other regulated utilities, including other jurisdictional and non-jurisdictional affiliated companies, for assisting during storm events will be reflected in the reserve account.</w:t>
      </w:r>
    </w:p>
    <w:p w:rsidR="00C5282C" w:rsidRDefault="00C5282C" w:rsidP="00C5282C">
      <w:pPr>
        <w:pStyle w:val="OutlineL4"/>
        <w:numPr>
          <w:ilvl w:val="0"/>
          <w:numId w:val="0"/>
        </w:numPr>
        <w:tabs>
          <w:tab w:val="left" w:pos="2160"/>
        </w:tabs>
        <w:spacing w:before="0" w:line="360" w:lineRule="auto"/>
        <w:ind w:left="1440"/>
        <w:outlineLvl w:val="9"/>
      </w:pPr>
    </w:p>
    <w:p w:rsidR="00FB06A0" w:rsidRPr="00C5282C" w:rsidRDefault="00FB06A0" w:rsidP="00C5282C">
      <w:pPr>
        <w:pStyle w:val="OutlineL4"/>
        <w:tabs>
          <w:tab w:val="left" w:pos="2160"/>
          <w:tab w:val="num" w:pos="2880"/>
        </w:tabs>
        <w:spacing w:before="0" w:line="360" w:lineRule="auto"/>
        <w:ind w:left="720" w:firstLine="720"/>
        <w:outlineLvl w:val="9"/>
      </w:pPr>
      <w:r>
        <w:t>On or before August 1, 2015, the Company will provide to the statutory advocates an update to Penn Power Exhibit RAD-47, which will include actual capital expenditures, plant additions, and retirements by month for the twelve months ended March 31, 2015.  On or before July 1, 2016, the Company will provide to the statutory advocates an update to Penn Power Exhibit RAD-46, which will include actual capital expenditures, plant additions, and retirements by month for the twelve months ended April 30, 2016.  In Penn Power’s next base rate proceeding, the Company will prepare a comparison of its actual expenses and rate base additions for the twelve months ended April 30, 2016 to its projections in this case.  However, it is recognized by the Joint Petitioners that this is a black box settlement that is a compromise of Joint Petitioners’ positions on various issues.</w:t>
      </w:r>
    </w:p>
    <w:p w:rsidR="00C5282C" w:rsidRDefault="00C5282C" w:rsidP="00C5282C">
      <w:pPr>
        <w:pStyle w:val="OutlineL4"/>
        <w:numPr>
          <w:ilvl w:val="0"/>
          <w:numId w:val="0"/>
        </w:numPr>
        <w:tabs>
          <w:tab w:val="left" w:pos="2160"/>
        </w:tabs>
        <w:spacing w:before="0" w:line="360" w:lineRule="auto"/>
        <w:ind w:left="1440"/>
        <w:outlineLvl w:val="9"/>
      </w:pPr>
    </w:p>
    <w:p w:rsidR="00FB06A0" w:rsidRDefault="00FB06A0" w:rsidP="00C5282C">
      <w:pPr>
        <w:pStyle w:val="OutlineL4"/>
        <w:tabs>
          <w:tab w:val="left" w:pos="2160"/>
          <w:tab w:val="num" w:pos="2880"/>
        </w:tabs>
        <w:spacing w:before="0" w:line="360" w:lineRule="auto"/>
        <w:ind w:left="720" w:firstLine="720"/>
        <w:outlineLvl w:val="9"/>
      </w:pPr>
      <w:r>
        <w:rPr>
          <w:lang w:val="en-US"/>
        </w:rPr>
        <w:t xml:space="preserve">The </w:t>
      </w:r>
      <w:r>
        <w:t xml:space="preserve">Joint Petitioners agree and hereby stipulate that the Company shall use </w:t>
      </w:r>
      <w:r>
        <w:rPr>
          <w:lang w:val="en-US"/>
        </w:rPr>
        <w:t>the</w:t>
      </w:r>
      <w:r>
        <w:t xml:space="preserve"> rate of return on equity as calculated for electric utilities and published in the “Bureau of Technical Utility Services Report on the Quarterly Earnings of Jurisdictional Utilities” for the most recent </w:t>
      </w:r>
      <w:r>
        <w:rPr>
          <w:lang w:val="en-US"/>
        </w:rPr>
        <w:t>quarter for the following purposes:</w:t>
      </w:r>
    </w:p>
    <w:p w:rsidR="00FB06A0" w:rsidRDefault="00FB06A0" w:rsidP="00911005">
      <w:pPr>
        <w:pStyle w:val="OutlineL5"/>
        <w:tabs>
          <w:tab w:val="clear" w:pos="3600"/>
          <w:tab w:val="num" w:pos="2880"/>
        </w:tabs>
        <w:spacing w:after="0" w:line="360" w:lineRule="auto"/>
        <w:ind w:left="1440" w:firstLine="720"/>
        <w:outlineLvl w:val="9"/>
      </w:pPr>
      <w:r>
        <w:rPr>
          <w:lang w:val="en-US"/>
        </w:rPr>
        <w:lastRenderedPageBreak/>
        <w:t xml:space="preserve">Calculating </w:t>
      </w:r>
      <w:r>
        <w:t>a distribut</w:t>
      </w:r>
      <w:r w:rsidR="008332FC">
        <w:t>ion system improvement charge (</w:t>
      </w:r>
      <w:r>
        <w:t>DSIC) if a DSIC is hereafter proposed by the Company and approved by the Commission</w:t>
      </w:r>
      <w:r>
        <w:rPr>
          <w:lang w:val="en-US"/>
        </w:rPr>
        <w:t>; and</w:t>
      </w:r>
    </w:p>
    <w:p w:rsidR="00FB06A0" w:rsidRDefault="00FB06A0" w:rsidP="00911005">
      <w:pPr>
        <w:pStyle w:val="OutlineL5"/>
        <w:tabs>
          <w:tab w:val="clear" w:pos="3600"/>
        </w:tabs>
        <w:spacing w:after="0" w:line="360" w:lineRule="auto"/>
        <w:ind w:left="1440" w:firstLine="720"/>
        <w:outlineLvl w:val="9"/>
      </w:pPr>
      <w:r>
        <w:rPr>
          <w:lang w:val="en-US"/>
        </w:rPr>
        <w:t>C</w:t>
      </w:r>
      <w:proofErr w:type="spellStart"/>
      <w:r>
        <w:t>alculating</w:t>
      </w:r>
      <w:proofErr w:type="spellEnd"/>
      <w:r>
        <w:t xml:space="preserve"> </w:t>
      </w:r>
      <w:r>
        <w:rPr>
          <w:lang w:val="en-US"/>
        </w:rPr>
        <w:t xml:space="preserve">the </w:t>
      </w:r>
      <w:r>
        <w:t>incremental revenue requirement associated with smart meter deployment that exceeds the smart meter revenue requirement being recovered in the Settlement Rates</w:t>
      </w:r>
      <w:r>
        <w:rPr>
          <w:lang w:val="en-US"/>
        </w:rPr>
        <w:t xml:space="preserve"> as described in paragraph 11(A)(2) of this Joint Petition</w:t>
      </w:r>
      <w:r>
        <w:t xml:space="preserve"> and therefore</w:t>
      </w:r>
      <w:r>
        <w:rPr>
          <w:lang w:val="en-US"/>
        </w:rPr>
        <w:t xml:space="preserve"> </w:t>
      </w:r>
      <w:r>
        <w:t>eligible for recovery through the Company’s SMT-C Rider</w:t>
      </w:r>
      <w:r>
        <w:rPr>
          <w:lang w:val="en-US"/>
        </w:rPr>
        <w:t>.</w:t>
      </w:r>
    </w:p>
    <w:p w:rsidR="00C5282C" w:rsidRDefault="00C5282C" w:rsidP="00C5282C">
      <w:pPr>
        <w:pStyle w:val="OutlineL4"/>
        <w:numPr>
          <w:ilvl w:val="0"/>
          <w:numId w:val="0"/>
        </w:numPr>
        <w:tabs>
          <w:tab w:val="num" w:pos="2160"/>
        </w:tabs>
        <w:spacing w:before="0" w:line="360" w:lineRule="auto"/>
        <w:ind w:left="720" w:firstLine="720"/>
        <w:outlineLvl w:val="9"/>
        <w:rPr>
          <w:lang w:val="en-US"/>
        </w:rPr>
      </w:pPr>
    </w:p>
    <w:p w:rsidR="006B71D0" w:rsidRDefault="00AC2ED8" w:rsidP="00C5282C">
      <w:pPr>
        <w:pStyle w:val="OutlineL4"/>
        <w:numPr>
          <w:ilvl w:val="0"/>
          <w:numId w:val="0"/>
        </w:numPr>
        <w:tabs>
          <w:tab w:val="num" w:pos="2160"/>
        </w:tabs>
        <w:spacing w:before="0" w:line="360" w:lineRule="auto"/>
        <w:ind w:left="720" w:firstLine="720"/>
        <w:outlineLvl w:val="9"/>
        <w:rPr>
          <w:lang w:val="en-US"/>
        </w:rPr>
      </w:pPr>
      <w:r>
        <w:rPr>
          <w:lang w:val="en-US"/>
        </w:rPr>
        <w:t>7.</w:t>
      </w:r>
      <w:r>
        <w:rPr>
          <w:lang w:val="en-US"/>
        </w:rPr>
        <w:tab/>
      </w:r>
      <w:r w:rsidR="00FB06A0">
        <w:t>Penn Power’s S</w:t>
      </w:r>
      <w:r w:rsidR="008332FC">
        <w:t>tate Tax Adjustment Surcharge (</w:t>
      </w:r>
      <w:r w:rsidR="00FB06A0">
        <w:t>STAS) is being rolled into the Settlement Rates.  Accordingly, as of the effective date of the Settlement Rates, Penn Power’s STAS will be reduced to zero.  Penn Power’s STAS applies to rates imposed under the following Riders set forth in its existing tariff: Universal Servic</w:t>
      </w:r>
      <w:r w:rsidR="008332FC">
        <w:t>e Cost (</w:t>
      </w:r>
      <w:r w:rsidR="00FB06A0">
        <w:t>USC) Rider, Phase II Energy Efficiency and Conservation Charge Rider, Price to Compare Default Service Rider, Hourly Pricing Default Service Rider, Default Service Support Rider, and Solar Photovoltaic Requirements Charge Rider.  Consequently, as a result of the roll-in of Penn Power’s STAS to base rates, the rates to be imposed under the foregoing riders, from and after the effective date of the Settlement Rates, have been adjusted, as set forth in Exhibit 1, to recover, on a grossed-up basis, the Revenue Neutral Reconciliation rate of 1.5% and the Gross Receipts Tax rate of 4.4% (in aggregate 5.9%) that are currently recovered under the</w:t>
      </w:r>
      <w:r w:rsidR="00F5199B">
        <w:rPr>
          <w:lang w:val="en-US"/>
        </w:rPr>
        <w:t xml:space="preserve"> STAT.</w:t>
      </w:r>
    </w:p>
    <w:p w:rsidR="00B167AF" w:rsidRDefault="00B167AF" w:rsidP="00B167AF">
      <w:pPr>
        <w:pStyle w:val="OutlineL4"/>
        <w:numPr>
          <w:ilvl w:val="0"/>
          <w:numId w:val="0"/>
        </w:numPr>
        <w:spacing w:before="0" w:line="360" w:lineRule="auto"/>
        <w:ind w:left="720" w:firstLine="720"/>
        <w:outlineLvl w:val="9"/>
        <w:rPr>
          <w:lang w:val="en-US"/>
        </w:rPr>
      </w:pPr>
    </w:p>
    <w:p w:rsidR="00CA08E9" w:rsidRDefault="00CA08E9" w:rsidP="00926094">
      <w:pPr>
        <w:pStyle w:val="OutlineL4"/>
        <w:numPr>
          <w:ilvl w:val="0"/>
          <w:numId w:val="0"/>
        </w:numPr>
        <w:spacing w:before="0" w:line="360" w:lineRule="auto"/>
        <w:ind w:left="720"/>
        <w:outlineLvl w:val="9"/>
        <w:rPr>
          <w:lang w:val="en-US"/>
        </w:rPr>
      </w:pPr>
      <w:r>
        <w:rPr>
          <w:lang w:val="en-US"/>
        </w:rPr>
        <w:t>B</w:t>
      </w:r>
      <w:r w:rsidR="006B71D0">
        <w:rPr>
          <w:lang w:val="en-US"/>
        </w:rPr>
        <w:t>.</w:t>
      </w:r>
      <w:r>
        <w:rPr>
          <w:lang w:val="en-US"/>
        </w:rPr>
        <w:tab/>
      </w:r>
      <w:r w:rsidRPr="00DC4097">
        <w:rPr>
          <w:u w:val="single"/>
          <w:lang w:val="en-US"/>
        </w:rPr>
        <w:t>Revenue Allocation and Rate Design</w:t>
      </w:r>
      <w:r w:rsidR="006B71D0" w:rsidRPr="00DC4097">
        <w:rPr>
          <w:u w:val="single"/>
          <w:lang w:val="en-US"/>
        </w:rPr>
        <w:tab/>
      </w:r>
    </w:p>
    <w:p w:rsidR="00B167AF" w:rsidRDefault="00B167AF" w:rsidP="00B167AF">
      <w:pPr>
        <w:pStyle w:val="OutlineL4"/>
        <w:numPr>
          <w:ilvl w:val="0"/>
          <w:numId w:val="0"/>
        </w:numPr>
        <w:spacing w:before="0" w:line="360" w:lineRule="auto"/>
        <w:ind w:left="1526" w:firstLine="634"/>
        <w:outlineLvl w:val="9"/>
        <w:rPr>
          <w:lang w:val="en-US"/>
        </w:rPr>
      </w:pPr>
    </w:p>
    <w:p w:rsidR="00FB06A0" w:rsidRPr="00CA08E9" w:rsidRDefault="00CA08E9" w:rsidP="00926094">
      <w:pPr>
        <w:pStyle w:val="OutlineL4"/>
        <w:numPr>
          <w:ilvl w:val="0"/>
          <w:numId w:val="0"/>
        </w:numPr>
        <w:spacing w:before="0" w:line="360" w:lineRule="auto"/>
        <w:ind w:left="720" w:firstLine="724"/>
        <w:outlineLvl w:val="9"/>
        <w:rPr>
          <w:lang w:val="en-US"/>
        </w:rPr>
      </w:pPr>
      <w:r>
        <w:rPr>
          <w:lang w:val="en-US"/>
        </w:rPr>
        <w:t>1.</w:t>
      </w:r>
      <w:r>
        <w:rPr>
          <w:lang w:val="en-US"/>
        </w:rPr>
        <w:tab/>
      </w:r>
      <w:r w:rsidR="00FB06A0">
        <w:t>The revenue allocation to each rate schedule reflected in the Settlement Rates is set forth in Exhibit 3 to this Joint Petition.  Rate design for each rate schedule comprising the Settlement Rates is explained in Exhibit 4 to this Joint Petition.  The allocations and rates set forth in Exhibits 3 and 4 and incorporated in the Settlement Rates reflect the Joint Petitioners’ agreement with regard to rate structure, rate design and distribution of the increase in revenues in this case.</w:t>
      </w:r>
    </w:p>
    <w:p w:rsidR="009930B0" w:rsidRDefault="009930B0" w:rsidP="009930B0">
      <w:pPr>
        <w:pStyle w:val="OutlineL4"/>
        <w:numPr>
          <w:ilvl w:val="0"/>
          <w:numId w:val="0"/>
        </w:numPr>
        <w:spacing w:before="0" w:line="360" w:lineRule="auto"/>
        <w:ind w:left="2160" w:hanging="720"/>
        <w:outlineLvl w:val="9"/>
        <w:rPr>
          <w:lang w:val="en-US"/>
        </w:rPr>
      </w:pPr>
    </w:p>
    <w:p w:rsidR="008332FC" w:rsidRPr="0053049F" w:rsidRDefault="006B71D0" w:rsidP="00926094">
      <w:pPr>
        <w:pStyle w:val="OutlineL4"/>
        <w:numPr>
          <w:ilvl w:val="0"/>
          <w:numId w:val="0"/>
        </w:numPr>
        <w:tabs>
          <w:tab w:val="left" w:pos="1440"/>
        </w:tabs>
        <w:spacing w:before="0" w:line="360" w:lineRule="auto"/>
        <w:ind w:left="2160" w:hanging="1440"/>
        <w:outlineLvl w:val="9"/>
        <w:rPr>
          <w:u w:val="single"/>
          <w:lang w:val="en-US"/>
        </w:rPr>
      </w:pPr>
      <w:r>
        <w:rPr>
          <w:lang w:val="en-US"/>
        </w:rPr>
        <w:t>C.</w:t>
      </w:r>
      <w:r>
        <w:rPr>
          <w:lang w:val="en-US"/>
        </w:rPr>
        <w:tab/>
      </w:r>
      <w:r w:rsidRPr="0053049F">
        <w:rPr>
          <w:u w:val="single"/>
          <w:lang w:val="en-US"/>
        </w:rPr>
        <w:t>Uncollectible Accounts Expense and Universal Service</w:t>
      </w:r>
    </w:p>
    <w:p w:rsidR="007C0BF1" w:rsidRDefault="007C0BF1" w:rsidP="007C0BF1">
      <w:pPr>
        <w:pStyle w:val="OutlineL4"/>
        <w:numPr>
          <w:ilvl w:val="0"/>
          <w:numId w:val="0"/>
        </w:numPr>
        <w:spacing w:before="0" w:line="360" w:lineRule="auto"/>
        <w:ind w:left="1440" w:firstLine="720"/>
        <w:outlineLvl w:val="9"/>
        <w:rPr>
          <w:lang w:val="en-US"/>
        </w:rPr>
      </w:pPr>
    </w:p>
    <w:p w:rsidR="00FB06A0" w:rsidRPr="008332FC" w:rsidRDefault="006B71D0" w:rsidP="00926094">
      <w:pPr>
        <w:pStyle w:val="OutlineL4"/>
        <w:numPr>
          <w:ilvl w:val="0"/>
          <w:numId w:val="0"/>
        </w:numPr>
        <w:spacing w:before="0" w:line="360" w:lineRule="auto"/>
        <w:ind w:left="720" w:firstLine="720"/>
        <w:outlineLvl w:val="9"/>
      </w:pPr>
      <w:r>
        <w:rPr>
          <w:lang w:val="en-US"/>
        </w:rPr>
        <w:t>1.</w:t>
      </w:r>
      <w:r>
        <w:rPr>
          <w:lang w:val="en-US"/>
        </w:rPr>
        <w:tab/>
      </w:r>
      <w:r w:rsidR="00FB06A0">
        <w:t>Default service-related uncollectible accounts expense has been revised and $1.031 million will be recovered</w:t>
      </w:r>
      <w:r w:rsidR="00FB06A0">
        <w:rPr>
          <w:lang w:val="en-US"/>
        </w:rPr>
        <w:t xml:space="preserve">, </w:t>
      </w:r>
      <w:r w:rsidR="00FB06A0">
        <w:t>beginning on the date the Settlement Rates become effective</w:t>
      </w:r>
      <w:r w:rsidR="00FB06A0">
        <w:rPr>
          <w:lang w:val="en-US"/>
        </w:rPr>
        <w:t>,</w:t>
      </w:r>
      <w:r w:rsidR="00FB06A0">
        <w:t xml:space="preserve"> through the Company’s Default Service Support Rider for the residential and commercial classes, and through the Hourly Pricing Default Service Rider for industrial class customers.  The Distribution-related uncollectible account expense has been revised and $0.579 million will be recovered through the Settlement Rates.  The amounts of uncollectible accounts expense shall be those set forth in Penn Power Exhibits LWG-1 and LWG-2, copies of which are appended hereto as Exhibit 5.</w:t>
      </w:r>
    </w:p>
    <w:p w:rsidR="00CF50CE" w:rsidRDefault="00CF50CE" w:rsidP="00CF50CE">
      <w:pPr>
        <w:pStyle w:val="OutlineL4"/>
        <w:numPr>
          <w:ilvl w:val="0"/>
          <w:numId w:val="0"/>
        </w:numPr>
        <w:spacing w:before="0" w:line="360" w:lineRule="auto"/>
        <w:ind w:left="720" w:firstLine="1440"/>
        <w:outlineLvl w:val="9"/>
        <w:rPr>
          <w:lang w:val="en-US"/>
        </w:rPr>
      </w:pPr>
    </w:p>
    <w:p w:rsidR="006400B3" w:rsidRPr="00CF50CE" w:rsidRDefault="00014A13" w:rsidP="00926094">
      <w:pPr>
        <w:pStyle w:val="OutlineL4"/>
        <w:numPr>
          <w:ilvl w:val="0"/>
          <w:numId w:val="0"/>
        </w:numPr>
        <w:tabs>
          <w:tab w:val="left" w:pos="720"/>
        </w:tabs>
        <w:spacing w:before="0" w:line="360" w:lineRule="auto"/>
        <w:ind w:left="720" w:firstLine="720"/>
        <w:outlineLvl w:val="9"/>
        <w:rPr>
          <w:lang w:val="en-US"/>
        </w:rPr>
      </w:pPr>
      <w:r>
        <w:rPr>
          <w:lang w:val="en-US"/>
        </w:rPr>
        <w:t>2.</w:t>
      </w:r>
      <w:r>
        <w:rPr>
          <w:lang w:val="en-US"/>
        </w:rPr>
        <w:tab/>
      </w:r>
      <w:r w:rsidR="00FB06A0">
        <w:t>In the event that the average an</w:t>
      </w:r>
      <w:r w:rsidR="008332FC">
        <w:t>nual Customer Assistance Plan (</w:t>
      </w:r>
      <w:r w:rsidR="00FB06A0">
        <w:t>CAP) participation in the preceding reconciliation year exceeded 5,700 participants, actual costs recovered through Penn Power’s USC Rider shall reflect CAP Credits and actual Pre-Program Arrearage Forgiveness Credits for all customers up to the 5,700 participation level.  The Company shall offset the average annual CAP Credits and Pre-Program Arrearage Forgiveness Credits by 14.3% per participant for the preceding reconciliation year for any and all CAP customers exceeding the 5,700 participation</w:t>
      </w:r>
      <w:r w:rsidR="00CF50CE">
        <w:rPr>
          <w:lang w:val="en-US"/>
        </w:rPr>
        <w:t xml:space="preserve"> level.</w:t>
      </w:r>
    </w:p>
    <w:p w:rsidR="00814C4F" w:rsidRDefault="00814C4F" w:rsidP="0053049F">
      <w:pPr>
        <w:pStyle w:val="OutlineL4"/>
        <w:numPr>
          <w:ilvl w:val="0"/>
          <w:numId w:val="0"/>
        </w:numPr>
        <w:spacing w:before="0" w:line="360" w:lineRule="auto"/>
        <w:ind w:left="720" w:firstLine="720"/>
        <w:outlineLvl w:val="9"/>
        <w:rPr>
          <w:lang w:val="en-US"/>
        </w:rPr>
      </w:pPr>
    </w:p>
    <w:p w:rsidR="00EE15E8" w:rsidRDefault="00EE15E8" w:rsidP="00752C44">
      <w:pPr>
        <w:pStyle w:val="OutlineL4"/>
        <w:numPr>
          <w:ilvl w:val="0"/>
          <w:numId w:val="0"/>
        </w:numPr>
        <w:spacing w:before="0" w:line="360" w:lineRule="auto"/>
        <w:ind w:left="720"/>
        <w:outlineLvl w:val="9"/>
        <w:rPr>
          <w:lang w:val="en-US"/>
        </w:rPr>
      </w:pPr>
      <w:r>
        <w:rPr>
          <w:lang w:val="en-US"/>
        </w:rPr>
        <w:t>D.</w:t>
      </w:r>
      <w:r>
        <w:rPr>
          <w:lang w:val="en-US"/>
        </w:rPr>
        <w:tab/>
      </w:r>
      <w:r w:rsidRPr="0053049F">
        <w:rPr>
          <w:u w:val="single"/>
          <w:lang w:val="en-US"/>
        </w:rPr>
        <w:t>Customer Service and Operations</w:t>
      </w:r>
    </w:p>
    <w:p w:rsidR="0053049F" w:rsidRPr="00EE15E8" w:rsidRDefault="0053049F" w:rsidP="0053049F">
      <w:pPr>
        <w:pStyle w:val="OutlineL4"/>
        <w:numPr>
          <w:ilvl w:val="0"/>
          <w:numId w:val="0"/>
        </w:numPr>
        <w:spacing w:before="0" w:line="360" w:lineRule="auto"/>
        <w:ind w:left="720" w:firstLine="720"/>
        <w:outlineLvl w:val="9"/>
        <w:rPr>
          <w:lang w:val="en-US"/>
        </w:rPr>
      </w:pPr>
    </w:p>
    <w:p w:rsidR="00FB06A0" w:rsidRDefault="006400B3" w:rsidP="00752C44">
      <w:pPr>
        <w:pStyle w:val="OutlineL4"/>
        <w:numPr>
          <w:ilvl w:val="0"/>
          <w:numId w:val="0"/>
        </w:numPr>
        <w:spacing w:before="0" w:line="360" w:lineRule="auto"/>
        <w:ind w:left="720" w:firstLine="720"/>
        <w:outlineLvl w:val="9"/>
        <w:rPr>
          <w:lang w:val="en-US"/>
        </w:rPr>
      </w:pPr>
      <w:r>
        <w:rPr>
          <w:lang w:val="en-US"/>
        </w:rPr>
        <w:t>1.</w:t>
      </w:r>
      <w:r>
        <w:rPr>
          <w:lang w:val="en-US"/>
        </w:rPr>
        <w:tab/>
      </w:r>
      <w:r w:rsidR="00FB06A0">
        <w:t>Regarding call answering times, the Company agrees to achieve and maintain an annual call answer rate of at least 80% of calls answered within thirty seconds beginning with the twelve-month period ended December 31, 2016.</w:t>
      </w:r>
    </w:p>
    <w:p w:rsidR="0053049F" w:rsidRPr="0053049F" w:rsidRDefault="0053049F" w:rsidP="0053049F">
      <w:pPr>
        <w:pStyle w:val="OutlineL4"/>
        <w:numPr>
          <w:ilvl w:val="0"/>
          <w:numId w:val="0"/>
        </w:numPr>
        <w:spacing w:before="0" w:line="360" w:lineRule="auto"/>
        <w:ind w:left="1440" w:firstLine="720"/>
        <w:outlineLvl w:val="9"/>
        <w:rPr>
          <w:lang w:val="en-US"/>
        </w:rPr>
      </w:pPr>
    </w:p>
    <w:p w:rsidR="008332FC" w:rsidRDefault="006400B3" w:rsidP="00752C44">
      <w:pPr>
        <w:pStyle w:val="OutlineL4"/>
        <w:numPr>
          <w:ilvl w:val="0"/>
          <w:numId w:val="0"/>
        </w:numPr>
        <w:spacing w:before="0" w:line="360" w:lineRule="auto"/>
        <w:ind w:left="720" w:firstLine="720"/>
        <w:outlineLvl w:val="9"/>
        <w:rPr>
          <w:lang w:val="en-US"/>
        </w:rPr>
      </w:pPr>
      <w:r>
        <w:rPr>
          <w:lang w:val="en-US"/>
        </w:rPr>
        <w:t>2.</w:t>
      </w:r>
      <w:r>
        <w:rPr>
          <w:lang w:val="en-US"/>
        </w:rPr>
        <w:tab/>
      </w:r>
      <w:r w:rsidR="00FB06A0">
        <w:t xml:space="preserve">Regarding the number of residential disputes that did not receive a response within thirty days, the Company agrees to reduce </w:t>
      </w:r>
      <w:r w:rsidR="00FB06A0">
        <w:rPr>
          <w:lang w:val="en-US"/>
        </w:rPr>
        <w:t xml:space="preserve">this </w:t>
      </w:r>
      <w:r w:rsidR="00FB06A0">
        <w:t>number to no more than sixty beginning with the twelve-month period ended December 31, 2016.</w:t>
      </w:r>
    </w:p>
    <w:p w:rsidR="0053049F" w:rsidRPr="0053049F" w:rsidRDefault="0053049F" w:rsidP="0053049F">
      <w:pPr>
        <w:pStyle w:val="OutlineL4"/>
        <w:numPr>
          <w:ilvl w:val="0"/>
          <w:numId w:val="0"/>
        </w:numPr>
        <w:spacing w:before="0" w:line="360" w:lineRule="auto"/>
        <w:ind w:left="1440" w:firstLine="720"/>
        <w:outlineLvl w:val="9"/>
        <w:rPr>
          <w:lang w:val="en-US"/>
        </w:rPr>
      </w:pPr>
    </w:p>
    <w:p w:rsidR="00FB06A0" w:rsidRDefault="006400B3" w:rsidP="00752C44">
      <w:pPr>
        <w:pStyle w:val="OutlineL4"/>
        <w:numPr>
          <w:ilvl w:val="0"/>
          <w:numId w:val="0"/>
        </w:numPr>
        <w:spacing w:before="0" w:line="360" w:lineRule="auto"/>
        <w:ind w:left="720" w:firstLine="720"/>
        <w:outlineLvl w:val="9"/>
        <w:rPr>
          <w:lang w:val="en-US"/>
        </w:rPr>
      </w:pPr>
      <w:r>
        <w:rPr>
          <w:lang w:val="en-US"/>
        </w:rPr>
        <w:t>3.</w:t>
      </w:r>
      <w:r>
        <w:rPr>
          <w:lang w:val="en-US"/>
        </w:rPr>
        <w:tab/>
      </w:r>
      <w:r w:rsidR="00FB06A0">
        <w:t xml:space="preserve">The Company agrees to take necessary actions to: (i) consistently meet the twelve-month performance standards established by the Commission for SAIFI, SAIDI and CAIDI by the end of the first reporting quarter of 2016 (i.e., March 31, 2016); (ii) </w:t>
      </w:r>
      <w:r w:rsidR="00FB06A0">
        <w:lastRenderedPageBreak/>
        <w:t>consistently meet the three-year performance standards established by the Commission for SAIFI, SAIDI, and CAIDI by the end of the calendar year 2017; and (iii) to strive towards the achievement of reliability performance that is at or better than the performance benchmarks</w:t>
      </w:r>
      <w:r w:rsidR="00FB06A0">
        <w:rPr>
          <w:lang w:val="en-US"/>
        </w:rPr>
        <w:t xml:space="preserve"> established by the Commission</w:t>
      </w:r>
      <w:r w:rsidR="00FB06A0">
        <w:t>.</w:t>
      </w:r>
      <w:r w:rsidR="00FB06A0">
        <w:rPr>
          <w:rStyle w:val="FootnoteReference"/>
        </w:rPr>
        <w:footnoteReference w:id="4"/>
      </w:r>
      <w:r w:rsidR="00FB06A0">
        <w:t xml:space="preserve">  </w:t>
      </w:r>
    </w:p>
    <w:p w:rsidR="0053049F" w:rsidRPr="0053049F" w:rsidRDefault="0053049F" w:rsidP="0053049F">
      <w:pPr>
        <w:pStyle w:val="OutlineL4"/>
        <w:numPr>
          <w:ilvl w:val="0"/>
          <w:numId w:val="0"/>
        </w:numPr>
        <w:spacing w:before="0" w:line="360" w:lineRule="auto"/>
        <w:ind w:left="1440" w:firstLine="720"/>
        <w:outlineLvl w:val="9"/>
        <w:rPr>
          <w:lang w:val="en-US"/>
        </w:rPr>
      </w:pPr>
    </w:p>
    <w:p w:rsidR="00FB06A0" w:rsidRDefault="006400B3" w:rsidP="00752C44">
      <w:pPr>
        <w:pStyle w:val="OutlineL4"/>
        <w:numPr>
          <w:ilvl w:val="0"/>
          <w:numId w:val="0"/>
        </w:numPr>
        <w:spacing w:before="0" w:line="360" w:lineRule="auto"/>
        <w:ind w:left="720" w:firstLine="720"/>
        <w:outlineLvl w:val="9"/>
        <w:rPr>
          <w:lang w:val="en-US"/>
        </w:rPr>
      </w:pPr>
      <w:r>
        <w:rPr>
          <w:lang w:val="en-US"/>
        </w:rPr>
        <w:t>4.</w:t>
      </w:r>
      <w:r>
        <w:rPr>
          <w:lang w:val="en-US"/>
        </w:rPr>
        <w:tab/>
      </w:r>
      <w:r w:rsidR="00FB06A0">
        <w:t xml:space="preserve">In each calendar year until the Company files its next base rate case filing where the performance standards are not met by the Company, the Company agrees to provide a report to the statutory advocates discussing the reasons for the performance failure and outlining corrective actions the Company will take to achieve the missed performance standard.  The Company agrees to convene a collaborative to discuss the corrective actions and receive additional input if </w:t>
      </w:r>
      <w:r w:rsidR="00FB06A0">
        <w:rPr>
          <w:lang w:val="en-US"/>
        </w:rPr>
        <w:t xml:space="preserve">such a collaborative is </w:t>
      </w:r>
      <w:r w:rsidR="00FB06A0">
        <w:t>requested by the statutory advocates.</w:t>
      </w:r>
    </w:p>
    <w:p w:rsidR="0053049F" w:rsidRPr="0053049F" w:rsidRDefault="0053049F" w:rsidP="0053049F">
      <w:pPr>
        <w:pStyle w:val="OutlineL4"/>
        <w:numPr>
          <w:ilvl w:val="0"/>
          <w:numId w:val="0"/>
        </w:numPr>
        <w:spacing w:before="0" w:line="360" w:lineRule="auto"/>
        <w:ind w:left="1354" w:firstLine="806"/>
        <w:outlineLvl w:val="9"/>
        <w:rPr>
          <w:lang w:val="en-US"/>
        </w:rPr>
      </w:pPr>
    </w:p>
    <w:p w:rsidR="00FB06A0" w:rsidRPr="008332FC" w:rsidRDefault="005B7E48" w:rsidP="00752C44">
      <w:pPr>
        <w:pStyle w:val="OutlineL4"/>
        <w:numPr>
          <w:ilvl w:val="0"/>
          <w:numId w:val="0"/>
        </w:numPr>
        <w:spacing w:before="0" w:line="360" w:lineRule="auto"/>
        <w:ind w:left="720" w:firstLine="720"/>
        <w:outlineLvl w:val="9"/>
      </w:pPr>
      <w:r>
        <w:rPr>
          <w:lang w:val="en-US"/>
        </w:rPr>
        <w:t>5.</w:t>
      </w:r>
      <w:r>
        <w:rPr>
          <w:lang w:val="en-US"/>
        </w:rPr>
        <w:tab/>
      </w:r>
      <w:r w:rsidR="00FB06A0">
        <w:t>The Company shall continue its policies and procedures to read meters at least every month.</w:t>
      </w:r>
    </w:p>
    <w:p w:rsidR="00114FB7" w:rsidRDefault="00114FB7" w:rsidP="00114FB7">
      <w:pPr>
        <w:pStyle w:val="OutlineL4"/>
        <w:numPr>
          <w:ilvl w:val="0"/>
          <w:numId w:val="0"/>
        </w:numPr>
        <w:spacing w:before="0" w:line="360" w:lineRule="auto"/>
        <w:ind w:left="1440" w:firstLine="720"/>
        <w:outlineLvl w:val="9"/>
        <w:rPr>
          <w:lang w:val="en-US"/>
        </w:rPr>
      </w:pPr>
    </w:p>
    <w:p w:rsidR="00FB06A0" w:rsidRDefault="00793B09" w:rsidP="00BC4C32">
      <w:pPr>
        <w:pStyle w:val="OutlineL4"/>
        <w:numPr>
          <w:ilvl w:val="0"/>
          <w:numId w:val="0"/>
        </w:numPr>
        <w:spacing w:before="0" w:line="360" w:lineRule="auto"/>
        <w:ind w:left="720" w:firstLine="720"/>
        <w:outlineLvl w:val="9"/>
        <w:rPr>
          <w:lang w:val="en-US"/>
        </w:rPr>
      </w:pPr>
      <w:r>
        <w:rPr>
          <w:lang w:val="en-US"/>
        </w:rPr>
        <w:t>6.</w:t>
      </w:r>
      <w:r>
        <w:rPr>
          <w:lang w:val="en-US"/>
        </w:rPr>
        <w:tab/>
      </w:r>
      <w:r w:rsidR="00FB06A0">
        <w:t xml:space="preserve">The Company shall document the specific basis for failure to issue a bill based on an actual meter reading each month pursuant to Chapter 56 if such occurs.  The documentation shall </w:t>
      </w:r>
      <w:r w:rsidR="00FB06A0">
        <w:rPr>
          <w:lang w:val="en-US"/>
        </w:rPr>
        <w:t xml:space="preserve">categorize </w:t>
      </w:r>
      <w:r w:rsidR="00FB06A0">
        <w:t xml:space="preserve">the reasons for not reading the meters every month </w:t>
      </w:r>
      <w:r w:rsidR="00FB06A0">
        <w:rPr>
          <w:lang w:val="en-US"/>
        </w:rPr>
        <w:t xml:space="preserve">and </w:t>
      </w:r>
      <w:r w:rsidR="00FB06A0">
        <w:t xml:space="preserve">provide total numbers </w:t>
      </w:r>
      <w:r w:rsidR="00FB06A0">
        <w:rPr>
          <w:lang w:val="en-US"/>
        </w:rPr>
        <w:t>of failed readings by category</w:t>
      </w:r>
      <w:r w:rsidR="00FB06A0">
        <w:t>.  The Company shall provide this documentation through an annual report to be submitted to the statutory advocates on or before March 31 of each year until the Company files its next base rate case.</w:t>
      </w:r>
    </w:p>
    <w:p w:rsidR="0053049F" w:rsidRPr="0053049F" w:rsidRDefault="0053049F" w:rsidP="0053049F">
      <w:pPr>
        <w:pStyle w:val="OutlineL4"/>
        <w:numPr>
          <w:ilvl w:val="0"/>
          <w:numId w:val="0"/>
        </w:numPr>
        <w:spacing w:before="0" w:line="360" w:lineRule="auto"/>
        <w:ind w:left="1440" w:firstLine="720"/>
        <w:outlineLvl w:val="9"/>
        <w:rPr>
          <w:lang w:val="en-US"/>
        </w:rPr>
      </w:pPr>
    </w:p>
    <w:p w:rsidR="00FB06A0" w:rsidRDefault="00793B09" w:rsidP="00BC4C32">
      <w:pPr>
        <w:pStyle w:val="OutlineL4"/>
        <w:numPr>
          <w:ilvl w:val="0"/>
          <w:numId w:val="0"/>
        </w:numPr>
        <w:tabs>
          <w:tab w:val="left" w:pos="720"/>
        </w:tabs>
        <w:spacing w:before="0" w:line="360" w:lineRule="auto"/>
        <w:ind w:left="720" w:firstLine="720"/>
        <w:outlineLvl w:val="9"/>
        <w:rPr>
          <w:lang w:val="en-US"/>
        </w:rPr>
      </w:pPr>
      <w:r>
        <w:rPr>
          <w:lang w:val="en-US"/>
        </w:rPr>
        <w:t>7.</w:t>
      </w:r>
      <w:r>
        <w:rPr>
          <w:lang w:val="en-US"/>
        </w:rPr>
        <w:tab/>
      </w:r>
      <w:r w:rsidR="00FB06A0">
        <w:t xml:space="preserve">The Company shall revise its website and customer education materials within ninety days of the Final Order in this proceeding to explicitly inform its customers, in plain language, of the Company’s standard policy to issue bills based on actual meter readings every month.  The Company’s website shall also explain, in plain language, that customers may provide actual readings in months when the Company might otherwise provide an estimated monthly bill and the procedure for self-readings. </w:t>
      </w:r>
    </w:p>
    <w:p w:rsidR="00E51516" w:rsidRPr="00E51516" w:rsidRDefault="00E51516" w:rsidP="0053049F">
      <w:pPr>
        <w:pStyle w:val="OutlineL4"/>
        <w:numPr>
          <w:ilvl w:val="0"/>
          <w:numId w:val="0"/>
        </w:numPr>
        <w:spacing w:before="0" w:line="360" w:lineRule="auto"/>
        <w:ind w:left="1440" w:firstLine="720"/>
        <w:outlineLvl w:val="9"/>
        <w:rPr>
          <w:lang w:val="en-US"/>
        </w:rPr>
      </w:pPr>
    </w:p>
    <w:p w:rsidR="00BC4C32" w:rsidRPr="00BC4C32" w:rsidRDefault="00C17E63" w:rsidP="00BC4C32">
      <w:pPr>
        <w:pStyle w:val="OutlineL4"/>
        <w:numPr>
          <w:ilvl w:val="0"/>
          <w:numId w:val="0"/>
        </w:numPr>
        <w:spacing w:before="0" w:line="360" w:lineRule="auto"/>
        <w:ind w:left="720" w:firstLine="720"/>
        <w:outlineLvl w:val="9"/>
        <w:rPr>
          <w:lang w:val="en-US"/>
        </w:rPr>
      </w:pPr>
      <w:r>
        <w:rPr>
          <w:lang w:val="en-US"/>
        </w:rPr>
        <w:t>8.</w:t>
      </w:r>
      <w:r>
        <w:rPr>
          <w:lang w:val="en-US"/>
        </w:rPr>
        <w:tab/>
      </w:r>
      <w:r w:rsidR="00FB06A0">
        <w:t xml:space="preserve">The Company shall provide its recently modified estimated billing algorithm to the statutory advocates and furnish Company personnel to answer questions about the operation of the algorithm.  The Company shall also audit the accuracy and performance of the new algorithm and provide a report of its accuracy, and any modifications if necessary, within ninety days of the conclusion of the first full year of utilizing the modified </w:t>
      </w:r>
      <w:r w:rsidR="00BC4C32">
        <w:rPr>
          <w:lang w:val="en-US"/>
        </w:rPr>
        <w:t>algorithm</w:t>
      </w:r>
    </w:p>
    <w:p w:rsidR="00BC4C32" w:rsidRDefault="00BC4C32" w:rsidP="00BC4C32">
      <w:pPr>
        <w:pStyle w:val="OutlineL4"/>
        <w:numPr>
          <w:ilvl w:val="0"/>
          <w:numId w:val="0"/>
        </w:numPr>
        <w:spacing w:before="0" w:line="360" w:lineRule="auto"/>
        <w:ind w:left="720" w:firstLine="720"/>
        <w:outlineLvl w:val="9"/>
        <w:rPr>
          <w:lang w:val="en-US"/>
        </w:rPr>
      </w:pPr>
    </w:p>
    <w:p w:rsidR="00BC4C32" w:rsidRPr="009F6301" w:rsidRDefault="00BC4C32" w:rsidP="00BC4C32">
      <w:pPr>
        <w:pStyle w:val="OutlineL4"/>
        <w:numPr>
          <w:ilvl w:val="0"/>
          <w:numId w:val="0"/>
        </w:numPr>
        <w:spacing w:before="0" w:line="360" w:lineRule="auto"/>
        <w:ind w:left="720"/>
        <w:outlineLvl w:val="9"/>
        <w:rPr>
          <w:u w:val="single"/>
          <w:lang w:val="en-US"/>
        </w:rPr>
      </w:pPr>
      <w:r>
        <w:rPr>
          <w:lang w:val="en-US"/>
        </w:rPr>
        <w:t>E.</w:t>
      </w:r>
      <w:r>
        <w:rPr>
          <w:lang w:val="en-US"/>
        </w:rPr>
        <w:tab/>
      </w:r>
      <w:r w:rsidRPr="009F6301">
        <w:rPr>
          <w:u w:val="single"/>
          <w:lang w:val="en-US"/>
        </w:rPr>
        <w:t>Smart Meters and Energy Efficiency</w:t>
      </w:r>
    </w:p>
    <w:p w:rsidR="00BC4C32" w:rsidRDefault="00BC4C32" w:rsidP="00BC4C32">
      <w:pPr>
        <w:pStyle w:val="OutlineL4"/>
        <w:numPr>
          <w:ilvl w:val="0"/>
          <w:numId w:val="0"/>
        </w:numPr>
        <w:spacing w:before="0" w:line="360" w:lineRule="auto"/>
        <w:ind w:left="720"/>
        <w:outlineLvl w:val="9"/>
        <w:rPr>
          <w:lang w:val="en-US"/>
        </w:rPr>
      </w:pPr>
    </w:p>
    <w:p w:rsidR="008332FC" w:rsidRPr="008332FC" w:rsidRDefault="00A54A0C" w:rsidP="00BC4C32">
      <w:pPr>
        <w:pStyle w:val="OutlineL4"/>
        <w:numPr>
          <w:ilvl w:val="0"/>
          <w:numId w:val="0"/>
        </w:numPr>
        <w:spacing w:before="0" w:line="360" w:lineRule="auto"/>
        <w:ind w:left="720" w:firstLine="720"/>
        <w:outlineLvl w:val="9"/>
      </w:pPr>
      <w:r>
        <w:rPr>
          <w:lang w:val="en-US"/>
        </w:rPr>
        <w:t>1.</w:t>
      </w:r>
      <w:r>
        <w:rPr>
          <w:lang w:val="en-US"/>
        </w:rPr>
        <w:tab/>
      </w:r>
      <w:r w:rsidR="00FB06A0">
        <w:t>For purposes of measuring savings achieved from the Company’s deployment of smart meters, a cost baseline will be set as of April 30, 2016 from which savings will be measured for the following categories: (1) meter reading; (2) meter services; (3) back-office; (4) contact center; (5) theft of service; (6) revenue enhancements; (7) distribution operations; and (8) load research.  Savings in an additional category, avoided capital costs, will be measured using March 31, 2014 as the baseline from which to calculate savings.  The cost savings baselines shall be those set forth in Penn Power Exhibit LWG-3.  A copy of Penn Power Exhibit LWG-3 is appended to the Joint Petition as Exhibit 6.</w:t>
      </w:r>
    </w:p>
    <w:p w:rsidR="00FB06A0" w:rsidRPr="008332FC" w:rsidRDefault="00014678" w:rsidP="00242CFD">
      <w:pPr>
        <w:pStyle w:val="OutlineL4"/>
        <w:numPr>
          <w:ilvl w:val="0"/>
          <w:numId w:val="0"/>
        </w:numPr>
        <w:spacing w:before="240" w:line="360" w:lineRule="auto"/>
        <w:ind w:left="720" w:firstLine="720"/>
        <w:outlineLvl w:val="9"/>
      </w:pPr>
      <w:r>
        <w:rPr>
          <w:lang w:val="en-US"/>
        </w:rPr>
        <w:t>2.</w:t>
      </w:r>
      <w:r>
        <w:rPr>
          <w:lang w:val="en-US"/>
        </w:rPr>
        <w:tab/>
      </w:r>
      <w:r w:rsidR="00FB06A0">
        <w:t xml:space="preserve">The Company will add the following reporting metrics to its Annual Progress Report under its Smart Meter Technology Procurement and Installation Plan filed at Docket No. M-2013-2341993: </w:t>
      </w:r>
    </w:p>
    <w:p w:rsidR="00014678" w:rsidRDefault="00014678" w:rsidP="00CF7F80">
      <w:pPr>
        <w:pStyle w:val="BodyText"/>
        <w:spacing w:after="0"/>
        <w:ind w:left="3240" w:hanging="360"/>
      </w:pPr>
    </w:p>
    <w:p w:rsidR="00FB06A0" w:rsidRDefault="008332FC" w:rsidP="00242CFD">
      <w:pPr>
        <w:pStyle w:val="BodyText"/>
        <w:spacing w:after="0" w:line="240" w:lineRule="auto"/>
        <w:ind w:left="2790" w:hanging="630"/>
      </w:pPr>
      <w:r>
        <w:t>•</w:t>
      </w:r>
      <w:r>
        <w:tab/>
        <w:t>Home area network (</w:t>
      </w:r>
      <w:r w:rsidR="00FB06A0">
        <w:t xml:space="preserve">HAN) devices:  Number of utility AMI meters with consumer devices registered to operate with the HAN chip. </w:t>
      </w:r>
    </w:p>
    <w:p w:rsidR="005B0EDD" w:rsidRDefault="005B0EDD" w:rsidP="00242CFD">
      <w:pPr>
        <w:pStyle w:val="BodyText"/>
        <w:spacing w:after="0" w:line="240" w:lineRule="auto"/>
        <w:ind w:left="2790" w:hanging="630"/>
      </w:pPr>
    </w:p>
    <w:p w:rsidR="00FB06A0" w:rsidRDefault="00FB06A0" w:rsidP="00242CFD">
      <w:pPr>
        <w:pStyle w:val="BodyText"/>
        <w:spacing w:after="0" w:line="240" w:lineRule="auto"/>
        <w:ind w:left="2790" w:hanging="630"/>
      </w:pPr>
      <w:r>
        <w:t>•</w:t>
      </w:r>
      <w:r>
        <w:tab/>
        <w:t xml:space="preserve">AMI meter installs:  Number of smart meters installed, number of smart meters that have been installed and registered.  </w:t>
      </w:r>
    </w:p>
    <w:p w:rsidR="005B0EDD" w:rsidRDefault="005B0EDD" w:rsidP="00242CFD">
      <w:pPr>
        <w:pStyle w:val="BodyText"/>
        <w:spacing w:after="0" w:line="240" w:lineRule="auto"/>
        <w:ind w:left="2790" w:hanging="630"/>
      </w:pPr>
    </w:p>
    <w:p w:rsidR="00FB06A0" w:rsidRDefault="00FB06A0" w:rsidP="00242CFD">
      <w:pPr>
        <w:pStyle w:val="BodyText"/>
        <w:spacing w:after="0" w:line="240" w:lineRule="auto"/>
        <w:ind w:left="2790" w:hanging="630"/>
      </w:pPr>
      <w:r>
        <w:t>•</w:t>
      </w:r>
      <w:r>
        <w:tab/>
        <w:t>Customer complaints:  Number of formal and informal PUC complaints related to AMI meter deployment, broken down by type of complaint and resolution.  AMI meter deployment includes installation, functioning or accuracy of the AMI meter, and HAN device registration.</w:t>
      </w:r>
    </w:p>
    <w:p w:rsidR="005B0EDD" w:rsidRDefault="005B0EDD" w:rsidP="00242CFD">
      <w:pPr>
        <w:pStyle w:val="BodyText"/>
        <w:spacing w:after="0" w:line="240" w:lineRule="auto"/>
        <w:ind w:left="2790" w:hanging="630"/>
      </w:pPr>
    </w:p>
    <w:p w:rsidR="00FB06A0" w:rsidRDefault="008332FC" w:rsidP="00242CFD">
      <w:pPr>
        <w:pStyle w:val="BodyText"/>
        <w:spacing w:after="0" w:line="240" w:lineRule="auto"/>
        <w:ind w:left="2790" w:hanging="630"/>
      </w:pPr>
      <w:r>
        <w:t>•</w:t>
      </w:r>
      <w:r>
        <w:tab/>
        <w:t>Reduction in greenhouse gas (</w:t>
      </w:r>
      <w:r w:rsidR="00FB06A0">
        <w:t>GHG) emissions: reduction associated with reduced truck rolls associated with meter readings and increased efficiencies.  This reporting will commence once the realization of this benefit has been determined and reflected in the smart meter operations baseline savings as of April 30, 2016.</w:t>
      </w:r>
    </w:p>
    <w:p w:rsidR="005B0EDD" w:rsidRDefault="005B0EDD" w:rsidP="00242CFD">
      <w:pPr>
        <w:pStyle w:val="BodyText"/>
        <w:spacing w:after="0" w:line="240" w:lineRule="auto"/>
        <w:ind w:left="2790" w:hanging="630"/>
      </w:pPr>
    </w:p>
    <w:p w:rsidR="00FB06A0" w:rsidRDefault="00FB06A0" w:rsidP="00242CFD">
      <w:pPr>
        <w:pStyle w:val="BodyText"/>
        <w:spacing w:after="0" w:line="240" w:lineRule="auto"/>
        <w:ind w:left="2790" w:hanging="630"/>
      </w:pPr>
      <w:r>
        <w:t>•</w:t>
      </w:r>
      <w:r>
        <w:tab/>
        <w:t>Voltage and VAR controls: Number and percentage of distribution lines using sensing from an AMI meter as part of utility’s voltage regulation scheme.</w:t>
      </w:r>
    </w:p>
    <w:p w:rsidR="008332FC" w:rsidRDefault="008332FC" w:rsidP="00CF7F80">
      <w:pPr>
        <w:pStyle w:val="BodyText"/>
        <w:spacing w:after="0"/>
        <w:ind w:left="3240" w:hanging="360"/>
      </w:pPr>
    </w:p>
    <w:p w:rsidR="008D7961" w:rsidRDefault="003C0037" w:rsidP="005635A5">
      <w:pPr>
        <w:pStyle w:val="OutlineL4"/>
        <w:numPr>
          <w:ilvl w:val="0"/>
          <w:numId w:val="0"/>
        </w:numPr>
        <w:spacing w:before="0" w:line="360" w:lineRule="auto"/>
        <w:ind w:left="720" w:firstLine="720"/>
        <w:outlineLvl w:val="9"/>
        <w:rPr>
          <w:lang w:val="en-US"/>
        </w:rPr>
      </w:pPr>
      <w:r>
        <w:rPr>
          <w:lang w:val="en-US"/>
        </w:rPr>
        <w:t>3.</w:t>
      </w:r>
      <w:r>
        <w:rPr>
          <w:lang w:val="en-US"/>
        </w:rPr>
        <w:tab/>
      </w:r>
      <w:r w:rsidR="00FB06A0">
        <w:t xml:space="preserve">The Company agrees to host an informational meeting with representatives of EDF </w:t>
      </w:r>
      <w:r w:rsidR="00FB06A0">
        <w:rPr>
          <w:lang w:val="en-US"/>
        </w:rPr>
        <w:t xml:space="preserve">and any interested statutory parties </w:t>
      </w:r>
      <w:r w:rsidR="00FB06A0">
        <w:t>in Akron, Ohio, with respect to the Company’s smart meter and smart grid deployment efforts, including discussion of customer data access, Volt/VAR best practices, and measuring GHG emission</w:t>
      </w:r>
      <w:r w:rsidR="005635A5">
        <w:rPr>
          <w:lang w:val="en-US"/>
        </w:rPr>
        <w:t xml:space="preserve"> reductions.</w:t>
      </w:r>
    </w:p>
    <w:p w:rsidR="005635A5" w:rsidRDefault="005635A5" w:rsidP="005635A5">
      <w:pPr>
        <w:pStyle w:val="OutlineL4"/>
        <w:numPr>
          <w:ilvl w:val="0"/>
          <w:numId w:val="0"/>
        </w:numPr>
        <w:spacing w:before="0" w:line="360" w:lineRule="auto"/>
        <w:ind w:left="720" w:firstLine="720"/>
        <w:outlineLvl w:val="9"/>
        <w:rPr>
          <w:lang w:val="en-US"/>
        </w:rPr>
      </w:pPr>
    </w:p>
    <w:p w:rsidR="005635A5" w:rsidRPr="005635A5" w:rsidRDefault="005635A5" w:rsidP="005635A5">
      <w:pPr>
        <w:pStyle w:val="OutlineL4"/>
        <w:numPr>
          <w:ilvl w:val="0"/>
          <w:numId w:val="0"/>
        </w:numPr>
        <w:spacing w:before="0" w:line="360" w:lineRule="auto"/>
        <w:ind w:firstLine="720"/>
        <w:outlineLvl w:val="9"/>
        <w:rPr>
          <w:u w:val="single"/>
          <w:lang w:val="en-US"/>
        </w:rPr>
      </w:pPr>
      <w:r>
        <w:rPr>
          <w:lang w:val="en-US"/>
        </w:rPr>
        <w:t>F.</w:t>
      </w:r>
      <w:r>
        <w:rPr>
          <w:lang w:val="en-US"/>
        </w:rPr>
        <w:tab/>
      </w:r>
      <w:r w:rsidRPr="005635A5">
        <w:rPr>
          <w:u w:val="single"/>
          <w:lang w:val="en-US"/>
        </w:rPr>
        <w:t>General</w:t>
      </w:r>
    </w:p>
    <w:p w:rsidR="0080462A" w:rsidRPr="0080462A" w:rsidRDefault="009E3134" w:rsidP="0080462A">
      <w:pPr>
        <w:pStyle w:val="OutlineL4"/>
        <w:numPr>
          <w:ilvl w:val="0"/>
          <w:numId w:val="0"/>
        </w:numPr>
        <w:spacing w:before="240" w:line="360" w:lineRule="auto"/>
        <w:ind w:left="720" w:firstLine="720"/>
        <w:outlineLvl w:val="9"/>
        <w:rPr>
          <w:lang w:val="en-US"/>
        </w:rPr>
      </w:pPr>
      <w:r>
        <w:rPr>
          <w:lang w:val="en-US"/>
        </w:rPr>
        <w:t>1.</w:t>
      </w:r>
      <w:r>
        <w:rPr>
          <w:lang w:val="en-US"/>
        </w:rPr>
        <w:tab/>
      </w:r>
      <w:r w:rsidR="00FB06A0">
        <w:t>Nothing contained herein is intended to limit the authority of the Commission, the Bureau of Consumer Services, the Bureau of Safety and Compliance, or other Bureaus of the Commission from performing their</w:t>
      </w:r>
      <w:r w:rsidR="0080462A">
        <w:rPr>
          <w:lang w:val="en-US"/>
        </w:rPr>
        <w:t xml:space="preserve"> duties.</w:t>
      </w:r>
    </w:p>
    <w:p w:rsidR="004A2DAC" w:rsidRDefault="0080462A" w:rsidP="004A2DAC">
      <w:pPr>
        <w:pStyle w:val="OutlineL4"/>
        <w:numPr>
          <w:ilvl w:val="0"/>
          <w:numId w:val="0"/>
        </w:numPr>
        <w:spacing w:before="240" w:line="360" w:lineRule="auto"/>
        <w:ind w:left="720" w:firstLine="720"/>
        <w:outlineLvl w:val="9"/>
        <w:rPr>
          <w:lang w:val="en-US"/>
        </w:rPr>
      </w:pPr>
      <w:r>
        <w:rPr>
          <w:lang w:val="en-US"/>
        </w:rPr>
        <w:t>2.</w:t>
      </w:r>
      <w:r>
        <w:rPr>
          <w:lang w:val="en-US"/>
        </w:rPr>
        <w:tab/>
      </w:r>
      <w:r w:rsidR="00FB06A0">
        <w:t xml:space="preserve">Nothing in these terms waives or alters any party’s right to seek an audit or investigation of any of the Company’s reliability, customer service, or estimated billing issues with the Commission, as well as evaluate the impact of the reforms recently adopted by the Company and as described by Mr. </w:t>
      </w:r>
      <w:proofErr w:type="spellStart"/>
      <w:r w:rsidR="00FB06A0">
        <w:t>Strah</w:t>
      </w:r>
      <w:proofErr w:type="spellEnd"/>
      <w:r w:rsidR="00FB06A0">
        <w:t xml:space="preserve"> in his rebuttal testimony (Penn Power Statement No. </w:t>
      </w:r>
      <w:r w:rsidR="004A2DAC">
        <w:rPr>
          <w:lang w:val="en-US"/>
        </w:rPr>
        <w:t>11-R).</w:t>
      </w:r>
    </w:p>
    <w:p w:rsidR="003217B5" w:rsidRDefault="004A2DAC" w:rsidP="004A2DAC">
      <w:pPr>
        <w:pStyle w:val="OutlineL4"/>
        <w:numPr>
          <w:ilvl w:val="0"/>
          <w:numId w:val="0"/>
        </w:numPr>
        <w:spacing w:before="240" w:line="360" w:lineRule="auto"/>
        <w:ind w:left="720" w:firstLine="720"/>
        <w:outlineLvl w:val="9"/>
        <w:rPr>
          <w:lang w:val="en-US"/>
        </w:rPr>
      </w:pPr>
      <w:r>
        <w:rPr>
          <w:lang w:val="en-US"/>
        </w:rPr>
        <w:t>3.</w:t>
      </w:r>
      <w:r>
        <w:rPr>
          <w:lang w:val="en-US"/>
        </w:rPr>
        <w:tab/>
      </w:r>
      <w:r w:rsidR="00FB06A0">
        <w:t>Company agrees that should it fail to consistently meet the requirements set forth in this settlement regarding reliability, customer service, or estimated meter reading, it shall not make a request for any return on equity premium award based on reliability or customer service performance</w:t>
      </w:r>
      <w:r w:rsidR="00FB06A0">
        <w:rPr>
          <w:lang w:val="en-US"/>
        </w:rPr>
        <w:t xml:space="preserve"> in its next base rate </w:t>
      </w:r>
      <w:r w:rsidR="003217B5">
        <w:rPr>
          <w:lang w:val="en-US"/>
        </w:rPr>
        <w:t>proceeding.</w:t>
      </w:r>
    </w:p>
    <w:p w:rsidR="003217B5" w:rsidRDefault="003217B5" w:rsidP="003217B5">
      <w:pPr>
        <w:pStyle w:val="OutlineL4"/>
        <w:numPr>
          <w:ilvl w:val="0"/>
          <w:numId w:val="0"/>
        </w:numPr>
        <w:spacing w:before="0" w:line="360" w:lineRule="auto"/>
        <w:ind w:left="720" w:firstLine="720"/>
        <w:outlineLvl w:val="9"/>
        <w:rPr>
          <w:lang w:val="en-US"/>
        </w:rPr>
      </w:pPr>
    </w:p>
    <w:p w:rsidR="00FB06A0" w:rsidRDefault="003217B5" w:rsidP="003217B5">
      <w:pPr>
        <w:pStyle w:val="OutlineL4"/>
        <w:numPr>
          <w:ilvl w:val="0"/>
          <w:numId w:val="0"/>
        </w:numPr>
        <w:spacing w:before="0" w:line="360" w:lineRule="auto"/>
        <w:ind w:left="720" w:firstLine="720"/>
        <w:outlineLvl w:val="9"/>
      </w:pPr>
      <w:r>
        <w:rPr>
          <w:lang w:val="en-US"/>
        </w:rPr>
        <w:t>4.</w:t>
      </w:r>
      <w:r>
        <w:rPr>
          <w:lang w:val="en-US"/>
        </w:rPr>
        <w:tab/>
      </w:r>
      <w:proofErr w:type="spellStart"/>
      <w:r>
        <w:rPr>
          <w:lang w:val="en-US"/>
        </w:rPr>
        <w:t>T</w:t>
      </w:r>
      <w:r w:rsidR="00FB06A0">
        <w:t>he</w:t>
      </w:r>
      <w:proofErr w:type="spellEnd"/>
      <w:r w:rsidR="00FB06A0">
        <w:t xml:space="preserve"> terms provided for in this Settlement do not encompass all of the changes made to Chapter 14 of the Pennsylvania Public Utility Code, </w:t>
      </w:r>
      <w:r w:rsidR="00F00097">
        <w:t xml:space="preserve">66 </w:t>
      </w:r>
      <w:proofErr w:type="spellStart"/>
      <w:r w:rsidR="007E74EE">
        <w:t>Pa.C.S.A.</w:t>
      </w:r>
      <w:r w:rsidR="00F00097">
        <w:t>A</w:t>
      </w:r>
      <w:proofErr w:type="spellEnd"/>
      <w:r w:rsidR="00F00097">
        <w:t>.</w:t>
      </w:r>
      <w:r w:rsidR="00FB06A0">
        <w:t xml:space="preserve"> §</w:t>
      </w:r>
      <w:r>
        <w:rPr>
          <w:lang w:val="en-US"/>
        </w:rPr>
        <w:t> </w:t>
      </w:r>
      <w:r w:rsidR="00FB06A0">
        <w:t xml:space="preserve">1401 et seq., by Act 155 of 2014, as the Commission had not provided guidance on </w:t>
      </w:r>
      <w:r w:rsidR="00FB06A0">
        <w:lastRenderedPageBreak/>
        <w:t>how to incorporate Act 155 of 2014 into tariffs at the time this Settlement was negotiated.  Nothing contained herein shall preclude the Company from proposing further tariff changes at a later date based on Commission directives or guidance relating to implementing the provisions of Act</w:t>
      </w:r>
      <w:r w:rsidR="00444FCE">
        <w:rPr>
          <w:lang w:val="en-US"/>
        </w:rPr>
        <w:t> </w:t>
      </w:r>
      <w:r w:rsidR="00FB06A0">
        <w:t>155 of 2014, or as otherwise necessary to implement the changes contained in Act 155 of 2014.</w:t>
      </w:r>
    </w:p>
    <w:p w:rsidR="00C743CC" w:rsidRDefault="00C743CC" w:rsidP="008332FC">
      <w:pPr>
        <w:rPr>
          <w:rFonts w:ascii="Times New Roman" w:hAnsi="Times New Roman"/>
        </w:rPr>
      </w:pPr>
    </w:p>
    <w:p w:rsidR="00130636" w:rsidRPr="00137DC1" w:rsidRDefault="00845CA5" w:rsidP="008332FC">
      <w:pPr>
        <w:rPr>
          <w:rFonts w:ascii="Times New Roman" w:hAnsi="Times New Roman"/>
          <w:color w:val="000000"/>
        </w:rPr>
      </w:pPr>
      <w:r w:rsidRPr="00845CA5">
        <w:rPr>
          <w:rFonts w:ascii="Times New Roman" w:hAnsi="Times New Roman"/>
          <w:color w:val="000000"/>
        </w:rPr>
        <w:t xml:space="preserve">C. </w:t>
      </w:r>
      <w:r w:rsidRPr="00845CA5">
        <w:rPr>
          <w:rFonts w:ascii="Times New Roman" w:hAnsi="Times New Roman"/>
          <w:color w:val="000000"/>
        </w:rPr>
        <w:tab/>
      </w:r>
      <w:r w:rsidR="00130636" w:rsidRPr="00137DC1">
        <w:rPr>
          <w:rFonts w:ascii="Times New Roman" w:hAnsi="Times New Roman"/>
          <w:color w:val="000000"/>
          <w:u w:val="single"/>
        </w:rPr>
        <w:t>Additional Settlement Provisions</w:t>
      </w:r>
      <w:r w:rsidR="00130636" w:rsidRPr="00137DC1">
        <w:rPr>
          <w:rFonts w:ascii="Times New Roman" w:hAnsi="Times New Roman"/>
          <w:color w:val="000000"/>
        </w:rPr>
        <w:t xml:space="preserve"> </w:t>
      </w:r>
    </w:p>
    <w:p w:rsidR="00130636" w:rsidRPr="00137DC1" w:rsidRDefault="00130636" w:rsidP="008332FC">
      <w:pPr>
        <w:rPr>
          <w:rFonts w:ascii="Times New Roman" w:hAnsi="Times New Roman"/>
        </w:rPr>
      </w:pPr>
    </w:p>
    <w:p w:rsidR="00FC6A38" w:rsidRDefault="00D13BC4" w:rsidP="008332FC">
      <w:pPr>
        <w:ind w:firstLine="720"/>
        <w:rPr>
          <w:rFonts w:ascii="Times New Roman" w:hAnsi="Times New Roman"/>
        </w:rPr>
      </w:pPr>
      <w:r w:rsidRPr="00137DC1">
        <w:rPr>
          <w:rFonts w:ascii="Times New Roman" w:hAnsi="Times New Roman"/>
        </w:rPr>
        <w:tab/>
      </w:r>
      <w:r w:rsidR="00532D13" w:rsidRPr="00137DC1">
        <w:rPr>
          <w:rFonts w:ascii="Times New Roman" w:hAnsi="Times New Roman"/>
        </w:rPr>
        <w:t xml:space="preserve">In addition to the specific terms to which the parties have agreed </w:t>
      </w:r>
      <w:r w:rsidR="005D67E3">
        <w:rPr>
          <w:rFonts w:ascii="Times New Roman" w:hAnsi="Times New Roman"/>
        </w:rPr>
        <w:t xml:space="preserve">in order to </w:t>
      </w:r>
      <w:r w:rsidR="00532D13" w:rsidRPr="00137DC1">
        <w:rPr>
          <w:rFonts w:ascii="Times New Roman" w:hAnsi="Times New Roman"/>
        </w:rPr>
        <w:t>settle the rate proceeding, there are certain gen</w:t>
      </w:r>
      <w:r w:rsidR="005D67E3">
        <w:rPr>
          <w:rFonts w:ascii="Times New Roman" w:hAnsi="Times New Roman"/>
        </w:rPr>
        <w:t>eral, miscellaneous terms to which the parties also agreed.  These terms are included in Paragraphs Nos. 14 through and including 19, which are quoted in full below:</w:t>
      </w:r>
    </w:p>
    <w:p w:rsidR="005D67E3" w:rsidRDefault="005D67E3" w:rsidP="008332FC">
      <w:pPr>
        <w:ind w:firstLine="720"/>
        <w:rPr>
          <w:rFonts w:ascii="Times New Roman" w:hAnsi="Times New Roman"/>
        </w:rPr>
      </w:pPr>
      <w:r>
        <w:rPr>
          <w:rFonts w:ascii="Times New Roman" w:hAnsi="Times New Roman"/>
        </w:rPr>
        <w:t xml:space="preserve"> </w:t>
      </w:r>
    </w:p>
    <w:p w:rsidR="00B33482" w:rsidRPr="008332FC" w:rsidRDefault="00E40C3A" w:rsidP="003217B5">
      <w:pPr>
        <w:pStyle w:val="OutlineL3"/>
        <w:numPr>
          <w:ilvl w:val="0"/>
          <w:numId w:val="0"/>
        </w:numPr>
        <w:spacing w:before="0" w:after="0" w:line="360" w:lineRule="auto"/>
        <w:ind w:left="720" w:firstLine="720"/>
        <w:outlineLvl w:val="9"/>
      </w:pPr>
      <w:r>
        <w:rPr>
          <w:lang w:val="en-US"/>
        </w:rPr>
        <w:t>14.</w:t>
      </w:r>
      <w:r>
        <w:rPr>
          <w:lang w:val="en-US"/>
        </w:rPr>
        <w:tab/>
      </w:r>
      <w:r w:rsidR="00B33482">
        <w:t>The Commission’s approval of the Settlement shall not be construed as approval of any Joint Petitioner’s position on any issue, except to the extent required to effectuate the terms and agreements of the Settlement.  Accordingly, this Settlement may not be cited as precedent in any future proceeding, except to the extent required to implement this Settlement.</w:t>
      </w:r>
    </w:p>
    <w:p w:rsidR="008332FC" w:rsidRDefault="008332FC" w:rsidP="004571FF">
      <w:pPr>
        <w:pStyle w:val="OutlineL3"/>
        <w:numPr>
          <w:ilvl w:val="0"/>
          <w:numId w:val="0"/>
        </w:numPr>
        <w:spacing w:before="0" w:after="0" w:line="360" w:lineRule="auto"/>
        <w:ind w:left="720"/>
        <w:outlineLvl w:val="9"/>
      </w:pPr>
    </w:p>
    <w:p w:rsidR="004571FF" w:rsidRDefault="00E40C3A" w:rsidP="009D3CB9">
      <w:pPr>
        <w:pStyle w:val="OutlineL3"/>
        <w:numPr>
          <w:ilvl w:val="0"/>
          <w:numId w:val="0"/>
        </w:numPr>
        <w:spacing w:after="0" w:line="360" w:lineRule="auto"/>
        <w:ind w:left="720" w:firstLine="720"/>
        <w:outlineLvl w:val="9"/>
        <w:rPr>
          <w:lang w:val="en-US"/>
        </w:rPr>
      </w:pPr>
      <w:r>
        <w:rPr>
          <w:lang w:val="en-US"/>
        </w:rPr>
        <w:t>15.</w:t>
      </w:r>
      <w:r>
        <w:rPr>
          <w:lang w:val="en-US"/>
        </w:rPr>
        <w:tab/>
      </w:r>
      <w:r w:rsidR="00B33482">
        <w:t>It is understood and agreed among the Joint Petitioners that the Settlement is the result of compromise and does not necessarily represent the position(s) that would be advanced by any Joint Petitioner in this or any other proceeding, if it were fully litigated.</w:t>
      </w:r>
    </w:p>
    <w:p w:rsidR="004571FF" w:rsidRPr="004571FF" w:rsidRDefault="004571FF" w:rsidP="004571FF">
      <w:pPr>
        <w:pStyle w:val="OutlineL3"/>
        <w:numPr>
          <w:ilvl w:val="0"/>
          <w:numId w:val="0"/>
        </w:numPr>
        <w:spacing w:before="0" w:after="0" w:line="360" w:lineRule="auto"/>
        <w:ind w:left="1440" w:firstLine="720"/>
        <w:outlineLvl w:val="9"/>
        <w:rPr>
          <w:lang w:val="en-US"/>
        </w:rPr>
      </w:pPr>
    </w:p>
    <w:p w:rsidR="00B33482" w:rsidRPr="008332FC" w:rsidRDefault="00E40C3A" w:rsidP="009D3CB9">
      <w:pPr>
        <w:pStyle w:val="OutlineL3"/>
        <w:numPr>
          <w:ilvl w:val="0"/>
          <w:numId w:val="0"/>
        </w:numPr>
        <w:spacing w:after="0" w:line="360" w:lineRule="auto"/>
        <w:ind w:left="720" w:firstLine="720"/>
        <w:outlineLvl w:val="9"/>
      </w:pPr>
      <w:r>
        <w:rPr>
          <w:lang w:val="en-US"/>
        </w:rPr>
        <w:t>16.</w:t>
      </w:r>
      <w:r>
        <w:rPr>
          <w:lang w:val="en-US"/>
        </w:rPr>
        <w:tab/>
      </w:r>
      <w:r w:rsidR="00B33482">
        <w:t xml:space="preserve">This Settlement is being presented only in the context of this proceeding in an effort to partially resolve the issues presented in this proceeding in a manner that is fair and reasonable.  The Settlement is the product of compromise.  This Settlement is presented without prejudice to any position which any of the Joint Petitioners may have advanced and without prejudice to the position any of the Joint Petitioners may advance </w:t>
      </w:r>
      <w:r w:rsidR="00B33482">
        <w:lastRenderedPageBreak/>
        <w:t xml:space="preserve">on the merits of the issues in future proceedings, except to the extent necessary to effectuate the terms and conditions of this Settlement. </w:t>
      </w:r>
    </w:p>
    <w:p w:rsidR="008332FC" w:rsidRDefault="008332FC" w:rsidP="00CF7F80">
      <w:pPr>
        <w:pStyle w:val="OutlineL3"/>
        <w:numPr>
          <w:ilvl w:val="0"/>
          <w:numId w:val="0"/>
        </w:numPr>
        <w:spacing w:after="0" w:line="360" w:lineRule="auto"/>
        <w:ind w:left="720"/>
        <w:outlineLvl w:val="9"/>
      </w:pPr>
    </w:p>
    <w:p w:rsidR="00B33482" w:rsidRPr="008332FC" w:rsidRDefault="00E40C3A" w:rsidP="009D3CB9">
      <w:pPr>
        <w:pStyle w:val="OutlineL3"/>
        <w:numPr>
          <w:ilvl w:val="0"/>
          <w:numId w:val="0"/>
        </w:numPr>
        <w:spacing w:before="0" w:after="0" w:line="360" w:lineRule="auto"/>
        <w:ind w:left="720" w:firstLine="720"/>
        <w:outlineLvl w:val="9"/>
      </w:pPr>
      <w:r>
        <w:rPr>
          <w:lang w:val="en-US"/>
        </w:rPr>
        <w:t>17.</w:t>
      </w:r>
      <w:r>
        <w:rPr>
          <w:lang w:val="en-US"/>
        </w:rPr>
        <w:tab/>
      </w:r>
      <w:r w:rsidR="00B33482">
        <w:t>This Settlement is conditioned upon the Commission’s approval of the terms and conditions contained herein without modification.</w:t>
      </w:r>
      <w:r w:rsidR="00B33482">
        <w:rPr>
          <w:lang w:val="en-US"/>
        </w:rPr>
        <w:t xml:space="preserve">  In reaching this Settlement, the Joint Petitioners thoroughly considered all issues, including those related to the Company’s reliability and operations, raised in the testimony and evidence presented by the parties to this proceeding and during public input hearings.  As a result of that consideration, the Joint Petitioners believe that the settlement agreement meaningfully addresses all such issues raised and therefore should be approved without modification.  </w:t>
      </w:r>
      <w:r w:rsidR="00B33482">
        <w:t>If the Commission should disapprove the Settlement or modify any terms and conditions herein, this Settlement may be withdrawn upon written notice to the Commission and all active parties within five business days following entry of the Commission’s Order by any of the Joint Petitioners and, in such event, shall be of no force and effect.  In the event that the Commission disapproves the Settlement or the Company or any other Joint Petitioner elects to withdraw the Settlement as provided above, the Joint Petitioners reserve their respective rights to fully litigate this case, including, but not limited to, presentation of witnesses, cross-examination and legal argument through submission of Briefs, Exceptions and Replies to Exceptions.</w:t>
      </w:r>
    </w:p>
    <w:p w:rsidR="008332FC" w:rsidRDefault="008332FC" w:rsidP="00CF7F80">
      <w:pPr>
        <w:pStyle w:val="OutlineL3"/>
        <w:numPr>
          <w:ilvl w:val="0"/>
          <w:numId w:val="0"/>
        </w:numPr>
        <w:spacing w:after="0" w:line="360" w:lineRule="auto"/>
        <w:ind w:left="720"/>
        <w:outlineLvl w:val="9"/>
      </w:pPr>
    </w:p>
    <w:p w:rsidR="00422EAB" w:rsidRDefault="00E40C3A" w:rsidP="00422EAB">
      <w:pPr>
        <w:pStyle w:val="OutlineL3"/>
        <w:numPr>
          <w:ilvl w:val="0"/>
          <w:numId w:val="0"/>
        </w:numPr>
        <w:tabs>
          <w:tab w:val="left" w:pos="990"/>
        </w:tabs>
        <w:spacing w:before="0" w:after="0" w:line="360" w:lineRule="auto"/>
        <w:ind w:left="720" w:firstLine="720"/>
        <w:outlineLvl w:val="9"/>
        <w:rPr>
          <w:lang w:val="en-US"/>
        </w:rPr>
      </w:pPr>
      <w:r>
        <w:rPr>
          <w:lang w:val="en-US"/>
        </w:rPr>
        <w:t>18.</w:t>
      </w:r>
      <w:r>
        <w:rPr>
          <w:lang w:val="en-US"/>
        </w:rPr>
        <w:tab/>
      </w:r>
      <w:r w:rsidR="00B33482">
        <w:t xml:space="preserve">All Joint Petitioners shall support the Settlement and make reasonable and good faith efforts to obtain approval of the Settlement by the ALJs and the Commission without modification.  If the ALJs, in their Recommended Decision, recommend that the Commission adopt the Settlement as herein proposed without modification, the Joint Petitioners agree to waive the filing of Exceptions with respect to any issues resolved by the Settlement.  However, to the extent any terms and conditions of the Settlement are modified, or additional matters are proposed by the ALJs in their Recommended Decision, the Joint Petitioners do not waive their rights to file Exceptions in support of the Settlement.  The Joint Petitioners also reserve the right to file Replies to any Exceptions that may be filed.  The Joint Petitioners further reserve the right to file </w:t>
      </w:r>
      <w:r w:rsidR="00B33482">
        <w:lastRenderedPageBreak/>
        <w:t>Exceptions to the compliance filing in the event that any of the exhibits therein are inconsistent with the Joint Petition and the exhibits attached</w:t>
      </w:r>
      <w:r w:rsidR="00422EAB">
        <w:rPr>
          <w:lang w:val="en-US"/>
        </w:rPr>
        <w:t xml:space="preserve"> thereto.</w:t>
      </w:r>
    </w:p>
    <w:p w:rsidR="00422EAB" w:rsidRDefault="00422EAB" w:rsidP="00422EAB">
      <w:pPr>
        <w:pStyle w:val="OutlineL3"/>
        <w:numPr>
          <w:ilvl w:val="0"/>
          <w:numId w:val="0"/>
        </w:numPr>
        <w:tabs>
          <w:tab w:val="left" w:pos="990"/>
        </w:tabs>
        <w:spacing w:before="0" w:after="0" w:line="360" w:lineRule="auto"/>
        <w:ind w:left="720" w:firstLine="720"/>
        <w:outlineLvl w:val="9"/>
        <w:rPr>
          <w:lang w:val="en-US"/>
        </w:rPr>
      </w:pPr>
    </w:p>
    <w:p w:rsidR="00B33482" w:rsidRDefault="00422EAB" w:rsidP="00422EAB">
      <w:pPr>
        <w:pStyle w:val="OutlineL3"/>
        <w:numPr>
          <w:ilvl w:val="0"/>
          <w:numId w:val="0"/>
        </w:numPr>
        <w:tabs>
          <w:tab w:val="left" w:pos="990"/>
        </w:tabs>
        <w:spacing w:before="0" w:after="0" w:line="360" w:lineRule="auto"/>
        <w:ind w:left="720" w:firstLine="720"/>
        <w:outlineLvl w:val="9"/>
      </w:pPr>
      <w:r>
        <w:rPr>
          <w:lang w:val="en-US"/>
        </w:rPr>
        <w:t>19.</w:t>
      </w:r>
      <w:r>
        <w:rPr>
          <w:lang w:val="en-US"/>
        </w:rPr>
        <w:tab/>
      </w:r>
      <w:r w:rsidR="00B33482">
        <w:t>Joint Petition may be executed in one or more counterparts, each of which is an original and all of which together constitute one and the same instrument</w:t>
      </w:r>
      <w:r w:rsidR="00B33482">
        <w:rPr>
          <w:lang w:val="en-US"/>
        </w:rPr>
        <w:t>.</w:t>
      </w:r>
    </w:p>
    <w:p w:rsidR="00B33482" w:rsidRDefault="00B33482" w:rsidP="008332FC">
      <w:pPr>
        <w:rPr>
          <w:rFonts w:ascii="Times New Roman" w:hAnsi="Times New Roman"/>
          <w:color w:val="000000"/>
          <w:u w:val="single"/>
        </w:rPr>
      </w:pPr>
    </w:p>
    <w:p w:rsidR="005D67E3" w:rsidRPr="00137DC1" w:rsidRDefault="00845CA5" w:rsidP="008332FC">
      <w:pPr>
        <w:rPr>
          <w:rFonts w:ascii="Times New Roman" w:hAnsi="Times New Roman"/>
          <w:color w:val="000000"/>
        </w:rPr>
      </w:pPr>
      <w:r w:rsidRPr="00845CA5">
        <w:rPr>
          <w:rFonts w:ascii="Times New Roman" w:hAnsi="Times New Roman"/>
          <w:color w:val="000000"/>
        </w:rPr>
        <w:t xml:space="preserve">D. </w:t>
      </w:r>
      <w:r w:rsidRPr="00845CA5">
        <w:rPr>
          <w:rFonts w:ascii="Times New Roman" w:hAnsi="Times New Roman"/>
          <w:color w:val="000000"/>
        </w:rPr>
        <w:tab/>
      </w:r>
      <w:r w:rsidR="005D67E3">
        <w:rPr>
          <w:rFonts w:ascii="Times New Roman" w:hAnsi="Times New Roman"/>
          <w:color w:val="000000"/>
          <w:u w:val="single"/>
        </w:rPr>
        <w:t>Statements Concerning the Public Interest Requirement</w:t>
      </w:r>
      <w:r w:rsidR="005D67E3" w:rsidRPr="00137DC1">
        <w:rPr>
          <w:rFonts w:ascii="Times New Roman" w:hAnsi="Times New Roman"/>
          <w:color w:val="000000"/>
        </w:rPr>
        <w:t xml:space="preserve"> </w:t>
      </w:r>
    </w:p>
    <w:p w:rsidR="005D67E3" w:rsidRPr="00137DC1" w:rsidRDefault="005D67E3" w:rsidP="008332FC">
      <w:pPr>
        <w:rPr>
          <w:rFonts w:ascii="Times New Roman" w:hAnsi="Times New Roman"/>
        </w:rPr>
      </w:pPr>
    </w:p>
    <w:p w:rsidR="007D3C36" w:rsidRDefault="005D67E3" w:rsidP="007D3C36">
      <w:pPr>
        <w:ind w:firstLine="720"/>
        <w:rPr>
          <w:rFonts w:ascii="Times New Roman" w:hAnsi="Times New Roman"/>
        </w:rPr>
      </w:pPr>
      <w:r w:rsidRPr="00137DC1">
        <w:rPr>
          <w:rFonts w:ascii="Times New Roman" w:hAnsi="Times New Roman"/>
        </w:rPr>
        <w:tab/>
        <w:t xml:space="preserve">In addition to the specific terms </w:t>
      </w:r>
      <w:r>
        <w:rPr>
          <w:rFonts w:ascii="Times New Roman" w:hAnsi="Times New Roman"/>
        </w:rPr>
        <w:t xml:space="preserve">and additional settlement provisions specified by the parties in the Partial Settlement, the parties to the Partial Settlement provided the following statements plus individual Statements in Support.  Paragraphs Nos. 12 and 13, as quoted in full below, </w:t>
      </w:r>
      <w:r w:rsidR="007D3C36">
        <w:rPr>
          <w:rFonts w:ascii="Times New Roman" w:hAnsi="Times New Roman"/>
        </w:rPr>
        <w:t>provide:</w:t>
      </w:r>
    </w:p>
    <w:p w:rsidR="007D3C36" w:rsidRDefault="007D3C36" w:rsidP="007D3C36">
      <w:pPr>
        <w:ind w:firstLine="720"/>
        <w:rPr>
          <w:rFonts w:ascii="Times New Roman" w:hAnsi="Times New Roman"/>
        </w:rPr>
      </w:pPr>
    </w:p>
    <w:p w:rsidR="00667288" w:rsidRDefault="007D3C36" w:rsidP="00667288">
      <w:pPr>
        <w:ind w:left="720"/>
      </w:pPr>
      <w:r>
        <w:rPr>
          <w:rFonts w:ascii="Times New Roman" w:hAnsi="Times New Roman"/>
        </w:rPr>
        <w:tab/>
        <w:t>12.</w:t>
      </w:r>
      <w:r>
        <w:rPr>
          <w:rFonts w:ascii="Times New Roman" w:hAnsi="Times New Roman"/>
        </w:rPr>
        <w:tab/>
      </w:r>
      <w:r w:rsidR="00B33482">
        <w:t xml:space="preserve">Penn Power, OCA, </w:t>
      </w:r>
      <w:r w:rsidR="00F00097">
        <w:t>BIE</w:t>
      </w:r>
      <w:r w:rsidR="00B33482">
        <w:t>, OSBA, PPUG, Walmart</w:t>
      </w:r>
      <w:r w:rsidR="00B33482" w:rsidRPr="00845CA5">
        <w:t xml:space="preserve"> </w:t>
      </w:r>
      <w:r w:rsidR="00B33482">
        <w:t>and EDF have attached hereto as Statements A-</w:t>
      </w:r>
      <w:r w:rsidR="00B33482" w:rsidRPr="00845CA5">
        <w:t>G</w:t>
      </w:r>
      <w:r w:rsidR="00B33482">
        <w:t>, Statements in Support setting forth the bases upon which they believe that the Settlement, including the Settlement Rates, is fair, just, reasonable, non-discriminatory, lawful and in the public interest.</w:t>
      </w:r>
      <w:r w:rsidR="00B33482" w:rsidRPr="00845CA5">
        <w:t xml:space="preserve">  Additionally, letters of non-opposition and support from PSU and CAUSE-PA are appended hereto.</w:t>
      </w:r>
    </w:p>
    <w:p w:rsidR="00B33482" w:rsidRPr="0071511B" w:rsidRDefault="00667288" w:rsidP="00667288">
      <w:pPr>
        <w:ind w:left="720"/>
      </w:pPr>
      <w:r>
        <w:tab/>
        <w:t>13.</w:t>
      </w:r>
      <w:r>
        <w:tab/>
      </w:r>
      <w:r w:rsidR="00B33482">
        <w:t>Joint Petitioners submit that the Settlement is in the public interest for the following additional reasons:</w:t>
      </w:r>
    </w:p>
    <w:p w:rsidR="0071511B" w:rsidRPr="008332FC" w:rsidRDefault="0071511B" w:rsidP="0071511B">
      <w:pPr>
        <w:pStyle w:val="OutlineL3"/>
        <w:numPr>
          <w:ilvl w:val="0"/>
          <w:numId w:val="0"/>
        </w:numPr>
        <w:spacing w:before="0" w:after="0" w:line="360" w:lineRule="auto"/>
        <w:ind w:left="2160"/>
        <w:outlineLvl w:val="9"/>
      </w:pPr>
    </w:p>
    <w:p w:rsidR="00B33482" w:rsidRDefault="00B33482" w:rsidP="0071511B">
      <w:pPr>
        <w:numPr>
          <w:ilvl w:val="0"/>
          <w:numId w:val="22"/>
        </w:numPr>
        <w:spacing w:line="240" w:lineRule="auto"/>
        <w:ind w:left="2520"/>
      </w:pPr>
      <w:r>
        <w:t>The Settlement provides for an increase in annual base rate distribution revenues of $17 million, or approximately 5.2% (based on total electric operating revenue), in lieu of the $29.557 million, or 9.0% (based on total electric operating revenue), increase in annual base rate distribution revenues originally requested.</w:t>
      </w:r>
    </w:p>
    <w:p w:rsidR="0071511B" w:rsidRDefault="0071511B" w:rsidP="0071511B">
      <w:pPr>
        <w:spacing w:line="240" w:lineRule="auto"/>
        <w:ind w:left="2520"/>
      </w:pPr>
    </w:p>
    <w:p w:rsidR="00B33482" w:rsidRDefault="00B33482" w:rsidP="00E40C3A">
      <w:pPr>
        <w:numPr>
          <w:ilvl w:val="0"/>
          <w:numId w:val="22"/>
        </w:numPr>
        <w:spacing w:line="240" w:lineRule="auto"/>
        <w:ind w:left="2520"/>
      </w:pPr>
      <w:r>
        <w:t>The Settlement amicably and expeditiously resolves a number of important and potentially contentious issues.  The administrative burden and costs to litigate these matters to conclusion would be significant.</w:t>
      </w:r>
    </w:p>
    <w:p w:rsidR="00E40C3A" w:rsidRDefault="00E40C3A" w:rsidP="00E40C3A">
      <w:pPr>
        <w:spacing w:line="240" w:lineRule="auto"/>
        <w:ind w:left="2520"/>
      </w:pPr>
    </w:p>
    <w:p w:rsidR="00B33482" w:rsidRDefault="00B33482" w:rsidP="00E40C3A">
      <w:pPr>
        <w:numPr>
          <w:ilvl w:val="0"/>
          <w:numId w:val="22"/>
        </w:numPr>
        <w:spacing w:line="240" w:lineRule="auto"/>
        <w:ind w:left="2520"/>
      </w:pPr>
      <w:r>
        <w:t>The Settlement Rates will allocate the agreed upon revenue requirement to each customer class in a manner that is reasonable in light of the rate structure/cost of service positions of all Joint Petitioners.</w:t>
      </w:r>
    </w:p>
    <w:p w:rsidR="00E40C3A" w:rsidRDefault="00E40C3A" w:rsidP="00E40C3A">
      <w:pPr>
        <w:spacing w:line="240" w:lineRule="auto"/>
        <w:ind w:left="2520"/>
      </w:pPr>
    </w:p>
    <w:p w:rsidR="00B33482" w:rsidRDefault="00B33482" w:rsidP="00E40C3A">
      <w:pPr>
        <w:numPr>
          <w:ilvl w:val="0"/>
          <w:numId w:val="22"/>
        </w:numPr>
        <w:spacing w:line="240" w:lineRule="auto"/>
        <w:ind w:left="2520"/>
      </w:pPr>
      <w:r>
        <w:t>The Joint Petitioners arrived at the Settlement terms after conducting extensive discovery, submitting testimony and engaging in in-depth discussions.  The Settlement terms and conditions constitute a carefully crafted package representing reasonable negotiated compromises on the issues addressed herein.  Thus, the Settlement is consistent with the Commission’s rules and practices encouraging negotiated settlements (</w:t>
      </w:r>
      <w:r>
        <w:rPr>
          <w:i/>
        </w:rPr>
        <w:t>see</w:t>
      </w:r>
      <w:r>
        <w:t xml:space="preserve"> 52 Pa. Code §§ 5.231, 69.391, 69.401), and is supported by a substantial record.</w:t>
      </w:r>
    </w:p>
    <w:p w:rsidR="005D67E3" w:rsidRDefault="005D67E3" w:rsidP="00E40C3A">
      <w:pPr>
        <w:spacing w:line="240" w:lineRule="auto"/>
        <w:rPr>
          <w:rFonts w:ascii="Times New Roman" w:hAnsi="Times New Roman"/>
        </w:rPr>
      </w:pPr>
    </w:p>
    <w:p w:rsidR="0063461E" w:rsidRDefault="0063461E">
      <w:pPr>
        <w:spacing w:line="240" w:lineRule="auto"/>
        <w:rPr>
          <w:rFonts w:ascii="Times New Roman" w:hAnsi="Times New Roman"/>
        </w:rPr>
      </w:pPr>
    </w:p>
    <w:p w:rsidR="00E56247" w:rsidRPr="003B7488" w:rsidRDefault="00845CA5" w:rsidP="005D67E3">
      <w:pPr>
        <w:jc w:val="center"/>
        <w:rPr>
          <w:rFonts w:ascii="Times New Roman" w:hAnsi="Times New Roman"/>
        </w:rPr>
      </w:pPr>
      <w:r>
        <w:rPr>
          <w:rFonts w:ascii="Times New Roman" w:hAnsi="Times New Roman"/>
        </w:rPr>
        <w:t>III</w:t>
      </w:r>
      <w:r w:rsidR="006B2A21" w:rsidRPr="006B2A21">
        <w:rPr>
          <w:rFonts w:ascii="Times New Roman" w:hAnsi="Times New Roman"/>
        </w:rPr>
        <w:t xml:space="preserve">.  </w:t>
      </w:r>
      <w:r w:rsidR="006B2A21">
        <w:rPr>
          <w:rFonts w:ascii="Times New Roman" w:hAnsi="Times New Roman"/>
        </w:rPr>
        <w:tab/>
      </w:r>
      <w:r w:rsidR="00E56247" w:rsidRPr="003B7488">
        <w:rPr>
          <w:rFonts w:ascii="Times New Roman" w:hAnsi="Times New Roman"/>
          <w:u w:val="single"/>
        </w:rPr>
        <w:t>DISCUSSION</w:t>
      </w:r>
      <w:r w:rsidR="00137DC1">
        <w:rPr>
          <w:rFonts w:ascii="Times New Roman" w:hAnsi="Times New Roman"/>
          <w:u w:val="single"/>
        </w:rPr>
        <w:t xml:space="preserve"> </w:t>
      </w:r>
      <w:r w:rsidR="00D36398">
        <w:rPr>
          <w:rFonts w:ascii="Times New Roman" w:hAnsi="Times New Roman"/>
          <w:u w:val="single"/>
        </w:rPr>
        <w:t>OF</w:t>
      </w:r>
      <w:r w:rsidR="00137DC1">
        <w:rPr>
          <w:rFonts w:ascii="Times New Roman" w:hAnsi="Times New Roman"/>
          <w:u w:val="single"/>
        </w:rPr>
        <w:t xml:space="preserve"> PARTIAL SETTLEMENT</w:t>
      </w:r>
    </w:p>
    <w:p w:rsidR="00E56247" w:rsidRPr="003B7488" w:rsidRDefault="00E56247" w:rsidP="00642EA7">
      <w:pPr>
        <w:rPr>
          <w:rFonts w:ascii="Times New Roman" w:hAnsi="Times New Roman"/>
        </w:rPr>
      </w:pPr>
    </w:p>
    <w:p w:rsidR="00E56247" w:rsidRPr="003B7488" w:rsidRDefault="00E56247" w:rsidP="00642EA7">
      <w:pPr>
        <w:rPr>
          <w:rFonts w:ascii="Times New Roman" w:hAnsi="Times New Roman"/>
        </w:rPr>
      </w:pPr>
      <w:r w:rsidRPr="003B7488">
        <w:rPr>
          <w:rFonts w:ascii="Times New Roman" w:hAnsi="Times New Roman"/>
        </w:rPr>
        <w:tab/>
      </w:r>
      <w:r w:rsidRPr="003B7488">
        <w:rPr>
          <w:rFonts w:ascii="Times New Roman" w:hAnsi="Times New Roman"/>
        </w:rPr>
        <w:tab/>
        <w:t xml:space="preserve">It is the policy of the Commission to encourage parties to contested on-the-record proceedings to settle the dispute.  </w:t>
      </w:r>
      <w:r w:rsidRPr="003B7488">
        <w:rPr>
          <w:rFonts w:ascii="Times New Roman" w:hAnsi="Times New Roman"/>
          <w:i/>
        </w:rPr>
        <w:t>See</w:t>
      </w:r>
      <w:r w:rsidRPr="003B7488">
        <w:rPr>
          <w:rFonts w:ascii="Times New Roman" w:hAnsi="Times New Roman"/>
        </w:rPr>
        <w:t>, 52 Pa. Code §5.231.  Settlements eliminate the time, effort, and expense of litigating a matter to its ultimate conclusion, which may include review of the Commission’s decision by the appellate courts of Pennsylvania.  Such savings not only benefit the individual parties to the proceeding, but also the Commission and all ratepayers of the respondent utility.</w:t>
      </w:r>
    </w:p>
    <w:p w:rsidR="004470AF" w:rsidRDefault="004470AF" w:rsidP="00642EA7">
      <w:pPr>
        <w:rPr>
          <w:rFonts w:ascii="Times New Roman" w:hAnsi="Times New Roman"/>
        </w:rPr>
      </w:pPr>
    </w:p>
    <w:p w:rsidR="00D114E1" w:rsidRPr="003B7488" w:rsidRDefault="00845CA5" w:rsidP="00642EA7">
      <w:pPr>
        <w:rPr>
          <w:rFonts w:ascii="Times New Roman" w:hAnsi="Times New Roman"/>
          <w:u w:val="single"/>
        </w:rPr>
      </w:pPr>
      <w:r w:rsidRPr="00845CA5">
        <w:rPr>
          <w:rFonts w:ascii="Times New Roman" w:hAnsi="Times New Roman"/>
        </w:rPr>
        <w:t xml:space="preserve">A. </w:t>
      </w:r>
      <w:r w:rsidRPr="00845CA5">
        <w:rPr>
          <w:rFonts w:ascii="Times New Roman" w:hAnsi="Times New Roman"/>
        </w:rPr>
        <w:tab/>
      </w:r>
      <w:r w:rsidR="000D5505" w:rsidRPr="003B7488">
        <w:rPr>
          <w:rFonts w:ascii="Times New Roman" w:hAnsi="Times New Roman"/>
          <w:u w:val="single"/>
        </w:rPr>
        <w:t xml:space="preserve">Partial </w:t>
      </w:r>
      <w:r w:rsidR="00D114E1" w:rsidRPr="003B7488">
        <w:rPr>
          <w:rFonts w:ascii="Times New Roman" w:hAnsi="Times New Roman"/>
          <w:u w:val="single"/>
        </w:rPr>
        <w:t>Settlement of the Rate Case</w:t>
      </w:r>
    </w:p>
    <w:p w:rsidR="00E56247" w:rsidRPr="003B7488" w:rsidRDefault="00E56247" w:rsidP="00642EA7">
      <w:pPr>
        <w:rPr>
          <w:rFonts w:ascii="Times New Roman" w:hAnsi="Times New Roman"/>
        </w:rPr>
      </w:pPr>
    </w:p>
    <w:p w:rsidR="002F0E18" w:rsidRDefault="001A4EDA" w:rsidP="002F0E18">
      <w:pPr>
        <w:rPr>
          <w:rFonts w:ascii="Times New Roman" w:hAnsi="Times New Roman"/>
        </w:rPr>
      </w:pPr>
      <w:r w:rsidRPr="003B7488">
        <w:rPr>
          <w:rFonts w:ascii="Times New Roman" w:hAnsi="Times New Roman"/>
        </w:rPr>
        <w:tab/>
      </w:r>
      <w:r w:rsidRPr="003B7488">
        <w:rPr>
          <w:rFonts w:ascii="Times New Roman" w:hAnsi="Times New Roman"/>
        </w:rPr>
        <w:tab/>
        <w:t xml:space="preserve">The </w:t>
      </w:r>
      <w:r w:rsidR="00C64FC2" w:rsidRPr="003B7488">
        <w:rPr>
          <w:rFonts w:ascii="Times New Roman" w:hAnsi="Times New Roman"/>
        </w:rPr>
        <w:t xml:space="preserve">Partial </w:t>
      </w:r>
      <w:r w:rsidRPr="003B7488">
        <w:rPr>
          <w:rFonts w:ascii="Times New Roman" w:hAnsi="Times New Roman"/>
        </w:rPr>
        <w:t xml:space="preserve">Settlement submitted in this case represents </w:t>
      </w:r>
      <w:r w:rsidR="005C1A31" w:rsidRPr="003B7488">
        <w:rPr>
          <w:rFonts w:ascii="Times New Roman" w:hAnsi="Times New Roman"/>
        </w:rPr>
        <w:t xml:space="preserve">a complete and full settlement of all but </w:t>
      </w:r>
      <w:r w:rsidR="00C743CC">
        <w:rPr>
          <w:rFonts w:ascii="Times New Roman" w:hAnsi="Times New Roman"/>
        </w:rPr>
        <w:t>one</w:t>
      </w:r>
      <w:r w:rsidR="00506838">
        <w:rPr>
          <w:rFonts w:ascii="Times New Roman" w:hAnsi="Times New Roman"/>
        </w:rPr>
        <w:t xml:space="preserve"> issue which </w:t>
      </w:r>
      <w:r w:rsidR="005C1A31" w:rsidRPr="003B7488">
        <w:rPr>
          <w:rFonts w:ascii="Times New Roman" w:hAnsi="Times New Roman"/>
        </w:rPr>
        <w:t>concern</w:t>
      </w:r>
      <w:r w:rsidR="00C743CC">
        <w:rPr>
          <w:rFonts w:ascii="Times New Roman" w:hAnsi="Times New Roman"/>
        </w:rPr>
        <w:t>s</w:t>
      </w:r>
      <w:r w:rsidR="005C1A31" w:rsidRPr="003B7488">
        <w:rPr>
          <w:rFonts w:ascii="Times New Roman" w:hAnsi="Times New Roman"/>
        </w:rPr>
        <w:t xml:space="preserve"> </w:t>
      </w:r>
      <w:r w:rsidR="008332FC">
        <w:rPr>
          <w:rFonts w:ascii="Times New Roman" w:hAnsi="Times New Roman"/>
        </w:rPr>
        <w:t>Penn Power’s</w:t>
      </w:r>
      <w:r w:rsidR="00C743CC">
        <w:rPr>
          <w:rFonts w:ascii="Times New Roman" w:hAnsi="Times New Roman"/>
        </w:rPr>
        <w:t xml:space="preserve"> </w:t>
      </w:r>
      <w:r w:rsidR="00F56D30">
        <w:rPr>
          <w:rFonts w:ascii="Times New Roman" w:hAnsi="Times New Roman"/>
        </w:rPr>
        <w:t>Light Emitting Diode (LED) Street Lighting Service</w:t>
      </w:r>
      <w:r w:rsidR="00506838">
        <w:rPr>
          <w:rFonts w:ascii="Times New Roman" w:hAnsi="Times New Roman"/>
        </w:rPr>
        <w:t xml:space="preserve"> and will be discussed separately</w:t>
      </w:r>
      <w:r w:rsidR="005C1A31" w:rsidRPr="003B7488">
        <w:rPr>
          <w:rFonts w:ascii="Times New Roman" w:hAnsi="Times New Roman"/>
        </w:rPr>
        <w:t xml:space="preserve">.  </w:t>
      </w:r>
      <w:r w:rsidR="00C743CC">
        <w:rPr>
          <w:rFonts w:ascii="Times New Roman" w:hAnsi="Times New Roman"/>
        </w:rPr>
        <w:t xml:space="preserve">Below are the parties’ Statements in Support, offered to support the parties’ request through the Partial Settlement that the Commission </w:t>
      </w:r>
      <w:proofErr w:type="gramStart"/>
      <w:r w:rsidR="00C743CC">
        <w:rPr>
          <w:rFonts w:ascii="Times New Roman" w:hAnsi="Times New Roman"/>
        </w:rPr>
        <w:t>approve</w:t>
      </w:r>
      <w:proofErr w:type="gramEnd"/>
      <w:r w:rsidR="00C743CC">
        <w:rPr>
          <w:rFonts w:ascii="Times New Roman" w:hAnsi="Times New Roman"/>
        </w:rPr>
        <w:t xml:space="preserve"> the Partial Settlement in its entirety and without</w:t>
      </w:r>
      <w:r w:rsidR="002F0E18">
        <w:rPr>
          <w:rFonts w:ascii="Times New Roman" w:hAnsi="Times New Roman"/>
        </w:rPr>
        <w:t xml:space="preserve"> modification.</w:t>
      </w:r>
    </w:p>
    <w:p w:rsidR="00231A36" w:rsidRDefault="00231A36" w:rsidP="002F0E18">
      <w:pPr>
        <w:rPr>
          <w:rFonts w:ascii="Times New Roman" w:hAnsi="Times New Roman"/>
        </w:rPr>
      </w:pPr>
    </w:p>
    <w:p w:rsidR="00231A36" w:rsidRDefault="00231A36" w:rsidP="00231A36">
      <w:pPr>
        <w:rPr>
          <w:rFonts w:ascii="Times New Roman" w:hAnsi="Times New Roman"/>
        </w:rPr>
      </w:pPr>
      <w:r>
        <w:rPr>
          <w:rFonts w:ascii="Times New Roman" w:hAnsi="Times New Roman"/>
        </w:rPr>
        <w:tab/>
      </w:r>
      <w:r>
        <w:rPr>
          <w:rFonts w:ascii="Times New Roman" w:hAnsi="Times New Roman"/>
        </w:rPr>
        <w:tab/>
        <w:t>Penn Power, OCA, BIE and OSBA are</w:t>
      </w:r>
      <w:r w:rsidRPr="003B50AD">
        <w:rPr>
          <w:rFonts w:ascii="Times New Roman" w:hAnsi="Times New Roman"/>
        </w:rPr>
        <w:t xml:space="preserve"> to be commended for the preparation of the most comprehensive Statements in Support of a proposed Settlement that we have seen.  In fact, the Statement</w:t>
      </w:r>
      <w:r>
        <w:rPr>
          <w:rFonts w:ascii="Times New Roman" w:hAnsi="Times New Roman"/>
        </w:rPr>
        <w:t>s are</w:t>
      </w:r>
      <w:r w:rsidRPr="003B50AD">
        <w:rPr>
          <w:rFonts w:ascii="Times New Roman" w:hAnsi="Times New Roman"/>
        </w:rPr>
        <w:t xml:space="preserve"> actually a window on the negotiations that led to the proposed Settlement that provides considerable detail with respect to the reasoning of the parties and how they arrived at a negotiated Settlement.  Although </w:t>
      </w:r>
      <w:r>
        <w:rPr>
          <w:rFonts w:ascii="Times New Roman" w:hAnsi="Times New Roman"/>
        </w:rPr>
        <w:t xml:space="preserve">some of </w:t>
      </w:r>
      <w:r w:rsidRPr="003B50AD">
        <w:rPr>
          <w:rFonts w:ascii="Times New Roman" w:hAnsi="Times New Roman"/>
        </w:rPr>
        <w:t xml:space="preserve">the specifics of the proposed Settlement are a “black box,” the rationale as to why the proposed Settlement is in the public interest is very clear in what almost amounts to </w:t>
      </w:r>
      <w:r>
        <w:rPr>
          <w:rFonts w:ascii="Times New Roman" w:hAnsi="Times New Roman"/>
        </w:rPr>
        <w:t xml:space="preserve">four non-oppositional </w:t>
      </w:r>
      <w:r w:rsidRPr="003B50AD">
        <w:rPr>
          <w:rFonts w:ascii="Times New Roman" w:hAnsi="Times New Roman"/>
        </w:rPr>
        <w:t>brief</w:t>
      </w:r>
      <w:r>
        <w:rPr>
          <w:rFonts w:ascii="Times New Roman" w:hAnsi="Times New Roman"/>
        </w:rPr>
        <w:t>s</w:t>
      </w:r>
      <w:r w:rsidRPr="003B50AD">
        <w:rPr>
          <w:rFonts w:ascii="Times New Roman" w:hAnsi="Times New Roman"/>
        </w:rPr>
        <w:t>.  Replicating any of the Parties</w:t>
      </w:r>
      <w:r>
        <w:rPr>
          <w:rFonts w:ascii="Times New Roman" w:hAnsi="Times New Roman"/>
        </w:rPr>
        <w:t>’</w:t>
      </w:r>
      <w:r w:rsidRPr="003B50AD">
        <w:rPr>
          <w:rFonts w:ascii="Times New Roman" w:hAnsi="Times New Roman"/>
        </w:rPr>
        <w:t xml:space="preserve"> </w:t>
      </w:r>
      <w:r w:rsidRPr="003B50AD">
        <w:rPr>
          <w:rFonts w:ascii="Times New Roman" w:hAnsi="Times New Roman"/>
        </w:rPr>
        <w:lastRenderedPageBreak/>
        <w:t xml:space="preserve">Statements in Support here is not necessary.  We will however, extensively paraphrase and highlight </w:t>
      </w:r>
      <w:r>
        <w:rPr>
          <w:rFonts w:ascii="Times New Roman" w:hAnsi="Times New Roman"/>
        </w:rPr>
        <w:t>what we see as essential points that lead us to conclude that the proposed Settlement meets the public interest standard</w:t>
      </w:r>
    </w:p>
    <w:p w:rsidR="00231A36" w:rsidRPr="003B7488" w:rsidRDefault="00231A36" w:rsidP="00231A36">
      <w:pPr>
        <w:rPr>
          <w:rFonts w:ascii="Times New Roman" w:hAnsi="Times New Roman"/>
        </w:rPr>
      </w:pPr>
    </w:p>
    <w:p w:rsidR="00F7518F" w:rsidRPr="00FD6BA1" w:rsidRDefault="002F0E18" w:rsidP="002F0E18">
      <w:pPr>
        <w:rPr>
          <w:u w:val="single"/>
        </w:rPr>
      </w:pPr>
      <w:r>
        <w:rPr>
          <w:rFonts w:ascii="Times New Roman" w:hAnsi="Times New Roman"/>
        </w:rPr>
        <w:t>B.</w:t>
      </w:r>
      <w:r>
        <w:rPr>
          <w:rFonts w:ascii="Times New Roman" w:hAnsi="Times New Roman"/>
        </w:rPr>
        <w:tab/>
      </w:r>
      <w:r w:rsidRPr="00FD6BA1">
        <w:rPr>
          <w:rFonts w:ascii="Times New Roman" w:hAnsi="Times New Roman"/>
          <w:u w:val="single"/>
        </w:rPr>
        <w:t xml:space="preserve">Penn </w:t>
      </w:r>
      <w:r w:rsidR="00F7518F" w:rsidRPr="00FD6BA1">
        <w:rPr>
          <w:u w:val="single"/>
        </w:rPr>
        <w:t>Power’s Statement in Support</w:t>
      </w:r>
    </w:p>
    <w:p w:rsidR="00F7518F" w:rsidRDefault="00F7518F" w:rsidP="00F7518F">
      <w:pPr>
        <w:pStyle w:val="FirmDouble05"/>
        <w:spacing w:line="360" w:lineRule="auto"/>
        <w:ind w:firstLine="0"/>
      </w:pPr>
    </w:p>
    <w:p w:rsidR="0080536F" w:rsidRDefault="0080536F" w:rsidP="00CB19E7">
      <w:pPr>
        <w:pStyle w:val="FirmDouble05"/>
        <w:spacing w:line="360" w:lineRule="auto"/>
      </w:pPr>
      <w:r>
        <w:t>1.</w:t>
      </w:r>
      <w:r>
        <w:tab/>
      </w:r>
      <w:r w:rsidRPr="0080536F">
        <w:rPr>
          <w:u w:val="single"/>
        </w:rPr>
        <w:t>Revenue Requirement (Joint Petition, Paragraph 11.A.)</w:t>
      </w:r>
    </w:p>
    <w:p w:rsidR="0080536F" w:rsidRDefault="0080536F" w:rsidP="00B17640">
      <w:pPr>
        <w:pStyle w:val="FirmDouble05"/>
        <w:spacing w:line="360" w:lineRule="auto"/>
        <w:ind w:firstLine="1440"/>
      </w:pPr>
    </w:p>
    <w:p w:rsidR="0034707B" w:rsidRDefault="0034707B" w:rsidP="00B17640">
      <w:pPr>
        <w:pStyle w:val="FirmDouble05"/>
        <w:spacing w:line="360" w:lineRule="auto"/>
        <w:ind w:firstLine="1440"/>
      </w:pPr>
      <w:r>
        <w:t xml:space="preserve">Penn Power </w:t>
      </w:r>
      <w:r w:rsidR="00D95454">
        <w:t xml:space="preserve">asserts that following the submission of multiple rounds of testimony and extensive negotiations, the Joint Petitioners agreed to the Settlement embodied in the Joint Petition.  Under the terms of the Settlement, Penn Power will be entitled to charge base rates designed to produce an increase </w:t>
      </w:r>
      <w:r w:rsidR="00D95454" w:rsidRPr="00B95719">
        <w:t>to its annual distribution revenue totaling</w:t>
      </w:r>
      <w:r w:rsidR="00D95454">
        <w:t xml:space="preserve"> </w:t>
      </w:r>
      <w:r>
        <w:t>base rate operating revenues of $29.557 million, including the roll-in to base rates of smart meter revenue requirement, as well as proposed decreases in the Default Service Support and Hourly Pricing Default Service Riders totaling $1.074 million (</w:t>
      </w:r>
      <w:r>
        <w:rPr>
          <w:i/>
        </w:rPr>
        <w:t>see</w:t>
      </w:r>
      <w:r>
        <w:t xml:space="preserve"> Penn Power St. No. 1, p. 8).  </w:t>
      </w:r>
    </w:p>
    <w:p w:rsidR="00B17640" w:rsidRDefault="00B17640" w:rsidP="00B17640">
      <w:pPr>
        <w:pStyle w:val="FirmDouble05"/>
        <w:spacing w:line="360" w:lineRule="auto"/>
        <w:ind w:firstLine="1440"/>
      </w:pPr>
    </w:p>
    <w:p w:rsidR="002F0E18" w:rsidRDefault="00B17640" w:rsidP="00B17640">
      <w:pPr>
        <w:pStyle w:val="FirmDouble05"/>
        <w:spacing w:line="360" w:lineRule="auto"/>
        <w:ind w:firstLine="1440"/>
        <w:rPr>
          <w:i/>
        </w:rPr>
      </w:pPr>
      <w:r>
        <w:t>F</w:t>
      </w:r>
      <w:r w:rsidR="0034707B">
        <w:t>ollowing detailed discovery, the submission of multiple rounds of testimony and extensive negotiations, the Joint Petitioners agreed to the Settlement embodied in the Joint Petition.  Under the terms of the Settlement, Penn Power will be entitled to charge base rates designed to produce an increase in distribution operating revenues of $17 million, or approximately 5.2% of total operating revenues, based on billing units for the twelve months ended April 30, 2016, to become effective no later than May 19, 2015</w:t>
      </w:r>
      <w:r>
        <w:t xml:space="preserve"> (</w:t>
      </w:r>
      <w:r w:rsidR="0034707B">
        <w:t>Settlement Rates).  The Company will recoup, through a surcharge, revenues lost at the final approved rates for the period from the end of the statutory suspension period (May 3, 2015) through the date the Commission allows the Settlement Rates to be charged, if that date is later than May 3, 2015 (Joint Petition, Paragraph 11.A.1).</w:t>
      </w:r>
      <w:r w:rsidR="0034707B">
        <w:rPr>
          <w:rStyle w:val="FootnoteReference"/>
        </w:rPr>
        <w:footnoteReference w:id="5"/>
      </w:r>
      <w:r w:rsidR="0034707B">
        <w:t xml:space="preserve">  The Joint Petition also describes how the surcharge will be calculated and implemented.</w:t>
      </w:r>
      <w:r w:rsidR="002F0E18">
        <w:t xml:space="preserve">  </w:t>
      </w:r>
      <w:r w:rsidR="002F0E18">
        <w:rPr>
          <w:i/>
        </w:rPr>
        <w:t>Id.</w:t>
      </w:r>
    </w:p>
    <w:p w:rsidR="002F0E18" w:rsidRDefault="002F0E18" w:rsidP="00B17640">
      <w:pPr>
        <w:pStyle w:val="FirmDouble05"/>
        <w:spacing w:line="360" w:lineRule="auto"/>
        <w:ind w:firstLine="1440"/>
        <w:rPr>
          <w:i/>
        </w:rPr>
      </w:pPr>
    </w:p>
    <w:p w:rsidR="0034707B" w:rsidRDefault="0034707B" w:rsidP="00D95454">
      <w:pPr>
        <w:pStyle w:val="FirmDouble05"/>
        <w:spacing w:line="360" w:lineRule="auto"/>
        <w:ind w:firstLine="1440"/>
      </w:pPr>
      <w:r>
        <w:t xml:space="preserve">The increase in customer rates and total annual operating revenues under the Settlement must be viewed in the context of the period since the Company’s last increase in base rates became effective.  The interval between base rate increases that Penn Power customers have experienced to date has been a result of a number of factors.  However, a significant contributor to Penn Power’s ability to forestall a rate case was its aggressive management of </w:t>
      </w:r>
      <w:r w:rsidR="00B17640">
        <w:t>operating and maintenance (O&amp;M</w:t>
      </w:r>
      <w:r>
        <w:t>) expenses and, in particular, ad</w:t>
      </w:r>
      <w:r w:rsidR="00B17640">
        <w:t>ministrative and general (</w:t>
      </w:r>
      <w:r>
        <w:t>A&amp;G) expenses.  Penn Power St. 1, p. 23.  In addition to continuous efforts to diligently control expenses on a day-to-day basis, Penn Power has benefited from various initiatives that allowed it to control all expenses and, in particular, A&amp;G expenditures.  Some of the initiatives that have had the most significant impacts include</w:t>
      </w:r>
      <w:r w:rsidR="00D95454">
        <w:t>: (1) capturing economies of scale and maximizing merger related synergies; (2) aggressive management of indirect labor-related costs; and focus on maintaining and enhancing reliability.</w:t>
      </w:r>
      <w:r w:rsidR="00C85A3F">
        <w:rPr>
          <w:rStyle w:val="FootnoteReference"/>
        </w:rPr>
        <w:footnoteReference w:id="6"/>
      </w:r>
      <w:r w:rsidR="00D95454">
        <w:t xml:space="preserve">  </w:t>
      </w:r>
      <w:proofErr w:type="gramStart"/>
      <w:r w:rsidR="00C009F8">
        <w:t>(</w:t>
      </w:r>
      <w:r w:rsidR="00D95454">
        <w:t xml:space="preserve">Penn Power St. 1, </w:t>
      </w:r>
      <w:r w:rsidR="00445644">
        <w:t>p</w:t>
      </w:r>
      <w:r w:rsidR="00D95454">
        <w:t>p.12-13</w:t>
      </w:r>
      <w:r w:rsidR="00C009F8">
        <w:t>)</w:t>
      </w:r>
      <w:r w:rsidR="00D95454">
        <w:t>.</w:t>
      </w:r>
      <w:proofErr w:type="gramEnd"/>
      <w:r w:rsidR="00D95454">
        <w:t xml:space="preserve">  </w:t>
      </w:r>
      <w:r>
        <w:t xml:space="preserve"> </w:t>
      </w:r>
    </w:p>
    <w:p w:rsidR="00B17640" w:rsidRDefault="00B17640" w:rsidP="00B17640">
      <w:pPr>
        <w:pStyle w:val="FirmDouble05"/>
        <w:spacing w:line="360" w:lineRule="auto"/>
      </w:pPr>
    </w:p>
    <w:p w:rsidR="0034707B" w:rsidRDefault="00445644" w:rsidP="00445644">
      <w:pPr>
        <w:pStyle w:val="FirmDouble05"/>
        <w:spacing w:line="360" w:lineRule="auto"/>
        <w:ind w:firstLine="1440"/>
      </w:pPr>
      <w:r>
        <w:t>Despite</w:t>
      </w:r>
      <w:r w:rsidR="0034707B">
        <w:t xml:space="preserve"> Penn Power’s successful efforts to manage and contain O&amp;M expenses, three principal factors were major contributors to the Company’s need to increase its distribution base rates:</w:t>
      </w:r>
      <w:r w:rsidR="00D95454">
        <w:t xml:space="preserve"> (1) growth in the Company’s distribution rate base; (2) </w:t>
      </w:r>
      <w:r>
        <w:t xml:space="preserve">depreciation expense associated with increased investment in plant in service; and (3) increase in depreciation expense related to retirement of legacy meters.  </w:t>
      </w:r>
      <w:proofErr w:type="gramStart"/>
      <w:r w:rsidR="00C009F8">
        <w:t>(</w:t>
      </w:r>
      <w:r>
        <w:t>Penn Power St. 1, pp 20-22</w:t>
      </w:r>
      <w:r w:rsidR="00C009F8">
        <w:t>)</w:t>
      </w:r>
      <w:r>
        <w:t>.</w:t>
      </w:r>
      <w:proofErr w:type="gramEnd"/>
      <w:r>
        <w:t xml:space="preserve">  </w:t>
      </w:r>
      <w:r w:rsidR="0034707B">
        <w:rPr>
          <w:rFonts w:eastAsia="Calibri"/>
          <w:szCs w:val="22"/>
        </w:rPr>
        <w:t>Due</w:t>
      </w:r>
      <w:r w:rsidR="0034707B">
        <w:t xml:space="preserve"> in large part to the</w:t>
      </w:r>
      <w:r>
        <w:t>se</w:t>
      </w:r>
      <w:r w:rsidR="0034707B">
        <w:t xml:space="preserve"> factors, Penn Power’s overall rate of return at present rates is projected to be 3.98% for the fully projected future test year</w:t>
      </w:r>
      <w:r>
        <w:t xml:space="preserve"> and t</w:t>
      </w:r>
      <w:r w:rsidR="0034707B">
        <w:t xml:space="preserve">he indicated return on common equity under present rates is anticipated to be 2.56% (Penn Power Ex. CVF-1), which is inadequate by any reasonable standard.  A return at that level is not sufficient to support the substantial amounts of additional investment the Company will be required to make to maintain and enhance reliability, replace aging infrastructure, and fully implement its Smart Meter Plan while continuing to provide </w:t>
      </w:r>
      <w:r w:rsidR="0034707B">
        <w:lastRenderedPageBreak/>
        <w:t xml:space="preserve">customers safe, reliable and high-quality service.  Accordingly, it is critically important that the Company obtain the rate relief the Settlement will provide.  </w:t>
      </w:r>
      <w:proofErr w:type="gramStart"/>
      <w:r w:rsidR="00C009F8">
        <w:t>(</w:t>
      </w:r>
      <w:r w:rsidR="0034707B">
        <w:t>Penn Power St. 1, p. 25</w:t>
      </w:r>
      <w:r w:rsidR="00C009F8">
        <w:t>)</w:t>
      </w:r>
      <w:r w:rsidR="0034707B">
        <w:t>.</w:t>
      </w:r>
      <w:proofErr w:type="gramEnd"/>
    </w:p>
    <w:p w:rsidR="00F00097" w:rsidRDefault="00F00097" w:rsidP="00F00097">
      <w:pPr>
        <w:pStyle w:val="FirmDouble05"/>
        <w:spacing w:line="360" w:lineRule="auto"/>
        <w:ind w:firstLine="1350"/>
      </w:pPr>
    </w:p>
    <w:p w:rsidR="0034707B" w:rsidRDefault="0034707B" w:rsidP="00F00097">
      <w:pPr>
        <w:pStyle w:val="FirmDouble05"/>
        <w:spacing w:line="360" w:lineRule="auto"/>
        <w:ind w:firstLine="1440"/>
      </w:pPr>
      <w:r>
        <w:t>The Joint Petition also contains six additional provisions that pertain to revenue requirement and cost recovery, which consist of the following:</w:t>
      </w:r>
    </w:p>
    <w:p w:rsidR="00F00097" w:rsidRDefault="00F00097" w:rsidP="00F00097">
      <w:pPr>
        <w:pStyle w:val="FirmDouble05"/>
        <w:spacing w:line="360" w:lineRule="auto"/>
        <w:ind w:firstLine="0"/>
        <w:rPr>
          <w:b/>
        </w:rPr>
      </w:pPr>
    </w:p>
    <w:p w:rsidR="0034707B" w:rsidRDefault="00845CA5" w:rsidP="00445644">
      <w:pPr>
        <w:pStyle w:val="FirmDouble05"/>
        <w:spacing w:line="360" w:lineRule="auto"/>
        <w:ind w:left="720"/>
        <w:rPr>
          <w:szCs w:val="20"/>
        </w:rPr>
      </w:pPr>
      <w:r>
        <w:rPr>
          <w:b/>
        </w:rPr>
        <w:t xml:space="preserve">a. </w:t>
      </w:r>
      <w:r w:rsidR="00E125FC">
        <w:rPr>
          <w:b/>
        </w:rPr>
        <w:tab/>
      </w:r>
      <w:r w:rsidR="0034707B">
        <w:rPr>
          <w:b/>
        </w:rPr>
        <w:t xml:space="preserve">Recovery in base rates of smart meter revenue requirements (Joint Petition, Paragraph 11.A.2). </w:t>
      </w:r>
      <w:r w:rsidR="0034707B">
        <w:t xml:space="preserve"> Penn Power proposed base rates that include the roll-in of smart meter costs currently being recovered under its SMT-C as well as smart meter revenue requirements to be incurred through the end of the fully projected future test year, and also proposed to reduce the SMT-C to zero upon the conclusion of this case (</w:t>
      </w:r>
      <w:r w:rsidR="0034707B">
        <w:rPr>
          <w:i/>
        </w:rPr>
        <w:t>see</w:t>
      </w:r>
      <w:r w:rsidR="0034707B">
        <w:t xml:space="preserve"> Penn Power St. 7-R, p. 2).  </w:t>
      </w:r>
      <w:r w:rsidR="0034707B">
        <w:rPr>
          <w:szCs w:val="20"/>
        </w:rPr>
        <w:t xml:space="preserve">Section 2807(f) of the Public Utility Code, </w:t>
      </w:r>
      <w:proofErr w:type="gramStart"/>
      <w:r w:rsidR="00F00097">
        <w:rPr>
          <w:szCs w:val="20"/>
        </w:rPr>
        <w:t xml:space="preserve">66 </w:t>
      </w:r>
      <w:proofErr w:type="spellStart"/>
      <w:r w:rsidR="007E74EE">
        <w:rPr>
          <w:szCs w:val="20"/>
        </w:rPr>
        <w:t>Pa.C.S.A.</w:t>
      </w:r>
      <w:r w:rsidR="00F00097">
        <w:rPr>
          <w:szCs w:val="20"/>
        </w:rPr>
        <w:t>A</w:t>
      </w:r>
      <w:proofErr w:type="spellEnd"/>
      <w:proofErr w:type="gramEnd"/>
      <w:r w:rsidR="00F00097">
        <w:rPr>
          <w:szCs w:val="20"/>
        </w:rPr>
        <w:t>.</w:t>
      </w:r>
      <w:r w:rsidR="0034707B">
        <w:rPr>
          <w:szCs w:val="20"/>
        </w:rPr>
        <w:t xml:space="preserve"> § 2807(f), provides statutory authority for an EDC to recover smart meter plan costs in base rates, as the Commission affirmed in its Opinion and Order entered August 3, 2010 in </w:t>
      </w:r>
      <w:r w:rsidR="0034707B" w:rsidRPr="002B08B9">
        <w:rPr>
          <w:szCs w:val="20"/>
          <w:u w:val="single"/>
        </w:rPr>
        <w:t>Joint Petition of Metropolitan Edison Company, Pennsylvania Electric Company and Pennsylvania Power Company for Approval of Smart Meter Technology Procurement and Installation Plan</w:t>
      </w:r>
      <w:r w:rsidR="0034707B">
        <w:rPr>
          <w:szCs w:val="20"/>
        </w:rPr>
        <w:t xml:space="preserve">, </w:t>
      </w:r>
      <w:r w:rsidR="002B08B9">
        <w:rPr>
          <w:szCs w:val="20"/>
        </w:rPr>
        <w:t xml:space="preserve">Docket No. M-2009-2123950 (the </w:t>
      </w:r>
      <w:r w:rsidR="0034707B">
        <w:rPr>
          <w:szCs w:val="20"/>
        </w:rPr>
        <w:t>August 3, 2010 Order) (</w:t>
      </w:r>
      <w:r w:rsidR="0034707B">
        <w:rPr>
          <w:i/>
          <w:szCs w:val="20"/>
        </w:rPr>
        <w:t>see</w:t>
      </w:r>
      <w:r w:rsidR="0034707B">
        <w:rPr>
          <w:szCs w:val="20"/>
        </w:rPr>
        <w:t xml:space="preserve"> Penn Power St. 7, p. 9).</w:t>
      </w:r>
      <w:r w:rsidR="0034707B">
        <w:rPr>
          <w:rStyle w:val="FootnoteReference"/>
          <w:szCs w:val="20"/>
        </w:rPr>
        <w:footnoteReference w:id="7"/>
      </w:r>
      <w:r w:rsidR="00445644">
        <w:rPr>
          <w:szCs w:val="20"/>
        </w:rPr>
        <w:t xml:space="preserve">  </w:t>
      </w:r>
      <w:r w:rsidR="0034707B">
        <w:rPr>
          <w:szCs w:val="20"/>
        </w:rPr>
        <w:t>No party disagreed with th</w:t>
      </w:r>
      <w:r w:rsidR="00445644">
        <w:rPr>
          <w:szCs w:val="20"/>
        </w:rPr>
        <w:t xml:space="preserve">e Company’s proposal and </w:t>
      </w:r>
      <w:r w:rsidR="00F00097">
        <w:rPr>
          <w:szCs w:val="20"/>
        </w:rPr>
        <w:t>OCA</w:t>
      </w:r>
      <w:r w:rsidR="0034707B">
        <w:rPr>
          <w:szCs w:val="20"/>
        </w:rPr>
        <w:t xml:space="preserve"> endorsed the roll-in to base rates of smart meter revenue requirements (</w:t>
      </w:r>
      <w:r w:rsidR="0034707B">
        <w:rPr>
          <w:i/>
          <w:szCs w:val="20"/>
        </w:rPr>
        <w:t>see</w:t>
      </w:r>
      <w:r w:rsidR="0034707B">
        <w:rPr>
          <w:szCs w:val="20"/>
        </w:rPr>
        <w:t xml:space="preserve"> August</w:t>
      </w:r>
      <w:r w:rsidR="00E125FC">
        <w:rPr>
          <w:szCs w:val="20"/>
        </w:rPr>
        <w:t> </w:t>
      </w:r>
      <w:r w:rsidR="0034707B">
        <w:rPr>
          <w:szCs w:val="20"/>
        </w:rPr>
        <w:t xml:space="preserve">3, 2010 Order, pp. 4-6).  </w:t>
      </w:r>
    </w:p>
    <w:p w:rsidR="00F00097" w:rsidRDefault="00F00097" w:rsidP="00F00097">
      <w:pPr>
        <w:pStyle w:val="FirmDouble05"/>
        <w:spacing w:line="360" w:lineRule="auto"/>
        <w:ind w:left="1440" w:firstLine="0"/>
        <w:rPr>
          <w:b/>
          <w:szCs w:val="20"/>
        </w:rPr>
      </w:pPr>
    </w:p>
    <w:p w:rsidR="0034707B" w:rsidRDefault="00845CA5" w:rsidP="00E125FC">
      <w:pPr>
        <w:pStyle w:val="FirmDouble05"/>
        <w:spacing w:line="360" w:lineRule="auto"/>
        <w:ind w:left="720"/>
        <w:rPr>
          <w:szCs w:val="20"/>
        </w:rPr>
      </w:pPr>
      <w:r>
        <w:rPr>
          <w:b/>
          <w:szCs w:val="20"/>
        </w:rPr>
        <w:t xml:space="preserve">b. </w:t>
      </w:r>
      <w:r w:rsidR="00E125FC">
        <w:rPr>
          <w:b/>
          <w:szCs w:val="20"/>
        </w:rPr>
        <w:tab/>
      </w:r>
      <w:r w:rsidR="0034707B">
        <w:rPr>
          <w:b/>
          <w:szCs w:val="20"/>
        </w:rPr>
        <w:t xml:space="preserve">Legacy meters </w:t>
      </w:r>
      <w:r w:rsidR="0034707B">
        <w:rPr>
          <w:b/>
        </w:rPr>
        <w:t>(Joint Petition, Paragraph 11.A.3)</w:t>
      </w:r>
      <w:r w:rsidR="0034707B">
        <w:rPr>
          <w:b/>
          <w:szCs w:val="20"/>
        </w:rPr>
        <w:t>.</w:t>
      </w:r>
      <w:r w:rsidR="0034707B">
        <w:rPr>
          <w:szCs w:val="20"/>
        </w:rPr>
        <w:t xml:space="preserve">  </w:t>
      </w:r>
      <w:r w:rsidR="00445644">
        <w:rPr>
          <w:szCs w:val="20"/>
        </w:rPr>
        <w:t>T</w:t>
      </w:r>
      <w:r w:rsidR="0034707B">
        <w:rPr>
          <w:szCs w:val="20"/>
        </w:rPr>
        <w:t>he Company will be retiring its legacy meters well before the end of the service lives that had previously been used to calculate annual depreciation – and recover the cost – of such meters.  Consequently, the Company proposed to recover its unrecovered investment in legacy meters by amortization over a period of five years from the date rat</w:t>
      </w:r>
      <w:r w:rsidR="00445644">
        <w:rPr>
          <w:szCs w:val="20"/>
        </w:rPr>
        <w:t>es established in this case beca</w:t>
      </w:r>
      <w:r w:rsidR="0034707B">
        <w:rPr>
          <w:szCs w:val="20"/>
        </w:rPr>
        <w:t>me effective.  Paragraph 11.A.3 of the Joint Petition provides that the Settlement Rates reflect that amortization.</w:t>
      </w:r>
    </w:p>
    <w:p w:rsidR="00F00097" w:rsidRDefault="00F00097" w:rsidP="00F00097">
      <w:pPr>
        <w:pStyle w:val="FirmDouble05"/>
        <w:spacing w:line="360" w:lineRule="auto"/>
        <w:ind w:left="1440" w:firstLine="0"/>
        <w:rPr>
          <w:b/>
          <w:szCs w:val="20"/>
        </w:rPr>
      </w:pPr>
    </w:p>
    <w:p w:rsidR="0034707B" w:rsidRDefault="00845CA5" w:rsidP="00445644">
      <w:pPr>
        <w:pStyle w:val="FirmDouble05"/>
        <w:spacing w:line="360" w:lineRule="auto"/>
        <w:ind w:left="720"/>
        <w:rPr>
          <w:szCs w:val="20"/>
        </w:rPr>
      </w:pPr>
      <w:r>
        <w:rPr>
          <w:b/>
          <w:szCs w:val="20"/>
        </w:rPr>
        <w:t xml:space="preserve">c. </w:t>
      </w:r>
      <w:r w:rsidR="00D50A70">
        <w:rPr>
          <w:b/>
          <w:szCs w:val="20"/>
        </w:rPr>
        <w:tab/>
      </w:r>
      <w:r w:rsidR="0034707B">
        <w:rPr>
          <w:b/>
          <w:szCs w:val="20"/>
        </w:rPr>
        <w:t>Storm Reserve Account</w:t>
      </w:r>
      <w:r w:rsidR="0034707B">
        <w:rPr>
          <w:szCs w:val="20"/>
        </w:rPr>
        <w:t xml:space="preserve"> </w:t>
      </w:r>
      <w:r w:rsidR="0034707B">
        <w:rPr>
          <w:b/>
        </w:rPr>
        <w:t>(Joint Petition, Paragraph 11.A.4)</w:t>
      </w:r>
      <w:r w:rsidR="0034707B">
        <w:rPr>
          <w:szCs w:val="20"/>
        </w:rPr>
        <w:t xml:space="preserve">.  </w:t>
      </w:r>
      <w:r w:rsidR="00445644">
        <w:rPr>
          <w:szCs w:val="20"/>
        </w:rPr>
        <w:t>Originally</w:t>
      </w:r>
      <w:r w:rsidR="0034707B">
        <w:rPr>
          <w:szCs w:val="20"/>
        </w:rPr>
        <w:t>, Penn Power proposed that its base rates should recover only a normal level of storm damage expenses and that a rate adjus</w:t>
      </w:r>
      <w:r w:rsidR="00F00097">
        <w:rPr>
          <w:szCs w:val="20"/>
        </w:rPr>
        <w:t xml:space="preserve">tment mechanism (i.e., a </w:t>
      </w:r>
      <w:r w:rsidR="0034707B">
        <w:rPr>
          <w:szCs w:val="20"/>
        </w:rPr>
        <w:t xml:space="preserve">Storm Charge Rider) </w:t>
      </w:r>
      <w:proofErr w:type="gramStart"/>
      <w:r w:rsidR="0034707B">
        <w:rPr>
          <w:szCs w:val="20"/>
        </w:rPr>
        <w:t>be</w:t>
      </w:r>
      <w:proofErr w:type="gramEnd"/>
      <w:r w:rsidR="0034707B">
        <w:rPr>
          <w:szCs w:val="20"/>
        </w:rPr>
        <w:t xml:space="preserve"> established under Section 1307 of the Public Utility Code, 66 </w:t>
      </w:r>
      <w:r w:rsidR="00C009F8">
        <w:rPr>
          <w:szCs w:val="20"/>
        </w:rPr>
        <w:t>Pa.C.S</w:t>
      </w:r>
      <w:r w:rsidR="007E74EE">
        <w:rPr>
          <w:szCs w:val="20"/>
        </w:rPr>
        <w:t>.</w:t>
      </w:r>
      <w:r w:rsidR="00E40D5C">
        <w:rPr>
          <w:szCs w:val="20"/>
        </w:rPr>
        <w:t>A.</w:t>
      </w:r>
      <w:r w:rsidR="0034707B">
        <w:rPr>
          <w:szCs w:val="20"/>
        </w:rPr>
        <w:t xml:space="preserve"> §</w:t>
      </w:r>
      <w:r w:rsidR="00D50A70">
        <w:rPr>
          <w:szCs w:val="20"/>
        </w:rPr>
        <w:t> </w:t>
      </w:r>
      <w:r w:rsidR="0034707B">
        <w:rPr>
          <w:szCs w:val="20"/>
        </w:rPr>
        <w:t>1307, to impose a charge or credit on customers’ bills to reflect the difference, on an annual basis, between the storm damage expenses recovered in the Company’s base rates and the storm damage expenses it actually incurs (Penn Power St. 3, pp. 26-32).  Several parties opposed the Company’s proposal to establish a Storm Charge Rider and argued that, notwithstanding the Commission’s orders approving PPL’s Storm Damage Expense Rider, storm damage costs should not be recovered under a Section 1307 adjustment mechanism.  Other parties, while not opposed to the concept of a storm damage reserve account, objected to the use of a rider to adjust customer rates based on an annual reconciliation (</w:t>
      </w:r>
      <w:r w:rsidR="0034707B">
        <w:rPr>
          <w:i/>
          <w:szCs w:val="20"/>
        </w:rPr>
        <w:t>see</w:t>
      </w:r>
      <w:r w:rsidR="0034707B">
        <w:rPr>
          <w:szCs w:val="20"/>
        </w:rPr>
        <w:t xml:space="preserve"> OCA St. 1R).</w:t>
      </w:r>
    </w:p>
    <w:p w:rsidR="00445644" w:rsidRDefault="00445644" w:rsidP="00445644">
      <w:pPr>
        <w:pStyle w:val="FirmDouble05"/>
        <w:spacing w:line="360" w:lineRule="auto"/>
        <w:ind w:left="720"/>
        <w:rPr>
          <w:szCs w:val="20"/>
        </w:rPr>
      </w:pPr>
    </w:p>
    <w:p w:rsidR="0034707B" w:rsidRDefault="00445644" w:rsidP="00445644">
      <w:pPr>
        <w:pStyle w:val="FirmDouble05"/>
        <w:spacing w:line="360" w:lineRule="auto"/>
        <w:ind w:left="720"/>
        <w:rPr>
          <w:szCs w:val="20"/>
        </w:rPr>
      </w:pPr>
      <w:r>
        <w:rPr>
          <w:szCs w:val="20"/>
        </w:rPr>
        <w:t xml:space="preserve">Paragraph 11.A.4 of the Joint Petition </w:t>
      </w:r>
      <w:r w:rsidR="0034707B">
        <w:rPr>
          <w:szCs w:val="20"/>
        </w:rPr>
        <w:t xml:space="preserve">provides that the Company will establish a Storm Reserve Account that does not involve the creation of a rider to annually true-up the reserve account with the difference between storm costs included in base rates and actual storm costs.  The Storm Reserve Account will help to achieve the two goals of </w:t>
      </w:r>
      <w:r w:rsidR="00F00097">
        <w:rPr>
          <w:szCs w:val="20"/>
        </w:rPr>
        <w:t>BIE</w:t>
      </w:r>
      <w:r w:rsidR="0034707B">
        <w:rPr>
          <w:szCs w:val="20"/>
        </w:rPr>
        <w:t xml:space="preserve">’s initial proposal, namely, to reduce the risk that the Company would collect either too little or too much of its actual storm damage expenses and to mitigate volatility in revenue requirement and the corresponding volatility of customer rates caused by fluctuations in storm damage expenses.  The expenses related to extraordinary storm events will be subject to deferral based on the Company’s filing separate petitions to obtain Commission approval of such deferrals.  The costs thus deferred will be separately identified and claimed in subsequent base rate proceedings.  </w:t>
      </w:r>
    </w:p>
    <w:p w:rsidR="00F00097" w:rsidRDefault="00F00097" w:rsidP="00F00097">
      <w:pPr>
        <w:pStyle w:val="FirmDouble05"/>
        <w:spacing w:line="360" w:lineRule="auto"/>
        <w:ind w:left="1440" w:firstLine="0"/>
        <w:rPr>
          <w:b/>
          <w:szCs w:val="20"/>
        </w:rPr>
      </w:pPr>
    </w:p>
    <w:p w:rsidR="0034707B" w:rsidRDefault="00845CA5" w:rsidP="00D50A70">
      <w:pPr>
        <w:pStyle w:val="FirmDouble05"/>
        <w:spacing w:line="360" w:lineRule="auto"/>
        <w:ind w:left="720"/>
      </w:pPr>
      <w:r>
        <w:rPr>
          <w:b/>
          <w:szCs w:val="20"/>
        </w:rPr>
        <w:t xml:space="preserve">d. </w:t>
      </w:r>
      <w:r w:rsidR="00D50A70">
        <w:rPr>
          <w:b/>
          <w:szCs w:val="20"/>
        </w:rPr>
        <w:tab/>
      </w:r>
      <w:r w:rsidR="0034707B">
        <w:rPr>
          <w:b/>
          <w:szCs w:val="20"/>
        </w:rPr>
        <w:t>Reporting and updating of fully projected future test year data</w:t>
      </w:r>
      <w:r w:rsidR="0034707B">
        <w:rPr>
          <w:szCs w:val="20"/>
        </w:rPr>
        <w:t xml:space="preserve"> </w:t>
      </w:r>
      <w:r w:rsidR="0034707B">
        <w:rPr>
          <w:b/>
        </w:rPr>
        <w:t xml:space="preserve">(Joint Petition, Paragraph 11.A.5).  </w:t>
      </w:r>
      <w:r w:rsidR="0034707B">
        <w:t xml:space="preserve">As previously explained, the Company has presented, and had relied upon, data for a fully projected future test year ending April 30, 2016.  As part of the Settlement, the parties agreed to specific updates to Company Exhibits RAD-47 </w:t>
      </w:r>
      <w:r w:rsidR="0034707B">
        <w:lastRenderedPageBreak/>
        <w:t>and RAD-46, to be submitted to the statutory advocates by August 1, 2015 and July 1, 2016, respectively, to report actual capital expenditures, plant additions, and retirements.  Additionally, the Company agreed to provide in its next base rate case a comparison of projected to actual expenses and rate base additions for the fully projected future test year in this case.  With respect to these reporting provisions, the Joint Petitioners expressly agreed that they are for informational purposes only and do not suggest any agreement among the parties as to specific components of the revenue requirement that is being recovered in the Settlement Rates (except to the extent specifically stated in other provisions of the Joint Petition).</w:t>
      </w:r>
    </w:p>
    <w:p w:rsidR="00597316" w:rsidRDefault="00597316" w:rsidP="00D50A70">
      <w:pPr>
        <w:pStyle w:val="FirmDouble05"/>
        <w:spacing w:line="360" w:lineRule="auto"/>
        <w:ind w:left="720"/>
      </w:pPr>
    </w:p>
    <w:p w:rsidR="00C009F8" w:rsidRDefault="00845CA5" w:rsidP="00D50A70">
      <w:pPr>
        <w:pStyle w:val="FirmDouble05"/>
        <w:spacing w:line="360" w:lineRule="auto"/>
        <w:ind w:left="720"/>
      </w:pPr>
      <w:r>
        <w:rPr>
          <w:b/>
          <w:szCs w:val="20"/>
        </w:rPr>
        <w:t xml:space="preserve">e. </w:t>
      </w:r>
      <w:r w:rsidR="00D50A70">
        <w:rPr>
          <w:b/>
          <w:szCs w:val="20"/>
        </w:rPr>
        <w:tab/>
      </w:r>
      <w:r w:rsidR="0034707B">
        <w:rPr>
          <w:b/>
          <w:szCs w:val="20"/>
        </w:rPr>
        <w:t>Return on equity for smart meter and DSIC revenue requirements</w:t>
      </w:r>
      <w:r w:rsidR="0034707B">
        <w:rPr>
          <w:szCs w:val="20"/>
        </w:rPr>
        <w:t xml:space="preserve"> </w:t>
      </w:r>
      <w:r w:rsidR="0034707B">
        <w:rPr>
          <w:b/>
        </w:rPr>
        <w:t xml:space="preserve">(Joint Petition, Paragraph 11.A.6).  </w:t>
      </w:r>
      <w:r w:rsidR="00445644">
        <w:t>The</w:t>
      </w:r>
      <w:r w:rsidR="0034707B">
        <w:t xml:space="preserve"> revenue requirement elements of the Settlement reflect, for the most part, a matrix of compromises by the Joint Petitioners and</w:t>
      </w:r>
      <w:r w:rsidR="00445644">
        <w:t xml:space="preserve"> sp</w:t>
      </w:r>
      <w:r w:rsidR="0034707B">
        <w:t xml:space="preserve">ecific ratemaking adjustments are not spelled out in the Joint Petition, subject to limited exceptions.  </w:t>
      </w:r>
      <w:r w:rsidR="00445644">
        <w:t>The</w:t>
      </w:r>
      <w:r w:rsidR="0034707B">
        <w:t xml:space="preserve"> Joint Petitioners recognized that, </w:t>
      </w:r>
      <w:r w:rsidR="00445644">
        <w:t>despite</w:t>
      </w:r>
      <w:r w:rsidR="0034707B">
        <w:t xml:space="preserve"> the “black box” nature of the Settlement regarding revenue requirement, it is important to resolve</w:t>
      </w:r>
      <w:r w:rsidR="00445644">
        <w:t xml:space="preserve"> </w:t>
      </w:r>
      <w:r w:rsidR="0034707B">
        <w:t xml:space="preserve">the rate of return on equity that Joint Petitioners agree should be used by the Company in computing: </w:t>
      </w:r>
      <w:r w:rsidR="00E3030F">
        <w:t xml:space="preserve"> </w:t>
      </w:r>
      <w:r w:rsidR="0034707B">
        <w:t>(1)</w:t>
      </w:r>
      <w:r w:rsidR="00E3030F">
        <w:t> </w:t>
      </w:r>
      <w:r w:rsidR="0034707B">
        <w:t xml:space="preserve">incremental revenue requirements associated with smart meter deployment that exceed the smart meter revenue requirements being recovered in the Settlement Rates; and (2) a DSIC, in the event such a charge is proposed by the Company and approved by the Commission.  </w:t>
      </w:r>
    </w:p>
    <w:p w:rsidR="00C009F8" w:rsidRDefault="00C009F8" w:rsidP="00D50A70">
      <w:pPr>
        <w:pStyle w:val="FirmDouble05"/>
        <w:spacing w:line="360" w:lineRule="auto"/>
        <w:ind w:left="720"/>
      </w:pPr>
    </w:p>
    <w:p w:rsidR="0034707B" w:rsidRDefault="00C009F8" w:rsidP="00D50A70">
      <w:pPr>
        <w:pStyle w:val="FirmDouble05"/>
        <w:spacing w:line="360" w:lineRule="auto"/>
        <w:ind w:left="720"/>
      </w:pPr>
      <w:r>
        <w:t>T</w:t>
      </w:r>
      <w:r w:rsidR="0034707B">
        <w:t>he Joint Petitioners agreed and stipulated in Paragraph 11.A.6 of the Joint Petition that the Company shall use the rate of return on equity as calculated for electric utilities and published in the “Bureau of Technical Utility Services Report on the Quarterly Earnings</w:t>
      </w:r>
      <w:r w:rsidR="00F00097">
        <w:t xml:space="preserve"> of Jurisdictional Utilities” (</w:t>
      </w:r>
      <w:r w:rsidR="0034707B">
        <w:t>TUS Quarterly Earnings Report) for the most recent period prior to the time that a DSIC or SMT-C rate is calculated.</w:t>
      </w:r>
      <w:r w:rsidR="0034707B">
        <w:rPr>
          <w:rStyle w:val="FootnoteReference"/>
        </w:rPr>
        <w:footnoteReference w:id="8"/>
      </w:r>
      <w:r w:rsidR="0034707B">
        <w:t xml:space="preserve">  The TUS </w:t>
      </w:r>
      <w:r w:rsidR="0034707B">
        <w:lastRenderedPageBreak/>
        <w:t>calculation is a recognized and accepted benchmark return on equity for use in calculating revenue requirement under the DSIC and other similar riders.  Moreover, TUS regularly updates its calculation to reflect changes in market-determined equity costs based on a clearly stated methodology and data base.</w:t>
      </w:r>
    </w:p>
    <w:p w:rsidR="00F00097" w:rsidRDefault="00F00097" w:rsidP="00F00097">
      <w:pPr>
        <w:pStyle w:val="FirmDouble05"/>
        <w:spacing w:line="360" w:lineRule="auto"/>
        <w:ind w:left="1440" w:firstLine="0"/>
        <w:rPr>
          <w:b/>
        </w:rPr>
      </w:pPr>
    </w:p>
    <w:p w:rsidR="00E3030F" w:rsidRDefault="00845CA5" w:rsidP="00E3030F">
      <w:pPr>
        <w:pStyle w:val="FirmDouble05"/>
        <w:spacing w:line="360" w:lineRule="auto"/>
        <w:ind w:left="720"/>
      </w:pPr>
      <w:proofErr w:type="gramStart"/>
      <w:r>
        <w:rPr>
          <w:b/>
        </w:rPr>
        <w:t xml:space="preserve">f. </w:t>
      </w:r>
      <w:r w:rsidR="00D50A70">
        <w:rPr>
          <w:b/>
        </w:rPr>
        <w:tab/>
      </w:r>
      <w:r w:rsidR="0034707B">
        <w:rPr>
          <w:b/>
        </w:rPr>
        <w:t>Penn</w:t>
      </w:r>
      <w:proofErr w:type="gramEnd"/>
      <w:r w:rsidR="0034707B">
        <w:rPr>
          <w:b/>
        </w:rPr>
        <w:t xml:space="preserve"> Power’s S</w:t>
      </w:r>
      <w:r w:rsidR="00F00097">
        <w:rPr>
          <w:b/>
        </w:rPr>
        <w:t>tate Tax Adjustment Surcharge (</w:t>
      </w:r>
      <w:r w:rsidR="0034707B">
        <w:rPr>
          <w:b/>
        </w:rPr>
        <w:t>STAS) (Joint Petition, Paragraph 11.A.7).</w:t>
      </w:r>
      <w:r w:rsidR="0034707B">
        <w:t xml:space="preserve">  </w:t>
      </w:r>
      <w:r w:rsidR="00C009F8">
        <w:t>The</w:t>
      </w:r>
      <w:r w:rsidR="0034707B">
        <w:t xml:space="preserve"> Company is rolling into base rates all of the state taxes reflected in its current STAS and reducing its STAS to zero</w:t>
      </w:r>
      <w:r w:rsidR="00C009F8">
        <w:t xml:space="preserve">, therefore, </w:t>
      </w:r>
      <w:r w:rsidR="0034707B">
        <w:t>it is also necessary for the Company to revise various riders to reflect a similar roll-in to those charges, from and after the effective date of the Settlement Rates, to recover Gross Receipts Tax, including the Revenue Neutral Reconciliation, that are currently recovered on amounts billed under the designated riders by applying the STAS to those billed amounts.  No party objected to the Company’s proposal, and it is incorporated in Paragraph 11.A.7 of the Joint Petition.</w:t>
      </w:r>
    </w:p>
    <w:p w:rsidR="00D5058C" w:rsidRDefault="00D5058C">
      <w:pPr>
        <w:spacing w:line="240" w:lineRule="auto"/>
        <w:rPr>
          <w:rFonts w:ascii="Times New Roman" w:hAnsi="Times New Roman"/>
          <w:b/>
          <w:szCs w:val="24"/>
        </w:rPr>
      </w:pPr>
    </w:p>
    <w:p w:rsidR="00D5058C" w:rsidRDefault="00E3030F" w:rsidP="00C531B7">
      <w:pPr>
        <w:pStyle w:val="FirmDouble05"/>
        <w:spacing w:line="240" w:lineRule="auto"/>
        <w:ind w:left="1440" w:hanging="720"/>
        <w:rPr>
          <w:b/>
          <w:u w:val="single"/>
        </w:rPr>
      </w:pPr>
      <w:r w:rsidRPr="00D5058C">
        <w:t>2.</w:t>
      </w:r>
      <w:r w:rsidRPr="00D5058C">
        <w:tab/>
      </w:r>
      <w:r w:rsidR="0034707B" w:rsidRPr="00D5058C">
        <w:rPr>
          <w:u w:val="single"/>
        </w:rPr>
        <w:t>The revenue requirement provisions of the Settlement are reasonable and in the public interest.</w:t>
      </w:r>
      <w:r w:rsidR="0034707B" w:rsidRPr="00D5058C">
        <w:rPr>
          <w:b/>
          <w:u w:val="single"/>
        </w:rPr>
        <w:t xml:space="preserve">  </w:t>
      </w:r>
    </w:p>
    <w:p w:rsidR="00C531B7" w:rsidRDefault="00C531B7" w:rsidP="00C531B7">
      <w:pPr>
        <w:pStyle w:val="FirmDouble05"/>
        <w:spacing w:line="240" w:lineRule="auto"/>
        <w:ind w:left="1440" w:hanging="720"/>
        <w:rPr>
          <w:b/>
        </w:rPr>
      </w:pPr>
    </w:p>
    <w:p w:rsidR="00D5058C" w:rsidRDefault="00D5058C" w:rsidP="00D5058C">
      <w:pPr>
        <w:pStyle w:val="FirmDouble05"/>
        <w:spacing w:line="240" w:lineRule="auto"/>
        <w:ind w:left="720"/>
        <w:rPr>
          <w:b/>
        </w:rPr>
      </w:pPr>
    </w:p>
    <w:p w:rsidR="0034707B" w:rsidRDefault="00C009F8" w:rsidP="00C009F8">
      <w:pPr>
        <w:pStyle w:val="FirmDouble05"/>
        <w:spacing w:line="360" w:lineRule="auto"/>
        <w:ind w:firstLine="1440"/>
      </w:pPr>
      <w:r>
        <w:t>Penn Power points out that</w:t>
      </w:r>
      <w:r w:rsidR="0034707B">
        <w:t xml:space="preserve"> neither the Public Utility Code nor principles of due process require the Commission to adhere to a specific formula or methodology to determine “just and reasonable” utility rates.</w:t>
      </w:r>
      <w:r w:rsidR="0034707B">
        <w:rPr>
          <w:rStyle w:val="FootnoteReference"/>
        </w:rPr>
        <w:footnoteReference w:id="9"/>
      </w:r>
      <w:r w:rsidR="0034707B">
        <w:t xml:space="preserve">  Indeed, Pennsylvania appellate precedent</w:t>
      </w:r>
      <w:r w:rsidR="0034707B">
        <w:rPr>
          <w:rStyle w:val="FootnoteReference"/>
        </w:rPr>
        <w:footnoteReference w:id="10"/>
      </w:r>
      <w:r w:rsidR="0034707B">
        <w:t xml:space="preserve"> holds, as follows: </w:t>
      </w:r>
    </w:p>
    <w:p w:rsidR="0034707B" w:rsidRDefault="0034707B" w:rsidP="0034707B">
      <w:pPr>
        <w:pStyle w:val="FirmQuote"/>
      </w:pPr>
      <w:r>
        <w:t xml:space="preserve">[T]he the power to fix “just and reasonable” rates imports a flexibility in the exercise of a complicated regulatory function by a specialized decision-making body and that the term “just and reasonable” was not intended to confine the ambit of regulatory discretion to an absolute or mathematical formulation but rather to confer upon the regulatory body the power to make and apply policy concerning the appropriate balance between prices charged </w:t>
      </w:r>
      <w:r>
        <w:lastRenderedPageBreak/>
        <w:t>to utility customers and returns on capital to utility investors consonant with constitutional protections applicable to both.</w:t>
      </w:r>
    </w:p>
    <w:p w:rsidR="00E40D5C" w:rsidRDefault="00E40D5C" w:rsidP="0034707B">
      <w:pPr>
        <w:pStyle w:val="FirmDouble05"/>
        <w:spacing w:line="360" w:lineRule="auto"/>
      </w:pPr>
    </w:p>
    <w:p w:rsidR="0034707B" w:rsidRPr="00C009F8" w:rsidRDefault="0034707B" w:rsidP="00C009F8">
      <w:pPr>
        <w:pStyle w:val="FirmDouble05"/>
        <w:spacing w:line="360" w:lineRule="auto"/>
        <w:ind w:firstLine="1440"/>
      </w:pPr>
      <w:r>
        <w:t>In shor</w:t>
      </w:r>
      <w:r w:rsidR="00C009F8">
        <w:t xml:space="preserve">t, “just and reasonable” rates </w:t>
      </w:r>
      <w:r>
        <w:t>are not point values</w:t>
      </w:r>
      <w:r w:rsidR="00C009F8">
        <w:t xml:space="preserve"> but rather</w:t>
      </w:r>
      <w:r>
        <w:t xml:space="preserve"> “just and reasonable” rates and “fair return” exist within a “constitutional range of reasonableness.”</w:t>
      </w:r>
      <w:r>
        <w:rPr>
          <w:rStyle w:val="FootnoteReference"/>
        </w:rPr>
        <w:footnoteReference w:id="11"/>
      </w:r>
      <w:r>
        <w:t xml:space="preserve">  </w:t>
      </w:r>
      <w:r w:rsidR="00C009F8">
        <w:t>Th</w:t>
      </w:r>
      <w:r>
        <w:t>ere are a variety of ways in which the parameters of the “constitutional range of reasonableness” can be determined</w:t>
      </w:r>
      <w:r w:rsidR="00C009F8">
        <w:t xml:space="preserve"> and one</w:t>
      </w:r>
      <w:r>
        <w:t xml:space="preserve"> important way of identifying a value within the acceptable “range” is through the settlement process.  In that way, parties with differing interests engage in an adversarial process to scrutinize the evidence supporting a rate request and, based on robust negotiations, agree to a reasonable overall outcome.</w:t>
      </w:r>
      <w:r w:rsidR="00C009F8">
        <w:t xml:space="preserve">  Th</w:t>
      </w:r>
      <w:r>
        <w:t xml:space="preserve">e revenue level set forth in the Settlement is reasonable, in the public interest and should be approved.  </w:t>
      </w:r>
      <w:r w:rsidR="00E40D5C">
        <w:t>T</w:t>
      </w:r>
      <w:r>
        <w:t xml:space="preserve">he interval since the Company’s last base rate case and the significant increase in its plant in service since that time present a compelling case for significant rate relief.  </w:t>
      </w:r>
    </w:p>
    <w:p w:rsidR="005D26B0" w:rsidRDefault="005D26B0" w:rsidP="00E40D5C">
      <w:pPr>
        <w:pStyle w:val="FirmDouble05"/>
        <w:spacing w:line="360" w:lineRule="auto"/>
        <w:ind w:firstLine="1440"/>
        <w:rPr>
          <w:i/>
        </w:rPr>
      </w:pPr>
    </w:p>
    <w:p w:rsidR="0034707B" w:rsidRDefault="00D93BB1" w:rsidP="00E40D5C">
      <w:pPr>
        <w:pStyle w:val="FirmDouble05"/>
        <w:spacing w:line="360" w:lineRule="auto"/>
        <w:ind w:firstLine="1440"/>
      </w:pPr>
      <w:r>
        <w:t xml:space="preserve">Moreover, </w:t>
      </w:r>
      <w:r w:rsidR="0034707B">
        <w:t xml:space="preserve">with respect to the </w:t>
      </w:r>
      <w:r w:rsidR="0034707B" w:rsidRPr="002B08B9">
        <w:rPr>
          <w:u w:val="single"/>
        </w:rPr>
        <w:t>Bluefield</w:t>
      </w:r>
      <w:r w:rsidR="0034707B">
        <w:t xml:space="preserve">, </w:t>
      </w:r>
      <w:r w:rsidR="0034707B" w:rsidRPr="002B08B9">
        <w:rPr>
          <w:u w:val="single"/>
        </w:rPr>
        <w:t>Hope</w:t>
      </w:r>
      <w:r w:rsidR="0034707B">
        <w:t xml:space="preserve">, and </w:t>
      </w:r>
      <w:proofErr w:type="spellStart"/>
      <w:r w:rsidR="0034707B" w:rsidRPr="002B08B9">
        <w:rPr>
          <w:u w:val="single"/>
        </w:rPr>
        <w:t>Barasch</w:t>
      </w:r>
      <w:proofErr w:type="spellEnd"/>
      <w:r w:rsidR="0034707B">
        <w:t xml:space="preserve"> standards, the Settlement carefully balances: (1) the right of the Company and its investors “to earn a return on the value of the property which it employs for the convenience of the public” and “to maintain and support its credit and enable it to raise the money necessary for the proper discharge of its public duties”; with (2) the right of customers to pay rates that are commensurate with “business undertakings which are attended by corresponding risks and uncertainties” without providing the utility “profits . . . realized or anticipated in highly profitable enterprises or speculative ventures.”</w:t>
      </w:r>
      <w:r w:rsidR="0034707B">
        <w:rPr>
          <w:rStyle w:val="FootnoteReference"/>
        </w:rPr>
        <w:footnoteReference w:id="12"/>
      </w:r>
      <w:r w:rsidR="0034707B">
        <w:t xml:space="preserve">  That balance is assured by the fact that parties legally obligated to protect consumers and the public interest vigorously investigated all aspects of the Company’s proposed increase and concluded that the Settlement Rates are just and reasonable.  Similarly, the Company carefully considered the proposed revenue increase in light of the obligation to its investors to secure a reasonable opportunity to earn a fair return, maintain the financial stability of its business, and obtain needed capital on reasonable terms.  The Company concluded that the Settlement Rates satisfy those criteria.  </w:t>
      </w:r>
    </w:p>
    <w:p w:rsidR="00E40D5C" w:rsidRDefault="00E40D5C" w:rsidP="0034707B">
      <w:pPr>
        <w:pStyle w:val="FirmDouble05"/>
        <w:spacing w:line="360" w:lineRule="auto"/>
      </w:pPr>
    </w:p>
    <w:p w:rsidR="008C453E" w:rsidRDefault="0034707B" w:rsidP="00E40D5C">
      <w:pPr>
        <w:pStyle w:val="FirmDouble05"/>
        <w:spacing w:line="360" w:lineRule="auto"/>
        <w:ind w:firstLine="1440"/>
      </w:pPr>
      <w:r>
        <w:t>While the Settlement Rates provide a lower overall level of distribution base rate revenues than originally proposed, the Company assessed the Settlement Rates in conjunction with other significant components of the Settlement, including provisions for amortizing legacy meter costs, the establishment of a Storm Reserve Account, and the opportunity to recover smart meter revenue requirements above the level included in base rates through its SMT-C Rider.  In each instance, those additional terms provide the Company a reasonable opportunity to recover its costs to furnish utility service while ameliorating the impact of cost recovery on customers by amortizing costs over reasonable periods (e.g., legacy meter costs) and creating an innovative mechanism – the Storm Reserve Account – for dealing, prospectively, with the highly volatile and potentially significant expenses of remediating storm damage.  Finally, as previously explained, the Settlement specifies a rate of return on equity for purposes of calculating future smart meter and DSIC revenue requirement, which avoids possible future controversies over that issue and provides a benchmark return rate based on TUS’s transparent method and well-documented data</w:t>
      </w:r>
      <w:r w:rsidR="008C453E">
        <w:t xml:space="preserve"> base.</w:t>
      </w:r>
    </w:p>
    <w:p w:rsidR="008C453E" w:rsidRDefault="008C453E" w:rsidP="00E40D5C">
      <w:pPr>
        <w:pStyle w:val="FirmDouble05"/>
        <w:spacing w:line="360" w:lineRule="auto"/>
        <w:ind w:firstLine="1440"/>
      </w:pPr>
    </w:p>
    <w:p w:rsidR="0034707B" w:rsidRDefault="008C453E" w:rsidP="00E40D5C">
      <w:pPr>
        <w:pStyle w:val="FirmDouble05"/>
        <w:spacing w:line="360" w:lineRule="auto"/>
        <w:ind w:firstLine="1440"/>
      </w:pPr>
      <w:r>
        <w:t xml:space="preserve">Moreover, </w:t>
      </w:r>
      <w:r w:rsidR="0034707B">
        <w:t>the careful balance of interests achieved by the Settlement avoids what could have been a significant expenditure of time, money and other resources by the parties and the Commission to individually resolve a number of issues and proposed adjustments that have now been subsumed by the inter-related compromises that led to the Settlement.  Those savings are in everyone’s interest and, in themselves, are another important reason why the Settlement promotes the public interest.</w:t>
      </w:r>
    </w:p>
    <w:p w:rsidR="00E40D5C" w:rsidRDefault="00E40D5C" w:rsidP="0034707B">
      <w:pPr>
        <w:pStyle w:val="FirmDouble05"/>
        <w:spacing w:line="360" w:lineRule="auto"/>
      </w:pPr>
    </w:p>
    <w:p w:rsidR="00E32CCD" w:rsidRPr="002B06E5" w:rsidRDefault="00E32CCD" w:rsidP="0034707B">
      <w:pPr>
        <w:pStyle w:val="FirmDouble05"/>
        <w:spacing w:line="360" w:lineRule="auto"/>
        <w:rPr>
          <w:u w:val="single"/>
        </w:rPr>
      </w:pPr>
      <w:r w:rsidRPr="002B06E5">
        <w:t>3.</w:t>
      </w:r>
      <w:r w:rsidRPr="002B06E5">
        <w:tab/>
      </w:r>
      <w:r w:rsidRPr="002B06E5">
        <w:rPr>
          <w:u w:val="single"/>
        </w:rPr>
        <w:t>Revenue Allocation and Rate Design (Joint Petition, Paragraph 11.B.)</w:t>
      </w:r>
    </w:p>
    <w:p w:rsidR="00E32CCD" w:rsidRDefault="00E32CCD" w:rsidP="0034707B">
      <w:pPr>
        <w:pStyle w:val="FirmDouble05"/>
        <w:spacing w:line="360" w:lineRule="auto"/>
      </w:pPr>
    </w:p>
    <w:p w:rsidR="0034707B" w:rsidRDefault="0034707B" w:rsidP="00E40D5C">
      <w:pPr>
        <w:pStyle w:val="FirmDouble05"/>
        <w:spacing w:line="360" w:lineRule="auto"/>
        <w:ind w:firstLine="1440"/>
        <w:rPr>
          <w:szCs w:val="20"/>
        </w:rPr>
      </w:pPr>
      <w:r>
        <w:t xml:space="preserve">The Company’s COS study followed the basic steps prescribed by the </w:t>
      </w:r>
      <w:r>
        <w:rPr>
          <w:i/>
        </w:rPr>
        <w:t>Electric Utility Cost Allocation Manual</w:t>
      </w:r>
      <w:r>
        <w:t xml:space="preserve"> published by the National Association of Reg</w:t>
      </w:r>
      <w:r w:rsidR="00E40D5C">
        <w:t>ulatory Utility Commissioners (NARUC</w:t>
      </w:r>
      <w:r>
        <w:t>) (NARUC Manual) for arranging accounting data into a format that facilitates allocating or assigning the total cost of service to individual rate schedules or service classifications within an electric utility’s rate structure (</w:t>
      </w:r>
      <w:r>
        <w:rPr>
          <w:i/>
        </w:rPr>
        <w:t>see</w:t>
      </w:r>
      <w:r>
        <w:t xml:space="preserve"> Penn Power St. 5, pp. 3-4).</w:t>
      </w:r>
      <w:r w:rsidR="00C009F8">
        <w:t xml:space="preserve">  </w:t>
      </w:r>
      <w:r>
        <w:rPr>
          <w:szCs w:val="20"/>
        </w:rPr>
        <w:t xml:space="preserve">A number of parties took issue with one or more subsidiary elements of the Company’s COS study.  </w:t>
      </w:r>
      <w:r w:rsidR="00C009F8">
        <w:rPr>
          <w:szCs w:val="20"/>
        </w:rPr>
        <w:lastRenderedPageBreak/>
        <w:t>N</w:t>
      </w:r>
      <w:r>
        <w:rPr>
          <w:szCs w:val="20"/>
        </w:rPr>
        <w:t>one of the revisions and refinements other Joint Petitioners proposed had a material impact on the results of the COS study for purposes of determining a reasonable revenue allocation, with the exception of OCA witness Clarence Johnson’s proposal not to employ the results of the minimum system study and, instead, to allocate all costs of poles, conduit and conductors in proportion to class demands (</w:t>
      </w:r>
      <w:r>
        <w:rPr>
          <w:i/>
          <w:szCs w:val="20"/>
        </w:rPr>
        <w:t>see</w:t>
      </w:r>
      <w:r w:rsidR="00C009F8">
        <w:rPr>
          <w:szCs w:val="20"/>
        </w:rPr>
        <w:t xml:space="preserve"> </w:t>
      </w:r>
      <w:r>
        <w:rPr>
          <w:szCs w:val="20"/>
        </w:rPr>
        <w:t xml:space="preserve">OCA St. 3, pp. 9-25).  However, as Ms. Stewart and other witnesses explained, Mr. Johnson’s proposal directly conflicted with the Commission’s decision on the same issue in its Final Order (pp. 106-113) in PPL’s 2012 base rate case, where Mr. Johnson made similar arguments that were rejected by the Commission.  </w:t>
      </w:r>
    </w:p>
    <w:p w:rsidR="00E40D5C" w:rsidRDefault="00E40D5C" w:rsidP="0034707B">
      <w:pPr>
        <w:pStyle w:val="FirmDouble05"/>
        <w:spacing w:line="360" w:lineRule="auto"/>
        <w:rPr>
          <w:b/>
          <w:szCs w:val="20"/>
        </w:rPr>
      </w:pPr>
    </w:p>
    <w:p w:rsidR="00BC292A" w:rsidRPr="00BC292A" w:rsidRDefault="00845CA5" w:rsidP="00BC292A">
      <w:pPr>
        <w:pStyle w:val="FirmDouble05"/>
        <w:spacing w:line="360" w:lineRule="auto"/>
        <w:rPr>
          <w:szCs w:val="20"/>
        </w:rPr>
      </w:pPr>
      <w:r w:rsidRPr="00BC292A">
        <w:rPr>
          <w:szCs w:val="20"/>
        </w:rPr>
        <w:t xml:space="preserve">4. </w:t>
      </w:r>
      <w:r w:rsidR="00BC292A" w:rsidRPr="00BC292A">
        <w:rPr>
          <w:szCs w:val="20"/>
        </w:rPr>
        <w:tab/>
      </w:r>
      <w:r w:rsidR="0034707B" w:rsidRPr="00BC292A">
        <w:rPr>
          <w:szCs w:val="20"/>
          <w:u w:val="single"/>
        </w:rPr>
        <w:t>Revenue Allocation (Joint Petition, Paragraph 11.B.1).</w:t>
      </w:r>
      <w:r w:rsidR="0034707B" w:rsidRPr="00BC292A">
        <w:rPr>
          <w:szCs w:val="20"/>
        </w:rPr>
        <w:t xml:space="preserve">  </w:t>
      </w:r>
    </w:p>
    <w:p w:rsidR="00BC292A" w:rsidRDefault="00BC292A" w:rsidP="00BC292A">
      <w:pPr>
        <w:pStyle w:val="FirmDouble05"/>
        <w:spacing w:line="360" w:lineRule="auto"/>
        <w:rPr>
          <w:szCs w:val="20"/>
        </w:rPr>
      </w:pPr>
    </w:p>
    <w:p w:rsidR="0034707B" w:rsidRDefault="00BC292A" w:rsidP="00BC292A">
      <w:pPr>
        <w:pStyle w:val="FirmDouble05"/>
        <w:spacing w:line="360" w:lineRule="auto"/>
        <w:rPr>
          <w:szCs w:val="20"/>
        </w:rPr>
      </w:pPr>
      <w:r>
        <w:rPr>
          <w:szCs w:val="20"/>
        </w:rPr>
        <w:tab/>
      </w:r>
      <w:r w:rsidR="0034707B">
        <w:rPr>
          <w:szCs w:val="20"/>
        </w:rPr>
        <w:t xml:space="preserve">Although the Joint Petitioners could not agree to accept either the Company’s COS study or the alternatives proposed by other parties, they all acknowledged that a COS study should be used as a guide, that rates should be designed to move all classes closer to their indicated cost of service, and that the Commission has long recognized that the movement toward cost of service should be tempered by the concept of gradualism in order to avoid large, disruptive, one-time increases to any particular customer class.  </w:t>
      </w:r>
      <w:proofErr w:type="gramStart"/>
      <w:r w:rsidR="0034707B">
        <w:rPr>
          <w:szCs w:val="20"/>
        </w:rPr>
        <w:t>(Penn Power St. 4, pp. 10-12).</w:t>
      </w:r>
      <w:proofErr w:type="gramEnd"/>
    </w:p>
    <w:p w:rsidR="00E40D5C" w:rsidRDefault="00E40D5C" w:rsidP="0034707B">
      <w:pPr>
        <w:pStyle w:val="FirmDouble05"/>
        <w:spacing w:line="360" w:lineRule="auto"/>
        <w:rPr>
          <w:szCs w:val="20"/>
        </w:rPr>
      </w:pPr>
    </w:p>
    <w:p w:rsidR="00031F82" w:rsidRDefault="0034707B" w:rsidP="003864E7">
      <w:pPr>
        <w:pStyle w:val="FirmDouble05"/>
        <w:spacing w:line="360" w:lineRule="auto"/>
        <w:ind w:firstLine="1440"/>
      </w:pPr>
      <w:r>
        <w:rPr>
          <w:szCs w:val="20"/>
        </w:rPr>
        <w:t xml:space="preserve">The allocation of the revenue increase among customer classes proposed by witnesses for the various parties did not – with the possible exception of </w:t>
      </w:r>
      <w:r w:rsidR="00F00097">
        <w:rPr>
          <w:szCs w:val="20"/>
        </w:rPr>
        <w:t>OCA</w:t>
      </w:r>
      <w:r>
        <w:rPr>
          <w:szCs w:val="20"/>
        </w:rPr>
        <w:t>’s proposal</w:t>
      </w:r>
      <w:r>
        <w:rPr>
          <w:rStyle w:val="FootnoteReference"/>
          <w:szCs w:val="20"/>
        </w:rPr>
        <w:footnoteReference w:id="13"/>
      </w:r>
      <w:r>
        <w:rPr>
          <w:szCs w:val="20"/>
        </w:rPr>
        <w:t xml:space="preserve"> – differ materially from each other or from the Company’s proposed allocation (</w:t>
      </w:r>
      <w:r>
        <w:rPr>
          <w:i/>
          <w:szCs w:val="20"/>
        </w:rPr>
        <w:t>see</w:t>
      </w:r>
      <w:r>
        <w:rPr>
          <w:szCs w:val="20"/>
        </w:rPr>
        <w:t xml:space="preserve"> Penn Power St. 4-R, pp. 15-16).  Nonetheless, the allocation of the revenue increase under the Settlement Rates was subject to careful consideration and detailed negotiations among the Joint Petitioners.  As a result, the Joint Petitioners were able to reach agreement on the allocation among customer classes of the revenue increase under the Settlement Rates that is depicted in Exhibit 3 to the Joint Petition.  That allocation is within the range proposed by the Joint Petitioners</w:t>
      </w:r>
      <w:r w:rsidR="00C009F8">
        <w:rPr>
          <w:szCs w:val="20"/>
        </w:rPr>
        <w:t xml:space="preserve"> and </w:t>
      </w:r>
      <w:r>
        <w:rPr>
          <w:szCs w:val="20"/>
        </w:rPr>
        <w:t xml:space="preserve">provides for reasonable movement toward the system average rate of return by the various customer classes as measured by the Company’s COS study.  </w:t>
      </w:r>
      <w:r w:rsidR="00031F82">
        <w:br w:type="page"/>
      </w:r>
    </w:p>
    <w:p w:rsidR="00BC292A" w:rsidRDefault="00845CA5" w:rsidP="00BC292A">
      <w:pPr>
        <w:pStyle w:val="FirmDouble05"/>
        <w:spacing w:line="360" w:lineRule="auto"/>
        <w:rPr>
          <w:szCs w:val="20"/>
        </w:rPr>
      </w:pPr>
      <w:r w:rsidRPr="00BC292A">
        <w:rPr>
          <w:szCs w:val="20"/>
        </w:rPr>
        <w:lastRenderedPageBreak/>
        <w:t xml:space="preserve">5. </w:t>
      </w:r>
      <w:r w:rsidR="00F539F3" w:rsidRPr="00BC292A">
        <w:rPr>
          <w:szCs w:val="20"/>
        </w:rPr>
        <w:tab/>
      </w:r>
      <w:r w:rsidR="0034707B" w:rsidRPr="00BC292A">
        <w:rPr>
          <w:szCs w:val="20"/>
          <w:u w:val="single"/>
        </w:rPr>
        <w:t>Rate Design (Joint Petition, Paragraph 11.B.1).</w:t>
      </w:r>
      <w:r w:rsidR="0034707B">
        <w:rPr>
          <w:szCs w:val="20"/>
        </w:rPr>
        <w:t xml:space="preserve">  </w:t>
      </w:r>
    </w:p>
    <w:p w:rsidR="00BC292A" w:rsidRDefault="00BC292A" w:rsidP="00E40D5C">
      <w:pPr>
        <w:pStyle w:val="FirmDouble05"/>
        <w:spacing w:line="360" w:lineRule="auto"/>
        <w:ind w:firstLine="1440"/>
        <w:rPr>
          <w:szCs w:val="20"/>
        </w:rPr>
      </w:pPr>
    </w:p>
    <w:p w:rsidR="00E40D5C" w:rsidRDefault="0034707B" w:rsidP="0030731E">
      <w:pPr>
        <w:pStyle w:val="FirmDouble05"/>
        <w:spacing w:line="360" w:lineRule="auto"/>
        <w:ind w:firstLine="1440"/>
        <w:rPr>
          <w:b/>
        </w:rPr>
      </w:pPr>
      <w:r>
        <w:rPr>
          <w:szCs w:val="20"/>
        </w:rPr>
        <w:t xml:space="preserve">The Joint Petitioners’ litigation positions regarding rate design differed somewhat from each other and from the Company’s proposed rates.  The principal area of disagreement related to the level of customer charges and, in particular, the customer charges for the Residential class.  </w:t>
      </w:r>
      <w:r w:rsidR="00C009F8">
        <w:rPr>
          <w:szCs w:val="20"/>
        </w:rPr>
        <w:t>The</w:t>
      </w:r>
      <w:r>
        <w:rPr>
          <w:szCs w:val="20"/>
        </w:rPr>
        <w:t xml:space="preserve"> Joint Petitioners agreed the Residential customer charge should be $10.85 per month in lieu of a charge of $12.71 per month proposed by the Company.  </w:t>
      </w:r>
    </w:p>
    <w:p w:rsidR="008C453E" w:rsidRDefault="008C453E" w:rsidP="0034707B">
      <w:pPr>
        <w:pStyle w:val="FirmDouble05"/>
        <w:spacing w:line="360" w:lineRule="auto"/>
        <w:rPr>
          <w:b/>
        </w:rPr>
      </w:pPr>
    </w:p>
    <w:p w:rsidR="00BC292A" w:rsidRDefault="00845CA5" w:rsidP="00BC292A">
      <w:pPr>
        <w:pStyle w:val="FirmDouble05"/>
        <w:spacing w:line="240" w:lineRule="auto"/>
      </w:pPr>
      <w:r w:rsidRPr="00BC292A">
        <w:t xml:space="preserve">6. </w:t>
      </w:r>
      <w:r w:rsidR="00F539F3" w:rsidRPr="00BC292A">
        <w:tab/>
      </w:r>
      <w:r w:rsidR="0034707B" w:rsidRPr="00BC292A">
        <w:rPr>
          <w:u w:val="single"/>
        </w:rPr>
        <w:t xml:space="preserve">The revenue allocation and rate design provisions of the Settlement are reasonable </w:t>
      </w:r>
      <w:r w:rsidR="00BC292A" w:rsidRPr="00BC292A">
        <w:tab/>
      </w:r>
      <w:r w:rsidR="00BC292A" w:rsidRPr="00BC292A">
        <w:tab/>
      </w:r>
      <w:r w:rsidR="0034707B" w:rsidRPr="00BC292A">
        <w:rPr>
          <w:u w:val="single"/>
        </w:rPr>
        <w:t>and in the public interest.</w:t>
      </w:r>
      <w:r w:rsidR="0034707B">
        <w:t xml:space="preserve">  </w:t>
      </w:r>
    </w:p>
    <w:p w:rsidR="00BC292A" w:rsidRDefault="00BC292A" w:rsidP="00E40D5C">
      <w:pPr>
        <w:pStyle w:val="FirmDouble05"/>
        <w:spacing w:line="360" w:lineRule="auto"/>
        <w:ind w:firstLine="1440"/>
      </w:pPr>
    </w:p>
    <w:p w:rsidR="0030731E" w:rsidRDefault="0030731E" w:rsidP="0030731E">
      <w:pPr>
        <w:pStyle w:val="FirmDouble05"/>
        <w:spacing w:line="360" w:lineRule="auto"/>
      </w:pPr>
      <w:bookmarkStart w:id="21" w:name="_Toc410748042"/>
      <w:r w:rsidRPr="00087829">
        <w:tab/>
        <w:t>The Company points out the Settlement provisions concerning the revenue allocation and rate design are reasonable and in the public interest.</w:t>
      </w:r>
      <w:r>
        <w:rPr>
          <w:b/>
        </w:rPr>
        <w:t xml:space="preserve">  </w:t>
      </w:r>
      <w:r w:rsidRPr="00973A9C">
        <w:t xml:space="preserve">The allocation of revenue responsibility is one of the most contentious parts of a rate proceeding because it is a “zero </w:t>
      </w:r>
      <w:proofErr w:type="gramStart"/>
      <w:r w:rsidRPr="00973A9C">
        <w:t>sum</w:t>
      </w:r>
      <w:proofErr w:type="gramEnd"/>
      <w:r w:rsidRPr="00973A9C">
        <w:t xml:space="preserve">” exercise among the non-utility parties – any revenue responsibility not borne by a particular rate class must be borne by one or more other rate classes.  </w:t>
      </w:r>
      <w:r>
        <w:t>Establishing</w:t>
      </w:r>
      <w:r w:rsidRPr="00973A9C">
        <w:t xml:space="preserve"> a reasonable revenue allocation requires a careful balancing of the countervailing interests of the non-utility parties representing the various customer classes.  Accordingly, this aspect of a rate proceeding is particularly well suited to achieving a reasonable overall outcome based on the give-and-take of the settlement process.  </w:t>
      </w:r>
    </w:p>
    <w:p w:rsidR="0030731E" w:rsidRDefault="0030731E" w:rsidP="0030731E">
      <w:pPr>
        <w:pStyle w:val="FirmDouble05"/>
        <w:spacing w:line="360" w:lineRule="auto"/>
      </w:pPr>
    </w:p>
    <w:p w:rsidR="0030731E" w:rsidRPr="00973A9C" w:rsidRDefault="0030731E" w:rsidP="0030731E">
      <w:pPr>
        <w:pStyle w:val="FirmDouble05"/>
        <w:spacing w:line="360" w:lineRule="auto"/>
        <w:ind w:firstLine="1440"/>
      </w:pPr>
      <w:r w:rsidRPr="00973A9C">
        <w:t xml:space="preserve">That </w:t>
      </w:r>
      <w:r>
        <w:t>give-and-take process herein</w:t>
      </w:r>
      <w:r w:rsidRPr="00973A9C">
        <w:t xml:space="preserve"> resulted in a complete settlement of all contested issues involving revenue allocation and rate design among a wide array of parties representing the interests of residential, commercial and industrial customers.</w:t>
      </w:r>
      <w:r>
        <w:t xml:space="preserve">  </w:t>
      </w:r>
      <w:r w:rsidRPr="00973A9C">
        <w:t>While settlement negotiations among parties representing a wide array of customer and stakeholder interests can, in itself, assure a reasonable outcome, the revenue allocation under the Settlement Rates also comports with well-accepted</w:t>
      </w:r>
      <w:r>
        <w:t xml:space="preserve"> ratemaking principles, in </w:t>
      </w:r>
      <w:r w:rsidRPr="00973A9C">
        <w:t>that the Settlement Rates make appropriate progress in moving all classes closer to their cost of service consistent with the principle of gradualism.</w:t>
      </w:r>
    </w:p>
    <w:p w:rsidR="0030731E" w:rsidRDefault="0030731E" w:rsidP="0030731E">
      <w:pPr>
        <w:pStyle w:val="FirmDouble05"/>
        <w:spacing w:line="360" w:lineRule="auto"/>
      </w:pPr>
    </w:p>
    <w:p w:rsidR="0030731E" w:rsidRDefault="0030731E" w:rsidP="0030731E">
      <w:pPr>
        <w:pStyle w:val="FirmDouble05"/>
        <w:spacing w:line="360" w:lineRule="auto"/>
        <w:ind w:firstLine="1440"/>
      </w:pPr>
      <w:r w:rsidRPr="00973A9C">
        <w:t xml:space="preserve">With respect to rate design, the </w:t>
      </w:r>
      <w:r>
        <w:t xml:space="preserve">Partial </w:t>
      </w:r>
      <w:r w:rsidRPr="00973A9C">
        <w:t>Settlement reflect</w:t>
      </w:r>
      <w:r>
        <w:t>s</w:t>
      </w:r>
      <w:r w:rsidRPr="00973A9C">
        <w:t xml:space="preserve"> the need to recover the customer component of total cost of service in the customer charge, while recognizing that </w:t>
      </w:r>
      <w:r w:rsidRPr="00973A9C">
        <w:lastRenderedPageBreak/>
        <w:t xml:space="preserve">increases in the customer charges can impact low-usage customers.  Accordingly, </w:t>
      </w:r>
      <w:r>
        <w:t xml:space="preserve">the agreement provides </w:t>
      </w:r>
      <w:r w:rsidRPr="00973A9C">
        <w:t>for an increase in the Company’s residential customer charge, but in a lesser amount than the customer charge the Company originally proposed.  The residential customer charge has the agreement of parties representing residential customers (</w:t>
      </w:r>
      <w:smartTag w:uri="urn:schemas-microsoft-com:office:smarttags" w:element="stockticker">
        <w:r w:rsidRPr="00973A9C">
          <w:t>OCA</w:t>
        </w:r>
      </w:smartTag>
      <w:r w:rsidRPr="00973A9C">
        <w:t>) and the low-income segment of the residential class (CAUSE-PA).</w:t>
      </w:r>
      <w:r>
        <w:t xml:space="preserve">  </w:t>
      </w:r>
      <w:r w:rsidRPr="00973A9C">
        <w:t>For all the foregoing reasons, the proposed revenue allocation and rate design are reasonable, appropriately balance the interests of all parties, and are in the public interest.</w:t>
      </w:r>
    </w:p>
    <w:p w:rsidR="002B08B9" w:rsidRDefault="002B08B9" w:rsidP="00E40D5C">
      <w:pPr>
        <w:pStyle w:val="OutlineL2"/>
        <w:numPr>
          <w:ilvl w:val="0"/>
          <w:numId w:val="0"/>
        </w:numPr>
        <w:spacing w:after="0" w:line="360" w:lineRule="auto"/>
        <w:ind w:left="1440"/>
        <w:rPr>
          <w:b/>
          <w:lang w:val="en-US"/>
        </w:rPr>
      </w:pPr>
    </w:p>
    <w:bookmarkEnd w:id="21"/>
    <w:p w:rsidR="00BC292A" w:rsidRPr="00BC292A" w:rsidRDefault="008A4270" w:rsidP="00BC292A">
      <w:pPr>
        <w:pStyle w:val="FirmDouble05"/>
        <w:spacing w:line="360" w:lineRule="auto"/>
      </w:pPr>
      <w:r w:rsidRPr="00BC292A">
        <w:t xml:space="preserve">7. </w:t>
      </w:r>
      <w:r w:rsidR="00F539F3" w:rsidRPr="00BC292A">
        <w:tab/>
      </w:r>
      <w:r w:rsidRPr="00BC292A">
        <w:rPr>
          <w:u w:val="single"/>
        </w:rPr>
        <w:t>Uncollectible Accounts Expense (</w:t>
      </w:r>
      <w:r w:rsidR="0034707B" w:rsidRPr="00BC292A">
        <w:rPr>
          <w:u w:val="single"/>
        </w:rPr>
        <w:t>Joint Petition, Paragraph 11.C.1</w:t>
      </w:r>
      <w:r w:rsidRPr="00BC292A">
        <w:rPr>
          <w:u w:val="single"/>
        </w:rPr>
        <w:t>)</w:t>
      </w:r>
      <w:r w:rsidR="0034707B" w:rsidRPr="00BC292A">
        <w:rPr>
          <w:u w:val="single"/>
        </w:rPr>
        <w:t>.</w:t>
      </w:r>
      <w:r w:rsidR="0034707B" w:rsidRPr="00BC292A">
        <w:t xml:space="preserve">  </w:t>
      </w:r>
    </w:p>
    <w:p w:rsidR="00BC292A" w:rsidRDefault="00BC292A" w:rsidP="00BC292A">
      <w:pPr>
        <w:pStyle w:val="FirmDouble05"/>
        <w:spacing w:line="360" w:lineRule="auto"/>
      </w:pPr>
    </w:p>
    <w:p w:rsidR="008C453E" w:rsidRDefault="00BC292A" w:rsidP="008C453E">
      <w:pPr>
        <w:pStyle w:val="FirmDouble05"/>
        <w:spacing w:line="360" w:lineRule="auto"/>
      </w:pPr>
      <w:r>
        <w:tab/>
      </w:r>
      <w:r w:rsidR="0034707B">
        <w:t>In the proceeding on its 2011 Default Service Program, the Commission entered a Final Order requiring Penn Power to fully unbundle from its distribution rates uncollectible accounts expense related to its provision of default service for residential, commercial and industrial customers.  Since January 1, 2011, uncollectible accounts expense associated with the provision of default generation service and</w:t>
      </w:r>
      <w:r w:rsidR="00E40D5C">
        <w:t xml:space="preserve"> electric generation supplier (</w:t>
      </w:r>
      <w:r w:rsidR="0034707B">
        <w:t xml:space="preserve">EGS) service that is billed by the Company has been removed from its distribution rates and recovered under its Default Service Support Rider on a non-bypassable, non-reconcilable basis (Penn Power St. 7, p. 3).  Penn Power’s most recent Default Service Program proceeding concluded with a settlement approved by the Commission’s Final Order at P-2013-2391372 entered July 24, 2014.  In that settlement, it was agreed that, effective June 1, 2015, Penn Power would recover the uncollectible accounts expense associated with providing hourly-priced default service to industrial customers through default service rates established under its Hourly Pricing Default Service Rider rather than its Default Service Support Rider.  </w:t>
      </w:r>
      <w:r w:rsidR="0034707B">
        <w:rPr>
          <w:i/>
        </w:rPr>
        <w:t>Id</w:t>
      </w:r>
      <w:r w:rsidR="0034707B">
        <w:t xml:space="preserve">. at 4.  No party opposed Penn Power’s proposal to make this change.  </w:t>
      </w:r>
    </w:p>
    <w:p w:rsidR="008C453E" w:rsidRDefault="008C453E" w:rsidP="008C453E">
      <w:pPr>
        <w:pStyle w:val="FirmDouble05"/>
        <w:spacing w:line="360" w:lineRule="auto"/>
      </w:pPr>
    </w:p>
    <w:p w:rsidR="00BC292A" w:rsidRDefault="008C453E" w:rsidP="008C453E">
      <w:pPr>
        <w:pStyle w:val="FirmDouble05"/>
        <w:spacing w:line="360" w:lineRule="auto"/>
      </w:pPr>
      <w:r>
        <w:t>8.</w:t>
      </w:r>
      <w:r>
        <w:tab/>
      </w:r>
      <w:r w:rsidR="008A4270" w:rsidRPr="00BC292A">
        <w:rPr>
          <w:u w:val="single"/>
        </w:rPr>
        <w:t>Universal Service (</w:t>
      </w:r>
      <w:r w:rsidR="0034707B" w:rsidRPr="00BC292A">
        <w:rPr>
          <w:u w:val="single"/>
        </w:rPr>
        <w:t>Joint Petition, Paragraph 11.C.2</w:t>
      </w:r>
      <w:r w:rsidR="008A4270" w:rsidRPr="00BC292A">
        <w:rPr>
          <w:u w:val="single"/>
        </w:rPr>
        <w:t>)</w:t>
      </w:r>
      <w:r w:rsidR="0034707B" w:rsidRPr="00BC292A">
        <w:rPr>
          <w:u w:val="single"/>
        </w:rPr>
        <w:t>.</w:t>
      </w:r>
      <w:r w:rsidR="0034707B">
        <w:t xml:space="preserve">  </w:t>
      </w:r>
    </w:p>
    <w:p w:rsidR="00BC292A" w:rsidRDefault="00BC292A" w:rsidP="00E40D5C">
      <w:pPr>
        <w:pStyle w:val="FirmDouble05"/>
        <w:spacing w:line="360" w:lineRule="auto"/>
        <w:ind w:firstLine="1440"/>
      </w:pPr>
    </w:p>
    <w:p w:rsidR="00BD7FEC" w:rsidRDefault="0034707B" w:rsidP="00E40D5C">
      <w:pPr>
        <w:pStyle w:val="FirmDouble05"/>
        <w:spacing w:line="360" w:lineRule="auto"/>
        <w:ind w:firstLine="1440"/>
      </w:pPr>
      <w:r>
        <w:t>Penn Power has in pla</w:t>
      </w:r>
      <w:r w:rsidR="00E40D5C">
        <w:t>ce a Customer Assistance Plan (</w:t>
      </w:r>
      <w:r>
        <w:t>CAP) that has been approved by the Commission.  Under the CAP, qualifying low-inc</w:t>
      </w:r>
      <w:r w:rsidR="00E40D5C">
        <w:t>ome customers receive credits (</w:t>
      </w:r>
      <w:r>
        <w:t xml:space="preserve">CAP Credits) that reduce the amount they pay for current electric service in order to make that service more affordable.  In addition, CAP customers who have unpaid arrearages that pre-date </w:t>
      </w:r>
      <w:r>
        <w:lastRenderedPageBreak/>
        <w:t xml:space="preserve">their participation in the CAP and who make full and timely payment of their current, credit-adjusted bills, have their pre-program arrearages eliminated over time by the phased application of Pre-Program </w:t>
      </w:r>
      <w:r w:rsidR="00E40D5C">
        <w:t>Arrearage Forgiveness Credits (</w:t>
      </w:r>
      <w:r>
        <w:t>Forgiveness Cr</w:t>
      </w:r>
      <w:r w:rsidR="00E40D5C">
        <w:t>edits</w:t>
      </w:r>
      <w:r>
        <w:t>).  The Company recovers its CAP costs, including CAP Credits and Forgiveness Credits, under its Commission-appr</w:t>
      </w:r>
      <w:r w:rsidR="00E40D5C">
        <w:t>oved Universal Service Charge (</w:t>
      </w:r>
      <w:r>
        <w:t>USC) Rider.</w:t>
      </w:r>
      <w:r w:rsidR="0030731E">
        <w:t xml:space="preserve">  Th</w:t>
      </w:r>
      <w:r>
        <w:t>e Joint Petitioners agreed to a resolution of this issue such that the CAP Credits and Forgiveness Credits will be offset by 14.3% for each new CAP participant above a baseline of 5,700 participants.  This provision will apply to future changes in the USC Rider rate and has no impact on the Settlement</w:t>
      </w:r>
      <w:r w:rsidR="00BD7FEC">
        <w:t xml:space="preserve"> rates.</w:t>
      </w:r>
    </w:p>
    <w:p w:rsidR="00BD7FEC" w:rsidRDefault="00BD7FEC" w:rsidP="00E40D5C">
      <w:pPr>
        <w:pStyle w:val="FirmDouble05"/>
        <w:spacing w:line="360" w:lineRule="auto"/>
        <w:ind w:firstLine="1440"/>
      </w:pPr>
    </w:p>
    <w:p w:rsidR="0034707B" w:rsidRDefault="0034707B" w:rsidP="00E40D5C">
      <w:pPr>
        <w:pStyle w:val="FirmDouble05"/>
        <w:spacing w:line="360" w:lineRule="auto"/>
        <w:ind w:firstLine="1440"/>
      </w:pPr>
      <w:r w:rsidRPr="008A4270">
        <w:t xml:space="preserve">The uncollectible accounts expense and Universal Service provisions of the Settlement are reasonable and in the public interest.  </w:t>
      </w:r>
      <w:r>
        <w:t>The uncollectible accounts expense provisions of the Settlement implement clear directives from prior cases, were not opposed by any party and, therefore, are prima facie in the public interest.</w:t>
      </w:r>
      <w:r w:rsidR="0030731E">
        <w:t xml:space="preserve">  </w:t>
      </w:r>
      <w:r>
        <w:t>The Universal Service provisions affirm the importance of the Company’s Universal Service programs as an efficient means of helping low-income customers deal with the cost of electric service.  The costs of the bill credits and arrearage forgiveness afforded CAP participants are borne by all the Company’s residential customers.  The Settlement provides carefully crafted provisions for an “offset” of Universal Service costs to reflect savings in uncollectible accounts expenses and cash working capital expected to occur by reason of future increases in the number of CAP participants.  Thus, the Settlement promotes the public interest by providing a reasonable means of continuing the Company’s CAP program while mitigating somewhat the costs of that program that are borne by all residential customers.</w:t>
      </w:r>
    </w:p>
    <w:p w:rsidR="00E40D5C" w:rsidRDefault="00E40D5C" w:rsidP="00F32BF3">
      <w:pPr>
        <w:pStyle w:val="OutlineL2"/>
        <w:numPr>
          <w:ilvl w:val="0"/>
          <w:numId w:val="0"/>
        </w:numPr>
        <w:spacing w:before="0" w:after="0" w:line="360" w:lineRule="auto"/>
        <w:ind w:left="1440"/>
        <w:rPr>
          <w:b/>
          <w:lang w:val="en-US"/>
        </w:rPr>
      </w:pPr>
      <w:bookmarkStart w:id="22" w:name="_Toc410748043"/>
    </w:p>
    <w:p w:rsidR="0034707B" w:rsidRPr="00BD7FEC" w:rsidRDefault="008A4270" w:rsidP="00BD7FEC">
      <w:pPr>
        <w:pStyle w:val="OutlineL2"/>
        <w:numPr>
          <w:ilvl w:val="0"/>
          <w:numId w:val="0"/>
        </w:numPr>
        <w:spacing w:after="0" w:line="360" w:lineRule="auto"/>
        <w:ind w:left="1440" w:hanging="720"/>
        <w:rPr>
          <w:u w:val="single"/>
        </w:rPr>
      </w:pPr>
      <w:r w:rsidRPr="00BD7FEC">
        <w:rPr>
          <w:lang w:val="en-US"/>
        </w:rPr>
        <w:t xml:space="preserve">9. </w:t>
      </w:r>
      <w:r w:rsidR="00BD7FEC">
        <w:rPr>
          <w:lang w:val="en-US"/>
        </w:rPr>
        <w:tab/>
      </w:r>
      <w:r w:rsidR="0034707B" w:rsidRPr="00BD7FEC">
        <w:rPr>
          <w:u w:val="single"/>
        </w:rPr>
        <w:t xml:space="preserve">Customer Service </w:t>
      </w:r>
      <w:r w:rsidR="003D2111">
        <w:rPr>
          <w:u w:val="single"/>
          <w:lang w:val="en-US"/>
        </w:rPr>
        <w:t>a</w:t>
      </w:r>
      <w:proofErr w:type="spellStart"/>
      <w:r w:rsidR="0034707B" w:rsidRPr="00BD7FEC">
        <w:rPr>
          <w:u w:val="single"/>
        </w:rPr>
        <w:t>nd</w:t>
      </w:r>
      <w:proofErr w:type="spellEnd"/>
      <w:r w:rsidR="0034707B" w:rsidRPr="00BD7FEC">
        <w:rPr>
          <w:u w:val="single"/>
        </w:rPr>
        <w:t xml:space="preserve"> Operations (Joint Petition, Paragraph 11.D.)</w:t>
      </w:r>
      <w:bookmarkEnd w:id="22"/>
    </w:p>
    <w:p w:rsidR="00E40D5C" w:rsidRDefault="00E40D5C" w:rsidP="00E40D5C">
      <w:pPr>
        <w:pStyle w:val="FirmDouble05"/>
        <w:spacing w:line="360" w:lineRule="auto"/>
      </w:pPr>
    </w:p>
    <w:p w:rsidR="0034707B" w:rsidRDefault="0034707B" w:rsidP="00E40D5C">
      <w:pPr>
        <w:pStyle w:val="FirmDouble05"/>
        <w:spacing w:line="360" w:lineRule="auto"/>
        <w:ind w:firstLine="1440"/>
      </w:pPr>
      <w:r>
        <w:t xml:space="preserve">Penn Power asked the Commission to recognize, through an increment to its allowed return on equity, the Company’s efforts to control O&amp;M expenses (which, as previously explained, helped extend the period since its last base rate case), its overall management efficiency, its focus on customer service, its dedication to maintaining and enhancing reliability, and its support of Pennsylvania’s competitive retail energy market (Penn Power St. 1, pp. 11-20, 25-26).  In that regard, Mr. </w:t>
      </w:r>
      <w:proofErr w:type="spellStart"/>
      <w:r>
        <w:t>Fullem</w:t>
      </w:r>
      <w:proofErr w:type="spellEnd"/>
      <w:r>
        <w:t xml:space="preserve"> catalogued the major initiatives the Company had undertaken </w:t>
      </w:r>
      <w:r>
        <w:lastRenderedPageBreak/>
        <w:t>since 2006 to improve customer service and enhance or maintain reliability,</w:t>
      </w:r>
      <w:r>
        <w:rPr>
          <w:rStyle w:val="FootnoteReference"/>
        </w:rPr>
        <w:footnoteReference w:id="14"/>
      </w:r>
      <w:r>
        <w:t xml:space="preserve"> which consisted of the following:</w:t>
      </w:r>
    </w:p>
    <w:p w:rsidR="00E40D5C" w:rsidRDefault="00E40D5C" w:rsidP="0034707B">
      <w:pPr>
        <w:pStyle w:val="FirmDouble05"/>
        <w:spacing w:line="360" w:lineRule="auto"/>
        <w:rPr>
          <w:b/>
        </w:rPr>
      </w:pPr>
    </w:p>
    <w:p w:rsidR="002C6240" w:rsidRPr="002C6240" w:rsidRDefault="008A4270" w:rsidP="002C6240">
      <w:pPr>
        <w:pStyle w:val="FirmDouble05"/>
        <w:spacing w:line="360" w:lineRule="auto"/>
        <w:rPr>
          <w:u w:val="single"/>
        </w:rPr>
      </w:pPr>
      <w:r w:rsidRPr="002C6240">
        <w:t xml:space="preserve">10. </w:t>
      </w:r>
      <w:r w:rsidR="002C6240">
        <w:tab/>
      </w:r>
      <w:r w:rsidR="0034707B" w:rsidRPr="002C6240">
        <w:rPr>
          <w:u w:val="single"/>
        </w:rPr>
        <w:t xml:space="preserve">Integration of </w:t>
      </w:r>
      <w:r w:rsidR="0098493C">
        <w:rPr>
          <w:u w:val="single"/>
        </w:rPr>
        <w:t>T</w:t>
      </w:r>
      <w:r w:rsidR="0034707B" w:rsidRPr="002C6240">
        <w:rPr>
          <w:u w:val="single"/>
        </w:rPr>
        <w:t xml:space="preserve">hree </w:t>
      </w:r>
      <w:r w:rsidR="0098493C">
        <w:rPr>
          <w:u w:val="single"/>
        </w:rPr>
        <w:t>C</w:t>
      </w:r>
      <w:r w:rsidR="0034707B" w:rsidRPr="002C6240">
        <w:rPr>
          <w:u w:val="single"/>
        </w:rPr>
        <w:t xml:space="preserve">all </w:t>
      </w:r>
      <w:r w:rsidR="0098493C">
        <w:rPr>
          <w:u w:val="single"/>
        </w:rPr>
        <w:t>C</w:t>
      </w:r>
      <w:r w:rsidR="0034707B" w:rsidRPr="002C6240">
        <w:rPr>
          <w:u w:val="single"/>
        </w:rPr>
        <w:t>enters</w:t>
      </w:r>
      <w:r w:rsidR="0034707B" w:rsidRPr="00347B99">
        <w:t xml:space="preserve">. </w:t>
      </w:r>
      <w:r w:rsidR="0034707B" w:rsidRPr="002C6240">
        <w:rPr>
          <w:u w:val="single"/>
        </w:rPr>
        <w:t xml:space="preserve"> </w:t>
      </w:r>
    </w:p>
    <w:p w:rsidR="002C6240" w:rsidRDefault="002C6240" w:rsidP="00E40D5C">
      <w:pPr>
        <w:pStyle w:val="FirmDouble05"/>
        <w:spacing w:line="360" w:lineRule="auto"/>
        <w:ind w:firstLine="1440"/>
      </w:pPr>
    </w:p>
    <w:p w:rsidR="0034707B" w:rsidRDefault="0034707B" w:rsidP="00E40D5C">
      <w:pPr>
        <w:pStyle w:val="FirmDouble05"/>
        <w:spacing w:line="360" w:lineRule="auto"/>
        <w:ind w:firstLine="1440"/>
      </w:pPr>
      <w:r>
        <w:t xml:space="preserve">In 2007, FirstEnergy integrated the technology and operations of the two call centers, which increased efficiencies and enabled a number of service enhancements including: </w:t>
      </w:r>
    </w:p>
    <w:p w:rsidR="00347B99" w:rsidRDefault="00347B99" w:rsidP="00347B99">
      <w:pPr>
        <w:pStyle w:val="FirmDouble05"/>
        <w:spacing w:line="240" w:lineRule="auto"/>
        <w:ind w:firstLine="1440"/>
      </w:pPr>
    </w:p>
    <w:p w:rsidR="0034707B" w:rsidRDefault="0034707B" w:rsidP="0034707B">
      <w:pPr>
        <w:pStyle w:val="FirmSingle"/>
        <w:numPr>
          <w:ilvl w:val="0"/>
          <w:numId w:val="26"/>
        </w:numPr>
      </w:pPr>
      <w:r>
        <w:t xml:space="preserve">Increasing from 200 to 400 the number of agents that could take outage, move-in and move-out calls at a given time; </w:t>
      </w:r>
    </w:p>
    <w:p w:rsidR="0034707B" w:rsidRDefault="0034707B" w:rsidP="0034707B">
      <w:pPr>
        <w:pStyle w:val="FirmSingle"/>
        <w:numPr>
          <w:ilvl w:val="0"/>
          <w:numId w:val="26"/>
        </w:numPr>
      </w:pPr>
      <w:r>
        <w:t>Improving call routing to reduce wait times and reduce “busy outs” that occur when the capacity of a call center has been reached or exceeded;</w:t>
      </w:r>
    </w:p>
    <w:p w:rsidR="0034707B" w:rsidRDefault="0034707B" w:rsidP="0034707B">
      <w:pPr>
        <w:pStyle w:val="FirmSingle"/>
        <w:numPr>
          <w:ilvl w:val="0"/>
          <w:numId w:val="26"/>
        </w:numPr>
      </w:pPr>
      <w:r>
        <w:t xml:space="preserve">Increasing business continuity/disaster recovery capabilities; </w:t>
      </w:r>
    </w:p>
    <w:p w:rsidR="0034707B" w:rsidRDefault="0034707B" w:rsidP="0034707B">
      <w:pPr>
        <w:pStyle w:val="FirmSingle"/>
        <w:numPr>
          <w:ilvl w:val="0"/>
          <w:numId w:val="26"/>
        </w:numPr>
      </w:pPr>
      <w:r>
        <w:t>Adopting uniform technology for monitoring and reporting performance to ensure that call volumes, call types, service levels, agent performance, busy outs, and other metrics were calculated uniformly and could be meaningfully compared and assessed;</w:t>
      </w:r>
    </w:p>
    <w:p w:rsidR="0034707B" w:rsidRDefault="0034707B" w:rsidP="0034707B">
      <w:pPr>
        <w:pStyle w:val="FirmSingle"/>
        <w:numPr>
          <w:ilvl w:val="0"/>
          <w:numId w:val="26"/>
        </w:numPr>
      </w:pPr>
      <w:r>
        <w:t>Standardizing the flow of calls to decrease average handling time and improve the quality of customers’ experience.</w:t>
      </w:r>
    </w:p>
    <w:p w:rsidR="0034707B" w:rsidRDefault="0034707B" w:rsidP="0034707B">
      <w:pPr>
        <w:pStyle w:val="FirmDouble"/>
      </w:pPr>
      <w:r>
        <w:t>Penn Power St. 1, pp. 13-15.</w:t>
      </w:r>
    </w:p>
    <w:p w:rsidR="00E40D5C" w:rsidRDefault="00E40D5C" w:rsidP="00E40D5C">
      <w:pPr>
        <w:pStyle w:val="FirmDouble05"/>
        <w:spacing w:line="360" w:lineRule="auto"/>
        <w:ind w:firstLine="1440"/>
      </w:pPr>
    </w:p>
    <w:p w:rsidR="0034707B" w:rsidRDefault="0034707B" w:rsidP="00E40D5C">
      <w:pPr>
        <w:pStyle w:val="FirmDouble05"/>
        <w:spacing w:line="360" w:lineRule="auto"/>
        <w:ind w:firstLine="1440"/>
      </w:pPr>
      <w:r>
        <w:t>In 2011, Allegheny Energy’s merger with FirstEnergy added the call center serving West Penn and Allegheny Energy’s other utility subsidiaries</w:t>
      </w:r>
      <w:r w:rsidR="0030731E">
        <w:t xml:space="preserve"> and </w:t>
      </w:r>
      <w:r>
        <w:t xml:space="preserve">FirstEnergy integrated the technology and operations of the former Allegheny Energy call center with its two other call centers, which built upon the efficiencies and service enhancements described above.  Because of the integration of the technology and operations of multiple call centers, Penn Power was able to answer 80% of all the calls it received within 30 seconds in three of the last four years.  </w:t>
      </w:r>
      <w:r>
        <w:rPr>
          <w:i/>
        </w:rPr>
        <w:t>Id</w:t>
      </w:r>
      <w:r>
        <w:t xml:space="preserve">. at 16. Comparable improvements were achieved by other FirstEnergy Pennsylvania subsidiaries as a result of the integration.  </w:t>
      </w:r>
      <w:r>
        <w:rPr>
          <w:i/>
        </w:rPr>
        <w:t>Id.</w:t>
      </w:r>
      <w:r>
        <w:t xml:space="preserve"> </w:t>
      </w:r>
    </w:p>
    <w:p w:rsidR="00E40D5C" w:rsidRDefault="00E40D5C" w:rsidP="0034707B">
      <w:pPr>
        <w:pStyle w:val="FirmDouble05"/>
        <w:spacing w:line="360" w:lineRule="auto"/>
        <w:rPr>
          <w:b/>
        </w:rPr>
      </w:pPr>
    </w:p>
    <w:p w:rsidR="00347B99" w:rsidRDefault="008A4270" w:rsidP="00347B99">
      <w:pPr>
        <w:pStyle w:val="FirmDouble05"/>
        <w:tabs>
          <w:tab w:val="left" w:pos="720"/>
        </w:tabs>
        <w:spacing w:line="360" w:lineRule="auto"/>
      </w:pPr>
      <w:r w:rsidRPr="00347B99">
        <w:t xml:space="preserve">11. </w:t>
      </w:r>
      <w:r w:rsidR="00347B99">
        <w:tab/>
      </w:r>
      <w:r w:rsidR="0034707B" w:rsidRPr="00347B99">
        <w:rPr>
          <w:u w:val="single"/>
        </w:rPr>
        <w:t xml:space="preserve">Enhanced </w:t>
      </w:r>
      <w:r w:rsidR="00E716AA">
        <w:rPr>
          <w:u w:val="single"/>
        </w:rPr>
        <w:t>C</w:t>
      </w:r>
      <w:r w:rsidR="0034707B" w:rsidRPr="00347B99">
        <w:rPr>
          <w:u w:val="single"/>
        </w:rPr>
        <w:t xml:space="preserve">ommunication </w:t>
      </w:r>
      <w:r w:rsidR="00E716AA">
        <w:rPr>
          <w:u w:val="single"/>
        </w:rPr>
        <w:t>D</w:t>
      </w:r>
      <w:r w:rsidR="0034707B" w:rsidRPr="00347B99">
        <w:rPr>
          <w:u w:val="single"/>
        </w:rPr>
        <w:t xml:space="preserve">uring </w:t>
      </w:r>
      <w:r w:rsidR="00E716AA">
        <w:rPr>
          <w:u w:val="single"/>
        </w:rPr>
        <w:t>M</w:t>
      </w:r>
      <w:r w:rsidR="0034707B" w:rsidRPr="00347B99">
        <w:rPr>
          <w:u w:val="single"/>
        </w:rPr>
        <w:t xml:space="preserve">ajor </w:t>
      </w:r>
      <w:r w:rsidR="00E716AA">
        <w:rPr>
          <w:u w:val="single"/>
        </w:rPr>
        <w:t>S</w:t>
      </w:r>
      <w:r w:rsidR="0034707B" w:rsidRPr="00347B99">
        <w:rPr>
          <w:u w:val="single"/>
        </w:rPr>
        <w:t>torms</w:t>
      </w:r>
      <w:r w:rsidR="0034707B" w:rsidRPr="00347B99">
        <w:t>.</w:t>
      </w:r>
      <w:r w:rsidR="0034707B">
        <w:t xml:space="preserve">  </w:t>
      </w:r>
    </w:p>
    <w:p w:rsidR="00347B99" w:rsidRDefault="00347B99" w:rsidP="00E40D5C">
      <w:pPr>
        <w:pStyle w:val="FirmDouble05"/>
        <w:spacing w:line="360" w:lineRule="auto"/>
        <w:ind w:firstLine="1440"/>
      </w:pPr>
    </w:p>
    <w:p w:rsidR="0034707B" w:rsidRDefault="0034707B" w:rsidP="00E40D5C">
      <w:pPr>
        <w:pStyle w:val="FirmDouble05"/>
        <w:spacing w:line="360" w:lineRule="auto"/>
        <w:ind w:firstLine="1440"/>
      </w:pPr>
      <w:r>
        <w:t xml:space="preserve">The Company materially enhanced communication with customers, local governments, emergency service providers and first responders during major storm events by adopting and effectively using social media and internet-based access to storm and restoration-related information.  For the second year in a row, FirstEnergy’s mobile-optimized website and smart phone “app” have been recognized among the top performers in a customer satisfaction survey conducted by J.D. Power.  FirstEnergy also was among the top three performers for mobile websites in J.D. Power’s 2013 study.  In 2013, the number of customers visiting the FirstEnergy website(s) via a smart phone or tablet tripled over the previous year, which is why FirstEnergy is continuing to make it easier to manage electric accounts and report power outages using mobile tools.  </w:t>
      </w:r>
      <w:r>
        <w:rPr>
          <w:i/>
        </w:rPr>
        <w:t>Id.</w:t>
      </w:r>
      <w:r>
        <w:t xml:space="preserve"> at 16-17.</w:t>
      </w:r>
    </w:p>
    <w:p w:rsidR="002B08B9" w:rsidRDefault="002B08B9" w:rsidP="002A3279">
      <w:pPr>
        <w:pStyle w:val="FirmDouble05"/>
        <w:spacing w:line="360" w:lineRule="auto"/>
        <w:ind w:firstLine="1440"/>
        <w:rPr>
          <w:b/>
        </w:rPr>
      </w:pPr>
    </w:p>
    <w:p w:rsidR="00726774" w:rsidRDefault="008A4270" w:rsidP="00726774">
      <w:pPr>
        <w:pStyle w:val="FirmDouble05"/>
        <w:spacing w:line="360" w:lineRule="auto"/>
      </w:pPr>
      <w:r w:rsidRPr="00726774">
        <w:t xml:space="preserve">12. </w:t>
      </w:r>
      <w:r w:rsidR="00726774">
        <w:tab/>
      </w:r>
      <w:r w:rsidR="0034707B" w:rsidRPr="00726774">
        <w:rPr>
          <w:u w:val="single"/>
        </w:rPr>
        <w:t xml:space="preserve">Recognition for </w:t>
      </w:r>
      <w:r w:rsidR="00A26F50">
        <w:rPr>
          <w:u w:val="single"/>
        </w:rPr>
        <w:t>C</w:t>
      </w:r>
      <w:r w:rsidR="0034707B" w:rsidRPr="00726774">
        <w:rPr>
          <w:u w:val="single"/>
        </w:rPr>
        <w:t xml:space="preserve">ustomer </w:t>
      </w:r>
      <w:r w:rsidR="00A26F50">
        <w:rPr>
          <w:u w:val="single"/>
        </w:rPr>
        <w:t>S</w:t>
      </w:r>
      <w:r w:rsidR="0034707B" w:rsidRPr="00726774">
        <w:rPr>
          <w:u w:val="single"/>
        </w:rPr>
        <w:t>ervice</w:t>
      </w:r>
      <w:r w:rsidR="0034707B" w:rsidRPr="00726774">
        <w:t>.</w:t>
      </w:r>
      <w:r w:rsidR="0034707B">
        <w:t xml:space="preserve">  </w:t>
      </w:r>
    </w:p>
    <w:p w:rsidR="00726774" w:rsidRDefault="00726774" w:rsidP="002A3279">
      <w:pPr>
        <w:pStyle w:val="FirmDouble05"/>
        <w:spacing w:line="360" w:lineRule="auto"/>
        <w:ind w:firstLine="1440"/>
      </w:pPr>
    </w:p>
    <w:p w:rsidR="0034707B" w:rsidRDefault="0034707B" w:rsidP="002A3279">
      <w:pPr>
        <w:pStyle w:val="FirmDouble05"/>
        <w:spacing w:line="360" w:lineRule="auto"/>
        <w:ind w:firstLine="1440"/>
      </w:pPr>
      <w:r>
        <w:t xml:space="preserve">The Company, as part of the FirstEnergy family of utilities, was recognized by the Edison Electric Institute’s National Key Accounts Customer Advisory Group for providing outstanding customer service in 2014.  Penn Power has on average seen a five percent increase in overall customer satisfaction between 2010 and 2014 as measured by the J.D. Power 2014 Electric Utility Residential Customer Satisfaction Study released July 16, 2014 when compared to the same study in 2010.  The Company earned a score that was above its segment average in the J.D. Power 2014 Electric Utility Residential Customer Satisfaction Study.  </w:t>
      </w:r>
      <w:r>
        <w:rPr>
          <w:i/>
        </w:rPr>
        <w:t>Id</w:t>
      </w:r>
      <w:r>
        <w:t xml:space="preserve">. at 17. </w:t>
      </w:r>
    </w:p>
    <w:p w:rsidR="002A3279" w:rsidRDefault="002A3279" w:rsidP="0034707B">
      <w:pPr>
        <w:pStyle w:val="FirmDouble05"/>
        <w:spacing w:line="360" w:lineRule="auto"/>
        <w:rPr>
          <w:b/>
        </w:rPr>
      </w:pPr>
    </w:p>
    <w:p w:rsidR="00957B8B" w:rsidRDefault="008A4270" w:rsidP="00957B8B">
      <w:pPr>
        <w:pStyle w:val="FirmDouble05"/>
        <w:spacing w:line="360" w:lineRule="auto"/>
      </w:pPr>
      <w:r w:rsidRPr="00957B8B">
        <w:t xml:space="preserve">13. </w:t>
      </w:r>
      <w:r w:rsidR="00957B8B">
        <w:tab/>
      </w:r>
      <w:r w:rsidR="0034707B" w:rsidRPr="00957B8B">
        <w:rPr>
          <w:u w:val="single"/>
        </w:rPr>
        <w:t xml:space="preserve">Customer </w:t>
      </w:r>
      <w:r w:rsidR="00A26F50">
        <w:rPr>
          <w:u w:val="single"/>
        </w:rPr>
        <w:t>R</w:t>
      </w:r>
      <w:r w:rsidR="0034707B" w:rsidRPr="00957B8B">
        <w:rPr>
          <w:u w:val="single"/>
        </w:rPr>
        <w:t xml:space="preserve">eferral </w:t>
      </w:r>
      <w:r w:rsidR="00A26F50">
        <w:rPr>
          <w:u w:val="single"/>
        </w:rPr>
        <w:t>P</w:t>
      </w:r>
      <w:r w:rsidR="0034707B" w:rsidRPr="00957B8B">
        <w:rPr>
          <w:u w:val="single"/>
        </w:rPr>
        <w:t>rograms</w:t>
      </w:r>
      <w:r w:rsidR="0034707B" w:rsidRPr="00957B8B">
        <w:t>.</w:t>
      </w:r>
      <w:r w:rsidR="0034707B">
        <w:t xml:space="preserve">  </w:t>
      </w:r>
    </w:p>
    <w:p w:rsidR="00957B8B" w:rsidRDefault="00957B8B" w:rsidP="002A3279">
      <w:pPr>
        <w:pStyle w:val="FirmDouble05"/>
        <w:spacing w:line="360" w:lineRule="auto"/>
        <w:ind w:firstLine="1440"/>
      </w:pPr>
    </w:p>
    <w:p w:rsidR="0034707B" w:rsidRDefault="0034707B" w:rsidP="002A3279">
      <w:pPr>
        <w:pStyle w:val="FirmDouble05"/>
        <w:spacing w:line="360" w:lineRule="auto"/>
        <w:ind w:firstLine="1440"/>
      </w:pPr>
      <w:r>
        <w:t xml:space="preserve">The Company, in conjunction with its affiliated utilities in Pennsylvania, has successfully implemented a customer referral program that, since its implementation in August 2013, has enrolled over 100,000 residential and small commercial customers with competitive retail suppliers.  </w:t>
      </w:r>
      <w:r>
        <w:rPr>
          <w:i/>
        </w:rPr>
        <w:t>Id</w:t>
      </w:r>
      <w:r>
        <w:t>. at 17-18.</w:t>
      </w:r>
    </w:p>
    <w:p w:rsidR="002A3279" w:rsidRDefault="002A3279" w:rsidP="0034707B">
      <w:pPr>
        <w:pStyle w:val="FirmDouble05"/>
        <w:spacing w:line="360" w:lineRule="auto"/>
        <w:rPr>
          <w:b/>
        </w:rPr>
      </w:pPr>
    </w:p>
    <w:p w:rsidR="00957B8B" w:rsidRDefault="008A4270" w:rsidP="00957B8B">
      <w:pPr>
        <w:pStyle w:val="FirmDouble05"/>
        <w:spacing w:line="360" w:lineRule="auto"/>
      </w:pPr>
      <w:r w:rsidRPr="00957B8B">
        <w:lastRenderedPageBreak/>
        <w:t xml:space="preserve">14. </w:t>
      </w:r>
      <w:r w:rsidR="00957B8B">
        <w:tab/>
      </w:r>
      <w:r w:rsidR="0034707B" w:rsidRPr="00957B8B">
        <w:rPr>
          <w:u w:val="single"/>
        </w:rPr>
        <w:t xml:space="preserve">Portable CAP </w:t>
      </w:r>
      <w:r w:rsidR="00A33E49">
        <w:rPr>
          <w:u w:val="single"/>
        </w:rPr>
        <w:t>B</w:t>
      </w:r>
      <w:r w:rsidR="0034707B" w:rsidRPr="00957B8B">
        <w:rPr>
          <w:u w:val="single"/>
        </w:rPr>
        <w:t>enefits</w:t>
      </w:r>
      <w:r w:rsidR="0034707B" w:rsidRPr="00957B8B">
        <w:t>.</w:t>
      </w:r>
      <w:r w:rsidR="0034707B">
        <w:t xml:space="preserve">  </w:t>
      </w:r>
    </w:p>
    <w:p w:rsidR="00957B8B" w:rsidRDefault="00957B8B" w:rsidP="00957B8B">
      <w:pPr>
        <w:pStyle w:val="FirmDouble05"/>
        <w:spacing w:line="360" w:lineRule="auto"/>
      </w:pPr>
    </w:p>
    <w:p w:rsidR="0034707B" w:rsidRDefault="00957B8B" w:rsidP="00957B8B">
      <w:pPr>
        <w:pStyle w:val="FirmDouble05"/>
        <w:spacing w:line="360" w:lineRule="auto"/>
      </w:pPr>
      <w:r>
        <w:tab/>
      </w:r>
      <w:r w:rsidR="0034707B">
        <w:t>The Company has offered fully portable CAP benefits since generation rate caps have expired, which has enabled its low income customers to access competitive retail electric markets while preserving their ability to take full advantage of the benefits available under the Company’s Universal Service programs, regardless of their shopping status.</w:t>
      </w:r>
    </w:p>
    <w:p w:rsidR="002A3279" w:rsidRDefault="002A3279" w:rsidP="0034707B">
      <w:pPr>
        <w:pStyle w:val="FirmDouble05"/>
        <w:spacing w:line="360" w:lineRule="auto"/>
        <w:rPr>
          <w:b/>
        </w:rPr>
      </w:pPr>
    </w:p>
    <w:p w:rsidR="00284A08" w:rsidRDefault="008A4270" w:rsidP="00284A08">
      <w:pPr>
        <w:pStyle w:val="FirmDouble05"/>
        <w:spacing w:line="360" w:lineRule="auto"/>
      </w:pPr>
      <w:r w:rsidRPr="00284A08">
        <w:t xml:space="preserve">15. </w:t>
      </w:r>
      <w:r w:rsidR="00284A08">
        <w:tab/>
      </w:r>
      <w:r w:rsidR="0034707B" w:rsidRPr="00284A08">
        <w:rPr>
          <w:u w:val="single"/>
        </w:rPr>
        <w:t xml:space="preserve">Maintaining </w:t>
      </w:r>
      <w:r w:rsidR="00A33E49">
        <w:rPr>
          <w:u w:val="single"/>
        </w:rPr>
        <w:t>R</w:t>
      </w:r>
      <w:r w:rsidR="0034707B" w:rsidRPr="00284A08">
        <w:rPr>
          <w:u w:val="single"/>
        </w:rPr>
        <w:t xml:space="preserve">eliable </w:t>
      </w:r>
      <w:r w:rsidR="00A33E49">
        <w:rPr>
          <w:u w:val="single"/>
        </w:rPr>
        <w:t>E</w:t>
      </w:r>
      <w:r w:rsidR="0034707B" w:rsidRPr="00284A08">
        <w:rPr>
          <w:u w:val="single"/>
        </w:rPr>
        <w:t xml:space="preserve">lectric </w:t>
      </w:r>
      <w:r w:rsidR="00A33E49">
        <w:rPr>
          <w:u w:val="single"/>
        </w:rPr>
        <w:t>S</w:t>
      </w:r>
      <w:r w:rsidR="0034707B" w:rsidRPr="00284A08">
        <w:rPr>
          <w:u w:val="single"/>
        </w:rPr>
        <w:t>ervice</w:t>
      </w:r>
      <w:r w:rsidR="0034707B" w:rsidRPr="00284A08">
        <w:t>.</w:t>
      </w:r>
      <w:r w:rsidR="0034707B">
        <w:t xml:space="preserve">  </w:t>
      </w:r>
    </w:p>
    <w:p w:rsidR="00284A08" w:rsidRDefault="00284A08" w:rsidP="00284A08">
      <w:pPr>
        <w:pStyle w:val="FirmDouble05"/>
        <w:spacing w:line="360" w:lineRule="auto"/>
      </w:pPr>
    </w:p>
    <w:p w:rsidR="00A33E49" w:rsidRDefault="00284A08" w:rsidP="0030731E">
      <w:pPr>
        <w:pStyle w:val="FirmDouble05"/>
        <w:spacing w:line="360" w:lineRule="auto"/>
      </w:pPr>
      <w:r>
        <w:tab/>
      </w:r>
      <w:r w:rsidR="0034707B">
        <w:t xml:space="preserve">The Company made system enhancements and implemented specific initiatives designed to enhance reliability and provide customers high-quality, dependable service.  </w:t>
      </w:r>
      <w:r w:rsidR="0034707B">
        <w:rPr>
          <w:sz w:val="22"/>
        </w:rPr>
        <w:t>Over</w:t>
      </w:r>
      <w:r w:rsidR="0034707B">
        <w:t xml:space="preserve"> the last five years, the Company’s reliability metrics have been better than the Commission’s twelve-month standard in 94% of the comparisons and better than the Commission’s Benchmark in 32% of the comparisons.  </w:t>
      </w:r>
      <w:r w:rsidR="0034707B">
        <w:rPr>
          <w:i/>
        </w:rPr>
        <w:t>Id</w:t>
      </w:r>
      <w:r w:rsidR="0034707B">
        <w:t xml:space="preserve">.  Through the course of settlement negotiations, the Company and </w:t>
      </w:r>
      <w:r w:rsidR="00F00097">
        <w:t>OCA</w:t>
      </w:r>
      <w:r w:rsidR="0034707B">
        <w:t xml:space="preserve"> reached agreement on the following series of carefully crafted provisions that address customer service and operations in a meaningful </w:t>
      </w:r>
      <w:r w:rsidR="0030731E">
        <w:t xml:space="preserve">way to the benefit of customers concerning: call center performance; residential disputes; reliability metrics and reporting; meter reading and estimated bills.  </w:t>
      </w:r>
    </w:p>
    <w:p w:rsidR="002A3279" w:rsidRDefault="002A3279" w:rsidP="0034707B">
      <w:pPr>
        <w:pStyle w:val="FirmDouble05"/>
        <w:spacing w:line="360" w:lineRule="auto"/>
        <w:rPr>
          <w:b/>
        </w:rPr>
      </w:pPr>
    </w:p>
    <w:p w:rsidR="00A33E49" w:rsidRDefault="008A4270" w:rsidP="00A33E49">
      <w:pPr>
        <w:pStyle w:val="FirmDouble05"/>
        <w:spacing w:line="360" w:lineRule="auto"/>
      </w:pPr>
      <w:r w:rsidRPr="00A33E49">
        <w:t xml:space="preserve">16. </w:t>
      </w:r>
      <w:r w:rsidR="00A33E49">
        <w:tab/>
      </w:r>
      <w:r w:rsidRPr="00A33E49">
        <w:rPr>
          <w:u w:val="single"/>
        </w:rPr>
        <w:t>Smart Meters And Energy Efficiency (</w:t>
      </w:r>
      <w:r w:rsidR="0034707B" w:rsidRPr="00A33E49">
        <w:rPr>
          <w:u w:val="single"/>
        </w:rPr>
        <w:t>Joint Petition, Paragr</w:t>
      </w:r>
      <w:r w:rsidR="002A3279" w:rsidRPr="00A33E49">
        <w:rPr>
          <w:u w:val="single"/>
        </w:rPr>
        <w:t>aph 11.E</w:t>
      </w:r>
      <w:r w:rsidRPr="00A33E49">
        <w:rPr>
          <w:u w:val="single"/>
        </w:rPr>
        <w:t>)</w:t>
      </w:r>
      <w:r w:rsidR="0034707B" w:rsidRPr="00A33E49">
        <w:t>.</w:t>
      </w:r>
      <w:r w:rsidR="0034707B">
        <w:t xml:space="preserve">  </w:t>
      </w:r>
    </w:p>
    <w:p w:rsidR="00A33E49" w:rsidRDefault="00A33E49" w:rsidP="00A33E49">
      <w:pPr>
        <w:pStyle w:val="FirmDouble05"/>
        <w:spacing w:line="360" w:lineRule="auto"/>
      </w:pPr>
    </w:p>
    <w:p w:rsidR="0034707B" w:rsidRDefault="00A33E49" w:rsidP="00A33E49">
      <w:pPr>
        <w:pStyle w:val="FirmDouble05"/>
        <w:spacing w:line="360" w:lineRule="auto"/>
      </w:pPr>
      <w:r>
        <w:tab/>
      </w:r>
      <w:r w:rsidR="0034707B">
        <w:t xml:space="preserve">In an earlier proceeding related to the Company’s Smart Meter Deployment Plan, the Commission directed Penn Power to provide information on cost savings measures achieved from the deployment of smart meters and an explanation of how cost savings will be calculated in future SMT-C rate filings.  </w:t>
      </w:r>
      <w:r w:rsidR="0034707B">
        <w:rPr>
          <w:i/>
        </w:rPr>
        <w:t xml:space="preserve">See </w:t>
      </w:r>
      <w:r w:rsidR="0034707B">
        <w:t>Docket No. M-2013-2341993.  The Company requested that cost savings measures be addressed in the Company’s next base rate proceeding, instead of its August 1, 2014, annual SMT-C filing.  The Company’s August 1, 2014 annual SMT-C filing was approved by the Commission’s Secretarial Letter issued on December 5, 2014, and its revised SMT-C rate became effective on January 1, 2015 (Penn Power St. 7-R, p. 4).</w:t>
      </w:r>
      <w:r w:rsidR="0034707B">
        <w:rPr>
          <w:rStyle w:val="FootnoteReference"/>
        </w:rPr>
        <w:footnoteReference w:id="15"/>
      </w:r>
      <w:r w:rsidR="0034707B">
        <w:t xml:space="preserve">  </w:t>
      </w:r>
      <w:r w:rsidR="0034707B">
        <w:lastRenderedPageBreak/>
        <w:t xml:space="preserve">Accordingly, as part of its August 4, 2014 base rate filing, Penn Power proposed a baseline for purposes of measuring savings achieved from the deployment of smart meters as well as the means for determining how cost savings resulting from smart meter deployment will be identified and flowed through to customers. </w:t>
      </w:r>
    </w:p>
    <w:p w:rsidR="002A3279" w:rsidRDefault="002A3279" w:rsidP="0034707B">
      <w:pPr>
        <w:pStyle w:val="FirmDouble05"/>
        <w:spacing w:line="360" w:lineRule="auto"/>
      </w:pPr>
    </w:p>
    <w:p w:rsidR="0034707B" w:rsidRDefault="007046FC" w:rsidP="002A3279">
      <w:pPr>
        <w:pStyle w:val="FirmDouble05"/>
        <w:spacing w:line="360" w:lineRule="auto"/>
        <w:ind w:firstLine="1440"/>
      </w:pPr>
      <w:r>
        <w:t xml:space="preserve">The Company </w:t>
      </w:r>
      <w:r w:rsidR="0034707B">
        <w:t xml:space="preserve">submitted cost baselines for calculating savings from smart meter deployment.  The baselines were provided as Penn Power Exhibit LWG-3.  No party submitted any testimony regarding the baselines proposed by the Company, and all of the Joint Petitioners are in agreement that the Company’s proposed baselines should be approved without modification.  Accordingly, for purposes of measuring savings achieved from the Company’s deployment of smart meters, a cost baseline will be set as of April 30, 2016 from which savings will be measured for the following categories: (1) meter reading; (2) meter services; (3) back-office; (4) contact center; (5) theft of service; (6) revenue enhancements; (7) distribution operations; and (8) load research.  </w:t>
      </w:r>
      <w:r>
        <w:t>S</w:t>
      </w:r>
      <w:r w:rsidR="0034707B">
        <w:t>avings in an additional category, “avoided capital costs,” will be measured using March 31, 2014 as the baseline from which to calculate savings.  The cost savings baselines shall be those set forth in Penn Power Exhibit LWG-3, which is appended to the Joint Petition as Exhibit 7.</w:t>
      </w:r>
    </w:p>
    <w:p w:rsidR="002A3279" w:rsidRDefault="002A3279" w:rsidP="002A3279">
      <w:pPr>
        <w:pStyle w:val="FirmDouble05"/>
        <w:spacing w:line="360" w:lineRule="auto"/>
        <w:ind w:firstLine="1440"/>
      </w:pPr>
    </w:p>
    <w:p w:rsidR="0034707B" w:rsidRDefault="0034707B" w:rsidP="002A3279">
      <w:pPr>
        <w:pStyle w:val="FirmDouble05"/>
        <w:spacing w:line="360" w:lineRule="auto"/>
        <w:ind w:firstLine="1440"/>
      </w:pPr>
      <w:r>
        <w:t xml:space="preserve">As part of the Settlement, the Company agreed to add the following reporting metrics to its Annual Progress Report under its Smart Meter Technology Procurement and Installation Plan filed at Docket No. M-2013-2341990: </w:t>
      </w:r>
    </w:p>
    <w:p w:rsidR="003E5F44" w:rsidRDefault="003E5F44" w:rsidP="002A3279">
      <w:pPr>
        <w:pStyle w:val="FirmDouble05"/>
        <w:spacing w:line="360" w:lineRule="auto"/>
        <w:ind w:firstLine="1440"/>
      </w:pPr>
    </w:p>
    <w:p w:rsidR="0034707B" w:rsidRDefault="002A3279" w:rsidP="0034707B">
      <w:pPr>
        <w:pStyle w:val="BodyText2"/>
        <w:spacing w:line="240" w:lineRule="auto"/>
        <w:ind w:left="1800" w:hanging="360"/>
      </w:pPr>
      <w:r>
        <w:t>•</w:t>
      </w:r>
      <w:r>
        <w:tab/>
        <w:t>Home area network (</w:t>
      </w:r>
      <w:r w:rsidR="0034707B">
        <w:t xml:space="preserve">HAN) devices:  Number of utility AMI meters with consumer devices registered to operate with the HAN chip. </w:t>
      </w:r>
    </w:p>
    <w:p w:rsidR="0034707B" w:rsidRDefault="0034707B" w:rsidP="0034707B">
      <w:pPr>
        <w:pStyle w:val="BodyText2"/>
        <w:spacing w:line="240" w:lineRule="auto"/>
        <w:ind w:left="1800" w:hanging="360"/>
      </w:pPr>
      <w:r>
        <w:t>•</w:t>
      </w:r>
      <w:r>
        <w:tab/>
        <w:t xml:space="preserve">AMI meter installs:  Number of smart meters installed, number of smart meters that have been installed and registered.  </w:t>
      </w:r>
    </w:p>
    <w:p w:rsidR="0034707B" w:rsidRDefault="0034707B" w:rsidP="0034707B">
      <w:pPr>
        <w:pStyle w:val="BodyText2"/>
        <w:spacing w:line="240" w:lineRule="auto"/>
        <w:ind w:left="1800" w:hanging="360"/>
      </w:pPr>
      <w:r>
        <w:t>•</w:t>
      </w:r>
      <w:r>
        <w:tab/>
        <w:t>Customer complaints:  Number of formal and informal PUC complaints related to AMI meter deployment, broken down by type of complaint and resolution.  AMI meter deployment includes installation, functioning or accuracy of the AMI meter, and HAN device registration.</w:t>
      </w:r>
    </w:p>
    <w:p w:rsidR="0034707B" w:rsidRDefault="0034707B" w:rsidP="0034707B">
      <w:pPr>
        <w:pStyle w:val="BodyText2"/>
        <w:spacing w:line="240" w:lineRule="auto"/>
        <w:ind w:left="1800" w:hanging="360"/>
      </w:pPr>
      <w:r>
        <w:lastRenderedPageBreak/>
        <w:t>•</w:t>
      </w:r>
      <w:r>
        <w:tab/>
        <w:t>Reduction in greenhouse gas (GHG) emissions: reduction associated with reduced truck rolls associated with meter readings and increased efficiencies.  This reporting will commence once the realization of this benefit has been determined and reflected in the smart meter baseline savings as of April 30, 2016.</w:t>
      </w:r>
    </w:p>
    <w:p w:rsidR="0034707B" w:rsidRDefault="0034707B" w:rsidP="0034707B">
      <w:pPr>
        <w:pStyle w:val="BodyText2"/>
        <w:spacing w:line="240" w:lineRule="auto"/>
        <w:ind w:left="1800" w:hanging="360"/>
      </w:pPr>
      <w:r>
        <w:t>•</w:t>
      </w:r>
      <w:r>
        <w:tab/>
        <w:t>Voltage and VAR controls: Number and percentage of distribution lines using sensing from an AMI meter as part of utility’s voltage regulation scheme</w:t>
      </w:r>
      <w:r w:rsidR="003E5F44">
        <w:t>.</w:t>
      </w:r>
    </w:p>
    <w:p w:rsidR="007046FC" w:rsidRDefault="007046FC" w:rsidP="002A3279">
      <w:pPr>
        <w:pStyle w:val="FirmDouble05"/>
        <w:spacing w:line="360" w:lineRule="auto"/>
        <w:ind w:firstLine="1350"/>
      </w:pPr>
    </w:p>
    <w:p w:rsidR="0034707B" w:rsidRDefault="003E5F44" w:rsidP="002A3279">
      <w:pPr>
        <w:pStyle w:val="FirmDouble05"/>
        <w:spacing w:line="360" w:lineRule="auto"/>
        <w:ind w:firstLine="1350"/>
      </w:pPr>
      <w:r>
        <w:t xml:space="preserve">Additionally, </w:t>
      </w:r>
      <w:r w:rsidR="0034707B">
        <w:t>with respect to the matters discussed by both Mr. Munson and Mr. Sandoval, the Company agreed to host an informational meeting with representatives of EDF with respect to the Company’s smart meter and smart grid deployment efforts, including discussion of customer data access, Volt/VAR best practices and measuring GHG emission reductions.</w:t>
      </w:r>
    </w:p>
    <w:p w:rsidR="002A3279" w:rsidRDefault="002A3279" w:rsidP="0034707B">
      <w:pPr>
        <w:pStyle w:val="FirmDouble05"/>
        <w:spacing w:line="360" w:lineRule="auto"/>
        <w:rPr>
          <w:b/>
        </w:rPr>
      </w:pPr>
    </w:p>
    <w:p w:rsidR="0034707B" w:rsidRDefault="0034707B" w:rsidP="007046FC">
      <w:pPr>
        <w:pStyle w:val="FirmDouble05"/>
        <w:spacing w:line="360" w:lineRule="auto"/>
        <w:ind w:firstLine="1440"/>
      </w:pPr>
      <w:r>
        <w:rPr>
          <w:b/>
        </w:rPr>
        <w:t>The smart meter and energy efficiency provisions of the Settlement are reasonable and in the public interest.</w:t>
      </w:r>
      <w:r>
        <w:t xml:space="preserve">  The smart meter issues the Commission transferred to this case relate to setting reasonable baselines for calculating savings from smart meter deployment.  Those savings are to be flowed through to customers in the future through the SMT-C Rider.  Because the “baselines” involve costs that are recovered in the Company’s base rates, referring the baseline issue to this proceeding was the most efficient way to reach a reasonable conclusion and avoid the possibility of inconsistent results between this case and a separate proceeding dealing solely with the smart meter baselines.  Each of those goals is consistent with, and promotes, the public interest.  </w:t>
      </w:r>
      <w:r w:rsidR="007046FC">
        <w:t>N</w:t>
      </w:r>
      <w:r>
        <w:t>o party took issue with them and all Joint Petitioners have expressly agreed to their adoption.</w:t>
      </w:r>
    </w:p>
    <w:p w:rsidR="002A3279" w:rsidRDefault="002A3279" w:rsidP="0034707B">
      <w:pPr>
        <w:pStyle w:val="FirmDouble05"/>
        <w:spacing w:line="360" w:lineRule="auto"/>
      </w:pPr>
    </w:p>
    <w:p w:rsidR="0034707B" w:rsidRDefault="0034707B" w:rsidP="002A3279">
      <w:pPr>
        <w:pStyle w:val="FirmDouble05"/>
        <w:spacing w:line="360" w:lineRule="auto"/>
        <w:ind w:firstLine="1440"/>
      </w:pPr>
      <w:r>
        <w:t xml:space="preserve">The Company will add reporting metrics to its Annual Progress Report for its Smart Meter Technology Procurement and Installation Plan filed at Docket No. M-2013-2341993.  </w:t>
      </w:r>
      <w:r w:rsidR="00D547E8">
        <w:t>The</w:t>
      </w:r>
      <w:r>
        <w:t xml:space="preserve"> Company </w:t>
      </w:r>
      <w:r w:rsidR="00D547E8">
        <w:t>will</w:t>
      </w:r>
      <w:r>
        <w:t xml:space="preserve"> host an information meeting with EDF and interested statutory parties on energy efficiency, conservation and related environmental issues.  Accordingly, the Settlement efficiently and expeditiously identified a means of satisfying all parties’ interests in a way that continued litigation was unlikely to achieve.  For that reason, and because of the inherent merits of the provisions agreed to, these provisions promote the public interest.</w:t>
      </w:r>
    </w:p>
    <w:p w:rsidR="008A4270" w:rsidRDefault="008A4270" w:rsidP="002A3279">
      <w:pPr>
        <w:pStyle w:val="FirmDouble05"/>
        <w:spacing w:line="360" w:lineRule="auto"/>
        <w:ind w:firstLine="1440"/>
      </w:pPr>
    </w:p>
    <w:p w:rsidR="0034707B" w:rsidRPr="004311FC" w:rsidRDefault="008A4270" w:rsidP="000262B0">
      <w:pPr>
        <w:pStyle w:val="OutlineL2"/>
        <w:numPr>
          <w:ilvl w:val="0"/>
          <w:numId w:val="0"/>
        </w:numPr>
        <w:spacing w:after="0" w:line="360" w:lineRule="auto"/>
        <w:ind w:left="1440" w:hanging="720"/>
      </w:pPr>
      <w:bookmarkStart w:id="23" w:name="_Toc410748045"/>
      <w:r w:rsidRPr="004311FC">
        <w:rPr>
          <w:lang w:val="en-US"/>
        </w:rPr>
        <w:lastRenderedPageBreak/>
        <w:t xml:space="preserve">17. </w:t>
      </w:r>
      <w:r w:rsidR="004311FC" w:rsidRPr="004311FC">
        <w:rPr>
          <w:lang w:val="en-US"/>
        </w:rPr>
        <w:tab/>
      </w:r>
      <w:r w:rsidR="00D547E8" w:rsidRPr="00D547E8">
        <w:rPr>
          <w:u w:val="single"/>
          <w:lang w:val="en-US"/>
        </w:rPr>
        <w:t>The Settlement is reasonable and in the public interest</w:t>
      </w:r>
      <w:r w:rsidR="00D547E8">
        <w:rPr>
          <w:u w:val="single"/>
          <w:lang w:val="en-US"/>
        </w:rPr>
        <w:t>.</w:t>
      </w:r>
      <w:r w:rsidR="0034707B" w:rsidRPr="00D547E8">
        <w:rPr>
          <w:u w:val="single"/>
        </w:rPr>
        <w:t xml:space="preserve"> </w:t>
      </w:r>
      <w:r w:rsidR="0034707B" w:rsidRPr="004311FC">
        <w:t xml:space="preserve"> </w:t>
      </w:r>
      <w:bookmarkEnd w:id="23"/>
    </w:p>
    <w:p w:rsidR="002A3279" w:rsidRDefault="002A3279" w:rsidP="0034707B">
      <w:pPr>
        <w:pStyle w:val="FirmDouble05"/>
        <w:spacing w:line="360" w:lineRule="auto"/>
      </w:pPr>
    </w:p>
    <w:p w:rsidR="0034707B" w:rsidRDefault="0034707B" w:rsidP="002B08B9">
      <w:pPr>
        <w:pStyle w:val="FirmDouble05"/>
        <w:spacing w:line="360" w:lineRule="auto"/>
        <w:ind w:firstLine="1440"/>
      </w:pPr>
      <w:r>
        <w:t xml:space="preserve">The </w:t>
      </w:r>
      <w:r w:rsidR="00D547E8">
        <w:t>Settlement</w:t>
      </w:r>
      <w:r>
        <w:t xml:space="preserve"> expressly preserve</w:t>
      </w:r>
      <w:r w:rsidR="00D547E8">
        <w:t>s</w:t>
      </w:r>
      <w:r>
        <w:t xml:space="preserve"> the rights of the Commission, its applicable bureaus and the Joint Petitioners with respect to the areas of responsibility and possible future enforcement actions set forth therein.  It also specifically identifies a limitation on the Company’s ability to request to augment its return on equity in its next base rate case if it does not consistently meet the requirements set forth in the Settlement regarding reliability, customer service or estimated meter readings.  </w:t>
      </w:r>
      <w:r w:rsidR="00D547E8">
        <w:t>The Settlement provides</w:t>
      </w:r>
      <w:r>
        <w:t xml:space="preserve"> the Company can make necessary filings to implement the changes contained in Act 155 of 2014 should that become necessary.</w:t>
      </w:r>
    </w:p>
    <w:p w:rsidR="002B08B9" w:rsidRDefault="002B08B9" w:rsidP="002B08B9">
      <w:pPr>
        <w:pStyle w:val="FirmDouble05"/>
        <w:spacing w:line="360" w:lineRule="auto"/>
        <w:ind w:firstLine="1440"/>
      </w:pPr>
    </w:p>
    <w:p w:rsidR="0034707B" w:rsidRDefault="0034707B" w:rsidP="002B08B9">
      <w:pPr>
        <w:pStyle w:val="FirmDouble05"/>
        <w:spacing w:line="360" w:lineRule="auto"/>
        <w:ind w:firstLine="1440"/>
      </w:pPr>
      <w:r>
        <w:t>The Settl</w:t>
      </w:r>
      <w:r w:rsidR="00D547E8">
        <w:t xml:space="preserve">ement </w:t>
      </w:r>
      <w:r>
        <w:t>is reasonable, supported by record evidence, and is in the public interest for, among others, the following principal reasons:</w:t>
      </w:r>
    </w:p>
    <w:p w:rsidR="004311FC" w:rsidRDefault="004311FC" w:rsidP="002B08B9">
      <w:pPr>
        <w:pStyle w:val="FirmDouble05"/>
        <w:spacing w:line="360" w:lineRule="auto"/>
        <w:ind w:firstLine="1440"/>
      </w:pPr>
    </w:p>
    <w:p w:rsidR="0034707B" w:rsidRDefault="0034707B" w:rsidP="004311FC">
      <w:pPr>
        <w:pStyle w:val="FirmDouble05"/>
        <w:numPr>
          <w:ilvl w:val="0"/>
          <w:numId w:val="27"/>
        </w:numPr>
        <w:spacing w:line="240" w:lineRule="auto"/>
      </w:pPr>
      <w:r>
        <w:t>The revenue requirement provisions provide for Settlement Rates that are within the “constitutional range of reasonableness”</w:t>
      </w:r>
      <w:r>
        <w:rPr>
          <w:rStyle w:val="FootnoteReference"/>
        </w:rPr>
        <w:footnoteReference w:id="16"/>
      </w:r>
      <w:r>
        <w:t xml:space="preserve"> and are consistent with the legal standards articulated in the </w:t>
      </w:r>
      <w:r w:rsidRPr="00975340">
        <w:rPr>
          <w:u w:val="single"/>
        </w:rPr>
        <w:t>Bluefield</w:t>
      </w:r>
      <w:r>
        <w:t xml:space="preserve">, </w:t>
      </w:r>
      <w:r w:rsidRPr="00975340">
        <w:rPr>
          <w:u w:val="single"/>
        </w:rPr>
        <w:t>Hope</w:t>
      </w:r>
      <w:r>
        <w:t xml:space="preserve"> and </w:t>
      </w:r>
      <w:r w:rsidRPr="00975340">
        <w:rPr>
          <w:u w:val="single"/>
        </w:rPr>
        <w:t>Duquesne Light</w:t>
      </w:r>
      <w:r>
        <w:t xml:space="preserve"> decisions, as interpreted and applied by the Pennsylvania Supreme Court in </w:t>
      </w:r>
      <w:r w:rsidRPr="00975340">
        <w:rPr>
          <w:u w:val="single"/>
        </w:rPr>
        <w:t>Pennsylvania Gas and Water</w:t>
      </w:r>
      <w:r>
        <w:rPr>
          <w:i/>
        </w:rPr>
        <w:t>.</w:t>
      </w:r>
      <w:r>
        <w:t xml:space="preserve">  The Settlement Rates reflect a careful balance of the interests of customers with those of the Company and its investors.  As such, the Settlement Rates protect customers from paying excessive rates while allowing the Company and its investors a reasonable opportunity to earn a fair return on their investment in property devoted to public service and to obtain additional capital needed to meet the Company’s service obligations.  </w:t>
      </w:r>
      <w:r>
        <w:rPr>
          <w:i/>
        </w:rPr>
        <w:t>See</w:t>
      </w:r>
      <w:r>
        <w:t xml:space="preserve"> Section II.E., </w:t>
      </w:r>
      <w:r>
        <w:rPr>
          <w:i/>
        </w:rPr>
        <w:t>supra</w:t>
      </w:r>
      <w:r>
        <w:t>.</w:t>
      </w:r>
    </w:p>
    <w:p w:rsidR="004311FC" w:rsidRDefault="004311FC" w:rsidP="004311FC">
      <w:pPr>
        <w:pStyle w:val="FirmDouble05"/>
        <w:spacing w:line="240" w:lineRule="auto"/>
        <w:ind w:left="1440" w:firstLine="0"/>
      </w:pPr>
    </w:p>
    <w:p w:rsidR="0034707B" w:rsidRDefault="0034707B" w:rsidP="004311FC">
      <w:pPr>
        <w:pStyle w:val="FirmDouble05"/>
        <w:numPr>
          <w:ilvl w:val="0"/>
          <w:numId w:val="27"/>
        </w:numPr>
        <w:spacing w:line="240" w:lineRule="auto"/>
      </w:pPr>
      <w:r>
        <w:t xml:space="preserve">The rate structure and rate design provisions of the Settlement resolve a number of contentious issues in a manner that is acceptable to parties representing every major customer class and service classification.  While the parties could not agree to a single, specific cost of service methodology, they are in general agreement that the Settlement Rates provide for reasonable progress in moving all major customer classes closer to their cost of service consistent with the Commission-approved principle of gradualism.  </w:t>
      </w:r>
      <w:r>
        <w:rPr>
          <w:i/>
        </w:rPr>
        <w:t>See</w:t>
      </w:r>
      <w:r>
        <w:t xml:space="preserve"> Section II.F., </w:t>
      </w:r>
      <w:r>
        <w:rPr>
          <w:i/>
        </w:rPr>
        <w:t>supra</w:t>
      </w:r>
      <w:r>
        <w:t>.</w:t>
      </w:r>
    </w:p>
    <w:p w:rsidR="004311FC" w:rsidRDefault="004311FC" w:rsidP="004311FC">
      <w:pPr>
        <w:pStyle w:val="FirmDouble05"/>
        <w:spacing w:line="240" w:lineRule="auto"/>
        <w:ind w:left="1440" w:firstLine="0"/>
      </w:pPr>
    </w:p>
    <w:p w:rsidR="0034707B" w:rsidRDefault="0034707B" w:rsidP="004311FC">
      <w:pPr>
        <w:pStyle w:val="FirmDouble05"/>
        <w:numPr>
          <w:ilvl w:val="0"/>
          <w:numId w:val="27"/>
        </w:numPr>
        <w:spacing w:line="240" w:lineRule="auto"/>
      </w:pPr>
      <w:r>
        <w:t xml:space="preserve">The Settlement resolves a contested issue pertaining to Universal Service in a manner that helps to ameliorate the impact on residential customers of the costs of the Company’s Universal Service programs.  </w:t>
      </w:r>
      <w:r>
        <w:rPr>
          <w:i/>
        </w:rPr>
        <w:t>See</w:t>
      </w:r>
      <w:r>
        <w:t xml:space="preserve"> Section II.G., </w:t>
      </w:r>
      <w:r>
        <w:rPr>
          <w:i/>
        </w:rPr>
        <w:t>supra</w:t>
      </w:r>
      <w:r>
        <w:t>.</w:t>
      </w:r>
    </w:p>
    <w:p w:rsidR="004311FC" w:rsidRDefault="004311FC" w:rsidP="004311FC">
      <w:pPr>
        <w:pStyle w:val="FirmDouble05"/>
        <w:spacing w:line="240" w:lineRule="auto"/>
        <w:ind w:left="1440" w:firstLine="0"/>
      </w:pPr>
    </w:p>
    <w:p w:rsidR="0034707B" w:rsidRDefault="0034707B" w:rsidP="004311FC">
      <w:pPr>
        <w:pStyle w:val="FirmDouble05"/>
        <w:numPr>
          <w:ilvl w:val="0"/>
          <w:numId w:val="27"/>
        </w:numPr>
        <w:spacing w:line="240" w:lineRule="auto"/>
      </w:pPr>
      <w:r>
        <w:lastRenderedPageBreak/>
        <w:t xml:space="preserve">The Settlement reaches agreement among the Joint Petitioners – and, in particular, between </w:t>
      </w:r>
      <w:r w:rsidR="00F00097">
        <w:t>OCA</w:t>
      </w:r>
      <w:r>
        <w:t xml:space="preserve"> and the Company – with regard to objective metrics for measuring customer service and reliability performance and contains commitments for implementing policies and procedures designed to enhance customer service and reliability.  Among these provisions are specific commitments dealing with meter reading, estimated bills, estimation procedures and customer education related to those matters.  </w:t>
      </w:r>
      <w:r>
        <w:rPr>
          <w:i/>
        </w:rPr>
        <w:t>See</w:t>
      </w:r>
      <w:r>
        <w:t xml:space="preserve"> Section II.H., </w:t>
      </w:r>
      <w:r>
        <w:rPr>
          <w:i/>
        </w:rPr>
        <w:t>supra</w:t>
      </w:r>
      <w:r>
        <w:t>.</w:t>
      </w:r>
    </w:p>
    <w:p w:rsidR="004311FC" w:rsidRDefault="004311FC" w:rsidP="004311FC">
      <w:pPr>
        <w:pStyle w:val="FirmDouble05"/>
        <w:spacing w:line="240" w:lineRule="auto"/>
        <w:ind w:left="1440" w:firstLine="0"/>
      </w:pPr>
    </w:p>
    <w:p w:rsidR="0034707B" w:rsidRDefault="0034707B" w:rsidP="004311FC">
      <w:pPr>
        <w:pStyle w:val="FirmDouble05"/>
        <w:numPr>
          <w:ilvl w:val="0"/>
          <w:numId w:val="27"/>
        </w:numPr>
        <w:spacing w:line="240" w:lineRule="auto"/>
      </w:pPr>
      <w:r>
        <w:t xml:space="preserve">The Settlement addresses and resolves the smart meter baseline issue that the Commission referred to this proceeding.  </w:t>
      </w:r>
      <w:r>
        <w:rPr>
          <w:i/>
        </w:rPr>
        <w:t>See</w:t>
      </w:r>
      <w:r>
        <w:t xml:space="preserve"> Section II.I, </w:t>
      </w:r>
      <w:r>
        <w:rPr>
          <w:i/>
        </w:rPr>
        <w:t>supra</w:t>
      </w:r>
      <w:r>
        <w:t>.</w:t>
      </w:r>
    </w:p>
    <w:p w:rsidR="004311FC" w:rsidRDefault="004311FC" w:rsidP="004311FC">
      <w:pPr>
        <w:pStyle w:val="FirmDouble05"/>
        <w:spacing w:line="240" w:lineRule="auto"/>
        <w:ind w:left="1440" w:firstLine="0"/>
      </w:pPr>
    </w:p>
    <w:p w:rsidR="0034707B" w:rsidRDefault="0034707B" w:rsidP="004311FC">
      <w:pPr>
        <w:pStyle w:val="FirmDouble05"/>
        <w:numPr>
          <w:ilvl w:val="0"/>
          <w:numId w:val="27"/>
        </w:numPr>
        <w:spacing w:line="240" w:lineRule="auto"/>
      </w:pPr>
      <w:r>
        <w:t xml:space="preserve">The Settlement adds reporting metrics intended to provide information that may help to better assess smart meter, energy efficiency, conservation and various environmental matters.  </w:t>
      </w:r>
      <w:r>
        <w:rPr>
          <w:i/>
        </w:rPr>
        <w:t>See</w:t>
      </w:r>
      <w:r>
        <w:t xml:space="preserve"> Section II.E, </w:t>
      </w:r>
      <w:r>
        <w:rPr>
          <w:i/>
        </w:rPr>
        <w:t>supra</w:t>
      </w:r>
      <w:r>
        <w:t>.</w:t>
      </w:r>
    </w:p>
    <w:p w:rsidR="004311FC" w:rsidRDefault="004311FC" w:rsidP="004311FC">
      <w:pPr>
        <w:pStyle w:val="FirmDouble05"/>
        <w:spacing w:line="240" w:lineRule="auto"/>
        <w:ind w:left="1440" w:firstLine="0"/>
      </w:pPr>
    </w:p>
    <w:p w:rsidR="0034707B" w:rsidRDefault="0034707B" w:rsidP="004311FC">
      <w:pPr>
        <w:pStyle w:val="FirmDouble05"/>
        <w:numPr>
          <w:ilvl w:val="0"/>
          <w:numId w:val="27"/>
        </w:numPr>
        <w:spacing w:line="240" w:lineRule="auto"/>
      </w:pPr>
      <w:r>
        <w:t>In reaching this Settlement, the Joint Petitioners thoroughly considered all issues, including those related to the Company’s reliability and operations, raised in the testimony and evidence presented by the parties to this proceeding and during public input hearings.  As a result of that consideration, the Joint Petitioners believe that the Settlement meaningfully addresses all such issues raised and, therefore, should be approved without modification.</w:t>
      </w:r>
    </w:p>
    <w:p w:rsidR="004311FC" w:rsidRDefault="004311FC" w:rsidP="004311FC">
      <w:pPr>
        <w:pStyle w:val="FirmDouble05"/>
        <w:spacing w:line="240" w:lineRule="auto"/>
        <w:ind w:left="1440" w:firstLine="0"/>
      </w:pPr>
    </w:p>
    <w:p w:rsidR="0034707B" w:rsidRDefault="0034707B" w:rsidP="004311FC">
      <w:pPr>
        <w:pStyle w:val="FirmDouble05"/>
        <w:numPr>
          <w:ilvl w:val="0"/>
          <w:numId w:val="27"/>
        </w:numPr>
        <w:spacing w:line="240" w:lineRule="auto"/>
      </w:pPr>
      <w:r>
        <w:t>All of the foregoing benefits are achieved while also conserving the time, resources and money that would otherwise have to be expended if this case were to be fully litigated.  Customers are direct beneficiaries of these savings.</w:t>
      </w:r>
    </w:p>
    <w:p w:rsidR="00A24BC8" w:rsidRDefault="00A24BC8" w:rsidP="00A24BC8">
      <w:pPr>
        <w:rPr>
          <w:rFonts w:ascii="Times New Roman" w:hAnsi="Times New Roman"/>
        </w:rPr>
      </w:pPr>
    </w:p>
    <w:p w:rsidR="00C743CC" w:rsidRPr="00506838" w:rsidRDefault="008A4270" w:rsidP="00A24BC8">
      <w:pPr>
        <w:rPr>
          <w:rFonts w:ascii="Times New Roman" w:hAnsi="Times New Roman"/>
          <w:u w:val="single"/>
        </w:rPr>
      </w:pPr>
      <w:r w:rsidRPr="008A4270">
        <w:rPr>
          <w:rFonts w:ascii="Times New Roman" w:hAnsi="Times New Roman"/>
        </w:rPr>
        <w:t>C.</w:t>
      </w:r>
      <w:r w:rsidRPr="008A4270">
        <w:rPr>
          <w:rFonts w:ascii="Times New Roman" w:hAnsi="Times New Roman"/>
        </w:rPr>
        <w:tab/>
      </w:r>
      <w:r w:rsidR="00506838" w:rsidRPr="00506838">
        <w:rPr>
          <w:rFonts w:ascii="Times New Roman" w:hAnsi="Times New Roman"/>
          <w:u w:val="single"/>
        </w:rPr>
        <w:t>OCA’s Statement in Support</w:t>
      </w:r>
    </w:p>
    <w:p w:rsidR="00506838" w:rsidRDefault="00506838" w:rsidP="001066F2">
      <w:pPr>
        <w:pStyle w:val="BodyText2"/>
        <w:spacing w:after="0" w:line="360" w:lineRule="auto"/>
        <w:rPr>
          <w:rFonts w:ascii="Times New Roman" w:hAnsi="Times New Roman"/>
        </w:rPr>
      </w:pPr>
    </w:p>
    <w:p w:rsidR="00D547E8" w:rsidRDefault="00F83127" w:rsidP="00D547E8">
      <w:pPr>
        <w:ind w:firstLine="720"/>
      </w:pPr>
      <w:r>
        <w:rPr>
          <w:rFonts w:eastAsiaTheme="minorHAnsi" w:cstheme="minorBidi"/>
          <w:szCs w:val="22"/>
        </w:rPr>
        <w:tab/>
      </w:r>
      <w:r w:rsidR="002236B9">
        <w:rPr>
          <w:rFonts w:eastAsiaTheme="minorHAnsi" w:cstheme="minorBidi"/>
          <w:szCs w:val="22"/>
        </w:rPr>
        <w:t xml:space="preserve">OCA submits the Settlement is in the public interest and the best interest of Penn Power’s ratepayers, and should be approved by the </w:t>
      </w:r>
      <w:r w:rsidR="00D547E8">
        <w:rPr>
          <w:rFonts w:eastAsiaTheme="minorHAnsi" w:cstheme="minorBidi"/>
          <w:szCs w:val="22"/>
        </w:rPr>
        <w:t>Commission without modification.  T</w:t>
      </w:r>
      <w:r w:rsidR="002236B9">
        <w:t>he Company will be permitted an increase in annual operating revenues of $17 million</w:t>
      </w:r>
      <w:r w:rsidR="00D547E8">
        <w:t xml:space="preserve">, which amount is </w:t>
      </w:r>
      <w:r w:rsidR="002236B9">
        <w:t>$12.6 million less than the amount originally requested by the Company.  On a total revenue basis (distribution, transmission, and generation), the increase is 5.2% as compared to the original request of 8.7%.</w:t>
      </w:r>
      <w:r w:rsidR="002236B9">
        <w:rPr>
          <w:rStyle w:val="FootnoteReference"/>
        </w:rPr>
        <w:footnoteReference w:id="17"/>
      </w:r>
      <w:r w:rsidR="00D547E8">
        <w:t xml:space="preserve">  </w:t>
      </w:r>
      <w:r w:rsidR="002236B9">
        <w:t xml:space="preserve">The increase includes revenue related to distribution and smart meters, as well as a storm reserve account that will be created under the Settlement and which is discussed in detail below in Section IV.  </w:t>
      </w:r>
    </w:p>
    <w:p w:rsidR="00D547E8" w:rsidRDefault="00D547E8" w:rsidP="00D547E8">
      <w:pPr>
        <w:ind w:firstLine="720"/>
      </w:pPr>
    </w:p>
    <w:p w:rsidR="002236B9" w:rsidRDefault="002236B9" w:rsidP="001066F2">
      <w:pPr>
        <w:ind w:firstLine="1440"/>
      </w:pPr>
      <w:r>
        <w:lastRenderedPageBreak/>
        <w:t xml:space="preserve">The Settlement represents a “black box” approach to all individual revenue requirement and return on equity issues, with the limited exceptions contained in the Settlement relating to smart meter and distribution system improvement charge (DSIC) matters.  </w:t>
      </w:r>
      <w:r>
        <w:rPr>
          <w:u w:val="single"/>
        </w:rPr>
        <w:t>See</w:t>
      </w:r>
      <w:r w:rsidRPr="007E0B34">
        <w:t xml:space="preserve"> </w:t>
      </w:r>
      <w:r>
        <w:t xml:space="preserve">Settlement ¶ 11(A)(7).   </w:t>
      </w:r>
      <w:r w:rsidR="001066F2">
        <w:t>OCA</w:t>
      </w:r>
      <w:r>
        <w:t xml:space="preserve"> submits that it is unlikely that the parties would have been able to reach a consensus on each of the disputed accounting and ratemaking issues raised in this matter, as policy and legal positions can differ widely.  However, where it is necessary to reference an ROE for smart meter purposes, the method of establishing an ROE has been agreed upon and is reflected in the Settlement at ¶ 11(A)(7).  Under the Settlement, the most recent Commission Bureau of Technical Utility Services Report on the Quarterly Earnings of Jurisdictional Utilities, Electric Distribution Companies’ Market Based Return on Common Equity (based on DCF methodology), Distribution System Improvement Charge Return will be used to set the ROE for smart meter surcharge purposes.</w:t>
      </w:r>
    </w:p>
    <w:p w:rsidR="001066F2" w:rsidRDefault="001066F2" w:rsidP="001066F2">
      <w:pPr>
        <w:ind w:firstLine="1440"/>
      </w:pPr>
    </w:p>
    <w:p w:rsidR="002236B9" w:rsidRDefault="00D547E8" w:rsidP="001066F2">
      <w:pPr>
        <w:ind w:firstLine="1440"/>
        <w:rPr>
          <w:kern w:val="32"/>
        </w:rPr>
      </w:pPr>
      <w:r>
        <w:rPr>
          <w:kern w:val="32"/>
        </w:rPr>
        <w:t xml:space="preserve">OCA points out </w:t>
      </w:r>
      <w:r w:rsidR="002236B9" w:rsidRPr="00CE68E5">
        <w:rPr>
          <w:kern w:val="32"/>
        </w:rPr>
        <w:t xml:space="preserve">the </w:t>
      </w:r>
      <w:r w:rsidR="002236B9">
        <w:rPr>
          <w:kern w:val="32"/>
        </w:rPr>
        <w:t xml:space="preserve">revenue increase under the </w:t>
      </w:r>
      <w:r w:rsidR="002236B9" w:rsidRPr="00CE68E5">
        <w:rPr>
          <w:kern w:val="32"/>
        </w:rPr>
        <w:t>Settlement represents a result that would be within the range of likely outcomes in the event of full litigation of the case</w:t>
      </w:r>
      <w:r>
        <w:rPr>
          <w:kern w:val="32"/>
        </w:rPr>
        <w:t xml:space="preserve">, </w:t>
      </w:r>
      <w:r w:rsidR="002236B9" w:rsidRPr="00CE68E5">
        <w:rPr>
          <w:kern w:val="32"/>
        </w:rPr>
        <w:t xml:space="preserve">is </w:t>
      </w:r>
      <w:r w:rsidR="002236B9">
        <w:rPr>
          <w:kern w:val="32"/>
        </w:rPr>
        <w:t>reasonable</w:t>
      </w:r>
      <w:r>
        <w:rPr>
          <w:kern w:val="32"/>
        </w:rPr>
        <w:t>,</w:t>
      </w:r>
      <w:r w:rsidR="002236B9" w:rsidRPr="00CE68E5">
        <w:rPr>
          <w:kern w:val="32"/>
        </w:rPr>
        <w:t xml:space="preserve"> and</w:t>
      </w:r>
      <w:r w:rsidR="002236B9">
        <w:rPr>
          <w:kern w:val="32"/>
        </w:rPr>
        <w:t xml:space="preserve"> yields a result that is in the public interest</w:t>
      </w:r>
      <w:r w:rsidR="002236B9" w:rsidRPr="00CE68E5">
        <w:rPr>
          <w:kern w:val="32"/>
        </w:rPr>
        <w:t xml:space="preserve">, </w:t>
      </w:r>
      <w:r w:rsidR="002236B9">
        <w:rPr>
          <w:kern w:val="32"/>
        </w:rPr>
        <w:t xml:space="preserve">particularly </w:t>
      </w:r>
      <w:r w:rsidR="002236B9" w:rsidRPr="00CE68E5">
        <w:rPr>
          <w:kern w:val="32"/>
        </w:rPr>
        <w:t>when accompanied by other important conditio</w:t>
      </w:r>
      <w:r w:rsidR="002236B9">
        <w:rPr>
          <w:kern w:val="32"/>
        </w:rPr>
        <w:t xml:space="preserve">ns contained in the Settlement such as Tariff modifications and the customer service, estimated billing, and reliability terms discussed in detail below in Sections VI and VII.  The increase agreed to in the Settlement provides adequate funding to allow the Company to improve its customer service and reliability metrics and maintain the safety and adequacy of its distribution system.  As such, </w:t>
      </w:r>
      <w:r w:rsidR="001066F2">
        <w:rPr>
          <w:kern w:val="32"/>
        </w:rPr>
        <w:t>OCA</w:t>
      </w:r>
      <w:r w:rsidR="002236B9">
        <w:rPr>
          <w:kern w:val="32"/>
        </w:rPr>
        <w:t xml:space="preserve"> submits that the increase agreed to in this Settlement is in the public interest and in the interest of Penn Power’s ratepayers, and should be approved by the Commission.</w:t>
      </w:r>
    </w:p>
    <w:p w:rsidR="00F83127" w:rsidRDefault="00F83127">
      <w:pPr>
        <w:spacing w:line="240" w:lineRule="auto"/>
        <w:rPr>
          <w:kern w:val="32"/>
        </w:rPr>
      </w:pPr>
    </w:p>
    <w:p w:rsidR="002236B9" w:rsidRDefault="002236B9" w:rsidP="001066F2">
      <w:pPr>
        <w:ind w:firstLine="1440"/>
      </w:pPr>
      <w:r>
        <w:t xml:space="preserve">The Settlement provides that Penn Power can increase base rates by amounts designed to produce a $17 million increase in annual operating revenues, in lieu of the increase of $29.6 million originally proposed by the Company.  </w:t>
      </w:r>
      <w:r w:rsidR="00D547E8">
        <w:t xml:space="preserve">Under the Settlement, </w:t>
      </w:r>
      <w:r>
        <w:t>the residential customer class will receive an</w:t>
      </w:r>
      <w:r w:rsidRPr="00664D2E">
        <w:t xml:space="preserve"> overa</w:t>
      </w:r>
      <w:r>
        <w:t>ll increase in distribution revenue of $9.28 million per year</w:t>
      </w:r>
      <w:r w:rsidRPr="00664D2E">
        <w:t xml:space="preserve"> or </w:t>
      </w:r>
      <w:r>
        <w:t>an 18.93</w:t>
      </w:r>
      <w:r w:rsidRPr="00885B68">
        <w:t>%</w:t>
      </w:r>
      <w:r>
        <w:t xml:space="preserve"> increase.</w:t>
      </w:r>
      <w:r>
        <w:rPr>
          <w:rStyle w:val="FootnoteReference"/>
        </w:rPr>
        <w:footnoteReference w:id="18"/>
      </w:r>
      <w:r>
        <w:t xml:space="preserve">  A</w:t>
      </w:r>
      <w:r w:rsidRPr="00664D2E">
        <w:t xml:space="preserve"> residential customer using 1000 kWh per month </w:t>
      </w:r>
      <w:r>
        <w:t>will</w:t>
      </w:r>
      <w:r w:rsidRPr="00664D2E">
        <w:t xml:space="preserve"> see their </w:t>
      </w:r>
      <w:r w:rsidRPr="00664D2E">
        <w:lastRenderedPageBreak/>
        <w:t>a</w:t>
      </w:r>
      <w:r>
        <w:t>verage total bill rise by $7.80</w:t>
      </w:r>
      <w:r w:rsidRPr="00664D2E">
        <w:t xml:space="preserve"> pe</w:t>
      </w:r>
      <w:r>
        <w:t>r month, from $104.76 to $112.56 rather than the $13.54 per month increase proposed by the Company</w:t>
      </w:r>
      <w:r w:rsidRPr="00664D2E">
        <w:t xml:space="preserve">.  </w:t>
      </w:r>
      <w:r>
        <w:t>This increase is $5.74 less per month than the increase originally proposed by the Company.  On a total monthly bill basis, a customer using 1,000 kWh would see a 7.45% increase rather than the 12.93% increase proposed by the Company.</w:t>
      </w:r>
    </w:p>
    <w:p w:rsidR="002236B9" w:rsidRDefault="002236B9" w:rsidP="001066F2">
      <w:pPr>
        <w:ind w:firstLine="720"/>
        <w:rPr>
          <w:kern w:val="32"/>
        </w:rPr>
      </w:pPr>
    </w:p>
    <w:p w:rsidR="002236B9" w:rsidRPr="00B910B2" w:rsidRDefault="002236B9" w:rsidP="001066F2">
      <w:pPr>
        <w:ind w:firstLine="1440"/>
        <w:rPr>
          <w:rFonts w:eastAsia="Calibri"/>
        </w:rPr>
      </w:pPr>
      <w:r w:rsidRPr="009366BF">
        <w:rPr>
          <w:rFonts w:eastAsia="Calibri"/>
        </w:rPr>
        <w:t xml:space="preserve">Based on </w:t>
      </w:r>
      <w:r w:rsidR="001066F2">
        <w:rPr>
          <w:rFonts w:eastAsia="Calibri"/>
        </w:rPr>
        <w:t>OCA</w:t>
      </w:r>
      <w:r w:rsidRPr="009366BF">
        <w:rPr>
          <w:rFonts w:eastAsia="Calibri"/>
        </w:rPr>
        <w:t xml:space="preserve">’s review of the cost of service studies presented in this proceeding and the varying revenue allocation proposals presented by other parties, </w:t>
      </w:r>
      <w:r w:rsidR="001066F2">
        <w:rPr>
          <w:rFonts w:eastAsia="Calibri"/>
        </w:rPr>
        <w:t>OCA</w:t>
      </w:r>
      <w:r w:rsidRPr="009366BF">
        <w:rPr>
          <w:rFonts w:eastAsia="Calibri"/>
        </w:rPr>
        <w:t xml:space="preserve"> views the Settlement to be within the range of reasonable outcomes that would result from the full litigation of this case.  </w:t>
      </w:r>
      <w:r>
        <w:t xml:space="preserve">The Settlement allocation is consistent with moving all classes toward the system average rate of return and is, therefore, in the public interest.  That is, the Settlement balances the need to allocate costs according to cost of service with the need to adhere to the ratemaking principle of gradualism.  The Settlement allocation represents a compromise of the parties that moves all classes closer to the system average without providing any one class with an allocation that would cause rate shock.  The Settlement is therefore reasonable, and when accompanied by other important conditions contained in the proposed Settlement, yields a result that is just and reasonable, in the public interest, and should be approved. </w:t>
      </w:r>
    </w:p>
    <w:p w:rsidR="002236B9" w:rsidRDefault="002236B9" w:rsidP="001066F2">
      <w:pPr>
        <w:rPr>
          <w:b/>
        </w:rPr>
      </w:pPr>
      <w:r>
        <w:rPr>
          <w:b/>
        </w:rPr>
        <w:tab/>
      </w:r>
    </w:p>
    <w:p w:rsidR="002236B9" w:rsidRDefault="002236B9" w:rsidP="003864E7">
      <w:pPr>
        <w:ind w:firstLine="1440"/>
        <w:rPr>
          <w:b/>
          <w:color w:val="000000"/>
        </w:rPr>
      </w:pPr>
      <w:r>
        <w:rPr>
          <w:bCs/>
        </w:rPr>
        <w:t xml:space="preserve">The Settlement provides that Penn Power’s monthly residential customer charge will increase from $8.89 to $10.85, or 22.05%.  </w:t>
      </w:r>
      <w:r w:rsidR="001066F2">
        <w:t>OCA</w:t>
      </w:r>
      <w:r>
        <w:t xml:space="preserve"> submits that eliminating most of the customer charge increase will benefit residential customers.  By providing a customer charge $1.86 lower than the Company’s proposed charge and recovering the remaining revenue through the energy charges, the energy charges can provide necessary signals to customers regarding conservation. </w:t>
      </w:r>
      <w:r w:rsidRPr="00970640">
        <w:rPr>
          <w:u w:val="single"/>
        </w:rPr>
        <w:t>See</w:t>
      </w:r>
      <w:r>
        <w:t xml:space="preserve"> OCA St. No. 3 at 34.</w:t>
      </w:r>
      <w:r w:rsidR="00D547E8">
        <w:t xml:space="preserve">   Therefore, </w:t>
      </w:r>
      <w:r w:rsidR="001066F2">
        <w:t>OCA</w:t>
      </w:r>
      <w:r>
        <w:t xml:space="preserve"> submits that the residential rate design established through the Settlement is reasonable and consistent with sound ratemaking principles. </w:t>
      </w:r>
      <w:r>
        <w:rPr>
          <w:color w:val="000000"/>
        </w:rPr>
        <w:t>Combined with a $12.6 million lower revenue increase than the Company sought, these rate design changes result in rates that are significantly below the rates originally proposed by the Company and within the range of the likely outcomes in the event of full litigation of the case.</w:t>
      </w:r>
    </w:p>
    <w:p w:rsidR="00031F82" w:rsidRDefault="008A4270" w:rsidP="008A4270">
      <w:pPr>
        <w:ind w:firstLine="720"/>
        <w:rPr>
          <w:color w:val="000000"/>
        </w:rPr>
      </w:pPr>
      <w:r w:rsidRPr="00EF232A">
        <w:rPr>
          <w:color w:val="000000"/>
        </w:rPr>
        <w:t xml:space="preserve"> </w:t>
      </w:r>
      <w:r w:rsidRPr="00EF232A">
        <w:rPr>
          <w:color w:val="000000"/>
        </w:rPr>
        <w:tab/>
      </w:r>
    </w:p>
    <w:p w:rsidR="00031F82" w:rsidRDefault="00031F82">
      <w:pPr>
        <w:spacing w:line="240" w:lineRule="auto"/>
        <w:rPr>
          <w:color w:val="000000"/>
        </w:rPr>
      </w:pPr>
      <w:r>
        <w:rPr>
          <w:color w:val="000000"/>
        </w:rPr>
        <w:br w:type="page"/>
      </w:r>
    </w:p>
    <w:p w:rsidR="002236B9" w:rsidRPr="00EF232A" w:rsidRDefault="00031F82" w:rsidP="008A4270">
      <w:pPr>
        <w:ind w:firstLine="720"/>
        <w:rPr>
          <w:color w:val="000000"/>
          <w:u w:val="single"/>
        </w:rPr>
      </w:pPr>
      <w:r>
        <w:rPr>
          <w:color w:val="000000"/>
          <w:u w:val="single"/>
        </w:rPr>
        <w:lastRenderedPageBreak/>
        <w:t>S</w:t>
      </w:r>
      <w:r w:rsidR="008A4270" w:rsidRPr="00EF232A">
        <w:rPr>
          <w:color w:val="000000"/>
          <w:u w:val="single"/>
        </w:rPr>
        <w:t>torm Damage Reserve Account</w:t>
      </w:r>
    </w:p>
    <w:p w:rsidR="002236B9" w:rsidRDefault="002236B9" w:rsidP="001066F2">
      <w:pPr>
        <w:ind w:firstLine="720"/>
        <w:rPr>
          <w:color w:val="000000"/>
        </w:rPr>
      </w:pPr>
    </w:p>
    <w:p w:rsidR="002236B9" w:rsidRDefault="002236B9" w:rsidP="00D547E8">
      <w:pPr>
        <w:ind w:firstLine="1440"/>
      </w:pPr>
      <w:r>
        <w:rPr>
          <w:color w:val="000000"/>
        </w:rPr>
        <w:t xml:space="preserve">In its filing, the Company proposed to adopt a new Storm Damage Charge Rider (Storm Rider) to recover storm damage expenses.  </w:t>
      </w:r>
      <w:r w:rsidR="001066F2">
        <w:rPr>
          <w:color w:val="000000"/>
        </w:rPr>
        <w:t>OCA</w:t>
      </w:r>
      <w:r>
        <w:rPr>
          <w:color w:val="000000"/>
        </w:rPr>
        <w:t xml:space="preserve"> opposed the creation of a Storm Rider for a number of reasons, as explained by OCA witnesses Alexander and Smith.  </w:t>
      </w:r>
      <w:r>
        <w:rPr>
          <w:color w:val="000000"/>
          <w:u w:val="single"/>
        </w:rPr>
        <w:t>See</w:t>
      </w:r>
      <w:r>
        <w:rPr>
          <w:color w:val="000000"/>
        </w:rPr>
        <w:t xml:space="preserve"> OCA St. No. 5 at 66-73; OCA St. No. 1R.  The Settlement provides for the creation of a storm reserve account that is structured in the way that OCA witness Smith described in his Rebuttal Testimony.  </w:t>
      </w:r>
      <w:r>
        <w:t xml:space="preserve">Settlement ¶ 11(A)(4).  This provision addresses the concerns raised by </w:t>
      </w:r>
      <w:r w:rsidR="001066F2">
        <w:t>OCA</w:t>
      </w:r>
      <w:r>
        <w:t xml:space="preserve"> in that it maintains the checks and balances provided by Commission oversight that would have been removed with the use of the Storm Damage Charge Rider</w:t>
      </w:r>
      <w:r w:rsidR="00D547E8">
        <w:t>, and t</w:t>
      </w:r>
      <w:r>
        <w:t>his method allows the Company to account for storm expenses based on a five-year average of historical storm damage expenses, while continuing to require the Company to petition the Commission for approval for deferral accounting of extraordinary storm damage expenses.  For these reasons, the creation of a storm reserve account in the Settlement is in the public interest and should be approved.</w:t>
      </w:r>
    </w:p>
    <w:p w:rsidR="002236B9" w:rsidRPr="00C9447F" w:rsidRDefault="002236B9" w:rsidP="001066F2">
      <w:pPr>
        <w:pStyle w:val="OutlineL4"/>
        <w:numPr>
          <w:ilvl w:val="0"/>
          <w:numId w:val="0"/>
        </w:numPr>
        <w:spacing w:before="0" w:line="360" w:lineRule="auto"/>
        <w:outlineLvl w:val="9"/>
        <w:rPr>
          <w:lang w:val="en-US"/>
        </w:rPr>
      </w:pPr>
    </w:p>
    <w:p w:rsidR="002236B9" w:rsidRPr="000B1249" w:rsidRDefault="008A4270" w:rsidP="008A4270">
      <w:pPr>
        <w:ind w:firstLine="720"/>
        <w:rPr>
          <w:u w:val="single"/>
        </w:rPr>
      </w:pPr>
      <w:r w:rsidRPr="000B1249">
        <w:t xml:space="preserve"> </w:t>
      </w:r>
      <w:r w:rsidRPr="000B1249">
        <w:tab/>
      </w:r>
      <w:r w:rsidRPr="000B1249">
        <w:rPr>
          <w:u w:val="single"/>
        </w:rPr>
        <w:t>Universal Service and Customer Assistance Programs</w:t>
      </w:r>
      <w:r w:rsidR="00D547E8">
        <w:rPr>
          <w:u w:val="single"/>
        </w:rPr>
        <w:t xml:space="preserve"> </w:t>
      </w:r>
    </w:p>
    <w:p w:rsidR="002236B9" w:rsidRDefault="002236B9" w:rsidP="001066F2"/>
    <w:p w:rsidR="002236B9" w:rsidRDefault="002236B9" w:rsidP="00D547E8">
      <w:pPr>
        <w:ind w:firstLine="1440"/>
      </w:pPr>
      <w:r>
        <w:t xml:space="preserve">The Settlement addresses some of the key concerns raised by OCA witness Colton regarding the Company’s proposed cost recovery mechanism for its universal service program.  </w:t>
      </w:r>
      <w:r w:rsidR="001066F2">
        <w:t>OCA</w:t>
      </w:r>
      <w:r>
        <w:t xml:space="preserve"> submits that this </w:t>
      </w:r>
      <w:r w:rsidR="00D547E8">
        <w:t xml:space="preserve">Settlement </w:t>
      </w:r>
      <w:r>
        <w:t xml:space="preserve">adequately addresses </w:t>
      </w:r>
      <w:r w:rsidR="00D547E8">
        <w:t>OCA’s</w:t>
      </w:r>
      <w:r>
        <w:t xml:space="preserve"> concerns regarding the need for offsets to avoid double-recovery of CAP Credits and arrearage forgiveness credits for purposes of this Settlement.  The Settlement provisions are reasonable and in the public interest.</w:t>
      </w:r>
    </w:p>
    <w:p w:rsidR="002236B9" w:rsidRPr="000A4B89" w:rsidRDefault="002236B9" w:rsidP="001066F2">
      <w:pPr>
        <w:ind w:firstLine="1350"/>
      </w:pPr>
    </w:p>
    <w:p w:rsidR="002236B9" w:rsidRPr="000B1249" w:rsidRDefault="005F08E7" w:rsidP="005F08E7">
      <w:pPr>
        <w:ind w:firstLine="720"/>
      </w:pPr>
      <w:r w:rsidRPr="000B1249">
        <w:t xml:space="preserve"> </w:t>
      </w:r>
      <w:r w:rsidRPr="000B1249">
        <w:tab/>
      </w:r>
      <w:r w:rsidRPr="000B1249">
        <w:rPr>
          <w:u w:val="single"/>
        </w:rPr>
        <w:t>Tariff</w:t>
      </w:r>
      <w:r w:rsidR="002236B9" w:rsidRPr="000B1249">
        <w:rPr>
          <w:u w:val="single"/>
        </w:rPr>
        <w:t xml:space="preserve"> </w:t>
      </w:r>
    </w:p>
    <w:p w:rsidR="002236B9" w:rsidRDefault="002236B9" w:rsidP="001066F2">
      <w:pPr>
        <w:ind w:firstLine="720"/>
      </w:pPr>
    </w:p>
    <w:p w:rsidR="002236B9" w:rsidRDefault="002236B9" w:rsidP="001066F2">
      <w:pPr>
        <w:ind w:firstLine="1440"/>
      </w:pPr>
      <w:r>
        <w:t xml:space="preserve">In its filing, the Company proposed to re-write its Tariff as presented by Company witness </w:t>
      </w:r>
      <w:proofErr w:type="spellStart"/>
      <w:r>
        <w:t>Bortz</w:t>
      </w:r>
      <w:proofErr w:type="spellEnd"/>
      <w:r>
        <w:t xml:space="preserve">.  </w:t>
      </w:r>
      <w:r w:rsidRPr="00B53B3E">
        <w:rPr>
          <w:u w:val="single"/>
        </w:rPr>
        <w:t>See</w:t>
      </w:r>
      <w:r w:rsidRPr="00B53B3E">
        <w:t xml:space="preserve"> </w:t>
      </w:r>
      <w:r>
        <w:t>Penn Power</w:t>
      </w:r>
      <w:r w:rsidRPr="00B53B3E">
        <w:t xml:space="preserve"> St. No. 3</w:t>
      </w:r>
      <w:r>
        <w:t xml:space="preserve">.  </w:t>
      </w:r>
      <w:r w:rsidR="001066F2">
        <w:t>OCA</w:t>
      </w:r>
      <w:r w:rsidR="00D547E8">
        <w:t xml:space="preserve"> </w:t>
      </w:r>
      <w:r>
        <w:t xml:space="preserve">identified four high-level concerns with the proposed re-write, as follows: 1) the Company sought to eliminate some consumer protections that were more liberal than those under Chapter 56 of the Commission’s regulations, 52 Pa. Code § 56.1, </w:t>
      </w:r>
      <w:r w:rsidRPr="00EE6739">
        <w:rPr>
          <w:i/>
        </w:rPr>
        <w:t>et seq.</w:t>
      </w:r>
      <w:r>
        <w:t xml:space="preserve">; 2) the proposed Tariff was not entirely clear as to whether certain language complies with Chapter 56; 3) the Company’s use of the phrase “sole discretion” throughout the </w:t>
      </w:r>
      <w:r>
        <w:lastRenderedPageBreak/>
        <w:t xml:space="preserve">proposed Tariff; and 4) the proposed Tariff did not explicitly explain the Company’s billing policies relating to estimated billing.  </w:t>
      </w:r>
      <w:r w:rsidRPr="002D61B2">
        <w:rPr>
          <w:u w:val="single"/>
        </w:rPr>
        <w:t>See</w:t>
      </w:r>
      <w:r>
        <w:t xml:space="preserve"> OCA St. No. 5 at 75-76.  </w:t>
      </w:r>
      <w:r w:rsidR="00D547E8">
        <w:t>OCA’s</w:t>
      </w:r>
      <w:r>
        <w:t xml:space="preserve"> recommendations were as follows: 1) the Company’s historic consumer protections should continue; 2) the Chapter 56 references should be more detailed; 3) the phrase “sole discretion” should be removed from the Tariff; and 4) estimated billing policies should be more clearly explained.  </w:t>
      </w:r>
      <w:r w:rsidRPr="00F55142">
        <w:rPr>
          <w:u w:val="single"/>
        </w:rPr>
        <w:t>See</w:t>
      </w:r>
      <w:r>
        <w:t xml:space="preserve"> OCA St. No. 5 at 75-76. </w:t>
      </w:r>
    </w:p>
    <w:p w:rsidR="002236B9" w:rsidRDefault="002236B9" w:rsidP="001066F2">
      <w:pPr>
        <w:ind w:firstLine="720"/>
      </w:pPr>
    </w:p>
    <w:p w:rsidR="002236B9" w:rsidRDefault="00D547E8" w:rsidP="002236B9">
      <w:pPr>
        <w:ind w:firstLine="1440"/>
        <w:rPr>
          <w:color w:val="000000"/>
        </w:rPr>
      </w:pPr>
      <w:r>
        <w:t>OCA notes ce</w:t>
      </w:r>
      <w:r w:rsidR="002236B9">
        <w:t xml:space="preserve">rtain changes were made to Penn Power’s Tariff </w:t>
      </w:r>
      <w:r w:rsidR="00143582">
        <w:t>and the agreed upon</w:t>
      </w:r>
      <w:r w:rsidR="002236B9">
        <w:t xml:space="preserve"> clarifications provide residential customers with clear information that permits them to understand the Company’s meter reading </w:t>
      </w:r>
      <w:r w:rsidR="00143582">
        <w:t xml:space="preserve">and estimated billing </w:t>
      </w:r>
      <w:r w:rsidR="002236B9">
        <w:t>policies and assurances that those policies comply with the Commission’s consumer protections under Chapter 56.</w:t>
      </w:r>
      <w:r w:rsidR="00143582">
        <w:t xml:space="preserve">  </w:t>
      </w:r>
      <w:r w:rsidR="001066F2">
        <w:t>OCA</w:t>
      </w:r>
      <w:r w:rsidR="002236B9">
        <w:t xml:space="preserve"> submits that the modifications to Penn Power’s Tariff will aid customers in understanding the Company’s Rules and policies, while lessening potential confusion. The Tariff modifications will also allow customers to be more informed about their rights and is therefore in the public interest. </w:t>
      </w:r>
      <w:r w:rsidR="002236B9">
        <w:rPr>
          <w:color w:val="000000"/>
        </w:rPr>
        <w:t>  </w:t>
      </w:r>
    </w:p>
    <w:p w:rsidR="002236B9" w:rsidRDefault="002236B9" w:rsidP="002236B9">
      <w:pPr>
        <w:ind w:firstLine="1440"/>
        <w:rPr>
          <w:color w:val="000000"/>
        </w:rPr>
      </w:pPr>
    </w:p>
    <w:p w:rsidR="002236B9" w:rsidRPr="00D905F1" w:rsidRDefault="005F08E7" w:rsidP="005F08E7">
      <w:pPr>
        <w:ind w:firstLine="720"/>
        <w:rPr>
          <w:u w:val="single"/>
        </w:rPr>
      </w:pPr>
      <w:r w:rsidRPr="00D905F1">
        <w:t xml:space="preserve"> </w:t>
      </w:r>
      <w:r w:rsidRPr="00D905F1">
        <w:tab/>
      </w:r>
      <w:r w:rsidRPr="00D905F1">
        <w:rPr>
          <w:u w:val="single"/>
        </w:rPr>
        <w:t xml:space="preserve">Customer Service and Reliability </w:t>
      </w:r>
    </w:p>
    <w:p w:rsidR="002236B9" w:rsidRDefault="002236B9" w:rsidP="002236B9">
      <w:pPr>
        <w:ind w:firstLine="720"/>
      </w:pPr>
    </w:p>
    <w:p w:rsidR="002236B9" w:rsidRDefault="002236B9" w:rsidP="002236B9">
      <w:pPr>
        <w:ind w:firstLine="1440"/>
      </w:pPr>
      <w:r>
        <w:t>The Settlement provides for a number of customer service, estimated billing, and reliability provisions designed to ensure that the Company’s customers receive adequate and reliable service and customer service performance at reasonable levels.</w:t>
      </w:r>
    </w:p>
    <w:p w:rsidR="00761641" w:rsidRDefault="00761641" w:rsidP="002236B9">
      <w:pPr>
        <w:ind w:firstLine="1440"/>
      </w:pPr>
    </w:p>
    <w:p w:rsidR="002236B9" w:rsidRPr="00F06B0A" w:rsidRDefault="005F08E7" w:rsidP="005F08E7">
      <w:pPr>
        <w:pStyle w:val="ListParagraph"/>
        <w:ind w:left="0" w:firstLine="720"/>
      </w:pPr>
      <w:r w:rsidRPr="00F06B0A">
        <w:t xml:space="preserve"> </w:t>
      </w:r>
      <w:r w:rsidRPr="00F06B0A">
        <w:tab/>
      </w:r>
      <w:r w:rsidR="002236B9" w:rsidRPr="00F06B0A">
        <w:rPr>
          <w:u w:val="single"/>
        </w:rPr>
        <w:t>Customer Service and Estimated Billing</w:t>
      </w:r>
    </w:p>
    <w:p w:rsidR="002236B9" w:rsidRDefault="002236B9" w:rsidP="002236B9"/>
    <w:p w:rsidR="002236B9" w:rsidRDefault="002236B9" w:rsidP="002236B9">
      <w:pPr>
        <w:ind w:firstLine="1440"/>
      </w:pPr>
      <w:r>
        <w:t xml:space="preserve">The Settlement provides </w:t>
      </w:r>
      <w:r w:rsidR="00143582">
        <w:t>the</w:t>
      </w:r>
      <w:r>
        <w:t xml:space="preserve"> Company will improve, then maintain a call answering rate of at least 80% within thirty seconds beginning with the twelve-month period ending December 31, 2016. Additionally, the Company will reduce the number of residential customer disputes not receiving a response within thirty days to no more than sixty beginning with the twelve-month period ending December 31, 2016.  Furthermore, the Settlement includes a number of provisions designed to address the issues related to estimated billing, based in part on Ms. Alexander’s testimony and the public input testimony on this issue.  </w:t>
      </w:r>
      <w:r>
        <w:rPr>
          <w:u w:val="single"/>
        </w:rPr>
        <w:t>See</w:t>
      </w:r>
      <w:r>
        <w:t xml:space="preserve"> Public Input Hearing Transcript at 168-183 (Erie, PA on Nov. 10, 2014).  First, the Company committed to </w:t>
      </w:r>
      <w:r>
        <w:lastRenderedPageBreak/>
        <w:t xml:space="preserve">continue reading residential meters on a monthly basis.  Settlement ¶ 11(D)(5).  Second, the Company will document the specific basis for failing to read residential meters monthly, if such a situation arises, and will categorize the reasons for non-reading.  The Company will submit this documentation in an annual report to the statutory advocates.  Settlement ¶ 11(D)(6).  Third, the Company will revise its website and consumer education materials to explain that the Company’s standard practice is to issue bills on actual meter reads monthly and the procedure for self-reading in the event an actual read is not taken by the Company.  Settlement ¶ 11(D)(7).  Fourth, the Company will provide its estimated billing algorithm to </w:t>
      </w:r>
      <w:r w:rsidR="001066F2">
        <w:t>OCA</w:t>
      </w:r>
      <w:r>
        <w:t xml:space="preserve"> and other statutory advocates and will provide Company personnel to answer questions about the algorithm. The Company will also audit the accuracy and performance of the algorithm and provide a report and proposed modifications (if necessary) after the first year of use.  Settlement ¶ 11(D)(8).  </w:t>
      </w:r>
    </w:p>
    <w:p w:rsidR="001066F2" w:rsidRDefault="001066F2" w:rsidP="002236B9">
      <w:pPr>
        <w:ind w:firstLine="1440"/>
      </w:pPr>
    </w:p>
    <w:p w:rsidR="002236B9" w:rsidRDefault="002236B9" w:rsidP="002236B9">
      <w:pPr>
        <w:ind w:firstLine="1440"/>
      </w:pPr>
      <w:r>
        <w:t xml:space="preserve">These Settlement provisions provide the Company’s customers with clear information about how the Company bills its residential customers.  Additionally, the terms put in place mechanisms for the parties to review the performance of the Company’s meter reading and estimated billing policies to better ensure compliance with Chapter 56 and the issuance of reasonable bills to customers.  As such, </w:t>
      </w:r>
      <w:r w:rsidR="001066F2">
        <w:t>OCA</w:t>
      </w:r>
      <w:r>
        <w:t xml:space="preserve"> submits that these provisions are in the public interest.</w:t>
      </w:r>
    </w:p>
    <w:p w:rsidR="009B5EC6" w:rsidRPr="00F9291F" w:rsidRDefault="009B5EC6" w:rsidP="002236B9">
      <w:pPr>
        <w:ind w:firstLine="1440"/>
      </w:pPr>
    </w:p>
    <w:p w:rsidR="002236B9" w:rsidRPr="009B5EC6" w:rsidRDefault="002236B9" w:rsidP="002236B9">
      <w:pPr>
        <w:ind w:firstLine="720"/>
        <w:rPr>
          <w:u w:val="single"/>
        </w:rPr>
      </w:pPr>
      <w:r w:rsidRPr="009B5EC6">
        <w:tab/>
      </w:r>
      <w:r w:rsidRPr="009B5EC6">
        <w:rPr>
          <w:u w:val="single"/>
        </w:rPr>
        <w:t>Reliability</w:t>
      </w:r>
    </w:p>
    <w:p w:rsidR="002236B9" w:rsidRDefault="002236B9" w:rsidP="002236B9">
      <w:pPr>
        <w:ind w:firstLine="720"/>
      </w:pPr>
    </w:p>
    <w:p w:rsidR="002236B9" w:rsidRDefault="002236B9" w:rsidP="002236B9">
      <w:pPr>
        <w:ind w:firstLine="1440"/>
      </w:pPr>
      <w:r>
        <w:t xml:space="preserve">The Settlement also provides that the Company will consistently meet the Commission’s </w:t>
      </w:r>
      <w:r w:rsidR="00143582">
        <w:t xml:space="preserve">measurement and performance </w:t>
      </w:r>
      <w:r>
        <w:t>standards</w:t>
      </w:r>
      <w:r w:rsidRPr="00AF744A">
        <w:rPr>
          <w:vertAlign w:val="superscript"/>
        </w:rPr>
        <w:footnoteReference w:id="19"/>
      </w:r>
      <w:r>
        <w:t xml:space="preserve"> and strive to achieve reliability performance at or better than the Commi</w:t>
      </w:r>
      <w:r w:rsidR="00143582">
        <w:t>ssion’s performance benchmarks.  T</w:t>
      </w:r>
      <w:r>
        <w:t xml:space="preserve">he Company will provide a report to </w:t>
      </w:r>
      <w:r w:rsidR="001066F2">
        <w:t>OCA</w:t>
      </w:r>
      <w:r>
        <w:t xml:space="preserve"> and other interested parties in the event that the Company does not meet any of the performance standards and the corrective actions the Company plans to take to rectify the failure.  Finally, the Settlement includes a term that precludes the Company from requesting </w:t>
      </w:r>
      <w:r>
        <w:lastRenderedPageBreak/>
        <w:t>any return on equity premium based on estimated meter reading, customer service, or reliability performance in its next base rate proceeding if the Company fails to consistently meet the requirements of this Settlement with regard to the customer service, reliability, or estimated billing terms. Settlement ¶ 11(F)(3).</w:t>
      </w:r>
    </w:p>
    <w:p w:rsidR="002236B9" w:rsidRDefault="002236B9" w:rsidP="002236B9">
      <w:pPr>
        <w:numPr>
          <w:ilvl w:val="12"/>
          <w:numId w:val="0"/>
        </w:numPr>
        <w:ind w:firstLine="720"/>
      </w:pPr>
    </w:p>
    <w:p w:rsidR="002236B9" w:rsidRDefault="001066F2" w:rsidP="002236B9">
      <w:pPr>
        <w:numPr>
          <w:ilvl w:val="12"/>
          <w:numId w:val="0"/>
        </w:numPr>
        <w:ind w:firstLine="1440"/>
        <w:rPr>
          <w:bCs/>
        </w:rPr>
      </w:pPr>
      <w:r>
        <w:t>OCA</w:t>
      </w:r>
      <w:r w:rsidR="002236B9">
        <w:rPr>
          <w:bCs/>
        </w:rPr>
        <w:t xml:space="preserve"> submits the reliability provisions provide affirmative benefits and are in the public interest.  These initiatives could add to and enhance the commitments that were the focus of </w:t>
      </w:r>
      <w:r>
        <w:rPr>
          <w:bCs/>
        </w:rPr>
        <w:t>OCA</w:t>
      </w:r>
      <w:r w:rsidR="002236B9">
        <w:rPr>
          <w:bCs/>
        </w:rPr>
        <w:t xml:space="preserve">’s concerns.  The reliability benefits in the Settlement are designed to help the Company achieve and maintain an adequate and reliable level of service and are therefore in the public interest. </w:t>
      </w:r>
    </w:p>
    <w:p w:rsidR="00B513F5" w:rsidRDefault="00B513F5" w:rsidP="002236B9">
      <w:pPr>
        <w:rPr>
          <w:b/>
        </w:rPr>
      </w:pPr>
    </w:p>
    <w:p w:rsidR="002236B9" w:rsidRPr="00EF0CD7" w:rsidRDefault="005F08E7" w:rsidP="005F08E7">
      <w:pPr>
        <w:ind w:firstLine="720"/>
        <w:rPr>
          <w:u w:val="single"/>
        </w:rPr>
      </w:pPr>
      <w:r w:rsidRPr="00EF0CD7">
        <w:t xml:space="preserve"> </w:t>
      </w:r>
      <w:r w:rsidRPr="00EF0CD7">
        <w:tab/>
      </w:r>
      <w:r w:rsidRPr="00EF0CD7">
        <w:rPr>
          <w:u w:val="single"/>
        </w:rPr>
        <w:t>Conclusion</w:t>
      </w:r>
    </w:p>
    <w:p w:rsidR="005F08E7" w:rsidRDefault="005F08E7" w:rsidP="002236B9"/>
    <w:p w:rsidR="002236B9" w:rsidRDefault="002236B9" w:rsidP="002236B9">
      <w:r>
        <w:tab/>
      </w:r>
      <w:r>
        <w:tab/>
      </w:r>
      <w:r w:rsidR="001066F2">
        <w:t>OCA</w:t>
      </w:r>
      <w:r>
        <w:t xml:space="preserve"> submits that the terms and conditions of the proposed Settlement of this rate investigation, taken as a whole, represent a fair and reasonable resolution of the issues raised by </w:t>
      </w:r>
      <w:r w:rsidR="001066F2">
        <w:t>OCA</w:t>
      </w:r>
      <w:r>
        <w:t xml:space="preserve"> in this matter.  Therefore, </w:t>
      </w:r>
      <w:r w:rsidR="001066F2">
        <w:t>OCA</w:t>
      </w:r>
      <w:r>
        <w:t xml:space="preserve"> submits that the Settlement should be approved by the Commission without modification as being in the public interest.</w:t>
      </w:r>
    </w:p>
    <w:p w:rsidR="00506838" w:rsidRDefault="00506838" w:rsidP="00506838">
      <w:pPr>
        <w:rPr>
          <w:rFonts w:ascii="Times New Roman" w:hAnsi="Times New Roman"/>
        </w:rPr>
      </w:pPr>
    </w:p>
    <w:p w:rsidR="00506838" w:rsidRDefault="006326C1" w:rsidP="00A24BC8">
      <w:pPr>
        <w:rPr>
          <w:rFonts w:ascii="Times New Roman" w:hAnsi="Times New Roman"/>
        </w:rPr>
      </w:pPr>
      <w:r>
        <w:rPr>
          <w:rFonts w:ascii="Times New Roman" w:hAnsi="Times New Roman"/>
        </w:rPr>
        <w:t>D</w:t>
      </w:r>
      <w:r w:rsidR="00010BA8" w:rsidRPr="00010BA8">
        <w:rPr>
          <w:rFonts w:ascii="Times New Roman" w:hAnsi="Times New Roman"/>
        </w:rPr>
        <w:t>.</w:t>
      </w:r>
      <w:r w:rsidR="00010BA8" w:rsidRPr="00010BA8">
        <w:rPr>
          <w:rFonts w:ascii="Times New Roman" w:hAnsi="Times New Roman"/>
        </w:rPr>
        <w:tab/>
      </w:r>
      <w:r w:rsidR="00506838">
        <w:rPr>
          <w:rFonts w:ascii="Times New Roman" w:hAnsi="Times New Roman"/>
          <w:u w:val="single"/>
        </w:rPr>
        <w:t>OSBA’s Statement in Support</w:t>
      </w:r>
    </w:p>
    <w:p w:rsidR="00506838" w:rsidRPr="003D6DE0" w:rsidRDefault="00506838" w:rsidP="003D6DE0">
      <w:pPr>
        <w:pStyle w:val="BodyText2"/>
        <w:spacing w:after="0" w:line="360" w:lineRule="auto"/>
        <w:rPr>
          <w:rFonts w:ascii="Times New Roman" w:hAnsi="Times New Roman"/>
        </w:rPr>
      </w:pPr>
    </w:p>
    <w:p w:rsidR="003D6DE0" w:rsidRPr="003D6DE0" w:rsidRDefault="003D6DE0" w:rsidP="003D6DE0">
      <w:pPr>
        <w:pStyle w:val="OutlineL3"/>
        <w:numPr>
          <w:ilvl w:val="0"/>
          <w:numId w:val="0"/>
        </w:numPr>
        <w:spacing w:before="0" w:after="0" w:line="360" w:lineRule="auto"/>
        <w:ind w:firstLine="1440"/>
        <w:outlineLvl w:val="9"/>
      </w:pPr>
      <w:r w:rsidRPr="003D6DE0">
        <w:t xml:space="preserve">OSBA deemed small business customers were generally represented in the GSS and GSM rate classes.  </w:t>
      </w:r>
      <w:r w:rsidRPr="003D6DE0">
        <w:rPr>
          <w:lang w:val="en-US"/>
        </w:rPr>
        <w:t xml:space="preserve">Originally, </w:t>
      </w:r>
      <w:r w:rsidRPr="003D6DE0">
        <w:t>OSBA was concerned that the filed cost allocation study contained certain modest methodological errors, but that, to the extent these errors could be corrected, the overall results of Penn Power’s filed cost allocation study changed only modestly.</w:t>
      </w:r>
    </w:p>
    <w:p w:rsidR="003D6DE0" w:rsidRDefault="003D6DE0" w:rsidP="003D6DE0">
      <w:pPr>
        <w:pStyle w:val="ListParagraph"/>
        <w:ind w:left="0"/>
        <w:rPr>
          <w:rFonts w:ascii="Times New Roman" w:hAnsi="Times New Roman"/>
          <w:szCs w:val="24"/>
        </w:rPr>
      </w:pPr>
    </w:p>
    <w:p w:rsidR="003D6DE0" w:rsidRDefault="003D6DE0" w:rsidP="003D6DE0">
      <w:pPr>
        <w:pStyle w:val="ListParagraph"/>
        <w:ind w:left="0" w:firstLine="1440"/>
        <w:rPr>
          <w:rFonts w:ascii="Times New Roman" w:hAnsi="Times New Roman"/>
          <w:szCs w:val="24"/>
        </w:rPr>
      </w:pPr>
      <w:r w:rsidRPr="003D6DE0">
        <w:rPr>
          <w:rFonts w:ascii="Times New Roman" w:hAnsi="Times New Roman"/>
          <w:szCs w:val="24"/>
        </w:rPr>
        <w:t xml:space="preserve">Regarding revenue allocation to small business customers, OSBA concluded the Company’s revenue allocation proposal was not consistent with either its own cost allocation study or OSBA’s cost allocation study.  Consistent with OSBA’s principled position regarding aligning rates with costs, and in light of the </w:t>
      </w:r>
      <w:r w:rsidRPr="003D6DE0">
        <w:rPr>
          <w:rFonts w:ascii="Times New Roman" w:hAnsi="Times New Roman"/>
          <w:iCs/>
          <w:szCs w:val="24"/>
          <w:u w:val="single"/>
        </w:rPr>
        <w:t>Lloyd</w:t>
      </w:r>
      <w:r w:rsidRPr="003D6DE0">
        <w:rPr>
          <w:rFonts w:ascii="Times New Roman" w:hAnsi="Times New Roman"/>
          <w:szCs w:val="24"/>
        </w:rPr>
        <w:t xml:space="preserve"> decision, OSBA recommended the increase for the Rate GSS class be somewhat higher than that proposed by the Company, and the increase for Rate GSM be somewhat lower than that proposed by the company.  Relative to a </w:t>
      </w:r>
      <w:proofErr w:type="spellStart"/>
      <w:r w:rsidRPr="003D6DE0">
        <w:rPr>
          <w:rFonts w:ascii="Times New Roman" w:hAnsi="Times New Roman"/>
          <w:szCs w:val="24"/>
        </w:rPr>
        <w:t>scaleback</w:t>
      </w:r>
      <w:proofErr w:type="spellEnd"/>
      <w:r w:rsidRPr="003D6DE0">
        <w:rPr>
          <w:rFonts w:ascii="Times New Roman" w:hAnsi="Times New Roman"/>
          <w:szCs w:val="24"/>
        </w:rPr>
        <w:t xml:space="preserve"> of </w:t>
      </w:r>
      <w:r w:rsidRPr="003D6DE0">
        <w:rPr>
          <w:rFonts w:ascii="Times New Roman" w:hAnsi="Times New Roman"/>
          <w:szCs w:val="24"/>
        </w:rPr>
        <w:lastRenderedPageBreak/>
        <w:t xml:space="preserve">Penn Power’s </w:t>
      </w:r>
      <w:r>
        <w:rPr>
          <w:rFonts w:ascii="Times New Roman" w:hAnsi="Times New Roman"/>
          <w:szCs w:val="24"/>
        </w:rPr>
        <w:t>filed position, the Partial S</w:t>
      </w:r>
      <w:r w:rsidRPr="003D6DE0">
        <w:rPr>
          <w:rFonts w:ascii="Times New Roman" w:hAnsi="Times New Roman"/>
          <w:szCs w:val="24"/>
        </w:rPr>
        <w:t xml:space="preserve">ettlement follows these recommendations.  For the two combined classes, the revenue allocation is approximately equal to a </w:t>
      </w:r>
      <w:proofErr w:type="spellStart"/>
      <w:r w:rsidRPr="003D6DE0">
        <w:rPr>
          <w:rFonts w:ascii="Times New Roman" w:hAnsi="Times New Roman"/>
          <w:szCs w:val="24"/>
        </w:rPr>
        <w:t>scaleback</w:t>
      </w:r>
      <w:proofErr w:type="spellEnd"/>
      <w:r w:rsidRPr="003D6DE0">
        <w:rPr>
          <w:rFonts w:ascii="Times New Roman" w:hAnsi="Times New Roman"/>
          <w:szCs w:val="24"/>
        </w:rPr>
        <w:t xml:space="preserve"> of the Company’s filed position, but it assigns more revenues to GSS and lower revenues to GSM, consistent with the results of the cost allocation study.   OSBA notes further the settlement revenue requirements for both Rate GSS and Rate GSM lie within the range of litigation positions of the various parties (appropriately scaled back).  Thus, OSBA concludes that small business customers are treated fairly in the settlement.</w:t>
      </w:r>
    </w:p>
    <w:p w:rsidR="003D6DE0" w:rsidRPr="003D6DE0" w:rsidRDefault="003D6DE0" w:rsidP="003D6DE0">
      <w:pPr>
        <w:pStyle w:val="ListParagraph"/>
        <w:ind w:left="0" w:firstLine="1440"/>
        <w:rPr>
          <w:rFonts w:ascii="Times New Roman" w:hAnsi="Times New Roman"/>
          <w:szCs w:val="24"/>
        </w:rPr>
      </w:pPr>
    </w:p>
    <w:p w:rsidR="003D6DE0" w:rsidRPr="003D6DE0" w:rsidRDefault="003D6DE0" w:rsidP="003D6DE0">
      <w:pPr>
        <w:pStyle w:val="OutlineL3"/>
        <w:numPr>
          <w:ilvl w:val="0"/>
          <w:numId w:val="0"/>
        </w:numPr>
        <w:spacing w:before="0" w:after="0" w:line="360" w:lineRule="auto"/>
        <w:ind w:firstLine="1440"/>
        <w:outlineLvl w:val="9"/>
      </w:pPr>
      <w:r w:rsidRPr="003D6DE0">
        <w:t xml:space="preserve">With respect to rate design for the Rate GSS class, OSBA generally agreed with Penn Power’s proposed approach of adopting a customer charge and flat energy charge, suggesting that changes to the company’s filed position increase the emphasis on the energy charge.  This proposal is reflected in the settlement rate design, in that the increase to Rate GSS is applied entirely to the energy charge relative to the </w:t>
      </w:r>
      <w:proofErr w:type="spellStart"/>
      <w:r w:rsidRPr="003D6DE0">
        <w:t>filed</w:t>
      </w:r>
      <w:proofErr w:type="spellEnd"/>
      <w:r w:rsidRPr="003D6DE0">
        <w:t xml:space="preserve"> position.</w:t>
      </w:r>
    </w:p>
    <w:p w:rsidR="003D6DE0" w:rsidRPr="003D6DE0" w:rsidRDefault="003D6DE0" w:rsidP="003D6DE0">
      <w:pPr>
        <w:pStyle w:val="ListParagraph"/>
        <w:ind w:left="0"/>
        <w:rPr>
          <w:rFonts w:ascii="Times New Roman" w:hAnsi="Times New Roman"/>
          <w:szCs w:val="24"/>
        </w:rPr>
      </w:pPr>
    </w:p>
    <w:p w:rsidR="003D6DE0" w:rsidRPr="003D6DE0" w:rsidRDefault="003D6DE0" w:rsidP="003D6DE0">
      <w:pPr>
        <w:pStyle w:val="OutlineL3"/>
        <w:numPr>
          <w:ilvl w:val="0"/>
          <w:numId w:val="0"/>
        </w:numPr>
        <w:spacing w:before="0" w:after="0" w:line="360" w:lineRule="auto"/>
        <w:ind w:firstLine="1440"/>
        <w:outlineLvl w:val="9"/>
      </w:pPr>
      <w:r w:rsidRPr="003D6DE0">
        <w:t>Regarding rate design for the Rate GSM class, OSBA</w:t>
      </w:r>
      <w:r>
        <w:t xml:space="preserve"> generally agreed with the </w:t>
      </w:r>
      <w:r>
        <w:rPr>
          <w:lang w:val="en-US"/>
        </w:rPr>
        <w:t>C</w:t>
      </w:r>
      <w:proofErr w:type="spellStart"/>
      <w:r w:rsidRPr="003D6DE0">
        <w:t>ompany’s</w:t>
      </w:r>
      <w:proofErr w:type="spellEnd"/>
      <w:r w:rsidRPr="003D6DE0">
        <w:t xml:space="preserve"> proposed approach of adopting a customer charge/demand charge tariff structure, and had no specific concerns with the relative magnitude of the charges.  The tariff structure as filed is re</w:t>
      </w:r>
      <w:r>
        <w:t xml:space="preserve">tained in the settlement.  The </w:t>
      </w:r>
      <w:r>
        <w:rPr>
          <w:lang w:val="en-US"/>
        </w:rPr>
        <w:t>Partial S</w:t>
      </w:r>
      <w:proofErr w:type="spellStart"/>
      <w:r w:rsidRPr="003D6DE0">
        <w:t>ettlement</w:t>
      </w:r>
      <w:proofErr w:type="spellEnd"/>
      <w:r w:rsidRPr="003D6DE0">
        <w:t xml:space="preserve"> applies the </w:t>
      </w:r>
      <w:proofErr w:type="spellStart"/>
      <w:r w:rsidRPr="003D6DE0">
        <w:t>scaleback</w:t>
      </w:r>
      <w:proofErr w:type="spellEnd"/>
      <w:r w:rsidRPr="003D6DE0">
        <w:t xml:space="preserve"> primarily to the demand charge, which OSBA deems to be reasonable as the proposed customer charge as filed for Rate GSM was actually slightly below the customer charge for Rate GSS.</w:t>
      </w:r>
    </w:p>
    <w:p w:rsidR="003D6DE0" w:rsidRDefault="003D6DE0" w:rsidP="003D6DE0">
      <w:pPr>
        <w:pStyle w:val="ListParagraph"/>
        <w:ind w:left="0"/>
      </w:pPr>
    </w:p>
    <w:p w:rsidR="003D6DE0" w:rsidRPr="003D6DE0" w:rsidRDefault="003D6DE0" w:rsidP="003D6DE0">
      <w:pPr>
        <w:pStyle w:val="ListParagraph"/>
        <w:ind w:left="0"/>
      </w:pPr>
      <w:r>
        <w:tab/>
      </w:r>
      <w:r>
        <w:tab/>
        <w:t>In conclusion, the P</w:t>
      </w:r>
      <w:r w:rsidRPr="003D6DE0">
        <w:t xml:space="preserve">artial </w:t>
      </w:r>
      <w:r>
        <w:t>S</w:t>
      </w:r>
      <w:r w:rsidRPr="003D6DE0">
        <w:t>ettlement avoids the litigation of many of the complex, competing proposals and saves the possibly significant costs of further and more extended administrative proceedings.  Such costs are borne not only by the Joint Petitioners, but ultimately by the Company’s customers as well.  Avoiding extended litigation of this matter has served judicial efficiency, and allows OSBA to more efficiently employ its resources in other areas.</w:t>
      </w:r>
    </w:p>
    <w:p w:rsidR="003D6DE0" w:rsidRDefault="003D6DE0" w:rsidP="003D6DE0">
      <w:pPr>
        <w:pStyle w:val="OutlineL3"/>
        <w:numPr>
          <w:ilvl w:val="0"/>
          <w:numId w:val="0"/>
        </w:numPr>
        <w:spacing w:before="0" w:after="0" w:line="360" w:lineRule="auto"/>
        <w:ind w:firstLine="720"/>
        <w:outlineLvl w:val="9"/>
        <w:rPr>
          <w:lang w:val="en-US"/>
        </w:rPr>
      </w:pPr>
    </w:p>
    <w:p w:rsidR="00A24BC8" w:rsidRPr="007E74EE" w:rsidRDefault="007B0862" w:rsidP="007E74EE">
      <w:pPr>
        <w:rPr>
          <w:rFonts w:ascii="Times New Roman" w:hAnsi="Times New Roman"/>
          <w:szCs w:val="24"/>
          <w:u w:val="single"/>
        </w:rPr>
      </w:pPr>
      <w:r>
        <w:rPr>
          <w:rFonts w:ascii="Times New Roman" w:hAnsi="Times New Roman"/>
          <w:szCs w:val="24"/>
        </w:rPr>
        <w:t>E</w:t>
      </w:r>
      <w:r w:rsidR="005F08E7" w:rsidRPr="005F08E7">
        <w:rPr>
          <w:rFonts w:ascii="Times New Roman" w:hAnsi="Times New Roman"/>
          <w:szCs w:val="24"/>
        </w:rPr>
        <w:t xml:space="preserve">. </w:t>
      </w:r>
      <w:r w:rsidR="005F08E7" w:rsidRPr="005F08E7">
        <w:rPr>
          <w:rFonts w:ascii="Times New Roman" w:hAnsi="Times New Roman"/>
          <w:szCs w:val="24"/>
        </w:rPr>
        <w:tab/>
      </w:r>
      <w:r w:rsidR="00C743CC" w:rsidRPr="007E74EE">
        <w:rPr>
          <w:rFonts w:ascii="Times New Roman" w:hAnsi="Times New Roman"/>
          <w:szCs w:val="24"/>
          <w:u w:val="single"/>
        </w:rPr>
        <w:t>BIE</w:t>
      </w:r>
      <w:r w:rsidR="00A24BC8" w:rsidRPr="007E74EE">
        <w:rPr>
          <w:rFonts w:ascii="Times New Roman" w:hAnsi="Times New Roman"/>
          <w:szCs w:val="24"/>
          <w:u w:val="single"/>
        </w:rPr>
        <w:t>’</w:t>
      </w:r>
      <w:r w:rsidR="00C743CC" w:rsidRPr="007E74EE">
        <w:rPr>
          <w:rFonts w:ascii="Times New Roman" w:hAnsi="Times New Roman"/>
          <w:szCs w:val="24"/>
          <w:u w:val="single"/>
        </w:rPr>
        <w:t>s</w:t>
      </w:r>
      <w:r w:rsidR="00A24BC8" w:rsidRPr="007E74EE">
        <w:rPr>
          <w:rFonts w:ascii="Times New Roman" w:hAnsi="Times New Roman"/>
          <w:szCs w:val="24"/>
          <w:u w:val="single"/>
        </w:rPr>
        <w:t xml:space="preserve"> Statement in Support</w:t>
      </w:r>
    </w:p>
    <w:p w:rsidR="00506838" w:rsidRPr="007E74EE" w:rsidRDefault="00506838" w:rsidP="007E74EE">
      <w:pPr>
        <w:pStyle w:val="BodyText2"/>
        <w:spacing w:after="0" w:line="360" w:lineRule="auto"/>
        <w:rPr>
          <w:rFonts w:ascii="Times New Roman" w:hAnsi="Times New Roman"/>
          <w:szCs w:val="24"/>
        </w:rPr>
      </w:pPr>
    </w:p>
    <w:p w:rsidR="00506838" w:rsidRPr="007E74EE" w:rsidRDefault="00506838" w:rsidP="007E74EE">
      <w:pPr>
        <w:pStyle w:val="BodyText2"/>
        <w:spacing w:after="0" w:line="360" w:lineRule="auto"/>
        <w:rPr>
          <w:rFonts w:ascii="Times New Roman" w:hAnsi="Times New Roman"/>
          <w:szCs w:val="24"/>
          <w:u w:val="single"/>
        </w:rPr>
      </w:pPr>
      <w:r w:rsidRPr="007E74EE">
        <w:rPr>
          <w:rFonts w:ascii="Times New Roman" w:hAnsi="Times New Roman"/>
          <w:szCs w:val="24"/>
        </w:rPr>
        <w:tab/>
      </w:r>
      <w:r w:rsidR="005F08E7">
        <w:rPr>
          <w:rFonts w:ascii="Times New Roman" w:hAnsi="Times New Roman"/>
          <w:szCs w:val="24"/>
        </w:rPr>
        <w:t xml:space="preserve">1. </w:t>
      </w:r>
      <w:r w:rsidR="005F08E7">
        <w:rPr>
          <w:rFonts w:ascii="Times New Roman" w:hAnsi="Times New Roman"/>
          <w:szCs w:val="24"/>
        </w:rPr>
        <w:tab/>
      </w:r>
      <w:r w:rsidRPr="007E74EE">
        <w:rPr>
          <w:rFonts w:ascii="Times New Roman" w:hAnsi="Times New Roman"/>
          <w:szCs w:val="24"/>
          <w:u w:val="single"/>
        </w:rPr>
        <w:t xml:space="preserve">Revenue Requirement </w:t>
      </w:r>
    </w:p>
    <w:p w:rsidR="007E74EE" w:rsidRPr="007E74EE" w:rsidRDefault="007E74EE" w:rsidP="007E74EE">
      <w:pPr>
        <w:tabs>
          <w:tab w:val="num" w:pos="720"/>
          <w:tab w:val="left" w:pos="1440"/>
          <w:tab w:val="num" w:pos="2520"/>
        </w:tabs>
        <w:contextualSpacing/>
        <w:rPr>
          <w:rFonts w:ascii="Times New Roman" w:hAnsi="Times New Roman"/>
          <w:szCs w:val="24"/>
        </w:rPr>
      </w:pPr>
    </w:p>
    <w:p w:rsidR="007E74EE" w:rsidRDefault="007E74EE" w:rsidP="003938F5">
      <w:pPr>
        <w:tabs>
          <w:tab w:val="num" w:pos="720"/>
          <w:tab w:val="left" w:pos="1440"/>
          <w:tab w:val="num" w:pos="2520"/>
        </w:tabs>
        <w:ind w:firstLine="1440"/>
        <w:contextualSpacing/>
        <w:rPr>
          <w:rFonts w:ascii="Times New Roman" w:hAnsi="Times New Roman"/>
          <w:szCs w:val="24"/>
        </w:rPr>
      </w:pPr>
      <w:r w:rsidRPr="007E74EE">
        <w:rPr>
          <w:rFonts w:ascii="Times New Roman" w:hAnsi="Times New Roman"/>
          <w:szCs w:val="24"/>
        </w:rPr>
        <w:lastRenderedPageBreak/>
        <w:t xml:space="preserve">BIE analyzed the ratemaking claims contained in the Company’s filing including, but not limited to, operating and maintenance expenses, taxes, rate base, and the cost of common equity.  </w:t>
      </w:r>
      <w:r w:rsidR="003938F5">
        <w:rPr>
          <w:rFonts w:ascii="Times New Roman" w:hAnsi="Times New Roman"/>
          <w:szCs w:val="24"/>
        </w:rPr>
        <w:t xml:space="preserve">After negotiation, </w:t>
      </w:r>
      <w:r w:rsidRPr="007E74EE">
        <w:rPr>
          <w:rFonts w:ascii="Times New Roman" w:hAnsi="Times New Roman"/>
          <w:szCs w:val="24"/>
        </w:rPr>
        <w:t>Joint Petitioners agree</w:t>
      </w:r>
      <w:r w:rsidR="003938F5">
        <w:rPr>
          <w:rFonts w:ascii="Times New Roman" w:hAnsi="Times New Roman"/>
          <w:szCs w:val="24"/>
        </w:rPr>
        <w:t>d</w:t>
      </w:r>
      <w:r w:rsidRPr="007E74EE">
        <w:rPr>
          <w:rFonts w:ascii="Times New Roman" w:hAnsi="Times New Roman"/>
          <w:szCs w:val="24"/>
        </w:rPr>
        <w:t xml:space="preserve"> to an increase in base rates to allow the Company the opportunity to recover an increase of $17,000,000, which includes distribution revenue, smart meters and storm reserves, in lieu of the $28,483,000 originally requested, which represents a $11,483,000 savings for customers.  BIE fully supports the revenue level compromised upon in the Settlement.  </w:t>
      </w:r>
    </w:p>
    <w:p w:rsidR="007E74EE" w:rsidRDefault="007E74EE" w:rsidP="007E74EE">
      <w:pPr>
        <w:tabs>
          <w:tab w:val="num" w:pos="720"/>
          <w:tab w:val="left" w:pos="1440"/>
          <w:tab w:val="num" w:pos="2520"/>
        </w:tabs>
        <w:ind w:firstLine="1440"/>
        <w:contextualSpacing/>
        <w:rPr>
          <w:rFonts w:ascii="Times New Roman" w:hAnsi="Times New Roman"/>
          <w:szCs w:val="24"/>
        </w:rPr>
      </w:pPr>
    </w:p>
    <w:p w:rsidR="007E74EE" w:rsidRPr="007E74EE" w:rsidRDefault="007E74EE" w:rsidP="003938F5">
      <w:pPr>
        <w:tabs>
          <w:tab w:val="num" w:pos="720"/>
          <w:tab w:val="left" w:pos="1440"/>
          <w:tab w:val="num" w:pos="2520"/>
        </w:tabs>
        <w:ind w:firstLine="1440"/>
        <w:contextualSpacing/>
        <w:rPr>
          <w:rFonts w:ascii="Times New Roman" w:hAnsi="Times New Roman"/>
          <w:szCs w:val="24"/>
        </w:rPr>
      </w:pPr>
      <w:r w:rsidRPr="007E74EE">
        <w:rPr>
          <w:rFonts w:ascii="Times New Roman" w:hAnsi="Times New Roman"/>
          <w:szCs w:val="24"/>
        </w:rPr>
        <w:t xml:space="preserve">Due to the “black box” nature of the Settlement, the Settlement does not reflect agreement upon individual issues; rather, the parties have agreed to an overall increase to base rates that is substantially less than what was requested by the Company.  Line-by-line identification and ultimate resolution of every issue raised in the proceeding is not necessary to find that the Settlement is in the public interest nor could such a result be achieved as part of a settlement.  Black box settlements benefit ratepayers because they allow for the resolution of a contested proceeding at a level of increase that is below the amount requested by the regulated entity and in a manner that avoids the significant expenditure of time and resources related to further litigation.  </w:t>
      </w:r>
      <w:r w:rsidR="003938F5">
        <w:rPr>
          <w:rFonts w:ascii="Times New Roman" w:hAnsi="Times New Roman"/>
          <w:szCs w:val="24"/>
        </w:rPr>
        <w:t>BIE avers the</w:t>
      </w:r>
      <w:r w:rsidRPr="007E74EE">
        <w:rPr>
          <w:rFonts w:ascii="Times New Roman" w:hAnsi="Times New Roman"/>
          <w:szCs w:val="24"/>
        </w:rPr>
        <w:t xml:space="preserve"> Partial Settlement in this proceeding promotes the public interest because a review of the testimony submitted by all parties demonstrates that the Joint Petition reflects a compromise of the litigated positions held by those parties.  Therefore, BIE submits that the Partial Settlement balances the interests of Penn Power and its customers in a fair and equitable manner and presents a resolution for the Commission’s adoption that best serves the public interest.  </w:t>
      </w:r>
    </w:p>
    <w:p w:rsidR="007E74EE" w:rsidRPr="007E74EE" w:rsidRDefault="007E74EE" w:rsidP="007E74EE">
      <w:pPr>
        <w:tabs>
          <w:tab w:val="num" w:pos="720"/>
          <w:tab w:val="left" w:pos="1440"/>
          <w:tab w:val="num" w:pos="2520"/>
        </w:tabs>
        <w:contextualSpacing/>
        <w:rPr>
          <w:rFonts w:ascii="Times New Roman" w:hAnsi="Times New Roman"/>
          <w:szCs w:val="24"/>
        </w:rPr>
      </w:pPr>
    </w:p>
    <w:p w:rsidR="007E74EE" w:rsidRDefault="007E74EE" w:rsidP="007E74EE">
      <w:pPr>
        <w:tabs>
          <w:tab w:val="num" w:pos="720"/>
          <w:tab w:val="left" w:pos="1440"/>
          <w:tab w:val="num" w:pos="2520"/>
        </w:tabs>
        <w:contextualSpacing/>
        <w:rPr>
          <w:rFonts w:ascii="Times New Roman" w:hAnsi="Times New Roman"/>
          <w:b/>
          <w:caps/>
          <w:szCs w:val="24"/>
        </w:rPr>
      </w:pPr>
      <w:r w:rsidRPr="007E74EE">
        <w:rPr>
          <w:rFonts w:ascii="Times New Roman" w:hAnsi="Times New Roman"/>
          <w:szCs w:val="24"/>
        </w:rPr>
        <w:tab/>
      </w:r>
      <w:r w:rsidR="009F6375">
        <w:rPr>
          <w:rFonts w:ascii="Times New Roman" w:hAnsi="Times New Roman"/>
          <w:szCs w:val="24"/>
        </w:rPr>
        <w:tab/>
      </w:r>
      <w:r w:rsidRPr="007E74EE">
        <w:rPr>
          <w:rFonts w:ascii="Times New Roman" w:hAnsi="Times New Roman"/>
          <w:szCs w:val="24"/>
        </w:rPr>
        <w:t xml:space="preserve">Public utility regulation allows for the recovery of prudently incurred expenses as well as the opportunity to earn a reasonable return on the value of assets used and useful in public service.  The increase proposed in this </w:t>
      </w:r>
      <w:r>
        <w:rPr>
          <w:rFonts w:ascii="Times New Roman" w:hAnsi="Times New Roman"/>
          <w:szCs w:val="24"/>
        </w:rPr>
        <w:t xml:space="preserve">Partial </w:t>
      </w:r>
      <w:r w:rsidRPr="007E74EE">
        <w:rPr>
          <w:rFonts w:ascii="Times New Roman" w:hAnsi="Times New Roman"/>
          <w:szCs w:val="24"/>
        </w:rPr>
        <w:t xml:space="preserve">Settlement respects this principle.  Ratepayers will continue to receive safe and reliable service at just and reasonable rates while allowing the Company sufficient additional revenues to meet its operating and capital expenses and providing the opportunity to earn a reasonable return on its investment.  </w:t>
      </w:r>
      <w:r>
        <w:rPr>
          <w:rFonts w:ascii="Times New Roman" w:hAnsi="Times New Roman"/>
          <w:szCs w:val="24"/>
        </w:rPr>
        <w:t>The Partial</w:t>
      </w:r>
      <w:r w:rsidRPr="007E74EE">
        <w:rPr>
          <w:rFonts w:ascii="Times New Roman" w:hAnsi="Times New Roman"/>
          <w:szCs w:val="24"/>
        </w:rPr>
        <w:t xml:space="preserve"> Settlement rates significantly moderate the increase initially proposed by the Company and, BIE believes, properly balances the interests of all parties.  Accordingly, BIE submits that the </w:t>
      </w:r>
      <w:r w:rsidRPr="007E74EE">
        <w:rPr>
          <w:rFonts w:ascii="Times New Roman" w:hAnsi="Times New Roman"/>
          <w:szCs w:val="24"/>
        </w:rPr>
        <w:lastRenderedPageBreak/>
        <w:t xml:space="preserve">proposed </w:t>
      </w:r>
      <w:r>
        <w:rPr>
          <w:rFonts w:ascii="Times New Roman" w:hAnsi="Times New Roman"/>
          <w:szCs w:val="24"/>
        </w:rPr>
        <w:t xml:space="preserve">Partial </w:t>
      </w:r>
      <w:r w:rsidRPr="007E74EE">
        <w:rPr>
          <w:rFonts w:ascii="Times New Roman" w:hAnsi="Times New Roman"/>
          <w:szCs w:val="24"/>
        </w:rPr>
        <w:t xml:space="preserve">Settlement is in the public interest and requests that it be approved by the ALJs and the Commission without modification. </w:t>
      </w:r>
      <w:r w:rsidRPr="007E74EE">
        <w:rPr>
          <w:rFonts w:ascii="Times New Roman" w:hAnsi="Times New Roman"/>
          <w:b/>
          <w:caps/>
          <w:szCs w:val="24"/>
        </w:rPr>
        <w:t xml:space="preserve"> </w:t>
      </w:r>
    </w:p>
    <w:p w:rsidR="005327E6" w:rsidRDefault="005327E6">
      <w:pPr>
        <w:spacing w:line="240" w:lineRule="auto"/>
        <w:rPr>
          <w:rFonts w:ascii="Times New Roman" w:hAnsi="Times New Roman"/>
          <w:b/>
          <w:caps/>
          <w:szCs w:val="24"/>
        </w:rPr>
      </w:pPr>
    </w:p>
    <w:p w:rsidR="007E74EE" w:rsidRPr="007E74EE" w:rsidRDefault="007E74EE" w:rsidP="007E74EE">
      <w:pPr>
        <w:tabs>
          <w:tab w:val="num" w:pos="720"/>
          <w:tab w:val="left" w:pos="1440"/>
          <w:tab w:val="num" w:pos="2520"/>
        </w:tabs>
        <w:contextualSpacing/>
        <w:rPr>
          <w:rFonts w:ascii="Times New Roman" w:hAnsi="Times New Roman"/>
          <w:caps/>
          <w:szCs w:val="24"/>
          <w:u w:val="single"/>
        </w:rPr>
      </w:pPr>
      <w:r>
        <w:rPr>
          <w:rFonts w:ascii="Times New Roman" w:hAnsi="Times New Roman"/>
          <w:b/>
          <w:caps/>
          <w:szCs w:val="24"/>
        </w:rPr>
        <w:tab/>
      </w:r>
      <w:r w:rsidR="005F08E7" w:rsidRPr="005F08E7">
        <w:rPr>
          <w:rFonts w:ascii="Times New Roman" w:hAnsi="Times New Roman"/>
          <w:caps/>
          <w:szCs w:val="24"/>
        </w:rPr>
        <w:t>2.</w:t>
      </w:r>
      <w:r w:rsidR="005F08E7">
        <w:rPr>
          <w:rFonts w:ascii="Times New Roman" w:hAnsi="Times New Roman"/>
          <w:b/>
          <w:caps/>
          <w:szCs w:val="24"/>
        </w:rPr>
        <w:tab/>
      </w:r>
      <w:r w:rsidRPr="007E74EE">
        <w:rPr>
          <w:rFonts w:ascii="Times New Roman" w:hAnsi="Times New Roman"/>
          <w:szCs w:val="24"/>
          <w:u w:val="single"/>
        </w:rPr>
        <w:t>Overall Rate of Return and Return on Equity</w:t>
      </w:r>
      <w:r w:rsidRPr="007E74EE">
        <w:rPr>
          <w:rFonts w:ascii="Times New Roman Bold" w:hAnsi="Times New Roman Bold"/>
          <w:szCs w:val="24"/>
          <w:u w:val="single"/>
        </w:rPr>
        <w:t xml:space="preserve"> </w:t>
      </w:r>
    </w:p>
    <w:p w:rsidR="007E74EE" w:rsidRDefault="007E74EE" w:rsidP="007E74EE">
      <w:pPr>
        <w:pStyle w:val="OutlineL3"/>
        <w:numPr>
          <w:ilvl w:val="0"/>
          <w:numId w:val="0"/>
        </w:numPr>
        <w:spacing w:before="0" w:after="0" w:line="360" w:lineRule="auto"/>
        <w:ind w:firstLine="720"/>
        <w:outlineLvl w:val="9"/>
        <w:rPr>
          <w:szCs w:val="24"/>
          <w:lang w:val="en-US"/>
        </w:rPr>
      </w:pPr>
    </w:p>
    <w:p w:rsidR="007E74EE" w:rsidRPr="007E74EE" w:rsidRDefault="007E74EE" w:rsidP="007E74EE">
      <w:pPr>
        <w:pStyle w:val="OutlineL3"/>
        <w:widowControl w:val="0"/>
        <w:numPr>
          <w:ilvl w:val="0"/>
          <w:numId w:val="0"/>
        </w:numPr>
        <w:spacing w:before="0" w:after="0" w:line="360" w:lineRule="auto"/>
        <w:ind w:firstLine="1440"/>
        <w:outlineLvl w:val="9"/>
        <w:rPr>
          <w:szCs w:val="24"/>
        </w:rPr>
      </w:pPr>
      <w:r w:rsidRPr="007E74EE">
        <w:rPr>
          <w:szCs w:val="24"/>
        </w:rPr>
        <w:t>The ALJs’ concern about obtaining this information appears to stem from an issue raised at the Uniontown public input hearing.  It is important to note that no witness in Penn Power’s service territory testified that the Company was purposely increasing capital expenditures.  The streetlight issue the ALJs expressed concerned about at the November</w:t>
      </w:r>
      <w:r w:rsidR="009F6375">
        <w:rPr>
          <w:szCs w:val="24"/>
          <w:lang w:val="en-US"/>
        </w:rPr>
        <w:t> </w:t>
      </w:r>
      <w:r w:rsidRPr="007E74EE">
        <w:rPr>
          <w:szCs w:val="24"/>
        </w:rPr>
        <w:t xml:space="preserve">25, 2014 prehearing conference was raised by a West Penn employee at the Uniontown public input hearing, and no similar allegation was raised in the Met-Ed, Penelec or Penn Power service territories.  Because of this West Penn employee’s testimony, the ALJs have directed the parties to present the overall rate of return and ROE in the four FirstEnergy Settlements.  </w:t>
      </w:r>
    </w:p>
    <w:p w:rsidR="007E74EE" w:rsidRDefault="007E74EE" w:rsidP="007E74EE">
      <w:pPr>
        <w:pStyle w:val="OutlineL3"/>
        <w:widowControl w:val="0"/>
        <w:numPr>
          <w:ilvl w:val="0"/>
          <w:numId w:val="0"/>
        </w:numPr>
        <w:spacing w:before="0" w:after="0" w:line="360" w:lineRule="auto"/>
        <w:ind w:firstLine="720"/>
        <w:outlineLvl w:val="9"/>
        <w:rPr>
          <w:szCs w:val="24"/>
          <w:lang w:val="en-US"/>
        </w:rPr>
      </w:pPr>
    </w:p>
    <w:p w:rsidR="007E74EE" w:rsidRPr="007E74EE" w:rsidRDefault="007E74EE" w:rsidP="007E74EE">
      <w:pPr>
        <w:pStyle w:val="OutlineL3"/>
        <w:widowControl w:val="0"/>
        <w:numPr>
          <w:ilvl w:val="0"/>
          <w:numId w:val="0"/>
        </w:numPr>
        <w:spacing w:before="0" w:after="0" w:line="360" w:lineRule="auto"/>
        <w:ind w:firstLine="1440"/>
        <w:outlineLvl w:val="9"/>
        <w:rPr>
          <w:szCs w:val="24"/>
        </w:rPr>
      </w:pPr>
      <w:r w:rsidRPr="007E74EE">
        <w:rPr>
          <w:szCs w:val="24"/>
        </w:rPr>
        <w:t>However, ALJ Dunderdale recognized that whether capital structure is an issue depends “on how FirstEnergy responds to some of the allegations that came out of the public input.”</w:t>
      </w:r>
      <w:r w:rsidRPr="007E74EE">
        <w:rPr>
          <w:rStyle w:val="FootnoteReference"/>
          <w:szCs w:val="24"/>
        </w:rPr>
        <w:footnoteReference w:id="20"/>
      </w:r>
      <w:r w:rsidRPr="007E74EE">
        <w:rPr>
          <w:szCs w:val="24"/>
        </w:rPr>
        <w:t xml:space="preserve">  The Company fully addressed the concerns raised at the public input hearing; therefore, identifying an overall rate of return and specific return on equity (ROE) in the Settlement is unnecessary.  In general, the Company explained that it applies several criteria when determining whether to make a repair or a capital replacement: </w:t>
      </w:r>
    </w:p>
    <w:p w:rsidR="0072121A" w:rsidRDefault="0072121A" w:rsidP="007F5AFE">
      <w:pPr>
        <w:pStyle w:val="OutlineL3"/>
        <w:widowControl w:val="0"/>
        <w:numPr>
          <w:ilvl w:val="0"/>
          <w:numId w:val="0"/>
        </w:numPr>
        <w:tabs>
          <w:tab w:val="left" w:pos="8640"/>
          <w:tab w:val="left" w:pos="8730"/>
        </w:tabs>
        <w:spacing w:after="0" w:line="240" w:lineRule="auto"/>
        <w:ind w:left="1440"/>
        <w:contextualSpacing/>
        <w:outlineLvl w:val="9"/>
        <w:rPr>
          <w:szCs w:val="24"/>
          <w:lang w:val="en-US"/>
        </w:rPr>
      </w:pPr>
    </w:p>
    <w:p w:rsidR="007E74EE" w:rsidRPr="007F5AFE" w:rsidRDefault="007E74EE" w:rsidP="0072121A">
      <w:pPr>
        <w:pStyle w:val="OutlineL3"/>
        <w:widowControl w:val="0"/>
        <w:numPr>
          <w:ilvl w:val="0"/>
          <w:numId w:val="0"/>
        </w:numPr>
        <w:tabs>
          <w:tab w:val="left" w:pos="8640"/>
        </w:tabs>
        <w:spacing w:after="0" w:line="240" w:lineRule="auto"/>
        <w:ind w:left="1440" w:right="720"/>
        <w:contextualSpacing/>
        <w:outlineLvl w:val="9"/>
        <w:rPr>
          <w:szCs w:val="24"/>
        </w:rPr>
      </w:pPr>
      <w:r w:rsidRPr="007F5AFE">
        <w:rPr>
          <w:szCs w:val="24"/>
        </w:rPr>
        <w:t>Whether to replace property constituting one or more retirement units or to make a non-capital repair is based on a number of factors including, among others, infrastructure needs, regulatory requirements, historic failure rates, and related cost-efficiency factors.  Applying those criteria, there are many instances where it is more cost effective to replace units of property than try to repair existing property.</w:t>
      </w:r>
      <w:r w:rsidRPr="007F5AFE">
        <w:rPr>
          <w:rStyle w:val="FootnoteReference"/>
          <w:szCs w:val="24"/>
        </w:rPr>
        <w:footnoteReference w:id="21"/>
      </w:r>
      <w:r w:rsidRPr="007F5AFE">
        <w:rPr>
          <w:szCs w:val="24"/>
        </w:rPr>
        <w:t xml:space="preserve"> </w:t>
      </w:r>
    </w:p>
    <w:p w:rsidR="007E74EE" w:rsidRDefault="007E74EE" w:rsidP="0072121A">
      <w:pPr>
        <w:pStyle w:val="OutlineL3"/>
        <w:widowControl w:val="0"/>
        <w:numPr>
          <w:ilvl w:val="0"/>
          <w:numId w:val="0"/>
        </w:numPr>
        <w:tabs>
          <w:tab w:val="left" w:pos="8640"/>
          <w:tab w:val="left" w:pos="8730"/>
        </w:tabs>
        <w:spacing w:after="0" w:line="240" w:lineRule="auto"/>
        <w:contextualSpacing/>
        <w:outlineLvl w:val="9"/>
        <w:rPr>
          <w:szCs w:val="24"/>
          <w:lang w:val="en-US"/>
        </w:rPr>
      </w:pPr>
    </w:p>
    <w:p w:rsidR="0072121A" w:rsidRPr="0072121A" w:rsidRDefault="0072121A" w:rsidP="0072121A">
      <w:pPr>
        <w:pStyle w:val="OutlineL3"/>
        <w:widowControl w:val="0"/>
        <w:numPr>
          <w:ilvl w:val="0"/>
          <w:numId w:val="0"/>
        </w:numPr>
        <w:tabs>
          <w:tab w:val="left" w:pos="8640"/>
          <w:tab w:val="left" w:pos="8730"/>
        </w:tabs>
        <w:spacing w:after="0" w:line="240" w:lineRule="auto"/>
        <w:contextualSpacing/>
        <w:outlineLvl w:val="9"/>
        <w:rPr>
          <w:szCs w:val="24"/>
          <w:lang w:val="en-US"/>
        </w:rPr>
      </w:pPr>
    </w:p>
    <w:p w:rsidR="007E74EE" w:rsidRDefault="007E74EE" w:rsidP="007F5AFE">
      <w:pPr>
        <w:pStyle w:val="OutlineL3"/>
        <w:widowControl w:val="0"/>
        <w:numPr>
          <w:ilvl w:val="0"/>
          <w:numId w:val="0"/>
        </w:numPr>
        <w:tabs>
          <w:tab w:val="left" w:pos="9360"/>
        </w:tabs>
        <w:spacing w:before="0" w:after="0" w:line="360" w:lineRule="auto"/>
        <w:ind w:firstLine="1440"/>
        <w:contextualSpacing/>
        <w:outlineLvl w:val="9"/>
        <w:rPr>
          <w:szCs w:val="24"/>
          <w:lang w:val="en-US"/>
        </w:rPr>
      </w:pPr>
      <w:r w:rsidRPr="007F5AFE">
        <w:rPr>
          <w:szCs w:val="24"/>
        </w:rPr>
        <w:t xml:space="preserve">These types of operational decisions are generally left to the discretion of the Company and BIE has not made any alternative recommendations in this proceeding.  It is well </w:t>
      </w:r>
      <w:r w:rsidRPr="007F5AFE">
        <w:rPr>
          <w:szCs w:val="24"/>
        </w:rPr>
        <w:lastRenderedPageBreak/>
        <w:t xml:space="preserve">settled that the Commission may not interfere with or </w:t>
      </w:r>
      <w:r w:rsidRPr="007F5AFE">
        <w:rPr>
          <w:rStyle w:val="term1"/>
          <w:szCs w:val="24"/>
        </w:rPr>
        <w:t xml:space="preserve">micromanage </w:t>
      </w:r>
      <w:r w:rsidRPr="007F5AFE">
        <w:rPr>
          <w:szCs w:val="24"/>
        </w:rPr>
        <w:t>utility management decisions unless there is a manifest abuse of discretion or some showing of arbitrary utility action.</w:t>
      </w:r>
      <w:r w:rsidRPr="007F5AFE">
        <w:rPr>
          <w:rStyle w:val="FootnoteReference"/>
          <w:szCs w:val="24"/>
        </w:rPr>
        <w:footnoteReference w:id="22"/>
      </w:r>
      <w:r w:rsidRPr="007F5AFE">
        <w:rPr>
          <w:szCs w:val="24"/>
        </w:rPr>
        <w:t xml:space="preserve">  The Company’s testimony demonstrates that no such abuse or arbitrary action has occurred.       </w:t>
      </w:r>
    </w:p>
    <w:p w:rsidR="007F5AFE" w:rsidRPr="007F5AFE" w:rsidRDefault="007F5AFE" w:rsidP="007F5AFE">
      <w:pPr>
        <w:pStyle w:val="OutlineL3"/>
        <w:widowControl w:val="0"/>
        <w:numPr>
          <w:ilvl w:val="0"/>
          <w:numId w:val="0"/>
        </w:numPr>
        <w:tabs>
          <w:tab w:val="left" w:pos="9360"/>
        </w:tabs>
        <w:spacing w:before="0" w:after="0" w:line="360" w:lineRule="auto"/>
        <w:ind w:firstLine="1440"/>
        <w:contextualSpacing/>
        <w:outlineLvl w:val="9"/>
        <w:rPr>
          <w:szCs w:val="24"/>
          <w:lang w:val="en-US"/>
        </w:rPr>
      </w:pPr>
    </w:p>
    <w:p w:rsidR="007F5AFE" w:rsidRDefault="007E74EE" w:rsidP="007F5AFE">
      <w:pPr>
        <w:pStyle w:val="OutlineL3"/>
        <w:numPr>
          <w:ilvl w:val="0"/>
          <w:numId w:val="0"/>
        </w:numPr>
        <w:spacing w:before="0" w:after="0" w:line="360" w:lineRule="auto"/>
        <w:ind w:firstLine="1440"/>
        <w:contextualSpacing/>
        <w:outlineLvl w:val="9"/>
        <w:rPr>
          <w:szCs w:val="24"/>
          <w:lang w:val="en-US"/>
        </w:rPr>
      </w:pPr>
      <w:r w:rsidRPr="007F5AFE">
        <w:rPr>
          <w:szCs w:val="24"/>
        </w:rPr>
        <w:t>It is appropriate and in the public interest to utilize the same cost of common equity for the four Companies.  Although BIE’s overall rate of return recommendation for the four Companies differed due to different capital structures and debt cost rates, BIE recommended the same 8.84% cost of common equity for all four Companies.</w:t>
      </w:r>
      <w:r w:rsidRPr="007F5AFE">
        <w:rPr>
          <w:rStyle w:val="FootnoteReference"/>
          <w:szCs w:val="24"/>
        </w:rPr>
        <w:footnoteReference w:id="23"/>
      </w:r>
      <w:r w:rsidRPr="007F5AFE">
        <w:rPr>
          <w:szCs w:val="24"/>
        </w:rPr>
        <w:t xml:space="preserve">  The determination of an appropriate return on common equity in this proceeding entailed a market-based recommendation predicated upon a group of companies with publicly traded common stock and investment risk similar to the Company.  </w:t>
      </w:r>
    </w:p>
    <w:p w:rsidR="007F5AFE" w:rsidRDefault="007F5AFE" w:rsidP="007F5AFE">
      <w:pPr>
        <w:pStyle w:val="OutlineL3"/>
        <w:numPr>
          <w:ilvl w:val="0"/>
          <w:numId w:val="0"/>
        </w:numPr>
        <w:spacing w:before="0" w:after="0" w:line="360" w:lineRule="auto"/>
        <w:ind w:firstLine="1440"/>
        <w:contextualSpacing/>
        <w:outlineLvl w:val="9"/>
        <w:rPr>
          <w:szCs w:val="24"/>
          <w:lang w:val="en-US"/>
        </w:rPr>
      </w:pPr>
    </w:p>
    <w:p w:rsidR="007E74EE" w:rsidRDefault="003938F5" w:rsidP="007F5AFE">
      <w:pPr>
        <w:ind w:firstLine="1440"/>
        <w:rPr>
          <w:rFonts w:ascii="Times New Roman" w:hAnsi="Times New Roman"/>
          <w:szCs w:val="24"/>
        </w:rPr>
      </w:pPr>
      <w:r>
        <w:rPr>
          <w:rFonts w:ascii="Times New Roman" w:hAnsi="Times New Roman"/>
          <w:szCs w:val="24"/>
        </w:rPr>
        <w:t>T</w:t>
      </w:r>
      <w:r w:rsidR="007E74EE" w:rsidRPr="007F5AFE">
        <w:rPr>
          <w:rFonts w:ascii="Times New Roman" w:hAnsi="Times New Roman"/>
          <w:szCs w:val="24"/>
        </w:rPr>
        <w:t xml:space="preserve">he Commission must determine whether the proposed Penn Power revenue increase of $17,000,000 contained in the Settlement, in lieu of the $28,483,000 requested in the Company’s filing, is in the public interest.  For the reasons provided above, BIE submits that the proposed increase negotiated by the parties is in the public interest and that the Commission can make this determination despite the fact that the return on equity and overall rate of return is not explicitly provided in the Settlement.     </w:t>
      </w:r>
    </w:p>
    <w:p w:rsidR="007F5AFE" w:rsidRPr="007F5AFE" w:rsidRDefault="007F5AFE" w:rsidP="007F5AFE">
      <w:pPr>
        <w:ind w:firstLine="1440"/>
        <w:rPr>
          <w:rFonts w:ascii="Times New Roman" w:hAnsi="Times New Roman"/>
          <w:szCs w:val="24"/>
        </w:rPr>
      </w:pPr>
    </w:p>
    <w:p w:rsidR="007E74EE" w:rsidRPr="007F5AFE" w:rsidRDefault="007F5AFE" w:rsidP="007F5AFE">
      <w:pPr>
        <w:pStyle w:val="ListParagraph"/>
        <w:tabs>
          <w:tab w:val="left" w:pos="720"/>
          <w:tab w:val="left" w:pos="1440"/>
        </w:tabs>
        <w:ind w:left="0"/>
        <w:contextualSpacing/>
        <w:rPr>
          <w:rFonts w:ascii="Times New Roman" w:hAnsi="Times New Roman"/>
          <w:szCs w:val="24"/>
          <w:u w:val="single"/>
        </w:rPr>
      </w:pPr>
      <w:r w:rsidRPr="007F5AFE">
        <w:rPr>
          <w:rFonts w:ascii="Times New Roman" w:hAnsi="Times New Roman"/>
          <w:szCs w:val="24"/>
        </w:rPr>
        <w:tab/>
      </w:r>
      <w:r w:rsidR="005F08E7">
        <w:rPr>
          <w:rFonts w:ascii="Times New Roman" w:hAnsi="Times New Roman"/>
          <w:szCs w:val="24"/>
        </w:rPr>
        <w:t xml:space="preserve">3. </w:t>
      </w:r>
      <w:r w:rsidR="005F08E7">
        <w:rPr>
          <w:rFonts w:ascii="Times New Roman" w:hAnsi="Times New Roman"/>
          <w:szCs w:val="24"/>
        </w:rPr>
        <w:tab/>
      </w:r>
      <w:r w:rsidR="007E74EE" w:rsidRPr="007F5AFE">
        <w:rPr>
          <w:rFonts w:ascii="Times New Roman" w:hAnsi="Times New Roman"/>
          <w:szCs w:val="24"/>
          <w:u w:val="single"/>
        </w:rPr>
        <w:t>Roll Smart Meter Costs into Distribution Rates (Joint Petition ¶ 11.A.2)</w:t>
      </w:r>
    </w:p>
    <w:p w:rsidR="007E74EE" w:rsidRPr="007F5AFE" w:rsidRDefault="007E74EE" w:rsidP="007F5AFE">
      <w:pPr>
        <w:pStyle w:val="ListParagraph"/>
        <w:tabs>
          <w:tab w:val="left" w:pos="720"/>
          <w:tab w:val="left" w:pos="1440"/>
        </w:tabs>
        <w:ind w:left="0"/>
        <w:rPr>
          <w:rFonts w:ascii="Times New Roman" w:hAnsi="Times New Roman"/>
          <w:szCs w:val="24"/>
        </w:rPr>
      </w:pPr>
    </w:p>
    <w:p w:rsidR="007E74EE" w:rsidRPr="007F5AFE" w:rsidRDefault="007E74EE" w:rsidP="003938F5">
      <w:pPr>
        <w:ind w:firstLine="1440"/>
        <w:rPr>
          <w:rFonts w:ascii="Times New Roman" w:hAnsi="Times New Roman"/>
          <w:szCs w:val="24"/>
        </w:rPr>
      </w:pPr>
      <w:r w:rsidRPr="007F5AFE">
        <w:rPr>
          <w:rFonts w:ascii="Times New Roman" w:hAnsi="Times New Roman"/>
          <w:szCs w:val="24"/>
        </w:rPr>
        <w:t>The Joint Petition notes that in an earlier proceeding related to the Company’s Smart Meter Deployment Plan, the Commission directed Penn Power to provide information on cost savings measures achieved from the deployment of smart meters and an explanation of how cost savings will be calculated in future SMT-C rate filings.</w:t>
      </w:r>
      <w:r w:rsidRPr="007F5AFE">
        <w:rPr>
          <w:rStyle w:val="FootnoteReference"/>
          <w:rFonts w:ascii="Times New Roman" w:hAnsi="Times New Roman"/>
          <w:szCs w:val="24"/>
        </w:rPr>
        <w:footnoteReference w:id="24"/>
      </w:r>
      <w:r w:rsidRPr="007F5AFE">
        <w:rPr>
          <w:rFonts w:ascii="Times New Roman" w:hAnsi="Times New Roman"/>
          <w:szCs w:val="24"/>
        </w:rPr>
        <w:t xml:space="preserve">    The Company requested that cost savings measures be addressed in the Company's rate proceeding, instead of its August 1, 2014, </w:t>
      </w:r>
      <w:r w:rsidRPr="007F5AFE">
        <w:rPr>
          <w:rFonts w:ascii="Times New Roman" w:hAnsi="Times New Roman"/>
          <w:szCs w:val="24"/>
        </w:rPr>
        <w:lastRenderedPageBreak/>
        <w:t>annual SMT-C filing.  Accordingly, as part of its August 4, 2014 base rate filing, Penn Power proposed a baseline for purposes of measuring savings achieved from the deployment of smart meters as well as the means for determining how cost savings resulting from smart meter deployment will be identified and flowed through to customers.</w:t>
      </w:r>
      <w:r w:rsidRPr="007F5AFE">
        <w:rPr>
          <w:rStyle w:val="FootnoteReference"/>
          <w:rFonts w:ascii="Times New Roman" w:hAnsi="Times New Roman"/>
          <w:szCs w:val="24"/>
        </w:rPr>
        <w:footnoteReference w:id="25"/>
      </w:r>
      <w:r w:rsidR="003938F5">
        <w:rPr>
          <w:rFonts w:ascii="Times New Roman" w:hAnsi="Times New Roman"/>
          <w:szCs w:val="24"/>
        </w:rPr>
        <w:t xml:space="preserve">  </w:t>
      </w:r>
      <w:r w:rsidRPr="007F5AFE">
        <w:rPr>
          <w:rFonts w:ascii="Times New Roman" w:hAnsi="Times New Roman"/>
          <w:szCs w:val="24"/>
        </w:rPr>
        <w:t>BIE did not oppose the Company’s request to roll smart meter costs into base rates; however, BIE wanted to ensure that the Company did not over-recover such costs through base rates and the SMT-C Rider.</w:t>
      </w:r>
      <w:r w:rsidRPr="007F5AFE">
        <w:rPr>
          <w:rStyle w:val="FootnoteReference"/>
          <w:rFonts w:ascii="Times New Roman" w:hAnsi="Times New Roman"/>
          <w:szCs w:val="24"/>
        </w:rPr>
        <w:footnoteReference w:id="26"/>
      </w:r>
      <w:r w:rsidRPr="007F5AFE">
        <w:rPr>
          <w:rFonts w:ascii="Times New Roman" w:hAnsi="Times New Roman"/>
          <w:szCs w:val="24"/>
        </w:rPr>
        <w:t xml:space="preserve">  Therefore, BIE asserted that the SMT-C Rider should allow full recovery of actual costs, no more and no less, ensuring that customers are paying only costs that the Company incurs.</w:t>
      </w:r>
      <w:r w:rsidRPr="007F5AFE">
        <w:rPr>
          <w:rStyle w:val="FootnoteReference"/>
          <w:rFonts w:ascii="Times New Roman" w:hAnsi="Times New Roman"/>
          <w:szCs w:val="24"/>
        </w:rPr>
        <w:footnoteReference w:id="27"/>
      </w:r>
      <w:r w:rsidRPr="007F5AFE">
        <w:rPr>
          <w:rFonts w:ascii="Times New Roman" w:hAnsi="Times New Roman"/>
          <w:szCs w:val="24"/>
        </w:rPr>
        <w:t xml:space="preserve">   </w:t>
      </w:r>
    </w:p>
    <w:p w:rsidR="007E74EE" w:rsidRPr="007F5AFE" w:rsidRDefault="007E74EE" w:rsidP="007F5AFE">
      <w:pPr>
        <w:rPr>
          <w:rFonts w:ascii="Times New Roman" w:hAnsi="Times New Roman"/>
          <w:szCs w:val="24"/>
        </w:rPr>
      </w:pPr>
    </w:p>
    <w:p w:rsidR="007E74EE" w:rsidRPr="007F5AFE" w:rsidRDefault="007E74EE" w:rsidP="003938F5">
      <w:pPr>
        <w:rPr>
          <w:rFonts w:ascii="Times New Roman" w:hAnsi="Times New Roman"/>
          <w:szCs w:val="24"/>
        </w:rPr>
      </w:pPr>
      <w:r w:rsidRPr="007F5AFE">
        <w:rPr>
          <w:rFonts w:ascii="Times New Roman" w:hAnsi="Times New Roman"/>
          <w:szCs w:val="24"/>
        </w:rPr>
        <w:tab/>
      </w:r>
      <w:r w:rsidR="00EE5932">
        <w:rPr>
          <w:rFonts w:ascii="Times New Roman" w:hAnsi="Times New Roman"/>
          <w:szCs w:val="24"/>
        </w:rPr>
        <w:tab/>
      </w:r>
      <w:r w:rsidRPr="007F5AFE">
        <w:rPr>
          <w:rFonts w:ascii="Times New Roman" w:hAnsi="Times New Roman"/>
          <w:szCs w:val="24"/>
        </w:rPr>
        <w:t>After a full analysis of the Company’s representation of its smart meter costs and lengthy settlement negotiations, the Joint Petitioners have agreed that the Company’s total revenue requirement includes $12.483 million associated with smart meter deployment.</w:t>
      </w:r>
      <w:r w:rsidRPr="007F5AFE">
        <w:rPr>
          <w:rStyle w:val="FootnoteReference"/>
          <w:rFonts w:ascii="Times New Roman" w:hAnsi="Times New Roman"/>
          <w:szCs w:val="24"/>
        </w:rPr>
        <w:footnoteReference w:id="28"/>
      </w:r>
      <w:r w:rsidR="003938F5">
        <w:rPr>
          <w:rFonts w:ascii="Times New Roman" w:hAnsi="Times New Roman"/>
          <w:szCs w:val="24"/>
        </w:rPr>
        <w:t xml:space="preserve">  </w:t>
      </w:r>
      <w:r w:rsidRPr="007F5AFE">
        <w:rPr>
          <w:rFonts w:ascii="Times New Roman" w:hAnsi="Times New Roman"/>
          <w:szCs w:val="24"/>
        </w:rPr>
        <w:t>BIE fully supports the settled upon smart meter cost recovery methodology as set forth in the Joint Petition.  BIE believes that the settled upon smart meter cost recovery methodology is consistent with prior Commission decisions,</w:t>
      </w:r>
      <w:r w:rsidRPr="007F5AFE">
        <w:rPr>
          <w:rStyle w:val="FootnoteReference"/>
          <w:rFonts w:ascii="Times New Roman" w:hAnsi="Times New Roman"/>
          <w:szCs w:val="24"/>
        </w:rPr>
        <w:footnoteReference w:id="29"/>
      </w:r>
      <w:r w:rsidRPr="007F5AFE">
        <w:rPr>
          <w:rFonts w:ascii="Times New Roman" w:hAnsi="Times New Roman"/>
          <w:szCs w:val="24"/>
        </w:rPr>
        <w:t xml:space="preserve"> provides stability to Penn Power, and provides protection from volatility; all of which are consistent with protecting the public interest.  </w:t>
      </w:r>
    </w:p>
    <w:p w:rsidR="007E74EE" w:rsidRPr="007F5AFE" w:rsidRDefault="007E74EE" w:rsidP="007F5AFE">
      <w:pPr>
        <w:rPr>
          <w:rFonts w:ascii="Times New Roman" w:hAnsi="Times New Roman"/>
          <w:szCs w:val="24"/>
        </w:rPr>
      </w:pPr>
    </w:p>
    <w:p w:rsidR="007E74EE" w:rsidRPr="00EE5932" w:rsidRDefault="00EE5932" w:rsidP="005F08E7">
      <w:pPr>
        <w:pStyle w:val="ListParagraph"/>
        <w:tabs>
          <w:tab w:val="left" w:pos="720"/>
          <w:tab w:val="left" w:pos="1440"/>
        </w:tabs>
        <w:ind w:left="0"/>
        <w:contextualSpacing/>
        <w:rPr>
          <w:rFonts w:ascii="Times New Roman" w:hAnsi="Times New Roman"/>
          <w:szCs w:val="24"/>
          <w:u w:val="single"/>
        </w:rPr>
      </w:pPr>
      <w:r>
        <w:rPr>
          <w:rFonts w:ascii="Times New Roman" w:hAnsi="Times New Roman"/>
          <w:b/>
          <w:szCs w:val="24"/>
        </w:rPr>
        <w:tab/>
      </w:r>
      <w:r w:rsidR="005F08E7" w:rsidRPr="005F08E7">
        <w:rPr>
          <w:rFonts w:ascii="Times New Roman" w:hAnsi="Times New Roman"/>
          <w:szCs w:val="24"/>
        </w:rPr>
        <w:t>4.</w:t>
      </w:r>
      <w:r w:rsidR="005F08E7">
        <w:rPr>
          <w:rFonts w:ascii="Times New Roman" w:hAnsi="Times New Roman"/>
          <w:b/>
          <w:szCs w:val="24"/>
        </w:rPr>
        <w:t xml:space="preserve"> </w:t>
      </w:r>
      <w:r w:rsidR="005F08E7">
        <w:rPr>
          <w:rFonts w:ascii="Times New Roman" w:hAnsi="Times New Roman"/>
          <w:b/>
          <w:szCs w:val="24"/>
        </w:rPr>
        <w:tab/>
      </w:r>
      <w:r w:rsidR="007E74EE" w:rsidRPr="00EE5932">
        <w:rPr>
          <w:rFonts w:ascii="Times New Roman" w:hAnsi="Times New Roman"/>
          <w:szCs w:val="24"/>
          <w:u w:val="single"/>
        </w:rPr>
        <w:t>Amortization of Legacy Meters (Joint Petition ¶ 11.A.3)</w:t>
      </w:r>
    </w:p>
    <w:p w:rsidR="00EE5932" w:rsidRDefault="00EE5932" w:rsidP="007F5AFE">
      <w:pPr>
        <w:rPr>
          <w:rFonts w:ascii="Times New Roman" w:hAnsi="Times New Roman"/>
          <w:szCs w:val="24"/>
        </w:rPr>
      </w:pPr>
    </w:p>
    <w:p w:rsidR="007E74EE" w:rsidRPr="007F5AFE" w:rsidRDefault="007E74EE" w:rsidP="003938F5">
      <w:pPr>
        <w:ind w:firstLine="1440"/>
        <w:rPr>
          <w:rFonts w:ascii="Times New Roman" w:hAnsi="Times New Roman"/>
          <w:szCs w:val="24"/>
        </w:rPr>
      </w:pPr>
      <w:r w:rsidRPr="007F5AFE">
        <w:rPr>
          <w:rFonts w:ascii="Times New Roman" w:hAnsi="Times New Roman"/>
          <w:szCs w:val="24"/>
        </w:rPr>
        <w:t>The Joint Petitioners agree the Company’s unamortized investment associated with the legacy meters will be amortized over a five-year period, beginning on the date the Settlement Rates become effective.</w:t>
      </w:r>
      <w:r w:rsidRPr="007F5AFE">
        <w:rPr>
          <w:rStyle w:val="FootnoteReference"/>
          <w:rFonts w:ascii="Times New Roman" w:hAnsi="Times New Roman"/>
          <w:szCs w:val="24"/>
        </w:rPr>
        <w:footnoteReference w:id="30"/>
      </w:r>
      <w:r w:rsidRPr="007F5AFE">
        <w:rPr>
          <w:rFonts w:ascii="Times New Roman" w:hAnsi="Times New Roman"/>
          <w:szCs w:val="24"/>
        </w:rPr>
        <w:t xml:space="preserve">   </w:t>
      </w:r>
      <w:r w:rsidR="003938F5">
        <w:rPr>
          <w:rFonts w:ascii="Times New Roman" w:hAnsi="Times New Roman"/>
          <w:szCs w:val="24"/>
        </w:rPr>
        <w:t>B</w:t>
      </w:r>
      <w:r w:rsidRPr="007F5AFE">
        <w:rPr>
          <w:rFonts w:ascii="Times New Roman" w:hAnsi="Times New Roman"/>
          <w:szCs w:val="24"/>
        </w:rPr>
        <w:t xml:space="preserve">IE did not oppose and now supports the settled upon </w:t>
      </w:r>
      <w:r w:rsidRPr="007F5AFE">
        <w:rPr>
          <w:rFonts w:ascii="Times New Roman" w:hAnsi="Times New Roman"/>
          <w:szCs w:val="24"/>
        </w:rPr>
        <w:lastRenderedPageBreak/>
        <w:t>legacy meter amortization methodology as set forth in the Joint Petition.  BIE believes that the settled upon legacy meter amortization methodology is consistent</w:t>
      </w:r>
      <w:r w:rsidR="003938F5">
        <w:rPr>
          <w:rFonts w:ascii="Times New Roman" w:hAnsi="Times New Roman"/>
          <w:szCs w:val="24"/>
        </w:rPr>
        <w:t xml:space="preserve"> </w:t>
      </w:r>
      <w:r w:rsidRPr="007F5AFE">
        <w:rPr>
          <w:rFonts w:ascii="Times New Roman" w:hAnsi="Times New Roman"/>
          <w:szCs w:val="24"/>
        </w:rPr>
        <w:t>with prior Commission decisions,</w:t>
      </w:r>
      <w:r w:rsidRPr="007F5AFE">
        <w:rPr>
          <w:rStyle w:val="FootnoteReference"/>
          <w:rFonts w:ascii="Times New Roman" w:hAnsi="Times New Roman"/>
          <w:szCs w:val="24"/>
        </w:rPr>
        <w:footnoteReference w:id="31"/>
      </w:r>
      <w:r w:rsidRPr="007F5AFE">
        <w:rPr>
          <w:rFonts w:ascii="Times New Roman" w:hAnsi="Times New Roman"/>
          <w:szCs w:val="24"/>
        </w:rPr>
        <w:t xml:space="preserve"> provides stability to Penn Power, and provides protection from volatility; all of which are consistent with protecting the public interest.  </w:t>
      </w:r>
    </w:p>
    <w:p w:rsidR="00EE5932" w:rsidRDefault="00EE5932" w:rsidP="00EE5932">
      <w:pPr>
        <w:pStyle w:val="ListParagraph"/>
        <w:tabs>
          <w:tab w:val="left" w:pos="720"/>
          <w:tab w:val="left" w:pos="1440"/>
        </w:tabs>
        <w:ind w:left="0"/>
        <w:contextualSpacing/>
        <w:rPr>
          <w:rFonts w:ascii="Times New Roman" w:hAnsi="Times New Roman"/>
          <w:b/>
          <w:szCs w:val="24"/>
        </w:rPr>
      </w:pPr>
    </w:p>
    <w:p w:rsidR="007E74EE" w:rsidRPr="00EE5932" w:rsidRDefault="00EE5932" w:rsidP="00EE5932">
      <w:pPr>
        <w:pStyle w:val="ListParagraph"/>
        <w:tabs>
          <w:tab w:val="left" w:pos="720"/>
          <w:tab w:val="left" w:pos="1440"/>
        </w:tabs>
        <w:ind w:left="0"/>
        <w:contextualSpacing/>
        <w:rPr>
          <w:rFonts w:ascii="Times New Roman" w:hAnsi="Times New Roman"/>
          <w:szCs w:val="24"/>
          <w:u w:val="single"/>
        </w:rPr>
      </w:pPr>
      <w:r w:rsidRPr="005F08E7">
        <w:rPr>
          <w:rFonts w:ascii="Times New Roman" w:hAnsi="Times New Roman"/>
          <w:szCs w:val="24"/>
        </w:rPr>
        <w:tab/>
      </w:r>
      <w:r w:rsidR="005F08E7" w:rsidRPr="005F08E7">
        <w:rPr>
          <w:rFonts w:ascii="Times New Roman" w:hAnsi="Times New Roman"/>
          <w:szCs w:val="24"/>
        </w:rPr>
        <w:t>5.</w:t>
      </w:r>
      <w:r w:rsidR="005F08E7">
        <w:rPr>
          <w:rFonts w:ascii="Times New Roman" w:hAnsi="Times New Roman"/>
          <w:b/>
          <w:szCs w:val="24"/>
        </w:rPr>
        <w:t xml:space="preserve"> </w:t>
      </w:r>
      <w:r w:rsidR="005F08E7">
        <w:rPr>
          <w:rFonts w:ascii="Times New Roman" w:hAnsi="Times New Roman"/>
          <w:b/>
          <w:szCs w:val="24"/>
        </w:rPr>
        <w:tab/>
      </w:r>
      <w:r w:rsidR="007E74EE" w:rsidRPr="00EE5932">
        <w:rPr>
          <w:rFonts w:ascii="Times New Roman" w:hAnsi="Times New Roman"/>
          <w:szCs w:val="24"/>
          <w:u w:val="single"/>
        </w:rPr>
        <w:t>Storm Reserve Account (Joint Petition ¶ 11.A.4)</w:t>
      </w:r>
    </w:p>
    <w:p w:rsidR="00EE5932" w:rsidRDefault="007E74EE" w:rsidP="00EE5932">
      <w:pPr>
        <w:contextualSpacing/>
        <w:rPr>
          <w:rFonts w:ascii="Times New Roman" w:hAnsi="Times New Roman"/>
          <w:szCs w:val="24"/>
        </w:rPr>
      </w:pPr>
      <w:r w:rsidRPr="007F5AFE">
        <w:rPr>
          <w:rFonts w:ascii="Times New Roman" w:hAnsi="Times New Roman"/>
          <w:szCs w:val="24"/>
        </w:rPr>
        <w:tab/>
      </w:r>
    </w:p>
    <w:p w:rsidR="007E74EE" w:rsidRPr="007F5AFE" w:rsidRDefault="007E74EE" w:rsidP="00EE5932">
      <w:pPr>
        <w:ind w:firstLine="1440"/>
        <w:contextualSpacing/>
        <w:rPr>
          <w:rFonts w:ascii="Times New Roman" w:hAnsi="Times New Roman"/>
          <w:szCs w:val="24"/>
        </w:rPr>
      </w:pPr>
      <w:r w:rsidRPr="007F5AFE">
        <w:rPr>
          <w:rFonts w:ascii="Times New Roman" w:eastAsia="Calibri" w:hAnsi="Times New Roman"/>
          <w:kern w:val="24"/>
          <w:szCs w:val="24"/>
        </w:rPr>
        <w:t>BIE opposed the Company’s Storm Damage Rider</w:t>
      </w:r>
      <w:r w:rsidR="003938F5">
        <w:rPr>
          <w:rFonts w:ascii="Times New Roman" w:eastAsia="Calibri" w:hAnsi="Times New Roman"/>
          <w:kern w:val="24"/>
          <w:szCs w:val="24"/>
        </w:rPr>
        <w:t>.  T</w:t>
      </w:r>
      <w:r w:rsidRPr="007F5AFE">
        <w:rPr>
          <w:rFonts w:ascii="Times New Roman" w:hAnsi="Times New Roman"/>
          <w:szCs w:val="24"/>
        </w:rPr>
        <w:t xml:space="preserve">he Settlement provides that the Company will not establish Rider B as proposed, but instead will establish a Storm Reserve Account.  </w:t>
      </w:r>
      <w:r w:rsidR="003938F5">
        <w:rPr>
          <w:rFonts w:ascii="Times New Roman" w:hAnsi="Times New Roman"/>
          <w:szCs w:val="24"/>
        </w:rPr>
        <w:t>The</w:t>
      </w:r>
      <w:r w:rsidRPr="007F5AFE">
        <w:rPr>
          <w:rFonts w:ascii="Times New Roman" w:hAnsi="Times New Roman"/>
          <w:szCs w:val="24"/>
        </w:rPr>
        <w:t xml:space="preserve"> $17,000,000 revenue requirement includes $1,000,000 to be recovered for the purposes of funding the Storm Reserve Account.  This $1,000,000 represents a five-year average of storm damage expense, excluding expenses associated with extraordinary storms.  The Company will continue to be able to account for extraordinary storm expense through the current practice of petitioning the Commission for approval to defer such</w:t>
      </w:r>
      <w:r w:rsidR="00AF6C2F">
        <w:rPr>
          <w:rFonts w:ascii="Times New Roman" w:hAnsi="Times New Roman"/>
          <w:szCs w:val="24"/>
        </w:rPr>
        <w:t xml:space="preserve"> expense</w:t>
      </w:r>
      <w:r w:rsidRPr="007F5AFE">
        <w:rPr>
          <w:rFonts w:ascii="Times New Roman" w:hAnsi="Times New Roman"/>
          <w:szCs w:val="24"/>
        </w:rPr>
        <w:t xml:space="preserve">  </w:t>
      </w:r>
    </w:p>
    <w:p w:rsidR="003938F5" w:rsidRDefault="003938F5" w:rsidP="00EE5932">
      <w:pPr>
        <w:ind w:firstLine="1440"/>
        <w:contextualSpacing/>
        <w:rPr>
          <w:rFonts w:ascii="Times New Roman" w:hAnsi="Times New Roman"/>
          <w:szCs w:val="24"/>
        </w:rPr>
      </w:pPr>
    </w:p>
    <w:p w:rsidR="007E74EE" w:rsidRPr="007F5AFE" w:rsidRDefault="00AF6C2F" w:rsidP="00EE5932">
      <w:pPr>
        <w:ind w:firstLine="1440"/>
        <w:contextualSpacing/>
        <w:rPr>
          <w:rFonts w:ascii="Times New Roman" w:hAnsi="Times New Roman"/>
          <w:szCs w:val="24"/>
        </w:rPr>
      </w:pPr>
      <w:r>
        <w:rPr>
          <w:rFonts w:ascii="Times New Roman" w:hAnsi="Times New Roman"/>
          <w:szCs w:val="24"/>
        </w:rPr>
        <w:t xml:space="preserve">The </w:t>
      </w:r>
      <w:r w:rsidR="007E74EE" w:rsidRPr="007F5AFE">
        <w:rPr>
          <w:rFonts w:ascii="Times New Roman" w:hAnsi="Times New Roman"/>
          <w:szCs w:val="24"/>
        </w:rPr>
        <w:t xml:space="preserve">Storm Reserve Account proposed in the Settlement is in the public interest as it helps self-insure the Company for distribution system storm damage expenses.  It protects ratepayers from the potential volatility of an annually variable rider as originally proposed by the Company.  Additionally, the Storm Reserve Account is in the Company’s interest because the reserve will be properly funded based on a five year average of experienced storms, which will potentially avoid an unfavorable impact on the Company’s financial statement that could result from year-to-year fluctuations in actual storm costs.  Accordingly, BIE maintains that the $1,000,000 Storm Reserve Account should be approved in this proceeding without modification.   </w:t>
      </w:r>
    </w:p>
    <w:p w:rsidR="00EE5932" w:rsidRDefault="00EE5932" w:rsidP="00EE5932">
      <w:pPr>
        <w:pStyle w:val="ListParagraph"/>
        <w:tabs>
          <w:tab w:val="left" w:pos="720"/>
          <w:tab w:val="left" w:pos="2160"/>
        </w:tabs>
        <w:ind w:left="0"/>
        <w:contextualSpacing/>
        <w:rPr>
          <w:rFonts w:ascii="Times New Roman" w:hAnsi="Times New Roman"/>
          <w:b/>
          <w:szCs w:val="24"/>
        </w:rPr>
      </w:pPr>
    </w:p>
    <w:p w:rsidR="007E74EE" w:rsidRPr="00EE5932" w:rsidRDefault="00EE5932" w:rsidP="00AF6C2F">
      <w:pPr>
        <w:pStyle w:val="ListParagraph"/>
        <w:tabs>
          <w:tab w:val="left" w:pos="720"/>
          <w:tab w:val="left" w:pos="1440"/>
        </w:tabs>
        <w:spacing w:line="240" w:lineRule="auto"/>
        <w:ind w:left="0"/>
        <w:contextualSpacing/>
        <w:rPr>
          <w:rFonts w:ascii="Times New Roman" w:hAnsi="Times New Roman"/>
          <w:szCs w:val="24"/>
          <w:u w:val="single"/>
        </w:rPr>
      </w:pPr>
      <w:r w:rsidRPr="005F08E7">
        <w:rPr>
          <w:rFonts w:ascii="Times New Roman" w:hAnsi="Times New Roman"/>
          <w:szCs w:val="24"/>
        </w:rPr>
        <w:tab/>
      </w:r>
      <w:r w:rsidR="005F08E7" w:rsidRPr="005F08E7">
        <w:rPr>
          <w:rFonts w:ascii="Times New Roman" w:hAnsi="Times New Roman"/>
          <w:szCs w:val="24"/>
        </w:rPr>
        <w:t>6.</w:t>
      </w:r>
      <w:r w:rsidR="005F08E7">
        <w:rPr>
          <w:rFonts w:ascii="Times New Roman" w:hAnsi="Times New Roman"/>
          <w:b/>
          <w:szCs w:val="24"/>
        </w:rPr>
        <w:t xml:space="preserve"> </w:t>
      </w:r>
      <w:r w:rsidR="005F08E7">
        <w:rPr>
          <w:rFonts w:ascii="Times New Roman" w:hAnsi="Times New Roman"/>
          <w:b/>
          <w:szCs w:val="24"/>
        </w:rPr>
        <w:tab/>
      </w:r>
      <w:r w:rsidR="007E74EE" w:rsidRPr="00EE5932">
        <w:rPr>
          <w:rFonts w:ascii="Times New Roman" w:hAnsi="Times New Roman"/>
          <w:szCs w:val="24"/>
          <w:u w:val="single"/>
        </w:rPr>
        <w:t xml:space="preserve">Fully Projected Future Test Year Reporting Requirements (Joint Petition </w:t>
      </w:r>
      <w:r w:rsidR="00AF6C2F" w:rsidRPr="00AF6C2F">
        <w:rPr>
          <w:rFonts w:ascii="Times New Roman" w:hAnsi="Times New Roman"/>
          <w:szCs w:val="24"/>
        </w:rPr>
        <w:tab/>
      </w:r>
      <w:r w:rsidR="00AF6C2F" w:rsidRPr="00AF6C2F">
        <w:rPr>
          <w:rFonts w:ascii="Times New Roman" w:hAnsi="Times New Roman"/>
          <w:szCs w:val="24"/>
        </w:rPr>
        <w:tab/>
      </w:r>
      <w:r w:rsidR="00AF6C2F" w:rsidRPr="00AF6C2F">
        <w:rPr>
          <w:rFonts w:ascii="Times New Roman" w:hAnsi="Times New Roman"/>
          <w:szCs w:val="24"/>
        </w:rPr>
        <w:tab/>
      </w:r>
      <w:r w:rsidR="00AF6C2F" w:rsidRPr="00AF6C2F">
        <w:rPr>
          <w:rFonts w:ascii="Times New Roman" w:hAnsi="Times New Roman"/>
          <w:szCs w:val="24"/>
        </w:rPr>
        <w:tab/>
      </w:r>
      <w:r w:rsidR="007E74EE" w:rsidRPr="00EE5932">
        <w:rPr>
          <w:rFonts w:ascii="Times New Roman" w:hAnsi="Times New Roman"/>
          <w:szCs w:val="24"/>
          <w:u w:val="single"/>
        </w:rPr>
        <w:t>¶</w:t>
      </w:r>
      <w:r w:rsidR="00AF6C2F">
        <w:rPr>
          <w:rFonts w:ascii="Times New Roman" w:hAnsi="Times New Roman"/>
          <w:szCs w:val="24"/>
          <w:u w:val="single"/>
        </w:rPr>
        <w:t> </w:t>
      </w:r>
      <w:r w:rsidR="007E74EE" w:rsidRPr="00EE5932">
        <w:rPr>
          <w:rFonts w:ascii="Times New Roman" w:hAnsi="Times New Roman"/>
          <w:szCs w:val="24"/>
          <w:u w:val="single"/>
        </w:rPr>
        <w:t>11.A.5)</w:t>
      </w:r>
    </w:p>
    <w:p w:rsidR="007E74EE" w:rsidRPr="007F5AFE" w:rsidRDefault="007E74EE" w:rsidP="00EE5932">
      <w:pPr>
        <w:pStyle w:val="ListParagraph"/>
        <w:tabs>
          <w:tab w:val="left" w:pos="720"/>
          <w:tab w:val="left" w:pos="2160"/>
        </w:tabs>
        <w:ind w:left="0"/>
        <w:rPr>
          <w:rFonts w:ascii="Times New Roman" w:hAnsi="Times New Roman"/>
          <w:b/>
          <w:szCs w:val="24"/>
        </w:rPr>
      </w:pPr>
    </w:p>
    <w:p w:rsidR="007E74EE" w:rsidRDefault="007E74EE" w:rsidP="003938F5">
      <w:pPr>
        <w:tabs>
          <w:tab w:val="left" w:pos="720"/>
          <w:tab w:val="left" w:pos="1440"/>
          <w:tab w:val="num" w:pos="2160"/>
        </w:tabs>
        <w:rPr>
          <w:rFonts w:ascii="Times New Roman" w:hAnsi="Times New Roman"/>
          <w:szCs w:val="24"/>
        </w:rPr>
      </w:pPr>
      <w:r w:rsidRPr="007F5AFE">
        <w:rPr>
          <w:rFonts w:ascii="Times New Roman" w:hAnsi="Times New Roman"/>
          <w:szCs w:val="24"/>
        </w:rPr>
        <w:tab/>
      </w:r>
      <w:r w:rsidR="00EE5932">
        <w:rPr>
          <w:rFonts w:ascii="Times New Roman" w:hAnsi="Times New Roman"/>
          <w:szCs w:val="24"/>
        </w:rPr>
        <w:tab/>
      </w:r>
      <w:r w:rsidRPr="007F5AFE">
        <w:rPr>
          <w:rFonts w:ascii="Times New Roman" w:hAnsi="Times New Roman"/>
          <w:szCs w:val="24"/>
        </w:rPr>
        <w:t xml:space="preserve">In this base rate filing, Penn Power elected to use a Fully Projected Future Test Year (FPFTY) consisting of the twelve months ended April 30, 2016 as permitted under Act 11 </w:t>
      </w:r>
      <w:r w:rsidRPr="007F5AFE">
        <w:rPr>
          <w:rFonts w:ascii="Times New Roman" w:hAnsi="Times New Roman"/>
          <w:szCs w:val="24"/>
        </w:rPr>
        <w:lastRenderedPageBreak/>
        <w:t>of 2012.  The FPFTY is a dramatic change from the standard ratemaking process.  Although previously allowing for use of a Future Test Year, Section 315 of the Public Utility Code, 66 Pa.C.S.A. § 315, traditionally required that utility investment be used and useful in the provision of service before the investment was reflected in rates.  However, as amended under Act 11, Section 315 now allows a utility to project investment and include it in the claimed revenue requirement through the twelve-month period beginning with the first month that the new rates will be placed in effect.  By allowing this extended projection, the FPFTY essentially allows a utility to require ratepayers to pay a return on its projected investment in future facilities that are not in place and providing service at the time the new rates take effect and that are not subject to any guarantee of being co</w:t>
      </w:r>
      <w:r w:rsidR="003938F5">
        <w:rPr>
          <w:rFonts w:ascii="Times New Roman" w:hAnsi="Times New Roman"/>
          <w:szCs w:val="24"/>
        </w:rPr>
        <w:t xml:space="preserve">mpleted and placed into service.  </w:t>
      </w:r>
      <w:r w:rsidRPr="007F5AFE">
        <w:rPr>
          <w:rFonts w:ascii="Times New Roman" w:hAnsi="Times New Roman"/>
          <w:szCs w:val="24"/>
        </w:rPr>
        <w:t>BIE fully supports the Settlement because this condition achieves BIE’s goal of timely receiving data sufficient to allow for the evaluation and confirmation of the accuracy of Penn Power’s projections in its next base rate filing.</w:t>
      </w:r>
    </w:p>
    <w:p w:rsidR="00EE5932" w:rsidRPr="007F5AFE" w:rsidRDefault="00EE5932" w:rsidP="00EE5932">
      <w:pPr>
        <w:tabs>
          <w:tab w:val="left" w:pos="720"/>
          <w:tab w:val="left" w:pos="1440"/>
          <w:tab w:val="num" w:pos="2160"/>
        </w:tabs>
        <w:ind w:firstLine="1440"/>
        <w:rPr>
          <w:rFonts w:ascii="Times New Roman" w:hAnsi="Times New Roman"/>
          <w:szCs w:val="24"/>
        </w:rPr>
      </w:pPr>
    </w:p>
    <w:p w:rsidR="007E74EE" w:rsidRPr="00EE5932" w:rsidRDefault="00EE5932" w:rsidP="005F08E7">
      <w:pPr>
        <w:pStyle w:val="ListParagraph"/>
        <w:tabs>
          <w:tab w:val="left" w:pos="720"/>
          <w:tab w:val="left" w:pos="1440"/>
        </w:tabs>
        <w:ind w:left="0"/>
        <w:contextualSpacing/>
        <w:rPr>
          <w:rFonts w:ascii="Times New Roman" w:hAnsi="Times New Roman"/>
          <w:szCs w:val="24"/>
          <w:u w:val="single"/>
        </w:rPr>
      </w:pPr>
      <w:r w:rsidRPr="005F08E7">
        <w:rPr>
          <w:rFonts w:ascii="Times New Roman" w:hAnsi="Times New Roman"/>
          <w:szCs w:val="24"/>
        </w:rPr>
        <w:tab/>
      </w:r>
      <w:r w:rsidR="005F08E7" w:rsidRPr="005F08E7">
        <w:rPr>
          <w:rFonts w:ascii="Times New Roman" w:hAnsi="Times New Roman"/>
          <w:szCs w:val="24"/>
        </w:rPr>
        <w:t>7.</w:t>
      </w:r>
      <w:r w:rsidR="005F08E7">
        <w:rPr>
          <w:rFonts w:ascii="Times New Roman" w:hAnsi="Times New Roman"/>
          <w:b/>
          <w:szCs w:val="24"/>
        </w:rPr>
        <w:t xml:space="preserve"> </w:t>
      </w:r>
      <w:r w:rsidR="005F08E7">
        <w:rPr>
          <w:rFonts w:ascii="Times New Roman" w:hAnsi="Times New Roman"/>
          <w:b/>
          <w:szCs w:val="24"/>
        </w:rPr>
        <w:tab/>
      </w:r>
      <w:r w:rsidR="007E74EE" w:rsidRPr="00EE5932">
        <w:rPr>
          <w:rFonts w:ascii="Times New Roman" w:hAnsi="Times New Roman"/>
          <w:szCs w:val="24"/>
          <w:u w:val="single"/>
        </w:rPr>
        <w:t>DSIC and Smart Meter ROE (Joint Petition ¶ 11.A.6)</w:t>
      </w:r>
    </w:p>
    <w:p w:rsidR="00EE5932" w:rsidRDefault="007E74EE" w:rsidP="00EE5932">
      <w:pPr>
        <w:tabs>
          <w:tab w:val="left" w:pos="720"/>
          <w:tab w:val="left" w:pos="2160"/>
        </w:tabs>
        <w:rPr>
          <w:rFonts w:ascii="Times New Roman" w:hAnsi="Times New Roman"/>
          <w:szCs w:val="24"/>
        </w:rPr>
      </w:pPr>
      <w:r w:rsidRPr="007F5AFE">
        <w:rPr>
          <w:rFonts w:ascii="Times New Roman" w:hAnsi="Times New Roman"/>
          <w:szCs w:val="24"/>
        </w:rPr>
        <w:tab/>
      </w:r>
    </w:p>
    <w:p w:rsidR="008715B3" w:rsidRDefault="007E74EE" w:rsidP="008715B3">
      <w:pPr>
        <w:tabs>
          <w:tab w:val="left" w:pos="720"/>
          <w:tab w:val="left" w:pos="2160"/>
        </w:tabs>
        <w:ind w:firstLine="1440"/>
        <w:rPr>
          <w:rFonts w:ascii="Times New Roman" w:hAnsi="Times New Roman"/>
          <w:szCs w:val="24"/>
        </w:rPr>
      </w:pPr>
      <w:r w:rsidRPr="007F5AFE">
        <w:rPr>
          <w:rFonts w:ascii="Times New Roman" w:hAnsi="Times New Roman"/>
          <w:szCs w:val="24"/>
        </w:rPr>
        <w:t xml:space="preserve">The parties agree that for the purpose of calculating a distribution system improvement charge (DSIC), if a DSIC is hereafter approved by the Commission, and calculating the incremental revenue requirement associated with smart meter deployment that is eligible for recovery through the SMT-C Rider, the Company shall use the return on equity calculated for electric utilities by the Commission’s Bureau of Technical Utility Services (TUS) in its quarterly earnings report.  In this Settlement, the </w:t>
      </w:r>
      <w:r w:rsidR="003938F5">
        <w:rPr>
          <w:rFonts w:ascii="Times New Roman" w:hAnsi="Times New Roman"/>
          <w:szCs w:val="24"/>
        </w:rPr>
        <w:t xml:space="preserve">parties </w:t>
      </w:r>
      <w:r w:rsidRPr="007F5AFE">
        <w:rPr>
          <w:rFonts w:ascii="Times New Roman" w:hAnsi="Times New Roman"/>
          <w:szCs w:val="24"/>
        </w:rPr>
        <w:t>have elected to utilize the TUS quarterly earnings report for DSIC ROE purposes.  Similarly, the Company’s Smart Meter Implementation Order states that, “To the extent that the subsequent base rate case is settled, the parties are to establish the applicable ROE to apply for the purposes of the Plan recovery mechanism in that proceeding.”</w:t>
      </w:r>
      <w:r w:rsidRPr="007F5AFE">
        <w:rPr>
          <w:rStyle w:val="FootnoteReference"/>
          <w:rFonts w:ascii="Times New Roman" w:hAnsi="Times New Roman"/>
          <w:szCs w:val="24"/>
        </w:rPr>
        <w:footnoteReference w:id="32"/>
      </w:r>
      <w:r w:rsidRPr="007F5AFE">
        <w:rPr>
          <w:rFonts w:ascii="Times New Roman" w:hAnsi="Times New Roman"/>
          <w:szCs w:val="24"/>
        </w:rPr>
        <w:t xml:space="preserve">  As with the DSIC ROE stipulation, it is similarly appropriate to rely on the TUS quarterly earnings report to establish the applicable ROE for smart meter</w:t>
      </w:r>
      <w:r w:rsidR="008715B3">
        <w:rPr>
          <w:rFonts w:ascii="Times New Roman" w:hAnsi="Times New Roman"/>
          <w:szCs w:val="24"/>
        </w:rPr>
        <w:t xml:space="preserve"> purposes.</w:t>
      </w:r>
    </w:p>
    <w:p w:rsidR="008715B3" w:rsidRDefault="008715B3" w:rsidP="008715B3">
      <w:pPr>
        <w:tabs>
          <w:tab w:val="left" w:pos="720"/>
          <w:tab w:val="left" w:pos="2160"/>
        </w:tabs>
        <w:ind w:firstLine="1440"/>
        <w:rPr>
          <w:rFonts w:ascii="Times New Roman" w:hAnsi="Times New Roman"/>
          <w:szCs w:val="24"/>
        </w:rPr>
      </w:pPr>
    </w:p>
    <w:p w:rsidR="007E74EE" w:rsidRPr="00EE5932" w:rsidRDefault="008715B3" w:rsidP="008715B3">
      <w:pPr>
        <w:tabs>
          <w:tab w:val="left" w:pos="720"/>
        </w:tabs>
        <w:ind w:firstLine="720"/>
        <w:rPr>
          <w:rFonts w:ascii="Times New Roman" w:hAnsi="Times New Roman"/>
          <w:szCs w:val="24"/>
          <w:u w:val="single"/>
        </w:rPr>
      </w:pPr>
      <w:r>
        <w:rPr>
          <w:rFonts w:ascii="Times New Roman" w:hAnsi="Times New Roman"/>
          <w:szCs w:val="24"/>
        </w:rPr>
        <w:t>8.</w:t>
      </w:r>
      <w:r w:rsidR="005F08E7">
        <w:rPr>
          <w:rFonts w:ascii="Times New Roman" w:hAnsi="Times New Roman"/>
          <w:b/>
          <w:szCs w:val="24"/>
        </w:rPr>
        <w:tab/>
      </w:r>
      <w:r w:rsidR="007E74EE" w:rsidRPr="00EE5932">
        <w:rPr>
          <w:rFonts w:ascii="Times New Roman" w:hAnsi="Times New Roman"/>
          <w:szCs w:val="24"/>
          <w:u w:val="single"/>
        </w:rPr>
        <w:t>Revenue Allocation and Rate Design (Joint Petition ¶ 11.B)</w:t>
      </w:r>
    </w:p>
    <w:p w:rsidR="00EE5932" w:rsidRDefault="00EE5932" w:rsidP="00EE5932">
      <w:pPr>
        <w:ind w:firstLine="720"/>
        <w:rPr>
          <w:rFonts w:ascii="Times New Roman" w:hAnsi="Times New Roman"/>
          <w:szCs w:val="24"/>
        </w:rPr>
      </w:pPr>
    </w:p>
    <w:p w:rsidR="007E74EE" w:rsidRPr="007F5AFE" w:rsidRDefault="007E74EE" w:rsidP="002B14AF">
      <w:pPr>
        <w:ind w:firstLine="1440"/>
        <w:rPr>
          <w:rFonts w:ascii="Times New Roman" w:hAnsi="Times New Roman"/>
          <w:szCs w:val="24"/>
        </w:rPr>
      </w:pPr>
      <w:r w:rsidRPr="007F5AFE">
        <w:rPr>
          <w:rFonts w:ascii="Times New Roman" w:hAnsi="Times New Roman"/>
          <w:szCs w:val="24"/>
        </w:rPr>
        <w:t>Pursuant to the Settlement, and as stated in the Joint Petition, the agreed to increase in base rates will allow the Company the opportunity to recover an increase of $17,000,000 in revenue.</w:t>
      </w:r>
      <w:r w:rsidR="002B14AF">
        <w:rPr>
          <w:rFonts w:ascii="Times New Roman" w:hAnsi="Times New Roman"/>
          <w:szCs w:val="24"/>
        </w:rPr>
        <w:t xml:space="preserve">  </w:t>
      </w:r>
      <w:r w:rsidRPr="007F5AFE">
        <w:rPr>
          <w:rFonts w:ascii="Times New Roman" w:hAnsi="Times New Roman"/>
          <w:szCs w:val="24"/>
        </w:rPr>
        <w:t>After a full and complete analysis of the Company’s base rate case filing, including a full analysis of the cost of service studies, and the extensive settlement negotiations among the parties; BIE fully supports the revenue allocations and rate design as set forth on Exhibits 2, 3 and 4 attached to the Joint Petition.</w:t>
      </w:r>
      <w:r w:rsidRPr="007F5AFE">
        <w:rPr>
          <w:rStyle w:val="FootnoteReference"/>
          <w:rFonts w:ascii="Times New Roman" w:hAnsi="Times New Roman"/>
          <w:szCs w:val="24"/>
        </w:rPr>
        <w:footnoteReference w:id="33"/>
      </w:r>
      <w:r w:rsidRPr="007F5AFE">
        <w:rPr>
          <w:rFonts w:ascii="Times New Roman" w:hAnsi="Times New Roman"/>
          <w:szCs w:val="24"/>
        </w:rPr>
        <w:t xml:space="preserve">  </w:t>
      </w:r>
    </w:p>
    <w:p w:rsidR="00EE5932" w:rsidRDefault="007E74EE" w:rsidP="00EE5932">
      <w:pPr>
        <w:rPr>
          <w:rFonts w:ascii="Times New Roman" w:hAnsi="Times New Roman"/>
          <w:szCs w:val="24"/>
        </w:rPr>
      </w:pPr>
      <w:r w:rsidRPr="007F5AFE">
        <w:rPr>
          <w:rFonts w:ascii="Times New Roman" w:hAnsi="Times New Roman"/>
          <w:szCs w:val="24"/>
        </w:rPr>
        <w:tab/>
      </w:r>
    </w:p>
    <w:p w:rsidR="007E74EE" w:rsidRPr="007F5AFE" w:rsidRDefault="007E74EE" w:rsidP="002B14AF">
      <w:pPr>
        <w:ind w:firstLine="1440"/>
        <w:rPr>
          <w:rFonts w:ascii="Times New Roman" w:hAnsi="Times New Roman"/>
          <w:szCs w:val="24"/>
        </w:rPr>
      </w:pPr>
      <w:r w:rsidRPr="007F5AFE">
        <w:rPr>
          <w:rFonts w:ascii="Times New Roman" w:hAnsi="Times New Roman"/>
          <w:szCs w:val="24"/>
        </w:rPr>
        <w:t xml:space="preserve">BIE notes the Settlement results in a monthly residential distribution customer charge that will increase by $1.96 (or 22.0%) from $8.89 to $10.85.  This increase is in lieu of the Company’s proposed monthly residential distribution customer charge contained in its filing of $12.71, which represented a $3.82 increase (or 43.0%).  BIE believes the settled upon revenue allocations and rate design are consistent with prior Commission decisions; provide stability to Penn Power; represent a fair and reasonable rate increase to Penn Power customers; and provide protection from volatility; all of which are consistent with protecting the public interest.    </w:t>
      </w:r>
    </w:p>
    <w:p w:rsidR="007E74EE" w:rsidRPr="007F5AFE" w:rsidRDefault="007E74EE" w:rsidP="00EE5932">
      <w:pPr>
        <w:ind w:firstLine="720"/>
        <w:rPr>
          <w:rFonts w:ascii="Times New Roman" w:hAnsi="Times New Roman"/>
          <w:szCs w:val="24"/>
        </w:rPr>
      </w:pPr>
    </w:p>
    <w:p w:rsidR="007E74EE" w:rsidRPr="00EE5932" w:rsidRDefault="007E74EE" w:rsidP="00EE5932">
      <w:pPr>
        <w:tabs>
          <w:tab w:val="left" w:pos="720"/>
        </w:tabs>
        <w:autoSpaceDE w:val="0"/>
        <w:autoSpaceDN w:val="0"/>
        <w:adjustRightInd w:val="0"/>
        <w:contextualSpacing/>
        <w:rPr>
          <w:rFonts w:ascii="Times New Roman" w:hAnsi="Times New Roman"/>
          <w:szCs w:val="24"/>
          <w:u w:val="single"/>
        </w:rPr>
      </w:pPr>
      <w:r w:rsidRPr="005F08E7">
        <w:rPr>
          <w:rFonts w:ascii="Times New Roman" w:hAnsi="Times New Roman"/>
          <w:szCs w:val="24"/>
        </w:rPr>
        <w:tab/>
      </w:r>
      <w:r w:rsidR="005F08E7" w:rsidRPr="005F08E7">
        <w:rPr>
          <w:rFonts w:ascii="Times New Roman" w:hAnsi="Times New Roman"/>
          <w:szCs w:val="24"/>
        </w:rPr>
        <w:t xml:space="preserve">9. </w:t>
      </w:r>
      <w:r w:rsidR="005F08E7" w:rsidRPr="005F08E7">
        <w:rPr>
          <w:rFonts w:ascii="Times New Roman" w:hAnsi="Times New Roman"/>
          <w:szCs w:val="24"/>
        </w:rPr>
        <w:tab/>
      </w:r>
      <w:r w:rsidR="00EE5932">
        <w:rPr>
          <w:rFonts w:ascii="Times New Roman" w:hAnsi="Times New Roman"/>
          <w:szCs w:val="24"/>
          <w:u w:val="single"/>
        </w:rPr>
        <w:t>The Partial Settlement Satisfies the Public Interest</w:t>
      </w:r>
    </w:p>
    <w:p w:rsidR="00EE5932" w:rsidRDefault="00EE5932" w:rsidP="00EE5932">
      <w:pPr>
        <w:tabs>
          <w:tab w:val="left" w:pos="720"/>
        </w:tabs>
        <w:autoSpaceDE w:val="0"/>
        <w:autoSpaceDN w:val="0"/>
        <w:adjustRightInd w:val="0"/>
        <w:contextualSpacing/>
        <w:rPr>
          <w:rFonts w:ascii="Times New Roman" w:hAnsi="Times New Roman"/>
          <w:szCs w:val="24"/>
        </w:rPr>
      </w:pPr>
    </w:p>
    <w:p w:rsidR="007E74EE" w:rsidRPr="007F5AFE" w:rsidRDefault="007E74EE" w:rsidP="00EE5932">
      <w:pPr>
        <w:tabs>
          <w:tab w:val="left" w:pos="720"/>
        </w:tabs>
        <w:autoSpaceDE w:val="0"/>
        <w:autoSpaceDN w:val="0"/>
        <w:adjustRightInd w:val="0"/>
        <w:ind w:firstLine="1440"/>
        <w:contextualSpacing/>
        <w:rPr>
          <w:rFonts w:ascii="Times New Roman" w:hAnsi="Times New Roman"/>
          <w:szCs w:val="24"/>
          <w:vertAlign w:val="subscript"/>
        </w:rPr>
      </w:pPr>
      <w:r w:rsidRPr="007F5AFE">
        <w:rPr>
          <w:rFonts w:ascii="Times New Roman" w:hAnsi="Times New Roman"/>
          <w:szCs w:val="24"/>
        </w:rPr>
        <w:t xml:space="preserve">BIE represents all issues raised in testimony have been satisfactorily resolved through discovery and discussions with the Company or are incorporated or considered in the resolution proposed in the Settlement.  The very nature of a settlement requires compromise on the part of all parties.  This Settlement exemplifies the benefits to be derived from a negotiated approach to resolving what can appear at first blush to be irreconcilable regulatory differences.  Joint Petitioners have carefully discussed and negotiated all issues raised in this proceeding, and specifically those addressed and resolved in this Settlement.  Further line-by-line identification of the ultimate resolution of the disputed issues beyond those presented in the Settlement is not necessary as BIE represents that the Settlement maintains the proper balance of the interests of </w:t>
      </w:r>
      <w:r w:rsidRPr="007F5AFE">
        <w:rPr>
          <w:rFonts w:ascii="Times New Roman" w:hAnsi="Times New Roman"/>
          <w:szCs w:val="24"/>
        </w:rPr>
        <w:lastRenderedPageBreak/>
        <w:t xml:space="preserve">all parties. </w:t>
      </w:r>
      <w:r w:rsidRPr="007F5AFE">
        <w:rPr>
          <w:rFonts w:ascii="Times New Roman" w:hAnsi="Times New Roman"/>
          <w:spacing w:val="-3"/>
          <w:szCs w:val="24"/>
        </w:rPr>
        <w:t>BIE is satisfied that no further action is necessary and considers its investigation of this rate filing complete.</w:t>
      </w:r>
    </w:p>
    <w:p w:rsidR="00EE5932" w:rsidRDefault="00EE5932" w:rsidP="00EE5932">
      <w:pPr>
        <w:rPr>
          <w:rFonts w:ascii="Times New Roman" w:hAnsi="Times New Roman"/>
          <w:szCs w:val="24"/>
        </w:rPr>
      </w:pPr>
    </w:p>
    <w:p w:rsidR="007E74EE" w:rsidRPr="007F5AFE" w:rsidRDefault="007E74EE" w:rsidP="00EE5932">
      <w:pPr>
        <w:ind w:firstLine="1440"/>
        <w:rPr>
          <w:rFonts w:ascii="Times New Roman" w:hAnsi="Times New Roman"/>
          <w:szCs w:val="24"/>
        </w:rPr>
      </w:pPr>
      <w:r w:rsidRPr="007F5AFE">
        <w:rPr>
          <w:rFonts w:ascii="Times New Roman" w:hAnsi="Times New Roman"/>
          <w:szCs w:val="24"/>
        </w:rPr>
        <w:t xml:space="preserve">Based upon BIE’s analysis of the filing, acceptance of this proposed Settlement is in the public interest.  Resolution of this case by settlement rather than litigation will avoid the substantial time and effort involved in continuing to formally pursue all issues in this proceeding at the risk of accumulating excessive expense.  BIE further submits that the acceptance of this Settlement will negate the need for evidentiary hearings, which would compel the extensive devotion of time and expense for the preparation, presentation, and cross-examination of multiple witnesses, the preparation of Main and Reply Briefs, the preparation of Exceptions and Replies, and the potential of filed appeals, all yielding substantial savings for all parties, and ultimately all customers, as well as certainty on the regulatory disposition of issues.  </w:t>
      </w:r>
    </w:p>
    <w:p w:rsidR="00506838" w:rsidRPr="007F5AFE" w:rsidRDefault="00506838" w:rsidP="00EE5932">
      <w:pPr>
        <w:rPr>
          <w:rFonts w:ascii="Times New Roman" w:hAnsi="Times New Roman"/>
          <w:szCs w:val="24"/>
        </w:rPr>
      </w:pPr>
    </w:p>
    <w:p w:rsidR="00A5663B" w:rsidRPr="00851D75" w:rsidRDefault="007B0862" w:rsidP="00C743CC">
      <w:pPr>
        <w:rPr>
          <w:rFonts w:ascii="Times New Roman" w:hAnsi="Times New Roman"/>
          <w:szCs w:val="24"/>
          <w:u w:val="single"/>
        </w:rPr>
      </w:pPr>
      <w:r>
        <w:rPr>
          <w:rFonts w:ascii="Times New Roman" w:hAnsi="Times New Roman"/>
          <w:szCs w:val="24"/>
        </w:rPr>
        <w:t>F</w:t>
      </w:r>
      <w:r w:rsidR="005F08E7" w:rsidRPr="005F08E7">
        <w:rPr>
          <w:rFonts w:ascii="Times New Roman" w:hAnsi="Times New Roman"/>
          <w:szCs w:val="24"/>
        </w:rPr>
        <w:t xml:space="preserve">. </w:t>
      </w:r>
      <w:r w:rsidR="005F08E7" w:rsidRPr="005F08E7">
        <w:rPr>
          <w:rFonts w:ascii="Times New Roman" w:hAnsi="Times New Roman"/>
          <w:szCs w:val="24"/>
        </w:rPr>
        <w:tab/>
      </w:r>
      <w:r w:rsidR="00506838" w:rsidRPr="00851D75">
        <w:rPr>
          <w:rFonts w:ascii="Times New Roman" w:hAnsi="Times New Roman"/>
          <w:szCs w:val="24"/>
          <w:u w:val="single"/>
        </w:rPr>
        <w:t>Penn</w:t>
      </w:r>
      <w:r w:rsidR="005F08E7">
        <w:rPr>
          <w:rFonts w:ascii="Times New Roman" w:hAnsi="Times New Roman"/>
          <w:szCs w:val="24"/>
          <w:u w:val="single"/>
        </w:rPr>
        <w:t>sylvania</w:t>
      </w:r>
      <w:r w:rsidR="00506838" w:rsidRPr="00851D75">
        <w:rPr>
          <w:rFonts w:ascii="Times New Roman" w:hAnsi="Times New Roman"/>
          <w:szCs w:val="24"/>
          <w:u w:val="single"/>
        </w:rPr>
        <w:t xml:space="preserve"> Power </w:t>
      </w:r>
      <w:r w:rsidR="005F08E7">
        <w:rPr>
          <w:rFonts w:ascii="Times New Roman" w:hAnsi="Times New Roman"/>
          <w:szCs w:val="24"/>
          <w:u w:val="single"/>
        </w:rPr>
        <w:t>Users Group</w:t>
      </w:r>
      <w:r w:rsidR="00A5663B" w:rsidRPr="00851D75">
        <w:rPr>
          <w:rFonts w:ascii="Times New Roman" w:hAnsi="Times New Roman"/>
          <w:szCs w:val="24"/>
          <w:u w:val="single"/>
        </w:rPr>
        <w:t xml:space="preserve"> Statement in Support</w:t>
      </w:r>
    </w:p>
    <w:p w:rsidR="00506838" w:rsidRPr="00851D75" w:rsidRDefault="00506838" w:rsidP="00506838">
      <w:pPr>
        <w:pStyle w:val="BodyText2"/>
        <w:spacing w:after="0" w:line="360" w:lineRule="auto"/>
        <w:rPr>
          <w:rFonts w:ascii="Times New Roman" w:hAnsi="Times New Roman"/>
        </w:rPr>
      </w:pPr>
    </w:p>
    <w:p w:rsidR="00506838" w:rsidRPr="00851D75" w:rsidRDefault="00506838" w:rsidP="00851D75">
      <w:pPr>
        <w:pStyle w:val="BodyText2"/>
        <w:spacing w:after="0" w:line="360" w:lineRule="auto"/>
        <w:rPr>
          <w:rFonts w:ascii="Times New Roman" w:hAnsi="Times New Roman"/>
        </w:rPr>
      </w:pPr>
      <w:r w:rsidRPr="00851D75">
        <w:rPr>
          <w:rFonts w:ascii="Times New Roman" w:hAnsi="Times New Roman"/>
        </w:rPr>
        <w:tab/>
      </w:r>
      <w:r w:rsidR="00851D75">
        <w:rPr>
          <w:rFonts w:ascii="Times New Roman" w:hAnsi="Times New Roman"/>
        </w:rPr>
        <w:tab/>
      </w:r>
      <w:r w:rsidR="00851D75">
        <w:rPr>
          <w:rFonts w:ascii="Times New Roman" w:hAnsi="Times New Roman"/>
          <w:szCs w:val="24"/>
        </w:rPr>
        <w:t>PPUG</w:t>
      </w:r>
      <w:r w:rsidR="00851D75" w:rsidRPr="00851D75">
        <w:rPr>
          <w:rFonts w:ascii="Times New Roman" w:hAnsi="Times New Roman"/>
          <w:szCs w:val="24"/>
        </w:rPr>
        <w:t xml:space="preserve"> submits the Joint Petition for Partial Settlement reflects a settlement among the Joint Petitioners with respect to Penn Power</w:t>
      </w:r>
      <w:r w:rsidR="00851D75">
        <w:rPr>
          <w:rFonts w:ascii="Times New Roman" w:hAnsi="Times New Roman"/>
          <w:szCs w:val="24"/>
        </w:rPr>
        <w:t xml:space="preserve">’s </w:t>
      </w:r>
      <w:r w:rsidR="00851D75" w:rsidRPr="00851D75">
        <w:rPr>
          <w:rFonts w:ascii="Times New Roman" w:hAnsi="Times New Roman"/>
          <w:szCs w:val="24"/>
        </w:rPr>
        <w:t xml:space="preserve">filing of Tariff Electric – Pa. P.U.C. No. 36, which sought to increase Penn Power's total annual operating revenues by $28.5 million.  As a result of settlement discussions, </w:t>
      </w:r>
      <w:r w:rsidR="00851D75">
        <w:rPr>
          <w:rFonts w:ascii="Times New Roman" w:hAnsi="Times New Roman"/>
          <w:szCs w:val="24"/>
        </w:rPr>
        <w:t xml:space="preserve">the </w:t>
      </w:r>
      <w:r w:rsidR="00851D75" w:rsidRPr="00851D75">
        <w:rPr>
          <w:rFonts w:ascii="Times New Roman" w:hAnsi="Times New Roman"/>
          <w:szCs w:val="24"/>
        </w:rPr>
        <w:t>Joint Petitioners agreed upon the terms embodied in the Joint Petition.  PPUG offers this Statement in Support to further demonstrate the Settlement is in the public interest and should be approved without modification.</w:t>
      </w:r>
    </w:p>
    <w:p w:rsidR="00851D75" w:rsidRDefault="00851D75" w:rsidP="00C743CC">
      <w:pPr>
        <w:rPr>
          <w:rFonts w:ascii="Times New Roman" w:hAnsi="Times New Roman"/>
        </w:rPr>
      </w:pPr>
    </w:p>
    <w:p w:rsidR="00851D75" w:rsidRDefault="00851D75" w:rsidP="00851D75">
      <w:pPr>
        <w:rPr>
          <w:rFonts w:ascii="Times New Roman" w:hAnsi="Times New Roman"/>
          <w:szCs w:val="24"/>
        </w:rPr>
      </w:pPr>
      <w:r>
        <w:rPr>
          <w:rFonts w:ascii="Times New Roman" w:hAnsi="Times New Roman"/>
        </w:rPr>
        <w:tab/>
      </w:r>
      <w:r>
        <w:rPr>
          <w:rFonts w:ascii="Times New Roman" w:hAnsi="Times New Roman"/>
        </w:rPr>
        <w:tab/>
      </w:r>
      <w:r w:rsidRPr="00851D75">
        <w:rPr>
          <w:rFonts w:ascii="Times New Roman" w:hAnsi="Times New Roman"/>
          <w:szCs w:val="24"/>
        </w:rPr>
        <w:t>The Joint Petitioners agree approval of the proposed Settlement is in the best i</w:t>
      </w:r>
      <w:r>
        <w:rPr>
          <w:rFonts w:ascii="Times New Roman" w:hAnsi="Times New Roman"/>
          <w:szCs w:val="24"/>
        </w:rPr>
        <w:t xml:space="preserve">nterest of the parties involved and </w:t>
      </w:r>
      <w:r w:rsidRPr="00851D75">
        <w:rPr>
          <w:rFonts w:ascii="Times New Roman" w:hAnsi="Times New Roman"/>
          <w:szCs w:val="24"/>
        </w:rPr>
        <w:t>that the Company should be authorized to file a tariff supplement containing the rates set forth in the Joint Petition.</w:t>
      </w:r>
      <w:r>
        <w:rPr>
          <w:rFonts w:ascii="Times New Roman" w:hAnsi="Times New Roman"/>
          <w:szCs w:val="24"/>
        </w:rPr>
        <w:t xml:space="preserve">  T</w:t>
      </w:r>
      <w:r w:rsidRPr="00851D75">
        <w:rPr>
          <w:rFonts w:ascii="Times New Roman" w:hAnsi="Times New Roman"/>
          <w:szCs w:val="24"/>
        </w:rPr>
        <w:t>he Joint Petitioners agree that the $17 million rate increase achieved in the Joint Petition is just, reasona</w:t>
      </w:r>
      <w:r>
        <w:rPr>
          <w:rFonts w:ascii="Times New Roman" w:hAnsi="Times New Roman"/>
          <w:szCs w:val="24"/>
        </w:rPr>
        <w:t xml:space="preserve">ble, and in the public interest and </w:t>
      </w:r>
      <w:r w:rsidRPr="00851D75">
        <w:rPr>
          <w:rFonts w:ascii="Times New Roman" w:hAnsi="Times New Roman"/>
          <w:szCs w:val="24"/>
        </w:rPr>
        <w:t>that this resulting rate increase should be allocated pursuant to the terms of the Settlement.</w:t>
      </w:r>
      <w:r w:rsidR="002B14AF">
        <w:rPr>
          <w:rFonts w:ascii="Times New Roman" w:hAnsi="Times New Roman"/>
          <w:szCs w:val="24"/>
        </w:rPr>
        <w:t xml:space="preserve">  </w:t>
      </w:r>
      <w:r>
        <w:rPr>
          <w:rFonts w:ascii="Times New Roman" w:hAnsi="Times New Roman"/>
          <w:szCs w:val="24"/>
        </w:rPr>
        <w:t>T</w:t>
      </w:r>
      <w:r w:rsidRPr="00851D75">
        <w:rPr>
          <w:rFonts w:ascii="Times New Roman" w:hAnsi="Times New Roman"/>
          <w:szCs w:val="24"/>
        </w:rPr>
        <w:t xml:space="preserve">he Joint Petition is in the public interest for the following reasons: </w:t>
      </w:r>
    </w:p>
    <w:p w:rsidR="00B479E0" w:rsidRPr="00851D75" w:rsidRDefault="00B479E0" w:rsidP="00851D75">
      <w:pPr>
        <w:rPr>
          <w:rFonts w:ascii="Times New Roman" w:hAnsi="Times New Roman"/>
          <w:szCs w:val="24"/>
        </w:rPr>
      </w:pPr>
    </w:p>
    <w:p w:rsidR="00851D75" w:rsidRPr="00851D75" w:rsidRDefault="00851D75" w:rsidP="00B479E0">
      <w:pPr>
        <w:numPr>
          <w:ilvl w:val="0"/>
          <w:numId w:val="33"/>
        </w:numPr>
        <w:spacing w:line="240" w:lineRule="auto"/>
        <w:ind w:left="1800" w:right="720"/>
        <w:jc w:val="both"/>
        <w:rPr>
          <w:rFonts w:ascii="Times New Roman" w:hAnsi="Times New Roman"/>
          <w:szCs w:val="24"/>
        </w:rPr>
      </w:pPr>
      <w:r w:rsidRPr="00851D75">
        <w:rPr>
          <w:rFonts w:ascii="Times New Roman" w:hAnsi="Times New Roman"/>
          <w:szCs w:val="24"/>
        </w:rPr>
        <w:t xml:space="preserve">As a result of the Joint Petition, expenses incurred by the Joint Petitioners and the Commission for completing this proceeding will be </w:t>
      </w:r>
      <w:r w:rsidRPr="00851D75">
        <w:rPr>
          <w:rFonts w:ascii="Times New Roman" w:hAnsi="Times New Roman"/>
          <w:szCs w:val="24"/>
        </w:rPr>
        <w:lastRenderedPageBreak/>
        <w:t>less than they would have been if the proceeding had been fully litigated.</w:t>
      </w:r>
    </w:p>
    <w:p w:rsidR="00851D75" w:rsidRPr="00851D75" w:rsidRDefault="00851D75" w:rsidP="00851D75">
      <w:pPr>
        <w:tabs>
          <w:tab w:val="left" w:pos="1800"/>
        </w:tabs>
        <w:ind w:left="1800"/>
        <w:jc w:val="both"/>
        <w:rPr>
          <w:rFonts w:ascii="Times New Roman" w:hAnsi="Times New Roman"/>
          <w:szCs w:val="24"/>
        </w:rPr>
      </w:pPr>
    </w:p>
    <w:p w:rsidR="00851D75" w:rsidRPr="00851D75" w:rsidRDefault="00851D75" w:rsidP="00B479E0">
      <w:pPr>
        <w:numPr>
          <w:ilvl w:val="0"/>
          <w:numId w:val="33"/>
        </w:numPr>
        <w:tabs>
          <w:tab w:val="left" w:pos="1800"/>
        </w:tabs>
        <w:spacing w:line="240" w:lineRule="auto"/>
        <w:ind w:left="1800" w:right="720"/>
        <w:jc w:val="both"/>
        <w:rPr>
          <w:rFonts w:ascii="Times New Roman" w:hAnsi="Times New Roman"/>
          <w:szCs w:val="24"/>
        </w:rPr>
      </w:pPr>
      <w:r w:rsidRPr="00851D75">
        <w:rPr>
          <w:rFonts w:ascii="Times New Roman" w:hAnsi="Times New Roman"/>
          <w:szCs w:val="24"/>
        </w:rPr>
        <w:t>Uncertainties regarding further expenses associated with possible appeals from the Final Order of the Commission are avoided as a result of the Joint Petition.</w:t>
      </w:r>
    </w:p>
    <w:p w:rsidR="00851D75" w:rsidRPr="00851D75" w:rsidRDefault="00851D75" w:rsidP="00851D75">
      <w:pPr>
        <w:pStyle w:val="ListParagraph"/>
        <w:rPr>
          <w:rFonts w:ascii="Times New Roman" w:hAnsi="Times New Roman"/>
          <w:szCs w:val="24"/>
        </w:rPr>
      </w:pPr>
    </w:p>
    <w:p w:rsidR="00851D75" w:rsidRPr="00851D75" w:rsidRDefault="00851D75" w:rsidP="00B479E0">
      <w:pPr>
        <w:numPr>
          <w:ilvl w:val="0"/>
          <w:numId w:val="33"/>
        </w:numPr>
        <w:tabs>
          <w:tab w:val="left" w:pos="1800"/>
        </w:tabs>
        <w:spacing w:line="240" w:lineRule="auto"/>
        <w:ind w:left="1800" w:right="720"/>
        <w:jc w:val="both"/>
        <w:rPr>
          <w:rFonts w:ascii="Times New Roman" w:hAnsi="Times New Roman"/>
          <w:szCs w:val="24"/>
        </w:rPr>
      </w:pPr>
      <w:r w:rsidRPr="00851D75">
        <w:rPr>
          <w:rFonts w:ascii="Times New Roman" w:hAnsi="Times New Roman"/>
          <w:szCs w:val="24"/>
        </w:rPr>
        <w:t>The Joint Petition results in an increase in Penn Power's rates by $17 million, which is approximately 59.6% of the Company's original request of $28.5 million.</w:t>
      </w:r>
    </w:p>
    <w:p w:rsidR="00851D75" w:rsidRPr="00851D75" w:rsidRDefault="00851D75" w:rsidP="00851D75">
      <w:pPr>
        <w:tabs>
          <w:tab w:val="left" w:pos="1800"/>
        </w:tabs>
        <w:ind w:left="1080"/>
        <w:jc w:val="both"/>
        <w:rPr>
          <w:rFonts w:ascii="Times New Roman" w:hAnsi="Times New Roman"/>
          <w:szCs w:val="24"/>
        </w:rPr>
      </w:pPr>
    </w:p>
    <w:p w:rsidR="00851D75" w:rsidRPr="00851D75" w:rsidRDefault="00851D75" w:rsidP="00B479E0">
      <w:pPr>
        <w:numPr>
          <w:ilvl w:val="0"/>
          <w:numId w:val="33"/>
        </w:numPr>
        <w:tabs>
          <w:tab w:val="left" w:pos="1800"/>
        </w:tabs>
        <w:spacing w:line="240" w:lineRule="auto"/>
        <w:ind w:left="1800" w:right="720"/>
        <w:jc w:val="both"/>
        <w:rPr>
          <w:rFonts w:ascii="Times New Roman" w:hAnsi="Times New Roman"/>
          <w:szCs w:val="24"/>
        </w:rPr>
      </w:pPr>
      <w:r w:rsidRPr="00851D75">
        <w:rPr>
          <w:rFonts w:ascii="Times New Roman" w:hAnsi="Times New Roman"/>
          <w:szCs w:val="24"/>
        </w:rPr>
        <w:t xml:space="preserve">While the Joint Petition reflects a "black box settlement," which often is the means used to achieve settlement among parties with respect to Rate of Return and Return on Equity issues in a rate proceeding, the Joint Petition addresses concerns about the absence of a stated rate of return on equity by affirmatively establishing a reasonable approach to determine a rate of return on equity for Penn Power if a distribution system improvement charge is hereafter proposed by Penn Power and approved by the Commission as well as the means by which to  calculate the incremental revenue requirement associated with smart meter deployment that exceeds the smart meter revenue requirement being recovered through settlement rates and is therefore eligible for recovery through the Company's Smart Meter Technologies Charge. </w:t>
      </w:r>
    </w:p>
    <w:p w:rsidR="00851D75" w:rsidRPr="00851D75" w:rsidRDefault="00851D75" w:rsidP="00851D75">
      <w:pPr>
        <w:pStyle w:val="ListParagraph"/>
        <w:rPr>
          <w:rFonts w:ascii="Times New Roman" w:hAnsi="Times New Roman"/>
          <w:szCs w:val="24"/>
        </w:rPr>
      </w:pPr>
    </w:p>
    <w:p w:rsidR="00851D75" w:rsidRPr="00851D75" w:rsidRDefault="00851D75" w:rsidP="00B479E0">
      <w:pPr>
        <w:numPr>
          <w:ilvl w:val="0"/>
          <w:numId w:val="33"/>
        </w:numPr>
        <w:tabs>
          <w:tab w:val="left" w:pos="1800"/>
        </w:tabs>
        <w:spacing w:line="240" w:lineRule="auto"/>
        <w:ind w:left="1800" w:right="720"/>
        <w:jc w:val="both"/>
        <w:rPr>
          <w:rFonts w:ascii="Times New Roman" w:hAnsi="Times New Roman"/>
          <w:szCs w:val="24"/>
        </w:rPr>
      </w:pPr>
      <w:r w:rsidRPr="00851D75">
        <w:rPr>
          <w:rFonts w:ascii="Times New Roman" w:hAnsi="Times New Roman"/>
          <w:szCs w:val="24"/>
        </w:rPr>
        <w:t>The Joint Petition provides an appropriate means by which to allocate the resulting increase among the Penn Power customer classes.</w:t>
      </w:r>
    </w:p>
    <w:p w:rsidR="00851D75" w:rsidRPr="00851D75" w:rsidRDefault="00851D75" w:rsidP="00851D75">
      <w:pPr>
        <w:tabs>
          <w:tab w:val="left" w:pos="1800"/>
        </w:tabs>
        <w:ind w:left="1800"/>
        <w:jc w:val="both"/>
        <w:rPr>
          <w:rFonts w:ascii="Times New Roman" w:hAnsi="Times New Roman"/>
          <w:szCs w:val="24"/>
        </w:rPr>
      </w:pPr>
    </w:p>
    <w:p w:rsidR="00851D75" w:rsidRPr="00851D75" w:rsidRDefault="00851D75" w:rsidP="00B479E0">
      <w:pPr>
        <w:numPr>
          <w:ilvl w:val="0"/>
          <w:numId w:val="33"/>
        </w:numPr>
        <w:tabs>
          <w:tab w:val="left" w:pos="1800"/>
        </w:tabs>
        <w:spacing w:line="240" w:lineRule="auto"/>
        <w:ind w:left="1800" w:right="720"/>
        <w:jc w:val="both"/>
        <w:rPr>
          <w:rFonts w:ascii="Times New Roman" w:hAnsi="Times New Roman"/>
          <w:szCs w:val="24"/>
        </w:rPr>
      </w:pPr>
      <w:r w:rsidRPr="00851D75">
        <w:rPr>
          <w:rFonts w:ascii="Times New Roman" w:hAnsi="Times New Roman"/>
          <w:szCs w:val="24"/>
        </w:rPr>
        <w:t>The Joint Petition provides a just and reasonable manner of resolving the Company's claim for deferred storm damage expenses and future storm expenses.</w:t>
      </w:r>
    </w:p>
    <w:p w:rsidR="00851D75" w:rsidRPr="00851D75" w:rsidRDefault="00851D75" w:rsidP="00851D75">
      <w:pPr>
        <w:pStyle w:val="ListParagraph"/>
        <w:rPr>
          <w:rFonts w:ascii="Times New Roman" w:hAnsi="Times New Roman"/>
          <w:szCs w:val="24"/>
        </w:rPr>
      </w:pPr>
    </w:p>
    <w:p w:rsidR="00851D75" w:rsidRPr="00851D75" w:rsidRDefault="00851D75" w:rsidP="00B479E0">
      <w:pPr>
        <w:numPr>
          <w:ilvl w:val="0"/>
          <w:numId w:val="33"/>
        </w:numPr>
        <w:tabs>
          <w:tab w:val="left" w:pos="1800"/>
        </w:tabs>
        <w:spacing w:line="240" w:lineRule="auto"/>
        <w:ind w:left="1800" w:right="720"/>
        <w:jc w:val="both"/>
        <w:rPr>
          <w:rFonts w:ascii="Times New Roman" w:hAnsi="Times New Roman"/>
          <w:szCs w:val="24"/>
        </w:rPr>
      </w:pPr>
      <w:r w:rsidRPr="00851D75">
        <w:rPr>
          <w:rFonts w:ascii="Times New Roman" w:hAnsi="Times New Roman"/>
          <w:szCs w:val="24"/>
        </w:rPr>
        <w:t xml:space="preserve">The Joint Petition reflects compromises on all sides presented without prejudice to any position any Joint Petitioner may have advanced so far in this proceeding.  Similarly, the Joint Petition is presented without prejudice to any position any party may advance in future proceedings involving the Company. </w:t>
      </w:r>
    </w:p>
    <w:p w:rsidR="00851D75" w:rsidRPr="00851D75" w:rsidRDefault="00851D75" w:rsidP="00851D75">
      <w:pPr>
        <w:pStyle w:val="ListParagraph"/>
        <w:rPr>
          <w:rFonts w:ascii="Times New Roman" w:hAnsi="Times New Roman"/>
          <w:szCs w:val="24"/>
        </w:rPr>
      </w:pPr>
    </w:p>
    <w:p w:rsidR="00851D75" w:rsidRPr="00851D75" w:rsidRDefault="00851D75" w:rsidP="002B14AF">
      <w:pPr>
        <w:tabs>
          <w:tab w:val="left" w:pos="1440"/>
        </w:tabs>
        <w:ind w:firstLine="1440"/>
        <w:rPr>
          <w:rFonts w:ascii="Times New Roman" w:hAnsi="Times New Roman"/>
          <w:szCs w:val="24"/>
        </w:rPr>
      </w:pPr>
      <w:r w:rsidRPr="00851D75">
        <w:rPr>
          <w:rFonts w:ascii="Times New Roman" w:hAnsi="Times New Roman"/>
          <w:szCs w:val="24"/>
        </w:rPr>
        <w:t>In addition, the Joint Petition specifically satisfies the concerns of PPUG by:  (1) lowering the revenue increase amount by approximately 40.4%; (2) appropriately allocating the proposed increase among the customer classes; and (3) eliminating the proposed Storm Rider.</w:t>
      </w:r>
      <w:r>
        <w:rPr>
          <w:rFonts w:ascii="Times New Roman" w:hAnsi="Times New Roman"/>
          <w:szCs w:val="24"/>
        </w:rPr>
        <w:t xml:space="preserve">  </w:t>
      </w:r>
      <w:r w:rsidRPr="00851D75">
        <w:rPr>
          <w:rFonts w:ascii="Times New Roman" w:hAnsi="Times New Roman"/>
          <w:szCs w:val="24"/>
        </w:rPr>
        <w:t>PPUG supports the foregoing Joint Petition becau</w:t>
      </w:r>
      <w:r w:rsidR="002B14AF">
        <w:rPr>
          <w:rFonts w:ascii="Times New Roman" w:hAnsi="Times New Roman"/>
          <w:szCs w:val="24"/>
        </w:rPr>
        <w:t xml:space="preserve">se it is in the public interest </w:t>
      </w:r>
      <w:r w:rsidRPr="00851D75">
        <w:rPr>
          <w:rFonts w:ascii="Times New Roman" w:hAnsi="Times New Roman"/>
          <w:szCs w:val="24"/>
        </w:rPr>
        <w:t xml:space="preserve">and adheres </w:t>
      </w:r>
      <w:r w:rsidRPr="00851D75">
        <w:rPr>
          <w:rFonts w:ascii="Times New Roman" w:hAnsi="Times New Roman"/>
          <w:szCs w:val="24"/>
        </w:rPr>
        <w:lastRenderedPageBreak/>
        <w:t xml:space="preserve">to Commission policies promoting negotiated settlements.  The Settlement was achieved after numerous settlement discussions.  Although Joint Petitioners have invested time and resources in the negotiation of the Joint Petition, this process has allowed the parties, and the Commission, to avoid expending the substantial resources that would have been required to fully litigate this proceeding while still reaching a just, reasonable, and non-discriminatory result.  Joint Petitioners have thus reached an amicable solution to this dispute as embodied in the Settlement.  Approval of the Settlement will permit the Commission and Joint Petitioners to avoid incurring the additional time, expense, and uncertainty of further litigation of a number of major issues in this proceeding.  </w:t>
      </w:r>
      <w:r w:rsidRPr="00851D75">
        <w:rPr>
          <w:rFonts w:ascii="Times New Roman" w:hAnsi="Times New Roman"/>
          <w:i/>
          <w:szCs w:val="24"/>
        </w:rPr>
        <w:t>See</w:t>
      </w:r>
      <w:r w:rsidRPr="00851D75">
        <w:rPr>
          <w:rFonts w:ascii="Times New Roman" w:hAnsi="Times New Roman"/>
          <w:szCs w:val="24"/>
        </w:rPr>
        <w:t xml:space="preserve"> 52 Pa. Code § 69.391.</w:t>
      </w:r>
    </w:p>
    <w:p w:rsidR="00851D75" w:rsidRPr="00851D75" w:rsidRDefault="00851D75" w:rsidP="005F08E7">
      <w:pPr>
        <w:rPr>
          <w:rFonts w:ascii="Times New Roman" w:hAnsi="Times New Roman"/>
        </w:rPr>
      </w:pPr>
    </w:p>
    <w:p w:rsidR="00A5663B" w:rsidRPr="00C743CC" w:rsidRDefault="00A77336" w:rsidP="00C743CC">
      <w:pPr>
        <w:rPr>
          <w:rFonts w:ascii="Times New Roman" w:hAnsi="Times New Roman"/>
          <w:u w:val="single"/>
        </w:rPr>
      </w:pPr>
      <w:r>
        <w:rPr>
          <w:rFonts w:ascii="Times New Roman" w:hAnsi="Times New Roman"/>
        </w:rPr>
        <w:t>G</w:t>
      </w:r>
      <w:r w:rsidR="005F08E7" w:rsidRPr="005F08E7">
        <w:rPr>
          <w:rFonts w:ascii="Times New Roman" w:hAnsi="Times New Roman"/>
        </w:rPr>
        <w:t>.</w:t>
      </w:r>
      <w:r w:rsidR="005F08E7" w:rsidRPr="005F08E7">
        <w:rPr>
          <w:rFonts w:ascii="Times New Roman" w:hAnsi="Times New Roman"/>
        </w:rPr>
        <w:tab/>
      </w:r>
      <w:r w:rsidR="00A5663B" w:rsidRPr="00C743CC">
        <w:rPr>
          <w:rFonts w:ascii="Times New Roman" w:hAnsi="Times New Roman"/>
          <w:u w:val="single"/>
        </w:rPr>
        <w:t>Pennsylvania State University’s Statement in Support</w:t>
      </w:r>
    </w:p>
    <w:p w:rsidR="00506838" w:rsidRDefault="00506838" w:rsidP="00506838">
      <w:pPr>
        <w:pStyle w:val="BodyText2"/>
        <w:spacing w:after="0" w:line="360" w:lineRule="auto"/>
        <w:rPr>
          <w:rFonts w:ascii="Times New Roman" w:hAnsi="Times New Roman"/>
        </w:rPr>
      </w:pPr>
    </w:p>
    <w:p w:rsidR="00506838" w:rsidRDefault="00506838" w:rsidP="00851D75">
      <w:pPr>
        <w:pStyle w:val="BodyText2"/>
        <w:spacing w:after="0" w:line="360" w:lineRule="auto"/>
        <w:rPr>
          <w:rFonts w:ascii="Times New Roman" w:hAnsi="Times New Roman"/>
        </w:rPr>
      </w:pPr>
      <w:r>
        <w:rPr>
          <w:rFonts w:ascii="Times New Roman" w:hAnsi="Times New Roman"/>
        </w:rPr>
        <w:tab/>
      </w:r>
      <w:r w:rsidR="00851D75">
        <w:rPr>
          <w:rFonts w:ascii="Times New Roman" w:hAnsi="Times New Roman"/>
        </w:rPr>
        <w:tab/>
      </w:r>
      <w:r w:rsidR="00851D75">
        <w:rPr>
          <w:sz w:val="23"/>
          <w:szCs w:val="23"/>
        </w:rPr>
        <w:t>PSU did not sign the Partial Settlement because it did not present evidence.  However, it did file a letter which indicated PSU did not oppose the Settlement and supported it as being in the public interest for the reasons stated in the Joint Petition.</w:t>
      </w:r>
    </w:p>
    <w:p w:rsidR="00506838" w:rsidRDefault="00506838" w:rsidP="00506838">
      <w:pPr>
        <w:rPr>
          <w:rFonts w:ascii="Times New Roman" w:hAnsi="Times New Roman"/>
        </w:rPr>
      </w:pPr>
    </w:p>
    <w:p w:rsidR="00A5663B" w:rsidRPr="003B7488" w:rsidRDefault="00A77336" w:rsidP="00A5663B">
      <w:pPr>
        <w:rPr>
          <w:rFonts w:ascii="Times New Roman" w:hAnsi="Times New Roman"/>
          <w:u w:val="single"/>
        </w:rPr>
      </w:pPr>
      <w:r>
        <w:rPr>
          <w:rFonts w:ascii="Times New Roman" w:hAnsi="Times New Roman"/>
        </w:rPr>
        <w:t>H</w:t>
      </w:r>
      <w:r w:rsidR="005F08E7" w:rsidRPr="005F08E7">
        <w:rPr>
          <w:rFonts w:ascii="Times New Roman" w:hAnsi="Times New Roman"/>
        </w:rPr>
        <w:t xml:space="preserve">. </w:t>
      </w:r>
      <w:r w:rsidR="005F08E7" w:rsidRPr="005F08E7">
        <w:rPr>
          <w:rFonts w:ascii="Times New Roman" w:hAnsi="Times New Roman"/>
        </w:rPr>
        <w:tab/>
      </w:r>
      <w:r w:rsidR="00506838">
        <w:rPr>
          <w:rFonts w:ascii="Times New Roman" w:hAnsi="Times New Roman"/>
          <w:u w:val="single"/>
        </w:rPr>
        <w:t>CAUSE-PA</w:t>
      </w:r>
      <w:r w:rsidR="00C743CC">
        <w:rPr>
          <w:rFonts w:ascii="Times New Roman" w:hAnsi="Times New Roman"/>
          <w:u w:val="single"/>
        </w:rPr>
        <w:t xml:space="preserve">’s </w:t>
      </w:r>
      <w:r w:rsidR="00A5663B" w:rsidRPr="003B7488">
        <w:rPr>
          <w:rFonts w:ascii="Times New Roman" w:hAnsi="Times New Roman"/>
          <w:u w:val="single"/>
        </w:rPr>
        <w:t>Statement in Support</w:t>
      </w:r>
    </w:p>
    <w:p w:rsidR="00506838" w:rsidRDefault="00506838" w:rsidP="00506838">
      <w:pPr>
        <w:pStyle w:val="BodyText2"/>
        <w:spacing w:after="0" w:line="360" w:lineRule="auto"/>
        <w:rPr>
          <w:rFonts w:ascii="Times New Roman" w:hAnsi="Times New Roman"/>
        </w:rPr>
      </w:pPr>
    </w:p>
    <w:p w:rsidR="00A5663B" w:rsidRDefault="00506838" w:rsidP="00851D75">
      <w:pPr>
        <w:pStyle w:val="BodyText2"/>
        <w:spacing w:after="0" w:line="360" w:lineRule="auto"/>
        <w:rPr>
          <w:rFonts w:ascii="Times New Roman" w:hAnsi="Times New Roman"/>
        </w:rPr>
      </w:pPr>
      <w:r>
        <w:rPr>
          <w:rFonts w:ascii="Times New Roman" w:hAnsi="Times New Roman"/>
        </w:rPr>
        <w:tab/>
      </w:r>
      <w:r w:rsidR="00851D75">
        <w:rPr>
          <w:rFonts w:ascii="Times New Roman" w:hAnsi="Times New Roman"/>
        </w:rPr>
        <w:tab/>
        <w:t xml:space="preserve">CAUSE-PA </w:t>
      </w:r>
      <w:r w:rsidR="00851D75">
        <w:rPr>
          <w:sz w:val="23"/>
          <w:szCs w:val="23"/>
        </w:rPr>
        <w:t>did not sign the Partial Settlement because it did not present evidence.  However, it did file a letter which indicated PSU did not oppose the Settlement and supported it as being in the public interest for the reasons stated in the Joint Petition.</w:t>
      </w:r>
    </w:p>
    <w:p w:rsidR="002B14AF" w:rsidRDefault="002B14AF" w:rsidP="00F428E7">
      <w:pPr>
        <w:rPr>
          <w:rFonts w:ascii="Times New Roman" w:hAnsi="Times New Roman"/>
        </w:rPr>
      </w:pPr>
    </w:p>
    <w:p w:rsidR="00506838" w:rsidRPr="00506838" w:rsidRDefault="00A77336" w:rsidP="00F428E7">
      <w:pPr>
        <w:rPr>
          <w:rFonts w:ascii="Times New Roman" w:hAnsi="Times New Roman"/>
          <w:u w:val="single"/>
        </w:rPr>
      </w:pPr>
      <w:r>
        <w:rPr>
          <w:rFonts w:ascii="Times New Roman" w:hAnsi="Times New Roman"/>
        </w:rPr>
        <w:t>I</w:t>
      </w:r>
      <w:r w:rsidR="005F08E7" w:rsidRPr="005F08E7">
        <w:rPr>
          <w:rFonts w:ascii="Times New Roman" w:hAnsi="Times New Roman"/>
        </w:rPr>
        <w:t xml:space="preserve">. </w:t>
      </w:r>
      <w:r w:rsidR="005F08E7" w:rsidRPr="005F08E7">
        <w:rPr>
          <w:rFonts w:ascii="Times New Roman" w:hAnsi="Times New Roman"/>
        </w:rPr>
        <w:tab/>
      </w:r>
      <w:r w:rsidR="00506838" w:rsidRPr="00506838">
        <w:rPr>
          <w:rFonts w:ascii="Times New Roman" w:hAnsi="Times New Roman"/>
          <w:u w:val="single"/>
        </w:rPr>
        <w:t>EDF’s Statement in Support</w:t>
      </w:r>
    </w:p>
    <w:p w:rsidR="00506838" w:rsidRDefault="00506838" w:rsidP="00F428E7">
      <w:pPr>
        <w:pStyle w:val="BodyText2"/>
        <w:spacing w:after="0" w:line="360" w:lineRule="auto"/>
        <w:rPr>
          <w:rFonts w:ascii="Times New Roman" w:hAnsi="Times New Roman"/>
        </w:rPr>
      </w:pPr>
    </w:p>
    <w:p w:rsidR="00851D75" w:rsidRDefault="00506838" w:rsidP="00F428E7">
      <w:r>
        <w:rPr>
          <w:rFonts w:ascii="Times New Roman" w:hAnsi="Times New Roman"/>
        </w:rPr>
        <w:tab/>
      </w:r>
      <w:r w:rsidR="00851D75">
        <w:rPr>
          <w:rFonts w:ascii="Times New Roman" w:hAnsi="Times New Roman"/>
        </w:rPr>
        <w:tab/>
        <w:t>EDF avers t</w:t>
      </w:r>
      <w:r w:rsidR="00851D75">
        <w:t xml:space="preserve">he </w:t>
      </w:r>
      <w:r w:rsidR="00F428E7">
        <w:t xml:space="preserve">Partial </w:t>
      </w:r>
      <w:r w:rsidR="00851D75">
        <w:t>Settlement contains a number of conditions which are intended to address the concerns raised by EDF throughout the course of this proceeding. The following identified issues are those of principal interest to EDF and in the public interest.  Therefore, EDF respectfully requests the Commission approve the Settlement as presented, without modification, and with all due haste.</w:t>
      </w:r>
    </w:p>
    <w:p w:rsidR="00506838" w:rsidRDefault="00506838" w:rsidP="00F428E7">
      <w:pPr>
        <w:rPr>
          <w:rFonts w:ascii="Times New Roman" w:hAnsi="Times New Roman"/>
        </w:rPr>
      </w:pPr>
    </w:p>
    <w:p w:rsidR="00031F82" w:rsidRDefault="00031F82">
      <w:pPr>
        <w:spacing w:line="240" w:lineRule="auto"/>
        <w:rPr>
          <w:rFonts w:ascii="Times New Roman" w:hAnsi="Times New Roman"/>
        </w:rPr>
      </w:pPr>
      <w:r>
        <w:rPr>
          <w:rFonts w:ascii="Times New Roman" w:hAnsi="Times New Roman"/>
        </w:rPr>
        <w:br w:type="page"/>
      </w:r>
    </w:p>
    <w:p w:rsidR="00506838" w:rsidRDefault="00A77336" w:rsidP="00506838">
      <w:pPr>
        <w:rPr>
          <w:rFonts w:ascii="Times New Roman" w:hAnsi="Times New Roman"/>
          <w:u w:val="single"/>
        </w:rPr>
      </w:pPr>
      <w:r>
        <w:rPr>
          <w:rFonts w:ascii="Times New Roman" w:hAnsi="Times New Roman"/>
        </w:rPr>
        <w:lastRenderedPageBreak/>
        <w:t>J</w:t>
      </w:r>
      <w:r w:rsidR="005F08E7" w:rsidRPr="005F08E7">
        <w:rPr>
          <w:rFonts w:ascii="Times New Roman" w:hAnsi="Times New Roman"/>
        </w:rPr>
        <w:t xml:space="preserve">. </w:t>
      </w:r>
      <w:r w:rsidR="005F08E7" w:rsidRPr="005F08E7">
        <w:rPr>
          <w:rFonts w:ascii="Times New Roman" w:hAnsi="Times New Roman"/>
        </w:rPr>
        <w:tab/>
      </w:r>
      <w:r w:rsidR="00506838">
        <w:rPr>
          <w:rFonts w:ascii="Times New Roman" w:hAnsi="Times New Roman"/>
          <w:u w:val="single"/>
        </w:rPr>
        <w:t>Walmart’s Statement in Support</w:t>
      </w:r>
    </w:p>
    <w:p w:rsidR="00506838" w:rsidRDefault="00506838" w:rsidP="00757FF6">
      <w:pPr>
        <w:pStyle w:val="Heading2"/>
        <w:numPr>
          <w:ilvl w:val="0"/>
          <w:numId w:val="0"/>
        </w:numPr>
        <w:spacing w:line="360" w:lineRule="auto"/>
        <w:ind w:left="720"/>
        <w:jc w:val="left"/>
      </w:pPr>
    </w:p>
    <w:p w:rsidR="00757FF6" w:rsidRDefault="00506838" w:rsidP="002B14AF">
      <w:pPr>
        <w:pStyle w:val="Heading2"/>
        <w:numPr>
          <w:ilvl w:val="0"/>
          <w:numId w:val="0"/>
        </w:numPr>
        <w:spacing w:line="360" w:lineRule="auto"/>
        <w:ind w:firstLine="720"/>
        <w:jc w:val="left"/>
      </w:pPr>
      <w:r>
        <w:tab/>
      </w:r>
      <w:r w:rsidR="00757FF6">
        <w:t xml:space="preserve">As an </w:t>
      </w:r>
      <w:proofErr w:type="spellStart"/>
      <w:r w:rsidR="00757FF6">
        <w:t>Intervenor</w:t>
      </w:r>
      <w:proofErr w:type="spellEnd"/>
      <w:r w:rsidR="00757FF6">
        <w:t>, Walmart recommended the Commission consider the impact on customers thoroughly and carefully to ensure that any increase in the Company’s rates are only the minimum amount necessary for the utilities to provide adequate and reliable service.  Walmart recommended that the Commission closely examine the Company’s proposed revenue requirement increase,</w:t>
      </w:r>
      <w:r w:rsidR="00757FF6" w:rsidRPr="00E3350A">
        <w:t xml:space="preserve"> </w:t>
      </w:r>
      <w:r w:rsidR="00757FF6">
        <w:t xml:space="preserve">especially when viewed in light of the proposed use of a fully projected future test year. </w:t>
      </w:r>
      <w:r w:rsidR="002B14AF">
        <w:t xml:space="preserve"> </w:t>
      </w:r>
      <w:r w:rsidR="00757FF6">
        <w:t>With respect to rate design, Walmart advocated that distribution rates be set based on the utility’s cost of service, which has the effect of producing equitable rates that reflect cost causation, sending proper price signals to customers and minimizing price distortions.  In general, the revenue allocations and rates as set forth in the Joint Petition reflect a reasonable compromise among competing interests to move towards cost of service.</w:t>
      </w:r>
    </w:p>
    <w:p w:rsidR="00EB7E82" w:rsidRDefault="00EB7E82" w:rsidP="00757FF6">
      <w:pPr>
        <w:pStyle w:val="Heading2"/>
        <w:numPr>
          <w:ilvl w:val="0"/>
          <w:numId w:val="0"/>
        </w:numPr>
        <w:spacing w:line="360" w:lineRule="auto"/>
        <w:ind w:firstLine="1440"/>
        <w:jc w:val="left"/>
      </w:pPr>
    </w:p>
    <w:p w:rsidR="00757FF6" w:rsidRDefault="00757FF6" w:rsidP="00EB7E82">
      <w:pPr>
        <w:pStyle w:val="Heading2"/>
        <w:numPr>
          <w:ilvl w:val="0"/>
          <w:numId w:val="0"/>
        </w:numPr>
        <w:spacing w:line="360" w:lineRule="auto"/>
        <w:ind w:firstLine="1440"/>
        <w:jc w:val="left"/>
      </w:pPr>
      <w:r>
        <w:t>The Partial Settlement is</w:t>
      </w:r>
      <w:r w:rsidR="00EB7E82">
        <w:t xml:space="preserve"> in the public interest because </w:t>
      </w:r>
      <w:r>
        <w:t>Settlements conserve administrative resources and reduce the uncertainty, time and considerable expense associated with fully litigating the issues in a proceeding.</w:t>
      </w:r>
      <w:r w:rsidR="00EB7E82">
        <w:t xml:space="preserve">  Plus t</w:t>
      </w:r>
      <w:r w:rsidRPr="008527B4">
        <w:t>he results achieved from a negotiated settlement</w:t>
      </w:r>
      <w:r>
        <w:t xml:space="preserve"> </w:t>
      </w:r>
      <w:r w:rsidRPr="008527B4">
        <w:t>in which the interested parties have had an opportunity to participate are often preferable to those achieved at the conclusion of a fully litigated proceeding</w:t>
      </w:r>
      <w:r>
        <w:t>.</w:t>
      </w:r>
      <w:r w:rsidR="00EB7E82">
        <w:t xml:space="preserve">  A settlement </w:t>
      </w:r>
      <w:r>
        <w:t>provides for an increase in annual base rate distribution revenues of $17 million, or approximately 5.2% (based on total electric operating revenue), in lieu of the $29.557 million, or approximately 9.0% (based on total electric operating revenue) increase originally requested by the Company.</w:t>
      </w:r>
    </w:p>
    <w:p w:rsidR="00EB7E82" w:rsidRDefault="00EB7E82" w:rsidP="00EB7E82">
      <w:pPr>
        <w:pStyle w:val="Heading2"/>
        <w:widowControl/>
        <w:numPr>
          <w:ilvl w:val="0"/>
          <w:numId w:val="0"/>
        </w:numPr>
        <w:spacing w:line="360" w:lineRule="auto"/>
        <w:ind w:firstLine="720"/>
        <w:jc w:val="left"/>
      </w:pPr>
    </w:p>
    <w:p w:rsidR="00757FF6" w:rsidRPr="00757FF6" w:rsidRDefault="00EB7E82" w:rsidP="00EB7E82">
      <w:pPr>
        <w:pStyle w:val="BodyText2"/>
        <w:spacing w:after="0" w:line="360" w:lineRule="auto"/>
      </w:pPr>
      <w:r>
        <w:tab/>
      </w:r>
      <w:r>
        <w:tab/>
      </w:r>
      <w:r w:rsidR="00757FF6" w:rsidRPr="00757FF6">
        <w:t>Walmart’s support of the Joint Petition and the Partial Settlement does not imply Walmart’s agreement with each and every aspect of the Partial Settlement on an individual term-by-term basis.  Rather, Walmart’s support of the Joint Petition and the Partial Settlement, taken as a whole, is based on the premise that the Partial Settlement represents a reasonable compromise amongst numerous competing interests and positions in the Distribution Base Rate Filing.  Settlement of the numerous complex issues by the parties avoids the uncertainty involved in litigation and the necessity of further costly administrative, and possibly appellate, proceedings regarding the issues resolved the Partial Settlement.</w:t>
      </w:r>
    </w:p>
    <w:p w:rsidR="00506838" w:rsidRPr="00757FF6" w:rsidRDefault="00506838" w:rsidP="00EB7E82">
      <w:pPr>
        <w:pStyle w:val="Heading2"/>
        <w:numPr>
          <w:ilvl w:val="0"/>
          <w:numId w:val="0"/>
        </w:numPr>
        <w:spacing w:line="360" w:lineRule="auto"/>
        <w:jc w:val="left"/>
      </w:pPr>
    </w:p>
    <w:p w:rsidR="00676F7B" w:rsidRPr="00676F7B" w:rsidRDefault="00676F7B" w:rsidP="00676F7B">
      <w:pPr>
        <w:rPr>
          <w:rFonts w:ascii="Times New Roman" w:hAnsi="Times New Roman"/>
        </w:rPr>
      </w:pPr>
      <w:r w:rsidRPr="00676F7B">
        <w:rPr>
          <w:rFonts w:ascii="Times New Roman" w:hAnsi="Times New Roman"/>
        </w:rPr>
        <w:t xml:space="preserve">K. </w:t>
      </w:r>
      <w:r w:rsidRPr="00676F7B">
        <w:rPr>
          <w:rFonts w:ascii="Times New Roman" w:hAnsi="Times New Roman"/>
        </w:rPr>
        <w:tab/>
      </w:r>
      <w:r w:rsidRPr="00676F7B">
        <w:rPr>
          <w:rFonts w:ascii="Times New Roman" w:hAnsi="Times New Roman"/>
          <w:u w:val="single"/>
        </w:rPr>
        <w:t>ALJs’ Recommendation on Partial Settlement</w:t>
      </w:r>
    </w:p>
    <w:p w:rsidR="00676F7B" w:rsidRPr="00676F7B" w:rsidRDefault="00676F7B" w:rsidP="00676F7B">
      <w:pPr>
        <w:rPr>
          <w:rFonts w:ascii="Times New Roman" w:hAnsi="Times New Roman"/>
        </w:rPr>
      </w:pPr>
    </w:p>
    <w:p w:rsidR="00676F7B" w:rsidRPr="00676F7B" w:rsidRDefault="00676F7B" w:rsidP="00676F7B">
      <w:pPr>
        <w:rPr>
          <w:rFonts w:ascii="Times New Roman" w:hAnsi="Times New Roman"/>
        </w:rPr>
      </w:pPr>
      <w:r w:rsidRPr="00676F7B">
        <w:rPr>
          <w:rFonts w:ascii="Times New Roman" w:hAnsi="Times New Roman"/>
        </w:rPr>
        <w:tab/>
      </w:r>
      <w:r w:rsidRPr="00676F7B">
        <w:rPr>
          <w:rFonts w:ascii="Times New Roman" w:hAnsi="Times New Roman"/>
        </w:rPr>
        <w:tab/>
        <w:t>The Partial Settlement of this consolidated proceeding constitutes a significant reduction in the revenue increase originally requested by Penn Power.  Upon consideration of the terms and conditions of the Settlement, and the statements of the parties in support thereof, it is our opinion the Settlement is an equitable, fair, and reasonable resolution of this consolidated proceeding, and the Commission should approve the Settlement submitted in this matter.</w:t>
      </w:r>
    </w:p>
    <w:p w:rsidR="00676F7B" w:rsidRPr="00676F7B" w:rsidRDefault="00676F7B" w:rsidP="00676F7B">
      <w:pPr>
        <w:rPr>
          <w:rFonts w:ascii="Times New Roman" w:hAnsi="Times New Roman"/>
        </w:rPr>
      </w:pPr>
    </w:p>
    <w:p w:rsidR="00676F7B" w:rsidRPr="00676F7B" w:rsidRDefault="00676F7B" w:rsidP="00676F7B">
      <w:pPr>
        <w:rPr>
          <w:rFonts w:ascii="Times New Roman" w:hAnsi="Times New Roman"/>
        </w:rPr>
      </w:pPr>
      <w:r w:rsidRPr="00676F7B">
        <w:rPr>
          <w:rFonts w:ascii="Times New Roman" w:hAnsi="Times New Roman"/>
        </w:rPr>
        <w:tab/>
      </w:r>
      <w:r w:rsidRPr="00676F7B">
        <w:rPr>
          <w:rFonts w:ascii="Times New Roman" w:hAnsi="Times New Roman"/>
        </w:rPr>
        <w:tab/>
        <w:t xml:space="preserve">Upon </w:t>
      </w:r>
      <w:r w:rsidRPr="00676F7B">
        <w:rPr>
          <w:rFonts w:ascii="Times New Roman" w:hAnsi="Times New Roman"/>
          <w:szCs w:val="24"/>
        </w:rPr>
        <w:t>consideration of the terms and conditions of the Partial Settlement, and the statements of the parties in support thereof, it is our opinion the Partial Settlement is an equitable, fair, and reasonable resolution, and benefits the public interest by permitting the Company to recover all reasonable costs incurred in its provision of electric service to ratepayers, with a reasonable rate of return, and also provides for the deployment of Smart Meters to all ratepayers in the Company’s territory.  The presiding officers recommend the Commission should approve the Partial Settlement submitted in this matter</w:t>
      </w:r>
    </w:p>
    <w:p w:rsidR="00676F7B" w:rsidRPr="00676F7B" w:rsidRDefault="00676F7B" w:rsidP="00676F7B">
      <w:pPr>
        <w:rPr>
          <w:rFonts w:ascii="Times New Roman" w:hAnsi="Times New Roman"/>
          <w:u w:val="single"/>
        </w:rPr>
      </w:pPr>
    </w:p>
    <w:p w:rsidR="00676F7B" w:rsidRPr="00676F7B" w:rsidRDefault="00676F7B" w:rsidP="00676F7B">
      <w:pPr>
        <w:rPr>
          <w:rFonts w:ascii="Times New Roman" w:hAnsi="Times New Roman"/>
          <w:u w:val="single"/>
        </w:rPr>
      </w:pPr>
      <w:r w:rsidRPr="00676F7B">
        <w:rPr>
          <w:rFonts w:ascii="Times New Roman" w:hAnsi="Times New Roman"/>
        </w:rPr>
        <w:t xml:space="preserve">L. </w:t>
      </w:r>
      <w:r w:rsidRPr="00676F7B">
        <w:rPr>
          <w:rFonts w:ascii="Times New Roman" w:hAnsi="Times New Roman"/>
        </w:rPr>
        <w:tab/>
      </w:r>
      <w:r w:rsidRPr="00676F7B">
        <w:rPr>
          <w:rFonts w:ascii="Times New Roman" w:hAnsi="Times New Roman"/>
          <w:u w:val="single"/>
        </w:rPr>
        <w:t>ALJs’ Recommendation Concerning Smart Meter Charge</w:t>
      </w:r>
    </w:p>
    <w:p w:rsidR="00676F7B" w:rsidRPr="00676F7B" w:rsidRDefault="00676F7B" w:rsidP="00676F7B">
      <w:pPr>
        <w:rPr>
          <w:rFonts w:ascii="Times New Roman" w:hAnsi="Times New Roman"/>
        </w:rPr>
      </w:pPr>
    </w:p>
    <w:p w:rsidR="00676F7B" w:rsidRPr="00676F7B" w:rsidRDefault="00676F7B" w:rsidP="00676F7B">
      <w:pPr>
        <w:rPr>
          <w:rFonts w:ascii="Times New Roman" w:hAnsi="Times New Roman"/>
          <w:szCs w:val="24"/>
        </w:rPr>
      </w:pPr>
      <w:r w:rsidRPr="00676F7B">
        <w:rPr>
          <w:rFonts w:ascii="Times New Roman" w:hAnsi="Times New Roman"/>
        </w:rPr>
        <w:tab/>
      </w:r>
      <w:r w:rsidRPr="00676F7B">
        <w:rPr>
          <w:rFonts w:ascii="Times New Roman" w:hAnsi="Times New Roman"/>
        </w:rPr>
        <w:tab/>
        <w:t>The Smart Meter surcharge (</w:t>
      </w:r>
      <w:proofErr w:type="spellStart"/>
      <w:r w:rsidRPr="00676F7B">
        <w:rPr>
          <w:rFonts w:ascii="Times New Roman" w:hAnsi="Times New Roman"/>
        </w:rPr>
        <w:t>SMT</w:t>
      </w:r>
      <w:proofErr w:type="spellEnd"/>
      <w:r w:rsidRPr="00676F7B">
        <w:rPr>
          <w:rFonts w:ascii="Times New Roman" w:hAnsi="Times New Roman"/>
        </w:rPr>
        <w:t xml:space="preserve">-C) </w:t>
      </w:r>
      <w:r w:rsidRPr="00676F7B">
        <w:rPr>
          <w:rFonts w:ascii="Times New Roman" w:hAnsi="Times New Roman"/>
          <w:szCs w:val="24"/>
        </w:rPr>
        <w:t>filing on August 1, 2015 at Docket No. M</w:t>
      </w:r>
      <w:r w:rsidRPr="00676F7B">
        <w:rPr>
          <w:rFonts w:ascii="Times New Roman" w:hAnsi="Times New Roman"/>
          <w:szCs w:val="24"/>
        </w:rPr>
        <w:noBreakHyphen/>
        <w:t>2013-2341991 was handled concurrent with the base rate proceeding herein, pursuant to the Commission’s Suspension Order on October 2, 2014.  Through the Partial Settlement, the parties propose the Company should subsume the current Smart Meter surcharge (</w:t>
      </w:r>
      <w:proofErr w:type="spellStart"/>
      <w:r w:rsidRPr="00676F7B">
        <w:rPr>
          <w:rFonts w:ascii="Times New Roman" w:hAnsi="Times New Roman"/>
          <w:szCs w:val="24"/>
        </w:rPr>
        <w:t>SMT</w:t>
      </w:r>
      <w:proofErr w:type="spellEnd"/>
      <w:r w:rsidRPr="00676F7B">
        <w:rPr>
          <w:rFonts w:ascii="Times New Roman" w:hAnsi="Times New Roman"/>
          <w:szCs w:val="24"/>
        </w:rPr>
        <w:t xml:space="preserve">-C) into the base rate, “zero out” the </w:t>
      </w:r>
      <w:proofErr w:type="spellStart"/>
      <w:r w:rsidRPr="00676F7B">
        <w:rPr>
          <w:rFonts w:ascii="Times New Roman" w:hAnsi="Times New Roman"/>
          <w:szCs w:val="24"/>
        </w:rPr>
        <w:t>SMT</w:t>
      </w:r>
      <w:proofErr w:type="spellEnd"/>
      <w:r w:rsidRPr="00676F7B">
        <w:rPr>
          <w:rFonts w:ascii="Times New Roman" w:hAnsi="Times New Roman"/>
          <w:szCs w:val="24"/>
        </w:rPr>
        <w:t xml:space="preserve">-C  from the monthly billing statements until deployment costs expended exceed $12.483 million and then establish a procedure to determine baseline costs as of April 30, 2016.  There are two elements to this proposal.  </w:t>
      </w:r>
    </w:p>
    <w:p w:rsidR="00676F7B" w:rsidRPr="00676F7B" w:rsidRDefault="00676F7B" w:rsidP="00676F7B">
      <w:pPr>
        <w:rPr>
          <w:rFonts w:ascii="Times New Roman" w:hAnsi="Times New Roman"/>
          <w:szCs w:val="24"/>
        </w:rPr>
      </w:pPr>
    </w:p>
    <w:p w:rsidR="00676F7B" w:rsidRPr="00676F7B" w:rsidRDefault="00676F7B" w:rsidP="00676F7B">
      <w:pPr>
        <w:ind w:firstLine="1440"/>
        <w:rPr>
          <w:rFonts w:ascii="Times New Roman" w:hAnsi="Times New Roman"/>
          <w:szCs w:val="24"/>
        </w:rPr>
      </w:pPr>
      <w:r w:rsidRPr="00676F7B">
        <w:rPr>
          <w:rFonts w:ascii="Times New Roman" w:hAnsi="Times New Roman"/>
          <w:szCs w:val="24"/>
        </w:rPr>
        <w:t xml:space="preserve">First, major portion of the total revenue requirement in this proposed base rate ($12.483 million out of $17 million) is associated with the Smart Meter deployment because ratepayers need to pay for the cost of the utility doing business, which includes the cost of deployment.  Because the cost of deployment is so high ($12.483 million), the parties propose </w:t>
      </w:r>
      <w:r w:rsidRPr="00676F7B">
        <w:rPr>
          <w:rFonts w:ascii="Times New Roman" w:hAnsi="Times New Roman"/>
          <w:szCs w:val="24"/>
        </w:rPr>
        <w:lastRenderedPageBreak/>
        <w:t xml:space="preserve">the Company should “zero out” the current </w:t>
      </w:r>
      <w:proofErr w:type="spellStart"/>
      <w:r w:rsidRPr="00676F7B">
        <w:rPr>
          <w:rFonts w:ascii="Times New Roman" w:hAnsi="Times New Roman"/>
          <w:szCs w:val="24"/>
        </w:rPr>
        <w:t>SMT</w:t>
      </w:r>
      <w:proofErr w:type="spellEnd"/>
      <w:r w:rsidRPr="00676F7B">
        <w:rPr>
          <w:rFonts w:ascii="Times New Roman" w:hAnsi="Times New Roman"/>
          <w:szCs w:val="24"/>
        </w:rPr>
        <w:t xml:space="preserve">-C Rider (Rider G) from monthly bills and remove it from current billing statements.  The Company will not begin to recover costs through Rider G again until the aggregate investment and expense revenue requirements for Smart Meter deployment exceeds $12.483 million, which is the same amount the parties </w:t>
      </w:r>
      <w:proofErr w:type="gramStart"/>
      <w:r w:rsidRPr="00676F7B">
        <w:rPr>
          <w:rFonts w:ascii="Times New Roman" w:hAnsi="Times New Roman"/>
          <w:szCs w:val="24"/>
        </w:rPr>
        <w:t>propose</w:t>
      </w:r>
      <w:proofErr w:type="gramEnd"/>
      <w:r w:rsidRPr="00676F7B">
        <w:rPr>
          <w:rFonts w:ascii="Times New Roman" w:hAnsi="Times New Roman"/>
          <w:szCs w:val="24"/>
        </w:rPr>
        <w:t xml:space="preserve"> should be recovered through this base rate increase.  Until that amount is exceeded, the Rider G will disappear from monthly billing statements and will only return if additional deployment costs are incurred before the Company returns in another base rate proceeding.</w:t>
      </w:r>
    </w:p>
    <w:p w:rsidR="00676F7B" w:rsidRPr="00676F7B" w:rsidRDefault="00676F7B" w:rsidP="00676F7B">
      <w:pPr>
        <w:ind w:firstLine="1440"/>
        <w:rPr>
          <w:rFonts w:ascii="Times New Roman" w:hAnsi="Times New Roman"/>
          <w:szCs w:val="24"/>
        </w:rPr>
      </w:pPr>
    </w:p>
    <w:p w:rsidR="00676F7B" w:rsidRPr="00676F7B" w:rsidRDefault="00676F7B" w:rsidP="00676F7B">
      <w:pPr>
        <w:ind w:firstLine="1440"/>
        <w:rPr>
          <w:rFonts w:ascii="Times New Roman" w:hAnsi="Times New Roman"/>
          <w:szCs w:val="24"/>
        </w:rPr>
      </w:pPr>
      <w:r w:rsidRPr="00676F7B">
        <w:rPr>
          <w:rFonts w:ascii="Times New Roman" w:hAnsi="Times New Roman"/>
          <w:szCs w:val="24"/>
        </w:rPr>
        <w:t xml:space="preserve">Second, the Company is required by the Commission to develop a baseline for the costs of deployment in order that the Commission can determine the cost savings, if any, in the future from the use of Smart Meters.  The Company resolves to create cost baselines as of April 30, 2016 and has eight categories of measurements it will track starting with the approval of this base rate.  In addition, the Company will track one more measurement (avoided capital costs) but will use March 31, 2014 date as a baseline.  The baselines are detailed in the Company’s exhibit (ME, Penelec, PP, </w:t>
      </w:r>
      <w:proofErr w:type="gramStart"/>
      <w:r w:rsidRPr="00676F7B">
        <w:rPr>
          <w:rFonts w:ascii="Times New Roman" w:hAnsi="Times New Roman"/>
          <w:szCs w:val="24"/>
        </w:rPr>
        <w:t>WP</w:t>
      </w:r>
      <w:proofErr w:type="gramEnd"/>
      <w:r w:rsidRPr="00676F7B">
        <w:rPr>
          <w:rFonts w:ascii="Times New Roman" w:hAnsi="Times New Roman"/>
          <w:szCs w:val="24"/>
        </w:rPr>
        <w:t xml:space="preserve"> Exhibit </w:t>
      </w:r>
      <w:proofErr w:type="spellStart"/>
      <w:r w:rsidRPr="00676F7B">
        <w:rPr>
          <w:rFonts w:ascii="Times New Roman" w:hAnsi="Times New Roman"/>
          <w:szCs w:val="24"/>
        </w:rPr>
        <w:t>LWG</w:t>
      </w:r>
      <w:proofErr w:type="spellEnd"/>
      <w:r w:rsidRPr="00676F7B">
        <w:rPr>
          <w:rFonts w:ascii="Times New Roman" w:hAnsi="Times New Roman"/>
          <w:szCs w:val="24"/>
        </w:rPr>
        <w:t xml:space="preserve">-3) and also in Exhibit 6 to the Partial Settlement.  The Company will also add five reporting metric to its Annual Progress Report to be filed in its Smart Meter Technology and Installation Plan, docketed at No. </w:t>
      </w:r>
      <w:proofErr w:type="gramStart"/>
      <w:r w:rsidRPr="00676F7B">
        <w:rPr>
          <w:rFonts w:ascii="Times New Roman" w:hAnsi="Times New Roman"/>
          <w:szCs w:val="24"/>
        </w:rPr>
        <w:t>M-2013-2341991.</w:t>
      </w:r>
      <w:proofErr w:type="gramEnd"/>
      <w:r w:rsidRPr="00676F7B">
        <w:rPr>
          <w:rFonts w:ascii="Times New Roman" w:hAnsi="Times New Roman"/>
          <w:szCs w:val="24"/>
        </w:rPr>
        <w:t xml:space="preserve"> </w:t>
      </w:r>
    </w:p>
    <w:p w:rsidR="00676F7B" w:rsidRPr="00676F7B" w:rsidRDefault="00676F7B" w:rsidP="00676F7B">
      <w:pPr>
        <w:ind w:firstLine="1440"/>
        <w:rPr>
          <w:rFonts w:ascii="Times New Roman" w:hAnsi="Times New Roman"/>
          <w:szCs w:val="24"/>
        </w:rPr>
      </w:pPr>
    </w:p>
    <w:p w:rsidR="00676F7B" w:rsidRPr="00676F7B" w:rsidRDefault="00676F7B" w:rsidP="00676F7B">
      <w:pPr>
        <w:ind w:firstLine="1440"/>
        <w:rPr>
          <w:rFonts w:ascii="Times New Roman" w:hAnsi="Times New Roman"/>
          <w:szCs w:val="24"/>
        </w:rPr>
      </w:pPr>
      <w:r w:rsidRPr="00676F7B">
        <w:rPr>
          <w:rFonts w:ascii="Times New Roman" w:hAnsi="Times New Roman"/>
          <w:szCs w:val="24"/>
        </w:rPr>
        <w:t xml:space="preserve">This utility must finish rolling out as many Smart Meters to its ratepayers as it can as quickly as it can.  This proposed approach – to incorporate the costs of deployment into the base rate and, therefore, recover those costs as incurred going forward – allows the utility to recover costs, as permitted by statute, but avoids “double-dipping” because the Company will stop collecting money monthly through the use of the Rider G on the monthly bills.  In essence, the customers will pay for the deployment but will no longer see that surcharge on their bills because the surcharge will be folded into the base rate in this proceeding.  </w:t>
      </w:r>
    </w:p>
    <w:p w:rsidR="00676F7B" w:rsidRPr="00676F7B" w:rsidRDefault="00676F7B" w:rsidP="00676F7B">
      <w:pPr>
        <w:ind w:firstLine="1440"/>
        <w:rPr>
          <w:rFonts w:ascii="Times New Roman" w:hAnsi="Times New Roman"/>
          <w:szCs w:val="24"/>
        </w:rPr>
      </w:pPr>
    </w:p>
    <w:p w:rsidR="00676F7B" w:rsidRPr="00676F7B" w:rsidRDefault="00676F7B" w:rsidP="00676F7B">
      <w:pPr>
        <w:ind w:firstLine="1440"/>
        <w:jc w:val="both"/>
        <w:rPr>
          <w:rFonts w:ascii="Times New Roman" w:hAnsi="Times New Roman"/>
          <w:sz w:val="22"/>
          <w:szCs w:val="22"/>
        </w:rPr>
      </w:pPr>
      <w:r w:rsidRPr="00676F7B">
        <w:rPr>
          <w:rFonts w:ascii="Times New Roman" w:hAnsi="Times New Roman"/>
          <w:szCs w:val="24"/>
        </w:rPr>
        <w:t>In addition to requiring the Company to deploy Smart Meters across its territory, the Commission also has required the Company to develop a cost baseline for savings.  Over the next few years, the Commission wants to see how the deployment of Smart Meters has impacted various costs, positive or negative.  In order to be meaningful statistics, however, there must be a baseline to which all future statistics after that date (April 30, 2016) will be compared.  The</w:t>
      </w:r>
    </w:p>
    <w:p w:rsidR="0057351A" w:rsidRDefault="0057351A" w:rsidP="0057351A">
      <w:pPr>
        <w:ind w:firstLine="1440"/>
        <w:rPr>
          <w:rFonts w:ascii="Times New Roman" w:hAnsi="Times New Roman"/>
          <w:szCs w:val="24"/>
        </w:rPr>
      </w:pPr>
      <w:bookmarkStart w:id="24" w:name="_GoBack"/>
      <w:bookmarkEnd w:id="24"/>
      <w:proofErr w:type="gramStart"/>
      <w:r>
        <w:rPr>
          <w:rFonts w:ascii="Times New Roman" w:hAnsi="Times New Roman"/>
          <w:szCs w:val="24"/>
        </w:rPr>
        <w:lastRenderedPageBreak/>
        <w:t>metrics</w:t>
      </w:r>
      <w:proofErr w:type="gramEnd"/>
      <w:r>
        <w:rPr>
          <w:rFonts w:ascii="Times New Roman" w:hAnsi="Times New Roman"/>
          <w:szCs w:val="24"/>
        </w:rPr>
        <w:t xml:space="preserve"> the parties propose should be captured and tracked by the Company are reasonable and will provide the Commission, as well as the public-at-large and the ratepayers, will valuable information.</w:t>
      </w:r>
    </w:p>
    <w:p w:rsidR="0057351A" w:rsidRDefault="0057351A" w:rsidP="0057351A">
      <w:pPr>
        <w:ind w:firstLine="1440"/>
        <w:rPr>
          <w:rFonts w:ascii="Times New Roman" w:hAnsi="Times New Roman"/>
          <w:szCs w:val="24"/>
        </w:rPr>
      </w:pPr>
    </w:p>
    <w:p w:rsidR="00A97A56" w:rsidRPr="0057351A" w:rsidRDefault="0057351A" w:rsidP="0057351A">
      <w:pPr>
        <w:ind w:firstLine="1440"/>
        <w:rPr>
          <w:rFonts w:ascii="Times New Roman" w:hAnsi="Times New Roman"/>
        </w:rPr>
      </w:pPr>
      <w:r>
        <w:rPr>
          <w:rFonts w:ascii="Times New Roman" w:hAnsi="Times New Roman"/>
          <w:szCs w:val="24"/>
        </w:rPr>
        <w:t>These proposed approaches are reasonable and rational approaches to solving two problems: (1) how to get the deployment costs paid quickly and at the time costs are incurred; and (2) how to develop a meaningful cost baseline.  These proposals, as specified in the Partial Settlement, are in the public interest because they further Commission-approved directives in a reasonable and adequate manner and, therefore, should be approved.</w:t>
      </w:r>
    </w:p>
    <w:p w:rsidR="00B5216F" w:rsidRDefault="00B5216F">
      <w:pPr>
        <w:spacing w:line="240" w:lineRule="auto"/>
        <w:rPr>
          <w:rFonts w:ascii="Times New Roman" w:hAnsi="Times New Roman"/>
        </w:rPr>
      </w:pPr>
    </w:p>
    <w:p w:rsidR="0035120D" w:rsidRPr="00E0490C" w:rsidRDefault="00336CB1" w:rsidP="0035120D">
      <w:pPr>
        <w:jc w:val="center"/>
        <w:rPr>
          <w:rFonts w:ascii="Times New Roman" w:hAnsi="Times New Roman"/>
        </w:rPr>
      </w:pPr>
      <w:r>
        <w:rPr>
          <w:rFonts w:ascii="Times New Roman" w:hAnsi="Times New Roman"/>
        </w:rPr>
        <w:t>I</w:t>
      </w:r>
      <w:r w:rsidR="0035120D" w:rsidRPr="00E0490C">
        <w:rPr>
          <w:rFonts w:ascii="Times New Roman" w:hAnsi="Times New Roman"/>
        </w:rPr>
        <w:t>V.</w:t>
      </w:r>
      <w:r w:rsidR="0035120D" w:rsidRPr="00E0490C">
        <w:rPr>
          <w:rFonts w:ascii="Times New Roman" w:hAnsi="Times New Roman"/>
        </w:rPr>
        <w:tab/>
      </w:r>
      <w:r w:rsidR="0035120D" w:rsidRPr="00E0490C">
        <w:rPr>
          <w:rFonts w:ascii="Times New Roman" w:hAnsi="Times New Roman"/>
          <w:u w:val="single"/>
        </w:rPr>
        <w:t>DISCUSSION – LITIGATED ISSUE</w:t>
      </w:r>
      <w:r w:rsidR="00231422">
        <w:rPr>
          <w:rFonts w:ascii="Times New Roman" w:hAnsi="Times New Roman"/>
          <w:u w:val="single"/>
        </w:rPr>
        <w:t>S</w:t>
      </w:r>
      <w:r w:rsidR="00FF47BD" w:rsidRPr="00E0490C">
        <w:rPr>
          <w:rFonts w:ascii="Times New Roman" w:hAnsi="Times New Roman"/>
          <w:u w:val="single"/>
        </w:rPr>
        <w:fldChar w:fldCharType="begin"/>
      </w:r>
      <w:r w:rsidR="0035120D" w:rsidRPr="00E0490C">
        <w:rPr>
          <w:rFonts w:ascii="Times New Roman" w:hAnsi="Times New Roman"/>
        </w:rPr>
        <w:instrText xml:space="preserve"> TC "</w:instrText>
      </w:r>
      <w:bookmarkStart w:id="25" w:name="_Toc206476820"/>
      <w:r w:rsidR="0035120D" w:rsidRPr="00E0490C">
        <w:rPr>
          <w:rFonts w:ascii="Times New Roman" w:hAnsi="Times New Roman"/>
        </w:rPr>
        <w:instrText>V.</w:instrText>
      </w:r>
      <w:r w:rsidR="0035120D" w:rsidRPr="00E0490C">
        <w:rPr>
          <w:rFonts w:ascii="Times New Roman" w:hAnsi="Times New Roman"/>
        </w:rPr>
        <w:tab/>
      </w:r>
      <w:r w:rsidR="0035120D" w:rsidRPr="00E0490C">
        <w:rPr>
          <w:rFonts w:ascii="Times New Roman" w:hAnsi="Times New Roman"/>
          <w:u w:val="single"/>
        </w:rPr>
        <w:instrText>DISCUSSION – LITIGATED ISSUES</w:instrText>
      </w:r>
      <w:bookmarkEnd w:id="25"/>
      <w:r w:rsidR="0035120D" w:rsidRPr="00E0490C">
        <w:rPr>
          <w:rFonts w:ascii="Times New Roman" w:hAnsi="Times New Roman"/>
        </w:rPr>
        <w:instrText xml:space="preserve">" \f C \l "1" </w:instrText>
      </w:r>
      <w:r w:rsidR="00FF47BD" w:rsidRPr="00E0490C">
        <w:rPr>
          <w:rFonts w:ascii="Times New Roman" w:hAnsi="Times New Roman"/>
          <w:u w:val="single"/>
        </w:rPr>
        <w:fldChar w:fldCharType="end"/>
      </w:r>
    </w:p>
    <w:p w:rsidR="0035120D" w:rsidRPr="00E0490C" w:rsidRDefault="0035120D" w:rsidP="0035120D">
      <w:pPr>
        <w:rPr>
          <w:rFonts w:ascii="Times New Roman" w:hAnsi="Times New Roman"/>
        </w:rPr>
      </w:pPr>
    </w:p>
    <w:p w:rsidR="0035120D" w:rsidRPr="005E274B" w:rsidRDefault="0035120D" w:rsidP="0035120D">
      <w:pPr>
        <w:rPr>
          <w:rFonts w:ascii="Times New Roman" w:hAnsi="Times New Roman"/>
        </w:rPr>
      </w:pPr>
      <w:r w:rsidRPr="00E0490C">
        <w:rPr>
          <w:rFonts w:ascii="Times New Roman" w:hAnsi="Times New Roman"/>
        </w:rPr>
        <w:tab/>
      </w:r>
      <w:r w:rsidRPr="00E0490C">
        <w:rPr>
          <w:rFonts w:ascii="Times New Roman" w:hAnsi="Times New Roman"/>
        </w:rPr>
        <w:tab/>
        <w:t>As noted previously, the remaining issue for litigation concern</w:t>
      </w:r>
      <w:r w:rsidR="003A6207">
        <w:rPr>
          <w:rFonts w:ascii="Times New Roman" w:hAnsi="Times New Roman"/>
        </w:rPr>
        <w:t>s</w:t>
      </w:r>
      <w:r w:rsidRPr="00E0490C">
        <w:rPr>
          <w:rFonts w:ascii="Times New Roman" w:hAnsi="Times New Roman"/>
        </w:rPr>
        <w:t xml:space="preserve"> the Company’s </w:t>
      </w:r>
      <w:r w:rsidR="00F56D30">
        <w:rPr>
          <w:rFonts w:ascii="Times New Roman" w:hAnsi="Times New Roman"/>
        </w:rPr>
        <w:t>LED Street Lighting Service</w:t>
      </w:r>
      <w:r w:rsidRPr="005E274B">
        <w:rPr>
          <w:rFonts w:ascii="Times New Roman" w:hAnsi="Times New Roman"/>
        </w:rPr>
        <w:t xml:space="preserve">.  </w:t>
      </w:r>
    </w:p>
    <w:p w:rsidR="0035120D" w:rsidRPr="005E274B" w:rsidRDefault="0035120D" w:rsidP="0035120D">
      <w:pPr>
        <w:tabs>
          <w:tab w:val="left" w:pos="-720"/>
        </w:tabs>
        <w:suppressAutoHyphens/>
        <w:rPr>
          <w:rFonts w:ascii="Times New Roman" w:hAnsi="Times New Roman"/>
          <w:szCs w:val="24"/>
        </w:rPr>
      </w:pPr>
    </w:p>
    <w:p w:rsidR="0035120D" w:rsidRPr="005E274B" w:rsidRDefault="0035120D" w:rsidP="0035120D">
      <w:pPr>
        <w:tabs>
          <w:tab w:val="left" w:pos="-720"/>
        </w:tabs>
        <w:suppressAutoHyphens/>
        <w:rPr>
          <w:rFonts w:ascii="Times New Roman" w:hAnsi="Times New Roman"/>
          <w:szCs w:val="24"/>
          <w:u w:val="single"/>
        </w:rPr>
      </w:pPr>
      <w:r w:rsidRPr="005E274B">
        <w:rPr>
          <w:rFonts w:ascii="Times New Roman" w:hAnsi="Times New Roman"/>
          <w:szCs w:val="24"/>
        </w:rPr>
        <w:t>A.</w:t>
      </w:r>
      <w:r w:rsidRPr="005E274B">
        <w:rPr>
          <w:rFonts w:ascii="Times New Roman" w:hAnsi="Times New Roman"/>
          <w:szCs w:val="24"/>
        </w:rPr>
        <w:tab/>
      </w:r>
      <w:r w:rsidRPr="005E274B">
        <w:rPr>
          <w:rFonts w:ascii="Times New Roman" w:hAnsi="Times New Roman"/>
          <w:szCs w:val="24"/>
          <w:u w:val="single"/>
        </w:rPr>
        <w:t xml:space="preserve">Burden of </w:t>
      </w:r>
      <w:r w:rsidR="00A879E1">
        <w:rPr>
          <w:rFonts w:ascii="Times New Roman" w:hAnsi="Times New Roman"/>
          <w:szCs w:val="24"/>
          <w:u w:val="single"/>
        </w:rPr>
        <w:t>P</w:t>
      </w:r>
      <w:r w:rsidRPr="005E274B">
        <w:rPr>
          <w:rFonts w:ascii="Times New Roman" w:hAnsi="Times New Roman"/>
          <w:szCs w:val="24"/>
          <w:u w:val="single"/>
        </w:rPr>
        <w:t>roof</w:t>
      </w:r>
      <w:r w:rsidR="00FF47BD" w:rsidRPr="005E274B">
        <w:rPr>
          <w:rFonts w:ascii="Times New Roman" w:hAnsi="Times New Roman"/>
          <w:szCs w:val="24"/>
          <w:u w:val="single"/>
        </w:rPr>
        <w:fldChar w:fldCharType="begin"/>
      </w:r>
      <w:r w:rsidRPr="005E274B">
        <w:rPr>
          <w:rFonts w:ascii="Times New Roman" w:hAnsi="Times New Roman"/>
        </w:rPr>
        <w:instrText xml:space="preserve"> TC "</w:instrText>
      </w:r>
      <w:bookmarkStart w:id="26" w:name="_Toc206476821"/>
      <w:r w:rsidRPr="005E274B">
        <w:rPr>
          <w:rFonts w:ascii="Times New Roman" w:hAnsi="Times New Roman"/>
          <w:szCs w:val="24"/>
        </w:rPr>
        <w:instrText>A.</w:instrText>
      </w:r>
      <w:r w:rsidRPr="005E274B">
        <w:rPr>
          <w:rFonts w:ascii="Times New Roman" w:hAnsi="Times New Roman"/>
          <w:szCs w:val="24"/>
        </w:rPr>
        <w:tab/>
      </w:r>
      <w:r w:rsidRPr="005E274B">
        <w:rPr>
          <w:rFonts w:ascii="Times New Roman" w:hAnsi="Times New Roman"/>
          <w:szCs w:val="24"/>
          <w:u w:val="single"/>
        </w:rPr>
        <w:instrText>Burden of proof</w:instrText>
      </w:r>
      <w:bookmarkEnd w:id="26"/>
      <w:r w:rsidRPr="005E274B">
        <w:rPr>
          <w:rFonts w:ascii="Times New Roman" w:hAnsi="Times New Roman"/>
        </w:rPr>
        <w:instrText xml:space="preserve">" \f C \l "2" </w:instrText>
      </w:r>
      <w:r w:rsidR="00FF47BD" w:rsidRPr="005E274B">
        <w:rPr>
          <w:rFonts w:ascii="Times New Roman" w:hAnsi="Times New Roman"/>
          <w:szCs w:val="24"/>
          <w:u w:val="single"/>
        </w:rPr>
        <w:fldChar w:fldCharType="end"/>
      </w:r>
    </w:p>
    <w:p w:rsidR="0035120D" w:rsidRPr="005E274B" w:rsidRDefault="0035120D" w:rsidP="0035120D">
      <w:pPr>
        <w:tabs>
          <w:tab w:val="left" w:pos="-720"/>
        </w:tabs>
        <w:suppressAutoHyphens/>
        <w:rPr>
          <w:rFonts w:ascii="Times New Roman" w:hAnsi="Times New Roman"/>
          <w:szCs w:val="24"/>
        </w:rPr>
      </w:pPr>
    </w:p>
    <w:p w:rsidR="0035120D" w:rsidRPr="005E274B" w:rsidRDefault="0035120D" w:rsidP="0035120D">
      <w:pPr>
        <w:tabs>
          <w:tab w:val="left" w:pos="-720"/>
        </w:tabs>
        <w:suppressAutoHyphens/>
        <w:rPr>
          <w:rFonts w:ascii="Times New Roman" w:hAnsi="Times New Roman"/>
          <w:szCs w:val="24"/>
        </w:rPr>
      </w:pPr>
      <w:r w:rsidRPr="005E274B">
        <w:rPr>
          <w:rFonts w:ascii="Times New Roman" w:hAnsi="Times New Roman"/>
          <w:szCs w:val="24"/>
        </w:rPr>
        <w:tab/>
      </w:r>
      <w:r w:rsidRPr="005E274B">
        <w:rPr>
          <w:rFonts w:ascii="Times New Roman" w:hAnsi="Times New Roman"/>
          <w:szCs w:val="24"/>
        </w:rPr>
        <w:tab/>
      </w:r>
      <w:r w:rsidR="0011424C" w:rsidRPr="005E274B">
        <w:rPr>
          <w:rFonts w:ascii="Times New Roman" w:hAnsi="Times New Roman"/>
          <w:szCs w:val="24"/>
        </w:rPr>
        <w:t>Typically in proceedings before the Commission, t</w:t>
      </w:r>
      <w:r w:rsidRPr="005E274B">
        <w:rPr>
          <w:rFonts w:ascii="Times New Roman" w:hAnsi="Times New Roman"/>
          <w:szCs w:val="24"/>
        </w:rPr>
        <w:t>he public utility has the burden to establish the justness and reasonableness of every element of its rate increase in all proceedings conducted under Section 1308(d) of the Public Utility Code</w:t>
      </w:r>
      <w:r w:rsidR="004467E2">
        <w:rPr>
          <w:rFonts w:ascii="Times New Roman" w:hAnsi="Times New Roman"/>
          <w:szCs w:val="24"/>
        </w:rPr>
        <w:t>.  T</w:t>
      </w:r>
      <w:r w:rsidR="005019F1" w:rsidRPr="005E274B">
        <w:rPr>
          <w:rFonts w:ascii="Times New Roman" w:hAnsi="Times New Roman"/>
          <w:szCs w:val="24"/>
        </w:rPr>
        <w:t>he</w:t>
      </w:r>
      <w:r w:rsidRPr="005E274B">
        <w:rPr>
          <w:rFonts w:ascii="Times New Roman" w:hAnsi="Times New Roman"/>
          <w:szCs w:val="24"/>
        </w:rPr>
        <w:t xml:space="preserve"> standard of proof</w:t>
      </w:r>
      <w:r w:rsidR="005019F1" w:rsidRPr="005E274B">
        <w:rPr>
          <w:rFonts w:ascii="Times New Roman" w:hAnsi="Times New Roman"/>
          <w:szCs w:val="24"/>
        </w:rPr>
        <w:t>,</w:t>
      </w:r>
      <w:r w:rsidRPr="005E274B">
        <w:rPr>
          <w:rFonts w:ascii="Times New Roman" w:hAnsi="Times New Roman"/>
          <w:szCs w:val="24"/>
        </w:rPr>
        <w:t xml:space="preserve"> which a public utility must meet</w:t>
      </w:r>
      <w:r w:rsidR="005019F1" w:rsidRPr="005E274B">
        <w:rPr>
          <w:rFonts w:ascii="Times New Roman" w:hAnsi="Times New Roman"/>
          <w:szCs w:val="24"/>
        </w:rPr>
        <w:t>,</w:t>
      </w:r>
      <w:r w:rsidRPr="005E274B">
        <w:rPr>
          <w:rFonts w:ascii="Times New Roman" w:hAnsi="Times New Roman"/>
          <w:szCs w:val="24"/>
        </w:rPr>
        <w:t xml:space="preserve"> is set forth in Section 315(a) of the Public Utility Code (Code), 66 </w:t>
      </w:r>
      <w:r w:rsidR="007E74EE">
        <w:rPr>
          <w:rFonts w:ascii="Times New Roman" w:hAnsi="Times New Roman"/>
          <w:szCs w:val="24"/>
        </w:rPr>
        <w:t>Pa.C.S.A.</w:t>
      </w:r>
      <w:r w:rsidRPr="005E274B">
        <w:rPr>
          <w:rFonts w:ascii="Times New Roman" w:hAnsi="Times New Roman"/>
          <w:szCs w:val="24"/>
        </w:rPr>
        <w:t xml:space="preserve"> §315(a), </w:t>
      </w:r>
      <w:r w:rsidR="005019F1" w:rsidRPr="005E274B">
        <w:rPr>
          <w:rFonts w:ascii="Times New Roman" w:hAnsi="Times New Roman"/>
          <w:szCs w:val="24"/>
        </w:rPr>
        <w:t xml:space="preserve">which specifies that, “[i]n </w:t>
      </w:r>
      <w:r w:rsidRPr="005E274B">
        <w:rPr>
          <w:rFonts w:ascii="Times New Roman" w:hAnsi="Times New Roman"/>
          <w:szCs w:val="24"/>
        </w:rPr>
        <w:t>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w:t>
      </w:r>
      <w:r w:rsidR="005019F1" w:rsidRPr="005E274B">
        <w:rPr>
          <w:rFonts w:ascii="Times New Roman" w:hAnsi="Times New Roman"/>
          <w:szCs w:val="24"/>
        </w:rPr>
        <w:t xml:space="preserve">”  </w:t>
      </w:r>
    </w:p>
    <w:p w:rsidR="00BC30F7" w:rsidRDefault="00BC30F7" w:rsidP="00914630">
      <w:pPr>
        <w:tabs>
          <w:tab w:val="left" w:pos="-720"/>
        </w:tabs>
        <w:suppressAutoHyphens/>
        <w:rPr>
          <w:rFonts w:ascii="Times New Roman" w:hAnsi="Times New Roman"/>
          <w:szCs w:val="24"/>
        </w:rPr>
      </w:pPr>
    </w:p>
    <w:p w:rsidR="00914630" w:rsidRDefault="00193B5D" w:rsidP="00914630">
      <w:pPr>
        <w:tabs>
          <w:tab w:val="left" w:pos="-720"/>
        </w:tabs>
        <w:suppressAutoHyphens/>
        <w:rPr>
          <w:rFonts w:ascii="Times New Roman" w:hAnsi="Times New Roman"/>
          <w:szCs w:val="24"/>
        </w:rPr>
      </w:pPr>
      <w:r>
        <w:rPr>
          <w:rFonts w:ascii="Times New Roman" w:hAnsi="Times New Roman"/>
          <w:szCs w:val="24"/>
        </w:rPr>
        <w:lastRenderedPageBreak/>
        <w:tab/>
      </w:r>
      <w:r>
        <w:rPr>
          <w:rFonts w:ascii="Times New Roman" w:hAnsi="Times New Roman"/>
          <w:szCs w:val="24"/>
        </w:rPr>
        <w:tab/>
      </w:r>
      <w:r w:rsidR="005E274B">
        <w:rPr>
          <w:rFonts w:ascii="Times New Roman" w:hAnsi="Times New Roman"/>
          <w:szCs w:val="24"/>
        </w:rPr>
        <w:t>Pennsylvania’s Commonwealth Court has upheld t</w:t>
      </w:r>
      <w:r w:rsidR="00914630" w:rsidRPr="005E274B">
        <w:rPr>
          <w:rFonts w:ascii="Times New Roman" w:hAnsi="Times New Roman"/>
          <w:szCs w:val="24"/>
        </w:rPr>
        <w:t>his standard of</w:t>
      </w:r>
      <w:r w:rsidR="005E274B">
        <w:rPr>
          <w:rFonts w:ascii="Times New Roman" w:hAnsi="Times New Roman"/>
          <w:szCs w:val="24"/>
        </w:rPr>
        <w:t xml:space="preserve"> proof</w:t>
      </w:r>
      <w:r w:rsidR="005E274B">
        <w:rPr>
          <w:rStyle w:val="FootnoteReference"/>
          <w:rFonts w:ascii="Times New Roman" w:hAnsi="Times New Roman"/>
          <w:szCs w:val="24"/>
        </w:rPr>
        <w:footnoteReference w:id="34"/>
      </w:r>
      <w:r w:rsidR="005E274B">
        <w:rPr>
          <w:rFonts w:ascii="Times New Roman" w:hAnsi="Times New Roman"/>
          <w:szCs w:val="24"/>
        </w:rPr>
        <w:t xml:space="preserve"> and has applied it </w:t>
      </w:r>
      <w:r w:rsidR="00914630" w:rsidRPr="005E274B">
        <w:rPr>
          <w:rFonts w:ascii="Times New Roman" w:hAnsi="Times New Roman"/>
          <w:szCs w:val="24"/>
        </w:rPr>
        <w:t xml:space="preserve">in base rate proceedings, even when </w:t>
      </w:r>
      <w:r w:rsidR="00761220">
        <w:rPr>
          <w:rFonts w:ascii="Times New Roman" w:hAnsi="Times New Roman"/>
          <w:szCs w:val="24"/>
        </w:rPr>
        <w:t>the question concerning an element of the base rate increase request was raise</w:t>
      </w:r>
      <w:r w:rsidR="00342A57">
        <w:rPr>
          <w:rFonts w:ascii="Times New Roman" w:hAnsi="Times New Roman"/>
          <w:szCs w:val="24"/>
        </w:rPr>
        <w:t>d</w:t>
      </w:r>
      <w:r w:rsidR="00761220">
        <w:rPr>
          <w:rFonts w:ascii="Times New Roman" w:hAnsi="Times New Roman"/>
          <w:szCs w:val="24"/>
        </w:rPr>
        <w:t xml:space="preserve"> by </w:t>
      </w:r>
      <w:r w:rsidR="00914630" w:rsidRPr="005E274B">
        <w:rPr>
          <w:rFonts w:ascii="Times New Roman" w:hAnsi="Times New Roman"/>
          <w:szCs w:val="24"/>
        </w:rPr>
        <w:t>a party</w:t>
      </w:r>
      <w:r w:rsidR="00761220">
        <w:rPr>
          <w:rFonts w:ascii="Times New Roman" w:hAnsi="Times New Roman"/>
          <w:szCs w:val="24"/>
        </w:rPr>
        <w:t xml:space="preserve"> instead of the public utility</w:t>
      </w:r>
      <w:r w:rsidR="00914630" w:rsidRPr="005E274B">
        <w:rPr>
          <w:rFonts w:ascii="Times New Roman" w:hAnsi="Times New Roman"/>
          <w:szCs w:val="24"/>
        </w:rPr>
        <w:t>.</w:t>
      </w:r>
      <w:r w:rsidR="00761220">
        <w:rPr>
          <w:rStyle w:val="FootnoteReference"/>
          <w:rFonts w:ascii="Times New Roman" w:hAnsi="Times New Roman"/>
          <w:szCs w:val="24"/>
        </w:rPr>
        <w:footnoteReference w:id="35"/>
      </w:r>
      <w:r w:rsidR="00914630" w:rsidRPr="005E274B">
        <w:rPr>
          <w:rFonts w:ascii="Times New Roman" w:hAnsi="Times New Roman"/>
          <w:szCs w:val="24"/>
        </w:rPr>
        <w:t xml:space="preserve">  </w:t>
      </w:r>
    </w:p>
    <w:p w:rsidR="00A0324F" w:rsidRDefault="00A0324F" w:rsidP="00914630">
      <w:pPr>
        <w:tabs>
          <w:tab w:val="left" w:pos="-720"/>
        </w:tabs>
        <w:suppressAutoHyphens/>
        <w:rPr>
          <w:rFonts w:ascii="Times New Roman" w:hAnsi="Times New Roman"/>
          <w:szCs w:val="24"/>
        </w:rPr>
      </w:pPr>
    </w:p>
    <w:p w:rsidR="0035120D" w:rsidRPr="005E274B" w:rsidRDefault="00914630" w:rsidP="0035120D">
      <w:pPr>
        <w:tabs>
          <w:tab w:val="left" w:pos="-720"/>
        </w:tabs>
        <w:suppressAutoHyphens/>
        <w:rPr>
          <w:rFonts w:ascii="Times New Roman" w:hAnsi="Times New Roman"/>
          <w:szCs w:val="24"/>
        </w:rPr>
      </w:pPr>
      <w:r w:rsidRPr="005E274B">
        <w:rPr>
          <w:rFonts w:ascii="Times New Roman" w:hAnsi="Times New Roman"/>
          <w:szCs w:val="24"/>
        </w:rPr>
        <w:tab/>
      </w:r>
      <w:r w:rsidRPr="005E274B">
        <w:rPr>
          <w:rFonts w:ascii="Times New Roman" w:hAnsi="Times New Roman"/>
          <w:szCs w:val="24"/>
        </w:rPr>
        <w:tab/>
        <w:t xml:space="preserve">In this proceeding, the burden of proof lies squarely with </w:t>
      </w:r>
      <w:r w:rsidR="000F44A7">
        <w:rPr>
          <w:rFonts w:ascii="Times New Roman" w:hAnsi="Times New Roman"/>
          <w:szCs w:val="24"/>
        </w:rPr>
        <w:t>Penn Power</w:t>
      </w:r>
      <w:r w:rsidR="00761220">
        <w:rPr>
          <w:rFonts w:ascii="Times New Roman" w:hAnsi="Times New Roman"/>
          <w:szCs w:val="24"/>
        </w:rPr>
        <w:t xml:space="preserve">.  </w:t>
      </w:r>
      <w:r w:rsidR="000F44A7">
        <w:rPr>
          <w:rFonts w:ascii="Times New Roman" w:hAnsi="Times New Roman"/>
          <w:szCs w:val="24"/>
        </w:rPr>
        <w:t xml:space="preserve">Penn Power </w:t>
      </w:r>
      <w:r w:rsidRPr="005E274B">
        <w:rPr>
          <w:rFonts w:ascii="Times New Roman" w:hAnsi="Times New Roman"/>
          <w:szCs w:val="24"/>
        </w:rPr>
        <w:t xml:space="preserve">is the </w:t>
      </w:r>
      <w:r w:rsidR="00761220">
        <w:rPr>
          <w:rFonts w:ascii="Times New Roman" w:hAnsi="Times New Roman"/>
          <w:szCs w:val="24"/>
        </w:rPr>
        <w:t xml:space="preserve">public </w:t>
      </w:r>
      <w:r w:rsidRPr="005E274B">
        <w:rPr>
          <w:rFonts w:ascii="Times New Roman" w:hAnsi="Times New Roman"/>
          <w:szCs w:val="24"/>
        </w:rPr>
        <w:t xml:space="preserve">utility seeking permission from the Commission to increase its base rate and seeking permission to implement </w:t>
      </w:r>
      <w:r w:rsidR="00EB7E82">
        <w:rPr>
          <w:rFonts w:ascii="Times New Roman" w:hAnsi="Times New Roman"/>
          <w:szCs w:val="24"/>
        </w:rPr>
        <w:t>a program</w:t>
      </w:r>
      <w:r w:rsidRPr="005E274B">
        <w:rPr>
          <w:rFonts w:ascii="Times New Roman" w:hAnsi="Times New Roman"/>
          <w:szCs w:val="24"/>
        </w:rPr>
        <w:t xml:space="preserve">.  </w:t>
      </w:r>
      <w:r w:rsidR="007B594C" w:rsidRPr="005E274B">
        <w:rPr>
          <w:rFonts w:ascii="Times New Roman" w:hAnsi="Times New Roman"/>
          <w:szCs w:val="24"/>
        </w:rPr>
        <w:t>The</w:t>
      </w:r>
      <w:r w:rsidR="0035120D" w:rsidRPr="005E274B">
        <w:rPr>
          <w:rFonts w:ascii="Times New Roman" w:hAnsi="Times New Roman"/>
          <w:szCs w:val="24"/>
        </w:rPr>
        <w:t xml:space="preserve"> burden of proof </w:t>
      </w:r>
      <w:r w:rsidR="00761220">
        <w:rPr>
          <w:rFonts w:ascii="Times New Roman" w:hAnsi="Times New Roman"/>
          <w:szCs w:val="24"/>
        </w:rPr>
        <w:t>did</w:t>
      </w:r>
      <w:r w:rsidR="0035120D" w:rsidRPr="005E274B">
        <w:rPr>
          <w:rFonts w:ascii="Times New Roman" w:hAnsi="Times New Roman"/>
          <w:szCs w:val="24"/>
        </w:rPr>
        <w:t xml:space="preserve"> not shift to </w:t>
      </w:r>
      <w:r w:rsidRPr="005E274B">
        <w:rPr>
          <w:rFonts w:ascii="Times New Roman" w:hAnsi="Times New Roman"/>
          <w:szCs w:val="24"/>
        </w:rPr>
        <w:t xml:space="preserve">a </w:t>
      </w:r>
      <w:r w:rsidR="00761220">
        <w:rPr>
          <w:rFonts w:ascii="Times New Roman" w:hAnsi="Times New Roman"/>
          <w:szCs w:val="24"/>
        </w:rPr>
        <w:t xml:space="preserve">statutory </w:t>
      </w:r>
      <w:r w:rsidRPr="005E274B">
        <w:rPr>
          <w:rFonts w:ascii="Times New Roman" w:hAnsi="Times New Roman"/>
          <w:szCs w:val="24"/>
        </w:rPr>
        <w:t xml:space="preserve">party </w:t>
      </w:r>
      <w:r w:rsidR="00761220">
        <w:rPr>
          <w:rFonts w:ascii="Times New Roman" w:hAnsi="Times New Roman"/>
          <w:szCs w:val="24"/>
        </w:rPr>
        <w:t xml:space="preserve">or </w:t>
      </w:r>
      <w:r w:rsidR="00EB7E82">
        <w:rPr>
          <w:rFonts w:ascii="Times New Roman" w:hAnsi="Times New Roman"/>
          <w:szCs w:val="24"/>
        </w:rPr>
        <w:t xml:space="preserve">to </w:t>
      </w:r>
      <w:r w:rsidR="00761220">
        <w:rPr>
          <w:rFonts w:ascii="Times New Roman" w:hAnsi="Times New Roman"/>
          <w:szCs w:val="24"/>
        </w:rPr>
        <w:t>individual party (</w:t>
      </w:r>
      <w:r w:rsidR="00EB7E82">
        <w:rPr>
          <w:rFonts w:ascii="Times New Roman" w:hAnsi="Times New Roman"/>
          <w:szCs w:val="24"/>
        </w:rPr>
        <w:t>such as PennFuture</w:t>
      </w:r>
      <w:r w:rsidR="00761220">
        <w:rPr>
          <w:rFonts w:ascii="Times New Roman" w:hAnsi="Times New Roman"/>
          <w:szCs w:val="24"/>
        </w:rPr>
        <w:t xml:space="preserve">) </w:t>
      </w:r>
      <w:r w:rsidRPr="005E274B">
        <w:rPr>
          <w:rFonts w:ascii="Times New Roman" w:hAnsi="Times New Roman"/>
          <w:szCs w:val="24"/>
        </w:rPr>
        <w:t>which challeng</w:t>
      </w:r>
      <w:r w:rsidR="00761220">
        <w:rPr>
          <w:rFonts w:ascii="Times New Roman" w:hAnsi="Times New Roman"/>
          <w:szCs w:val="24"/>
        </w:rPr>
        <w:t>ed</w:t>
      </w:r>
      <w:r w:rsidR="0035120D" w:rsidRPr="005E274B">
        <w:rPr>
          <w:rFonts w:ascii="Times New Roman" w:hAnsi="Times New Roman"/>
          <w:szCs w:val="24"/>
        </w:rPr>
        <w:t xml:space="preserve"> </w:t>
      </w:r>
      <w:r w:rsidR="00761220">
        <w:rPr>
          <w:rFonts w:ascii="Times New Roman" w:hAnsi="Times New Roman"/>
          <w:szCs w:val="24"/>
        </w:rPr>
        <w:t>the</w:t>
      </w:r>
      <w:r w:rsidR="0035120D" w:rsidRPr="005E274B">
        <w:rPr>
          <w:rFonts w:ascii="Times New Roman" w:hAnsi="Times New Roman"/>
          <w:szCs w:val="24"/>
        </w:rPr>
        <w:t xml:space="preserve"> requested </w:t>
      </w:r>
      <w:r w:rsidR="00EB7E82">
        <w:rPr>
          <w:rFonts w:ascii="Times New Roman" w:hAnsi="Times New Roman"/>
          <w:szCs w:val="24"/>
        </w:rPr>
        <w:t>program</w:t>
      </w:r>
      <w:r w:rsidR="0035120D" w:rsidRPr="005E274B">
        <w:rPr>
          <w:rFonts w:ascii="Times New Roman" w:hAnsi="Times New Roman"/>
          <w:szCs w:val="24"/>
        </w:rPr>
        <w:t>.  Instead, the utility’s burden</w:t>
      </w:r>
      <w:r w:rsidRPr="005E274B">
        <w:rPr>
          <w:rFonts w:ascii="Times New Roman" w:hAnsi="Times New Roman"/>
          <w:szCs w:val="24"/>
        </w:rPr>
        <w:t>, to</w:t>
      </w:r>
      <w:r w:rsidR="0035120D" w:rsidRPr="005E274B">
        <w:rPr>
          <w:rFonts w:ascii="Times New Roman" w:hAnsi="Times New Roman"/>
          <w:szCs w:val="24"/>
        </w:rPr>
        <w:t xml:space="preserve"> establish the justness and reasonableness of every component of its rate request</w:t>
      </w:r>
      <w:r w:rsidRPr="005E274B">
        <w:rPr>
          <w:rFonts w:ascii="Times New Roman" w:hAnsi="Times New Roman"/>
          <w:szCs w:val="24"/>
        </w:rPr>
        <w:t>,</w:t>
      </w:r>
      <w:r w:rsidR="0035120D" w:rsidRPr="005E274B">
        <w:rPr>
          <w:rFonts w:ascii="Times New Roman" w:hAnsi="Times New Roman"/>
          <w:szCs w:val="24"/>
        </w:rPr>
        <w:t xml:space="preserve"> is an affirmative one and remains with the public utility throughout the course of the rate proceeding.</w:t>
      </w:r>
      <w:r w:rsidR="005E274B" w:rsidRPr="005E274B">
        <w:rPr>
          <w:rStyle w:val="FootnoteReference"/>
          <w:rFonts w:ascii="Times New Roman" w:hAnsi="Times New Roman"/>
          <w:szCs w:val="24"/>
        </w:rPr>
        <w:footnoteReference w:id="36"/>
      </w:r>
      <w:r w:rsidR="0035120D" w:rsidRPr="005E274B">
        <w:rPr>
          <w:rFonts w:ascii="Times New Roman" w:hAnsi="Times New Roman"/>
          <w:szCs w:val="24"/>
        </w:rPr>
        <w:t xml:space="preserve">  </w:t>
      </w:r>
    </w:p>
    <w:p w:rsidR="0035120D" w:rsidRPr="005E274B" w:rsidRDefault="0035120D" w:rsidP="00FA31A4">
      <w:pPr>
        <w:tabs>
          <w:tab w:val="left" w:pos="-720"/>
        </w:tabs>
        <w:suppressAutoHyphens/>
        <w:rPr>
          <w:rFonts w:ascii="Times New Roman" w:hAnsi="Times New Roman"/>
          <w:szCs w:val="24"/>
        </w:rPr>
      </w:pPr>
    </w:p>
    <w:p w:rsidR="00FA31A4" w:rsidRPr="005E274B" w:rsidRDefault="00FA31A4" w:rsidP="000F44A7">
      <w:pPr>
        <w:pStyle w:val="BodyText2"/>
        <w:spacing w:after="0" w:line="360" w:lineRule="auto"/>
        <w:ind w:firstLine="1440"/>
        <w:rPr>
          <w:rFonts w:ascii="Times New Roman" w:hAnsi="Times New Roman"/>
        </w:rPr>
      </w:pPr>
      <w:r w:rsidRPr="005E274B">
        <w:rPr>
          <w:rFonts w:ascii="Times New Roman" w:hAnsi="Times New Roman"/>
        </w:rPr>
        <w:t xml:space="preserve">Under the Public Utility Code, rates charged by public utilities must be just and reasonable and cannot result in unreasonable rate discrimination.  </w:t>
      </w:r>
      <w:r w:rsidR="00F00097">
        <w:rPr>
          <w:rFonts w:ascii="Times New Roman" w:hAnsi="Times New Roman"/>
        </w:rPr>
        <w:t xml:space="preserve">66 </w:t>
      </w:r>
      <w:r w:rsidR="00EB7E82">
        <w:rPr>
          <w:rFonts w:ascii="Times New Roman" w:hAnsi="Times New Roman"/>
        </w:rPr>
        <w:t>Pa.C.S.A</w:t>
      </w:r>
      <w:r w:rsidR="00F00097">
        <w:rPr>
          <w:rFonts w:ascii="Times New Roman" w:hAnsi="Times New Roman"/>
        </w:rPr>
        <w:t>.</w:t>
      </w:r>
      <w:r w:rsidRPr="005E274B">
        <w:rPr>
          <w:rFonts w:ascii="Times New Roman" w:hAnsi="Times New Roman"/>
        </w:rPr>
        <w:t xml:space="preserve"> §§ 1301 and 1304.  A public utility seeking a general rate increase has the burden of proof to establish the justness and reasonableness of every element of the rate increase request.  </w:t>
      </w:r>
      <w:r w:rsidR="00F00097">
        <w:rPr>
          <w:rFonts w:ascii="Times New Roman" w:hAnsi="Times New Roman"/>
        </w:rPr>
        <w:t xml:space="preserve">66 </w:t>
      </w:r>
      <w:r w:rsidR="007E74EE">
        <w:rPr>
          <w:rFonts w:ascii="Times New Roman" w:hAnsi="Times New Roman"/>
        </w:rPr>
        <w:t>Pa.C.S.A.</w:t>
      </w:r>
      <w:r w:rsidRPr="005E274B">
        <w:rPr>
          <w:rFonts w:ascii="Times New Roman" w:hAnsi="Times New Roman"/>
        </w:rPr>
        <w:t xml:space="preserve"> § 315(a); </w:t>
      </w:r>
      <w:r w:rsidR="00EB7E82">
        <w:rPr>
          <w:rFonts w:ascii="Times New Roman" w:hAnsi="Times New Roman"/>
          <w:u w:val="single"/>
        </w:rPr>
        <w:t>Pa.</w:t>
      </w:r>
      <w:r w:rsidR="00A749D4">
        <w:rPr>
          <w:rFonts w:ascii="Times New Roman" w:hAnsi="Times New Roman"/>
          <w:u w:val="single"/>
        </w:rPr>
        <w:t xml:space="preserve"> </w:t>
      </w:r>
      <w:proofErr w:type="spellStart"/>
      <w:r w:rsidRPr="00574922">
        <w:rPr>
          <w:rFonts w:ascii="Times New Roman" w:hAnsi="Times New Roman"/>
          <w:u w:val="single"/>
        </w:rPr>
        <w:t>P</w:t>
      </w:r>
      <w:r w:rsidR="00EB7E82">
        <w:rPr>
          <w:rFonts w:ascii="Times New Roman" w:hAnsi="Times New Roman"/>
          <w:u w:val="single"/>
        </w:rPr>
        <w:t>ub.Util.Comm’n</w:t>
      </w:r>
      <w:proofErr w:type="spellEnd"/>
      <w:r w:rsidRPr="00574922">
        <w:rPr>
          <w:rFonts w:ascii="Times New Roman" w:hAnsi="Times New Roman"/>
          <w:u w:val="single"/>
        </w:rPr>
        <w:t>.</w:t>
      </w:r>
      <w:r w:rsidR="00A0324F" w:rsidRPr="00574922">
        <w:rPr>
          <w:rFonts w:ascii="Times New Roman" w:hAnsi="Times New Roman"/>
          <w:u w:val="single"/>
        </w:rPr>
        <w:t> </w:t>
      </w:r>
      <w:r w:rsidRPr="00574922">
        <w:rPr>
          <w:rFonts w:ascii="Times New Roman" w:hAnsi="Times New Roman"/>
          <w:u w:val="single"/>
        </w:rPr>
        <w:t>v. Aqua Pennsylvania, Inc.</w:t>
      </w:r>
      <w:r w:rsidRPr="005E274B">
        <w:rPr>
          <w:rFonts w:ascii="Times New Roman" w:hAnsi="Times New Roman"/>
        </w:rPr>
        <w:t xml:space="preserve">, Docket No. R-00038805, 236 PUR 4th 218, 2004 Pa. PUC LEXIS 39 (August 5, 2004).  </w:t>
      </w:r>
    </w:p>
    <w:p w:rsidR="00FA31A4" w:rsidRPr="005E274B" w:rsidRDefault="00FA31A4" w:rsidP="00FA31A4">
      <w:pPr>
        <w:pStyle w:val="BodyText2"/>
        <w:spacing w:after="0" w:line="360" w:lineRule="auto"/>
        <w:rPr>
          <w:rFonts w:ascii="Times New Roman" w:hAnsi="Times New Roman"/>
        </w:rPr>
      </w:pPr>
    </w:p>
    <w:p w:rsidR="00FA31A4" w:rsidRPr="005E274B" w:rsidRDefault="00FA31A4" w:rsidP="00FA31A4">
      <w:pPr>
        <w:pStyle w:val="BodyText2"/>
        <w:spacing w:after="0" w:line="360" w:lineRule="auto"/>
        <w:ind w:firstLine="1440"/>
        <w:rPr>
          <w:rFonts w:ascii="Times New Roman" w:hAnsi="Times New Roman"/>
        </w:rPr>
      </w:pPr>
      <w:r w:rsidRPr="005E274B">
        <w:rPr>
          <w:rFonts w:ascii="Times New Roman" w:hAnsi="Times New Roman"/>
        </w:rPr>
        <w:t>As the Commonwealth Court explained:</w:t>
      </w:r>
      <w:r w:rsidR="00BF7FE9">
        <w:rPr>
          <w:rFonts w:ascii="Times New Roman" w:hAnsi="Times New Roman"/>
        </w:rPr>
        <w:t xml:space="preserve"> </w:t>
      </w:r>
      <w:r w:rsidRPr="005E274B">
        <w:rPr>
          <w:rFonts w:ascii="Times New Roman" w:hAnsi="Times New Roman"/>
        </w:rPr>
        <w:t xml:space="preserve"> “While it is axiomatic that a utility has the burden of proving the justness and reasonableness of its proposed rates, it cannot be called upon to account for every action absent prior notice that such action is to be challenged.”</w:t>
      </w:r>
      <w:r w:rsidR="000F7E93">
        <w:rPr>
          <w:rStyle w:val="FootnoteReference"/>
          <w:rFonts w:ascii="Times New Roman" w:hAnsi="Times New Roman"/>
        </w:rPr>
        <w:footnoteReference w:id="37"/>
      </w:r>
      <w:r w:rsidRPr="005E274B">
        <w:rPr>
          <w:rFonts w:ascii="Times New Roman" w:hAnsi="Times New Roman"/>
        </w:rPr>
        <w:t xml:space="preserve">  </w:t>
      </w:r>
      <w:r w:rsidR="00761220">
        <w:rPr>
          <w:rFonts w:ascii="Times New Roman" w:hAnsi="Times New Roman"/>
        </w:rPr>
        <w:t xml:space="preserve">Therefore, while </w:t>
      </w:r>
      <w:r w:rsidRPr="005E274B">
        <w:rPr>
          <w:rFonts w:ascii="Times New Roman" w:hAnsi="Times New Roman"/>
        </w:rPr>
        <w:t xml:space="preserve">the ultimate burden of proof does not shift from the utility, a party proposing an </w:t>
      </w:r>
      <w:r w:rsidRPr="005E274B">
        <w:rPr>
          <w:rFonts w:ascii="Times New Roman" w:hAnsi="Times New Roman"/>
        </w:rPr>
        <w:lastRenderedPageBreak/>
        <w:t>adjustment to a ratemaking claim bears the burden of presenting some evidence or analysis tending to demonstrate the reasonableness of the adjustment.</w:t>
      </w:r>
      <w:r w:rsidR="000F7E93">
        <w:rPr>
          <w:rStyle w:val="FootnoteReference"/>
          <w:rFonts w:ascii="Times New Roman" w:hAnsi="Times New Roman"/>
        </w:rPr>
        <w:footnoteReference w:id="38"/>
      </w:r>
      <w:r w:rsidRPr="005E274B">
        <w:rPr>
          <w:rFonts w:ascii="Times New Roman" w:hAnsi="Times New Roman"/>
        </w:rPr>
        <w:t xml:space="preserve">    </w:t>
      </w:r>
    </w:p>
    <w:p w:rsidR="00FA31A4" w:rsidRPr="005E274B" w:rsidRDefault="00FA31A4" w:rsidP="00FA31A4">
      <w:pPr>
        <w:pStyle w:val="BodyText2"/>
        <w:spacing w:after="0" w:line="360" w:lineRule="auto"/>
        <w:ind w:firstLine="1440"/>
        <w:rPr>
          <w:rFonts w:ascii="Times New Roman" w:hAnsi="Times New Roman"/>
        </w:rPr>
      </w:pPr>
    </w:p>
    <w:p w:rsidR="00182214" w:rsidRPr="00F4401E" w:rsidRDefault="0057351A" w:rsidP="003A6207">
      <w:pPr>
        <w:tabs>
          <w:tab w:val="left" w:pos="-720"/>
        </w:tabs>
        <w:suppressAutoHyphens/>
        <w:rPr>
          <w:rFonts w:ascii="Times New Roman" w:hAnsi="Times New Roman"/>
          <w:u w:val="single"/>
        </w:rPr>
      </w:pPr>
      <w:r w:rsidRPr="0057351A">
        <w:rPr>
          <w:rFonts w:ascii="Times New Roman" w:hAnsi="Times New Roman"/>
          <w:szCs w:val="24"/>
        </w:rPr>
        <w:t xml:space="preserve">B. </w:t>
      </w:r>
      <w:r w:rsidRPr="0057351A">
        <w:rPr>
          <w:rFonts w:ascii="Times New Roman" w:hAnsi="Times New Roman"/>
          <w:szCs w:val="24"/>
        </w:rPr>
        <w:tab/>
      </w:r>
      <w:r w:rsidR="00F4401E">
        <w:rPr>
          <w:rFonts w:ascii="Times New Roman" w:hAnsi="Times New Roman"/>
          <w:szCs w:val="24"/>
          <w:u w:val="single"/>
        </w:rPr>
        <w:t>Proposed LED Street Lighting Service Offering</w:t>
      </w:r>
    </w:p>
    <w:p w:rsidR="0097306E" w:rsidRDefault="0097306E" w:rsidP="0035120D">
      <w:pPr>
        <w:tabs>
          <w:tab w:val="left" w:pos="-720"/>
        </w:tabs>
        <w:suppressAutoHyphens/>
        <w:ind w:left="720"/>
        <w:rPr>
          <w:rFonts w:ascii="Times New Roman" w:hAnsi="Times New Roman"/>
          <w:szCs w:val="24"/>
        </w:rPr>
      </w:pPr>
    </w:p>
    <w:p w:rsidR="0097306E" w:rsidRDefault="0097306E" w:rsidP="0097306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000F44A7">
        <w:rPr>
          <w:rFonts w:ascii="Times New Roman" w:hAnsi="Times New Roman"/>
          <w:szCs w:val="24"/>
        </w:rPr>
        <w:t xml:space="preserve">Penn Power </w:t>
      </w:r>
      <w:r>
        <w:rPr>
          <w:rFonts w:ascii="Times New Roman" w:hAnsi="Times New Roman"/>
          <w:szCs w:val="24"/>
        </w:rPr>
        <w:t xml:space="preserve">proposed to offer LED street lighting to interested customers who wished to obtain LED street lighting service from Company-owned and maintained LED street lighting facilities.  </w:t>
      </w:r>
      <w:r w:rsidR="000F44A7">
        <w:rPr>
          <w:rFonts w:ascii="Times New Roman" w:hAnsi="Times New Roman"/>
          <w:szCs w:val="24"/>
        </w:rPr>
        <w:t xml:space="preserve">Penn Power </w:t>
      </w:r>
      <w:r>
        <w:rPr>
          <w:rFonts w:ascii="Times New Roman" w:hAnsi="Times New Roman"/>
          <w:szCs w:val="24"/>
        </w:rPr>
        <w:t xml:space="preserve">developed the service offering in response to expressions of interest from existing street lighting customers who expressed interest in exploring LED street lighting options.  </w:t>
      </w:r>
      <w:r w:rsidR="000F44A7">
        <w:rPr>
          <w:rFonts w:ascii="Times New Roman" w:hAnsi="Times New Roman"/>
          <w:szCs w:val="24"/>
        </w:rPr>
        <w:t xml:space="preserve">Penn Power </w:t>
      </w:r>
      <w:r>
        <w:rPr>
          <w:rFonts w:ascii="Times New Roman" w:hAnsi="Times New Roman"/>
          <w:szCs w:val="24"/>
        </w:rPr>
        <w:t xml:space="preserve">embodied the offering in a detailed rate schedule which it asserts conforms to the Commission’s tariff and tariff filing requirements.  </w:t>
      </w:r>
    </w:p>
    <w:p w:rsidR="0097306E" w:rsidRDefault="0097306E" w:rsidP="0097306E">
      <w:pPr>
        <w:tabs>
          <w:tab w:val="left" w:pos="-720"/>
        </w:tabs>
        <w:suppressAutoHyphens/>
        <w:rPr>
          <w:rFonts w:ascii="Times New Roman" w:hAnsi="Times New Roman"/>
          <w:szCs w:val="24"/>
        </w:rPr>
      </w:pPr>
    </w:p>
    <w:p w:rsidR="0097306E" w:rsidRDefault="0097306E" w:rsidP="0097306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000F44A7">
        <w:rPr>
          <w:rFonts w:ascii="Times New Roman" w:hAnsi="Times New Roman"/>
          <w:szCs w:val="24"/>
        </w:rPr>
        <w:t xml:space="preserve">Penn Power </w:t>
      </w:r>
      <w:r>
        <w:rPr>
          <w:rFonts w:ascii="Times New Roman" w:hAnsi="Times New Roman"/>
          <w:szCs w:val="24"/>
        </w:rPr>
        <w:t>would offer the new service to existing customers who currently receive service under one of the six street lighting services available</w:t>
      </w:r>
      <w:r>
        <w:rPr>
          <w:rStyle w:val="FootnoteReference"/>
          <w:rFonts w:ascii="Times New Roman" w:hAnsi="Times New Roman"/>
          <w:szCs w:val="24"/>
        </w:rPr>
        <w:footnoteReference w:id="39"/>
      </w:r>
      <w:r>
        <w:rPr>
          <w:rFonts w:ascii="Times New Roman" w:hAnsi="Times New Roman"/>
          <w:szCs w:val="24"/>
        </w:rPr>
        <w:t xml:space="preserve"> and would like to update the service in order to take advantage of new lighting technology.  The new service would also be offered to new customers.  </w:t>
      </w:r>
      <w:r w:rsidR="005E715E">
        <w:rPr>
          <w:rFonts w:ascii="Times New Roman" w:hAnsi="Times New Roman"/>
          <w:szCs w:val="24"/>
        </w:rPr>
        <w:t xml:space="preserve">The initial term of the contracts would last ten (10) years and could be renewed for successive one-year terms.  Distribution costs for the new service would be recovered through a fixed monthly charge for each LED fixture and the street lighting customers would have an unhindered ability to obtain electric generation service from either a competitive electric generation supplier or through default service from </w:t>
      </w:r>
      <w:r w:rsidR="000F44A7">
        <w:rPr>
          <w:rFonts w:ascii="Times New Roman" w:hAnsi="Times New Roman"/>
          <w:szCs w:val="24"/>
        </w:rPr>
        <w:t>Penn Power</w:t>
      </w:r>
      <w:r w:rsidR="005E715E">
        <w:rPr>
          <w:rFonts w:ascii="Times New Roman" w:hAnsi="Times New Roman"/>
          <w:szCs w:val="24"/>
        </w:rPr>
        <w:t xml:space="preserve">.  </w:t>
      </w:r>
    </w:p>
    <w:p w:rsidR="005E715E" w:rsidRDefault="005E715E" w:rsidP="0097306E">
      <w:pPr>
        <w:tabs>
          <w:tab w:val="left" w:pos="-720"/>
        </w:tabs>
        <w:suppressAutoHyphens/>
        <w:rPr>
          <w:rFonts w:ascii="Times New Roman" w:hAnsi="Times New Roman"/>
          <w:szCs w:val="24"/>
        </w:rPr>
      </w:pPr>
    </w:p>
    <w:p w:rsidR="005E715E" w:rsidRDefault="005E715E" w:rsidP="0097306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sidR="000F44A7">
        <w:rPr>
          <w:rFonts w:ascii="Times New Roman" w:hAnsi="Times New Roman"/>
          <w:szCs w:val="24"/>
        </w:rPr>
        <w:t>Penn Power</w:t>
      </w:r>
      <w:r>
        <w:rPr>
          <w:rFonts w:ascii="Times New Roman" w:hAnsi="Times New Roman"/>
          <w:szCs w:val="24"/>
        </w:rPr>
        <w:t xml:space="preserve"> proposed a separate cost of service analysis to develop a fixed charge for LED service </w:t>
      </w:r>
      <w:proofErr w:type="spellStart"/>
      <w:r>
        <w:rPr>
          <w:rFonts w:ascii="Times New Roman" w:hAnsi="Times New Roman"/>
          <w:szCs w:val="24"/>
        </w:rPr>
        <w:t>levelized</w:t>
      </w:r>
      <w:proofErr w:type="spellEnd"/>
      <w:r>
        <w:rPr>
          <w:rFonts w:ascii="Times New Roman" w:hAnsi="Times New Roman"/>
          <w:szCs w:val="24"/>
        </w:rPr>
        <w:t xml:space="preserve"> over the entire projected fifteen-year service life of the LED fixtures which it would install.  </w:t>
      </w:r>
      <w:r w:rsidR="000F44A7">
        <w:rPr>
          <w:rFonts w:ascii="Times New Roman" w:hAnsi="Times New Roman"/>
          <w:szCs w:val="24"/>
        </w:rPr>
        <w:t xml:space="preserve">Penn Power </w:t>
      </w:r>
      <w:r>
        <w:rPr>
          <w:rFonts w:ascii="Times New Roman" w:hAnsi="Times New Roman"/>
          <w:szCs w:val="24"/>
        </w:rPr>
        <w:t xml:space="preserve">proposed this separate analysis and approach in order to avoid the relatively higher rate which would result over the first several years of the contract </w:t>
      </w:r>
      <w:r>
        <w:rPr>
          <w:rFonts w:ascii="Times New Roman" w:hAnsi="Times New Roman"/>
          <w:szCs w:val="24"/>
        </w:rPr>
        <w:lastRenderedPageBreak/>
        <w:t xml:space="preserve">term if </w:t>
      </w:r>
      <w:r w:rsidR="000F44A7">
        <w:rPr>
          <w:rFonts w:ascii="Times New Roman" w:hAnsi="Times New Roman"/>
          <w:szCs w:val="24"/>
        </w:rPr>
        <w:t xml:space="preserve">Penn Power </w:t>
      </w:r>
      <w:r>
        <w:rPr>
          <w:rFonts w:ascii="Times New Roman" w:hAnsi="Times New Roman"/>
          <w:szCs w:val="24"/>
        </w:rPr>
        <w:t xml:space="preserve">had used the traditional approach to develop a cost-based rate.  Otherwise, the initially higher rate might have impeded customer acceptance of the new service.  </w:t>
      </w:r>
    </w:p>
    <w:p w:rsidR="002B14AF" w:rsidRPr="00EA20DE" w:rsidRDefault="002B14AF" w:rsidP="0035120D">
      <w:pPr>
        <w:rPr>
          <w:rFonts w:ascii="Times New Roman" w:hAnsi="Times New Roman"/>
          <w:szCs w:val="24"/>
        </w:rPr>
      </w:pPr>
    </w:p>
    <w:p w:rsidR="002B14AF" w:rsidRDefault="002B14AF">
      <w:pPr>
        <w:spacing w:line="240" w:lineRule="auto"/>
        <w:rPr>
          <w:rFonts w:ascii="Times New Roman" w:hAnsi="Times New Roman"/>
          <w:szCs w:val="24"/>
        </w:rPr>
      </w:pPr>
      <w:r>
        <w:rPr>
          <w:rFonts w:ascii="Times New Roman" w:hAnsi="Times New Roman"/>
          <w:szCs w:val="24"/>
        </w:rPr>
        <w:br w:type="page"/>
      </w:r>
    </w:p>
    <w:p w:rsidR="001A5DC0" w:rsidRPr="00C31426" w:rsidRDefault="0057351A" w:rsidP="001A5DC0">
      <w:pPr>
        <w:rPr>
          <w:rFonts w:ascii="Times New Roman" w:hAnsi="Times New Roman"/>
        </w:rPr>
      </w:pPr>
      <w:r w:rsidRPr="0057351A">
        <w:rPr>
          <w:rFonts w:ascii="Times New Roman" w:hAnsi="Times New Roman"/>
          <w:szCs w:val="24"/>
        </w:rPr>
        <w:lastRenderedPageBreak/>
        <w:t xml:space="preserve">C. </w:t>
      </w:r>
      <w:r w:rsidRPr="0057351A">
        <w:rPr>
          <w:rFonts w:ascii="Times New Roman" w:hAnsi="Times New Roman"/>
          <w:szCs w:val="24"/>
        </w:rPr>
        <w:tab/>
      </w:r>
      <w:r>
        <w:rPr>
          <w:rFonts w:ascii="Times New Roman" w:hAnsi="Times New Roman"/>
          <w:szCs w:val="24"/>
          <w:u w:val="single"/>
        </w:rPr>
        <w:t xml:space="preserve">Penn Power’s Position </w:t>
      </w:r>
      <w:r w:rsidR="009A297A">
        <w:rPr>
          <w:rFonts w:ascii="Times New Roman" w:hAnsi="Times New Roman"/>
          <w:szCs w:val="24"/>
          <w:u w:val="single"/>
        </w:rPr>
        <w:t>C</w:t>
      </w:r>
      <w:r w:rsidR="005A7F98" w:rsidRPr="00C31426">
        <w:rPr>
          <w:rFonts w:ascii="Times New Roman" w:hAnsi="Times New Roman"/>
          <w:szCs w:val="24"/>
          <w:u w:val="single"/>
        </w:rPr>
        <w:t>oncerning Program</w:t>
      </w:r>
      <w:r w:rsidR="00FF47BD" w:rsidRPr="00C31426">
        <w:rPr>
          <w:rFonts w:ascii="Times New Roman" w:hAnsi="Times New Roman"/>
          <w:szCs w:val="24"/>
          <w:u w:val="single"/>
        </w:rPr>
        <w:fldChar w:fldCharType="begin"/>
      </w:r>
      <w:r w:rsidR="001A5DC0" w:rsidRPr="00C31426">
        <w:rPr>
          <w:rFonts w:ascii="Times New Roman" w:hAnsi="Times New Roman"/>
        </w:rPr>
        <w:instrText xml:space="preserve"> TC "</w:instrText>
      </w:r>
      <w:r w:rsidR="001A5DC0" w:rsidRPr="00C31426">
        <w:rPr>
          <w:rFonts w:ascii="Times New Roman" w:hAnsi="Times New Roman"/>
          <w:szCs w:val="24"/>
        </w:rPr>
        <w:instrText>C.</w:instrText>
      </w:r>
      <w:r w:rsidR="001A5DC0" w:rsidRPr="00C31426">
        <w:rPr>
          <w:rFonts w:ascii="Times New Roman" w:hAnsi="Times New Roman"/>
          <w:szCs w:val="24"/>
        </w:rPr>
        <w:tab/>
      </w:r>
      <w:r w:rsidR="001A5DC0" w:rsidRPr="00C31426">
        <w:rPr>
          <w:rFonts w:ascii="Times New Roman" w:hAnsi="Times New Roman"/>
          <w:szCs w:val="24"/>
          <w:u w:val="single"/>
        </w:rPr>
        <w:instrText>Parties’ Briefing Positions</w:instrText>
      </w:r>
      <w:r w:rsidR="001A5DC0" w:rsidRPr="00C31426">
        <w:rPr>
          <w:rFonts w:ascii="Times New Roman" w:hAnsi="Times New Roman"/>
        </w:rPr>
        <w:instrText xml:space="preserve">" \f C \l "2" </w:instrText>
      </w:r>
      <w:r w:rsidR="00FF47BD" w:rsidRPr="00C31426">
        <w:rPr>
          <w:rFonts w:ascii="Times New Roman" w:hAnsi="Times New Roman"/>
          <w:szCs w:val="24"/>
          <w:u w:val="single"/>
        </w:rPr>
        <w:fldChar w:fldCharType="end"/>
      </w:r>
    </w:p>
    <w:p w:rsidR="000F44A7" w:rsidRDefault="000F44A7" w:rsidP="00163622">
      <w:pPr>
        <w:pStyle w:val="BodyText2"/>
        <w:spacing w:after="0" w:line="360" w:lineRule="auto"/>
        <w:rPr>
          <w:rFonts w:ascii="Times New Roman" w:hAnsi="Times New Roman"/>
        </w:rPr>
      </w:pPr>
    </w:p>
    <w:p w:rsidR="0057351A" w:rsidRDefault="0057351A" w:rsidP="00163622">
      <w:pPr>
        <w:pStyle w:val="BodyText2"/>
        <w:spacing w:after="0" w:line="360" w:lineRule="auto"/>
        <w:rPr>
          <w:rFonts w:ascii="Times New Roman" w:hAnsi="Times New Roman"/>
        </w:rPr>
      </w:pPr>
      <w:r>
        <w:rPr>
          <w:rFonts w:ascii="Times New Roman" w:hAnsi="Times New Roman"/>
        </w:rPr>
        <w:tab/>
        <w:t xml:space="preserve">1. </w:t>
      </w:r>
      <w:r>
        <w:rPr>
          <w:rFonts w:ascii="Times New Roman" w:hAnsi="Times New Roman"/>
        </w:rPr>
        <w:tab/>
        <w:t>Proposal</w:t>
      </w:r>
    </w:p>
    <w:p w:rsidR="0057351A" w:rsidRDefault="0057351A" w:rsidP="00163622">
      <w:pPr>
        <w:pStyle w:val="BodyText2"/>
        <w:spacing w:after="0" w:line="360" w:lineRule="auto"/>
        <w:rPr>
          <w:rFonts w:ascii="Times New Roman" w:hAnsi="Times New Roman"/>
        </w:rPr>
      </w:pPr>
    </w:p>
    <w:p w:rsidR="00163622" w:rsidRDefault="00163622" w:rsidP="00163622">
      <w:pPr>
        <w:pStyle w:val="FirmDouble05"/>
        <w:spacing w:line="360" w:lineRule="auto"/>
        <w:ind w:firstLine="1440"/>
      </w:pPr>
      <w:r>
        <w:t>Penn Power’s proposed LED street lighting offering would provide interested customers the opportunity to obtain LED street lighting service from Company-owned and maintained LED street lighting faci</w:t>
      </w:r>
      <w:r w:rsidR="00EB7E82">
        <w:t>lities.  That service offering</w:t>
      </w:r>
      <w:r>
        <w:t xml:space="preserve"> was developed in response to existing street lighting customers’ expressions of interest in exploring LED street lighting options.  Past experience has shown that customer preference tends towards Company ownership of fixtures, with only 631 of the total 10,281 fixtures installed across Penn Power’s system being customer-owned.</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The new service offering will be open to both new customers and any customer currently receiving service under a street lighting schedule interested in updating their Street Lighting Service (Sodium Vapor), Street Lighting Service (Sodium Vapor – Divided Ownership), or Street Lighting Service (Mercury Vapor).  The initial term for all contracts will be ten years, which may be renewed for successive one-year terms.  </w:t>
      </w:r>
      <w:r>
        <w:rPr>
          <w:i/>
        </w:rPr>
        <w:t xml:space="preserve">See </w:t>
      </w:r>
      <w:r>
        <w:t>Penn Power Statement No. 8, pp. 2-4.  The Company proposes to recover the distribution (i.e., “wires”) cost of the new service through a fixed monthly charge for each LED fixture.</w:t>
      </w:r>
      <w:r>
        <w:rPr>
          <w:rStyle w:val="FootnoteReference"/>
        </w:rPr>
        <w:footnoteReference w:id="40"/>
      </w:r>
      <w:r>
        <w:t xml:space="preserve">  Street lighting customers, like all customers, can obtain electric generation service from competitive electric generation suppliers (EGSs) or, if they choose not to “shop,” may obtain default service from the Company.  Consequently, the cost of electric generation service for LED service – or any other form of service – is not at issue.  </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The Company recognized that, as a new service, LED lighting would, at least initially, be adopted by a small number of customers and would require the Company to invest in, and install, new LED-related equipment dedicated solely to providing LED service to those </w:t>
      </w:r>
      <w:r>
        <w:lastRenderedPageBreak/>
        <w:t xml:space="preserve">customers.  As a consequence, the traditional approach to developing a cost-based rate would produce a relatively higher rate in the first several years of the contract term.  And, while the rate would likely decline over time as LED-related property is depreciated, the initially higher rate might impede customer acceptance of the new service.  To address that concern, Penn Power prepared a separate cost of service analysis to develop a fixed charge for LED service that is </w:t>
      </w:r>
      <w:proofErr w:type="spellStart"/>
      <w:r>
        <w:t>levelized</w:t>
      </w:r>
      <w:proofErr w:type="spellEnd"/>
      <w:r>
        <w:t xml:space="preserve"> over the entire projected fifteen-year service life of the LED fixtures to be installed.</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The proposed </w:t>
      </w:r>
      <w:proofErr w:type="spellStart"/>
      <w:r>
        <w:t>levelized</w:t>
      </w:r>
      <w:proofErr w:type="spellEnd"/>
      <w:r>
        <w:t xml:space="preserve"> charge would recover less than the Company’s full cost of providing LED lighting service in the early years of the newly-initiated LED service and, indeed, the total cost to the Company of providing the service would not be fully recovered over the initial ten-year contract term.  In fact, the </w:t>
      </w:r>
      <w:proofErr w:type="spellStart"/>
      <w:r>
        <w:t>levelized</w:t>
      </w:r>
      <w:proofErr w:type="spellEnd"/>
      <w:r>
        <w:t xml:space="preserve"> charge amounts to a discount in the first year of a ten-year contract of 32%.  </w:t>
      </w:r>
      <w:r>
        <w:rPr>
          <w:i/>
        </w:rPr>
        <w:t>See</w:t>
      </w:r>
      <w:r>
        <w:t xml:space="preserve"> Penn Power Statement No. 8-R, p. 10.  Those losses would be recovered over time when, in subsequent years, the </w:t>
      </w:r>
      <w:proofErr w:type="spellStart"/>
      <w:r>
        <w:t>levelized</w:t>
      </w:r>
      <w:proofErr w:type="spellEnd"/>
      <w:r>
        <w:t xml:space="preserve"> rate will recover somewhat more than the LED cost of service determined in the traditional (non-</w:t>
      </w:r>
      <w:proofErr w:type="spellStart"/>
      <w:r>
        <w:t>levelized</w:t>
      </w:r>
      <w:proofErr w:type="spellEnd"/>
      <w:r>
        <w:t xml:space="preserve">) manner.  Thus, while lowering the rate for LED service at the front end of the initial contract term, the </w:t>
      </w:r>
      <w:proofErr w:type="spellStart"/>
      <w:r>
        <w:t>levelized</w:t>
      </w:r>
      <w:proofErr w:type="spellEnd"/>
      <w:r>
        <w:t xml:space="preserve"> approach would recover the full cost of service from the LED class, on a net present value basis, over the expected useful life of the LED property being installed.  Notably, no party other than PennFuture took issue with any aspect of the Company’s LED service offering.  Additionally, no potential customers, specifically municipalities, intervened in this case to challenge the Company’s LED service offering nor did they voice any informal opposition.</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PennFuture criticized certain elements of the Company’s proposal, namely:  (1) the LED fixture selection, cost, sizes and useful life; (2) the non-fixture – principally, installation – costs; (3) the Company’s class cost of service study with respect to the costs allocated to the street lighting class; and (4) as the culmination of all of the foregoing, the per-fixture distribution rate proposed by the Company.  Those arguments were advanced in the direct testimony of two witnesses, Patrick </w:t>
      </w:r>
      <w:proofErr w:type="spellStart"/>
      <w:r>
        <w:t>Gormley</w:t>
      </w:r>
      <w:proofErr w:type="spellEnd"/>
      <w:r>
        <w:t xml:space="preserve"> and George Woodbury, neither of whom are employees of PennFuture or of its joint </w:t>
      </w:r>
      <w:proofErr w:type="spellStart"/>
      <w:r>
        <w:t>intervenor</w:t>
      </w:r>
      <w:proofErr w:type="spellEnd"/>
      <w:r>
        <w:t xml:space="preserve">, </w:t>
      </w:r>
      <w:proofErr w:type="spellStart"/>
      <w:r>
        <w:t>EDF</w:t>
      </w:r>
      <w:proofErr w:type="spellEnd"/>
      <w:r>
        <w:t>.  In contrast, EDF’s witnesses, Messrs. Munson and Sandoval, are senior level employees of EDF.</w:t>
      </w:r>
      <w:r>
        <w:rPr>
          <w:rStyle w:val="FootnoteReference"/>
        </w:rPr>
        <w:footnoteReference w:id="41"/>
      </w:r>
      <w:r>
        <w:t xml:space="preserve">  Rather, Mr. </w:t>
      </w:r>
      <w:proofErr w:type="spellStart"/>
      <w:r>
        <w:t>Gormley</w:t>
      </w:r>
      <w:proofErr w:type="spellEnd"/>
      <w:r>
        <w:rPr>
          <w:rStyle w:val="FootnoteReference"/>
        </w:rPr>
        <w:footnoteReference w:id="42"/>
      </w:r>
      <w:r>
        <w:t xml:space="preserve"> and Mr. Woodbury</w:t>
      </w:r>
      <w:r>
        <w:rPr>
          <w:rStyle w:val="FootnoteReference"/>
        </w:rPr>
        <w:footnoteReference w:id="43"/>
      </w:r>
      <w:r>
        <w:t xml:space="preserve"> are </w:t>
      </w:r>
      <w:r>
        <w:lastRenderedPageBreak/>
        <w:t>both entrepreneurs engaged in the competitive businesses of selling, installing and financing LED products and service to customers.</w:t>
      </w:r>
      <w:r>
        <w:rPr>
          <w:rStyle w:val="FootnoteReference"/>
        </w:rPr>
        <w:footnoteReference w:id="44"/>
      </w:r>
      <w:r>
        <w:t xml:space="preserve">  </w:t>
      </w:r>
      <w:r>
        <w:rPr>
          <w:i/>
        </w:rPr>
        <w:t xml:space="preserve">See </w:t>
      </w:r>
      <w:r>
        <w:t>PennFuture/</w:t>
      </w:r>
      <w:proofErr w:type="spellStart"/>
      <w:r>
        <w:t>EDF</w:t>
      </w:r>
      <w:proofErr w:type="spellEnd"/>
      <w:r>
        <w:t xml:space="preserve"> Statement No. 1 - </w:t>
      </w:r>
      <w:proofErr w:type="spellStart"/>
      <w:r>
        <w:t>Gormley</w:t>
      </w:r>
      <w:proofErr w:type="spellEnd"/>
      <w:r>
        <w:t>, p. 2; PennFuture/</w:t>
      </w:r>
      <w:proofErr w:type="spellStart"/>
      <w:r>
        <w:t>EDF</w:t>
      </w:r>
      <w:proofErr w:type="spellEnd"/>
      <w:r>
        <w:t xml:space="preserve"> Statement No. 1 - Woodbury, p. 3.</w:t>
      </w:r>
      <w:r w:rsidR="002B14AF">
        <w:t xml:space="preserve">  </w:t>
      </w:r>
      <w:r>
        <w:t xml:space="preserve">As explained in detail in the rebuttal testimony of Christopher D. </w:t>
      </w:r>
      <w:proofErr w:type="spellStart"/>
      <w:r>
        <w:t>Ciccone</w:t>
      </w:r>
      <w:proofErr w:type="spellEnd"/>
      <w:r>
        <w:t xml:space="preserve"> and Hillary E. Stewart (Penn Power Statement Nos. 8-R and 5-R, respectively), the Company’s proposed fixture selection, cost estimates, and distribution rates are fully supported by record evidence and, therefore, the Company’s proposed LED lighting service offering should be approved.  </w:t>
      </w:r>
    </w:p>
    <w:p w:rsidR="00163622" w:rsidRDefault="00163622" w:rsidP="00163622">
      <w:pPr>
        <w:pStyle w:val="OutlineL2"/>
        <w:numPr>
          <w:ilvl w:val="0"/>
          <w:numId w:val="0"/>
        </w:numPr>
        <w:spacing w:before="0" w:after="0" w:line="360" w:lineRule="auto"/>
        <w:outlineLvl w:val="9"/>
        <w:rPr>
          <w:lang w:val="en-US"/>
        </w:rPr>
      </w:pPr>
      <w:bookmarkStart w:id="27" w:name="_Toc410734506"/>
    </w:p>
    <w:p w:rsidR="00163622" w:rsidRDefault="0057351A" w:rsidP="0057351A">
      <w:pPr>
        <w:pStyle w:val="OutlineL2"/>
        <w:numPr>
          <w:ilvl w:val="0"/>
          <w:numId w:val="0"/>
        </w:numPr>
        <w:spacing w:before="0" w:after="0" w:line="360" w:lineRule="auto"/>
        <w:ind w:firstLine="720"/>
        <w:outlineLvl w:val="9"/>
      </w:pPr>
      <w:r>
        <w:rPr>
          <w:lang w:val="en-US"/>
        </w:rPr>
        <w:t xml:space="preserve">2. </w:t>
      </w:r>
      <w:r>
        <w:rPr>
          <w:lang w:val="en-US"/>
        </w:rPr>
        <w:tab/>
      </w:r>
      <w:r w:rsidR="00163622" w:rsidRPr="009F43A5">
        <w:rPr>
          <w:u w:val="single"/>
        </w:rPr>
        <w:t>Fixture Selection, Cost, Sizes And Useful Life</w:t>
      </w:r>
      <w:r w:rsidR="00163622">
        <w:t>.</w:t>
      </w:r>
      <w:bookmarkEnd w:id="27"/>
    </w:p>
    <w:p w:rsidR="00163622" w:rsidRDefault="00163622" w:rsidP="00163622">
      <w:pPr>
        <w:pStyle w:val="FirmDouble05"/>
        <w:spacing w:line="360" w:lineRule="auto"/>
      </w:pPr>
    </w:p>
    <w:p w:rsidR="00163622" w:rsidRDefault="00163622" w:rsidP="00163622">
      <w:pPr>
        <w:pStyle w:val="FirmDouble05"/>
        <w:spacing w:line="360" w:lineRule="auto"/>
        <w:ind w:firstLine="1440"/>
      </w:pPr>
      <w:r>
        <w:t>PennFuture asserts the LED lighting fixtures the Company will use to supply LED service under its proposed LED service offering are not the least expensive on the market.  Of course, there is no reason to believe that price should be the sole determinant of the equipment a utility purchases to provide service to its customers.  Rather, there are many factors in addition to price that weigh on such decisions.  And, for equipment selection, as in other areas of utility management, a utility is entitled to exercise its reasonable judgment in choosing how it will meet its obligation to furnish safe, reliable and efficient service to its customers.  Indeed, this concept is enshrined in Commission and appellate court precedent, which expressly recognizes that utility regulators are not a “super board” of directors</w:t>
      </w:r>
      <w:r>
        <w:rPr>
          <w:rStyle w:val="FootnoteReference"/>
        </w:rPr>
        <w:footnoteReference w:id="45"/>
      </w:r>
      <w:r>
        <w:t xml:space="preserve"> and </w:t>
      </w:r>
      <w:r w:rsidR="00201A69">
        <w:t>the Commission is</w:t>
      </w:r>
      <w:r>
        <w:t xml:space="preserve"> not authorized to micromanage the day-to-day operations of the utilities under their jurisdiction.</w:t>
      </w:r>
      <w:r>
        <w:rPr>
          <w:rStyle w:val="FootnoteReference"/>
        </w:rPr>
        <w:footnoteReference w:id="46"/>
      </w:r>
      <w:r>
        <w:t xml:space="preserve">  </w:t>
      </w:r>
    </w:p>
    <w:p w:rsidR="00163622" w:rsidRDefault="00163622" w:rsidP="00163622">
      <w:pPr>
        <w:pStyle w:val="FirmDouble05"/>
        <w:spacing w:line="360" w:lineRule="auto"/>
      </w:pPr>
    </w:p>
    <w:p w:rsidR="00163622" w:rsidRDefault="00163622" w:rsidP="00163622">
      <w:pPr>
        <w:pStyle w:val="FirmDouble05"/>
        <w:spacing w:line="360" w:lineRule="auto"/>
        <w:ind w:firstLine="1440"/>
        <w:rPr>
          <w:b/>
        </w:rPr>
      </w:pPr>
      <w:r>
        <w:t>Moreover, the Company used a reasonable and prudent method to make its equipment choice.  Specifically, the Company selected the GE Evolve series lighting as a result of a rigorous competitive procurement process conducted in May-June of 2014.  The Company developed certain minimum specifications for the products for which bids were solicited (</w:t>
      </w:r>
      <w:r>
        <w:rPr>
          <w:i/>
        </w:rPr>
        <w:t>see</w:t>
      </w:r>
      <w:r>
        <w:t xml:space="preserve"> Exhibit CDC-3), and the bid submitted for the GE Evolve series of lighting was the least expensive and only lighting that met Company standards and specifications.  </w:t>
      </w:r>
      <w:r>
        <w:rPr>
          <w:i/>
        </w:rPr>
        <w:t xml:space="preserve">See </w:t>
      </w:r>
      <w:r>
        <w:t xml:space="preserve">Penn Power Statement No. 8-R, p. 2.  Moreover, the GE Evolve series is used throughout the utility industry and, clearly, is provided by a well-known and reputable manufacturer. </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Additionally, </w:t>
      </w:r>
      <w:proofErr w:type="spellStart"/>
      <w:r>
        <w:t>PennFuture’s</w:t>
      </w:r>
      <w:proofErr w:type="spellEnd"/>
      <w:r>
        <w:t xml:space="preserve"> assertions that the Company’s proposed fixture sizes are unavailable and inappropriate (s</w:t>
      </w:r>
      <w:r>
        <w:rPr>
          <w:i/>
        </w:rPr>
        <w:t xml:space="preserve">ee </w:t>
      </w:r>
      <w:r>
        <w:t>PennFuture/</w:t>
      </w:r>
      <w:proofErr w:type="spellStart"/>
      <w:r>
        <w:t>EDF</w:t>
      </w:r>
      <w:proofErr w:type="spellEnd"/>
      <w:r>
        <w:t xml:space="preserve"> Statement No. 1 - </w:t>
      </w:r>
      <w:proofErr w:type="spellStart"/>
      <w:r>
        <w:t>Gormley</w:t>
      </w:r>
      <w:proofErr w:type="spellEnd"/>
      <w:r>
        <w:t>, p. 6; PennFuture/</w:t>
      </w:r>
      <w:proofErr w:type="spellStart"/>
      <w:r>
        <w:t>EDF</w:t>
      </w:r>
      <w:proofErr w:type="spellEnd"/>
      <w:r>
        <w:t xml:space="preserve"> Statement No. 1 - Woodbury, p. 9) are simply incorrect.  The Company’s proposed fixture sizes are available as part of the GE Evolve series and were selected based on the input of potential customers as well as an analysis of the LED offerings of Baltimore Gas &amp; Electric, Duquesne Light, and Progress Energy.  Moreover, the wattage of the LED lights that would be installed under the proposed offering will be entirely within the discretion of the customer.  </w:t>
      </w:r>
      <w:r>
        <w:rPr>
          <w:i/>
        </w:rPr>
        <w:t xml:space="preserve">See </w:t>
      </w:r>
      <w:r>
        <w:t>Penn Power Statement No. 8-R, pp. 4-5.</w:t>
      </w:r>
    </w:p>
    <w:p w:rsidR="00163622" w:rsidRDefault="00163622" w:rsidP="00163622">
      <w:pPr>
        <w:pStyle w:val="FirmDouble05"/>
        <w:spacing w:line="360" w:lineRule="auto"/>
      </w:pPr>
    </w:p>
    <w:p w:rsidR="00201A69" w:rsidRDefault="00163622" w:rsidP="00163622">
      <w:pPr>
        <w:pStyle w:val="FirmDouble05"/>
        <w:spacing w:line="360" w:lineRule="auto"/>
        <w:ind w:firstLine="1440"/>
      </w:pPr>
      <w:r>
        <w:t xml:space="preserve">Although PennFuture contends that the Company’s use of a fifteen-year useful life for the LED streetlights is too conservative, its witness candidly admitted that it is within the range of service life estimates used by the utility industry of between 15-35 years.  </w:t>
      </w:r>
      <w:r>
        <w:rPr>
          <w:i/>
        </w:rPr>
        <w:t xml:space="preserve">See </w:t>
      </w:r>
      <w:r>
        <w:t>PennFuture/</w:t>
      </w:r>
      <w:proofErr w:type="spellStart"/>
      <w:r>
        <w:t>EDF</w:t>
      </w:r>
      <w:proofErr w:type="spellEnd"/>
      <w:r>
        <w:t xml:space="preserve"> Statement No. 2 - Woodbury, p. 6.  Moreover, utility estimates of useful lives </w:t>
      </w:r>
      <w:r>
        <w:lastRenderedPageBreak/>
        <w:t xml:space="preserve">differ based on variables that are specific to individual companies, the type of service they offer and the products they use.  With regard to this point, the Company’s witness, Christopher D. </w:t>
      </w:r>
      <w:proofErr w:type="spellStart"/>
      <w:r>
        <w:t>Ciccone</w:t>
      </w:r>
      <w:proofErr w:type="spellEnd"/>
      <w:r>
        <w:t xml:space="preserve">, explained that the Company, in determining a reasonable useful life, considered not just the LED fixture itself but, in addition, the “driver,” which converts AC voltages to DC voltages for use in the LED fixture.  When the driver fails, as a practical matter, the fixture must be replaced.  In short, the life of the LED streetlight unit will be limited by whichever component fails first.  </w:t>
      </w:r>
    </w:p>
    <w:p w:rsidR="00201A69" w:rsidRDefault="00201A69" w:rsidP="00163622">
      <w:pPr>
        <w:pStyle w:val="FirmDouble05"/>
        <w:spacing w:line="360" w:lineRule="auto"/>
        <w:ind w:firstLine="1440"/>
      </w:pPr>
    </w:p>
    <w:p w:rsidR="00163622" w:rsidRDefault="00163622" w:rsidP="00163622">
      <w:pPr>
        <w:pStyle w:val="FirmDouble05"/>
        <w:spacing w:line="360" w:lineRule="auto"/>
        <w:ind w:firstLine="1440"/>
      </w:pPr>
      <w:r>
        <w:t xml:space="preserve">The Company engineers carefully considered the potential average life of the components of the LED streetlight in addition to the average life of the LEDs themselves and determined, based on reasonable engineering judgment applied to the available evidence, that a fifteen-year average service life is reasonable for its LED street lighting offering.  </w:t>
      </w:r>
      <w:r>
        <w:rPr>
          <w:i/>
        </w:rPr>
        <w:t xml:space="preserve">See </w:t>
      </w:r>
      <w:r>
        <w:t>Penn Power Statement No. 8-R, pp. 3-4.  Furthermore, if any significant portion of the installed LED equipment actually experiences a useful life longer than the fifteen years used to establish the initial LED rate, then any reduction in revenue requirement that those longer experienced lives would produce would be directly taken into account in developing rates for subsequent periods.  In that way, the benefit of LED lighting surviving longer than the projected useful life, should that occur, will flow to LED customers in the future.  The Company’s bottom line is not augmented by its useful life decision because it receives a return on or a return of only its actual investment – neither more nor less.</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Finally, the use of a </w:t>
      </w:r>
      <w:proofErr w:type="spellStart"/>
      <w:r>
        <w:t>levelizing</w:t>
      </w:r>
      <w:proofErr w:type="spellEnd"/>
      <w:r>
        <w:t xml:space="preserve"> approach to calculate LED rates significantly reduces the sensitivity of the rates to changes in useful life estimates – a factor that </w:t>
      </w:r>
      <w:proofErr w:type="spellStart"/>
      <w:r>
        <w:t>PennFuture’s</w:t>
      </w:r>
      <w:proofErr w:type="spellEnd"/>
      <w:r>
        <w:t xml:space="preserve"> witnesses did not acknowledge let alone address.  As previously explained, the use of a </w:t>
      </w:r>
      <w:proofErr w:type="spellStart"/>
      <w:r>
        <w:t>levelized</w:t>
      </w:r>
      <w:proofErr w:type="spellEnd"/>
      <w:r>
        <w:t xml:space="preserve"> rate provides a 32% reduction relative to traditional cost of service and rate design methods.  Tinkering with the useful life as PennFuture suggests would not have a meaningful impact on customer costs in the early years of an LED contract in light of the innovative </w:t>
      </w:r>
      <w:proofErr w:type="spellStart"/>
      <w:r>
        <w:t>levelizing</w:t>
      </w:r>
      <w:proofErr w:type="spellEnd"/>
      <w:r>
        <w:t xml:space="preserve"> approach the Company adopted for the express purpose of providing favorable price signals to prospective customers.</w:t>
      </w:r>
    </w:p>
    <w:p w:rsidR="00163622" w:rsidRDefault="00163622" w:rsidP="00163622">
      <w:pPr>
        <w:pStyle w:val="OutlineL2"/>
        <w:numPr>
          <w:ilvl w:val="0"/>
          <w:numId w:val="0"/>
        </w:numPr>
        <w:spacing w:before="0" w:after="0" w:line="360" w:lineRule="auto"/>
        <w:outlineLvl w:val="9"/>
        <w:rPr>
          <w:lang w:val="en-US"/>
        </w:rPr>
      </w:pPr>
      <w:bookmarkStart w:id="28" w:name="_Toc410734507"/>
    </w:p>
    <w:p w:rsidR="00163622" w:rsidRDefault="0057351A" w:rsidP="0057351A">
      <w:pPr>
        <w:pStyle w:val="OutlineL2"/>
        <w:numPr>
          <w:ilvl w:val="0"/>
          <w:numId w:val="0"/>
        </w:numPr>
        <w:spacing w:before="0" w:after="0" w:line="360" w:lineRule="auto"/>
        <w:ind w:firstLine="720"/>
        <w:outlineLvl w:val="9"/>
      </w:pPr>
      <w:r>
        <w:rPr>
          <w:lang w:val="en-US"/>
        </w:rPr>
        <w:t xml:space="preserve">3. </w:t>
      </w:r>
      <w:r>
        <w:rPr>
          <w:lang w:val="en-US"/>
        </w:rPr>
        <w:tab/>
      </w:r>
      <w:r w:rsidR="00163622" w:rsidRPr="000F5B13">
        <w:rPr>
          <w:u w:val="single"/>
        </w:rPr>
        <w:t>Non-Fixture Costs</w:t>
      </w:r>
      <w:bookmarkEnd w:id="28"/>
    </w:p>
    <w:p w:rsidR="00163622" w:rsidRDefault="00163622" w:rsidP="00163622">
      <w:pPr>
        <w:pStyle w:val="FirmDouble05"/>
        <w:spacing w:line="360" w:lineRule="auto"/>
      </w:pPr>
    </w:p>
    <w:p w:rsidR="00163622" w:rsidRDefault="00163622" w:rsidP="00163622">
      <w:pPr>
        <w:pStyle w:val="FirmDouble05"/>
        <w:spacing w:line="360" w:lineRule="auto"/>
        <w:ind w:firstLine="1440"/>
      </w:pPr>
      <w:r>
        <w:t>PennFuture also makes the hyperbolic contention that several categories of the Company’s non-fixture costs (e.g., equipment costs, engineering costs and installation time) are “significantly inflated” or unnecessary.  It also makes other general and largely unsupported statements about the cost and productivity of private contractors to try to bolster that contention.  PennFuture/</w:t>
      </w:r>
      <w:proofErr w:type="spellStart"/>
      <w:r>
        <w:t>EDF</w:t>
      </w:r>
      <w:proofErr w:type="spellEnd"/>
      <w:r>
        <w:t xml:space="preserve"> Statement No. 1 - Woodbury, pp. 9-10.  The Company has, in fact, adequately supported its cost estimates.  In addition to describing what each category of cost that its proposal encompasses, the Company explained that its estimates were based on the use of utility employees and utility installation equipment (e.g., bucket trucks) to install the LED lights, not private contractors.  </w:t>
      </w:r>
      <w:r>
        <w:rPr>
          <w:i/>
        </w:rPr>
        <w:t xml:space="preserve">See </w:t>
      </w:r>
      <w:r>
        <w:t xml:space="preserve">Penn Power Statement No. 8-R, pp. 6-7.  That estimate was used for the simple reason that it reflects how the work will actually be done.  The Company will use its own employee and existing installation equipment – not private contractors – to do this work.  </w:t>
      </w:r>
    </w:p>
    <w:p w:rsidR="00163622" w:rsidRDefault="00163622" w:rsidP="00163622">
      <w:pPr>
        <w:pStyle w:val="FirmDouble05"/>
        <w:spacing w:line="360" w:lineRule="auto"/>
      </w:pPr>
    </w:p>
    <w:p w:rsidR="00163622" w:rsidRDefault="00201A69" w:rsidP="00163622">
      <w:pPr>
        <w:pStyle w:val="FirmDouble05"/>
        <w:spacing w:line="360" w:lineRule="auto"/>
        <w:ind w:firstLine="1440"/>
        <w:rPr>
          <w:b/>
          <w:i/>
        </w:rPr>
      </w:pPr>
      <w:r>
        <w:t>Despite</w:t>
      </w:r>
      <w:r w:rsidR="00163622">
        <w:t xml:space="preserve"> </w:t>
      </w:r>
      <w:proofErr w:type="spellStart"/>
      <w:r w:rsidR="00163622">
        <w:t>PennFuture’s</w:t>
      </w:r>
      <w:proofErr w:type="spellEnd"/>
      <w:r w:rsidR="00163622">
        <w:t xml:space="preserve"> protestations, it is reasonable for the Company to use its existing, well-trained and proficient union work force to install LED street lights, just as the same work force is currently used to install and maintain the Company’s other forms of street lighting.  Once again, the manner in which this work is performed is within the reasonable management discretion of the Company and is not subject to second-guessing or micromanaging either by the Commission or by witnesses whose business affiliations would likely create a bias against the use of a utility’s own employees to do this work.   </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In addition, as explained by Mr. </w:t>
      </w:r>
      <w:proofErr w:type="spellStart"/>
      <w:r>
        <w:t>Ciccone</w:t>
      </w:r>
      <w:proofErr w:type="spellEnd"/>
      <w:r>
        <w:t xml:space="preserve"> and as shown in Exhibit CDC-7, the Company’s cost estimates for each category of work such as, for example, engineering, properly reflect economies of scale that would be realized by installing not less than twelve LEDs (the minimum number that may be contracted for under the proposed LED service offering) instead of one LED at a time.  </w:t>
      </w:r>
      <w:r>
        <w:rPr>
          <w:i/>
        </w:rPr>
        <w:t xml:space="preserve">Id. </w:t>
      </w:r>
      <w:r>
        <w:t xml:space="preserve">at 8.  </w:t>
      </w:r>
    </w:p>
    <w:p w:rsidR="00163622" w:rsidRDefault="00163622" w:rsidP="00163622">
      <w:pPr>
        <w:pStyle w:val="OutlineL2"/>
        <w:numPr>
          <w:ilvl w:val="0"/>
          <w:numId w:val="0"/>
        </w:numPr>
        <w:spacing w:before="0" w:after="0" w:line="360" w:lineRule="auto"/>
        <w:outlineLvl w:val="9"/>
        <w:rPr>
          <w:lang w:val="en-US"/>
        </w:rPr>
      </w:pPr>
      <w:bookmarkStart w:id="29" w:name="_Toc410734508"/>
    </w:p>
    <w:p w:rsidR="002B14AF" w:rsidRDefault="002B14AF">
      <w:pPr>
        <w:spacing w:line="240" w:lineRule="auto"/>
        <w:rPr>
          <w:rFonts w:ascii="Times New Roman" w:hAnsi="Times New Roman"/>
          <w:lang w:eastAsia="x-none"/>
        </w:rPr>
      </w:pPr>
      <w:r>
        <w:br w:type="page"/>
      </w:r>
    </w:p>
    <w:p w:rsidR="00163622" w:rsidRDefault="0057351A" w:rsidP="0057351A">
      <w:pPr>
        <w:pStyle w:val="OutlineL2"/>
        <w:numPr>
          <w:ilvl w:val="0"/>
          <w:numId w:val="0"/>
        </w:numPr>
        <w:spacing w:before="0" w:after="0" w:line="360" w:lineRule="auto"/>
        <w:ind w:firstLine="720"/>
        <w:outlineLvl w:val="9"/>
      </w:pPr>
      <w:r>
        <w:rPr>
          <w:lang w:val="en-US"/>
        </w:rPr>
        <w:lastRenderedPageBreak/>
        <w:t>4.</w:t>
      </w:r>
      <w:r>
        <w:rPr>
          <w:lang w:val="en-US"/>
        </w:rPr>
        <w:tab/>
      </w:r>
      <w:r w:rsidR="00163622" w:rsidRPr="00E4047B">
        <w:rPr>
          <w:u w:val="single"/>
        </w:rPr>
        <w:t>The Company’s Cost Of Service Study</w:t>
      </w:r>
      <w:bookmarkEnd w:id="29"/>
    </w:p>
    <w:p w:rsidR="00163622" w:rsidRDefault="00163622" w:rsidP="00163622">
      <w:pPr>
        <w:pStyle w:val="FirmDouble05"/>
        <w:spacing w:line="360" w:lineRule="auto"/>
      </w:pPr>
    </w:p>
    <w:p w:rsidR="00163622" w:rsidRDefault="00163622" w:rsidP="00163622">
      <w:pPr>
        <w:pStyle w:val="FirmDouble05"/>
        <w:spacing w:line="360" w:lineRule="auto"/>
        <w:ind w:firstLine="1440"/>
      </w:pPr>
      <w:r>
        <w:t>PennFuture also criticized the manner in which general distribution-related costs (e.g., poles, conductors, and transformers) were allocated among customer classes in the Company’s class cost of service study.  Specifically, PennFuture contends that using non-coincidental peak (NCP) demands to allocate demand-related costs overstates the cost of service for the street lighting class because such an allocation method does not reflect the “marginal cost” of delivering electricity to street lights that, according to PennFuture, have stable load and operate primarily off-peak.  PennFuture/</w:t>
      </w:r>
      <w:proofErr w:type="spellStart"/>
      <w:r>
        <w:t>EDF</w:t>
      </w:r>
      <w:proofErr w:type="spellEnd"/>
      <w:r>
        <w:t xml:space="preserve"> Statement No. 1 - Woodbury, pp. 4-6.  </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PennFuture did not present an alternative analysis of the cost of service for the street lighting class but, instead, stated that “for street lighting it makes more sense to ‘apply considerable judgment’ and use a coincidental peak approach or a coincidental peak approach with some percentage allocation based on non-coincidental peak.”  </w:t>
      </w:r>
      <w:r>
        <w:rPr>
          <w:i/>
        </w:rPr>
        <w:t xml:space="preserve">Id. </w:t>
      </w:r>
      <w:r>
        <w:t xml:space="preserve">at 6.  However, as explained by the Company’s cost of service expert, Hillary E. Stewart, an NCP allocation is a universally accepted method for allocating distribution demand costs, as evidenced by its endorsement by the National Association of Regulatory Utility Commission’s (NARUC) </w:t>
      </w:r>
      <w:r>
        <w:rPr>
          <w:i/>
        </w:rPr>
        <w:t xml:space="preserve">Electric Utility Cost Allocation Manual. </w:t>
      </w:r>
      <w:r>
        <w:t xml:space="preserve"> Moreover, the NCP method of allocating distribution demand costs was explicitly approved by this Commission as recently as the last fully litigated electric rate case before it.</w:t>
      </w:r>
      <w:r>
        <w:rPr>
          <w:rStyle w:val="FootnoteReference"/>
        </w:rPr>
        <w:footnoteReference w:id="47"/>
      </w:r>
      <w:r>
        <w:t xml:space="preserve">  There is no basis for using a coincident peak allocation for distribution plant, which is inconsistent with the NARUC Manual’s recommendation and has never been approved for that purpose in Pennsylvania.  </w:t>
      </w:r>
      <w:r>
        <w:rPr>
          <w:i/>
        </w:rPr>
        <w:t xml:space="preserve">See </w:t>
      </w:r>
      <w:r>
        <w:t>Penn Power Statement No. 5-R, pp. 18-19.</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PennFuture makes additional unsupported allegations regarding particular cost allocations to street lighting, such as office equipment and call center expense, which should be rejected.  PennFuture/</w:t>
      </w:r>
      <w:proofErr w:type="spellStart"/>
      <w:r>
        <w:t>EDF</w:t>
      </w:r>
      <w:proofErr w:type="spellEnd"/>
      <w:r>
        <w:t xml:space="preserve"> Statement No. 1 - Woodbury, pp. 6-7.  The Company has used accepted, well-established procedures to allocate street lighting costs, and its proposed allocation </w:t>
      </w:r>
      <w:r>
        <w:lastRenderedPageBreak/>
        <w:t xml:space="preserve">should not be altered based on </w:t>
      </w:r>
      <w:proofErr w:type="spellStart"/>
      <w:r>
        <w:t>PennFuture’s</w:t>
      </w:r>
      <w:proofErr w:type="spellEnd"/>
      <w:r>
        <w:t xml:space="preserve"> unsubstantiated allegations.  Furthermore, there is no evidence to suggest that the changes in the allocation of those costs that PennFuture talked about, but never quantified, would have any material impact on either the overall results of the Company’s cost of service study or on the design of the proposed LED rate.</w:t>
      </w:r>
    </w:p>
    <w:p w:rsidR="00163622" w:rsidRDefault="00163622" w:rsidP="00163622">
      <w:pPr>
        <w:pStyle w:val="OutlineL2"/>
        <w:numPr>
          <w:ilvl w:val="0"/>
          <w:numId w:val="0"/>
        </w:numPr>
        <w:spacing w:before="0" w:after="0" w:line="360" w:lineRule="auto"/>
        <w:outlineLvl w:val="9"/>
        <w:rPr>
          <w:lang w:val="en-US"/>
        </w:rPr>
      </w:pPr>
      <w:bookmarkStart w:id="30" w:name="_Toc410734509"/>
    </w:p>
    <w:p w:rsidR="00163622" w:rsidRDefault="0057351A" w:rsidP="0057351A">
      <w:pPr>
        <w:pStyle w:val="OutlineL2"/>
        <w:numPr>
          <w:ilvl w:val="0"/>
          <w:numId w:val="0"/>
        </w:numPr>
        <w:spacing w:before="0" w:after="0" w:line="360" w:lineRule="auto"/>
        <w:ind w:firstLine="720"/>
        <w:outlineLvl w:val="9"/>
      </w:pPr>
      <w:r>
        <w:rPr>
          <w:lang w:val="en-US"/>
        </w:rPr>
        <w:t xml:space="preserve">5. </w:t>
      </w:r>
      <w:r>
        <w:rPr>
          <w:lang w:val="en-US"/>
        </w:rPr>
        <w:tab/>
      </w:r>
      <w:r w:rsidR="00163622" w:rsidRPr="00667A19">
        <w:rPr>
          <w:u w:val="single"/>
        </w:rPr>
        <w:t>Per Fixture Distribution Rate</w:t>
      </w:r>
      <w:bookmarkEnd w:id="30"/>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PennFuture contends that the per-fixture distribution rate proposed for the LED street lighting offering (e.g., $5.25 for a 50 Watt Cobra Head fixture) is unreasonably high because:  (1) it does not reflect the maintenance cost savings expected with LED lights; and (2) it is higher than </w:t>
      </w:r>
      <w:r w:rsidR="00201A69">
        <w:t>West Penn’s</w:t>
      </w:r>
      <w:r>
        <w:t xml:space="preserve"> existing customer-owned HPS street lighting distribution rate and the Northeast Utilities LED rate.  </w:t>
      </w:r>
      <w:r>
        <w:rPr>
          <w:i/>
        </w:rPr>
        <w:t xml:space="preserve">See </w:t>
      </w:r>
      <w:r>
        <w:t>PennFuture/</w:t>
      </w:r>
      <w:proofErr w:type="spellStart"/>
      <w:r>
        <w:t>EDF</w:t>
      </w:r>
      <w:proofErr w:type="spellEnd"/>
      <w:r>
        <w:t xml:space="preserve"> Statement No. 1 - </w:t>
      </w:r>
      <w:proofErr w:type="spellStart"/>
      <w:r>
        <w:t>Gormley</w:t>
      </w:r>
      <w:proofErr w:type="spellEnd"/>
      <w:r>
        <w:t>, p. 7; PennFuture/</w:t>
      </w:r>
      <w:proofErr w:type="spellStart"/>
      <w:r>
        <w:t>EDF</w:t>
      </w:r>
      <w:proofErr w:type="spellEnd"/>
      <w:r>
        <w:t xml:space="preserve"> Statement No. 1 - Woodbury, pp. 11-12.  Neither contention present</w:t>
      </w:r>
      <w:r w:rsidR="00201A69">
        <w:t>s</w:t>
      </w:r>
      <w:r>
        <w:t xml:space="preserve"> a valid criticism warranting any change to the Company’s proposed rates for LED street lighting.</w:t>
      </w:r>
    </w:p>
    <w:p w:rsidR="00163622" w:rsidRDefault="00163622" w:rsidP="00163622">
      <w:pPr>
        <w:pStyle w:val="FirmDouble05"/>
        <w:spacing w:line="360" w:lineRule="auto"/>
      </w:pPr>
    </w:p>
    <w:p w:rsidR="00163622" w:rsidRDefault="00163622" w:rsidP="00163622">
      <w:pPr>
        <w:pStyle w:val="FirmDouble05"/>
        <w:spacing w:line="360" w:lineRule="auto"/>
        <w:ind w:firstLine="1440"/>
      </w:pPr>
      <w:r>
        <w:t xml:space="preserve">First, the Company properly accounted for associated cost savings by not including maintenance costs that are otherwise typically part of the existing HPS lighting distribution rate calculation.  </w:t>
      </w:r>
      <w:r>
        <w:rPr>
          <w:i/>
        </w:rPr>
        <w:t xml:space="preserve">See </w:t>
      </w:r>
      <w:r>
        <w:t xml:space="preserve">Penn Power Statement No. 8-R, p. 9.  Second, </w:t>
      </w:r>
      <w:proofErr w:type="spellStart"/>
      <w:r>
        <w:t>PennFuture’s</w:t>
      </w:r>
      <w:proofErr w:type="spellEnd"/>
      <w:r>
        <w:t xml:space="preserve"> comparison of the proposed LED rate to other utility rates is inapposite.  The cited West Penn rate was developed over twenty years ago and, in any event, is a </w:t>
      </w:r>
      <w:r>
        <w:rPr>
          <w:b/>
        </w:rPr>
        <w:t>customer-owned</w:t>
      </w:r>
      <w:r>
        <w:t xml:space="preserve"> HPS street lighting offering, meaning that the fixture cost and maintenance cost are </w:t>
      </w:r>
      <w:r>
        <w:rPr>
          <w:b/>
        </w:rPr>
        <w:t>not</w:t>
      </w:r>
      <w:r>
        <w:t xml:space="preserve"> included in the rate.  The Company’s proposed LED street lighting rate is for Company-owned lights and, as such, includes fixture costs, which is the primary reason it is higher than the existing West Penn HPS rates cited by PennFuture.  Northeast Utilities’ LED rate is also a rate for service provided through </w:t>
      </w:r>
      <w:r>
        <w:rPr>
          <w:b/>
        </w:rPr>
        <w:t>customer-owned</w:t>
      </w:r>
      <w:r>
        <w:t xml:space="preserve"> fixtures and, therefore, does not include fixture and maintenance costs.  The rate is also structured differently from the Company’s proposed rate in significant ways.  </w:t>
      </w:r>
      <w:r>
        <w:rPr>
          <w:i/>
        </w:rPr>
        <w:t>See</w:t>
      </w:r>
      <w:r>
        <w:t xml:space="preserve"> Penn Power Statement No. 8-R, pp. 9-10.  In short, with respect to both the West Penn and Northeast Utilities rates, PennFuture made a classic “apples-to-oranges” comparison that it should have known mischaracterizes the rates it was trying to compare.</w:t>
      </w:r>
    </w:p>
    <w:p w:rsidR="00E0077D" w:rsidRDefault="00E0077D">
      <w:pPr>
        <w:spacing w:line="240" w:lineRule="auto"/>
        <w:rPr>
          <w:rFonts w:ascii="Times New Roman" w:hAnsi="Times New Roman"/>
          <w:szCs w:val="24"/>
        </w:rPr>
      </w:pPr>
    </w:p>
    <w:p w:rsidR="002B14AF" w:rsidRDefault="002B14AF">
      <w:pPr>
        <w:spacing w:line="240" w:lineRule="auto"/>
        <w:rPr>
          <w:rFonts w:ascii="Times New Roman" w:hAnsi="Times New Roman"/>
          <w:szCs w:val="24"/>
        </w:rPr>
      </w:pPr>
      <w:r>
        <w:rPr>
          <w:rFonts w:ascii="Times New Roman" w:hAnsi="Times New Roman"/>
          <w:szCs w:val="24"/>
        </w:rPr>
        <w:br w:type="page"/>
      </w:r>
    </w:p>
    <w:p w:rsidR="0057351A" w:rsidRPr="00C31426" w:rsidRDefault="0057351A" w:rsidP="0057351A">
      <w:pPr>
        <w:rPr>
          <w:rFonts w:ascii="Times New Roman" w:hAnsi="Times New Roman"/>
        </w:rPr>
      </w:pPr>
      <w:r>
        <w:rPr>
          <w:rFonts w:ascii="Times New Roman" w:hAnsi="Times New Roman"/>
          <w:szCs w:val="24"/>
        </w:rPr>
        <w:lastRenderedPageBreak/>
        <w:t>D</w:t>
      </w:r>
      <w:r w:rsidRPr="0057351A">
        <w:rPr>
          <w:rFonts w:ascii="Times New Roman" w:hAnsi="Times New Roman"/>
          <w:szCs w:val="24"/>
        </w:rPr>
        <w:t xml:space="preserve">. </w:t>
      </w:r>
      <w:r w:rsidRPr="0057351A">
        <w:rPr>
          <w:rFonts w:ascii="Times New Roman" w:hAnsi="Times New Roman"/>
          <w:szCs w:val="24"/>
        </w:rPr>
        <w:tab/>
      </w:r>
      <w:proofErr w:type="spellStart"/>
      <w:r>
        <w:rPr>
          <w:rFonts w:ascii="Times New Roman" w:hAnsi="Times New Roman"/>
          <w:szCs w:val="24"/>
          <w:u w:val="single"/>
        </w:rPr>
        <w:t>PennFuture’s</w:t>
      </w:r>
      <w:proofErr w:type="spellEnd"/>
      <w:r>
        <w:rPr>
          <w:rFonts w:ascii="Times New Roman" w:hAnsi="Times New Roman"/>
          <w:szCs w:val="24"/>
          <w:u w:val="single"/>
        </w:rPr>
        <w:t xml:space="preserve"> Position C</w:t>
      </w:r>
      <w:r w:rsidRPr="00C31426">
        <w:rPr>
          <w:rFonts w:ascii="Times New Roman" w:hAnsi="Times New Roman"/>
          <w:szCs w:val="24"/>
          <w:u w:val="single"/>
        </w:rPr>
        <w:t>oncerning Program</w:t>
      </w:r>
      <w:r w:rsidRPr="00C31426">
        <w:rPr>
          <w:rFonts w:ascii="Times New Roman" w:hAnsi="Times New Roman"/>
          <w:szCs w:val="24"/>
          <w:u w:val="single"/>
        </w:rPr>
        <w:fldChar w:fldCharType="begin"/>
      </w:r>
      <w:r w:rsidRPr="00C31426">
        <w:rPr>
          <w:rFonts w:ascii="Times New Roman" w:hAnsi="Times New Roman"/>
        </w:rPr>
        <w:instrText xml:space="preserve"> TC "</w:instrText>
      </w:r>
      <w:r w:rsidRPr="00C31426">
        <w:rPr>
          <w:rFonts w:ascii="Times New Roman" w:hAnsi="Times New Roman"/>
          <w:szCs w:val="24"/>
        </w:rPr>
        <w:instrText>C.</w:instrText>
      </w:r>
      <w:r w:rsidRPr="00C31426">
        <w:rPr>
          <w:rFonts w:ascii="Times New Roman" w:hAnsi="Times New Roman"/>
          <w:szCs w:val="24"/>
        </w:rPr>
        <w:tab/>
      </w:r>
      <w:r w:rsidRPr="00C31426">
        <w:rPr>
          <w:rFonts w:ascii="Times New Roman" w:hAnsi="Times New Roman"/>
          <w:szCs w:val="24"/>
          <w:u w:val="single"/>
        </w:rPr>
        <w:instrText>Parties’ Briefing Positions</w:instrText>
      </w:r>
      <w:r w:rsidRPr="00C31426">
        <w:rPr>
          <w:rFonts w:ascii="Times New Roman" w:hAnsi="Times New Roman"/>
        </w:rPr>
        <w:instrText xml:space="preserve">" \f C \l "2" </w:instrText>
      </w:r>
      <w:r w:rsidRPr="00C31426">
        <w:rPr>
          <w:rFonts w:ascii="Times New Roman" w:hAnsi="Times New Roman"/>
          <w:szCs w:val="24"/>
          <w:u w:val="single"/>
        </w:rPr>
        <w:fldChar w:fldCharType="end"/>
      </w:r>
    </w:p>
    <w:p w:rsidR="000F44A7" w:rsidRDefault="000F44A7" w:rsidP="000F44A7">
      <w:pPr>
        <w:pStyle w:val="OutlineL3"/>
        <w:numPr>
          <w:ilvl w:val="0"/>
          <w:numId w:val="0"/>
        </w:numPr>
        <w:tabs>
          <w:tab w:val="num" w:pos="1440"/>
        </w:tabs>
        <w:spacing w:before="0" w:after="0" w:line="360" w:lineRule="auto"/>
        <w:outlineLvl w:val="9"/>
        <w:rPr>
          <w:szCs w:val="24"/>
          <w:lang w:val="en-US"/>
        </w:rPr>
      </w:pPr>
    </w:p>
    <w:p w:rsidR="0057351A" w:rsidRPr="00EF63C7" w:rsidRDefault="0057351A" w:rsidP="008B0B6A">
      <w:pPr>
        <w:pStyle w:val="OutlineL3"/>
        <w:numPr>
          <w:ilvl w:val="0"/>
          <w:numId w:val="0"/>
        </w:numPr>
        <w:spacing w:before="0" w:after="0" w:line="360" w:lineRule="auto"/>
        <w:outlineLvl w:val="9"/>
        <w:rPr>
          <w:szCs w:val="24"/>
          <w:lang w:val="en-US"/>
        </w:rPr>
      </w:pPr>
      <w:r>
        <w:rPr>
          <w:szCs w:val="24"/>
          <w:lang w:val="en-US"/>
        </w:rPr>
        <w:tab/>
        <w:t xml:space="preserve">1. </w:t>
      </w:r>
      <w:r>
        <w:rPr>
          <w:szCs w:val="24"/>
          <w:lang w:val="en-US"/>
        </w:rPr>
        <w:tab/>
      </w:r>
      <w:r w:rsidRPr="00B624B7">
        <w:rPr>
          <w:szCs w:val="24"/>
          <w:u w:val="single"/>
          <w:lang w:val="en-US"/>
        </w:rPr>
        <w:t>Contrary Position</w:t>
      </w:r>
    </w:p>
    <w:p w:rsidR="0057351A" w:rsidRDefault="0057351A" w:rsidP="000F44A7">
      <w:pPr>
        <w:pStyle w:val="OutlineL3"/>
        <w:numPr>
          <w:ilvl w:val="0"/>
          <w:numId w:val="0"/>
        </w:numPr>
        <w:tabs>
          <w:tab w:val="num" w:pos="1440"/>
        </w:tabs>
        <w:spacing w:before="0" w:after="0" w:line="360" w:lineRule="auto"/>
        <w:outlineLvl w:val="9"/>
        <w:rPr>
          <w:szCs w:val="24"/>
          <w:lang w:val="en-US"/>
        </w:rPr>
      </w:pPr>
    </w:p>
    <w:p w:rsidR="000F44A7" w:rsidRPr="00EF63C7" w:rsidRDefault="000F44A7" w:rsidP="000F44A7">
      <w:pPr>
        <w:pStyle w:val="OutlineL3"/>
        <w:numPr>
          <w:ilvl w:val="0"/>
          <w:numId w:val="0"/>
        </w:numPr>
        <w:tabs>
          <w:tab w:val="num" w:pos="1440"/>
        </w:tabs>
        <w:spacing w:before="0" w:after="0" w:line="360" w:lineRule="auto"/>
        <w:outlineLvl w:val="9"/>
        <w:rPr>
          <w:szCs w:val="24"/>
        </w:rPr>
      </w:pPr>
      <w:r w:rsidRPr="00EF63C7">
        <w:rPr>
          <w:szCs w:val="24"/>
          <w:lang w:val="en-US"/>
        </w:rPr>
        <w:t xml:space="preserve">             </w:t>
      </w:r>
      <w:r>
        <w:rPr>
          <w:szCs w:val="24"/>
          <w:lang w:val="en-US"/>
        </w:rPr>
        <w:tab/>
      </w:r>
      <w:r w:rsidRPr="00EF63C7">
        <w:rPr>
          <w:szCs w:val="24"/>
          <w:lang w:val="en-US"/>
        </w:rPr>
        <w:t xml:space="preserve">PennFuture presented the testimony of George Woodbury and Patrick </w:t>
      </w:r>
      <w:proofErr w:type="spellStart"/>
      <w:r w:rsidRPr="00EF63C7">
        <w:rPr>
          <w:szCs w:val="24"/>
          <w:lang w:val="en-US"/>
        </w:rPr>
        <w:t>Gormley</w:t>
      </w:r>
      <w:proofErr w:type="spellEnd"/>
      <w:r>
        <w:rPr>
          <w:szCs w:val="24"/>
          <w:lang w:val="en-US"/>
        </w:rPr>
        <w:t xml:space="preserve"> i</w:t>
      </w:r>
      <w:r w:rsidRPr="00EF63C7">
        <w:rPr>
          <w:szCs w:val="24"/>
          <w:lang w:val="en-US"/>
        </w:rPr>
        <w:t>n support of its arguments regarding the scope and pricing of the LED street light offering.  Mr.</w:t>
      </w:r>
      <w:r w:rsidR="00737562">
        <w:rPr>
          <w:szCs w:val="24"/>
          <w:lang w:val="en-US"/>
        </w:rPr>
        <w:t> </w:t>
      </w:r>
      <w:r w:rsidRPr="00EF63C7">
        <w:rPr>
          <w:szCs w:val="24"/>
          <w:lang w:val="en-US"/>
        </w:rPr>
        <w:t xml:space="preserve">Woodbury is the executive vice president of </w:t>
      </w:r>
      <w:proofErr w:type="spellStart"/>
      <w:r w:rsidRPr="00EF63C7">
        <w:rPr>
          <w:szCs w:val="24"/>
          <w:lang w:val="en-US"/>
        </w:rPr>
        <w:t>SolLux</w:t>
      </w:r>
      <w:proofErr w:type="spellEnd"/>
      <w:r w:rsidRPr="00EF63C7">
        <w:rPr>
          <w:szCs w:val="24"/>
          <w:lang w:val="en-US"/>
        </w:rPr>
        <w:t xml:space="preserve"> Technologies, which is a company specializing in street lighting and street lighting  technologies as well as matters related to streetlight tariffs, acquisition of utility assets from the utility, and  street lighting legislation.  Woodbury </w:t>
      </w:r>
      <w:r w:rsidR="000542CB">
        <w:rPr>
          <w:szCs w:val="24"/>
          <w:lang w:val="en-US"/>
        </w:rPr>
        <w:t>D</w:t>
      </w:r>
      <w:r w:rsidRPr="00EF63C7">
        <w:rPr>
          <w:szCs w:val="24"/>
          <w:lang w:val="en-US"/>
        </w:rPr>
        <w:t xml:space="preserve">irect at p. 2.  </w:t>
      </w:r>
      <w:r w:rsidRPr="00EF63C7">
        <w:rPr>
          <w:szCs w:val="24"/>
        </w:rPr>
        <w:t xml:space="preserve">Mr. </w:t>
      </w:r>
      <w:proofErr w:type="spellStart"/>
      <w:r w:rsidRPr="00EF63C7">
        <w:rPr>
          <w:szCs w:val="24"/>
        </w:rPr>
        <w:t>Gormley</w:t>
      </w:r>
      <w:proofErr w:type="spellEnd"/>
      <w:r w:rsidRPr="00EF63C7">
        <w:rPr>
          <w:szCs w:val="24"/>
        </w:rPr>
        <w:t xml:space="preserve"> has twenty-five years of experience selling electrical </w:t>
      </w:r>
    </w:p>
    <w:p w:rsidR="000F44A7" w:rsidRPr="00EF63C7" w:rsidRDefault="000F44A7" w:rsidP="000F44A7">
      <w:pPr>
        <w:rPr>
          <w:rFonts w:ascii="Times New Roman" w:hAnsi="Times New Roman"/>
          <w:szCs w:val="24"/>
        </w:rPr>
      </w:pPr>
      <w:r w:rsidRPr="00EF63C7">
        <w:rPr>
          <w:rFonts w:ascii="Times New Roman" w:hAnsi="Times New Roman"/>
          <w:szCs w:val="24"/>
        </w:rPr>
        <w:t xml:space="preserve">and lighting products in West Virginia and Pennsylvania for major manufacturers such as </w:t>
      </w:r>
      <w:proofErr w:type="spellStart"/>
      <w:r w:rsidRPr="00EF63C7">
        <w:rPr>
          <w:rFonts w:ascii="Times New Roman" w:hAnsi="Times New Roman"/>
          <w:szCs w:val="24"/>
        </w:rPr>
        <w:t>Berko</w:t>
      </w:r>
      <w:proofErr w:type="spellEnd"/>
      <w:r w:rsidRPr="00EF63C7">
        <w:rPr>
          <w:rFonts w:ascii="Times New Roman" w:hAnsi="Times New Roman"/>
          <w:szCs w:val="24"/>
        </w:rPr>
        <w:t xml:space="preserve">, </w:t>
      </w:r>
    </w:p>
    <w:p w:rsidR="000F44A7" w:rsidRPr="00EF63C7" w:rsidRDefault="000F44A7" w:rsidP="000F44A7">
      <w:pPr>
        <w:rPr>
          <w:rFonts w:ascii="Times New Roman" w:hAnsi="Times New Roman"/>
          <w:szCs w:val="24"/>
        </w:rPr>
      </w:pPr>
      <w:r w:rsidRPr="00EF63C7">
        <w:rPr>
          <w:rFonts w:ascii="Times New Roman" w:hAnsi="Times New Roman"/>
          <w:szCs w:val="24"/>
        </w:rPr>
        <w:t>Reese Controls, Spaulding and Cree.  His company</w:t>
      </w:r>
      <w:r>
        <w:rPr>
          <w:rFonts w:ascii="Times New Roman" w:hAnsi="Times New Roman"/>
          <w:szCs w:val="24"/>
        </w:rPr>
        <w:t>, originally f</w:t>
      </w:r>
      <w:r w:rsidRPr="00EF63C7">
        <w:rPr>
          <w:rFonts w:ascii="Times New Roman" w:hAnsi="Times New Roman"/>
          <w:szCs w:val="24"/>
        </w:rPr>
        <w:t xml:space="preserve">ounded as </w:t>
      </w:r>
      <w:proofErr w:type="spellStart"/>
      <w:r w:rsidRPr="00EF63C7">
        <w:rPr>
          <w:rFonts w:ascii="Times New Roman" w:hAnsi="Times New Roman"/>
          <w:szCs w:val="24"/>
        </w:rPr>
        <w:t>Gormley</w:t>
      </w:r>
      <w:proofErr w:type="spellEnd"/>
      <w:r w:rsidRPr="00EF63C7">
        <w:rPr>
          <w:rFonts w:ascii="Times New Roman" w:hAnsi="Times New Roman"/>
          <w:szCs w:val="24"/>
        </w:rPr>
        <w:t xml:space="preserve"> Electric</w:t>
      </w:r>
      <w:r>
        <w:rPr>
          <w:rFonts w:ascii="Times New Roman" w:hAnsi="Times New Roman"/>
          <w:szCs w:val="24"/>
        </w:rPr>
        <w:t xml:space="preserve">, currently </w:t>
      </w:r>
      <w:r w:rsidRPr="00EF63C7">
        <w:rPr>
          <w:rFonts w:ascii="Times New Roman" w:hAnsi="Times New Roman"/>
          <w:szCs w:val="24"/>
        </w:rPr>
        <w:t xml:space="preserve">operates in western Pennsylvania as </w:t>
      </w:r>
      <w:proofErr w:type="spellStart"/>
      <w:r w:rsidRPr="00EF63C7">
        <w:rPr>
          <w:rFonts w:ascii="Times New Roman" w:hAnsi="Times New Roman"/>
          <w:szCs w:val="24"/>
        </w:rPr>
        <w:t>Gormley</w:t>
      </w:r>
      <w:proofErr w:type="spellEnd"/>
      <w:r w:rsidRPr="00EF63C7">
        <w:rPr>
          <w:rFonts w:ascii="Times New Roman" w:hAnsi="Times New Roman"/>
          <w:szCs w:val="24"/>
        </w:rPr>
        <w:t xml:space="preserve">-Farrington and operates in West Virginia as </w:t>
      </w:r>
      <w:proofErr w:type="spellStart"/>
      <w:r w:rsidRPr="00EF63C7">
        <w:rPr>
          <w:rFonts w:ascii="Times New Roman" w:hAnsi="Times New Roman"/>
          <w:szCs w:val="24"/>
        </w:rPr>
        <w:t>Gormley-Rowsey</w:t>
      </w:r>
      <w:proofErr w:type="spellEnd"/>
      <w:r w:rsidRPr="00EF63C7">
        <w:rPr>
          <w:rFonts w:ascii="Times New Roman" w:hAnsi="Times New Roman"/>
          <w:szCs w:val="24"/>
        </w:rPr>
        <w:t xml:space="preserve">.  </w:t>
      </w:r>
      <w:proofErr w:type="spellStart"/>
      <w:r w:rsidRPr="00EF63C7">
        <w:rPr>
          <w:rFonts w:ascii="Times New Roman" w:hAnsi="Times New Roman"/>
          <w:szCs w:val="24"/>
        </w:rPr>
        <w:t>Gormley</w:t>
      </w:r>
      <w:proofErr w:type="spellEnd"/>
      <w:r w:rsidRPr="00EF63C7">
        <w:rPr>
          <w:rFonts w:ascii="Times New Roman" w:hAnsi="Times New Roman"/>
          <w:szCs w:val="24"/>
        </w:rPr>
        <w:t xml:space="preserve"> Direct at 1.</w:t>
      </w:r>
    </w:p>
    <w:p w:rsidR="000F44A7" w:rsidRDefault="000F44A7" w:rsidP="000F44A7">
      <w:pPr>
        <w:ind w:hanging="540"/>
        <w:rPr>
          <w:rFonts w:ascii="Times New Roman" w:hAnsi="Times New Roman"/>
          <w:szCs w:val="24"/>
        </w:rPr>
      </w:pPr>
      <w:r w:rsidRPr="00EF63C7">
        <w:rPr>
          <w:rFonts w:ascii="Times New Roman" w:hAnsi="Times New Roman"/>
          <w:szCs w:val="24"/>
        </w:rPr>
        <w:tab/>
      </w:r>
    </w:p>
    <w:p w:rsidR="000F44A7" w:rsidRPr="00EF63C7" w:rsidRDefault="000F44A7" w:rsidP="000F44A7">
      <w:pPr>
        <w:ind w:firstLine="1350"/>
        <w:rPr>
          <w:rFonts w:ascii="Times New Roman" w:hAnsi="Times New Roman"/>
          <w:szCs w:val="24"/>
        </w:rPr>
      </w:pPr>
      <w:r w:rsidRPr="00EF63C7">
        <w:rPr>
          <w:rFonts w:ascii="Times New Roman" w:hAnsi="Times New Roman"/>
          <w:szCs w:val="24"/>
        </w:rPr>
        <w:t xml:space="preserve">In his review of the tariff and accompanying testimony, Mr. </w:t>
      </w:r>
      <w:proofErr w:type="spellStart"/>
      <w:r w:rsidRPr="00EF63C7">
        <w:rPr>
          <w:rFonts w:ascii="Times New Roman" w:hAnsi="Times New Roman"/>
          <w:szCs w:val="24"/>
        </w:rPr>
        <w:t>Gormley</w:t>
      </w:r>
      <w:proofErr w:type="spellEnd"/>
      <w:r w:rsidRPr="00EF63C7">
        <w:rPr>
          <w:rFonts w:ascii="Times New Roman" w:hAnsi="Times New Roman"/>
          <w:szCs w:val="24"/>
        </w:rPr>
        <w:t xml:space="preserve"> concluded the Company has not recently or adequately developed their LED options and the rates did not reflect true market actualities.  In summing up these conclusions, he testified:</w:t>
      </w:r>
    </w:p>
    <w:p w:rsidR="000F44A7" w:rsidRPr="00EF63C7" w:rsidRDefault="000F44A7" w:rsidP="000F44A7">
      <w:pPr>
        <w:spacing w:line="240" w:lineRule="auto"/>
        <w:ind w:left="1260" w:hanging="540"/>
        <w:rPr>
          <w:rFonts w:ascii="Times New Roman" w:hAnsi="Times New Roman"/>
          <w:szCs w:val="24"/>
        </w:rPr>
      </w:pPr>
    </w:p>
    <w:p w:rsidR="000F44A7" w:rsidRPr="00EF63C7" w:rsidRDefault="000F44A7" w:rsidP="000F44A7">
      <w:pPr>
        <w:spacing w:line="240" w:lineRule="auto"/>
        <w:ind w:left="1440" w:right="1440"/>
        <w:rPr>
          <w:rFonts w:ascii="Times New Roman" w:hAnsi="Times New Roman"/>
          <w:szCs w:val="24"/>
        </w:rPr>
      </w:pPr>
      <w:r w:rsidRPr="00EF63C7">
        <w:rPr>
          <w:rFonts w:ascii="Times New Roman" w:hAnsi="Times New Roman"/>
          <w:szCs w:val="24"/>
        </w:rPr>
        <w:t xml:space="preserve">First, their estimated cost of acquisition is not consistent with current competitive pricing. When they actually go into the market their costs are likely to be 15% to 25% lower. If the rates are set based on these higher estimates, these costs savings will accrue to the benefit of the utility, and not be enjoyed by the municipality and their citizens. Second, the cost of LED lighting has been declining since its inception and is likely to continue to decline. Again, these market benefits will only go to the utility, not the municipal customer.  Third, the four sizes of LED lights proposed by the utility (50 watt, 90 watt, 130 watt and 260 watt) are not even available in the specifications provided by the utility in their rate proposal. They have failed to provide an adequate </w:t>
      </w:r>
      <w:r>
        <w:rPr>
          <w:rFonts w:ascii="Times New Roman" w:hAnsi="Times New Roman"/>
          <w:szCs w:val="24"/>
        </w:rPr>
        <w:t>d</w:t>
      </w:r>
      <w:r w:rsidRPr="00EF63C7">
        <w:rPr>
          <w:rFonts w:ascii="Times New Roman" w:hAnsi="Times New Roman"/>
          <w:szCs w:val="24"/>
        </w:rPr>
        <w:t xml:space="preserve">escription of what they would provide under this program.  Fourth, the utility’s estimated useful life of an LED street light is overly conservative. The industry’s standard for the end of life for an LED is when it has lost </w:t>
      </w:r>
      <w:r w:rsidR="00147D66">
        <w:rPr>
          <w:rFonts w:ascii="Times New Roman" w:hAnsi="Times New Roman"/>
          <w:szCs w:val="24"/>
        </w:rPr>
        <w:t>3</w:t>
      </w:r>
      <w:r w:rsidRPr="00EF63C7">
        <w:rPr>
          <w:rFonts w:ascii="Times New Roman" w:hAnsi="Times New Roman"/>
          <w:szCs w:val="24"/>
        </w:rPr>
        <w:t xml:space="preserve">0% of its original illumination (known as L70). Most competitive LED fixture </w:t>
      </w:r>
      <w:r>
        <w:rPr>
          <w:rFonts w:ascii="Times New Roman" w:hAnsi="Times New Roman"/>
          <w:szCs w:val="24"/>
        </w:rPr>
        <w:t>m</w:t>
      </w:r>
      <w:r w:rsidRPr="00EF63C7">
        <w:rPr>
          <w:rFonts w:ascii="Times New Roman" w:hAnsi="Times New Roman"/>
          <w:szCs w:val="24"/>
        </w:rPr>
        <w:t xml:space="preserve">anufacturers have lifetimes exceeding </w:t>
      </w:r>
      <w:r w:rsidRPr="00EF63C7">
        <w:rPr>
          <w:rFonts w:ascii="Times New Roman" w:hAnsi="Times New Roman"/>
          <w:szCs w:val="24"/>
        </w:rPr>
        <w:lastRenderedPageBreak/>
        <w:t xml:space="preserve">100,000 hours and in some cases significantly higher </w:t>
      </w:r>
      <w:r>
        <w:rPr>
          <w:rFonts w:ascii="Times New Roman" w:hAnsi="Times New Roman"/>
          <w:szCs w:val="24"/>
        </w:rPr>
        <w:t xml:space="preserve">values, exceeding 150,000 </w:t>
      </w:r>
      <w:r w:rsidRPr="00EF63C7">
        <w:rPr>
          <w:rFonts w:ascii="Times New Roman" w:hAnsi="Times New Roman"/>
          <w:szCs w:val="24"/>
        </w:rPr>
        <w:t>hours. 100,000 hours of life translates to ar</w:t>
      </w:r>
      <w:r>
        <w:rPr>
          <w:rFonts w:ascii="Times New Roman" w:hAnsi="Times New Roman"/>
          <w:szCs w:val="24"/>
        </w:rPr>
        <w:t xml:space="preserve">ound 25 years. These values are </w:t>
      </w:r>
      <w:r w:rsidRPr="00EF63C7">
        <w:rPr>
          <w:rFonts w:ascii="Times New Roman" w:hAnsi="Times New Roman"/>
          <w:szCs w:val="24"/>
        </w:rPr>
        <w:t>calculated at average temperatures that are typically higher than w</w:t>
      </w:r>
      <w:r>
        <w:rPr>
          <w:rFonts w:ascii="Times New Roman" w:hAnsi="Times New Roman"/>
          <w:szCs w:val="24"/>
        </w:rPr>
        <w:t xml:space="preserve">e experience in </w:t>
      </w:r>
      <w:r w:rsidRPr="00EF63C7">
        <w:rPr>
          <w:rFonts w:ascii="Times New Roman" w:hAnsi="Times New Roman"/>
          <w:szCs w:val="24"/>
        </w:rPr>
        <w:t>Pennsylvania. Since LEDs last longer in cool</w:t>
      </w:r>
      <w:r>
        <w:rPr>
          <w:rFonts w:ascii="Times New Roman" w:hAnsi="Times New Roman"/>
          <w:szCs w:val="24"/>
        </w:rPr>
        <w:t xml:space="preserve">er environments, Pennsylvania’s </w:t>
      </w:r>
      <w:r w:rsidRPr="00EF63C7">
        <w:rPr>
          <w:rFonts w:ascii="Times New Roman" w:hAnsi="Times New Roman"/>
          <w:szCs w:val="24"/>
        </w:rPr>
        <w:t>experience should be even longer life. Also, it is un</w:t>
      </w:r>
      <w:r>
        <w:rPr>
          <w:rFonts w:ascii="Times New Roman" w:hAnsi="Times New Roman"/>
          <w:szCs w:val="24"/>
        </w:rPr>
        <w:t>likely that many municipalities w</w:t>
      </w:r>
      <w:r w:rsidRPr="00EF63C7">
        <w:rPr>
          <w:rFonts w:ascii="Times New Roman" w:hAnsi="Times New Roman"/>
          <w:szCs w:val="24"/>
        </w:rPr>
        <w:t>ill choose to replace their LEDs when they have lost 30% of the light. Today,</w:t>
      </w:r>
      <w:r>
        <w:rPr>
          <w:rFonts w:ascii="Times New Roman" w:hAnsi="Times New Roman"/>
          <w:szCs w:val="24"/>
        </w:rPr>
        <w:t xml:space="preserve"> they are using many </w:t>
      </w:r>
      <w:r w:rsidRPr="00EF63C7">
        <w:rPr>
          <w:rFonts w:ascii="Times New Roman" w:hAnsi="Times New Roman"/>
          <w:szCs w:val="24"/>
        </w:rPr>
        <w:t>older high pressure sodium bulbs that have dissipated far more than 30% but haven’t burned out and they do not choose to replace them. If they make similar decisions with LEDs, they will not change them until they have lost 40%, 50% or 60% of their original light. This would extend their effective useful life by many, many years. It is not unreasonable to expect LED street lights to still be in service 40 or 50 years after installation. 50 years of useful life is probably an overly aggressive estimate, but 15 years is unnecessarily conservative. 25 years is probably a safer estimate to make.  Fifth, the utility does not appear to make any calculation for the maintenance savings with LED street lights. The cost of changing light bulbs is virtually eliminated. This is a significant savings and must be part of the rate calculation.  Sixth, the utility should be responsible for indicating</w:t>
      </w:r>
      <w:r>
        <w:rPr>
          <w:rFonts w:ascii="Times New Roman" w:hAnsi="Times New Roman"/>
          <w:szCs w:val="24"/>
        </w:rPr>
        <w:t xml:space="preserve"> </w:t>
      </w:r>
      <w:r w:rsidRPr="00EF63C7">
        <w:rPr>
          <w:rFonts w:ascii="Times New Roman" w:hAnsi="Times New Roman"/>
          <w:szCs w:val="24"/>
        </w:rPr>
        <w:t xml:space="preserve">which LED street light is appropriate for changing out each size of existing street lights. The commission cannot adequately evaluate their offering and municipalities cannot do cost benefit analysis if there is no direct comparison. It should also be incumbent on the utility to demonstrate that they are choosing an appropriate offering for at least the most common sizes.  Seventh, the utility has not offered a sufficiently low wattage option for very common residential street lights. A 70 or 100 watt high pressure sodium light can be replaced today with a 25 watt LED. The lowest watt option offered by the utility is 50 watts.  The 25 watt LED light would cost less than the 50 watt version and obviously use half the energy. This </w:t>
      </w:r>
      <w:r>
        <w:rPr>
          <w:rFonts w:ascii="Times New Roman" w:hAnsi="Times New Roman"/>
          <w:szCs w:val="24"/>
        </w:rPr>
        <w:t>d</w:t>
      </w:r>
      <w:r w:rsidRPr="00EF63C7">
        <w:rPr>
          <w:rFonts w:ascii="Times New Roman" w:hAnsi="Times New Roman"/>
          <w:szCs w:val="24"/>
        </w:rPr>
        <w:t xml:space="preserve">ifference greatly impacts the factors considered by the municipality in consideration of the request to transition to LED technology. </w:t>
      </w:r>
    </w:p>
    <w:p w:rsidR="000F44A7" w:rsidRDefault="000F44A7" w:rsidP="000F44A7">
      <w:pPr>
        <w:ind w:hanging="547"/>
        <w:rPr>
          <w:rFonts w:ascii="Times New Roman" w:hAnsi="Times New Roman"/>
          <w:szCs w:val="24"/>
        </w:rPr>
      </w:pPr>
      <w:r w:rsidRPr="00EF63C7">
        <w:rPr>
          <w:rFonts w:ascii="Times New Roman" w:hAnsi="Times New Roman"/>
          <w:i/>
          <w:szCs w:val="24"/>
        </w:rPr>
        <w:t>Id</w:t>
      </w:r>
      <w:r w:rsidRPr="00EF63C7">
        <w:rPr>
          <w:rFonts w:ascii="Times New Roman" w:hAnsi="Times New Roman"/>
          <w:szCs w:val="24"/>
        </w:rPr>
        <w:t xml:space="preserve">. at 6-7.  </w:t>
      </w:r>
    </w:p>
    <w:p w:rsidR="000F44A7" w:rsidRDefault="000F44A7" w:rsidP="000F44A7">
      <w:pPr>
        <w:ind w:hanging="547"/>
        <w:rPr>
          <w:rFonts w:ascii="Times New Roman" w:hAnsi="Times New Roman"/>
          <w:szCs w:val="24"/>
        </w:rPr>
      </w:pPr>
    </w:p>
    <w:p w:rsidR="000F44A7" w:rsidRPr="00EF63C7" w:rsidRDefault="000F44A7" w:rsidP="000F44A7">
      <w:pPr>
        <w:ind w:firstLine="1440"/>
        <w:rPr>
          <w:rFonts w:ascii="Times New Roman" w:hAnsi="Times New Roman"/>
          <w:szCs w:val="24"/>
        </w:rPr>
      </w:pPr>
      <w:r w:rsidRPr="00EF63C7">
        <w:rPr>
          <w:rFonts w:ascii="Times New Roman" w:hAnsi="Times New Roman"/>
          <w:szCs w:val="24"/>
        </w:rPr>
        <w:t xml:space="preserve">In summation, Mr. </w:t>
      </w:r>
      <w:proofErr w:type="spellStart"/>
      <w:r w:rsidRPr="00EF63C7">
        <w:rPr>
          <w:rFonts w:ascii="Times New Roman" w:hAnsi="Times New Roman"/>
          <w:szCs w:val="24"/>
        </w:rPr>
        <w:t>Gormley</w:t>
      </w:r>
      <w:proofErr w:type="spellEnd"/>
      <w:r w:rsidRPr="00EF63C7">
        <w:rPr>
          <w:rFonts w:ascii="Times New Roman" w:hAnsi="Times New Roman"/>
          <w:szCs w:val="24"/>
        </w:rPr>
        <w:t xml:space="preserve"> testified the Company’s proposed distribution rate </w:t>
      </w:r>
    </w:p>
    <w:p w:rsidR="000F44A7" w:rsidRPr="00EF63C7" w:rsidRDefault="000F44A7" w:rsidP="000F44A7">
      <w:pPr>
        <w:rPr>
          <w:rFonts w:ascii="Times New Roman" w:hAnsi="Times New Roman"/>
          <w:szCs w:val="24"/>
        </w:rPr>
      </w:pPr>
      <w:r w:rsidRPr="00EF63C7">
        <w:rPr>
          <w:rFonts w:ascii="Times New Roman" w:hAnsi="Times New Roman"/>
          <w:szCs w:val="24"/>
        </w:rPr>
        <w:t xml:space="preserve">for installation costs for LED fixtures for 12 50 watt LED fixtures is $1254.57 or $104.54 per </w:t>
      </w:r>
    </w:p>
    <w:p w:rsidR="000F44A7" w:rsidRPr="00EF63C7" w:rsidRDefault="000F44A7" w:rsidP="000F44A7">
      <w:pPr>
        <w:rPr>
          <w:rFonts w:ascii="Times New Roman" w:hAnsi="Times New Roman"/>
          <w:szCs w:val="24"/>
        </w:rPr>
      </w:pPr>
      <w:r w:rsidRPr="00EF63C7">
        <w:rPr>
          <w:rFonts w:ascii="Times New Roman" w:hAnsi="Times New Roman"/>
          <w:szCs w:val="24"/>
        </w:rPr>
        <w:t xml:space="preserve">light.  However, this does not accurately reflect installation costs associated with LED fixtures.  </w:t>
      </w:r>
    </w:p>
    <w:p w:rsidR="000F44A7" w:rsidRPr="00EF63C7" w:rsidRDefault="000F44A7" w:rsidP="000F44A7">
      <w:pPr>
        <w:rPr>
          <w:rFonts w:ascii="Times New Roman" w:hAnsi="Times New Roman"/>
          <w:szCs w:val="24"/>
        </w:rPr>
      </w:pPr>
      <w:r w:rsidRPr="00EF63C7">
        <w:rPr>
          <w:rFonts w:ascii="Times New Roman" w:hAnsi="Times New Roman"/>
          <w:szCs w:val="24"/>
        </w:rPr>
        <w:t>In 2011, the City of Pittsburgh received competitive bids from contractors to replace high</w:t>
      </w:r>
      <w:r>
        <w:rPr>
          <w:rFonts w:ascii="Times New Roman" w:hAnsi="Times New Roman"/>
          <w:szCs w:val="24"/>
        </w:rPr>
        <w:t>-</w:t>
      </w:r>
    </w:p>
    <w:p w:rsidR="000F44A7" w:rsidRPr="00EF63C7" w:rsidRDefault="000F44A7" w:rsidP="000F44A7">
      <w:pPr>
        <w:rPr>
          <w:rFonts w:ascii="Times New Roman" w:hAnsi="Times New Roman"/>
          <w:szCs w:val="24"/>
        </w:rPr>
      </w:pPr>
      <w:r w:rsidRPr="00EF63C7">
        <w:rPr>
          <w:rFonts w:ascii="Times New Roman" w:hAnsi="Times New Roman"/>
          <w:szCs w:val="24"/>
        </w:rPr>
        <w:t xml:space="preserve">pressure sodium cobra heads with LED street lights.  The winning bid was less than half of that </w:t>
      </w:r>
    </w:p>
    <w:p w:rsidR="000F44A7" w:rsidRDefault="000F44A7" w:rsidP="000F44A7">
      <w:pPr>
        <w:rPr>
          <w:rFonts w:ascii="Times New Roman" w:hAnsi="Times New Roman"/>
          <w:szCs w:val="24"/>
        </w:rPr>
      </w:pPr>
      <w:r w:rsidRPr="00EF63C7">
        <w:rPr>
          <w:rFonts w:ascii="Times New Roman" w:hAnsi="Times New Roman"/>
          <w:szCs w:val="24"/>
        </w:rPr>
        <w:t xml:space="preserve">proposed by the Company at $45 per light.  </w:t>
      </w:r>
      <w:r w:rsidRPr="00EF63C7">
        <w:rPr>
          <w:rFonts w:ascii="Times New Roman" w:hAnsi="Times New Roman"/>
          <w:i/>
          <w:szCs w:val="24"/>
        </w:rPr>
        <w:t>Id</w:t>
      </w:r>
      <w:r w:rsidRPr="00EF63C7">
        <w:rPr>
          <w:rFonts w:ascii="Times New Roman" w:hAnsi="Times New Roman"/>
          <w:szCs w:val="24"/>
        </w:rPr>
        <w:t>. at 10.</w:t>
      </w:r>
    </w:p>
    <w:p w:rsidR="000F44A7" w:rsidRPr="00EF63C7" w:rsidRDefault="000F44A7" w:rsidP="000F44A7">
      <w:pPr>
        <w:rPr>
          <w:rFonts w:ascii="Times New Roman" w:hAnsi="Times New Roman"/>
          <w:szCs w:val="24"/>
        </w:rPr>
      </w:pPr>
    </w:p>
    <w:p w:rsidR="000F44A7" w:rsidRDefault="000F44A7" w:rsidP="000F44A7">
      <w:pPr>
        <w:ind w:firstLine="1440"/>
        <w:rPr>
          <w:rFonts w:ascii="Times New Roman" w:hAnsi="Times New Roman"/>
          <w:szCs w:val="24"/>
        </w:rPr>
      </w:pPr>
      <w:r>
        <w:rPr>
          <w:rFonts w:ascii="Times New Roman" w:hAnsi="Times New Roman"/>
          <w:szCs w:val="24"/>
        </w:rPr>
        <w:t xml:space="preserve"> </w:t>
      </w:r>
      <w:r w:rsidRPr="00EF63C7">
        <w:rPr>
          <w:rFonts w:ascii="Times New Roman" w:hAnsi="Times New Roman"/>
          <w:szCs w:val="24"/>
        </w:rPr>
        <w:t>Mr. Woodbury similarly testified as to issues he saw when reviewing the Company’s proposed tariff.  He also testified as to the underlying cost of service study (COSS) and some of the shortcomings of the approach taken relative to street lighting.  The first issue he noticed is that the Company used a non</w:t>
      </w:r>
      <w:r>
        <w:rPr>
          <w:rFonts w:ascii="Times New Roman" w:hAnsi="Times New Roman"/>
          <w:szCs w:val="24"/>
        </w:rPr>
        <w:t>-</w:t>
      </w:r>
      <w:r w:rsidRPr="00EF63C7">
        <w:rPr>
          <w:rFonts w:ascii="Times New Roman" w:hAnsi="Times New Roman"/>
          <w:szCs w:val="24"/>
        </w:rPr>
        <w:t>coincidental peak method for their allocation of costs.   The purpose of these COSS is to determine a causality link between costs and customer classes so these costs can be fairly allocated and the utility can realize an appropriate return on their investment.  The principal shortfall of using a non</w:t>
      </w:r>
      <w:r>
        <w:rPr>
          <w:rFonts w:ascii="Times New Roman" w:hAnsi="Times New Roman"/>
          <w:szCs w:val="24"/>
        </w:rPr>
        <w:t>-</w:t>
      </w:r>
      <w:r w:rsidRPr="00EF63C7">
        <w:rPr>
          <w:rFonts w:ascii="Times New Roman" w:hAnsi="Times New Roman"/>
          <w:szCs w:val="24"/>
        </w:rPr>
        <w:t xml:space="preserve">coincidental peak method of allocating costs is that it essentially does not account for the marginal cost of delivery.  Woodbury Direct at 4. </w:t>
      </w:r>
    </w:p>
    <w:p w:rsidR="000F44A7" w:rsidRDefault="000F44A7" w:rsidP="000F44A7">
      <w:pPr>
        <w:rPr>
          <w:rFonts w:ascii="Times New Roman" w:hAnsi="Times New Roman"/>
          <w:szCs w:val="24"/>
        </w:rPr>
      </w:pPr>
    </w:p>
    <w:p w:rsidR="000F44A7" w:rsidRDefault="000F44A7" w:rsidP="000F44A7">
      <w:pPr>
        <w:ind w:firstLine="1440"/>
        <w:rPr>
          <w:rFonts w:ascii="Times New Roman" w:hAnsi="Times New Roman"/>
          <w:szCs w:val="24"/>
        </w:rPr>
      </w:pPr>
      <w:r w:rsidRPr="00EF63C7">
        <w:rPr>
          <w:rFonts w:ascii="Times New Roman" w:hAnsi="Times New Roman"/>
          <w:szCs w:val="24"/>
        </w:rPr>
        <w:t>Using the non</w:t>
      </w:r>
      <w:r>
        <w:rPr>
          <w:rFonts w:ascii="Times New Roman" w:hAnsi="Times New Roman"/>
          <w:szCs w:val="24"/>
        </w:rPr>
        <w:t>-</w:t>
      </w:r>
      <w:r w:rsidRPr="00EF63C7">
        <w:rPr>
          <w:rFonts w:ascii="Times New Roman" w:hAnsi="Times New Roman"/>
          <w:szCs w:val="24"/>
        </w:rPr>
        <w:t>coincidental peak method essentially ignores the Company’s marginal cost of distri</w:t>
      </w:r>
      <w:r>
        <w:rPr>
          <w:rFonts w:ascii="Times New Roman" w:hAnsi="Times New Roman"/>
          <w:szCs w:val="24"/>
        </w:rPr>
        <w:t xml:space="preserve">bution as being nearly zero.  </w:t>
      </w:r>
      <w:r w:rsidRPr="00EF63C7">
        <w:rPr>
          <w:rFonts w:ascii="Times New Roman" w:hAnsi="Times New Roman"/>
          <w:szCs w:val="24"/>
        </w:rPr>
        <w:t xml:space="preserve">For street lighting it makes more sense to “apply considerable </w:t>
      </w:r>
      <w:r>
        <w:rPr>
          <w:rFonts w:ascii="Times New Roman" w:hAnsi="Times New Roman"/>
          <w:szCs w:val="24"/>
        </w:rPr>
        <w:t xml:space="preserve">judgment” </w:t>
      </w:r>
      <w:r w:rsidRPr="00EF63C7">
        <w:rPr>
          <w:rFonts w:ascii="Times New Roman" w:hAnsi="Times New Roman"/>
          <w:szCs w:val="24"/>
        </w:rPr>
        <w:t>and use a coincidental peak approach or a coincidental peak approach with some percentage allocation based on non</w:t>
      </w:r>
      <w:r>
        <w:rPr>
          <w:rFonts w:ascii="Times New Roman" w:hAnsi="Times New Roman"/>
          <w:szCs w:val="24"/>
        </w:rPr>
        <w:t>-</w:t>
      </w:r>
      <w:r w:rsidRPr="00EF63C7">
        <w:rPr>
          <w:rFonts w:ascii="Times New Roman" w:hAnsi="Times New Roman"/>
          <w:szCs w:val="24"/>
        </w:rPr>
        <w:t xml:space="preserve">coincidental peak.  </w:t>
      </w:r>
      <w:r w:rsidRPr="00EF63C7">
        <w:rPr>
          <w:rFonts w:ascii="Times New Roman" w:hAnsi="Times New Roman"/>
          <w:i/>
          <w:szCs w:val="24"/>
        </w:rPr>
        <w:t>Id</w:t>
      </w:r>
      <w:r w:rsidRPr="00EF63C7">
        <w:rPr>
          <w:rFonts w:ascii="Times New Roman" w:hAnsi="Times New Roman"/>
          <w:szCs w:val="24"/>
        </w:rPr>
        <w:t xml:space="preserve">. at 6.  </w:t>
      </w:r>
    </w:p>
    <w:p w:rsidR="000F44A7" w:rsidRPr="00EF63C7" w:rsidRDefault="000F44A7" w:rsidP="000F44A7">
      <w:pPr>
        <w:ind w:firstLine="1440"/>
        <w:rPr>
          <w:rFonts w:ascii="Times New Roman" w:hAnsi="Times New Roman"/>
          <w:szCs w:val="24"/>
        </w:rPr>
      </w:pPr>
    </w:p>
    <w:p w:rsidR="000F44A7" w:rsidRPr="00EF63C7" w:rsidRDefault="000F44A7" w:rsidP="000F44A7">
      <w:pPr>
        <w:widowControl w:val="0"/>
        <w:autoSpaceDE w:val="0"/>
        <w:autoSpaceDN w:val="0"/>
        <w:adjustRightInd w:val="0"/>
        <w:ind w:firstLine="1440"/>
        <w:rPr>
          <w:rFonts w:ascii="Times New Roman" w:hAnsi="Times New Roman"/>
          <w:szCs w:val="24"/>
        </w:rPr>
      </w:pPr>
      <w:r w:rsidRPr="00EF63C7">
        <w:rPr>
          <w:rFonts w:ascii="Times New Roman" w:hAnsi="Times New Roman"/>
          <w:szCs w:val="24"/>
        </w:rPr>
        <w:t xml:space="preserve">Converting street lighting systems to LED technology has an enormous impact on municipalities.  The major impact is that the higher relative costs of A &amp; G and other overhead are dramatically reduced.  Virtually all LED manufacturers now offer minimum ten year warranties and based on independent test lab results the anticipated life expectancy of the LED is over 20 years.  Los Angeles has installed over 140,000 LED lights and to date their experienced failure rate is below .8%.  As a result the number of customer calls, work orders, repair parts storage, accounting and other overhead is dramatically reduced.  The cost of operating an LED system is much lower and the reliability of an LED system is much higher.  </w:t>
      </w:r>
      <w:r w:rsidRPr="00EF63C7">
        <w:rPr>
          <w:rFonts w:ascii="Times New Roman" w:hAnsi="Times New Roman"/>
          <w:i/>
          <w:szCs w:val="24"/>
        </w:rPr>
        <w:t>Id</w:t>
      </w:r>
      <w:r w:rsidRPr="00EF63C7">
        <w:rPr>
          <w:rFonts w:ascii="Times New Roman" w:hAnsi="Times New Roman"/>
          <w:szCs w:val="24"/>
        </w:rPr>
        <w:t>. at 8.</w:t>
      </w:r>
    </w:p>
    <w:p w:rsidR="000F44A7" w:rsidRDefault="000F44A7" w:rsidP="000F44A7">
      <w:pPr>
        <w:widowControl w:val="0"/>
        <w:autoSpaceDE w:val="0"/>
        <w:autoSpaceDN w:val="0"/>
        <w:adjustRightInd w:val="0"/>
        <w:rPr>
          <w:rFonts w:ascii="Times New Roman" w:hAnsi="Times New Roman"/>
          <w:szCs w:val="24"/>
        </w:rPr>
      </w:pPr>
      <w:r w:rsidRPr="00EF63C7">
        <w:rPr>
          <w:rFonts w:ascii="Times New Roman" w:hAnsi="Times New Roman"/>
          <w:szCs w:val="24"/>
        </w:rPr>
        <w:tab/>
      </w:r>
    </w:p>
    <w:p w:rsidR="000F44A7" w:rsidRPr="00EF63C7" w:rsidRDefault="000F44A7" w:rsidP="000F44A7">
      <w:pPr>
        <w:widowControl w:val="0"/>
        <w:autoSpaceDE w:val="0"/>
        <w:autoSpaceDN w:val="0"/>
        <w:adjustRightInd w:val="0"/>
        <w:ind w:firstLine="1440"/>
        <w:rPr>
          <w:rFonts w:ascii="Times New Roman" w:hAnsi="Times New Roman"/>
          <w:szCs w:val="24"/>
        </w:rPr>
      </w:pPr>
      <w:r w:rsidRPr="00EF63C7">
        <w:rPr>
          <w:rFonts w:ascii="Times New Roman" w:hAnsi="Times New Roman"/>
          <w:szCs w:val="24"/>
        </w:rPr>
        <w:t>Mr. Woodbury observed a number of errors in the Company’s analysis.</w:t>
      </w:r>
    </w:p>
    <w:p w:rsidR="000F44A7" w:rsidRPr="00EF63C7" w:rsidRDefault="000F44A7" w:rsidP="000F44A7">
      <w:pPr>
        <w:spacing w:line="240" w:lineRule="auto"/>
        <w:ind w:left="2160" w:right="1440"/>
        <w:rPr>
          <w:rFonts w:ascii="Times New Roman" w:hAnsi="Times New Roman"/>
          <w:szCs w:val="24"/>
        </w:rPr>
      </w:pPr>
      <w:r w:rsidRPr="00EF63C7">
        <w:rPr>
          <w:rFonts w:ascii="Times New Roman" w:hAnsi="Times New Roman"/>
          <w:szCs w:val="24"/>
        </w:rPr>
        <w:t xml:space="preserve">The fixture they used was the GE Evolve series, which is an older model.  Its efficacy is on the order of 66 lumens per watt, when the current family of fixtures from other manufacturers are producing over 90 lumens per watt with many over 110 lumens per watt. Cree XSP1 HE for example.  This fixture is large and weighs over 27 </w:t>
      </w:r>
      <w:proofErr w:type="spellStart"/>
      <w:r w:rsidRPr="00EF63C7">
        <w:rPr>
          <w:rFonts w:ascii="Times New Roman" w:hAnsi="Times New Roman"/>
          <w:szCs w:val="24"/>
        </w:rPr>
        <w:t>lbs</w:t>
      </w:r>
      <w:proofErr w:type="spellEnd"/>
      <w:r w:rsidRPr="00EF63C7">
        <w:rPr>
          <w:rFonts w:ascii="Times New Roman" w:hAnsi="Times New Roman"/>
          <w:szCs w:val="24"/>
        </w:rPr>
        <w:t xml:space="preserve"> whereas the Cree XSP1 weighs in at 18 </w:t>
      </w:r>
      <w:proofErr w:type="spellStart"/>
      <w:r w:rsidRPr="00EF63C7">
        <w:rPr>
          <w:rFonts w:ascii="Times New Roman" w:hAnsi="Times New Roman"/>
          <w:szCs w:val="24"/>
        </w:rPr>
        <w:t>lbs</w:t>
      </w:r>
      <w:proofErr w:type="spellEnd"/>
      <w:r w:rsidRPr="00EF63C7">
        <w:rPr>
          <w:rFonts w:ascii="Times New Roman" w:hAnsi="Times New Roman"/>
          <w:szCs w:val="24"/>
        </w:rPr>
        <w:t xml:space="preserve"> and if you use the Cree XSPR it weighs 13.9 lbs.  The cost of the GE fixture selected to replace a 50w HPS lamp is $215.  The </w:t>
      </w:r>
      <w:r w:rsidRPr="00EF63C7">
        <w:rPr>
          <w:rFonts w:ascii="Times New Roman" w:hAnsi="Times New Roman"/>
          <w:szCs w:val="24"/>
        </w:rPr>
        <w:lastRenderedPageBreak/>
        <w:t>cost of a LED fixture for that application today is under $133.  They list costs for LED fixtures beginnin</w:t>
      </w:r>
      <w:r w:rsidR="00147D66">
        <w:rPr>
          <w:rFonts w:ascii="Times New Roman" w:hAnsi="Times New Roman"/>
          <w:szCs w:val="24"/>
        </w:rPr>
        <w:t xml:space="preserve">g with 50watts and going up to </w:t>
      </w:r>
      <w:r w:rsidRPr="00EF63C7">
        <w:rPr>
          <w:rFonts w:ascii="Times New Roman" w:hAnsi="Times New Roman"/>
          <w:szCs w:val="24"/>
        </w:rPr>
        <w:t xml:space="preserve">260w.  This makes no sense as it implies you would replace a 50 watt HPS lamp with a 50 watt LED which is not true.  The DOE Caliper 7 test results indicate that the fixture losses of an HPS fixture are on the order of 35%.  When you additionally account for average mean lumens over life and the much higher efficiency of the LED fixture to put foot-candles on the roadway, the 50w HPS fixture can typically be replaced with an LED drawing less than 24 watts.  In fact based on the improved response of the human eye to the higher color rendering source I have very satisfactorily replaced a 50 watt HPS lamp with an LED using as little as 19 watts.  </w:t>
      </w:r>
    </w:p>
    <w:p w:rsidR="000F44A7" w:rsidRPr="00EF63C7" w:rsidRDefault="000F44A7" w:rsidP="000F44A7">
      <w:pPr>
        <w:spacing w:line="240" w:lineRule="auto"/>
        <w:rPr>
          <w:rFonts w:ascii="Times New Roman" w:hAnsi="Times New Roman"/>
          <w:szCs w:val="24"/>
        </w:rPr>
      </w:pPr>
    </w:p>
    <w:p w:rsidR="000F44A7" w:rsidRPr="00EF63C7" w:rsidRDefault="000F44A7" w:rsidP="000F44A7">
      <w:pPr>
        <w:spacing w:line="240" w:lineRule="auto"/>
        <w:rPr>
          <w:rFonts w:ascii="Times New Roman" w:hAnsi="Times New Roman"/>
          <w:szCs w:val="24"/>
        </w:rPr>
      </w:pPr>
      <w:r w:rsidRPr="00EF63C7">
        <w:rPr>
          <w:rFonts w:ascii="Times New Roman" w:hAnsi="Times New Roman"/>
          <w:i/>
          <w:szCs w:val="24"/>
        </w:rPr>
        <w:t>Id</w:t>
      </w:r>
      <w:r w:rsidRPr="00EF63C7">
        <w:rPr>
          <w:rFonts w:ascii="Times New Roman" w:hAnsi="Times New Roman"/>
          <w:szCs w:val="24"/>
        </w:rPr>
        <w:t>. at 8-9.</w:t>
      </w:r>
    </w:p>
    <w:p w:rsidR="000F44A7" w:rsidRPr="00EF63C7" w:rsidRDefault="000F44A7" w:rsidP="000F44A7">
      <w:pPr>
        <w:pStyle w:val="Default"/>
        <w:spacing w:line="360" w:lineRule="auto"/>
        <w:ind w:firstLine="720"/>
      </w:pPr>
    </w:p>
    <w:p w:rsidR="000F44A7" w:rsidRDefault="000F44A7" w:rsidP="000F44A7">
      <w:pPr>
        <w:pStyle w:val="Default"/>
        <w:spacing w:line="360" w:lineRule="auto"/>
        <w:ind w:firstLine="1440"/>
      </w:pPr>
      <w:r w:rsidRPr="00EF63C7">
        <w:t>Mr. Woodbury also noted the Company had underestimated the life expectancy of an LED fixture.  The Company indicated that a fixture has a 5-year limited system warranty.  However, independent testing has established that a reasonable life expectancy is 20 years, and a current standard warranty is 10 years with some manufacturers considering 15 years.  Thus, the Company begins its analysis with faulty assumptions to arrive at a tariff rate completely out of line with market conditions.</w:t>
      </w:r>
    </w:p>
    <w:p w:rsidR="008B5554" w:rsidRDefault="008B5554" w:rsidP="000F44A7">
      <w:pPr>
        <w:pStyle w:val="Default"/>
        <w:spacing w:line="360" w:lineRule="auto"/>
        <w:ind w:firstLine="1440"/>
      </w:pPr>
    </w:p>
    <w:p w:rsidR="000F44A7" w:rsidRPr="0057351A" w:rsidRDefault="0057351A" w:rsidP="008B5554">
      <w:pPr>
        <w:pStyle w:val="Default"/>
        <w:spacing w:line="360" w:lineRule="auto"/>
        <w:ind w:firstLine="720"/>
      </w:pPr>
      <w:r w:rsidRPr="0057351A">
        <w:t xml:space="preserve">2. </w:t>
      </w:r>
      <w:r w:rsidRPr="0057351A">
        <w:tab/>
      </w:r>
      <w:r w:rsidR="000F44A7" w:rsidRPr="008B5554">
        <w:rPr>
          <w:u w:val="single"/>
        </w:rPr>
        <w:t>Public Benefit</w:t>
      </w:r>
    </w:p>
    <w:p w:rsidR="000F44A7" w:rsidRDefault="000F44A7" w:rsidP="000F44A7">
      <w:pPr>
        <w:pStyle w:val="Default"/>
        <w:spacing w:line="360" w:lineRule="auto"/>
        <w:ind w:firstLine="720"/>
      </w:pPr>
    </w:p>
    <w:p w:rsidR="000F44A7" w:rsidRDefault="000F44A7" w:rsidP="000F44A7">
      <w:pPr>
        <w:pStyle w:val="Default"/>
        <w:spacing w:line="360" w:lineRule="auto"/>
        <w:ind w:firstLine="1440"/>
      </w:pPr>
      <w:r w:rsidRPr="00EF63C7">
        <w:t>Penn</w:t>
      </w:r>
      <w:r w:rsidR="00F428E7">
        <w:t xml:space="preserve"> Power</w:t>
      </w:r>
      <w:r w:rsidRPr="00EF63C7">
        <w:t xml:space="preserve"> maintains over 974,000 individual streetlights of varying applications and sizes.  If you replaced these lighting units with LED lighting technology, the energy savings that can be achieved would be about 433 Gigawatt Hours (433,000,000 kWh) per year.  In addition to this conservation that could be achieved, LEDs offer many other benefits to both the public and the utility itself.  These benefits should be encouraged through adoption of a tariff rate in line with market conditions.  </w:t>
      </w:r>
    </w:p>
    <w:p w:rsidR="000F44A7" w:rsidRPr="00EF63C7" w:rsidRDefault="000F44A7" w:rsidP="000F44A7">
      <w:pPr>
        <w:pStyle w:val="Default"/>
        <w:spacing w:line="360" w:lineRule="auto"/>
        <w:ind w:firstLine="1440"/>
      </w:pPr>
    </w:p>
    <w:p w:rsidR="000F44A7" w:rsidRDefault="000F44A7" w:rsidP="000F44A7">
      <w:pPr>
        <w:ind w:firstLine="1440"/>
        <w:rPr>
          <w:rFonts w:ascii="Times New Roman" w:hAnsi="Times New Roman"/>
          <w:szCs w:val="24"/>
        </w:rPr>
      </w:pPr>
      <w:r w:rsidRPr="00EF63C7">
        <w:rPr>
          <w:rFonts w:ascii="Times New Roman" w:hAnsi="Times New Roman"/>
          <w:szCs w:val="24"/>
        </w:rPr>
        <w:t xml:space="preserve">LED fixtures offer significant cost savings to municipalities. The cost of electricity, and particularly electricity used to light streets, is a major operational cost for municipalities. LED fixtures can reduce energy usage by 50 to 80%.  Additionally, the estimated </w:t>
      </w:r>
      <w:r w:rsidRPr="00EF63C7">
        <w:rPr>
          <w:rFonts w:ascii="Times New Roman" w:hAnsi="Times New Roman"/>
          <w:szCs w:val="24"/>
        </w:rPr>
        <w:lastRenderedPageBreak/>
        <w:t xml:space="preserve">life of an LED fixture is about five times that of a high pressure sodium fixture.  This means that the fixture will not need to be </w:t>
      </w:r>
      <w:proofErr w:type="spellStart"/>
      <w:r w:rsidRPr="00EF63C7">
        <w:rPr>
          <w:rFonts w:ascii="Times New Roman" w:hAnsi="Times New Roman"/>
          <w:szCs w:val="24"/>
        </w:rPr>
        <w:t>maintenanced</w:t>
      </w:r>
      <w:proofErr w:type="spellEnd"/>
      <w:r w:rsidRPr="00EF63C7">
        <w:rPr>
          <w:rFonts w:ascii="Times New Roman" w:hAnsi="Times New Roman"/>
          <w:szCs w:val="24"/>
        </w:rPr>
        <w:t xml:space="preserve"> as frequently, which will also result in cost savings. In addition, the warranty on an LED fixture is ten years. This provides significant cost savings to the municipality which affords them the opportunity to offset rising cost of services elsewhere and to lower municipal taxes.  </w:t>
      </w:r>
      <w:proofErr w:type="spellStart"/>
      <w:r w:rsidRPr="00EF63C7">
        <w:rPr>
          <w:rFonts w:ascii="Times New Roman" w:hAnsi="Times New Roman"/>
          <w:szCs w:val="24"/>
        </w:rPr>
        <w:t>Gormley</w:t>
      </w:r>
      <w:proofErr w:type="spellEnd"/>
      <w:r w:rsidRPr="00EF63C7">
        <w:rPr>
          <w:rFonts w:ascii="Times New Roman" w:hAnsi="Times New Roman"/>
          <w:szCs w:val="24"/>
        </w:rPr>
        <w:t xml:space="preserve"> Direct at 2.</w:t>
      </w:r>
    </w:p>
    <w:p w:rsidR="000F44A7" w:rsidRPr="00EF63C7" w:rsidRDefault="000F44A7" w:rsidP="000F44A7">
      <w:pPr>
        <w:ind w:firstLine="1440"/>
        <w:rPr>
          <w:rFonts w:ascii="Times New Roman" w:hAnsi="Times New Roman"/>
          <w:szCs w:val="24"/>
        </w:rPr>
      </w:pPr>
    </w:p>
    <w:p w:rsidR="0012591C" w:rsidRDefault="000F44A7" w:rsidP="000F44A7">
      <w:pPr>
        <w:rPr>
          <w:rFonts w:ascii="Times New Roman" w:hAnsi="Times New Roman"/>
          <w:szCs w:val="24"/>
        </w:rPr>
      </w:pPr>
      <w:r w:rsidRPr="00EF63C7">
        <w:rPr>
          <w:rFonts w:ascii="Times New Roman" w:hAnsi="Times New Roman"/>
          <w:szCs w:val="24"/>
        </w:rPr>
        <w:tab/>
      </w:r>
      <w:r>
        <w:rPr>
          <w:rFonts w:ascii="Times New Roman" w:hAnsi="Times New Roman"/>
          <w:szCs w:val="24"/>
        </w:rPr>
        <w:tab/>
      </w:r>
      <w:r w:rsidRPr="00EF63C7">
        <w:rPr>
          <w:rFonts w:ascii="Times New Roman" w:hAnsi="Times New Roman"/>
          <w:szCs w:val="24"/>
        </w:rPr>
        <w:t xml:space="preserve">There are other public benefits of using LED lighting. </w:t>
      </w:r>
      <w:r w:rsidR="00147D66">
        <w:rPr>
          <w:rFonts w:ascii="Times New Roman" w:hAnsi="Times New Roman"/>
          <w:szCs w:val="24"/>
        </w:rPr>
        <w:t xml:space="preserve"> </w:t>
      </w:r>
      <w:r w:rsidRPr="00EF63C7">
        <w:rPr>
          <w:rFonts w:ascii="Times New Roman" w:hAnsi="Times New Roman"/>
          <w:szCs w:val="24"/>
        </w:rPr>
        <w:t xml:space="preserve">LED is a white light as compared to the yellow light thrown from high pressure sodium.  LED’s white light allows for better visual acuity, which means that drivers and pedestrians can see better under LED lighting.  </w:t>
      </w:r>
    </w:p>
    <w:p w:rsidR="0012591C" w:rsidRDefault="0012591C" w:rsidP="000F44A7">
      <w:pPr>
        <w:rPr>
          <w:rFonts w:ascii="Times New Roman" w:hAnsi="Times New Roman"/>
          <w:szCs w:val="24"/>
        </w:rPr>
      </w:pPr>
    </w:p>
    <w:p w:rsidR="0012591C" w:rsidRDefault="0012591C" w:rsidP="000F44A7">
      <w:pPr>
        <w:rPr>
          <w:rFonts w:ascii="Times New Roman" w:hAnsi="Times New Roman"/>
          <w:szCs w:val="24"/>
        </w:rPr>
      </w:pPr>
    </w:p>
    <w:p w:rsidR="00F428E7" w:rsidRDefault="000F44A7" w:rsidP="000F44A7">
      <w:pPr>
        <w:rPr>
          <w:rFonts w:ascii="Times New Roman" w:hAnsi="Times New Roman"/>
          <w:szCs w:val="24"/>
        </w:rPr>
      </w:pPr>
      <w:r w:rsidRPr="00EF63C7">
        <w:rPr>
          <w:rFonts w:ascii="Times New Roman" w:hAnsi="Times New Roman"/>
          <w:szCs w:val="24"/>
        </w:rPr>
        <w:t xml:space="preserve">With the same number of foot candles landing on the street, a person would, for example, be able to more easily identify the color of a car under LED light as compared to traditional high pressure sodium. </w:t>
      </w:r>
      <w:r w:rsidRPr="00EF63C7">
        <w:rPr>
          <w:rFonts w:ascii="Times New Roman" w:hAnsi="Times New Roman"/>
          <w:szCs w:val="24"/>
        </w:rPr>
        <w:br/>
        <w:t xml:space="preserve">             </w:t>
      </w:r>
      <w:r>
        <w:rPr>
          <w:rFonts w:ascii="Times New Roman" w:hAnsi="Times New Roman"/>
          <w:szCs w:val="24"/>
        </w:rPr>
        <w:tab/>
      </w:r>
    </w:p>
    <w:p w:rsidR="000F44A7" w:rsidRDefault="000F44A7" w:rsidP="00F428E7">
      <w:pPr>
        <w:ind w:firstLine="1440"/>
        <w:rPr>
          <w:rFonts w:ascii="Times New Roman" w:hAnsi="Times New Roman"/>
          <w:szCs w:val="24"/>
        </w:rPr>
      </w:pPr>
      <w:r w:rsidRPr="00EF63C7">
        <w:rPr>
          <w:rFonts w:ascii="Times New Roman" w:hAnsi="Times New Roman"/>
          <w:szCs w:val="24"/>
        </w:rPr>
        <w:t>In addition to the quality of light, LED provides a better distribution than traditional lighting.  LED can be aimed.  LED spreads light out, which provides better uniformity. This improves a person’s ability to see, which in turn improves safety. Also, LED lights can be aimed so that it targets only the road, in contrast to traditional street lights that shine everywhere.  LED lights enables municipalities to eliminate a number of nuisance complaints associated with traditional lights shining where they are not wanted, such as into homes and apartments.</w:t>
      </w:r>
    </w:p>
    <w:p w:rsidR="000F44A7" w:rsidRPr="00EF63C7" w:rsidRDefault="000F44A7" w:rsidP="000F44A7">
      <w:pPr>
        <w:rPr>
          <w:rFonts w:ascii="Times New Roman" w:hAnsi="Times New Roman"/>
          <w:szCs w:val="24"/>
        </w:rPr>
      </w:pPr>
    </w:p>
    <w:p w:rsidR="000F44A7" w:rsidRDefault="000F44A7" w:rsidP="000F44A7">
      <w:pPr>
        <w:tabs>
          <w:tab w:val="left" w:pos="1440"/>
        </w:tabs>
        <w:rPr>
          <w:rFonts w:ascii="Times New Roman" w:hAnsi="Times New Roman"/>
          <w:szCs w:val="24"/>
        </w:rPr>
      </w:pPr>
      <w:r w:rsidRPr="00EF63C7">
        <w:rPr>
          <w:rFonts w:ascii="Times New Roman" w:hAnsi="Times New Roman"/>
          <w:szCs w:val="24"/>
        </w:rPr>
        <w:tab/>
        <w:t>Finally, of course, it is not in the traditional interest of utilities to sell less power.  However, LED lights benefit utilities by reducing their load.  LED lights consumes 50-80% less energy than traditional lights, which reduces KW demand.  When lights are on during peak demand</w:t>
      </w:r>
      <w:r>
        <w:rPr>
          <w:rFonts w:ascii="Times New Roman" w:hAnsi="Times New Roman"/>
          <w:szCs w:val="24"/>
        </w:rPr>
        <w:t xml:space="preserve"> </w:t>
      </w:r>
      <w:r w:rsidRPr="00EF63C7">
        <w:rPr>
          <w:rFonts w:ascii="Times New Roman" w:hAnsi="Times New Roman"/>
          <w:szCs w:val="24"/>
        </w:rPr>
        <w:t xml:space="preserve">periods, LED lights will reduce the cost of electricity because it will save the utilities from having to buy as much power on the spot market.  </w:t>
      </w:r>
      <w:proofErr w:type="spellStart"/>
      <w:r w:rsidRPr="00EF63C7">
        <w:rPr>
          <w:rFonts w:ascii="Times New Roman" w:hAnsi="Times New Roman"/>
          <w:szCs w:val="24"/>
        </w:rPr>
        <w:t>Gormley</w:t>
      </w:r>
      <w:proofErr w:type="spellEnd"/>
      <w:r w:rsidRPr="00EF63C7">
        <w:rPr>
          <w:rFonts w:ascii="Times New Roman" w:hAnsi="Times New Roman"/>
          <w:szCs w:val="24"/>
        </w:rPr>
        <w:t xml:space="preserve"> Direct at 9.  Finally, LED lights </w:t>
      </w:r>
    </w:p>
    <w:p w:rsidR="000F44A7" w:rsidRPr="00EF63C7" w:rsidRDefault="000F44A7" w:rsidP="000F44A7">
      <w:pPr>
        <w:rPr>
          <w:rFonts w:ascii="Times New Roman" w:hAnsi="Times New Roman"/>
          <w:szCs w:val="24"/>
        </w:rPr>
      </w:pPr>
      <w:r w:rsidRPr="00EF63C7">
        <w:rPr>
          <w:rFonts w:ascii="Times New Roman" w:hAnsi="Times New Roman"/>
          <w:szCs w:val="24"/>
        </w:rPr>
        <w:t>enable utilities to reduce maintenance costs.</w:t>
      </w:r>
      <w:r>
        <w:rPr>
          <w:rFonts w:ascii="Times New Roman" w:hAnsi="Times New Roman"/>
          <w:szCs w:val="24"/>
        </w:rPr>
        <w:t xml:space="preserve">  G</w:t>
      </w:r>
      <w:r w:rsidRPr="00EF63C7">
        <w:rPr>
          <w:rFonts w:ascii="Times New Roman" w:hAnsi="Times New Roman"/>
          <w:szCs w:val="24"/>
        </w:rPr>
        <w:t>iven the great benefits afforded by use of LED lights, it is respectfully requested that the approved tariff should be consistent with market actualities.</w:t>
      </w:r>
    </w:p>
    <w:p w:rsidR="0057351A" w:rsidRDefault="0057351A" w:rsidP="000F44A7">
      <w:pPr>
        <w:tabs>
          <w:tab w:val="left" w:pos="-720"/>
        </w:tabs>
        <w:suppressAutoHyphens/>
        <w:rPr>
          <w:rFonts w:ascii="Times New Roman" w:hAnsi="Times New Roman"/>
          <w:szCs w:val="24"/>
        </w:rPr>
      </w:pPr>
    </w:p>
    <w:p w:rsidR="000F44A7" w:rsidRPr="00EA20DE" w:rsidRDefault="0057351A" w:rsidP="000F44A7">
      <w:pPr>
        <w:rPr>
          <w:rFonts w:ascii="Times New Roman" w:hAnsi="Times New Roman"/>
          <w:szCs w:val="24"/>
          <w:u w:val="single"/>
        </w:rPr>
      </w:pPr>
      <w:r>
        <w:rPr>
          <w:rFonts w:ascii="Times New Roman" w:hAnsi="Times New Roman"/>
          <w:szCs w:val="24"/>
        </w:rPr>
        <w:t>E</w:t>
      </w:r>
      <w:r w:rsidRPr="0057351A">
        <w:rPr>
          <w:rFonts w:ascii="Times New Roman" w:hAnsi="Times New Roman"/>
          <w:szCs w:val="24"/>
        </w:rPr>
        <w:t xml:space="preserve">. </w:t>
      </w:r>
      <w:r w:rsidRPr="0057351A">
        <w:rPr>
          <w:rFonts w:ascii="Times New Roman" w:hAnsi="Times New Roman"/>
          <w:szCs w:val="24"/>
        </w:rPr>
        <w:tab/>
      </w:r>
      <w:r w:rsidRPr="0057351A">
        <w:rPr>
          <w:rFonts w:ascii="Times New Roman" w:hAnsi="Times New Roman"/>
          <w:szCs w:val="24"/>
          <w:u w:val="single"/>
        </w:rPr>
        <w:t xml:space="preserve">ALJs’ </w:t>
      </w:r>
      <w:r w:rsidRPr="00C31426">
        <w:rPr>
          <w:rFonts w:ascii="Times New Roman" w:hAnsi="Times New Roman"/>
          <w:szCs w:val="24"/>
          <w:u w:val="single"/>
        </w:rPr>
        <w:fldChar w:fldCharType="begin"/>
      </w:r>
      <w:r w:rsidRPr="00C31426">
        <w:rPr>
          <w:rFonts w:ascii="Times New Roman" w:hAnsi="Times New Roman"/>
        </w:rPr>
        <w:instrText xml:space="preserve"> TC "</w:instrText>
      </w:r>
      <w:r w:rsidRPr="00C31426">
        <w:rPr>
          <w:rFonts w:ascii="Times New Roman" w:hAnsi="Times New Roman"/>
          <w:szCs w:val="24"/>
        </w:rPr>
        <w:instrText>C.</w:instrText>
      </w:r>
      <w:r w:rsidRPr="00C31426">
        <w:rPr>
          <w:rFonts w:ascii="Times New Roman" w:hAnsi="Times New Roman"/>
          <w:szCs w:val="24"/>
        </w:rPr>
        <w:tab/>
      </w:r>
      <w:r w:rsidRPr="00C31426">
        <w:rPr>
          <w:rFonts w:ascii="Times New Roman" w:hAnsi="Times New Roman"/>
          <w:szCs w:val="24"/>
          <w:u w:val="single"/>
        </w:rPr>
        <w:instrText>Parties’ Briefing Positions</w:instrText>
      </w:r>
      <w:r w:rsidRPr="00C31426">
        <w:rPr>
          <w:rFonts w:ascii="Times New Roman" w:hAnsi="Times New Roman"/>
        </w:rPr>
        <w:instrText xml:space="preserve">" \f C \l "2" </w:instrText>
      </w:r>
      <w:r w:rsidRPr="00C31426">
        <w:rPr>
          <w:rFonts w:ascii="Times New Roman" w:hAnsi="Times New Roman"/>
          <w:szCs w:val="24"/>
          <w:u w:val="single"/>
        </w:rPr>
        <w:fldChar w:fldCharType="end"/>
      </w:r>
      <w:r w:rsidR="000F44A7" w:rsidRPr="0097306E">
        <w:rPr>
          <w:rFonts w:ascii="Times New Roman" w:hAnsi="Times New Roman"/>
          <w:szCs w:val="24"/>
        </w:rPr>
        <w:fldChar w:fldCharType="begin"/>
      </w:r>
      <w:r w:rsidR="000F44A7" w:rsidRPr="0097306E">
        <w:rPr>
          <w:rFonts w:ascii="Times New Roman" w:hAnsi="Times New Roman"/>
          <w:szCs w:val="24"/>
        </w:rPr>
        <w:instrText xml:space="preserve"> TC "</w:instrText>
      </w:r>
      <w:bookmarkStart w:id="31" w:name="_Toc206476824"/>
      <w:r w:rsidR="000F44A7" w:rsidRPr="0097306E">
        <w:rPr>
          <w:rFonts w:ascii="Times New Roman" w:hAnsi="Times New Roman"/>
          <w:szCs w:val="24"/>
        </w:rPr>
        <w:instrText>1.</w:instrText>
      </w:r>
      <w:r w:rsidR="000F44A7" w:rsidRPr="0097306E">
        <w:rPr>
          <w:rFonts w:ascii="Times New Roman" w:hAnsi="Times New Roman"/>
          <w:szCs w:val="24"/>
        </w:rPr>
        <w:tab/>
        <w:instrText>Joint NGS Complainants’ position</w:instrText>
      </w:r>
      <w:bookmarkEnd w:id="31"/>
      <w:r w:rsidR="000F44A7" w:rsidRPr="0097306E">
        <w:rPr>
          <w:rFonts w:ascii="Times New Roman" w:hAnsi="Times New Roman"/>
          <w:szCs w:val="24"/>
        </w:rPr>
        <w:instrText xml:space="preserve">" \f C \l "3" </w:instrText>
      </w:r>
      <w:r w:rsidR="000F44A7" w:rsidRPr="0097306E">
        <w:rPr>
          <w:rFonts w:ascii="Times New Roman" w:hAnsi="Times New Roman"/>
          <w:szCs w:val="24"/>
        </w:rPr>
        <w:fldChar w:fldCharType="end"/>
      </w:r>
      <w:r w:rsidR="000F44A7" w:rsidRPr="00EA20DE">
        <w:rPr>
          <w:rFonts w:ascii="Times New Roman" w:hAnsi="Times New Roman"/>
          <w:szCs w:val="24"/>
          <w:u w:val="single"/>
        </w:rPr>
        <w:t xml:space="preserve">Recommendation </w:t>
      </w:r>
      <w:r w:rsidR="000F44A7">
        <w:rPr>
          <w:rFonts w:ascii="Times New Roman" w:hAnsi="Times New Roman"/>
          <w:szCs w:val="24"/>
          <w:u w:val="single"/>
        </w:rPr>
        <w:t>C</w:t>
      </w:r>
      <w:r w:rsidR="000F44A7" w:rsidRPr="00EA20DE">
        <w:rPr>
          <w:rFonts w:ascii="Times New Roman" w:hAnsi="Times New Roman"/>
          <w:szCs w:val="24"/>
          <w:u w:val="single"/>
        </w:rPr>
        <w:t xml:space="preserve">oncerning </w:t>
      </w:r>
      <w:r w:rsidR="000F44A7">
        <w:rPr>
          <w:rFonts w:ascii="Times New Roman" w:hAnsi="Times New Roman"/>
          <w:szCs w:val="24"/>
          <w:u w:val="single"/>
        </w:rPr>
        <w:t xml:space="preserve">LED Street Lighting Service Offering </w:t>
      </w:r>
      <w:r w:rsidR="000F44A7" w:rsidRPr="00EA20DE">
        <w:rPr>
          <w:rFonts w:ascii="Times New Roman" w:hAnsi="Times New Roman"/>
          <w:szCs w:val="24"/>
          <w:u w:val="single"/>
        </w:rPr>
        <w:fldChar w:fldCharType="begin"/>
      </w:r>
      <w:r w:rsidR="000F44A7" w:rsidRPr="00EA20DE">
        <w:rPr>
          <w:rFonts w:ascii="Times New Roman" w:hAnsi="Times New Roman"/>
        </w:rPr>
        <w:instrText xml:space="preserve"> TC "</w:instrText>
      </w:r>
      <w:bookmarkStart w:id="32" w:name="_Toc206476827"/>
      <w:r w:rsidR="000F44A7" w:rsidRPr="00EA20DE">
        <w:rPr>
          <w:rFonts w:ascii="Times New Roman" w:hAnsi="Times New Roman"/>
          <w:szCs w:val="24"/>
        </w:rPr>
        <w:instrText>D.</w:instrText>
      </w:r>
      <w:r w:rsidR="000F44A7" w:rsidRPr="00EA20DE">
        <w:rPr>
          <w:rFonts w:ascii="Times New Roman" w:hAnsi="Times New Roman"/>
          <w:szCs w:val="24"/>
        </w:rPr>
        <w:tab/>
      </w:r>
      <w:r w:rsidR="000F44A7" w:rsidRPr="00EA20DE">
        <w:rPr>
          <w:rFonts w:ascii="Times New Roman" w:hAnsi="Times New Roman"/>
          <w:szCs w:val="24"/>
          <w:u w:val="single"/>
        </w:rPr>
        <w:instrText>ALJs’ Recommendation</w:instrText>
      </w:r>
      <w:bookmarkEnd w:id="32"/>
      <w:r w:rsidR="000F44A7" w:rsidRPr="00EA20DE">
        <w:rPr>
          <w:rFonts w:ascii="Times New Roman" w:hAnsi="Times New Roman"/>
        </w:rPr>
        <w:instrText xml:space="preserve">" \f C \l "2" </w:instrText>
      </w:r>
      <w:r w:rsidR="000F44A7" w:rsidRPr="00EA20DE">
        <w:rPr>
          <w:rFonts w:ascii="Times New Roman" w:hAnsi="Times New Roman"/>
          <w:szCs w:val="24"/>
          <w:u w:val="single"/>
        </w:rPr>
        <w:fldChar w:fldCharType="end"/>
      </w:r>
    </w:p>
    <w:p w:rsidR="000F44A7" w:rsidRPr="00993DC5" w:rsidRDefault="000F44A7" w:rsidP="000F44A7">
      <w:pPr>
        <w:rPr>
          <w:rFonts w:ascii="Times New Roman" w:hAnsi="Times New Roman"/>
          <w:szCs w:val="24"/>
          <w:u w:val="single"/>
        </w:rPr>
      </w:pPr>
    </w:p>
    <w:p w:rsidR="00690A7D" w:rsidRDefault="00690A7D" w:rsidP="000F44A7">
      <w:pPr>
        <w:pStyle w:val="BodyText2"/>
        <w:spacing w:after="0" w:line="360" w:lineRule="auto"/>
        <w:ind w:firstLine="1440"/>
        <w:rPr>
          <w:rFonts w:ascii="Times New Roman" w:hAnsi="Times New Roman"/>
        </w:rPr>
      </w:pPr>
      <w:r>
        <w:rPr>
          <w:rFonts w:ascii="Times New Roman" w:hAnsi="Times New Roman"/>
        </w:rPr>
        <w:t>Penn Power</w:t>
      </w:r>
      <w:r w:rsidR="000F44A7" w:rsidRPr="00993DC5">
        <w:rPr>
          <w:rFonts w:ascii="Times New Roman" w:hAnsi="Times New Roman"/>
        </w:rPr>
        <w:t xml:space="preserve">’s </w:t>
      </w:r>
      <w:r w:rsidR="000F44A7">
        <w:rPr>
          <w:rFonts w:ascii="Times New Roman" w:hAnsi="Times New Roman"/>
        </w:rPr>
        <w:t>proposals</w:t>
      </w:r>
      <w:r w:rsidR="000F44A7" w:rsidRPr="00993DC5">
        <w:rPr>
          <w:rFonts w:ascii="Times New Roman" w:hAnsi="Times New Roman"/>
        </w:rPr>
        <w:t xml:space="preserve"> for the LED Street Lighting Service Offering are just and reasonable</w:t>
      </w:r>
      <w:r w:rsidR="000F44A7">
        <w:rPr>
          <w:rFonts w:ascii="Times New Roman" w:hAnsi="Times New Roman"/>
        </w:rPr>
        <w:t xml:space="preserve">.  </w:t>
      </w:r>
      <w:r>
        <w:t xml:space="preserve">The Company set forth a reasonable proposal and </w:t>
      </w:r>
      <w:r w:rsidR="00147D66">
        <w:t xml:space="preserve">suggests </w:t>
      </w:r>
      <w:r>
        <w:t xml:space="preserve">an innovative </w:t>
      </w:r>
      <w:proofErr w:type="spellStart"/>
      <w:r>
        <w:t>levelized</w:t>
      </w:r>
      <w:proofErr w:type="spellEnd"/>
      <w:r>
        <w:t xml:space="preserve"> rate approach to reduce up-front rates for the initial contract term</w:t>
      </w:r>
      <w:r w:rsidR="00147D66">
        <w:t>.  With this proposal, Penn Power can</w:t>
      </w:r>
      <w:r>
        <w:t xml:space="preserve"> create price signals designed to increase customer acceptance of the new service.  </w:t>
      </w:r>
      <w:r w:rsidR="00147D66">
        <w:t>This offering can mak</w:t>
      </w:r>
      <w:r w:rsidR="000F44A7">
        <w:rPr>
          <w:rFonts w:ascii="Times New Roman" w:hAnsi="Times New Roman"/>
        </w:rPr>
        <w:t>e efficient lighting available to customers, and to the benefit of the public in general</w:t>
      </w:r>
      <w:r w:rsidR="00147D66">
        <w:rPr>
          <w:rFonts w:ascii="Times New Roman" w:hAnsi="Times New Roman"/>
        </w:rPr>
        <w:t>,</w:t>
      </w:r>
      <w:r w:rsidR="000F44A7">
        <w:rPr>
          <w:rFonts w:ascii="Times New Roman" w:hAnsi="Times New Roman"/>
        </w:rPr>
        <w:t xml:space="preserve"> who benefit from better night-time lighting</w:t>
      </w:r>
      <w:r>
        <w:rPr>
          <w:rFonts w:ascii="Times New Roman" w:hAnsi="Times New Roman"/>
        </w:rPr>
        <w:t xml:space="preserve"> with a lower consumption rate</w:t>
      </w:r>
      <w:r w:rsidR="00147D66">
        <w:rPr>
          <w:rFonts w:ascii="Times New Roman" w:hAnsi="Times New Roman"/>
        </w:rPr>
        <w:t xml:space="preserve">.  The </w:t>
      </w:r>
      <w:r w:rsidR="000F44A7">
        <w:rPr>
          <w:rFonts w:ascii="Times New Roman" w:hAnsi="Times New Roman"/>
        </w:rPr>
        <w:t xml:space="preserve">approach </w:t>
      </w:r>
      <w:r w:rsidR="00147D66">
        <w:rPr>
          <w:rFonts w:ascii="Times New Roman" w:hAnsi="Times New Roman"/>
        </w:rPr>
        <w:t>Penn Power</w:t>
      </w:r>
      <w:r w:rsidR="000F44A7">
        <w:rPr>
          <w:rFonts w:ascii="Times New Roman" w:hAnsi="Times New Roman"/>
        </w:rPr>
        <w:t xml:space="preserve"> selected allows the average customer (some of whom are individuals) to benefit from a light source that uses less electricity and lasts longer than the conventional lighting</w:t>
      </w:r>
      <w:r w:rsidR="00147D66">
        <w:rPr>
          <w:rFonts w:ascii="Times New Roman" w:hAnsi="Times New Roman"/>
        </w:rPr>
        <w:t xml:space="preserve">, and </w:t>
      </w:r>
      <w:r w:rsidR="000F44A7">
        <w:rPr>
          <w:rFonts w:ascii="Times New Roman" w:hAnsi="Times New Roman"/>
        </w:rPr>
        <w:t xml:space="preserve">to make the new lighting affordable, the cost is spread out over fifteen years.  </w:t>
      </w:r>
    </w:p>
    <w:p w:rsidR="00690A7D" w:rsidRDefault="00690A7D" w:rsidP="000F44A7">
      <w:pPr>
        <w:pStyle w:val="BodyText2"/>
        <w:spacing w:after="0" w:line="360" w:lineRule="auto"/>
        <w:ind w:firstLine="1440"/>
        <w:rPr>
          <w:rFonts w:ascii="Times New Roman" w:hAnsi="Times New Roman"/>
        </w:rPr>
      </w:pPr>
    </w:p>
    <w:p w:rsidR="000F44A7" w:rsidRPr="00993DC5" w:rsidRDefault="00690A7D" w:rsidP="000F44A7">
      <w:pPr>
        <w:pStyle w:val="BodyText2"/>
        <w:spacing w:after="0" w:line="360" w:lineRule="auto"/>
        <w:ind w:firstLine="1440"/>
        <w:rPr>
          <w:rFonts w:ascii="Times New Roman" w:hAnsi="Times New Roman"/>
          <w:szCs w:val="24"/>
        </w:rPr>
      </w:pPr>
      <w:r>
        <w:rPr>
          <w:rFonts w:ascii="Times New Roman" w:hAnsi="Times New Roman"/>
          <w:szCs w:val="24"/>
        </w:rPr>
        <w:t>Penn Power</w:t>
      </w:r>
      <w:r w:rsidR="000F44A7" w:rsidRPr="00993DC5">
        <w:rPr>
          <w:rFonts w:ascii="Times New Roman" w:hAnsi="Times New Roman"/>
          <w:szCs w:val="24"/>
        </w:rPr>
        <w:t xml:space="preserve"> has the burden of proof and</w:t>
      </w:r>
      <w:r w:rsidR="000F44A7">
        <w:rPr>
          <w:rFonts w:ascii="Times New Roman" w:hAnsi="Times New Roman"/>
          <w:szCs w:val="24"/>
        </w:rPr>
        <w:t xml:space="preserve"> we are</w:t>
      </w:r>
      <w:r w:rsidR="000F44A7" w:rsidRPr="00993DC5">
        <w:rPr>
          <w:rFonts w:ascii="Times New Roman" w:hAnsi="Times New Roman"/>
          <w:szCs w:val="24"/>
        </w:rPr>
        <w:t xml:space="preserve"> not persuaded by </w:t>
      </w:r>
      <w:proofErr w:type="spellStart"/>
      <w:r>
        <w:rPr>
          <w:rFonts w:ascii="Times New Roman" w:hAnsi="Times New Roman"/>
          <w:szCs w:val="24"/>
        </w:rPr>
        <w:t>Penn</w:t>
      </w:r>
      <w:r w:rsidR="000F44A7">
        <w:rPr>
          <w:rFonts w:ascii="Times New Roman" w:hAnsi="Times New Roman"/>
          <w:szCs w:val="24"/>
        </w:rPr>
        <w:t>Future’s</w:t>
      </w:r>
      <w:proofErr w:type="spellEnd"/>
      <w:r w:rsidR="000F44A7">
        <w:rPr>
          <w:rFonts w:ascii="Times New Roman" w:hAnsi="Times New Roman"/>
          <w:szCs w:val="24"/>
        </w:rPr>
        <w:t xml:space="preserve"> arguments, especially absent any specified</w:t>
      </w:r>
      <w:r w:rsidR="000F44A7" w:rsidRPr="00993DC5">
        <w:rPr>
          <w:rFonts w:ascii="Times New Roman" w:hAnsi="Times New Roman"/>
          <w:szCs w:val="24"/>
        </w:rPr>
        <w:t xml:space="preserve"> suggested alternative</w:t>
      </w:r>
      <w:r w:rsidR="000F44A7">
        <w:rPr>
          <w:rFonts w:ascii="Times New Roman" w:hAnsi="Times New Roman"/>
          <w:szCs w:val="24"/>
        </w:rPr>
        <w:t>s, that the proposed offering is not the least expensive to procure, uses unavailable and inappropriate fixture sizes, utilizes a conservative useful life.  W</w:t>
      </w:r>
      <w:r w:rsidR="000F44A7" w:rsidRPr="00993DC5">
        <w:rPr>
          <w:rFonts w:ascii="Times New Roman" w:hAnsi="Times New Roman"/>
          <w:szCs w:val="24"/>
        </w:rPr>
        <w:t xml:space="preserve">e conclude </w:t>
      </w:r>
      <w:r>
        <w:rPr>
          <w:rFonts w:ascii="Times New Roman" w:hAnsi="Times New Roman"/>
        </w:rPr>
        <w:t>Penn Power</w:t>
      </w:r>
      <w:r w:rsidRPr="00993DC5">
        <w:rPr>
          <w:rFonts w:ascii="Times New Roman" w:hAnsi="Times New Roman"/>
          <w:szCs w:val="24"/>
        </w:rPr>
        <w:t xml:space="preserve"> </w:t>
      </w:r>
      <w:r w:rsidR="000F44A7" w:rsidRPr="00993DC5">
        <w:rPr>
          <w:rFonts w:ascii="Times New Roman" w:hAnsi="Times New Roman"/>
          <w:szCs w:val="24"/>
        </w:rPr>
        <w:t xml:space="preserve">did meet </w:t>
      </w:r>
      <w:r w:rsidR="000F44A7">
        <w:rPr>
          <w:rFonts w:ascii="Times New Roman" w:hAnsi="Times New Roman"/>
          <w:szCs w:val="24"/>
        </w:rPr>
        <w:t>its</w:t>
      </w:r>
      <w:r w:rsidR="000F44A7" w:rsidRPr="00993DC5">
        <w:rPr>
          <w:rFonts w:ascii="Times New Roman" w:hAnsi="Times New Roman"/>
          <w:szCs w:val="24"/>
        </w:rPr>
        <w:t xml:space="preserve"> burden of proof, based upon this record</w:t>
      </w:r>
      <w:r w:rsidR="000F44A7">
        <w:rPr>
          <w:rFonts w:ascii="Times New Roman" w:hAnsi="Times New Roman"/>
          <w:szCs w:val="24"/>
        </w:rPr>
        <w:t xml:space="preserve"> and, c</w:t>
      </w:r>
      <w:r w:rsidR="000F44A7" w:rsidRPr="00993DC5">
        <w:rPr>
          <w:rFonts w:ascii="Times New Roman" w:hAnsi="Times New Roman"/>
          <w:szCs w:val="24"/>
        </w:rPr>
        <w:t xml:space="preserve">onsequently, we recommend the proposed change – to implement </w:t>
      </w:r>
      <w:r w:rsidR="000F44A7">
        <w:rPr>
          <w:rFonts w:ascii="Times New Roman" w:hAnsi="Times New Roman"/>
          <w:szCs w:val="24"/>
        </w:rPr>
        <w:t>the proposed LED Street Lighting Service Offering</w:t>
      </w:r>
      <w:r w:rsidR="000F44A7" w:rsidRPr="00993DC5">
        <w:rPr>
          <w:rFonts w:ascii="Times New Roman" w:hAnsi="Times New Roman"/>
          <w:szCs w:val="24"/>
        </w:rPr>
        <w:t xml:space="preserve"> – be approved at this time.  </w:t>
      </w:r>
    </w:p>
    <w:p w:rsidR="00EC4C4E" w:rsidRDefault="00EC4C4E" w:rsidP="0035120D">
      <w:pPr>
        <w:jc w:val="center"/>
        <w:rPr>
          <w:rFonts w:ascii="Times New Roman" w:hAnsi="Times New Roman"/>
          <w:szCs w:val="24"/>
        </w:rPr>
      </w:pPr>
    </w:p>
    <w:p w:rsidR="0035120D" w:rsidRPr="00B1190E" w:rsidRDefault="0035120D" w:rsidP="0035120D">
      <w:pPr>
        <w:jc w:val="center"/>
        <w:rPr>
          <w:rFonts w:ascii="Times New Roman" w:hAnsi="Times New Roman"/>
          <w:szCs w:val="24"/>
          <w:u w:val="single"/>
        </w:rPr>
      </w:pPr>
      <w:r w:rsidRPr="00B1190E">
        <w:rPr>
          <w:rFonts w:ascii="Times New Roman" w:hAnsi="Times New Roman"/>
          <w:szCs w:val="24"/>
        </w:rPr>
        <w:t>V.</w:t>
      </w:r>
      <w:r w:rsidRPr="00B1190E">
        <w:rPr>
          <w:rFonts w:ascii="Times New Roman" w:hAnsi="Times New Roman"/>
          <w:szCs w:val="24"/>
        </w:rPr>
        <w:tab/>
      </w:r>
      <w:r w:rsidRPr="00B1190E">
        <w:rPr>
          <w:rFonts w:ascii="Times New Roman" w:hAnsi="Times New Roman"/>
          <w:szCs w:val="24"/>
          <w:u w:val="single"/>
        </w:rPr>
        <w:t>CONCLUSIONS OF LAW</w:t>
      </w:r>
      <w:r w:rsidR="00FF47BD" w:rsidRPr="00B1190E">
        <w:rPr>
          <w:rFonts w:ascii="Times New Roman" w:hAnsi="Times New Roman"/>
          <w:szCs w:val="24"/>
          <w:u w:val="single"/>
        </w:rPr>
        <w:fldChar w:fldCharType="begin"/>
      </w:r>
      <w:r w:rsidRPr="00B1190E">
        <w:rPr>
          <w:rFonts w:ascii="Times New Roman" w:hAnsi="Times New Roman"/>
        </w:rPr>
        <w:instrText xml:space="preserve"> TC "</w:instrText>
      </w:r>
      <w:bookmarkStart w:id="33" w:name="_Toc206476828"/>
      <w:r w:rsidRPr="00B1190E">
        <w:rPr>
          <w:rFonts w:ascii="Times New Roman" w:hAnsi="Times New Roman"/>
          <w:szCs w:val="24"/>
        </w:rPr>
        <w:instrText>VI.</w:instrText>
      </w:r>
      <w:r w:rsidRPr="00B1190E">
        <w:rPr>
          <w:rFonts w:ascii="Times New Roman" w:hAnsi="Times New Roman"/>
          <w:szCs w:val="24"/>
        </w:rPr>
        <w:tab/>
      </w:r>
      <w:r w:rsidRPr="00B1190E">
        <w:rPr>
          <w:rFonts w:ascii="Times New Roman" w:hAnsi="Times New Roman"/>
          <w:szCs w:val="24"/>
          <w:u w:val="single"/>
        </w:rPr>
        <w:instrText>CONCLUSIONS OF LAW</w:instrText>
      </w:r>
      <w:bookmarkEnd w:id="33"/>
      <w:r w:rsidRPr="00B1190E">
        <w:rPr>
          <w:rFonts w:ascii="Times New Roman" w:hAnsi="Times New Roman"/>
        </w:rPr>
        <w:instrText xml:space="preserve">" \f C \l "1" </w:instrText>
      </w:r>
      <w:r w:rsidR="00FF47BD" w:rsidRPr="00B1190E">
        <w:rPr>
          <w:rFonts w:ascii="Times New Roman" w:hAnsi="Times New Roman"/>
          <w:szCs w:val="24"/>
          <w:u w:val="single"/>
        </w:rPr>
        <w:fldChar w:fldCharType="end"/>
      </w:r>
    </w:p>
    <w:p w:rsidR="0035120D" w:rsidRPr="00B1190E" w:rsidRDefault="0035120D" w:rsidP="0035120D">
      <w:pPr>
        <w:jc w:val="center"/>
        <w:rPr>
          <w:rFonts w:ascii="Times New Roman" w:hAnsi="Times New Roman"/>
          <w:szCs w:val="24"/>
          <w:u w:val="single"/>
        </w:rPr>
      </w:pPr>
    </w:p>
    <w:p w:rsidR="0035120D" w:rsidRPr="00B1190E" w:rsidRDefault="0035120D" w:rsidP="0035120D">
      <w:pPr>
        <w:rPr>
          <w:rFonts w:ascii="Times New Roman" w:hAnsi="Times New Roman"/>
          <w:szCs w:val="24"/>
        </w:rPr>
      </w:pPr>
      <w:r w:rsidRPr="00B1190E">
        <w:rPr>
          <w:rFonts w:ascii="Times New Roman" w:hAnsi="Times New Roman"/>
          <w:szCs w:val="24"/>
        </w:rPr>
        <w:tab/>
      </w:r>
      <w:r w:rsidRPr="00B1190E">
        <w:rPr>
          <w:rFonts w:ascii="Times New Roman" w:hAnsi="Times New Roman"/>
          <w:szCs w:val="24"/>
        </w:rPr>
        <w:tab/>
        <w:t>1.</w:t>
      </w:r>
      <w:r w:rsidRPr="00B1190E">
        <w:rPr>
          <w:rFonts w:ascii="Times New Roman" w:hAnsi="Times New Roman"/>
          <w:szCs w:val="24"/>
        </w:rPr>
        <w:tab/>
        <w:t xml:space="preserve">The Commission has jurisdiction over the parties and subject matter in this proceeding.  66 </w:t>
      </w:r>
      <w:r w:rsidR="007E74EE">
        <w:rPr>
          <w:rFonts w:ascii="Times New Roman" w:hAnsi="Times New Roman"/>
          <w:szCs w:val="24"/>
        </w:rPr>
        <w:t>Pa.C.S.A.</w:t>
      </w:r>
      <w:r w:rsidRPr="00B1190E">
        <w:rPr>
          <w:rFonts w:ascii="Times New Roman" w:hAnsi="Times New Roman"/>
          <w:szCs w:val="24"/>
        </w:rPr>
        <w:t xml:space="preserve"> §§</w:t>
      </w:r>
      <w:r w:rsidR="00F428E7">
        <w:rPr>
          <w:rFonts w:ascii="Times New Roman" w:hAnsi="Times New Roman"/>
          <w:szCs w:val="24"/>
        </w:rPr>
        <w:t xml:space="preserve"> </w:t>
      </w:r>
      <w:r w:rsidRPr="00B1190E">
        <w:rPr>
          <w:rFonts w:ascii="Times New Roman" w:hAnsi="Times New Roman"/>
          <w:szCs w:val="24"/>
        </w:rPr>
        <w:t>501, 1301, 1308(d).</w:t>
      </w:r>
    </w:p>
    <w:p w:rsidR="0035120D" w:rsidRPr="00B1190E" w:rsidRDefault="0035120D" w:rsidP="0035120D">
      <w:pPr>
        <w:rPr>
          <w:rFonts w:ascii="Times New Roman" w:hAnsi="Times New Roman"/>
          <w:szCs w:val="24"/>
        </w:rPr>
      </w:pPr>
    </w:p>
    <w:p w:rsidR="0035120D" w:rsidRPr="00B1190E" w:rsidRDefault="0035120D" w:rsidP="0035120D">
      <w:pPr>
        <w:rPr>
          <w:rFonts w:ascii="Times New Roman" w:hAnsi="Times New Roman"/>
        </w:rPr>
      </w:pPr>
      <w:r w:rsidRPr="00B1190E">
        <w:rPr>
          <w:rFonts w:ascii="Times New Roman" w:hAnsi="Times New Roman"/>
          <w:szCs w:val="24"/>
        </w:rPr>
        <w:tab/>
      </w:r>
      <w:r w:rsidRPr="00B1190E">
        <w:rPr>
          <w:rFonts w:ascii="Times New Roman" w:hAnsi="Times New Roman"/>
          <w:szCs w:val="24"/>
        </w:rPr>
        <w:tab/>
      </w:r>
      <w:r w:rsidRPr="00B1190E">
        <w:rPr>
          <w:rFonts w:ascii="Times New Roman" w:hAnsi="Times New Roman"/>
        </w:rPr>
        <w:t>2.</w:t>
      </w:r>
      <w:r w:rsidRPr="00B1190E">
        <w:rPr>
          <w:rFonts w:ascii="Times New Roman" w:hAnsi="Times New Roman"/>
        </w:rPr>
        <w:tab/>
      </w:r>
      <w:r w:rsidRPr="00B1190E">
        <w:rPr>
          <w:rFonts w:ascii="Times New Roman" w:hAnsi="Times New Roman"/>
          <w:color w:val="000000"/>
        </w:rPr>
        <w:t xml:space="preserve">The benchmark for determining the acceptability of a settlement is whether the proposed terms and conditions are in the public interest.  </w:t>
      </w:r>
      <w:r w:rsidRPr="00B1190E">
        <w:rPr>
          <w:rFonts w:ascii="Times New Roman" w:hAnsi="Times New Roman"/>
          <w:color w:val="000000"/>
          <w:u w:val="single"/>
        </w:rPr>
        <w:t>Warner v. GTE North, Inc.</w:t>
      </w:r>
      <w:r w:rsidRPr="00B1190E">
        <w:rPr>
          <w:rFonts w:ascii="Times New Roman" w:hAnsi="Times New Roman"/>
          <w:color w:val="000000"/>
        </w:rPr>
        <w:t xml:space="preserve">, Docket No. C-00902815, Opinion and Order entered April 1, 1996; </w:t>
      </w:r>
      <w:r w:rsidRPr="00B1190E">
        <w:rPr>
          <w:rFonts w:ascii="Times New Roman" w:hAnsi="Times New Roman"/>
          <w:color w:val="000000"/>
          <w:u w:val="single"/>
        </w:rPr>
        <w:t>Pa. P</w:t>
      </w:r>
      <w:r w:rsidR="00F428E7">
        <w:rPr>
          <w:rFonts w:ascii="Times New Roman" w:hAnsi="Times New Roman"/>
          <w:color w:val="000000"/>
          <w:u w:val="single"/>
        </w:rPr>
        <w:t>ub. Util. Comm’n</w:t>
      </w:r>
      <w:r w:rsidRPr="00B1190E">
        <w:rPr>
          <w:rFonts w:ascii="Times New Roman" w:hAnsi="Times New Roman"/>
          <w:color w:val="000000"/>
          <w:u w:val="single"/>
        </w:rPr>
        <w:t>. v. CS Water and Sewer Associates</w:t>
      </w:r>
      <w:r w:rsidRPr="00B1190E">
        <w:rPr>
          <w:rFonts w:ascii="Times New Roman" w:hAnsi="Times New Roman"/>
          <w:color w:val="000000"/>
        </w:rPr>
        <w:t>, 74 Pa. PUC 767 (1991).</w:t>
      </w:r>
    </w:p>
    <w:p w:rsidR="0035120D" w:rsidRPr="00B1190E" w:rsidRDefault="0035120D" w:rsidP="0035120D">
      <w:pPr>
        <w:rPr>
          <w:rFonts w:ascii="Times New Roman" w:hAnsi="Times New Roman"/>
        </w:rPr>
      </w:pPr>
    </w:p>
    <w:p w:rsidR="0035120D" w:rsidRPr="00B1190E" w:rsidRDefault="0035120D" w:rsidP="0035120D">
      <w:pPr>
        <w:rPr>
          <w:rFonts w:ascii="Times New Roman" w:hAnsi="Times New Roman"/>
        </w:rPr>
      </w:pPr>
      <w:r w:rsidRPr="00B1190E">
        <w:rPr>
          <w:rFonts w:ascii="Times New Roman" w:hAnsi="Times New Roman"/>
        </w:rPr>
        <w:tab/>
      </w:r>
      <w:r w:rsidRPr="00B1190E">
        <w:rPr>
          <w:rFonts w:ascii="Times New Roman" w:hAnsi="Times New Roman"/>
        </w:rPr>
        <w:tab/>
        <w:t>3.</w:t>
      </w:r>
      <w:r w:rsidRPr="00B1190E">
        <w:rPr>
          <w:rFonts w:ascii="Times New Roman" w:hAnsi="Times New Roman"/>
        </w:rPr>
        <w:tab/>
        <w:t xml:space="preserve">The Joint Petition For </w:t>
      </w:r>
      <w:r w:rsidR="00393F71">
        <w:rPr>
          <w:rFonts w:ascii="Times New Roman" w:hAnsi="Times New Roman"/>
        </w:rPr>
        <w:t xml:space="preserve">Partial </w:t>
      </w:r>
      <w:r w:rsidRPr="00B1190E">
        <w:rPr>
          <w:rFonts w:ascii="Times New Roman" w:hAnsi="Times New Roman"/>
        </w:rPr>
        <w:t xml:space="preserve">Settlement submitted by </w:t>
      </w:r>
      <w:r w:rsidR="00690A7D">
        <w:rPr>
          <w:rFonts w:ascii="Times New Roman" w:hAnsi="Times New Roman"/>
          <w:spacing w:val="-3"/>
          <w:szCs w:val="24"/>
        </w:rPr>
        <w:t xml:space="preserve">Pennsylvania </w:t>
      </w:r>
      <w:r w:rsidR="00393F71">
        <w:rPr>
          <w:rFonts w:ascii="Times New Roman" w:hAnsi="Times New Roman"/>
        </w:rPr>
        <w:t>Power Company</w:t>
      </w:r>
      <w:r w:rsidRPr="00B1190E">
        <w:rPr>
          <w:rFonts w:ascii="Times New Roman" w:hAnsi="Times New Roman"/>
        </w:rPr>
        <w:t xml:space="preserve">, the Office of Consumer Advocate, the Office of Small Business Advocate, </w:t>
      </w:r>
      <w:r w:rsidR="00A669B2" w:rsidRPr="00B1190E">
        <w:rPr>
          <w:rFonts w:ascii="Times New Roman" w:hAnsi="Times New Roman"/>
        </w:rPr>
        <w:t xml:space="preserve">the </w:t>
      </w:r>
      <w:r w:rsidR="00A669B2">
        <w:rPr>
          <w:rFonts w:ascii="Times New Roman" w:hAnsi="Times New Roman"/>
        </w:rPr>
        <w:t>Bureau of Investigations and Enforcement</w:t>
      </w:r>
      <w:r w:rsidR="00A669B2" w:rsidRPr="00B1190E">
        <w:rPr>
          <w:rFonts w:ascii="Times New Roman" w:hAnsi="Times New Roman"/>
        </w:rPr>
        <w:t xml:space="preserve">, </w:t>
      </w:r>
      <w:r w:rsidR="00A669B2">
        <w:rPr>
          <w:rFonts w:ascii="Times New Roman" w:hAnsi="Times New Roman"/>
        </w:rPr>
        <w:t xml:space="preserve">Pennsylvania Power Users Group, Environmental Defense Fund, and Wal-Mart Stores East, LP, </w:t>
      </w:r>
      <w:r w:rsidR="00FD4C53">
        <w:rPr>
          <w:rFonts w:ascii="Times New Roman" w:hAnsi="Times New Roman"/>
        </w:rPr>
        <w:t>i</w:t>
      </w:r>
      <w:r w:rsidRPr="00B1190E">
        <w:rPr>
          <w:rFonts w:ascii="Times New Roman" w:hAnsi="Times New Roman"/>
        </w:rPr>
        <w:t>s just and reasonable and in the public interest.</w:t>
      </w:r>
    </w:p>
    <w:p w:rsidR="0035120D" w:rsidRPr="00B1190E" w:rsidRDefault="0035120D" w:rsidP="0035120D">
      <w:pPr>
        <w:rPr>
          <w:rFonts w:ascii="Times New Roman" w:hAnsi="Times New Roman"/>
        </w:rPr>
      </w:pPr>
    </w:p>
    <w:p w:rsidR="0035120D" w:rsidRPr="00B1190E" w:rsidRDefault="0035120D" w:rsidP="0035120D">
      <w:pPr>
        <w:rPr>
          <w:rFonts w:ascii="Times New Roman" w:hAnsi="Times New Roman"/>
        </w:rPr>
      </w:pPr>
      <w:r w:rsidRPr="00B1190E">
        <w:rPr>
          <w:rFonts w:ascii="Times New Roman" w:hAnsi="Times New Roman"/>
        </w:rPr>
        <w:tab/>
      </w:r>
      <w:r w:rsidRPr="00B1190E">
        <w:rPr>
          <w:rFonts w:ascii="Times New Roman" w:hAnsi="Times New Roman"/>
        </w:rPr>
        <w:tab/>
        <w:t>4.</w:t>
      </w:r>
      <w:r w:rsidRPr="00B1190E">
        <w:rPr>
          <w:rFonts w:ascii="Times New Roman" w:hAnsi="Times New Roman"/>
        </w:rPr>
        <w:tab/>
        <w:t>The proposed base rate revenue increase of $</w:t>
      </w:r>
      <w:r w:rsidR="00A669B2">
        <w:rPr>
          <w:rFonts w:ascii="Times New Roman" w:hAnsi="Times New Roman"/>
        </w:rPr>
        <w:t>17</w:t>
      </w:r>
      <w:r w:rsidR="002B3D56">
        <w:rPr>
          <w:rFonts w:ascii="Times New Roman" w:hAnsi="Times New Roman"/>
        </w:rPr>
        <w:t xml:space="preserve"> million,</w:t>
      </w:r>
      <w:r w:rsidRPr="00B1190E">
        <w:rPr>
          <w:rFonts w:ascii="Times New Roman" w:hAnsi="Times New Roman"/>
        </w:rPr>
        <w:t xml:space="preserve"> as shown in the Proof of Revenue at </w:t>
      </w:r>
      <w:r w:rsidR="00A669B2">
        <w:rPr>
          <w:rFonts w:ascii="Times New Roman" w:hAnsi="Times New Roman"/>
        </w:rPr>
        <w:t>Exhibit 2</w:t>
      </w:r>
      <w:r w:rsidRPr="00B1190E">
        <w:rPr>
          <w:rFonts w:ascii="Times New Roman" w:hAnsi="Times New Roman"/>
        </w:rPr>
        <w:t xml:space="preserve"> to the Joint Petition For </w:t>
      </w:r>
      <w:r w:rsidR="00393F71">
        <w:rPr>
          <w:rFonts w:ascii="Times New Roman" w:hAnsi="Times New Roman"/>
        </w:rPr>
        <w:t xml:space="preserve">Partial </w:t>
      </w:r>
      <w:r w:rsidRPr="00B1190E">
        <w:rPr>
          <w:rFonts w:ascii="Times New Roman" w:hAnsi="Times New Roman"/>
        </w:rPr>
        <w:t xml:space="preserve">Settlement, is just and reasonable, as required by 66 </w:t>
      </w:r>
      <w:r w:rsidR="007E74EE">
        <w:rPr>
          <w:rFonts w:ascii="Times New Roman" w:hAnsi="Times New Roman"/>
        </w:rPr>
        <w:t>Pa.C.S.A.</w:t>
      </w:r>
      <w:r w:rsidRPr="00B1190E">
        <w:rPr>
          <w:rFonts w:ascii="Times New Roman" w:hAnsi="Times New Roman"/>
        </w:rPr>
        <w:t xml:space="preserve"> §</w:t>
      </w:r>
      <w:r w:rsidR="001223F4">
        <w:rPr>
          <w:rFonts w:ascii="Times New Roman" w:hAnsi="Times New Roman"/>
        </w:rPr>
        <w:t xml:space="preserve"> </w:t>
      </w:r>
      <w:r w:rsidRPr="00B1190E">
        <w:rPr>
          <w:rFonts w:ascii="Times New Roman" w:hAnsi="Times New Roman"/>
        </w:rPr>
        <w:t xml:space="preserve">1301, and has been fully supported by the parties to the Joint Petition For </w:t>
      </w:r>
      <w:r w:rsidR="00393F71">
        <w:rPr>
          <w:rFonts w:ascii="Times New Roman" w:hAnsi="Times New Roman"/>
        </w:rPr>
        <w:t xml:space="preserve">Partial </w:t>
      </w:r>
      <w:r w:rsidRPr="00B1190E">
        <w:rPr>
          <w:rFonts w:ascii="Times New Roman" w:hAnsi="Times New Roman"/>
        </w:rPr>
        <w:t>Settlement.</w:t>
      </w:r>
    </w:p>
    <w:p w:rsidR="0035120D" w:rsidRPr="00B1190E" w:rsidRDefault="0035120D" w:rsidP="0035120D">
      <w:pPr>
        <w:rPr>
          <w:rFonts w:ascii="Times New Roman" w:hAnsi="Times New Roman"/>
        </w:rPr>
      </w:pPr>
    </w:p>
    <w:p w:rsidR="0035120D" w:rsidRPr="00B1190E" w:rsidRDefault="0035120D" w:rsidP="0035120D">
      <w:pPr>
        <w:rPr>
          <w:rFonts w:ascii="Times New Roman" w:hAnsi="Times New Roman"/>
          <w:color w:val="000000"/>
        </w:rPr>
      </w:pPr>
      <w:r w:rsidRPr="00B1190E">
        <w:rPr>
          <w:rFonts w:ascii="Times New Roman" w:hAnsi="Times New Roman"/>
          <w:color w:val="000000"/>
        </w:rPr>
        <w:tab/>
      </w:r>
      <w:r w:rsidRPr="00B1190E">
        <w:rPr>
          <w:rFonts w:ascii="Times New Roman" w:hAnsi="Times New Roman"/>
          <w:color w:val="000000"/>
        </w:rPr>
        <w:tab/>
        <w:t>5.</w:t>
      </w:r>
      <w:r w:rsidRPr="00B1190E">
        <w:rPr>
          <w:rFonts w:ascii="Times New Roman" w:hAnsi="Times New Roman"/>
          <w:color w:val="000000"/>
        </w:rPr>
        <w:tab/>
        <w:t xml:space="preserve">The revenue allocations to the various customer classes, provided in the Joint Petition For </w:t>
      </w:r>
      <w:r w:rsidR="00393F71">
        <w:rPr>
          <w:rFonts w:ascii="Times New Roman" w:hAnsi="Times New Roman"/>
          <w:color w:val="000000"/>
        </w:rPr>
        <w:t xml:space="preserve">Partial </w:t>
      </w:r>
      <w:r w:rsidRPr="00B1190E">
        <w:rPr>
          <w:rFonts w:ascii="Times New Roman" w:hAnsi="Times New Roman"/>
          <w:color w:val="000000"/>
        </w:rPr>
        <w:t xml:space="preserve">Settlement, produce just and reasonable rates, as required by 66 </w:t>
      </w:r>
      <w:r w:rsidR="007E74EE">
        <w:rPr>
          <w:rFonts w:ascii="Times New Roman" w:hAnsi="Times New Roman"/>
          <w:color w:val="000000"/>
        </w:rPr>
        <w:t>Pa.C.S.A.</w:t>
      </w:r>
      <w:r w:rsidRPr="00B1190E">
        <w:rPr>
          <w:rFonts w:ascii="Times New Roman" w:hAnsi="Times New Roman"/>
          <w:color w:val="000000"/>
        </w:rPr>
        <w:t> §</w:t>
      </w:r>
      <w:r w:rsidR="001223F4">
        <w:rPr>
          <w:rFonts w:ascii="Times New Roman" w:hAnsi="Times New Roman"/>
          <w:color w:val="000000"/>
        </w:rPr>
        <w:t xml:space="preserve"> </w:t>
      </w:r>
      <w:r w:rsidRPr="00B1190E">
        <w:rPr>
          <w:rFonts w:ascii="Times New Roman" w:hAnsi="Times New Roman"/>
          <w:color w:val="000000"/>
        </w:rPr>
        <w:t>1301.</w:t>
      </w:r>
    </w:p>
    <w:p w:rsidR="0035120D" w:rsidRPr="00B1190E" w:rsidRDefault="0035120D" w:rsidP="0035120D">
      <w:pPr>
        <w:rPr>
          <w:rFonts w:ascii="Times New Roman" w:hAnsi="Times New Roman"/>
          <w:color w:val="000000"/>
        </w:rPr>
      </w:pPr>
    </w:p>
    <w:p w:rsidR="0035120D" w:rsidRPr="00B1190E" w:rsidRDefault="0035120D" w:rsidP="0035120D">
      <w:pPr>
        <w:rPr>
          <w:rFonts w:ascii="Times New Roman" w:hAnsi="Times New Roman"/>
          <w:color w:val="000000"/>
        </w:rPr>
      </w:pPr>
      <w:r w:rsidRPr="00B1190E">
        <w:rPr>
          <w:rFonts w:ascii="Times New Roman" w:hAnsi="Times New Roman"/>
          <w:color w:val="000000"/>
        </w:rPr>
        <w:tab/>
      </w:r>
      <w:r w:rsidRPr="00B1190E">
        <w:rPr>
          <w:rFonts w:ascii="Times New Roman" w:hAnsi="Times New Roman"/>
          <w:color w:val="000000"/>
        </w:rPr>
        <w:tab/>
        <w:t>6.</w:t>
      </w:r>
      <w:r w:rsidRPr="00B1190E">
        <w:rPr>
          <w:rFonts w:ascii="Times New Roman" w:hAnsi="Times New Roman"/>
          <w:color w:val="000000"/>
        </w:rPr>
        <w:tab/>
      </w:r>
      <w:r w:rsidR="001223F4">
        <w:rPr>
          <w:rFonts w:ascii="Times New Roman" w:hAnsi="Times New Roman"/>
          <w:color w:val="000000"/>
        </w:rPr>
        <w:t>The LED Street Lighting Service Offering, proposed in the filing on August 4, 2014, is</w:t>
      </w:r>
      <w:r w:rsidRPr="00B1190E">
        <w:rPr>
          <w:rFonts w:ascii="Times New Roman" w:hAnsi="Times New Roman"/>
          <w:color w:val="000000"/>
        </w:rPr>
        <w:t xml:space="preserve"> just and reasonable, as required by 66 </w:t>
      </w:r>
      <w:r w:rsidR="007E74EE">
        <w:rPr>
          <w:rFonts w:ascii="Times New Roman" w:hAnsi="Times New Roman"/>
          <w:color w:val="000000"/>
        </w:rPr>
        <w:t>Pa.C.S.A.</w:t>
      </w:r>
      <w:r w:rsidRPr="00B1190E">
        <w:rPr>
          <w:rFonts w:ascii="Times New Roman" w:hAnsi="Times New Roman"/>
          <w:color w:val="000000"/>
        </w:rPr>
        <w:t xml:space="preserve"> §1301. </w:t>
      </w:r>
    </w:p>
    <w:p w:rsidR="0035120D" w:rsidRPr="00147D66" w:rsidRDefault="0035120D" w:rsidP="0035120D">
      <w:pPr>
        <w:rPr>
          <w:rFonts w:ascii="Times New Roman" w:hAnsi="Times New Roman"/>
          <w:color w:val="000000"/>
        </w:rPr>
      </w:pPr>
    </w:p>
    <w:p w:rsidR="0035120D" w:rsidRPr="001C41E5" w:rsidRDefault="0035120D" w:rsidP="006B5152">
      <w:pPr>
        <w:pStyle w:val="Heading1"/>
        <w:numPr>
          <w:ilvl w:val="0"/>
          <w:numId w:val="0"/>
        </w:numPr>
        <w:spacing w:line="360" w:lineRule="auto"/>
        <w:rPr>
          <w:b w:val="0"/>
          <w:szCs w:val="24"/>
        </w:rPr>
      </w:pPr>
      <w:bookmarkStart w:id="34" w:name="_Toc74633069"/>
      <w:bookmarkStart w:id="35" w:name="_Toc74642303"/>
      <w:bookmarkStart w:id="36" w:name="_Toc74643112"/>
      <w:r w:rsidRPr="001C41E5">
        <w:rPr>
          <w:b w:val="0"/>
          <w:szCs w:val="24"/>
          <w:u w:val="none"/>
        </w:rPr>
        <w:t>VI.</w:t>
      </w:r>
      <w:r w:rsidRPr="001C41E5">
        <w:rPr>
          <w:b w:val="0"/>
          <w:szCs w:val="24"/>
          <w:u w:val="none"/>
        </w:rPr>
        <w:tab/>
      </w:r>
      <w:bookmarkEnd w:id="34"/>
      <w:bookmarkEnd w:id="35"/>
      <w:bookmarkEnd w:id="36"/>
      <w:r w:rsidR="00842DA9">
        <w:rPr>
          <w:b w:val="0"/>
          <w:szCs w:val="24"/>
        </w:rPr>
        <w:t>ORDER</w:t>
      </w:r>
      <w:r w:rsidR="00FF47BD" w:rsidRPr="001C41E5">
        <w:rPr>
          <w:b w:val="0"/>
          <w:szCs w:val="24"/>
        </w:rPr>
        <w:fldChar w:fldCharType="begin"/>
      </w:r>
      <w:r w:rsidRPr="001C41E5">
        <w:rPr>
          <w:b w:val="0"/>
        </w:rPr>
        <w:instrText xml:space="preserve"> TC "</w:instrText>
      </w:r>
      <w:bookmarkStart w:id="37" w:name="_Toc206476829"/>
      <w:r w:rsidRPr="001C41E5">
        <w:rPr>
          <w:b w:val="0"/>
          <w:szCs w:val="24"/>
          <w:u w:val="none"/>
        </w:rPr>
        <w:instrText>VII.</w:instrText>
      </w:r>
      <w:r w:rsidRPr="001C41E5">
        <w:rPr>
          <w:b w:val="0"/>
          <w:szCs w:val="24"/>
          <w:u w:val="none"/>
        </w:rPr>
        <w:tab/>
      </w:r>
      <w:r w:rsidRPr="001C41E5">
        <w:rPr>
          <w:b w:val="0"/>
          <w:szCs w:val="24"/>
        </w:rPr>
        <w:instrText>ORDER</w:instrText>
      </w:r>
      <w:bookmarkEnd w:id="37"/>
      <w:r w:rsidRPr="001C41E5">
        <w:rPr>
          <w:b w:val="0"/>
        </w:rPr>
        <w:instrText xml:space="preserve">" \f C \l "1" </w:instrText>
      </w:r>
      <w:r w:rsidR="00FF47BD" w:rsidRPr="001C41E5">
        <w:rPr>
          <w:b w:val="0"/>
          <w:szCs w:val="24"/>
        </w:rPr>
        <w:fldChar w:fldCharType="end"/>
      </w:r>
    </w:p>
    <w:p w:rsidR="0035120D" w:rsidRPr="001C41E5" w:rsidRDefault="0035120D" w:rsidP="0035120D">
      <w:pPr>
        <w:tabs>
          <w:tab w:val="left" w:pos="-720"/>
        </w:tabs>
        <w:suppressAutoHyphens/>
        <w:jc w:val="center"/>
        <w:rPr>
          <w:rFonts w:ascii="Times New Roman" w:hAnsi="Times New Roman"/>
          <w:spacing w:val="-3"/>
          <w:szCs w:val="24"/>
        </w:rPr>
      </w:pPr>
    </w:p>
    <w:p w:rsidR="0035120D" w:rsidRPr="001C41E5" w:rsidRDefault="0035120D" w:rsidP="0035120D">
      <w:pPr>
        <w:tabs>
          <w:tab w:val="left" w:pos="-720"/>
        </w:tabs>
        <w:suppressAutoHyphens/>
        <w:rPr>
          <w:rFonts w:ascii="Times New Roman" w:hAnsi="Times New Roman"/>
          <w:spacing w:val="-3"/>
          <w:szCs w:val="24"/>
        </w:rPr>
      </w:pPr>
      <w:r w:rsidRPr="001C41E5">
        <w:rPr>
          <w:rFonts w:ascii="Times New Roman" w:hAnsi="Times New Roman"/>
          <w:spacing w:val="-3"/>
          <w:szCs w:val="24"/>
        </w:rPr>
        <w:tab/>
      </w:r>
      <w:r w:rsidRPr="001C41E5">
        <w:rPr>
          <w:rFonts w:ascii="Times New Roman" w:hAnsi="Times New Roman"/>
          <w:spacing w:val="-3"/>
          <w:szCs w:val="24"/>
        </w:rPr>
        <w:tab/>
        <w:t>THEREFORE,</w:t>
      </w:r>
    </w:p>
    <w:p w:rsidR="0035120D" w:rsidRPr="001C41E5" w:rsidRDefault="0035120D" w:rsidP="0035120D">
      <w:pPr>
        <w:tabs>
          <w:tab w:val="left" w:pos="-720"/>
        </w:tabs>
        <w:suppressAutoHyphens/>
        <w:rPr>
          <w:rFonts w:ascii="Times New Roman" w:hAnsi="Times New Roman"/>
          <w:spacing w:val="-3"/>
          <w:szCs w:val="24"/>
        </w:rPr>
      </w:pPr>
    </w:p>
    <w:p w:rsidR="0035120D" w:rsidRPr="001C41E5" w:rsidRDefault="0035120D" w:rsidP="0035120D">
      <w:pPr>
        <w:pStyle w:val="BodyText3"/>
        <w:tabs>
          <w:tab w:val="left" w:pos="-720"/>
        </w:tabs>
        <w:spacing w:after="0" w:line="360" w:lineRule="auto"/>
        <w:rPr>
          <w:spacing w:val="-3"/>
          <w:sz w:val="24"/>
          <w:szCs w:val="24"/>
        </w:rPr>
      </w:pPr>
      <w:r w:rsidRPr="001C41E5">
        <w:rPr>
          <w:sz w:val="24"/>
          <w:szCs w:val="24"/>
        </w:rPr>
        <w:tab/>
      </w:r>
      <w:r w:rsidRPr="001C41E5">
        <w:rPr>
          <w:sz w:val="24"/>
          <w:szCs w:val="24"/>
        </w:rPr>
        <w:tab/>
        <w:t>IT IS RECOMMENDED:</w:t>
      </w:r>
    </w:p>
    <w:p w:rsidR="0035120D" w:rsidRPr="001C41E5" w:rsidRDefault="0035120D" w:rsidP="0035120D">
      <w:pPr>
        <w:tabs>
          <w:tab w:val="left" w:pos="-720"/>
        </w:tabs>
        <w:suppressAutoHyphens/>
        <w:rPr>
          <w:rFonts w:ascii="Times New Roman" w:hAnsi="Times New Roman"/>
          <w:spacing w:val="-3"/>
          <w:szCs w:val="24"/>
        </w:rPr>
      </w:pPr>
    </w:p>
    <w:p w:rsidR="0035120D" w:rsidRPr="001C41E5" w:rsidRDefault="0035120D" w:rsidP="0035120D">
      <w:pPr>
        <w:tabs>
          <w:tab w:val="left" w:pos="-720"/>
        </w:tabs>
        <w:suppressAutoHyphens/>
        <w:rPr>
          <w:rFonts w:ascii="Times New Roman" w:hAnsi="Times New Roman"/>
          <w:spacing w:val="-3"/>
          <w:szCs w:val="24"/>
        </w:rPr>
      </w:pPr>
      <w:r w:rsidRPr="001C41E5">
        <w:rPr>
          <w:rFonts w:ascii="Times New Roman" w:hAnsi="Times New Roman"/>
          <w:spacing w:val="-3"/>
          <w:szCs w:val="24"/>
        </w:rPr>
        <w:tab/>
      </w:r>
      <w:r w:rsidRPr="001C41E5">
        <w:rPr>
          <w:rFonts w:ascii="Times New Roman" w:hAnsi="Times New Roman"/>
          <w:spacing w:val="-3"/>
          <w:szCs w:val="24"/>
        </w:rPr>
        <w:tab/>
        <w:t>1.</w:t>
      </w:r>
      <w:r w:rsidRPr="001C41E5">
        <w:rPr>
          <w:rFonts w:ascii="Times New Roman" w:hAnsi="Times New Roman"/>
          <w:spacing w:val="-3"/>
          <w:szCs w:val="24"/>
        </w:rPr>
        <w:tab/>
        <w:t xml:space="preserve">That </w:t>
      </w:r>
      <w:r w:rsidR="00393F71">
        <w:rPr>
          <w:rFonts w:ascii="Times New Roman" w:hAnsi="Times New Roman"/>
          <w:spacing w:val="-3"/>
          <w:szCs w:val="24"/>
        </w:rPr>
        <w:t>Penn</w:t>
      </w:r>
      <w:r w:rsidR="00690A7D">
        <w:rPr>
          <w:rFonts w:ascii="Times New Roman" w:hAnsi="Times New Roman"/>
          <w:spacing w:val="-3"/>
          <w:szCs w:val="24"/>
        </w:rPr>
        <w:t>sylvania</w:t>
      </w:r>
      <w:r w:rsidR="00393F71">
        <w:rPr>
          <w:rFonts w:ascii="Times New Roman" w:hAnsi="Times New Roman"/>
          <w:spacing w:val="-3"/>
          <w:szCs w:val="24"/>
        </w:rPr>
        <w:t xml:space="preserve"> Power Company</w:t>
      </w:r>
      <w:r w:rsidR="00666574">
        <w:rPr>
          <w:rFonts w:ascii="Times New Roman" w:hAnsi="Times New Roman"/>
          <w:spacing w:val="-3"/>
          <w:szCs w:val="24"/>
        </w:rPr>
        <w:t>, having agreed not to do so,</w:t>
      </w:r>
      <w:r w:rsidRPr="001C41E5">
        <w:rPr>
          <w:rFonts w:ascii="Times New Roman" w:hAnsi="Times New Roman"/>
          <w:spacing w:val="-3"/>
          <w:szCs w:val="24"/>
        </w:rPr>
        <w:t xml:space="preserve"> shall not place into effect the rates, rules, and regulations contained in </w:t>
      </w:r>
      <w:r w:rsidR="00666574">
        <w:rPr>
          <w:rFonts w:ascii="Times New Roman" w:hAnsi="Times New Roman"/>
          <w:spacing w:val="-3"/>
          <w:szCs w:val="24"/>
        </w:rPr>
        <w:t xml:space="preserve">its Original </w:t>
      </w:r>
      <w:r w:rsidRPr="001C41E5">
        <w:rPr>
          <w:rFonts w:ascii="Times New Roman" w:hAnsi="Times New Roman"/>
          <w:spacing w:val="-3"/>
          <w:szCs w:val="24"/>
        </w:rPr>
        <w:t xml:space="preserve">Tariff </w:t>
      </w:r>
      <w:r w:rsidR="00393F71">
        <w:rPr>
          <w:rFonts w:ascii="Times New Roman" w:hAnsi="Times New Roman"/>
          <w:spacing w:val="-3"/>
          <w:szCs w:val="24"/>
        </w:rPr>
        <w:t xml:space="preserve">Electric-Pa. P.U.C. No. </w:t>
      </w:r>
      <w:r w:rsidR="00A669B2">
        <w:rPr>
          <w:rFonts w:ascii="Times New Roman" w:hAnsi="Times New Roman"/>
          <w:spacing w:val="-3"/>
          <w:szCs w:val="24"/>
        </w:rPr>
        <w:t>36</w:t>
      </w:r>
      <w:r w:rsidRPr="001C41E5">
        <w:rPr>
          <w:rFonts w:ascii="Times New Roman" w:hAnsi="Times New Roman"/>
          <w:spacing w:val="-3"/>
          <w:szCs w:val="24"/>
        </w:rPr>
        <w:t xml:space="preserve">, </w:t>
      </w:r>
      <w:r w:rsidR="00666574">
        <w:rPr>
          <w:rFonts w:ascii="Times New Roman" w:hAnsi="Times New Roman"/>
          <w:spacing w:val="-3"/>
          <w:szCs w:val="24"/>
        </w:rPr>
        <w:t xml:space="preserve">filed on August 4, 2015, </w:t>
      </w:r>
      <w:r w:rsidRPr="001C41E5">
        <w:rPr>
          <w:rFonts w:ascii="Times New Roman" w:hAnsi="Times New Roman"/>
          <w:spacing w:val="-3"/>
          <w:szCs w:val="24"/>
        </w:rPr>
        <w:t>the same having been found to be unjust, unreasonable, and therefore unlawful.</w:t>
      </w:r>
    </w:p>
    <w:p w:rsidR="00666574" w:rsidRPr="001C41E5" w:rsidRDefault="00666574" w:rsidP="0035120D">
      <w:pPr>
        <w:tabs>
          <w:tab w:val="left" w:pos="-720"/>
        </w:tabs>
        <w:suppressAutoHyphens/>
        <w:rPr>
          <w:rFonts w:ascii="Times New Roman" w:hAnsi="Times New Roman"/>
          <w:spacing w:val="-3"/>
          <w:szCs w:val="24"/>
        </w:rPr>
      </w:pPr>
    </w:p>
    <w:p w:rsidR="0035120D" w:rsidRDefault="002A76AF" w:rsidP="0035120D">
      <w:pPr>
        <w:tabs>
          <w:tab w:val="left" w:pos="-720"/>
        </w:tabs>
        <w:suppressAutoHyphens/>
        <w:rPr>
          <w:rFonts w:ascii="Times New Roman" w:hAnsi="Times New Roman"/>
          <w:spacing w:val="-3"/>
          <w:szCs w:val="24"/>
        </w:rPr>
      </w:pPr>
      <w:r>
        <w:rPr>
          <w:rFonts w:ascii="Times New Roman" w:hAnsi="Times New Roman"/>
          <w:spacing w:val="-3"/>
          <w:szCs w:val="24"/>
        </w:rPr>
        <w:lastRenderedPageBreak/>
        <w:tab/>
      </w:r>
      <w:r>
        <w:rPr>
          <w:rFonts w:ascii="Times New Roman" w:hAnsi="Times New Roman"/>
          <w:spacing w:val="-3"/>
          <w:szCs w:val="24"/>
        </w:rPr>
        <w:tab/>
        <w:t>2.</w:t>
      </w:r>
      <w:r>
        <w:rPr>
          <w:rFonts w:ascii="Times New Roman" w:hAnsi="Times New Roman"/>
          <w:spacing w:val="-3"/>
          <w:szCs w:val="24"/>
        </w:rPr>
        <w:tab/>
        <w:t>That the Joint Petition f</w:t>
      </w:r>
      <w:r w:rsidR="0035120D" w:rsidRPr="001C41E5">
        <w:rPr>
          <w:rFonts w:ascii="Times New Roman" w:hAnsi="Times New Roman"/>
          <w:spacing w:val="-3"/>
          <w:szCs w:val="24"/>
        </w:rPr>
        <w:t xml:space="preserve">or </w:t>
      </w:r>
      <w:r w:rsidR="00393F71">
        <w:rPr>
          <w:rFonts w:ascii="Times New Roman" w:hAnsi="Times New Roman"/>
          <w:spacing w:val="-3"/>
          <w:szCs w:val="24"/>
        </w:rPr>
        <w:t xml:space="preserve">Partial </w:t>
      </w:r>
      <w:r w:rsidR="0035120D" w:rsidRPr="001C41E5">
        <w:rPr>
          <w:rFonts w:ascii="Times New Roman" w:hAnsi="Times New Roman"/>
          <w:spacing w:val="-3"/>
          <w:szCs w:val="24"/>
        </w:rPr>
        <w:t xml:space="preserve">Settlement submitted by </w:t>
      </w:r>
      <w:r w:rsidR="00690A7D">
        <w:rPr>
          <w:rFonts w:ascii="Times New Roman" w:hAnsi="Times New Roman"/>
          <w:spacing w:val="-3"/>
          <w:szCs w:val="24"/>
        </w:rPr>
        <w:t xml:space="preserve">Pennsylvania </w:t>
      </w:r>
      <w:r w:rsidR="00393F71">
        <w:rPr>
          <w:rFonts w:ascii="Times New Roman" w:hAnsi="Times New Roman"/>
          <w:spacing w:val="-3"/>
          <w:szCs w:val="24"/>
        </w:rPr>
        <w:t>Power Company</w:t>
      </w:r>
      <w:r w:rsidR="00A669B2">
        <w:rPr>
          <w:rFonts w:ascii="Times New Roman" w:hAnsi="Times New Roman"/>
          <w:spacing w:val="-3"/>
          <w:szCs w:val="24"/>
        </w:rPr>
        <w:t xml:space="preserve">, </w:t>
      </w:r>
      <w:r w:rsidR="00A669B2" w:rsidRPr="00B1190E">
        <w:rPr>
          <w:rFonts w:ascii="Times New Roman" w:hAnsi="Times New Roman"/>
        </w:rPr>
        <w:t xml:space="preserve">the Office of Consumer Advocate, the Office of Small Business Advocate, the </w:t>
      </w:r>
      <w:r w:rsidR="00A669B2">
        <w:rPr>
          <w:rFonts w:ascii="Times New Roman" w:hAnsi="Times New Roman"/>
        </w:rPr>
        <w:t>Bureau of Investigations and Enforcement</w:t>
      </w:r>
      <w:r w:rsidR="00A669B2" w:rsidRPr="00B1190E">
        <w:rPr>
          <w:rFonts w:ascii="Times New Roman" w:hAnsi="Times New Roman"/>
        </w:rPr>
        <w:t xml:space="preserve">, </w:t>
      </w:r>
      <w:r w:rsidR="00A669B2">
        <w:rPr>
          <w:rFonts w:ascii="Times New Roman" w:hAnsi="Times New Roman"/>
        </w:rPr>
        <w:t>Pennsylvania Power Users Group, Environmental Defense Fund, and Wal-Mart Stores East, LP,</w:t>
      </w:r>
      <w:r w:rsidR="00666574">
        <w:rPr>
          <w:rFonts w:ascii="Times New Roman" w:hAnsi="Times New Roman"/>
        </w:rPr>
        <w:t xml:space="preserve"> on February 4, 2015,</w:t>
      </w:r>
      <w:r w:rsidR="00A669B2">
        <w:rPr>
          <w:rFonts w:ascii="Times New Roman" w:hAnsi="Times New Roman"/>
        </w:rPr>
        <w:t xml:space="preserve"> </w:t>
      </w:r>
      <w:r w:rsidR="0035120D" w:rsidRPr="001C41E5">
        <w:rPr>
          <w:rFonts w:ascii="Times New Roman" w:hAnsi="Times New Roman"/>
          <w:spacing w:val="-3"/>
          <w:szCs w:val="24"/>
        </w:rPr>
        <w:t>at Docket No. R-</w:t>
      </w:r>
      <w:r w:rsidR="00A669B2">
        <w:rPr>
          <w:rFonts w:ascii="Times New Roman" w:hAnsi="Times New Roman"/>
          <w:spacing w:val="-3"/>
          <w:szCs w:val="24"/>
        </w:rPr>
        <w:t>2014-2428744</w:t>
      </w:r>
      <w:r w:rsidR="0035120D" w:rsidRPr="001C41E5">
        <w:rPr>
          <w:rFonts w:ascii="Times New Roman" w:hAnsi="Times New Roman"/>
          <w:spacing w:val="-3"/>
          <w:szCs w:val="24"/>
        </w:rPr>
        <w:t>, including all terms and conditions as clarified, is approved</w:t>
      </w:r>
      <w:r w:rsidR="0023081E">
        <w:rPr>
          <w:rFonts w:ascii="Times New Roman" w:hAnsi="Times New Roman"/>
          <w:spacing w:val="-3"/>
          <w:szCs w:val="24"/>
        </w:rPr>
        <w:t>, with the modifications listed in Ordering Paragraph No. 3</w:t>
      </w:r>
      <w:r w:rsidR="0035120D" w:rsidRPr="001C41E5">
        <w:rPr>
          <w:rFonts w:ascii="Times New Roman" w:hAnsi="Times New Roman"/>
          <w:spacing w:val="-3"/>
          <w:szCs w:val="24"/>
        </w:rPr>
        <w:t>.</w:t>
      </w:r>
    </w:p>
    <w:p w:rsidR="0023081E" w:rsidRDefault="0023081E" w:rsidP="0023081E">
      <w:pPr>
        <w:tabs>
          <w:tab w:val="left" w:pos="-720"/>
        </w:tabs>
        <w:suppressAutoHyphens/>
        <w:rPr>
          <w:rFonts w:ascii="Times New Roman" w:hAnsi="Times New Roman"/>
          <w:spacing w:val="-3"/>
          <w:szCs w:val="24"/>
        </w:rPr>
      </w:pPr>
    </w:p>
    <w:p w:rsidR="0023081E" w:rsidRPr="0023081E" w:rsidRDefault="0023081E" w:rsidP="0023081E">
      <w:pPr>
        <w:tabs>
          <w:tab w:val="left" w:pos="-720"/>
        </w:tabs>
        <w:suppressAutoHyphens/>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t xml:space="preserve">3. </w:t>
      </w:r>
      <w:r>
        <w:rPr>
          <w:rFonts w:ascii="Times New Roman" w:hAnsi="Times New Roman"/>
          <w:spacing w:val="-3"/>
          <w:szCs w:val="24"/>
        </w:rPr>
        <w:tab/>
        <w:t xml:space="preserve">That Pennsylvania Power Company shall provide to the Public Utility Commission’s Bureau of Technical Utility Services the same information </w:t>
      </w:r>
      <w:r w:rsidR="00370A7C">
        <w:rPr>
          <w:rFonts w:ascii="Times New Roman" w:hAnsi="Times New Roman"/>
          <w:spacing w:val="-3"/>
          <w:szCs w:val="24"/>
        </w:rPr>
        <w:t>provided to the statut</w:t>
      </w:r>
      <w:r>
        <w:rPr>
          <w:rFonts w:ascii="Times New Roman" w:hAnsi="Times New Roman"/>
          <w:spacing w:val="-3"/>
          <w:szCs w:val="24"/>
        </w:rPr>
        <w:t>ory parties, as specified in the Joint Petition for Partial Settlement at Paragraph Nos. 11(A)(5); 11(D)(4); 11(D)(6); 11(D</w:t>
      </w:r>
      <w:r w:rsidR="00370A7C">
        <w:rPr>
          <w:rFonts w:ascii="Times New Roman" w:hAnsi="Times New Roman"/>
          <w:spacing w:val="-3"/>
          <w:szCs w:val="24"/>
        </w:rPr>
        <w:t>)(8); and 11(E</w:t>
      </w:r>
      <w:r>
        <w:rPr>
          <w:rFonts w:ascii="Times New Roman" w:hAnsi="Times New Roman"/>
          <w:spacing w:val="-3"/>
          <w:szCs w:val="24"/>
        </w:rPr>
        <w:t>)(3).</w:t>
      </w:r>
    </w:p>
    <w:p w:rsidR="0023081E" w:rsidRPr="001C41E5" w:rsidRDefault="0023081E" w:rsidP="0035120D">
      <w:pPr>
        <w:tabs>
          <w:tab w:val="left" w:pos="-720"/>
        </w:tabs>
        <w:suppressAutoHyphens/>
        <w:rPr>
          <w:rFonts w:ascii="Times New Roman" w:hAnsi="Times New Roman"/>
          <w:spacing w:val="-3"/>
          <w:szCs w:val="24"/>
        </w:rPr>
      </w:pPr>
    </w:p>
    <w:p w:rsidR="0035120D" w:rsidRPr="001C41E5" w:rsidRDefault="0035120D" w:rsidP="0035120D">
      <w:pPr>
        <w:tabs>
          <w:tab w:val="left" w:pos="-720"/>
        </w:tabs>
        <w:suppressAutoHyphens/>
        <w:rPr>
          <w:rFonts w:ascii="Times New Roman" w:hAnsi="Times New Roman"/>
          <w:spacing w:val="-3"/>
          <w:szCs w:val="24"/>
        </w:rPr>
      </w:pPr>
      <w:r w:rsidRPr="001C41E5">
        <w:rPr>
          <w:rFonts w:ascii="Times New Roman" w:hAnsi="Times New Roman"/>
          <w:spacing w:val="-3"/>
          <w:szCs w:val="24"/>
        </w:rPr>
        <w:tab/>
      </w:r>
      <w:r w:rsidRPr="001C41E5">
        <w:rPr>
          <w:rFonts w:ascii="Times New Roman" w:hAnsi="Times New Roman"/>
          <w:spacing w:val="-3"/>
          <w:szCs w:val="24"/>
        </w:rPr>
        <w:tab/>
      </w:r>
      <w:r w:rsidR="00370A7C">
        <w:rPr>
          <w:rFonts w:ascii="Times New Roman" w:hAnsi="Times New Roman"/>
          <w:spacing w:val="-3"/>
          <w:szCs w:val="24"/>
        </w:rPr>
        <w:t>4</w:t>
      </w:r>
      <w:r w:rsidRPr="001C41E5">
        <w:rPr>
          <w:rFonts w:ascii="Times New Roman" w:hAnsi="Times New Roman"/>
          <w:spacing w:val="-3"/>
          <w:szCs w:val="24"/>
        </w:rPr>
        <w:t>.</w:t>
      </w:r>
      <w:r w:rsidRPr="001C41E5">
        <w:rPr>
          <w:rFonts w:ascii="Times New Roman" w:hAnsi="Times New Roman"/>
          <w:spacing w:val="-3"/>
          <w:szCs w:val="24"/>
        </w:rPr>
        <w:tab/>
        <w:t>That</w:t>
      </w:r>
      <w:r w:rsidR="002A76AF">
        <w:rPr>
          <w:rFonts w:ascii="Times New Roman" w:hAnsi="Times New Roman"/>
          <w:spacing w:val="-3"/>
          <w:szCs w:val="24"/>
        </w:rPr>
        <w:t xml:space="preserve"> Pennsylvania Power Company shall comply with all directives, agreements and conclusions in the Joint Petition for Partial Settlement that are not the subject of individual ordering paragraphs as fully as if they were the subject of specific ordering paragraphs.    </w:t>
      </w:r>
    </w:p>
    <w:p w:rsidR="0023081E" w:rsidRDefault="0023081E" w:rsidP="0035120D">
      <w:pPr>
        <w:autoSpaceDE w:val="0"/>
        <w:autoSpaceDN w:val="0"/>
        <w:adjustRightInd w:val="0"/>
        <w:rPr>
          <w:rFonts w:ascii="Times New Roman" w:hAnsi="Times New Roman"/>
          <w:spacing w:val="-3"/>
          <w:szCs w:val="24"/>
        </w:rPr>
      </w:pPr>
    </w:p>
    <w:p w:rsidR="0035120D" w:rsidRPr="00295221" w:rsidRDefault="00370A7C" w:rsidP="0035120D">
      <w:pPr>
        <w:autoSpaceDE w:val="0"/>
        <w:autoSpaceDN w:val="0"/>
        <w:adjustRightInd w:val="0"/>
        <w:rPr>
          <w:rFonts w:ascii="Times New Roman" w:hAnsi="Times New Roman"/>
          <w:szCs w:val="24"/>
        </w:rPr>
      </w:pPr>
      <w:r>
        <w:rPr>
          <w:rFonts w:ascii="Times New Roman" w:hAnsi="Times New Roman"/>
          <w:spacing w:val="-3"/>
          <w:szCs w:val="24"/>
        </w:rPr>
        <w:tab/>
      </w:r>
      <w:r>
        <w:rPr>
          <w:rFonts w:ascii="Times New Roman" w:hAnsi="Times New Roman"/>
          <w:spacing w:val="-3"/>
          <w:szCs w:val="24"/>
        </w:rPr>
        <w:tab/>
        <w:t>5</w:t>
      </w:r>
      <w:r w:rsidR="0035120D" w:rsidRPr="001C41E5">
        <w:rPr>
          <w:rFonts w:ascii="Times New Roman" w:hAnsi="Times New Roman"/>
          <w:spacing w:val="-3"/>
          <w:szCs w:val="24"/>
        </w:rPr>
        <w:t>.</w:t>
      </w:r>
      <w:r w:rsidR="0035120D" w:rsidRPr="001C41E5">
        <w:rPr>
          <w:rFonts w:ascii="Times New Roman" w:hAnsi="Times New Roman"/>
          <w:spacing w:val="-3"/>
          <w:szCs w:val="24"/>
        </w:rPr>
        <w:tab/>
      </w:r>
      <w:r w:rsidR="0035120D" w:rsidRPr="001C41E5">
        <w:rPr>
          <w:rFonts w:ascii="Times New Roman" w:hAnsi="Times New Roman"/>
          <w:szCs w:val="24"/>
        </w:rPr>
        <w:t xml:space="preserve">That </w:t>
      </w:r>
      <w:r w:rsidR="00690A7D">
        <w:rPr>
          <w:rFonts w:ascii="Times New Roman" w:hAnsi="Times New Roman"/>
          <w:spacing w:val="-3"/>
          <w:szCs w:val="24"/>
        </w:rPr>
        <w:t xml:space="preserve">Pennsylvania </w:t>
      </w:r>
      <w:r w:rsidR="00393F71">
        <w:rPr>
          <w:rFonts w:ascii="Times New Roman" w:hAnsi="Times New Roman"/>
          <w:szCs w:val="24"/>
        </w:rPr>
        <w:t>Power Company</w:t>
      </w:r>
      <w:r w:rsidR="0035120D" w:rsidRPr="001C41E5">
        <w:rPr>
          <w:rFonts w:ascii="Times New Roman" w:hAnsi="Times New Roman"/>
          <w:szCs w:val="24"/>
        </w:rPr>
        <w:t xml:space="preserve"> shall allocate the authorized increase </w:t>
      </w:r>
      <w:r w:rsidR="0035120D" w:rsidRPr="00295221">
        <w:rPr>
          <w:rFonts w:ascii="Times New Roman" w:hAnsi="Times New Roman"/>
          <w:szCs w:val="24"/>
        </w:rPr>
        <w:t xml:space="preserve">in operating revenue to each customer class and shall implement the rate design as set forth in </w:t>
      </w:r>
      <w:r w:rsidR="00A669B2" w:rsidRPr="00295221">
        <w:rPr>
          <w:rFonts w:ascii="Times New Roman" w:hAnsi="Times New Roman"/>
          <w:szCs w:val="24"/>
        </w:rPr>
        <w:t>Exhibit 3</w:t>
      </w:r>
      <w:r w:rsidR="0035120D" w:rsidRPr="00295221">
        <w:rPr>
          <w:rFonts w:ascii="Times New Roman" w:hAnsi="Times New Roman"/>
          <w:szCs w:val="24"/>
        </w:rPr>
        <w:t xml:space="preserve"> to the Joint Petition For </w:t>
      </w:r>
      <w:r w:rsidR="00393F71" w:rsidRPr="00295221">
        <w:rPr>
          <w:rFonts w:ascii="Times New Roman" w:hAnsi="Times New Roman"/>
          <w:szCs w:val="24"/>
        </w:rPr>
        <w:t xml:space="preserve">Partial </w:t>
      </w:r>
      <w:r w:rsidR="0035120D" w:rsidRPr="00295221">
        <w:rPr>
          <w:rFonts w:ascii="Times New Roman" w:hAnsi="Times New Roman"/>
          <w:szCs w:val="24"/>
        </w:rPr>
        <w:t>Settlement.</w:t>
      </w:r>
    </w:p>
    <w:p w:rsidR="0035120D" w:rsidRPr="00295221" w:rsidRDefault="0035120D" w:rsidP="0035120D">
      <w:pPr>
        <w:pStyle w:val="BodyText2"/>
        <w:spacing w:after="0" w:line="360" w:lineRule="auto"/>
        <w:rPr>
          <w:rFonts w:ascii="Times New Roman" w:hAnsi="Times New Roman"/>
          <w:szCs w:val="24"/>
        </w:rPr>
      </w:pPr>
    </w:p>
    <w:p w:rsidR="0035120D" w:rsidRPr="00295221" w:rsidRDefault="00370A7C" w:rsidP="0035120D">
      <w:pPr>
        <w:pStyle w:val="BodyText2"/>
        <w:spacing w:after="0" w:line="360" w:lineRule="auto"/>
        <w:rPr>
          <w:rFonts w:ascii="Times New Roman" w:hAnsi="Times New Roman"/>
          <w:szCs w:val="24"/>
        </w:rPr>
      </w:pPr>
      <w:r>
        <w:rPr>
          <w:rFonts w:ascii="Times New Roman" w:hAnsi="Times New Roman"/>
          <w:szCs w:val="24"/>
        </w:rPr>
        <w:tab/>
      </w:r>
      <w:r>
        <w:rPr>
          <w:rFonts w:ascii="Times New Roman" w:hAnsi="Times New Roman"/>
          <w:szCs w:val="24"/>
        </w:rPr>
        <w:tab/>
        <w:t>6</w:t>
      </w:r>
      <w:r w:rsidR="0035120D" w:rsidRPr="00295221">
        <w:rPr>
          <w:rFonts w:ascii="Times New Roman" w:hAnsi="Times New Roman"/>
          <w:szCs w:val="24"/>
        </w:rPr>
        <w:t>.</w:t>
      </w:r>
      <w:r w:rsidR="0035120D" w:rsidRPr="00295221">
        <w:rPr>
          <w:rFonts w:ascii="Times New Roman" w:hAnsi="Times New Roman"/>
          <w:szCs w:val="24"/>
        </w:rPr>
        <w:tab/>
        <w:t>That</w:t>
      </w:r>
      <w:r w:rsidR="00295221" w:rsidRPr="00295221">
        <w:rPr>
          <w:rFonts w:ascii="Times New Roman" w:hAnsi="Times New Roman"/>
          <w:szCs w:val="24"/>
        </w:rPr>
        <w:t xml:space="preserve"> Pennsylvania Power Company </w:t>
      </w:r>
      <w:r>
        <w:rPr>
          <w:rFonts w:ascii="Times New Roman" w:hAnsi="Times New Roman"/>
          <w:szCs w:val="24"/>
        </w:rPr>
        <w:t>is hereby authorized to file</w:t>
      </w:r>
      <w:r w:rsidR="00295221" w:rsidRPr="00295221">
        <w:rPr>
          <w:rFonts w:ascii="Times New Roman" w:hAnsi="Times New Roman"/>
          <w:szCs w:val="24"/>
        </w:rPr>
        <w:t xml:space="preserve"> a tariff supplement incorporating the terms of the settlement and changes to its rates, rules, and regulations as set forth in </w:t>
      </w:r>
      <w:r w:rsidR="00295221">
        <w:rPr>
          <w:rFonts w:ascii="Times New Roman" w:hAnsi="Times New Roman"/>
          <w:szCs w:val="24"/>
        </w:rPr>
        <w:t>Exhibit 2</w:t>
      </w:r>
      <w:r w:rsidR="00295221" w:rsidRPr="00295221">
        <w:rPr>
          <w:rFonts w:ascii="Times New Roman" w:hAnsi="Times New Roman"/>
          <w:szCs w:val="24"/>
        </w:rPr>
        <w:t xml:space="preserve"> of the Joint Petition for Partial Settlement, to become effective on at least one day’s notice after entry of the Commission’s order approving the settlement, for service rendered on and after May 19, 2015, which tariff supplement increases Pennsylvania Power Company’s rates so as to produce an increase in annual operating revenues of not more than $17,000,000.</w:t>
      </w:r>
    </w:p>
    <w:p w:rsidR="0035120D" w:rsidRDefault="0035120D" w:rsidP="0035120D">
      <w:pPr>
        <w:pStyle w:val="BodyText2"/>
        <w:spacing w:after="0" w:line="360" w:lineRule="auto"/>
        <w:rPr>
          <w:rFonts w:ascii="Times New Roman" w:hAnsi="Times New Roman"/>
          <w:szCs w:val="24"/>
        </w:rPr>
      </w:pPr>
    </w:p>
    <w:p w:rsidR="00295221" w:rsidRDefault="00370A7C" w:rsidP="0035120D">
      <w:pPr>
        <w:pStyle w:val="BodyText2"/>
        <w:spacing w:after="0" w:line="360" w:lineRule="auto"/>
        <w:rPr>
          <w:rFonts w:ascii="Times New Roman" w:hAnsi="Times New Roman"/>
          <w:szCs w:val="24"/>
        </w:rPr>
      </w:pPr>
      <w:r>
        <w:rPr>
          <w:rFonts w:ascii="Times New Roman" w:hAnsi="Times New Roman"/>
          <w:szCs w:val="24"/>
        </w:rPr>
        <w:tab/>
      </w:r>
      <w:r>
        <w:rPr>
          <w:rFonts w:ascii="Times New Roman" w:hAnsi="Times New Roman"/>
          <w:szCs w:val="24"/>
        </w:rPr>
        <w:tab/>
        <w:t>7</w:t>
      </w:r>
      <w:r w:rsidR="00295221">
        <w:rPr>
          <w:rFonts w:ascii="Times New Roman" w:hAnsi="Times New Roman"/>
          <w:szCs w:val="24"/>
        </w:rPr>
        <w:t xml:space="preserve">. </w:t>
      </w:r>
      <w:r w:rsidR="00295221">
        <w:rPr>
          <w:rFonts w:ascii="Times New Roman" w:hAnsi="Times New Roman"/>
          <w:szCs w:val="24"/>
        </w:rPr>
        <w:tab/>
        <w:t>That Pennsylvania Power Company shall be permitted to recoup, through a surcharge, revenues lost at the final approved rates for the period from May 3, 2015 through May 19, 2015</w:t>
      </w:r>
      <w:r w:rsidR="00F24217">
        <w:rPr>
          <w:rFonts w:ascii="Times New Roman" w:hAnsi="Times New Roman"/>
          <w:szCs w:val="24"/>
        </w:rPr>
        <w:t xml:space="preserve"> (or through the Commission-ordered Settlement Rates’ effective date)</w:t>
      </w:r>
      <w:r w:rsidR="00295221">
        <w:rPr>
          <w:rFonts w:ascii="Times New Roman" w:hAnsi="Times New Roman"/>
          <w:szCs w:val="24"/>
        </w:rPr>
        <w:t xml:space="preserve">, until such </w:t>
      </w:r>
      <w:r w:rsidR="00295221">
        <w:rPr>
          <w:rFonts w:ascii="Times New Roman" w:hAnsi="Times New Roman"/>
          <w:szCs w:val="24"/>
        </w:rPr>
        <w:lastRenderedPageBreak/>
        <w:t xml:space="preserve">time as the lost revenue is collected over a period not to exceed three months from the date the surcharge is initiated.  Pennsylvania Power Company shall implement a surcharge at the same time it begins to charge the Settlement rates which will be calculated separately for residential and commercial customer classes consistent with the definitions set forth in Pennsylvania Power Company’s Price to Compare Default Service Rider, while the industrial class shall be determined consistently with the first paragraph of the Availability section of the Pennsylvania Power Company’s Hourly Pricing Default Service Rider.  </w:t>
      </w:r>
    </w:p>
    <w:p w:rsidR="00F24217" w:rsidRDefault="00F24217" w:rsidP="0035120D">
      <w:pPr>
        <w:pStyle w:val="BodyText2"/>
        <w:spacing w:after="0" w:line="360" w:lineRule="auto"/>
        <w:rPr>
          <w:rFonts w:ascii="Times New Roman" w:hAnsi="Times New Roman"/>
          <w:szCs w:val="24"/>
        </w:rPr>
      </w:pPr>
    </w:p>
    <w:p w:rsidR="0035120D" w:rsidRPr="00295221" w:rsidRDefault="00F24217" w:rsidP="00A24E3A">
      <w:pPr>
        <w:pStyle w:val="BodyText2"/>
        <w:spacing w:after="0" w:line="360" w:lineRule="auto"/>
        <w:rPr>
          <w:rFonts w:ascii="Times New Roman" w:hAnsi="Times New Roman"/>
          <w:szCs w:val="24"/>
        </w:rPr>
      </w:pPr>
      <w:r>
        <w:rPr>
          <w:rFonts w:ascii="Times New Roman" w:hAnsi="Times New Roman"/>
          <w:szCs w:val="24"/>
        </w:rPr>
        <w:tab/>
      </w:r>
      <w:r>
        <w:rPr>
          <w:rFonts w:ascii="Times New Roman" w:hAnsi="Times New Roman"/>
          <w:szCs w:val="24"/>
        </w:rPr>
        <w:tab/>
        <w:t xml:space="preserve">8. </w:t>
      </w:r>
      <w:r>
        <w:rPr>
          <w:rFonts w:ascii="Times New Roman" w:hAnsi="Times New Roman"/>
          <w:szCs w:val="24"/>
        </w:rPr>
        <w:tab/>
        <w:t>That</w:t>
      </w:r>
      <w:r w:rsidR="00370A7C">
        <w:rPr>
          <w:rFonts w:ascii="Times New Roman" w:hAnsi="Times New Roman"/>
          <w:szCs w:val="24"/>
        </w:rPr>
        <w:t xml:space="preserve"> </w:t>
      </w:r>
      <w:r w:rsidR="0035120D" w:rsidRPr="00295221">
        <w:rPr>
          <w:rFonts w:ascii="Times New Roman" w:hAnsi="Times New Roman"/>
          <w:szCs w:val="24"/>
        </w:rPr>
        <w:t xml:space="preserve">the Formal Complaints </w:t>
      </w:r>
      <w:r w:rsidR="001C0CA4" w:rsidRPr="00295221">
        <w:rPr>
          <w:rFonts w:ascii="Times New Roman" w:hAnsi="Times New Roman"/>
          <w:szCs w:val="24"/>
        </w:rPr>
        <w:t>filed against the base rate proceeding at R</w:t>
      </w:r>
      <w:r w:rsidR="00DC257D" w:rsidRPr="00295221">
        <w:rPr>
          <w:rFonts w:ascii="Times New Roman" w:hAnsi="Times New Roman"/>
          <w:szCs w:val="24"/>
        </w:rPr>
        <w:noBreakHyphen/>
      </w:r>
      <w:r w:rsidR="00393F71" w:rsidRPr="00295221">
        <w:rPr>
          <w:rFonts w:ascii="Times New Roman" w:hAnsi="Times New Roman"/>
          <w:szCs w:val="24"/>
        </w:rPr>
        <w:t>2014-2428</w:t>
      </w:r>
      <w:r w:rsidR="00F428E7">
        <w:rPr>
          <w:rFonts w:ascii="Times New Roman" w:hAnsi="Times New Roman"/>
          <w:szCs w:val="24"/>
        </w:rPr>
        <w:t>744</w:t>
      </w:r>
      <w:r w:rsidR="001C0CA4" w:rsidRPr="00295221">
        <w:rPr>
          <w:rFonts w:ascii="Times New Roman" w:hAnsi="Times New Roman"/>
          <w:szCs w:val="24"/>
        </w:rPr>
        <w:t xml:space="preserve"> by </w:t>
      </w:r>
      <w:r w:rsidR="0035120D" w:rsidRPr="00295221">
        <w:rPr>
          <w:rFonts w:ascii="Times New Roman" w:hAnsi="Times New Roman"/>
          <w:szCs w:val="24"/>
        </w:rPr>
        <w:t>the Office of Consumer Advocate</w:t>
      </w:r>
      <w:r w:rsidR="004B33D9" w:rsidRPr="00295221">
        <w:rPr>
          <w:rFonts w:ascii="Times New Roman" w:hAnsi="Times New Roman"/>
          <w:szCs w:val="24"/>
        </w:rPr>
        <w:t xml:space="preserve"> </w:t>
      </w:r>
      <w:r w:rsidR="001C0CA4" w:rsidRPr="00295221">
        <w:rPr>
          <w:rFonts w:ascii="Times New Roman" w:hAnsi="Times New Roman"/>
          <w:szCs w:val="24"/>
        </w:rPr>
        <w:t>a</w:t>
      </w:r>
      <w:r w:rsidR="004B33D9" w:rsidRPr="00295221">
        <w:rPr>
          <w:rFonts w:ascii="Times New Roman" w:hAnsi="Times New Roman"/>
          <w:szCs w:val="24"/>
        </w:rPr>
        <w:t>t C-</w:t>
      </w:r>
      <w:r w:rsidR="00F428E7">
        <w:rPr>
          <w:rFonts w:ascii="Times New Roman" w:hAnsi="Times New Roman"/>
          <w:szCs w:val="24"/>
        </w:rPr>
        <w:t>2014-2441653</w:t>
      </w:r>
      <w:r w:rsidR="004B33D9" w:rsidRPr="00295221">
        <w:rPr>
          <w:rFonts w:ascii="Times New Roman" w:hAnsi="Times New Roman"/>
          <w:szCs w:val="24"/>
        </w:rPr>
        <w:t>;</w:t>
      </w:r>
      <w:r w:rsidR="0035120D" w:rsidRPr="00295221">
        <w:rPr>
          <w:rFonts w:ascii="Times New Roman" w:hAnsi="Times New Roman"/>
          <w:szCs w:val="24"/>
        </w:rPr>
        <w:t xml:space="preserve"> Office of Small Business Advocate</w:t>
      </w:r>
      <w:r w:rsidR="004B33D9" w:rsidRPr="00295221">
        <w:rPr>
          <w:rFonts w:ascii="Times New Roman" w:hAnsi="Times New Roman"/>
          <w:szCs w:val="24"/>
        </w:rPr>
        <w:t xml:space="preserve"> at C-</w:t>
      </w:r>
      <w:r w:rsidR="00393F71" w:rsidRPr="00295221">
        <w:rPr>
          <w:rFonts w:ascii="Times New Roman" w:hAnsi="Times New Roman"/>
          <w:szCs w:val="24"/>
        </w:rPr>
        <w:t>2014-2443</w:t>
      </w:r>
      <w:r w:rsidR="00F428E7">
        <w:rPr>
          <w:rFonts w:ascii="Times New Roman" w:hAnsi="Times New Roman"/>
          <w:szCs w:val="24"/>
        </w:rPr>
        <w:t>484</w:t>
      </w:r>
      <w:r w:rsidR="004B33D9" w:rsidRPr="00295221">
        <w:rPr>
          <w:rFonts w:ascii="Times New Roman" w:hAnsi="Times New Roman"/>
          <w:szCs w:val="24"/>
        </w:rPr>
        <w:t>;</w:t>
      </w:r>
      <w:r w:rsidR="0035120D" w:rsidRPr="00295221">
        <w:rPr>
          <w:rFonts w:ascii="Times New Roman" w:hAnsi="Times New Roman"/>
          <w:szCs w:val="24"/>
        </w:rPr>
        <w:t xml:space="preserve"> </w:t>
      </w:r>
      <w:r w:rsidR="00A669B2" w:rsidRPr="00295221">
        <w:rPr>
          <w:rFonts w:ascii="Times New Roman" w:hAnsi="Times New Roman"/>
          <w:szCs w:val="24"/>
        </w:rPr>
        <w:t>Pennsylvania Power Users Group</w:t>
      </w:r>
      <w:r w:rsidR="00393F71" w:rsidRPr="00295221">
        <w:rPr>
          <w:rFonts w:ascii="Times New Roman" w:hAnsi="Times New Roman"/>
          <w:szCs w:val="24"/>
        </w:rPr>
        <w:t xml:space="preserve"> at C-2014-2442</w:t>
      </w:r>
      <w:r w:rsidR="00F428E7">
        <w:rPr>
          <w:rFonts w:ascii="Times New Roman" w:hAnsi="Times New Roman"/>
          <w:szCs w:val="24"/>
        </w:rPr>
        <w:t>538</w:t>
      </w:r>
      <w:r w:rsidR="004B33D9" w:rsidRPr="00295221">
        <w:rPr>
          <w:rFonts w:ascii="Times New Roman" w:hAnsi="Times New Roman"/>
          <w:szCs w:val="24"/>
        </w:rPr>
        <w:t xml:space="preserve">; </w:t>
      </w:r>
      <w:r w:rsidR="00393F71" w:rsidRPr="00295221">
        <w:rPr>
          <w:rFonts w:ascii="Times New Roman" w:hAnsi="Times New Roman"/>
          <w:szCs w:val="24"/>
        </w:rPr>
        <w:t xml:space="preserve">and </w:t>
      </w:r>
      <w:r w:rsidR="00F428E7">
        <w:rPr>
          <w:rFonts w:ascii="Times New Roman" w:hAnsi="Times New Roman"/>
          <w:szCs w:val="24"/>
        </w:rPr>
        <w:t>Pennsylvania State University at C-2014-2445716</w:t>
      </w:r>
      <w:r w:rsidR="0035120D" w:rsidRPr="00295221">
        <w:rPr>
          <w:rFonts w:ascii="Times New Roman" w:hAnsi="Times New Roman"/>
          <w:szCs w:val="24"/>
        </w:rPr>
        <w:t xml:space="preserve">, are </w:t>
      </w:r>
      <w:r w:rsidR="00A669B2" w:rsidRPr="00295221">
        <w:rPr>
          <w:rFonts w:ascii="Times New Roman" w:hAnsi="Times New Roman"/>
          <w:szCs w:val="24"/>
        </w:rPr>
        <w:t>marked as Satisfied</w:t>
      </w:r>
      <w:r w:rsidR="00F428E7">
        <w:rPr>
          <w:rFonts w:ascii="Times New Roman" w:hAnsi="Times New Roman"/>
          <w:szCs w:val="24"/>
        </w:rPr>
        <w:t xml:space="preserve"> and closed</w:t>
      </w:r>
      <w:r w:rsidR="0035120D" w:rsidRPr="00295221">
        <w:rPr>
          <w:rFonts w:ascii="Times New Roman" w:hAnsi="Times New Roman"/>
          <w:szCs w:val="24"/>
        </w:rPr>
        <w:t xml:space="preserve">, consistent with the Joint Petition For </w:t>
      </w:r>
      <w:r w:rsidR="00393F71" w:rsidRPr="00295221">
        <w:rPr>
          <w:rFonts w:ascii="Times New Roman" w:hAnsi="Times New Roman"/>
          <w:szCs w:val="24"/>
        </w:rPr>
        <w:t xml:space="preserve">Partial </w:t>
      </w:r>
      <w:r w:rsidR="0035120D" w:rsidRPr="00295221">
        <w:rPr>
          <w:rFonts w:ascii="Times New Roman" w:hAnsi="Times New Roman"/>
          <w:szCs w:val="24"/>
        </w:rPr>
        <w:t>Settlement.</w:t>
      </w:r>
    </w:p>
    <w:p w:rsidR="0035120D" w:rsidRDefault="0035120D" w:rsidP="0035120D">
      <w:pPr>
        <w:rPr>
          <w:rFonts w:ascii="Times New Roman" w:hAnsi="Times New Roman"/>
        </w:rPr>
      </w:pPr>
    </w:p>
    <w:p w:rsidR="00A35DE2" w:rsidRDefault="004B33D9" w:rsidP="0035120D">
      <w:pPr>
        <w:rPr>
          <w:rFonts w:ascii="Times New Roman" w:hAnsi="Times New Roman"/>
        </w:rPr>
      </w:pPr>
      <w:r>
        <w:rPr>
          <w:rFonts w:ascii="Times New Roman" w:hAnsi="Times New Roman"/>
        </w:rPr>
        <w:tab/>
      </w:r>
      <w:r>
        <w:rPr>
          <w:rFonts w:ascii="Times New Roman" w:hAnsi="Times New Roman"/>
        </w:rPr>
        <w:tab/>
      </w:r>
      <w:r w:rsidR="00370A7C">
        <w:rPr>
          <w:rFonts w:ascii="Times New Roman" w:hAnsi="Times New Roman"/>
        </w:rPr>
        <w:t>9</w:t>
      </w:r>
      <w:r>
        <w:rPr>
          <w:rFonts w:ascii="Times New Roman" w:hAnsi="Times New Roman"/>
        </w:rPr>
        <w:t>.</w:t>
      </w:r>
      <w:r>
        <w:rPr>
          <w:rFonts w:ascii="Times New Roman" w:hAnsi="Times New Roman"/>
        </w:rPr>
        <w:tab/>
      </w:r>
      <w:r w:rsidRPr="001C41E5">
        <w:rPr>
          <w:rFonts w:ascii="Times New Roman" w:hAnsi="Times New Roman"/>
        </w:rPr>
        <w:t>That</w:t>
      </w:r>
      <w:r w:rsidR="00A669B2">
        <w:rPr>
          <w:rFonts w:ascii="Times New Roman" w:hAnsi="Times New Roman"/>
        </w:rPr>
        <w:t xml:space="preserve"> </w:t>
      </w:r>
      <w:r w:rsidR="00A35DE2">
        <w:rPr>
          <w:rFonts w:ascii="Times New Roman" w:hAnsi="Times New Roman"/>
        </w:rPr>
        <w:t xml:space="preserve">Pennsylvania Power Company shall be permitted to implement the LED Lighting Service as proposed in the </w:t>
      </w:r>
      <w:r w:rsidR="00F428E7">
        <w:rPr>
          <w:rFonts w:ascii="Times New Roman" w:hAnsi="Times New Roman"/>
        </w:rPr>
        <w:t>August 4, 2014</w:t>
      </w:r>
      <w:r w:rsidR="00A35DE2">
        <w:rPr>
          <w:rFonts w:ascii="Times New Roman" w:hAnsi="Times New Roman"/>
        </w:rPr>
        <w:t xml:space="preserve"> filing</w:t>
      </w:r>
      <w:r w:rsidR="00370A7C">
        <w:rPr>
          <w:rFonts w:ascii="Times New Roman" w:hAnsi="Times New Roman"/>
        </w:rPr>
        <w:t>.</w:t>
      </w:r>
    </w:p>
    <w:p w:rsidR="004B33D9" w:rsidRPr="001C41E5" w:rsidRDefault="004B33D9" w:rsidP="0035120D">
      <w:pPr>
        <w:rPr>
          <w:rFonts w:ascii="Times New Roman" w:hAnsi="Times New Roman"/>
        </w:rPr>
      </w:pPr>
    </w:p>
    <w:p w:rsidR="0035120D" w:rsidRPr="001C41E5" w:rsidRDefault="001C0CA4" w:rsidP="0035120D">
      <w:pPr>
        <w:rPr>
          <w:rFonts w:ascii="Times New Roman" w:hAnsi="Times New Roman"/>
        </w:rPr>
      </w:pPr>
      <w:r>
        <w:rPr>
          <w:rFonts w:ascii="Times New Roman" w:hAnsi="Times New Roman"/>
        </w:rPr>
        <w:tab/>
      </w:r>
      <w:r>
        <w:rPr>
          <w:rFonts w:ascii="Times New Roman" w:hAnsi="Times New Roman"/>
        </w:rPr>
        <w:tab/>
      </w:r>
      <w:r w:rsidR="00370A7C">
        <w:rPr>
          <w:rFonts w:ascii="Times New Roman" w:hAnsi="Times New Roman"/>
        </w:rPr>
        <w:t>10</w:t>
      </w:r>
      <w:r w:rsidR="0035120D" w:rsidRPr="001C41E5">
        <w:rPr>
          <w:rFonts w:ascii="Times New Roman" w:hAnsi="Times New Roman"/>
        </w:rPr>
        <w:t>.</w:t>
      </w:r>
      <w:r w:rsidR="0035120D" w:rsidRPr="001C41E5">
        <w:rPr>
          <w:rFonts w:ascii="Times New Roman" w:hAnsi="Times New Roman"/>
        </w:rPr>
        <w:tab/>
        <w:t xml:space="preserve">That the Formal Complaint of </w:t>
      </w:r>
      <w:r w:rsidR="00A35DE2">
        <w:rPr>
          <w:rFonts w:ascii="Times New Roman" w:hAnsi="Times New Roman"/>
        </w:rPr>
        <w:t xml:space="preserve">James F. </w:t>
      </w:r>
      <w:proofErr w:type="spellStart"/>
      <w:r w:rsidR="00A35DE2">
        <w:rPr>
          <w:rFonts w:ascii="Times New Roman" w:hAnsi="Times New Roman"/>
        </w:rPr>
        <w:t>Mrozek</w:t>
      </w:r>
      <w:proofErr w:type="spellEnd"/>
      <w:r w:rsidR="00A35DE2">
        <w:rPr>
          <w:rFonts w:ascii="Times New Roman" w:hAnsi="Times New Roman"/>
        </w:rPr>
        <w:t xml:space="preserve"> at C-2014-2441286</w:t>
      </w:r>
      <w:r w:rsidR="00A669B2">
        <w:rPr>
          <w:rFonts w:ascii="Times New Roman" w:hAnsi="Times New Roman"/>
        </w:rPr>
        <w:t xml:space="preserve"> </w:t>
      </w:r>
      <w:r w:rsidR="00A669B2">
        <w:rPr>
          <w:rFonts w:ascii="Times New Roman" w:hAnsi="Times New Roman"/>
          <w:szCs w:val="24"/>
        </w:rPr>
        <w:t>is</w:t>
      </w:r>
      <w:r w:rsidR="0035120D" w:rsidRPr="001C41E5">
        <w:rPr>
          <w:rFonts w:ascii="Times New Roman" w:hAnsi="Times New Roman"/>
          <w:szCs w:val="24"/>
        </w:rPr>
        <w:t xml:space="preserve"> dismissed.</w:t>
      </w:r>
    </w:p>
    <w:p w:rsidR="0035120D" w:rsidRPr="001C41E5" w:rsidRDefault="0035120D" w:rsidP="0035120D">
      <w:pPr>
        <w:rPr>
          <w:rFonts w:ascii="Times New Roman" w:hAnsi="Times New Roman"/>
          <w:szCs w:val="24"/>
        </w:rPr>
      </w:pPr>
    </w:p>
    <w:p w:rsidR="0035120D" w:rsidRPr="001C41E5" w:rsidRDefault="001C0CA4" w:rsidP="0035120D">
      <w:pPr>
        <w:pStyle w:val="BodyText2"/>
        <w:spacing w:after="0" w:line="360" w:lineRule="auto"/>
        <w:rPr>
          <w:rFonts w:ascii="Times New Roman" w:hAnsi="Times New Roman"/>
          <w:szCs w:val="24"/>
        </w:rPr>
      </w:pPr>
      <w:r>
        <w:rPr>
          <w:rFonts w:ascii="Times New Roman" w:hAnsi="Times New Roman"/>
          <w:szCs w:val="24"/>
        </w:rPr>
        <w:tab/>
      </w:r>
      <w:r>
        <w:rPr>
          <w:rFonts w:ascii="Times New Roman" w:hAnsi="Times New Roman"/>
          <w:szCs w:val="24"/>
        </w:rPr>
        <w:tab/>
      </w:r>
      <w:r w:rsidR="00370A7C">
        <w:rPr>
          <w:rFonts w:ascii="Times New Roman" w:hAnsi="Times New Roman"/>
          <w:szCs w:val="24"/>
        </w:rPr>
        <w:t>11</w:t>
      </w:r>
      <w:r w:rsidR="0035120D" w:rsidRPr="001C41E5">
        <w:rPr>
          <w:rFonts w:ascii="Times New Roman" w:hAnsi="Times New Roman"/>
          <w:szCs w:val="24"/>
        </w:rPr>
        <w:t>.</w:t>
      </w:r>
      <w:r w:rsidR="0035120D" w:rsidRPr="001C41E5">
        <w:rPr>
          <w:rFonts w:ascii="Times New Roman" w:hAnsi="Times New Roman"/>
          <w:szCs w:val="24"/>
        </w:rPr>
        <w:tab/>
        <w:t xml:space="preserve">That after acceptance and approval by the Commission of the tariff revisions filed by </w:t>
      </w:r>
      <w:r w:rsidR="00690A7D">
        <w:rPr>
          <w:rFonts w:ascii="Times New Roman" w:hAnsi="Times New Roman"/>
          <w:spacing w:val="-3"/>
          <w:szCs w:val="24"/>
        </w:rPr>
        <w:t xml:space="preserve">Pennsylvania </w:t>
      </w:r>
      <w:r w:rsidR="00393F71">
        <w:rPr>
          <w:rFonts w:ascii="Times New Roman" w:hAnsi="Times New Roman"/>
          <w:szCs w:val="24"/>
        </w:rPr>
        <w:t>Power Company</w:t>
      </w:r>
      <w:r w:rsidR="0035120D" w:rsidRPr="001C41E5">
        <w:rPr>
          <w:rFonts w:ascii="Times New Roman" w:hAnsi="Times New Roman"/>
          <w:szCs w:val="24"/>
        </w:rPr>
        <w:t>, the investigation at Docket No. R</w:t>
      </w:r>
      <w:r w:rsidR="0035120D" w:rsidRPr="001C41E5">
        <w:rPr>
          <w:rFonts w:ascii="Times New Roman" w:hAnsi="Times New Roman"/>
          <w:szCs w:val="24"/>
        </w:rPr>
        <w:noBreakHyphen/>
      </w:r>
      <w:r w:rsidR="00A669B2">
        <w:rPr>
          <w:rFonts w:ascii="Times New Roman" w:hAnsi="Times New Roman"/>
          <w:szCs w:val="24"/>
        </w:rPr>
        <w:t>2014-2428744</w:t>
      </w:r>
      <w:r w:rsidR="0035120D" w:rsidRPr="001C41E5">
        <w:rPr>
          <w:rFonts w:ascii="Times New Roman" w:hAnsi="Times New Roman"/>
          <w:szCs w:val="24"/>
        </w:rPr>
        <w:t xml:space="preserve"> shall be terminated and the record shall be marked closed.</w:t>
      </w:r>
    </w:p>
    <w:p w:rsidR="00EB585B" w:rsidRDefault="00BE5E18" w:rsidP="00EB585B">
      <w:pPr>
        <w:ind w:firstLine="5760"/>
        <w:rPr>
          <w:rFonts w:ascii="Times New Roman" w:hAnsi="Times New Roman"/>
          <w:spacing w:val="-3"/>
        </w:rPr>
      </w:pPr>
      <w:r>
        <w:rPr>
          <w:rFonts w:ascii="Times New Roman" w:hAnsi="Times New Roman"/>
          <w:spacing w:val="-3"/>
        </w:rPr>
        <w:tab/>
      </w:r>
      <w:r w:rsidR="00EB585B">
        <w:rPr>
          <w:rFonts w:ascii="Times New Roman" w:hAnsi="Times New Roman"/>
          <w:spacing w:val="-3"/>
        </w:rPr>
        <w:tab/>
      </w:r>
      <w:r w:rsidR="00EB585B">
        <w:rPr>
          <w:rFonts w:ascii="Times New Roman" w:hAnsi="Times New Roman"/>
          <w:spacing w:val="-3"/>
        </w:rPr>
        <w:tab/>
      </w:r>
      <w:r w:rsidR="00EB585B">
        <w:rPr>
          <w:rFonts w:ascii="Times New Roman" w:hAnsi="Times New Roman"/>
          <w:spacing w:val="-3"/>
        </w:rPr>
        <w:tab/>
      </w:r>
      <w:r w:rsidR="00EB585B">
        <w:rPr>
          <w:rFonts w:ascii="Times New Roman" w:hAnsi="Times New Roman"/>
          <w:spacing w:val="-3"/>
        </w:rPr>
        <w:tab/>
      </w:r>
      <w:r w:rsidR="00EB585B">
        <w:rPr>
          <w:rFonts w:ascii="Times New Roman" w:hAnsi="Times New Roman"/>
          <w:spacing w:val="-3"/>
        </w:rPr>
        <w:tab/>
      </w:r>
      <w:r w:rsidR="00EB585B">
        <w:rPr>
          <w:rFonts w:ascii="Times New Roman" w:hAnsi="Times New Roman"/>
          <w:spacing w:val="-3"/>
        </w:rPr>
        <w:tab/>
      </w:r>
      <w:r w:rsidR="00EB585B">
        <w:rPr>
          <w:rFonts w:ascii="Times New Roman" w:hAnsi="Times New Roman"/>
          <w:spacing w:val="-3"/>
        </w:rPr>
        <w:tab/>
      </w:r>
      <w:r w:rsidR="00EB585B">
        <w:rPr>
          <w:rFonts w:ascii="Times New Roman" w:hAnsi="Times New Roman"/>
          <w:spacing w:val="-3"/>
        </w:rPr>
        <w:tab/>
      </w:r>
    </w:p>
    <w:p w:rsidR="00EB585B" w:rsidRDefault="00EB585B" w:rsidP="00EB585B">
      <w:pPr>
        <w:spacing w:line="240" w:lineRule="auto"/>
        <w:ind w:firstLine="5760"/>
      </w:pPr>
      <w:r>
        <w:rPr>
          <w:u w:val="single"/>
        </w:rPr>
        <w:tab/>
      </w:r>
      <w:r>
        <w:rPr>
          <w:u w:val="single"/>
        </w:rPr>
        <w:tab/>
        <w:t>/s/</w:t>
      </w:r>
      <w:r>
        <w:rPr>
          <w:u w:val="single"/>
        </w:rPr>
        <w:tab/>
      </w:r>
      <w:r>
        <w:rPr>
          <w:u w:val="single"/>
        </w:rPr>
        <w:tab/>
      </w:r>
      <w:r>
        <w:rPr>
          <w:u w:val="single"/>
        </w:rPr>
        <w:tab/>
      </w:r>
    </w:p>
    <w:p w:rsidR="002F04B3" w:rsidRDefault="002F04B3" w:rsidP="00EB585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Dennis </w:t>
      </w:r>
      <w:r w:rsidR="0028305E">
        <w:rPr>
          <w:rFonts w:ascii="Times New Roman" w:hAnsi="Times New Roman" w:cs="Times New Roman"/>
          <w:spacing w:val="-3"/>
        </w:rPr>
        <w:t>J</w:t>
      </w:r>
      <w:r>
        <w:rPr>
          <w:rFonts w:ascii="Times New Roman" w:hAnsi="Times New Roman" w:cs="Times New Roman"/>
          <w:spacing w:val="-3"/>
        </w:rPr>
        <w:t>. Buckley</w:t>
      </w:r>
    </w:p>
    <w:p w:rsidR="002F04B3" w:rsidRDefault="002F04B3" w:rsidP="00EB585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2F04B3" w:rsidRDefault="002F04B3" w:rsidP="0035120D">
      <w:pPr>
        <w:pStyle w:val="ParaTab1"/>
        <w:ind w:firstLine="0"/>
        <w:rPr>
          <w:rFonts w:ascii="Times New Roman" w:hAnsi="Times New Roman" w:cs="Times New Roman"/>
          <w:spacing w:val="-3"/>
        </w:rPr>
      </w:pPr>
    </w:p>
    <w:p w:rsidR="002F04B3" w:rsidRDefault="002F04B3" w:rsidP="0035120D">
      <w:pPr>
        <w:pStyle w:val="ParaTab1"/>
        <w:ind w:firstLine="0"/>
        <w:rPr>
          <w:rFonts w:ascii="Times New Roman" w:hAnsi="Times New Roman" w:cs="Times New Roman"/>
          <w:spacing w:val="-3"/>
        </w:rPr>
      </w:pPr>
    </w:p>
    <w:p w:rsidR="00E66132" w:rsidRDefault="00E66132" w:rsidP="00EB585B">
      <w:pPr>
        <w:ind w:firstLine="576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p>
    <w:p w:rsidR="00EB585B" w:rsidRDefault="00E66132" w:rsidP="00E66132">
      <w:pPr>
        <w:spacing w:line="240" w:lineRule="auto"/>
      </w:pPr>
      <w:r w:rsidRPr="001C41E5">
        <w:rPr>
          <w:rFonts w:ascii="Times New Roman" w:hAnsi="Times New Roman"/>
          <w:spacing w:val="-3"/>
        </w:rPr>
        <w:t>Date:</w:t>
      </w:r>
      <w:r w:rsidR="00A91DEE">
        <w:rPr>
          <w:rFonts w:ascii="Times New Roman" w:hAnsi="Times New Roman"/>
          <w:spacing w:val="-3"/>
        </w:rPr>
        <w:t xml:space="preserve">  </w:t>
      </w:r>
      <w:r>
        <w:rPr>
          <w:rFonts w:ascii="Times New Roman" w:hAnsi="Times New Roman"/>
          <w:spacing w:val="-3"/>
          <w:u w:val="single"/>
        </w:rPr>
        <w:t>March 10, 2015</w:t>
      </w:r>
      <w:r w:rsidR="002F04B3">
        <w:rPr>
          <w:rFonts w:ascii="Times New Roman" w:hAnsi="Times New Roman"/>
          <w:spacing w:val="-3"/>
        </w:rPr>
        <w:tab/>
      </w:r>
      <w:r w:rsidR="002F04B3">
        <w:rPr>
          <w:rFonts w:ascii="Times New Roman" w:hAnsi="Times New Roman"/>
          <w:spacing w:val="-3"/>
        </w:rPr>
        <w:tab/>
      </w:r>
      <w:r w:rsidR="002F04B3">
        <w:rPr>
          <w:rFonts w:ascii="Times New Roman" w:hAnsi="Times New Roman"/>
          <w:spacing w:val="-3"/>
        </w:rPr>
        <w:tab/>
      </w:r>
      <w:r w:rsidR="00EB585B">
        <w:rPr>
          <w:rFonts w:ascii="Times New Roman" w:hAnsi="Times New Roman"/>
          <w:spacing w:val="-3"/>
        </w:rPr>
        <w:tab/>
      </w:r>
      <w:r w:rsidR="00EB585B">
        <w:rPr>
          <w:rFonts w:ascii="Times New Roman" w:hAnsi="Times New Roman"/>
          <w:spacing w:val="-3"/>
        </w:rPr>
        <w:tab/>
      </w:r>
      <w:r w:rsidR="00A91DEE">
        <w:rPr>
          <w:rFonts w:ascii="Times New Roman" w:hAnsi="Times New Roman"/>
          <w:spacing w:val="-3"/>
        </w:rPr>
        <w:tab/>
      </w:r>
      <w:r w:rsidR="00EB585B">
        <w:rPr>
          <w:u w:val="single"/>
        </w:rPr>
        <w:tab/>
      </w:r>
      <w:r w:rsidR="00EB585B">
        <w:rPr>
          <w:u w:val="single"/>
        </w:rPr>
        <w:tab/>
        <w:t>/s/</w:t>
      </w:r>
      <w:r w:rsidR="00EB585B">
        <w:rPr>
          <w:u w:val="single"/>
        </w:rPr>
        <w:tab/>
      </w:r>
      <w:r w:rsidR="00EB585B">
        <w:rPr>
          <w:u w:val="single"/>
        </w:rPr>
        <w:tab/>
      </w:r>
      <w:r w:rsidR="00EB585B">
        <w:rPr>
          <w:u w:val="single"/>
        </w:rPr>
        <w:tab/>
      </w:r>
    </w:p>
    <w:p w:rsidR="0035120D" w:rsidRPr="001C41E5" w:rsidRDefault="0028305E" w:rsidP="00E66132">
      <w:pPr>
        <w:pStyle w:val="ParaTab1"/>
        <w:ind w:firstLine="0"/>
        <w:rPr>
          <w:rFonts w:ascii="Times New Roman" w:hAnsi="Times New Roman" w:cs="Times New Roman"/>
          <w:spacing w:val="-3"/>
        </w:rPr>
      </w:pPr>
      <w:r w:rsidRPr="00EB585B">
        <w:rPr>
          <w:rFonts w:ascii="Times New Roman" w:hAnsi="Times New Roman" w:cs="Times New Roman"/>
          <w:spacing w:val="-3"/>
        </w:rPr>
        <w:tab/>
      </w:r>
      <w:r w:rsidR="0035120D" w:rsidRPr="001C41E5">
        <w:rPr>
          <w:rFonts w:ascii="Times New Roman" w:hAnsi="Times New Roman" w:cs="Times New Roman"/>
          <w:spacing w:val="-3"/>
        </w:rPr>
        <w:tab/>
      </w:r>
      <w:r w:rsidR="0035120D" w:rsidRPr="001C41E5">
        <w:rPr>
          <w:rFonts w:ascii="Times New Roman" w:hAnsi="Times New Roman" w:cs="Times New Roman"/>
          <w:spacing w:val="-3"/>
        </w:rPr>
        <w:tab/>
      </w:r>
      <w:r w:rsidR="0035120D" w:rsidRPr="001C41E5">
        <w:rPr>
          <w:rFonts w:ascii="Times New Roman" w:hAnsi="Times New Roman" w:cs="Times New Roman"/>
          <w:spacing w:val="-3"/>
        </w:rPr>
        <w:tab/>
      </w:r>
      <w:r w:rsidR="0035120D" w:rsidRPr="001C41E5">
        <w:rPr>
          <w:rFonts w:ascii="Times New Roman" w:hAnsi="Times New Roman" w:cs="Times New Roman"/>
          <w:spacing w:val="-3"/>
        </w:rPr>
        <w:tab/>
      </w:r>
      <w:r w:rsidR="0035120D" w:rsidRPr="001C41E5">
        <w:rPr>
          <w:rFonts w:ascii="Times New Roman" w:hAnsi="Times New Roman" w:cs="Times New Roman"/>
          <w:spacing w:val="-3"/>
        </w:rPr>
        <w:tab/>
      </w:r>
      <w:r w:rsidR="00E66132">
        <w:rPr>
          <w:rFonts w:ascii="Times New Roman" w:hAnsi="Times New Roman" w:cs="Times New Roman"/>
          <w:spacing w:val="-3"/>
        </w:rPr>
        <w:tab/>
      </w:r>
      <w:r w:rsidR="00E66132">
        <w:rPr>
          <w:rFonts w:ascii="Times New Roman" w:hAnsi="Times New Roman" w:cs="Times New Roman"/>
          <w:spacing w:val="-3"/>
        </w:rPr>
        <w:tab/>
      </w:r>
      <w:r w:rsidR="004E5A72" w:rsidRPr="001C41E5">
        <w:rPr>
          <w:rFonts w:ascii="Times New Roman" w:hAnsi="Times New Roman" w:cs="Times New Roman"/>
          <w:spacing w:val="-3"/>
        </w:rPr>
        <w:t>Katrina L. Dunderdale</w:t>
      </w:r>
    </w:p>
    <w:p w:rsidR="00D65363" w:rsidRDefault="0035120D" w:rsidP="00E66132">
      <w:pPr>
        <w:pStyle w:val="ParaTab1"/>
        <w:ind w:firstLine="0"/>
        <w:rPr>
          <w:rFonts w:ascii="Times New Roman" w:hAnsi="Times New Roman" w:cs="Times New Roman"/>
          <w:spacing w:val="-3"/>
        </w:rPr>
      </w:pPr>
      <w:r w:rsidRPr="001C41E5">
        <w:rPr>
          <w:rFonts w:ascii="Times New Roman" w:hAnsi="Times New Roman" w:cs="Times New Roman"/>
          <w:spacing w:val="-3"/>
        </w:rPr>
        <w:lastRenderedPageBreak/>
        <w:tab/>
      </w:r>
      <w:r w:rsidRPr="001C41E5">
        <w:rPr>
          <w:rFonts w:ascii="Times New Roman" w:hAnsi="Times New Roman" w:cs="Times New Roman"/>
          <w:spacing w:val="-3"/>
        </w:rPr>
        <w:tab/>
      </w:r>
      <w:r w:rsidRPr="001C41E5">
        <w:rPr>
          <w:rFonts w:ascii="Times New Roman" w:hAnsi="Times New Roman" w:cs="Times New Roman"/>
          <w:spacing w:val="-3"/>
        </w:rPr>
        <w:tab/>
      </w:r>
      <w:r w:rsidRPr="001C41E5">
        <w:rPr>
          <w:rFonts w:ascii="Times New Roman" w:hAnsi="Times New Roman" w:cs="Times New Roman"/>
          <w:spacing w:val="-3"/>
        </w:rPr>
        <w:tab/>
      </w:r>
      <w:r w:rsidRPr="001C41E5">
        <w:rPr>
          <w:rFonts w:ascii="Times New Roman" w:hAnsi="Times New Roman" w:cs="Times New Roman"/>
          <w:spacing w:val="-3"/>
        </w:rPr>
        <w:tab/>
      </w:r>
      <w:r w:rsidRPr="001C41E5">
        <w:rPr>
          <w:rFonts w:ascii="Times New Roman" w:hAnsi="Times New Roman" w:cs="Times New Roman"/>
          <w:spacing w:val="-3"/>
        </w:rPr>
        <w:tab/>
      </w:r>
      <w:r w:rsidRPr="001C41E5">
        <w:rPr>
          <w:rFonts w:ascii="Times New Roman" w:hAnsi="Times New Roman" w:cs="Times New Roman"/>
          <w:spacing w:val="-3"/>
        </w:rPr>
        <w:tab/>
      </w:r>
      <w:r w:rsidR="00BE5E18">
        <w:rPr>
          <w:rFonts w:ascii="Times New Roman" w:hAnsi="Times New Roman" w:cs="Times New Roman"/>
          <w:spacing w:val="-3"/>
        </w:rPr>
        <w:tab/>
      </w:r>
      <w:r w:rsidRPr="001C41E5">
        <w:rPr>
          <w:rFonts w:ascii="Times New Roman" w:hAnsi="Times New Roman" w:cs="Times New Roman"/>
          <w:spacing w:val="-3"/>
        </w:rPr>
        <w:t>Administrative Law Judge</w:t>
      </w:r>
    </w:p>
    <w:p w:rsidR="000D67B9" w:rsidRDefault="000D67B9" w:rsidP="00BE5E18">
      <w:pPr>
        <w:pStyle w:val="ParaTab1"/>
        <w:ind w:firstLine="0"/>
        <w:rPr>
          <w:rFonts w:ascii="Times New Roman" w:hAnsi="Times New Roman" w:cs="Times New Roman"/>
          <w:spacing w:val="-3"/>
        </w:rPr>
      </w:pPr>
    </w:p>
    <w:p w:rsidR="009874C9" w:rsidRDefault="009874C9" w:rsidP="002F04B3"/>
    <w:sectPr w:rsidR="009874C9" w:rsidSect="002F04B3">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B83" w:rsidRDefault="00F01B83">
      <w:r>
        <w:separator/>
      </w:r>
    </w:p>
  </w:endnote>
  <w:endnote w:type="continuationSeparator" w:id="0">
    <w:p w:rsidR="00F01B83" w:rsidRDefault="00F0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rmal tex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1E" w:rsidRDefault="0063461E" w:rsidP="00EE66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461E" w:rsidRDefault="006346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06985"/>
      <w:docPartObj>
        <w:docPartGallery w:val="Page Numbers (Bottom of Page)"/>
        <w:docPartUnique/>
      </w:docPartObj>
    </w:sdtPr>
    <w:sdtEndPr>
      <w:rPr>
        <w:rFonts w:ascii="Times New Roman" w:hAnsi="Times New Roman"/>
        <w:sz w:val="20"/>
      </w:rPr>
    </w:sdtEndPr>
    <w:sdtContent>
      <w:p w:rsidR="0063461E" w:rsidRDefault="0063461E">
        <w:pPr>
          <w:pStyle w:val="Footer"/>
          <w:jc w:val="center"/>
        </w:pPr>
        <w:r w:rsidRPr="000D67B9">
          <w:rPr>
            <w:rFonts w:ascii="Times New Roman" w:hAnsi="Times New Roman"/>
            <w:sz w:val="20"/>
          </w:rPr>
          <w:fldChar w:fldCharType="begin"/>
        </w:r>
        <w:r w:rsidRPr="000D67B9">
          <w:rPr>
            <w:rFonts w:ascii="Times New Roman" w:hAnsi="Times New Roman"/>
            <w:sz w:val="20"/>
          </w:rPr>
          <w:instrText xml:space="preserve"> PAGE   \* MERGEFORMAT </w:instrText>
        </w:r>
        <w:r w:rsidRPr="000D67B9">
          <w:rPr>
            <w:rFonts w:ascii="Times New Roman" w:hAnsi="Times New Roman"/>
            <w:sz w:val="20"/>
          </w:rPr>
          <w:fldChar w:fldCharType="separate"/>
        </w:r>
        <w:r w:rsidR="00676F7B">
          <w:rPr>
            <w:rFonts w:ascii="Times New Roman" w:hAnsi="Times New Roman"/>
            <w:noProof/>
            <w:sz w:val="20"/>
          </w:rPr>
          <w:t>ii</w:t>
        </w:r>
        <w:r w:rsidRPr="000D67B9">
          <w:rPr>
            <w:rFonts w:ascii="Times New Roman" w:hAnsi="Times New Roman"/>
            <w:sz w:val="20"/>
          </w:rPr>
          <w:fldChar w:fldCharType="end"/>
        </w:r>
      </w:p>
    </w:sdtContent>
  </w:sdt>
  <w:p w:rsidR="0063461E" w:rsidRDefault="006346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1E" w:rsidRDefault="0063461E">
    <w:pPr>
      <w:pStyle w:val="Footer"/>
      <w:jc w:val="center"/>
    </w:pPr>
  </w:p>
  <w:p w:rsidR="0063461E" w:rsidRDefault="006346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969635198"/>
      <w:docPartObj>
        <w:docPartGallery w:val="Page Numbers (Bottom of Page)"/>
        <w:docPartUnique/>
      </w:docPartObj>
    </w:sdtPr>
    <w:sdtEndPr>
      <w:rPr>
        <w:noProof/>
      </w:rPr>
    </w:sdtEndPr>
    <w:sdtContent>
      <w:p w:rsidR="0063461E" w:rsidRPr="005C5302" w:rsidRDefault="0063461E">
        <w:pPr>
          <w:pStyle w:val="Footer"/>
          <w:jc w:val="center"/>
          <w:rPr>
            <w:rFonts w:ascii="Times New Roman" w:hAnsi="Times New Roman"/>
            <w:sz w:val="20"/>
          </w:rPr>
        </w:pPr>
        <w:r w:rsidRPr="005C5302">
          <w:rPr>
            <w:rFonts w:ascii="Times New Roman" w:hAnsi="Times New Roman"/>
            <w:sz w:val="20"/>
          </w:rPr>
          <w:fldChar w:fldCharType="begin"/>
        </w:r>
        <w:r w:rsidRPr="005C5302">
          <w:rPr>
            <w:rFonts w:ascii="Times New Roman" w:hAnsi="Times New Roman"/>
            <w:sz w:val="20"/>
          </w:rPr>
          <w:instrText xml:space="preserve"> PAGE   \* MERGEFORMAT </w:instrText>
        </w:r>
        <w:r w:rsidRPr="005C5302">
          <w:rPr>
            <w:rFonts w:ascii="Times New Roman" w:hAnsi="Times New Roman"/>
            <w:sz w:val="20"/>
          </w:rPr>
          <w:fldChar w:fldCharType="separate"/>
        </w:r>
        <w:r w:rsidR="00676F7B">
          <w:rPr>
            <w:rFonts w:ascii="Times New Roman" w:hAnsi="Times New Roman"/>
            <w:noProof/>
            <w:sz w:val="20"/>
          </w:rPr>
          <w:t>60</w:t>
        </w:r>
        <w:r w:rsidRPr="005C5302">
          <w:rPr>
            <w:rFonts w:ascii="Times New Roman" w:hAnsi="Times New Roman"/>
            <w:noProof/>
            <w:sz w:val="20"/>
          </w:rPr>
          <w:fldChar w:fldCharType="end"/>
        </w:r>
      </w:p>
    </w:sdtContent>
  </w:sdt>
  <w:p w:rsidR="0063461E" w:rsidRDefault="006346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B83" w:rsidRDefault="00F01B83">
      <w:r>
        <w:separator/>
      </w:r>
    </w:p>
  </w:footnote>
  <w:footnote w:type="continuationSeparator" w:id="0">
    <w:p w:rsidR="00F01B83" w:rsidRDefault="00F01B83">
      <w:r>
        <w:continuationSeparator/>
      </w:r>
    </w:p>
  </w:footnote>
  <w:footnote w:id="1">
    <w:p w:rsidR="0063461E" w:rsidRDefault="0063461E" w:rsidP="00F550C7">
      <w:pPr>
        <w:pStyle w:val="FootnoteText"/>
        <w:rPr>
          <w:sz w:val="20"/>
        </w:rPr>
      </w:pPr>
      <w:r w:rsidRPr="002A76AF">
        <w:rPr>
          <w:rStyle w:val="FootnoteReference"/>
          <w:sz w:val="20"/>
        </w:rPr>
        <w:footnoteRef/>
      </w:r>
      <w:r w:rsidRPr="002A76AF">
        <w:rPr>
          <w:sz w:val="20"/>
        </w:rPr>
        <w:t xml:space="preserve"> </w:t>
      </w:r>
      <w:r>
        <w:rPr>
          <w:sz w:val="20"/>
        </w:rPr>
        <w:tab/>
      </w:r>
      <w:r w:rsidRPr="002A76AF">
        <w:rPr>
          <w:sz w:val="20"/>
        </w:rPr>
        <w:t>All calculations use riders in effect at 7-1-2014 and the price-to-compare from 9-1-14, which assures that the rates are being compared on a consistent basis.  Additionally, and also to assure consistency in the rate comparison, the Rider rates used to calculate bills under the initially proposed rates and under the Settlement Rates were adjusted to reflect the amounts recovered under the State Tax Adjustment Surcharge that will be rolled-into the Rider rates on the date that new base rates become effective.</w:t>
      </w:r>
    </w:p>
    <w:p w:rsidR="0063461E" w:rsidRPr="002A76AF" w:rsidRDefault="0063461E" w:rsidP="00F550C7">
      <w:pPr>
        <w:pStyle w:val="FootnoteText"/>
        <w:rPr>
          <w:sz w:val="20"/>
        </w:rPr>
      </w:pPr>
    </w:p>
  </w:footnote>
  <w:footnote w:id="2">
    <w:p w:rsidR="0063461E" w:rsidRPr="002A76AF" w:rsidRDefault="0063461E" w:rsidP="00F550C7">
      <w:pPr>
        <w:pStyle w:val="FootnoteText"/>
        <w:rPr>
          <w:sz w:val="20"/>
        </w:rPr>
      </w:pPr>
      <w:r w:rsidRPr="002A76AF">
        <w:rPr>
          <w:rStyle w:val="FootnoteReference"/>
          <w:sz w:val="20"/>
        </w:rPr>
        <w:footnoteRef/>
      </w:r>
      <w:r w:rsidRPr="002A76AF">
        <w:rPr>
          <w:sz w:val="20"/>
        </w:rPr>
        <w:t xml:space="preserve"> </w:t>
      </w:r>
      <w:r>
        <w:rPr>
          <w:sz w:val="20"/>
        </w:rPr>
        <w:tab/>
      </w:r>
      <w:r w:rsidRPr="002A76AF">
        <w:rPr>
          <w:sz w:val="20"/>
        </w:rPr>
        <w:t xml:space="preserve">Penn Power Statement No. 1 (Direct Testimony of Charles V. </w:t>
      </w:r>
      <w:proofErr w:type="spellStart"/>
      <w:r w:rsidRPr="002A76AF">
        <w:rPr>
          <w:sz w:val="20"/>
        </w:rPr>
        <w:t>Fullem</w:t>
      </w:r>
      <w:proofErr w:type="spellEnd"/>
      <w:r w:rsidRPr="002A76AF">
        <w:rPr>
          <w:sz w:val="20"/>
        </w:rPr>
        <w:t>), p. 10.</w:t>
      </w:r>
    </w:p>
  </w:footnote>
  <w:footnote w:id="3">
    <w:p w:rsidR="0063461E" w:rsidRPr="0034707B" w:rsidRDefault="0063461E" w:rsidP="00FB06A0">
      <w:pPr>
        <w:pStyle w:val="FootnoteText"/>
        <w:rPr>
          <w:sz w:val="20"/>
        </w:rPr>
      </w:pPr>
      <w:r w:rsidRPr="0034707B">
        <w:rPr>
          <w:rStyle w:val="FootnoteReference"/>
          <w:sz w:val="20"/>
        </w:rPr>
        <w:footnoteRef/>
      </w:r>
      <w:r w:rsidRPr="0034707B">
        <w:rPr>
          <w:sz w:val="20"/>
        </w:rPr>
        <w:t xml:space="preserve"> </w:t>
      </w:r>
      <w:r w:rsidRPr="0034707B">
        <w:rPr>
          <w:sz w:val="20"/>
        </w:rPr>
        <w:tab/>
        <w:t xml:space="preserve">If the Commission makes the Settlement Rates effective prior to May 19, 2015, this surcharge will recoup lost revenues from May 3, 2015 through the Commission ordered Settlement Rates effective date.  </w:t>
      </w:r>
    </w:p>
  </w:footnote>
  <w:footnote w:id="4">
    <w:p w:rsidR="0063461E" w:rsidRPr="0034707B" w:rsidRDefault="0063461E" w:rsidP="00FB06A0">
      <w:pPr>
        <w:pStyle w:val="FootnoteText"/>
        <w:rPr>
          <w:sz w:val="20"/>
        </w:rPr>
      </w:pPr>
      <w:r w:rsidRPr="0034707B">
        <w:rPr>
          <w:rStyle w:val="FootnoteReference"/>
          <w:sz w:val="20"/>
        </w:rPr>
        <w:footnoteRef/>
      </w:r>
      <w:r w:rsidRPr="0034707B">
        <w:rPr>
          <w:sz w:val="20"/>
        </w:rPr>
        <w:t xml:space="preserve"> </w:t>
      </w:r>
      <w:r w:rsidRPr="0034707B">
        <w:rPr>
          <w:sz w:val="20"/>
        </w:rPr>
        <w:tab/>
        <w:t>The Company is not precluded by this provision from seeking Commission revision of its established Standard and Benchmark metrics through normal Commission procedures.</w:t>
      </w:r>
    </w:p>
  </w:footnote>
  <w:footnote w:id="5">
    <w:p w:rsidR="0063461E" w:rsidRPr="0034707B" w:rsidRDefault="0063461E" w:rsidP="0034707B">
      <w:pPr>
        <w:pStyle w:val="FootnoteText"/>
        <w:rPr>
          <w:sz w:val="20"/>
        </w:rPr>
      </w:pPr>
      <w:r w:rsidRPr="0034707B">
        <w:rPr>
          <w:rStyle w:val="FootnoteReference"/>
          <w:sz w:val="20"/>
        </w:rPr>
        <w:footnoteRef/>
      </w:r>
      <w:r w:rsidRPr="0034707B">
        <w:rPr>
          <w:sz w:val="20"/>
        </w:rPr>
        <w:t xml:space="preserve"> </w:t>
      </w:r>
      <w:r w:rsidRPr="0034707B">
        <w:rPr>
          <w:sz w:val="20"/>
        </w:rPr>
        <w:tab/>
        <w:t xml:space="preserve">The use of a surcharge to recover revenues lost at the Commission-approved rates between the end of the statutory suspension period and May 19, 2015, is consistent with the practice the Commission has historically employed to allow recovery of lost revenues between the end of the statutory suspension period and the approval of a compliance filing in fully litigated proceedings.  </w:t>
      </w:r>
      <w:r w:rsidRPr="002B08B9">
        <w:rPr>
          <w:sz w:val="20"/>
          <w:u w:val="single"/>
        </w:rPr>
        <w:t xml:space="preserve">Pa. Pub. Util. Comm’n. </w:t>
      </w:r>
      <w:proofErr w:type="gramStart"/>
      <w:r w:rsidRPr="002B08B9">
        <w:rPr>
          <w:sz w:val="20"/>
          <w:u w:val="single"/>
        </w:rPr>
        <w:t>v. Peoples</w:t>
      </w:r>
      <w:proofErr w:type="gramEnd"/>
      <w:r w:rsidRPr="002B08B9">
        <w:rPr>
          <w:sz w:val="20"/>
          <w:u w:val="single"/>
        </w:rPr>
        <w:t xml:space="preserve"> Natural Gas Co</w:t>
      </w:r>
      <w:r w:rsidRPr="0034707B">
        <w:rPr>
          <w:i/>
          <w:sz w:val="20"/>
        </w:rPr>
        <w:t>.</w:t>
      </w:r>
      <w:r w:rsidRPr="0034707B">
        <w:rPr>
          <w:sz w:val="20"/>
        </w:rPr>
        <w:t xml:space="preserve">, 69 Pa. PUC 427, 434 (1989).  </w:t>
      </w:r>
      <w:r w:rsidRPr="0034707B">
        <w:rPr>
          <w:i/>
          <w:sz w:val="20"/>
        </w:rPr>
        <w:t xml:space="preserve">See also </w:t>
      </w:r>
      <w:r w:rsidRPr="002B08B9">
        <w:rPr>
          <w:sz w:val="20"/>
          <w:u w:val="single"/>
        </w:rPr>
        <w:t xml:space="preserve">Bell Tele. </w:t>
      </w:r>
      <w:proofErr w:type="gramStart"/>
      <w:r w:rsidRPr="002B08B9">
        <w:rPr>
          <w:sz w:val="20"/>
          <w:u w:val="single"/>
        </w:rPr>
        <w:t>v</w:t>
      </w:r>
      <w:proofErr w:type="gramEnd"/>
      <w:r w:rsidRPr="002B08B9">
        <w:rPr>
          <w:sz w:val="20"/>
          <w:u w:val="single"/>
        </w:rPr>
        <w:t>. Pa. Pub. Util. Comm’n</w:t>
      </w:r>
      <w:r w:rsidRPr="0034707B">
        <w:rPr>
          <w:sz w:val="20"/>
        </w:rPr>
        <w:t xml:space="preserve">, </w:t>
      </w:r>
      <w:proofErr w:type="gramStart"/>
      <w:r w:rsidRPr="0034707B">
        <w:rPr>
          <w:sz w:val="20"/>
        </w:rPr>
        <w:t>69 Pa.Cmwlth</w:t>
      </w:r>
      <w:proofErr w:type="gramEnd"/>
      <w:r w:rsidRPr="0034707B">
        <w:rPr>
          <w:sz w:val="20"/>
        </w:rPr>
        <w:t>. 554, 452 A.2d 86 (1982), aff’d, 505 Pa. 603, 482 A.2d 1272 (1984).  The use of a surcharge as set forth in Joint Petition was part of an agreed-upon exchange among all parties for the Company’s consent to extend from May 3, 2015 to May 19, 2015 the time for the Commission to enter a final order in this case.  That agreement was approved by the Administrative Law Judges (Prehearing Conference Transcript of October 8, 2014, pp. 53-57) and was expressly set forth in the suspension tariff supplement filed by Penn Power on October 29, 2014.  The Joint Petitioners have reaffirmed the parties’ prior, approved agreement on this matter in the Joint Petition.</w:t>
      </w:r>
    </w:p>
  </w:footnote>
  <w:footnote w:id="6">
    <w:p w:rsidR="00C85A3F" w:rsidRDefault="00C85A3F" w:rsidP="00C85A3F">
      <w:pPr>
        <w:spacing w:line="240" w:lineRule="auto"/>
        <w:ind w:firstLine="720"/>
        <w:rPr>
          <w:rFonts w:ascii="Times New Roman" w:hAnsi="Times New Roman"/>
          <w:sz w:val="20"/>
        </w:rPr>
      </w:pPr>
      <w:r>
        <w:rPr>
          <w:rStyle w:val="FootnoteReference"/>
        </w:rPr>
        <w:footnoteRef/>
      </w:r>
      <w:r>
        <w:rPr>
          <w:rStyle w:val="FootnoteReference"/>
          <w:rFonts w:ascii="Times New Roman" w:hAnsi="Times New Roman"/>
          <w:sz w:val="20"/>
        </w:rPr>
        <w:footnoteRef/>
      </w:r>
      <w:r>
        <w:rPr>
          <w:rFonts w:ascii="Times New Roman" w:hAnsi="Times New Roman"/>
          <w:sz w:val="20"/>
        </w:rPr>
        <w:tab/>
        <w:t xml:space="preserve">“In assessing reliability issues, we acknowledge the statement of Commissioner Cawley at the public meeting of February 26, 2015, at Docket No. </w:t>
      </w:r>
      <w:proofErr w:type="gramStart"/>
      <w:r>
        <w:rPr>
          <w:rFonts w:ascii="Times New Roman" w:hAnsi="Times New Roman"/>
          <w:sz w:val="20"/>
        </w:rPr>
        <w:t>D-2013-2365991.</w:t>
      </w:r>
      <w:proofErr w:type="gramEnd"/>
      <w:r>
        <w:rPr>
          <w:rFonts w:ascii="Times New Roman" w:hAnsi="Times New Roman"/>
          <w:sz w:val="20"/>
        </w:rPr>
        <w:t xml:space="preserve">  .”</w:t>
      </w:r>
    </w:p>
    <w:p w:rsidR="00C85A3F" w:rsidRDefault="00C85A3F">
      <w:pPr>
        <w:pStyle w:val="FootnoteText"/>
      </w:pPr>
      <w:r>
        <w:rPr>
          <w:sz w:val="20"/>
        </w:rPr>
        <w:t>.</w:t>
      </w:r>
    </w:p>
  </w:footnote>
  <w:footnote w:id="7">
    <w:p w:rsidR="0063461E" w:rsidRPr="0034707B" w:rsidRDefault="0063461E" w:rsidP="0034707B">
      <w:pPr>
        <w:pStyle w:val="FootnoteText"/>
        <w:rPr>
          <w:sz w:val="20"/>
        </w:rPr>
      </w:pPr>
      <w:r w:rsidRPr="0034707B">
        <w:rPr>
          <w:rStyle w:val="FootnoteReference"/>
          <w:sz w:val="20"/>
        </w:rPr>
        <w:footnoteRef/>
      </w:r>
      <w:r w:rsidRPr="0034707B">
        <w:rPr>
          <w:sz w:val="20"/>
        </w:rPr>
        <w:t xml:space="preserve"> </w:t>
      </w:r>
      <w:r w:rsidRPr="0034707B">
        <w:rPr>
          <w:sz w:val="20"/>
        </w:rPr>
        <w:tab/>
        <w:t>Additionally, in response to a request by the Administrative Law Judges, on October 10, 2014, Penn Power submitted a letter of counsel setting forth the authority to request the roll-in of smart meter costs to base rates and reduce its SMT-C to zero and provided, as an attachment, the August 3, 2010 Order.</w:t>
      </w:r>
    </w:p>
  </w:footnote>
  <w:footnote w:id="8">
    <w:p w:rsidR="0063461E" w:rsidRDefault="0063461E" w:rsidP="0034707B">
      <w:pPr>
        <w:pStyle w:val="FootnoteText"/>
        <w:rPr>
          <w:sz w:val="20"/>
        </w:rPr>
      </w:pPr>
      <w:r w:rsidRPr="0034707B">
        <w:rPr>
          <w:rStyle w:val="FootnoteReference"/>
          <w:sz w:val="20"/>
        </w:rPr>
        <w:footnoteRef/>
      </w:r>
      <w:r w:rsidR="00C85A3F">
        <w:rPr>
          <w:sz w:val="20"/>
        </w:rPr>
        <w:t xml:space="preserve"> </w:t>
      </w:r>
      <w:r w:rsidR="00C85A3F">
        <w:rPr>
          <w:sz w:val="20"/>
        </w:rPr>
        <w:tab/>
        <w:t xml:space="preserve">The most recent </w:t>
      </w:r>
      <w:r w:rsidRPr="0034707B">
        <w:rPr>
          <w:sz w:val="20"/>
        </w:rPr>
        <w:t>Quarterly Earnings Report was issued on January 29, 2015 at Docket No. M-2015-2460381 for the period ended September June 30, 2014.</w:t>
      </w:r>
      <w:r w:rsidR="00C85A3F">
        <w:rPr>
          <w:sz w:val="20"/>
        </w:rPr>
        <w:t xml:space="preserve">  </w:t>
      </w:r>
      <w:r w:rsidR="00C85A3F" w:rsidRPr="00F70D2D">
        <w:rPr>
          <w:sz w:val="20"/>
        </w:rPr>
        <w:t>The Presiding Officer notes that TUS does not calculate the ROE.  While the TUS quarterly earnings report provides calculations and data, it is actually the Commission that decides on an appropriate ROE.</w:t>
      </w:r>
    </w:p>
    <w:p w:rsidR="0063461E" w:rsidRPr="0034707B" w:rsidRDefault="0063461E" w:rsidP="0034707B">
      <w:pPr>
        <w:pStyle w:val="FootnoteText"/>
        <w:rPr>
          <w:sz w:val="20"/>
        </w:rPr>
      </w:pPr>
    </w:p>
  </w:footnote>
  <w:footnote w:id="9">
    <w:p w:rsidR="0063461E" w:rsidRDefault="0063461E" w:rsidP="0034707B">
      <w:pPr>
        <w:pStyle w:val="FootnoteText"/>
        <w:rPr>
          <w:sz w:val="20"/>
        </w:rPr>
      </w:pPr>
      <w:r w:rsidRPr="0034707B">
        <w:rPr>
          <w:rStyle w:val="FootnoteReference"/>
          <w:sz w:val="20"/>
        </w:rPr>
        <w:footnoteRef/>
      </w:r>
      <w:r w:rsidRPr="0034707B">
        <w:rPr>
          <w:sz w:val="20"/>
        </w:rPr>
        <w:t xml:space="preserve"> </w:t>
      </w:r>
      <w:r w:rsidRPr="0034707B">
        <w:rPr>
          <w:sz w:val="20"/>
        </w:rPr>
        <w:tab/>
      </w:r>
      <w:r w:rsidRPr="0034707B">
        <w:rPr>
          <w:i/>
          <w:sz w:val="20"/>
        </w:rPr>
        <w:t>See</w:t>
      </w:r>
      <w:r w:rsidRPr="0034707B">
        <w:rPr>
          <w:sz w:val="20"/>
        </w:rPr>
        <w:t xml:space="preserve"> </w:t>
      </w:r>
      <w:r w:rsidRPr="002B08B9">
        <w:rPr>
          <w:sz w:val="20"/>
          <w:u w:val="single"/>
        </w:rPr>
        <w:t xml:space="preserve">Duquesne Light Co. v. </w:t>
      </w:r>
      <w:proofErr w:type="spellStart"/>
      <w:r w:rsidRPr="002B08B9">
        <w:rPr>
          <w:sz w:val="20"/>
          <w:u w:val="single"/>
        </w:rPr>
        <w:t>Barasch</w:t>
      </w:r>
      <w:proofErr w:type="spellEnd"/>
      <w:r w:rsidRPr="0034707B">
        <w:rPr>
          <w:sz w:val="20"/>
        </w:rPr>
        <w:t>, 488 U.S. 299, 315-16 (1989) (“‘the Commission was not bound to the use of any single formula or combination of formulae in determining rates’”), quoting</w:t>
      </w:r>
      <w:r w:rsidRPr="0034707B">
        <w:rPr>
          <w:i/>
          <w:sz w:val="20"/>
        </w:rPr>
        <w:t xml:space="preserve"> </w:t>
      </w:r>
      <w:r w:rsidRPr="002B08B9">
        <w:rPr>
          <w:sz w:val="20"/>
          <w:u w:val="single"/>
        </w:rPr>
        <w:t>FPC v. Hope Natural Gas Co.</w:t>
      </w:r>
      <w:r w:rsidRPr="0034707B">
        <w:rPr>
          <w:sz w:val="20"/>
        </w:rPr>
        <w:t>, 320 U.S. 591, 605 (1944).</w:t>
      </w:r>
    </w:p>
    <w:p w:rsidR="0063461E" w:rsidRPr="0034707B" w:rsidRDefault="0063461E" w:rsidP="0034707B">
      <w:pPr>
        <w:pStyle w:val="FootnoteText"/>
        <w:rPr>
          <w:sz w:val="20"/>
        </w:rPr>
      </w:pPr>
    </w:p>
  </w:footnote>
  <w:footnote w:id="10">
    <w:p w:rsidR="0063461E" w:rsidRDefault="0063461E" w:rsidP="0034707B">
      <w:pPr>
        <w:pStyle w:val="FootnoteText"/>
        <w:rPr>
          <w:sz w:val="20"/>
        </w:rPr>
      </w:pPr>
      <w:r w:rsidRPr="0034707B">
        <w:rPr>
          <w:rStyle w:val="FootnoteReference"/>
          <w:sz w:val="20"/>
        </w:rPr>
        <w:footnoteRef/>
      </w:r>
      <w:r w:rsidRPr="0034707B">
        <w:rPr>
          <w:sz w:val="20"/>
        </w:rPr>
        <w:t xml:space="preserve"> </w:t>
      </w:r>
      <w:r w:rsidRPr="0034707B">
        <w:rPr>
          <w:sz w:val="20"/>
        </w:rPr>
        <w:tab/>
      </w:r>
      <w:r w:rsidRPr="002B08B9">
        <w:rPr>
          <w:sz w:val="20"/>
          <w:u w:val="single"/>
        </w:rPr>
        <w:t xml:space="preserve">Pa. Pub. </w:t>
      </w:r>
      <w:proofErr w:type="gramStart"/>
      <w:r w:rsidRPr="002B08B9">
        <w:rPr>
          <w:sz w:val="20"/>
          <w:u w:val="single"/>
        </w:rPr>
        <w:t>Util. Comm’n v. Pennsylvania Gas and Water Co</w:t>
      </w:r>
      <w:r w:rsidRPr="0034707B">
        <w:rPr>
          <w:i/>
          <w:sz w:val="20"/>
        </w:rPr>
        <w:t>.</w:t>
      </w:r>
      <w:r w:rsidRPr="0034707B">
        <w:rPr>
          <w:sz w:val="20"/>
        </w:rPr>
        <w:t>, 492 Pa. 326, 337, 424 A.2d 1213, 1219 (1989).</w:t>
      </w:r>
      <w:proofErr w:type="gramEnd"/>
    </w:p>
    <w:p w:rsidR="0063461E" w:rsidRPr="0034707B" w:rsidRDefault="0063461E" w:rsidP="0034707B">
      <w:pPr>
        <w:pStyle w:val="FootnoteText"/>
        <w:rPr>
          <w:sz w:val="20"/>
        </w:rPr>
      </w:pPr>
    </w:p>
  </w:footnote>
  <w:footnote w:id="11">
    <w:p w:rsidR="0063461E" w:rsidRDefault="0063461E" w:rsidP="0034707B">
      <w:pPr>
        <w:pStyle w:val="FootnoteText"/>
        <w:rPr>
          <w:i/>
          <w:sz w:val="20"/>
        </w:rPr>
      </w:pPr>
      <w:r w:rsidRPr="0034707B">
        <w:rPr>
          <w:rStyle w:val="FootnoteReference"/>
          <w:sz w:val="20"/>
        </w:rPr>
        <w:footnoteRef/>
      </w:r>
      <w:r w:rsidRPr="0034707B">
        <w:rPr>
          <w:sz w:val="20"/>
        </w:rPr>
        <w:t xml:space="preserve"> </w:t>
      </w:r>
      <w:r w:rsidRPr="0034707B">
        <w:rPr>
          <w:sz w:val="20"/>
        </w:rPr>
        <w:tab/>
      </w:r>
      <w:r w:rsidRPr="002B08B9">
        <w:rPr>
          <w:sz w:val="20"/>
          <w:u w:val="single"/>
        </w:rPr>
        <w:t>Duquesne Light Co.</w:t>
      </w:r>
      <w:r w:rsidRPr="0034707B">
        <w:rPr>
          <w:i/>
          <w:sz w:val="20"/>
        </w:rPr>
        <w:t>, supra</w:t>
      </w:r>
      <w:r w:rsidRPr="0034707B">
        <w:rPr>
          <w:sz w:val="20"/>
        </w:rPr>
        <w:t xml:space="preserve">, 488 U.S. at 312.  </w:t>
      </w:r>
      <w:r w:rsidRPr="0034707B">
        <w:rPr>
          <w:i/>
          <w:sz w:val="20"/>
        </w:rPr>
        <w:t xml:space="preserve">See also, </w:t>
      </w:r>
      <w:r w:rsidRPr="002B08B9">
        <w:rPr>
          <w:sz w:val="20"/>
          <w:u w:val="single"/>
        </w:rPr>
        <w:t>Pennsylvania Gas and Water Co.</w:t>
      </w:r>
      <w:r w:rsidRPr="0034707B">
        <w:rPr>
          <w:i/>
          <w:sz w:val="20"/>
        </w:rPr>
        <w:t>, supra.</w:t>
      </w:r>
    </w:p>
    <w:p w:rsidR="0063461E" w:rsidRPr="0034707B" w:rsidRDefault="0063461E" w:rsidP="0034707B">
      <w:pPr>
        <w:pStyle w:val="FootnoteText"/>
        <w:rPr>
          <w:sz w:val="20"/>
        </w:rPr>
      </w:pPr>
    </w:p>
  </w:footnote>
  <w:footnote w:id="12">
    <w:p w:rsidR="0063461E" w:rsidRPr="0034707B" w:rsidRDefault="0063461E" w:rsidP="0034707B">
      <w:pPr>
        <w:pStyle w:val="FootnoteText"/>
        <w:rPr>
          <w:sz w:val="20"/>
        </w:rPr>
      </w:pPr>
      <w:r w:rsidRPr="0034707B">
        <w:rPr>
          <w:rStyle w:val="FootnoteReference"/>
          <w:sz w:val="20"/>
        </w:rPr>
        <w:footnoteRef/>
      </w:r>
      <w:r w:rsidRPr="0034707B">
        <w:rPr>
          <w:sz w:val="20"/>
        </w:rPr>
        <w:t xml:space="preserve"> </w:t>
      </w:r>
      <w:r w:rsidRPr="0034707B">
        <w:rPr>
          <w:sz w:val="20"/>
        </w:rPr>
        <w:tab/>
      </w:r>
      <w:proofErr w:type="gramStart"/>
      <w:r w:rsidRPr="002B08B9">
        <w:rPr>
          <w:sz w:val="20"/>
          <w:u w:val="single"/>
        </w:rPr>
        <w:t>Bluefield</w:t>
      </w:r>
      <w:r w:rsidRPr="0034707B">
        <w:rPr>
          <w:i/>
          <w:sz w:val="20"/>
        </w:rPr>
        <w:t>, supra.</w:t>
      </w:r>
      <w:proofErr w:type="gramEnd"/>
    </w:p>
  </w:footnote>
  <w:footnote w:id="13">
    <w:p w:rsidR="0063461E" w:rsidRDefault="0063461E" w:rsidP="0034707B">
      <w:pPr>
        <w:pStyle w:val="FootnoteText"/>
        <w:rPr>
          <w:sz w:val="20"/>
        </w:rPr>
      </w:pPr>
      <w:r w:rsidRPr="0034707B">
        <w:rPr>
          <w:rStyle w:val="FootnoteReference"/>
          <w:sz w:val="20"/>
        </w:rPr>
        <w:footnoteRef/>
      </w:r>
      <w:r w:rsidRPr="0034707B">
        <w:rPr>
          <w:sz w:val="20"/>
        </w:rPr>
        <w:t xml:space="preserve"> </w:t>
      </w:r>
      <w:r w:rsidRPr="0034707B">
        <w:rPr>
          <w:sz w:val="20"/>
        </w:rPr>
        <w:tab/>
      </w:r>
      <w:r>
        <w:rPr>
          <w:sz w:val="20"/>
        </w:rPr>
        <w:t>OCA</w:t>
      </w:r>
      <w:r w:rsidRPr="0034707B">
        <w:rPr>
          <w:sz w:val="20"/>
        </w:rPr>
        <w:t xml:space="preserve"> was a partial outlier because its witness proposed a revenue allocation based on his alternative COS study that, contrary to the Commission’s directives in the PPL’s 2012 base rate case, ignored the customer components of distribution infrastructure in Accounts 364-367.</w:t>
      </w:r>
    </w:p>
    <w:p w:rsidR="0063461E" w:rsidRPr="0034707B" w:rsidRDefault="0063461E" w:rsidP="0034707B">
      <w:pPr>
        <w:pStyle w:val="FootnoteText"/>
        <w:rPr>
          <w:sz w:val="20"/>
        </w:rPr>
      </w:pPr>
    </w:p>
  </w:footnote>
  <w:footnote w:id="14">
    <w:p w:rsidR="0063461E" w:rsidRPr="0034707B" w:rsidRDefault="0063461E" w:rsidP="0034707B">
      <w:pPr>
        <w:pStyle w:val="FootnoteText"/>
        <w:rPr>
          <w:sz w:val="20"/>
        </w:rPr>
      </w:pPr>
      <w:r w:rsidRPr="0034707B">
        <w:rPr>
          <w:rStyle w:val="FootnoteReference"/>
          <w:sz w:val="20"/>
        </w:rPr>
        <w:footnoteRef/>
      </w:r>
      <w:r w:rsidRPr="0034707B">
        <w:rPr>
          <w:sz w:val="20"/>
        </w:rPr>
        <w:t xml:space="preserve"> </w:t>
      </w:r>
      <w:r w:rsidRPr="0034707B">
        <w:rPr>
          <w:sz w:val="20"/>
        </w:rPr>
        <w:tab/>
        <w:t xml:space="preserve">The Company’s efforts to contain expenses and its significant investment in reliability-related infrastructure were explained in detail in Section II.A, </w:t>
      </w:r>
      <w:r w:rsidRPr="0034707B">
        <w:rPr>
          <w:i/>
          <w:sz w:val="20"/>
        </w:rPr>
        <w:t>supra</w:t>
      </w:r>
      <w:r w:rsidRPr="0034707B">
        <w:rPr>
          <w:sz w:val="20"/>
        </w:rPr>
        <w:t>.</w:t>
      </w:r>
    </w:p>
  </w:footnote>
  <w:footnote w:id="15">
    <w:p w:rsidR="0063461E" w:rsidRPr="0034707B" w:rsidRDefault="0063461E" w:rsidP="0034707B">
      <w:pPr>
        <w:pStyle w:val="FootnoteText"/>
        <w:rPr>
          <w:sz w:val="20"/>
        </w:rPr>
      </w:pPr>
      <w:r w:rsidRPr="0034707B">
        <w:rPr>
          <w:rStyle w:val="FootnoteReference"/>
          <w:sz w:val="20"/>
        </w:rPr>
        <w:footnoteRef/>
      </w:r>
      <w:r w:rsidRPr="0034707B">
        <w:rPr>
          <w:sz w:val="20"/>
        </w:rPr>
        <w:t xml:space="preserve"> </w:t>
      </w:r>
      <w:r w:rsidRPr="0034707B">
        <w:rPr>
          <w:sz w:val="20"/>
        </w:rPr>
        <w:tab/>
        <w:t xml:space="preserve">As previously explained, when the Settlement is approved and the Settlement Rates become effective, the SMT-C will be reduced to zero, in light of the roll-in to base rates of Smart Meter revenue requirement, subject to a possible future implementation of an SMT-C rate, pursuant to the terms of the Settlement (Joint Petition Paragraph 11.A.2).  </w:t>
      </w:r>
      <w:proofErr w:type="gramStart"/>
      <w:r w:rsidRPr="0034707B">
        <w:rPr>
          <w:i/>
          <w:sz w:val="20"/>
        </w:rPr>
        <w:t>See</w:t>
      </w:r>
      <w:r w:rsidRPr="0034707B">
        <w:rPr>
          <w:sz w:val="20"/>
        </w:rPr>
        <w:t xml:space="preserve"> Penn Power St. 7-R, pp. 3-4.</w:t>
      </w:r>
      <w:proofErr w:type="gramEnd"/>
    </w:p>
  </w:footnote>
  <w:footnote w:id="16">
    <w:p w:rsidR="0063461E" w:rsidRPr="0034707B" w:rsidRDefault="0063461E" w:rsidP="0034707B">
      <w:pPr>
        <w:pStyle w:val="FootnoteText"/>
        <w:rPr>
          <w:sz w:val="20"/>
        </w:rPr>
      </w:pPr>
      <w:r w:rsidRPr="0034707B">
        <w:rPr>
          <w:rStyle w:val="FootnoteReference"/>
          <w:sz w:val="20"/>
        </w:rPr>
        <w:footnoteRef/>
      </w:r>
      <w:r w:rsidRPr="0034707B">
        <w:rPr>
          <w:sz w:val="20"/>
        </w:rPr>
        <w:t xml:space="preserve"> </w:t>
      </w:r>
      <w:r w:rsidRPr="0034707B">
        <w:rPr>
          <w:sz w:val="20"/>
        </w:rPr>
        <w:tab/>
      </w:r>
      <w:r w:rsidRPr="0034707B">
        <w:rPr>
          <w:i/>
          <w:sz w:val="20"/>
        </w:rPr>
        <w:t>See Duquesne Light, supra</w:t>
      </w:r>
      <w:r w:rsidRPr="0034707B">
        <w:rPr>
          <w:sz w:val="20"/>
        </w:rPr>
        <w:t>.</w:t>
      </w:r>
    </w:p>
  </w:footnote>
  <w:footnote w:id="17">
    <w:p w:rsidR="0063461E" w:rsidRPr="001066F2" w:rsidRDefault="0063461E" w:rsidP="002236B9">
      <w:pPr>
        <w:pStyle w:val="FootnoteText"/>
        <w:jc w:val="both"/>
        <w:rPr>
          <w:sz w:val="20"/>
        </w:rPr>
      </w:pPr>
      <w:r w:rsidRPr="001066F2">
        <w:rPr>
          <w:rStyle w:val="FootnoteReference"/>
          <w:sz w:val="20"/>
        </w:rPr>
        <w:footnoteRef/>
      </w:r>
      <w:r w:rsidRPr="001066F2">
        <w:rPr>
          <w:sz w:val="20"/>
        </w:rPr>
        <w:t xml:space="preserve"> </w:t>
      </w:r>
      <w:r w:rsidRPr="001066F2">
        <w:rPr>
          <w:sz w:val="20"/>
        </w:rPr>
        <w:tab/>
        <w:t>On a distribution revenue only basis, the Company’s requested $29.6 million increase represents a 37.39% increase in distribution revenue.  The Settlement increase on a distribution only basis is 21.5%.</w:t>
      </w:r>
    </w:p>
  </w:footnote>
  <w:footnote w:id="18">
    <w:p w:rsidR="0063461E" w:rsidRPr="001066F2" w:rsidRDefault="0063461E" w:rsidP="007B36B5">
      <w:pPr>
        <w:pStyle w:val="FootnoteText"/>
        <w:rPr>
          <w:sz w:val="20"/>
        </w:rPr>
      </w:pPr>
      <w:r w:rsidRPr="001066F2">
        <w:rPr>
          <w:rStyle w:val="FootnoteReference"/>
          <w:sz w:val="20"/>
        </w:rPr>
        <w:footnoteRef/>
      </w:r>
      <w:r w:rsidRPr="001066F2">
        <w:rPr>
          <w:sz w:val="20"/>
        </w:rPr>
        <w:t xml:space="preserve"> </w:t>
      </w:r>
      <w:r w:rsidRPr="001066F2">
        <w:rPr>
          <w:sz w:val="20"/>
        </w:rPr>
        <w:tab/>
        <w:t>On a total revenue basis (distribution, generation, and transmission), this represents a 7.51% increase.</w:t>
      </w:r>
    </w:p>
  </w:footnote>
  <w:footnote w:id="19">
    <w:p w:rsidR="0063461E" w:rsidRPr="001066F2" w:rsidRDefault="0063461E" w:rsidP="002236B9">
      <w:pPr>
        <w:pStyle w:val="FootnoteText"/>
        <w:jc w:val="both"/>
        <w:rPr>
          <w:sz w:val="20"/>
        </w:rPr>
      </w:pPr>
      <w:r w:rsidRPr="001066F2">
        <w:rPr>
          <w:rStyle w:val="FootnoteReference"/>
          <w:sz w:val="20"/>
        </w:rPr>
        <w:footnoteRef/>
      </w:r>
      <w:r w:rsidRPr="001066F2">
        <w:rPr>
          <w:sz w:val="20"/>
        </w:rPr>
        <w:t xml:space="preserve"> </w:t>
      </w:r>
      <w:r w:rsidRPr="001066F2">
        <w:rPr>
          <w:sz w:val="20"/>
        </w:rPr>
        <w:tab/>
        <w:t>These three measurements are defined by the Commission in its regulations, 52 Pa. Code Section 57.191-197, and are used to measure all Pennsylvania electric distribution companies’ performance for non-major storm outages or interruptions.  Therefore, these measurements exclude the outages associated with “major events” and are designed to reflect the “normal” operation of the distribution system under routine weather conditions and events.</w:t>
      </w:r>
    </w:p>
  </w:footnote>
  <w:footnote w:id="20">
    <w:p w:rsidR="0063461E" w:rsidRPr="007F5AFE" w:rsidRDefault="0063461E" w:rsidP="007F5AFE">
      <w:pPr>
        <w:pStyle w:val="FootnoteText"/>
        <w:rPr>
          <w:sz w:val="20"/>
        </w:rPr>
      </w:pPr>
      <w:r w:rsidRPr="007F5AFE">
        <w:rPr>
          <w:rStyle w:val="FootnoteReference"/>
          <w:sz w:val="20"/>
        </w:rPr>
        <w:footnoteRef/>
      </w:r>
      <w:r w:rsidRPr="007F5AFE">
        <w:rPr>
          <w:sz w:val="20"/>
        </w:rPr>
        <w:t xml:space="preserve"> </w:t>
      </w:r>
      <w:r w:rsidRPr="007F5AFE">
        <w:rPr>
          <w:sz w:val="20"/>
        </w:rPr>
        <w:tab/>
        <w:t xml:space="preserve">Further Prehearing Conference Tr. at 572 (November 25, 2014). </w:t>
      </w:r>
    </w:p>
    <w:p w:rsidR="0063461E" w:rsidRPr="007F5AFE" w:rsidRDefault="0063461E" w:rsidP="007F5AFE">
      <w:pPr>
        <w:pStyle w:val="FootnoteText"/>
        <w:rPr>
          <w:sz w:val="20"/>
        </w:rPr>
      </w:pPr>
    </w:p>
  </w:footnote>
  <w:footnote w:id="21">
    <w:p w:rsidR="0063461E" w:rsidRDefault="0063461E" w:rsidP="007F5AFE">
      <w:pPr>
        <w:pStyle w:val="FootnoteText"/>
        <w:rPr>
          <w:sz w:val="20"/>
        </w:rPr>
      </w:pPr>
      <w:r w:rsidRPr="007F5AFE">
        <w:rPr>
          <w:rStyle w:val="FootnoteReference"/>
          <w:sz w:val="20"/>
        </w:rPr>
        <w:footnoteRef/>
      </w:r>
      <w:r w:rsidRPr="007F5AFE">
        <w:rPr>
          <w:sz w:val="20"/>
        </w:rPr>
        <w:t xml:space="preserve"> </w:t>
      </w:r>
      <w:r w:rsidRPr="007F5AFE">
        <w:rPr>
          <w:sz w:val="20"/>
        </w:rPr>
        <w:tab/>
        <w:t xml:space="preserve">West Penn Statement No. 11-S, p. 7. </w:t>
      </w:r>
    </w:p>
    <w:p w:rsidR="0063461E" w:rsidRPr="007F5AFE" w:rsidRDefault="0063461E" w:rsidP="007F5AFE">
      <w:pPr>
        <w:pStyle w:val="FootnoteText"/>
        <w:rPr>
          <w:sz w:val="20"/>
        </w:rPr>
      </w:pPr>
    </w:p>
  </w:footnote>
  <w:footnote w:id="22">
    <w:p w:rsidR="0063461E" w:rsidRDefault="0063461E" w:rsidP="007F5AFE">
      <w:pPr>
        <w:pStyle w:val="FootnoteText"/>
        <w:rPr>
          <w:sz w:val="20"/>
        </w:rPr>
      </w:pPr>
      <w:r w:rsidRPr="007F5AFE">
        <w:rPr>
          <w:rStyle w:val="FootnoteReference"/>
          <w:sz w:val="20"/>
        </w:rPr>
        <w:footnoteRef/>
      </w:r>
      <w:r w:rsidRPr="007F5AFE">
        <w:rPr>
          <w:sz w:val="20"/>
        </w:rPr>
        <w:t xml:space="preserve"> </w:t>
      </w:r>
      <w:r w:rsidRPr="007F5AFE">
        <w:rPr>
          <w:sz w:val="20"/>
        </w:rPr>
        <w:tab/>
      </w:r>
      <w:r w:rsidRPr="007F5AFE">
        <w:rPr>
          <w:sz w:val="20"/>
          <w:u w:val="single"/>
        </w:rPr>
        <w:t xml:space="preserve">Pa. Pub. </w:t>
      </w:r>
      <w:proofErr w:type="gramStart"/>
      <w:r w:rsidRPr="007F5AFE">
        <w:rPr>
          <w:sz w:val="20"/>
          <w:u w:val="single"/>
        </w:rPr>
        <w:t>Util. Comm’n v. Philadelphia Electric Co.</w:t>
      </w:r>
      <w:r w:rsidRPr="007F5AFE">
        <w:rPr>
          <w:sz w:val="20"/>
        </w:rPr>
        <w:t>, 522 Pa. 338 (1989).</w:t>
      </w:r>
      <w:proofErr w:type="gramEnd"/>
    </w:p>
    <w:p w:rsidR="0063461E" w:rsidRPr="007F5AFE" w:rsidRDefault="0063461E" w:rsidP="007F5AFE">
      <w:pPr>
        <w:pStyle w:val="FootnoteText"/>
        <w:rPr>
          <w:sz w:val="20"/>
        </w:rPr>
      </w:pPr>
    </w:p>
  </w:footnote>
  <w:footnote w:id="23">
    <w:p w:rsidR="0063461E" w:rsidRPr="007F5AFE" w:rsidRDefault="0063461E" w:rsidP="007F5AFE">
      <w:pPr>
        <w:pStyle w:val="FootnoteText"/>
        <w:rPr>
          <w:sz w:val="20"/>
        </w:rPr>
      </w:pPr>
      <w:r w:rsidRPr="007F5AFE">
        <w:rPr>
          <w:rStyle w:val="FootnoteReference"/>
          <w:sz w:val="20"/>
        </w:rPr>
        <w:footnoteRef/>
      </w:r>
      <w:r w:rsidRPr="007F5AFE">
        <w:rPr>
          <w:sz w:val="20"/>
        </w:rPr>
        <w:t xml:space="preserve"> </w:t>
      </w:r>
      <w:r w:rsidRPr="007F5AFE">
        <w:rPr>
          <w:sz w:val="20"/>
        </w:rPr>
        <w:tab/>
        <w:t>BIE’s overall rate of return recommendation was 7.03% for Met-Ed, 7.28% for Penelec, 7.48% for Penn Power and 7.11% for West Penn.</w:t>
      </w:r>
    </w:p>
  </w:footnote>
  <w:footnote w:id="24">
    <w:p w:rsidR="0063461E" w:rsidRDefault="0063461E" w:rsidP="007F5AFE">
      <w:pPr>
        <w:pStyle w:val="FootnoteText"/>
        <w:rPr>
          <w:sz w:val="20"/>
        </w:rPr>
      </w:pPr>
      <w:r w:rsidRPr="007F5AFE">
        <w:rPr>
          <w:rStyle w:val="FootnoteReference"/>
          <w:sz w:val="20"/>
        </w:rPr>
        <w:footnoteRef/>
      </w:r>
      <w:r w:rsidRPr="007F5AFE">
        <w:rPr>
          <w:sz w:val="20"/>
        </w:rPr>
        <w:t xml:space="preserve"> </w:t>
      </w:r>
      <w:r w:rsidRPr="007F5AFE">
        <w:rPr>
          <w:sz w:val="20"/>
        </w:rPr>
        <w:tab/>
        <w:t xml:space="preserve">Joint Petition, pp. 2-3. See Docket No. </w:t>
      </w:r>
      <w:proofErr w:type="gramStart"/>
      <w:r w:rsidRPr="007F5AFE">
        <w:rPr>
          <w:sz w:val="20"/>
        </w:rPr>
        <w:t>M-2013-2341993.</w:t>
      </w:r>
      <w:proofErr w:type="gramEnd"/>
    </w:p>
    <w:p w:rsidR="0063461E" w:rsidRPr="007F5AFE" w:rsidRDefault="0063461E" w:rsidP="007F5AFE">
      <w:pPr>
        <w:pStyle w:val="FootnoteText"/>
        <w:rPr>
          <w:sz w:val="20"/>
        </w:rPr>
      </w:pPr>
    </w:p>
  </w:footnote>
  <w:footnote w:id="25">
    <w:p w:rsidR="0063461E" w:rsidRDefault="0063461E" w:rsidP="007F5AFE">
      <w:pPr>
        <w:pStyle w:val="FootnoteText"/>
        <w:rPr>
          <w:sz w:val="20"/>
        </w:rPr>
      </w:pPr>
      <w:r w:rsidRPr="007F5AFE">
        <w:rPr>
          <w:rStyle w:val="FootnoteReference"/>
          <w:sz w:val="20"/>
        </w:rPr>
        <w:footnoteRef/>
      </w:r>
      <w:r w:rsidRPr="007F5AFE">
        <w:rPr>
          <w:sz w:val="20"/>
        </w:rPr>
        <w:t xml:space="preserve"> </w:t>
      </w:r>
      <w:r w:rsidRPr="007F5AFE">
        <w:rPr>
          <w:sz w:val="20"/>
        </w:rPr>
        <w:tab/>
        <w:t xml:space="preserve">Joint Petition, p. 3. </w:t>
      </w:r>
    </w:p>
    <w:p w:rsidR="0063461E" w:rsidRPr="007F5AFE" w:rsidRDefault="0063461E" w:rsidP="007F5AFE">
      <w:pPr>
        <w:pStyle w:val="FootnoteText"/>
        <w:rPr>
          <w:sz w:val="20"/>
        </w:rPr>
      </w:pPr>
    </w:p>
  </w:footnote>
  <w:footnote w:id="26">
    <w:p w:rsidR="0063461E" w:rsidRDefault="0063461E" w:rsidP="00C25F34">
      <w:pPr>
        <w:pStyle w:val="FootnoteText"/>
        <w:rPr>
          <w:sz w:val="20"/>
        </w:rPr>
      </w:pPr>
      <w:r w:rsidRPr="007F5AFE">
        <w:rPr>
          <w:rStyle w:val="FootnoteReference"/>
          <w:sz w:val="20"/>
        </w:rPr>
        <w:footnoteRef/>
      </w:r>
      <w:r w:rsidRPr="007F5AFE">
        <w:rPr>
          <w:sz w:val="20"/>
        </w:rPr>
        <w:t xml:space="preserve"> </w:t>
      </w:r>
      <w:r w:rsidRPr="007F5AFE">
        <w:rPr>
          <w:sz w:val="20"/>
        </w:rPr>
        <w:tab/>
      </w:r>
      <w:proofErr w:type="gramStart"/>
      <w:r w:rsidRPr="007F5AFE">
        <w:rPr>
          <w:sz w:val="20"/>
        </w:rPr>
        <w:t>BIE St. No. 3, p. 17 at Docket No.</w:t>
      </w:r>
      <w:proofErr w:type="gramEnd"/>
      <w:r w:rsidRPr="007F5AFE">
        <w:rPr>
          <w:sz w:val="20"/>
        </w:rPr>
        <w:t xml:space="preserve"> </w:t>
      </w:r>
      <w:proofErr w:type="gramStart"/>
      <w:r w:rsidRPr="007F5AFE">
        <w:rPr>
          <w:sz w:val="20"/>
        </w:rPr>
        <w:t>R-2014-2428744.</w:t>
      </w:r>
      <w:proofErr w:type="gramEnd"/>
      <w:r w:rsidRPr="007F5AFE">
        <w:rPr>
          <w:sz w:val="20"/>
        </w:rPr>
        <w:t xml:space="preserve">  </w:t>
      </w:r>
      <w:r w:rsidRPr="007F5AFE">
        <w:rPr>
          <w:i/>
          <w:sz w:val="20"/>
        </w:rPr>
        <w:t>See also</w:t>
      </w:r>
      <w:r w:rsidRPr="007F5AFE">
        <w:rPr>
          <w:sz w:val="20"/>
        </w:rPr>
        <w:t xml:space="preserve">, BIE St. No. 1, p. 5 at Docket No. </w:t>
      </w:r>
      <w:proofErr w:type="gramStart"/>
      <w:r w:rsidRPr="007F5AFE">
        <w:rPr>
          <w:sz w:val="20"/>
        </w:rPr>
        <w:t>M-2013-2341993.</w:t>
      </w:r>
      <w:proofErr w:type="gramEnd"/>
      <w:r w:rsidRPr="007F5AFE">
        <w:rPr>
          <w:sz w:val="20"/>
        </w:rPr>
        <w:t xml:space="preserve">  </w:t>
      </w:r>
    </w:p>
    <w:p w:rsidR="0063461E" w:rsidRPr="007F5AFE" w:rsidRDefault="0063461E" w:rsidP="007F5AFE">
      <w:pPr>
        <w:pStyle w:val="FootnoteText"/>
        <w:ind w:left="720" w:hanging="720"/>
        <w:rPr>
          <w:sz w:val="20"/>
        </w:rPr>
      </w:pPr>
    </w:p>
  </w:footnote>
  <w:footnote w:id="27">
    <w:p w:rsidR="0063461E" w:rsidRDefault="0063461E" w:rsidP="00C25F34">
      <w:pPr>
        <w:pStyle w:val="FootnoteText"/>
        <w:rPr>
          <w:sz w:val="20"/>
        </w:rPr>
      </w:pPr>
      <w:r w:rsidRPr="007F5AFE">
        <w:rPr>
          <w:rStyle w:val="FootnoteReference"/>
          <w:sz w:val="20"/>
        </w:rPr>
        <w:footnoteRef/>
      </w:r>
      <w:r w:rsidRPr="007F5AFE">
        <w:rPr>
          <w:sz w:val="20"/>
        </w:rPr>
        <w:t xml:space="preserve"> </w:t>
      </w:r>
      <w:r w:rsidRPr="007F5AFE">
        <w:rPr>
          <w:sz w:val="20"/>
        </w:rPr>
        <w:tab/>
      </w:r>
      <w:proofErr w:type="gramStart"/>
      <w:r w:rsidRPr="007F5AFE">
        <w:rPr>
          <w:sz w:val="20"/>
        </w:rPr>
        <w:t>BIE St. No. 3, p. 17 at Docket No.</w:t>
      </w:r>
      <w:proofErr w:type="gramEnd"/>
      <w:r w:rsidRPr="007F5AFE">
        <w:rPr>
          <w:sz w:val="20"/>
        </w:rPr>
        <w:t xml:space="preserve"> </w:t>
      </w:r>
      <w:proofErr w:type="gramStart"/>
      <w:r w:rsidRPr="007F5AFE">
        <w:rPr>
          <w:sz w:val="20"/>
        </w:rPr>
        <w:t>R-2014-2428744.</w:t>
      </w:r>
      <w:proofErr w:type="gramEnd"/>
      <w:r w:rsidRPr="007F5AFE">
        <w:rPr>
          <w:sz w:val="20"/>
        </w:rPr>
        <w:t xml:space="preserve">  </w:t>
      </w:r>
      <w:r w:rsidRPr="007F5AFE">
        <w:rPr>
          <w:i/>
          <w:sz w:val="20"/>
        </w:rPr>
        <w:t>See also</w:t>
      </w:r>
      <w:r w:rsidRPr="007F5AFE">
        <w:rPr>
          <w:sz w:val="20"/>
        </w:rPr>
        <w:t xml:space="preserve">, BIE St. No. 1, p. 5 at Docket No. </w:t>
      </w:r>
      <w:proofErr w:type="gramStart"/>
      <w:r w:rsidRPr="007F5AFE">
        <w:rPr>
          <w:sz w:val="20"/>
        </w:rPr>
        <w:t>M-2013-2341993.</w:t>
      </w:r>
      <w:proofErr w:type="gramEnd"/>
      <w:r w:rsidRPr="007F5AFE">
        <w:rPr>
          <w:sz w:val="20"/>
        </w:rPr>
        <w:t xml:space="preserve">   </w:t>
      </w:r>
    </w:p>
    <w:p w:rsidR="0063461E" w:rsidRPr="007F5AFE" w:rsidRDefault="0063461E" w:rsidP="007F5AFE">
      <w:pPr>
        <w:pStyle w:val="FootnoteText"/>
        <w:ind w:left="720" w:hanging="720"/>
        <w:rPr>
          <w:sz w:val="20"/>
        </w:rPr>
      </w:pPr>
    </w:p>
  </w:footnote>
  <w:footnote w:id="28">
    <w:p w:rsidR="0063461E" w:rsidRDefault="0063461E" w:rsidP="007F5AFE">
      <w:pPr>
        <w:pStyle w:val="FootnoteText"/>
        <w:rPr>
          <w:sz w:val="20"/>
        </w:rPr>
      </w:pPr>
      <w:r w:rsidRPr="007F5AFE">
        <w:rPr>
          <w:rStyle w:val="FootnoteReference"/>
          <w:sz w:val="20"/>
        </w:rPr>
        <w:footnoteRef/>
      </w:r>
      <w:r w:rsidRPr="007F5AFE">
        <w:rPr>
          <w:sz w:val="20"/>
        </w:rPr>
        <w:t xml:space="preserve"> </w:t>
      </w:r>
      <w:r w:rsidRPr="007F5AFE">
        <w:rPr>
          <w:sz w:val="20"/>
        </w:rPr>
        <w:tab/>
        <w:t xml:space="preserve">Joint Petition, p. 7. </w:t>
      </w:r>
    </w:p>
    <w:p w:rsidR="0063461E" w:rsidRPr="007F5AFE" w:rsidRDefault="0063461E" w:rsidP="007F5AFE">
      <w:pPr>
        <w:pStyle w:val="FootnoteText"/>
        <w:rPr>
          <w:sz w:val="20"/>
        </w:rPr>
      </w:pPr>
    </w:p>
  </w:footnote>
  <w:footnote w:id="29">
    <w:p w:rsidR="0063461E" w:rsidRDefault="0063461E" w:rsidP="00AF6C2F">
      <w:pPr>
        <w:pStyle w:val="FootnoteText"/>
        <w:rPr>
          <w:sz w:val="20"/>
        </w:rPr>
      </w:pPr>
      <w:r w:rsidRPr="007F5AFE">
        <w:rPr>
          <w:rStyle w:val="FootnoteReference"/>
          <w:sz w:val="20"/>
        </w:rPr>
        <w:footnoteRef/>
      </w:r>
      <w:r w:rsidRPr="007F5AFE">
        <w:rPr>
          <w:sz w:val="20"/>
        </w:rPr>
        <w:t xml:space="preserve"> </w:t>
      </w:r>
      <w:r w:rsidRPr="007F5AFE">
        <w:rPr>
          <w:sz w:val="20"/>
        </w:rPr>
        <w:tab/>
      </w:r>
      <w:proofErr w:type="gramStart"/>
      <w:r w:rsidRPr="007F5AFE">
        <w:rPr>
          <w:sz w:val="20"/>
        </w:rPr>
        <w:t>BIE St. No. 3, pp. 15-16 at Docket No.</w:t>
      </w:r>
      <w:proofErr w:type="gramEnd"/>
      <w:r w:rsidRPr="007F5AFE">
        <w:rPr>
          <w:sz w:val="20"/>
        </w:rPr>
        <w:t xml:space="preserve"> </w:t>
      </w:r>
      <w:proofErr w:type="gramStart"/>
      <w:r w:rsidRPr="007F5AFE">
        <w:rPr>
          <w:sz w:val="20"/>
        </w:rPr>
        <w:t>R-2014-2428744.</w:t>
      </w:r>
      <w:proofErr w:type="gramEnd"/>
      <w:r w:rsidRPr="007F5AFE">
        <w:rPr>
          <w:sz w:val="20"/>
        </w:rPr>
        <w:t xml:space="preserve">  </w:t>
      </w:r>
      <w:r w:rsidRPr="007F5AFE">
        <w:rPr>
          <w:i/>
          <w:sz w:val="20"/>
        </w:rPr>
        <w:t>See also</w:t>
      </w:r>
      <w:r w:rsidRPr="007F5AFE">
        <w:rPr>
          <w:sz w:val="20"/>
        </w:rPr>
        <w:t xml:space="preserve">, BIE St. No. 1, p. 3 at Docket No. </w:t>
      </w:r>
      <w:proofErr w:type="gramStart"/>
      <w:r w:rsidRPr="007F5AFE">
        <w:rPr>
          <w:sz w:val="20"/>
        </w:rPr>
        <w:t>M-2013-2341993.</w:t>
      </w:r>
      <w:proofErr w:type="gramEnd"/>
      <w:r w:rsidRPr="007F5AFE">
        <w:rPr>
          <w:sz w:val="20"/>
        </w:rPr>
        <w:t xml:space="preserve">  </w:t>
      </w:r>
    </w:p>
    <w:p w:rsidR="0063461E" w:rsidRPr="007F5AFE" w:rsidRDefault="0063461E" w:rsidP="007F5AFE">
      <w:pPr>
        <w:pStyle w:val="FootnoteText"/>
        <w:ind w:left="720" w:hanging="720"/>
        <w:rPr>
          <w:sz w:val="20"/>
        </w:rPr>
      </w:pPr>
    </w:p>
  </w:footnote>
  <w:footnote w:id="30">
    <w:p w:rsidR="0063461E" w:rsidRDefault="0063461E" w:rsidP="007F5AFE">
      <w:pPr>
        <w:pStyle w:val="FootnoteText"/>
        <w:rPr>
          <w:sz w:val="20"/>
        </w:rPr>
      </w:pPr>
      <w:r w:rsidRPr="007F5AFE">
        <w:rPr>
          <w:rStyle w:val="FootnoteReference"/>
          <w:sz w:val="20"/>
        </w:rPr>
        <w:footnoteRef/>
      </w:r>
      <w:r w:rsidRPr="007F5AFE">
        <w:rPr>
          <w:sz w:val="20"/>
        </w:rPr>
        <w:t xml:space="preserve"> </w:t>
      </w:r>
      <w:r w:rsidRPr="007F5AFE">
        <w:rPr>
          <w:sz w:val="20"/>
        </w:rPr>
        <w:tab/>
        <w:t xml:space="preserve">Joint Petition, p. 7.  </w:t>
      </w:r>
    </w:p>
    <w:p w:rsidR="0063461E" w:rsidRPr="007F5AFE" w:rsidRDefault="0063461E" w:rsidP="007F5AFE">
      <w:pPr>
        <w:pStyle w:val="FootnoteText"/>
        <w:rPr>
          <w:sz w:val="20"/>
        </w:rPr>
      </w:pPr>
    </w:p>
  </w:footnote>
  <w:footnote w:id="31">
    <w:p w:rsidR="0063461E" w:rsidRDefault="0063461E" w:rsidP="00EE5932">
      <w:pPr>
        <w:pStyle w:val="FootnoteText"/>
        <w:ind w:left="720" w:firstLine="0"/>
        <w:rPr>
          <w:sz w:val="20"/>
        </w:rPr>
      </w:pPr>
      <w:r w:rsidRPr="007F5AFE">
        <w:rPr>
          <w:rStyle w:val="FootnoteReference"/>
          <w:sz w:val="20"/>
        </w:rPr>
        <w:footnoteRef/>
      </w:r>
      <w:r w:rsidRPr="007F5AFE">
        <w:rPr>
          <w:sz w:val="20"/>
        </w:rPr>
        <w:t xml:space="preserve"> </w:t>
      </w:r>
      <w:r w:rsidRPr="007F5AFE">
        <w:rPr>
          <w:sz w:val="20"/>
        </w:rPr>
        <w:tab/>
      </w:r>
      <w:proofErr w:type="gramStart"/>
      <w:r w:rsidRPr="007F5AFE">
        <w:rPr>
          <w:sz w:val="20"/>
        </w:rPr>
        <w:t>BIE St. No. 3, p. 20-21 at Docket No.</w:t>
      </w:r>
      <w:proofErr w:type="gramEnd"/>
      <w:r w:rsidRPr="007F5AFE">
        <w:rPr>
          <w:sz w:val="20"/>
        </w:rPr>
        <w:t xml:space="preserve"> </w:t>
      </w:r>
      <w:proofErr w:type="gramStart"/>
      <w:r w:rsidRPr="007F5AFE">
        <w:rPr>
          <w:sz w:val="20"/>
        </w:rPr>
        <w:t>R-2014-2428744.</w:t>
      </w:r>
      <w:proofErr w:type="gramEnd"/>
      <w:r w:rsidRPr="007F5AFE">
        <w:rPr>
          <w:sz w:val="20"/>
        </w:rPr>
        <w:t xml:space="preserve">  </w:t>
      </w:r>
    </w:p>
    <w:p w:rsidR="0063461E" w:rsidRPr="007F5AFE" w:rsidRDefault="0063461E" w:rsidP="007F5AFE">
      <w:pPr>
        <w:pStyle w:val="FootnoteText"/>
        <w:ind w:left="720" w:hanging="720"/>
        <w:rPr>
          <w:sz w:val="20"/>
        </w:rPr>
      </w:pPr>
    </w:p>
  </w:footnote>
  <w:footnote w:id="32">
    <w:p w:rsidR="0063461E" w:rsidRPr="00EE5932" w:rsidRDefault="0063461E" w:rsidP="007F5AFE">
      <w:pPr>
        <w:pStyle w:val="FootnoteText"/>
        <w:rPr>
          <w:sz w:val="20"/>
        </w:rPr>
      </w:pPr>
      <w:r w:rsidRPr="00EE5932">
        <w:rPr>
          <w:rStyle w:val="FootnoteReference"/>
          <w:sz w:val="20"/>
        </w:rPr>
        <w:footnoteRef/>
      </w:r>
      <w:r w:rsidRPr="00EE5932">
        <w:rPr>
          <w:sz w:val="20"/>
        </w:rPr>
        <w:t xml:space="preserve"> </w:t>
      </w:r>
      <w:r w:rsidRPr="00EE5932">
        <w:rPr>
          <w:sz w:val="20"/>
        </w:rPr>
        <w:tab/>
      </w:r>
      <w:r w:rsidRPr="00EE5932">
        <w:rPr>
          <w:sz w:val="20"/>
          <w:u w:val="single"/>
        </w:rPr>
        <w:t>Joint Petition of Metropolitan Edison Company, Pennsylvania Electric Company and Pennsylvania Power Company for Approval of Smart Meter Technology Procurement and Installation Plan</w:t>
      </w:r>
      <w:r w:rsidRPr="00EE5932">
        <w:rPr>
          <w:sz w:val="20"/>
        </w:rPr>
        <w:t xml:space="preserve">, Docket No. M-2009-2123950, p. 30 (Order entered June 9, 2010). </w:t>
      </w:r>
    </w:p>
    <w:p w:rsidR="0063461E" w:rsidRPr="00EE5932" w:rsidRDefault="0063461E" w:rsidP="007F5AFE">
      <w:pPr>
        <w:pStyle w:val="FootnoteText"/>
        <w:rPr>
          <w:sz w:val="20"/>
        </w:rPr>
      </w:pPr>
    </w:p>
  </w:footnote>
  <w:footnote w:id="33">
    <w:p w:rsidR="0063461E" w:rsidRPr="000F44A7" w:rsidRDefault="0063461E" w:rsidP="007F5AFE">
      <w:pPr>
        <w:pStyle w:val="FootnoteText"/>
        <w:rPr>
          <w:sz w:val="20"/>
        </w:rPr>
      </w:pPr>
      <w:r w:rsidRPr="000F44A7">
        <w:rPr>
          <w:rStyle w:val="FootnoteReference"/>
          <w:sz w:val="20"/>
        </w:rPr>
        <w:footnoteRef/>
      </w:r>
      <w:r w:rsidRPr="000F44A7">
        <w:rPr>
          <w:sz w:val="20"/>
        </w:rPr>
        <w:t xml:space="preserve"> </w:t>
      </w:r>
      <w:r w:rsidRPr="000F44A7">
        <w:rPr>
          <w:sz w:val="20"/>
        </w:rPr>
        <w:tab/>
      </w:r>
      <w:proofErr w:type="gramStart"/>
      <w:r w:rsidRPr="000F44A7">
        <w:rPr>
          <w:sz w:val="20"/>
        </w:rPr>
        <w:t>Joint Petition Exhibits 2, 3 and 4.</w:t>
      </w:r>
      <w:proofErr w:type="gramEnd"/>
      <w:r w:rsidRPr="000F44A7">
        <w:rPr>
          <w:sz w:val="20"/>
        </w:rPr>
        <w:t xml:space="preserve"> </w:t>
      </w:r>
    </w:p>
    <w:p w:rsidR="0063461E" w:rsidRPr="000F44A7" w:rsidRDefault="0063461E" w:rsidP="007F5AFE">
      <w:pPr>
        <w:pStyle w:val="FootnoteText"/>
        <w:rPr>
          <w:sz w:val="20"/>
        </w:rPr>
      </w:pPr>
    </w:p>
  </w:footnote>
  <w:footnote w:id="34">
    <w:p w:rsidR="0063461E" w:rsidRPr="00163622" w:rsidRDefault="0063461E">
      <w:pPr>
        <w:pStyle w:val="FootnoteText"/>
        <w:rPr>
          <w:sz w:val="20"/>
        </w:rPr>
      </w:pPr>
      <w:r w:rsidRPr="00163622">
        <w:rPr>
          <w:rStyle w:val="FootnoteReference"/>
          <w:sz w:val="20"/>
        </w:rPr>
        <w:footnoteRef/>
      </w:r>
      <w:r w:rsidRPr="00163622">
        <w:rPr>
          <w:sz w:val="20"/>
        </w:rPr>
        <w:t xml:space="preserve"> </w:t>
      </w:r>
      <w:r w:rsidRPr="00163622">
        <w:rPr>
          <w:sz w:val="20"/>
        </w:rPr>
        <w:tab/>
      </w:r>
      <w:r w:rsidRPr="00163622">
        <w:rPr>
          <w:sz w:val="20"/>
          <w:u w:val="single"/>
        </w:rPr>
        <w:t>Lower Frederick Twp. v. Pa. Pub</w:t>
      </w:r>
      <w:r>
        <w:rPr>
          <w:sz w:val="20"/>
          <w:u w:val="single"/>
        </w:rPr>
        <w:t>.</w:t>
      </w:r>
      <w:r w:rsidRPr="00163622">
        <w:rPr>
          <w:sz w:val="20"/>
          <w:u w:val="single"/>
        </w:rPr>
        <w:t xml:space="preserve"> Util</w:t>
      </w:r>
      <w:r>
        <w:rPr>
          <w:sz w:val="20"/>
          <w:u w:val="single"/>
        </w:rPr>
        <w:t>.</w:t>
      </w:r>
      <w:r w:rsidRPr="00163622">
        <w:rPr>
          <w:sz w:val="20"/>
          <w:u w:val="single"/>
        </w:rPr>
        <w:t xml:space="preserve"> Comm</w:t>
      </w:r>
      <w:r>
        <w:rPr>
          <w:sz w:val="20"/>
          <w:u w:val="single"/>
        </w:rPr>
        <w:t>’n</w:t>
      </w:r>
      <w:r w:rsidRPr="00163622">
        <w:rPr>
          <w:sz w:val="20"/>
        </w:rPr>
        <w:t xml:space="preserve">, </w:t>
      </w:r>
      <w:proofErr w:type="gramStart"/>
      <w:r w:rsidRPr="00163622">
        <w:rPr>
          <w:sz w:val="20"/>
        </w:rPr>
        <w:t>48 Pa</w:t>
      </w:r>
      <w:r>
        <w:rPr>
          <w:sz w:val="20"/>
        </w:rPr>
        <w:t>.</w:t>
      </w:r>
      <w:r w:rsidRPr="00163622">
        <w:rPr>
          <w:sz w:val="20"/>
        </w:rPr>
        <w:t>Cmwlth</w:t>
      </w:r>
      <w:proofErr w:type="gramEnd"/>
      <w:r>
        <w:rPr>
          <w:sz w:val="20"/>
        </w:rPr>
        <w:t>.</w:t>
      </w:r>
      <w:r w:rsidRPr="00163622">
        <w:rPr>
          <w:sz w:val="20"/>
        </w:rPr>
        <w:t xml:space="preserve"> </w:t>
      </w:r>
      <w:proofErr w:type="gramStart"/>
      <w:r w:rsidRPr="00163622">
        <w:rPr>
          <w:sz w:val="20"/>
        </w:rPr>
        <w:t>222, 226-227, 409 A.2d 505, 507 (1980).</w:t>
      </w:r>
      <w:proofErr w:type="gramEnd"/>
      <w:r w:rsidRPr="00163622">
        <w:rPr>
          <w:sz w:val="20"/>
        </w:rPr>
        <w:t xml:space="preserve">  See also, </w:t>
      </w:r>
      <w:r w:rsidRPr="00163622">
        <w:rPr>
          <w:sz w:val="20"/>
          <w:u w:val="single"/>
        </w:rPr>
        <w:t>Brockway Glass v. Pa. Pub</w:t>
      </w:r>
      <w:r>
        <w:rPr>
          <w:sz w:val="20"/>
          <w:u w:val="single"/>
        </w:rPr>
        <w:t>. Util. Comm’n,</w:t>
      </w:r>
      <w:r w:rsidRPr="00163622">
        <w:rPr>
          <w:sz w:val="20"/>
        </w:rPr>
        <w:t xml:space="preserve"> </w:t>
      </w:r>
      <w:proofErr w:type="gramStart"/>
      <w:r w:rsidRPr="00163622">
        <w:rPr>
          <w:sz w:val="20"/>
        </w:rPr>
        <w:t>63 Pa.Cmw</w:t>
      </w:r>
      <w:r>
        <w:rPr>
          <w:sz w:val="20"/>
        </w:rPr>
        <w:t>lth</w:t>
      </w:r>
      <w:proofErr w:type="gramEnd"/>
      <w:r w:rsidRPr="00163622">
        <w:rPr>
          <w:sz w:val="20"/>
        </w:rPr>
        <w:t xml:space="preserve">. </w:t>
      </w:r>
      <w:proofErr w:type="gramStart"/>
      <w:r w:rsidRPr="00163622">
        <w:rPr>
          <w:sz w:val="20"/>
        </w:rPr>
        <w:t>238, 437 A.2d 1067 (1981).</w:t>
      </w:r>
      <w:proofErr w:type="gramEnd"/>
      <w:r w:rsidRPr="00163622">
        <w:rPr>
          <w:sz w:val="20"/>
        </w:rPr>
        <w:t xml:space="preserve"> </w:t>
      </w:r>
    </w:p>
    <w:p w:rsidR="0063461E" w:rsidRPr="00163622" w:rsidRDefault="0063461E">
      <w:pPr>
        <w:pStyle w:val="FootnoteText"/>
        <w:rPr>
          <w:sz w:val="20"/>
        </w:rPr>
      </w:pPr>
    </w:p>
  </w:footnote>
  <w:footnote w:id="35">
    <w:p w:rsidR="0063461E" w:rsidRPr="00163622" w:rsidRDefault="0063461E">
      <w:pPr>
        <w:pStyle w:val="FootnoteText"/>
        <w:rPr>
          <w:sz w:val="20"/>
        </w:rPr>
      </w:pPr>
      <w:r w:rsidRPr="00163622">
        <w:rPr>
          <w:rStyle w:val="FootnoteReference"/>
          <w:sz w:val="20"/>
        </w:rPr>
        <w:footnoteRef/>
      </w:r>
      <w:r w:rsidRPr="00163622">
        <w:rPr>
          <w:sz w:val="20"/>
        </w:rPr>
        <w:t xml:space="preserve"> </w:t>
      </w:r>
      <w:r w:rsidRPr="00163622">
        <w:rPr>
          <w:sz w:val="20"/>
        </w:rPr>
        <w:tab/>
        <w:t xml:space="preserve">See </w:t>
      </w:r>
      <w:r w:rsidRPr="00163622">
        <w:rPr>
          <w:sz w:val="20"/>
          <w:u w:val="single"/>
        </w:rPr>
        <w:t>Pa. Pub</w:t>
      </w:r>
      <w:r>
        <w:rPr>
          <w:sz w:val="20"/>
          <w:u w:val="single"/>
        </w:rPr>
        <w:t>.</w:t>
      </w:r>
      <w:r w:rsidRPr="00163622">
        <w:rPr>
          <w:sz w:val="20"/>
          <w:u w:val="single"/>
        </w:rPr>
        <w:t xml:space="preserve"> </w:t>
      </w:r>
      <w:proofErr w:type="gramStart"/>
      <w:r w:rsidRPr="00163622">
        <w:rPr>
          <w:sz w:val="20"/>
          <w:u w:val="single"/>
        </w:rPr>
        <w:t>Util</w:t>
      </w:r>
      <w:r>
        <w:rPr>
          <w:sz w:val="20"/>
          <w:u w:val="single"/>
        </w:rPr>
        <w:t>.</w:t>
      </w:r>
      <w:r w:rsidRPr="00163622">
        <w:rPr>
          <w:sz w:val="20"/>
          <w:u w:val="single"/>
        </w:rPr>
        <w:t xml:space="preserve"> Comm</w:t>
      </w:r>
      <w:r>
        <w:rPr>
          <w:sz w:val="20"/>
          <w:u w:val="single"/>
        </w:rPr>
        <w:t>’n</w:t>
      </w:r>
      <w:r w:rsidRPr="00163622">
        <w:rPr>
          <w:sz w:val="20"/>
          <w:u w:val="single"/>
        </w:rPr>
        <w:t xml:space="preserve"> v. National Fuel Gas Distribution Corp.</w:t>
      </w:r>
      <w:r w:rsidRPr="00163622">
        <w:rPr>
          <w:sz w:val="20"/>
        </w:rPr>
        <w:t xml:space="preserve">, 1994 Pa. PUC LEXIS 134 *5 (1994); </w:t>
      </w:r>
      <w:r w:rsidRPr="00163622">
        <w:rPr>
          <w:sz w:val="20"/>
          <w:u w:val="single"/>
        </w:rPr>
        <w:t>Pa. Pub</w:t>
      </w:r>
      <w:r>
        <w:rPr>
          <w:sz w:val="20"/>
          <w:u w:val="single"/>
        </w:rPr>
        <w:t>.</w:t>
      </w:r>
      <w:proofErr w:type="gramEnd"/>
      <w:r w:rsidRPr="00163622">
        <w:rPr>
          <w:sz w:val="20"/>
          <w:u w:val="single"/>
        </w:rPr>
        <w:t xml:space="preserve"> </w:t>
      </w:r>
      <w:proofErr w:type="gramStart"/>
      <w:r w:rsidRPr="00163622">
        <w:rPr>
          <w:sz w:val="20"/>
          <w:u w:val="single"/>
        </w:rPr>
        <w:t>Util</w:t>
      </w:r>
      <w:r>
        <w:rPr>
          <w:sz w:val="20"/>
          <w:u w:val="single"/>
        </w:rPr>
        <w:t>.</w:t>
      </w:r>
      <w:r w:rsidRPr="00163622">
        <w:rPr>
          <w:sz w:val="20"/>
          <w:u w:val="single"/>
        </w:rPr>
        <w:t xml:space="preserve"> Comm</w:t>
      </w:r>
      <w:r>
        <w:rPr>
          <w:sz w:val="20"/>
          <w:u w:val="single"/>
        </w:rPr>
        <w:t>’n</w:t>
      </w:r>
      <w:r w:rsidRPr="00163622">
        <w:rPr>
          <w:sz w:val="20"/>
          <w:u w:val="single"/>
        </w:rPr>
        <w:t xml:space="preserve"> v. </w:t>
      </w:r>
      <w:proofErr w:type="spellStart"/>
      <w:r w:rsidRPr="00163622">
        <w:rPr>
          <w:sz w:val="20"/>
          <w:u w:val="single"/>
        </w:rPr>
        <w:t>Breezewood</w:t>
      </w:r>
      <w:proofErr w:type="spellEnd"/>
      <w:r w:rsidRPr="00163622">
        <w:rPr>
          <w:sz w:val="20"/>
          <w:u w:val="single"/>
        </w:rPr>
        <w:t xml:space="preserve"> Telephone Company</w:t>
      </w:r>
      <w:r w:rsidRPr="00163622">
        <w:rPr>
          <w:sz w:val="20"/>
        </w:rPr>
        <w:t xml:space="preserve">, 74 Pa. PUC 431 (1991); and </w:t>
      </w:r>
      <w:r w:rsidRPr="00163622">
        <w:rPr>
          <w:sz w:val="20"/>
          <w:u w:val="single"/>
        </w:rPr>
        <w:t>Pa. Pub</w:t>
      </w:r>
      <w:r>
        <w:rPr>
          <w:sz w:val="20"/>
          <w:u w:val="single"/>
        </w:rPr>
        <w:t>.</w:t>
      </w:r>
      <w:proofErr w:type="gramEnd"/>
      <w:r w:rsidRPr="00163622">
        <w:rPr>
          <w:sz w:val="20"/>
          <w:u w:val="single"/>
        </w:rPr>
        <w:t xml:space="preserve"> </w:t>
      </w:r>
      <w:proofErr w:type="gramStart"/>
      <w:r w:rsidRPr="00163622">
        <w:rPr>
          <w:sz w:val="20"/>
          <w:u w:val="single"/>
        </w:rPr>
        <w:t>Util</w:t>
      </w:r>
      <w:r>
        <w:rPr>
          <w:sz w:val="20"/>
          <w:u w:val="single"/>
        </w:rPr>
        <w:t>.</w:t>
      </w:r>
      <w:r w:rsidRPr="00163622">
        <w:rPr>
          <w:sz w:val="20"/>
          <w:u w:val="single"/>
        </w:rPr>
        <w:t xml:space="preserve"> Comm</w:t>
      </w:r>
      <w:r>
        <w:rPr>
          <w:sz w:val="20"/>
          <w:u w:val="single"/>
        </w:rPr>
        <w:t>’n</w:t>
      </w:r>
      <w:r w:rsidRPr="00163622">
        <w:rPr>
          <w:sz w:val="20"/>
          <w:u w:val="single"/>
        </w:rPr>
        <w:t xml:space="preserve"> v. Equitable Gas Co.</w:t>
      </w:r>
      <w:r w:rsidRPr="00163622">
        <w:rPr>
          <w:sz w:val="20"/>
        </w:rPr>
        <w:t>, 57 Pa. PUC 423, 471 (1983).</w:t>
      </w:r>
      <w:proofErr w:type="gramEnd"/>
      <w:r w:rsidRPr="00163622">
        <w:rPr>
          <w:sz w:val="20"/>
        </w:rPr>
        <w:t xml:space="preserve">  </w:t>
      </w:r>
    </w:p>
    <w:p w:rsidR="0063461E" w:rsidRPr="00163622" w:rsidRDefault="0063461E">
      <w:pPr>
        <w:pStyle w:val="FootnoteText"/>
        <w:rPr>
          <w:sz w:val="20"/>
        </w:rPr>
      </w:pPr>
    </w:p>
  </w:footnote>
  <w:footnote w:id="36">
    <w:p w:rsidR="0063461E" w:rsidRPr="00163622" w:rsidRDefault="0063461E" w:rsidP="005E274B">
      <w:pPr>
        <w:pStyle w:val="FootnoteText"/>
        <w:rPr>
          <w:sz w:val="20"/>
        </w:rPr>
      </w:pPr>
      <w:r w:rsidRPr="00163622">
        <w:rPr>
          <w:rStyle w:val="FootnoteReference"/>
          <w:sz w:val="20"/>
        </w:rPr>
        <w:footnoteRef/>
      </w:r>
      <w:r w:rsidRPr="00163622">
        <w:rPr>
          <w:sz w:val="20"/>
        </w:rPr>
        <w:t xml:space="preserve"> </w:t>
      </w:r>
      <w:r w:rsidRPr="00163622">
        <w:rPr>
          <w:sz w:val="20"/>
        </w:rPr>
        <w:tab/>
        <w:t xml:space="preserve">See also, 66 Pa.C.S.A. §1501, requiring a utility to have reasonable rules governing service.  There is no similar burden placed on parties which challenge a proposed rate component.  See, </w:t>
      </w:r>
      <w:proofErr w:type="spellStart"/>
      <w:r w:rsidRPr="00163622">
        <w:rPr>
          <w:sz w:val="20"/>
          <w:u w:val="single"/>
        </w:rPr>
        <w:t>Berner</w:t>
      </w:r>
      <w:proofErr w:type="spellEnd"/>
      <w:r w:rsidRPr="00163622">
        <w:rPr>
          <w:sz w:val="20"/>
          <w:u w:val="single"/>
        </w:rPr>
        <w:t xml:space="preserve"> v. Pa. Pub</w:t>
      </w:r>
      <w:r>
        <w:rPr>
          <w:sz w:val="20"/>
          <w:u w:val="single"/>
        </w:rPr>
        <w:t>.</w:t>
      </w:r>
      <w:r w:rsidRPr="00163622">
        <w:rPr>
          <w:sz w:val="20"/>
          <w:u w:val="single"/>
        </w:rPr>
        <w:t xml:space="preserve"> </w:t>
      </w:r>
      <w:proofErr w:type="gramStart"/>
      <w:r w:rsidRPr="00163622">
        <w:rPr>
          <w:sz w:val="20"/>
          <w:u w:val="single"/>
        </w:rPr>
        <w:t>Util</w:t>
      </w:r>
      <w:r>
        <w:rPr>
          <w:sz w:val="20"/>
          <w:u w:val="single"/>
        </w:rPr>
        <w:t>.</w:t>
      </w:r>
      <w:r w:rsidRPr="00163622">
        <w:rPr>
          <w:sz w:val="20"/>
          <w:u w:val="single"/>
        </w:rPr>
        <w:t xml:space="preserve"> Comm</w:t>
      </w:r>
      <w:r>
        <w:rPr>
          <w:sz w:val="20"/>
          <w:u w:val="single"/>
        </w:rPr>
        <w:t>’n</w:t>
      </w:r>
      <w:r w:rsidRPr="00163622">
        <w:rPr>
          <w:sz w:val="20"/>
        </w:rPr>
        <w:t>, 382 Pa. 622, 631, 116 A.2d 738, 744 (1955).</w:t>
      </w:r>
      <w:proofErr w:type="gramEnd"/>
    </w:p>
    <w:p w:rsidR="0063461E" w:rsidRPr="00163622" w:rsidRDefault="0063461E" w:rsidP="005E274B">
      <w:pPr>
        <w:pStyle w:val="FootnoteText"/>
        <w:rPr>
          <w:sz w:val="20"/>
        </w:rPr>
      </w:pPr>
    </w:p>
  </w:footnote>
  <w:footnote w:id="37">
    <w:p w:rsidR="0063461E" w:rsidRDefault="0063461E">
      <w:pPr>
        <w:pStyle w:val="FootnoteText"/>
        <w:rPr>
          <w:sz w:val="20"/>
        </w:rPr>
      </w:pPr>
      <w:r w:rsidRPr="00163622">
        <w:rPr>
          <w:rStyle w:val="FootnoteReference"/>
          <w:sz w:val="20"/>
        </w:rPr>
        <w:footnoteRef/>
      </w:r>
      <w:r w:rsidRPr="00163622">
        <w:rPr>
          <w:sz w:val="20"/>
        </w:rPr>
        <w:t xml:space="preserve"> </w:t>
      </w:r>
      <w:r w:rsidRPr="00163622">
        <w:rPr>
          <w:sz w:val="20"/>
        </w:rPr>
        <w:tab/>
      </w:r>
      <w:proofErr w:type="gramStart"/>
      <w:r w:rsidRPr="00163622">
        <w:rPr>
          <w:sz w:val="20"/>
          <w:u w:val="single"/>
        </w:rPr>
        <w:t>Allegheny Center Assocs. v. Pa. Pub</w:t>
      </w:r>
      <w:r>
        <w:rPr>
          <w:sz w:val="20"/>
          <w:u w:val="single"/>
        </w:rPr>
        <w:t>.</w:t>
      </w:r>
      <w:proofErr w:type="gramEnd"/>
      <w:r w:rsidRPr="00163622">
        <w:rPr>
          <w:sz w:val="20"/>
          <w:u w:val="single"/>
        </w:rPr>
        <w:t xml:space="preserve"> </w:t>
      </w:r>
      <w:proofErr w:type="gramStart"/>
      <w:r w:rsidRPr="00163622">
        <w:rPr>
          <w:sz w:val="20"/>
          <w:u w:val="single"/>
        </w:rPr>
        <w:t>Util</w:t>
      </w:r>
      <w:r>
        <w:rPr>
          <w:sz w:val="20"/>
          <w:u w:val="single"/>
        </w:rPr>
        <w:t>.</w:t>
      </w:r>
      <w:r w:rsidRPr="00163622">
        <w:rPr>
          <w:sz w:val="20"/>
          <w:u w:val="single"/>
        </w:rPr>
        <w:t xml:space="preserve"> Comm</w:t>
      </w:r>
      <w:r>
        <w:rPr>
          <w:sz w:val="20"/>
          <w:u w:val="single"/>
        </w:rPr>
        <w:t>’n</w:t>
      </w:r>
      <w:r w:rsidRPr="00163622">
        <w:rPr>
          <w:sz w:val="20"/>
        </w:rPr>
        <w:t>, 570 A.2d 149, 153 (Pa.Cmwlth. 1990).</w:t>
      </w:r>
      <w:proofErr w:type="gramEnd"/>
      <w:r w:rsidRPr="00163622">
        <w:rPr>
          <w:sz w:val="20"/>
        </w:rPr>
        <w:t xml:space="preserve"> </w:t>
      </w:r>
    </w:p>
    <w:p w:rsidR="0063461E" w:rsidRPr="00163622" w:rsidRDefault="0063461E">
      <w:pPr>
        <w:pStyle w:val="FootnoteText"/>
        <w:rPr>
          <w:sz w:val="20"/>
        </w:rPr>
      </w:pPr>
    </w:p>
  </w:footnote>
  <w:footnote w:id="38">
    <w:p w:rsidR="0063461E" w:rsidRPr="00163622" w:rsidRDefault="0063461E">
      <w:pPr>
        <w:pStyle w:val="FootnoteText"/>
        <w:rPr>
          <w:sz w:val="20"/>
        </w:rPr>
      </w:pPr>
      <w:r w:rsidRPr="00163622">
        <w:rPr>
          <w:rStyle w:val="FootnoteReference"/>
          <w:sz w:val="20"/>
        </w:rPr>
        <w:footnoteRef/>
      </w:r>
      <w:r w:rsidRPr="00163622">
        <w:rPr>
          <w:sz w:val="20"/>
        </w:rPr>
        <w:t xml:space="preserve"> </w:t>
      </w:r>
      <w:r w:rsidRPr="00163622">
        <w:rPr>
          <w:sz w:val="20"/>
        </w:rPr>
        <w:tab/>
      </w:r>
      <w:proofErr w:type="gramStart"/>
      <w:r w:rsidRPr="00163622">
        <w:rPr>
          <w:sz w:val="20"/>
        </w:rPr>
        <w:t xml:space="preserve">See, e.g., </w:t>
      </w:r>
      <w:r w:rsidRPr="00163622">
        <w:rPr>
          <w:sz w:val="20"/>
          <w:u w:val="single"/>
        </w:rPr>
        <w:t>Pa. Pub</w:t>
      </w:r>
      <w:r>
        <w:rPr>
          <w:sz w:val="20"/>
          <w:u w:val="single"/>
        </w:rPr>
        <w:t>.</w:t>
      </w:r>
      <w:proofErr w:type="gramEnd"/>
      <w:r w:rsidRPr="00163622">
        <w:rPr>
          <w:sz w:val="20"/>
          <w:u w:val="single"/>
        </w:rPr>
        <w:t xml:space="preserve"> Util</w:t>
      </w:r>
      <w:r>
        <w:rPr>
          <w:sz w:val="20"/>
          <w:u w:val="single"/>
        </w:rPr>
        <w:t>.</w:t>
      </w:r>
      <w:r w:rsidRPr="00163622">
        <w:rPr>
          <w:sz w:val="20"/>
          <w:u w:val="single"/>
        </w:rPr>
        <w:t xml:space="preserve"> Comm</w:t>
      </w:r>
      <w:r>
        <w:rPr>
          <w:sz w:val="20"/>
          <w:u w:val="single"/>
        </w:rPr>
        <w:t>’n</w:t>
      </w:r>
      <w:r w:rsidRPr="00163622">
        <w:rPr>
          <w:sz w:val="20"/>
          <w:u w:val="single"/>
        </w:rPr>
        <w:t xml:space="preserve"> v. PECO</w:t>
      </w:r>
      <w:r w:rsidRPr="00163622">
        <w:rPr>
          <w:sz w:val="20"/>
        </w:rPr>
        <w:t xml:space="preserve">, Docket No. </w:t>
      </w:r>
      <w:proofErr w:type="gramStart"/>
      <w:r w:rsidRPr="00163622">
        <w:rPr>
          <w:sz w:val="20"/>
        </w:rPr>
        <w:t xml:space="preserve">R-891364, et al.., 1990 Pa. PUC LEXIS 155 (May 16, 1990); </w:t>
      </w:r>
      <w:r w:rsidRPr="00163622">
        <w:rPr>
          <w:sz w:val="20"/>
          <w:u w:val="single"/>
        </w:rPr>
        <w:t>Pa. P</w:t>
      </w:r>
      <w:r>
        <w:rPr>
          <w:sz w:val="20"/>
          <w:u w:val="single"/>
        </w:rPr>
        <w:t>ub.</w:t>
      </w:r>
      <w:proofErr w:type="gramEnd"/>
      <w:r>
        <w:rPr>
          <w:sz w:val="20"/>
          <w:u w:val="single"/>
        </w:rPr>
        <w:t xml:space="preserve"> Util. Comm’n</w:t>
      </w:r>
      <w:r w:rsidRPr="00163622">
        <w:rPr>
          <w:sz w:val="20"/>
          <w:u w:val="single"/>
        </w:rPr>
        <w:t xml:space="preserve"> v. </w:t>
      </w:r>
      <w:proofErr w:type="spellStart"/>
      <w:r w:rsidRPr="00163622">
        <w:rPr>
          <w:sz w:val="20"/>
          <w:u w:val="single"/>
        </w:rPr>
        <w:t>Breezewood</w:t>
      </w:r>
      <w:proofErr w:type="spellEnd"/>
      <w:r w:rsidRPr="00163622">
        <w:rPr>
          <w:sz w:val="20"/>
          <w:u w:val="single"/>
        </w:rPr>
        <w:t xml:space="preserve"> Telephone Company</w:t>
      </w:r>
      <w:r w:rsidRPr="00163622">
        <w:rPr>
          <w:sz w:val="20"/>
        </w:rPr>
        <w:t>, Docket No. R-901666, 1991 Pa. PUC LEXIS 45 (January 31, 1991).</w:t>
      </w:r>
    </w:p>
    <w:p w:rsidR="0063461E" w:rsidRPr="00163622" w:rsidRDefault="0063461E">
      <w:pPr>
        <w:pStyle w:val="FootnoteText"/>
        <w:rPr>
          <w:sz w:val="20"/>
        </w:rPr>
      </w:pPr>
    </w:p>
  </w:footnote>
  <w:footnote w:id="39">
    <w:p w:rsidR="0063461E" w:rsidRPr="00163622" w:rsidRDefault="0063461E">
      <w:pPr>
        <w:pStyle w:val="FootnoteText"/>
        <w:rPr>
          <w:sz w:val="20"/>
        </w:rPr>
      </w:pPr>
      <w:r w:rsidRPr="00163622">
        <w:rPr>
          <w:rStyle w:val="FootnoteReference"/>
          <w:sz w:val="20"/>
        </w:rPr>
        <w:footnoteRef/>
      </w:r>
      <w:r w:rsidRPr="00163622">
        <w:rPr>
          <w:sz w:val="20"/>
        </w:rPr>
        <w:t xml:space="preserve"> </w:t>
      </w:r>
      <w:r w:rsidRPr="00163622">
        <w:rPr>
          <w:sz w:val="20"/>
        </w:rPr>
        <w:tab/>
        <w:t xml:space="preserve">Under Street Lighting Service – Schedule 51; Street and Area Lighting – Schedule 53; Street Lighting Service – Schedule 54; Street Lighting Service – Customer-Owned Equipment – Schedule 56; Outdoor Lighting Equipment and Maintenance Service – Schedule 57; or Mercury Vapor Street Highway Lighting Service – Schedule 71.  </w:t>
      </w:r>
    </w:p>
  </w:footnote>
  <w:footnote w:id="40">
    <w:p w:rsidR="0063461E" w:rsidRPr="00163622" w:rsidRDefault="0063461E" w:rsidP="00163622">
      <w:pPr>
        <w:pStyle w:val="FootnoteText"/>
        <w:rPr>
          <w:sz w:val="20"/>
        </w:rPr>
      </w:pPr>
      <w:r w:rsidRPr="00163622">
        <w:rPr>
          <w:rStyle w:val="FootnoteReference"/>
          <w:sz w:val="20"/>
        </w:rPr>
        <w:footnoteRef/>
      </w:r>
      <w:r w:rsidRPr="00163622">
        <w:rPr>
          <w:sz w:val="20"/>
        </w:rPr>
        <w:t xml:space="preserve"> </w:t>
      </w:r>
      <w:r>
        <w:rPr>
          <w:sz w:val="20"/>
        </w:rPr>
        <w:tab/>
      </w:r>
      <w:r w:rsidRPr="00163622">
        <w:rPr>
          <w:sz w:val="20"/>
        </w:rPr>
        <w:t xml:space="preserve">The hours of operation and the load imposed by each street lighting fixture are known and fixed. Therefore, the rate for distribution service, which is based on customer-related and demand-related costs, can properly be stated as a fixed charge per fixture calculated to recover the cost of service based on those two rate determinants. </w:t>
      </w:r>
    </w:p>
  </w:footnote>
  <w:footnote w:id="41">
    <w:p w:rsidR="0063461E" w:rsidRDefault="0063461E" w:rsidP="00163622">
      <w:pPr>
        <w:pStyle w:val="FootnoteText"/>
        <w:rPr>
          <w:sz w:val="20"/>
        </w:rPr>
      </w:pPr>
      <w:r w:rsidRPr="00163622">
        <w:rPr>
          <w:rStyle w:val="FootnoteReference"/>
          <w:sz w:val="20"/>
        </w:rPr>
        <w:footnoteRef/>
      </w:r>
      <w:r w:rsidRPr="00163622">
        <w:rPr>
          <w:sz w:val="20"/>
        </w:rPr>
        <w:t xml:space="preserve"> </w:t>
      </w:r>
      <w:r>
        <w:rPr>
          <w:sz w:val="20"/>
        </w:rPr>
        <w:tab/>
      </w:r>
      <w:r w:rsidRPr="00163622">
        <w:rPr>
          <w:sz w:val="20"/>
        </w:rPr>
        <w:t>Mr. Munson is EDF’s Midwest Director for Clean Energy, and Mr. Sandoval is EDF’s Senior Manager for Grid Modernization.  EDF is a settling party and a Joint Petitioner.</w:t>
      </w:r>
    </w:p>
    <w:p w:rsidR="0063461E" w:rsidRPr="00163622" w:rsidRDefault="0063461E" w:rsidP="00163622">
      <w:pPr>
        <w:pStyle w:val="FootnoteText"/>
        <w:rPr>
          <w:sz w:val="20"/>
        </w:rPr>
      </w:pPr>
    </w:p>
  </w:footnote>
  <w:footnote w:id="42">
    <w:p w:rsidR="0063461E" w:rsidRDefault="0063461E" w:rsidP="00163622">
      <w:pPr>
        <w:pStyle w:val="FootnoteText"/>
        <w:rPr>
          <w:sz w:val="20"/>
        </w:rPr>
      </w:pPr>
      <w:r w:rsidRPr="00163622">
        <w:rPr>
          <w:rStyle w:val="FootnoteReference"/>
          <w:sz w:val="20"/>
        </w:rPr>
        <w:footnoteRef/>
      </w:r>
      <w:r w:rsidRPr="00163622">
        <w:rPr>
          <w:sz w:val="20"/>
        </w:rPr>
        <w:t xml:space="preserve"> </w:t>
      </w:r>
      <w:r>
        <w:rPr>
          <w:sz w:val="20"/>
        </w:rPr>
        <w:tab/>
      </w:r>
      <w:r w:rsidRPr="00163622">
        <w:rPr>
          <w:sz w:val="20"/>
        </w:rPr>
        <w:t xml:space="preserve">Mr. </w:t>
      </w:r>
      <w:proofErr w:type="spellStart"/>
      <w:r w:rsidRPr="00163622">
        <w:rPr>
          <w:sz w:val="20"/>
        </w:rPr>
        <w:t>Gormley</w:t>
      </w:r>
      <w:proofErr w:type="spellEnd"/>
      <w:r w:rsidRPr="00163622">
        <w:rPr>
          <w:sz w:val="20"/>
        </w:rPr>
        <w:t xml:space="preserve"> is the President of </w:t>
      </w:r>
      <w:proofErr w:type="spellStart"/>
      <w:r w:rsidRPr="00163622">
        <w:rPr>
          <w:sz w:val="20"/>
        </w:rPr>
        <w:t>Gormley</w:t>
      </w:r>
      <w:proofErr w:type="spellEnd"/>
      <w:r w:rsidRPr="00163622">
        <w:rPr>
          <w:sz w:val="20"/>
        </w:rPr>
        <w:t>-Farrington.</w:t>
      </w:r>
    </w:p>
    <w:p w:rsidR="0063461E" w:rsidRPr="00163622" w:rsidRDefault="0063461E" w:rsidP="00163622">
      <w:pPr>
        <w:pStyle w:val="FootnoteText"/>
        <w:rPr>
          <w:sz w:val="20"/>
        </w:rPr>
      </w:pPr>
    </w:p>
  </w:footnote>
  <w:footnote w:id="43">
    <w:p w:rsidR="0063461E" w:rsidRDefault="0063461E" w:rsidP="00163622">
      <w:pPr>
        <w:pStyle w:val="FootnoteText"/>
        <w:rPr>
          <w:sz w:val="20"/>
        </w:rPr>
      </w:pPr>
      <w:r w:rsidRPr="00163622">
        <w:rPr>
          <w:rStyle w:val="FootnoteReference"/>
          <w:sz w:val="20"/>
        </w:rPr>
        <w:footnoteRef/>
      </w:r>
      <w:r w:rsidRPr="00163622">
        <w:rPr>
          <w:sz w:val="20"/>
        </w:rPr>
        <w:t xml:space="preserve"> </w:t>
      </w:r>
      <w:r>
        <w:rPr>
          <w:sz w:val="20"/>
        </w:rPr>
        <w:tab/>
      </w:r>
      <w:r w:rsidRPr="00163622">
        <w:rPr>
          <w:sz w:val="20"/>
        </w:rPr>
        <w:t xml:space="preserve">Mr. Woodbury is the Executive Vice President of </w:t>
      </w:r>
      <w:proofErr w:type="spellStart"/>
      <w:r w:rsidRPr="00163622">
        <w:rPr>
          <w:sz w:val="20"/>
        </w:rPr>
        <w:t>SolLux</w:t>
      </w:r>
      <w:proofErr w:type="spellEnd"/>
      <w:r w:rsidRPr="00163622">
        <w:rPr>
          <w:sz w:val="20"/>
        </w:rPr>
        <w:t xml:space="preserve"> Technologies.</w:t>
      </w:r>
    </w:p>
    <w:p w:rsidR="0063461E" w:rsidRPr="00163622" w:rsidRDefault="0063461E" w:rsidP="00163622">
      <w:pPr>
        <w:pStyle w:val="FootnoteText"/>
        <w:rPr>
          <w:sz w:val="20"/>
        </w:rPr>
      </w:pPr>
    </w:p>
  </w:footnote>
  <w:footnote w:id="44">
    <w:p w:rsidR="0063461E" w:rsidRDefault="0063461E" w:rsidP="00163622">
      <w:pPr>
        <w:pStyle w:val="FootnoteText"/>
        <w:rPr>
          <w:sz w:val="20"/>
        </w:rPr>
      </w:pPr>
      <w:r w:rsidRPr="00163622">
        <w:rPr>
          <w:rStyle w:val="FootnoteReference"/>
          <w:sz w:val="20"/>
        </w:rPr>
        <w:footnoteRef/>
      </w:r>
      <w:r w:rsidRPr="00163622">
        <w:rPr>
          <w:sz w:val="20"/>
        </w:rPr>
        <w:t xml:space="preserve"> </w:t>
      </w:r>
      <w:r>
        <w:rPr>
          <w:sz w:val="20"/>
        </w:rPr>
        <w:tab/>
      </w:r>
      <w:proofErr w:type="spellStart"/>
      <w:r w:rsidRPr="00163622">
        <w:rPr>
          <w:sz w:val="20"/>
        </w:rPr>
        <w:t>Gormley</w:t>
      </w:r>
      <w:proofErr w:type="spellEnd"/>
      <w:r w:rsidRPr="00163622">
        <w:rPr>
          <w:sz w:val="20"/>
        </w:rPr>
        <w:t xml:space="preserve">-Farrington also represents manufacturers and works on commission-based product sales.  </w:t>
      </w:r>
      <w:r w:rsidRPr="00163622">
        <w:rPr>
          <w:i/>
          <w:sz w:val="20"/>
        </w:rPr>
        <w:t>See</w:t>
      </w:r>
      <w:r w:rsidRPr="00163622">
        <w:rPr>
          <w:sz w:val="20"/>
        </w:rPr>
        <w:t xml:space="preserve"> PennFuture/</w:t>
      </w:r>
      <w:proofErr w:type="spellStart"/>
      <w:r w:rsidRPr="00163622">
        <w:rPr>
          <w:sz w:val="20"/>
        </w:rPr>
        <w:t>EDF</w:t>
      </w:r>
      <w:proofErr w:type="spellEnd"/>
      <w:r w:rsidRPr="00163622">
        <w:rPr>
          <w:sz w:val="20"/>
        </w:rPr>
        <w:t xml:space="preserve"> Statement No. 1 - </w:t>
      </w:r>
      <w:proofErr w:type="spellStart"/>
      <w:r w:rsidRPr="00163622">
        <w:rPr>
          <w:sz w:val="20"/>
        </w:rPr>
        <w:t>Gormley</w:t>
      </w:r>
      <w:proofErr w:type="spellEnd"/>
      <w:r w:rsidRPr="00163622">
        <w:rPr>
          <w:sz w:val="20"/>
        </w:rPr>
        <w:t xml:space="preserve">, p. 1.  Mr. </w:t>
      </w:r>
      <w:proofErr w:type="spellStart"/>
      <w:r w:rsidRPr="00163622">
        <w:rPr>
          <w:sz w:val="20"/>
        </w:rPr>
        <w:t>Gormley</w:t>
      </w:r>
      <w:proofErr w:type="spellEnd"/>
      <w:r w:rsidRPr="00163622">
        <w:rPr>
          <w:sz w:val="20"/>
        </w:rPr>
        <w:t xml:space="preserve"> represents Cree, Inc., a large LED light supplier, and states in his direct testimony that Cree recently “broke the $100 barrier for commercial LED light fixtures.” </w:t>
      </w:r>
      <w:r w:rsidRPr="00163622">
        <w:rPr>
          <w:i/>
          <w:sz w:val="20"/>
        </w:rPr>
        <w:t xml:space="preserve">Id. </w:t>
      </w:r>
      <w:r w:rsidRPr="00163622">
        <w:rPr>
          <w:sz w:val="20"/>
        </w:rPr>
        <w:t>at p. 8.  Significantly, Mr. Woodbury’s testimony strongly promotes Cree’s product line as an allegedly lower cost altern</w:t>
      </w:r>
      <w:r>
        <w:rPr>
          <w:sz w:val="20"/>
        </w:rPr>
        <w:t>ative to the General Electric (</w:t>
      </w:r>
      <w:r w:rsidRPr="00163622">
        <w:rPr>
          <w:sz w:val="20"/>
        </w:rPr>
        <w:t>GE) fixtures that Penn Power selected, based on a competitive bidding process, for use in providing its proposed LED service.</w:t>
      </w:r>
    </w:p>
    <w:p w:rsidR="0063461E" w:rsidRPr="00163622" w:rsidRDefault="0063461E" w:rsidP="00163622">
      <w:pPr>
        <w:pStyle w:val="FootnoteText"/>
        <w:rPr>
          <w:sz w:val="20"/>
        </w:rPr>
      </w:pPr>
    </w:p>
  </w:footnote>
  <w:footnote w:id="45">
    <w:p w:rsidR="0063461E" w:rsidRDefault="0063461E" w:rsidP="00163622">
      <w:pPr>
        <w:pStyle w:val="FootnoteText"/>
        <w:rPr>
          <w:sz w:val="20"/>
        </w:rPr>
      </w:pPr>
      <w:r w:rsidRPr="00163622">
        <w:rPr>
          <w:rStyle w:val="FootnoteReference"/>
          <w:sz w:val="20"/>
        </w:rPr>
        <w:footnoteRef/>
      </w:r>
      <w:r w:rsidRPr="00163622">
        <w:rPr>
          <w:sz w:val="20"/>
        </w:rPr>
        <w:t xml:space="preserve"> </w:t>
      </w:r>
      <w:r>
        <w:rPr>
          <w:sz w:val="20"/>
        </w:rPr>
        <w:tab/>
      </w:r>
      <w:r w:rsidRPr="00163622">
        <w:rPr>
          <w:i/>
          <w:sz w:val="20"/>
        </w:rPr>
        <w:t xml:space="preserve">See </w:t>
      </w:r>
      <w:r w:rsidRPr="00163622">
        <w:rPr>
          <w:sz w:val="20"/>
          <w:u w:val="single"/>
        </w:rPr>
        <w:t>Bell Tel. Co. of Penna. v. Driscoll</w:t>
      </w:r>
      <w:r w:rsidRPr="00163622">
        <w:rPr>
          <w:sz w:val="20"/>
        </w:rPr>
        <w:t xml:space="preserve">, 343 Pa. 109, 118 A.2d 912, 916 (1941) (PUC is not a super board of directors for public utilities). </w:t>
      </w:r>
    </w:p>
    <w:p w:rsidR="0063461E" w:rsidRPr="00163622" w:rsidRDefault="0063461E" w:rsidP="00163622">
      <w:pPr>
        <w:pStyle w:val="FootnoteText"/>
        <w:rPr>
          <w:sz w:val="20"/>
        </w:rPr>
      </w:pPr>
    </w:p>
  </w:footnote>
  <w:footnote w:id="46">
    <w:p w:rsidR="0063461E" w:rsidRPr="00163622" w:rsidRDefault="0063461E" w:rsidP="00163622">
      <w:pPr>
        <w:pStyle w:val="FootnoteText"/>
        <w:rPr>
          <w:sz w:val="20"/>
        </w:rPr>
      </w:pPr>
      <w:r w:rsidRPr="00163622">
        <w:rPr>
          <w:rStyle w:val="FootnoteReference"/>
          <w:sz w:val="20"/>
        </w:rPr>
        <w:footnoteRef/>
      </w:r>
      <w:r w:rsidRPr="00163622">
        <w:rPr>
          <w:sz w:val="20"/>
        </w:rPr>
        <w:t xml:space="preserve"> </w:t>
      </w:r>
      <w:r>
        <w:rPr>
          <w:sz w:val="20"/>
        </w:rPr>
        <w:tab/>
      </w:r>
      <w:r w:rsidRPr="00163622">
        <w:rPr>
          <w:i/>
          <w:sz w:val="20"/>
        </w:rPr>
        <w:t>See</w:t>
      </w:r>
      <w:r w:rsidRPr="00163622">
        <w:rPr>
          <w:sz w:val="20"/>
        </w:rPr>
        <w:t xml:space="preserve"> </w:t>
      </w:r>
      <w:r w:rsidRPr="00163622">
        <w:rPr>
          <w:sz w:val="20"/>
          <w:u w:val="single"/>
        </w:rPr>
        <w:t xml:space="preserve">Joint Application of Verizon </w:t>
      </w:r>
      <w:proofErr w:type="spellStart"/>
      <w:r w:rsidRPr="00163622">
        <w:rPr>
          <w:sz w:val="20"/>
          <w:u w:val="single"/>
        </w:rPr>
        <w:t>Commc’ns</w:t>
      </w:r>
      <w:proofErr w:type="spellEnd"/>
      <w:r w:rsidRPr="00163622">
        <w:rPr>
          <w:sz w:val="20"/>
          <w:u w:val="single"/>
        </w:rPr>
        <w:t>, Inc. and MCI, Inc. For Approval of Agreement and Plan of Merger</w:t>
      </w:r>
      <w:r w:rsidRPr="00163622">
        <w:rPr>
          <w:sz w:val="20"/>
        </w:rPr>
        <w:t xml:space="preserve">, Docket No. A-310580F0009 (Final Order entered January 11, 2006), </w:t>
      </w:r>
      <w:r w:rsidRPr="00163622">
        <w:rPr>
          <w:color w:val="333333"/>
          <w:sz w:val="20"/>
        </w:rPr>
        <w:t xml:space="preserve">2006 Pa. PUC LEXIS 22 at 218, </w:t>
      </w:r>
      <w:proofErr w:type="spellStart"/>
      <w:r w:rsidRPr="00163622">
        <w:rPr>
          <w:i/>
          <w:color w:val="333333"/>
          <w:sz w:val="20"/>
        </w:rPr>
        <w:t>aff’d</w:t>
      </w:r>
      <w:proofErr w:type="spellEnd"/>
      <w:r w:rsidRPr="00163622">
        <w:rPr>
          <w:color w:val="333333"/>
          <w:sz w:val="20"/>
        </w:rPr>
        <w:t xml:space="preserve">, </w:t>
      </w:r>
      <w:r w:rsidRPr="00201A69">
        <w:rPr>
          <w:color w:val="333333"/>
          <w:sz w:val="20"/>
          <w:u w:val="single"/>
        </w:rPr>
        <w:t>Popowsky v. Pa</w:t>
      </w:r>
      <w:r w:rsidRPr="00201A69">
        <w:rPr>
          <w:sz w:val="20"/>
          <w:u w:val="single"/>
        </w:rPr>
        <w:t xml:space="preserve">. </w:t>
      </w:r>
      <w:proofErr w:type="spellStart"/>
      <w:r w:rsidRPr="00201A69">
        <w:rPr>
          <w:sz w:val="20"/>
          <w:u w:val="single"/>
        </w:rPr>
        <w:t>P</w:t>
      </w:r>
      <w:r>
        <w:rPr>
          <w:sz w:val="20"/>
          <w:u w:val="single"/>
        </w:rPr>
        <w:t>ub.Util.Comm’n</w:t>
      </w:r>
      <w:proofErr w:type="spellEnd"/>
      <w:r w:rsidRPr="00201A69">
        <w:rPr>
          <w:sz w:val="20"/>
          <w:u w:val="single"/>
        </w:rPr>
        <w:t>.</w:t>
      </w:r>
      <w:r w:rsidRPr="00163622">
        <w:rPr>
          <w:sz w:val="20"/>
        </w:rPr>
        <w:t>,  594 Pa. 583; 937 A.2d 1040 (2007):</w:t>
      </w:r>
    </w:p>
    <w:p w:rsidR="0063461E" w:rsidRPr="00163622" w:rsidRDefault="0063461E" w:rsidP="00163622">
      <w:pPr>
        <w:pStyle w:val="FirmQuote"/>
        <w:rPr>
          <w:sz w:val="20"/>
          <w:szCs w:val="20"/>
        </w:rPr>
      </w:pPr>
      <w:r w:rsidRPr="00163622">
        <w:rPr>
          <w:sz w:val="20"/>
          <w:szCs w:val="20"/>
        </w:rPr>
        <w:t xml:space="preserve">Joint Applicants are correct that the Commission is restrained from acting as a super board of directors. </w:t>
      </w:r>
      <w:proofErr w:type="gramStart"/>
      <w:r w:rsidRPr="00201A69">
        <w:rPr>
          <w:sz w:val="20"/>
          <w:szCs w:val="20"/>
          <w:u w:val="single"/>
        </w:rPr>
        <w:t xml:space="preserve">Metropolitan Edison Co. v. </w:t>
      </w:r>
      <w:r w:rsidRPr="00201A69">
        <w:rPr>
          <w:color w:val="333333"/>
          <w:sz w:val="20"/>
          <w:u w:val="single"/>
        </w:rPr>
        <w:t>Pa</w:t>
      </w:r>
      <w:r w:rsidRPr="00201A69">
        <w:rPr>
          <w:sz w:val="20"/>
          <w:u w:val="single"/>
        </w:rPr>
        <w:t xml:space="preserve">. </w:t>
      </w:r>
      <w:proofErr w:type="spellStart"/>
      <w:r w:rsidRPr="00201A69">
        <w:rPr>
          <w:sz w:val="20"/>
          <w:u w:val="single"/>
        </w:rPr>
        <w:t>P</w:t>
      </w:r>
      <w:r>
        <w:rPr>
          <w:sz w:val="20"/>
          <w:u w:val="single"/>
        </w:rPr>
        <w:t>ub.Util.Comm’n</w:t>
      </w:r>
      <w:proofErr w:type="spellEnd"/>
      <w:r w:rsidRPr="00201A69">
        <w:rPr>
          <w:sz w:val="20"/>
          <w:u w:val="single"/>
        </w:rPr>
        <w:t>.</w:t>
      </w:r>
      <w:r w:rsidRPr="00163622">
        <w:rPr>
          <w:sz w:val="20"/>
          <w:szCs w:val="20"/>
        </w:rPr>
        <w:t>, 437 A.2d 76, 62 Pa. Commw.</w:t>
      </w:r>
      <w:proofErr w:type="gramEnd"/>
      <w:r w:rsidRPr="00163622">
        <w:rPr>
          <w:sz w:val="20"/>
          <w:szCs w:val="20"/>
        </w:rPr>
        <w:t xml:space="preserve"> </w:t>
      </w:r>
      <w:proofErr w:type="gramStart"/>
      <w:r w:rsidRPr="00163622">
        <w:rPr>
          <w:sz w:val="20"/>
          <w:szCs w:val="20"/>
        </w:rPr>
        <w:t>460 (1981).</w:t>
      </w:r>
      <w:proofErr w:type="gramEnd"/>
      <w:r w:rsidRPr="00163622">
        <w:rPr>
          <w:sz w:val="20"/>
          <w:szCs w:val="20"/>
        </w:rPr>
        <w:t xml:space="preserve">  Absent a showing of abuse of discretion or arbitrary action by the public utility, the Commission lacks authority to interfere with the general management decisions of the public utility. </w:t>
      </w:r>
      <w:proofErr w:type="gramStart"/>
      <w:r w:rsidRPr="00163622">
        <w:rPr>
          <w:i/>
          <w:sz w:val="20"/>
          <w:szCs w:val="20"/>
        </w:rPr>
        <w:t>Id</w:t>
      </w:r>
      <w:r w:rsidRPr="00163622">
        <w:rPr>
          <w:sz w:val="20"/>
          <w:szCs w:val="20"/>
        </w:rPr>
        <w:t xml:space="preserve">.; </w:t>
      </w:r>
      <w:r w:rsidRPr="00201A69">
        <w:rPr>
          <w:color w:val="333333"/>
          <w:sz w:val="20"/>
          <w:u w:val="single"/>
        </w:rPr>
        <w:t>Pa</w:t>
      </w:r>
      <w:r w:rsidRPr="00201A69">
        <w:rPr>
          <w:sz w:val="20"/>
          <w:u w:val="single"/>
        </w:rPr>
        <w:t xml:space="preserve">. </w:t>
      </w:r>
      <w:proofErr w:type="spellStart"/>
      <w:r w:rsidRPr="00201A69">
        <w:rPr>
          <w:sz w:val="20"/>
          <w:u w:val="single"/>
        </w:rPr>
        <w:t>P</w:t>
      </w:r>
      <w:r>
        <w:rPr>
          <w:sz w:val="20"/>
          <w:u w:val="single"/>
        </w:rPr>
        <w:t>ub.Util.Comm’n</w:t>
      </w:r>
      <w:proofErr w:type="spellEnd"/>
      <w:r w:rsidRPr="00201A69">
        <w:rPr>
          <w:sz w:val="20"/>
          <w:u w:val="single"/>
        </w:rPr>
        <w:t>.</w:t>
      </w:r>
      <w:r>
        <w:rPr>
          <w:sz w:val="20"/>
          <w:u w:val="single"/>
        </w:rPr>
        <w:t xml:space="preserve"> </w:t>
      </w:r>
      <w:r w:rsidRPr="00201A69">
        <w:rPr>
          <w:sz w:val="20"/>
          <w:szCs w:val="20"/>
          <w:u w:val="single"/>
        </w:rPr>
        <w:t>v. Philadelphia Electric Company</w:t>
      </w:r>
      <w:r w:rsidRPr="00163622">
        <w:rPr>
          <w:sz w:val="20"/>
          <w:szCs w:val="20"/>
        </w:rPr>
        <w:t>, 460 A.2d 734, 501 Pa. 153 (1983).</w:t>
      </w:r>
      <w:proofErr w:type="gramEnd"/>
      <w:r w:rsidRPr="00163622">
        <w:rPr>
          <w:sz w:val="20"/>
          <w:szCs w:val="20"/>
        </w:rPr>
        <w:t xml:space="preserve">  The Commission was created to ensure that public utilities furnish and maintain adequate, efficient, safe, and reasonable service and facilities at ju</w:t>
      </w:r>
      <w:r>
        <w:rPr>
          <w:sz w:val="20"/>
          <w:szCs w:val="20"/>
        </w:rPr>
        <w:t xml:space="preserve">st and reasonable rates. </w:t>
      </w:r>
      <w:proofErr w:type="gramStart"/>
      <w:r>
        <w:rPr>
          <w:sz w:val="20"/>
          <w:szCs w:val="20"/>
        </w:rPr>
        <w:t>66 Pa.</w:t>
      </w:r>
      <w:r w:rsidRPr="00163622">
        <w:rPr>
          <w:sz w:val="20"/>
          <w:szCs w:val="20"/>
        </w:rPr>
        <w:t>C.S.</w:t>
      </w:r>
      <w:r>
        <w:rPr>
          <w:sz w:val="20"/>
          <w:szCs w:val="20"/>
        </w:rPr>
        <w:t>A.</w:t>
      </w:r>
      <w:proofErr w:type="gramEnd"/>
      <w:r w:rsidRPr="00163622">
        <w:rPr>
          <w:sz w:val="20"/>
          <w:szCs w:val="20"/>
        </w:rPr>
        <w:t xml:space="preserve"> </w:t>
      </w:r>
      <w:proofErr w:type="gramStart"/>
      <w:r w:rsidRPr="00163622">
        <w:rPr>
          <w:sz w:val="20"/>
          <w:szCs w:val="20"/>
        </w:rPr>
        <w:t>§§ 1301, 1501.</w:t>
      </w:r>
      <w:proofErr w:type="gramEnd"/>
      <w:r w:rsidRPr="00163622">
        <w:rPr>
          <w:sz w:val="20"/>
          <w:szCs w:val="20"/>
        </w:rPr>
        <w:t xml:space="preserve">  The management decisions required to achieve reasonable rates and service are generally left to the public utility.</w:t>
      </w:r>
    </w:p>
  </w:footnote>
  <w:footnote w:id="47">
    <w:p w:rsidR="0063461E" w:rsidRDefault="0063461E" w:rsidP="00163622">
      <w:pPr>
        <w:pStyle w:val="FootnoteText"/>
      </w:pPr>
      <w:r w:rsidRPr="00163622">
        <w:rPr>
          <w:rStyle w:val="FootnoteReference"/>
          <w:sz w:val="20"/>
        </w:rPr>
        <w:footnoteRef/>
      </w:r>
      <w:r w:rsidRPr="00163622">
        <w:rPr>
          <w:sz w:val="20"/>
        </w:rPr>
        <w:t xml:space="preserve"> </w:t>
      </w:r>
      <w:r>
        <w:rPr>
          <w:sz w:val="20"/>
        </w:rPr>
        <w:tab/>
      </w:r>
      <w:r w:rsidRPr="00163622">
        <w:rPr>
          <w:sz w:val="20"/>
          <w:u w:val="single"/>
        </w:rPr>
        <w:t xml:space="preserve">Pa. </w:t>
      </w:r>
      <w:proofErr w:type="spellStart"/>
      <w:r w:rsidRPr="00163622">
        <w:rPr>
          <w:sz w:val="20"/>
          <w:u w:val="single"/>
        </w:rPr>
        <w:t>P</w:t>
      </w:r>
      <w:r>
        <w:rPr>
          <w:sz w:val="20"/>
          <w:u w:val="single"/>
        </w:rPr>
        <w:t>ub.Util</w:t>
      </w:r>
      <w:proofErr w:type="spellEnd"/>
      <w:r>
        <w:rPr>
          <w:sz w:val="20"/>
          <w:u w:val="single"/>
        </w:rPr>
        <w:t>. Comm’n</w:t>
      </w:r>
      <w:r w:rsidRPr="00163622">
        <w:rPr>
          <w:sz w:val="20"/>
          <w:u w:val="single"/>
        </w:rPr>
        <w:t xml:space="preserve"> v. PPL Elec. </w:t>
      </w:r>
      <w:proofErr w:type="spellStart"/>
      <w:r w:rsidRPr="00163622">
        <w:rPr>
          <w:sz w:val="20"/>
          <w:u w:val="single"/>
        </w:rPr>
        <w:t>Utils</w:t>
      </w:r>
      <w:proofErr w:type="spellEnd"/>
      <w:r w:rsidRPr="00163622">
        <w:rPr>
          <w:sz w:val="20"/>
          <w:u w:val="single"/>
        </w:rPr>
        <w:t>. Corp.</w:t>
      </w:r>
      <w:r w:rsidRPr="00163622">
        <w:rPr>
          <w:sz w:val="20"/>
        </w:rPr>
        <w:t xml:space="preserve">, Docket No. R-2012-2290597 (Final Order entered December 28, 2012), p. 106 (“According to PPL, the filed COSS in this proceeding is virtually identical to the methodology adopted by the Commission in its 2010 base rate proceeding using the class maximum non-coincident peak (NCP) demand method, which is based on the highest demand imposed by each class on its distribution system, to allocate its demand-related distribution costs. PPL St. 8 at 19.”)  </w:t>
      </w:r>
      <w:r w:rsidRPr="00163622">
        <w:rPr>
          <w:i/>
          <w:sz w:val="20"/>
        </w:rPr>
        <w:t>See Id</w:t>
      </w:r>
      <w:r w:rsidRPr="00163622">
        <w:rPr>
          <w:sz w:val="20"/>
        </w:rPr>
        <w:t>. at 112 approving and adopting PPL’s proposed cost of service study.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1E" w:rsidRDefault="006346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1E" w:rsidRDefault="006346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61E" w:rsidRDefault="00634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1">
    <w:nsid w:val="FFFFFF82"/>
    <w:multiLevelType w:val="singleLevel"/>
    <w:tmpl w:val="AFB8A6C6"/>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3">
    <w:nsid w:val="FFFFFF88"/>
    <w:multiLevelType w:val="singleLevel"/>
    <w:tmpl w:val="903231D2"/>
    <w:lvl w:ilvl="0">
      <w:start w:val="1"/>
      <w:numFmt w:val="decimal"/>
      <w:pStyle w:val="ListNumber"/>
      <w:lvlText w:val="%1."/>
      <w:lvlJc w:val="left"/>
      <w:pPr>
        <w:tabs>
          <w:tab w:val="num" w:pos="360"/>
        </w:tabs>
        <w:ind w:left="360" w:hanging="360"/>
      </w:pPr>
    </w:lvl>
  </w:abstractNum>
  <w:abstractNum w:abstractNumId="4">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5">
    <w:nsid w:val="02D71752"/>
    <w:multiLevelType w:val="hybridMultilevel"/>
    <w:tmpl w:val="1EB8E156"/>
    <w:lvl w:ilvl="0" w:tplc="0409000F">
      <w:start w:val="35"/>
      <w:numFmt w:val="decimal"/>
      <w:lvlText w:val="%1."/>
      <w:lvlJc w:val="left"/>
      <w:pPr>
        <w:ind w:left="180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32394B"/>
    <w:multiLevelType w:val="hybridMultilevel"/>
    <w:tmpl w:val="AC50F79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02072"/>
    <w:multiLevelType w:val="hybridMultilevel"/>
    <w:tmpl w:val="DE5C195C"/>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715BD9"/>
    <w:multiLevelType w:val="hybridMultilevel"/>
    <w:tmpl w:val="374CE60C"/>
    <w:lvl w:ilvl="0" w:tplc="007025A8">
      <w:start w:val="18"/>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2F2FF4"/>
    <w:multiLevelType w:val="hybridMultilevel"/>
    <w:tmpl w:val="9358218C"/>
    <w:lvl w:ilvl="0" w:tplc="E9A63AD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605A4D"/>
    <w:multiLevelType w:val="multilevel"/>
    <w:tmpl w:val="1F683DF0"/>
    <w:lvl w:ilvl="0">
      <w:start w:val="1"/>
      <w:numFmt w:val="upperRoman"/>
      <w:lvlRestart w:val="0"/>
      <w:pStyle w:val="Heading1"/>
      <w:lvlText w:val="%1."/>
      <w:lvlJc w:val="left"/>
      <w:pPr>
        <w:tabs>
          <w:tab w:val="num" w:pos="0"/>
        </w:tabs>
        <w:ind w:left="0" w:firstLine="0"/>
      </w:pPr>
      <w:rPr>
        <w:rFonts w:ascii="(normal text)" w:hAnsi="(normal text)" w:cs="Times New Roman" w:hint="default"/>
        <w:b/>
        <w:i w:val="0"/>
        <w:caps/>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Heading2"/>
      <w:lvlText w:val="%2."/>
      <w:lvlJc w:val="left"/>
      <w:pPr>
        <w:tabs>
          <w:tab w:val="num" w:pos="0"/>
        </w:tabs>
        <w:ind w:left="0" w:firstLine="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216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0"/>
        </w:tabs>
        <w:ind w:left="2880"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0"/>
        </w:tabs>
        <w:ind w:left="3586" w:hanging="706"/>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0"/>
        </w:tabs>
        <w:ind w:left="4306"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left"/>
      <w:pPr>
        <w:tabs>
          <w:tab w:val="num" w:pos="0"/>
        </w:tabs>
        <w:ind w:left="5026"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Heading8"/>
      <w:lvlText w:val="(%8)"/>
      <w:lvlJc w:val="left"/>
      <w:pPr>
        <w:tabs>
          <w:tab w:val="num" w:pos="0"/>
        </w:tabs>
        <w:ind w:left="5746"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0"/>
        </w:tabs>
        <w:ind w:left="6466" w:hanging="720"/>
      </w:pPr>
      <w:rPr>
        <w:rFonts w:ascii="(normal text)" w:hAnsi="(normal text)"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E3F18A9"/>
    <w:multiLevelType w:val="hybridMultilevel"/>
    <w:tmpl w:val="2ACA0E30"/>
    <w:lvl w:ilvl="0" w:tplc="B568D5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336452"/>
    <w:multiLevelType w:val="hybridMultilevel"/>
    <w:tmpl w:val="E15298F2"/>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25A27AEA"/>
    <w:multiLevelType w:val="hybridMultilevel"/>
    <w:tmpl w:val="4FE8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B714266"/>
    <w:multiLevelType w:val="hybridMultilevel"/>
    <w:tmpl w:val="038C7E9C"/>
    <w:lvl w:ilvl="0" w:tplc="7CCC30EC">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B730ED3"/>
    <w:multiLevelType w:val="hybridMultilevel"/>
    <w:tmpl w:val="38CAE5BE"/>
    <w:lvl w:ilvl="0" w:tplc="3E745514">
      <w:start w:val="1"/>
      <w:numFmt w:val="lowerRoman"/>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3EF087B"/>
    <w:multiLevelType w:val="hybridMultilevel"/>
    <w:tmpl w:val="AE86E43A"/>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B0652D"/>
    <w:multiLevelType w:val="hybridMultilevel"/>
    <w:tmpl w:val="5A32A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FAF5364"/>
    <w:multiLevelType w:val="hybridMultilevel"/>
    <w:tmpl w:val="E0385A6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nsid w:val="456A2991"/>
    <w:multiLevelType w:val="hybridMultilevel"/>
    <w:tmpl w:val="13D2D16C"/>
    <w:lvl w:ilvl="0" w:tplc="DF7E72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B6B03D4"/>
    <w:multiLevelType w:val="multilevel"/>
    <w:tmpl w:val="44EA2AEA"/>
    <w:name w:val="zzmpOutline||Outline|2|3|1|1|2|41||1|4|1||1|4|32||1|12|0||1|12|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lvlRestart w:val="0"/>
      <w:pStyle w:val="OutlineL2"/>
      <w:lvlText w:val="%2."/>
      <w:lvlJc w:val="left"/>
      <w:pPr>
        <w:tabs>
          <w:tab w:val="num" w:pos="1440"/>
        </w:tabs>
        <w:ind w:left="1440" w:hanging="720"/>
      </w:pPr>
      <w:rPr>
        <w:rFonts w:ascii="Times New Roman" w:hAnsi="Times New Roman" w:cs="Times New Roman"/>
        <w:b/>
        <w:i w:val="0"/>
        <w:caps w:val="0"/>
        <w:smallCaps w:val="0"/>
        <w:sz w:val="24"/>
        <w:u w:val="none"/>
      </w:rPr>
    </w:lvl>
    <w:lvl w:ilvl="2">
      <w:start w:val="1"/>
      <w:numFmt w:val="decimal"/>
      <w:lvlRestart w:val="0"/>
      <w:pStyle w:val="OutlineL3"/>
      <w:lvlText w:val="%3."/>
      <w:lvlJc w:val="left"/>
      <w:pPr>
        <w:tabs>
          <w:tab w:val="num" w:pos="1440"/>
        </w:tabs>
        <w:ind w:left="0" w:firstLine="720"/>
      </w:pPr>
      <w:rPr>
        <w:rFonts w:ascii="Times New Roman" w:hAnsi="Times New Roman" w:cs="Times New Roman"/>
        <w:b w:val="0"/>
        <w:i w:val="0"/>
        <w:caps w:val="0"/>
        <w:sz w:val="24"/>
        <w:u w:val="none"/>
      </w:rPr>
    </w:lvl>
    <w:lvl w:ilvl="3">
      <w:start w:val="1"/>
      <w:numFmt w:val="decimal"/>
      <w:pStyle w:val="OutlineL4"/>
      <w:lvlText w:val="%4."/>
      <w:lvlJc w:val="left"/>
      <w:pPr>
        <w:tabs>
          <w:tab w:val="num" w:pos="3150"/>
        </w:tabs>
        <w:ind w:left="990" w:firstLine="1440"/>
      </w:pPr>
      <w:rPr>
        <w:rFonts w:ascii="Times New Roman" w:hAnsi="Times New Roman" w:cs="Times New Roman"/>
        <w:b w:val="0"/>
        <w:i w:val="0"/>
        <w:caps w:val="0"/>
        <w:sz w:val="24"/>
        <w:u w:val="none"/>
      </w:rPr>
    </w:lvl>
    <w:lvl w:ilvl="4">
      <w:start w:val="1"/>
      <w:numFmt w:val="lowerLetter"/>
      <w:pStyle w:val="OutlineL5"/>
      <w:lvlText w:val="%5."/>
      <w:lvlJc w:val="left"/>
      <w:pPr>
        <w:tabs>
          <w:tab w:val="num" w:pos="3600"/>
        </w:tabs>
        <w:ind w:left="0" w:firstLine="216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216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21">
    <w:nsid w:val="4DEC214D"/>
    <w:multiLevelType w:val="hybridMultilevel"/>
    <w:tmpl w:val="7E2E3ACE"/>
    <w:lvl w:ilvl="0" w:tplc="D6424738">
      <w:start w:val="1"/>
      <w:numFmt w:val="lowerLetter"/>
      <w:lvlText w:val="%1."/>
      <w:lvlJc w:val="left"/>
      <w:pPr>
        <w:tabs>
          <w:tab w:val="num" w:pos="2520"/>
        </w:tabs>
        <w:ind w:left="0" w:firstLine="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284AF8"/>
    <w:multiLevelType w:val="hybridMultilevel"/>
    <w:tmpl w:val="E50CB510"/>
    <w:lvl w:ilvl="0" w:tplc="BE3215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387BF6"/>
    <w:multiLevelType w:val="hybridMultilevel"/>
    <w:tmpl w:val="B288B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B2A33A9"/>
    <w:multiLevelType w:val="multilevel"/>
    <w:tmpl w:val="42DA3516"/>
    <w:name w:val="zzmpPleading1||Pleading1|2|1|1|1|0|45||1|0|33||1|0|33||1|0|33||1|0|32||1|0|32||1|0|32||1|0|32||1|0|32||"/>
    <w:lvl w:ilvl="0">
      <w:start w:val="1"/>
      <w:numFmt w:val="upperRoman"/>
      <w:pStyle w:val="Pleading1L1"/>
      <w:lvlText w:val="%1."/>
      <w:lvlJc w:val="left"/>
      <w:pPr>
        <w:tabs>
          <w:tab w:val="num" w:pos="720"/>
        </w:tabs>
        <w:ind w:left="0" w:firstLine="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Times New Roman" w:hAnsi="Times New Roman" w:cs="Times New Roman" w:hint="default"/>
        <w:b/>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Times New Roman" w:hAnsi="Times New Roman"/>
        <w:b/>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b w:val="0"/>
        <w:i w:val="0"/>
        <w:caps w:val="0"/>
        <w:small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5B800CAF"/>
    <w:multiLevelType w:val="hybridMultilevel"/>
    <w:tmpl w:val="37D0A624"/>
    <w:lvl w:ilvl="0" w:tplc="A16C33A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9D50F9"/>
    <w:multiLevelType w:val="hybridMultilevel"/>
    <w:tmpl w:val="80862EAA"/>
    <w:lvl w:ilvl="0" w:tplc="04090017">
      <w:start w:val="1"/>
      <w:numFmt w:val="lowerLetter"/>
      <w:lvlText w:val="%1)"/>
      <w:lvlJc w:val="left"/>
      <w:pPr>
        <w:tabs>
          <w:tab w:val="num" w:pos="720"/>
        </w:tabs>
        <w:ind w:left="720" w:hanging="360"/>
      </w:pPr>
      <w:rPr>
        <w:rFonts w:hint="default"/>
      </w:rPr>
    </w:lvl>
    <w:lvl w:ilvl="1" w:tplc="BA5CCFAA">
      <w:start w:val="1"/>
      <w:numFmt w:val="lowerRoman"/>
      <w:lvlText w:val="%2."/>
      <w:lvlJc w:val="left"/>
      <w:pPr>
        <w:tabs>
          <w:tab w:val="num" w:pos="1800"/>
        </w:tabs>
        <w:ind w:left="1800" w:hanging="720"/>
      </w:pPr>
      <w:rPr>
        <w:rFonts w:hint="default"/>
      </w:rPr>
    </w:lvl>
    <w:lvl w:ilvl="2" w:tplc="7F985E5E">
      <w:start w:val="6"/>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5FB1CF8"/>
    <w:multiLevelType w:val="hybridMultilevel"/>
    <w:tmpl w:val="184EF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7C47E6"/>
    <w:multiLevelType w:val="hybridMultilevel"/>
    <w:tmpl w:val="39CE1F02"/>
    <w:lvl w:ilvl="0" w:tplc="617EA9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2EC1BAE"/>
    <w:multiLevelType w:val="hybridMultilevel"/>
    <w:tmpl w:val="DD746D14"/>
    <w:lvl w:ilvl="0" w:tplc="196238A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5783B69"/>
    <w:multiLevelType w:val="hybridMultilevel"/>
    <w:tmpl w:val="1D7C9304"/>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89C41F8"/>
    <w:multiLevelType w:val="singleLevel"/>
    <w:tmpl w:val="82185900"/>
    <w:lvl w:ilvl="0">
      <w:start w:val="1"/>
      <w:numFmt w:val="bullet"/>
      <w:pStyle w:val="Bullet5"/>
      <w:lvlText w:val=""/>
      <w:lvlJc w:val="left"/>
      <w:pPr>
        <w:tabs>
          <w:tab w:val="num" w:pos="1080"/>
        </w:tabs>
        <w:ind w:left="1080" w:hanging="360"/>
      </w:pPr>
      <w:rPr>
        <w:rFonts w:ascii="Symbol" w:hAnsi="Symbol" w:hint="default"/>
        <w:b w:val="0"/>
        <w:i w:val="0"/>
      </w:rPr>
    </w:lvl>
  </w:abstractNum>
  <w:num w:numId="1">
    <w:abstractNumId w:val="10"/>
  </w:num>
  <w:num w:numId="2">
    <w:abstractNumId w:val="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15"/>
  </w:num>
  <w:num w:numId="8">
    <w:abstractNumId w:val="26"/>
  </w:num>
  <w:num w:numId="9">
    <w:abstractNumId w:val="12"/>
  </w:num>
  <w:num w:numId="10">
    <w:abstractNumId w:val="5"/>
  </w:num>
  <w:num w:numId="11">
    <w:abstractNumId w:val="11"/>
  </w:num>
  <w:num w:numId="12">
    <w:abstractNumId w:val="9"/>
  </w:num>
  <w:num w:numId="13">
    <w:abstractNumId w:val="7"/>
  </w:num>
  <w:num w:numId="14">
    <w:abstractNumId w:val="16"/>
  </w:num>
  <w:num w:numId="15">
    <w:abstractNumId w:val="8"/>
  </w:num>
  <w:num w:numId="16">
    <w:abstractNumId w:val="6"/>
  </w:num>
  <w:num w:numId="17">
    <w:abstractNumId w:val="19"/>
  </w:num>
  <w:num w:numId="18">
    <w:abstractNumId w:val="14"/>
  </w:num>
  <w:num w:numId="19">
    <w:abstractNumId w:val="20"/>
  </w:num>
  <w:num w:numId="20">
    <w:abstractNumId w:val="20"/>
    <w:lvlOverride w:ilvl="0">
      <w:startOverride w:val="1"/>
    </w:lvlOverride>
    <w:lvlOverride w:ilvl="1">
      <w:startOverride w:val="1"/>
    </w:lvlOverride>
    <w:lvlOverride w:ilvl="2">
      <w:startOverride w:val="19"/>
    </w:lvlOverride>
  </w:num>
  <w:num w:numId="21">
    <w:abstractNumId w:val="20"/>
    <w:lvlOverride w:ilvl="0">
      <w:startOverride w:val="1"/>
    </w:lvlOverride>
    <w:lvlOverride w:ilvl="1">
      <w:startOverride w:val="1"/>
    </w:lvlOverride>
    <w:lvlOverride w:ilvl="2">
      <w:startOverride w:val="14"/>
    </w:lvlOverride>
  </w:num>
  <w:num w:numId="22">
    <w:abstractNumId w:val="17"/>
  </w:num>
  <w:num w:numId="23">
    <w:abstractNumId w:val="20"/>
    <w:lvlOverride w:ilvl="0">
      <w:startOverride w:val="1"/>
    </w:lvlOverride>
    <w:lvlOverride w:ilvl="1">
      <w:startOverride w:val="1"/>
    </w:lvlOverride>
    <w:lvlOverride w:ilvl="2">
      <w:startOverride w:val="12"/>
    </w:lvlOverride>
  </w:num>
  <w:num w:numId="24">
    <w:abstractNumId w:val="20"/>
    <w:lvlOverride w:ilvl="0">
      <w:startOverride w:val="1"/>
    </w:lvlOverride>
    <w:lvlOverride w:ilvl="1">
      <w:startOverride w:val="1"/>
    </w:lvlOverride>
    <w:lvlOverride w:ilvl="2">
      <w:startOverride w:val="12"/>
    </w:lvlOverride>
  </w:num>
  <w:num w:numId="25">
    <w:abstractNumId w:val="1"/>
  </w:num>
  <w:num w:numId="26">
    <w:abstractNumId w:val="23"/>
  </w:num>
  <w:num w:numId="27">
    <w:abstractNumId w:val="13"/>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1"/>
  </w:num>
  <w:num w:numId="31">
    <w:abstractNumId w:val="25"/>
  </w:num>
  <w:num w:numId="32">
    <w:abstractNumId w:val="30"/>
  </w:num>
  <w:num w:numId="33">
    <w:abstractNumId w:val="18"/>
  </w:num>
  <w:num w:numId="34">
    <w:abstractNumId w:val="27"/>
  </w:num>
  <w:num w:numId="35">
    <w:abstractNumId w:val="31"/>
  </w:num>
  <w:num w:numId="36">
    <w:abstractNumId w:val="20"/>
    <w:lvlOverride w:ilvl="0">
      <w:startOverride w:val="1"/>
    </w:lvlOverride>
    <w:lvlOverride w:ilvl="1">
      <w:startOverride w:val="1"/>
    </w:lvlOverride>
    <w:lvlOverride w:ilvl="2">
      <w:startOverride w:val="12"/>
    </w:lvlOverride>
  </w:num>
  <w:num w:numId="37">
    <w:abstractNumId w:val="20"/>
    <w:lvlOverride w:ilvl="0">
      <w:startOverride w:val="1"/>
    </w:lvlOverride>
    <w:lvlOverride w:ilvl="1">
      <w:startOverride w:val="1"/>
    </w:lvlOverride>
    <w:lvlOverride w:ilvl="2">
      <w:startOverride w:val="14"/>
    </w:lvlOverride>
  </w:num>
  <w:num w:numId="38">
    <w:abstractNumId w:val="22"/>
  </w:num>
  <w:num w:numId="39">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CC9"/>
    <w:rsid w:val="00001D3E"/>
    <w:rsid w:val="00002C9B"/>
    <w:rsid w:val="000030AB"/>
    <w:rsid w:val="00003B29"/>
    <w:rsid w:val="000041CE"/>
    <w:rsid w:val="000046AB"/>
    <w:rsid w:val="000057CB"/>
    <w:rsid w:val="00010BA8"/>
    <w:rsid w:val="000122BC"/>
    <w:rsid w:val="00013364"/>
    <w:rsid w:val="000138AB"/>
    <w:rsid w:val="00014404"/>
    <w:rsid w:val="00014678"/>
    <w:rsid w:val="00014A13"/>
    <w:rsid w:val="00014E80"/>
    <w:rsid w:val="00016072"/>
    <w:rsid w:val="0002013A"/>
    <w:rsid w:val="00020153"/>
    <w:rsid w:val="00021262"/>
    <w:rsid w:val="000218F6"/>
    <w:rsid w:val="00022238"/>
    <w:rsid w:val="00023353"/>
    <w:rsid w:val="00023C76"/>
    <w:rsid w:val="000262B0"/>
    <w:rsid w:val="000276C4"/>
    <w:rsid w:val="00031F82"/>
    <w:rsid w:val="00032046"/>
    <w:rsid w:val="000320CF"/>
    <w:rsid w:val="000323E6"/>
    <w:rsid w:val="00032825"/>
    <w:rsid w:val="00032982"/>
    <w:rsid w:val="00032A5C"/>
    <w:rsid w:val="00033E88"/>
    <w:rsid w:val="00034E7E"/>
    <w:rsid w:val="00036B98"/>
    <w:rsid w:val="00037648"/>
    <w:rsid w:val="0003793D"/>
    <w:rsid w:val="0004073C"/>
    <w:rsid w:val="00041BB0"/>
    <w:rsid w:val="00041D59"/>
    <w:rsid w:val="00041E1B"/>
    <w:rsid w:val="000420EB"/>
    <w:rsid w:val="000423D3"/>
    <w:rsid w:val="0004494C"/>
    <w:rsid w:val="00045140"/>
    <w:rsid w:val="00047245"/>
    <w:rsid w:val="000501A1"/>
    <w:rsid w:val="00050341"/>
    <w:rsid w:val="00052168"/>
    <w:rsid w:val="000531C4"/>
    <w:rsid w:val="00053CAF"/>
    <w:rsid w:val="000542CB"/>
    <w:rsid w:val="0005783A"/>
    <w:rsid w:val="00057D31"/>
    <w:rsid w:val="00060675"/>
    <w:rsid w:val="0006138B"/>
    <w:rsid w:val="00062F2C"/>
    <w:rsid w:val="0006320D"/>
    <w:rsid w:val="00063AF4"/>
    <w:rsid w:val="000648EA"/>
    <w:rsid w:val="00066271"/>
    <w:rsid w:val="00070607"/>
    <w:rsid w:val="000711D4"/>
    <w:rsid w:val="000714A4"/>
    <w:rsid w:val="00071EC3"/>
    <w:rsid w:val="00072AAD"/>
    <w:rsid w:val="00072BD9"/>
    <w:rsid w:val="00074E57"/>
    <w:rsid w:val="000754A4"/>
    <w:rsid w:val="00075813"/>
    <w:rsid w:val="00076878"/>
    <w:rsid w:val="00077979"/>
    <w:rsid w:val="00080049"/>
    <w:rsid w:val="0008321B"/>
    <w:rsid w:val="00083283"/>
    <w:rsid w:val="0008355C"/>
    <w:rsid w:val="00084E33"/>
    <w:rsid w:val="00086EB1"/>
    <w:rsid w:val="00090E7A"/>
    <w:rsid w:val="00091476"/>
    <w:rsid w:val="00091B92"/>
    <w:rsid w:val="00091C08"/>
    <w:rsid w:val="0009350A"/>
    <w:rsid w:val="0009545D"/>
    <w:rsid w:val="00096033"/>
    <w:rsid w:val="000964CA"/>
    <w:rsid w:val="00096D12"/>
    <w:rsid w:val="00097141"/>
    <w:rsid w:val="00097F49"/>
    <w:rsid w:val="000A06D1"/>
    <w:rsid w:val="000A0A2E"/>
    <w:rsid w:val="000A0D74"/>
    <w:rsid w:val="000A0FF7"/>
    <w:rsid w:val="000A1515"/>
    <w:rsid w:val="000A1A9B"/>
    <w:rsid w:val="000A26D9"/>
    <w:rsid w:val="000A2856"/>
    <w:rsid w:val="000A3E98"/>
    <w:rsid w:val="000A47FC"/>
    <w:rsid w:val="000A5657"/>
    <w:rsid w:val="000A5908"/>
    <w:rsid w:val="000A6EE7"/>
    <w:rsid w:val="000A7755"/>
    <w:rsid w:val="000A7AB3"/>
    <w:rsid w:val="000B08D1"/>
    <w:rsid w:val="000B1249"/>
    <w:rsid w:val="000B3C8D"/>
    <w:rsid w:val="000B3E2B"/>
    <w:rsid w:val="000B46A6"/>
    <w:rsid w:val="000B567A"/>
    <w:rsid w:val="000B7420"/>
    <w:rsid w:val="000C1CEE"/>
    <w:rsid w:val="000C335D"/>
    <w:rsid w:val="000C41B2"/>
    <w:rsid w:val="000C42D1"/>
    <w:rsid w:val="000C5609"/>
    <w:rsid w:val="000C647E"/>
    <w:rsid w:val="000C7495"/>
    <w:rsid w:val="000C7552"/>
    <w:rsid w:val="000D036F"/>
    <w:rsid w:val="000D1607"/>
    <w:rsid w:val="000D2DAA"/>
    <w:rsid w:val="000D35BB"/>
    <w:rsid w:val="000D4291"/>
    <w:rsid w:val="000D5505"/>
    <w:rsid w:val="000D67B9"/>
    <w:rsid w:val="000E1710"/>
    <w:rsid w:val="000E403E"/>
    <w:rsid w:val="000E51B0"/>
    <w:rsid w:val="000E6E48"/>
    <w:rsid w:val="000E7C50"/>
    <w:rsid w:val="000F004E"/>
    <w:rsid w:val="000F04F7"/>
    <w:rsid w:val="000F05C2"/>
    <w:rsid w:val="000F0986"/>
    <w:rsid w:val="000F1A36"/>
    <w:rsid w:val="000F1F60"/>
    <w:rsid w:val="000F2E85"/>
    <w:rsid w:val="000F36D9"/>
    <w:rsid w:val="000F3B6A"/>
    <w:rsid w:val="000F44A7"/>
    <w:rsid w:val="000F45E6"/>
    <w:rsid w:val="000F5B13"/>
    <w:rsid w:val="000F5DA8"/>
    <w:rsid w:val="000F7036"/>
    <w:rsid w:val="000F7E93"/>
    <w:rsid w:val="00100E0B"/>
    <w:rsid w:val="001021A1"/>
    <w:rsid w:val="00102A9E"/>
    <w:rsid w:val="00104010"/>
    <w:rsid w:val="001057A1"/>
    <w:rsid w:val="001066F2"/>
    <w:rsid w:val="00106E9E"/>
    <w:rsid w:val="00107096"/>
    <w:rsid w:val="00107326"/>
    <w:rsid w:val="001078B8"/>
    <w:rsid w:val="001104D1"/>
    <w:rsid w:val="00110F8B"/>
    <w:rsid w:val="00112A39"/>
    <w:rsid w:val="00113B30"/>
    <w:rsid w:val="0011424C"/>
    <w:rsid w:val="00114FB7"/>
    <w:rsid w:val="00115320"/>
    <w:rsid w:val="0011688C"/>
    <w:rsid w:val="0012072D"/>
    <w:rsid w:val="00121167"/>
    <w:rsid w:val="00121C69"/>
    <w:rsid w:val="001223AE"/>
    <w:rsid w:val="001223F4"/>
    <w:rsid w:val="00122E18"/>
    <w:rsid w:val="00123469"/>
    <w:rsid w:val="00123BA2"/>
    <w:rsid w:val="00124ADC"/>
    <w:rsid w:val="00124D11"/>
    <w:rsid w:val="00124F5D"/>
    <w:rsid w:val="00125310"/>
    <w:rsid w:val="0012591C"/>
    <w:rsid w:val="00125B45"/>
    <w:rsid w:val="00126EFC"/>
    <w:rsid w:val="00127109"/>
    <w:rsid w:val="001304A0"/>
    <w:rsid w:val="00130636"/>
    <w:rsid w:val="0013258C"/>
    <w:rsid w:val="00134191"/>
    <w:rsid w:val="00134821"/>
    <w:rsid w:val="0013567B"/>
    <w:rsid w:val="00135CCF"/>
    <w:rsid w:val="00136B5F"/>
    <w:rsid w:val="001375D8"/>
    <w:rsid w:val="00137DC1"/>
    <w:rsid w:val="0014138A"/>
    <w:rsid w:val="00142EF3"/>
    <w:rsid w:val="00143582"/>
    <w:rsid w:val="00143844"/>
    <w:rsid w:val="00143924"/>
    <w:rsid w:val="00143D49"/>
    <w:rsid w:val="001451BD"/>
    <w:rsid w:val="00146213"/>
    <w:rsid w:val="00146334"/>
    <w:rsid w:val="0014658B"/>
    <w:rsid w:val="0014669C"/>
    <w:rsid w:val="00146B69"/>
    <w:rsid w:val="00147748"/>
    <w:rsid w:val="00147D66"/>
    <w:rsid w:val="00151C50"/>
    <w:rsid w:val="00151CEC"/>
    <w:rsid w:val="00152350"/>
    <w:rsid w:val="00152F22"/>
    <w:rsid w:val="00153DFC"/>
    <w:rsid w:val="00154CDE"/>
    <w:rsid w:val="00156353"/>
    <w:rsid w:val="00161881"/>
    <w:rsid w:val="001631F0"/>
    <w:rsid w:val="00163622"/>
    <w:rsid w:val="001637F8"/>
    <w:rsid w:val="001649E7"/>
    <w:rsid w:val="00164D95"/>
    <w:rsid w:val="001709C1"/>
    <w:rsid w:val="00171CB8"/>
    <w:rsid w:val="00172418"/>
    <w:rsid w:val="001724D5"/>
    <w:rsid w:val="00173170"/>
    <w:rsid w:val="00173269"/>
    <w:rsid w:val="00173A7F"/>
    <w:rsid w:val="0017448F"/>
    <w:rsid w:val="0017509F"/>
    <w:rsid w:val="0017567B"/>
    <w:rsid w:val="00175D2A"/>
    <w:rsid w:val="00180832"/>
    <w:rsid w:val="0018159C"/>
    <w:rsid w:val="00181607"/>
    <w:rsid w:val="00181897"/>
    <w:rsid w:val="00182214"/>
    <w:rsid w:val="0018252E"/>
    <w:rsid w:val="00182885"/>
    <w:rsid w:val="001866E0"/>
    <w:rsid w:val="00187EE6"/>
    <w:rsid w:val="00190C3D"/>
    <w:rsid w:val="00191A6D"/>
    <w:rsid w:val="00191FAD"/>
    <w:rsid w:val="00193B5D"/>
    <w:rsid w:val="001941E1"/>
    <w:rsid w:val="00195E12"/>
    <w:rsid w:val="00196D7A"/>
    <w:rsid w:val="001972BF"/>
    <w:rsid w:val="001A05FD"/>
    <w:rsid w:val="001A0E37"/>
    <w:rsid w:val="001A2312"/>
    <w:rsid w:val="001A24C9"/>
    <w:rsid w:val="001A4C36"/>
    <w:rsid w:val="001A4EDA"/>
    <w:rsid w:val="001A51AA"/>
    <w:rsid w:val="001A5500"/>
    <w:rsid w:val="001A5DC0"/>
    <w:rsid w:val="001A6076"/>
    <w:rsid w:val="001A694F"/>
    <w:rsid w:val="001A6BEC"/>
    <w:rsid w:val="001A6C03"/>
    <w:rsid w:val="001A6C4A"/>
    <w:rsid w:val="001B0126"/>
    <w:rsid w:val="001B08D9"/>
    <w:rsid w:val="001B08E2"/>
    <w:rsid w:val="001B2715"/>
    <w:rsid w:val="001B2FDC"/>
    <w:rsid w:val="001B3E77"/>
    <w:rsid w:val="001B45BC"/>
    <w:rsid w:val="001B4F86"/>
    <w:rsid w:val="001B56FA"/>
    <w:rsid w:val="001B5F86"/>
    <w:rsid w:val="001C0CA4"/>
    <w:rsid w:val="001C14F7"/>
    <w:rsid w:val="001C3943"/>
    <w:rsid w:val="001C3A22"/>
    <w:rsid w:val="001C41E5"/>
    <w:rsid w:val="001C5E26"/>
    <w:rsid w:val="001C673E"/>
    <w:rsid w:val="001C7DDC"/>
    <w:rsid w:val="001C7FDF"/>
    <w:rsid w:val="001D02A8"/>
    <w:rsid w:val="001D12F3"/>
    <w:rsid w:val="001D1A2B"/>
    <w:rsid w:val="001D34FD"/>
    <w:rsid w:val="001D4855"/>
    <w:rsid w:val="001D4C5D"/>
    <w:rsid w:val="001D4E26"/>
    <w:rsid w:val="001D50AE"/>
    <w:rsid w:val="001D59DE"/>
    <w:rsid w:val="001D6746"/>
    <w:rsid w:val="001D6799"/>
    <w:rsid w:val="001D68A0"/>
    <w:rsid w:val="001D7520"/>
    <w:rsid w:val="001E0396"/>
    <w:rsid w:val="001E08BD"/>
    <w:rsid w:val="001E14C8"/>
    <w:rsid w:val="001E3970"/>
    <w:rsid w:val="001E3CB4"/>
    <w:rsid w:val="001E5681"/>
    <w:rsid w:val="001E7F92"/>
    <w:rsid w:val="001F13B2"/>
    <w:rsid w:val="001F206E"/>
    <w:rsid w:val="001F3220"/>
    <w:rsid w:val="001F45CE"/>
    <w:rsid w:val="001F472A"/>
    <w:rsid w:val="001F56F4"/>
    <w:rsid w:val="001F5FE5"/>
    <w:rsid w:val="001F6E45"/>
    <w:rsid w:val="00200D89"/>
    <w:rsid w:val="00201A69"/>
    <w:rsid w:val="00201BAC"/>
    <w:rsid w:val="00204786"/>
    <w:rsid w:val="00204CB7"/>
    <w:rsid w:val="00205198"/>
    <w:rsid w:val="00205588"/>
    <w:rsid w:val="00205C49"/>
    <w:rsid w:val="00205E57"/>
    <w:rsid w:val="00206A0E"/>
    <w:rsid w:val="0020728A"/>
    <w:rsid w:val="00210B05"/>
    <w:rsid w:val="00211244"/>
    <w:rsid w:val="002119AC"/>
    <w:rsid w:val="00212D1D"/>
    <w:rsid w:val="00213091"/>
    <w:rsid w:val="00215210"/>
    <w:rsid w:val="0021666F"/>
    <w:rsid w:val="0021675A"/>
    <w:rsid w:val="00217237"/>
    <w:rsid w:val="002173F0"/>
    <w:rsid w:val="0021747C"/>
    <w:rsid w:val="0022030D"/>
    <w:rsid w:val="00220735"/>
    <w:rsid w:val="002208D1"/>
    <w:rsid w:val="00220E55"/>
    <w:rsid w:val="00221027"/>
    <w:rsid w:val="0022123B"/>
    <w:rsid w:val="00221D69"/>
    <w:rsid w:val="00223135"/>
    <w:rsid w:val="0022326B"/>
    <w:rsid w:val="002233D0"/>
    <w:rsid w:val="002236B9"/>
    <w:rsid w:val="0022424B"/>
    <w:rsid w:val="00225D5C"/>
    <w:rsid w:val="00226669"/>
    <w:rsid w:val="0023081E"/>
    <w:rsid w:val="00230A8C"/>
    <w:rsid w:val="00230B5B"/>
    <w:rsid w:val="00231142"/>
    <w:rsid w:val="00231422"/>
    <w:rsid w:val="00231A36"/>
    <w:rsid w:val="002325B9"/>
    <w:rsid w:val="00232A1A"/>
    <w:rsid w:val="00233446"/>
    <w:rsid w:val="002349F0"/>
    <w:rsid w:val="0023538F"/>
    <w:rsid w:val="002357F2"/>
    <w:rsid w:val="00235823"/>
    <w:rsid w:val="00235B80"/>
    <w:rsid w:val="00236528"/>
    <w:rsid w:val="00236DB4"/>
    <w:rsid w:val="0024034D"/>
    <w:rsid w:val="0024047D"/>
    <w:rsid w:val="002423CC"/>
    <w:rsid w:val="00242CFD"/>
    <w:rsid w:val="00243713"/>
    <w:rsid w:val="00243E98"/>
    <w:rsid w:val="00244884"/>
    <w:rsid w:val="0024501F"/>
    <w:rsid w:val="0024554D"/>
    <w:rsid w:val="0024676B"/>
    <w:rsid w:val="00246EFC"/>
    <w:rsid w:val="00251004"/>
    <w:rsid w:val="00251A2A"/>
    <w:rsid w:val="002532FB"/>
    <w:rsid w:val="00253B88"/>
    <w:rsid w:val="0025487E"/>
    <w:rsid w:val="00261CC9"/>
    <w:rsid w:val="00261FEB"/>
    <w:rsid w:val="00264B07"/>
    <w:rsid w:val="002672F1"/>
    <w:rsid w:val="0026737B"/>
    <w:rsid w:val="002677FF"/>
    <w:rsid w:val="00270094"/>
    <w:rsid w:val="00273AE4"/>
    <w:rsid w:val="00276747"/>
    <w:rsid w:val="00276E4D"/>
    <w:rsid w:val="002771F6"/>
    <w:rsid w:val="002777D2"/>
    <w:rsid w:val="0028305E"/>
    <w:rsid w:val="00283A03"/>
    <w:rsid w:val="002848AA"/>
    <w:rsid w:val="00284A08"/>
    <w:rsid w:val="00285664"/>
    <w:rsid w:val="002862EC"/>
    <w:rsid w:val="00286348"/>
    <w:rsid w:val="00286665"/>
    <w:rsid w:val="00287540"/>
    <w:rsid w:val="00290902"/>
    <w:rsid w:val="00291833"/>
    <w:rsid w:val="00291B99"/>
    <w:rsid w:val="00292431"/>
    <w:rsid w:val="0029248A"/>
    <w:rsid w:val="0029254A"/>
    <w:rsid w:val="00294C11"/>
    <w:rsid w:val="0029511A"/>
    <w:rsid w:val="00295221"/>
    <w:rsid w:val="00296E96"/>
    <w:rsid w:val="002A0EB7"/>
    <w:rsid w:val="002A1076"/>
    <w:rsid w:val="002A1DB4"/>
    <w:rsid w:val="002A3279"/>
    <w:rsid w:val="002A4D48"/>
    <w:rsid w:val="002A5935"/>
    <w:rsid w:val="002A6049"/>
    <w:rsid w:val="002A7233"/>
    <w:rsid w:val="002A76AF"/>
    <w:rsid w:val="002A7A85"/>
    <w:rsid w:val="002B06E5"/>
    <w:rsid w:val="002B08B9"/>
    <w:rsid w:val="002B0D86"/>
    <w:rsid w:val="002B0D9B"/>
    <w:rsid w:val="002B1299"/>
    <w:rsid w:val="002B14AF"/>
    <w:rsid w:val="002B156C"/>
    <w:rsid w:val="002B2ACE"/>
    <w:rsid w:val="002B3D56"/>
    <w:rsid w:val="002B40D9"/>
    <w:rsid w:val="002B41E8"/>
    <w:rsid w:val="002B4528"/>
    <w:rsid w:val="002B4599"/>
    <w:rsid w:val="002B6A81"/>
    <w:rsid w:val="002B756D"/>
    <w:rsid w:val="002B7A65"/>
    <w:rsid w:val="002C0382"/>
    <w:rsid w:val="002C06A5"/>
    <w:rsid w:val="002C1853"/>
    <w:rsid w:val="002C1B0E"/>
    <w:rsid w:val="002C2DD3"/>
    <w:rsid w:val="002C3DE8"/>
    <w:rsid w:val="002C500C"/>
    <w:rsid w:val="002C503C"/>
    <w:rsid w:val="002C5317"/>
    <w:rsid w:val="002C54A4"/>
    <w:rsid w:val="002C5582"/>
    <w:rsid w:val="002C5C5C"/>
    <w:rsid w:val="002C60EA"/>
    <w:rsid w:val="002C60ED"/>
    <w:rsid w:val="002C6240"/>
    <w:rsid w:val="002C6525"/>
    <w:rsid w:val="002C7E32"/>
    <w:rsid w:val="002D01DA"/>
    <w:rsid w:val="002D0813"/>
    <w:rsid w:val="002D1FAC"/>
    <w:rsid w:val="002D256F"/>
    <w:rsid w:val="002D2CD2"/>
    <w:rsid w:val="002D79E1"/>
    <w:rsid w:val="002E0B44"/>
    <w:rsid w:val="002E0C8D"/>
    <w:rsid w:val="002E194E"/>
    <w:rsid w:val="002E1B65"/>
    <w:rsid w:val="002E4AE3"/>
    <w:rsid w:val="002E5037"/>
    <w:rsid w:val="002E58B4"/>
    <w:rsid w:val="002E5E3D"/>
    <w:rsid w:val="002E6354"/>
    <w:rsid w:val="002E6A4F"/>
    <w:rsid w:val="002E74EC"/>
    <w:rsid w:val="002E7B1B"/>
    <w:rsid w:val="002F04B3"/>
    <w:rsid w:val="002F0A85"/>
    <w:rsid w:val="002F0E18"/>
    <w:rsid w:val="002F1D28"/>
    <w:rsid w:val="002F21F2"/>
    <w:rsid w:val="002F2FE6"/>
    <w:rsid w:val="002F30BB"/>
    <w:rsid w:val="002F3572"/>
    <w:rsid w:val="002F372C"/>
    <w:rsid w:val="002F37A9"/>
    <w:rsid w:val="002F39A6"/>
    <w:rsid w:val="002F3F3C"/>
    <w:rsid w:val="002F3F9E"/>
    <w:rsid w:val="002F4C46"/>
    <w:rsid w:val="002F4E3F"/>
    <w:rsid w:val="002F5602"/>
    <w:rsid w:val="002F61BE"/>
    <w:rsid w:val="002F6405"/>
    <w:rsid w:val="002F6A2D"/>
    <w:rsid w:val="002F6B1C"/>
    <w:rsid w:val="002F6CC5"/>
    <w:rsid w:val="002F74E1"/>
    <w:rsid w:val="002F7751"/>
    <w:rsid w:val="003003C2"/>
    <w:rsid w:val="00300956"/>
    <w:rsid w:val="00300A6F"/>
    <w:rsid w:val="00301F7A"/>
    <w:rsid w:val="00302177"/>
    <w:rsid w:val="00302246"/>
    <w:rsid w:val="0030250E"/>
    <w:rsid w:val="00302D14"/>
    <w:rsid w:val="00303310"/>
    <w:rsid w:val="0030444A"/>
    <w:rsid w:val="00304DD5"/>
    <w:rsid w:val="00306716"/>
    <w:rsid w:val="0030731E"/>
    <w:rsid w:val="003107DF"/>
    <w:rsid w:val="003121CA"/>
    <w:rsid w:val="003125B9"/>
    <w:rsid w:val="00316B9E"/>
    <w:rsid w:val="00316DE3"/>
    <w:rsid w:val="003172E8"/>
    <w:rsid w:val="0032055F"/>
    <w:rsid w:val="003217B5"/>
    <w:rsid w:val="00323F27"/>
    <w:rsid w:val="003256E8"/>
    <w:rsid w:val="00326E68"/>
    <w:rsid w:val="00330489"/>
    <w:rsid w:val="00331E57"/>
    <w:rsid w:val="00332115"/>
    <w:rsid w:val="00332718"/>
    <w:rsid w:val="00332791"/>
    <w:rsid w:val="00332B24"/>
    <w:rsid w:val="00333468"/>
    <w:rsid w:val="003342FF"/>
    <w:rsid w:val="0033497D"/>
    <w:rsid w:val="00335194"/>
    <w:rsid w:val="00335AF2"/>
    <w:rsid w:val="0033666A"/>
    <w:rsid w:val="0033695E"/>
    <w:rsid w:val="00336CB1"/>
    <w:rsid w:val="003413D7"/>
    <w:rsid w:val="003415AA"/>
    <w:rsid w:val="00342A57"/>
    <w:rsid w:val="00343071"/>
    <w:rsid w:val="003431E7"/>
    <w:rsid w:val="00343821"/>
    <w:rsid w:val="00345BC5"/>
    <w:rsid w:val="0034707B"/>
    <w:rsid w:val="00347B99"/>
    <w:rsid w:val="0035090B"/>
    <w:rsid w:val="0035120D"/>
    <w:rsid w:val="00351A34"/>
    <w:rsid w:val="00351A75"/>
    <w:rsid w:val="00351EBD"/>
    <w:rsid w:val="00352BE9"/>
    <w:rsid w:val="003532C1"/>
    <w:rsid w:val="003534FB"/>
    <w:rsid w:val="0035394B"/>
    <w:rsid w:val="00357CFD"/>
    <w:rsid w:val="0036146C"/>
    <w:rsid w:val="00361FCC"/>
    <w:rsid w:val="0036483D"/>
    <w:rsid w:val="00365031"/>
    <w:rsid w:val="00365B74"/>
    <w:rsid w:val="003660EF"/>
    <w:rsid w:val="00370644"/>
    <w:rsid w:val="00370A7C"/>
    <w:rsid w:val="00372434"/>
    <w:rsid w:val="00372FA5"/>
    <w:rsid w:val="0037499A"/>
    <w:rsid w:val="00374B68"/>
    <w:rsid w:val="00375D16"/>
    <w:rsid w:val="00376C00"/>
    <w:rsid w:val="00381C06"/>
    <w:rsid w:val="00382234"/>
    <w:rsid w:val="00382486"/>
    <w:rsid w:val="0038462A"/>
    <w:rsid w:val="003857BF"/>
    <w:rsid w:val="00385B75"/>
    <w:rsid w:val="00385D8A"/>
    <w:rsid w:val="0038609B"/>
    <w:rsid w:val="003864E7"/>
    <w:rsid w:val="00386E2F"/>
    <w:rsid w:val="00387B32"/>
    <w:rsid w:val="00387D77"/>
    <w:rsid w:val="003938F5"/>
    <w:rsid w:val="00393F71"/>
    <w:rsid w:val="00394DED"/>
    <w:rsid w:val="00395494"/>
    <w:rsid w:val="0039595F"/>
    <w:rsid w:val="00395C90"/>
    <w:rsid w:val="00395F07"/>
    <w:rsid w:val="00397C66"/>
    <w:rsid w:val="003A0396"/>
    <w:rsid w:val="003A1960"/>
    <w:rsid w:val="003A24C2"/>
    <w:rsid w:val="003A25F5"/>
    <w:rsid w:val="003A3492"/>
    <w:rsid w:val="003A4866"/>
    <w:rsid w:val="003A4EFC"/>
    <w:rsid w:val="003A611B"/>
    <w:rsid w:val="003A6202"/>
    <w:rsid w:val="003A6207"/>
    <w:rsid w:val="003B0CA5"/>
    <w:rsid w:val="003B3046"/>
    <w:rsid w:val="003B5E7F"/>
    <w:rsid w:val="003B62C2"/>
    <w:rsid w:val="003B673E"/>
    <w:rsid w:val="003B7334"/>
    <w:rsid w:val="003B7488"/>
    <w:rsid w:val="003B7635"/>
    <w:rsid w:val="003C0037"/>
    <w:rsid w:val="003C2ED5"/>
    <w:rsid w:val="003C42BF"/>
    <w:rsid w:val="003C53E3"/>
    <w:rsid w:val="003C6211"/>
    <w:rsid w:val="003C7496"/>
    <w:rsid w:val="003C76EF"/>
    <w:rsid w:val="003C7969"/>
    <w:rsid w:val="003D1FB3"/>
    <w:rsid w:val="003D2111"/>
    <w:rsid w:val="003D29EC"/>
    <w:rsid w:val="003D32F5"/>
    <w:rsid w:val="003D3D95"/>
    <w:rsid w:val="003D4C1C"/>
    <w:rsid w:val="003D5112"/>
    <w:rsid w:val="003D53B7"/>
    <w:rsid w:val="003D5DA7"/>
    <w:rsid w:val="003D6DE0"/>
    <w:rsid w:val="003D7D06"/>
    <w:rsid w:val="003D7E2D"/>
    <w:rsid w:val="003E03DF"/>
    <w:rsid w:val="003E05A0"/>
    <w:rsid w:val="003E0B25"/>
    <w:rsid w:val="003E0D88"/>
    <w:rsid w:val="003E13EB"/>
    <w:rsid w:val="003E1CA6"/>
    <w:rsid w:val="003E30F3"/>
    <w:rsid w:val="003E3797"/>
    <w:rsid w:val="003E4030"/>
    <w:rsid w:val="003E4404"/>
    <w:rsid w:val="003E5F44"/>
    <w:rsid w:val="003E751E"/>
    <w:rsid w:val="003E7BE1"/>
    <w:rsid w:val="003F02A6"/>
    <w:rsid w:val="003F0B8F"/>
    <w:rsid w:val="003F144D"/>
    <w:rsid w:val="003F1F1D"/>
    <w:rsid w:val="003F26A9"/>
    <w:rsid w:val="003F4F55"/>
    <w:rsid w:val="003F548E"/>
    <w:rsid w:val="003F6BA8"/>
    <w:rsid w:val="003F7D47"/>
    <w:rsid w:val="004013B5"/>
    <w:rsid w:val="00401C7E"/>
    <w:rsid w:val="00401D04"/>
    <w:rsid w:val="00401F39"/>
    <w:rsid w:val="00402CB1"/>
    <w:rsid w:val="004042D5"/>
    <w:rsid w:val="00406F46"/>
    <w:rsid w:val="00407DA4"/>
    <w:rsid w:val="00410702"/>
    <w:rsid w:val="004129E9"/>
    <w:rsid w:val="00412CA8"/>
    <w:rsid w:val="00412D8F"/>
    <w:rsid w:val="0041357A"/>
    <w:rsid w:val="00413ADC"/>
    <w:rsid w:val="00413BCB"/>
    <w:rsid w:val="00414304"/>
    <w:rsid w:val="00416E29"/>
    <w:rsid w:val="00422D80"/>
    <w:rsid w:val="00422EAB"/>
    <w:rsid w:val="00426B3F"/>
    <w:rsid w:val="00427C68"/>
    <w:rsid w:val="0043043B"/>
    <w:rsid w:val="00431130"/>
    <w:rsid w:val="004311FC"/>
    <w:rsid w:val="00432A23"/>
    <w:rsid w:val="004330DD"/>
    <w:rsid w:val="00433F02"/>
    <w:rsid w:val="00434DC6"/>
    <w:rsid w:val="00435648"/>
    <w:rsid w:val="0043696F"/>
    <w:rsid w:val="00436FF9"/>
    <w:rsid w:val="00437182"/>
    <w:rsid w:val="00437552"/>
    <w:rsid w:val="00440657"/>
    <w:rsid w:val="00440E20"/>
    <w:rsid w:val="00441FF1"/>
    <w:rsid w:val="00443DCB"/>
    <w:rsid w:val="00443ED6"/>
    <w:rsid w:val="00444DAA"/>
    <w:rsid w:val="00444F79"/>
    <w:rsid w:val="00444FCE"/>
    <w:rsid w:val="00445644"/>
    <w:rsid w:val="00445C3A"/>
    <w:rsid w:val="00445DC3"/>
    <w:rsid w:val="004467E2"/>
    <w:rsid w:val="004469CE"/>
    <w:rsid w:val="00446A53"/>
    <w:rsid w:val="004470AF"/>
    <w:rsid w:val="00447F4E"/>
    <w:rsid w:val="00454ABC"/>
    <w:rsid w:val="004571FF"/>
    <w:rsid w:val="00464FAB"/>
    <w:rsid w:val="00465F04"/>
    <w:rsid w:val="00466103"/>
    <w:rsid w:val="0046657B"/>
    <w:rsid w:val="00470C2B"/>
    <w:rsid w:val="00470F68"/>
    <w:rsid w:val="004710B0"/>
    <w:rsid w:val="004711A8"/>
    <w:rsid w:val="00471751"/>
    <w:rsid w:val="004723B9"/>
    <w:rsid w:val="0047392F"/>
    <w:rsid w:val="00474C1D"/>
    <w:rsid w:val="004761F4"/>
    <w:rsid w:val="00476574"/>
    <w:rsid w:val="004773BB"/>
    <w:rsid w:val="00480EA7"/>
    <w:rsid w:val="00481C03"/>
    <w:rsid w:val="0048256E"/>
    <w:rsid w:val="0048380A"/>
    <w:rsid w:val="00483F02"/>
    <w:rsid w:val="004843EC"/>
    <w:rsid w:val="00484D2D"/>
    <w:rsid w:val="00486331"/>
    <w:rsid w:val="004864A0"/>
    <w:rsid w:val="004909BE"/>
    <w:rsid w:val="0049115F"/>
    <w:rsid w:val="00491497"/>
    <w:rsid w:val="00491939"/>
    <w:rsid w:val="0049291D"/>
    <w:rsid w:val="004930D7"/>
    <w:rsid w:val="00493820"/>
    <w:rsid w:val="00493887"/>
    <w:rsid w:val="004944B0"/>
    <w:rsid w:val="004963DA"/>
    <w:rsid w:val="004A0205"/>
    <w:rsid w:val="004A0688"/>
    <w:rsid w:val="004A0C68"/>
    <w:rsid w:val="004A144E"/>
    <w:rsid w:val="004A1904"/>
    <w:rsid w:val="004A2290"/>
    <w:rsid w:val="004A2AEC"/>
    <w:rsid w:val="004A2DAC"/>
    <w:rsid w:val="004A4A04"/>
    <w:rsid w:val="004A4B73"/>
    <w:rsid w:val="004A6A72"/>
    <w:rsid w:val="004A7B0D"/>
    <w:rsid w:val="004B0D7E"/>
    <w:rsid w:val="004B17AC"/>
    <w:rsid w:val="004B33D9"/>
    <w:rsid w:val="004C0416"/>
    <w:rsid w:val="004C091F"/>
    <w:rsid w:val="004C1743"/>
    <w:rsid w:val="004C20DA"/>
    <w:rsid w:val="004C2679"/>
    <w:rsid w:val="004C2CA4"/>
    <w:rsid w:val="004C3247"/>
    <w:rsid w:val="004C4460"/>
    <w:rsid w:val="004C4E58"/>
    <w:rsid w:val="004C4F80"/>
    <w:rsid w:val="004C522C"/>
    <w:rsid w:val="004C6C1F"/>
    <w:rsid w:val="004C7B7E"/>
    <w:rsid w:val="004C7DD3"/>
    <w:rsid w:val="004D01DC"/>
    <w:rsid w:val="004D0CD2"/>
    <w:rsid w:val="004D0DAF"/>
    <w:rsid w:val="004D1A7B"/>
    <w:rsid w:val="004D27A3"/>
    <w:rsid w:val="004D3353"/>
    <w:rsid w:val="004D33F5"/>
    <w:rsid w:val="004D398F"/>
    <w:rsid w:val="004D4F00"/>
    <w:rsid w:val="004D5D66"/>
    <w:rsid w:val="004E04A8"/>
    <w:rsid w:val="004E04C6"/>
    <w:rsid w:val="004E0A47"/>
    <w:rsid w:val="004E0CB2"/>
    <w:rsid w:val="004E1BB5"/>
    <w:rsid w:val="004E259F"/>
    <w:rsid w:val="004E3734"/>
    <w:rsid w:val="004E48F1"/>
    <w:rsid w:val="004E4E5B"/>
    <w:rsid w:val="004E5A72"/>
    <w:rsid w:val="004E5AB1"/>
    <w:rsid w:val="004E6084"/>
    <w:rsid w:val="004E61D6"/>
    <w:rsid w:val="004E67A7"/>
    <w:rsid w:val="004E6A3B"/>
    <w:rsid w:val="004E75D6"/>
    <w:rsid w:val="004F13F7"/>
    <w:rsid w:val="004F191A"/>
    <w:rsid w:val="004F3A63"/>
    <w:rsid w:val="004F5179"/>
    <w:rsid w:val="004F6031"/>
    <w:rsid w:val="004F6400"/>
    <w:rsid w:val="004F78CE"/>
    <w:rsid w:val="005018BA"/>
    <w:rsid w:val="005019F1"/>
    <w:rsid w:val="00501E7E"/>
    <w:rsid w:val="00502073"/>
    <w:rsid w:val="00502166"/>
    <w:rsid w:val="0050541E"/>
    <w:rsid w:val="0050573E"/>
    <w:rsid w:val="00505A0A"/>
    <w:rsid w:val="00506838"/>
    <w:rsid w:val="00507553"/>
    <w:rsid w:val="0050773E"/>
    <w:rsid w:val="0051063E"/>
    <w:rsid w:val="005108ED"/>
    <w:rsid w:val="0051177E"/>
    <w:rsid w:val="0051281B"/>
    <w:rsid w:val="005129E3"/>
    <w:rsid w:val="0051378C"/>
    <w:rsid w:val="0051559A"/>
    <w:rsid w:val="00516243"/>
    <w:rsid w:val="00516F5E"/>
    <w:rsid w:val="00517148"/>
    <w:rsid w:val="00517198"/>
    <w:rsid w:val="00517994"/>
    <w:rsid w:val="00520400"/>
    <w:rsid w:val="00520D3C"/>
    <w:rsid w:val="00521370"/>
    <w:rsid w:val="00521455"/>
    <w:rsid w:val="00521FCB"/>
    <w:rsid w:val="00522825"/>
    <w:rsid w:val="0052455E"/>
    <w:rsid w:val="00524B2A"/>
    <w:rsid w:val="00524C45"/>
    <w:rsid w:val="00524E50"/>
    <w:rsid w:val="005253F5"/>
    <w:rsid w:val="005263A9"/>
    <w:rsid w:val="00526B1F"/>
    <w:rsid w:val="0052704F"/>
    <w:rsid w:val="005272B2"/>
    <w:rsid w:val="00527F32"/>
    <w:rsid w:val="005300F1"/>
    <w:rsid w:val="0053049F"/>
    <w:rsid w:val="00530F8A"/>
    <w:rsid w:val="005318D4"/>
    <w:rsid w:val="005327E6"/>
    <w:rsid w:val="00532D13"/>
    <w:rsid w:val="00533BEE"/>
    <w:rsid w:val="0053417F"/>
    <w:rsid w:val="00537674"/>
    <w:rsid w:val="005376B1"/>
    <w:rsid w:val="00537834"/>
    <w:rsid w:val="00541827"/>
    <w:rsid w:val="00544151"/>
    <w:rsid w:val="005442D1"/>
    <w:rsid w:val="00545086"/>
    <w:rsid w:val="00551F28"/>
    <w:rsid w:val="00552A29"/>
    <w:rsid w:val="005532F0"/>
    <w:rsid w:val="00553473"/>
    <w:rsid w:val="00553821"/>
    <w:rsid w:val="0055491D"/>
    <w:rsid w:val="00554C71"/>
    <w:rsid w:val="005554CF"/>
    <w:rsid w:val="00555CC4"/>
    <w:rsid w:val="00557654"/>
    <w:rsid w:val="00560B31"/>
    <w:rsid w:val="00560C42"/>
    <w:rsid w:val="0056193E"/>
    <w:rsid w:val="00563310"/>
    <w:rsid w:val="005635A5"/>
    <w:rsid w:val="005650C2"/>
    <w:rsid w:val="005651D9"/>
    <w:rsid w:val="00565763"/>
    <w:rsid w:val="0056703F"/>
    <w:rsid w:val="005704BD"/>
    <w:rsid w:val="005706ED"/>
    <w:rsid w:val="00570C7B"/>
    <w:rsid w:val="00571376"/>
    <w:rsid w:val="005729E5"/>
    <w:rsid w:val="0057351A"/>
    <w:rsid w:val="00573D20"/>
    <w:rsid w:val="00573FEF"/>
    <w:rsid w:val="005742F5"/>
    <w:rsid w:val="00574922"/>
    <w:rsid w:val="005754E0"/>
    <w:rsid w:val="005766C7"/>
    <w:rsid w:val="0057784A"/>
    <w:rsid w:val="00577C4A"/>
    <w:rsid w:val="00580739"/>
    <w:rsid w:val="00581898"/>
    <w:rsid w:val="00583CB5"/>
    <w:rsid w:val="00583D1E"/>
    <w:rsid w:val="005840F1"/>
    <w:rsid w:val="0058592A"/>
    <w:rsid w:val="00587817"/>
    <w:rsid w:val="005920F6"/>
    <w:rsid w:val="00593A16"/>
    <w:rsid w:val="00593F06"/>
    <w:rsid w:val="00593F15"/>
    <w:rsid w:val="005957D7"/>
    <w:rsid w:val="00595A54"/>
    <w:rsid w:val="00597316"/>
    <w:rsid w:val="005A28EA"/>
    <w:rsid w:val="005A2AA8"/>
    <w:rsid w:val="005A2C1B"/>
    <w:rsid w:val="005A2D9F"/>
    <w:rsid w:val="005A3875"/>
    <w:rsid w:val="005A7F98"/>
    <w:rsid w:val="005B0EDD"/>
    <w:rsid w:val="005B1672"/>
    <w:rsid w:val="005B1E23"/>
    <w:rsid w:val="005B399B"/>
    <w:rsid w:val="005B3F78"/>
    <w:rsid w:val="005B42AB"/>
    <w:rsid w:val="005B5BAD"/>
    <w:rsid w:val="005B5C10"/>
    <w:rsid w:val="005B5ECF"/>
    <w:rsid w:val="005B75D0"/>
    <w:rsid w:val="005B7E48"/>
    <w:rsid w:val="005B7FCB"/>
    <w:rsid w:val="005C0CEB"/>
    <w:rsid w:val="005C1A31"/>
    <w:rsid w:val="005C1CAD"/>
    <w:rsid w:val="005C2AFE"/>
    <w:rsid w:val="005C369D"/>
    <w:rsid w:val="005C3E8F"/>
    <w:rsid w:val="005C4C84"/>
    <w:rsid w:val="005C4F59"/>
    <w:rsid w:val="005C5302"/>
    <w:rsid w:val="005C5B17"/>
    <w:rsid w:val="005C72A2"/>
    <w:rsid w:val="005D088E"/>
    <w:rsid w:val="005D08A2"/>
    <w:rsid w:val="005D2675"/>
    <w:rsid w:val="005D26B0"/>
    <w:rsid w:val="005D2845"/>
    <w:rsid w:val="005D2C1E"/>
    <w:rsid w:val="005D4DDE"/>
    <w:rsid w:val="005D5FA1"/>
    <w:rsid w:val="005D64D4"/>
    <w:rsid w:val="005D67E3"/>
    <w:rsid w:val="005D6CF3"/>
    <w:rsid w:val="005D6D50"/>
    <w:rsid w:val="005D74D0"/>
    <w:rsid w:val="005E22F5"/>
    <w:rsid w:val="005E274B"/>
    <w:rsid w:val="005E3026"/>
    <w:rsid w:val="005E47D2"/>
    <w:rsid w:val="005E53D7"/>
    <w:rsid w:val="005E5610"/>
    <w:rsid w:val="005E659B"/>
    <w:rsid w:val="005E715E"/>
    <w:rsid w:val="005E7CEB"/>
    <w:rsid w:val="005F08E7"/>
    <w:rsid w:val="005F0B20"/>
    <w:rsid w:val="005F1099"/>
    <w:rsid w:val="005F1CBF"/>
    <w:rsid w:val="005F217A"/>
    <w:rsid w:val="005F3D4A"/>
    <w:rsid w:val="005F5A81"/>
    <w:rsid w:val="005F6116"/>
    <w:rsid w:val="005F6240"/>
    <w:rsid w:val="005F6262"/>
    <w:rsid w:val="005F75C9"/>
    <w:rsid w:val="006014D8"/>
    <w:rsid w:val="00602152"/>
    <w:rsid w:val="00604342"/>
    <w:rsid w:val="00604728"/>
    <w:rsid w:val="00604F16"/>
    <w:rsid w:val="00604F63"/>
    <w:rsid w:val="00605650"/>
    <w:rsid w:val="006065B2"/>
    <w:rsid w:val="006075F3"/>
    <w:rsid w:val="0061092A"/>
    <w:rsid w:val="00612FD9"/>
    <w:rsid w:val="00613C1D"/>
    <w:rsid w:val="00613C35"/>
    <w:rsid w:val="00614963"/>
    <w:rsid w:val="00616ABE"/>
    <w:rsid w:val="00621854"/>
    <w:rsid w:val="006242C2"/>
    <w:rsid w:val="00625086"/>
    <w:rsid w:val="00626C83"/>
    <w:rsid w:val="0062712C"/>
    <w:rsid w:val="006304E6"/>
    <w:rsid w:val="00630EE1"/>
    <w:rsid w:val="006326C1"/>
    <w:rsid w:val="006326E6"/>
    <w:rsid w:val="00633912"/>
    <w:rsid w:val="0063461E"/>
    <w:rsid w:val="00634841"/>
    <w:rsid w:val="006353C1"/>
    <w:rsid w:val="006353F2"/>
    <w:rsid w:val="00636482"/>
    <w:rsid w:val="00636645"/>
    <w:rsid w:val="006375ED"/>
    <w:rsid w:val="00637654"/>
    <w:rsid w:val="00637C48"/>
    <w:rsid w:val="00637F42"/>
    <w:rsid w:val="00637FFE"/>
    <w:rsid w:val="006400B3"/>
    <w:rsid w:val="00642E20"/>
    <w:rsid w:val="00642EA7"/>
    <w:rsid w:val="00643497"/>
    <w:rsid w:val="0064519E"/>
    <w:rsid w:val="0064554D"/>
    <w:rsid w:val="00645D0D"/>
    <w:rsid w:val="00645F26"/>
    <w:rsid w:val="0064713D"/>
    <w:rsid w:val="0064781D"/>
    <w:rsid w:val="00647E81"/>
    <w:rsid w:val="00647F45"/>
    <w:rsid w:val="00650273"/>
    <w:rsid w:val="006519A4"/>
    <w:rsid w:val="00651FCB"/>
    <w:rsid w:val="0065261F"/>
    <w:rsid w:val="00654152"/>
    <w:rsid w:val="0065553C"/>
    <w:rsid w:val="006557F1"/>
    <w:rsid w:val="006562B3"/>
    <w:rsid w:val="006570B7"/>
    <w:rsid w:val="0065748A"/>
    <w:rsid w:val="00660DFD"/>
    <w:rsid w:val="00661ED7"/>
    <w:rsid w:val="00662DDD"/>
    <w:rsid w:val="006631C4"/>
    <w:rsid w:val="00666574"/>
    <w:rsid w:val="00667288"/>
    <w:rsid w:val="00667725"/>
    <w:rsid w:val="00667A19"/>
    <w:rsid w:val="006700BA"/>
    <w:rsid w:val="00670B90"/>
    <w:rsid w:val="006716E4"/>
    <w:rsid w:val="006753A5"/>
    <w:rsid w:val="0067689C"/>
    <w:rsid w:val="00676F7B"/>
    <w:rsid w:val="00677C3B"/>
    <w:rsid w:val="00677D8D"/>
    <w:rsid w:val="00680817"/>
    <w:rsid w:val="0068091E"/>
    <w:rsid w:val="0068218E"/>
    <w:rsid w:val="00682A18"/>
    <w:rsid w:val="006849CE"/>
    <w:rsid w:val="00684C01"/>
    <w:rsid w:val="006855C0"/>
    <w:rsid w:val="00685BBE"/>
    <w:rsid w:val="00687057"/>
    <w:rsid w:val="00690A7D"/>
    <w:rsid w:val="00691390"/>
    <w:rsid w:val="006927A8"/>
    <w:rsid w:val="00693456"/>
    <w:rsid w:val="00695121"/>
    <w:rsid w:val="00695DBF"/>
    <w:rsid w:val="00696A95"/>
    <w:rsid w:val="00696B84"/>
    <w:rsid w:val="00697716"/>
    <w:rsid w:val="00697CDD"/>
    <w:rsid w:val="00697E1F"/>
    <w:rsid w:val="006A196A"/>
    <w:rsid w:val="006A2745"/>
    <w:rsid w:val="006A3EC7"/>
    <w:rsid w:val="006A3FC6"/>
    <w:rsid w:val="006A6B98"/>
    <w:rsid w:val="006B0153"/>
    <w:rsid w:val="006B0DF3"/>
    <w:rsid w:val="006B2A21"/>
    <w:rsid w:val="006B2AD5"/>
    <w:rsid w:val="006B4423"/>
    <w:rsid w:val="006B4927"/>
    <w:rsid w:val="006B5152"/>
    <w:rsid w:val="006B5330"/>
    <w:rsid w:val="006B54FF"/>
    <w:rsid w:val="006B6026"/>
    <w:rsid w:val="006B63E0"/>
    <w:rsid w:val="006B71D0"/>
    <w:rsid w:val="006B7E00"/>
    <w:rsid w:val="006C18E2"/>
    <w:rsid w:val="006C40F9"/>
    <w:rsid w:val="006C5A9F"/>
    <w:rsid w:val="006C660E"/>
    <w:rsid w:val="006C6DF5"/>
    <w:rsid w:val="006C7927"/>
    <w:rsid w:val="006D04E8"/>
    <w:rsid w:val="006D0E7E"/>
    <w:rsid w:val="006D16A7"/>
    <w:rsid w:val="006D1B8C"/>
    <w:rsid w:val="006D1C4F"/>
    <w:rsid w:val="006D4365"/>
    <w:rsid w:val="006E0AD6"/>
    <w:rsid w:val="006E2BED"/>
    <w:rsid w:val="006E2FA5"/>
    <w:rsid w:val="006E3177"/>
    <w:rsid w:val="006E37E0"/>
    <w:rsid w:val="006E3DD3"/>
    <w:rsid w:val="006E43B7"/>
    <w:rsid w:val="006E43C8"/>
    <w:rsid w:val="006E6A2B"/>
    <w:rsid w:val="006E6A86"/>
    <w:rsid w:val="006E7A5D"/>
    <w:rsid w:val="006E7B5A"/>
    <w:rsid w:val="006E7F3E"/>
    <w:rsid w:val="006F02AA"/>
    <w:rsid w:val="006F0A46"/>
    <w:rsid w:val="006F12A1"/>
    <w:rsid w:val="006F1A55"/>
    <w:rsid w:val="006F2EF6"/>
    <w:rsid w:val="006F7158"/>
    <w:rsid w:val="006F7433"/>
    <w:rsid w:val="007015AE"/>
    <w:rsid w:val="007046FC"/>
    <w:rsid w:val="007050EB"/>
    <w:rsid w:val="00705478"/>
    <w:rsid w:val="00705B30"/>
    <w:rsid w:val="007079BF"/>
    <w:rsid w:val="00707BDE"/>
    <w:rsid w:val="007106C4"/>
    <w:rsid w:val="00711439"/>
    <w:rsid w:val="007124DB"/>
    <w:rsid w:val="00712C43"/>
    <w:rsid w:val="00713124"/>
    <w:rsid w:val="0071511B"/>
    <w:rsid w:val="00715FAD"/>
    <w:rsid w:val="0071662D"/>
    <w:rsid w:val="00716C26"/>
    <w:rsid w:val="00717786"/>
    <w:rsid w:val="00720B9A"/>
    <w:rsid w:val="0072121A"/>
    <w:rsid w:val="007212E5"/>
    <w:rsid w:val="00722B48"/>
    <w:rsid w:val="0072362F"/>
    <w:rsid w:val="00723891"/>
    <w:rsid w:val="00724028"/>
    <w:rsid w:val="00724D24"/>
    <w:rsid w:val="00725C03"/>
    <w:rsid w:val="00726774"/>
    <w:rsid w:val="00727130"/>
    <w:rsid w:val="00730302"/>
    <w:rsid w:val="00733469"/>
    <w:rsid w:val="00733FA6"/>
    <w:rsid w:val="0073501F"/>
    <w:rsid w:val="00735C0A"/>
    <w:rsid w:val="0073618F"/>
    <w:rsid w:val="00737024"/>
    <w:rsid w:val="00737164"/>
    <w:rsid w:val="00737307"/>
    <w:rsid w:val="00737562"/>
    <w:rsid w:val="007407B1"/>
    <w:rsid w:val="00741B4A"/>
    <w:rsid w:val="0074355C"/>
    <w:rsid w:val="007435A6"/>
    <w:rsid w:val="007451C1"/>
    <w:rsid w:val="00745615"/>
    <w:rsid w:val="00745D1B"/>
    <w:rsid w:val="007503E1"/>
    <w:rsid w:val="00750B69"/>
    <w:rsid w:val="00750FD7"/>
    <w:rsid w:val="00751AB1"/>
    <w:rsid w:val="00751BF1"/>
    <w:rsid w:val="00752C44"/>
    <w:rsid w:val="00753DBC"/>
    <w:rsid w:val="00756ECD"/>
    <w:rsid w:val="007573FB"/>
    <w:rsid w:val="00757954"/>
    <w:rsid w:val="00757FF6"/>
    <w:rsid w:val="00760B3D"/>
    <w:rsid w:val="00760F83"/>
    <w:rsid w:val="00761220"/>
    <w:rsid w:val="00761641"/>
    <w:rsid w:val="00761AA8"/>
    <w:rsid w:val="00761CC9"/>
    <w:rsid w:val="00761EF3"/>
    <w:rsid w:val="00761F19"/>
    <w:rsid w:val="00762A71"/>
    <w:rsid w:val="00762D4E"/>
    <w:rsid w:val="00763CB2"/>
    <w:rsid w:val="007642A2"/>
    <w:rsid w:val="007648EA"/>
    <w:rsid w:val="00764C78"/>
    <w:rsid w:val="0076634E"/>
    <w:rsid w:val="0076687E"/>
    <w:rsid w:val="00770737"/>
    <w:rsid w:val="00770F54"/>
    <w:rsid w:val="007715BD"/>
    <w:rsid w:val="00771B6E"/>
    <w:rsid w:val="00771BB9"/>
    <w:rsid w:val="0077232A"/>
    <w:rsid w:val="0077404A"/>
    <w:rsid w:val="0077435C"/>
    <w:rsid w:val="00775662"/>
    <w:rsid w:val="007760F7"/>
    <w:rsid w:val="00776E00"/>
    <w:rsid w:val="00781380"/>
    <w:rsid w:val="00781942"/>
    <w:rsid w:val="007828C2"/>
    <w:rsid w:val="00782D91"/>
    <w:rsid w:val="0078397A"/>
    <w:rsid w:val="007849C6"/>
    <w:rsid w:val="00784D0F"/>
    <w:rsid w:val="00786435"/>
    <w:rsid w:val="00787229"/>
    <w:rsid w:val="007905E3"/>
    <w:rsid w:val="0079074C"/>
    <w:rsid w:val="00791948"/>
    <w:rsid w:val="00792CA8"/>
    <w:rsid w:val="00793B09"/>
    <w:rsid w:val="0079406F"/>
    <w:rsid w:val="00795C39"/>
    <w:rsid w:val="007A1668"/>
    <w:rsid w:val="007A2509"/>
    <w:rsid w:val="007A25FC"/>
    <w:rsid w:val="007A28EE"/>
    <w:rsid w:val="007A2BA1"/>
    <w:rsid w:val="007A2F06"/>
    <w:rsid w:val="007A3C01"/>
    <w:rsid w:val="007A5A6A"/>
    <w:rsid w:val="007A67D9"/>
    <w:rsid w:val="007A680E"/>
    <w:rsid w:val="007A79CA"/>
    <w:rsid w:val="007A7A77"/>
    <w:rsid w:val="007B00AA"/>
    <w:rsid w:val="007B05F6"/>
    <w:rsid w:val="007B0862"/>
    <w:rsid w:val="007B1133"/>
    <w:rsid w:val="007B1BE1"/>
    <w:rsid w:val="007B3277"/>
    <w:rsid w:val="007B36B5"/>
    <w:rsid w:val="007B3C2E"/>
    <w:rsid w:val="007B4D46"/>
    <w:rsid w:val="007B55C0"/>
    <w:rsid w:val="007B594C"/>
    <w:rsid w:val="007B5D79"/>
    <w:rsid w:val="007B610D"/>
    <w:rsid w:val="007B6A13"/>
    <w:rsid w:val="007B7107"/>
    <w:rsid w:val="007C0BF1"/>
    <w:rsid w:val="007C14F3"/>
    <w:rsid w:val="007C2922"/>
    <w:rsid w:val="007C34F0"/>
    <w:rsid w:val="007C3E0C"/>
    <w:rsid w:val="007C46FD"/>
    <w:rsid w:val="007C4814"/>
    <w:rsid w:val="007C4A9C"/>
    <w:rsid w:val="007C5247"/>
    <w:rsid w:val="007C6EB9"/>
    <w:rsid w:val="007C7A76"/>
    <w:rsid w:val="007D12E3"/>
    <w:rsid w:val="007D2034"/>
    <w:rsid w:val="007D3029"/>
    <w:rsid w:val="007D31DA"/>
    <w:rsid w:val="007D3C36"/>
    <w:rsid w:val="007D5026"/>
    <w:rsid w:val="007D5873"/>
    <w:rsid w:val="007D7C4D"/>
    <w:rsid w:val="007E08DC"/>
    <w:rsid w:val="007E317D"/>
    <w:rsid w:val="007E4001"/>
    <w:rsid w:val="007E70B2"/>
    <w:rsid w:val="007E74EE"/>
    <w:rsid w:val="007E7C57"/>
    <w:rsid w:val="007E7DBF"/>
    <w:rsid w:val="007F0526"/>
    <w:rsid w:val="007F06F6"/>
    <w:rsid w:val="007F0F05"/>
    <w:rsid w:val="007F260A"/>
    <w:rsid w:val="007F2C6A"/>
    <w:rsid w:val="007F429D"/>
    <w:rsid w:val="007F5469"/>
    <w:rsid w:val="007F5AFE"/>
    <w:rsid w:val="007F6D1D"/>
    <w:rsid w:val="007F791C"/>
    <w:rsid w:val="00803C41"/>
    <w:rsid w:val="008045F4"/>
    <w:rsid w:val="0080462A"/>
    <w:rsid w:val="008049CE"/>
    <w:rsid w:val="0080536F"/>
    <w:rsid w:val="008056FF"/>
    <w:rsid w:val="008069FA"/>
    <w:rsid w:val="00806B0D"/>
    <w:rsid w:val="0081052B"/>
    <w:rsid w:val="00814981"/>
    <w:rsid w:val="00814C4F"/>
    <w:rsid w:val="0081647F"/>
    <w:rsid w:val="00821731"/>
    <w:rsid w:val="0082255D"/>
    <w:rsid w:val="0082278A"/>
    <w:rsid w:val="00822B08"/>
    <w:rsid w:val="00824E4F"/>
    <w:rsid w:val="00824E75"/>
    <w:rsid w:val="00826D8C"/>
    <w:rsid w:val="00827CF7"/>
    <w:rsid w:val="00827E4A"/>
    <w:rsid w:val="00830D84"/>
    <w:rsid w:val="00830F00"/>
    <w:rsid w:val="008314BE"/>
    <w:rsid w:val="00831D15"/>
    <w:rsid w:val="00832326"/>
    <w:rsid w:val="008324EB"/>
    <w:rsid w:val="00832962"/>
    <w:rsid w:val="00832ACE"/>
    <w:rsid w:val="008332FC"/>
    <w:rsid w:val="00833425"/>
    <w:rsid w:val="008343A9"/>
    <w:rsid w:val="00835288"/>
    <w:rsid w:val="00837743"/>
    <w:rsid w:val="00840D0E"/>
    <w:rsid w:val="00842CF5"/>
    <w:rsid w:val="00842DA9"/>
    <w:rsid w:val="008433F9"/>
    <w:rsid w:val="008458A6"/>
    <w:rsid w:val="00845CA5"/>
    <w:rsid w:val="0084754A"/>
    <w:rsid w:val="00847D15"/>
    <w:rsid w:val="0085197C"/>
    <w:rsid w:val="00851D75"/>
    <w:rsid w:val="0085215D"/>
    <w:rsid w:val="008524A1"/>
    <w:rsid w:val="00852DDF"/>
    <w:rsid w:val="0085394F"/>
    <w:rsid w:val="00853F65"/>
    <w:rsid w:val="0085695E"/>
    <w:rsid w:val="008579C5"/>
    <w:rsid w:val="00860D4A"/>
    <w:rsid w:val="0086159C"/>
    <w:rsid w:val="00861D26"/>
    <w:rsid w:val="00862B00"/>
    <w:rsid w:val="00862D54"/>
    <w:rsid w:val="00863109"/>
    <w:rsid w:val="008715B3"/>
    <w:rsid w:val="00873258"/>
    <w:rsid w:val="008732AC"/>
    <w:rsid w:val="00875DB5"/>
    <w:rsid w:val="00876F80"/>
    <w:rsid w:val="00880D21"/>
    <w:rsid w:val="00881C3A"/>
    <w:rsid w:val="008825EA"/>
    <w:rsid w:val="00884131"/>
    <w:rsid w:val="00885D8F"/>
    <w:rsid w:val="00886AF1"/>
    <w:rsid w:val="00887CB5"/>
    <w:rsid w:val="00887FAF"/>
    <w:rsid w:val="00892839"/>
    <w:rsid w:val="0089395B"/>
    <w:rsid w:val="00894A38"/>
    <w:rsid w:val="00894AF0"/>
    <w:rsid w:val="008971E3"/>
    <w:rsid w:val="008A06A7"/>
    <w:rsid w:val="008A32F5"/>
    <w:rsid w:val="008A4270"/>
    <w:rsid w:val="008A6547"/>
    <w:rsid w:val="008A7C62"/>
    <w:rsid w:val="008B0491"/>
    <w:rsid w:val="008B0B6A"/>
    <w:rsid w:val="008B164F"/>
    <w:rsid w:val="008B4079"/>
    <w:rsid w:val="008B4B45"/>
    <w:rsid w:val="008B5554"/>
    <w:rsid w:val="008B6AB5"/>
    <w:rsid w:val="008B6B93"/>
    <w:rsid w:val="008B79F8"/>
    <w:rsid w:val="008C1D83"/>
    <w:rsid w:val="008C1F5C"/>
    <w:rsid w:val="008C2250"/>
    <w:rsid w:val="008C37FF"/>
    <w:rsid w:val="008C453E"/>
    <w:rsid w:val="008C4FF7"/>
    <w:rsid w:val="008C5A8B"/>
    <w:rsid w:val="008C63BB"/>
    <w:rsid w:val="008C71CB"/>
    <w:rsid w:val="008C7AA4"/>
    <w:rsid w:val="008D3238"/>
    <w:rsid w:val="008D4C7A"/>
    <w:rsid w:val="008D7961"/>
    <w:rsid w:val="008E0282"/>
    <w:rsid w:val="008E0A5E"/>
    <w:rsid w:val="008E129B"/>
    <w:rsid w:val="008E179E"/>
    <w:rsid w:val="008E2D1D"/>
    <w:rsid w:val="008E4525"/>
    <w:rsid w:val="008E4B90"/>
    <w:rsid w:val="008E7806"/>
    <w:rsid w:val="008F0322"/>
    <w:rsid w:val="008F3B30"/>
    <w:rsid w:val="008F3E5B"/>
    <w:rsid w:val="008F444D"/>
    <w:rsid w:val="008F46CF"/>
    <w:rsid w:val="008F558B"/>
    <w:rsid w:val="008F77B7"/>
    <w:rsid w:val="0090094C"/>
    <w:rsid w:val="00901745"/>
    <w:rsid w:val="00901D81"/>
    <w:rsid w:val="00902E92"/>
    <w:rsid w:val="00905A5D"/>
    <w:rsid w:val="0090644A"/>
    <w:rsid w:val="0090685D"/>
    <w:rsid w:val="00906BB1"/>
    <w:rsid w:val="00907A5A"/>
    <w:rsid w:val="00907C73"/>
    <w:rsid w:val="0091017D"/>
    <w:rsid w:val="00910983"/>
    <w:rsid w:val="00911005"/>
    <w:rsid w:val="00912256"/>
    <w:rsid w:val="00912458"/>
    <w:rsid w:val="00914336"/>
    <w:rsid w:val="0091439A"/>
    <w:rsid w:val="00914506"/>
    <w:rsid w:val="00914630"/>
    <w:rsid w:val="00914B06"/>
    <w:rsid w:val="00916265"/>
    <w:rsid w:val="0091652D"/>
    <w:rsid w:val="009168D8"/>
    <w:rsid w:val="00916EC3"/>
    <w:rsid w:val="00917293"/>
    <w:rsid w:val="009207E8"/>
    <w:rsid w:val="009208BF"/>
    <w:rsid w:val="00920AA7"/>
    <w:rsid w:val="00922967"/>
    <w:rsid w:val="00922971"/>
    <w:rsid w:val="00922B4D"/>
    <w:rsid w:val="00924471"/>
    <w:rsid w:val="00926094"/>
    <w:rsid w:val="009261CD"/>
    <w:rsid w:val="0092669C"/>
    <w:rsid w:val="00927021"/>
    <w:rsid w:val="009271D7"/>
    <w:rsid w:val="0092740A"/>
    <w:rsid w:val="009309EA"/>
    <w:rsid w:val="00930F72"/>
    <w:rsid w:val="00931E68"/>
    <w:rsid w:val="00931F09"/>
    <w:rsid w:val="00934260"/>
    <w:rsid w:val="00934B6F"/>
    <w:rsid w:val="00934D1D"/>
    <w:rsid w:val="009360B1"/>
    <w:rsid w:val="00937600"/>
    <w:rsid w:val="009438DD"/>
    <w:rsid w:val="009439CC"/>
    <w:rsid w:val="00944240"/>
    <w:rsid w:val="00945292"/>
    <w:rsid w:val="009466D2"/>
    <w:rsid w:val="00947356"/>
    <w:rsid w:val="00947FD1"/>
    <w:rsid w:val="00950FEC"/>
    <w:rsid w:val="00951548"/>
    <w:rsid w:val="00954895"/>
    <w:rsid w:val="00954C23"/>
    <w:rsid w:val="00956B69"/>
    <w:rsid w:val="00957B8B"/>
    <w:rsid w:val="00960AD4"/>
    <w:rsid w:val="009619ED"/>
    <w:rsid w:val="00961B54"/>
    <w:rsid w:val="0096387C"/>
    <w:rsid w:val="009705ED"/>
    <w:rsid w:val="009707A0"/>
    <w:rsid w:val="00970C80"/>
    <w:rsid w:val="0097306E"/>
    <w:rsid w:val="009737DD"/>
    <w:rsid w:val="00974168"/>
    <w:rsid w:val="00974657"/>
    <w:rsid w:val="00974EC7"/>
    <w:rsid w:val="00975340"/>
    <w:rsid w:val="0097652A"/>
    <w:rsid w:val="00976D3D"/>
    <w:rsid w:val="009770A1"/>
    <w:rsid w:val="00977775"/>
    <w:rsid w:val="00980634"/>
    <w:rsid w:val="00980C30"/>
    <w:rsid w:val="00980F54"/>
    <w:rsid w:val="00982794"/>
    <w:rsid w:val="0098332A"/>
    <w:rsid w:val="00984584"/>
    <w:rsid w:val="0098493C"/>
    <w:rsid w:val="00986078"/>
    <w:rsid w:val="00987255"/>
    <w:rsid w:val="009874C9"/>
    <w:rsid w:val="00987852"/>
    <w:rsid w:val="00987B57"/>
    <w:rsid w:val="00991CE2"/>
    <w:rsid w:val="00992419"/>
    <w:rsid w:val="00992D2D"/>
    <w:rsid w:val="009930B0"/>
    <w:rsid w:val="00993B15"/>
    <w:rsid w:val="00993DC5"/>
    <w:rsid w:val="009947E4"/>
    <w:rsid w:val="009A02EC"/>
    <w:rsid w:val="009A0937"/>
    <w:rsid w:val="009A2179"/>
    <w:rsid w:val="009A297A"/>
    <w:rsid w:val="009A3906"/>
    <w:rsid w:val="009A3E8D"/>
    <w:rsid w:val="009A4D44"/>
    <w:rsid w:val="009A4E42"/>
    <w:rsid w:val="009A7C33"/>
    <w:rsid w:val="009B0D96"/>
    <w:rsid w:val="009B19DF"/>
    <w:rsid w:val="009B33D2"/>
    <w:rsid w:val="009B45C7"/>
    <w:rsid w:val="009B4E78"/>
    <w:rsid w:val="009B500F"/>
    <w:rsid w:val="009B5EC6"/>
    <w:rsid w:val="009B678A"/>
    <w:rsid w:val="009B708E"/>
    <w:rsid w:val="009B772B"/>
    <w:rsid w:val="009B7A41"/>
    <w:rsid w:val="009C0112"/>
    <w:rsid w:val="009C0A6E"/>
    <w:rsid w:val="009C0BF8"/>
    <w:rsid w:val="009C20B1"/>
    <w:rsid w:val="009C3131"/>
    <w:rsid w:val="009C4F09"/>
    <w:rsid w:val="009C52CA"/>
    <w:rsid w:val="009C5A59"/>
    <w:rsid w:val="009C5E0B"/>
    <w:rsid w:val="009C6A61"/>
    <w:rsid w:val="009C7B10"/>
    <w:rsid w:val="009D00A3"/>
    <w:rsid w:val="009D0A64"/>
    <w:rsid w:val="009D3CB9"/>
    <w:rsid w:val="009D44C2"/>
    <w:rsid w:val="009D4CD0"/>
    <w:rsid w:val="009D4CE0"/>
    <w:rsid w:val="009D5924"/>
    <w:rsid w:val="009E0730"/>
    <w:rsid w:val="009E0A63"/>
    <w:rsid w:val="009E2ADE"/>
    <w:rsid w:val="009E2EBA"/>
    <w:rsid w:val="009E3134"/>
    <w:rsid w:val="009E384D"/>
    <w:rsid w:val="009E46A8"/>
    <w:rsid w:val="009E5018"/>
    <w:rsid w:val="009E559D"/>
    <w:rsid w:val="009E5A1F"/>
    <w:rsid w:val="009E67F2"/>
    <w:rsid w:val="009E69EE"/>
    <w:rsid w:val="009E7177"/>
    <w:rsid w:val="009F03D9"/>
    <w:rsid w:val="009F0B73"/>
    <w:rsid w:val="009F18CF"/>
    <w:rsid w:val="009F2A5C"/>
    <w:rsid w:val="009F43A5"/>
    <w:rsid w:val="009F46D3"/>
    <w:rsid w:val="009F6301"/>
    <w:rsid w:val="009F6375"/>
    <w:rsid w:val="009F6E81"/>
    <w:rsid w:val="009F7404"/>
    <w:rsid w:val="00A0022E"/>
    <w:rsid w:val="00A01424"/>
    <w:rsid w:val="00A01A8C"/>
    <w:rsid w:val="00A0206F"/>
    <w:rsid w:val="00A0324F"/>
    <w:rsid w:val="00A04801"/>
    <w:rsid w:val="00A063BA"/>
    <w:rsid w:val="00A1113E"/>
    <w:rsid w:val="00A1226E"/>
    <w:rsid w:val="00A12692"/>
    <w:rsid w:val="00A126DC"/>
    <w:rsid w:val="00A12F0F"/>
    <w:rsid w:val="00A15E53"/>
    <w:rsid w:val="00A17C13"/>
    <w:rsid w:val="00A17F53"/>
    <w:rsid w:val="00A218ED"/>
    <w:rsid w:val="00A24813"/>
    <w:rsid w:val="00A24A3B"/>
    <w:rsid w:val="00A24BC8"/>
    <w:rsid w:val="00A24E3A"/>
    <w:rsid w:val="00A24EF1"/>
    <w:rsid w:val="00A26DB2"/>
    <w:rsid w:val="00A26F50"/>
    <w:rsid w:val="00A271C8"/>
    <w:rsid w:val="00A27279"/>
    <w:rsid w:val="00A2743F"/>
    <w:rsid w:val="00A2754E"/>
    <w:rsid w:val="00A313A6"/>
    <w:rsid w:val="00A31ADB"/>
    <w:rsid w:val="00A328CF"/>
    <w:rsid w:val="00A32F7F"/>
    <w:rsid w:val="00A334AD"/>
    <w:rsid w:val="00A33DFD"/>
    <w:rsid w:val="00A33E49"/>
    <w:rsid w:val="00A3416C"/>
    <w:rsid w:val="00A345E5"/>
    <w:rsid w:val="00A34C95"/>
    <w:rsid w:val="00A354DE"/>
    <w:rsid w:val="00A35DE2"/>
    <w:rsid w:val="00A37A73"/>
    <w:rsid w:val="00A40AAC"/>
    <w:rsid w:val="00A4140B"/>
    <w:rsid w:val="00A41C5E"/>
    <w:rsid w:val="00A42B12"/>
    <w:rsid w:val="00A438EF"/>
    <w:rsid w:val="00A45B39"/>
    <w:rsid w:val="00A45DED"/>
    <w:rsid w:val="00A47E7D"/>
    <w:rsid w:val="00A50D41"/>
    <w:rsid w:val="00A5307F"/>
    <w:rsid w:val="00A54A0C"/>
    <w:rsid w:val="00A54B5D"/>
    <w:rsid w:val="00A55623"/>
    <w:rsid w:val="00A55A5A"/>
    <w:rsid w:val="00A5663B"/>
    <w:rsid w:val="00A566E0"/>
    <w:rsid w:val="00A56788"/>
    <w:rsid w:val="00A60958"/>
    <w:rsid w:val="00A60D52"/>
    <w:rsid w:val="00A60EB7"/>
    <w:rsid w:val="00A61B52"/>
    <w:rsid w:val="00A61BA0"/>
    <w:rsid w:val="00A64959"/>
    <w:rsid w:val="00A65DDF"/>
    <w:rsid w:val="00A669B2"/>
    <w:rsid w:val="00A66CEE"/>
    <w:rsid w:val="00A6757A"/>
    <w:rsid w:val="00A6782E"/>
    <w:rsid w:val="00A67960"/>
    <w:rsid w:val="00A703B8"/>
    <w:rsid w:val="00A7169A"/>
    <w:rsid w:val="00A71B70"/>
    <w:rsid w:val="00A730AC"/>
    <w:rsid w:val="00A7337C"/>
    <w:rsid w:val="00A73DED"/>
    <w:rsid w:val="00A749D4"/>
    <w:rsid w:val="00A751A7"/>
    <w:rsid w:val="00A76B3F"/>
    <w:rsid w:val="00A77336"/>
    <w:rsid w:val="00A77E0C"/>
    <w:rsid w:val="00A80799"/>
    <w:rsid w:val="00A82231"/>
    <w:rsid w:val="00A82526"/>
    <w:rsid w:val="00A82814"/>
    <w:rsid w:val="00A8335F"/>
    <w:rsid w:val="00A83E9E"/>
    <w:rsid w:val="00A84273"/>
    <w:rsid w:val="00A84282"/>
    <w:rsid w:val="00A856C3"/>
    <w:rsid w:val="00A87072"/>
    <w:rsid w:val="00A87802"/>
    <w:rsid w:val="00A879E1"/>
    <w:rsid w:val="00A87E0D"/>
    <w:rsid w:val="00A900F7"/>
    <w:rsid w:val="00A913D4"/>
    <w:rsid w:val="00A91AC1"/>
    <w:rsid w:val="00A91DEE"/>
    <w:rsid w:val="00A92464"/>
    <w:rsid w:val="00A924E9"/>
    <w:rsid w:val="00A92598"/>
    <w:rsid w:val="00A92797"/>
    <w:rsid w:val="00A9292E"/>
    <w:rsid w:val="00A933DD"/>
    <w:rsid w:val="00A935BE"/>
    <w:rsid w:val="00A940EC"/>
    <w:rsid w:val="00A945EB"/>
    <w:rsid w:val="00A97A56"/>
    <w:rsid w:val="00AA05CD"/>
    <w:rsid w:val="00AA16F4"/>
    <w:rsid w:val="00AA247C"/>
    <w:rsid w:val="00AA582A"/>
    <w:rsid w:val="00AA5B08"/>
    <w:rsid w:val="00AA5D08"/>
    <w:rsid w:val="00AA650C"/>
    <w:rsid w:val="00AB1727"/>
    <w:rsid w:val="00AB1D82"/>
    <w:rsid w:val="00AB1FA7"/>
    <w:rsid w:val="00AB2D52"/>
    <w:rsid w:val="00AB3144"/>
    <w:rsid w:val="00AB7251"/>
    <w:rsid w:val="00AC00F6"/>
    <w:rsid w:val="00AC1589"/>
    <w:rsid w:val="00AC15D8"/>
    <w:rsid w:val="00AC216C"/>
    <w:rsid w:val="00AC2ED8"/>
    <w:rsid w:val="00AC3670"/>
    <w:rsid w:val="00AC51D5"/>
    <w:rsid w:val="00AC5727"/>
    <w:rsid w:val="00AC599B"/>
    <w:rsid w:val="00AC5F73"/>
    <w:rsid w:val="00AC7558"/>
    <w:rsid w:val="00AC778A"/>
    <w:rsid w:val="00AD1E61"/>
    <w:rsid w:val="00AD27C7"/>
    <w:rsid w:val="00AD4528"/>
    <w:rsid w:val="00AD4718"/>
    <w:rsid w:val="00AD5C24"/>
    <w:rsid w:val="00AD642B"/>
    <w:rsid w:val="00AD72F9"/>
    <w:rsid w:val="00AE0454"/>
    <w:rsid w:val="00AE0E75"/>
    <w:rsid w:val="00AE1CA2"/>
    <w:rsid w:val="00AE1D34"/>
    <w:rsid w:val="00AE2B72"/>
    <w:rsid w:val="00AE36AA"/>
    <w:rsid w:val="00AE4C23"/>
    <w:rsid w:val="00AE6994"/>
    <w:rsid w:val="00AE76C9"/>
    <w:rsid w:val="00AF04C1"/>
    <w:rsid w:val="00AF0828"/>
    <w:rsid w:val="00AF4F14"/>
    <w:rsid w:val="00AF660E"/>
    <w:rsid w:val="00AF6C2F"/>
    <w:rsid w:val="00B00861"/>
    <w:rsid w:val="00B00B7F"/>
    <w:rsid w:val="00B0161E"/>
    <w:rsid w:val="00B01B2A"/>
    <w:rsid w:val="00B0453F"/>
    <w:rsid w:val="00B051BC"/>
    <w:rsid w:val="00B06438"/>
    <w:rsid w:val="00B108C2"/>
    <w:rsid w:val="00B111A2"/>
    <w:rsid w:val="00B1190E"/>
    <w:rsid w:val="00B11BE0"/>
    <w:rsid w:val="00B12186"/>
    <w:rsid w:val="00B1247D"/>
    <w:rsid w:val="00B1376D"/>
    <w:rsid w:val="00B13E57"/>
    <w:rsid w:val="00B167AF"/>
    <w:rsid w:val="00B17102"/>
    <w:rsid w:val="00B175B8"/>
    <w:rsid w:val="00B17640"/>
    <w:rsid w:val="00B2053C"/>
    <w:rsid w:val="00B21635"/>
    <w:rsid w:val="00B21843"/>
    <w:rsid w:val="00B226B3"/>
    <w:rsid w:val="00B22F0E"/>
    <w:rsid w:val="00B22F7F"/>
    <w:rsid w:val="00B23005"/>
    <w:rsid w:val="00B231BB"/>
    <w:rsid w:val="00B247FF"/>
    <w:rsid w:val="00B25134"/>
    <w:rsid w:val="00B26006"/>
    <w:rsid w:val="00B32873"/>
    <w:rsid w:val="00B33482"/>
    <w:rsid w:val="00B34B30"/>
    <w:rsid w:val="00B34D11"/>
    <w:rsid w:val="00B35E2E"/>
    <w:rsid w:val="00B364B2"/>
    <w:rsid w:val="00B400C4"/>
    <w:rsid w:val="00B401B1"/>
    <w:rsid w:val="00B408D9"/>
    <w:rsid w:val="00B40EDB"/>
    <w:rsid w:val="00B436B9"/>
    <w:rsid w:val="00B437E8"/>
    <w:rsid w:val="00B43FCD"/>
    <w:rsid w:val="00B44399"/>
    <w:rsid w:val="00B444C8"/>
    <w:rsid w:val="00B4469C"/>
    <w:rsid w:val="00B4498C"/>
    <w:rsid w:val="00B44B1D"/>
    <w:rsid w:val="00B454A5"/>
    <w:rsid w:val="00B479A5"/>
    <w:rsid w:val="00B479E0"/>
    <w:rsid w:val="00B47BEE"/>
    <w:rsid w:val="00B47F78"/>
    <w:rsid w:val="00B50619"/>
    <w:rsid w:val="00B50EC2"/>
    <w:rsid w:val="00B5123D"/>
    <w:rsid w:val="00B513F5"/>
    <w:rsid w:val="00B5216F"/>
    <w:rsid w:val="00B523B5"/>
    <w:rsid w:val="00B52EC3"/>
    <w:rsid w:val="00B52EF5"/>
    <w:rsid w:val="00B53753"/>
    <w:rsid w:val="00B56727"/>
    <w:rsid w:val="00B567D0"/>
    <w:rsid w:val="00B5704E"/>
    <w:rsid w:val="00B571D2"/>
    <w:rsid w:val="00B57879"/>
    <w:rsid w:val="00B624B7"/>
    <w:rsid w:val="00B644CF"/>
    <w:rsid w:val="00B64574"/>
    <w:rsid w:val="00B64D79"/>
    <w:rsid w:val="00B66489"/>
    <w:rsid w:val="00B6686D"/>
    <w:rsid w:val="00B67454"/>
    <w:rsid w:val="00B6776D"/>
    <w:rsid w:val="00B706BF"/>
    <w:rsid w:val="00B70FCA"/>
    <w:rsid w:val="00B71387"/>
    <w:rsid w:val="00B770B2"/>
    <w:rsid w:val="00B771B8"/>
    <w:rsid w:val="00B7731C"/>
    <w:rsid w:val="00B77B18"/>
    <w:rsid w:val="00B80CE9"/>
    <w:rsid w:val="00B80D2B"/>
    <w:rsid w:val="00B811A9"/>
    <w:rsid w:val="00B83ACB"/>
    <w:rsid w:val="00B842A5"/>
    <w:rsid w:val="00B84C35"/>
    <w:rsid w:val="00B8591A"/>
    <w:rsid w:val="00B85D66"/>
    <w:rsid w:val="00B86F9E"/>
    <w:rsid w:val="00B902E8"/>
    <w:rsid w:val="00B9156B"/>
    <w:rsid w:val="00B91ADC"/>
    <w:rsid w:val="00B92607"/>
    <w:rsid w:val="00B92C02"/>
    <w:rsid w:val="00B93139"/>
    <w:rsid w:val="00B931A8"/>
    <w:rsid w:val="00B938A7"/>
    <w:rsid w:val="00B94F2F"/>
    <w:rsid w:val="00B9516C"/>
    <w:rsid w:val="00B9677E"/>
    <w:rsid w:val="00B973E3"/>
    <w:rsid w:val="00B97E60"/>
    <w:rsid w:val="00BA1008"/>
    <w:rsid w:val="00BA11F2"/>
    <w:rsid w:val="00BA25D6"/>
    <w:rsid w:val="00BA28C8"/>
    <w:rsid w:val="00BA3465"/>
    <w:rsid w:val="00BA36C7"/>
    <w:rsid w:val="00BA5C0C"/>
    <w:rsid w:val="00BA60D8"/>
    <w:rsid w:val="00BA71EF"/>
    <w:rsid w:val="00BB01BE"/>
    <w:rsid w:val="00BB0EB8"/>
    <w:rsid w:val="00BB6928"/>
    <w:rsid w:val="00BB6C64"/>
    <w:rsid w:val="00BB71C4"/>
    <w:rsid w:val="00BC1D15"/>
    <w:rsid w:val="00BC292A"/>
    <w:rsid w:val="00BC30F7"/>
    <w:rsid w:val="00BC3EDB"/>
    <w:rsid w:val="00BC496D"/>
    <w:rsid w:val="00BC4B59"/>
    <w:rsid w:val="00BC4C00"/>
    <w:rsid w:val="00BC4C14"/>
    <w:rsid w:val="00BC4C32"/>
    <w:rsid w:val="00BC5532"/>
    <w:rsid w:val="00BC5EAF"/>
    <w:rsid w:val="00BC6A62"/>
    <w:rsid w:val="00BC750D"/>
    <w:rsid w:val="00BC761D"/>
    <w:rsid w:val="00BD02DC"/>
    <w:rsid w:val="00BD2DEE"/>
    <w:rsid w:val="00BD30EB"/>
    <w:rsid w:val="00BD35A1"/>
    <w:rsid w:val="00BD37D0"/>
    <w:rsid w:val="00BD6249"/>
    <w:rsid w:val="00BD70C8"/>
    <w:rsid w:val="00BD714B"/>
    <w:rsid w:val="00BD75A0"/>
    <w:rsid w:val="00BD7FEC"/>
    <w:rsid w:val="00BE0386"/>
    <w:rsid w:val="00BE0B84"/>
    <w:rsid w:val="00BE0E15"/>
    <w:rsid w:val="00BE216E"/>
    <w:rsid w:val="00BE2483"/>
    <w:rsid w:val="00BE2522"/>
    <w:rsid w:val="00BE2D14"/>
    <w:rsid w:val="00BE2D36"/>
    <w:rsid w:val="00BE319C"/>
    <w:rsid w:val="00BE373F"/>
    <w:rsid w:val="00BE4958"/>
    <w:rsid w:val="00BE5E18"/>
    <w:rsid w:val="00BE61A1"/>
    <w:rsid w:val="00BE644F"/>
    <w:rsid w:val="00BF0063"/>
    <w:rsid w:val="00BF22A7"/>
    <w:rsid w:val="00BF273B"/>
    <w:rsid w:val="00BF4FBC"/>
    <w:rsid w:val="00BF53E1"/>
    <w:rsid w:val="00BF5EBC"/>
    <w:rsid w:val="00BF6E1D"/>
    <w:rsid w:val="00BF7122"/>
    <w:rsid w:val="00BF7FE9"/>
    <w:rsid w:val="00C00809"/>
    <w:rsid w:val="00C009F8"/>
    <w:rsid w:val="00C00B6F"/>
    <w:rsid w:val="00C01C10"/>
    <w:rsid w:val="00C01DC7"/>
    <w:rsid w:val="00C04A56"/>
    <w:rsid w:val="00C04AAC"/>
    <w:rsid w:val="00C05380"/>
    <w:rsid w:val="00C05663"/>
    <w:rsid w:val="00C06751"/>
    <w:rsid w:val="00C0742C"/>
    <w:rsid w:val="00C13586"/>
    <w:rsid w:val="00C153FC"/>
    <w:rsid w:val="00C163CB"/>
    <w:rsid w:val="00C16B20"/>
    <w:rsid w:val="00C1766B"/>
    <w:rsid w:val="00C17E63"/>
    <w:rsid w:val="00C213C8"/>
    <w:rsid w:val="00C237D8"/>
    <w:rsid w:val="00C24617"/>
    <w:rsid w:val="00C25196"/>
    <w:rsid w:val="00C2581E"/>
    <w:rsid w:val="00C25AC8"/>
    <w:rsid w:val="00C25F34"/>
    <w:rsid w:val="00C2669D"/>
    <w:rsid w:val="00C2673E"/>
    <w:rsid w:val="00C302D4"/>
    <w:rsid w:val="00C31288"/>
    <w:rsid w:val="00C31426"/>
    <w:rsid w:val="00C3152E"/>
    <w:rsid w:val="00C31AC3"/>
    <w:rsid w:val="00C31F52"/>
    <w:rsid w:val="00C334BA"/>
    <w:rsid w:val="00C338A4"/>
    <w:rsid w:val="00C33E2B"/>
    <w:rsid w:val="00C35802"/>
    <w:rsid w:val="00C36539"/>
    <w:rsid w:val="00C45077"/>
    <w:rsid w:val="00C458ED"/>
    <w:rsid w:val="00C5052F"/>
    <w:rsid w:val="00C50B84"/>
    <w:rsid w:val="00C5191F"/>
    <w:rsid w:val="00C51D6B"/>
    <w:rsid w:val="00C5282C"/>
    <w:rsid w:val="00C52A64"/>
    <w:rsid w:val="00C531B7"/>
    <w:rsid w:val="00C534AE"/>
    <w:rsid w:val="00C5385F"/>
    <w:rsid w:val="00C53F13"/>
    <w:rsid w:val="00C556D6"/>
    <w:rsid w:val="00C557CE"/>
    <w:rsid w:val="00C56B74"/>
    <w:rsid w:val="00C57D86"/>
    <w:rsid w:val="00C60621"/>
    <w:rsid w:val="00C61713"/>
    <w:rsid w:val="00C61CC1"/>
    <w:rsid w:val="00C64FC2"/>
    <w:rsid w:val="00C652A8"/>
    <w:rsid w:val="00C652F9"/>
    <w:rsid w:val="00C6572A"/>
    <w:rsid w:val="00C6604F"/>
    <w:rsid w:val="00C70632"/>
    <w:rsid w:val="00C71C34"/>
    <w:rsid w:val="00C71F87"/>
    <w:rsid w:val="00C73E42"/>
    <w:rsid w:val="00C743CC"/>
    <w:rsid w:val="00C7522E"/>
    <w:rsid w:val="00C76B81"/>
    <w:rsid w:val="00C76BF2"/>
    <w:rsid w:val="00C85A3F"/>
    <w:rsid w:val="00C86A39"/>
    <w:rsid w:val="00C92702"/>
    <w:rsid w:val="00C9429A"/>
    <w:rsid w:val="00C95AC3"/>
    <w:rsid w:val="00C962AE"/>
    <w:rsid w:val="00C96802"/>
    <w:rsid w:val="00C97C21"/>
    <w:rsid w:val="00CA0217"/>
    <w:rsid w:val="00CA0806"/>
    <w:rsid w:val="00CA08E9"/>
    <w:rsid w:val="00CA09F5"/>
    <w:rsid w:val="00CA1751"/>
    <w:rsid w:val="00CA3E07"/>
    <w:rsid w:val="00CA523C"/>
    <w:rsid w:val="00CA5D61"/>
    <w:rsid w:val="00CA658D"/>
    <w:rsid w:val="00CB0F68"/>
    <w:rsid w:val="00CB19E7"/>
    <w:rsid w:val="00CB29C5"/>
    <w:rsid w:val="00CB2D68"/>
    <w:rsid w:val="00CB3D02"/>
    <w:rsid w:val="00CB578E"/>
    <w:rsid w:val="00CB7FAD"/>
    <w:rsid w:val="00CC18E9"/>
    <w:rsid w:val="00CC22AE"/>
    <w:rsid w:val="00CC2D37"/>
    <w:rsid w:val="00CC531C"/>
    <w:rsid w:val="00CC5863"/>
    <w:rsid w:val="00CD3816"/>
    <w:rsid w:val="00CD390A"/>
    <w:rsid w:val="00CD3E93"/>
    <w:rsid w:val="00CD4DBB"/>
    <w:rsid w:val="00CD5172"/>
    <w:rsid w:val="00CD58A5"/>
    <w:rsid w:val="00CD66F9"/>
    <w:rsid w:val="00CD7E37"/>
    <w:rsid w:val="00CE2A00"/>
    <w:rsid w:val="00CE2C1D"/>
    <w:rsid w:val="00CE5801"/>
    <w:rsid w:val="00CE7D32"/>
    <w:rsid w:val="00CE7D45"/>
    <w:rsid w:val="00CE7DB5"/>
    <w:rsid w:val="00CF07A4"/>
    <w:rsid w:val="00CF0E58"/>
    <w:rsid w:val="00CF1A2C"/>
    <w:rsid w:val="00CF3CFC"/>
    <w:rsid w:val="00CF3D13"/>
    <w:rsid w:val="00CF50CE"/>
    <w:rsid w:val="00CF7944"/>
    <w:rsid w:val="00CF7F80"/>
    <w:rsid w:val="00D002A3"/>
    <w:rsid w:val="00D003D1"/>
    <w:rsid w:val="00D0162A"/>
    <w:rsid w:val="00D019E7"/>
    <w:rsid w:val="00D032A8"/>
    <w:rsid w:val="00D07438"/>
    <w:rsid w:val="00D07708"/>
    <w:rsid w:val="00D114E1"/>
    <w:rsid w:val="00D1298F"/>
    <w:rsid w:val="00D12D6E"/>
    <w:rsid w:val="00D13626"/>
    <w:rsid w:val="00D136D6"/>
    <w:rsid w:val="00D13AD2"/>
    <w:rsid w:val="00D13BC4"/>
    <w:rsid w:val="00D13C9C"/>
    <w:rsid w:val="00D14460"/>
    <w:rsid w:val="00D16167"/>
    <w:rsid w:val="00D16271"/>
    <w:rsid w:val="00D1659F"/>
    <w:rsid w:val="00D17D50"/>
    <w:rsid w:val="00D20A51"/>
    <w:rsid w:val="00D2271F"/>
    <w:rsid w:val="00D2346C"/>
    <w:rsid w:val="00D238FC"/>
    <w:rsid w:val="00D24C5E"/>
    <w:rsid w:val="00D2703F"/>
    <w:rsid w:val="00D3042D"/>
    <w:rsid w:val="00D30A3C"/>
    <w:rsid w:val="00D30A59"/>
    <w:rsid w:val="00D30F13"/>
    <w:rsid w:val="00D31D10"/>
    <w:rsid w:val="00D33D1A"/>
    <w:rsid w:val="00D34F3E"/>
    <w:rsid w:val="00D34FBA"/>
    <w:rsid w:val="00D36398"/>
    <w:rsid w:val="00D36EB2"/>
    <w:rsid w:val="00D37916"/>
    <w:rsid w:val="00D37A5F"/>
    <w:rsid w:val="00D4210F"/>
    <w:rsid w:val="00D424A4"/>
    <w:rsid w:val="00D42900"/>
    <w:rsid w:val="00D43179"/>
    <w:rsid w:val="00D436B6"/>
    <w:rsid w:val="00D453D9"/>
    <w:rsid w:val="00D4568A"/>
    <w:rsid w:val="00D471BB"/>
    <w:rsid w:val="00D50427"/>
    <w:rsid w:val="00D5058C"/>
    <w:rsid w:val="00D50A70"/>
    <w:rsid w:val="00D50CC1"/>
    <w:rsid w:val="00D513BB"/>
    <w:rsid w:val="00D5144C"/>
    <w:rsid w:val="00D516EF"/>
    <w:rsid w:val="00D52D96"/>
    <w:rsid w:val="00D53F91"/>
    <w:rsid w:val="00D540DF"/>
    <w:rsid w:val="00D547E8"/>
    <w:rsid w:val="00D55658"/>
    <w:rsid w:val="00D55ED9"/>
    <w:rsid w:val="00D56880"/>
    <w:rsid w:val="00D57DD9"/>
    <w:rsid w:val="00D604D8"/>
    <w:rsid w:val="00D60C4C"/>
    <w:rsid w:val="00D62D0F"/>
    <w:rsid w:val="00D63BC7"/>
    <w:rsid w:val="00D64CE3"/>
    <w:rsid w:val="00D65363"/>
    <w:rsid w:val="00D65775"/>
    <w:rsid w:val="00D67C15"/>
    <w:rsid w:val="00D72FF6"/>
    <w:rsid w:val="00D7408F"/>
    <w:rsid w:val="00D757FF"/>
    <w:rsid w:val="00D75B56"/>
    <w:rsid w:val="00D75B5D"/>
    <w:rsid w:val="00D75E7A"/>
    <w:rsid w:val="00D7683A"/>
    <w:rsid w:val="00D7687C"/>
    <w:rsid w:val="00D80661"/>
    <w:rsid w:val="00D80FB8"/>
    <w:rsid w:val="00D81275"/>
    <w:rsid w:val="00D81AF2"/>
    <w:rsid w:val="00D81C40"/>
    <w:rsid w:val="00D8200B"/>
    <w:rsid w:val="00D82125"/>
    <w:rsid w:val="00D8268B"/>
    <w:rsid w:val="00D82E85"/>
    <w:rsid w:val="00D83746"/>
    <w:rsid w:val="00D8399E"/>
    <w:rsid w:val="00D85DBF"/>
    <w:rsid w:val="00D85E82"/>
    <w:rsid w:val="00D86E8E"/>
    <w:rsid w:val="00D871BB"/>
    <w:rsid w:val="00D875B1"/>
    <w:rsid w:val="00D900DE"/>
    <w:rsid w:val="00D90231"/>
    <w:rsid w:val="00D905F1"/>
    <w:rsid w:val="00D91A15"/>
    <w:rsid w:val="00D9216C"/>
    <w:rsid w:val="00D92679"/>
    <w:rsid w:val="00D93183"/>
    <w:rsid w:val="00D93BB1"/>
    <w:rsid w:val="00D94716"/>
    <w:rsid w:val="00D95454"/>
    <w:rsid w:val="00D95DB5"/>
    <w:rsid w:val="00D9746E"/>
    <w:rsid w:val="00D979BF"/>
    <w:rsid w:val="00D97D3A"/>
    <w:rsid w:val="00D97EB8"/>
    <w:rsid w:val="00DA01C3"/>
    <w:rsid w:val="00DA0DEE"/>
    <w:rsid w:val="00DA43BB"/>
    <w:rsid w:val="00DA551F"/>
    <w:rsid w:val="00DA6CBA"/>
    <w:rsid w:val="00DA6F9C"/>
    <w:rsid w:val="00DA7257"/>
    <w:rsid w:val="00DB1619"/>
    <w:rsid w:val="00DB2E53"/>
    <w:rsid w:val="00DB49A1"/>
    <w:rsid w:val="00DB765E"/>
    <w:rsid w:val="00DC0748"/>
    <w:rsid w:val="00DC257D"/>
    <w:rsid w:val="00DC2CE2"/>
    <w:rsid w:val="00DC4097"/>
    <w:rsid w:val="00DC5781"/>
    <w:rsid w:val="00DD0102"/>
    <w:rsid w:val="00DD1560"/>
    <w:rsid w:val="00DD1663"/>
    <w:rsid w:val="00DD2C82"/>
    <w:rsid w:val="00DD49BD"/>
    <w:rsid w:val="00DD5EC3"/>
    <w:rsid w:val="00DD7489"/>
    <w:rsid w:val="00DD77E4"/>
    <w:rsid w:val="00DD78FE"/>
    <w:rsid w:val="00DE1D65"/>
    <w:rsid w:val="00DE362F"/>
    <w:rsid w:val="00DE4974"/>
    <w:rsid w:val="00DE5869"/>
    <w:rsid w:val="00DE5F13"/>
    <w:rsid w:val="00DF08FF"/>
    <w:rsid w:val="00DF22D4"/>
    <w:rsid w:val="00DF3B9B"/>
    <w:rsid w:val="00DF56AE"/>
    <w:rsid w:val="00DF6D09"/>
    <w:rsid w:val="00E0077D"/>
    <w:rsid w:val="00E034D2"/>
    <w:rsid w:val="00E03989"/>
    <w:rsid w:val="00E04382"/>
    <w:rsid w:val="00E04811"/>
    <w:rsid w:val="00E0490C"/>
    <w:rsid w:val="00E05D16"/>
    <w:rsid w:val="00E05FD3"/>
    <w:rsid w:val="00E0662A"/>
    <w:rsid w:val="00E1037D"/>
    <w:rsid w:val="00E1094D"/>
    <w:rsid w:val="00E11C57"/>
    <w:rsid w:val="00E121CC"/>
    <w:rsid w:val="00E125FC"/>
    <w:rsid w:val="00E1380B"/>
    <w:rsid w:val="00E13C0B"/>
    <w:rsid w:val="00E1411A"/>
    <w:rsid w:val="00E14275"/>
    <w:rsid w:val="00E14BAE"/>
    <w:rsid w:val="00E15604"/>
    <w:rsid w:val="00E15883"/>
    <w:rsid w:val="00E15CF7"/>
    <w:rsid w:val="00E17219"/>
    <w:rsid w:val="00E17416"/>
    <w:rsid w:val="00E20C46"/>
    <w:rsid w:val="00E21994"/>
    <w:rsid w:val="00E221CF"/>
    <w:rsid w:val="00E2224A"/>
    <w:rsid w:val="00E25045"/>
    <w:rsid w:val="00E263B8"/>
    <w:rsid w:val="00E26522"/>
    <w:rsid w:val="00E26A3A"/>
    <w:rsid w:val="00E26B85"/>
    <w:rsid w:val="00E3030F"/>
    <w:rsid w:val="00E30EB9"/>
    <w:rsid w:val="00E318F5"/>
    <w:rsid w:val="00E31E87"/>
    <w:rsid w:val="00E32C33"/>
    <w:rsid w:val="00E32CCD"/>
    <w:rsid w:val="00E330A3"/>
    <w:rsid w:val="00E348AD"/>
    <w:rsid w:val="00E358C6"/>
    <w:rsid w:val="00E35A0E"/>
    <w:rsid w:val="00E3740D"/>
    <w:rsid w:val="00E3753E"/>
    <w:rsid w:val="00E37986"/>
    <w:rsid w:val="00E37ECB"/>
    <w:rsid w:val="00E4047B"/>
    <w:rsid w:val="00E40C3A"/>
    <w:rsid w:val="00E40D5C"/>
    <w:rsid w:val="00E4380A"/>
    <w:rsid w:val="00E44874"/>
    <w:rsid w:val="00E44A7F"/>
    <w:rsid w:val="00E44B25"/>
    <w:rsid w:val="00E46187"/>
    <w:rsid w:val="00E472E1"/>
    <w:rsid w:val="00E47C5B"/>
    <w:rsid w:val="00E47D19"/>
    <w:rsid w:val="00E50049"/>
    <w:rsid w:val="00E50961"/>
    <w:rsid w:val="00E51516"/>
    <w:rsid w:val="00E5412B"/>
    <w:rsid w:val="00E545B3"/>
    <w:rsid w:val="00E54841"/>
    <w:rsid w:val="00E556D0"/>
    <w:rsid w:val="00E5611D"/>
    <w:rsid w:val="00E56247"/>
    <w:rsid w:val="00E56350"/>
    <w:rsid w:val="00E6022F"/>
    <w:rsid w:val="00E610C4"/>
    <w:rsid w:val="00E65467"/>
    <w:rsid w:val="00E65F38"/>
    <w:rsid w:val="00E66132"/>
    <w:rsid w:val="00E67BC6"/>
    <w:rsid w:val="00E716AA"/>
    <w:rsid w:val="00E72B5E"/>
    <w:rsid w:val="00E739ED"/>
    <w:rsid w:val="00E7468F"/>
    <w:rsid w:val="00E76227"/>
    <w:rsid w:val="00E76A25"/>
    <w:rsid w:val="00E8018C"/>
    <w:rsid w:val="00E80FE3"/>
    <w:rsid w:val="00E81706"/>
    <w:rsid w:val="00E81959"/>
    <w:rsid w:val="00E832D3"/>
    <w:rsid w:val="00E852B2"/>
    <w:rsid w:val="00E85C77"/>
    <w:rsid w:val="00E8601D"/>
    <w:rsid w:val="00E868E4"/>
    <w:rsid w:val="00E907A3"/>
    <w:rsid w:val="00E9377D"/>
    <w:rsid w:val="00E96ABA"/>
    <w:rsid w:val="00E97DA7"/>
    <w:rsid w:val="00E97F6B"/>
    <w:rsid w:val="00EA059E"/>
    <w:rsid w:val="00EA0831"/>
    <w:rsid w:val="00EA1C7A"/>
    <w:rsid w:val="00EA20DE"/>
    <w:rsid w:val="00EA283D"/>
    <w:rsid w:val="00EA2D30"/>
    <w:rsid w:val="00EA3BBE"/>
    <w:rsid w:val="00EA42A9"/>
    <w:rsid w:val="00EA67F4"/>
    <w:rsid w:val="00EA70E2"/>
    <w:rsid w:val="00EB1C3B"/>
    <w:rsid w:val="00EB1EE3"/>
    <w:rsid w:val="00EB2718"/>
    <w:rsid w:val="00EB331B"/>
    <w:rsid w:val="00EB3AB1"/>
    <w:rsid w:val="00EB585B"/>
    <w:rsid w:val="00EB6109"/>
    <w:rsid w:val="00EB78E3"/>
    <w:rsid w:val="00EB7E6D"/>
    <w:rsid w:val="00EB7E82"/>
    <w:rsid w:val="00EC1DC7"/>
    <w:rsid w:val="00EC2428"/>
    <w:rsid w:val="00EC2CD2"/>
    <w:rsid w:val="00EC3896"/>
    <w:rsid w:val="00EC3D67"/>
    <w:rsid w:val="00EC3DB3"/>
    <w:rsid w:val="00EC4C4E"/>
    <w:rsid w:val="00EC4F99"/>
    <w:rsid w:val="00EC52F7"/>
    <w:rsid w:val="00EC651E"/>
    <w:rsid w:val="00EC7D6B"/>
    <w:rsid w:val="00EC7DCF"/>
    <w:rsid w:val="00ED025C"/>
    <w:rsid w:val="00ED04FC"/>
    <w:rsid w:val="00ED11B7"/>
    <w:rsid w:val="00ED1A09"/>
    <w:rsid w:val="00ED241E"/>
    <w:rsid w:val="00ED2CFC"/>
    <w:rsid w:val="00ED31DC"/>
    <w:rsid w:val="00ED33A6"/>
    <w:rsid w:val="00ED3A4D"/>
    <w:rsid w:val="00ED57DC"/>
    <w:rsid w:val="00EE01F0"/>
    <w:rsid w:val="00EE15E8"/>
    <w:rsid w:val="00EE2AD9"/>
    <w:rsid w:val="00EE2B04"/>
    <w:rsid w:val="00EE2CDA"/>
    <w:rsid w:val="00EE36C5"/>
    <w:rsid w:val="00EE5443"/>
    <w:rsid w:val="00EE54C2"/>
    <w:rsid w:val="00EE5932"/>
    <w:rsid w:val="00EE667D"/>
    <w:rsid w:val="00EE7D6F"/>
    <w:rsid w:val="00EF0CD7"/>
    <w:rsid w:val="00EF0D5D"/>
    <w:rsid w:val="00EF104B"/>
    <w:rsid w:val="00EF107D"/>
    <w:rsid w:val="00EF13B3"/>
    <w:rsid w:val="00EF1725"/>
    <w:rsid w:val="00EF232A"/>
    <w:rsid w:val="00EF2DF1"/>
    <w:rsid w:val="00EF44A0"/>
    <w:rsid w:val="00EF5517"/>
    <w:rsid w:val="00EF6AE6"/>
    <w:rsid w:val="00EF6C81"/>
    <w:rsid w:val="00EF6D4D"/>
    <w:rsid w:val="00EF74E2"/>
    <w:rsid w:val="00EF7D0D"/>
    <w:rsid w:val="00F00097"/>
    <w:rsid w:val="00F00448"/>
    <w:rsid w:val="00F00C28"/>
    <w:rsid w:val="00F01B83"/>
    <w:rsid w:val="00F01BF2"/>
    <w:rsid w:val="00F02797"/>
    <w:rsid w:val="00F038E3"/>
    <w:rsid w:val="00F04592"/>
    <w:rsid w:val="00F04620"/>
    <w:rsid w:val="00F06B0A"/>
    <w:rsid w:val="00F0786B"/>
    <w:rsid w:val="00F07975"/>
    <w:rsid w:val="00F10312"/>
    <w:rsid w:val="00F10614"/>
    <w:rsid w:val="00F11009"/>
    <w:rsid w:val="00F11817"/>
    <w:rsid w:val="00F11EFA"/>
    <w:rsid w:val="00F122AB"/>
    <w:rsid w:val="00F12A38"/>
    <w:rsid w:val="00F12CDC"/>
    <w:rsid w:val="00F15C49"/>
    <w:rsid w:val="00F1646A"/>
    <w:rsid w:val="00F1740F"/>
    <w:rsid w:val="00F17BFC"/>
    <w:rsid w:val="00F215C4"/>
    <w:rsid w:val="00F22A61"/>
    <w:rsid w:val="00F24217"/>
    <w:rsid w:val="00F25F22"/>
    <w:rsid w:val="00F270AE"/>
    <w:rsid w:val="00F315E4"/>
    <w:rsid w:val="00F31E58"/>
    <w:rsid w:val="00F32059"/>
    <w:rsid w:val="00F323F4"/>
    <w:rsid w:val="00F32BF3"/>
    <w:rsid w:val="00F32D08"/>
    <w:rsid w:val="00F34F6E"/>
    <w:rsid w:val="00F35CDE"/>
    <w:rsid w:val="00F35D37"/>
    <w:rsid w:val="00F36464"/>
    <w:rsid w:val="00F40992"/>
    <w:rsid w:val="00F412E2"/>
    <w:rsid w:val="00F41CD8"/>
    <w:rsid w:val="00F41F6A"/>
    <w:rsid w:val="00F428E7"/>
    <w:rsid w:val="00F42F8E"/>
    <w:rsid w:val="00F435AA"/>
    <w:rsid w:val="00F4401E"/>
    <w:rsid w:val="00F45E15"/>
    <w:rsid w:val="00F45F3C"/>
    <w:rsid w:val="00F47B59"/>
    <w:rsid w:val="00F5003B"/>
    <w:rsid w:val="00F5199B"/>
    <w:rsid w:val="00F52C96"/>
    <w:rsid w:val="00F539AA"/>
    <w:rsid w:val="00F539F3"/>
    <w:rsid w:val="00F54A52"/>
    <w:rsid w:val="00F54F55"/>
    <w:rsid w:val="00F550C7"/>
    <w:rsid w:val="00F561F1"/>
    <w:rsid w:val="00F56D30"/>
    <w:rsid w:val="00F639C8"/>
    <w:rsid w:val="00F642B8"/>
    <w:rsid w:val="00F65B2C"/>
    <w:rsid w:val="00F6739E"/>
    <w:rsid w:val="00F6745F"/>
    <w:rsid w:val="00F67522"/>
    <w:rsid w:val="00F70025"/>
    <w:rsid w:val="00F72202"/>
    <w:rsid w:val="00F72D64"/>
    <w:rsid w:val="00F74A97"/>
    <w:rsid w:val="00F7518F"/>
    <w:rsid w:val="00F77A0E"/>
    <w:rsid w:val="00F810FE"/>
    <w:rsid w:val="00F82E91"/>
    <w:rsid w:val="00F83127"/>
    <w:rsid w:val="00F835A1"/>
    <w:rsid w:val="00F84666"/>
    <w:rsid w:val="00F866BD"/>
    <w:rsid w:val="00F90B01"/>
    <w:rsid w:val="00F91950"/>
    <w:rsid w:val="00F93BDA"/>
    <w:rsid w:val="00F93E14"/>
    <w:rsid w:val="00F94035"/>
    <w:rsid w:val="00F9519E"/>
    <w:rsid w:val="00F95AF2"/>
    <w:rsid w:val="00F97659"/>
    <w:rsid w:val="00FA0758"/>
    <w:rsid w:val="00FA0ADF"/>
    <w:rsid w:val="00FA0E23"/>
    <w:rsid w:val="00FA31A4"/>
    <w:rsid w:val="00FA3491"/>
    <w:rsid w:val="00FA4F30"/>
    <w:rsid w:val="00FA5A89"/>
    <w:rsid w:val="00FA5E0D"/>
    <w:rsid w:val="00FA7125"/>
    <w:rsid w:val="00FA7AC7"/>
    <w:rsid w:val="00FB032F"/>
    <w:rsid w:val="00FB0512"/>
    <w:rsid w:val="00FB06A0"/>
    <w:rsid w:val="00FB16D8"/>
    <w:rsid w:val="00FB1706"/>
    <w:rsid w:val="00FB171B"/>
    <w:rsid w:val="00FB2337"/>
    <w:rsid w:val="00FB270E"/>
    <w:rsid w:val="00FB371A"/>
    <w:rsid w:val="00FB431A"/>
    <w:rsid w:val="00FB5DDC"/>
    <w:rsid w:val="00FB7224"/>
    <w:rsid w:val="00FB7E87"/>
    <w:rsid w:val="00FC14B1"/>
    <w:rsid w:val="00FC2488"/>
    <w:rsid w:val="00FC2766"/>
    <w:rsid w:val="00FC3458"/>
    <w:rsid w:val="00FC3EAB"/>
    <w:rsid w:val="00FC4391"/>
    <w:rsid w:val="00FC478A"/>
    <w:rsid w:val="00FC5E91"/>
    <w:rsid w:val="00FC64E5"/>
    <w:rsid w:val="00FC66F7"/>
    <w:rsid w:val="00FC6A38"/>
    <w:rsid w:val="00FC7B33"/>
    <w:rsid w:val="00FD192C"/>
    <w:rsid w:val="00FD1D21"/>
    <w:rsid w:val="00FD3C6C"/>
    <w:rsid w:val="00FD4AAD"/>
    <w:rsid w:val="00FD4B5A"/>
    <w:rsid w:val="00FD4C53"/>
    <w:rsid w:val="00FD635A"/>
    <w:rsid w:val="00FD6BA1"/>
    <w:rsid w:val="00FE0505"/>
    <w:rsid w:val="00FE06D2"/>
    <w:rsid w:val="00FE1372"/>
    <w:rsid w:val="00FE1C87"/>
    <w:rsid w:val="00FE2EFF"/>
    <w:rsid w:val="00FE3FE0"/>
    <w:rsid w:val="00FE4180"/>
    <w:rsid w:val="00FE4AF2"/>
    <w:rsid w:val="00FE4B86"/>
    <w:rsid w:val="00FE5912"/>
    <w:rsid w:val="00FE6055"/>
    <w:rsid w:val="00FE6DDC"/>
    <w:rsid w:val="00FF0981"/>
    <w:rsid w:val="00FF0BAA"/>
    <w:rsid w:val="00FF1F46"/>
    <w:rsid w:val="00FF2C12"/>
    <w:rsid w:val="00FF41A4"/>
    <w:rsid w:val="00FF47BD"/>
    <w:rsid w:val="00FF48E3"/>
    <w:rsid w:val="00FF6A03"/>
    <w:rsid w:val="00FF7041"/>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CC9"/>
    <w:pPr>
      <w:spacing w:line="360" w:lineRule="auto"/>
    </w:pPr>
    <w:rPr>
      <w:rFonts w:ascii="CG Times" w:hAnsi="CG Times"/>
      <w:sz w:val="24"/>
    </w:rPr>
  </w:style>
  <w:style w:type="paragraph" w:styleId="Heading1">
    <w:name w:val="heading 1"/>
    <w:basedOn w:val="Normal"/>
    <w:next w:val="BodyText2"/>
    <w:qFormat/>
    <w:rsid w:val="00261CC9"/>
    <w:pPr>
      <w:keepLines/>
      <w:widowControl w:val="0"/>
      <w:numPr>
        <w:numId w:val="1"/>
      </w:numPr>
      <w:tabs>
        <w:tab w:val="clear" w:pos="0"/>
      </w:tabs>
      <w:spacing w:after="240" w:line="240" w:lineRule="auto"/>
      <w:jc w:val="center"/>
      <w:outlineLvl w:val="0"/>
    </w:pPr>
    <w:rPr>
      <w:rFonts w:ascii="Times New Roman" w:hAnsi="Times New Roman"/>
      <w:b/>
      <w:bCs/>
      <w:caps/>
      <w:szCs w:val="32"/>
      <w:u w:val="single"/>
    </w:rPr>
  </w:style>
  <w:style w:type="paragraph" w:styleId="Heading2">
    <w:name w:val="heading 2"/>
    <w:basedOn w:val="Normal"/>
    <w:next w:val="BodyText2"/>
    <w:qFormat/>
    <w:rsid w:val="00261CC9"/>
    <w:pPr>
      <w:widowControl w:val="0"/>
      <w:numPr>
        <w:ilvl w:val="1"/>
        <w:numId w:val="1"/>
      </w:numPr>
      <w:tabs>
        <w:tab w:val="clear" w:pos="0"/>
      </w:tabs>
      <w:spacing w:line="480" w:lineRule="auto"/>
      <w:jc w:val="both"/>
      <w:outlineLvl w:val="1"/>
    </w:pPr>
    <w:rPr>
      <w:rFonts w:ascii="Times New Roman" w:hAnsi="Times New Roman"/>
      <w:bCs/>
      <w:iCs/>
      <w:szCs w:val="28"/>
    </w:rPr>
  </w:style>
  <w:style w:type="paragraph" w:styleId="Heading3">
    <w:name w:val="heading 3"/>
    <w:basedOn w:val="Normal"/>
    <w:next w:val="BodyText2"/>
    <w:qFormat/>
    <w:rsid w:val="00261CC9"/>
    <w:pPr>
      <w:widowControl w:val="0"/>
      <w:numPr>
        <w:ilvl w:val="2"/>
        <w:numId w:val="1"/>
      </w:numPr>
      <w:tabs>
        <w:tab w:val="clear" w:pos="0"/>
      </w:tabs>
      <w:spacing w:line="480" w:lineRule="auto"/>
      <w:outlineLvl w:val="2"/>
    </w:pPr>
    <w:rPr>
      <w:rFonts w:ascii="Times New Roman" w:hAnsi="Times New Roman"/>
      <w:bCs/>
      <w:szCs w:val="26"/>
    </w:rPr>
  </w:style>
  <w:style w:type="paragraph" w:styleId="Heading4">
    <w:name w:val="heading 4"/>
    <w:basedOn w:val="Normal"/>
    <w:next w:val="BodyText2"/>
    <w:qFormat/>
    <w:rsid w:val="00261CC9"/>
    <w:pPr>
      <w:widowControl w:val="0"/>
      <w:numPr>
        <w:ilvl w:val="3"/>
        <w:numId w:val="1"/>
      </w:numPr>
      <w:spacing w:line="480" w:lineRule="auto"/>
      <w:outlineLvl w:val="3"/>
    </w:pPr>
    <w:rPr>
      <w:rFonts w:ascii="Times New Roman" w:hAnsi="Times New Roman"/>
      <w:bCs/>
      <w:szCs w:val="28"/>
    </w:rPr>
  </w:style>
  <w:style w:type="paragraph" w:styleId="Heading5">
    <w:name w:val="heading 5"/>
    <w:basedOn w:val="Normal"/>
    <w:next w:val="BodyText2"/>
    <w:qFormat/>
    <w:rsid w:val="00261CC9"/>
    <w:pPr>
      <w:widowControl w:val="0"/>
      <w:numPr>
        <w:ilvl w:val="4"/>
        <w:numId w:val="1"/>
      </w:numPr>
      <w:tabs>
        <w:tab w:val="clear" w:pos="0"/>
      </w:tabs>
      <w:spacing w:after="240" w:line="240" w:lineRule="auto"/>
      <w:outlineLvl w:val="4"/>
    </w:pPr>
    <w:rPr>
      <w:rFonts w:ascii="Times New Roman" w:hAnsi="Times New Roman"/>
      <w:bCs/>
      <w:iCs/>
      <w:szCs w:val="26"/>
    </w:rPr>
  </w:style>
  <w:style w:type="paragraph" w:styleId="Heading6">
    <w:name w:val="heading 6"/>
    <w:basedOn w:val="Normal"/>
    <w:next w:val="BodyText2"/>
    <w:qFormat/>
    <w:rsid w:val="00261CC9"/>
    <w:pPr>
      <w:widowControl w:val="0"/>
      <w:numPr>
        <w:ilvl w:val="5"/>
        <w:numId w:val="1"/>
      </w:numPr>
      <w:tabs>
        <w:tab w:val="clear" w:pos="0"/>
      </w:tabs>
      <w:spacing w:after="240" w:line="240" w:lineRule="auto"/>
      <w:outlineLvl w:val="5"/>
    </w:pPr>
    <w:rPr>
      <w:rFonts w:ascii="Times New Roman" w:hAnsi="Times New Roman"/>
      <w:bCs/>
      <w:szCs w:val="22"/>
    </w:rPr>
  </w:style>
  <w:style w:type="paragraph" w:styleId="Heading7">
    <w:name w:val="heading 7"/>
    <w:basedOn w:val="Normal"/>
    <w:next w:val="BodyText2"/>
    <w:qFormat/>
    <w:rsid w:val="00261CC9"/>
    <w:pPr>
      <w:widowControl w:val="0"/>
      <w:numPr>
        <w:ilvl w:val="6"/>
        <w:numId w:val="1"/>
      </w:numPr>
      <w:tabs>
        <w:tab w:val="clear" w:pos="0"/>
      </w:tabs>
      <w:spacing w:after="240" w:line="240" w:lineRule="auto"/>
      <w:outlineLvl w:val="6"/>
    </w:pPr>
    <w:rPr>
      <w:rFonts w:ascii="Times New Roman" w:hAnsi="Times New Roman"/>
      <w:szCs w:val="24"/>
    </w:rPr>
  </w:style>
  <w:style w:type="paragraph" w:styleId="Heading8">
    <w:name w:val="heading 8"/>
    <w:basedOn w:val="Normal"/>
    <w:next w:val="BodyText2"/>
    <w:qFormat/>
    <w:rsid w:val="00261CC9"/>
    <w:pPr>
      <w:widowControl w:val="0"/>
      <w:numPr>
        <w:ilvl w:val="7"/>
        <w:numId w:val="1"/>
      </w:numPr>
      <w:tabs>
        <w:tab w:val="clear" w:pos="0"/>
      </w:tabs>
      <w:spacing w:after="240" w:line="240" w:lineRule="auto"/>
      <w:outlineLvl w:val="7"/>
    </w:pPr>
    <w:rPr>
      <w:rFonts w:ascii="Times New Roman" w:hAnsi="Times New Roman"/>
      <w:iCs/>
      <w:szCs w:val="24"/>
    </w:rPr>
  </w:style>
  <w:style w:type="paragraph" w:styleId="Heading9">
    <w:name w:val="heading 9"/>
    <w:basedOn w:val="Normal"/>
    <w:next w:val="BodyText2"/>
    <w:qFormat/>
    <w:rsid w:val="00261CC9"/>
    <w:pPr>
      <w:widowControl w:val="0"/>
      <w:numPr>
        <w:ilvl w:val="8"/>
        <w:numId w:val="1"/>
      </w:numPr>
      <w:tabs>
        <w:tab w:val="clear" w:pos="0"/>
      </w:tabs>
      <w:spacing w:after="240" w:line="240" w:lineRule="auto"/>
      <w:outlineLvl w:val="8"/>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1CC9"/>
    <w:pPr>
      <w:spacing w:line="240" w:lineRule="auto"/>
      <w:jc w:val="center"/>
    </w:pPr>
    <w:rPr>
      <w:b/>
    </w:rPr>
  </w:style>
  <w:style w:type="paragraph" w:styleId="Subtitle">
    <w:name w:val="Subtitle"/>
    <w:basedOn w:val="Normal"/>
    <w:qFormat/>
    <w:rsid w:val="00261CC9"/>
    <w:pPr>
      <w:spacing w:line="240" w:lineRule="auto"/>
      <w:jc w:val="center"/>
    </w:pPr>
    <w:rPr>
      <w:b/>
    </w:rPr>
  </w:style>
  <w:style w:type="paragraph" w:styleId="BodyText2">
    <w:name w:val="Body Text 2"/>
    <w:basedOn w:val="Normal"/>
    <w:rsid w:val="00261CC9"/>
    <w:pPr>
      <w:spacing w:after="120" w:line="480" w:lineRule="auto"/>
    </w:pPr>
  </w:style>
  <w:style w:type="paragraph" w:styleId="Footer">
    <w:name w:val="footer"/>
    <w:basedOn w:val="Normal"/>
    <w:link w:val="FooterChar"/>
    <w:uiPriority w:val="99"/>
    <w:rsid w:val="00386E2F"/>
    <w:pPr>
      <w:tabs>
        <w:tab w:val="center" w:pos="4320"/>
        <w:tab w:val="right" w:pos="8640"/>
      </w:tabs>
    </w:pPr>
  </w:style>
  <w:style w:type="character" w:styleId="PageNumber">
    <w:name w:val="page number"/>
    <w:basedOn w:val="DefaultParagraphFont"/>
    <w:rsid w:val="00386E2F"/>
  </w:style>
  <w:style w:type="paragraph" w:styleId="ListBullet5">
    <w:name w:val="List Bullet 5"/>
    <w:aliases w:val="b5"/>
    <w:basedOn w:val="Normal"/>
    <w:semiHidden/>
    <w:rsid w:val="00B21843"/>
    <w:pPr>
      <w:numPr>
        <w:numId w:val="2"/>
      </w:numPr>
      <w:spacing w:after="240" w:line="240" w:lineRule="auto"/>
      <w:jc w:val="both"/>
    </w:pPr>
    <w:rPr>
      <w:rFonts w:ascii="Times New Roman" w:hAnsi="Times New Roman"/>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3"/>
    <w:qFormat/>
    <w:rsid w:val="00B21843"/>
    <w:pPr>
      <w:spacing w:line="240" w:lineRule="auto"/>
      <w:ind w:firstLine="720"/>
    </w:pPr>
    <w:rPr>
      <w:rFonts w:ascii="Times New Roman" w:hAnsi="Times New Roman"/>
    </w:rPr>
  </w:style>
  <w:style w:type="table" w:styleId="TableGrid">
    <w:name w:val="Table Grid"/>
    <w:basedOn w:val="TableNormal"/>
    <w:uiPriority w:val="59"/>
    <w:rsid w:val="00B2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
    <w:basedOn w:val="DefaultParagraphFont"/>
    <w:rsid w:val="00B21843"/>
    <w:rPr>
      <w:vertAlign w:val="superscript"/>
    </w:rPr>
  </w:style>
  <w:style w:type="paragraph" w:styleId="BodyText">
    <w:name w:val="Body Text"/>
    <w:basedOn w:val="Normal"/>
    <w:link w:val="BodyTextChar"/>
    <w:rsid w:val="00930F72"/>
    <w:pPr>
      <w:spacing w:after="120"/>
    </w:pPr>
  </w:style>
  <w:style w:type="character" w:customStyle="1" w:styleId="BodyTextChar">
    <w:name w:val="Body Text Char"/>
    <w:basedOn w:val="DefaultParagraphFont"/>
    <w:link w:val="BodyText"/>
    <w:rsid w:val="00930F72"/>
    <w:rPr>
      <w:rFonts w:ascii="CG Times" w:hAnsi="CG Times"/>
      <w:sz w:val="24"/>
    </w:rPr>
  </w:style>
  <w:style w:type="paragraph" w:customStyle="1" w:styleId="Blockquote">
    <w:name w:val="Blockquote"/>
    <w:basedOn w:val="Normal"/>
    <w:rsid w:val="0035120D"/>
    <w:pPr>
      <w:spacing w:before="100" w:after="100" w:line="240" w:lineRule="auto"/>
      <w:ind w:left="360" w:right="360"/>
    </w:pPr>
    <w:rPr>
      <w:rFonts w:ascii="Times New Roman" w:hAnsi="Times New Roman"/>
      <w:snapToGrid w:val="0"/>
    </w:rPr>
  </w:style>
  <w:style w:type="paragraph" w:customStyle="1" w:styleId="Pleading1L1">
    <w:name w:val="Pleading1_L1"/>
    <w:basedOn w:val="Normal"/>
    <w:next w:val="BodyText"/>
    <w:rsid w:val="0035120D"/>
    <w:pPr>
      <w:numPr>
        <w:numId w:val="3"/>
      </w:numPr>
      <w:spacing w:after="240" w:line="240" w:lineRule="auto"/>
      <w:jc w:val="center"/>
      <w:outlineLvl w:val="0"/>
    </w:pPr>
    <w:rPr>
      <w:rFonts w:ascii="Times New Roman" w:hAnsi="Times New Roman"/>
      <w:b/>
      <w:caps/>
    </w:rPr>
  </w:style>
  <w:style w:type="paragraph" w:customStyle="1" w:styleId="Pleading1L2">
    <w:name w:val="Pleading1_L2"/>
    <w:basedOn w:val="Pleading1L1"/>
    <w:next w:val="BodyText"/>
    <w:rsid w:val="0035120D"/>
    <w:pPr>
      <w:numPr>
        <w:ilvl w:val="1"/>
      </w:numPr>
      <w:jc w:val="left"/>
      <w:outlineLvl w:val="1"/>
    </w:pPr>
    <w:rPr>
      <w:caps w:val="0"/>
    </w:rPr>
  </w:style>
  <w:style w:type="paragraph" w:customStyle="1" w:styleId="Pleading1L3">
    <w:name w:val="Pleading1_L3"/>
    <w:basedOn w:val="Pleading1L2"/>
    <w:next w:val="BodyText"/>
    <w:rsid w:val="0035120D"/>
    <w:pPr>
      <w:numPr>
        <w:ilvl w:val="2"/>
      </w:numPr>
      <w:outlineLvl w:val="2"/>
    </w:pPr>
  </w:style>
  <w:style w:type="paragraph" w:customStyle="1" w:styleId="Pleading1L4">
    <w:name w:val="Pleading1_L4"/>
    <w:basedOn w:val="Pleading1L3"/>
    <w:rsid w:val="0035120D"/>
    <w:pPr>
      <w:numPr>
        <w:ilvl w:val="3"/>
      </w:numPr>
      <w:outlineLvl w:val="3"/>
    </w:pPr>
  </w:style>
  <w:style w:type="paragraph" w:customStyle="1" w:styleId="Pleading1L5">
    <w:name w:val="Pleading1_L5"/>
    <w:basedOn w:val="Pleading1L4"/>
    <w:rsid w:val="0035120D"/>
    <w:pPr>
      <w:keepNext/>
      <w:keepLines/>
      <w:widowControl w:val="0"/>
      <w:numPr>
        <w:ilvl w:val="4"/>
      </w:numPr>
      <w:outlineLvl w:val="4"/>
    </w:pPr>
    <w:rPr>
      <w:b w:val="0"/>
    </w:rPr>
  </w:style>
  <w:style w:type="paragraph" w:customStyle="1" w:styleId="Pleading1L6">
    <w:name w:val="Pleading1_L6"/>
    <w:basedOn w:val="Pleading1L5"/>
    <w:rsid w:val="0035120D"/>
    <w:pPr>
      <w:numPr>
        <w:ilvl w:val="5"/>
      </w:numPr>
      <w:outlineLvl w:val="5"/>
    </w:pPr>
  </w:style>
  <w:style w:type="paragraph" w:customStyle="1" w:styleId="Pleading1L7">
    <w:name w:val="Pleading1_L7"/>
    <w:basedOn w:val="Pleading1L6"/>
    <w:rsid w:val="0035120D"/>
    <w:pPr>
      <w:numPr>
        <w:ilvl w:val="6"/>
      </w:numPr>
      <w:outlineLvl w:val="6"/>
    </w:pPr>
  </w:style>
  <w:style w:type="paragraph" w:customStyle="1" w:styleId="Pleading1L8">
    <w:name w:val="Pleading1_L8"/>
    <w:basedOn w:val="Pleading1L7"/>
    <w:rsid w:val="0035120D"/>
    <w:pPr>
      <w:numPr>
        <w:ilvl w:val="7"/>
      </w:numPr>
      <w:outlineLvl w:val="7"/>
    </w:pPr>
  </w:style>
  <w:style w:type="paragraph" w:customStyle="1" w:styleId="Pleading1L9">
    <w:name w:val="Pleading1_L9"/>
    <w:basedOn w:val="Pleading1L8"/>
    <w:rsid w:val="0035120D"/>
    <w:pPr>
      <w:numPr>
        <w:ilvl w:val="8"/>
      </w:numPr>
      <w:outlineLvl w:val="8"/>
    </w:pPr>
  </w:style>
  <w:style w:type="paragraph" w:styleId="PlainText">
    <w:name w:val="Plain Text"/>
    <w:basedOn w:val="Normal"/>
    <w:link w:val="PlainTextChar"/>
    <w:rsid w:val="0035120D"/>
    <w:pPr>
      <w:ind w:firstLine="1440"/>
    </w:pPr>
    <w:rPr>
      <w:rFonts w:ascii="Times New Roman" w:hAnsi="Times New Roman"/>
      <w:sz w:val="26"/>
    </w:rPr>
  </w:style>
  <w:style w:type="character" w:customStyle="1" w:styleId="PlainTextChar">
    <w:name w:val="Plain Text Char"/>
    <w:basedOn w:val="DefaultParagraphFont"/>
    <w:link w:val="PlainText"/>
    <w:rsid w:val="0035120D"/>
    <w:rPr>
      <w:sz w:val="26"/>
    </w:rPr>
  </w:style>
  <w:style w:type="paragraph" w:customStyle="1" w:styleId="Document1">
    <w:name w:val="Document 1"/>
    <w:rsid w:val="0035120D"/>
    <w:pPr>
      <w:keepNext/>
      <w:keepLines/>
      <w:tabs>
        <w:tab w:val="left" w:pos="-720"/>
      </w:tabs>
      <w:suppressAutoHyphens/>
    </w:pPr>
    <w:rPr>
      <w:rFonts w:ascii="CG Times" w:hAnsi="CG Times"/>
      <w:sz w:val="26"/>
    </w:rPr>
  </w:style>
  <w:style w:type="paragraph" w:styleId="BlockText">
    <w:name w:val="Block Text"/>
    <w:basedOn w:val="Normal"/>
    <w:rsid w:val="0035120D"/>
    <w:pPr>
      <w:tabs>
        <w:tab w:val="left" w:pos="-720"/>
        <w:tab w:val="left" w:pos="0"/>
        <w:tab w:val="left" w:pos="720"/>
      </w:tabs>
      <w:suppressAutoHyphens/>
      <w:spacing w:line="240" w:lineRule="auto"/>
      <w:ind w:left="1440" w:right="1440" w:hanging="1440"/>
    </w:pPr>
    <w:rPr>
      <w:rFonts w:ascii="Times New Roman" w:hAnsi="Times New Roman"/>
    </w:rPr>
  </w:style>
  <w:style w:type="paragraph" w:customStyle="1" w:styleId="BodyTextContinued">
    <w:name w:val="Body Text Continued"/>
    <w:basedOn w:val="BodyText"/>
    <w:next w:val="BodyText"/>
    <w:rsid w:val="0035120D"/>
    <w:pPr>
      <w:spacing w:after="0" w:line="480" w:lineRule="auto"/>
    </w:pPr>
    <w:rPr>
      <w:rFonts w:ascii="Times New Roman" w:hAnsi="Times New Roman"/>
    </w:rPr>
  </w:style>
  <w:style w:type="paragraph" w:styleId="Quote">
    <w:name w:val="Quote"/>
    <w:basedOn w:val="BodyText"/>
    <w:next w:val="BodyText"/>
    <w:link w:val="QuoteChar"/>
    <w:qFormat/>
    <w:rsid w:val="0035120D"/>
    <w:pPr>
      <w:spacing w:after="240" w:line="240" w:lineRule="auto"/>
      <w:ind w:left="2160" w:right="1440" w:hanging="720"/>
    </w:pPr>
    <w:rPr>
      <w:rFonts w:ascii="Times New Roman" w:hAnsi="Times New Roman"/>
    </w:rPr>
  </w:style>
  <w:style w:type="character" w:customStyle="1" w:styleId="QuoteChar">
    <w:name w:val="Quote Char"/>
    <w:basedOn w:val="DefaultParagraphFont"/>
    <w:link w:val="Quote"/>
    <w:rsid w:val="0035120D"/>
    <w:rPr>
      <w:sz w:val="24"/>
    </w:rPr>
  </w:style>
  <w:style w:type="paragraph" w:customStyle="1" w:styleId="quote2">
    <w:name w:val="quote 2"/>
    <w:basedOn w:val="Quote"/>
    <w:rsid w:val="0035120D"/>
    <w:pPr>
      <w:ind w:left="1440" w:firstLine="0"/>
    </w:pPr>
  </w:style>
  <w:style w:type="paragraph" w:styleId="BodyText3">
    <w:name w:val="Body Text 3"/>
    <w:basedOn w:val="Normal"/>
    <w:link w:val="BodyText3Char"/>
    <w:rsid w:val="0035120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35120D"/>
    <w:rPr>
      <w:sz w:val="16"/>
      <w:szCs w:val="16"/>
    </w:rPr>
  </w:style>
  <w:style w:type="paragraph" w:styleId="TOC1">
    <w:name w:val="toc 1"/>
    <w:basedOn w:val="Normal"/>
    <w:next w:val="Normal"/>
    <w:autoRedefine/>
    <w:rsid w:val="0035120D"/>
    <w:pPr>
      <w:tabs>
        <w:tab w:val="left" w:pos="720"/>
        <w:tab w:val="right" w:leader="dot" w:pos="9350"/>
      </w:tabs>
      <w:spacing w:line="240" w:lineRule="auto"/>
      <w:jc w:val="center"/>
    </w:pPr>
    <w:rPr>
      <w:rFonts w:ascii="Times New Roman" w:hAnsi="Times New Roman"/>
    </w:rPr>
  </w:style>
  <w:style w:type="paragraph" w:styleId="TOC2">
    <w:name w:val="toc 2"/>
    <w:basedOn w:val="Normal"/>
    <w:next w:val="Normal"/>
    <w:autoRedefine/>
    <w:rsid w:val="0035120D"/>
    <w:pPr>
      <w:tabs>
        <w:tab w:val="left" w:pos="1440"/>
        <w:tab w:val="right" w:leader="dot" w:pos="9350"/>
      </w:tabs>
      <w:spacing w:line="240" w:lineRule="auto"/>
      <w:ind w:left="720"/>
    </w:pPr>
    <w:rPr>
      <w:rFonts w:ascii="Times New Roman" w:hAnsi="Times New Roman"/>
    </w:rPr>
  </w:style>
  <w:style w:type="paragraph" w:styleId="TOC3">
    <w:name w:val="toc 3"/>
    <w:basedOn w:val="Normal"/>
    <w:next w:val="Normal"/>
    <w:autoRedefine/>
    <w:rsid w:val="0035120D"/>
    <w:pPr>
      <w:tabs>
        <w:tab w:val="left" w:pos="2160"/>
        <w:tab w:val="right" w:leader="dot" w:pos="9350"/>
      </w:tabs>
      <w:spacing w:line="240" w:lineRule="auto"/>
      <w:ind w:left="1440"/>
    </w:pPr>
    <w:rPr>
      <w:rFonts w:ascii="Times New Roman" w:hAnsi="Times New Roman"/>
    </w:rPr>
  </w:style>
  <w:style w:type="character" w:styleId="Hyperlink">
    <w:name w:val="Hyperlink"/>
    <w:basedOn w:val="DefaultParagraphFont"/>
    <w:rsid w:val="0035120D"/>
    <w:rPr>
      <w:color w:val="0000FF"/>
      <w:u w:val="single"/>
    </w:rPr>
  </w:style>
  <w:style w:type="character" w:customStyle="1" w:styleId="Heading3Char">
    <w:name w:val="Heading 3 Char"/>
    <w:basedOn w:val="DefaultParagraphFont"/>
    <w:rsid w:val="0035120D"/>
    <w:rPr>
      <w:rFonts w:ascii="Arial" w:hAnsi="Arial" w:cs="Arial"/>
      <w:b/>
      <w:bCs/>
      <w:sz w:val="26"/>
      <w:szCs w:val="26"/>
      <w:lang w:val="en-US" w:eastAsia="en-US" w:bidi="ar-SA"/>
    </w:rPr>
  </w:style>
  <w:style w:type="character" w:customStyle="1" w:styleId="Heading2Char">
    <w:name w:val="Heading 2 Char"/>
    <w:basedOn w:val="DefaultParagraphFont"/>
    <w:rsid w:val="0035120D"/>
    <w:rPr>
      <w:rFonts w:ascii="Arial" w:hAnsi="Arial" w:cs="Arial"/>
      <w:b/>
      <w:bCs/>
      <w:i/>
      <w:iCs/>
      <w:sz w:val="28"/>
      <w:szCs w:val="28"/>
      <w:lang w:val="en-US" w:eastAsia="en-US" w:bidi="ar-SA"/>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rsid w:val="0035120D"/>
    <w:rPr>
      <w:lang w:val="en-US" w:eastAsia="en-US" w:bidi="ar-SA"/>
    </w:rPr>
  </w:style>
  <w:style w:type="character" w:styleId="FollowedHyperlink">
    <w:name w:val="FollowedHyperlink"/>
    <w:basedOn w:val="DefaultParagraphFont"/>
    <w:rsid w:val="0035120D"/>
    <w:rPr>
      <w:color w:val="800080"/>
      <w:u w:val="single"/>
    </w:rPr>
  </w:style>
  <w:style w:type="character" w:customStyle="1" w:styleId="FootnoteTextChar2">
    <w:name w:val="Footnote Text Char2"/>
    <w:aliases w:val="Footnote Text Char1 Char1,Footnote Text Char Char Char1,Footnote Text Char1 Char Char Char1,Footnote Text Char Char Char Char Char1,Footnote Text Char1 Char Char Char Char Char1,Footnote Text Char Char Char Char Char Char Char1"/>
    <w:basedOn w:val="DefaultParagraphFont"/>
    <w:rsid w:val="0035120D"/>
    <w:rPr>
      <w:lang w:val="en-US" w:eastAsia="en-US" w:bidi="ar-SA"/>
    </w:rPr>
  </w:style>
  <w:style w:type="character" w:customStyle="1" w:styleId="FootnoteTextCharChar2">
    <w:name w:val="Footnote Text Char Char2"/>
    <w:aliases w:val="Footnote Text Char1 Char Char1,Footnote Text Char Char Char Char1,Footnote Text Char1 Char1 Char Char"/>
    <w:basedOn w:val="DefaultParagraphFont"/>
    <w:rsid w:val="0035120D"/>
    <w:rPr>
      <w:sz w:val="24"/>
      <w:szCs w:val="24"/>
      <w:lang w:val="en-US" w:eastAsia="en-US" w:bidi="ar-SA"/>
    </w:rPr>
  </w:style>
  <w:style w:type="paragraph" w:customStyle="1" w:styleId="QuickFormat1">
    <w:name w:val="QuickFormat1"/>
    <w:rsid w:val="0035120D"/>
    <w:pPr>
      <w:widowControl w:val="0"/>
      <w:autoSpaceDE w:val="0"/>
      <w:autoSpaceDN w:val="0"/>
      <w:adjustRightInd w:val="0"/>
    </w:pPr>
    <w:rPr>
      <w:sz w:val="24"/>
      <w:szCs w:val="24"/>
    </w:rPr>
  </w:style>
  <w:style w:type="paragraph" w:customStyle="1" w:styleId="Style0">
    <w:name w:val="Style0"/>
    <w:rsid w:val="0035120D"/>
    <w:pPr>
      <w:autoSpaceDE w:val="0"/>
      <w:autoSpaceDN w:val="0"/>
      <w:adjustRightInd w:val="0"/>
    </w:pPr>
    <w:rPr>
      <w:rFonts w:ascii="Arial" w:hAnsi="Arial"/>
      <w:sz w:val="24"/>
      <w:szCs w:val="24"/>
    </w:rPr>
  </w:style>
  <w:style w:type="character" w:customStyle="1" w:styleId="FootnoteRef">
    <w:name w:val="Footnote Ref"/>
    <w:rsid w:val="0035120D"/>
    <w:rPr>
      <w:rFonts w:ascii="Times New Roman" w:hAnsi="Times New Roman"/>
      <w:sz w:val="20"/>
      <w:szCs w:val="20"/>
      <w:vertAlign w:val="superscript"/>
    </w:rPr>
  </w:style>
  <w:style w:type="character" w:customStyle="1" w:styleId="term1">
    <w:name w:val="term1"/>
    <w:basedOn w:val="DefaultParagraphFont"/>
    <w:rsid w:val="0035120D"/>
    <w:rPr>
      <w:b/>
      <w:bCs/>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link w:val="FootnoteText"/>
    <w:semiHidden/>
    <w:rsid w:val="0035120D"/>
    <w:rPr>
      <w:sz w:val="24"/>
    </w:rPr>
  </w:style>
  <w:style w:type="character" w:styleId="CommentReference">
    <w:name w:val="annotation reference"/>
    <w:basedOn w:val="DefaultParagraphFont"/>
    <w:rsid w:val="0035120D"/>
    <w:rPr>
      <w:sz w:val="16"/>
      <w:szCs w:val="16"/>
    </w:rPr>
  </w:style>
  <w:style w:type="paragraph" w:styleId="ListNumber">
    <w:name w:val="List Number"/>
    <w:basedOn w:val="Normal"/>
    <w:rsid w:val="0035120D"/>
    <w:pPr>
      <w:numPr>
        <w:numId w:val="4"/>
      </w:numPr>
      <w:tabs>
        <w:tab w:val="clear" w:pos="360"/>
      </w:tabs>
      <w:spacing w:line="480" w:lineRule="auto"/>
      <w:ind w:left="0" w:firstLine="720"/>
    </w:pPr>
    <w:rPr>
      <w:rFonts w:ascii="Times New Roman" w:hAnsi="Times New Roman"/>
      <w:szCs w:val="24"/>
    </w:rPr>
  </w:style>
  <w:style w:type="paragraph" w:customStyle="1" w:styleId="answ">
    <w:name w:val="answ"/>
    <w:basedOn w:val="Normal"/>
    <w:rsid w:val="0035120D"/>
    <w:pPr>
      <w:spacing w:after="120"/>
      <w:ind w:left="720" w:hanging="720"/>
      <w:jc w:val="both"/>
    </w:pPr>
    <w:rPr>
      <w:rFonts w:ascii="Times New Roman" w:hAnsi="Times New Roman"/>
      <w:szCs w:val="24"/>
    </w:rPr>
  </w:style>
  <w:style w:type="paragraph" w:styleId="Header">
    <w:name w:val="header"/>
    <w:basedOn w:val="Normal"/>
    <w:link w:val="HeaderChar"/>
    <w:rsid w:val="0035120D"/>
    <w:pPr>
      <w:tabs>
        <w:tab w:val="center" w:pos="4320"/>
        <w:tab w:val="right" w:pos="8640"/>
      </w:tabs>
      <w:spacing w:line="240" w:lineRule="auto"/>
    </w:pPr>
    <w:rPr>
      <w:rFonts w:ascii="Times New Roman" w:hAnsi="Times New Roman"/>
    </w:rPr>
  </w:style>
  <w:style w:type="character" w:customStyle="1" w:styleId="HeaderChar">
    <w:name w:val="Header Char"/>
    <w:basedOn w:val="DefaultParagraphFont"/>
    <w:link w:val="Header"/>
    <w:rsid w:val="0035120D"/>
    <w:rPr>
      <w:sz w:val="24"/>
    </w:rPr>
  </w:style>
  <w:style w:type="paragraph" w:customStyle="1" w:styleId="ParaTab1">
    <w:name w:val="ParaTab 1"/>
    <w:rsid w:val="0035120D"/>
    <w:pPr>
      <w:tabs>
        <w:tab w:val="left" w:pos="-720"/>
      </w:tabs>
      <w:suppressAutoHyphens/>
      <w:autoSpaceDE w:val="0"/>
      <w:autoSpaceDN w:val="0"/>
      <w:ind w:firstLine="1440"/>
    </w:pPr>
    <w:rPr>
      <w:rFonts w:ascii="CG Times" w:hAnsi="CG Times" w:cs="CG Times"/>
      <w:sz w:val="24"/>
      <w:szCs w:val="24"/>
    </w:rPr>
  </w:style>
  <w:style w:type="paragraph" w:styleId="ListBullet2">
    <w:name w:val="List Bullet 2"/>
    <w:aliases w:val="b2"/>
    <w:basedOn w:val="Normal"/>
    <w:rsid w:val="002B0D9B"/>
    <w:pPr>
      <w:numPr>
        <w:numId w:val="5"/>
      </w:numPr>
      <w:spacing w:after="240" w:line="240" w:lineRule="auto"/>
      <w:jc w:val="both"/>
    </w:pPr>
    <w:rPr>
      <w:rFonts w:ascii="Times New Roman" w:hAnsi="Times New Roman"/>
    </w:rPr>
  </w:style>
  <w:style w:type="paragraph" w:styleId="ListBullet">
    <w:name w:val="List Bullet"/>
    <w:aliases w:val="b1"/>
    <w:basedOn w:val="Normal"/>
    <w:rsid w:val="002B0D9B"/>
    <w:pPr>
      <w:numPr>
        <w:numId w:val="6"/>
      </w:numPr>
      <w:spacing w:after="240" w:line="240" w:lineRule="auto"/>
      <w:jc w:val="both"/>
    </w:pPr>
    <w:rPr>
      <w:rFonts w:ascii="Times New Roman" w:hAnsi="Times New Roman"/>
    </w:rPr>
  </w:style>
  <w:style w:type="paragraph" w:styleId="ListParagraph">
    <w:name w:val="List Paragraph"/>
    <w:basedOn w:val="Normal"/>
    <w:uiPriority w:val="34"/>
    <w:qFormat/>
    <w:rsid w:val="00C64FC2"/>
    <w:pPr>
      <w:ind w:left="720"/>
    </w:pPr>
  </w:style>
  <w:style w:type="paragraph" w:customStyle="1" w:styleId="DirectNext">
    <w:name w:val="Direct Next"/>
    <w:basedOn w:val="Normal"/>
    <w:rsid w:val="00365031"/>
    <w:pPr>
      <w:spacing w:line="504" w:lineRule="exact"/>
      <w:ind w:left="720" w:firstLine="720"/>
    </w:pPr>
    <w:rPr>
      <w:rFonts w:ascii="Arial" w:hAnsi="Arial"/>
      <w:szCs w:val="24"/>
    </w:rPr>
  </w:style>
  <w:style w:type="paragraph" w:customStyle="1" w:styleId="IndentSingle">
    <w:name w:val="Indent Single"/>
    <w:basedOn w:val="Normal"/>
    <w:next w:val="BodyText"/>
    <w:link w:val="IndentSingleChar"/>
    <w:rsid w:val="00FA31A4"/>
    <w:pPr>
      <w:spacing w:after="240" w:line="240" w:lineRule="auto"/>
      <w:ind w:left="1440" w:right="1440"/>
    </w:pPr>
    <w:rPr>
      <w:rFonts w:ascii="Times New Roman" w:hAnsi="Times New Roman"/>
      <w:szCs w:val="24"/>
    </w:rPr>
  </w:style>
  <w:style w:type="character" w:customStyle="1" w:styleId="IndentSingleChar">
    <w:name w:val="Indent Single Char"/>
    <w:basedOn w:val="DefaultParagraphFont"/>
    <w:link w:val="IndentSingle"/>
    <w:rsid w:val="00FA31A4"/>
    <w:rPr>
      <w:sz w:val="24"/>
      <w:szCs w:val="24"/>
    </w:rPr>
  </w:style>
  <w:style w:type="paragraph" w:customStyle="1" w:styleId="Ques">
    <w:name w:val="Ques"/>
    <w:basedOn w:val="Normal"/>
    <w:next w:val="answ"/>
    <w:rsid w:val="00465F04"/>
    <w:pPr>
      <w:tabs>
        <w:tab w:val="left" w:pos="-1440"/>
        <w:tab w:val="left" w:pos="-720"/>
        <w:tab w:val="left" w:pos="0"/>
        <w:tab w:val="left" w:pos="720"/>
        <w:tab w:val="left" w:pos="1051"/>
        <w:tab w:val="left" w:pos="1440"/>
        <w:tab w:val="left" w:pos="1752"/>
        <w:tab w:val="left" w:pos="2160"/>
      </w:tabs>
      <w:suppressAutoHyphens/>
      <w:ind w:left="720" w:hanging="720"/>
      <w:jc w:val="both"/>
      <w:outlineLvl w:val="0"/>
    </w:pPr>
    <w:rPr>
      <w:rFonts w:ascii="Times New Roman" w:hAnsi="Times New Roman"/>
      <w:b/>
      <w:snapToGrid w:val="0"/>
    </w:rPr>
  </w:style>
  <w:style w:type="character" w:customStyle="1" w:styleId="documentbody">
    <w:name w:val="documentbody"/>
    <w:basedOn w:val="DefaultParagraphFont"/>
    <w:rsid w:val="0084754A"/>
    <w:rPr>
      <w:rFonts w:cs="Times New Roman"/>
    </w:rPr>
  </w:style>
  <w:style w:type="character" w:customStyle="1" w:styleId="FooterChar">
    <w:name w:val="Footer Char"/>
    <w:basedOn w:val="DefaultParagraphFont"/>
    <w:link w:val="Footer"/>
    <w:uiPriority w:val="99"/>
    <w:rsid w:val="00210B05"/>
    <w:rPr>
      <w:rFonts w:ascii="CG Times" w:hAnsi="CG Times"/>
      <w:sz w:val="24"/>
    </w:rPr>
  </w:style>
  <w:style w:type="paragraph" w:customStyle="1" w:styleId="FirmDouble05">
    <w:name w:val="Firm Double 05"/>
    <w:basedOn w:val="Normal"/>
    <w:rsid w:val="00832962"/>
    <w:pPr>
      <w:spacing w:line="480" w:lineRule="auto"/>
      <w:ind w:firstLine="720"/>
    </w:pPr>
    <w:rPr>
      <w:rFonts w:ascii="Times New Roman" w:hAnsi="Times New Roman"/>
      <w:szCs w:val="24"/>
    </w:rPr>
  </w:style>
  <w:style w:type="paragraph" w:styleId="NoSpacing">
    <w:name w:val="No Spacing"/>
    <w:uiPriority w:val="1"/>
    <w:qFormat/>
    <w:rsid w:val="00832962"/>
    <w:rPr>
      <w:rFonts w:asciiTheme="minorHAnsi" w:eastAsiaTheme="minorHAnsi" w:hAnsiTheme="minorHAnsi" w:cstheme="minorBidi"/>
      <w:sz w:val="22"/>
      <w:szCs w:val="22"/>
    </w:rPr>
  </w:style>
  <w:style w:type="paragraph" w:customStyle="1" w:styleId="OutlineL1">
    <w:name w:val="Outline_L1"/>
    <w:basedOn w:val="Normal"/>
    <w:link w:val="OutlineL1Char"/>
    <w:autoRedefine/>
    <w:rsid w:val="00E65F38"/>
    <w:pPr>
      <w:keepNext/>
      <w:keepLines/>
      <w:numPr>
        <w:numId w:val="19"/>
      </w:numPr>
      <w:spacing w:before="120" w:after="360" w:line="240" w:lineRule="auto"/>
      <w:jc w:val="center"/>
      <w:outlineLvl w:val="0"/>
    </w:pPr>
    <w:rPr>
      <w:rFonts w:ascii="Times New Roman" w:hAnsi="Times New Roman"/>
      <w:b/>
      <w:caps/>
      <w:lang w:val="x-none" w:eastAsia="x-none"/>
    </w:rPr>
  </w:style>
  <w:style w:type="paragraph" w:customStyle="1" w:styleId="OutlineL2">
    <w:name w:val="Outline_L2"/>
    <w:basedOn w:val="OutlineL1"/>
    <w:rsid w:val="00E65F38"/>
    <w:pPr>
      <w:numPr>
        <w:ilvl w:val="1"/>
      </w:numPr>
      <w:jc w:val="left"/>
      <w:outlineLvl w:val="1"/>
    </w:pPr>
    <w:rPr>
      <w:b w:val="0"/>
      <w:caps w:val="0"/>
    </w:rPr>
  </w:style>
  <w:style w:type="paragraph" w:customStyle="1" w:styleId="OutlineL3">
    <w:name w:val="Outline_L3"/>
    <w:basedOn w:val="OutlineL2"/>
    <w:rsid w:val="00E65F38"/>
    <w:pPr>
      <w:keepNext w:val="0"/>
      <w:keepLines w:val="0"/>
      <w:numPr>
        <w:ilvl w:val="2"/>
      </w:numPr>
      <w:spacing w:after="120" w:line="480" w:lineRule="auto"/>
      <w:outlineLvl w:val="2"/>
    </w:pPr>
  </w:style>
  <w:style w:type="paragraph" w:customStyle="1" w:styleId="OutlineL4">
    <w:name w:val="Outline_L4"/>
    <w:basedOn w:val="OutlineL3"/>
    <w:rsid w:val="00E65F38"/>
    <w:pPr>
      <w:numPr>
        <w:ilvl w:val="3"/>
      </w:numPr>
      <w:tabs>
        <w:tab w:val="clear" w:pos="3150"/>
        <w:tab w:val="num" w:pos="2160"/>
      </w:tabs>
      <w:spacing w:after="0"/>
      <w:ind w:left="0"/>
      <w:outlineLvl w:val="3"/>
    </w:pPr>
  </w:style>
  <w:style w:type="paragraph" w:customStyle="1" w:styleId="OutlineL5">
    <w:name w:val="Outline_L5"/>
    <w:basedOn w:val="OutlineL4"/>
    <w:rsid w:val="00E65F38"/>
    <w:pPr>
      <w:numPr>
        <w:ilvl w:val="4"/>
      </w:numPr>
      <w:tabs>
        <w:tab w:val="left" w:pos="2160"/>
      </w:tabs>
      <w:spacing w:after="240"/>
      <w:outlineLvl w:val="4"/>
    </w:pPr>
  </w:style>
  <w:style w:type="paragraph" w:customStyle="1" w:styleId="OutlineL6">
    <w:name w:val="Outline_L6"/>
    <w:basedOn w:val="OutlineL5"/>
    <w:rsid w:val="00E65F38"/>
    <w:pPr>
      <w:numPr>
        <w:ilvl w:val="5"/>
      </w:numPr>
      <w:outlineLvl w:val="5"/>
    </w:pPr>
  </w:style>
  <w:style w:type="paragraph" w:customStyle="1" w:styleId="OutlineL7">
    <w:name w:val="Outline_L7"/>
    <w:basedOn w:val="OutlineL6"/>
    <w:rsid w:val="00E65F38"/>
    <w:pPr>
      <w:numPr>
        <w:ilvl w:val="6"/>
      </w:numPr>
      <w:outlineLvl w:val="6"/>
    </w:pPr>
  </w:style>
  <w:style w:type="paragraph" w:customStyle="1" w:styleId="OutlineL8">
    <w:name w:val="Outline_L8"/>
    <w:basedOn w:val="OutlineL7"/>
    <w:rsid w:val="00E65F38"/>
    <w:pPr>
      <w:numPr>
        <w:ilvl w:val="7"/>
      </w:numPr>
      <w:outlineLvl w:val="7"/>
    </w:pPr>
  </w:style>
  <w:style w:type="paragraph" w:customStyle="1" w:styleId="OutlineL9">
    <w:name w:val="Outline_L9"/>
    <w:basedOn w:val="OutlineL8"/>
    <w:rsid w:val="00E65F38"/>
    <w:pPr>
      <w:numPr>
        <w:ilvl w:val="8"/>
      </w:numPr>
      <w:outlineLvl w:val="8"/>
    </w:pPr>
  </w:style>
  <w:style w:type="character" w:customStyle="1" w:styleId="OutlineL1Char">
    <w:name w:val="Outline_L1 Char"/>
    <w:link w:val="OutlineL1"/>
    <w:rsid w:val="005D67E3"/>
    <w:rPr>
      <w:b/>
      <w:caps/>
      <w:sz w:val="24"/>
      <w:lang w:val="x-none" w:eastAsia="x-none"/>
    </w:rPr>
  </w:style>
  <w:style w:type="paragraph" w:customStyle="1" w:styleId="FirmDouble">
    <w:name w:val="Firm Double"/>
    <w:basedOn w:val="Normal"/>
    <w:rsid w:val="0034707B"/>
    <w:pPr>
      <w:spacing w:line="480" w:lineRule="auto"/>
    </w:pPr>
    <w:rPr>
      <w:rFonts w:ascii="Times New Roman" w:hAnsi="Times New Roman"/>
      <w:szCs w:val="24"/>
    </w:rPr>
  </w:style>
  <w:style w:type="paragraph" w:customStyle="1" w:styleId="FirmQuote">
    <w:name w:val="Firm Quote"/>
    <w:basedOn w:val="Normal"/>
    <w:rsid w:val="0034707B"/>
    <w:pPr>
      <w:spacing w:before="240" w:after="240" w:line="240" w:lineRule="auto"/>
      <w:ind w:left="1440" w:right="1440"/>
    </w:pPr>
    <w:rPr>
      <w:rFonts w:ascii="Times New Roman" w:hAnsi="Times New Roman"/>
      <w:szCs w:val="24"/>
    </w:rPr>
  </w:style>
  <w:style w:type="paragraph" w:customStyle="1" w:styleId="FirmSingle">
    <w:name w:val="Firm Single"/>
    <w:basedOn w:val="Normal"/>
    <w:rsid w:val="0034707B"/>
    <w:pPr>
      <w:spacing w:after="240" w:line="240" w:lineRule="auto"/>
    </w:pPr>
    <w:rPr>
      <w:rFonts w:ascii="Times New Roman" w:hAnsi="Times New Roman"/>
      <w:szCs w:val="24"/>
    </w:rPr>
  </w:style>
  <w:style w:type="paragraph" w:customStyle="1" w:styleId="Bullet5">
    <w:name w:val="*Bullet .5"/>
    <w:basedOn w:val="Normal"/>
    <w:rsid w:val="00757FF6"/>
    <w:pPr>
      <w:numPr>
        <w:numId w:val="35"/>
      </w:numPr>
      <w:spacing w:after="240" w:line="240" w:lineRule="auto"/>
    </w:pPr>
    <w:rPr>
      <w:rFonts w:ascii="Times New Roman" w:hAnsi="Times New Roman"/>
    </w:rPr>
  </w:style>
  <w:style w:type="paragraph" w:customStyle="1" w:styleId="Default">
    <w:name w:val="Default"/>
    <w:rsid w:val="000F44A7"/>
    <w:pPr>
      <w:widowControl w:val="0"/>
      <w:autoSpaceDE w:val="0"/>
      <w:autoSpaceDN w:val="0"/>
      <w:adjustRightInd w:val="0"/>
    </w:pPr>
    <w:rPr>
      <w:rFonts w:eastAsiaTheme="minorEastAsia"/>
      <w:color w:val="000000"/>
      <w:sz w:val="24"/>
      <w:szCs w:val="24"/>
    </w:rPr>
  </w:style>
  <w:style w:type="paragraph" w:styleId="BalloonText">
    <w:name w:val="Balloon Text"/>
    <w:basedOn w:val="Normal"/>
    <w:link w:val="BalloonTextChar"/>
    <w:rsid w:val="00443E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43E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CC9"/>
    <w:pPr>
      <w:spacing w:line="360" w:lineRule="auto"/>
    </w:pPr>
    <w:rPr>
      <w:rFonts w:ascii="CG Times" w:hAnsi="CG Times"/>
      <w:sz w:val="24"/>
    </w:rPr>
  </w:style>
  <w:style w:type="paragraph" w:styleId="Heading1">
    <w:name w:val="heading 1"/>
    <w:basedOn w:val="Normal"/>
    <w:next w:val="BodyText2"/>
    <w:qFormat/>
    <w:rsid w:val="00261CC9"/>
    <w:pPr>
      <w:keepLines/>
      <w:widowControl w:val="0"/>
      <w:numPr>
        <w:numId w:val="1"/>
      </w:numPr>
      <w:tabs>
        <w:tab w:val="clear" w:pos="0"/>
      </w:tabs>
      <w:spacing w:after="240" w:line="240" w:lineRule="auto"/>
      <w:jc w:val="center"/>
      <w:outlineLvl w:val="0"/>
    </w:pPr>
    <w:rPr>
      <w:rFonts w:ascii="Times New Roman" w:hAnsi="Times New Roman"/>
      <w:b/>
      <w:bCs/>
      <w:caps/>
      <w:szCs w:val="32"/>
      <w:u w:val="single"/>
    </w:rPr>
  </w:style>
  <w:style w:type="paragraph" w:styleId="Heading2">
    <w:name w:val="heading 2"/>
    <w:basedOn w:val="Normal"/>
    <w:next w:val="BodyText2"/>
    <w:qFormat/>
    <w:rsid w:val="00261CC9"/>
    <w:pPr>
      <w:widowControl w:val="0"/>
      <w:numPr>
        <w:ilvl w:val="1"/>
        <w:numId w:val="1"/>
      </w:numPr>
      <w:tabs>
        <w:tab w:val="clear" w:pos="0"/>
      </w:tabs>
      <w:spacing w:line="480" w:lineRule="auto"/>
      <w:jc w:val="both"/>
      <w:outlineLvl w:val="1"/>
    </w:pPr>
    <w:rPr>
      <w:rFonts w:ascii="Times New Roman" w:hAnsi="Times New Roman"/>
      <w:bCs/>
      <w:iCs/>
      <w:szCs w:val="28"/>
    </w:rPr>
  </w:style>
  <w:style w:type="paragraph" w:styleId="Heading3">
    <w:name w:val="heading 3"/>
    <w:basedOn w:val="Normal"/>
    <w:next w:val="BodyText2"/>
    <w:qFormat/>
    <w:rsid w:val="00261CC9"/>
    <w:pPr>
      <w:widowControl w:val="0"/>
      <w:numPr>
        <w:ilvl w:val="2"/>
        <w:numId w:val="1"/>
      </w:numPr>
      <w:tabs>
        <w:tab w:val="clear" w:pos="0"/>
      </w:tabs>
      <w:spacing w:line="480" w:lineRule="auto"/>
      <w:outlineLvl w:val="2"/>
    </w:pPr>
    <w:rPr>
      <w:rFonts w:ascii="Times New Roman" w:hAnsi="Times New Roman"/>
      <w:bCs/>
      <w:szCs w:val="26"/>
    </w:rPr>
  </w:style>
  <w:style w:type="paragraph" w:styleId="Heading4">
    <w:name w:val="heading 4"/>
    <w:basedOn w:val="Normal"/>
    <w:next w:val="BodyText2"/>
    <w:qFormat/>
    <w:rsid w:val="00261CC9"/>
    <w:pPr>
      <w:widowControl w:val="0"/>
      <w:numPr>
        <w:ilvl w:val="3"/>
        <w:numId w:val="1"/>
      </w:numPr>
      <w:spacing w:line="480" w:lineRule="auto"/>
      <w:outlineLvl w:val="3"/>
    </w:pPr>
    <w:rPr>
      <w:rFonts w:ascii="Times New Roman" w:hAnsi="Times New Roman"/>
      <w:bCs/>
      <w:szCs w:val="28"/>
    </w:rPr>
  </w:style>
  <w:style w:type="paragraph" w:styleId="Heading5">
    <w:name w:val="heading 5"/>
    <w:basedOn w:val="Normal"/>
    <w:next w:val="BodyText2"/>
    <w:qFormat/>
    <w:rsid w:val="00261CC9"/>
    <w:pPr>
      <w:widowControl w:val="0"/>
      <w:numPr>
        <w:ilvl w:val="4"/>
        <w:numId w:val="1"/>
      </w:numPr>
      <w:tabs>
        <w:tab w:val="clear" w:pos="0"/>
      </w:tabs>
      <w:spacing w:after="240" w:line="240" w:lineRule="auto"/>
      <w:outlineLvl w:val="4"/>
    </w:pPr>
    <w:rPr>
      <w:rFonts w:ascii="Times New Roman" w:hAnsi="Times New Roman"/>
      <w:bCs/>
      <w:iCs/>
      <w:szCs w:val="26"/>
    </w:rPr>
  </w:style>
  <w:style w:type="paragraph" w:styleId="Heading6">
    <w:name w:val="heading 6"/>
    <w:basedOn w:val="Normal"/>
    <w:next w:val="BodyText2"/>
    <w:qFormat/>
    <w:rsid w:val="00261CC9"/>
    <w:pPr>
      <w:widowControl w:val="0"/>
      <w:numPr>
        <w:ilvl w:val="5"/>
        <w:numId w:val="1"/>
      </w:numPr>
      <w:tabs>
        <w:tab w:val="clear" w:pos="0"/>
      </w:tabs>
      <w:spacing w:after="240" w:line="240" w:lineRule="auto"/>
      <w:outlineLvl w:val="5"/>
    </w:pPr>
    <w:rPr>
      <w:rFonts w:ascii="Times New Roman" w:hAnsi="Times New Roman"/>
      <w:bCs/>
      <w:szCs w:val="22"/>
    </w:rPr>
  </w:style>
  <w:style w:type="paragraph" w:styleId="Heading7">
    <w:name w:val="heading 7"/>
    <w:basedOn w:val="Normal"/>
    <w:next w:val="BodyText2"/>
    <w:qFormat/>
    <w:rsid w:val="00261CC9"/>
    <w:pPr>
      <w:widowControl w:val="0"/>
      <w:numPr>
        <w:ilvl w:val="6"/>
        <w:numId w:val="1"/>
      </w:numPr>
      <w:tabs>
        <w:tab w:val="clear" w:pos="0"/>
      </w:tabs>
      <w:spacing w:after="240" w:line="240" w:lineRule="auto"/>
      <w:outlineLvl w:val="6"/>
    </w:pPr>
    <w:rPr>
      <w:rFonts w:ascii="Times New Roman" w:hAnsi="Times New Roman"/>
      <w:szCs w:val="24"/>
    </w:rPr>
  </w:style>
  <w:style w:type="paragraph" w:styleId="Heading8">
    <w:name w:val="heading 8"/>
    <w:basedOn w:val="Normal"/>
    <w:next w:val="BodyText2"/>
    <w:qFormat/>
    <w:rsid w:val="00261CC9"/>
    <w:pPr>
      <w:widowControl w:val="0"/>
      <w:numPr>
        <w:ilvl w:val="7"/>
        <w:numId w:val="1"/>
      </w:numPr>
      <w:tabs>
        <w:tab w:val="clear" w:pos="0"/>
      </w:tabs>
      <w:spacing w:after="240" w:line="240" w:lineRule="auto"/>
      <w:outlineLvl w:val="7"/>
    </w:pPr>
    <w:rPr>
      <w:rFonts w:ascii="Times New Roman" w:hAnsi="Times New Roman"/>
      <w:iCs/>
      <w:szCs w:val="24"/>
    </w:rPr>
  </w:style>
  <w:style w:type="paragraph" w:styleId="Heading9">
    <w:name w:val="heading 9"/>
    <w:basedOn w:val="Normal"/>
    <w:next w:val="BodyText2"/>
    <w:qFormat/>
    <w:rsid w:val="00261CC9"/>
    <w:pPr>
      <w:widowControl w:val="0"/>
      <w:numPr>
        <w:ilvl w:val="8"/>
        <w:numId w:val="1"/>
      </w:numPr>
      <w:tabs>
        <w:tab w:val="clear" w:pos="0"/>
      </w:tabs>
      <w:spacing w:after="240" w:line="240" w:lineRule="auto"/>
      <w:outlineLvl w:val="8"/>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61CC9"/>
    <w:pPr>
      <w:spacing w:line="240" w:lineRule="auto"/>
      <w:jc w:val="center"/>
    </w:pPr>
    <w:rPr>
      <w:b/>
    </w:rPr>
  </w:style>
  <w:style w:type="paragraph" w:styleId="Subtitle">
    <w:name w:val="Subtitle"/>
    <w:basedOn w:val="Normal"/>
    <w:qFormat/>
    <w:rsid w:val="00261CC9"/>
    <w:pPr>
      <w:spacing w:line="240" w:lineRule="auto"/>
      <w:jc w:val="center"/>
    </w:pPr>
    <w:rPr>
      <w:b/>
    </w:rPr>
  </w:style>
  <w:style w:type="paragraph" w:styleId="BodyText2">
    <w:name w:val="Body Text 2"/>
    <w:basedOn w:val="Normal"/>
    <w:rsid w:val="00261CC9"/>
    <w:pPr>
      <w:spacing w:after="120" w:line="480" w:lineRule="auto"/>
    </w:pPr>
  </w:style>
  <w:style w:type="paragraph" w:styleId="Footer">
    <w:name w:val="footer"/>
    <w:basedOn w:val="Normal"/>
    <w:link w:val="FooterChar"/>
    <w:uiPriority w:val="99"/>
    <w:rsid w:val="00386E2F"/>
    <w:pPr>
      <w:tabs>
        <w:tab w:val="center" w:pos="4320"/>
        <w:tab w:val="right" w:pos="8640"/>
      </w:tabs>
    </w:pPr>
  </w:style>
  <w:style w:type="character" w:styleId="PageNumber">
    <w:name w:val="page number"/>
    <w:basedOn w:val="DefaultParagraphFont"/>
    <w:rsid w:val="00386E2F"/>
  </w:style>
  <w:style w:type="paragraph" w:styleId="ListBullet5">
    <w:name w:val="List Bullet 5"/>
    <w:aliases w:val="b5"/>
    <w:basedOn w:val="Normal"/>
    <w:semiHidden/>
    <w:rsid w:val="00B21843"/>
    <w:pPr>
      <w:numPr>
        <w:numId w:val="2"/>
      </w:numPr>
      <w:spacing w:after="240" w:line="240" w:lineRule="auto"/>
      <w:jc w:val="both"/>
    </w:pPr>
    <w:rPr>
      <w:rFonts w:ascii="Times New Roman" w:hAnsi="Times New Roman"/>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 Char1 Char Char"/>
    <w:basedOn w:val="Normal"/>
    <w:link w:val="FootnoteTextChar3"/>
    <w:qFormat/>
    <w:rsid w:val="00B21843"/>
    <w:pPr>
      <w:spacing w:line="240" w:lineRule="auto"/>
      <w:ind w:firstLine="720"/>
    </w:pPr>
    <w:rPr>
      <w:rFonts w:ascii="Times New Roman" w:hAnsi="Times New Roman"/>
    </w:rPr>
  </w:style>
  <w:style w:type="table" w:styleId="TableGrid">
    <w:name w:val="Table Grid"/>
    <w:basedOn w:val="TableNormal"/>
    <w:uiPriority w:val="59"/>
    <w:rsid w:val="00B21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
    <w:basedOn w:val="DefaultParagraphFont"/>
    <w:rsid w:val="00B21843"/>
    <w:rPr>
      <w:vertAlign w:val="superscript"/>
    </w:rPr>
  </w:style>
  <w:style w:type="paragraph" w:styleId="BodyText">
    <w:name w:val="Body Text"/>
    <w:basedOn w:val="Normal"/>
    <w:link w:val="BodyTextChar"/>
    <w:rsid w:val="00930F72"/>
    <w:pPr>
      <w:spacing w:after="120"/>
    </w:pPr>
  </w:style>
  <w:style w:type="character" w:customStyle="1" w:styleId="BodyTextChar">
    <w:name w:val="Body Text Char"/>
    <w:basedOn w:val="DefaultParagraphFont"/>
    <w:link w:val="BodyText"/>
    <w:rsid w:val="00930F72"/>
    <w:rPr>
      <w:rFonts w:ascii="CG Times" w:hAnsi="CG Times"/>
      <w:sz w:val="24"/>
    </w:rPr>
  </w:style>
  <w:style w:type="paragraph" w:customStyle="1" w:styleId="Blockquote">
    <w:name w:val="Blockquote"/>
    <w:basedOn w:val="Normal"/>
    <w:rsid w:val="0035120D"/>
    <w:pPr>
      <w:spacing w:before="100" w:after="100" w:line="240" w:lineRule="auto"/>
      <w:ind w:left="360" w:right="360"/>
    </w:pPr>
    <w:rPr>
      <w:rFonts w:ascii="Times New Roman" w:hAnsi="Times New Roman"/>
      <w:snapToGrid w:val="0"/>
    </w:rPr>
  </w:style>
  <w:style w:type="paragraph" w:customStyle="1" w:styleId="Pleading1L1">
    <w:name w:val="Pleading1_L1"/>
    <w:basedOn w:val="Normal"/>
    <w:next w:val="BodyText"/>
    <w:rsid w:val="0035120D"/>
    <w:pPr>
      <w:numPr>
        <w:numId w:val="3"/>
      </w:numPr>
      <w:spacing w:after="240" w:line="240" w:lineRule="auto"/>
      <w:jc w:val="center"/>
      <w:outlineLvl w:val="0"/>
    </w:pPr>
    <w:rPr>
      <w:rFonts w:ascii="Times New Roman" w:hAnsi="Times New Roman"/>
      <w:b/>
      <w:caps/>
    </w:rPr>
  </w:style>
  <w:style w:type="paragraph" w:customStyle="1" w:styleId="Pleading1L2">
    <w:name w:val="Pleading1_L2"/>
    <w:basedOn w:val="Pleading1L1"/>
    <w:next w:val="BodyText"/>
    <w:rsid w:val="0035120D"/>
    <w:pPr>
      <w:numPr>
        <w:ilvl w:val="1"/>
      </w:numPr>
      <w:jc w:val="left"/>
      <w:outlineLvl w:val="1"/>
    </w:pPr>
    <w:rPr>
      <w:caps w:val="0"/>
    </w:rPr>
  </w:style>
  <w:style w:type="paragraph" w:customStyle="1" w:styleId="Pleading1L3">
    <w:name w:val="Pleading1_L3"/>
    <w:basedOn w:val="Pleading1L2"/>
    <w:next w:val="BodyText"/>
    <w:rsid w:val="0035120D"/>
    <w:pPr>
      <w:numPr>
        <w:ilvl w:val="2"/>
      </w:numPr>
      <w:outlineLvl w:val="2"/>
    </w:pPr>
  </w:style>
  <w:style w:type="paragraph" w:customStyle="1" w:styleId="Pleading1L4">
    <w:name w:val="Pleading1_L4"/>
    <w:basedOn w:val="Pleading1L3"/>
    <w:rsid w:val="0035120D"/>
    <w:pPr>
      <w:numPr>
        <w:ilvl w:val="3"/>
      </w:numPr>
      <w:outlineLvl w:val="3"/>
    </w:pPr>
  </w:style>
  <w:style w:type="paragraph" w:customStyle="1" w:styleId="Pleading1L5">
    <w:name w:val="Pleading1_L5"/>
    <w:basedOn w:val="Pleading1L4"/>
    <w:rsid w:val="0035120D"/>
    <w:pPr>
      <w:keepNext/>
      <w:keepLines/>
      <w:widowControl w:val="0"/>
      <w:numPr>
        <w:ilvl w:val="4"/>
      </w:numPr>
      <w:outlineLvl w:val="4"/>
    </w:pPr>
    <w:rPr>
      <w:b w:val="0"/>
    </w:rPr>
  </w:style>
  <w:style w:type="paragraph" w:customStyle="1" w:styleId="Pleading1L6">
    <w:name w:val="Pleading1_L6"/>
    <w:basedOn w:val="Pleading1L5"/>
    <w:rsid w:val="0035120D"/>
    <w:pPr>
      <w:numPr>
        <w:ilvl w:val="5"/>
      </w:numPr>
      <w:outlineLvl w:val="5"/>
    </w:pPr>
  </w:style>
  <w:style w:type="paragraph" w:customStyle="1" w:styleId="Pleading1L7">
    <w:name w:val="Pleading1_L7"/>
    <w:basedOn w:val="Pleading1L6"/>
    <w:rsid w:val="0035120D"/>
    <w:pPr>
      <w:numPr>
        <w:ilvl w:val="6"/>
      </w:numPr>
      <w:outlineLvl w:val="6"/>
    </w:pPr>
  </w:style>
  <w:style w:type="paragraph" w:customStyle="1" w:styleId="Pleading1L8">
    <w:name w:val="Pleading1_L8"/>
    <w:basedOn w:val="Pleading1L7"/>
    <w:rsid w:val="0035120D"/>
    <w:pPr>
      <w:numPr>
        <w:ilvl w:val="7"/>
      </w:numPr>
      <w:outlineLvl w:val="7"/>
    </w:pPr>
  </w:style>
  <w:style w:type="paragraph" w:customStyle="1" w:styleId="Pleading1L9">
    <w:name w:val="Pleading1_L9"/>
    <w:basedOn w:val="Pleading1L8"/>
    <w:rsid w:val="0035120D"/>
    <w:pPr>
      <w:numPr>
        <w:ilvl w:val="8"/>
      </w:numPr>
      <w:outlineLvl w:val="8"/>
    </w:pPr>
  </w:style>
  <w:style w:type="paragraph" w:styleId="PlainText">
    <w:name w:val="Plain Text"/>
    <w:basedOn w:val="Normal"/>
    <w:link w:val="PlainTextChar"/>
    <w:rsid w:val="0035120D"/>
    <w:pPr>
      <w:ind w:firstLine="1440"/>
    </w:pPr>
    <w:rPr>
      <w:rFonts w:ascii="Times New Roman" w:hAnsi="Times New Roman"/>
      <w:sz w:val="26"/>
    </w:rPr>
  </w:style>
  <w:style w:type="character" w:customStyle="1" w:styleId="PlainTextChar">
    <w:name w:val="Plain Text Char"/>
    <w:basedOn w:val="DefaultParagraphFont"/>
    <w:link w:val="PlainText"/>
    <w:rsid w:val="0035120D"/>
    <w:rPr>
      <w:sz w:val="26"/>
    </w:rPr>
  </w:style>
  <w:style w:type="paragraph" w:customStyle="1" w:styleId="Document1">
    <w:name w:val="Document 1"/>
    <w:rsid w:val="0035120D"/>
    <w:pPr>
      <w:keepNext/>
      <w:keepLines/>
      <w:tabs>
        <w:tab w:val="left" w:pos="-720"/>
      </w:tabs>
      <w:suppressAutoHyphens/>
    </w:pPr>
    <w:rPr>
      <w:rFonts w:ascii="CG Times" w:hAnsi="CG Times"/>
      <w:sz w:val="26"/>
    </w:rPr>
  </w:style>
  <w:style w:type="paragraph" w:styleId="BlockText">
    <w:name w:val="Block Text"/>
    <w:basedOn w:val="Normal"/>
    <w:rsid w:val="0035120D"/>
    <w:pPr>
      <w:tabs>
        <w:tab w:val="left" w:pos="-720"/>
        <w:tab w:val="left" w:pos="0"/>
        <w:tab w:val="left" w:pos="720"/>
      </w:tabs>
      <w:suppressAutoHyphens/>
      <w:spacing w:line="240" w:lineRule="auto"/>
      <w:ind w:left="1440" w:right="1440" w:hanging="1440"/>
    </w:pPr>
    <w:rPr>
      <w:rFonts w:ascii="Times New Roman" w:hAnsi="Times New Roman"/>
    </w:rPr>
  </w:style>
  <w:style w:type="paragraph" w:customStyle="1" w:styleId="BodyTextContinued">
    <w:name w:val="Body Text Continued"/>
    <w:basedOn w:val="BodyText"/>
    <w:next w:val="BodyText"/>
    <w:rsid w:val="0035120D"/>
    <w:pPr>
      <w:spacing w:after="0" w:line="480" w:lineRule="auto"/>
    </w:pPr>
    <w:rPr>
      <w:rFonts w:ascii="Times New Roman" w:hAnsi="Times New Roman"/>
    </w:rPr>
  </w:style>
  <w:style w:type="paragraph" w:styleId="Quote">
    <w:name w:val="Quote"/>
    <w:basedOn w:val="BodyText"/>
    <w:next w:val="BodyText"/>
    <w:link w:val="QuoteChar"/>
    <w:qFormat/>
    <w:rsid w:val="0035120D"/>
    <w:pPr>
      <w:spacing w:after="240" w:line="240" w:lineRule="auto"/>
      <w:ind w:left="2160" w:right="1440" w:hanging="720"/>
    </w:pPr>
    <w:rPr>
      <w:rFonts w:ascii="Times New Roman" w:hAnsi="Times New Roman"/>
    </w:rPr>
  </w:style>
  <w:style w:type="character" w:customStyle="1" w:styleId="QuoteChar">
    <w:name w:val="Quote Char"/>
    <w:basedOn w:val="DefaultParagraphFont"/>
    <w:link w:val="Quote"/>
    <w:rsid w:val="0035120D"/>
    <w:rPr>
      <w:sz w:val="24"/>
    </w:rPr>
  </w:style>
  <w:style w:type="paragraph" w:customStyle="1" w:styleId="quote2">
    <w:name w:val="quote 2"/>
    <w:basedOn w:val="Quote"/>
    <w:rsid w:val="0035120D"/>
    <w:pPr>
      <w:ind w:left="1440" w:firstLine="0"/>
    </w:pPr>
  </w:style>
  <w:style w:type="paragraph" w:styleId="BodyText3">
    <w:name w:val="Body Text 3"/>
    <w:basedOn w:val="Normal"/>
    <w:link w:val="BodyText3Char"/>
    <w:rsid w:val="0035120D"/>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35120D"/>
    <w:rPr>
      <w:sz w:val="16"/>
      <w:szCs w:val="16"/>
    </w:rPr>
  </w:style>
  <w:style w:type="paragraph" w:styleId="TOC1">
    <w:name w:val="toc 1"/>
    <w:basedOn w:val="Normal"/>
    <w:next w:val="Normal"/>
    <w:autoRedefine/>
    <w:rsid w:val="0035120D"/>
    <w:pPr>
      <w:tabs>
        <w:tab w:val="left" w:pos="720"/>
        <w:tab w:val="right" w:leader="dot" w:pos="9350"/>
      </w:tabs>
      <w:spacing w:line="240" w:lineRule="auto"/>
      <w:jc w:val="center"/>
    </w:pPr>
    <w:rPr>
      <w:rFonts w:ascii="Times New Roman" w:hAnsi="Times New Roman"/>
    </w:rPr>
  </w:style>
  <w:style w:type="paragraph" w:styleId="TOC2">
    <w:name w:val="toc 2"/>
    <w:basedOn w:val="Normal"/>
    <w:next w:val="Normal"/>
    <w:autoRedefine/>
    <w:rsid w:val="0035120D"/>
    <w:pPr>
      <w:tabs>
        <w:tab w:val="left" w:pos="1440"/>
        <w:tab w:val="right" w:leader="dot" w:pos="9350"/>
      </w:tabs>
      <w:spacing w:line="240" w:lineRule="auto"/>
      <w:ind w:left="720"/>
    </w:pPr>
    <w:rPr>
      <w:rFonts w:ascii="Times New Roman" w:hAnsi="Times New Roman"/>
    </w:rPr>
  </w:style>
  <w:style w:type="paragraph" w:styleId="TOC3">
    <w:name w:val="toc 3"/>
    <w:basedOn w:val="Normal"/>
    <w:next w:val="Normal"/>
    <w:autoRedefine/>
    <w:rsid w:val="0035120D"/>
    <w:pPr>
      <w:tabs>
        <w:tab w:val="left" w:pos="2160"/>
        <w:tab w:val="right" w:leader="dot" w:pos="9350"/>
      </w:tabs>
      <w:spacing w:line="240" w:lineRule="auto"/>
      <w:ind w:left="1440"/>
    </w:pPr>
    <w:rPr>
      <w:rFonts w:ascii="Times New Roman" w:hAnsi="Times New Roman"/>
    </w:rPr>
  </w:style>
  <w:style w:type="character" w:styleId="Hyperlink">
    <w:name w:val="Hyperlink"/>
    <w:basedOn w:val="DefaultParagraphFont"/>
    <w:rsid w:val="0035120D"/>
    <w:rPr>
      <w:color w:val="0000FF"/>
      <w:u w:val="single"/>
    </w:rPr>
  </w:style>
  <w:style w:type="character" w:customStyle="1" w:styleId="Heading3Char">
    <w:name w:val="Heading 3 Char"/>
    <w:basedOn w:val="DefaultParagraphFont"/>
    <w:rsid w:val="0035120D"/>
    <w:rPr>
      <w:rFonts w:ascii="Arial" w:hAnsi="Arial" w:cs="Arial"/>
      <w:b/>
      <w:bCs/>
      <w:sz w:val="26"/>
      <w:szCs w:val="26"/>
      <w:lang w:val="en-US" w:eastAsia="en-US" w:bidi="ar-SA"/>
    </w:rPr>
  </w:style>
  <w:style w:type="character" w:customStyle="1" w:styleId="Heading2Char">
    <w:name w:val="Heading 2 Char"/>
    <w:basedOn w:val="DefaultParagraphFont"/>
    <w:rsid w:val="0035120D"/>
    <w:rPr>
      <w:rFonts w:ascii="Arial" w:hAnsi="Arial" w:cs="Arial"/>
      <w:b/>
      <w:bCs/>
      <w:i/>
      <w:iCs/>
      <w:sz w:val="28"/>
      <w:szCs w:val="28"/>
      <w:lang w:val="en-US" w:eastAsia="en-US" w:bidi="ar-SA"/>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rsid w:val="0035120D"/>
    <w:rPr>
      <w:lang w:val="en-US" w:eastAsia="en-US" w:bidi="ar-SA"/>
    </w:rPr>
  </w:style>
  <w:style w:type="character" w:styleId="FollowedHyperlink">
    <w:name w:val="FollowedHyperlink"/>
    <w:basedOn w:val="DefaultParagraphFont"/>
    <w:rsid w:val="0035120D"/>
    <w:rPr>
      <w:color w:val="800080"/>
      <w:u w:val="single"/>
    </w:rPr>
  </w:style>
  <w:style w:type="character" w:customStyle="1" w:styleId="FootnoteTextChar2">
    <w:name w:val="Footnote Text Char2"/>
    <w:aliases w:val="Footnote Text Char1 Char1,Footnote Text Char Char Char1,Footnote Text Char1 Char Char Char1,Footnote Text Char Char Char Char Char1,Footnote Text Char1 Char Char Char Char Char1,Footnote Text Char Char Char Char Char Char Char1"/>
    <w:basedOn w:val="DefaultParagraphFont"/>
    <w:rsid w:val="0035120D"/>
    <w:rPr>
      <w:lang w:val="en-US" w:eastAsia="en-US" w:bidi="ar-SA"/>
    </w:rPr>
  </w:style>
  <w:style w:type="character" w:customStyle="1" w:styleId="FootnoteTextCharChar2">
    <w:name w:val="Footnote Text Char Char2"/>
    <w:aliases w:val="Footnote Text Char1 Char Char1,Footnote Text Char Char Char Char1,Footnote Text Char1 Char1 Char Char"/>
    <w:basedOn w:val="DefaultParagraphFont"/>
    <w:rsid w:val="0035120D"/>
    <w:rPr>
      <w:sz w:val="24"/>
      <w:szCs w:val="24"/>
      <w:lang w:val="en-US" w:eastAsia="en-US" w:bidi="ar-SA"/>
    </w:rPr>
  </w:style>
  <w:style w:type="paragraph" w:customStyle="1" w:styleId="QuickFormat1">
    <w:name w:val="QuickFormat1"/>
    <w:rsid w:val="0035120D"/>
    <w:pPr>
      <w:widowControl w:val="0"/>
      <w:autoSpaceDE w:val="0"/>
      <w:autoSpaceDN w:val="0"/>
      <w:adjustRightInd w:val="0"/>
    </w:pPr>
    <w:rPr>
      <w:sz w:val="24"/>
      <w:szCs w:val="24"/>
    </w:rPr>
  </w:style>
  <w:style w:type="paragraph" w:customStyle="1" w:styleId="Style0">
    <w:name w:val="Style0"/>
    <w:rsid w:val="0035120D"/>
    <w:pPr>
      <w:autoSpaceDE w:val="0"/>
      <w:autoSpaceDN w:val="0"/>
      <w:adjustRightInd w:val="0"/>
    </w:pPr>
    <w:rPr>
      <w:rFonts w:ascii="Arial" w:hAnsi="Arial"/>
      <w:sz w:val="24"/>
      <w:szCs w:val="24"/>
    </w:rPr>
  </w:style>
  <w:style w:type="character" w:customStyle="1" w:styleId="FootnoteRef">
    <w:name w:val="Footnote Ref"/>
    <w:rsid w:val="0035120D"/>
    <w:rPr>
      <w:rFonts w:ascii="Times New Roman" w:hAnsi="Times New Roman"/>
      <w:sz w:val="20"/>
      <w:szCs w:val="20"/>
      <w:vertAlign w:val="superscript"/>
    </w:rPr>
  </w:style>
  <w:style w:type="character" w:customStyle="1" w:styleId="term1">
    <w:name w:val="term1"/>
    <w:basedOn w:val="DefaultParagraphFont"/>
    <w:rsid w:val="0035120D"/>
    <w:rPr>
      <w:b/>
      <w:bCs/>
    </w:rPr>
  </w:style>
  <w:style w:type="character" w:customStyle="1" w:styleId="FootnoteTextChar3">
    <w:name w:val="Footnote Text Char3"/>
    <w:aliases w:val="Footnote Text Char1 Char2,Footnote Text Char Char Char2,Footnote Text Char1 Char Char Char2,Footnote Text Char Char Char Char Char2,Footnote Text Char1 Char Char Char Char Char2,Footnote Text Char Char Char Char Char Char Char2"/>
    <w:basedOn w:val="DefaultParagraphFont"/>
    <w:link w:val="FootnoteText"/>
    <w:semiHidden/>
    <w:rsid w:val="0035120D"/>
    <w:rPr>
      <w:sz w:val="24"/>
    </w:rPr>
  </w:style>
  <w:style w:type="character" w:styleId="CommentReference">
    <w:name w:val="annotation reference"/>
    <w:basedOn w:val="DefaultParagraphFont"/>
    <w:rsid w:val="0035120D"/>
    <w:rPr>
      <w:sz w:val="16"/>
      <w:szCs w:val="16"/>
    </w:rPr>
  </w:style>
  <w:style w:type="paragraph" w:styleId="ListNumber">
    <w:name w:val="List Number"/>
    <w:basedOn w:val="Normal"/>
    <w:rsid w:val="0035120D"/>
    <w:pPr>
      <w:numPr>
        <w:numId w:val="4"/>
      </w:numPr>
      <w:tabs>
        <w:tab w:val="clear" w:pos="360"/>
      </w:tabs>
      <w:spacing w:line="480" w:lineRule="auto"/>
      <w:ind w:left="0" w:firstLine="720"/>
    </w:pPr>
    <w:rPr>
      <w:rFonts w:ascii="Times New Roman" w:hAnsi="Times New Roman"/>
      <w:szCs w:val="24"/>
    </w:rPr>
  </w:style>
  <w:style w:type="paragraph" w:customStyle="1" w:styleId="answ">
    <w:name w:val="answ"/>
    <w:basedOn w:val="Normal"/>
    <w:rsid w:val="0035120D"/>
    <w:pPr>
      <w:spacing w:after="120"/>
      <w:ind w:left="720" w:hanging="720"/>
      <w:jc w:val="both"/>
    </w:pPr>
    <w:rPr>
      <w:rFonts w:ascii="Times New Roman" w:hAnsi="Times New Roman"/>
      <w:szCs w:val="24"/>
    </w:rPr>
  </w:style>
  <w:style w:type="paragraph" w:styleId="Header">
    <w:name w:val="header"/>
    <w:basedOn w:val="Normal"/>
    <w:link w:val="HeaderChar"/>
    <w:rsid w:val="0035120D"/>
    <w:pPr>
      <w:tabs>
        <w:tab w:val="center" w:pos="4320"/>
        <w:tab w:val="right" w:pos="8640"/>
      </w:tabs>
      <w:spacing w:line="240" w:lineRule="auto"/>
    </w:pPr>
    <w:rPr>
      <w:rFonts w:ascii="Times New Roman" w:hAnsi="Times New Roman"/>
    </w:rPr>
  </w:style>
  <w:style w:type="character" w:customStyle="1" w:styleId="HeaderChar">
    <w:name w:val="Header Char"/>
    <w:basedOn w:val="DefaultParagraphFont"/>
    <w:link w:val="Header"/>
    <w:rsid w:val="0035120D"/>
    <w:rPr>
      <w:sz w:val="24"/>
    </w:rPr>
  </w:style>
  <w:style w:type="paragraph" w:customStyle="1" w:styleId="ParaTab1">
    <w:name w:val="ParaTab 1"/>
    <w:rsid w:val="0035120D"/>
    <w:pPr>
      <w:tabs>
        <w:tab w:val="left" w:pos="-720"/>
      </w:tabs>
      <w:suppressAutoHyphens/>
      <w:autoSpaceDE w:val="0"/>
      <w:autoSpaceDN w:val="0"/>
      <w:ind w:firstLine="1440"/>
    </w:pPr>
    <w:rPr>
      <w:rFonts w:ascii="CG Times" w:hAnsi="CG Times" w:cs="CG Times"/>
      <w:sz w:val="24"/>
      <w:szCs w:val="24"/>
    </w:rPr>
  </w:style>
  <w:style w:type="paragraph" w:styleId="ListBullet2">
    <w:name w:val="List Bullet 2"/>
    <w:aliases w:val="b2"/>
    <w:basedOn w:val="Normal"/>
    <w:rsid w:val="002B0D9B"/>
    <w:pPr>
      <w:numPr>
        <w:numId w:val="5"/>
      </w:numPr>
      <w:spacing w:after="240" w:line="240" w:lineRule="auto"/>
      <w:jc w:val="both"/>
    </w:pPr>
    <w:rPr>
      <w:rFonts w:ascii="Times New Roman" w:hAnsi="Times New Roman"/>
    </w:rPr>
  </w:style>
  <w:style w:type="paragraph" w:styleId="ListBullet">
    <w:name w:val="List Bullet"/>
    <w:aliases w:val="b1"/>
    <w:basedOn w:val="Normal"/>
    <w:rsid w:val="002B0D9B"/>
    <w:pPr>
      <w:numPr>
        <w:numId w:val="6"/>
      </w:numPr>
      <w:spacing w:after="240" w:line="240" w:lineRule="auto"/>
      <w:jc w:val="both"/>
    </w:pPr>
    <w:rPr>
      <w:rFonts w:ascii="Times New Roman" w:hAnsi="Times New Roman"/>
    </w:rPr>
  </w:style>
  <w:style w:type="paragraph" w:styleId="ListParagraph">
    <w:name w:val="List Paragraph"/>
    <w:basedOn w:val="Normal"/>
    <w:uiPriority w:val="34"/>
    <w:qFormat/>
    <w:rsid w:val="00C64FC2"/>
    <w:pPr>
      <w:ind w:left="720"/>
    </w:pPr>
  </w:style>
  <w:style w:type="paragraph" w:customStyle="1" w:styleId="DirectNext">
    <w:name w:val="Direct Next"/>
    <w:basedOn w:val="Normal"/>
    <w:rsid w:val="00365031"/>
    <w:pPr>
      <w:spacing w:line="504" w:lineRule="exact"/>
      <w:ind w:left="720" w:firstLine="720"/>
    </w:pPr>
    <w:rPr>
      <w:rFonts w:ascii="Arial" w:hAnsi="Arial"/>
      <w:szCs w:val="24"/>
    </w:rPr>
  </w:style>
  <w:style w:type="paragraph" w:customStyle="1" w:styleId="IndentSingle">
    <w:name w:val="Indent Single"/>
    <w:basedOn w:val="Normal"/>
    <w:next w:val="BodyText"/>
    <w:link w:val="IndentSingleChar"/>
    <w:rsid w:val="00FA31A4"/>
    <w:pPr>
      <w:spacing w:after="240" w:line="240" w:lineRule="auto"/>
      <w:ind w:left="1440" w:right="1440"/>
    </w:pPr>
    <w:rPr>
      <w:rFonts w:ascii="Times New Roman" w:hAnsi="Times New Roman"/>
      <w:szCs w:val="24"/>
    </w:rPr>
  </w:style>
  <w:style w:type="character" w:customStyle="1" w:styleId="IndentSingleChar">
    <w:name w:val="Indent Single Char"/>
    <w:basedOn w:val="DefaultParagraphFont"/>
    <w:link w:val="IndentSingle"/>
    <w:rsid w:val="00FA31A4"/>
    <w:rPr>
      <w:sz w:val="24"/>
      <w:szCs w:val="24"/>
    </w:rPr>
  </w:style>
  <w:style w:type="paragraph" w:customStyle="1" w:styleId="Ques">
    <w:name w:val="Ques"/>
    <w:basedOn w:val="Normal"/>
    <w:next w:val="answ"/>
    <w:rsid w:val="00465F04"/>
    <w:pPr>
      <w:tabs>
        <w:tab w:val="left" w:pos="-1440"/>
        <w:tab w:val="left" w:pos="-720"/>
        <w:tab w:val="left" w:pos="0"/>
        <w:tab w:val="left" w:pos="720"/>
        <w:tab w:val="left" w:pos="1051"/>
        <w:tab w:val="left" w:pos="1440"/>
        <w:tab w:val="left" w:pos="1752"/>
        <w:tab w:val="left" w:pos="2160"/>
      </w:tabs>
      <w:suppressAutoHyphens/>
      <w:ind w:left="720" w:hanging="720"/>
      <w:jc w:val="both"/>
      <w:outlineLvl w:val="0"/>
    </w:pPr>
    <w:rPr>
      <w:rFonts w:ascii="Times New Roman" w:hAnsi="Times New Roman"/>
      <w:b/>
      <w:snapToGrid w:val="0"/>
    </w:rPr>
  </w:style>
  <w:style w:type="character" w:customStyle="1" w:styleId="documentbody">
    <w:name w:val="documentbody"/>
    <w:basedOn w:val="DefaultParagraphFont"/>
    <w:rsid w:val="0084754A"/>
    <w:rPr>
      <w:rFonts w:cs="Times New Roman"/>
    </w:rPr>
  </w:style>
  <w:style w:type="character" w:customStyle="1" w:styleId="FooterChar">
    <w:name w:val="Footer Char"/>
    <w:basedOn w:val="DefaultParagraphFont"/>
    <w:link w:val="Footer"/>
    <w:uiPriority w:val="99"/>
    <w:rsid w:val="00210B05"/>
    <w:rPr>
      <w:rFonts w:ascii="CG Times" w:hAnsi="CG Times"/>
      <w:sz w:val="24"/>
    </w:rPr>
  </w:style>
  <w:style w:type="paragraph" w:customStyle="1" w:styleId="FirmDouble05">
    <w:name w:val="Firm Double 05"/>
    <w:basedOn w:val="Normal"/>
    <w:rsid w:val="00832962"/>
    <w:pPr>
      <w:spacing w:line="480" w:lineRule="auto"/>
      <w:ind w:firstLine="720"/>
    </w:pPr>
    <w:rPr>
      <w:rFonts w:ascii="Times New Roman" w:hAnsi="Times New Roman"/>
      <w:szCs w:val="24"/>
    </w:rPr>
  </w:style>
  <w:style w:type="paragraph" w:styleId="NoSpacing">
    <w:name w:val="No Spacing"/>
    <w:uiPriority w:val="1"/>
    <w:qFormat/>
    <w:rsid w:val="00832962"/>
    <w:rPr>
      <w:rFonts w:asciiTheme="minorHAnsi" w:eastAsiaTheme="minorHAnsi" w:hAnsiTheme="minorHAnsi" w:cstheme="minorBidi"/>
      <w:sz w:val="22"/>
      <w:szCs w:val="22"/>
    </w:rPr>
  </w:style>
  <w:style w:type="paragraph" w:customStyle="1" w:styleId="OutlineL1">
    <w:name w:val="Outline_L1"/>
    <w:basedOn w:val="Normal"/>
    <w:link w:val="OutlineL1Char"/>
    <w:autoRedefine/>
    <w:rsid w:val="00E65F38"/>
    <w:pPr>
      <w:keepNext/>
      <w:keepLines/>
      <w:numPr>
        <w:numId w:val="19"/>
      </w:numPr>
      <w:spacing w:before="120" w:after="360" w:line="240" w:lineRule="auto"/>
      <w:jc w:val="center"/>
      <w:outlineLvl w:val="0"/>
    </w:pPr>
    <w:rPr>
      <w:rFonts w:ascii="Times New Roman" w:hAnsi="Times New Roman"/>
      <w:b/>
      <w:caps/>
      <w:lang w:val="x-none" w:eastAsia="x-none"/>
    </w:rPr>
  </w:style>
  <w:style w:type="paragraph" w:customStyle="1" w:styleId="OutlineL2">
    <w:name w:val="Outline_L2"/>
    <w:basedOn w:val="OutlineL1"/>
    <w:rsid w:val="00E65F38"/>
    <w:pPr>
      <w:numPr>
        <w:ilvl w:val="1"/>
      </w:numPr>
      <w:jc w:val="left"/>
      <w:outlineLvl w:val="1"/>
    </w:pPr>
    <w:rPr>
      <w:b w:val="0"/>
      <w:caps w:val="0"/>
    </w:rPr>
  </w:style>
  <w:style w:type="paragraph" w:customStyle="1" w:styleId="OutlineL3">
    <w:name w:val="Outline_L3"/>
    <w:basedOn w:val="OutlineL2"/>
    <w:rsid w:val="00E65F38"/>
    <w:pPr>
      <w:keepNext w:val="0"/>
      <w:keepLines w:val="0"/>
      <w:numPr>
        <w:ilvl w:val="2"/>
      </w:numPr>
      <w:spacing w:after="120" w:line="480" w:lineRule="auto"/>
      <w:outlineLvl w:val="2"/>
    </w:pPr>
  </w:style>
  <w:style w:type="paragraph" w:customStyle="1" w:styleId="OutlineL4">
    <w:name w:val="Outline_L4"/>
    <w:basedOn w:val="OutlineL3"/>
    <w:rsid w:val="00E65F38"/>
    <w:pPr>
      <w:numPr>
        <w:ilvl w:val="3"/>
      </w:numPr>
      <w:tabs>
        <w:tab w:val="clear" w:pos="3150"/>
        <w:tab w:val="num" w:pos="2160"/>
      </w:tabs>
      <w:spacing w:after="0"/>
      <w:ind w:left="0"/>
      <w:outlineLvl w:val="3"/>
    </w:pPr>
  </w:style>
  <w:style w:type="paragraph" w:customStyle="1" w:styleId="OutlineL5">
    <w:name w:val="Outline_L5"/>
    <w:basedOn w:val="OutlineL4"/>
    <w:rsid w:val="00E65F38"/>
    <w:pPr>
      <w:numPr>
        <w:ilvl w:val="4"/>
      </w:numPr>
      <w:tabs>
        <w:tab w:val="left" w:pos="2160"/>
      </w:tabs>
      <w:spacing w:after="240"/>
      <w:outlineLvl w:val="4"/>
    </w:pPr>
  </w:style>
  <w:style w:type="paragraph" w:customStyle="1" w:styleId="OutlineL6">
    <w:name w:val="Outline_L6"/>
    <w:basedOn w:val="OutlineL5"/>
    <w:rsid w:val="00E65F38"/>
    <w:pPr>
      <w:numPr>
        <w:ilvl w:val="5"/>
      </w:numPr>
      <w:outlineLvl w:val="5"/>
    </w:pPr>
  </w:style>
  <w:style w:type="paragraph" w:customStyle="1" w:styleId="OutlineL7">
    <w:name w:val="Outline_L7"/>
    <w:basedOn w:val="OutlineL6"/>
    <w:rsid w:val="00E65F38"/>
    <w:pPr>
      <w:numPr>
        <w:ilvl w:val="6"/>
      </w:numPr>
      <w:outlineLvl w:val="6"/>
    </w:pPr>
  </w:style>
  <w:style w:type="paragraph" w:customStyle="1" w:styleId="OutlineL8">
    <w:name w:val="Outline_L8"/>
    <w:basedOn w:val="OutlineL7"/>
    <w:rsid w:val="00E65F38"/>
    <w:pPr>
      <w:numPr>
        <w:ilvl w:val="7"/>
      </w:numPr>
      <w:outlineLvl w:val="7"/>
    </w:pPr>
  </w:style>
  <w:style w:type="paragraph" w:customStyle="1" w:styleId="OutlineL9">
    <w:name w:val="Outline_L9"/>
    <w:basedOn w:val="OutlineL8"/>
    <w:rsid w:val="00E65F38"/>
    <w:pPr>
      <w:numPr>
        <w:ilvl w:val="8"/>
      </w:numPr>
      <w:outlineLvl w:val="8"/>
    </w:pPr>
  </w:style>
  <w:style w:type="character" w:customStyle="1" w:styleId="OutlineL1Char">
    <w:name w:val="Outline_L1 Char"/>
    <w:link w:val="OutlineL1"/>
    <w:rsid w:val="005D67E3"/>
    <w:rPr>
      <w:b/>
      <w:caps/>
      <w:sz w:val="24"/>
      <w:lang w:val="x-none" w:eastAsia="x-none"/>
    </w:rPr>
  </w:style>
  <w:style w:type="paragraph" w:customStyle="1" w:styleId="FirmDouble">
    <w:name w:val="Firm Double"/>
    <w:basedOn w:val="Normal"/>
    <w:rsid w:val="0034707B"/>
    <w:pPr>
      <w:spacing w:line="480" w:lineRule="auto"/>
    </w:pPr>
    <w:rPr>
      <w:rFonts w:ascii="Times New Roman" w:hAnsi="Times New Roman"/>
      <w:szCs w:val="24"/>
    </w:rPr>
  </w:style>
  <w:style w:type="paragraph" w:customStyle="1" w:styleId="FirmQuote">
    <w:name w:val="Firm Quote"/>
    <w:basedOn w:val="Normal"/>
    <w:rsid w:val="0034707B"/>
    <w:pPr>
      <w:spacing w:before="240" w:after="240" w:line="240" w:lineRule="auto"/>
      <w:ind w:left="1440" w:right="1440"/>
    </w:pPr>
    <w:rPr>
      <w:rFonts w:ascii="Times New Roman" w:hAnsi="Times New Roman"/>
      <w:szCs w:val="24"/>
    </w:rPr>
  </w:style>
  <w:style w:type="paragraph" w:customStyle="1" w:styleId="FirmSingle">
    <w:name w:val="Firm Single"/>
    <w:basedOn w:val="Normal"/>
    <w:rsid w:val="0034707B"/>
    <w:pPr>
      <w:spacing w:after="240" w:line="240" w:lineRule="auto"/>
    </w:pPr>
    <w:rPr>
      <w:rFonts w:ascii="Times New Roman" w:hAnsi="Times New Roman"/>
      <w:szCs w:val="24"/>
    </w:rPr>
  </w:style>
  <w:style w:type="paragraph" w:customStyle="1" w:styleId="Bullet5">
    <w:name w:val="*Bullet .5"/>
    <w:basedOn w:val="Normal"/>
    <w:rsid w:val="00757FF6"/>
    <w:pPr>
      <w:numPr>
        <w:numId w:val="35"/>
      </w:numPr>
      <w:spacing w:after="240" w:line="240" w:lineRule="auto"/>
    </w:pPr>
    <w:rPr>
      <w:rFonts w:ascii="Times New Roman" w:hAnsi="Times New Roman"/>
    </w:rPr>
  </w:style>
  <w:style w:type="paragraph" w:customStyle="1" w:styleId="Default">
    <w:name w:val="Default"/>
    <w:rsid w:val="000F44A7"/>
    <w:pPr>
      <w:widowControl w:val="0"/>
      <w:autoSpaceDE w:val="0"/>
      <w:autoSpaceDN w:val="0"/>
      <w:adjustRightInd w:val="0"/>
    </w:pPr>
    <w:rPr>
      <w:rFonts w:eastAsiaTheme="minorEastAsia"/>
      <w:color w:val="000000"/>
      <w:sz w:val="24"/>
      <w:szCs w:val="24"/>
    </w:rPr>
  </w:style>
  <w:style w:type="paragraph" w:styleId="BalloonText">
    <w:name w:val="Balloon Text"/>
    <w:basedOn w:val="Normal"/>
    <w:link w:val="BalloonTextChar"/>
    <w:rsid w:val="00443E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43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13946">
      <w:bodyDiv w:val="1"/>
      <w:marLeft w:val="0"/>
      <w:marRight w:val="0"/>
      <w:marTop w:val="0"/>
      <w:marBottom w:val="0"/>
      <w:divBdr>
        <w:top w:val="none" w:sz="0" w:space="0" w:color="auto"/>
        <w:left w:val="none" w:sz="0" w:space="0" w:color="auto"/>
        <w:bottom w:val="none" w:sz="0" w:space="0" w:color="auto"/>
        <w:right w:val="none" w:sz="0" w:space="0" w:color="auto"/>
      </w:divBdr>
    </w:div>
    <w:div w:id="176688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BAF3-73E9-4C53-A4C0-752CB9C3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87</Pages>
  <Words>25745</Words>
  <Characters>146752</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172153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Reitenbach, Dawn</cp:lastModifiedBy>
  <cp:revision>4</cp:revision>
  <cp:lastPrinted>2015-03-11T12:44:00Z</cp:lastPrinted>
  <dcterms:created xsi:type="dcterms:W3CDTF">2015-03-16T18:21:00Z</dcterms:created>
  <dcterms:modified xsi:type="dcterms:W3CDTF">2015-04-08T18:31:00Z</dcterms:modified>
</cp:coreProperties>
</file>