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436007" w:rsidP="00436007">
      <w:pPr>
        <w:spacing w:line="240" w:lineRule="auto"/>
        <w:rPr>
          <w:b/>
        </w:rPr>
      </w:pPr>
      <w:r>
        <w:rPr>
          <w:b/>
        </w:rPr>
        <w:t>BEFORE THE</w:t>
      </w:r>
    </w:p>
    <w:p w:rsidR="00436007" w:rsidRDefault="00436007" w:rsidP="00436007">
      <w:pPr>
        <w:spacing w:line="240" w:lineRule="auto"/>
        <w:rPr>
          <w:b/>
        </w:rPr>
      </w:pPr>
      <w:r>
        <w:rPr>
          <w:b/>
        </w:rPr>
        <w:t>PENNSYLVANIA PUBLIC UTILITY COMMISSION</w:t>
      </w:r>
    </w:p>
    <w:p w:rsidR="00436007" w:rsidRDefault="00436007" w:rsidP="00436007">
      <w:pPr>
        <w:spacing w:line="240" w:lineRule="auto"/>
        <w:rPr>
          <w:b/>
        </w:rPr>
      </w:pPr>
    </w:p>
    <w:p w:rsidR="00436007" w:rsidRDefault="00436007" w:rsidP="00436007">
      <w:pPr>
        <w:spacing w:line="240" w:lineRule="auto"/>
        <w:rPr>
          <w:b/>
        </w:rPr>
      </w:pPr>
    </w:p>
    <w:p w:rsidR="00646999" w:rsidRDefault="00646999" w:rsidP="00436007">
      <w:pPr>
        <w:spacing w:line="240" w:lineRule="auto"/>
        <w:rPr>
          <w:b/>
        </w:rPr>
      </w:pPr>
    </w:p>
    <w:p w:rsidR="00436007" w:rsidRDefault="00436007" w:rsidP="00436007">
      <w:pPr>
        <w:spacing w:line="240" w:lineRule="auto"/>
        <w:jc w:val="left"/>
      </w:pPr>
      <w:r>
        <w:t xml:space="preserve">Loren </w:t>
      </w:r>
      <w:r w:rsidR="0088107A">
        <w:t xml:space="preserve">J. </w:t>
      </w:r>
      <w:proofErr w:type="spellStart"/>
      <w:r w:rsidR="0088107A">
        <w:t>H</w:t>
      </w:r>
      <w:r>
        <w:t>ulber</w:t>
      </w:r>
      <w:proofErr w:type="spellEnd"/>
      <w:r>
        <w:tab/>
      </w:r>
      <w:r>
        <w:tab/>
      </w:r>
      <w:r>
        <w:tab/>
      </w:r>
      <w:r>
        <w:tab/>
      </w:r>
      <w:r>
        <w:tab/>
        <w:t>:</w:t>
      </w:r>
    </w:p>
    <w:p w:rsidR="00436007" w:rsidRDefault="00436007" w:rsidP="00436007">
      <w:pPr>
        <w:spacing w:line="240" w:lineRule="auto"/>
        <w:jc w:val="left"/>
      </w:pPr>
      <w:r>
        <w:tab/>
      </w:r>
      <w:r>
        <w:tab/>
      </w:r>
      <w:r>
        <w:tab/>
      </w:r>
      <w:r>
        <w:tab/>
      </w:r>
      <w:r>
        <w:tab/>
      </w:r>
      <w:r>
        <w:tab/>
      </w:r>
      <w:r>
        <w:tab/>
        <w:t>:</w:t>
      </w:r>
    </w:p>
    <w:p w:rsidR="00436007" w:rsidRDefault="00436007" w:rsidP="00436007">
      <w:pPr>
        <w:spacing w:line="240" w:lineRule="auto"/>
        <w:jc w:val="left"/>
      </w:pPr>
      <w:r>
        <w:tab/>
        <w:t>v.</w:t>
      </w:r>
      <w:r>
        <w:tab/>
      </w:r>
      <w:r>
        <w:tab/>
      </w:r>
      <w:r>
        <w:tab/>
      </w:r>
      <w:r>
        <w:tab/>
      </w:r>
      <w:r>
        <w:tab/>
      </w:r>
      <w:r>
        <w:tab/>
        <w:t>:</w:t>
      </w:r>
      <w:r>
        <w:tab/>
      </w:r>
      <w:r>
        <w:tab/>
      </w:r>
      <w:r>
        <w:tab/>
        <w:t>C-2014-2418167</w:t>
      </w:r>
    </w:p>
    <w:p w:rsidR="00436007" w:rsidRDefault="00436007" w:rsidP="00436007">
      <w:pPr>
        <w:spacing w:line="240" w:lineRule="auto"/>
        <w:jc w:val="left"/>
      </w:pPr>
      <w:r>
        <w:tab/>
      </w:r>
      <w:r>
        <w:tab/>
      </w:r>
      <w:r>
        <w:tab/>
      </w:r>
      <w:r>
        <w:tab/>
      </w:r>
      <w:r>
        <w:tab/>
      </w:r>
      <w:r>
        <w:tab/>
      </w:r>
      <w:r>
        <w:tab/>
        <w:t>:</w:t>
      </w:r>
    </w:p>
    <w:p w:rsidR="00436007" w:rsidRDefault="00436007" w:rsidP="00436007">
      <w:pPr>
        <w:spacing w:line="240" w:lineRule="auto"/>
        <w:jc w:val="left"/>
      </w:pPr>
      <w:r>
        <w:t>PPL Electric Utilities Corporation</w:t>
      </w:r>
      <w:r>
        <w:tab/>
      </w:r>
      <w:r>
        <w:tab/>
      </w:r>
      <w:r>
        <w:tab/>
        <w:t>:</w:t>
      </w:r>
    </w:p>
    <w:p w:rsidR="00436007" w:rsidRDefault="00436007" w:rsidP="00436007">
      <w:pPr>
        <w:spacing w:line="240" w:lineRule="auto"/>
        <w:jc w:val="left"/>
      </w:pPr>
    </w:p>
    <w:p w:rsidR="00436007" w:rsidRDefault="00436007" w:rsidP="00436007">
      <w:pPr>
        <w:spacing w:line="240" w:lineRule="auto"/>
        <w:jc w:val="left"/>
      </w:pPr>
    </w:p>
    <w:p w:rsidR="00646999" w:rsidRDefault="00646999" w:rsidP="00436007">
      <w:pPr>
        <w:spacing w:line="240" w:lineRule="auto"/>
        <w:jc w:val="left"/>
      </w:pPr>
    </w:p>
    <w:p w:rsidR="00436007" w:rsidRDefault="00436007" w:rsidP="00436007">
      <w:pPr>
        <w:spacing w:line="240" w:lineRule="auto"/>
        <w:rPr>
          <w:b/>
          <w:u w:val="single"/>
        </w:rPr>
      </w:pPr>
      <w:r>
        <w:rPr>
          <w:b/>
          <w:u w:val="single"/>
        </w:rPr>
        <w:t>INITIAL DECISION</w:t>
      </w:r>
    </w:p>
    <w:p w:rsidR="00436007" w:rsidRDefault="00436007" w:rsidP="00436007">
      <w:pPr>
        <w:spacing w:line="240" w:lineRule="auto"/>
        <w:rPr>
          <w:b/>
          <w:u w:val="single"/>
        </w:rPr>
      </w:pPr>
    </w:p>
    <w:p w:rsidR="00646999" w:rsidRDefault="00646999" w:rsidP="00436007">
      <w:pPr>
        <w:spacing w:line="240" w:lineRule="auto"/>
        <w:rPr>
          <w:b/>
          <w:u w:val="single"/>
        </w:rPr>
      </w:pPr>
    </w:p>
    <w:p w:rsidR="00436007" w:rsidRDefault="00436007" w:rsidP="00436007">
      <w:pPr>
        <w:spacing w:line="240" w:lineRule="auto"/>
      </w:pPr>
      <w:r>
        <w:t>Before</w:t>
      </w:r>
    </w:p>
    <w:p w:rsidR="00436007" w:rsidRDefault="00436007" w:rsidP="00436007">
      <w:pPr>
        <w:spacing w:line="240" w:lineRule="auto"/>
      </w:pPr>
      <w:r>
        <w:t>Susan D. Colwell</w:t>
      </w:r>
    </w:p>
    <w:p w:rsidR="00436007" w:rsidRDefault="00436007" w:rsidP="00436007">
      <w:pPr>
        <w:spacing w:line="240" w:lineRule="auto"/>
      </w:pPr>
      <w:r>
        <w:t>Administrative Law Judge</w:t>
      </w:r>
    </w:p>
    <w:p w:rsidR="00436007" w:rsidRDefault="00436007" w:rsidP="00436007">
      <w:pPr>
        <w:spacing w:line="240" w:lineRule="auto"/>
      </w:pPr>
    </w:p>
    <w:p w:rsidR="007D0975" w:rsidRDefault="007D0975" w:rsidP="00436007">
      <w:pPr>
        <w:spacing w:line="240" w:lineRule="auto"/>
      </w:pPr>
    </w:p>
    <w:p w:rsidR="007D0975" w:rsidRDefault="007D0975" w:rsidP="00436007">
      <w:pPr>
        <w:spacing w:line="240" w:lineRule="auto"/>
        <w:rPr>
          <w:u w:val="single"/>
        </w:rPr>
      </w:pPr>
      <w:r>
        <w:rPr>
          <w:u w:val="single"/>
        </w:rPr>
        <w:t>INTRODUCTION</w:t>
      </w:r>
    </w:p>
    <w:p w:rsidR="007D0975" w:rsidRDefault="007D0975" w:rsidP="00436007">
      <w:pPr>
        <w:spacing w:line="240" w:lineRule="auto"/>
        <w:rPr>
          <w:u w:val="single"/>
        </w:rPr>
      </w:pPr>
    </w:p>
    <w:p w:rsidR="00646999" w:rsidRDefault="00646999" w:rsidP="00436007">
      <w:pPr>
        <w:spacing w:line="240" w:lineRule="auto"/>
        <w:rPr>
          <w:u w:val="single"/>
        </w:rPr>
      </w:pPr>
    </w:p>
    <w:p w:rsidR="007D0975" w:rsidRPr="007D0975" w:rsidRDefault="007D0975" w:rsidP="007D0975">
      <w:pPr>
        <w:jc w:val="left"/>
      </w:pPr>
      <w:r>
        <w:tab/>
      </w:r>
      <w:r>
        <w:tab/>
        <w:t>This Initial Decision</w:t>
      </w:r>
      <w:r w:rsidR="00DB5B16">
        <w:t xml:space="preserve"> dismisses a formal complaint seeking an exemption to the tariff requirement that </w:t>
      </w:r>
      <w:r w:rsidR="006B161B">
        <w:t xml:space="preserve">prevents </w:t>
      </w:r>
      <w:r w:rsidR="00DB5B16">
        <w:t xml:space="preserve">separately metered services for safety lights and a </w:t>
      </w:r>
      <w:r w:rsidR="006B161B">
        <w:t>garage/</w:t>
      </w:r>
      <w:r w:rsidR="00DB5B16">
        <w:t xml:space="preserve">greenhouse associated with a residence be classified as residential </w:t>
      </w:r>
      <w:r w:rsidR="006B161B">
        <w:t xml:space="preserve">accounts </w:t>
      </w:r>
      <w:r w:rsidR="00DB5B16">
        <w:t xml:space="preserve">even though they do not fit the definition in the tariff. </w:t>
      </w:r>
    </w:p>
    <w:p w:rsidR="00436007" w:rsidRDefault="00436007" w:rsidP="00436007">
      <w:pPr>
        <w:spacing w:line="240" w:lineRule="auto"/>
      </w:pPr>
    </w:p>
    <w:p w:rsidR="00436007" w:rsidRDefault="00436007" w:rsidP="00436007">
      <w:pPr>
        <w:spacing w:line="240" w:lineRule="auto"/>
        <w:rPr>
          <w:u w:val="single"/>
        </w:rPr>
      </w:pPr>
      <w:r>
        <w:rPr>
          <w:u w:val="single"/>
        </w:rPr>
        <w:t>HISTORY OF THE PROCEEDING</w:t>
      </w:r>
    </w:p>
    <w:p w:rsidR="00436007" w:rsidRDefault="00436007" w:rsidP="00436007">
      <w:pPr>
        <w:spacing w:line="240" w:lineRule="auto"/>
        <w:rPr>
          <w:u w:val="single"/>
        </w:rPr>
      </w:pPr>
    </w:p>
    <w:p w:rsidR="00436007" w:rsidRDefault="00436007" w:rsidP="00436007">
      <w:pPr>
        <w:spacing w:line="240" w:lineRule="auto"/>
        <w:rPr>
          <w:u w:val="single"/>
        </w:rPr>
      </w:pPr>
    </w:p>
    <w:p w:rsidR="00436007" w:rsidRDefault="00436007" w:rsidP="00436007">
      <w:pPr>
        <w:jc w:val="left"/>
      </w:pPr>
      <w:r>
        <w:tab/>
      </w:r>
      <w:r>
        <w:tab/>
        <w:t xml:space="preserve">On April 2, 2014, Loren </w:t>
      </w:r>
      <w:r w:rsidR="0088107A">
        <w:t xml:space="preserve">J. </w:t>
      </w:r>
      <w:proofErr w:type="spellStart"/>
      <w:r>
        <w:t>Hulber</w:t>
      </w:r>
      <w:proofErr w:type="spellEnd"/>
      <w:r>
        <w:t xml:space="preserve"> (Complainant) filed a formal Complaint requesting a waiver or exemption of a provision of the tariff of PPL Electric Utilities Corporation (PPL or Respondent) which would allow all three of the electric accounts on his property to be billed at the residential rate</w:t>
      </w:r>
      <w:r w:rsidR="007C230A">
        <w:t>, where only the meter serving the house is rated residential now.</w:t>
      </w:r>
      <w:r>
        <w:t xml:space="preserve">  He indicated that he and his wife live on an old farm property with a detached garage and a small greenhouse and that there are safety lights located at the entrance to their lane as recommended by the Pennsylvania State Police to deter vandalism.  There is no commercial or business activity on their property, but the garage and greenhouse have a separate meter, and there is an additional </w:t>
      </w:r>
      <w:r>
        <w:lastRenderedPageBreak/>
        <w:t>separate meter for the safety lights.  Those two meters are billed at a higher rate than the house meter.</w:t>
      </w:r>
    </w:p>
    <w:p w:rsidR="00436007" w:rsidRDefault="00436007" w:rsidP="00436007">
      <w:pPr>
        <w:jc w:val="left"/>
      </w:pPr>
    </w:p>
    <w:p w:rsidR="00436007" w:rsidRDefault="00436007" w:rsidP="00436007">
      <w:pPr>
        <w:jc w:val="left"/>
      </w:pPr>
      <w:r>
        <w:tab/>
      </w:r>
      <w:r>
        <w:tab/>
        <w:t>The Commission's Secretary served the Complaint on April 25, 2014.</w:t>
      </w:r>
    </w:p>
    <w:p w:rsidR="00436007" w:rsidRDefault="00436007" w:rsidP="00436007">
      <w:pPr>
        <w:jc w:val="left"/>
      </w:pPr>
    </w:p>
    <w:p w:rsidR="00436007" w:rsidRDefault="00436007" w:rsidP="00436007">
      <w:pPr>
        <w:jc w:val="left"/>
      </w:pPr>
      <w:r>
        <w:tab/>
      </w:r>
      <w:r>
        <w:tab/>
        <w:t xml:space="preserve">On May 15, 2014, Respondent filed its Answer admitting that the Complainant is billed consistent with the applicable PPL Electric tariff.  </w:t>
      </w:r>
    </w:p>
    <w:p w:rsidR="002833EE" w:rsidRDefault="002833EE" w:rsidP="00436007">
      <w:pPr>
        <w:jc w:val="left"/>
      </w:pPr>
    </w:p>
    <w:p w:rsidR="002833EE" w:rsidRDefault="002833EE" w:rsidP="00436007">
      <w:pPr>
        <w:jc w:val="left"/>
      </w:pPr>
      <w:r>
        <w:tab/>
      </w:r>
      <w:r>
        <w:tab/>
        <w:t xml:space="preserve">On May 19, 2014, a Telephonic Hearing Notice was issued which scheduled the hearing for Monday, June 30, 2014, and assigned the case to me.  </w:t>
      </w:r>
    </w:p>
    <w:p w:rsidR="002833EE" w:rsidRDefault="002833EE" w:rsidP="00436007">
      <w:pPr>
        <w:jc w:val="left"/>
      </w:pPr>
    </w:p>
    <w:p w:rsidR="002833EE" w:rsidRDefault="002833EE" w:rsidP="00436007">
      <w:pPr>
        <w:jc w:val="left"/>
      </w:pPr>
      <w:r>
        <w:tab/>
      </w:r>
      <w:r>
        <w:tab/>
        <w:t>On May 20, 2014, I issued a prehearing order which set forth some of the requirements of a formal hearing before the Commission.</w:t>
      </w:r>
    </w:p>
    <w:p w:rsidR="002833EE" w:rsidRDefault="002833EE" w:rsidP="00436007">
      <w:pPr>
        <w:jc w:val="left"/>
      </w:pPr>
    </w:p>
    <w:p w:rsidR="002833EE" w:rsidRDefault="002833EE" w:rsidP="00436007">
      <w:pPr>
        <w:jc w:val="left"/>
      </w:pPr>
      <w:r>
        <w:tab/>
      </w:r>
      <w:r>
        <w:tab/>
        <w:t>Pursuant to request, the hearing was rescheduled for Friday, July 18, 2014 by cancellation/reschedule notice issued July 3, 2014.</w:t>
      </w:r>
    </w:p>
    <w:p w:rsidR="002833EE" w:rsidRDefault="002833EE" w:rsidP="00436007">
      <w:pPr>
        <w:jc w:val="left"/>
      </w:pPr>
    </w:p>
    <w:p w:rsidR="007D0975" w:rsidRDefault="002833EE" w:rsidP="00436007">
      <w:pPr>
        <w:jc w:val="left"/>
      </w:pPr>
      <w:r>
        <w:tab/>
      </w:r>
      <w:r>
        <w:tab/>
        <w:t xml:space="preserve">The hearing was held as scheduled, with Respondent represented by Kimberly G. Krupka, Esq., and the Complainant appearing on his own behalf.  PPL Electric presented one witness, who sponsored the submission of six exhibits.  The hearing resulted in a transcript of 28 pages.  </w:t>
      </w:r>
    </w:p>
    <w:p w:rsidR="007D0975" w:rsidRDefault="007D0975" w:rsidP="00436007">
      <w:pPr>
        <w:jc w:val="left"/>
      </w:pPr>
    </w:p>
    <w:p w:rsidR="007D0975" w:rsidRDefault="007D0975" w:rsidP="00436007">
      <w:pPr>
        <w:jc w:val="left"/>
      </w:pPr>
      <w:r>
        <w:tab/>
      </w:r>
      <w:r>
        <w:tab/>
        <w:t xml:space="preserve">Following the hearing, PPL discovered that it had supplied information which </w:t>
      </w:r>
      <w:r w:rsidR="003F216D">
        <w:t>required correction,</w:t>
      </w:r>
      <w:r w:rsidR="006B161B">
        <w:rPr>
          <w:rStyle w:val="FootnoteReference"/>
        </w:rPr>
        <w:footnoteReference w:id="1"/>
      </w:r>
      <w:r w:rsidR="003F216D">
        <w:t xml:space="preserve"> and submitted its corrected exhibits to Complainant, who asked for an opportunity to cross</w:t>
      </w:r>
      <w:r w:rsidR="00CA4513">
        <w:t>-</w:t>
      </w:r>
      <w:r w:rsidR="003F216D">
        <w:t xml:space="preserve">examine PPL's witness on the new information.  Another hearing was scheduled for Wednesday, November 5, 2014, by notice issued October 15, 2014.  On the day of the hearing, Complainant called and stated that he was at a hospital and set to go into surgery.  He asked for a continuance, which was not opposed by counsel for PPL.  Accordingly, a telephonic hearing notice was issued on December 3, 2014, scheduling the further hearing for Thursday, December 11, 2014. </w:t>
      </w:r>
    </w:p>
    <w:p w:rsidR="003F216D" w:rsidRDefault="003F216D" w:rsidP="00436007">
      <w:pPr>
        <w:jc w:val="left"/>
      </w:pPr>
    </w:p>
    <w:p w:rsidR="002833EE" w:rsidRDefault="003F216D" w:rsidP="00436007">
      <w:pPr>
        <w:jc w:val="left"/>
      </w:pPr>
      <w:r>
        <w:tab/>
      </w:r>
      <w:r>
        <w:tab/>
        <w:t xml:space="preserve">The hearing was convened as scheduled, with PPL witness Johnson recalled to testify.  A transcript </w:t>
      </w:r>
      <w:r w:rsidR="007C230A">
        <w:t>contain</w:t>
      </w:r>
      <w:r>
        <w:t xml:space="preserve">ing pages 31 to 61 was generated, and the record closed upon its receipt on January 22, 2015.  </w:t>
      </w:r>
      <w:r w:rsidR="002833EE">
        <w:t>The matter is ripe for decision.</w:t>
      </w:r>
    </w:p>
    <w:p w:rsidR="002833EE" w:rsidRDefault="002833EE" w:rsidP="00436007">
      <w:pPr>
        <w:jc w:val="left"/>
      </w:pPr>
    </w:p>
    <w:p w:rsidR="002833EE" w:rsidRDefault="002833EE" w:rsidP="002833EE">
      <w:pPr>
        <w:rPr>
          <w:u w:val="single"/>
        </w:rPr>
      </w:pPr>
      <w:r>
        <w:rPr>
          <w:u w:val="single"/>
        </w:rPr>
        <w:t>FINDINGS OF FACT</w:t>
      </w:r>
    </w:p>
    <w:p w:rsidR="002833EE" w:rsidRDefault="002833EE" w:rsidP="002833EE">
      <w:pPr>
        <w:rPr>
          <w:u w:val="single"/>
        </w:rPr>
      </w:pPr>
    </w:p>
    <w:p w:rsidR="002833EE" w:rsidRDefault="002833EE" w:rsidP="002833EE">
      <w:pPr>
        <w:jc w:val="left"/>
      </w:pPr>
      <w:r>
        <w:tab/>
      </w:r>
      <w:r>
        <w:tab/>
        <w:t>1.</w:t>
      </w:r>
      <w:r>
        <w:tab/>
        <w:t xml:space="preserve">Complainant is Loren </w:t>
      </w:r>
      <w:proofErr w:type="spellStart"/>
      <w:r>
        <w:t>Hulber</w:t>
      </w:r>
      <w:proofErr w:type="spellEnd"/>
      <w:r>
        <w:t xml:space="preserve">, 7250 Saint Peter's Road, </w:t>
      </w:r>
      <w:proofErr w:type="gramStart"/>
      <w:r>
        <w:t>Macungie</w:t>
      </w:r>
      <w:proofErr w:type="gramEnd"/>
      <w:r>
        <w:t xml:space="preserve"> PA 18062.  </w:t>
      </w:r>
    </w:p>
    <w:p w:rsidR="002833EE" w:rsidRDefault="002833EE" w:rsidP="002833EE">
      <w:pPr>
        <w:jc w:val="left"/>
      </w:pPr>
    </w:p>
    <w:p w:rsidR="002833EE" w:rsidRDefault="002833EE" w:rsidP="002833EE">
      <w:pPr>
        <w:jc w:val="left"/>
      </w:pPr>
      <w:r>
        <w:tab/>
      </w:r>
      <w:r>
        <w:tab/>
        <w:t>2.</w:t>
      </w:r>
      <w:r>
        <w:tab/>
        <w:t>Respondent is PPL Electric Utilities Corporation, a jurisdictional public utility providing residential electric distribution service in the Commonwealth of Pennsylvania.</w:t>
      </w:r>
    </w:p>
    <w:p w:rsidR="002833EE" w:rsidRDefault="002833EE" w:rsidP="002833EE">
      <w:pPr>
        <w:jc w:val="left"/>
      </w:pPr>
    </w:p>
    <w:p w:rsidR="002833EE" w:rsidRDefault="002833EE" w:rsidP="002833EE">
      <w:pPr>
        <w:jc w:val="left"/>
      </w:pPr>
      <w:r>
        <w:tab/>
      </w:r>
      <w:r>
        <w:tab/>
        <w:t>3.</w:t>
      </w:r>
      <w:r>
        <w:tab/>
      </w:r>
      <w:r w:rsidR="009375F2">
        <w:t xml:space="preserve">Complainant and his wife live on an old farm property which has a detached garage and a small greenhouse, as well as safety lights at the entrance to their lane that is located a quarter mile from the farmhouse.  </w:t>
      </w:r>
      <w:proofErr w:type="gramStart"/>
      <w:r w:rsidR="009375F2">
        <w:t>Tr. 7.</w:t>
      </w:r>
      <w:proofErr w:type="gramEnd"/>
    </w:p>
    <w:p w:rsidR="009375F2" w:rsidRDefault="009375F2" w:rsidP="002833EE">
      <w:pPr>
        <w:jc w:val="left"/>
      </w:pPr>
    </w:p>
    <w:p w:rsidR="009375F2" w:rsidRDefault="009375F2" w:rsidP="002833EE">
      <w:pPr>
        <w:jc w:val="left"/>
      </w:pPr>
      <w:r>
        <w:tab/>
      </w:r>
      <w:r>
        <w:tab/>
        <w:t>4.</w:t>
      </w:r>
      <w:r>
        <w:tab/>
        <w:t xml:space="preserve">The safety lights are to deter vandalism.  </w:t>
      </w:r>
      <w:proofErr w:type="gramStart"/>
      <w:r>
        <w:t>Tr. 8.</w:t>
      </w:r>
      <w:proofErr w:type="gramEnd"/>
    </w:p>
    <w:p w:rsidR="009375F2" w:rsidRDefault="009375F2" w:rsidP="002833EE">
      <w:pPr>
        <w:jc w:val="left"/>
      </w:pPr>
    </w:p>
    <w:p w:rsidR="009375F2" w:rsidRDefault="009375F2" w:rsidP="002833EE">
      <w:pPr>
        <w:jc w:val="left"/>
      </w:pPr>
      <w:r>
        <w:tab/>
      </w:r>
      <w:r>
        <w:tab/>
        <w:t>5.</w:t>
      </w:r>
      <w:r>
        <w:tab/>
      </w:r>
      <w:r w:rsidR="00731614">
        <w:t>Electric service to t</w:t>
      </w:r>
      <w:r>
        <w:t xml:space="preserve">he safety lights </w:t>
      </w:r>
      <w:r w:rsidR="00731614">
        <w:t>is</w:t>
      </w:r>
      <w:r>
        <w:t xml:space="preserve"> from a drop line from PPL's service line into his farm and is separately metered because of the distance to the farmhouse.  </w:t>
      </w:r>
      <w:proofErr w:type="gramStart"/>
      <w:r>
        <w:t>Tr. 8.</w:t>
      </w:r>
      <w:proofErr w:type="gramEnd"/>
    </w:p>
    <w:p w:rsidR="009375F2" w:rsidRDefault="009375F2" w:rsidP="002833EE">
      <w:pPr>
        <w:jc w:val="left"/>
      </w:pPr>
    </w:p>
    <w:p w:rsidR="009375F2" w:rsidRDefault="009375F2" w:rsidP="002833EE">
      <w:pPr>
        <w:jc w:val="left"/>
      </w:pPr>
      <w:r>
        <w:tab/>
      </w:r>
      <w:r>
        <w:tab/>
        <w:t>6.</w:t>
      </w:r>
      <w:r>
        <w:tab/>
        <w:t>All of the farm</w:t>
      </w:r>
      <w:r w:rsidR="00731614">
        <w:t>ing</w:t>
      </w:r>
      <w:r>
        <w:t xml:space="preserve"> land is leased to others.  </w:t>
      </w:r>
      <w:proofErr w:type="gramStart"/>
      <w:r>
        <w:t>Tr. 8.</w:t>
      </w:r>
      <w:proofErr w:type="gramEnd"/>
    </w:p>
    <w:p w:rsidR="009375F2" w:rsidRDefault="009375F2" w:rsidP="002833EE">
      <w:pPr>
        <w:jc w:val="left"/>
      </w:pPr>
    </w:p>
    <w:p w:rsidR="009375F2" w:rsidRDefault="009375F2" w:rsidP="002833EE">
      <w:pPr>
        <w:jc w:val="left"/>
      </w:pPr>
      <w:r>
        <w:tab/>
      </w:r>
      <w:r>
        <w:tab/>
        <w:t>7.</w:t>
      </w:r>
      <w:r>
        <w:tab/>
        <w:t xml:space="preserve">There is no business or commercial activity at his location.  </w:t>
      </w:r>
      <w:proofErr w:type="gramStart"/>
      <w:r>
        <w:t>Tr. 8.</w:t>
      </w:r>
      <w:proofErr w:type="gramEnd"/>
    </w:p>
    <w:p w:rsidR="009375F2" w:rsidRDefault="009375F2" w:rsidP="002833EE">
      <w:pPr>
        <w:jc w:val="left"/>
      </w:pPr>
    </w:p>
    <w:p w:rsidR="009375F2" w:rsidRDefault="009375F2" w:rsidP="002833EE">
      <w:pPr>
        <w:jc w:val="left"/>
      </w:pPr>
      <w:r>
        <w:tab/>
      </w:r>
      <w:r>
        <w:tab/>
        <w:t>8.</w:t>
      </w:r>
      <w:r>
        <w:tab/>
        <w:t xml:space="preserve">The house account is billed at the residential rate.  </w:t>
      </w:r>
      <w:proofErr w:type="gramStart"/>
      <w:r>
        <w:t>Tr. 8.</w:t>
      </w:r>
      <w:proofErr w:type="gramEnd"/>
    </w:p>
    <w:p w:rsidR="009375F2" w:rsidRDefault="009375F2" w:rsidP="002833EE">
      <w:pPr>
        <w:jc w:val="left"/>
      </w:pPr>
    </w:p>
    <w:p w:rsidR="009375F2" w:rsidRDefault="009375F2" w:rsidP="002833EE">
      <w:pPr>
        <w:jc w:val="left"/>
      </w:pPr>
      <w:r>
        <w:tab/>
      </w:r>
      <w:r>
        <w:tab/>
        <w:t>9.</w:t>
      </w:r>
      <w:r>
        <w:tab/>
        <w:t xml:space="preserve">The attached garage and small greenhouse are located about 500 feet from the house and are on a separate meter.  </w:t>
      </w:r>
      <w:proofErr w:type="gramStart"/>
      <w:r>
        <w:t>Tr. 8.</w:t>
      </w:r>
      <w:proofErr w:type="gramEnd"/>
    </w:p>
    <w:p w:rsidR="009375F2" w:rsidRDefault="009375F2" w:rsidP="002833EE">
      <w:pPr>
        <w:jc w:val="left"/>
      </w:pPr>
    </w:p>
    <w:p w:rsidR="009375F2" w:rsidRDefault="009375F2" w:rsidP="002833EE">
      <w:pPr>
        <w:jc w:val="left"/>
      </w:pPr>
      <w:r>
        <w:tab/>
      </w:r>
      <w:r>
        <w:tab/>
        <w:t>10.</w:t>
      </w:r>
      <w:r>
        <w:tab/>
        <w:t xml:space="preserve">The garage/greenhouse meter and the safety lights meter are billed at commercial rates.  </w:t>
      </w:r>
      <w:proofErr w:type="gramStart"/>
      <w:r>
        <w:t>Tr. 9.</w:t>
      </w:r>
      <w:proofErr w:type="gramEnd"/>
    </w:p>
    <w:p w:rsidR="009375F2" w:rsidRDefault="009375F2" w:rsidP="002833EE">
      <w:pPr>
        <w:jc w:val="left"/>
      </w:pPr>
    </w:p>
    <w:p w:rsidR="009375F2" w:rsidRDefault="009375F2" w:rsidP="002833EE">
      <w:pPr>
        <w:jc w:val="left"/>
      </w:pPr>
      <w:r>
        <w:tab/>
      </w:r>
      <w:r>
        <w:tab/>
        <w:t>11.</w:t>
      </w:r>
      <w:r>
        <w:tab/>
        <w:t xml:space="preserve">The commercial rate is approximately 25% higher for Complainant than the same service would be at residential rates.  </w:t>
      </w:r>
      <w:proofErr w:type="gramStart"/>
      <w:r>
        <w:t>Tr. 9.</w:t>
      </w:r>
      <w:proofErr w:type="gramEnd"/>
    </w:p>
    <w:p w:rsidR="009375F2" w:rsidRDefault="009375F2" w:rsidP="002833EE">
      <w:pPr>
        <w:jc w:val="left"/>
      </w:pPr>
    </w:p>
    <w:p w:rsidR="009375F2" w:rsidRDefault="009375F2" w:rsidP="002833EE">
      <w:pPr>
        <w:jc w:val="left"/>
      </w:pPr>
      <w:r>
        <w:tab/>
      </w:r>
      <w:r>
        <w:tab/>
        <w:t>12.</w:t>
      </w:r>
      <w:r>
        <w:tab/>
      </w:r>
      <w:r w:rsidR="00682ED4">
        <w:t xml:space="preserve">Bethany Johnson, </w:t>
      </w:r>
      <w:r w:rsidR="00731614">
        <w:t>M</w:t>
      </w:r>
      <w:r w:rsidR="00682ED4">
        <w:t xml:space="preserve">anager of Regulatory Compliance for PPL, appeared and testified on behalf of Respondent.  </w:t>
      </w:r>
      <w:proofErr w:type="gramStart"/>
      <w:r w:rsidR="00682ED4">
        <w:t>Tr. 12.</w:t>
      </w:r>
      <w:proofErr w:type="gramEnd"/>
    </w:p>
    <w:p w:rsidR="00682ED4" w:rsidRDefault="00682ED4" w:rsidP="002833EE">
      <w:pPr>
        <w:jc w:val="left"/>
      </w:pPr>
    </w:p>
    <w:p w:rsidR="00682ED4" w:rsidRDefault="00682ED4" w:rsidP="002833EE">
      <w:pPr>
        <w:jc w:val="left"/>
      </w:pPr>
      <w:r>
        <w:tab/>
      </w:r>
      <w:r>
        <w:tab/>
        <w:t>13.</w:t>
      </w:r>
      <w:r>
        <w:tab/>
        <w:t xml:space="preserve">PPL Exhibit 1-A is an account activity statement </w:t>
      </w:r>
      <w:r w:rsidR="00814FD7">
        <w:t xml:space="preserve">the safety lights, </w:t>
      </w:r>
      <w:r>
        <w:t>account number 74500-00000, which is billed at the GS-1 rate.  Tr. 14</w:t>
      </w:r>
      <w:r w:rsidR="00814FD7">
        <w:t>-15</w:t>
      </w:r>
      <w:r>
        <w:t>.</w:t>
      </w:r>
    </w:p>
    <w:p w:rsidR="00682ED4" w:rsidRDefault="00682ED4" w:rsidP="002833EE">
      <w:pPr>
        <w:jc w:val="left"/>
      </w:pPr>
    </w:p>
    <w:p w:rsidR="00682ED4" w:rsidRDefault="00682ED4" w:rsidP="002833EE">
      <w:pPr>
        <w:jc w:val="left"/>
      </w:pPr>
      <w:r>
        <w:tab/>
      </w:r>
      <w:r>
        <w:tab/>
        <w:t>14.</w:t>
      </w:r>
      <w:r>
        <w:tab/>
      </w:r>
      <w:r w:rsidR="00814FD7">
        <w:t xml:space="preserve">PPL Exhibit 1-B is the account activity statement for the house, account number 18100-17005, which is billed at the residential rate.  </w:t>
      </w:r>
      <w:proofErr w:type="gramStart"/>
      <w:r w:rsidR="00814FD7">
        <w:t>Tr. 15.</w:t>
      </w:r>
      <w:proofErr w:type="gramEnd"/>
    </w:p>
    <w:p w:rsidR="00814FD7" w:rsidRDefault="00814FD7" w:rsidP="002833EE">
      <w:pPr>
        <w:jc w:val="left"/>
      </w:pPr>
    </w:p>
    <w:p w:rsidR="00814FD7" w:rsidRDefault="00814FD7" w:rsidP="002833EE">
      <w:pPr>
        <w:jc w:val="left"/>
      </w:pPr>
      <w:r>
        <w:tab/>
      </w:r>
      <w:r>
        <w:tab/>
        <w:t>15.</w:t>
      </w:r>
      <w:r>
        <w:tab/>
        <w:t>PPL Exhibit 1-C is the account activity statement for the greenhouse and garage, account number 99341-66005, which is billed at the GS-</w:t>
      </w:r>
      <w:r w:rsidR="006F0137">
        <w:t>3</w:t>
      </w:r>
      <w:r>
        <w:t xml:space="preserve"> rate.  </w:t>
      </w:r>
      <w:proofErr w:type="gramStart"/>
      <w:r>
        <w:t>Tr. 16.</w:t>
      </w:r>
      <w:proofErr w:type="gramEnd"/>
    </w:p>
    <w:p w:rsidR="00814FD7" w:rsidRDefault="00814FD7" w:rsidP="002833EE">
      <w:pPr>
        <w:jc w:val="left"/>
      </w:pPr>
    </w:p>
    <w:p w:rsidR="00814FD7" w:rsidRDefault="00814FD7" w:rsidP="002833EE">
      <w:pPr>
        <w:jc w:val="left"/>
      </w:pPr>
      <w:r>
        <w:tab/>
      </w:r>
      <w:r>
        <w:tab/>
        <w:t>16.</w:t>
      </w:r>
      <w:r>
        <w:tab/>
        <w:t xml:space="preserve">PPL Exhibit 4-A is a copy of the PPL tariff for Rate Schedule RS Residential Service.  </w:t>
      </w:r>
      <w:proofErr w:type="gramStart"/>
      <w:r>
        <w:t>Tr. 17.</w:t>
      </w:r>
      <w:proofErr w:type="gramEnd"/>
    </w:p>
    <w:p w:rsidR="00814FD7" w:rsidRDefault="00814FD7" w:rsidP="002833EE">
      <w:pPr>
        <w:jc w:val="left"/>
      </w:pPr>
    </w:p>
    <w:p w:rsidR="00814FD7" w:rsidRDefault="00814FD7" w:rsidP="002833EE">
      <w:pPr>
        <w:jc w:val="left"/>
      </w:pPr>
      <w:r>
        <w:tab/>
      </w:r>
      <w:r>
        <w:tab/>
        <w:t>17.</w:t>
      </w:r>
      <w:r>
        <w:tab/>
        <w:t xml:space="preserve">Residential service is for single-phase residential service.  </w:t>
      </w:r>
      <w:proofErr w:type="gramStart"/>
      <w:r>
        <w:t>Tr. 17; PPL Exhibit 4-A.</w:t>
      </w:r>
      <w:proofErr w:type="gramEnd"/>
    </w:p>
    <w:p w:rsidR="00814FD7" w:rsidRDefault="00814FD7" w:rsidP="002833EE">
      <w:pPr>
        <w:jc w:val="left"/>
      </w:pPr>
    </w:p>
    <w:p w:rsidR="00BF7557" w:rsidRDefault="00814FD7" w:rsidP="002833EE">
      <w:pPr>
        <w:jc w:val="left"/>
      </w:pPr>
      <w:r>
        <w:tab/>
      </w:r>
      <w:r>
        <w:tab/>
        <w:t>18.</w:t>
      </w:r>
      <w:r>
        <w:tab/>
        <w:t>The RS service applies to a dwelling, which is defined as</w:t>
      </w:r>
      <w:r w:rsidR="00BF7557">
        <w:t xml:space="preserve"> consisting of at least</w:t>
      </w:r>
      <w:r>
        <w:t xml:space="preserve"> a living space consisting of permanent provision for shelter, dining, sleeping and cooking with provisions for permanent electric, wate</w:t>
      </w:r>
      <w:r w:rsidR="00BF7557">
        <w:t xml:space="preserve">r and sanitation services.  </w:t>
      </w:r>
      <w:proofErr w:type="gramStart"/>
      <w:r w:rsidR="00BF7557">
        <w:t>Tr. 18</w:t>
      </w:r>
      <w:r>
        <w:t>;</w:t>
      </w:r>
      <w:r w:rsidR="00BF7557">
        <w:t xml:space="preserve"> PPL Ex. 4-A.</w:t>
      </w:r>
      <w:proofErr w:type="gramEnd"/>
      <w:r>
        <w:t xml:space="preserve"> </w:t>
      </w:r>
    </w:p>
    <w:p w:rsidR="00BF7557" w:rsidRDefault="00BF7557" w:rsidP="002833EE">
      <w:pPr>
        <w:jc w:val="left"/>
      </w:pPr>
    </w:p>
    <w:p w:rsidR="00BF7557" w:rsidRDefault="00BF7557" w:rsidP="002833EE">
      <w:pPr>
        <w:jc w:val="left"/>
      </w:pPr>
      <w:r>
        <w:tab/>
      </w:r>
      <w:r>
        <w:tab/>
      </w:r>
      <w:r w:rsidR="00CA4513">
        <w:t>19</w:t>
      </w:r>
      <w:r>
        <w:t>.</w:t>
      </w:r>
      <w:r>
        <w:tab/>
        <w:t xml:space="preserve">The greenhouse/garage meter and the safety lights meter do not serve a dwelling.  </w:t>
      </w:r>
      <w:proofErr w:type="gramStart"/>
      <w:r>
        <w:t>Tr. 18.</w:t>
      </w:r>
      <w:proofErr w:type="gramEnd"/>
    </w:p>
    <w:p w:rsidR="003F216D" w:rsidRDefault="003F216D" w:rsidP="002833EE">
      <w:pPr>
        <w:jc w:val="left"/>
      </w:pPr>
    </w:p>
    <w:p w:rsidR="00C16A4A" w:rsidRDefault="003F216D" w:rsidP="002833EE">
      <w:pPr>
        <w:jc w:val="left"/>
      </w:pPr>
      <w:r>
        <w:tab/>
      </w:r>
      <w:r>
        <w:tab/>
        <w:t>2</w:t>
      </w:r>
      <w:r w:rsidR="00CA4513">
        <w:t>0</w:t>
      </w:r>
      <w:r>
        <w:t>.</w:t>
      </w:r>
      <w:r>
        <w:tab/>
      </w:r>
      <w:r w:rsidR="00C16A4A">
        <w:t xml:space="preserve">PPL Exhibit 5 is a letter dated September 2, 2014 from Sharon </w:t>
      </w:r>
      <w:proofErr w:type="spellStart"/>
      <w:r w:rsidR="00C16A4A">
        <w:t>Armbruster</w:t>
      </w:r>
      <w:proofErr w:type="spellEnd"/>
      <w:r w:rsidR="00C16A4A">
        <w:t xml:space="preserve">, Supervisor, Business Accounts at PPL Electric informing Complainant that his greenhouse/garage is not connected with three-phase service, and that in accordance with PPL's tariff, the fate will be changed to GS1/G1D effective with the September 2014 monthly bill.  </w:t>
      </w:r>
      <w:proofErr w:type="gramStart"/>
      <w:r w:rsidR="00C16A4A">
        <w:t>Tr. 36; PPL Ex. 5.</w:t>
      </w:r>
      <w:proofErr w:type="gramEnd"/>
    </w:p>
    <w:p w:rsidR="00C16A4A" w:rsidRDefault="00C16A4A" w:rsidP="002833EE">
      <w:pPr>
        <w:jc w:val="left"/>
      </w:pPr>
    </w:p>
    <w:p w:rsidR="00C16A4A" w:rsidRDefault="00C16A4A" w:rsidP="002833EE">
      <w:pPr>
        <w:jc w:val="left"/>
      </w:pPr>
      <w:r>
        <w:tab/>
      </w:r>
      <w:r>
        <w:tab/>
        <w:t>2</w:t>
      </w:r>
      <w:r w:rsidR="00E701B2">
        <w:t>1</w:t>
      </w:r>
      <w:r>
        <w:t>.</w:t>
      </w:r>
      <w:r>
        <w:tab/>
        <w:t xml:space="preserve">The change from Schedule GS1/G1D reduced the monthly customer charge from $40 to $16, and increased the rate from $4.192 per kW to $4.236 per kW.  </w:t>
      </w:r>
      <w:proofErr w:type="gramStart"/>
      <w:r>
        <w:t>PPL Ex. 5; Tr. 40.</w:t>
      </w:r>
      <w:proofErr w:type="gramEnd"/>
    </w:p>
    <w:p w:rsidR="00BF7557" w:rsidRDefault="00BF7557" w:rsidP="002833EE">
      <w:pPr>
        <w:jc w:val="left"/>
      </w:pPr>
    </w:p>
    <w:p w:rsidR="006548E0" w:rsidRDefault="00BF7557" w:rsidP="006548E0">
      <w:pPr>
        <w:jc w:val="left"/>
      </w:pPr>
      <w:r>
        <w:tab/>
      </w:r>
      <w:r>
        <w:tab/>
      </w:r>
      <w:r w:rsidR="005938AA">
        <w:t>2</w:t>
      </w:r>
      <w:r w:rsidR="00E701B2">
        <w:t>2</w:t>
      </w:r>
      <w:r>
        <w:t>.</w:t>
      </w:r>
      <w:r>
        <w:tab/>
      </w:r>
      <w:r w:rsidR="006548E0">
        <w:t xml:space="preserve">Complainant would qualify for all residential rates if he were to provide a single entry point to a single meter on his property.  </w:t>
      </w:r>
      <w:proofErr w:type="gramStart"/>
      <w:r w:rsidR="006548E0">
        <w:t>Tr. 20.</w:t>
      </w:r>
      <w:proofErr w:type="gramEnd"/>
    </w:p>
    <w:p w:rsidR="006548E0" w:rsidRDefault="006548E0" w:rsidP="006548E0">
      <w:pPr>
        <w:jc w:val="left"/>
      </w:pPr>
    </w:p>
    <w:p w:rsidR="006548E0" w:rsidRDefault="006548E0" w:rsidP="006548E0">
      <w:pPr>
        <w:jc w:val="left"/>
      </w:pPr>
      <w:r>
        <w:tab/>
      </w:r>
      <w:r>
        <w:tab/>
        <w:t>2</w:t>
      </w:r>
      <w:r w:rsidR="00E701B2">
        <w:t>3</w:t>
      </w:r>
      <w:r>
        <w:t>.</w:t>
      </w:r>
      <w:r w:rsidR="00E701B2">
        <w:tab/>
        <w:t>Conversion to the single meter</w:t>
      </w:r>
      <w:r>
        <w:t xml:space="preserve"> service would be at the customer's expense.  </w:t>
      </w:r>
      <w:proofErr w:type="gramStart"/>
      <w:r>
        <w:t>Tr. 20.</w:t>
      </w:r>
      <w:proofErr w:type="gramEnd"/>
    </w:p>
    <w:p w:rsidR="006548E0" w:rsidRDefault="006548E0" w:rsidP="006548E0">
      <w:pPr>
        <w:jc w:val="left"/>
      </w:pPr>
    </w:p>
    <w:p w:rsidR="006548E0" w:rsidRDefault="006548E0" w:rsidP="006548E0">
      <w:pPr>
        <w:jc w:val="left"/>
      </w:pPr>
      <w:r>
        <w:tab/>
      </w:r>
      <w:r>
        <w:tab/>
        <w:t>2</w:t>
      </w:r>
      <w:r w:rsidR="00E701B2">
        <w:t>4</w:t>
      </w:r>
      <w:r>
        <w:t>.</w:t>
      </w:r>
      <w:r>
        <w:tab/>
        <w:t xml:space="preserve">PPL Exhibit 4-B is the tariff rate schedule for GS-1 service, small general service, </w:t>
      </w:r>
      <w:proofErr w:type="gramStart"/>
      <w:r>
        <w:t>secondary</w:t>
      </w:r>
      <w:proofErr w:type="gramEnd"/>
      <w:r>
        <w:t xml:space="preserve"> voltage.  </w:t>
      </w:r>
      <w:proofErr w:type="gramStart"/>
      <w:r>
        <w:t>Tr. 21.</w:t>
      </w:r>
      <w:proofErr w:type="gramEnd"/>
      <w:r>
        <w:t xml:space="preserve">   </w:t>
      </w:r>
    </w:p>
    <w:p w:rsidR="006548E0" w:rsidRDefault="006548E0" w:rsidP="006548E0">
      <w:pPr>
        <w:jc w:val="left"/>
      </w:pPr>
    </w:p>
    <w:p w:rsidR="006548E0" w:rsidRDefault="006548E0" w:rsidP="006548E0">
      <w:pPr>
        <w:jc w:val="left"/>
      </w:pPr>
      <w:r>
        <w:tab/>
      </w:r>
      <w:r>
        <w:tab/>
        <w:t>2</w:t>
      </w:r>
      <w:r w:rsidR="00E701B2">
        <w:t>5</w:t>
      </w:r>
      <w:r>
        <w:t>.</w:t>
      </w:r>
      <w:r>
        <w:tab/>
        <w:t xml:space="preserve">PPL Exhibit 4-C is the tariff rate schedule for GS-3, which is large general services, secondary voltage, which </w:t>
      </w:r>
      <w:r w:rsidR="00E701B2">
        <w:t xml:space="preserve">had </w:t>
      </w:r>
      <w:r>
        <w:t>applie</w:t>
      </w:r>
      <w:r w:rsidR="00E701B2">
        <w:t>d</w:t>
      </w:r>
      <w:r>
        <w:t xml:space="preserve"> to the greenhouse/garage</w:t>
      </w:r>
      <w:r w:rsidR="00E701B2">
        <w:t xml:space="preserve"> prior to September 2014</w:t>
      </w:r>
      <w:r>
        <w:t xml:space="preserve">.  </w:t>
      </w:r>
      <w:proofErr w:type="gramStart"/>
      <w:r>
        <w:t>Tr. 22</w:t>
      </w:r>
      <w:r w:rsidR="00E701B2">
        <w:t>; PPL Exhibit 5</w:t>
      </w:r>
      <w:r>
        <w:t>.</w:t>
      </w:r>
      <w:proofErr w:type="gramEnd"/>
      <w:r>
        <w:t xml:space="preserve">   </w:t>
      </w:r>
    </w:p>
    <w:p w:rsidR="009375F2" w:rsidRDefault="009375F2" w:rsidP="002833EE">
      <w:pPr>
        <w:jc w:val="left"/>
      </w:pPr>
    </w:p>
    <w:p w:rsidR="009375F2" w:rsidRDefault="009375F2" w:rsidP="009375F2">
      <w:pPr>
        <w:rPr>
          <w:u w:val="single"/>
        </w:rPr>
      </w:pPr>
      <w:r>
        <w:rPr>
          <w:u w:val="single"/>
        </w:rPr>
        <w:t>DISCUSSION</w:t>
      </w:r>
    </w:p>
    <w:p w:rsidR="009375F2" w:rsidRDefault="009375F2" w:rsidP="009375F2">
      <w:pPr>
        <w:rPr>
          <w:u w:val="single"/>
        </w:rPr>
      </w:pPr>
    </w:p>
    <w:p w:rsidR="009375F2" w:rsidRDefault="009375F2" w:rsidP="009375F2">
      <w:pPr>
        <w:jc w:val="left"/>
      </w:pPr>
      <w:r>
        <w:tab/>
      </w:r>
      <w:r>
        <w:tab/>
        <w:t>Complainant and his wife live on an old farm property</w:t>
      </w:r>
      <w:r w:rsidR="0033012A">
        <w:t xml:space="preserve"> located a quarter mile from the public road.  They installed safety lights at the entrance to their lane, and the electric service to those lights comes from a line dropped from the service line at that location.  The distance is too far to run a line from the house.  </w:t>
      </w:r>
      <w:r w:rsidR="00731614">
        <w:t>Electric service to t</w:t>
      </w:r>
      <w:r w:rsidR="0033012A">
        <w:t xml:space="preserve">his </w:t>
      </w:r>
      <w:r w:rsidR="00731614">
        <w:t>lighting has its own</w:t>
      </w:r>
      <w:r w:rsidR="0033012A">
        <w:t xml:space="preserve"> meter.  </w:t>
      </w:r>
    </w:p>
    <w:p w:rsidR="0033012A" w:rsidRDefault="0033012A" w:rsidP="009375F2">
      <w:pPr>
        <w:jc w:val="left"/>
      </w:pPr>
    </w:p>
    <w:p w:rsidR="0033012A" w:rsidRDefault="0033012A" w:rsidP="009375F2">
      <w:pPr>
        <w:jc w:val="left"/>
      </w:pPr>
      <w:r>
        <w:tab/>
      </w:r>
      <w:r>
        <w:tab/>
        <w:t>In addition to the house, which is billed at a residential rate, there is a detached garage and greenhouse, which is located 500 feet from the house and is separately metered.  Although there is no business or commercial activity at the location, the two separate meters for the safety lights and garage/greenhouse are billed at the commercial rate</w:t>
      </w:r>
      <w:r w:rsidR="00731614">
        <w:t>s</w:t>
      </w:r>
      <w:r>
        <w:t xml:space="preserve"> in accordance </w:t>
      </w:r>
      <w:proofErr w:type="gramStart"/>
      <w:r>
        <w:t>with  Respondent's</w:t>
      </w:r>
      <w:proofErr w:type="gramEnd"/>
      <w:r>
        <w:t xml:space="preserve"> tariff.  Complainant seeks to have the Commission grant the authority to the Respondent to bill all three meters at the residential rate, which would save the Complainant about 25% on the commercially metered accounts.  </w:t>
      </w:r>
    </w:p>
    <w:p w:rsidR="0033012A" w:rsidRDefault="0033012A" w:rsidP="009375F2">
      <w:pPr>
        <w:jc w:val="left"/>
      </w:pPr>
    </w:p>
    <w:p w:rsidR="0033012A" w:rsidRDefault="0033012A" w:rsidP="0033012A">
      <w:pPr>
        <w:tabs>
          <w:tab w:val="left" w:pos="-1440"/>
          <w:tab w:val="left" w:pos="-720"/>
        </w:tabs>
        <w:suppressAutoHyphens/>
        <w:ind w:firstLine="1440"/>
        <w:jc w:val="left"/>
        <w:rPr>
          <w:spacing w:val="-3"/>
        </w:rPr>
      </w:pPr>
      <w:r>
        <w:rPr>
          <w:spacing w:val="-3"/>
        </w:rPr>
        <w:t xml:space="preserve">As the proponent, the Complainant bears the burden of proving that he is entitled to relief.  To establish a sufficient case and satisfy the burden of proof, complainant must show that respondent is responsible or accountable for the problem described in the Complaint.  </w:t>
      </w:r>
      <w:proofErr w:type="gramStart"/>
      <w:r>
        <w:rPr>
          <w:i/>
          <w:spacing w:val="-3"/>
        </w:rPr>
        <w:t>Patterson v. Bell Telephone Company of Pennsylvania</w:t>
      </w:r>
      <w:r>
        <w:rPr>
          <w:spacing w:val="-3"/>
        </w:rPr>
        <w:t xml:space="preserve">, 72 Pa. PUC 196 (1990), </w:t>
      </w:r>
      <w:r>
        <w:rPr>
          <w:i/>
          <w:spacing w:val="-3"/>
        </w:rPr>
        <w:t>Feinstein v. Philadelphia Suburban Water Company</w:t>
      </w:r>
      <w:r>
        <w:rPr>
          <w:spacing w:val="-3"/>
        </w:rPr>
        <w:t>, 50 Pa. PUC 300 (1976).</w:t>
      </w:r>
      <w:proofErr w:type="gramEnd"/>
      <w:r>
        <w:rPr>
          <w:spacing w:val="-3"/>
        </w:rPr>
        <w:t xml:space="preserve">  Such a showing must be by a preponderance of the evidence.  </w:t>
      </w:r>
      <w:proofErr w:type="gramStart"/>
      <w:r>
        <w:rPr>
          <w:i/>
          <w:spacing w:val="-3"/>
        </w:rPr>
        <w:t>Samuel J. Lansberry, Inc. v. Pa. Pub.</w:t>
      </w:r>
      <w:proofErr w:type="gramEnd"/>
      <w:r>
        <w:rPr>
          <w:i/>
          <w:spacing w:val="-3"/>
        </w:rPr>
        <w:t xml:space="preserve"> Util. Comm’n</w:t>
      </w:r>
      <w:r>
        <w:rPr>
          <w:spacing w:val="-3"/>
        </w:rPr>
        <w:t xml:space="preserve">, </w:t>
      </w:r>
      <w:proofErr w:type="gramStart"/>
      <w:r>
        <w:rPr>
          <w:spacing w:val="-3"/>
        </w:rPr>
        <w:t>134 Pa.Cmwlth</w:t>
      </w:r>
      <w:proofErr w:type="gramEnd"/>
      <w:r>
        <w:rPr>
          <w:spacing w:val="-3"/>
        </w:rPr>
        <w:t xml:space="preserve">. 218; 221-222, 578 A.2d 600; 602 (1990), </w:t>
      </w:r>
      <w:r>
        <w:rPr>
          <w:iCs/>
          <w:spacing w:val="-3"/>
        </w:rPr>
        <w:t>app. denied,</w:t>
      </w:r>
      <w:r>
        <w:rPr>
          <w:spacing w:val="-3"/>
        </w:rPr>
        <w:t xml:space="preserve"> 529 Pa. 654, 602 A.2d 863 (1992).  That is, by presenting evidence more convincing, by even the smallest amount, than that presented by the other party.  </w:t>
      </w:r>
      <w:proofErr w:type="gramStart"/>
      <w:r>
        <w:rPr>
          <w:i/>
          <w:spacing w:val="-3"/>
        </w:rPr>
        <w:t>Se-Ling Hosiery v. Margulies</w:t>
      </w:r>
      <w:r>
        <w:rPr>
          <w:spacing w:val="-3"/>
        </w:rPr>
        <w:t>, 364 Pa. 45, 70 A.2d 854 (1950).</w:t>
      </w:r>
      <w:proofErr w:type="gramEnd"/>
      <w:r>
        <w:rPr>
          <w:spacing w:val="-3"/>
        </w:rPr>
        <w:t xml:space="preserve">  Complainant must initially produce sufficient credible evidence to establish a prima facie case in order that complainant not lose summarily.  </w:t>
      </w:r>
      <w:proofErr w:type="gramStart"/>
      <w:r>
        <w:rPr>
          <w:i/>
          <w:spacing w:val="-3"/>
        </w:rPr>
        <w:t>Morrissey v. Dep’t of Highways</w:t>
      </w:r>
      <w:r>
        <w:rPr>
          <w:spacing w:val="-3"/>
        </w:rPr>
        <w:t>, 424 Pa. 87, 225 A.2d 895 (1967).</w:t>
      </w:r>
      <w:proofErr w:type="gramEnd"/>
      <w:r>
        <w:rPr>
          <w:spacing w:val="-3"/>
        </w:rPr>
        <w:t xml:space="preserve"> </w:t>
      </w:r>
    </w:p>
    <w:p w:rsidR="0033012A" w:rsidRDefault="0033012A" w:rsidP="0033012A">
      <w:pPr>
        <w:tabs>
          <w:tab w:val="left" w:pos="-1440"/>
          <w:tab w:val="left" w:pos="-720"/>
        </w:tabs>
        <w:suppressAutoHyphens/>
        <w:ind w:firstLine="1440"/>
        <w:jc w:val="left"/>
        <w:rPr>
          <w:spacing w:val="-3"/>
        </w:rPr>
      </w:pPr>
    </w:p>
    <w:p w:rsidR="0033012A" w:rsidRDefault="0033012A" w:rsidP="0033012A">
      <w:pPr>
        <w:tabs>
          <w:tab w:val="left" w:pos="-1440"/>
          <w:tab w:val="left" w:pos="-720"/>
        </w:tabs>
        <w:suppressAutoHyphens/>
        <w:ind w:firstLine="1440"/>
        <w:jc w:val="left"/>
        <w:rPr>
          <w:spacing w:val="-3"/>
        </w:rPr>
      </w:pPr>
      <w:r>
        <w:rPr>
          <w:spacing w:val="-3"/>
        </w:rPr>
        <w:t xml:space="preserve">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proofErr w:type="gramStart"/>
      <w:r>
        <w:rPr>
          <w:i/>
          <w:spacing w:val="-3"/>
        </w:rPr>
        <w:t>Milkie v. Pa. Pub.</w:t>
      </w:r>
      <w:proofErr w:type="gramEnd"/>
      <w:r>
        <w:rPr>
          <w:i/>
          <w:spacing w:val="-3"/>
        </w:rPr>
        <w:t xml:space="preserve"> </w:t>
      </w:r>
      <w:proofErr w:type="gramStart"/>
      <w:r>
        <w:rPr>
          <w:i/>
          <w:spacing w:val="-3"/>
        </w:rPr>
        <w:t>Util. Comm’n</w:t>
      </w:r>
      <w:r>
        <w:rPr>
          <w:spacing w:val="-3"/>
        </w:rPr>
        <w:t>, 768 A.2d 1217 (Pa.Cmwlth. 2001).</w:t>
      </w:r>
      <w:proofErr w:type="gramEnd"/>
      <w:r>
        <w:rPr>
          <w:spacing w:val="-3"/>
        </w:rPr>
        <w:t xml:space="preserve">  Additionally, any finding of fact necessary to support the Commission’s adjudication must be based upon substantial evidence.  </w:t>
      </w:r>
      <w:proofErr w:type="gramStart"/>
      <w:r>
        <w:rPr>
          <w:i/>
          <w:spacing w:val="-3"/>
        </w:rPr>
        <w:t>Mill v. Pa. Pub.</w:t>
      </w:r>
      <w:proofErr w:type="gramEnd"/>
      <w:r>
        <w:rPr>
          <w:i/>
          <w:spacing w:val="-3"/>
        </w:rPr>
        <w:t xml:space="preserve"> Utility Comm’n</w:t>
      </w:r>
      <w:r>
        <w:rPr>
          <w:spacing w:val="-3"/>
        </w:rPr>
        <w:t xml:space="preserve">, </w:t>
      </w:r>
      <w:proofErr w:type="gramStart"/>
      <w:r>
        <w:rPr>
          <w:spacing w:val="-3"/>
        </w:rPr>
        <w:t>67 Pa.Cmwlth</w:t>
      </w:r>
      <w:proofErr w:type="gramEnd"/>
      <w:r>
        <w:rPr>
          <w:spacing w:val="-3"/>
        </w:rPr>
        <w:t xml:space="preserve">. </w:t>
      </w:r>
      <w:proofErr w:type="gramStart"/>
      <w:r>
        <w:rPr>
          <w:spacing w:val="-3"/>
        </w:rPr>
        <w:t xml:space="preserve">597, 447 A.2d 1100 (1982), </w:t>
      </w:r>
      <w:r>
        <w:rPr>
          <w:i/>
          <w:spacing w:val="-3"/>
        </w:rPr>
        <w:t>Edan Transportation Corp. v. Pa. Pub.</w:t>
      </w:r>
      <w:proofErr w:type="gramEnd"/>
      <w:r>
        <w:rPr>
          <w:i/>
          <w:spacing w:val="-3"/>
        </w:rPr>
        <w:t xml:space="preserve"> Utility Comm’n</w:t>
      </w:r>
      <w:r>
        <w:rPr>
          <w:spacing w:val="-3"/>
        </w:rPr>
        <w:t xml:space="preserve">, </w:t>
      </w:r>
      <w:proofErr w:type="gramStart"/>
      <w:r>
        <w:rPr>
          <w:spacing w:val="-3"/>
        </w:rPr>
        <w:t>154 Pa.Cmwlth</w:t>
      </w:r>
      <w:proofErr w:type="gramEnd"/>
      <w:r>
        <w:rPr>
          <w:spacing w:val="-3"/>
        </w:rPr>
        <w:t xml:space="preserve">. </w:t>
      </w:r>
      <w:proofErr w:type="gramStart"/>
      <w:r>
        <w:rPr>
          <w:spacing w:val="-3"/>
        </w:rPr>
        <w:t>21, 623 A.2d 6 (1993), 2 Pa.C.S.</w:t>
      </w:r>
      <w:proofErr w:type="gramEnd"/>
      <w:r>
        <w:rPr>
          <w:spacing w:val="-3"/>
        </w:rPr>
        <w:t xml:space="preserve"> § 704.  Substantial evidence has been defined as such relevant evidence as a reasonable mind might accept as adequate to support a conclusion.  </w:t>
      </w:r>
      <w:proofErr w:type="spellStart"/>
      <w:proofErr w:type="gramStart"/>
      <w:r>
        <w:rPr>
          <w:i/>
          <w:spacing w:val="-3"/>
        </w:rPr>
        <w:t>Bethenergy</w:t>
      </w:r>
      <w:proofErr w:type="spellEnd"/>
      <w:r>
        <w:rPr>
          <w:i/>
          <w:spacing w:val="-3"/>
        </w:rPr>
        <w:t xml:space="preserve"> Mines, Inc. v. Workmen’s Compensation Appeal Bd. (</w:t>
      </w:r>
      <w:proofErr w:type="spellStart"/>
      <w:r>
        <w:rPr>
          <w:i/>
          <w:spacing w:val="-3"/>
        </w:rPr>
        <w:t>Skirpan</w:t>
      </w:r>
      <w:proofErr w:type="spellEnd"/>
      <w:r>
        <w:rPr>
          <w:i/>
          <w:spacing w:val="-3"/>
        </w:rPr>
        <w:t>)</w:t>
      </w:r>
      <w:r>
        <w:rPr>
          <w:spacing w:val="-3"/>
        </w:rPr>
        <w:t>, 531 Pa. 287, 612 A.2d 434 (1992).</w:t>
      </w:r>
      <w:proofErr w:type="gramEnd"/>
      <w:r>
        <w:rPr>
          <w:spacing w:val="-3"/>
        </w:rPr>
        <w:t xml:space="preserve">  More is required than a mere trace of evidence or a suspicion of the existence of a fact sought to be established.  </w:t>
      </w:r>
      <w:proofErr w:type="gramStart"/>
      <w:r>
        <w:rPr>
          <w:i/>
          <w:spacing w:val="-3"/>
        </w:rPr>
        <w:t>Norfolk and Western Ry. v. Pa. Pub.</w:t>
      </w:r>
      <w:proofErr w:type="gramEnd"/>
      <w:r>
        <w:rPr>
          <w:i/>
          <w:spacing w:val="-3"/>
        </w:rPr>
        <w:t xml:space="preserve"> </w:t>
      </w:r>
      <w:proofErr w:type="gramStart"/>
      <w:r>
        <w:rPr>
          <w:i/>
          <w:spacing w:val="-3"/>
        </w:rPr>
        <w:t>Util. Comm’n</w:t>
      </w:r>
      <w:r>
        <w:rPr>
          <w:spacing w:val="-3"/>
        </w:rPr>
        <w:t xml:space="preserve">, 489 Pa. 109, 413 A.2d 1037 (1980); </w:t>
      </w:r>
      <w:r>
        <w:rPr>
          <w:i/>
          <w:spacing w:val="-3"/>
        </w:rPr>
        <w:t>Erie Resistor Corp. v. Unemployment Compensation Bd. of Review</w:t>
      </w:r>
      <w:r>
        <w:rPr>
          <w:spacing w:val="-3"/>
        </w:rPr>
        <w:t xml:space="preserve">, 194 </w:t>
      </w:r>
      <w:proofErr w:type="spellStart"/>
      <w:r>
        <w:rPr>
          <w:spacing w:val="-3"/>
        </w:rPr>
        <w:t>Pa.Super</w:t>
      </w:r>
      <w:proofErr w:type="spellEnd"/>
      <w:r>
        <w:rPr>
          <w:spacing w:val="-3"/>
        </w:rPr>
        <w:t>.</w:t>
      </w:r>
      <w:proofErr w:type="gramEnd"/>
      <w:r>
        <w:rPr>
          <w:spacing w:val="-3"/>
        </w:rPr>
        <w:t xml:space="preserve"> </w:t>
      </w:r>
      <w:proofErr w:type="gramStart"/>
      <w:r>
        <w:rPr>
          <w:spacing w:val="-3"/>
        </w:rPr>
        <w:t xml:space="preserve">278, 166 A.2d 96 (1960); </w:t>
      </w:r>
      <w:r>
        <w:rPr>
          <w:i/>
          <w:spacing w:val="-3"/>
        </w:rPr>
        <w:t>Murphy v. Dep’t of Public Welfare</w:t>
      </w:r>
      <w:r>
        <w:rPr>
          <w:spacing w:val="-3"/>
        </w:rPr>
        <w:t>, 85 Pa.Cmwlth.</w:t>
      </w:r>
      <w:proofErr w:type="gramEnd"/>
      <w:r>
        <w:rPr>
          <w:spacing w:val="-3"/>
        </w:rPr>
        <w:t xml:space="preserve"> </w:t>
      </w:r>
      <w:proofErr w:type="gramStart"/>
      <w:r>
        <w:rPr>
          <w:spacing w:val="-3"/>
        </w:rPr>
        <w:t>23, 480 A.2d 382 (1984).</w:t>
      </w:r>
      <w:proofErr w:type="gramEnd"/>
    </w:p>
    <w:p w:rsidR="009914B0" w:rsidRDefault="009914B0" w:rsidP="0033012A">
      <w:pPr>
        <w:tabs>
          <w:tab w:val="left" w:pos="-1440"/>
          <w:tab w:val="left" w:pos="-720"/>
        </w:tabs>
        <w:suppressAutoHyphens/>
        <w:ind w:firstLine="1440"/>
        <w:jc w:val="left"/>
        <w:rPr>
          <w:spacing w:val="-3"/>
        </w:rPr>
      </w:pPr>
    </w:p>
    <w:p w:rsidR="00607F13" w:rsidRDefault="00607F13" w:rsidP="0033012A">
      <w:pPr>
        <w:tabs>
          <w:tab w:val="left" w:pos="-1440"/>
          <w:tab w:val="left" w:pos="-720"/>
        </w:tabs>
        <w:suppressAutoHyphens/>
        <w:ind w:firstLine="1440"/>
        <w:jc w:val="left"/>
        <w:rPr>
          <w:spacing w:val="-3"/>
        </w:rPr>
      </w:pPr>
      <w:r>
        <w:rPr>
          <w:spacing w:val="-3"/>
        </w:rPr>
        <w:t>Complainant is challenging the application of the Respondent's tariff provisions to his circumstances.  He believes that the fact that no commercial or business activity is occurring at his location means that he should be charged residential rates for all three meters.  Respondent counters that it is bound by the terms of its own tariff and two of the three meters are not eligible for residential rates under that tariff.</w:t>
      </w:r>
    </w:p>
    <w:p w:rsidR="00607F13" w:rsidRDefault="00607F13" w:rsidP="0033012A">
      <w:pPr>
        <w:tabs>
          <w:tab w:val="left" w:pos="-1440"/>
          <w:tab w:val="left" w:pos="-720"/>
        </w:tabs>
        <w:suppressAutoHyphens/>
        <w:ind w:firstLine="1440"/>
        <w:jc w:val="left"/>
        <w:rPr>
          <w:spacing w:val="-3"/>
        </w:rPr>
      </w:pPr>
    </w:p>
    <w:p w:rsidR="009914B0" w:rsidRDefault="009914B0" w:rsidP="0033012A">
      <w:pPr>
        <w:tabs>
          <w:tab w:val="left" w:pos="-1440"/>
          <w:tab w:val="left" w:pos="-720"/>
        </w:tabs>
        <w:suppressAutoHyphens/>
        <w:ind w:firstLine="1440"/>
        <w:jc w:val="left"/>
        <w:rPr>
          <w:spacing w:val="-3"/>
        </w:rPr>
      </w:pPr>
      <w:r>
        <w:rPr>
          <w:spacing w:val="-3"/>
        </w:rPr>
        <w:t xml:space="preserve">Commission-approved tariffs have the force and effect of law and are binding on both the utility and the Commission.  </w:t>
      </w:r>
      <w:proofErr w:type="gramStart"/>
      <w:r>
        <w:rPr>
          <w:i/>
          <w:spacing w:val="-3"/>
        </w:rPr>
        <w:t>PPL Electric Utilities Corporation v. Pa. Pub.</w:t>
      </w:r>
      <w:proofErr w:type="gramEnd"/>
      <w:r>
        <w:rPr>
          <w:i/>
          <w:spacing w:val="-3"/>
        </w:rPr>
        <w:t xml:space="preserve"> </w:t>
      </w:r>
      <w:proofErr w:type="gramStart"/>
      <w:r>
        <w:rPr>
          <w:i/>
          <w:spacing w:val="-3"/>
        </w:rPr>
        <w:t xml:space="preserve">Util. Comm'n, </w:t>
      </w:r>
      <w:r>
        <w:rPr>
          <w:spacing w:val="-3"/>
        </w:rPr>
        <w:t xml:space="preserve">912 A.2d 387, 402 (Pa.Cmwlth. 2006); </w:t>
      </w:r>
      <w:r>
        <w:rPr>
          <w:i/>
          <w:spacing w:val="-3"/>
        </w:rPr>
        <w:t>Pennsylvania Electric Co. v. Pa. Pub.</w:t>
      </w:r>
      <w:proofErr w:type="gramEnd"/>
      <w:r>
        <w:rPr>
          <w:i/>
          <w:spacing w:val="-3"/>
        </w:rPr>
        <w:t xml:space="preserve"> </w:t>
      </w:r>
      <w:proofErr w:type="gramStart"/>
      <w:r>
        <w:rPr>
          <w:i/>
          <w:spacing w:val="-3"/>
        </w:rPr>
        <w:t xml:space="preserve">Util. Comm'n, </w:t>
      </w:r>
      <w:r>
        <w:rPr>
          <w:spacing w:val="-3"/>
        </w:rPr>
        <w:t xml:space="preserve">663 A.2d 281, 284 (Pa.Cmwlth. 1994); </w:t>
      </w:r>
      <w:r>
        <w:rPr>
          <w:i/>
          <w:spacing w:val="-3"/>
        </w:rPr>
        <w:t>Brockway Glass Co. v. Pa. Pub.</w:t>
      </w:r>
      <w:proofErr w:type="gramEnd"/>
      <w:r>
        <w:rPr>
          <w:i/>
          <w:spacing w:val="-3"/>
        </w:rPr>
        <w:t xml:space="preserve"> </w:t>
      </w:r>
      <w:proofErr w:type="gramStart"/>
      <w:r>
        <w:rPr>
          <w:i/>
          <w:spacing w:val="-3"/>
        </w:rPr>
        <w:t>Util. Comm'n</w:t>
      </w:r>
      <w:r>
        <w:rPr>
          <w:spacing w:val="-3"/>
        </w:rPr>
        <w:t>, 437 A.2d 1067, 1070 (Pa.Cmwlth. 1981).</w:t>
      </w:r>
      <w:proofErr w:type="gramEnd"/>
      <w:r>
        <w:rPr>
          <w:spacing w:val="-3"/>
        </w:rPr>
        <w:t xml:space="preserve">  The Commission is not empowered to grant exceptions but must find that the tariff provisions in question are in some way discriminatory</w:t>
      </w:r>
      <w:r w:rsidR="00FA0952">
        <w:rPr>
          <w:spacing w:val="-3"/>
        </w:rPr>
        <w:t xml:space="preserve"> either on their face or in application</w:t>
      </w:r>
      <w:r>
        <w:rPr>
          <w:spacing w:val="-3"/>
        </w:rPr>
        <w:t xml:space="preserve">.  </w:t>
      </w:r>
      <w:proofErr w:type="gramStart"/>
      <w:r>
        <w:rPr>
          <w:spacing w:val="-3"/>
        </w:rPr>
        <w:t>66 Pa.C.S.</w:t>
      </w:r>
      <w:proofErr w:type="gramEnd"/>
      <w:r>
        <w:rPr>
          <w:spacing w:val="-3"/>
        </w:rPr>
        <w:t xml:space="preserve"> § 1304.  The proponent of a finding of discrimination of an existing, approved tariff bears a heavy burden.</w:t>
      </w:r>
    </w:p>
    <w:p w:rsidR="009914B0" w:rsidRDefault="009914B0" w:rsidP="0033012A">
      <w:pPr>
        <w:tabs>
          <w:tab w:val="left" w:pos="-1440"/>
          <w:tab w:val="left" w:pos="-720"/>
        </w:tabs>
        <w:suppressAutoHyphens/>
        <w:ind w:firstLine="1440"/>
        <w:jc w:val="left"/>
        <w:rPr>
          <w:spacing w:val="-3"/>
        </w:rPr>
      </w:pPr>
    </w:p>
    <w:p w:rsidR="002833EE" w:rsidRDefault="002833EE" w:rsidP="00436007">
      <w:pPr>
        <w:jc w:val="left"/>
      </w:pPr>
      <w:r>
        <w:tab/>
      </w:r>
      <w:r w:rsidR="00682ED4">
        <w:tab/>
        <w:t xml:space="preserve">Complainant argues that the spirit of the law and PPL tariff support his request to be billed at the residential rate because the tariff actually states that when more than one rate is based on the anticipated service conditions, the customer has the option of contracting for service under any applicable rate schedule. </w:t>
      </w:r>
      <w:proofErr w:type="gramStart"/>
      <w:r w:rsidR="00682ED4">
        <w:t>Tr. 10.</w:t>
      </w:r>
      <w:proofErr w:type="gramEnd"/>
      <w:r w:rsidR="00682ED4">
        <w:t xml:space="preserve">  </w:t>
      </w:r>
    </w:p>
    <w:p w:rsidR="00682ED4" w:rsidRDefault="00682ED4" w:rsidP="00436007">
      <w:pPr>
        <w:jc w:val="left"/>
      </w:pPr>
    </w:p>
    <w:p w:rsidR="00682ED4" w:rsidRDefault="00682ED4" w:rsidP="00436007">
      <w:pPr>
        <w:jc w:val="left"/>
      </w:pPr>
      <w:r>
        <w:tab/>
      </w:r>
      <w:r>
        <w:tab/>
        <w:t xml:space="preserve">He states that all three of these meters would be consolidated into one service but for the distances involved, and that it is hardly fair that the same service to another, smaller premise would be billed at a lower rate.  </w:t>
      </w:r>
    </w:p>
    <w:p w:rsidR="00682ED4" w:rsidRDefault="00682ED4" w:rsidP="00436007">
      <w:pPr>
        <w:jc w:val="left"/>
      </w:pPr>
    </w:p>
    <w:p w:rsidR="00682ED4" w:rsidRDefault="00682ED4" w:rsidP="00436007">
      <w:pPr>
        <w:jc w:val="left"/>
      </w:pPr>
      <w:r>
        <w:tab/>
      </w:r>
      <w:r>
        <w:tab/>
        <w:t xml:space="preserve">He argues that his request is consistent with the mission statement of the Commission, which is to balance the needs of consumers and utilities.  After all, he states, billing at a higher rate is not reasonable and allowing the residential rate to be applied to all three meters at his residence is reasonable.  </w:t>
      </w:r>
      <w:r w:rsidR="005938AA">
        <w:t xml:space="preserve">He points out that this policy may have started when the meters were read by a human meter reader, and that the cost of covering reading three meters instead of one might have justified the Company's policy.  Now, however, PPL's meters are read remotely, and </w:t>
      </w:r>
      <w:r w:rsidR="00587E16">
        <w:t xml:space="preserve">since the process is </w:t>
      </w:r>
      <w:r w:rsidR="005938AA">
        <w:t>no longer labor intensive</w:t>
      </w:r>
      <w:r w:rsidR="00587E16">
        <w:t>, this policy is outdated</w:t>
      </w:r>
      <w:r w:rsidR="005938AA">
        <w:t xml:space="preserve">.  </w:t>
      </w:r>
    </w:p>
    <w:p w:rsidR="00BF7557" w:rsidRDefault="00BF7557" w:rsidP="00436007">
      <w:pPr>
        <w:jc w:val="left"/>
      </w:pPr>
    </w:p>
    <w:p w:rsidR="006548E0" w:rsidRDefault="00BF7557" w:rsidP="00436007">
      <w:pPr>
        <w:jc w:val="left"/>
      </w:pPr>
      <w:r>
        <w:tab/>
      </w:r>
      <w:r>
        <w:tab/>
        <w:t>Respondent</w:t>
      </w:r>
      <w:r w:rsidR="00607F13">
        <w:t>'s witness countered</w:t>
      </w:r>
      <w:r>
        <w:t xml:space="preserve"> that, other than the single-phase service to the house itself, the facilities of the Complainant do not lend themselves to treatment as residential.  There ar</w:t>
      </w:r>
      <w:r w:rsidR="00FA0952">
        <w:t>e presently three meters</w:t>
      </w:r>
      <w:r w:rsidR="00365BC0">
        <w:t xml:space="preserve">, and </w:t>
      </w:r>
      <w:r>
        <w:t xml:space="preserve">PPL has different facilities for each meter and incurs additional costs accordingly.  </w:t>
      </w:r>
    </w:p>
    <w:p w:rsidR="006548E0" w:rsidRDefault="006548E0" w:rsidP="00436007">
      <w:pPr>
        <w:jc w:val="left"/>
      </w:pPr>
    </w:p>
    <w:p w:rsidR="009914B0" w:rsidRDefault="006548E0" w:rsidP="00436007">
      <w:pPr>
        <w:jc w:val="left"/>
      </w:pPr>
      <w:r>
        <w:tab/>
      </w:r>
      <w:r>
        <w:tab/>
        <w:t xml:space="preserve">PPL Witness Johnson testified that Complainant could qualify for all residential rates if he were to provide a single entry point to a single meter on his property.  </w:t>
      </w:r>
      <w:proofErr w:type="gramStart"/>
      <w:r>
        <w:t>Tr. 20</w:t>
      </w:r>
      <w:r w:rsidR="009914B0">
        <w:t>.</w:t>
      </w:r>
      <w:proofErr w:type="gramEnd"/>
      <w:r w:rsidR="009914B0">
        <w:t xml:space="preserve">  He must do this work at his own expense.</w:t>
      </w:r>
    </w:p>
    <w:p w:rsidR="00365BC0" w:rsidRDefault="00365BC0" w:rsidP="00436007">
      <w:pPr>
        <w:jc w:val="left"/>
      </w:pPr>
    </w:p>
    <w:p w:rsidR="00365BC0" w:rsidRDefault="00365BC0" w:rsidP="00436007">
      <w:pPr>
        <w:jc w:val="left"/>
      </w:pPr>
      <w:r>
        <w:tab/>
      </w:r>
      <w:r>
        <w:tab/>
        <w:t>Complainant testified that it is simply not feasible to do so as they would need to run a line about 1000 feet to the gate, and about 500 feet to the greenhouse.  A substantial portion of the line is buried</w:t>
      </w:r>
      <w:r w:rsidR="008E1A3D">
        <w:t>, which adds to the cost</w:t>
      </w:r>
      <w:r>
        <w:t>.</w:t>
      </w:r>
    </w:p>
    <w:p w:rsidR="009914B0" w:rsidRDefault="009914B0" w:rsidP="00436007">
      <w:pPr>
        <w:jc w:val="left"/>
      </w:pPr>
    </w:p>
    <w:p w:rsidR="009914B0" w:rsidRDefault="009914B0" w:rsidP="00436007">
      <w:pPr>
        <w:jc w:val="left"/>
      </w:pPr>
      <w:r>
        <w:tab/>
      </w:r>
      <w:r>
        <w:tab/>
      </w:r>
      <w:r w:rsidR="00607F13">
        <w:t>While Complainant's argument is based on the actual use of his garage/greenhouse, which is</w:t>
      </w:r>
      <w:r w:rsidR="008E1A3D">
        <w:t xml:space="preserve"> personal and</w:t>
      </w:r>
      <w:r w:rsidR="00607F13">
        <w:t xml:space="preserve"> not commercial, actual use is not necessarily the factor relied upon for rate schedule classification.  </w:t>
      </w:r>
      <w:r>
        <w:t xml:space="preserve">It has long been accepted that customer classifications and attending rate differences may be justified by a variety of considerations, including </w:t>
      </w:r>
      <w:r w:rsidR="00226D96">
        <w:t xml:space="preserve">the cost of providing the service and the different facilities used by the utility.  </w:t>
      </w:r>
      <w:proofErr w:type="gramStart"/>
      <w:r w:rsidR="00226D96">
        <w:rPr>
          <w:i/>
        </w:rPr>
        <w:t>U.S. Steel Corp. v. Pa. Pub.</w:t>
      </w:r>
      <w:proofErr w:type="gramEnd"/>
      <w:r w:rsidR="00226D96">
        <w:rPr>
          <w:i/>
        </w:rPr>
        <w:t xml:space="preserve"> </w:t>
      </w:r>
      <w:proofErr w:type="gramStart"/>
      <w:r w:rsidR="00226D96">
        <w:rPr>
          <w:i/>
        </w:rPr>
        <w:t>Util. Comm'n</w:t>
      </w:r>
      <w:r w:rsidR="00226D96">
        <w:t>, 390 A.2d 849 (Pa.Cmwlth. 1978).</w:t>
      </w:r>
      <w:proofErr w:type="gramEnd"/>
      <w:r w:rsidR="00226D96">
        <w:t xml:space="preserve">  Here, a number of factors come into the analysis.</w:t>
      </w:r>
    </w:p>
    <w:p w:rsidR="00226D96" w:rsidRDefault="00226D96" w:rsidP="00436007">
      <w:pPr>
        <w:jc w:val="left"/>
      </w:pPr>
    </w:p>
    <w:p w:rsidR="00226D96" w:rsidRDefault="00226D96" w:rsidP="00436007">
      <w:pPr>
        <w:jc w:val="left"/>
      </w:pPr>
      <w:r>
        <w:tab/>
      </w:r>
      <w:r>
        <w:tab/>
        <w:t xml:space="preserve">First, a utility providing multiple </w:t>
      </w:r>
      <w:r w:rsidR="005C5CF5">
        <w:t>lin</w:t>
      </w:r>
      <w:r>
        <w:t xml:space="preserve">es of service to the same premises is going to incur more costs and need more of its own facilities than where service is to a single meter.  Therefore, providing service to the residence and service to the garage/greenhouse is properly charged at different rates.  </w:t>
      </w:r>
      <w:r w:rsidR="00E252D8">
        <w:t xml:space="preserve"> </w:t>
      </w:r>
    </w:p>
    <w:p w:rsidR="00E252D8" w:rsidRDefault="00E252D8" w:rsidP="00436007">
      <w:pPr>
        <w:jc w:val="left"/>
      </w:pPr>
    </w:p>
    <w:p w:rsidR="00E252D8" w:rsidRDefault="00E252D8" w:rsidP="00436007">
      <w:pPr>
        <w:jc w:val="left"/>
      </w:pPr>
      <w:r>
        <w:tab/>
      </w:r>
      <w:r>
        <w:tab/>
        <w:t xml:space="preserve">Rate schedules are defined and customers aggregated into those schedules largely by the cost of service to members of that classification.  These costs are determined by factors such as the type of facilities needed to provide that service, and Complainant has provided no evidence to support a finding that even one such factor is inappropriate for inclusion in that overall cost determination.  This is an issue which is the subject of very close scrutiny in the </w:t>
      </w:r>
      <w:r w:rsidR="004A7551">
        <w:t xml:space="preserve">periodic </w:t>
      </w:r>
      <w:r>
        <w:t xml:space="preserve">base rate cases </w:t>
      </w:r>
      <w:r w:rsidR="004A7551">
        <w:t xml:space="preserve">litigated before this Commission </w:t>
      </w:r>
      <w:r>
        <w:t xml:space="preserve">that result in the rates </w:t>
      </w:r>
      <w:r w:rsidR="00FA0952">
        <w:t xml:space="preserve">and terms of service </w:t>
      </w:r>
      <w:r>
        <w:t xml:space="preserve">for each schedule, and no evidence has been provided here to counter any of the </w:t>
      </w:r>
      <w:r w:rsidR="004A7551">
        <w:t xml:space="preserve">terms of the </w:t>
      </w:r>
      <w:r>
        <w:t xml:space="preserve">classifications.  </w:t>
      </w:r>
    </w:p>
    <w:p w:rsidR="00226D96" w:rsidRDefault="00226D96" w:rsidP="00436007">
      <w:pPr>
        <w:jc w:val="left"/>
      </w:pPr>
    </w:p>
    <w:p w:rsidR="004A7551" w:rsidRDefault="00226D96" w:rsidP="00436007">
      <w:pPr>
        <w:jc w:val="left"/>
      </w:pPr>
      <w:r>
        <w:tab/>
      </w:r>
      <w:r>
        <w:tab/>
      </w:r>
      <w:r w:rsidR="004A7551">
        <w:t>As the terms in the tariff's residential service have not been discounted as unreasonable or discriminatory, the analysis turns to whether Complainant's greenhouse/garage and safety lighting uses comply with those terms.  The tariff states:</w:t>
      </w:r>
    </w:p>
    <w:p w:rsidR="00646999" w:rsidRDefault="00646999" w:rsidP="00436007">
      <w:pPr>
        <w:jc w:val="left"/>
      </w:pPr>
    </w:p>
    <w:p w:rsidR="004A7551" w:rsidRDefault="004A7551" w:rsidP="00C671DB">
      <w:pPr>
        <w:spacing w:line="240" w:lineRule="auto"/>
        <w:ind w:left="1440"/>
        <w:jc w:val="left"/>
      </w:pPr>
      <w:r>
        <w:tab/>
      </w:r>
      <w:r w:rsidR="00C671DB">
        <w:t>For purposes of the application of this Rate Schedule, a dwelling is defined as a living space consisting of at least permanent provisions for shelter, dining, sleeping, and cooking, with provisions for permanent electric, water and sanitation services.</w:t>
      </w:r>
    </w:p>
    <w:p w:rsidR="00646999" w:rsidRDefault="00646999" w:rsidP="00C671DB">
      <w:pPr>
        <w:spacing w:line="240" w:lineRule="auto"/>
        <w:ind w:left="1440"/>
        <w:jc w:val="left"/>
      </w:pPr>
    </w:p>
    <w:p w:rsidR="00C671DB" w:rsidRDefault="00C671DB" w:rsidP="00C671DB">
      <w:pPr>
        <w:spacing w:line="240" w:lineRule="auto"/>
        <w:ind w:left="1440"/>
        <w:jc w:val="left"/>
      </w:pPr>
      <w:r>
        <w:tab/>
        <w:t xml:space="preserve">(1) This Rate Schedule is for </w:t>
      </w:r>
      <w:r w:rsidRPr="00CA4513">
        <w:t>single phase electric service</w:t>
      </w:r>
      <w:r>
        <w:t xml:space="preserve"> for:</w:t>
      </w:r>
    </w:p>
    <w:p w:rsidR="00646999" w:rsidRDefault="00646999" w:rsidP="00C671DB">
      <w:pPr>
        <w:spacing w:line="240" w:lineRule="auto"/>
        <w:ind w:left="1440"/>
        <w:jc w:val="left"/>
      </w:pPr>
    </w:p>
    <w:p w:rsidR="00C671DB" w:rsidRDefault="00646999" w:rsidP="00C671DB">
      <w:pPr>
        <w:spacing w:line="240" w:lineRule="auto"/>
        <w:ind w:left="2160"/>
        <w:jc w:val="left"/>
        <w:rPr>
          <w:b/>
          <w:i/>
        </w:rPr>
      </w:pPr>
      <w:r>
        <w:tab/>
        <w:t>(a)</w:t>
      </w:r>
      <w:r>
        <w:tab/>
      </w:r>
      <w:r w:rsidR="00C671DB">
        <w:t xml:space="preserve">A single family dwelling and detached buildings when the detached buildings are served at the customer's expense </w:t>
      </w:r>
      <w:r w:rsidR="00C671DB" w:rsidRPr="00C671DB">
        <w:rPr>
          <w:b/>
          <w:i/>
        </w:rPr>
        <w:t>through the same meter as the single family dwelling.</w:t>
      </w:r>
    </w:p>
    <w:p w:rsidR="00646999" w:rsidRPr="00C671DB" w:rsidRDefault="00646999" w:rsidP="00C671DB">
      <w:pPr>
        <w:spacing w:line="240" w:lineRule="auto"/>
        <w:ind w:left="2160"/>
        <w:jc w:val="left"/>
        <w:rPr>
          <w:b/>
          <w:i/>
        </w:rPr>
      </w:pPr>
    </w:p>
    <w:p w:rsidR="00C671DB" w:rsidRDefault="00646999" w:rsidP="00C671DB">
      <w:pPr>
        <w:spacing w:line="240" w:lineRule="auto"/>
        <w:ind w:left="2160"/>
        <w:jc w:val="left"/>
      </w:pPr>
      <w:r>
        <w:tab/>
        <w:t>(b)</w:t>
      </w:r>
      <w:r>
        <w:tab/>
      </w:r>
      <w:r w:rsidR="00C671DB">
        <w:t>A separate dwelling unit in an apartment house.</w:t>
      </w:r>
    </w:p>
    <w:p w:rsidR="00646999" w:rsidRDefault="00646999" w:rsidP="00C671DB">
      <w:pPr>
        <w:spacing w:line="240" w:lineRule="auto"/>
        <w:ind w:left="2160"/>
        <w:jc w:val="left"/>
      </w:pPr>
    </w:p>
    <w:p w:rsidR="00C671DB" w:rsidRDefault="00646999" w:rsidP="00C671DB">
      <w:pPr>
        <w:spacing w:line="240" w:lineRule="auto"/>
        <w:ind w:left="2160"/>
        <w:jc w:val="left"/>
        <w:rPr>
          <w:b/>
          <w:i/>
        </w:rPr>
      </w:pPr>
      <w:r>
        <w:tab/>
        <w:t>(c)</w:t>
      </w:r>
      <w:r>
        <w:tab/>
      </w:r>
      <w:r w:rsidR="00C671DB">
        <w:t xml:space="preserve">A single farm dwelling and general farm uses when general farm uses are served at the customer's expense </w:t>
      </w:r>
      <w:r w:rsidR="00C671DB" w:rsidRPr="00C671DB">
        <w:rPr>
          <w:b/>
          <w:i/>
        </w:rPr>
        <w:t>through the same meter as the single family dwelling.</w:t>
      </w:r>
    </w:p>
    <w:p w:rsidR="00646999" w:rsidRPr="00C671DB" w:rsidRDefault="00646999" w:rsidP="00C671DB">
      <w:pPr>
        <w:spacing w:line="240" w:lineRule="auto"/>
        <w:ind w:left="2160"/>
        <w:jc w:val="left"/>
        <w:rPr>
          <w:b/>
          <w:i/>
        </w:rPr>
      </w:pPr>
    </w:p>
    <w:p w:rsidR="00C671DB" w:rsidRDefault="00646999" w:rsidP="00C671DB">
      <w:pPr>
        <w:spacing w:line="240" w:lineRule="auto"/>
        <w:ind w:left="2160"/>
        <w:jc w:val="left"/>
      </w:pPr>
      <w:r>
        <w:tab/>
        <w:t>(d)</w:t>
      </w:r>
      <w:r>
        <w:tab/>
      </w:r>
      <w:r w:rsidR="00C671DB">
        <w:t>A building previously wired for single meter service which is converted to not more than 8 separate dwelling units served through one meter.</w:t>
      </w:r>
    </w:p>
    <w:p w:rsidR="00C671DB" w:rsidRDefault="00C671DB" w:rsidP="00C671DB">
      <w:pPr>
        <w:spacing w:line="240" w:lineRule="auto"/>
        <w:ind w:left="1440"/>
      </w:pPr>
      <w:r>
        <w:t>* * *</w:t>
      </w:r>
    </w:p>
    <w:p w:rsidR="00C671DB" w:rsidRDefault="00C671DB" w:rsidP="00C671DB">
      <w:pPr>
        <w:jc w:val="left"/>
      </w:pPr>
      <w:proofErr w:type="gramStart"/>
      <w:r>
        <w:t>PPL Tariff Electric – Pa. PUC.</w:t>
      </w:r>
      <w:proofErr w:type="gramEnd"/>
      <w:r>
        <w:t xml:space="preserve"> No. 201, 19</w:t>
      </w:r>
      <w:r w:rsidRPr="00C671DB">
        <w:rPr>
          <w:vertAlign w:val="superscript"/>
        </w:rPr>
        <w:t>th</w:t>
      </w:r>
      <w:r>
        <w:t xml:space="preserve"> Revised Page No. 20B (emphasis added).</w:t>
      </w:r>
    </w:p>
    <w:p w:rsidR="004A7551" w:rsidRDefault="004A7551" w:rsidP="00436007">
      <w:pPr>
        <w:jc w:val="left"/>
      </w:pPr>
    </w:p>
    <w:p w:rsidR="004A7551" w:rsidRDefault="00C671DB" w:rsidP="00436007">
      <w:pPr>
        <w:jc w:val="left"/>
      </w:pPr>
      <w:r>
        <w:tab/>
      </w:r>
      <w:r>
        <w:tab/>
        <w:t>As is evident, t</w:t>
      </w:r>
      <w:r w:rsidR="00226D96">
        <w:t>he residential rate schedule</w:t>
      </w:r>
      <w:r>
        <w:t xml:space="preserve"> </w:t>
      </w:r>
      <w:r w:rsidR="00226D96">
        <w:t xml:space="preserve">does not apply </w:t>
      </w:r>
      <w:r>
        <w:t xml:space="preserve">and </w:t>
      </w:r>
      <w:r w:rsidR="00226D96">
        <w:t>the greenhouse/garage</w:t>
      </w:r>
      <w:r w:rsidR="00CA4513">
        <w:t xml:space="preserve"> and the safety lights by the road do not serve a building used as a single family dwelling</w:t>
      </w:r>
      <w:r w:rsidR="00226D96">
        <w:t>.  This classification is not dependent upon whether it is part of a business or commercial facility</w:t>
      </w:r>
      <w:r w:rsidR="00CA4513">
        <w:t xml:space="preserve"> -- although I would be remiss in not pointing out that they could become commercial at any time -- but on whether it is part of a single family dwelling</w:t>
      </w:r>
      <w:r w:rsidR="00226D96">
        <w:t xml:space="preserve">.  </w:t>
      </w:r>
    </w:p>
    <w:p w:rsidR="00731614" w:rsidRDefault="00731614" w:rsidP="00436007">
      <w:pPr>
        <w:jc w:val="left"/>
      </w:pPr>
    </w:p>
    <w:p w:rsidR="00731614" w:rsidRDefault="00731614" w:rsidP="00436007">
      <w:pPr>
        <w:jc w:val="left"/>
      </w:pPr>
      <w:r>
        <w:tab/>
      </w:r>
      <w:r>
        <w:tab/>
        <w:t xml:space="preserve">As the residential service terms of application have not been shown to be unreasonable or discriminatory within the meaning of 66 Pa.C.S. § 1308, the simple fact that this is separately metered service removes it from the terms of residential service.  Respondent's </w:t>
      </w:r>
      <w:proofErr w:type="gramStart"/>
      <w:r>
        <w:t>application of its tariff terms are</w:t>
      </w:r>
      <w:proofErr w:type="gramEnd"/>
      <w:r>
        <w:t xml:space="preserve"> appropriate here as well.</w:t>
      </w:r>
    </w:p>
    <w:p w:rsidR="00C671DB" w:rsidRDefault="00C671DB" w:rsidP="00436007">
      <w:pPr>
        <w:jc w:val="left"/>
      </w:pPr>
    </w:p>
    <w:p w:rsidR="004A7551" w:rsidRDefault="004A7551" w:rsidP="00436007">
      <w:pPr>
        <w:jc w:val="left"/>
      </w:pPr>
      <w:r>
        <w:tab/>
      </w:r>
      <w:r>
        <w:tab/>
        <w:t xml:space="preserve">Should Complainant </w:t>
      </w:r>
      <w:r w:rsidR="00C671DB">
        <w:t xml:space="preserve">tie </w:t>
      </w:r>
      <w:r w:rsidR="00CA4513">
        <w:t xml:space="preserve">both commercial schedule services </w:t>
      </w:r>
      <w:r w:rsidR="00C671DB">
        <w:t>into his residential metered service</w:t>
      </w:r>
      <w:r>
        <w:t>, he can eliminate the meter</w:t>
      </w:r>
      <w:r w:rsidR="00B12F81">
        <w:t>s</w:t>
      </w:r>
      <w:r>
        <w:t xml:space="preserve"> for the greenhouse/garage</w:t>
      </w:r>
      <w:r w:rsidR="00B12F81">
        <w:t xml:space="preserve"> and safety lighting</w:t>
      </w:r>
      <w:r>
        <w:t xml:space="preserve">.  It is up to Complainant to determine whether the cost of the conversion is too high to justify the potential savings of having that service on the residential rate.  What is certain is that the present service does not qualify for residential rates and that the terms of the Respondent's tariff are not unreasonable or discriminatory within the meaning of 66 Pa.C.S. § 1304.  </w:t>
      </w:r>
    </w:p>
    <w:p w:rsidR="00B12F81" w:rsidRDefault="00B12F81" w:rsidP="00436007">
      <w:pPr>
        <w:jc w:val="left"/>
      </w:pPr>
    </w:p>
    <w:p w:rsidR="00B12F81" w:rsidRDefault="00B12F81" w:rsidP="00436007">
      <w:pPr>
        <w:jc w:val="left"/>
      </w:pPr>
      <w:r>
        <w:tab/>
      </w:r>
      <w:r>
        <w:tab/>
        <w:t>Finally, I note that the behavior of both sides to this dispute was exceptionally cordial and accommodating towards the other,</w:t>
      </w:r>
      <w:r>
        <w:rPr>
          <w:rStyle w:val="FootnoteReference"/>
        </w:rPr>
        <w:footnoteReference w:id="2"/>
      </w:r>
      <w:r>
        <w:t xml:space="preserve"> and I thank both the Complainant and the Company representatives for their professionalism, politeness, and obvious willingness to work together towards an amicable resolution to the issue.  </w:t>
      </w:r>
    </w:p>
    <w:p w:rsidR="00FA0952" w:rsidRDefault="00FA0952" w:rsidP="00436007">
      <w:pPr>
        <w:jc w:val="left"/>
      </w:pPr>
    </w:p>
    <w:p w:rsidR="00FA0952" w:rsidRDefault="00FA0952" w:rsidP="00FA0952">
      <w:pPr>
        <w:rPr>
          <w:u w:val="single"/>
        </w:rPr>
      </w:pPr>
      <w:r>
        <w:rPr>
          <w:u w:val="single"/>
        </w:rPr>
        <w:t>CONCLUSIONS OF LAW</w:t>
      </w:r>
    </w:p>
    <w:p w:rsidR="00FA0952" w:rsidRDefault="00FA0952" w:rsidP="00FA0952">
      <w:pPr>
        <w:jc w:val="left"/>
      </w:pPr>
    </w:p>
    <w:p w:rsidR="00FA0952" w:rsidRDefault="00FA0952" w:rsidP="00FA0952">
      <w:pPr>
        <w:jc w:val="left"/>
      </w:pPr>
      <w:r>
        <w:tab/>
      </w:r>
      <w:r>
        <w:tab/>
        <w:t>1.</w:t>
      </w:r>
      <w:r>
        <w:tab/>
        <w:t xml:space="preserve">Complainant bears the burden of proving entitlement to his requested remedy.  </w:t>
      </w:r>
      <w:proofErr w:type="gramStart"/>
      <w:r>
        <w:t>66 Pa.C.S.</w:t>
      </w:r>
      <w:proofErr w:type="gramEnd"/>
      <w:r>
        <w:t xml:space="preserve"> § 703.</w:t>
      </w:r>
    </w:p>
    <w:p w:rsidR="00FA0952" w:rsidRDefault="00FA0952" w:rsidP="00FA0952">
      <w:pPr>
        <w:jc w:val="left"/>
      </w:pPr>
    </w:p>
    <w:p w:rsidR="00FA0952" w:rsidRDefault="00FA0952" w:rsidP="00FA0952">
      <w:pPr>
        <w:tabs>
          <w:tab w:val="left" w:pos="-1440"/>
          <w:tab w:val="left" w:pos="-720"/>
        </w:tabs>
        <w:suppressAutoHyphens/>
        <w:ind w:firstLine="1440"/>
        <w:jc w:val="left"/>
        <w:rPr>
          <w:spacing w:val="-3"/>
        </w:rPr>
      </w:pPr>
      <w:r>
        <w:t>2.</w:t>
      </w:r>
      <w:r>
        <w:tab/>
      </w:r>
      <w:r>
        <w:rPr>
          <w:spacing w:val="-3"/>
        </w:rPr>
        <w:t xml:space="preserve">To establish a sufficient case and satisfy the burden of proof, complainant must show that respondent is responsible or accountable for the problem described in the Complaint.  </w:t>
      </w:r>
      <w:proofErr w:type="gramStart"/>
      <w:r>
        <w:rPr>
          <w:i/>
          <w:spacing w:val="-3"/>
        </w:rPr>
        <w:t>Patterson v. Bell Telephone Company of Pennsylvania</w:t>
      </w:r>
      <w:r>
        <w:rPr>
          <w:spacing w:val="-3"/>
        </w:rPr>
        <w:t xml:space="preserve">, 72 Pa. PUC 196 (1990), </w:t>
      </w:r>
      <w:r>
        <w:rPr>
          <w:i/>
          <w:spacing w:val="-3"/>
        </w:rPr>
        <w:t>Feinstein v. Philadelphia Suburban Water Company</w:t>
      </w:r>
      <w:r>
        <w:rPr>
          <w:spacing w:val="-3"/>
        </w:rPr>
        <w:t>, 50 Pa. PUC 300 (1976).</w:t>
      </w:r>
      <w:proofErr w:type="gramEnd"/>
      <w:r>
        <w:rPr>
          <w:spacing w:val="-3"/>
        </w:rPr>
        <w:t xml:space="preserve">  </w:t>
      </w:r>
    </w:p>
    <w:p w:rsidR="00FA0952" w:rsidRDefault="00FA0952" w:rsidP="00FA0952">
      <w:pPr>
        <w:tabs>
          <w:tab w:val="left" w:pos="-1440"/>
          <w:tab w:val="left" w:pos="-720"/>
        </w:tabs>
        <w:suppressAutoHyphens/>
        <w:ind w:firstLine="1440"/>
        <w:jc w:val="left"/>
        <w:rPr>
          <w:spacing w:val="-3"/>
        </w:rPr>
      </w:pPr>
    </w:p>
    <w:p w:rsidR="00FA0952" w:rsidRDefault="00FA0952" w:rsidP="00FA0952">
      <w:pPr>
        <w:tabs>
          <w:tab w:val="left" w:pos="-1440"/>
          <w:tab w:val="left" w:pos="-720"/>
        </w:tabs>
        <w:suppressAutoHyphens/>
        <w:ind w:firstLine="1440"/>
        <w:jc w:val="left"/>
        <w:rPr>
          <w:spacing w:val="-3"/>
        </w:rPr>
      </w:pPr>
      <w:r>
        <w:rPr>
          <w:spacing w:val="-3"/>
        </w:rPr>
        <w:t>3.</w:t>
      </w:r>
      <w:r>
        <w:rPr>
          <w:spacing w:val="-3"/>
        </w:rPr>
        <w:tab/>
        <w:t xml:space="preserve">The burden of proof must be carried by a preponderance of the evidence.  </w:t>
      </w:r>
      <w:proofErr w:type="gramStart"/>
      <w:r>
        <w:rPr>
          <w:i/>
          <w:spacing w:val="-3"/>
        </w:rPr>
        <w:t>Samuel J. Lansberry, Inc. v. Pa. Pub.</w:t>
      </w:r>
      <w:proofErr w:type="gramEnd"/>
      <w:r>
        <w:rPr>
          <w:i/>
          <w:spacing w:val="-3"/>
        </w:rPr>
        <w:t xml:space="preserve"> Util. Comm’n</w:t>
      </w:r>
      <w:r>
        <w:rPr>
          <w:spacing w:val="-3"/>
        </w:rPr>
        <w:t xml:space="preserve">, </w:t>
      </w:r>
      <w:proofErr w:type="gramStart"/>
      <w:r>
        <w:rPr>
          <w:spacing w:val="-3"/>
        </w:rPr>
        <w:t>134 Pa.Cmwlth</w:t>
      </w:r>
      <w:proofErr w:type="gramEnd"/>
      <w:r>
        <w:rPr>
          <w:spacing w:val="-3"/>
        </w:rPr>
        <w:t xml:space="preserve">. 218; 221-222, 578 A.2d 600; 602 (1990), </w:t>
      </w:r>
      <w:r>
        <w:rPr>
          <w:iCs/>
          <w:spacing w:val="-3"/>
        </w:rPr>
        <w:t>app. denied,</w:t>
      </w:r>
      <w:r>
        <w:rPr>
          <w:spacing w:val="-3"/>
        </w:rPr>
        <w:t xml:space="preserve"> 529 Pa. 654, 602 A.2d 863 (1992).  That is, by presenting evidence more convincing, by even the smallest amount, than that presented by the other party.  </w:t>
      </w:r>
      <w:proofErr w:type="gramStart"/>
      <w:r>
        <w:rPr>
          <w:i/>
          <w:spacing w:val="-3"/>
        </w:rPr>
        <w:t>Se-Ling Hosiery v. Margulies</w:t>
      </w:r>
      <w:r>
        <w:rPr>
          <w:spacing w:val="-3"/>
        </w:rPr>
        <w:t>, 364 Pa. 45, 70 A.2d 854 (1950).</w:t>
      </w:r>
      <w:proofErr w:type="gramEnd"/>
      <w:r>
        <w:rPr>
          <w:spacing w:val="-3"/>
        </w:rPr>
        <w:t xml:space="preserve">  </w:t>
      </w:r>
    </w:p>
    <w:p w:rsidR="00FA0952" w:rsidRDefault="00FA0952" w:rsidP="00FA0952">
      <w:pPr>
        <w:tabs>
          <w:tab w:val="left" w:pos="-1440"/>
          <w:tab w:val="left" w:pos="-720"/>
        </w:tabs>
        <w:suppressAutoHyphens/>
        <w:ind w:firstLine="1440"/>
        <w:jc w:val="left"/>
        <w:rPr>
          <w:spacing w:val="-3"/>
        </w:rPr>
      </w:pPr>
    </w:p>
    <w:p w:rsidR="00FA0952" w:rsidRDefault="00FA0952" w:rsidP="00FA0952">
      <w:pPr>
        <w:tabs>
          <w:tab w:val="left" w:pos="-1440"/>
          <w:tab w:val="left" w:pos="-720"/>
        </w:tabs>
        <w:suppressAutoHyphens/>
        <w:ind w:firstLine="1440"/>
        <w:jc w:val="left"/>
        <w:rPr>
          <w:spacing w:val="-3"/>
        </w:rPr>
      </w:pPr>
      <w:r>
        <w:rPr>
          <w:spacing w:val="-3"/>
        </w:rPr>
        <w:t>4.</w:t>
      </w:r>
      <w:r>
        <w:rPr>
          <w:spacing w:val="-3"/>
        </w:rPr>
        <w:tab/>
        <w:t xml:space="preserve">If complainant does so, the burden of going forward with evidence shifts to respondent to produce credible evidence of at least co-equal weight.  This burden of going forward with evidence may shift back and forth between the parties, but the ultimate burden of persuasion remains with complainant.  </w:t>
      </w:r>
      <w:proofErr w:type="gramStart"/>
      <w:r>
        <w:rPr>
          <w:i/>
          <w:spacing w:val="-3"/>
        </w:rPr>
        <w:t>Milkie v. Pa. Pub.</w:t>
      </w:r>
      <w:proofErr w:type="gramEnd"/>
      <w:r>
        <w:rPr>
          <w:i/>
          <w:spacing w:val="-3"/>
        </w:rPr>
        <w:t xml:space="preserve"> </w:t>
      </w:r>
      <w:proofErr w:type="gramStart"/>
      <w:r>
        <w:rPr>
          <w:i/>
          <w:spacing w:val="-3"/>
        </w:rPr>
        <w:t>Util. Comm’n</w:t>
      </w:r>
      <w:r>
        <w:rPr>
          <w:spacing w:val="-3"/>
        </w:rPr>
        <w:t>, 768 A.2d 1217 (Pa.Cmwlth. 2001).</w:t>
      </w:r>
      <w:proofErr w:type="gramEnd"/>
      <w:r>
        <w:rPr>
          <w:spacing w:val="-3"/>
        </w:rPr>
        <w:t xml:space="preserve">  </w:t>
      </w:r>
    </w:p>
    <w:p w:rsidR="00FA0952" w:rsidRDefault="00FA0952" w:rsidP="00FA0952">
      <w:pPr>
        <w:tabs>
          <w:tab w:val="left" w:pos="-1440"/>
          <w:tab w:val="left" w:pos="-720"/>
        </w:tabs>
        <w:suppressAutoHyphens/>
        <w:ind w:firstLine="1440"/>
        <w:jc w:val="left"/>
        <w:rPr>
          <w:spacing w:val="-3"/>
        </w:rPr>
      </w:pPr>
    </w:p>
    <w:p w:rsidR="00FA0952" w:rsidRDefault="00FA0952" w:rsidP="00FA0952">
      <w:pPr>
        <w:tabs>
          <w:tab w:val="left" w:pos="-1440"/>
          <w:tab w:val="left" w:pos="-720"/>
        </w:tabs>
        <w:suppressAutoHyphens/>
        <w:ind w:firstLine="1440"/>
        <w:jc w:val="left"/>
        <w:rPr>
          <w:spacing w:val="-3"/>
        </w:rPr>
      </w:pPr>
      <w:r>
        <w:rPr>
          <w:spacing w:val="-3"/>
        </w:rPr>
        <w:t>5.</w:t>
      </w:r>
      <w:r>
        <w:rPr>
          <w:spacing w:val="-3"/>
        </w:rPr>
        <w:tab/>
        <w:t xml:space="preserve">Any finding of fact necessary to support the Commission’s adjudication must be based upon substantial evidence.  </w:t>
      </w:r>
      <w:proofErr w:type="gramStart"/>
      <w:r>
        <w:rPr>
          <w:i/>
          <w:spacing w:val="-3"/>
        </w:rPr>
        <w:t>Mill v. Pa. Pub.</w:t>
      </w:r>
      <w:proofErr w:type="gramEnd"/>
      <w:r>
        <w:rPr>
          <w:i/>
          <w:spacing w:val="-3"/>
        </w:rPr>
        <w:t xml:space="preserve"> Utility Comm’n</w:t>
      </w:r>
      <w:r>
        <w:rPr>
          <w:spacing w:val="-3"/>
        </w:rPr>
        <w:t xml:space="preserve">, </w:t>
      </w:r>
      <w:proofErr w:type="gramStart"/>
      <w:r>
        <w:rPr>
          <w:spacing w:val="-3"/>
        </w:rPr>
        <w:t>67 Pa.Cmwlth</w:t>
      </w:r>
      <w:proofErr w:type="gramEnd"/>
      <w:r>
        <w:rPr>
          <w:spacing w:val="-3"/>
        </w:rPr>
        <w:t xml:space="preserve">. </w:t>
      </w:r>
      <w:proofErr w:type="gramStart"/>
      <w:r>
        <w:rPr>
          <w:spacing w:val="-3"/>
        </w:rPr>
        <w:t xml:space="preserve">597, 447 A.2d 1100 (1982), </w:t>
      </w:r>
      <w:r>
        <w:rPr>
          <w:i/>
          <w:spacing w:val="-3"/>
        </w:rPr>
        <w:t>Edan Transportation Corp. v. Pa. Pub.</w:t>
      </w:r>
      <w:proofErr w:type="gramEnd"/>
      <w:r>
        <w:rPr>
          <w:i/>
          <w:spacing w:val="-3"/>
        </w:rPr>
        <w:t xml:space="preserve"> Utility Comm’n</w:t>
      </w:r>
      <w:r>
        <w:rPr>
          <w:spacing w:val="-3"/>
        </w:rPr>
        <w:t xml:space="preserve">, </w:t>
      </w:r>
      <w:proofErr w:type="gramStart"/>
      <w:r>
        <w:rPr>
          <w:spacing w:val="-3"/>
        </w:rPr>
        <w:t>154 Pa.Cmwlth</w:t>
      </w:r>
      <w:proofErr w:type="gramEnd"/>
      <w:r>
        <w:rPr>
          <w:spacing w:val="-3"/>
        </w:rPr>
        <w:t xml:space="preserve">. </w:t>
      </w:r>
      <w:proofErr w:type="gramStart"/>
      <w:r>
        <w:rPr>
          <w:spacing w:val="-3"/>
        </w:rPr>
        <w:t>21, 623 A.2d 6 (1993), 2 Pa.C.S.</w:t>
      </w:r>
      <w:proofErr w:type="gramEnd"/>
      <w:r>
        <w:rPr>
          <w:spacing w:val="-3"/>
        </w:rPr>
        <w:t xml:space="preserve"> § 704.  </w:t>
      </w:r>
    </w:p>
    <w:p w:rsidR="00FA0952" w:rsidRDefault="00FA0952" w:rsidP="00FA0952">
      <w:pPr>
        <w:tabs>
          <w:tab w:val="left" w:pos="-1440"/>
          <w:tab w:val="left" w:pos="-720"/>
        </w:tabs>
        <w:suppressAutoHyphens/>
        <w:ind w:firstLine="1440"/>
        <w:jc w:val="left"/>
        <w:rPr>
          <w:spacing w:val="-3"/>
        </w:rPr>
      </w:pPr>
    </w:p>
    <w:p w:rsidR="00FA0952" w:rsidRDefault="00FA0952" w:rsidP="00FA0952">
      <w:pPr>
        <w:tabs>
          <w:tab w:val="left" w:pos="-1440"/>
          <w:tab w:val="left" w:pos="-720"/>
        </w:tabs>
        <w:suppressAutoHyphens/>
        <w:ind w:firstLine="1440"/>
        <w:jc w:val="left"/>
        <w:rPr>
          <w:spacing w:val="-3"/>
        </w:rPr>
      </w:pPr>
      <w:r>
        <w:rPr>
          <w:spacing w:val="-3"/>
        </w:rPr>
        <w:t>6.</w:t>
      </w:r>
      <w:r>
        <w:rPr>
          <w:spacing w:val="-3"/>
        </w:rPr>
        <w:tab/>
        <w:t xml:space="preserve">Substantial evidence is such relevant evidence as a reasonable mind might accept as adequate to support a conclusion.  </w:t>
      </w:r>
      <w:proofErr w:type="spellStart"/>
      <w:proofErr w:type="gramStart"/>
      <w:r>
        <w:rPr>
          <w:i/>
          <w:spacing w:val="-3"/>
        </w:rPr>
        <w:t>Bethenergy</w:t>
      </w:r>
      <w:proofErr w:type="spellEnd"/>
      <w:r>
        <w:rPr>
          <w:i/>
          <w:spacing w:val="-3"/>
        </w:rPr>
        <w:t xml:space="preserve"> Mines, Inc. v. Workmen’s Compensation Appeal Bd. (</w:t>
      </w:r>
      <w:proofErr w:type="spellStart"/>
      <w:r>
        <w:rPr>
          <w:i/>
          <w:spacing w:val="-3"/>
        </w:rPr>
        <w:t>Skirpan</w:t>
      </w:r>
      <w:proofErr w:type="spellEnd"/>
      <w:r>
        <w:rPr>
          <w:i/>
          <w:spacing w:val="-3"/>
        </w:rPr>
        <w:t>)</w:t>
      </w:r>
      <w:r>
        <w:rPr>
          <w:spacing w:val="-3"/>
        </w:rPr>
        <w:t>, 531 Pa. 287, 612 A.2d 434 (1992).</w:t>
      </w:r>
      <w:proofErr w:type="gramEnd"/>
      <w:r>
        <w:rPr>
          <w:spacing w:val="-3"/>
        </w:rPr>
        <w:t xml:space="preserve">  More is required than a mere trace of evidence or a suspicion of the existence of a fact sought to be established.  </w:t>
      </w:r>
      <w:proofErr w:type="gramStart"/>
      <w:r>
        <w:rPr>
          <w:i/>
          <w:spacing w:val="-3"/>
        </w:rPr>
        <w:t>Norfolk and Western Ry. v. Pa. Pub.</w:t>
      </w:r>
      <w:proofErr w:type="gramEnd"/>
      <w:r>
        <w:rPr>
          <w:i/>
          <w:spacing w:val="-3"/>
        </w:rPr>
        <w:t xml:space="preserve"> </w:t>
      </w:r>
      <w:proofErr w:type="gramStart"/>
      <w:r>
        <w:rPr>
          <w:i/>
          <w:spacing w:val="-3"/>
        </w:rPr>
        <w:t>Util. Comm’n</w:t>
      </w:r>
      <w:r>
        <w:rPr>
          <w:spacing w:val="-3"/>
        </w:rPr>
        <w:t xml:space="preserve">, 489 Pa. 109, 413 A.2d 1037 (1980); </w:t>
      </w:r>
      <w:r>
        <w:rPr>
          <w:i/>
          <w:spacing w:val="-3"/>
        </w:rPr>
        <w:t>Erie Resistor Corp. v. Unemployment Compensation Bd. of Review</w:t>
      </w:r>
      <w:r>
        <w:rPr>
          <w:spacing w:val="-3"/>
        </w:rPr>
        <w:t xml:space="preserve">, 194 </w:t>
      </w:r>
      <w:proofErr w:type="spellStart"/>
      <w:r>
        <w:rPr>
          <w:spacing w:val="-3"/>
        </w:rPr>
        <w:t>Pa.Super</w:t>
      </w:r>
      <w:proofErr w:type="spellEnd"/>
      <w:r>
        <w:rPr>
          <w:spacing w:val="-3"/>
        </w:rPr>
        <w:t>.</w:t>
      </w:r>
      <w:proofErr w:type="gramEnd"/>
      <w:r>
        <w:rPr>
          <w:spacing w:val="-3"/>
        </w:rPr>
        <w:t xml:space="preserve"> </w:t>
      </w:r>
      <w:proofErr w:type="gramStart"/>
      <w:r>
        <w:rPr>
          <w:spacing w:val="-3"/>
        </w:rPr>
        <w:t xml:space="preserve">278, 166 A.2d 96 (1960); </w:t>
      </w:r>
      <w:r>
        <w:rPr>
          <w:i/>
          <w:spacing w:val="-3"/>
        </w:rPr>
        <w:t>Murphy v. Dep’t of Public Welfare</w:t>
      </w:r>
      <w:r>
        <w:rPr>
          <w:spacing w:val="-3"/>
        </w:rPr>
        <w:t>, 85 Pa.Cmwlth.</w:t>
      </w:r>
      <w:proofErr w:type="gramEnd"/>
      <w:r>
        <w:rPr>
          <w:spacing w:val="-3"/>
        </w:rPr>
        <w:t xml:space="preserve"> </w:t>
      </w:r>
      <w:proofErr w:type="gramStart"/>
      <w:r>
        <w:rPr>
          <w:spacing w:val="-3"/>
        </w:rPr>
        <w:t>23, 480 A.2d 382 (1984).</w:t>
      </w:r>
      <w:proofErr w:type="gramEnd"/>
    </w:p>
    <w:p w:rsidR="00FA0952" w:rsidRDefault="00FA0952" w:rsidP="00FA0952">
      <w:pPr>
        <w:tabs>
          <w:tab w:val="left" w:pos="-1440"/>
          <w:tab w:val="left" w:pos="-720"/>
        </w:tabs>
        <w:suppressAutoHyphens/>
        <w:ind w:firstLine="1440"/>
        <w:jc w:val="left"/>
        <w:rPr>
          <w:spacing w:val="-3"/>
        </w:rPr>
      </w:pPr>
    </w:p>
    <w:p w:rsidR="00FA0952" w:rsidRDefault="00FA0952" w:rsidP="00FA0952">
      <w:pPr>
        <w:jc w:val="left"/>
        <w:rPr>
          <w:spacing w:val="-3"/>
        </w:rPr>
      </w:pPr>
      <w:r>
        <w:rPr>
          <w:spacing w:val="-3"/>
        </w:rPr>
        <w:tab/>
      </w:r>
      <w:r>
        <w:rPr>
          <w:spacing w:val="-3"/>
        </w:rPr>
        <w:tab/>
        <w:t>7.</w:t>
      </w:r>
      <w:r>
        <w:rPr>
          <w:spacing w:val="-3"/>
        </w:rPr>
        <w:tab/>
        <w:t xml:space="preserve">Commission-approved tariffs have the force and effect of law and are binding on both the utility and the Commission.  </w:t>
      </w:r>
      <w:proofErr w:type="gramStart"/>
      <w:r>
        <w:rPr>
          <w:i/>
          <w:spacing w:val="-3"/>
        </w:rPr>
        <w:t>PPL Electric Utilities Corporation v. Pa. Pub.</w:t>
      </w:r>
      <w:proofErr w:type="gramEnd"/>
      <w:r>
        <w:rPr>
          <w:i/>
          <w:spacing w:val="-3"/>
        </w:rPr>
        <w:t xml:space="preserve"> </w:t>
      </w:r>
      <w:proofErr w:type="gramStart"/>
      <w:r>
        <w:rPr>
          <w:i/>
          <w:spacing w:val="-3"/>
        </w:rPr>
        <w:t xml:space="preserve">Util. Comm'n, </w:t>
      </w:r>
      <w:r>
        <w:rPr>
          <w:spacing w:val="-3"/>
        </w:rPr>
        <w:t xml:space="preserve">912 A.2d 387, 402 (Pa.Cmwlth. 2006); </w:t>
      </w:r>
      <w:r>
        <w:rPr>
          <w:i/>
          <w:spacing w:val="-3"/>
        </w:rPr>
        <w:t>Pennsylvania Electric Co. v. Pa. Pub.</w:t>
      </w:r>
      <w:proofErr w:type="gramEnd"/>
      <w:r>
        <w:rPr>
          <w:i/>
          <w:spacing w:val="-3"/>
        </w:rPr>
        <w:t xml:space="preserve"> </w:t>
      </w:r>
      <w:proofErr w:type="gramStart"/>
      <w:r>
        <w:rPr>
          <w:i/>
          <w:spacing w:val="-3"/>
        </w:rPr>
        <w:t xml:space="preserve">Util. Comm'n, </w:t>
      </w:r>
      <w:r>
        <w:rPr>
          <w:spacing w:val="-3"/>
        </w:rPr>
        <w:t xml:space="preserve">663 A.2d 281, 284 (Pa.Cmwlth. 1994); </w:t>
      </w:r>
      <w:r>
        <w:rPr>
          <w:i/>
          <w:spacing w:val="-3"/>
        </w:rPr>
        <w:t>Brockway Glass Co. v. Pa. Pub.</w:t>
      </w:r>
      <w:proofErr w:type="gramEnd"/>
      <w:r>
        <w:rPr>
          <w:i/>
          <w:spacing w:val="-3"/>
        </w:rPr>
        <w:t xml:space="preserve"> </w:t>
      </w:r>
      <w:proofErr w:type="gramStart"/>
      <w:r>
        <w:rPr>
          <w:i/>
          <w:spacing w:val="-3"/>
        </w:rPr>
        <w:t>Util. Comm'n</w:t>
      </w:r>
      <w:r>
        <w:rPr>
          <w:spacing w:val="-3"/>
        </w:rPr>
        <w:t>, 437 A.2d 1067, 1070 (Pa.Cmwlth. 1981).</w:t>
      </w:r>
      <w:proofErr w:type="gramEnd"/>
      <w:r>
        <w:rPr>
          <w:spacing w:val="-3"/>
        </w:rPr>
        <w:t xml:space="preserve"> </w:t>
      </w:r>
    </w:p>
    <w:p w:rsidR="00FA0952" w:rsidRDefault="00FA0952" w:rsidP="00FA0952">
      <w:pPr>
        <w:jc w:val="left"/>
        <w:rPr>
          <w:spacing w:val="-3"/>
        </w:rPr>
      </w:pPr>
    </w:p>
    <w:p w:rsidR="00FA0952" w:rsidRDefault="00FA0952" w:rsidP="00FA0952">
      <w:pPr>
        <w:jc w:val="left"/>
        <w:rPr>
          <w:spacing w:val="-3"/>
        </w:rPr>
      </w:pPr>
      <w:r>
        <w:rPr>
          <w:spacing w:val="-3"/>
        </w:rPr>
        <w:tab/>
      </w:r>
      <w:r>
        <w:rPr>
          <w:spacing w:val="-3"/>
        </w:rPr>
        <w:tab/>
        <w:t>8.</w:t>
      </w:r>
      <w:r>
        <w:rPr>
          <w:spacing w:val="-3"/>
        </w:rPr>
        <w:tab/>
        <w:t xml:space="preserve"> The Commission is not empowered to grant exceptions but must find that the tariff provisions in question are in some way discriminatory either on their face or in application.  </w:t>
      </w:r>
      <w:proofErr w:type="gramStart"/>
      <w:r>
        <w:rPr>
          <w:spacing w:val="-3"/>
        </w:rPr>
        <w:t>66 Pa.C.S.</w:t>
      </w:r>
      <w:proofErr w:type="gramEnd"/>
      <w:r>
        <w:rPr>
          <w:spacing w:val="-3"/>
        </w:rPr>
        <w:t xml:space="preserve"> § 1304.  </w:t>
      </w:r>
    </w:p>
    <w:p w:rsidR="00FA0952" w:rsidRDefault="00FA0952" w:rsidP="00FA0952">
      <w:pPr>
        <w:jc w:val="left"/>
        <w:rPr>
          <w:spacing w:val="-3"/>
        </w:rPr>
      </w:pPr>
    </w:p>
    <w:p w:rsidR="00FA0952" w:rsidRDefault="00FA0952" w:rsidP="00FA0952">
      <w:pPr>
        <w:jc w:val="left"/>
        <w:rPr>
          <w:spacing w:val="-3"/>
        </w:rPr>
      </w:pPr>
      <w:r>
        <w:rPr>
          <w:spacing w:val="-3"/>
        </w:rPr>
        <w:tab/>
      </w:r>
      <w:r>
        <w:rPr>
          <w:spacing w:val="-3"/>
        </w:rPr>
        <w:tab/>
        <w:t>9.</w:t>
      </w:r>
      <w:r>
        <w:rPr>
          <w:spacing w:val="-3"/>
        </w:rPr>
        <w:tab/>
        <w:t>Complainant has not carried his burden of proving that the existing terms of the utility's tariffs should not be applied.</w:t>
      </w:r>
    </w:p>
    <w:p w:rsidR="00FA0952" w:rsidRDefault="00FA0952" w:rsidP="00FA0952">
      <w:pPr>
        <w:jc w:val="left"/>
        <w:rPr>
          <w:spacing w:val="-3"/>
        </w:rPr>
      </w:pPr>
    </w:p>
    <w:p w:rsidR="00646999" w:rsidRDefault="00646999" w:rsidP="00646999">
      <w:pPr>
        <w:rPr>
          <w:spacing w:val="-3"/>
          <w:u w:val="single"/>
        </w:rPr>
      </w:pPr>
      <w:r>
        <w:rPr>
          <w:spacing w:val="-3"/>
          <w:u w:val="single"/>
        </w:rPr>
        <w:t>ORDER</w:t>
      </w:r>
    </w:p>
    <w:p w:rsidR="00646999" w:rsidRDefault="00646999" w:rsidP="00646999">
      <w:pPr>
        <w:rPr>
          <w:spacing w:val="-3"/>
          <w:u w:val="single"/>
        </w:rPr>
      </w:pPr>
    </w:p>
    <w:p w:rsidR="00646999" w:rsidRPr="00646999" w:rsidRDefault="00646999" w:rsidP="00646999">
      <w:pPr>
        <w:rPr>
          <w:spacing w:val="-3"/>
          <w:u w:val="single"/>
        </w:rPr>
      </w:pPr>
    </w:p>
    <w:p w:rsidR="00FA0952" w:rsidRDefault="00FA0952" w:rsidP="00646999">
      <w:pPr>
        <w:ind w:left="1440"/>
        <w:jc w:val="left"/>
        <w:rPr>
          <w:spacing w:val="-3"/>
        </w:rPr>
      </w:pPr>
      <w:r>
        <w:rPr>
          <w:spacing w:val="-3"/>
        </w:rPr>
        <w:t>THEREFORE,</w:t>
      </w:r>
    </w:p>
    <w:p w:rsidR="00FA0952" w:rsidRDefault="00FA0952" w:rsidP="00646999">
      <w:pPr>
        <w:ind w:left="1440"/>
        <w:jc w:val="left"/>
        <w:rPr>
          <w:spacing w:val="-3"/>
        </w:rPr>
      </w:pPr>
    </w:p>
    <w:p w:rsidR="00FA0952" w:rsidRDefault="00FA0952" w:rsidP="00646999">
      <w:pPr>
        <w:ind w:left="1440"/>
        <w:jc w:val="left"/>
        <w:rPr>
          <w:spacing w:val="-3"/>
        </w:rPr>
      </w:pPr>
      <w:r>
        <w:rPr>
          <w:spacing w:val="-3"/>
        </w:rPr>
        <w:t>IT IS ORDERED:</w:t>
      </w:r>
    </w:p>
    <w:p w:rsidR="00FA0952" w:rsidRDefault="00FA0952" w:rsidP="00FA0952">
      <w:pPr>
        <w:jc w:val="left"/>
        <w:rPr>
          <w:spacing w:val="-3"/>
        </w:rPr>
      </w:pPr>
    </w:p>
    <w:p w:rsidR="00FA0952" w:rsidRDefault="00FA0952" w:rsidP="00FA0952">
      <w:pPr>
        <w:jc w:val="left"/>
        <w:rPr>
          <w:spacing w:val="-3"/>
        </w:rPr>
      </w:pPr>
      <w:r>
        <w:rPr>
          <w:spacing w:val="-3"/>
        </w:rPr>
        <w:tab/>
      </w:r>
      <w:r>
        <w:rPr>
          <w:spacing w:val="-3"/>
        </w:rPr>
        <w:tab/>
        <w:t>1.</w:t>
      </w:r>
      <w:r>
        <w:rPr>
          <w:spacing w:val="-3"/>
        </w:rPr>
        <w:tab/>
        <w:t xml:space="preserve">That the Complaint filed by Loren </w:t>
      </w:r>
      <w:r w:rsidR="00607F13">
        <w:rPr>
          <w:spacing w:val="-3"/>
        </w:rPr>
        <w:t xml:space="preserve">J. </w:t>
      </w:r>
      <w:proofErr w:type="spellStart"/>
      <w:r w:rsidR="00607F13">
        <w:rPr>
          <w:spacing w:val="-3"/>
        </w:rPr>
        <w:t>Hulber</w:t>
      </w:r>
      <w:proofErr w:type="spellEnd"/>
      <w:r w:rsidR="00607F13">
        <w:rPr>
          <w:spacing w:val="-3"/>
        </w:rPr>
        <w:t xml:space="preserve"> against PPL Electric Utilities Corporation at docket no. C-2014-2418167 is dismissed.</w:t>
      </w:r>
    </w:p>
    <w:p w:rsidR="00607F13" w:rsidRDefault="00607F13" w:rsidP="00FA0952">
      <w:pPr>
        <w:jc w:val="left"/>
        <w:rPr>
          <w:spacing w:val="-3"/>
        </w:rPr>
      </w:pPr>
    </w:p>
    <w:p w:rsidR="00607F13" w:rsidRDefault="00607F13" w:rsidP="00FA0952">
      <w:pPr>
        <w:jc w:val="left"/>
        <w:rPr>
          <w:spacing w:val="-3"/>
        </w:rPr>
      </w:pPr>
      <w:r>
        <w:rPr>
          <w:spacing w:val="-3"/>
        </w:rPr>
        <w:tab/>
      </w:r>
      <w:r>
        <w:rPr>
          <w:spacing w:val="-3"/>
        </w:rPr>
        <w:tab/>
        <w:t>2.</w:t>
      </w:r>
      <w:r>
        <w:rPr>
          <w:spacing w:val="-3"/>
        </w:rPr>
        <w:tab/>
        <w:t xml:space="preserve">That the Secretary </w:t>
      </w:r>
      <w:proofErr w:type="gramStart"/>
      <w:r>
        <w:rPr>
          <w:spacing w:val="-3"/>
        </w:rPr>
        <w:t>mark</w:t>
      </w:r>
      <w:proofErr w:type="gramEnd"/>
      <w:r>
        <w:rPr>
          <w:spacing w:val="-3"/>
        </w:rPr>
        <w:t xml:space="preserve"> this docket closed.</w:t>
      </w:r>
    </w:p>
    <w:p w:rsidR="00607F13" w:rsidRDefault="00607F13" w:rsidP="00FA0952">
      <w:pPr>
        <w:jc w:val="left"/>
        <w:rPr>
          <w:spacing w:val="-3"/>
        </w:rPr>
      </w:pPr>
    </w:p>
    <w:p w:rsidR="00607F13" w:rsidRPr="005D3409" w:rsidRDefault="00607F13" w:rsidP="00607F13">
      <w:pPr>
        <w:spacing w:line="240" w:lineRule="auto"/>
        <w:jc w:val="left"/>
        <w:rPr>
          <w:spacing w:val="-3"/>
          <w:u w:val="single"/>
        </w:rPr>
      </w:pPr>
      <w:r>
        <w:rPr>
          <w:spacing w:val="-3"/>
        </w:rPr>
        <w:t>Dated:</w:t>
      </w:r>
      <w:r>
        <w:rPr>
          <w:spacing w:val="-3"/>
        </w:rPr>
        <w:tab/>
      </w:r>
      <w:r w:rsidR="00CA4513">
        <w:rPr>
          <w:spacing w:val="-3"/>
          <w:u w:val="single"/>
        </w:rPr>
        <w:t>March 2</w:t>
      </w:r>
      <w:r w:rsidR="005C40A0">
        <w:rPr>
          <w:spacing w:val="-3"/>
          <w:u w:val="single"/>
        </w:rPr>
        <w:t>7</w:t>
      </w:r>
      <w:r w:rsidR="00CA4513">
        <w:rPr>
          <w:spacing w:val="-3"/>
          <w:u w:val="single"/>
        </w:rPr>
        <w:t>, 2015</w:t>
      </w:r>
      <w:r>
        <w:rPr>
          <w:spacing w:val="-3"/>
        </w:rPr>
        <w:tab/>
      </w:r>
      <w:r>
        <w:rPr>
          <w:spacing w:val="-3"/>
        </w:rPr>
        <w:tab/>
      </w:r>
      <w:r>
        <w:rPr>
          <w:spacing w:val="-3"/>
        </w:rPr>
        <w:tab/>
      </w:r>
      <w:r>
        <w:rPr>
          <w:spacing w:val="-3"/>
        </w:rPr>
        <w:tab/>
      </w:r>
      <w:r w:rsidR="005D3409">
        <w:rPr>
          <w:spacing w:val="-3"/>
          <w:u w:val="single"/>
        </w:rPr>
        <w:tab/>
        <w:t>/s/</w:t>
      </w:r>
      <w:r w:rsidR="005D3409">
        <w:rPr>
          <w:spacing w:val="-3"/>
          <w:u w:val="single"/>
        </w:rPr>
        <w:tab/>
      </w:r>
      <w:r w:rsidR="005D3409">
        <w:rPr>
          <w:spacing w:val="-3"/>
          <w:u w:val="single"/>
        </w:rPr>
        <w:tab/>
      </w:r>
      <w:r w:rsidR="005D3409">
        <w:rPr>
          <w:spacing w:val="-3"/>
          <w:u w:val="single"/>
        </w:rPr>
        <w:tab/>
      </w:r>
      <w:r w:rsidR="005D3409">
        <w:rPr>
          <w:spacing w:val="-3"/>
          <w:u w:val="single"/>
        </w:rPr>
        <w:tab/>
      </w:r>
      <w:r w:rsidR="005D3409">
        <w:rPr>
          <w:spacing w:val="-3"/>
          <w:u w:val="single"/>
        </w:rPr>
        <w:tab/>
      </w:r>
      <w:bookmarkStart w:id="0" w:name="_GoBack"/>
      <w:bookmarkEnd w:id="0"/>
    </w:p>
    <w:p w:rsidR="00607F13" w:rsidRDefault="00607F13" w:rsidP="00607F13">
      <w:pPr>
        <w:spacing w:line="240" w:lineRule="auto"/>
        <w:jc w:val="left"/>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Susan D. Colwell</w:t>
      </w:r>
    </w:p>
    <w:p w:rsidR="00607F13" w:rsidRPr="00607F13" w:rsidRDefault="00607F13" w:rsidP="00607F13">
      <w:pPr>
        <w:spacing w:line="240" w:lineRule="auto"/>
        <w:jc w:val="left"/>
      </w:pPr>
      <w:r>
        <w:rPr>
          <w:spacing w:val="-3"/>
        </w:rPr>
        <w:tab/>
      </w:r>
      <w:r>
        <w:rPr>
          <w:spacing w:val="-3"/>
        </w:rPr>
        <w:tab/>
      </w:r>
      <w:r>
        <w:rPr>
          <w:spacing w:val="-3"/>
        </w:rPr>
        <w:tab/>
      </w:r>
      <w:r>
        <w:rPr>
          <w:spacing w:val="-3"/>
        </w:rPr>
        <w:tab/>
      </w:r>
      <w:r>
        <w:rPr>
          <w:spacing w:val="-3"/>
        </w:rPr>
        <w:tab/>
      </w:r>
      <w:r>
        <w:rPr>
          <w:spacing w:val="-3"/>
        </w:rPr>
        <w:tab/>
      </w:r>
      <w:r>
        <w:rPr>
          <w:spacing w:val="-3"/>
        </w:rPr>
        <w:tab/>
        <w:t>Administrative Law Judge</w:t>
      </w:r>
    </w:p>
    <w:p w:rsidR="00BF7557" w:rsidRPr="00436007" w:rsidRDefault="00BF7557" w:rsidP="00436007">
      <w:pPr>
        <w:jc w:val="left"/>
      </w:pPr>
    </w:p>
    <w:sectPr w:rsidR="00BF7557" w:rsidRPr="00436007" w:rsidSect="006F013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58B" w:rsidRDefault="00B4358B" w:rsidP="006F0137">
      <w:pPr>
        <w:spacing w:line="240" w:lineRule="auto"/>
      </w:pPr>
      <w:r>
        <w:separator/>
      </w:r>
    </w:p>
  </w:endnote>
  <w:endnote w:type="continuationSeparator" w:id="0">
    <w:p w:rsidR="00B4358B" w:rsidRDefault="00B4358B" w:rsidP="006F0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795296"/>
      <w:docPartObj>
        <w:docPartGallery w:val="Page Numbers (Bottom of Page)"/>
        <w:docPartUnique/>
      </w:docPartObj>
    </w:sdtPr>
    <w:sdtEndPr>
      <w:rPr>
        <w:noProof/>
        <w:sz w:val="20"/>
        <w:szCs w:val="20"/>
      </w:rPr>
    </w:sdtEndPr>
    <w:sdtContent>
      <w:p w:rsidR="006F0137" w:rsidRPr="00646999" w:rsidRDefault="006F0137" w:rsidP="00646999">
        <w:pPr>
          <w:pStyle w:val="Footer"/>
          <w:rPr>
            <w:sz w:val="20"/>
            <w:szCs w:val="20"/>
          </w:rPr>
        </w:pPr>
        <w:r w:rsidRPr="00646999">
          <w:rPr>
            <w:sz w:val="20"/>
            <w:szCs w:val="20"/>
          </w:rPr>
          <w:fldChar w:fldCharType="begin"/>
        </w:r>
        <w:r w:rsidRPr="00646999">
          <w:rPr>
            <w:sz w:val="20"/>
            <w:szCs w:val="20"/>
          </w:rPr>
          <w:instrText xml:space="preserve"> PAGE   \* MERGEFORMAT </w:instrText>
        </w:r>
        <w:r w:rsidRPr="00646999">
          <w:rPr>
            <w:sz w:val="20"/>
            <w:szCs w:val="20"/>
          </w:rPr>
          <w:fldChar w:fldCharType="separate"/>
        </w:r>
        <w:r w:rsidR="005D3409">
          <w:rPr>
            <w:noProof/>
            <w:sz w:val="20"/>
            <w:szCs w:val="20"/>
          </w:rPr>
          <w:t>12</w:t>
        </w:r>
        <w:r w:rsidRPr="0064699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58B" w:rsidRDefault="00B4358B" w:rsidP="00646999">
      <w:pPr>
        <w:spacing w:line="240" w:lineRule="auto"/>
        <w:jc w:val="left"/>
      </w:pPr>
      <w:r>
        <w:separator/>
      </w:r>
    </w:p>
  </w:footnote>
  <w:footnote w:type="continuationSeparator" w:id="0">
    <w:p w:rsidR="00B4358B" w:rsidRDefault="00B4358B" w:rsidP="006F0137">
      <w:pPr>
        <w:spacing w:line="240" w:lineRule="auto"/>
      </w:pPr>
      <w:r>
        <w:continuationSeparator/>
      </w:r>
    </w:p>
  </w:footnote>
  <w:footnote w:id="1">
    <w:p w:rsidR="006B161B" w:rsidRDefault="006B161B" w:rsidP="00646999">
      <w:pPr>
        <w:pStyle w:val="FootnoteText"/>
        <w:ind w:firstLine="720"/>
        <w:jc w:val="left"/>
      </w:pPr>
      <w:r>
        <w:rPr>
          <w:rStyle w:val="FootnoteReference"/>
        </w:rPr>
        <w:footnoteRef/>
      </w:r>
      <w:r>
        <w:t xml:space="preserve"> </w:t>
      </w:r>
      <w:r w:rsidR="00646999">
        <w:tab/>
      </w:r>
      <w:r>
        <w:t xml:space="preserve">At the hearing, the Company had identified one of the services as three-phase, and it discovered that all three services are single-phase.  They discovered their error after the first hearing and presented corrective testimony and exhibits.  </w:t>
      </w:r>
    </w:p>
  </w:footnote>
  <w:footnote w:id="2">
    <w:p w:rsidR="00B12F81" w:rsidRDefault="00B12F81" w:rsidP="00646999">
      <w:pPr>
        <w:pStyle w:val="FootnoteText"/>
        <w:ind w:firstLine="720"/>
        <w:jc w:val="left"/>
      </w:pPr>
      <w:r>
        <w:rPr>
          <w:rStyle w:val="FootnoteReference"/>
        </w:rPr>
        <w:footnoteRef/>
      </w:r>
      <w:r>
        <w:t xml:space="preserve"> </w:t>
      </w:r>
      <w:r w:rsidR="00646999">
        <w:tab/>
      </w:r>
      <w:r>
        <w:t>See Complainant's testimony at the end of the hearing, when he stated, "I think PPL is a very fine company.  I was a strong advocate of keeping PPL independent.  I sort of coach here at United Way near the ---. And so, I admired the Company.  They're wonde</w:t>
      </w:r>
      <w:r w:rsidR="005C40A0">
        <w:t xml:space="preserve">rful citizens.  I'm just asking for understanding for our services."  </w:t>
      </w:r>
      <w:proofErr w:type="gramStart"/>
      <w:r w:rsidR="005C40A0">
        <w:t>Tr. 57.</w:t>
      </w:r>
      <w:proofErr w:type="gramEnd"/>
      <w:r w:rsidR="005C40A0">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0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39E8"/>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6D96"/>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33EE"/>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12A"/>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1BFF"/>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5BC0"/>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28E2"/>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16D"/>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6007"/>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A7551"/>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1A0"/>
    <w:rsid w:val="005328F4"/>
    <w:rsid w:val="005339EA"/>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87E16"/>
    <w:rsid w:val="00591696"/>
    <w:rsid w:val="005938AA"/>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0A0"/>
    <w:rsid w:val="005C4AAA"/>
    <w:rsid w:val="005C5CF5"/>
    <w:rsid w:val="005C610A"/>
    <w:rsid w:val="005D1442"/>
    <w:rsid w:val="005D1922"/>
    <w:rsid w:val="005D2788"/>
    <w:rsid w:val="005D3409"/>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07F13"/>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999"/>
    <w:rsid w:val="00646FCC"/>
    <w:rsid w:val="0064750C"/>
    <w:rsid w:val="00651F0A"/>
    <w:rsid w:val="006540C5"/>
    <w:rsid w:val="006543FB"/>
    <w:rsid w:val="006548E0"/>
    <w:rsid w:val="006549F5"/>
    <w:rsid w:val="00655505"/>
    <w:rsid w:val="00655AA7"/>
    <w:rsid w:val="00655F80"/>
    <w:rsid w:val="00656541"/>
    <w:rsid w:val="00660216"/>
    <w:rsid w:val="006621E9"/>
    <w:rsid w:val="00662904"/>
    <w:rsid w:val="00664A57"/>
    <w:rsid w:val="00664C73"/>
    <w:rsid w:val="00666ACB"/>
    <w:rsid w:val="00671999"/>
    <w:rsid w:val="006764EA"/>
    <w:rsid w:val="00677DDE"/>
    <w:rsid w:val="00680B65"/>
    <w:rsid w:val="00681287"/>
    <w:rsid w:val="006815A6"/>
    <w:rsid w:val="00681FD9"/>
    <w:rsid w:val="0068285E"/>
    <w:rsid w:val="00682ED4"/>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61B"/>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0137"/>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1614"/>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5747B"/>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230A"/>
    <w:rsid w:val="007C342D"/>
    <w:rsid w:val="007C3C7F"/>
    <w:rsid w:val="007C51EB"/>
    <w:rsid w:val="007C60E2"/>
    <w:rsid w:val="007C7435"/>
    <w:rsid w:val="007D097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4FD7"/>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5A2C"/>
    <w:rsid w:val="00876B32"/>
    <w:rsid w:val="0088107A"/>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0EE7"/>
    <w:rsid w:val="008E1A3D"/>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375F2"/>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14B0"/>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757"/>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23A1"/>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F81"/>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58B"/>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557"/>
    <w:rsid w:val="00BF7D51"/>
    <w:rsid w:val="00C00699"/>
    <w:rsid w:val="00C01975"/>
    <w:rsid w:val="00C0223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16A4A"/>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1DB"/>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513"/>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15A7"/>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5B16"/>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2D8"/>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1B2"/>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0952"/>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137"/>
    <w:pPr>
      <w:tabs>
        <w:tab w:val="center" w:pos="4680"/>
        <w:tab w:val="right" w:pos="9360"/>
      </w:tabs>
      <w:spacing w:line="240" w:lineRule="auto"/>
    </w:pPr>
  </w:style>
  <w:style w:type="character" w:customStyle="1" w:styleId="HeaderChar">
    <w:name w:val="Header Char"/>
    <w:basedOn w:val="DefaultParagraphFont"/>
    <w:link w:val="Header"/>
    <w:uiPriority w:val="99"/>
    <w:rsid w:val="006F0137"/>
  </w:style>
  <w:style w:type="paragraph" w:styleId="Footer">
    <w:name w:val="footer"/>
    <w:basedOn w:val="Normal"/>
    <w:link w:val="FooterChar"/>
    <w:uiPriority w:val="99"/>
    <w:unhideWhenUsed/>
    <w:rsid w:val="006F0137"/>
    <w:pPr>
      <w:tabs>
        <w:tab w:val="center" w:pos="4680"/>
        <w:tab w:val="right" w:pos="9360"/>
      </w:tabs>
      <w:spacing w:line="240" w:lineRule="auto"/>
    </w:pPr>
  </w:style>
  <w:style w:type="character" w:customStyle="1" w:styleId="FooterChar">
    <w:name w:val="Footer Char"/>
    <w:basedOn w:val="DefaultParagraphFont"/>
    <w:link w:val="Footer"/>
    <w:uiPriority w:val="99"/>
    <w:rsid w:val="006F0137"/>
  </w:style>
  <w:style w:type="paragraph" w:styleId="FootnoteText">
    <w:name w:val="footnote text"/>
    <w:basedOn w:val="Normal"/>
    <w:link w:val="FootnoteTextChar"/>
    <w:uiPriority w:val="99"/>
    <w:semiHidden/>
    <w:unhideWhenUsed/>
    <w:rsid w:val="006F0137"/>
    <w:pPr>
      <w:spacing w:line="240" w:lineRule="auto"/>
    </w:pPr>
    <w:rPr>
      <w:sz w:val="20"/>
      <w:szCs w:val="20"/>
    </w:rPr>
  </w:style>
  <w:style w:type="character" w:customStyle="1" w:styleId="FootnoteTextChar">
    <w:name w:val="Footnote Text Char"/>
    <w:basedOn w:val="DefaultParagraphFont"/>
    <w:link w:val="FootnoteText"/>
    <w:uiPriority w:val="99"/>
    <w:semiHidden/>
    <w:rsid w:val="006F0137"/>
    <w:rPr>
      <w:sz w:val="20"/>
      <w:szCs w:val="20"/>
    </w:rPr>
  </w:style>
  <w:style w:type="character" w:styleId="FootnoteReference">
    <w:name w:val="footnote reference"/>
    <w:basedOn w:val="DefaultParagraphFont"/>
    <w:uiPriority w:val="99"/>
    <w:semiHidden/>
    <w:unhideWhenUsed/>
    <w:rsid w:val="006F01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137"/>
    <w:pPr>
      <w:tabs>
        <w:tab w:val="center" w:pos="4680"/>
        <w:tab w:val="right" w:pos="9360"/>
      </w:tabs>
      <w:spacing w:line="240" w:lineRule="auto"/>
    </w:pPr>
  </w:style>
  <w:style w:type="character" w:customStyle="1" w:styleId="HeaderChar">
    <w:name w:val="Header Char"/>
    <w:basedOn w:val="DefaultParagraphFont"/>
    <w:link w:val="Header"/>
    <w:uiPriority w:val="99"/>
    <w:rsid w:val="006F0137"/>
  </w:style>
  <w:style w:type="paragraph" w:styleId="Footer">
    <w:name w:val="footer"/>
    <w:basedOn w:val="Normal"/>
    <w:link w:val="FooterChar"/>
    <w:uiPriority w:val="99"/>
    <w:unhideWhenUsed/>
    <w:rsid w:val="006F0137"/>
    <w:pPr>
      <w:tabs>
        <w:tab w:val="center" w:pos="4680"/>
        <w:tab w:val="right" w:pos="9360"/>
      </w:tabs>
      <w:spacing w:line="240" w:lineRule="auto"/>
    </w:pPr>
  </w:style>
  <w:style w:type="character" w:customStyle="1" w:styleId="FooterChar">
    <w:name w:val="Footer Char"/>
    <w:basedOn w:val="DefaultParagraphFont"/>
    <w:link w:val="Footer"/>
    <w:uiPriority w:val="99"/>
    <w:rsid w:val="006F0137"/>
  </w:style>
  <w:style w:type="paragraph" w:styleId="FootnoteText">
    <w:name w:val="footnote text"/>
    <w:basedOn w:val="Normal"/>
    <w:link w:val="FootnoteTextChar"/>
    <w:uiPriority w:val="99"/>
    <w:semiHidden/>
    <w:unhideWhenUsed/>
    <w:rsid w:val="006F0137"/>
    <w:pPr>
      <w:spacing w:line="240" w:lineRule="auto"/>
    </w:pPr>
    <w:rPr>
      <w:sz w:val="20"/>
      <w:szCs w:val="20"/>
    </w:rPr>
  </w:style>
  <w:style w:type="character" w:customStyle="1" w:styleId="FootnoteTextChar">
    <w:name w:val="Footnote Text Char"/>
    <w:basedOn w:val="DefaultParagraphFont"/>
    <w:link w:val="FootnoteText"/>
    <w:uiPriority w:val="99"/>
    <w:semiHidden/>
    <w:rsid w:val="006F0137"/>
    <w:rPr>
      <w:sz w:val="20"/>
      <w:szCs w:val="20"/>
    </w:rPr>
  </w:style>
  <w:style w:type="character" w:styleId="FootnoteReference">
    <w:name w:val="footnote reference"/>
    <w:basedOn w:val="DefaultParagraphFont"/>
    <w:uiPriority w:val="99"/>
    <w:semiHidden/>
    <w:unhideWhenUsed/>
    <w:rsid w:val="006F01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DC41A-9839-4D2C-AE52-E144187A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3105</Words>
  <Characters>17705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dcterms:created xsi:type="dcterms:W3CDTF">2015-04-09T15:38:00Z</dcterms:created>
  <dcterms:modified xsi:type="dcterms:W3CDTF">2015-04-09T15:38:00Z</dcterms:modified>
</cp:coreProperties>
</file>