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753" w:rsidRPr="00F514FB" w:rsidRDefault="00524753" w:rsidP="00524753">
      <w:pPr>
        <w:tabs>
          <w:tab w:val="center" w:pos="4680"/>
        </w:tabs>
        <w:suppressAutoHyphens/>
        <w:jc w:val="center"/>
        <w:rPr>
          <w:b/>
          <w:sz w:val="26"/>
          <w:szCs w:val="26"/>
        </w:rPr>
      </w:pPr>
      <w:r w:rsidRPr="00F514FB">
        <w:rPr>
          <w:b/>
          <w:sz w:val="26"/>
          <w:szCs w:val="26"/>
        </w:rPr>
        <w:t>PENNSYLVANIA</w:t>
      </w:r>
    </w:p>
    <w:p w:rsidR="00524753" w:rsidRPr="00F514FB" w:rsidRDefault="00524753" w:rsidP="00524753">
      <w:pPr>
        <w:tabs>
          <w:tab w:val="center" w:pos="4680"/>
        </w:tabs>
        <w:suppressAutoHyphens/>
        <w:jc w:val="center"/>
        <w:rPr>
          <w:sz w:val="26"/>
          <w:szCs w:val="26"/>
        </w:rPr>
      </w:pPr>
      <w:r w:rsidRPr="00F514FB">
        <w:rPr>
          <w:b/>
          <w:sz w:val="26"/>
          <w:szCs w:val="26"/>
        </w:rPr>
        <w:t>PUBLIC UTILITY COMMISSION</w:t>
      </w:r>
    </w:p>
    <w:p w:rsidR="00524753" w:rsidRPr="00F514FB" w:rsidRDefault="00524753" w:rsidP="00524753">
      <w:pPr>
        <w:tabs>
          <w:tab w:val="center" w:pos="4680"/>
        </w:tabs>
        <w:suppressAutoHyphens/>
        <w:jc w:val="center"/>
        <w:rPr>
          <w:sz w:val="26"/>
          <w:szCs w:val="26"/>
        </w:rPr>
      </w:pPr>
      <w:r w:rsidRPr="00F514FB">
        <w:rPr>
          <w:b/>
          <w:sz w:val="26"/>
          <w:szCs w:val="26"/>
        </w:rPr>
        <w:t>Harrisburg, PA 17105-3265</w:t>
      </w:r>
    </w:p>
    <w:p w:rsidR="00524753" w:rsidRPr="00F514FB" w:rsidRDefault="00524753" w:rsidP="00524753">
      <w:pPr>
        <w:tabs>
          <w:tab w:val="left" w:pos="-720"/>
        </w:tabs>
        <w:suppressAutoHyphens/>
        <w:rPr>
          <w:sz w:val="26"/>
          <w:szCs w:val="26"/>
        </w:rPr>
      </w:pPr>
    </w:p>
    <w:p w:rsidR="00524753" w:rsidRPr="00F514FB" w:rsidRDefault="00524753" w:rsidP="00524753">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524753" w:rsidRPr="00F514FB" w:rsidTr="008F27DF">
        <w:tc>
          <w:tcPr>
            <w:tcW w:w="5058" w:type="dxa"/>
          </w:tcPr>
          <w:p w:rsidR="00524753" w:rsidRPr="00F514FB" w:rsidRDefault="00524753" w:rsidP="008F27DF">
            <w:pPr>
              <w:jc w:val="both"/>
              <w:rPr>
                <w:sz w:val="26"/>
                <w:szCs w:val="26"/>
              </w:rPr>
            </w:pPr>
          </w:p>
        </w:tc>
        <w:tc>
          <w:tcPr>
            <w:tcW w:w="4428" w:type="dxa"/>
          </w:tcPr>
          <w:p w:rsidR="00524753" w:rsidRPr="00F514FB" w:rsidRDefault="00524753" w:rsidP="008F27DF">
            <w:pPr>
              <w:ind w:hanging="738"/>
              <w:jc w:val="right"/>
              <w:rPr>
                <w:sz w:val="26"/>
                <w:szCs w:val="26"/>
              </w:rPr>
            </w:pPr>
            <w:r w:rsidRPr="00F514FB">
              <w:rPr>
                <w:sz w:val="26"/>
                <w:szCs w:val="26"/>
              </w:rPr>
              <w:t xml:space="preserve"> Public Meeting held</w:t>
            </w:r>
            <w:r>
              <w:rPr>
                <w:sz w:val="26"/>
                <w:szCs w:val="26"/>
              </w:rPr>
              <w:t xml:space="preserve"> </w:t>
            </w:r>
            <w:r w:rsidR="001C37B9">
              <w:rPr>
                <w:sz w:val="26"/>
                <w:szCs w:val="26"/>
              </w:rPr>
              <w:t>April 9</w:t>
            </w:r>
            <w:r>
              <w:rPr>
                <w:sz w:val="26"/>
                <w:szCs w:val="26"/>
              </w:rPr>
              <w:t>, 201</w:t>
            </w:r>
            <w:r w:rsidR="00550FC7">
              <w:rPr>
                <w:sz w:val="26"/>
                <w:szCs w:val="26"/>
              </w:rPr>
              <w:t>5</w:t>
            </w:r>
          </w:p>
          <w:p w:rsidR="00524753" w:rsidRPr="00F514FB" w:rsidRDefault="00524753" w:rsidP="008F27DF">
            <w:pPr>
              <w:rPr>
                <w:sz w:val="26"/>
                <w:szCs w:val="26"/>
              </w:rPr>
            </w:pPr>
          </w:p>
          <w:p w:rsidR="00524753" w:rsidRPr="00F514FB" w:rsidRDefault="00524753" w:rsidP="008F27DF">
            <w:pPr>
              <w:rPr>
                <w:sz w:val="26"/>
                <w:szCs w:val="26"/>
              </w:rPr>
            </w:pPr>
          </w:p>
        </w:tc>
      </w:tr>
      <w:tr w:rsidR="00524753" w:rsidRPr="00F514FB" w:rsidTr="008F27DF">
        <w:tc>
          <w:tcPr>
            <w:tcW w:w="5058" w:type="dxa"/>
          </w:tcPr>
          <w:p w:rsidR="00524753" w:rsidRPr="00F514FB" w:rsidRDefault="00524753" w:rsidP="008F27DF">
            <w:pPr>
              <w:rPr>
                <w:sz w:val="26"/>
                <w:szCs w:val="26"/>
              </w:rPr>
            </w:pPr>
            <w:r w:rsidRPr="00F514FB">
              <w:rPr>
                <w:sz w:val="26"/>
                <w:szCs w:val="26"/>
              </w:rPr>
              <w:t>Commissioners Present:</w:t>
            </w:r>
          </w:p>
          <w:p w:rsidR="00524753" w:rsidRPr="00F514FB" w:rsidRDefault="00524753" w:rsidP="008F27DF">
            <w:pPr>
              <w:rPr>
                <w:sz w:val="26"/>
                <w:szCs w:val="26"/>
              </w:rPr>
            </w:pPr>
          </w:p>
          <w:p w:rsidR="00524753" w:rsidRPr="00F514FB" w:rsidRDefault="00524753" w:rsidP="008F27DF">
            <w:pPr>
              <w:tabs>
                <w:tab w:val="left" w:pos="705"/>
              </w:tabs>
              <w:ind w:firstLine="720"/>
              <w:rPr>
                <w:sz w:val="26"/>
                <w:szCs w:val="26"/>
              </w:rPr>
            </w:pPr>
            <w:r w:rsidRPr="00F514FB">
              <w:rPr>
                <w:sz w:val="26"/>
                <w:szCs w:val="26"/>
              </w:rPr>
              <w:t>Robert F. Powelson, Chairman</w:t>
            </w:r>
          </w:p>
          <w:p w:rsidR="00524753" w:rsidRPr="00F514FB" w:rsidRDefault="00524753" w:rsidP="008F27DF">
            <w:pPr>
              <w:tabs>
                <w:tab w:val="left" w:pos="705"/>
              </w:tabs>
              <w:ind w:firstLine="720"/>
              <w:rPr>
                <w:sz w:val="26"/>
                <w:szCs w:val="26"/>
              </w:rPr>
            </w:pPr>
            <w:r w:rsidRPr="00F514FB">
              <w:rPr>
                <w:sz w:val="26"/>
                <w:szCs w:val="26"/>
              </w:rPr>
              <w:t>John F. Coleman, Jr., Vice Chairman</w:t>
            </w:r>
          </w:p>
          <w:p w:rsidR="00524753" w:rsidRPr="00F514FB" w:rsidRDefault="00524753" w:rsidP="008F27DF">
            <w:pPr>
              <w:tabs>
                <w:tab w:val="left" w:pos="705"/>
              </w:tabs>
              <w:ind w:firstLine="720"/>
              <w:rPr>
                <w:sz w:val="26"/>
                <w:szCs w:val="26"/>
              </w:rPr>
            </w:pPr>
            <w:r w:rsidRPr="00F514FB">
              <w:rPr>
                <w:sz w:val="26"/>
                <w:szCs w:val="26"/>
              </w:rPr>
              <w:t>James H. Cawley</w:t>
            </w:r>
          </w:p>
          <w:p w:rsidR="00524753" w:rsidRDefault="00524753" w:rsidP="008F27DF">
            <w:pPr>
              <w:tabs>
                <w:tab w:val="left" w:pos="705"/>
              </w:tabs>
              <w:ind w:firstLine="720"/>
              <w:rPr>
                <w:sz w:val="26"/>
                <w:szCs w:val="26"/>
              </w:rPr>
            </w:pPr>
            <w:r w:rsidRPr="00F514FB">
              <w:rPr>
                <w:sz w:val="26"/>
                <w:szCs w:val="26"/>
              </w:rPr>
              <w:t>Pamela A. Witmer</w:t>
            </w:r>
          </w:p>
          <w:p w:rsidR="00524753" w:rsidRDefault="00524753" w:rsidP="008F27DF">
            <w:pPr>
              <w:tabs>
                <w:tab w:val="left" w:pos="705"/>
              </w:tabs>
              <w:ind w:firstLine="720"/>
              <w:rPr>
                <w:sz w:val="26"/>
                <w:szCs w:val="26"/>
              </w:rPr>
            </w:pPr>
            <w:r>
              <w:rPr>
                <w:sz w:val="26"/>
                <w:szCs w:val="26"/>
              </w:rPr>
              <w:t>Gladys M. Brown</w:t>
            </w:r>
          </w:p>
          <w:p w:rsidR="00524753" w:rsidRPr="00F514FB" w:rsidRDefault="00524753" w:rsidP="008F27DF">
            <w:pPr>
              <w:rPr>
                <w:sz w:val="26"/>
                <w:szCs w:val="26"/>
              </w:rPr>
            </w:pPr>
          </w:p>
          <w:p w:rsidR="00524753" w:rsidRPr="00F514FB" w:rsidRDefault="00524753" w:rsidP="008F27DF">
            <w:pPr>
              <w:rPr>
                <w:sz w:val="26"/>
                <w:szCs w:val="26"/>
              </w:rPr>
            </w:pPr>
          </w:p>
        </w:tc>
        <w:tc>
          <w:tcPr>
            <w:tcW w:w="4428" w:type="dxa"/>
          </w:tcPr>
          <w:p w:rsidR="00524753" w:rsidRPr="00F514FB" w:rsidRDefault="00524753" w:rsidP="008F27DF">
            <w:pPr>
              <w:jc w:val="right"/>
              <w:rPr>
                <w:sz w:val="26"/>
                <w:szCs w:val="26"/>
              </w:rPr>
            </w:pPr>
          </w:p>
          <w:p w:rsidR="00524753" w:rsidRPr="00F514FB" w:rsidRDefault="00524753" w:rsidP="008F27DF">
            <w:pPr>
              <w:jc w:val="right"/>
              <w:rPr>
                <w:sz w:val="26"/>
                <w:szCs w:val="26"/>
              </w:rPr>
            </w:pPr>
          </w:p>
        </w:tc>
      </w:tr>
    </w:tbl>
    <w:p w:rsidR="00524753" w:rsidRPr="000C584C" w:rsidRDefault="00524753" w:rsidP="00524753">
      <w:pPr>
        <w:adjustRightInd w:val="0"/>
        <w:rPr>
          <w:bCs/>
          <w:color w:val="000000"/>
          <w:sz w:val="26"/>
          <w:szCs w:val="26"/>
        </w:rPr>
      </w:pPr>
      <w:r w:rsidRPr="000C584C">
        <w:rPr>
          <w:bCs/>
          <w:color w:val="000000"/>
          <w:sz w:val="26"/>
          <w:szCs w:val="26"/>
        </w:rPr>
        <w:t>Commonwealth of Pennsylvania,</w:t>
      </w:r>
      <w:r>
        <w:rPr>
          <w:bCs/>
          <w:color w:val="000000"/>
          <w:sz w:val="26"/>
          <w:szCs w:val="26"/>
        </w:rPr>
        <w:t xml:space="preserve"> </w:t>
      </w:r>
      <w:r>
        <w:rPr>
          <w:bCs/>
          <w:i/>
          <w:color w:val="000000"/>
          <w:sz w:val="26"/>
          <w:szCs w:val="26"/>
        </w:rPr>
        <w:t>et al.</w:t>
      </w:r>
      <w:r w:rsidRPr="000C584C">
        <w:rPr>
          <w:bCs/>
          <w:color w:val="000000"/>
          <w:sz w:val="26"/>
          <w:szCs w:val="26"/>
        </w:rPr>
        <w:t xml:space="preserve"> </w:t>
      </w:r>
      <w:r w:rsidRPr="000C584C">
        <w:rPr>
          <w:bCs/>
          <w:color w:val="000000"/>
          <w:sz w:val="26"/>
          <w:szCs w:val="26"/>
        </w:rPr>
        <w:tab/>
      </w:r>
      <w:r w:rsidRPr="000C584C">
        <w:rPr>
          <w:bCs/>
          <w:color w:val="000000"/>
          <w:sz w:val="26"/>
          <w:szCs w:val="26"/>
        </w:rPr>
        <w:tab/>
      </w:r>
    </w:p>
    <w:p w:rsidR="00524753" w:rsidRPr="000C584C" w:rsidRDefault="00524753" w:rsidP="00524753">
      <w:pPr>
        <w:adjustRightInd w:val="0"/>
        <w:rPr>
          <w:bCs/>
          <w:color w:val="000000"/>
          <w:sz w:val="26"/>
          <w:szCs w:val="26"/>
        </w:rPr>
      </w:pP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p>
    <w:p w:rsidR="00524753" w:rsidRPr="000C584C" w:rsidRDefault="00524753" w:rsidP="00524753">
      <w:pPr>
        <w:adjustRightInd w:val="0"/>
        <w:rPr>
          <w:bCs/>
          <w:color w:val="000000"/>
          <w:sz w:val="26"/>
          <w:szCs w:val="26"/>
        </w:rPr>
      </w:pPr>
      <w:r w:rsidRPr="000C584C">
        <w:rPr>
          <w:bCs/>
          <w:color w:val="000000"/>
          <w:sz w:val="26"/>
          <w:szCs w:val="26"/>
        </w:rPr>
        <w:tab/>
        <w:t>v.</w:t>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Pr>
          <w:bCs/>
          <w:color w:val="000000"/>
          <w:sz w:val="26"/>
          <w:szCs w:val="26"/>
        </w:rPr>
        <w:t xml:space="preserve">    </w:t>
      </w:r>
      <w:r w:rsidR="00ED5B3F">
        <w:rPr>
          <w:bCs/>
          <w:color w:val="000000"/>
          <w:sz w:val="26"/>
          <w:szCs w:val="26"/>
        </w:rPr>
        <w:t xml:space="preserve">            </w:t>
      </w:r>
      <w:r w:rsidRPr="000C584C">
        <w:rPr>
          <w:bCs/>
          <w:color w:val="000000"/>
          <w:sz w:val="26"/>
          <w:szCs w:val="26"/>
        </w:rPr>
        <w:t>C-2014-242765</w:t>
      </w:r>
      <w:r w:rsidR="00774ED3">
        <w:rPr>
          <w:bCs/>
          <w:color w:val="000000"/>
          <w:sz w:val="26"/>
          <w:szCs w:val="26"/>
        </w:rPr>
        <w:t>9</w:t>
      </w:r>
    </w:p>
    <w:p w:rsidR="00524753" w:rsidRPr="000C584C" w:rsidRDefault="00524753" w:rsidP="00524753">
      <w:pPr>
        <w:adjustRightInd w:val="0"/>
        <w:rPr>
          <w:bCs/>
          <w:color w:val="000000"/>
          <w:sz w:val="26"/>
          <w:szCs w:val="26"/>
        </w:rPr>
      </w:pP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p>
    <w:p w:rsidR="00524753" w:rsidRPr="000C584C" w:rsidRDefault="00774ED3" w:rsidP="00524753">
      <w:pPr>
        <w:adjustRightInd w:val="0"/>
        <w:rPr>
          <w:bCs/>
          <w:color w:val="000000"/>
          <w:sz w:val="26"/>
          <w:szCs w:val="26"/>
        </w:rPr>
      </w:pPr>
      <w:r>
        <w:rPr>
          <w:bCs/>
          <w:color w:val="000000"/>
          <w:sz w:val="26"/>
          <w:szCs w:val="26"/>
        </w:rPr>
        <w:t>Respond Power LLC</w:t>
      </w:r>
      <w:r w:rsidR="00524753" w:rsidRPr="000C584C">
        <w:rPr>
          <w:bCs/>
          <w:color w:val="000000"/>
          <w:sz w:val="26"/>
          <w:szCs w:val="26"/>
        </w:rPr>
        <w:tab/>
      </w:r>
      <w:r w:rsidR="00524753" w:rsidRPr="000C584C">
        <w:rPr>
          <w:bCs/>
          <w:color w:val="000000"/>
          <w:sz w:val="26"/>
          <w:szCs w:val="26"/>
        </w:rPr>
        <w:tab/>
      </w:r>
      <w:r w:rsidR="00524753" w:rsidRPr="000C584C">
        <w:rPr>
          <w:bCs/>
          <w:color w:val="000000"/>
          <w:sz w:val="26"/>
          <w:szCs w:val="26"/>
        </w:rPr>
        <w:tab/>
      </w:r>
      <w:r w:rsidR="00524753" w:rsidRPr="000C584C">
        <w:rPr>
          <w:bCs/>
          <w:color w:val="000000"/>
          <w:sz w:val="26"/>
          <w:szCs w:val="26"/>
        </w:rPr>
        <w:tab/>
      </w:r>
      <w:r w:rsidR="00524753" w:rsidRPr="000C584C">
        <w:rPr>
          <w:bCs/>
          <w:color w:val="000000"/>
          <w:sz w:val="26"/>
          <w:szCs w:val="26"/>
        </w:rPr>
        <w:tab/>
      </w:r>
    </w:p>
    <w:p w:rsidR="00524753" w:rsidRDefault="00524753" w:rsidP="00524753">
      <w:pPr>
        <w:rPr>
          <w:sz w:val="26"/>
          <w:szCs w:val="26"/>
        </w:rPr>
      </w:pPr>
    </w:p>
    <w:p w:rsidR="00524753" w:rsidRPr="00F514FB" w:rsidRDefault="00524753" w:rsidP="00524753">
      <w:pPr>
        <w:rPr>
          <w:sz w:val="26"/>
          <w:szCs w:val="26"/>
        </w:rPr>
      </w:pPr>
    </w:p>
    <w:p w:rsidR="00524753" w:rsidRDefault="00524753" w:rsidP="0018116F">
      <w:pPr>
        <w:spacing w:line="360" w:lineRule="auto"/>
        <w:jc w:val="center"/>
        <w:rPr>
          <w:b/>
          <w:sz w:val="26"/>
          <w:szCs w:val="26"/>
        </w:rPr>
      </w:pPr>
      <w:r w:rsidRPr="00F514FB">
        <w:rPr>
          <w:b/>
          <w:sz w:val="26"/>
          <w:szCs w:val="26"/>
        </w:rPr>
        <w:t xml:space="preserve">OPINION </w:t>
      </w:r>
      <w:smartTag w:uri="urn:schemas-microsoft-com:office:smarttags" w:element="stockticker">
        <w:r w:rsidRPr="00F514FB">
          <w:rPr>
            <w:b/>
            <w:sz w:val="26"/>
            <w:szCs w:val="26"/>
          </w:rPr>
          <w:t>AND</w:t>
        </w:r>
      </w:smartTag>
      <w:r w:rsidRPr="00F514FB">
        <w:rPr>
          <w:b/>
          <w:sz w:val="26"/>
          <w:szCs w:val="26"/>
        </w:rPr>
        <w:t xml:space="preserve"> ORDER</w:t>
      </w:r>
    </w:p>
    <w:p w:rsidR="00590B47" w:rsidRDefault="00590B47" w:rsidP="0018116F">
      <w:pPr>
        <w:spacing w:line="360" w:lineRule="auto"/>
        <w:jc w:val="center"/>
        <w:rPr>
          <w:b/>
          <w:sz w:val="26"/>
          <w:szCs w:val="26"/>
        </w:rPr>
      </w:pPr>
    </w:p>
    <w:p w:rsidR="00DF13F8" w:rsidRDefault="00DF13F8" w:rsidP="0018116F">
      <w:pPr>
        <w:spacing w:line="360" w:lineRule="auto"/>
        <w:rPr>
          <w:b/>
          <w:sz w:val="26"/>
          <w:szCs w:val="26"/>
        </w:rPr>
      </w:pPr>
      <w:r>
        <w:rPr>
          <w:b/>
          <w:sz w:val="26"/>
          <w:szCs w:val="26"/>
        </w:rPr>
        <w:t>BY THE COMMISSION:</w:t>
      </w:r>
    </w:p>
    <w:p w:rsidR="00524753" w:rsidRPr="00F514FB" w:rsidRDefault="00524753" w:rsidP="0018116F">
      <w:pPr>
        <w:spacing w:line="360" w:lineRule="auto"/>
        <w:rPr>
          <w:sz w:val="26"/>
          <w:szCs w:val="26"/>
        </w:rPr>
      </w:pPr>
    </w:p>
    <w:p w:rsidR="00E85C41" w:rsidRDefault="00774ED3" w:rsidP="0018116F">
      <w:pPr>
        <w:widowControl/>
        <w:spacing w:line="360" w:lineRule="auto"/>
        <w:ind w:firstLine="1440"/>
        <w:rPr>
          <w:color w:val="000000"/>
          <w:sz w:val="26"/>
        </w:rPr>
      </w:pPr>
      <w:r>
        <w:rPr>
          <w:sz w:val="26"/>
          <w:szCs w:val="26"/>
        </w:rPr>
        <w:t>Before t</w:t>
      </w:r>
      <w:r w:rsidR="00524753" w:rsidRPr="00CA43A5">
        <w:rPr>
          <w:sz w:val="26"/>
          <w:szCs w:val="26"/>
        </w:rPr>
        <w:t>he Pennsylvania Public Utility Commission (Commission)</w:t>
      </w:r>
      <w:r w:rsidR="00E85C41">
        <w:rPr>
          <w:sz w:val="26"/>
          <w:szCs w:val="26"/>
        </w:rPr>
        <w:t xml:space="preserve"> </w:t>
      </w:r>
      <w:r w:rsidR="00524753">
        <w:rPr>
          <w:sz w:val="26"/>
          <w:szCs w:val="26"/>
        </w:rPr>
        <w:t>fo</w:t>
      </w:r>
      <w:r w:rsidR="00524753" w:rsidRPr="00CA43A5">
        <w:rPr>
          <w:sz w:val="26"/>
          <w:szCs w:val="26"/>
        </w:rPr>
        <w:t>r consideration and disposition</w:t>
      </w:r>
      <w:r w:rsidR="00255362">
        <w:rPr>
          <w:sz w:val="26"/>
          <w:szCs w:val="26"/>
        </w:rPr>
        <w:t xml:space="preserve"> </w:t>
      </w:r>
      <w:r>
        <w:rPr>
          <w:sz w:val="26"/>
          <w:szCs w:val="26"/>
        </w:rPr>
        <w:t xml:space="preserve">is the </w:t>
      </w:r>
      <w:r w:rsidR="00781E2A">
        <w:rPr>
          <w:sz w:val="26"/>
          <w:szCs w:val="26"/>
        </w:rPr>
        <w:t xml:space="preserve">Joint </w:t>
      </w:r>
      <w:r w:rsidR="00524753">
        <w:rPr>
          <w:sz w:val="26"/>
          <w:szCs w:val="26"/>
        </w:rPr>
        <w:t>Petition</w:t>
      </w:r>
      <w:r>
        <w:rPr>
          <w:sz w:val="26"/>
          <w:szCs w:val="26"/>
        </w:rPr>
        <w:t xml:space="preserve"> </w:t>
      </w:r>
      <w:r w:rsidR="00524753">
        <w:rPr>
          <w:sz w:val="26"/>
          <w:szCs w:val="26"/>
        </w:rPr>
        <w:t xml:space="preserve">for </w:t>
      </w:r>
      <w:r w:rsidR="00524753">
        <w:rPr>
          <w:color w:val="000000"/>
          <w:sz w:val="26"/>
        </w:rPr>
        <w:t>Interlocutory Review and Answer to Material Questions</w:t>
      </w:r>
      <w:r w:rsidR="00781E2A">
        <w:rPr>
          <w:color w:val="000000"/>
          <w:sz w:val="26"/>
        </w:rPr>
        <w:t xml:space="preserve"> (Joint Petition)</w:t>
      </w:r>
      <w:r w:rsidR="00524753">
        <w:rPr>
          <w:color w:val="000000"/>
          <w:sz w:val="26"/>
        </w:rPr>
        <w:t xml:space="preserve"> </w:t>
      </w:r>
      <w:r>
        <w:rPr>
          <w:color w:val="000000"/>
          <w:sz w:val="26"/>
        </w:rPr>
        <w:t xml:space="preserve">filed by the Pennsylvania Office of Attorney General </w:t>
      </w:r>
      <w:r w:rsidR="00255362">
        <w:rPr>
          <w:color w:val="000000"/>
          <w:sz w:val="26"/>
        </w:rPr>
        <w:t xml:space="preserve">(OAG) </w:t>
      </w:r>
      <w:r>
        <w:rPr>
          <w:color w:val="000000"/>
          <w:sz w:val="26"/>
        </w:rPr>
        <w:t>and the Pennsylvania Office of Consumer Advocate</w:t>
      </w:r>
      <w:r w:rsidR="00255362">
        <w:rPr>
          <w:color w:val="000000"/>
          <w:sz w:val="26"/>
        </w:rPr>
        <w:t xml:space="preserve"> (OCA)</w:t>
      </w:r>
      <w:r w:rsidR="00E56E32">
        <w:rPr>
          <w:color w:val="000000"/>
          <w:sz w:val="26"/>
        </w:rPr>
        <w:t xml:space="preserve"> </w:t>
      </w:r>
      <w:r w:rsidR="00A24C87">
        <w:rPr>
          <w:color w:val="000000"/>
          <w:sz w:val="26"/>
        </w:rPr>
        <w:t xml:space="preserve">(together, Joint Complainants) </w:t>
      </w:r>
      <w:r w:rsidR="00255362">
        <w:rPr>
          <w:color w:val="000000"/>
          <w:sz w:val="26"/>
        </w:rPr>
        <w:t>on September 8, 2014</w:t>
      </w:r>
      <w:r>
        <w:rPr>
          <w:color w:val="000000"/>
          <w:sz w:val="26"/>
        </w:rPr>
        <w:t xml:space="preserve">.  </w:t>
      </w:r>
      <w:r w:rsidR="001C50B3">
        <w:rPr>
          <w:color w:val="000000"/>
          <w:sz w:val="26"/>
        </w:rPr>
        <w:t xml:space="preserve">The </w:t>
      </w:r>
      <w:r>
        <w:rPr>
          <w:color w:val="000000"/>
          <w:sz w:val="26"/>
        </w:rPr>
        <w:t xml:space="preserve">OAG and OCA </w:t>
      </w:r>
      <w:r w:rsidR="00DF13F8">
        <w:rPr>
          <w:color w:val="000000"/>
          <w:sz w:val="26"/>
        </w:rPr>
        <w:t>request</w:t>
      </w:r>
      <w:r w:rsidR="00255362">
        <w:rPr>
          <w:color w:val="000000"/>
          <w:sz w:val="26"/>
        </w:rPr>
        <w:t xml:space="preserve"> interlocutory Commission review and answer to </w:t>
      </w:r>
      <w:r w:rsidR="001D6055">
        <w:rPr>
          <w:color w:val="000000"/>
          <w:sz w:val="26"/>
        </w:rPr>
        <w:t>two (2)</w:t>
      </w:r>
      <w:r w:rsidR="00255362">
        <w:rPr>
          <w:color w:val="000000"/>
          <w:sz w:val="26"/>
        </w:rPr>
        <w:t xml:space="preserve"> questions that </w:t>
      </w:r>
      <w:r w:rsidR="00524753">
        <w:rPr>
          <w:color w:val="000000"/>
          <w:sz w:val="26"/>
        </w:rPr>
        <w:t xml:space="preserve">arise from the August 20, 2014, Order of Administrative Law Judges </w:t>
      </w:r>
      <w:r w:rsidR="00ED6109">
        <w:rPr>
          <w:color w:val="000000"/>
          <w:sz w:val="26"/>
        </w:rPr>
        <w:t xml:space="preserve">(ALJs) </w:t>
      </w:r>
      <w:r w:rsidR="00524753">
        <w:rPr>
          <w:color w:val="000000"/>
          <w:sz w:val="26"/>
        </w:rPr>
        <w:t xml:space="preserve">Elizabeth Barnes and Joel H. Cheskis, </w:t>
      </w:r>
      <w:r w:rsidR="00255362">
        <w:rPr>
          <w:color w:val="000000"/>
          <w:sz w:val="26"/>
        </w:rPr>
        <w:t xml:space="preserve">which order granted in part, </w:t>
      </w:r>
      <w:r w:rsidR="00781E2A">
        <w:rPr>
          <w:color w:val="000000"/>
          <w:sz w:val="26"/>
        </w:rPr>
        <w:t>and denied in part,</w:t>
      </w:r>
      <w:r w:rsidR="00255362">
        <w:rPr>
          <w:color w:val="000000"/>
          <w:sz w:val="26"/>
        </w:rPr>
        <w:t xml:space="preserve"> preliminary objections filed by Respond Energy </w:t>
      </w:r>
      <w:r w:rsidR="00255362">
        <w:rPr>
          <w:color w:val="000000"/>
          <w:sz w:val="26"/>
        </w:rPr>
        <w:lastRenderedPageBreak/>
        <w:t xml:space="preserve">LLC </w:t>
      </w:r>
      <w:r w:rsidR="00781E2A">
        <w:rPr>
          <w:color w:val="000000"/>
          <w:sz w:val="26"/>
        </w:rPr>
        <w:t xml:space="preserve">(Respond or Company) </w:t>
      </w:r>
      <w:r w:rsidR="00255362">
        <w:rPr>
          <w:color w:val="000000"/>
          <w:sz w:val="26"/>
        </w:rPr>
        <w:t xml:space="preserve">in this proceeding.  </w:t>
      </w:r>
      <w:r w:rsidR="00255362">
        <w:rPr>
          <w:i/>
          <w:color w:val="000000"/>
          <w:sz w:val="26"/>
        </w:rPr>
        <w:t>See</w:t>
      </w:r>
      <w:r w:rsidR="00255362">
        <w:rPr>
          <w:color w:val="000000"/>
          <w:sz w:val="26"/>
        </w:rPr>
        <w:t xml:space="preserve">, </w:t>
      </w:r>
      <w:r w:rsidR="00255362">
        <w:rPr>
          <w:i/>
          <w:color w:val="000000"/>
          <w:sz w:val="26"/>
        </w:rPr>
        <w:t>Order Granting in Part and Denying in Part Preliminary Objections</w:t>
      </w:r>
      <w:r w:rsidR="00255362">
        <w:rPr>
          <w:color w:val="000000"/>
          <w:sz w:val="26"/>
        </w:rPr>
        <w:t xml:space="preserve"> (August 20</w:t>
      </w:r>
      <w:r w:rsidR="00781E2A">
        <w:rPr>
          <w:color w:val="000000"/>
          <w:sz w:val="26"/>
        </w:rPr>
        <w:t xml:space="preserve"> Order</w:t>
      </w:r>
      <w:r w:rsidR="00255362">
        <w:rPr>
          <w:color w:val="000000"/>
          <w:sz w:val="26"/>
        </w:rPr>
        <w:t xml:space="preserve">).  </w:t>
      </w:r>
    </w:p>
    <w:p w:rsidR="00E85C41" w:rsidRDefault="00E85C41" w:rsidP="00524753">
      <w:pPr>
        <w:spacing w:line="360" w:lineRule="auto"/>
        <w:ind w:firstLine="1440"/>
        <w:rPr>
          <w:color w:val="000000"/>
          <w:sz w:val="26"/>
        </w:rPr>
      </w:pPr>
    </w:p>
    <w:p w:rsidR="00255362" w:rsidRDefault="00255362" w:rsidP="00524753">
      <w:pPr>
        <w:spacing w:line="360" w:lineRule="auto"/>
        <w:ind w:firstLine="1440"/>
        <w:rPr>
          <w:color w:val="000000"/>
          <w:sz w:val="26"/>
        </w:rPr>
      </w:pPr>
      <w:r>
        <w:rPr>
          <w:color w:val="000000"/>
          <w:sz w:val="26"/>
        </w:rPr>
        <w:t xml:space="preserve">This proceeding is a joint Formal Complaint </w:t>
      </w:r>
      <w:r w:rsidR="00664D7F">
        <w:rPr>
          <w:color w:val="000000"/>
          <w:sz w:val="26"/>
        </w:rPr>
        <w:t xml:space="preserve">(Complaint) </w:t>
      </w:r>
      <w:r>
        <w:rPr>
          <w:color w:val="000000"/>
          <w:sz w:val="26"/>
        </w:rPr>
        <w:t xml:space="preserve">wherein </w:t>
      </w:r>
      <w:r w:rsidR="00625BAC">
        <w:rPr>
          <w:color w:val="000000"/>
          <w:sz w:val="26"/>
        </w:rPr>
        <w:t xml:space="preserve">the </w:t>
      </w:r>
      <w:r w:rsidR="00D04F84">
        <w:rPr>
          <w:color w:val="000000"/>
          <w:sz w:val="26"/>
        </w:rPr>
        <w:t xml:space="preserve">OAG and OCA are </w:t>
      </w:r>
      <w:r w:rsidR="004236EE">
        <w:rPr>
          <w:color w:val="000000"/>
          <w:sz w:val="26"/>
        </w:rPr>
        <w:t xml:space="preserve">joint </w:t>
      </w:r>
      <w:r w:rsidR="00D04F84">
        <w:rPr>
          <w:color w:val="000000"/>
          <w:sz w:val="26"/>
        </w:rPr>
        <w:t xml:space="preserve">complainants and </w:t>
      </w:r>
      <w:r>
        <w:rPr>
          <w:color w:val="000000"/>
          <w:sz w:val="26"/>
        </w:rPr>
        <w:t>Respond,</w:t>
      </w:r>
      <w:r w:rsidR="00327853">
        <w:rPr>
          <w:color w:val="000000"/>
          <w:sz w:val="26"/>
        </w:rPr>
        <w:t xml:space="preserve"> </w:t>
      </w:r>
      <w:r>
        <w:rPr>
          <w:color w:val="000000"/>
          <w:sz w:val="26"/>
        </w:rPr>
        <w:t>which is an electric generation supplier (EGS) pursuant to the Pennsylvania Public Utility Code</w:t>
      </w:r>
      <w:r w:rsidR="00625BAC">
        <w:rPr>
          <w:color w:val="000000"/>
          <w:sz w:val="26"/>
        </w:rPr>
        <w:t xml:space="preserve"> (Code)</w:t>
      </w:r>
      <w:r>
        <w:rPr>
          <w:color w:val="000000"/>
          <w:sz w:val="26"/>
        </w:rPr>
        <w:t>, 66 Pa. C.S. § 2809, has been named respondent.</w:t>
      </w:r>
      <w:r w:rsidR="007175F2">
        <w:rPr>
          <w:color w:val="000000"/>
          <w:sz w:val="26"/>
        </w:rPr>
        <w:t xml:space="preserve">  The </w:t>
      </w:r>
      <w:r w:rsidR="00664D7F">
        <w:rPr>
          <w:color w:val="000000"/>
          <w:sz w:val="26"/>
        </w:rPr>
        <w:t>C</w:t>
      </w:r>
      <w:r w:rsidR="007175F2">
        <w:rPr>
          <w:color w:val="000000"/>
          <w:sz w:val="26"/>
        </w:rPr>
        <w:t>omplaint was filed June 20, 2014.</w:t>
      </w:r>
      <w:r w:rsidR="00C16B03">
        <w:rPr>
          <w:color w:val="000000"/>
          <w:sz w:val="26"/>
        </w:rPr>
        <w:t xml:space="preserve">  On July 10, 2014, and August 1, 2014, the Office of Small Business Advocate (OSBA) and the Commission’s Bureau of Investigation and Enforcement (I&amp;E)</w:t>
      </w:r>
      <w:r w:rsidR="004236EE">
        <w:rPr>
          <w:color w:val="000000"/>
          <w:sz w:val="26"/>
        </w:rPr>
        <w:t>, respectively,</w:t>
      </w:r>
      <w:r w:rsidR="00C16B03">
        <w:rPr>
          <w:color w:val="000000"/>
          <w:sz w:val="26"/>
        </w:rPr>
        <w:t xml:space="preserve"> filed notice</w:t>
      </w:r>
      <w:r w:rsidR="004236EE">
        <w:rPr>
          <w:color w:val="000000"/>
          <w:sz w:val="26"/>
        </w:rPr>
        <w:t>s</w:t>
      </w:r>
      <w:r w:rsidR="00C16B03">
        <w:rPr>
          <w:color w:val="000000"/>
          <w:sz w:val="26"/>
        </w:rPr>
        <w:t xml:space="preserve"> of intervention and have intervened in th</w:t>
      </w:r>
      <w:r w:rsidR="00ED6109">
        <w:rPr>
          <w:color w:val="000000"/>
          <w:sz w:val="26"/>
        </w:rPr>
        <w:t>e</w:t>
      </w:r>
      <w:r w:rsidR="00C16B03">
        <w:rPr>
          <w:color w:val="000000"/>
          <w:sz w:val="26"/>
        </w:rPr>
        <w:t xml:space="preserve"> </w:t>
      </w:r>
      <w:r w:rsidR="00277102">
        <w:rPr>
          <w:color w:val="000000"/>
          <w:sz w:val="26"/>
        </w:rPr>
        <w:t>proceeding</w:t>
      </w:r>
      <w:r w:rsidR="00C16B03">
        <w:rPr>
          <w:color w:val="000000"/>
          <w:sz w:val="26"/>
        </w:rPr>
        <w:t>.</w:t>
      </w:r>
      <w:r w:rsidR="00C16B03">
        <w:rPr>
          <w:rStyle w:val="FootnoteReference"/>
          <w:color w:val="000000"/>
          <w:sz w:val="26"/>
        </w:rPr>
        <w:footnoteReference w:id="1"/>
      </w:r>
    </w:p>
    <w:p w:rsidR="00255362" w:rsidRDefault="00255362" w:rsidP="00524753">
      <w:pPr>
        <w:spacing w:line="360" w:lineRule="auto"/>
        <w:ind w:firstLine="1440"/>
        <w:rPr>
          <w:color w:val="000000"/>
          <w:sz w:val="26"/>
        </w:rPr>
      </w:pPr>
    </w:p>
    <w:p w:rsidR="00E85C41" w:rsidRDefault="00C16B03" w:rsidP="00524753">
      <w:pPr>
        <w:spacing w:line="360" w:lineRule="auto"/>
        <w:ind w:firstLine="1440"/>
        <w:rPr>
          <w:color w:val="000000"/>
          <w:sz w:val="26"/>
        </w:rPr>
      </w:pPr>
      <w:r>
        <w:rPr>
          <w:color w:val="000000"/>
          <w:sz w:val="26"/>
        </w:rPr>
        <w:t xml:space="preserve">In the Joint Petition, </w:t>
      </w:r>
      <w:r w:rsidR="00743B2A">
        <w:rPr>
          <w:color w:val="000000"/>
          <w:sz w:val="26"/>
        </w:rPr>
        <w:t xml:space="preserve">the </w:t>
      </w:r>
      <w:r w:rsidR="00E85C41">
        <w:rPr>
          <w:color w:val="000000"/>
          <w:sz w:val="26"/>
        </w:rPr>
        <w:t xml:space="preserve">OAG and OCA request interlocutory Commission review </w:t>
      </w:r>
      <w:r w:rsidR="004236EE">
        <w:rPr>
          <w:color w:val="000000"/>
          <w:sz w:val="26"/>
        </w:rPr>
        <w:t>and answer to</w:t>
      </w:r>
      <w:r w:rsidR="00E85C41">
        <w:rPr>
          <w:color w:val="000000"/>
          <w:sz w:val="26"/>
        </w:rPr>
        <w:t xml:space="preserve"> the following questions:</w:t>
      </w:r>
    </w:p>
    <w:p w:rsidR="00E85C41" w:rsidRDefault="00E85C41" w:rsidP="00524753">
      <w:pPr>
        <w:spacing w:line="360" w:lineRule="auto"/>
        <w:ind w:firstLine="1440"/>
        <w:rPr>
          <w:color w:val="000000"/>
          <w:sz w:val="26"/>
        </w:rPr>
      </w:pPr>
    </w:p>
    <w:p w:rsidR="00AC7895" w:rsidRPr="0054519C" w:rsidRDefault="00781E2A" w:rsidP="0054519C">
      <w:pPr>
        <w:pStyle w:val="ListParagraph"/>
        <w:numPr>
          <w:ilvl w:val="0"/>
          <w:numId w:val="1"/>
        </w:numPr>
        <w:ind w:right="1440"/>
        <w:rPr>
          <w:color w:val="000000"/>
          <w:sz w:val="26"/>
        </w:rPr>
      </w:pPr>
      <w:r w:rsidRPr="0054519C">
        <w:rPr>
          <w:color w:val="000000"/>
          <w:sz w:val="26"/>
        </w:rPr>
        <w:t>Does the Commission have authority and jurisdiction to determine whether a violation of the Unfair Trade Practices and Consumer Protection Law (CPL) and Telemarketer Registration Act (TRA) has occurred when considering whether the Commission’s regulations – which require compliance with these laws – have been violated?</w:t>
      </w:r>
    </w:p>
    <w:p w:rsidR="00F50C3B" w:rsidRDefault="00F50C3B" w:rsidP="00781E2A">
      <w:pPr>
        <w:ind w:left="1440" w:right="1440"/>
        <w:rPr>
          <w:color w:val="000000"/>
          <w:sz w:val="26"/>
        </w:rPr>
      </w:pPr>
    </w:p>
    <w:p w:rsidR="00F50C3B" w:rsidRDefault="00F50C3B" w:rsidP="00781E2A">
      <w:pPr>
        <w:ind w:left="1440" w:right="1440"/>
        <w:rPr>
          <w:color w:val="000000"/>
          <w:sz w:val="26"/>
        </w:rPr>
      </w:pPr>
    </w:p>
    <w:p w:rsidR="00F50C3B" w:rsidRDefault="00F50C3B" w:rsidP="0054519C">
      <w:pPr>
        <w:pStyle w:val="ListParagraph"/>
        <w:numPr>
          <w:ilvl w:val="0"/>
          <w:numId w:val="1"/>
        </w:numPr>
        <w:ind w:right="1440"/>
        <w:rPr>
          <w:color w:val="000000"/>
          <w:sz w:val="26"/>
        </w:rPr>
      </w:pPr>
      <w:r w:rsidRPr="0054519C">
        <w:rPr>
          <w:color w:val="000000"/>
          <w:sz w:val="26"/>
        </w:rPr>
        <w:t xml:space="preserve">Does the Commission have </w:t>
      </w:r>
      <w:r w:rsidR="00B10044">
        <w:rPr>
          <w:color w:val="000000"/>
          <w:sz w:val="26"/>
        </w:rPr>
        <w:t xml:space="preserve">the </w:t>
      </w:r>
      <w:r w:rsidRPr="0054519C">
        <w:rPr>
          <w:color w:val="000000"/>
          <w:sz w:val="26"/>
        </w:rPr>
        <w:t>authority and jurisdiction to determine whether the prices charged to customers by an electric generation supplier (EGS) conform to the EGS disclosure statement regarding pricing?</w:t>
      </w:r>
    </w:p>
    <w:p w:rsidR="00B10044" w:rsidRPr="0054519C" w:rsidRDefault="00B10044" w:rsidP="0018116F">
      <w:pPr>
        <w:pStyle w:val="ListParagraph"/>
        <w:spacing w:line="360" w:lineRule="auto"/>
        <w:ind w:left="1800" w:right="1440"/>
        <w:rPr>
          <w:color w:val="000000"/>
          <w:sz w:val="26"/>
        </w:rPr>
      </w:pPr>
    </w:p>
    <w:p w:rsidR="00F50C3B" w:rsidRDefault="00F50C3B" w:rsidP="00F50C3B">
      <w:pPr>
        <w:rPr>
          <w:color w:val="000000"/>
          <w:sz w:val="26"/>
        </w:rPr>
      </w:pPr>
      <w:r>
        <w:rPr>
          <w:color w:val="000000"/>
          <w:sz w:val="26"/>
        </w:rPr>
        <w:t>Joint Petition at 1.</w:t>
      </w:r>
    </w:p>
    <w:p w:rsidR="00F50C3B" w:rsidRDefault="00F50C3B" w:rsidP="00F50C3B">
      <w:pPr>
        <w:rPr>
          <w:color w:val="000000"/>
          <w:sz w:val="26"/>
        </w:rPr>
      </w:pPr>
    </w:p>
    <w:p w:rsidR="00F50C3B" w:rsidRDefault="00F50C3B" w:rsidP="00F50C3B">
      <w:pPr>
        <w:rPr>
          <w:color w:val="000000"/>
          <w:sz w:val="26"/>
        </w:rPr>
      </w:pPr>
    </w:p>
    <w:p w:rsidR="00F50C3B" w:rsidRDefault="00F50C3B" w:rsidP="0018116F">
      <w:pPr>
        <w:widowControl/>
        <w:spacing w:line="360" w:lineRule="auto"/>
        <w:ind w:firstLine="1440"/>
        <w:rPr>
          <w:color w:val="000000"/>
          <w:sz w:val="26"/>
        </w:rPr>
      </w:pPr>
      <w:r>
        <w:rPr>
          <w:color w:val="000000"/>
          <w:sz w:val="26"/>
        </w:rPr>
        <w:lastRenderedPageBreak/>
        <w:t>The OAG/OCA propose that the foregoing questions be considered and answered in the affirmative.</w:t>
      </w:r>
    </w:p>
    <w:p w:rsidR="0014247D" w:rsidRDefault="0014247D" w:rsidP="00F50C3B">
      <w:pPr>
        <w:spacing w:line="360" w:lineRule="auto"/>
        <w:ind w:firstLine="1440"/>
        <w:rPr>
          <w:color w:val="000000"/>
          <w:sz w:val="26"/>
        </w:rPr>
      </w:pPr>
    </w:p>
    <w:p w:rsidR="0014247D" w:rsidRDefault="0014247D" w:rsidP="00F50C3B">
      <w:pPr>
        <w:spacing w:line="360" w:lineRule="auto"/>
        <w:ind w:firstLine="1440"/>
        <w:rPr>
          <w:color w:val="000000"/>
          <w:sz w:val="26"/>
        </w:rPr>
      </w:pPr>
      <w:r>
        <w:rPr>
          <w:color w:val="000000"/>
          <w:sz w:val="26"/>
        </w:rPr>
        <w:t xml:space="preserve">On September 18, 2014, Briefs in support of the Joint Petition and in opposition thereto were filed by </w:t>
      </w:r>
      <w:r w:rsidR="001D6692">
        <w:rPr>
          <w:color w:val="000000"/>
          <w:sz w:val="26"/>
        </w:rPr>
        <w:t xml:space="preserve">the </w:t>
      </w:r>
      <w:r>
        <w:rPr>
          <w:color w:val="000000"/>
          <w:sz w:val="26"/>
        </w:rPr>
        <w:t>OAG/OCA, and Respond</w:t>
      </w:r>
      <w:r w:rsidR="005C750E">
        <w:rPr>
          <w:color w:val="000000"/>
          <w:sz w:val="26"/>
        </w:rPr>
        <w:t>, respectively</w:t>
      </w:r>
      <w:r>
        <w:rPr>
          <w:color w:val="000000"/>
          <w:sz w:val="26"/>
        </w:rPr>
        <w:t xml:space="preserve">. </w:t>
      </w:r>
    </w:p>
    <w:p w:rsidR="00C16B03" w:rsidRDefault="00C16B03" w:rsidP="00F50C3B">
      <w:pPr>
        <w:spacing w:line="360" w:lineRule="auto"/>
        <w:ind w:firstLine="1440"/>
        <w:rPr>
          <w:color w:val="000000"/>
          <w:sz w:val="26"/>
        </w:rPr>
      </w:pPr>
    </w:p>
    <w:p w:rsidR="00646D11" w:rsidRDefault="00C16B03" w:rsidP="00C16B03">
      <w:pPr>
        <w:widowControl/>
        <w:spacing w:line="360" w:lineRule="auto"/>
        <w:ind w:firstLine="1440"/>
        <w:rPr>
          <w:sz w:val="26"/>
          <w:szCs w:val="26"/>
        </w:rPr>
      </w:pPr>
      <w:r>
        <w:rPr>
          <w:color w:val="000000"/>
          <w:sz w:val="26"/>
        </w:rPr>
        <w:t xml:space="preserve">By Secretarial Letter </w:t>
      </w:r>
      <w:r>
        <w:rPr>
          <w:sz w:val="26"/>
        </w:rPr>
        <w:t xml:space="preserve">of September 30, 2014, we waived the thirty (30) day period for consideration of petitions seeking interlocutory Commission review pursuant to 52 Pa. Code § 5.303.  </w:t>
      </w:r>
      <w:r>
        <w:rPr>
          <w:i/>
          <w:sz w:val="26"/>
        </w:rPr>
        <w:t>See</w:t>
      </w:r>
      <w:r>
        <w:rPr>
          <w:sz w:val="26"/>
        </w:rPr>
        <w:t xml:space="preserve"> 52 Pa. Code §</w:t>
      </w:r>
      <w:r>
        <w:rPr>
          <w:sz w:val="26"/>
          <w:szCs w:val="26"/>
        </w:rPr>
        <w:t xml:space="preserve">§ 1.2(c); </w:t>
      </w:r>
      <w:r>
        <w:rPr>
          <w:i/>
          <w:sz w:val="26"/>
          <w:szCs w:val="26"/>
        </w:rPr>
        <w:t>also,</w:t>
      </w:r>
      <w:r>
        <w:rPr>
          <w:sz w:val="26"/>
          <w:szCs w:val="26"/>
        </w:rPr>
        <w:t xml:space="preserve"> </w:t>
      </w:r>
      <w:r>
        <w:rPr>
          <w:i/>
          <w:sz w:val="26"/>
          <w:szCs w:val="26"/>
        </w:rPr>
        <w:t>C.S. Warthman Funeral Home, et al. v. GTE North, Inc.</w:t>
      </w:r>
      <w:r>
        <w:rPr>
          <w:sz w:val="26"/>
          <w:szCs w:val="26"/>
        </w:rPr>
        <w:t>, Docket No. C-00924416 (Order entered June 4, 1993).</w:t>
      </w:r>
    </w:p>
    <w:p w:rsidR="00646D11" w:rsidRDefault="00646D11" w:rsidP="00C16B03">
      <w:pPr>
        <w:widowControl/>
        <w:spacing w:line="360" w:lineRule="auto"/>
        <w:ind w:firstLine="1440"/>
        <w:rPr>
          <w:sz w:val="26"/>
          <w:szCs w:val="26"/>
        </w:rPr>
      </w:pPr>
    </w:p>
    <w:p w:rsidR="001C5507" w:rsidRPr="0089725A" w:rsidRDefault="000D0D34" w:rsidP="0089725A">
      <w:pPr>
        <w:pStyle w:val="NoSpacing"/>
        <w:spacing w:line="360" w:lineRule="auto"/>
        <w:ind w:firstLine="1440"/>
        <w:rPr>
          <w:bCs/>
          <w:color w:val="000000"/>
          <w:sz w:val="26"/>
          <w:szCs w:val="26"/>
        </w:rPr>
      </w:pPr>
      <w:r w:rsidRPr="0089725A">
        <w:rPr>
          <w:sz w:val="26"/>
          <w:szCs w:val="26"/>
        </w:rPr>
        <w:t xml:space="preserve">On consideration of the Joint Petition, </w:t>
      </w:r>
      <w:r w:rsidR="00A373E2" w:rsidRPr="0089725A">
        <w:rPr>
          <w:sz w:val="26"/>
          <w:szCs w:val="26"/>
        </w:rPr>
        <w:t xml:space="preserve">and </w:t>
      </w:r>
      <w:r w:rsidRPr="0089725A">
        <w:rPr>
          <w:sz w:val="26"/>
          <w:szCs w:val="26"/>
        </w:rPr>
        <w:t>f</w:t>
      </w:r>
      <w:r w:rsidR="00646D11" w:rsidRPr="0089725A">
        <w:rPr>
          <w:sz w:val="26"/>
          <w:szCs w:val="26"/>
        </w:rPr>
        <w:t>or the reasons explained more fully below, we conclude that the questions raised are controlled by this Commission’s recent decision in the matter of</w:t>
      </w:r>
      <w:r w:rsidR="001C5507" w:rsidRPr="0089725A">
        <w:rPr>
          <w:sz w:val="26"/>
          <w:szCs w:val="26"/>
        </w:rPr>
        <w:t xml:space="preserve"> </w:t>
      </w:r>
      <w:r w:rsidR="001C5507" w:rsidRPr="0089725A">
        <w:rPr>
          <w:i/>
          <w:sz w:val="26"/>
          <w:szCs w:val="26"/>
        </w:rPr>
        <w:t xml:space="preserve">Commonwealth of Pa., et al. v. Blue Pilot Energy, LLC, </w:t>
      </w:r>
      <w:r w:rsidR="001C5507" w:rsidRPr="0089725A">
        <w:rPr>
          <w:sz w:val="26"/>
          <w:szCs w:val="26"/>
        </w:rPr>
        <w:t xml:space="preserve">Docket No. </w:t>
      </w:r>
      <w:r w:rsidR="001C5507" w:rsidRPr="0089725A">
        <w:rPr>
          <w:bCs/>
          <w:color w:val="000000"/>
          <w:sz w:val="26"/>
          <w:szCs w:val="26"/>
        </w:rPr>
        <w:t>C-2014-2427655 (Order entered December 11, 2014) (</w:t>
      </w:r>
      <w:r w:rsidR="001C5507" w:rsidRPr="0089725A">
        <w:rPr>
          <w:bCs/>
          <w:i/>
          <w:color w:val="000000"/>
          <w:sz w:val="26"/>
          <w:szCs w:val="26"/>
        </w:rPr>
        <w:t>Blue Pilot</w:t>
      </w:r>
      <w:r w:rsidR="001C5507" w:rsidRPr="0089725A">
        <w:rPr>
          <w:bCs/>
          <w:color w:val="000000"/>
          <w:sz w:val="26"/>
          <w:szCs w:val="26"/>
        </w:rPr>
        <w:t>)</w:t>
      </w:r>
      <w:r w:rsidR="00277102">
        <w:rPr>
          <w:bCs/>
          <w:color w:val="000000"/>
          <w:sz w:val="26"/>
          <w:szCs w:val="26"/>
        </w:rPr>
        <w:t xml:space="preserve">; </w:t>
      </w:r>
      <w:r w:rsidR="00277102">
        <w:rPr>
          <w:bCs/>
          <w:i/>
          <w:color w:val="000000"/>
          <w:sz w:val="26"/>
          <w:szCs w:val="26"/>
        </w:rPr>
        <w:t>s</w:t>
      </w:r>
      <w:r w:rsidR="001C5507" w:rsidRPr="0089725A">
        <w:rPr>
          <w:bCs/>
          <w:i/>
          <w:color w:val="000000"/>
          <w:sz w:val="26"/>
          <w:szCs w:val="26"/>
        </w:rPr>
        <w:t>ee</w:t>
      </w:r>
      <w:r w:rsidR="001C5507" w:rsidRPr="0018116F">
        <w:rPr>
          <w:bCs/>
          <w:i/>
          <w:color w:val="000000"/>
          <w:sz w:val="26"/>
          <w:szCs w:val="26"/>
        </w:rPr>
        <w:t xml:space="preserve"> also</w:t>
      </w:r>
      <w:r w:rsidR="00F91D9D">
        <w:rPr>
          <w:bCs/>
          <w:i/>
          <w:color w:val="000000"/>
          <w:sz w:val="26"/>
          <w:szCs w:val="26"/>
        </w:rPr>
        <w:t>,</w:t>
      </w:r>
      <w:r w:rsidR="001C5507" w:rsidRPr="0089725A">
        <w:rPr>
          <w:bCs/>
          <w:color w:val="000000"/>
          <w:sz w:val="26"/>
          <w:szCs w:val="26"/>
        </w:rPr>
        <w:t xml:space="preserve"> </w:t>
      </w:r>
      <w:r w:rsidR="001C5507" w:rsidRPr="0089725A">
        <w:rPr>
          <w:i/>
          <w:sz w:val="26"/>
          <w:szCs w:val="26"/>
        </w:rPr>
        <w:t>Commonwealth of Pa., et al. v. IDT Energy, Inc</w:t>
      </w:r>
      <w:r w:rsidR="001C5507" w:rsidRPr="0089725A">
        <w:rPr>
          <w:sz w:val="26"/>
          <w:szCs w:val="26"/>
        </w:rPr>
        <w:t>., Docket No</w:t>
      </w:r>
      <w:r w:rsidR="001C5507" w:rsidRPr="0089725A">
        <w:rPr>
          <w:i/>
          <w:sz w:val="26"/>
          <w:szCs w:val="26"/>
        </w:rPr>
        <w:t xml:space="preserve">. </w:t>
      </w:r>
      <w:r w:rsidR="001C5507" w:rsidRPr="0089725A">
        <w:rPr>
          <w:bCs/>
          <w:color w:val="000000"/>
          <w:sz w:val="26"/>
          <w:szCs w:val="26"/>
        </w:rPr>
        <w:t>C-2014-2427657 (Order entered December 18, 2014) (</w:t>
      </w:r>
      <w:r w:rsidR="001C5507" w:rsidRPr="0089725A">
        <w:rPr>
          <w:bCs/>
          <w:i/>
          <w:color w:val="000000"/>
          <w:sz w:val="26"/>
          <w:szCs w:val="26"/>
        </w:rPr>
        <w:t>IDT</w:t>
      </w:r>
      <w:r w:rsidR="001C5507" w:rsidRPr="0089725A">
        <w:rPr>
          <w:bCs/>
          <w:color w:val="000000"/>
          <w:sz w:val="26"/>
          <w:szCs w:val="26"/>
        </w:rPr>
        <w:t>).</w:t>
      </w:r>
    </w:p>
    <w:p w:rsidR="001C5507" w:rsidRDefault="001C5507" w:rsidP="00C16B03">
      <w:pPr>
        <w:widowControl/>
        <w:spacing w:line="360" w:lineRule="auto"/>
        <w:ind w:firstLine="1440"/>
        <w:rPr>
          <w:bCs/>
          <w:color w:val="000000"/>
          <w:sz w:val="26"/>
          <w:szCs w:val="26"/>
        </w:rPr>
      </w:pPr>
    </w:p>
    <w:p w:rsidR="00C16B03" w:rsidRDefault="001C5507" w:rsidP="00C16B03">
      <w:pPr>
        <w:widowControl/>
        <w:spacing w:line="360" w:lineRule="auto"/>
        <w:ind w:firstLine="1440"/>
        <w:rPr>
          <w:sz w:val="26"/>
        </w:rPr>
      </w:pPr>
      <w:r>
        <w:rPr>
          <w:bCs/>
          <w:color w:val="000000"/>
          <w:sz w:val="26"/>
          <w:szCs w:val="26"/>
        </w:rPr>
        <w:t xml:space="preserve">Based on the foregoing, we shall </w:t>
      </w:r>
      <w:r w:rsidR="00C021E8">
        <w:rPr>
          <w:bCs/>
          <w:color w:val="000000"/>
          <w:sz w:val="26"/>
          <w:szCs w:val="26"/>
        </w:rPr>
        <w:t xml:space="preserve">grant </w:t>
      </w:r>
      <w:r>
        <w:rPr>
          <w:bCs/>
          <w:color w:val="000000"/>
          <w:sz w:val="26"/>
          <w:szCs w:val="26"/>
        </w:rPr>
        <w:t>the Joint Petition, consistent with the discussion contained in this Opinion and Order</w:t>
      </w:r>
      <w:r w:rsidR="00416012">
        <w:rPr>
          <w:bCs/>
          <w:color w:val="000000"/>
          <w:sz w:val="26"/>
          <w:szCs w:val="26"/>
        </w:rPr>
        <w:t xml:space="preserve"> and</w:t>
      </w:r>
      <w:r w:rsidR="00C021E8">
        <w:rPr>
          <w:bCs/>
          <w:color w:val="000000"/>
          <w:sz w:val="26"/>
          <w:szCs w:val="26"/>
        </w:rPr>
        <w:t xml:space="preserve"> the extent </w:t>
      </w:r>
      <w:r w:rsidR="0014247D">
        <w:rPr>
          <w:bCs/>
          <w:color w:val="000000"/>
          <w:sz w:val="26"/>
          <w:szCs w:val="26"/>
        </w:rPr>
        <w:t xml:space="preserve">that </w:t>
      </w:r>
      <w:r w:rsidR="00C021E8">
        <w:rPr>
          <w:bCs/>
          <w:color w:val="000000"/>
          <w:sz w:val="26"/>
          <w:szCs w:val="26"/>
        </w:rPr>
        <w:t xml:space="preserve">the legal questions </w:t>
      </w:r>
      <w:r w:rsidR="000D0D34">
        <w:rPr>
          <w:bCs/>
          <w:color w:val="000000"/>
          <w:sz w:val="26"/>
          <w:szCs w:val="26"/>
        </w:rPr>
        <w:t xml:space="preserve">presented </w:t>
      </w:r>
      <w:r w:rsidR="00C021E8">
        <w:rPr>
          <w:bCs/>
          <w:color w:val="000000"/>
          <w:sz w:val="26"/>
          <w:szCs w:val="26"/>
        </w:rPr>
        <w:t xml:space="preserve">are the same as those questions which were </w:t>
      </w:r>
      <w:r w:rsidR="0014247D">
        <w:rPr>
          <w:bCs/>
          <w:color w:val="000000"/>
          <w:sz w:val="26"/>
          <w:szCs w:val="26"/>
        </w:rPr>
        <w:t xml:space="preserve">considered and </w:t>
      </w:r>
      <w:r w:rsidR="00C021E8">
        <w:rPr>
          <w:bCs/>
          <w:color w:val="000000"/>
          <w:sz w:val="26"/>
          <w:szCs w:val="26"/>
        </w:rPr>
        <w:t xml:space="preserve">resolved in </w:t>
      </w:r>
      <w:r w:rsidR="00C021E8">
        <w:rPr>
          <w:bCs/>
          <w:i/>
          <w:color w:val="000000"/>
          <w:sz w:val="26"/>
          <w:szCs w:val="26"/>
        </w:rPr>
        <w:t>Blue Pilot</w:t>
      </w:r>
      <w:r w:rsidR="00F91D9D">
        <w:rPr>
          <w:bCs/>
          <w:i/>
          <w:color w:val="000000"/>
          <w:sz w:val="26"/>
          <w:szCs w:val="26"/>
        </w:rPr>
        <w:t xml:space="preserve"> </w:t>
      </w:r>
      <w:r w:rsidR="00F91D9D">
        <w:rPr>
          <w:bCs/>
          <w:color w:val="000000"/>
          <w:sz w:val="26"/>
          <w:szCs w:val="26"/>
        </w:rPr>
        <w:t xml:space="preserve">and </w:t>
      </w:r>
      <w:r w:rsidR="00F91D9D">
        <w:rPr>
          <w:bCs/>
          <w:i/>
          <w:color w:val="000000"/>
          <w:sz w:val="26"/>
          <w:szCs w:val="26"/>
        </w:rPr>
        <w:t>IDT</w:t>
      </w:r>
      <w:r>
        <w:rPr>
          <w:bCs/>
          <w:color w:val="000000"/>
          <w:sz w:val="26"/>
          <w:szCs w:val="26"/>
        </w:rPr>
        <w:t>.</w:t>
      </w:r>
      <w:r w:rsidR="0014247D">
        <w:rPr>
          <w:bCs/>
          <w:color w:val="000000"/>
          <w:sz w:val="26"/>
          <w:szCs w:val="26"/>
        </w:rPr>
        <w:t xml:space="preserve">  </w:t>
      </w:r>
      <w:r w:rsidR="00A373E2">
        <w:rPr>
          <w:bCs/>
          <w:color w:val="000000"/>
          <w:sz w:val="26"/>
          <w:szCs w:val="26"/>
        </w:rPr>
        <w:t>We</w:t>
      </w:r>
      <w:r w:rsidR="00B7702F">
        <w:rPr>
          <w:bCs/>
          <w:color w:val="000000"/>
          <w:sz w:val="26"/>
          <w:szCs w:val="26"/>
        </w:rPr>
        <w:t xml:space="preserve"> only</w:t>
      </w:r>
      <w:r w:rsidR="00A373E2">
        <w:rPr>
          <w:bCs/>
          <w:color w:val="000000"/>
          <w:sz w:val="26"/>
          <w:szCs w:val="26"/>
        </w:rPr>
        <w:t xml:space="preserve"> address the legal questions of the Commission’s authority and jurisdiction </w:t>
      </w:r>
      <w:r w:rsidR="00FF199E">
        <w:rPr>
          <w:bCs/>
          <w:color w:val="000000"/>
          <w:sz w:val="26"/>
          <w:szCs w:val="26"/>
        </w:rPr>
        <w:t>over EGS</w:t>
      </w:r>
      <w:r w:rsidR="00F91D9D">
        <w:rPr>
          <w:bCs/>
          <w:color w:val="000000"/>
          <w:sz w:val="26"/>
          <w:szCs w:val="26"/>
        </w:rPr>
        <w:t>s</w:t>
      </w:r>
      <w:r w:rsidR="00FF199E">
        <w:rPr>
          <w:bCs/>
          <w:color w:val="000000"/>
          <w:sz w:val="26"/>
          <w:szCs w:val="26"/>
        </w:rPr>
        <w:t xml:space="preserve"> in the context of the </w:t>
      </w:r>
      <w:r w:rsidR="00ED6109">
        <w:rPr>
          <w:bCs/>
          <w:color w:val="000000"/>
          <w:sz w:val="26"/>
          <w:szCs w:val="26"/>
        </w:rPr>
        <w:t>issues</w:t>
      </w:r>
      <w:r w:rsidR="00B7702F">
        <w:rPr>
          <w:bCs/>
          <w:color w:val="000000"/>
          <w:sz w:val="26"/>
          <w:szCs w:val="26"/>
        </w:rPr>
        <w:t xml:space="preserve"> raised in the Joint Petition</w:t>
      </w:r>
      <w:r w:rsidR="00FF199E">
        <w:rPr>
          <w:bCs/>
          <w:color w:val="000000"/>
          <w:sz w:val="26"/>
          <w:szCs w:val="26"/>
        </w:rPr>
        <w:t>.</w:t>
      </w:r>
      <w:r w:rsidR="00A373E2">
        <w:rPr>
          <w:bCs/>
          <w:color w:val="000000"/>
          <w:sz w:val="26"/>
          <w:szCs w:val="26"/>
        </w:rPr>
        <w:t xml:space="preserve"> </w:t>
      </w:r>
      <w:r w:rsidR="00FF199E">
        <w:rPr>
          <w:bCs/>
          <w:color w:val="000000"/>
          <w:sz w:val="26"/>
          <w:szCs w:val="26"/>
        </w:rPr>
        <w:t xml:space="preserve"> A</w:t>
      </w:r>
      <w:r w:rsidR="0014247D">
        <w:rPr>
          <w:bCs/>
          <w:color w:val="000000"/>
          <w:sz w:val="26"/>
          <w:szCs w:val="26"/>
        </w:rPr>
        <w:t xml:space="preserve">ny </w:t>
      </w:r>
      <w:r w:rsidR="00ED6109">
        <w:rPr>
          <w:bCs/>
          <w:color w:val="000000"/>
          <w:sz w:val="26"/>
          <w:szCs w:val="26"/>
        </w:rPr>
        <w:t>questions</w:t>
      </w:r>
      <w:r w:rsidR="0014247D">
        <w:rPr>
          <w:bCs/>
          <w:color w:val="000000"/>
          <w:sz w:val="26"/>
          <w:szCs w:val="26"/>
        </w:rPr>
        <w:t xml:space="preserve"> of fact which may distinguish our disposition in the present case from </w:t>
      </w:r>
      <w:r w:rsidR="0014247D">
        <w:rPr>
          <w:bCs/>
          <w:i/>
          <w:color w:val="000000"/>
          <w:sz w:val="26"/>
          <w:szCs w:val="26"/>
        </w:rPr>
        <w:t>Blue Pilot</w:t>
      </w:r>
      <w:r w:rsidR="00ED6109">
        <w:rPr>
          <w:bCs/>
          <w:color w:val="000000"/>
          <w:sz w:val="26"/>
          <w:szCs w:val="26"/>
        </w:rPr>
        <w:t xml:space="preserve"> and </w:t>
      </w:r>
      <w:r w:rsidR="00ED6109">
        <w:rPr>
          <w:bCs/>
          <w:i/>
          <w:color w:val="000000"/>
          <w:sz w:val="26"/>
          <w:szCs w:val="26"/>
        </w:rPr>
        <w:t>IDT</w:t>
      </w:r>
      <w:r w:rsidR="0014247D">
        <w:rPr>
          <w:bCs/>
          <w:color w:val="000000"/>
          <w:sz w:val="26"/>
          <w:szCs w:val="26"/>
        </w:rPr>
        <w:t xml:space="preserve"> should not be inferred.     </w:t>
      </w:r>
      <w:r>
        <w:rPr>
          <w:bCs/>
          <w:color w:val="000000"/>
          <w:sz w:val="26"/>
          <w:szCs w:val="26"/>
        </w:rPr>
        <w:t xml:space="preserve">  </w:t>
      </w:r>
      <w:r w:rsidR="00C16B03">
        <w:rPr>
          <w:sz w:val="26"/>
          <w:szCs w:val="26"/>
        </w:rPr>
        <w:t xml:space="preserve">  </w:t>
      </w:r>
      <w:r w:rsidR="00C16B03">
        <w:rPr>
          <w:sz w:val="26"/>
        </w:rPr>
        <w:t xml:space="preserve">     </w:t>
      </w:r>
    </w:p>
    <w:p w:rsidR="00C16B03" w:rsidRDefault="00C16B03" w:rsidP="00C16B03">
      <w:pPr>
        <w:spacing w:line="360" w:lineRule="auto"/>
        <w:rPr>
          <w:color w:val="000000"/>
          <w:sz w:val="26"/>
        </w:rPr>
      </w:pPr>
    </w:p>
    <w:p w:rsidR="00A34BEC" w:rsidRDefault="00A34BEC">
      <w:pPr>
        <w:widowControl/>
        <w:spacing w:after="200" w:line="276" w:lineRule="auto"/>
        <w:rPr>
          <w:b/>
          <w:color w:val="000000"/>
          <w:sz w:val="26"/>
        </w:rPr>
      </w:pPr>
      <w:r>
        <w:rPr>
          <w:b/>
          <w:color w:val="000000"/>
          <w:sz w:val="26"/>
        </w:rPr>
        <w:br w:type="page"/>
      </w:r>
    </w:p>
    <w:p w:rsidR="00484AD9" w:rsidRDefault="00484AD9" w:rsidP="00484AD9">
      <w:pPr>
        <w:spacing w:line="360" w:lineRule="auto"/>
        <w:jc w:val="center"/>
        <w:rPr>
          <w:b/>
          <w:color w:val="000000"/>
          <w:sz w:val="26"/>
        </w:rPr>
      </w:pPr>
      <w:r w:rsidRPr="00484AD9">
        <w:rPr>
          <w:b/>
          <w:color w:val="000000"/>
          <w:sz w:val="26"/>
        </w:rPr>
        <w:lastRenderedPageBreak/>
        <w:t>Background</w:t>
      </w:r>
    </w:p>
    <w:p w:rsidR="005C750E" w:rsidRDefault="005C750E" w:rsidP="006067E6">
      <w:pPr>
        <w:spacing w:line="360" w:lineRule="auto"/>
        <w:rPr>
          <w:sz w:val="26"/>
          <w:szCs w:val="26"/>
        </w:rPr>
      </w:pPr>
    </w:p>
    <w:p w:rsidR="00654714" w:rsidRDefault="00654714" w:rsidP="005C750E">
      <w:pPr>
        <w:spacing w:line="360" w:lineRule="auto"/>
        <w:ind w:firstLine="1440"/>
        <w:rPr>
          <w:sz w:val="26"/>
          <w:szCs w:val="26"/>
        </w:rPr>
      </w:pPr>
      <w:r>
        <w:rPr>
          <w:sz w:val="26"/>
          <w:szCs w:val="26"/>
        </w:rPr>
        <w:t xml:space="preserve">Respond is an EGS licensed by the Commission </w:t>
      </w:r>
      <w:r w:rsidR="004A6658">
        <w:rPr>
          <w:sz w:val="26"/>
          <w:szCs w:val="26"/>
        </w:rPr>
        <w:t xml:space="preserve">to </w:t>
      </w:r>
      <w:r>
        <w:rPr>
          <w:sz w:val="26"/>
          <w:szCs w:val="26"/>
        </w:rPr>
        <w:t xml:space="preserve">provide EGS service to residential, small commercial, and large commercial customers in the service territories of Allegheny Power, Duquesne Light Company, Metropolitan Edison Company, Pennsylvania Electric Company, Pennsylvania Power Company, PECO Energy Company, PPL Utilities Corporation, and UGI Utilities, Inc.  </w:t>
      </w:r>
      <w:r>
        <w:rPr>
          <w:i/>
          <w:sz w:val="26"/>
          <w:szCs w:val="26"/>
        </w:rPr>
        <w:t>See</w:t>
      </w:r>
      <w:r w:rsidR="004A6658">
        <w:rPr>
          <w:i/>
          <w:sz w:val="26"/>
          <w:szCs w:val="26"/>
        </w:rPr>
        <w:t xml:space="preserve"> </w:t>
      </w:r>
      <w:r w:rsidR="008A2688" w:rsidRPr="0018116F">
        <w:rPr>
          <w:i/>
          <w:sz w:val="26"/>
          <w:szCs w:val="26"/>
        </w:rPr>
        <w:t>License Application of Respond Power LLC for Approval to Offer, Render, Furnish or Supply Electricity or Electric Generation Services as a Supplier of Retail Electric Power</w:t>
      </w:r>
      <w:r w:rsidR="008A2688">
        <w:rPr>
          <w:sz w:val="26"/>
          <w:szCs w:val="26"/>
        </w:rPr>
        <w:t xml:space="preserve">, Docket No. </w:t>
      </w:r>
      <w:r w:rsidR="008A2688">
        <w:rPr>
          <w:sz w:val="26"/>
          <w:szCs w:val="26"/>
        </w:rPr>
        <w:br/>
        <w:t>A-2010-2163898 (</w:t>
      </w:r>
      <w:r w:rsidR="004A6658">
        <w:rPr>
          <w:sz w:val="26"/>
          <w:szCs w:val="26"/>
        </w:rPr>
        <w:t>Order of August 19, 2010</w:t>
      </w:r>
      <w:r w:rsidR="008A2688">
        <w:rPr>
          <w:sz w:val="26"/>
          <w:szCs w:val="26"/>
        </w:rPr>
        <w:t>)</w:t>
      </w:r>
      <w:r w:rsidR="004A6658">
        <w:rPr>
          <w:sz w:val="26"/>
          <w:szCs w:val="26"/>
        </w:rPr>
        <w:t xml:space="preserve">; </w:t>
      </w:r>
      <w:r>
        <w:rPr>
          <w:sz w:val="26"/>
          <w:szCs w:val="26"/>
        </w:rPr>
        <w:t xml:space="preserve">Complaint at ¶ 6.   </w:t>
      </w:r>
    </w:p>
    <w:p w:rsidR="00654714" w:rsidRDefault="00654714" w:rsidP="00C021E8">
      <w:pPr>
        <w:spacing w:line="360" w:lineRule="auto"/>
        <w:ind w:firstLine="1440"/>
        <w:rPr>
          <w:sz w:val="26"/>
          <w:szCs w:val="26"/>
        </w:rPr>
      </w:pPr>
    </w:p>
    <w:p w:rsidR="00502B2C" w:rsidRDefault="00654714" w:rsidP="00C021E8">
      <w:pPr>
        <w:spacing w:line="360" w:lineRule="auto"/>
        <w:ind w:firstLine="1440"/>
        <w:rPr>
          <w:color w:val="000000"/>
          <w:sz w:val="26"/>
        </w:rPr>
      </w:pPr>
      <w:r>
        <w:rPr>
          <w:color w:val="000000"/>
          <w:sz w:val="26"/>
        </w:rPr>
        <w:t xml:space="preserve">Beginning on or about February, 2014, </w:t>
      </w:r>
      <w:r w:rsidR="00732BD1">
        <w:rPr>
          <w:color w:val="000000"/>
          <w:sz w:val="26"/>
        </w:rPr>
        <w:t xml:space="preserve">the </w:t>
      </w:r>
      <w:r>
        <w:rPr>
          <w:color w:val="000000"/>
          <w:sz w:val="26"/>
        </w:rPr>
        <w:t xml:space="preserve">OAG and OCA began receiving a significant amount </w:t>
      </w:r>
      <w:r w:rsidR="009976D2">
        <w:rPr>
          <w:color w:val="000000"/>
          <w:sz w:val="26"/>
        </w:rPr>
        <w:t xml:space="preserve">(in excess of 2,000) </w:t>
      </w:r>
      <w:r>
        <w:rPr>
          <w:color w:val="000000"/>
          <w:sz w:val="26"/>
        </w:rPr>
        <w:t>of consumer contacts regarding EGS suppliers.  Based on the</w:t>
      </w:r>
      <w:r w:rsidR="00502B2C">
        <w:rPr>
          <w:color w:val="000000"/>
          <w:sz w:val="26"/>
        </w:rPr>
        <w:t xml:space="preserve"> percentages of these</w:t>
      </w:r>
      <w:r>
        <w:rPr>
          <w:color w:val="000000"/>
          <w:sz w:val="26"/>
        </w:rPr>
        <w:t xml:space="preserve"> contacts </w:t>
      </w:r>
      <w:r w:rsidR="00502B2C">
        <w:rPr>
          <w:color w:val="000000"/>
          <w:sz w:val="26"/>
        </w:rPr>
        <w:t xml:space="preserve">that </w:t>
      </w:r>
      <w:r w:rsidR="00793D68">
        <w:rPr>
          <w:color w:val="000000"/>
          <w:sz w:val="26"/>
        </w:rPr>
        <w:t>were identified as</w:t>
      </w:r>
      <w:r w:rsidR="00502B2C">
        <w:rPr>
          <w:color w:val="000000"/>
          <w:sz w:val="26"/>
        </w:rPr>
        <w:t xml:space="preserve"> customers of Respond, </w:t>
      </w:r>
      <w:r w:rsidR="00732BD1">
        <w:rPr>
          <w:color w:val="000000"/>
          <w:sz w:val="26"/>
        </w:rPr>
        <w:t xml:space="preserve">the </w:t>
      </w:r>
      <w:r>
        <w:rPr>
          <w:color w:val="000000"/>
          <w:sz w:val="26"/>
        </w:rPr>
        <w:t>OAG and OCA determined that</w:t>
      </w:r>
      <w:r w:rsidR="00502B2C">
        <w:rPr>
          <w:color w:val="000000"/>
          <w:sz w:val="26"/>
        </w:rPr>
        <w:t xml:space="preserve"> </w:t>
      </w:r>
      <w:r w:rsidR="009976D2">
        <w:rPr>
          <w:color w:val="000000"/>
          <w:sz w:val="26"/>
        </w:rPr>
        <w:t xml:space="preserve">formal </w:t>
      </w:r>
      <w:r w:rsidR="00502B2C">
        <w:rPr>
          <w:color w:val="000000"/>
          <w:sz w:val="26"/>
        </w:rPr>
        <w:t>proceedings were necessary.</w:t>
      </w:r>
      <w:r>
        <w:rPr>
          <w:color w:val="000000"/>
          <w:sz w:val="26"/>
        </w:rPr>
        <w:t xml:space="preserve">  </w:t>
      </w:r>
    </w:p>
    <w:p w:rsidR="007175F2" w:rsidRDefault="007175F2" w:rsidP="00502B2C">
      <w:pPr>
        <w:spacing w:line="360" w:lineRule="auto"/>
        <w:ind w:firstLine="1440"/>
        <w:rPr>
          <w:color w:val="000000"/>
          <w:sz w:val="26"/>
        </w:rPr>
      </w:pPr>
    </w:p>
    <w:p w:rsidR="00C021E8" w:rsidRDefault="007175F2" w:rsidP="007175F2">
      <w:pPr>
        <w:spacing w:line="360" w:lineRule="auto"/>
        <w:ind w:firstLine="1440"/>
        <w:rPr>
          <w:color w:val="000000"/>
          <w:sz w:val="26"/>
        </w:rPr>
      </w:pPr>
      <w:r>
        <w:rPr>
          <w:color w:val="000000"/>
          <w:sz w:val="26"/>
        </w:rPr>
        <w:t xml:space="preserve">On June 20, 2014, </w:t>
      </w:r>
      <w:r w:rsidR="00732BD1">
        <w:rPr>
          <w:color w:val="000000"/>
          <w:sz w:val="26"/>
        </w:rPr>
        <w:t xml:space="preserve">the </w:t>
      </w:r>
      <w:r>
        <w:rPr>
          <w:color w:val="000000"/>
          <w:sz w:val="26"/>
        </w:rPr>
        <w:t xml:space="preserve">OAG and OCA filed the instant </w:t>
      </w:r>
      <w:r w:rsidR="00664D7F">
        <w:rPr>
          <w:color w:val="000000"/>
          <w:sz w:val="26"/>
        </w:rPr>
        <w:t>C</w:t>
      </w:r>
      <w:r>
        <w:rPr>
          <w:color w:val="000000"/>
          <w:sz w:val="26"/>
        </w:rPr>
        <w:t xml:space="preserve">omplaint.  </w:t>
      </w:r>
      <w:r w:rsidR="00793D68">
        <w:rPr>
          <w:color w:val="000000"/>
          <w:sz w:val="26"/>
        </w:rPr>
        <w:t xml:space="preserve">The </w:t>
      </w:r>
      <w:r w:rsidR="00C021E8">
        <w:rPr>
          <w:color w:val="000000"/>
          <w:sz w:val="26"/>
        </w:rPr>
        <w:t xml:space="preserve">OAG/OCA </w:t>
      </w:r>
      <w:r w:rsidR="00664D7F">
        <w:rPr>
          <w:color w:val="000000"/>
          <w:sz w:val="26"/>
        </w:rPr>
        <w:t>C</w:t>
      </w:r>
      <w:r w:rsidR="00C021E8">
        <w:rPr>
          <w:color w:val="000000"/>
          <w:sz w:val="26"/>
        </w:rPr>
        <w:t>omplaint advances nine counts</w:t>
      </w:r>
      <w:r w:rsidR="00793D68">
        <w:rPr>
          <w:color w:val="000000"/>
          <w:sz w:val="26"/>
        </w:rPr>
        <w:t>.  The counts, as summarized</w:t>
      </w:r>
      <w:r w:rsidR="009D0A09">
        <w:rPr>
          <w:color w:val="000000"/>
          <w:sz w:val="26"/>
        </w:rPr>
        <w:t>,</w:t>
      </w:r>
      <w:r w:rsidR="00793D68">
        <w:rPr>
          <w:color w:val="000000"/>
          <w:sz w:val="26"/>
        </w:rPr>
        <w:t xml:space="preserve"> are</w:t>
      </w:r>
      <w:r w:rsidR="00C021E8">
        <w:rPr>
          <w:color w:val="000000"/>
          <w:sz w:val="26"/>
        </w:rPr>
        <w:t>:</w:t>
      </w:r>
    </w:p>
    <w:p w:rsidR="000D0D34" w:rsidRDefault="000D0D34" w:rsidP="00502B2C">
      <w:pPr>
        <w:spacing w:line="360" w:lineRule="auto"/>
        <w:ind w:firstLine="1440"/>
        <w:rPr>
          <w:color w:val="000000"/>
          <w:sz w:val="26"/>
        </w:rPr>
      </w:pPr>
    </w:p>
    <w:p w:rsidR="00C021E8" w:rsidRDefault="00C021E8" w:rsidP="0018116F">
      <w:pPr>
        <w:widowControl/>
        <w:spacing w:line="360" w:lineRule="auto"/>
        <w:ind w:firstLine="1440"/>
        <w:rPr>
          <w:sz w:val="26"/>
          <w:szCs w:val="26"/>
        </w:rPr>
      </w:pPr>
      <w:r>
        <w:rPr>
          <w:sz w:val="26"/>
          <w:szCs w:val="26"/>
        </w:rPr>
        <w:t>Count I – Misleading and Deceptive Claims of Affiliation With Electric Distribution Companies</w:t>
      </w:r>
      <w:r w:rsidR="001011E8">
        <w:rPr>
          <w:sz w:val="26"/>
          <w:szCs w:val="26"/>
        </w:rPr>
        <w:t>.</w:t>
      </w:r>
      <w:r>
        <w:rPr>
          <w:sz w:val="26"/>
          <w:szCs w:val="26"/>
        </w:rPr>
        <w:t xml:space="preserve">  </w:t>
      </w:r>
      <w:r w:rsidR="00D76A9D">
        <w:rPr>
          <w:sz w:val="26"/>
          <w:szCs w:val="26"/>
        </w:rPr>
        <w:t xml:space="preserve">The </w:t>
      </w:r>
      <w:r>
        <w:rPr>
          <w:sz w:val="26"/>
          <w:szCs w:val="26"/>
        </w:rPr>
        <w:t>OAG and OCA aver that Respond, through its employees, agents, and/or representatives, ha</w:t>
      </w:r>
      <w:r w:rsidR="00D76A9D">
        <w:rPr>
          <w:sz w:val="26"/>
          <w:szCs w:val="26"/>
        </w:rPr>
        <w:t>s</w:t>
      </w:r>
      <w:r>
        <w:rPr>
          <w:sz w:val="26"/>
          <w:szCs w:val="26"/>
        </w:rPr>
        <w:t xml:space="preserve"> engaged in and continue</w:t>
      </w:r>
      <w:r w:rsidR="00C0218C">
        <w:rPr>
          <w:sz w:val="26"/>
          <w:szCs w:val="26"/>
        </w:rPr>
        <w:t>s</w:t>
      </w:r>
      <w:r>
        <w:rPr>
          <w:sz w:val="26"/>
          <w:szCs w:val="26"/>
        </w:rPr>
        <w:t xml:space="preserve"> to engage in the following activities that are fraudulent and in violation of Commission Regulations: (1) salespeople failing to properly identify themselves as affiliated with Respond when engaging in door-to-door sales; (2) salespeople failing to clearly state that they are not affiliated with the local electric distribution company</w:t>
      </w:r>
      <w:r w:rsidR="00414AB5">
        <w:rPr>
          <w:sz w:val="26"/>
          <w:szCs w:val="26"/>
        </w:rPr>
        <w:t xml:space="preserve"> (EDC)</w:t>
      </w:r>
      <w:r>
        <w:rPr>
          <w:sz w:val="26"/>
          <w:szCs w:val="26"/>
        </w:rPr>
        <w:t xml:space="preserve"> when engaging in door-to-door sales solicitations; (3) salespeople deceiving consumers by claiming to be affiliated with the local </w:t>
      </w:r>
      <w:r w:rsidR="009D0A09">
        <w:rPr>
          <w:sz w:val="26"/>
          <w:szCs w:val="26"/>
        </w:rPr>
        <w:t>EDC</w:t>
      </w:r>
      <w:r>
        <w:rPr>
          <w:sz w:val="26"/>
          <w:szCs w:val="26"/>
        </w:rPr>
        <w:t xml:space="preserve"> when engaging in door-to-door sales solicitations; and (4) salespeople </w:t>
      </w:r>
      <w:r>
        <w:rPr>
          <w:sz w:val="26"/>
          <w:szCs w:val="26"/>
        </w:rPr>
        <w:lastRenderedPageBreak/>
        <w:t xml:space="preserve">deceiving consumers </w:t>
      </w:r>
      <w:r w:rsidR="00BD3FDA">
        <w:rPr>
          <w:sz w:val="26"/>
          <w:szCs w:val="26"/>
        </w:rPr>
        <w:t xml:space="preserve">concerning an affiliation with the EDC </w:t>
      </w:r>
      <w:r>
        <w:rPr>
          <w:sz w:val="26"/>
          <w:szCs w:val="26"/>
        </w:rPr>
        <w:t xml:space="preserve">in order to induce customers to switch to Respondent. </w:t>
      </w:r>
      <w:r w:rsidR="00414AB5">
        <w:rPr>
          <w:sz w:val="26"/>
          <w:szCs w:val="26"/>
        </w:rPr>
        <w:t xml:space="preserve"> </w:t>
      </w:r>
      <w:r w:rsidR="00414AB5">
        <w:rPr>
          <w:i/>
          <w:sz w:val="26"/>
          <w:szCs w:val="26"/>
        </w:rPr>
        <w:t>S</w:t>
      </w:r>
      <w:r>
        <w:rPr>
          <w:i/>
          <w:sz w:val="26"/>
          <w:szCs w:val="26"/>
        </w:rPr>
        <w:t xml:space="preserve">ee </w:t>
      </w:r>
      <w:r>
        <w:rPr>
          <w:sz w:val="26"/>
          <w:szCs w:val="26"/>
        </w:rPr>
        <w:t>Complaint at ¶ ¶ 20-31.</w:t>
      </w:r>
    </w:p>
    <w:p w:rsidR="00C021E8" w:rsidRDefault="00C021E8" w:rsidP="00C021E8">
      <w:pPr>
        <w:spacing w:line="360" w:lineRule="auto"/>
        <w:ind w:firstLine="1440"/>
        <w:rPr>
          <w:sz w:val="26"/>
          <w:szCs w:val="26"/>
        </w:rPr>
      </w:pPr>
    </w:p>
    <w:p w:rsidR="00C021E8" w:rsidRDefault="00D76A9D" w:rsidP="00C021E8">
      <w:pPr>
        <w:spacing w:line="360" w:lineRule="auto"/>
        <w:ind w:firstLine="1440"/>
        <w:rPr>
          <w:sz w:val="26"/>
          <w:szCs w:val="26"/>
        </w:rPr>
      </w:pPr>
      <w:r>
        <w:rPr>
          <w:sz w:val="26"/>
          <w:szCs w:val="26"/>
        </w:rPr>
        <w:t xml:space="preserve">The </w:t>
      </w:r>
      <w:r w:rsidR="00C021E8">
        <w:rPr>
          <w:sz w:val="26"/>
          <w:szCs w:val="26"/>
        </w:rPr>
        <w:t xml:space="preserve">OAG and OCA preface the allegations of Count I of the Complaint by noting the following: </w:t>
      </w:r>
      <w:r w:rsidR="002F26F0">
        <w:rPr>
          <w:sz w:val="26"/>
          <w:szCs w:val="26"/>
        </w:rPr>
        <w:t xml:space="preserve"> </w:t>
      </w:r>
      <w:r w:rsidR="00C021E8">
        <w:rPr>
          <w:sz w:val="26"/>
          <w:szCs w:val="26"/>
        </w:rPr>
        <w:t>On or about February, 2014, the OCA received approximately 3,000 contacts from consumers regarding the charges for variable rate product offerings from EGS companies.  Complaint at ¶ 15.   As of May, 2014, the OCA collected information from 2,434 consumer contacts, of which 189 (approximately 8%)</w:t>
      </w:r>
      <w:r>
        <w:rPr>
          <w:sz w:val="26"/>
          <w:szCs w:val="26"/>
        </w:rPr>
        <w:t>,</w:t>
      </w:r>
      <w:r w:rsidR="00C021E8">
        <w:rPr>
          <w:sz w:val="26"/>
          <w:szCs w:val="26"/>
        </w:rPr>
        <w:t xml:space="preserve"> were customers of Respond.  Complaint at ¶ 17.  </w:t>
      </w:r>
      <w:r w:rsidR="00414AB5">
        <w:rPr>
          <w:sz w:val="26"/>
          <w:szCs w:val="26"/>
        </w:rPr>
        <w:t>Of t</w:t>
      </w:r>
      <w:r w:rsidR="00C021E8">
        <w:rPr>
          <w:sz w:val="26"/>
          <w:szCs w:val="26"/>
        </w:rPr>
        <w:t xml:space="preserve">he 189 consumer contacts, 162 were telephone contacts and 27 were written correspondence.  Of </w:t>
      </w:r>
      <w:r w:rsidR="004A0F4F">
        <w:rPr>
          <w:sz w:val="26"/>
          <w:szCs w:val="26"/>
        </w:rPr>
        <w:t xml:space="preserve">the </w:t>
      </w:r>
      <w:r w:rsidR="00C021E8">
        <w:rPr>
          <w:sz w:val="26"/>
          <w:szCs w:val="26"/>
        </w:rPr>
        <w:t xml:space="preserve">twenty-seven (27) customers who provided written correspondence </w:t>
      </w:r>
      <w:r w:rsidR="00414AB5">
        <w:rPr>
          <w:sz w:val="26"/>
          <w:szCs w:val="26"/>
        </w:rPr>
        <w:t xml:space="preserve">to </w:t>
      </w:r>
      <w:r>
        <w:rPr>
          <w:sz w:val="26"/>
          <w:szCs w:val="26"/>
        </w:rPr>
        <w:t xml:space="preserve">the </w:t>
      </w:r>
      <w:r w:rsidR="00414AB5">
        <w:rPr>
          <w:sz w:val="26"/>
          <w:szCs w:val="26"/>
        </w:rPr>
        <w:t xml:space="preserve">OCA </w:t>
      </w:r>
      <w:r w:rsidR="00C021E8">
        <w:rPr>
          <w:sz w:val="26"/>
          <w:szCs w:val="26"/>
        </w:rPr>
        <w:t>complaining of their variable rate</w:t>
      </w:r>
      <w:r w:rsidR="004A0F4F">
        <w:rPr>
          <w:sz w:val="26"/>
          <w:szCs w:val="26"/>
        </w:rPr>
        <w:t xml:space="preserve"> service</w:t>
      </w:r>
      <w:r w:rsidR="00C021E8">
        <w:rPr>
          <w:sz w:val="26"/>
          <w:szCs w:val="26"/>
        </w:rPr>
        <w:t xml:space="preserve">, four (4) customers (approximately 15%) stated that Respond’s salesperson, in the initial contact, represented that they were from the customer’s EDC and used this representation to induce the customer to switch service to Respond.  Complaint at ¶ 21. </w:t>
      </w:r>
    </w:p>
    <w:p w:rsidR="00C021E8" w:rsidRDefault="00C021E8" w:rsidP="00C021E8">
      <w:pPr>
        <w:spacing w:line="360" w:lineRule="auto"/>
        <w:ind w:firstLine="1440"/>
        <w:rPr>
          <w:sz w:val="26"/>
          <w:szCs w:val="26"/>
        </w:rPr>
      </w:pPr>
    </w:p>
    <w:p w:rsidR="00C021E8" w:rsidRDefault="00C021E8" w:rsidP="00C021E8">
      <w:pPr>
        <w:spacing w:line="360" w:lineRule="auto"/>
        <w:ind w:firstLine="1440"/>
        <w:rPr>
          <w:sz w:val="26"/>
          <w:szCs w:val="26"/>
        </w:rPr>
      </w:pPr>
      <w:r>
        <w:rPr>
          <w:sz w:val="26"/>
          <w:szCs w:val="26"/>
        </w:rPr>
        <w:t>Similarly, during the period February 27, 2014 through June 4, 2014, the OAG received 7,503 consumer complaints regarding variable rate EGS service.</w:t>
      </w:r>
      <w:r w:rsidR="006E3AEB">
        <w:rPr>
          <w:sz w:val="26"/>
          <w:szCs w:val="26"/>
        </w:rPr>
        <w:t xml:space="preserve">  Complaint at ¶ 18.</w:t>
      </w:r>
      <w:r>
        <w:rPr>
          <w:sz w:val="26"/>
          <w:szCs w:val="26"/>
        </w:rPr>
        <w:t xml:space="preserve">  Of the 7,503 consumer complaints, 520 </w:t>
      </w:r>
      <w:r w:rsidR="00D76A9D">
        <w:rPr>
          <w:sz w:val="26"/>
          <w:szCs w:val="26"/>
        </w:rPr>
        <w:t>(</w:t>
      </w:r>
      <w:r>
        <w:rPr>
          <w:sz w:val="26"/>
          <w:szCs w:val="26"/>
        </w:rPr>
        <w:t>or 7%</w:t>
      </w:r>
      <w:r w:rsidR="00D76A9D">
        <w:rPr>
          <w:sz w:val="26"/>
          <w:szCs w:val="26"/>
        </w:rPr>
        <w:t>),</w:t>
      </w:r>
      <w:r>
        <w:rPr>
          <w:sz w:val="26"/>
          <w:szCs w:val="26"/>
        </w:rPr>
        <w:t xml:space="preserve"> involved Respond.  </w:t>
      </w:r>
      <w:r w:rsidR="006E3AEB">
        <w:rPr>
          <w:i/>
          <w:sz w:val="26"/>
          <w:szCs w:val="26"/>
        </w:rPr>
        <w:t>Id</w:t>
      </w:r>
      <w:r w:rsidR="006E3AEB">
        <w:rPr>
          <w:sz w:val="26"/>
          <w:szCs w:val="26"/>
        </w:rPr>
        <w:t>.</w:t>
      </w:r>
      <w:r>
        <w:rPr>
          <w:sz w:val="26"/>
          <w:szCs w:val="26"/>
        </w:rPr>
        <w:t xml:space="preserve">  Of the 520 complaints, thirteen (13) stated </w:t>
      </w:r>
      <w:r w:rsidR="00414AB5">
        <w:rPr>
          <w:sz w:val="26"/>
          <w:szCs w:val="26"/>
        </w:rPr>
        <w:t>t</w:t>
      </w:r>
      <w:r>
        <w:rPr>
          <w:sz w:val="26"/>
          <w:szCs w:val="26"/>
        </w:rPr>
        <w:t>hat representatives of Respond claimed to be from the consumers’ EDC and used this representation as an inducement to persuade the consumer to switch service.  Complaint at ¶ 22.</w:t>
      </w:r>
    </w:p>
    <w:p w:rsidR="00C021E8" w:rsidRDefault="00C021E8" w:rsidP="00C021E8">
      <w:pPr>
        <w:spacing w:line="360" w:lineRule="auto"/>
        <w:ind w:firstLine="1440"/>
        <w:rPr>
          <w:sz w:val="26"/>
          <w:szCs w:val="26"/>
        </w:rPr>
      </w:pPr>
    </w:p>
    <w:p w:rsidR="00C021E8" w:rsidRDefault="00C021E8" w:rsidP="00C021E8">
      <w:pPr>
        <w:spacing w:line="360" w:lineRule="auto"/>
        <w:ind w:firstLine="1440"/>
        <w:rPr>
          <w:sz w:val="26"/>
          <w:szCs w:val="26"/>
        </w:rPr>
      </w:pPr>
      <w:r>
        <w:rPr>
          <w:sz w:val="26"/>
          <w:szCs w:val="26"/>
        </w:rPr>
        <w:t xml:space="preserve">Further, of the twenty (20) consumer complaints filed with the Commission that </w:t>
      </w:r>
      <w:r w:rsidR="00414AB5">
        <w:rPr>
          <w:sz w:val="26"/>
          <w:szCs w:val="26"/>
        </w:rPr>
        <w:t>were</w:t>
      </w:r>
      <w:r>
        <w:rPr>
          <w:sz w:val="26"/>
          <w:szCs w:val="26"/>
        </w:rPr>
        <w:t xml:space="preserve"> reviewed by the OCA, four of the complainants (20%) alleged that a representative from Respond, in door-to-door sales solicitation</w:t>
      </w:r>
      <w:r w:rsidR="00C0218C">
        <w:rPr>
          <w:sz w:val="26"/>
          <w:szCs w:val="26"/>
        </w:rPr>
        <w:t>s</w:t>
      </w:r>
      <w:r>
        <w:rPr>
          <w:sz w:val="26"/>
          <w:szCs w:val="26"/>
        </w:rPr>
        <w:t xml:space="preserve">, used the misrepresentation that this person was from the customer’s EDC as an inducement to persuade the customer to switch service.  Complaint at ¶ 23. </w:t>
      </w:r>
    </w:p>
    <w:p w:rsidR="00C021E8" w:rsidRDefault="00C021E8" w:rsidP="00C021E8">
      <w:pPr>
        <w:spacing w:line="360" w:lineRule="auto"/>
        <w:ind w:firstLine="1440"/>
        <w:rPr>
          <w:sz w:val="26"/>
          <w:szCs w:val="26"/>
        </w:rPr>
      </w:pPr>
      <w:r>
        <w:rPr>
          <w:sz w:val="26"/>
          <w:szCs w:val="26"/>
        </w:rPr>
        <w:t xml:space="preserve"> </w:t>
      </w:r>
    </w:p>
    <w:p w:rsidR="00C021E8" w:rsidRDefault="00C021E8" w:rsidP="0018116F">
      <w:pPr>
        <w:widowControl/>
        <w:spacing w:line="360" w:lineRule="auto"/>
        <w:ind w:firstLine="1440"/>
        <w:rPr>
          <w:sz w:val="26"/>
          <w:szCs w:val="26"/>
        </w:rPr>
      </w:pPr>
      <w:r>
        <w:rPr>
          <w:sz w:val="26"/>
          <w:szCs w:val="26"/>
        </w:rPr>
        <w:lastRenderedPageBreak/>
        <w:t>In Count II – Deceptive and Misleading Promises of Savings – the OAG and OCA aver that Respond, through its employees, agents, and/or representatives, ha</w:t>
      </w:r>
      <w:r w:rsidR="00D76A9D">
        <w:rPr>
          <w:sz w:val="26"/>
          <w:szCs w:val="26"/>
        </w:rPr>
        <w:t>s</w:t>
      </w:r>
      <w:r>
        <w:rPr>
          <w:sz w:val="26"/>
          <w:szCs w:val="26"/>
        </w:rPr>
        <w:t xml:space="preserve"> engaged in and continue</w:t>
      </w:r>
      <w:r w:rsidR="00C0218C">
        <w:rPr>
          <w:sz w:val="26"/>
          <w:szCs w:val="26"/>
        </w:rPr>
        <w:t>s</w:t>
      </w:r>
      <w:r>
        <w:rPr>
          <w:sz w:val="26"/>
          <w:szCs w:val="26"/>
        </w:rPr>
        <w:t xml:space="preserve"> to engage in activities that are fraudulent and in violation of Commission Regulations and </w:t>
      </w:r>
      <w:r w:rsidR="00D76A9D">
        <w:rPr>
          <w:sz w:val="26"/>
          <w:szCs w:val="26"/>
        </w:rPr>
        <w:t>c</w:t>
      </w:r>
      <w:r>
        <w:rPr>
          <w:sz w:val="26"/>
          <w:szCs w:val="26"/>
        </w:rPr>
        <w:t xml:space="preserve">onsumer </w:t>
      </w:r>
      <w:r w:rsidR="00D76A9D">
        <w:rPr>
          <w:sz w:val="26"/>
          <w:szCs w:val="26"/>
        </w:rPr>
        <w:t>p</w:t>
      </w:r>
      <w:r>
        <w:rPr>
          <w:sz w:val="26"/>
          <w:szCs w:val="26"/>
        </w:rPr>
        <w:t xml:space="preserve">rotection </w:t>
      </w:r>
      <w:r w:rsidR="00D76A9D">
        <w:rPr>
          <w:sz w:val="26"/>
          <w:szCs w:val="26"/>
        </w:rPr>
        <w:t>l</w:t>
      </w:r>
      <w:r>
        <w:rPr>
          <w:sz w:val="26"/>
          <w:szCs w:val="26"/>
        </w:rPr>
        <w:t xml:space="preserve">aws by promising savings to customers as an inducement for them to switch to its service, which savings that were promised may not, and for many customers, did not, materialize.  </w:t>
      </w:r>
      <w:r>
        <w:rPr>
          <w:i/>
          <w:sz w:val="26"/>
          <w:szCs w:val="26"/>
        </w:rPr>
        <w:t xml:space="preserve">See </w:t>
      </w:r>
      <w:r>
        <w:rPr>
          <w:sz w:val="26"/>
          <w:szCs w:val="26"/>
        </w:rPr>
        <w:t xml:space="preserve">Complaint at ¶¶ 32-40.  </w:t>
      </w:r>
    </w:p>
    <w:p w:rsidR="00C021E8" w:rsidRDefault="00C021E8" w:rsidP="00C021E8">
      <w:pPr>
        <w:spacing w:line="360" w:lineRule="auto"/>
        <w:ind w:firstLine="1440"/>
        <w:rPr>
          <w:sz w:val="26"/>
          <w:szCs w:val="26"/>
        </w:rPr>
      </w:pPr>
    </w:p>
    <w:p w:rsidR="00C021E8" w:rsidRDefault="00C021E8" w:rsidP="00C021E8">
      <w:pPr>
        <w:spacing w:line="360" w:lineRule="auto"/>
        <w:ind w:firstLine="1440"/>
        <w:rPr>
          <w:sz w:val="26"/>
          <w:szCs w:val="26"/>
        </w:rPr>
      </w:pPr>
      <w:r>
        <w:rPr>
          <w:sz w:val="26"/>
          <w:szCs w:val="26"/>
        </w:rPr>
        <w:t xml:space="preserve">Of the </w:t>
      </w:r>
      <w:r w:rsidR="00414AB5">
        <w:rPr>
          <w:sz w:val="26"/>
          <w:szCs w:val="26"/>
        </w:rPr>
        <w:t xml:space="preserve">previously </w:t>
      </w:r>
      <w:r>
        <w:rPr>
          <w:sz w:val="26"/>
          <w:szCs w:val="26"/>
        </w:rPr>
        <w:t xml:space="preserve">referenced 520 consumer complaints received by the OAG, </w:t>
      </w:r>
      <w:r w:rsidR="00D639B1">
        <w:rPr>
          <w:sz w:val="26"/>
          <w:szCs w:val="26"/>
        </w:rPr>
        <w:t xml:space="preserve">sixty-four </w:t>
      </w:r>
      <w:r w:rsidR="00414AB5">
        <w:rPr>
          <w:sz w:val="26"/>
          <w:szCs w:val="26"/>
        </w:rPr>
        <w:t>(</w:t>
      </w:r>
      <w:r>
        <w:rPr>
          <w:sz w:val="26"/>
          <w:szCs w:val="26"/>
        </w:rPr>
        <w:t>approximately 12%</w:t>
      </w:r>
      <w:r w:rsidR="00414AB5">
        <w:rPr>
          <w:sz w:val="26"/>
          <w:szCs w:val="26"/>
        </w:rPr>
        <w:t>),</w:t>
      </w:r>
      <w:r>
        <w:rPr>
          <w:sz w:val="26"/>
          <w:szCs w:val="26"/>
        </w:rPr>
        <w:t xml:space="preserve"> of the complainants reported that </w:t>
      </w:r>
      <w:r w:rsidR="00566514">
        <w:rPr>
          <w:sz w:val="26"/>
          <w:szCs w:val="26"/>
        </w:rPr>
        <w:t xml:space="preserve">Respond </w:t>
      </w:r>
      <w:r>
        <w:rPr>
          <w:sz w:val="26"/>
          <w:szCs w:val="26"/>
        </w:rPr>
        <w:t xml:space="preserve">salespersons stated that their rates would be “competitive” with their EDC’s rates, or would always be lower than or equal to their EDC’s rates, while </w:t>
      </w:r>
      <w:r w:rsidR="00D639B1">
        <w:rPr>
          <w:sz w:val="26"/>
          <w:szCs w:val="26"/>
        </w:rPr>
        <w:t>fifty-seven</w:t>
      </w:r>
      <w:r>
        <w:rPr>
          <w:sz w:val="26"/>
          <w:szCs w:val="26"/>
        </w:rPr>
        <w:t xml:space="preserve"> </w:t>
      </w:r>
      <w:r w:rsidR="00414AB5">
        <w:rPr>
          <w:sz w:val="26"/>
          <w:szCs w:val="26"/>
        </w:rPr>
        <w:t>(</w:t>
      </w:r>
      <w:r>
        <w:rPr>
          <w:sz w:val="26"/>
          <w:szCs w:val="26"/>
        </w:rPr>
        <w:t>nearly 11%</w:t>
      </w:r>
      <w:r w:rsidR="00414AB5">
        <w:rPr>
          <w:sz w:val="26"/>
          <w:szCs w:val="26"/>
        </w:rPr>
        <w:t>)</w:t>
      </w:r>
      <w:r w:rsidR="00566514">
        <w:rPr>
          <w:sz w:val="26"/>
          <w:szCs w:val="26"/>
        </w:rPr>
        <w:t>,</w:t>
      </w:r>
      <w:r>
        <w:rPr>
          <w:sz w:val="26"/>
          <w:szCs w:val="26"/>
        </w:rPr>
        <w:t xml:space="preserve"> reported that Respond salespeople promised guaranteed savings over their EDC’s rates – known as the “Price to Compare” (PTC)</w:t>
      </w:r>
      <w:r w:rsidR="00566514">
        <w:rPr>
          <w:sz w:val="26"/>
          <w:szCs w:val="26"/>
        </w:rPr>
        <w:t>,</w:t>
      </w:r>
      <w:r>
        <w:rPr>
          <w:rStyle w:val="FootnoteReference"/>
          <w:sz w:val="26"/>
          <w:szCs w:val="26"/>
        </w:rPr>
        <w:footnoteReference w:id="2"/>
      </w:r>
      <w:r>
        <w:rPr>
          <w:sz w:val="26"/>
          <w:szCs w:val="26"/>
        </w:rPr>
        <w:t xml:space="preserve"> as inducement for them to switch.  Complaint at </w:t>
      </w:r>
      <w:r w:rsidR="00414AB5">
        <w:rPr>
          <w:sz w:val="26"/>
          <w:szCs w:val="26"/>
        </w:rPr>
        <w:t>¶¶</w:t>
      </w:r>
      <w:r>
        <w:rPr>
          <w:sz w:val="26"/>
          <w:szCs w:val="26"/>
        </w:rPr>
        <w:t xml:space="preserve"> 33-</w:t>
      </w:r>
      <w:r w:rsidR="00E01EE0">
        <w:rPr>
          <w:sz w:val="26"/>
          <w:szCs w:val="26"/>
        </w:rPr>
        <w:t>3</w:t>
      </w:r>
      <w:r>
        <w:rPr>
          <w:sz w:val="26"/>
          <w:szCs w:val="26"/>
        </w:rPr>
        <w:t xml:space="preserve">4.  </w:t>
      </w:r>
    </w:p>
    <w:p w:rsidR="00C021E8" w:rsidRDefault="00C021E8" w:rsidP="00C021E8">
      <w:pPr>
        <w:spacing w:line="360" w:lineRule="auto"/>
        <w:ind w:firstLine="1440"/>
        <w:rPr>
          <w:sz w:val="26"/>
          <w:szCs w:val="26"/>
        </w:rPr>
      </w:pPr>
    </w:p>
    <w:p w:rsidR="00C021E8" w:rsidRDefault="00C021E8" w:rsidP="00C021E8">
      <w:pPr>
        <w:spacing w:line="360" w:lineRule="auto"/>
        <w:ind w:firstLine="1440"/>
        <w:rPr>
          <w:sz w:val="26"/>
          <w:szCs w:val="26"/>
        </w:rPr>
      </w:pPr>
      <w:r>
        <w:rPr>
          <w:sz w:val="26"/>
          <w:szCs w:val="26"/>
        </w:rPr>
        <w:t xml:space="preserve">Of the </w:t>
      </w:r>
      <w:r w:rsidR="00D639B1">
        <w:rPr>
          <w:sz w:val="26"/>
          <w:szCs w:val="26"/>
        </w:rPr>
        <w:t>twenty-seven</w:t>
      </w:r>
      <w:r>
        <w:rPr>
          <w:sz w:val="26"/>
          <w:szCs w:val="26"/>
        </w:rPr>
        <w:t xml:space="preserve"> consumer contacts </w:t>
      </w:r>
      <w:r w:rsidR="002F26F0">
        <w:rPr>
          <w:sz w:val="26"/>
          <w:szCs w:val="26"/>
        </w:rPr>
        <w:t xml:space="preserve">investigated by </w:t>
      </w:r>
      <w:r w:rsidR="00327640">
        <w:rPr>
          <w:sz w:val="26"/>
          <w:szCs w:val="26"/>
        </w:rPr>
        <w:t xml:space="preserve">the </w:t>
      </w:r>
      <w:r w:rsidR="002F26F0">
        <w:rPr>
          <w:sz w:val="26"/>
          <w:szCs w:val="26"/>
        </w:rPr>
        <w:t xml:space="preserve">OCA </w:t>
      </w:r>
      <w:r>
        <w:rPr>
          <w:sz w:val="26"/>
          <w:szCs w:val="26"/>
        </w:rPr>
        <w:t xml:space="preserve">that provided written correspondence, </w:t>
      </w:r>
      <w:r w:rsidR="00D639B1">
        <w:rPr>
          <w:sz w:val="26"/>
          <w:szCs w:val="26"/>
        </w:rPr>
        <w:t>five</w:t>
      </w:r>
      <w:r>
        <w:rPr>
          <w:sz w:val="26"/>
          <w:szCs w:val="26"/>
        </w:rPr>
        <w:t xml:space="preserve"> reported similar representations concerning Respond salespersons’ promises of guaranteed savings.  Complaint at ¶ 35.  And, </w:t>
      </w:r>
      <w:r w:rsidR="00532F5D">
        <w:rPr>
          <w:sz w:val="26"/>
          <w:szCs w:val="26"/>
        </w:rPr>
        <w:t>in the cases of</w:t>
      </w:r>
      <w:r w:rsidR="00572EE8">
        <w:rPr>
          <w:sz w:val="26"/>
          <w:szCs w:val="26"/>
        </w:rPr>
        <w:t xml:space="preserve"> </w:t>
      </w:r>
      <w:r>
        <w:rPr>
          <w:sz w:val="26"/>
          <w:szCs w:val="26"/>
        </w:rPr>
        <w:t xml:space="preserve">at least </w:t>
      </w:r>
      <w:r w:rsidR="00D639B1">
        <w:rPr>
          <w:sz w:val="26"/>
          <w:szCs w:val="26"/>
        </w:rPr>
        <w:t>five</w:t>
      </w:r>
      <w:r>
        <w:rPr>
          <w:sz w:val="26"/>
          <w:szCs w:val="26"/>
        </w:rPr>
        <w:t xml:space="preserve"> of the </w:t>
      </w:r>
      <w:r w:rsidR="00D639B1">
        <w:rPr>
          <w:sz w:val="26"/>
          <w:szCs w:val="26"/>
        </w:rPr>
        <w:t>twenty</w:t>
      </w:r>
      <w:r>
        <w:rPr>
          <w:sz w:val="26"/>
          <w:szCs w:val="26"/>
        </w:rPr>
        <w:t xml:space="preserve"> formal complainants </w:t>
      </w:r>
      <w:r w:rsidR="006D6AA1">
        <w:rPr>
          <w:sz w:val="26"/>
          <w:szCs w:val="26"/>
        </w:rPr>
        <w:t xml:space="preserve">who </w:t>
      </w:r>
      <w:r>
        <w:rPr>
          <w:sz w:val="26"/>
          <w:szCs w:val="26"/>
        </w:rPr>
        <w:t>filed with the Commission</w:t>
      </w:r>
      <w:r w:rsidR="00572EE8">
        <w:rPr>
          <w:sz w:val="26"/>
          <w:szCs w:val="26"/>
        </w:rPr>
        <w:t>, the customer</w:t>
      </w:r>
      <w:r>
        <w:rPr>
          <w:sz w:val="26"/>
          <w:szCs w:val="26"/>
        </w:rPr>
        <w:t xml:space="preserve"> reported promises of guaranteed savings by sales representatives of Respond, which promises induced them to switch.  In all these instances, (</w:t>
      </w:r>
      <w:r w:rsidR="001F4913">
        <w:rPr>
          <w:sz w:val="26"/>
          <w:szCs w:val="26"/>
        </w:rPr>
        <w:t xml:space="preserve">the </w:t>
      </w:r>
      <w:r>
        <w:rPr>
          <w:sz w:val="26"/>
          <w:szCs w:val="26"/>
        </w:rPr>
        <w:t>OAG and OCA consumer complaints/contacts)</w:t>
      </w:r>
      <w:r w:rsidR="00C0218C">
        <w:rPr>
          <w:sz w:val="26"/>
          <w:szCs w:val="26"/>
        </w:rPr>
        <w:t>,</w:t>
      </w:r>
      <w:r>
        <w:rPr>
          <w:sz w:val="26"/>
          <w:szCs w:val="26"/>
        </w:rPr>
        <w:t xml:space="preserve"> the complainants received bills that were two to three times higher than the PTC.  </w:t>
      </w:r>
      <w:r>
        <w:rPr>
          <w:i/>
          <w:sz w:val="26"/>
          <w:szCs w:val="26"/>
        </w:rPr>
        <w:t>Id</w:t>
      </w:r>
      <w:r>
        <w:rPr>
          <w:sz w:val="26"/>
          <w:szCs w:val="26"/>
        </w:rPr>
        <w:t xml:space="preserve">.           </w:t>
      </w:r>
    </w:p>
    <w:p w:rsidR="00C021E8" w:rsidRDefault="00C021E8" w:rsidP="00C021E8">
      <w:pPr>
        <w:spacing w:line="360" w:lineRule="auto"/>
        <w:ind w:firstLine="1440"/>
        <w:rPr>
          <w:sz w:val="26"/>
          <w:szCs w:val="26"/>
        </w:rPr>
      </w:pPr>
      <w:r>
        <w:rPr>
          <w:sz w:val="26"/>
          <w:szCs w:val="26"/>
        </w:rPr>
        <w:t xml:space="preserve"> </w:t>
      </w:r>
    </w:p>
    <w:p w:rsidR="00C021E8" w:rsidRDefault="00C021E8" w:rsidP="00C021E8">
      <w:pPr>
        <w:spacing w:line="360" w:lineRule="auto"/>
        <w:ind w:firstLine="1440"/>
        <w:rPr>
          <w:sz w:val="26"/>
          <w:szCs w:val="26"/>
        </w:rPr>
      </w:pPr>
      <w:r>
        <w:rPr>
          <w:sz w:val="26"/>
          <w:szCs w:val="26"/>
        </w:rPr>
        <w:lastRenderedPageBreak/>
        <w:t xml:space="preserve">In Count III – Failing to Disclose Material Terms, the OAG and OCA allege, respectively, that </w:t>
      </w:r>
      <w:r w:rsidR="007006CE">
        <w:rPr>
          <w:sz w:val="26"/>
          <w:szCs w:val="26"/>
        </w:rPr>
        <w:t>sixty-one</w:t>
      </w:r>
      <w:r>
        <w:rPr>
          <w:sz w:val="26"/>
          <w:szCs w:val="26"/>
        </w:rPr>
        <w:t xml:space="preserve"> complainants reported that they were not informed that they had signed up for a variable rate plan, </w:t>
      </w:r>
      <w:r w:rsidR="007006CE">
        <w:rPr>
          <w:sz w:val="26"/>
          <w:szCs w:val="26"/>
        </w:rPr>
        <w:t>sixteen</w:t>
      </w:r>
      <w:r>
        <w:rPr>
          <w:sz w:val="26"/>
          <w:szCs w:val="26"/>
        </w:rPr>
        <w:t xml:space="preserve"> of which provided sales agreements with their complaints which agreements failed to indicate whether the plan was for a fixed or variable rate</w:t>
      </w:r>
      <w:r w:rsidR="006D6AA1">
        <w:rPr>
          <w:sz w:val="26"/>
          <w:szCs w:val="26"/>
        </w:rPr>
        <w:t>.  Also,</w:t>
      </w:r>
      <w:r>
        <w:rPr>
          <w:sz w:val="26"/>
          <w:szCs w:val="26"/>
        </w:rPr>
        <w:t xml:space="preserve"> </w:t>
      </w:r>
      <w:r w:rsidR="007F7593">
        <w:rPr>
          <w:sz w:val="26"/>
          <w:szCs w:val="26"/>
        </w:rPr>
        <w:t xml:space="preserve">in </w:t>
      </w:r>
      <w:r w:rsidR="007006CE">
        <w:rPr>
          <w:sz w:val="26"/>
          <w:szCs w:val="26"/>
        </w:rPr>
        <w:t>five</w:t>
      </w:r>
      <w:r>
        <w:rPr>
          <w:sz w:val="26"/>
          <w:szCs w:val="26"/>
        </w:rPr>
        <w:t xml:space="preserve"> of the formal complaints filed with the Commission</w:t>
      </w:r>
      <w:r w:rsidR="007F7593">
        <w:rPr>
          <w:sz w:val="26"/>
          <w:szCs w:val="26"/>
        </w:rPr>
        <w:t>, the consumers reported that they</w:t>
      </w:r>
      <w:r>
        <w:rPr>
          <w:sz w:val="26"/>
          <w:szCs w:val="26"/>
        </w:rPr>
        <w:t xml:space="preserve"> were not informed that they had signed up for a variable rate</w:t>
      </w:r>
      <w:r w:rsidR="00E01EE0">
        <w:rPr>
          <w:sz w:val="26"/>
          <w:szCs w:val="26"/>
        </w:rPr>
        <w:t xml:space="preserve"> plan</w:t>
      </w:r>
      <w:r>
        <w:rPr>
          <w:sz w:val="26"/>
          <w:szCs w:val="26"/>
        </w:rPr>
        <w:t>.  Complaint at ¶ 43-44.</w:t>
      </w:r>
    </w:p>
    <w:p w:rsidR="00C021E8" w:rsidRDefault="00C021E8" w:rsidP="00C021E8">
      <w:pPr>
        <w:spacing w:line="360" w:lineRule="auto"/>
        <w:ind w:firstLine="1440"/>
        <w:rPr>
          <w:sz w:val="26"/>
          <w:szCs w:val="26"/>
        </w:rPr>
      </w:pPr>
    </w:p>
    <w:p w:rsidR="00C021E8" w:rsidRDefault="007006CE" w:rsidP="00C021E8">
      <w:pPr>
        <w:spacing w:line="360" w:lineRule="auto"/>
        <w:ind w:firstLine="1440"/>
        <w:rPr>
          <w:sz w:val="26"/>
          <w:szCs w:val="26"/>
        </w:rPr>
      </w:pPr>
      <w:r>
        <w:rPr>
          <w:sz w:val="26"/>
          <w:szCs w:val="26"/>
        </w:rPr>
        <w:t xml:space="preserve">The </w:t>
      </w:r>
      <w:r w:rsidR="00C021E8">
        <w:rPr>
          <w:sz w:val="26"/>
          <w:szCs w:val="26"/>
        </w:rPr>
        <w:t>OAG and OCA also aver, upon information and belief, that many of the consumers wh</w:t>
      </w:r>
      <w:r w:rsidR="006565D3">
        <w:rPr>
          <w:sz w:val="26"/>
          <w:szCs w:val="26"/>
        </w:rPr>
        <w:t>o</w:t>
      </w:r>
      <w:r w:rsidR="00C021E8">
        <w:rPr>
          <w:sz w:val="26"/>
          <w:szCs w:val="26"/>
        </w:rPr>
        <w:t xml:space="preserve"> initiated contacts with them believed they were on a fixed rate plan but were charged pursuant to a variable rate arrangement.  Complaint at ¶ 45.</w:t>
      </w:r>
    </w:p>
    <w:p w:rsidR="00C021E8" w:rsidRDefault="00C021E8" w:rsidP="00C021E8">
      <w:pPr>
        <w:spacing w:line="360" w:lineRule="auto"/>
        <w:ind w:firstLine="1440"/>
        <w:rPr>
          <w:sz w:val="26"/>
          <w:szCs w:val="26"/>
        </w:rPr>
      </w:pPr>
      <w:r>
        <w:rPr>
          <w:sz w:val="26"/>
          <w:szCs w:val="26"/>
        </w:rPr>
        <w:t xml:space="preserve">        </w:t>
      </w:r>
    </w:p>
    <w:p w:rsidR="00C021E8" w:rsidRDefault="00C021E8" w:rsidP="00C021E8">
      <w:pPr>
        <w:spacing w:line="360" w:lineRule="auto"/>
        <w:ind w:firstLine="1440"/>
        <w:rPr>
          <w:sz w:val="26"/>
          <w:szCs w:val="26"/>
        </w:rPr>
      </w:pPr>
      <w:r>
        <w:rPr>
          <w:sz w:val="26"/>
          <w:szCs w:val="26"/>
        </w:rPr>
        <w:t xml:space="preserve">In Count IV – Deceptive and Misleading Welcome Letter and Inserts, </w:t>
      </w:r>
      <w:r w:rsidR="007006CE">
        <w:rPr>
          <w:sz w:val="26"/>
          <w:szCs w:val="26"/>
        </w:rPr>
        <w:t xml:space="preserve">the </w:t>
      </w:r>
      <w:r>
        <w:rPr>
          <w:sz w:val="26"/>
          <w:szCs w:val="26"/>
        </w:rPr>
        <w:t>OAG and OCA attach a specimen Respond Welcome Letter and Insert as Appendix A</w:t>
      </w:r>
      <w:r w:rsidR="00A5638E">
        <w:rPr>
          <w:sz w:val="26"/>
          <w:szCs w:val="26"/>
        </w:rPr>
        <w:t xml:space="preserve"> to the Complaint</w:t>
      </w:r>
      <w:r>
        <w:rPr>
          <w:sz w:val="26"/>
          <w:szCs w:val="26"/>
        </w:rPr>
        <w:t xml:space="preserve">.  </w:t>
      </w:r>
      <w:r w:rsidR="007006CE">
        <w:rPr>
          <w:sz w:val="26"/>
          <w:szCs w:val="26"/>
        </w:rPr>
        <w:t xml:space="preserve">The </w:t>
      </w:r>
      <w:r>
        <w:rPr>
          <w:sz w:val="26"/>
          <w:szCs w:val="26"/>
        </w:rPr>
        <w:t>OAG and OCA</w:t>
      </w:r>
      <w:r w:rsidR="00A5638E">
        <w:rPr>
          <w:sz w:val="26"/>
          <w:szCs w:val="26"/>
        </w:rPr>
        <w:t>,</w:t>
      </w:r>
      <w:r>
        <w:rPr>
          <w:sz w:val="26"/>
          <w:szCs w:val="26"/>
        </w:rPr>
        <w:t xml:space="preserve"> cit</w:t>
      </w:r>
      <w:r w:rsidR="00A5638E">
        <w:rPr>
          <w:sz w:val="26"/>
          <w:szCs w:val="26"/>
        </w:rPr>
        <w:t>ing</w:t>
      </w:r>
      <w:r>
        <w:rPr>
          <w:sz w:val="26"/>
          <w:szCs w:val="26"/>
        </w:rPr>
        <w:t xml:space="preserve"> to various provisions of the </w:t>
      </w:r>
      <w:r w:rsidR="007006CE">
        <w:rPr>
          <w:sz w:val="26"/>
          <w:szCs w:val="26"/>
        </w:rPr>
        <w:t xml:space="preserve">Pennsylvania Unfair Trade Practices and </w:t>
      </w:r>
      <w:r>
        <w:rPr>
          <w:sz w:val="26"/>
          <w:szCs w:val="26"/>
        </w:rPr>
        <w:t>C</w:t>
      </w:r>
      <w:r w:rsidR="00A5638E">
        <w:rPr>
          <w:sz w:val="26"/>
          <w:szCs w:val="26"/>
        </w:rPr>
        <w:t xml:space="preserve">onsumer </w:t>
      </w:r>
      <w:r>
        <w:rPr>
          <w:sz w:val="26"/>
          <w:szCs w:val="26"/>
        </w:rPr>
        <w:t>P</w:t>
      </w:r>
      <w:r w:rsidR="00A5638E">
        <w:rPr>
          <w:sz w:val="26"/>
          <w:szCs w:val="26"/>
        </w:rPr>
        <w:t xml:space="preserve">rotection </w:t>
      </w:r>
      <w:r>
        <w:rPr>
          <w:sz w:val="26"/>
          <w:szCs w:val="26"/>
        </w:rPr>
        <w:t>L</w:t>
      </w:r>
      <w:r w:rsidR="00A5638E">
        <w:rPr>
          <w:sz w:val="26"/>
          <w:szCs w:val="26"/>
        </w:rPr>
        <w:t>aw</w:t>
      </w:r>
      <w:r>
        <w:rPr>
          <w:sz w:val="26"/>
          <w:szCs w:val="26"/>
        </w:rPr>
        <w:t xml:space="preserve"> </w:t>
      </w:r>
      <w:r w:rsidR="006565D3">
        <w:rPr>
          <w:sz w:val="26"/>
          <w:szCs w:val="26"/>
        </w:rPr>
        <w:t>(CPL)</w:t>
      </w:r>
      <w:r w:rsidR="00C0218C">
        <w:rPr>
          <w:rStyle w:val="FootnoteReference"/>
          <w:sz w:val="26"/>
          <w:szCs w:val="26"/>
        </w:rPr>
        <w:footnoteReference w:id="3"/>
      </w:r>
      <w:r w:rsidR="006565D3">
        <w:rPr>
          <w:sz w:val="26"/>
          <w:szCs w:val="26"/>
        </w:rPr>
        <w:t xml:space="preserve"> </w:t>
      </w:r>
      <w:r>
        <w:rPr>
          <w:sz w:val="26"/>
          <w:szCs w:val="26"/>
        </w:rPr>
        <w:t>and T</w:t>
      </w:r>
      <w:r w:rsidR="00A5638E">
        <w:rPr>
          <w:sz w:val="26"/>
          <w:szCs w:val="26"/>
        </w:rPr>
        <w:t xml:space="preserve">elemarketer </w:t>
      </w:r>
      <w:r>
        <w:rPr>
          <w:sz w:val="26"/>
          <w:szCs w:val="26"/>
        </w:rPr>
        <w:t>R</w:t>
      </w:r>
      <w:r w:rsidR="00A5638E">
        <w:rPr>
          <w:sz w:val="26"/>
          <w:szCs w:val="26"/>
        </w:rPr>
        <w:t xml:space="preserve">egistration </w:t>
      </w:r>
      <w:r>
        <w:rPr>
          <w:sz w:val="26"/>
          <w:szCs w:val="26"/>
        </w:rPr>
        <w:t>A</w:t>
      </w:r>
      <w:r w:rsidR="00A5638E">
        <w:rPr>
          <w:sz w:val="26"/>
          <w:szCs w:val="26"/>
        </w:rPr>
        <w:t>ct</w:t>
      </w:r>
      <w:r w:rsidR="006565D3">
        <w:rPr>
          <w:sz w:val="26"/>
          <w:szCs w:val="26"/>
        </w:rPr>
        <w:t xml:space="preserve"> (TRA)</w:t>
      </w:r>
      <w:r w:rsidR="006458E6">
        <w:rPr>
          <w:rStyle w:val="FootnoteReference"/>
          <w:sz w:val="26"/>
          <w:szCs w:val="26"/>
        </w:rPr>
        <w:footnoteReference w:id="4"/>
      </w:r>
      <w:r w:rsidR="00A5638E">
        <w:rPr>
          <w:sz w:val="26"/>
          <w:szCs w:val="26"/>
        </w:rPr>
        <w:t>,</w:t>
      </w:r>
      <w:r>
        <w:rPr>
          <w:sz w:val="26"/>
          <w:szCs w:val="26"/>
        </w:rPr>
        <w:t xml:space="preserve"> assert that Respond’s claims in these documents represent benefits of its services that Respond did not provide and sponsorship that</w:t>
      </w:r>
      <w:r w:rsidR="00A5638E">
        <w:rPr>
          <w:sz w:val="26"/>
          <w:szCs w:val="26"/>
        </w:rPr>
        <w:t xml:space="preserve"> Respond</w:t>
      </w:r>
      <w:r>
        <w:rPr>
          <w:sz w:val="26"/>
          <w:szCs w:val="26"/>
        </w:rPr>
        <w:t xml:space="preserve"> does not have.  Complaint at ¶ 58.  The </w:t>
      </w:r>
      <w:r w:rsidR="00916420">
        <w:rPr>
          <w:sz w:val="26"/>
          <w:szCs w:val="26"/>
        </w:rPr>
        <w:t>J</w:t>
      </w:r>
      <w:r>
        <w:rPr>
          <w:sz w:val="26"/>
          <w:szCs w:val="26"/>
        </w:rPr>
        <w:t xml:space="preserve">oint </w:t>
      </w:r>
      <w:r w:rsidR="00916420">
        <w:rPr>
          <w:sz w:val="26"/>
          <w:szCs w:val="26"/>
        </w:rPr>
        <w:t>C</w:t>
      </w:r>
      <w:r>
        <w:rPr>
          <w:sz w:val="26"/>
          <w:szCs w:val="26"/>
        </w:rPr>
        <w:t xml:space="preserve">omplainants </w:t>
      </w:r>
      <w:r w:rsidR="007F7593">
        <w:rPr>
          <w:sz w:val="26"/>
          <w:szCs w:val="26"/>
        </w:rPr>
        <w:t xml:space="preserve">further </w:t>
      </w:r>
      <w:r>
        <w:rPr>
          <w:sz w:val="26"/>
          <w:szCs w:val="26"/>
        </w:rPr>
        <w:t xml:space="preserve">allege that the claims in the documents </w:t>
      </w:r>
      <w:r w:rsidR="006565D3">
        <w:rPr>
          <w:sz w:val="26"/>
          <w:szCs w:val="26"/>
        </w:rPr>
        <w:t>attached as</w:t>
      </w:r>
      <w:r>
        <w:rPr>
          <w:sz w:val="26"/>
          <w:szCs w:val="26"/>
        </w:rPr>
        <w:t xml:space="preserve"> Appendix A are deceptive, create a likelihood of customer confusion and misunderstanding, and are disparaging of the offers of other EGS companies.  Complaint at ¶¶ 59-60.</w:t>
      </w:r>
    </w:p>
    <w:p w:rsidR="00C021E8" w:rsidRDefault="00C021E8" w:rsidP="00C021E8">
      <w:pPr>
        <w:spacing w:line="360" w:lineRule="auto"/>
        <w:ind w:firstLine="1440"/>
        <w:rPr>
          <w:sz w:val="26"/>
          <w:szCs w:val="26"/>
        </w:rPr>
      </w:pPr>
    </w:p>
    <w:p w:rsidR="00C021E8" w:rsidRDefault="00C021E8" w:rsidP="0018116F">
      <w:pPr>
        <w:widowControl/>
        <w:spacing w:line="360" w:lineRule="auto"/>
        <w:ind w:firstLine="1440"/>
        <w:rPr>
          <w:sz w:val="26"/>
          <w:szCs w:val="26"/>
        </w:rPr>
      </w:pPr>
      <w:r>
        <w:rPr>
          <w:sz w:val="26"/>
          <w:szCs w:val="26"/>
        </w:rPr>
        <w:t xml:space="preserve">Count V of the </w:t>
      </w:r>
      <w:r w:rsidR="00664D7F">
        <w:rPr>
          <w:sz w:val="26"/>
          <w:szCs w:val="26"/>
        </w:rPr>
        <w:t>Complaint</w:t>
      </w:r>
      <w:r>
        <w:rPr>
          <w:sz w:val="26"/>
          <w:szCs w:val="26"/>
        </w:rPr>
        <w:t xml:space="preserve"> </w:t>
      </w:r>
      <w:r w:rsidR="004A6658">
        <w:rPr>
          <w:sz w:val="26"/>
          <w:szCs w:val="26"/>
        </w:rPr>
        <w:t xml:space="preserve">alleges Respond engaged in the practice of </w:t>
      </w:r>
      <w:r>
        <w:rPr>
          <w:sz w:val="26"/>
          <w:szCs w:val="26"/>
        </w:rPr>
        <w:t>“</w:t>
      </w:r>
      <w:r w:rsidR="008849CD">
        <w:rPr>
          <w:sz w:val="26"/>
          <w:szCs w:val="26"/>
        </w:rPr>
        <w:t>s</w:t>
      </w:r>
      <w:r>
        <w:rPr>
          <w:sz w:val="26"/>
          <w:szCs w:val="26"/>
        </w:rPr>
        <w:t xml:space="preserve">lamming,” </w:t>
      </w:r>
      <w:r>
        <w:rPr>
          <w:i/>
          <w:sz w:val="26"/>
          <w:szCs w:val="26"/>
        </w:rPr>
        <w:t>i.e.</w:t>
      </w:r>
      <w:r>
        <w:rPr>
          <w:sz w:val="26"/>
          <w:szCs w:val="26"/>
        </w:rPr>
        <w:t xml:space="preserve">, the switching of a customer’s electric generation supplier without the </w:t>
      </w:r>
      <w:r>
        <w:rPr>
          <w:sz w:val="26"/>
          <w:szCs w:val="26"/>
        </w:rPr>
        <w:lastRenderedPageBreak/>
        <w:t>customer’s consent.  66 Pa. C.S. § 2807(d)(1); 52 Pa. Code § 54.42(a)(9)</w:t>
      </w:r>
      <w:r w:rsidR="00D63F15">
        <w:rPr>
          <w:sz w:val="26"/>
          <w:szCs w:val="26"/>
        </w:rPr>
        <w:t>;</w:t>
      </w:r>
      <w:r>
        <w:rPr>
          <w:sz w:val="26"/>
          <w:szCs w:val="26"/>
        </w:rPr>
        <w:t xml:space="preserve"> Complaint at ¶¶ 62-66.               </w:t>
      </w:r>
    </w:p>
    <w:p w:rsidR="00C021E8" w:rsidRDefault="00C021E8" w:rsidP="00C021E8">
      <w:pPr>
        <w:spacing w:line="360" w:lineRule="auto"/>
        <w:ind w:firstLine="1440"/>
        <w:rPr>
          <w:sz w:val="26"/>
          <w:szCs w:val="26"/>
        </w:rPr>
      </w:pPr>
    </w:p>
    <w:p w:rsidR="00C021E8" w:rsidRDefault="00C021E8" w:rsidP="00C021E8">
      <w:pPr>
        <w:spacing w:line="360" w:lineRule="auto"/>
        <w:ind w:firstLine="1440"/>
        <w:rPr>
          <w:sz w:val="26"/>
          <w:szCs w:val="26"/>
        </w:rPr>
      </w:pPr>
      <w:r>
        <w:rPr>
          <w:sz w:val="26"/>
          <w:szCs w:val="26"/>
        </w:rPr>
        <w:t>Count VI – Lack of Good Faith Handling of Complaints</w:t>
      </w:r>
      <w:r w:rsidR="00A5638E">
        <w:rPr>
          <w:sz w:val="26"/>
          <w:szCs w:val="26"/>
        </w:rPr>
        <w:t xml:space="preserve">. </w:t>
      </w:r>
      <w:r>
        <w:rPr>
          <w:sz w:val="26"/>
          <w:szCs w:val="26"/>
        </w:rPr>
        <w:t xml:space="preserve"> </w:t>
      </w:r>
      <w:r w:rsidR="00733764">
        <w:rPr>
          <w:sz w:val="26"/>
          <w:szCs w:val="26"/>
        </w:rPr>
        <w:t xml:space="preserve">The </w:t>
      </w:r>
      <w:r>
        <w:rPr>
          <w:sz w:val="26"/>
          <w:szCs w:val="26"/>
        </w:rPr>
        <w:t>OAG and OCA assert that of the consumer complaints received by their departments and filed with the Commission, it was reported that when consumers tried to contact Respond about the variable rate charges on their bill, they could not get through to a representative by telephone and their e-mails to Respond went unanswered.  Complaint at ¶¶ 67-68; 70-71.</w:t>
      </w:r>
    </w:p>
    <w:p w:rsidR="006458E6" w:rsidRDefault="006458E6" w:rsidP="00C021E8">
      <w:pPr>
        <w:spacing w:line="360" w:lineRule="auto"/>
        <w:ind w:firstLine="1440"/>
        <w:rPr>
          <w:sz w:val="26"/>
          <w:szCs w:val="26"/>
        </w:rPr>
      </w:pPr>
    </w:p>
    <w:p w:rsidR="006458E6" w:rsidRPr="00AE3165" w:rsidRDefault="006458E6" w:rsidP="006458E6">
      <w:pPr>
        <w:spacing w:line="360" w:lineRule="auto"/>
        <w:ind w:firstLine="1440"/>
      </w:pPr>
      <w:r w:rsidRPr="00AE3165">
        <w:rPr>
          <w:sz w:val="26"/>
          <w:szCs w:val="26"/>
        </w:rPr>
        <w:t xml:space="preserve">At Complaint </w:t>
      </w:r>
      <w:r w:rsidRPr="00AE3165">
        <w:t xml:space="preserve"> </w:t>
      </w:r>
      <w:r w:rsidRPr="00AE3165">
        <w:rPr>
          <w:sz w:val="26"/>
          <w:szCs w:val="26"/>
        </w:rPr>
        <w:t xml:space="preserve">¶ 69, the OCA advises that </w:t>
      </w:r>
      <w:r w:rsidR="00733764">
        <w:rPr>
          <w:sz w:val="26"/>
          <w:szCs w:val="26"/>
        </w:rPr>
        <w:t>four</w:t>
      </w:r>
      <w:r w:rsidRPr="00AE3165">
        <w:rPr>
          <w:sz w:val="26"/>
          <w:szCs w:val="26"/>
        </w:rPr>
        <w:t xml:space="preserve"> of </w:t>
      </w:r>
      <w:r w:rsidR="00733764">
        <w:rPr>
          <w:sz w:val="26"/>
          <w:szCs w:val="26"/>
        </w:rPr>
        <w:t>twenty-seven</w:t>
      </w:r>
      <w:r w:rsidRPr="00AE3165">
        <w:rPr>
          <w:sz w:val="26"/>
          <w:szCs w:val="26"/>
        </w:rPr>
        <w:t xml:space="preserve"> customers who provided written correspondence reported that when they contacted Respond concerning high variable rate charges on their bill, the representative stated that a refund would only be provided if the customer entered into a one-year fixed price agreement with Respond.  If the customer had already switched suppliers, the Respond representative refused to inquire further into the complaint.     </w:t>
      </w:r>
    </w:p>
    <w:p w:rsidR="00C021E8" w:rsidRDefault="00C021E8" w:rsidP="00C021E8">
      <w:pPr>
        <w:spacing w:line="360" w:lineRule="auto"/>
        <w:ind w:firstLine="1440"/>
        <w:rPr>
          <w:sz w:val="26"/>
          <w:szCs w:val="26"/>
        </w:rPr>
      </w:pPr>
    </w:p>
    <w:p w:rsidR="00C021E8" w:rsidRDefault="00C021E8" w:rsidP="00C021E8">
      <w:pPr>
        <w:spacing w:line="360" w:lineRule="auto"/>
        <w:ind w:firstLine="1440"/>
        <w:rPr>
          <w:sz w:val="26"/>
          <w:szCs w:val="26"/>
        </w:rPr>
      </w:pPr>
      <w:r>
        <w:rPr>
          <w:sz w:val="26"/>
          <w:szCs w:val="26"/>
        </w:rPr>
        <w:t xml:space="preserve">Based on the foregoing, the </w:t>
      </w:r>
      <w:r w:rsidR="005001EE">
        <w:rPr>
          <w:sz w:val="26"/>
          <w:szCs w:val="26"/>
        </w:rPr>
        <w:t>J</w:t>
      </w:r>
      <w:r>
        <w:rPr>
          <w:sz w:val="26"/>
          <w:szCs w:val="26"/>
        </w:rPr>
        <w:t xml:space="preserve">oint </w:t>
      </w:r>
      <w:r w:rsidR="005001EE">
        <w:rPr>
          <w:sz w:val="26"/>
          <w:szCs w:val="26"/>
        </w:rPr>
        <w:t>C</w:t>
      </w:r>
      <w:r>
        <w:rPr>
          <w:sz w:val="26"/>
          <w:szCs w:val="26"/>
        </w:rPr>
        <w:t>omplainants allege that Respond has violated pertinent Commission Regulations by failing to adequately staff its call center, failing to provide reasonable access to Company representatives for the purpose of submitting complaints, failing to properly investigate customer disputes, failing to properly notify customers of the results of the Company’s investigation of a dispute when such investigation was conducted, and failing to use good faith, honesty, and fair dealings with its customers.  Complaint at ¶ 74.</w:t>
      </w:r>
    </w:p>
    <w:p w:rsidR="00C021E8" w:rsidRDefault="00C021E8" w:rsidP="00C021E8">
      <w:pPr>
        <w:spacing w:line="360" w:lineRule="auto"/>
        <w:ind w:firstLine="1440"/>
        <w:rPr>
          <w:sz w:val="26"/>
          <w:szCs w:val="26"/>
        </w:rPr>
      </w:pPr>
    </w:p>
    <w:p w:rsidR="00C021E8" w:rsidRDefault="00C021E8" w:rsidP="00C021E8">
      <w:pPr>
        <w:spacing w:line="360" w:lineRule="auto"/>
        <w:ind w:firstLine="1440"/>
        <w:rPr>
          <w:sz w:val="26"/>
          <w:szCs w:val="26"/>
        </w:rPr>
      </w:pPr>
      <w:r>
        <w:rPr>
          <w:sz w:val="26"/>
          <w:szCs w:val="26"/>
        </w:rPr>
        <w:t>Count VII – Failing to Provide Accurate Pricing Information</w:t>
      </w:r>
      <w:r w:rsidR="00A5638E">
        <w:rPr>
          <w:sz w:val="26"/>
          <w:szCs w:val="26"/>
        </w:rPr>
        <w:t xml:space="preserve">. </w:t>
      </w:r>
      <w:r>
        <w:rPr>
          <w:sz w:val="26"/>
          <w:szCs w:val="26"/>
        </w:rPr>
        <w:t xml:space="preserve"> </w:t>
      </w:r>
      <w:r w:rsidR="00A62020">
        <w:rPr>
          <w:sz w:val="26"/>
          <w:szCs w:val="26"/>
        </w:rPr>
        <w:t xml:space="preserve">The </w:t>
      </w:r>
      <w:r>
        <w:rPr>
          <w:sz w:val="26"/>
          <w:szCs w:val="26"/>
        </w:rPr>
        <w:t xml:space="preserve">OAG and OCA attach a copy of Respond’s Disclosure Statement as Appendix B to the </w:t>
      </w:r>
      <w:r w:rsidR="00A5638E">
        <w:rPr>
          <w:sz w:val="26"/>
          <w:szCs w:val="26"/>
        </w:rPr>
        <w:t>C</w:t>
      </w:r>
      <w:r>
        <w:rPr>
          <w:sz w:val="26"/>
          <w:szCs w:val="26"/>
        </w:rPr>
        <w:t xml:space="preserve">omplaint.  The </w:t>
      </w:r>
      <w:r w:rsidR="000330C6">
        <w:rPr>
          <w:sz w:val="26"/>
          <w:szCs w:val="26"/>
        </w:rPr>
        <w:t>J</w:t>
      </w:r>
      <w:r>
        <w:rPr>
          <w:sz w:val="26"/>
          <w:szCs w:val="26"/>
        </w:rPr>
        <w:t xml:space="preserve">oint </w:t>
      </w:r>
      <w:r w:rsidR="000330C6">
        <w:rPr>
          <w:sz w:val="26"/>
          <w:szCs w:val="26"/>
        </w:rPr>
        <w:t>C</w:t>
      </w:r>
      <w:r>
        <w:rPr>
          <w:sz w:val="26"/>
          <w:szCs w:val="26"/>
        </w:rPr>
        <w:t>omplain</w:t>
      </w:r>
      <w:r w:rsidR="00A50920">
        <w:rPr>
          <w:sz w:val="26"/>
          <w:szCs w:val="26"/>
        </w:rPr>
        <w:t>an</w:t>
      </w:r>
      <w:r>
        <w:rPr>
          <w:sz w:val="26"/>
          <w:szCs w:val="26"/>
        </w:rPr>
        <w:t xml:space="preserve">ts reprint an excerpt from the Disclosure Statement regarding “Electric Variable Rate.”  </w:t>
      </w:r>
      <w:r w:rsidR="00D63F15">
        <w:rPr>
          <w:sz w:val="26"/>
          <w:szCs w:val="26"/>
        </w:rPr>
        <w:t xml:space="preserve">The </w:t>
      </w:r>
      <w:r>
        <w:rPr>
          <w:sz w:val="26"/>
          <w:szCs w:val="26"/>
        </w:rPr>
        <w:t xml:space="preserve">OAG and OCA allege that the terms of Respond’s Disclosure Statement fail to adequately state the conditions of variability and </w:t>
      </w:r>
      <w:r>
        <w:rPr>
          <w:sz w:val="26"/>
          <w:szCs w:val="26"/>
        </w:rPr>
        <w:lastRenderedPageBreak/>
        <w:t>the limits on price variability</w:t>
      </w:r>
      <w:r w:rsidR="00A5638E">
        <w:rPr>
          <w:sz w:val="26"/>
          <w:szCs w:val="26"/>
        </w:rPr>
        <w:t>,</w:t>
      </w:r>
      <w:r>
        <w:rPr>
          <w:sz w:val="26"/>
          <w:szCs w:val="26"/>
        </w:rPr>
        <w:t xml:space="preserve"> in violation of the Commission’s Regulations.  </w:t>
      </w:r>
      <w:r>
        <w:rPr>
          <w:i/>
          <w:sz w:val="26"/>
          <w:szCs w:val="26"/>
        </w:rPr>
        <w:t xml:space="preserve">See </w:t>
      </w:r>
      <w:r>
        <w:rPr>
          <w:sz w:val="26"/>
          <w:szCs w:val="26"/>
        </w:rPr>
        <w:t xml:space="preserve">52 Pa. Code § 54.59(c); Complaint at ¶ 78.  It is also alleged that the terms in the Disclosure Statement violate Commission Regulations and orders by failing to provide pricing information in plain language and in terms that consumers understand.  Complaint at </w:t>
      </w:r>
      <w:r w:rsidR="00664D7F">
        <w:rPr>
          <w:sz w:val="26"/>
          <w:szCs w:val="26"/>
        </w:rPr>
        <w:br/>
      </w:r>
      <w:r>
        <w:rPr>
          <w:sz w:val="26"/>
          <w:szCs w:val="26"/>
        </w:rPr>
        <w:t xml:space="preserve">¶ 83.  </w:t>
      </w:r>
    </w:p>
    <w:p w:rsidR="00502B2C" w:rsidRDefault="00502B2C" w:rsidP="00C021E8">
      <w:pPr>
        <w:spacing w:line="360" w:lineRule="auto"/>
        <w:ind w:firstLine="1440"/>
        <w:rPr>
          <w:sz w:val="26"/>
          <w:szCs w:val="26"/>
        </w:rPr>
      </w:pPr>
    </w:p>
    <w:p w:rsidR="00502B2C" w:rsidRDefault="00502B2C" w:rsidP="00C021E8">
      <w:pPr>
        <w:spacing w:line="360" w:lineRule="auto"/>
        <w:ind w:firstLine="1440"/>
        <w:rPr>
          <w:sz w:val="26"/>
          <w:szCs w:val="26"/>
        </w:rPr>
      </w:pPr>
      <w:r>
        <w:rPr>
          <w:sz w:val="26"/>
          <w:szCs w:val="26"/>
        </w:rPr>
        <w:t>Count VIII</w:t>
      </w:r>
      <w:r w:rsidR="00A5638E">
        <w:rPr>
          <w:sz w:val="26"/>
          <w:szCs w:val="26"/>
        </w:rPr>
        <w:t xml:space="preserve"> </w:t>
      </w:r>
      <w:r w:rsidR="00D63F15">
        <w:rPr>
          <w:sz w:val="26"/>
          <w:szCs w:val="26"/>
        </w:rPr>
        <w:t xml:space="preserve">– </w:t>
      </w:r>
      <w:r>
        <w:rPr>
          <w:sz w:val="26"/>
          <w:szCs w:val="26"/>
        </w:rPr>
        <w:t xml:space="preserve">Prices Not Conforming to Disclosure Statement.  In this count, </w:t>
      </w:r>
      <w:r w:rsidR="00D63F15">
        <w:rPr>
          <w:sz w:val="26"/>
          <w:szCs w:val="26"/>
        </w:rPr>
        <w:t xml:space="preserve">the </w:t>
      </w:r>
      <w:r>
        <w:rPr>
          <w:sz w:val="26"/>
          <w:szCs w:val="26"/>
        </w:rPr>
        <w:t xml:space="preserve">OAG and OCA refer to the Affidavit of </w:t>
      </w:r>
      <w:r w:rsidR="002C7EFF">
        <w:rPr>
          <w:sz w:val="26"/>
          <w:szCs w:val="26"/>
        </w:rPr>
        <w:t xml:space="preserve">Dr. </w:t>
      </w:r>
      <w:r>
        <w:rPr>
          <w:sz w:val="26"/>
          <w:szCs w:val="26"/>
        </w:rPr>
        <w:t xml:space="preserve">Steven L. Estomin, </w:t>
      </w:r>
      <w:r w:rsidR="00A5638E">
        <w:rPr>
          <w:sz w:val="26"/>
          <w:szCs w:val="26"/>
        </w:rPr>
        <w:t xml:space="preserve">attached as </w:t>
      </w:r>
      <w:r>
        <w:rPr>
          <w:sz w:val="26"/>
          <w:szCs w:val="26"/>
        </w:rPr>
        <w:t>Appendix C to the Complaint, to argue that the prices charged by Respond to its variable rate customers did not conform to the variable rate pricing provisions of its Disclosure Statement.</w:t>
      </w:r>
    </w:p>
    <w:p w:rsidR="00502B2C" w:rsidRDefault="00502B2C" w:rsidP="00C021E8">
      <w:pPr>
        <w:spacing w:line="360" w:lineRule="auto"/>
        <w:ind w:firstLine="1440"/>
        <w:rPr>
          <w:sz w:val="26"/>
          <w:szCs w:val="26"/>
        </w:rPr>
      </w:pPr>
    </w:p>
    <w:p w:rsidR="00A634E8" w:rsidRDefault="00A5638E" w:rsidP="00C021E8">
      <w:pPr>
        <w:spacing w:line="360" w:lineRule="auto"/>
        <w:ind w:firstLine="1440"/>
        <w:rPr>
          <w:sz w:val="26"/>
          <w:szCs w:val="26"/>
        </w:rPr>
      </w:pPr>
      <w:r>
        <w:rPr>
          <w:sz w:val="26"/>
          <w:szCs w:val="26"/>
        </w:rPr>
        <w:t xml:space="preserve">In </w:t>
      </w:r>
      <w:r w:rsidR="00502B2C">
        <w:rPr>
          <w:sz w:val="26"/>
          <w:szCs w:val="26"/>
        </w:rPr>
        <w:t xml:space="preserve">Count IX </w:t>
      </w:r>
      <w:r w:rsidR="00A634E8">
        <w:rPr>
          <w:sz w:val="26"/>
          <w:szCs w:val="26"/>
        </w:rPr>
        <w:t>–</w:t>
      </w:r>
      <w:r w:rsidR="00502B2C">
        <w:rPr>
          <w:sz w:val="26"/>
          <w:szCs w:val="26"/>
        </w:rPr>
        <w:t xml:space="preserve"> </w:t>
      </w:r>
      <w:r w:rsidR="00A634E8">
        <w:rPr>
          <w:sz w:val="26"/>
          <w:szCs w:val="26"/>
        </w:rPr>
        <w:t>Failure to Comply With the Telemarketer Registration Act</w:t>
      </w:r>
      <w:r w:rsidR="00464A26">
        <w:rPr>
          <w:sz w:val="26"/>
          <w:szCs w:val="26"/>
        </w:rPr>
        <w:t xml:space="preserve">, the </w:t>
      </w:r>
      <w:r w:rsidR="00A634E8">
        <w:rPr>
          <w:sz w:val="26"/>
          <w:szCs w:val="26"/>
        </w:rPr>
        <w:t>OAG and OCA allege that Respond, through its sales agents/representatives, violated the TRA</w:t>
      </w:r>
      <w:r w:rsidR="00464A26">
        <w:rPr>
          <w:sz w:val="26"/>
          <w:szCs w:val="26"/>
        </w:rPr>
        <w:t>,</w:t>
      </w:r>
      <w:r w:rsidR="00A634E8">
        <w:rPr>
          <w:sz w:val="26"/>
          <w:szCs w:val="26"/>
        </w:rPr>
        <w:t xml:space="preserve"> which, </w:t>
      </w:r>
      <w:r w:rsidR="00A634E8">
        <w:rPr>
          <w:i/>
          <w:sz w:val="26"/>
          <w:szCs w:val="26"/>
        </w:rPr>
        <w:t>inter alia</w:t>
      </w:r>
      <w:r w:rsidR="00A634E8">
        <w:rPr>
          <w:sz w:val="26"/>
          <w:szCs w:val="26"/>
        </w:rPr>
        <w:t xml:space="preserve">, requires a company to reduce any sales of goods or services made pursuant to a telemarketing call/solicitation, to a written contract with the customer’s signature on the contract.  Complaint at ¶ 94.  </w:t>
      </w:r>
      <w:r w:rsidR="00464A26">
        <w:rPr>
          <w:sz w:val="26"/>
          <w:szCs w:val="26"/>
        </w:rPr>
        <w:t>According to the Joint Complainants, t</w:t>
      </w:r>
      <w:r w:rsidR="00A634E8">
        <w:rPr>
          <w:sz w:val="26"/>
          <w:szCs w:val="26"/>
        </w:rPr>
        <w:t>he Commission’s Regulations at 52 Pa. C</w:t>
      </w:r>
      <w:r w:rsidR="00464A26">
        <w:rPr>
          <w:sz w:val="26"/>
          <w:szCs w:val="26"/>
        </w:rPr>
        <w:t>ode</w:t>
      </w:r>
      <w:r w:rsidR="00A634E8">
        <w:rPr>
          <w:sz w:val="26"/>
          <w:szCs w:val="26"/>
        </w:rPr>
        <w:t xml:space="preserve"> §§ 54.43(f) and 111.12(d)(1), require EGS compliance with the TRA.  Complaint at ¶ 98.</w:t>
      </w:r>
    </w:p>
    <w:p w:rsidR="00A634E8" w:rsidRDefault="00A634E8" w:rsidP="00C021E8">
      <w:pPr>
        <w:spacing w:line="360" w:lineRule="auto"/>
        <w:ind w:firstLine="1440"/>
        <w:rPr>
          <w:sz w:val="26"/>
          <w:szCs w:val="26"/>
        </w:rPr>
      </w:pPr>
    </w:p>
    <w:p w:rsidR="00A50920" w:rsidRDefault="00A634E8" w:rsidP="00C021E8">
      <w:pPr>
        <w:spacing w:line="360" w:lineRule="auto"/>
        <w:ind w:firstLine="1440"/>
        <w:rPr>
          <w:sz w:val="26"/>
          <w:szCs w:val="26"/>
        </w:rPr>
      </w:pPr>
      <w:r>
        <w:rPr>
          <w:sz w:val="26"/>
          <w:szCs w:val="26"/>
        </w:rPr>
        <w:t xml:space="preserve">Based on the foregoing allegations, </w:t>
      </w:r>
      <w:r w:rsidR="007F7593">
        <w:rPr>
          <w:sz w:val="26"/>
          <w:szCs w:val="26"/>
        </w:rPr>
        <w:t xml:space="preserve">and for relief, </w:t>
      </w:r>
      <w:r w:rsidR="00464A26">
        <w:rPr>
          <w:sz w:val="26"/>
          <w:szCs w:val="26"/>
        </w:rPr>
        <w:t xml:space="preserve">the </w:t>
      </w:r>
      <w:r>
        <w:rPr>
          <w:sz w:val="26"/>
          <w:szCs w:val="26"/>
        </w:rPr>
        <w:t xml:space="preserve">OAG and OCA request </w:t>
      </w:r>
      <w:r w:rsidR="00371238">
        <w:rPr>
          <w:sz w:val="26"/>
          <w:szCs w:val="26"/>
        </w:rPr>
        <w:t xml:space="preserve">that the Commission direct </w:t>
      </w:r>
      <w:r>
        <w:rPr>
          <w:sz w:val="26"/>
          <w:szCs w:val="26"/>
        </w:rPr>
        <w:t xml:space="preserve">the consolidation of </w:t>
      </w:r>
      <w:r w:rsidR="00371238">
        <w:rPr>
          <w:sz w:val="26"/>
          <w:szCs w:val="26"/>
        </w:rPr>
        <w:t xml:space="preserve">all similar </w:t>
      </w:r>
      <w:r>
        <w:rPr>
          <w:sz w:val="26"/>
          <w:szCs w:val="26"/>
        </w:rPr>
        <w:t>formal complaints against Respond</w:t>
      </w:r>
      <w:r w:rsidR="00371238">
        <w:rPr>
          <w:sz w:val="26"/>
          <w:szCs w:val="26"/>
        </w:rPr>
        <w:t xml:space="preserve"> with </w:t>
      </w:r>
      <w:r w:rsidR="00A5638E">
        <w:rPr>
          <w:sz w:val="26"/>
          <w:szCs w:val="26"/>
        </w:rPr>
        <w:t>their</w:t>
      </w:r>
      <w:r w:rsidR="00371238">
        <w:rPr>
          <w:sz w:val="26"/>
          <w:szCs w:val="26"/>
        </w:rPr>
        <w:t xml:space="preserve"> </w:t>
      </w:r>
      <w:r w:rsidR="00A5638E">
        <w:rPr>
          <w:sz w:val="26"/>
          <w:szCs w:val="26"/>
        </w:rPr>
        <w:t>C</w:t>
      </w:r>
      <w:r w:rsidR="00371238">
        <w:rPr>
          <w:sz w:val="26"/>
          <w:szCs w:val="26"/>
        </w:rPr>
        <w:t>omplaint</w:t>
      </w:r>
      <w:r>
        <w:rPr>
          <w:sz w:val="26"/>
          <w:szCs w:val="26"/>
        </w:rPr>
        <w:t xml:space="preserve">, find that Respond has violated the TRA and Commission Regulations, </w:t>
      </w:r>
      <w:r w:rsidR="00371238">
        <w:rPr>
          <w:sz w:val="26"/>
          <w:szCs w:val="26"/>
        </w:rPr>
        <w:t xml:space="preserve">revoke Respond’s EGS license, </w:t>
      </w:r>
      <w:r w:rsidR="007F7593">
        <w:rPr>
          <w:sz w:val="26"/>
          <w:szCs w:val="26"/>
        </w:rPr>
        <w:t xml:space="preserve">and </w:t>
      </w:r>
      <w:r w:rsidR="00371238">
        <w:rPr>
          <w:sz w:val="26"/>
          <w:szCs w:val="26"/>
        </w:rPr>
        <w:t>impose a civil penalty upon the Company</w:t>
      </w:r>
      <w:r w:rsidR="007F7593">
        <w:rPr>
          <w:sz w:val="26"/>
          <w:szCs w:val="26"/>
        </w:rPr>
        <w:t xml:space="preserve">.  </w:t>
      </w:r>
      <w:r w:rsidR="00A50920">
        <w:rPr>
          <w:sz w:val="26"/>
          <w:szCs w:val="26"/>
        </w:rPr>
        <w:br/>
      </w:r>
    </w:p>
    <w:p w:rsidR="00502B2C" w:rsidRDefault="00A50920" w:rsidP="00C021E8">
      <w:pPr>
        <w:spacing w:line="360" w:lineRule="auto"/>
        <w:ind w:firstLine="1440"/>
        <w:rPr>
          <w:sz w:val="26"/>
          <w:szCs w:val="26"/>
        </w:rPr>
      </w:pPr>
      <w:r>
        <w:rPr>
          <w:sz w:val="26"/>
          <w:szCs w:val="26"/>
        </w:rPr>
        <w:t xml:space="preserve">Also, for relief, </w:t>
      </w:r>
      <w:r w:rsidR="000E5A3F">
        <w:rPr>
          <w:sz w:val="26"/>
          <w:szCs w:val="26"/>
        </w:rPr>
        <w:t xml:space="preserve">the </w:t>
      </w:r>
      <w:r w:rsidR="007F7593">
        <w:rPr>
          <w:sz w:val="26"/>
          <w:szCs w:val="26"/>
        </w:rPr>
        <w:t>OAG and OCA request that the Commission</w:t>
      </w:r>
      <w:r w:rsidR="00371238">
        <w:rPr>
          <w:sz w:val="26"/>
          <w:szCs w:val="26"/>
        </w:rPr>
        <w:t xml:space="preserve"> direct the issuance of restitution to customers, including, without limitation, a refund of charges to customers </w:t>
      </w:r>
      <w:r>
        <w:rPr>
          <w:sz w:val="26"/>
          <w:szCs w:val="26"/>
        </w:rPr>
        <w:t xml:space="preserve">which charges </w:t>
      </w:r>
      <w:r w:rsidR="00371238">
        <w:rPr>
          <w:sz w:val="26"/>
          <w:szCs w:val="26"/>
        </w:rPr>
        <w:t xml:space="preserve">were over the PTC, and the imposition of mandatory injunctive </w:t>
      </w:r>
      <w:r w:rsidR="00371238">
        <w:rPr>
          <w:sz w:val="26"/>
          <w:szCs w:val="26"/>
        </w:rPr>
        <w:lastRenderedPageBreak/>
        <w:t xml:space="preserve">relief in the nature of prohibitions </w:t>
      </w:r>
      <w:r w:rsidR="007F7593">
        <w:rPr>
          <w:sz w:val="26"/>
          <w:szCs w:val="26"/>
        </w:rPr>
        <w:t xml:space="preserve">against Respond and its representatives, agents and/or employees, </w:t>
      </w:r>
      <w:r w:rsidR="00371238">
        <w:rPr>
          <w:sz w:val="26"/>
          <w:szCs w:val="26"/>
        </w:rPr>
        <w:t xml:space="preserve">from insinuating any association with an EDC, </w:t>
      </w:r>
      <w:r w:rsidR="007F7593">
        <w:rPr>
          <w:sz w:val="26"/>
          <w:szCs w:val="26"/>
        </w:rPr>
        <w:t xml:space="preserve">or </w:t>
      </w:r>
      <w:r w:rsidR="00371238">
        <w:rPr>
          <w:sz w:val="26"/>
          <w:szCs w:val="26"/>
        </w:rPr>
        <w:t>making price “guarantees” or engag</w:t>
      </w:r>
      <w:r w:rsidR="007F7593">
        <w:rPr>
          <w:sz w:val="26"/>
          <w:szCs w:val="26"/>
        </w:rPr>
        <w:t>ing</w:t>
      </w:r>
      <w:r w:rsidR="00371238">
        <w:rPr>
          <w:sz w:val="26"/>
          <w:szCs w:val="26"/>
        </w:rPr>
        <w:t xml:space="preserve"> in unauthorized switching.  </w:t>
      </w:r>
      <w:r w:rsidR="00371238">
        <w:rPr>
          <w:i/>
          <w:sz w:val="26"/>
          <w:szCs w:val="26"/>
        </w:rPr>
        <w:t xml:space="preserve">See </w:t>
      </w:r>
      <w:r w:rsidR="00371238">
        <w:rPr>
          <w:sz w:val="26"/>
          <w:szCs w:val="26"/>
        </w:rPr>
        <w:t xml:space="preserve">Complaint at 21-22.  </w:t>
      </w:r>
      <w:r w:rsidR="000E5A3F">
        <w:rPr>
          <w:sz w:val="26"/>
          <w:szCs w:val="26"/>
        </w:rPr>
        <w:t xml:space="preserve">The </w:t>
      </w:r>
      <w:r w:rsidR="00371238">
        <w:rPr>
          <w:sz w:val="26"/>
          <w:szCs w:val="26"/>
        </w:rPr>
        <w:t xml:space="preserve">OAG and OCA </w:t>
      </w:r>
      <w:r w:rsidR="007F7593">
        <w:rPr>
          <w:sz w:val="26"/>
          <w:szCs w:val="26"/>
        </w:rPr>
        <w:t>additionally</w:t>
      </w:r>
      <w:r w:rsidR="00371238">
        <w:rPr>
          <w:sz w:val="26"/>
          <w:szCs w:val="26"/>
        </w:rPr>
        <w:t xml:space="preserve"> request a directive that Respond implement proper customer dispute procedures and discontinue all marketing activities that violate the TRA and Commission Regulations.  </w:t>
      </w:r>
      <w:r w:rsidR="00371238">
        <w:rPr>
          <w:i/>
          <w:sz w:val="26"/>
          <w:szCs w:val="26"/>
        </w:rPr>
        <w:t>Id</w:t>
      </w:r>
      <w:r w:rsidR="00371238">
        <w:rPr>
          <w:sz w:val="26"/>
          <w:szCs w:val="26"/>
        </w:rPr>
        <w:t xml:space="preserve">. </w:t>
      </w:r>
      <w:r w:rsidR="00A634E8">
        <w:rPr>
          <w:sz w:val="26"/>
          <w:szCs w:val="26"/>
        </w:rPr>
        <w:t xml:space="preserve">            </w:t>
      </w:r>
      <w:r w:rsidR="00502B2C">
        <w:rPr>
          <w:sz w:val="26"/>
          <w:szCs w:val="26"/>
        </w:rPr>
        <w:t xml:space="preserve">  </w:t>
      </w:r>
    </w:p>
    <w:p w:rsidR="007F7593" w:rsidRDefault="007F7593" w:rsidP="00AD582C">
      <w:pPr>
        <w:spacing w:line="360" w:lineRule="auto"/>
        <w:rPr>
          <w:sz w:val="26"/>
          <w:szCs w:val="26"/>
        </w:rPr>
      </w:pPr>
    </w:p>
    <w:p w:rsidR="00C021E8" w:rsidRPr="00AD582C" w:rsidRDefault="00AD582C" w:rsidP="00B34F2B">
      <w:pPr>
        <w:spacing w:line="360" w:lineRule="auto"/>
        <w:ind w:firstLine="1440"/>
        <w:rPr>
          <w:b/>
          <w:sz w:val="26"/>
          <w:szCs w:val="26"/>
        </w:rPr>
      </w:pPr>
      <w:r>
        <w:rPr>
          <w:b/>
          <w:sz w:val="26"/>
          <w:szCs w:val="26"/>
        </w:rPr>
        <w:t xml:space="preserve">I&amp;E Formal Complaint at Docket No. </w:t>
      </w:r>
      <w:r w:rsidRPr="00AD582C">
        <w:rPr>
          <w:b/>
          <w:bCs/>
          <w:color w:val="000000"/>
          <w:sz w:val="26"/>
          <w:szCs w:val="26"/>
        </w:rPr>
        <w:t>C-2014-2438640</w:t>
      </w:r>
    </w:p>
    <w:p w:rsidR="00AB6D55" w:rsidRPr="00484AD9" w:rsidRDefault="00AB6D55" w:rsidP="00484AD9">
      <w:pPr>
        <w:spacing w:line="360" w:lineRule="auto"/>
        <w:rPr>
          <w:b/>
          <w:color w:val="000000"/>
          <w:sz w:val="26"/>
        </w:rPr>
      </w:pPr>
    </w:p>
    <w:p w:rsidR="004A6658" w:rsidRDefault="004A6658" w:rsidP="00735BA2">
      <w:pPr>
        <w:adjustRightInd w:val="0"/>
        <w:spacing w:line="360" w:lineRule="auto"/>
        <w:ind w:firstLine="1440"/>
        <w:rPr>
          <w:bCs/>
          <w:sz w:val="26"/>
          <w:szCs w:val="26"/>
        </w:rPr>
      </w:pPr>
      <w:r>
        <w:rPr>
          <w:sz w:val="26"/>
        </w:rPr>
        <w:t>By way of further background, o</w:t>
      </w:r>
      <w:r w:rsidR="00F50C3B" w:rsidRPr="00735BA2">
        <w:rPr>
          <w:sz w:val="26"/>
        </w:rPr>
        <w:t>n August 21, 2014,</w:t>
      </w:r>
      <w:r w:rsidR="00C16B03" w:rsidRPr="00735BA2">
        <w:rPr>
          <w:sz w:val="26"/>
        </w:rPr>
        <w:t xml:space="preserve"> I</w:t>
      </w:r>
      <w:r w:rsidR="00F50C3B" w:rsidRPr="00735BA2">
        <w:rPr>
          <w:sz w:val="26"/>
        </w:rPr>
        <w:t>&amp;E filed</w:t>
      </w:r>
      <w:r w:rsidR="00F50C3B" w:rsidRPr="00735BA2">
        <w:rPr>
          <w:sz w:val="26"/>
          <w:szCs w:val="26"/>
        </w:rPr>
        <w:t xml:space="preserve"> a </w:t>
      </w:r>
      <w:r w:rsidR="0060539D" w:rsidRPr="00735BA2">
        <w:rPr>
          <w:bCs/>
          <w:sz w:val="26"/>
          <w:szCs w:val="26"/>
        </w:rPr>
        <w:t xml:space="preserve">formal </w:t>
      </w:r>
      <w:r w:rsidR="00C16B03" w:rsidRPr="00735BA2">
        <w:rPr>
          <w:bCs/>
          <w:sz w:val="26"/>
          <w:szCs w:val="26"/>
        </w:rPr>
        <w:t>c</w:t>
      </w:r>
      <w:r w:rsidR="0060539D" w:rsidRPr="00735BA2">
        <w:rPr>
          <w:bCs/>
          <w:sz w:val="26"/>
          <w:szCs w:val="26"/>
        </w:rPr>
        <w:t>omplaint against Respond</w:t>
      </w:r>
      <w:r w:rsidR="00063213">
        <w:rPr>
          <w:bCs/>
          <w:sz w:val="26"/>
          <w:szCs w:val="26"/>
        </w:rPr>
        <w:t xml:space="preserve"> (I&amp;E Complaint)</w:t>
      </w:r>
      <w:r>
        <w:rPr>
          <w:bCs/>
          <w:sz w:val="26"/>
          <w:szCs w:val="26"/>
        </w:rPr>
        <w:t xml:space="preserve">.  The </w:t>
      </w:r>
      <w:r w:rsidR="00AE1372">
        <w:rPr>
          <w:bCs/>
          <w:sz w:val="26"/>
          <w:szCs w:val="26"/>
        </w:rPr>
        <w:t>I&amp;E C</w:t>
      </w:r>
      <w:r>
        <w:rPr>
          <w:bCs/>
          <w:sz w:val="26"/>
          <w:szCs w:val="26"/>
        </w:rPr>
        <w:t>omplaint</w:t>
      </w:r>
      <w:r w:rsidR="0060539D" w:rsidRPr="00735BA2">
        <w:rPr>
          <w:bCs/>
          <w:sz w:val="26"/>
          <w:szCs w:val="26"/>
        </w:rPr>
        <w:t xml:space="preserve"> contain</w:t>
      </w:r>
      <w:r>
        <w:rPr>
          <w:bCs/>
          <w:sz w:val="26"/>
          <w:szCs w:val="26"/>
        </w:rPr>
        <w:t>ed</w:t>
      </w:r>
      <w:r w:rsidR="0060539D" w:rsidRPr="00735BA2">
        <w:rPr>
          <w:bCs/>
          <w:sz w:val="26"/>
          <w:szCs w:val="26"/>
        </w:rPr>
        <w:t xml:space="preserve"> 639 counts</w:t>
      </w:r>
      <w:r w:rsidR="00735BA2" w:rsidRPr="00735BA2">
        <w:rPr>
          <w:bCs/>
          <w:sz w:val="26"/>
          <w:szCs w:val="26"/>
        </w:rPr>
        <w:t xml:space="preserve">.  </w:t>
      </w:r>
      <w:r w:rsidR="00735BA2" w:rsidRPr="00735BA2">
        <w:rPr>
          <w:bCs/>
          <w:i/>
          <w:sz w:val="26"/>
          <w:szCs w:val="26"/>
        </w:rPr>
        <w:t xml:space="preserve">See </w:t>
      </w:r>
      <w:r w:rsidR="00AE1372">
        <w:rPr>
          <w:bCs/>
          <w:i/>
          <w:color w:val="000000"/>
          <w:sz w:val="26"/>
          <w:szCs w:val="26"/>
        </w:rPr>
        <w:t xml:space="preserve">Bureau of Investigation and Enforcement v. Respond Power LLC, </w:t>
      </w:r>
      <w:r w:rsidR="00735BA2" w:rsidRPr="00735BA2">
        <w:rPr>
          <w:bCs/>
          <w:sz w:val="26"/>
          <w:szCs w:val="26"/>
        </w:rPr>
        <w:t xml:space="preserve">Docket No. </w:t>
      </w:r>
      <w:r w:rsidR="00AE1372">
        <w:rPr>
          <w:bCs/>
          <w:sz w:val="26"/>
          <w:szCs w:val="26"/>
        </w:rPr>
        <w:br/>
      </w:r>
      <w:r w:rsidR="00735BA2" w:rsidRPr="00735BA2">
        <w:rPr>
          <w:bCs/>
          <w:sz w:val="26"/>
          <w:szCs w:val="26"/>
        </w:rPr>
        <w:t xml:space="preserve">C-2014-2438640.  </w:t>
      </w:r>
    </w:p>
    <w:p w:rsidR="004A6658" w:rsidRDefault="004A6658" w:rsidP="00735BA2">
      <w:pPr>
        <w:adjustRightInd w:val="0"/>
        <w:spacing w:line="360" w:lineRule="auto"/>
        <w:ind w:firstLine="1440"/>
        <w:rPr>
          <w:bCs/>
          <w:sz w:val="26"/>
          <w:szCs w:val="26"/>
        </w:rPr>
      </w:pPr>
    </w:p>
    <w:p w:rsidR="0060539D" w:rsidRPr="00735BA2" w:rsidRDefault="00735BA2" w:rsidP="00735BA2">
      <w:pPr>
        <w:adjustRightInd w:val="0"/>
        <w:spacing w:line="360" w:lineRule="auto"/>
        <w:ind w:firstLine="1440"/>
        <w:rPr>
          <w:bCs/>
          <w:color w:val="000000"/>
        </w:rPr>
      </w:pPr>
      <w:r>
        <w:rPr>
          <w:bCs/>
          <w:sz w:val="26"/>
          <w:szCs w:val="26"/>
        </w:rPr>
        <w:t xml:space="preserve">The </w:t>
      </w:r>
      <w:r w:rsidR="004A6658">
        <w:rPr>
          <w:bCs/>
          <w:sz w:val="26"/>
          <w:szCs w:val="26"/>
        </w:rPr>
        <w:t xml:space="preserve">I&amp;E </w:t>
      </w:r>
      <w:r>
        <w:rPr>
          <w:bCs/>
          <w:sz w:val="26"/>
          <w:szCs w:val="26"/>
        </w:rPr>
        <w:t xml:space="preserve">counts </w:t>
      </w:r>
      <w:r w:rsidR="0060539D" w:rsidRPr="00735BA2">
        <w:rPr>
          <w:bCs/>
          <w:sz w:val="26"/>
          <w:szCs w:val="26"/>
        </w:rPr>
        <w:t>include</w:t>
      </w:r>
      <w:r>
        <w:rPr>
          <w:bCs/>
          <w:sz w:val="26"/>
          <w:szCs w:val="26"/>
        </w:rPr>
        <w:t xml:space="preserve">, </w:t>
      </w:r>
      <w:r>
        <w:rPr>
          <w:bCs/>
          <w:i/>
          <w:sz w:val="26"/>
          <w:szCs w:val="26"/>
        </w:rPr>
        <w:t>inter alia</w:t>
      </w:r>
      <w:r>
        <w:rPr>
          <w:bCs/>
          <w:sz w:val="26"/>
          <w:szCs w:val="26"/>
        </w:rPr>
        <w:t>,</w:t>
      </w:r>
      <w:r w:rsidR="0060539D" w:rsidRPr="00735BA2">
        <w:rPr>
          <w:bCs/>
          <w:sz w:val="26"/>
          <w:szCs w:val="26"/>
        </w:rPr>
        <w:t xml:space="preserve"> allegations of: </w:t>
      </w:r>
      <w:r w:rsidR="00BE7468">
        <w:rPr>
          <w:bCs/>
          <w:sz w:val="26"/>
          <w:szCs w:val="26"/>
        </w:rPr>
        <w:t>(</w:t>
      </w:r>
      <w:r w:rsidR="0060539D" w:rsidRPr="00735BA2">
        <w:rPr>
          <w:bCs/>
          <w:sz w:val="26"/>
          <w:szCs w:val="26"/>
        </w:rPr>
        <w:t xml:space="preserve">1) slamming; </w:t>
      </w:r>
      <w:r w:rsidR="00BE7468">
        <w:rPr>
          <w:bCs/>
          <w:sz w:val="26"/>
          <w:szCs w:val="26"/>
        </w:rPr>
        <w:br/>
        <w:t>(</w:t>
      </w:r>
      <w:r w:rsidR="0060539D" w:rsidRPr="00735BA2">
        <w:rPr>
          <w:bCs/>
          <w:sz w:val="26"/>
          <w:szCs w:val="26"/>
        </w:rPr>
        <w:t xml:space="preserve">2) misleading and deceptive claims of affiliation with electric distribution companies; </w:t>
      </w:r>
      <w:r w:rsidR="00BE7468">
        <w:rPr>
          <w:bCs/>
          <w:sz w:val="26"/>
          <w:szCs w:val="26"/>
        </w:rPr>
        <w:t>(</w:t>
      </w:r>
      <w:r w:rsidR="0060539D" w:rsidRPr="00735BA2">
        <w:rPr>
          <w:bCs/>
          <w:sz w:val="26"/>
          <w:szCs w:val="26"/>
        </w:rPr>
        <w:t>3) misleading and deceptive promises of savings</w:t>
      </w:r>
      <w:r w:rsidR="0054519C" w:rsidRPr="00735BA2">
        <w:rPr>
          <w:bCs/>
          <w:sz w:val="26"/>
          <w:szCs w:val="26"/>
        </w:rPr>
        <w:t>;</w:t>
      </w:r>
      <w:r w:rsidR="0060539D" w:rsidRPr="00735BA2">
        <w:rPr>
          <w:bCs/>
          <w:sz w:val="26"/>
          <w:szCs w:val="26"/>
        </w:rPr>
        <w:t xml:space="preserve"> </w:t>
      </w:r>
      <w:r w:rsidR="00BE7468">
        <w:rPr>
          <w:bCs/>
          <w:sz w:val="26"/>
          <w:szCs w:val="26"/>
        </w:rPr>
        <w:t>(</w:t>
      </w:r>
      <w:r w:rsidR="0060539D" w:rsidRPr="00735BA2">
        <w:rPr>
          <w:bCs/>
          <w:sz w:val="26"/>
          <w:szCs w:val="26"/>
        </w:rPr>
        <w:t>4) fail</w:t>
      </w:r>
      <w:r w:rsidR="00BE7468">
        <w:rPr>
          <w:bCs/>
          <w:sz w:val="26"/>
          <w:szCs w:val="26"/>
        </w:rPr>
        <w:t>ing</w:t>
      </w:r>
      <w:r w:rsidR="0060539D" w:rsidRPr="00735BA2">
        <w:rPr>
          <w:bCs/>
          <w:sz w:val="26"/>
          <w:szCs w:val="26"/>
        </w:rPr>
        <w:t xml:space="preserve"> to disclose material pricing terms in Respond’s Disclosure Agreement</w:t>
      </w:r>
      <w:r w:rsidR="002C7EFF">
        <w:rPr>
          <w:bCs/>
          <w:sz w:val="26"/>
          <w:szCs w:val="26"/>
        </w:rPr>
        <w:t xml:space="preserve"> - </w:t>
      </w:r>
      <w:r w:rsidR="004236EE" w:rsidRPr="00735BA2">
        <w:rPr>
          <w:bCs/>
          <w:sz w:val="26"/>
          <w:szCs w:val="26"/>
        </w:rPr>
        <w:t>p</w:t>
      </w:r>
      <w:r w:rsidR="0060539D" w:rsidRPr="00735BA2">
        <w:rPr>
          <w:bCs/>
          <w:sz w:val="26"/>
          <w:szCs w:val="26"/>
        </w:rPr>
        <w:t>rices not conforming to Disclosure Agreement</w:t>
      </w:r>
      <w:r w:rsidR="0054519C" w:rsidRPr="00735BA2">
        <w:rPr>
          <w:bCs/>
          <w:sz w:val="26"/>
          <w:szCs w:val="26"/>
        </w:rPr>
        <w:t>;</w:t>
      </w:r>
      <w:r w:rsidR="0060539D" w:rsidRPr="00735BA2">
        <w:rPr>
          <w:bCs/>
          <w:sz w:val="26"/>
          <w:szCs w:val="26"/>
        </w:rPr>
        <w:t xml:space="preserve"> </w:t>
      </w:r>
      <w:r w:rsidR="00E77403">
        <w:rPr>
          <w:bCs/>
          <w:sz w:val="26"/>
          <w:szCs w:val="26"/>
        </w:rPr>
        <w:t>(</w:t>
      </w:r>
      <w:r w:rsidR="0060539D" w:rsidRPr="00735BA2">
        <w:rPr>
          <w:bCs/>
          <w:sz w:val="26"/>
          <w:szCs w:val="26"/>
        </w:rPr>
        <w:t xml:space="preserve">5) </w:t>
      </w:r>
      <w:r w:rsidR="00E77403">
        <w:rPr>
          <w:bCs/>
          <w:sz w:val="26"/>
          <w:szCs w:val="26"/>
        </w:rPr>
        <w:t>failing to act in</w:t>
      </w:r>
      <w:r w:rsidR="0060539D" w:rsidRPr="00735BA2">
        <w:rPr>
          <w:bCs/>
          <w:sz w:val="26"/>
          <w:szCs w:val="26"/>
        </w:rPr>
        <w:t xml:space="preserve"> good faith in handling customer complaints/cancellations</w:t>
      </w:r>
      <w:r w:rsidR="0054519C" w:rsidRPr="00735BA2">
        <w:rPr>
          <w:bCs/>
          <w:sz w:val="26"/>
          <w:szCs w:val="26"/>
        </w:rPr>
        <w:t xml:space="preserve">; </w:t>
      </w:r>
      <w:r w:rsidR="00E77403">
        <w:rPr>
          <w:bCs/>
          <w:sz w:val="26"/>
          <w:szCs w:val="26"/>
        </w:rPr>
        <w:t>(</w:t>
      </w:r>
      <w:r w:rsidR="0054519C" w:rsidRPr="00735BA2">
        <w:rPr>
          <w:bCs/>
          <w:sz w:val="26"/>
          <w:szCs w:val="26"/>
        </w:rPr>
        <w:t xml:space="preserve">6) </w:t>
      </w:r>
      <w:r w:rsidR="00063213">
        <w:rPr>
          <w:bCs/>
          <w:sz w:val="26"/>
          <w:szCs w:val="26"/>
        </w:rPr>
        <w:t>providing</w:t>
      </w:r>
      <w:r w:rsidR="003B06D6">
        <w:rPr>
          <w:bCs/>
          <w:sz w:val="26"/>
          <w:szCs w:val="26"/>
        </w:rPr>
        <w:t xml:space="preserve"> customers with </w:t>
      </w:r>
      <w:r w:rsidR="0060539D" w:rsidRPr="00735BA2">
        <w:rPr>
          <w:bCs/>
          <w:sz w:val="26"/>
          <w:szCs w:val="26"/>
        </w:rPr>
        <w:t>inaccurate</w:t>
      </w:r>
      <w:r w:rsidR="0054519C" w:rsidRPr="00735BA2">
        <w:rPr>
          <w:bCs/>
          <w:sz w:val="26"/>
          <w:szCs w:val="26"/>
        </w:rPr>
        <w:t xml:space="preserve"> and/or </w:t>
      </w:r>
      <w:r w:rsidR="0060539D" w:rsidRPr="00735BA2">
        <w:rPr>
          <w:bCs/>
          <w:sz w:val="26"/>
          <w:szCs w:val="26"/>
        </w:rPr>
        <w:t>incomplete/fraudulent sales agreements</w:t>
      </w:r>
      <w:r w:rsidR="0054519C" w:rsidRPr="00735BA2">
        <w:rPr>
          <w:bCs/>
          <w:sz w:val="26"/>
          <w:szCs w:val="26"/>
        </w:rPr>
        <w:t>;</w:t>
      </w:r>
      <w:r w:rsidR="0060539D" w:rsidRPr="00735BA2">
        <w:rPr>
          <w:bCs/>
          <w:sz w:val="26"/>
          <w:szCs w:val="26"/>
        </w:rPr>
        <w:t xml:space="preserve"> and </w:t>
      </w:r>
      <w:r w:rsidR="00E77403">
        <w:rPr>
          <w:bCs/>
          <w:sz w:val="26"/>
          <w:szCs w:val="26"/>
        </w:rPr>
        <w:t>(</w:t>
      </w:r>
      <w:r w:rsidR="0060539D" w:rsidRPr="00735BA2">
        <w:rPr>
          <w:bCs/>
          <w:sz w:val="26"/>
          <w:szCs w:val="26"/>
        </w:rPr>
        <w:t xml:space="preserve">7) </w:t>
      </w:r>
      <w:r w:rsidR="00E77403">
        <w:rPr>
          <w:bCs/>
          <w:sz w:val="26"/>
          <w:szCs w:val="26"/>
        </w:rPr>
        <w:t xml:space="preserve">billing customers </w:t>
      </w:r>
      <w:r w:rsidR="0060539D" w:rsidRPr="00735BA2">
        <w:rPr>
          <w:bCs/>
          <w:sz w:val="26"/>
          <w:szCs w:val="26"/>
        </w:rPr>
        <w:t>incorrect</w:t>
      </w:r>
      <w:r w:rsidR="00E77403">
        <w:rPr>
          <w:bCs/>
          <w:sz w:val="26"/>
          <w:szCs w:val="26"/>
        </w:rPr>
        <w:t>ly</w:t>
      </w:r>
      <w:r w:rsidR="0060539D" w:rsidRPr="00735BA2">
        <w:rPr>
          <w:bCs/>
          <w:sz w:val="26"/>
          <w:szCs w:val="26"/>
        </w:rPr>
        <w:t>.</w:t>
      </w:r>
      <w:r w:rsidR="0054519C" w:rsidRPr="00735BA2">
        <w:rPr>
          <w:bCs/>
          <w:sz w:val="26"/>
          <w:szCs w:val="26"/>
        </w:rPr>
        <w:t xml:space="preserve">  </w:t>
      </w:r>
      <w:r w:rsidR="0054519C" w:rsidRPr="00735BA2">
        <w:rPr>
          <w:bCs/>
          <w:i/>
          <w:sz w:val="26"/>
          <w:szCs w:val="26"/>
        </w:rPr>
        <w:t xml:space="preserve">See </w:t>
      </w:r>
      <w:r w:rsidR="000E0821" w:rsidRPr="00735BA2">
        <w:rPr>
          <w:bCs/>
          <w:sz w:val="26"/>
          <w:szCs w:val="26"/>
        </w:rPr>
        <w:t>I&amp;E Complaint</w:t>
      </w:r>
      <w:r w:rsidR="000E0821">
        <w:rPr>
          <w:bCs/>
          <w:color w:val="000000"/>
          <w:sz w:val="26"/>
          <w:szCs w:val="26"/>
        </w:rPr>
        <w:t>.</w:t>
      </w:r>
      <w:r w:rsidR="00FC2F88">
        <w:rPr>
          <w:rStyle w:val="FootnoteReference"/>
          <w:bCs/>
          <w:color w:val="000000"/>
          <w:sz w:val="26"/>
          <w:szCs w:val="26"/>
        </w:rPr>
        <w:footnoteReference w:id="5"/>
      </w:r>
    </w:p>
    <w:p w:rsidR="0060539D" w:rsidRPr="0060539D" w:rsidRDefault="0060539D" w:rsidP="0060539D">
      <w:pPr>
        <w:pStyle w:val="Style"/>
        <w:spacing w:line="360" w:lineRule="auto"/>
        <w:ind w:firstLine="1440"/>
        <w:rPr>
          <w:bCs/>
          <w:color w:val="000000"/>
          <w:sz w:val="26"/>
          <w:szCs w:val="26"/>
        </w:rPr>
      </w:pPr>
    </w:p>
    <w:p w:rsidR="0060539D" w:rsidRPr="0060539D" w:rsidRDefault="00C14E14" w:rsidP="0018116F">
      <w:pPr>
        <w:pStyle w:val="Style"/>
        <w:widowControl/>
        <w:spacing w:line="360" w:lineRule="auto"/>
        <w:ind w:firstLine="1440"/>
        <w:rPr>
          <w:bCs/>
          <w:color w:val="000000"/>
          <w:sz w:val="26"/>
          <w:szCs w:val="26"/>
        </w:rPr>
      </w:pPr>
      <w:r>
        <w:rPr>
          <w:bCs/>
          <w:color w:val="000000"/>
          <w:sz w:val="26"/>
          <w:szCs w:val="26"/>
        </w:rPr>
        <w:lastRenderedPageBreak/>
        <w:t xml:space="preserve">The </w:t>
      </w:r>
      <w:r w:rsidR="00735BA2">
        <w:rPr>
          <w:bCs/>
          <w:color w:val="000000"/>
          <w:sz w:val="26"/>
          <w:szCs w:val="26"/>
        </w:rPr>
        <w:t xml:space="preserve">OAG and OCA filed notices of intervention in the I&amp;E Complaint on September 2, 2014, and September 3, 2014, respectively.  </w:t>
      </w:r>
      <w:r w:rsidR="0060539D" w:rsidRPr="0060539D">
        <w:rPr>
          <w:bCs/>
          <w:color w:val="000000"/>
          <w:sz w:val="26"/>
          <w:szCs w:val="26"/>
        </w:rPr>
        <w:t>On September 30, 2014, Respond filed an Answer to I&amp;E’s Complaint admitting or denying the various averments.  Respond</w:t>
      </w:r>
      <w:r w:rsidR="0054519C">
        <w:rPr>
          <w:bCs/>
          <w:color w:val="000000"/>
          <w:sz w:val="26"/>
          <w:szCs w:val="26"/>
        </w:rPr>
        <w:t xml:space="preserve">, </w:t>
      </w:r>
      <w:r w:rsidR="0054519C">
        <w:rPr>
          <w:bCs/>
          <w:i/>
          <w:color w:val="000000"/>
          <w:sz w:val="26"/>
          <w:szCs w:val="26"/>
        </w:rPr>
        <w:t>inter alia</w:t>
      </w:r>
      <w:r w:rsidR="0054519C">
        <w:rPr>
          <w:bCs/>
          <w:color w:val="000000"/>
          <w:sz w:val="26"/>
          <w:szCs w:val="26"/>
        </w:rPr>
        <w:t>,</w:t>
      </w:r>
      <w:r w:rsidR="0060539D" w:rsidRPr="0060539D">
        <w:rPr>
          <w:bCs/>
          <w:color w:val="000000"/>
          <w:sz w:val="26"/>
          <w:szCs w:val="26"/>
        </w:rPr>
        <w:t xml:space="preserve"> requested that the Commission dismiss </w:t>
      </w:r>
      <w:r w:rsidR="000E0821">
        <w:rPr>
          <w:bCs/>
          <w:color w:val="000000"/>
          <w:sz w:val="26"/>
          <w:szCs w:val="26"/>
        </w:rPr>
        <w:t>the</w:t>
      </w:r>
      <w:r w:rsidR="0060539D" w:rsidRPr="0060539D">
        <w:rPr>
          <w:bCs/>
          <w:color w:val="000000"/>
          <w:sz w:val="26"/>
          <w:szCs w:val="26"/>
        </w:rPr>
        <w:t xml:space="preserve"> </w:t>
      </w:r>
      <w:r w:rsidR="00163152">
        <w:rPr>
          <w:bCs/>
          <w:color w:val="000000"/>
          <w:sz w:val="26"/>
          <w:szCs w:val="26"/>
        </w:rPr>
        <w:t xml:space="preserve">I&amp;E </w:t>
      </w:r>
      <w:r w:rsidR="0060539D" w:rsidRPr="0060539D">
        <w:rPr>
          <w:bCs/>
          <w:color w:val="000000"/>
          <w:sz w:val="26"/>
          <w:szCs w:val="26"/>
        </w:rPr>
        <w:t>Complaint.</w:t>
      </w:r>
    </w:p>
    <w:p w:rsidR="0060539D" w:rsidRPr="0060539D" w:rsidRDefault="0060539D" w:rsidP="0060539D">
      <w:pPr>
        <w:pStyle w:val="Style"/>
        <w:spacing w:line="360" w:lineRule="auto"/>
        <w:ind w:firstLine="1440"/>
        <w:rPr>
          <w:bCs/>
          <w:color w:val="000000"/>
          <w:sz w:val="26"/>
          <w:szCs w:val="26"/>
        </w:rPr>
      </w:pPr>
    </w:p>
    <w:p w:rsidR="0060539D" w:rsidRDefault="0060539D" w:rsidP="0060539D">
      <w:pPr>
        <w:pStyle w:val="Style"/>
        <w:spacing w:line="360" w:lineRule="auto"/>
        <w:ind w:firstLine="1440"/>
        <w:rPr>
          <w:bCs/>
          <w:color w:val="000000"/>
          <w:sz w:val="26"/>
          <w:szCs w:val="26"/>
        </w:rPr>
      </w:pPr>
      <w:r w:rsidRPr="0060539D">
        <w:rPr>
          <w:bCs/>
          <w:color w:val="000000"/>
          <w:sz w:val="26"/>
          <w:szCs w:val="26"/>
        </w:rPr>
        <w:t xml:space="preserve">On October 23, 2014, I&amp;E filed a </w:t>
      </w:r>
      <w:r w:rsidR="000E0821">
        <w:rPr>
          <w:bCs/>
          <w:color w:val="000000"/>
          <w:sz w:val="26"/>
          <w:szCs w:val="26"/>
        </w:rPr>
        <w:t>Motion</w:t>
      </w:r>
      <w:r w:rsidRPr="0060539D">
        <w:rPr>
          <w:bCs/>
          <w:color w:val="000000"/>
          <w:sz w:val="26"/>
          <w:szCs w:val="26"/>
        </w:rPr>
        <w:t xml:space="preserve"> to Consolidate the </w:t>
      </w:r>
      <w:r w:rsidR="00735BA2">
        <w:rPr>
          <w:bCs/>
          <w:color w:val="000000"/>
          <w:sz w:val="26"/>
          <w:szCs w:val="26"/>
        </w:rPr>
        <w:t xml:space="preserve">I&amp;E </w:t>
      </w:r>
      <w:r w:rsidR="00163152">
        <w:rPr>
          <w:bCs/>
          <w:color w:val="000000"/>
          <w:sz w:val="26"/>
          <w:szCs w:val="26"/>
        </w:rPr>
        <w:t>C</w:t>
      </w:r>
      <w:r w:rsidRPr="0060539D">
        <w:rPr>
          <w:bCs/>
          <w:color w:val="000000"/>
          <w:sz w:val="26"/>
          <w:szCs w:val="26"/>
        </w:rPr>
        <w:t xml:space="preserve">omplaint against Respond </w:t>
      </w:r>
      <w:r w:rsidR="00735BA2">
        <w:rPr>
          <w:bCs/>
          <w:color w:val="000000"/>
          <w:sz w:val="26"/>
          <w:szCs w:val="26"/>
        </w:rPr>
        <w:t xml:space="preserve">with the OAG/OCA </w:t>
      </w:r>
      <w:r w:rsidR="00163152">
        <w:rPr>
          <w:bCs/>
          <w:color w:val="000000"/>
          <w:sz w:val="26"/>
          <w:szCs w:val="26"/>
        </w:rPr>
        <w:t>C</w:t>
      </w:r>
      <w:r w:rsidR="00735BA2">
        <w:rPr>
          <w:bCs/>
          <w:color w:val="000000"/>
          <w:sz w:val="26"/>
          <w:szCs w:val="26"/>
        </w:rPr>
        <w:t>omplaint</w:t>
      </w:r>
      <w:r w:rsidR="0054519C">
        <w:rPr>
          <w:bCs/>
          <w:color w:val="000000"/>
          <w:sz w:val="26"/>
          <w:szCs w:val="26"/>
        </w:rPr>
        <w:t xml:space="preserve">.  </w:t>
      </w:r>
      <w:r w:rsidR="0054519C">
        <w:rPr>
          <w:bCs/>
          <w:i/>
          <w:color w:val="000000"/>
          <w:sz w:val="26"/>
          <w:szCs w:val="26"/>
        </w:rPr>
        <w:t xml:space="preserve">See </w:t>
      </w:r>
      <w:r w:rsidR="0054519C">
        <w:rPr>
          <w:bCs/>
          <w:color w:val="000000"/>
          <w:sz w:val="26"/>
          <w:szCs w:val="26"/>
        </w:rPr>
        <w:t xml:space="preserve">52 Pa. Code </w:t>
      </w:r>
      <w:r w:rsidR="00163152">
        <w:rPr>
          <w:bCs/>
          <w:color w:val="000000"/>
          <w:sz w:val="26"/>
          <w:szCs w:val="26"/>
        </w:rPr>
        <w:t xml:space="preserve">§ </w:t>
      </w:r>
      <w:r w:rsidR="0054519C">
        <w:rPr>
          <w:bCs/>
          <w:color w:val="000000"/>
          <w:sz w:val="26"/>
          <w:szCs w:val="26"/>
        </w:rPr>
        <w:t>5.81.</w:t>
      </w:r>
      <w:r w:rsidR="0054519C">
        <w:rPr>
          <w:rStyle w:val="FootnoteReference"/>
          <w:bCs/>
          <w:color w:val="000000"/>
          <w:sz w:val="26"/>
          <w:szCs w:val="26"/>
        </w:rPr>
        <w:footnoteReference w:id="6"/>
      </w:r>
      <w:r w:rsidR="0054519C">
        <w:rPr>
          <w:bCs/>
          <w:color w:val="000000"/>
          <w:sz w:val="26"/>
          <w:szCs w:val="26"/>
        </w:rPr>
        <w:t xml:space="preserve">  </w:t>
      </w:r>
      <w:r w:rsidR="00D318E0">
        <w:rPr>
          <w:bCs/>
          <w:color w:val="000000"/>
          <w:sz w:val="26"/>
          <w:szCs w:val="26"/>
        </w:rPr>
        <w:t>I</w:t>
      </w:r>
      <w:r w:rsidRPr="0060539D">
        <w:rPr>
          <w:bCs/>
          <w:color w:val="000000"/>
          <w:sz w:val="26"/>
          <w:szCs w:val="26"/>
        </w:rPr>
        <w:t>&amp;E averred that both</w:t>
      </w:r>
      <w:r w:rsidR="005014EE">
        <w:rPr>
          <w:bCs/>
          <w:color w:val="000000"/>
          <w:sz w:val="26"/>
          <w:szCs w:val="26"/>
        </w:rPr>
        <w:t xml:space="preserve"> the I&amp;E</w:t>
      </w:r>
      <w:r w:rsidR="00D318E0">
        <w:rPr>
          <w:bCs/>
          <w:color w:val="000000"/>
          <w:sz w:val="26"/>
          <w:szCs w:val="26"/>
        </w:rPr>
        <w:t xml:space="preserve"> </w:t>
      </w:r>
      <w:r w:rsidR="005014EE">
        <w:rPr>
          <w:bCs/>
          <w:color w:val="000000"/>
          <w:sz w:val="26"/>
          <w:szCs w:val="26"/>
        </w:rPr>
        <w:t>C</w:t>
      </w:r>
      <w:r w:rsidR="00D318E0">
        <w:rPr>
          <w:bCs/>
          <w:color w:val="000000"/>
          <w:sz w:val="26"/>
          <w:szCs w:val="26"/>
        </w:rPr>
        <w:t xml:space="preserve">omplaint and the OAG/OCA </w:t>
      </w:r>
      <w:r w:rsidR="005014EE">
        <w:rPr>
          <w:bCs/>
          <w:color w:val="000000"/>
          <w:sz w:val="26"/>
          <w:szCs w:val="26"/>
        </w:rPr>
        <w:t>C</w:t>
      </w:r>
      <w:r w:rsidR="00D318E0">
        <w:rPr>
          <w:bCs/>
          <w:color w:val="000000"/>
          <w:sz w:val="26"/>
          <w:szCs w:val="26"/>
        </w:rPr>
        <w:t>omplaint</w:t>
      </w:r>
      <w:r w:rsidR="00FC2F88">
        <w:rPr>
          <w:bCs/>
          <w:color w:val="000000"/>
          <w:sz w:val="26"/>
          <w:szCs w:val="26"/>
        </w:rPr>
        <w:t>,</w:t>
      </w:r>
      <w:r w:rsidR="00D318E0">
        <w:rPr>
          <w:bCs/>
          <w:color w:val="000000"/>
          <w:sz w:val="26"/>
          <w:szCs w:val="26"/>
        </w:rPr>
        <w:t xml:space="preserve"> </w:t>
      </w:r>
      <w:r w:rsidRPr="0060539D">
        <w:rPr>
          <w:bCs/>
          <w:color w:val="000000"/>
          <w:sz w:val="26"/>
          <w:szCs w:val="26"/>
        </w:rPr>
        <w:t xml:space="preserve">allege violations of the same provisions of the Code and </w:t>
      </w:r>
      <w:r w:rsidR="00D318E0">
        <w:rPr>
          <w:bCs/>
          <w:color w:val="000000"/>
          <w:sz w:val="26"/>
          <w:szCs w:val="26"/>
        </w:rPr>
        <w:t>Commission</w:t>
      </w:r>
      <w:r w:rsidRPr="0060539D">
        <w:rPr>
          <w:bCs/>
          <w:color w:val="000000"/>
          <w:sz w:val="26"/>
          <w:szCs w:val="26"/>
        </w:rPr>
        <w:t xml:space="preserve"> </w:t>
      </w:r>
      <w:r w:rsidR="00D318E0">
        <w:rPr>
          <w:bCs/>
          <w:color w:val="000000"/>
          <w:sz w:val="26"/>
          <w:szCs w:val="26"/>
        </w:rPr>
        <w:t>R</w:t>
      </w:r>
      <w:r w:rsidRPr="0060539D">
        <w:rPr>
          <w:bCs/>
          <w:color w:val="000000"/>
          <w:sz w:val="26"/>
          <w:szCs w:val="26"/>
        </w:rPr>
        <w:t xml:space="preserve">egulations.  I&amp;E further </w:t>
      </w:r>
      <w:r w:rsidR="00D318E0">
        <w:rPr>
          <w:bCs/>
          <w:color w:val="000000"/>
          <w:sz w:val="26"/>
          <w:szCs w:val="26"/>
        </w:rPr>
        <w:t>advised</w:t>
      </w:r>
      <w:r w:rsidRPr="0060539D">
        <w:rPr>
          <w:bCs/>
          <w:color w:val="000000"/>
          <w:sz w:val="26"/>
          <w:szCs w:val="26"/>
        </w:rPr>
        <w:t xml:space="preserve"> that both </w:t>
      </w:r>
      <w:r w:rsidR="00D318E0">
        <w:rPr>
          <w:bCs/>
          <w:color w:val="000000"/>
          <w:sz w:val="26"/>
          <w:szCs w:val="26"/>
        </w:rPr>
        <w:t>c</w:t>
      </w:r>
      <w:r w:rsidRPr="0060539D">
        <w:rPr>
          <w:bCs/>
          <w:color w:val="000000"/>
          <w:sz w:val="26"/>
          <w:szCs w:val="26"/>
        </w:rPr>
        <w:t>omplaints contain</w:t>
      </w:r>
      <w:r w:rsidR="00D318E0">
        <w:rPr>
          <w:bCs/>
          <w:color w:val="000000"/>
          <w:sz w:val="26"/>
          <w:szCs w:val="26"/>
        </w:rPr>
        <w:t>ed</w:t>
      </w:r>
      <w:r w:rsidRPr="0060539D">
        <w:rPr>
          <w:bCs/>
          <w:color w:val="000000"/>
          <w:sz w:val="26"/>
          <w:szCs w:val="26"/>
        </w:rPr>
        <w:t xml:space="preserve"> similar factual allegations </w:t>
      </w:r>
      <w:r w:rsidR="00D318E0">
        <w:rPr>
          <w:bCs/>
          <w:color w:val="000000"/>
          <w:sz w:val="26"/>
          <w:szCs w:val="26"/>
        </w:rPr>
        <w:t>and</w:t>
      </w:r>
      <w:r w:rsidRPr="0060539D">
        <w:rPr>
          <w:bCs/>
          <w:color w:val="000000"/>
          <w:sz w:val="26"/>
          <w:szCs w:val="26"/>
        </w:rPr>
        <w:t xml:space="preserve"> that both</w:t>
      </w:r>
      <w:r w:rsidR="00D318E0">
        <w:rPr>
          <w:bCs/>
          <w:color w:val="000000"/>
          <w:sz w:val="26"/>
          <w:szCs w:val="26"/>
        </w:rPr>
        <w:t xml:space="preserve"> c</w:t>
      </w:r>
      <w:r w:rsidRPr="0060539D">
        <w:rPr>
          <w:bCs/>
          <w:color w:val="000000"/>
          <w:sz w:val="26"/>
          <w:szCs w:val="26"/>
        </w:rPr>
        <w:t>omplaints seek substantially the same remedies</w:t>
      </w:r>
      <w:r w:rsidR="00D318E0">
        <w:rPr>
          <w:bCs/>
          <w:color w:val="000000"/>
          <w:sz w:val="26"/>
          <w:szCs w:val="26"/>
        </w:rPr>
        <w:t>,</w:t>
      </w:r>
      <w:r w:rsidRPr="0060539D">
        <w:rPr>
          <w:bCs/>
          <w:color w:val="000000"/>
          <w:sz w:val="26"/>
          <w:szCs w:val="26"/>
        </w:rPr>
        <w:t xml:space="preserve"> including imposing a civil penalty</w:t>
      </w:r>
      <w:r w:rsidR="00D318E0">
        <w:rPr>
          <w:bCs/>
          <w:color w:val="000000"/>
          <w:sz w:val="26"/>
          <w:szCs w:val="26"/>
        </w:rPr>
        <w:t xml:space="preserve"> upon Respond</w:t>
      </w:r>
      <w:r w:rsidRPr="0060539D">
        <w:rPr>
          <w:bCs/>
          <w:color w:val="000000"/>
          <w:sz w:val="26"/>
          <w:szCs w:val="26"/>
        </w:rPr>
        <w:t xml:space="preserve">, rescinding the authority of Respond to do business as an EGS in Pennsylvania, and directing Respond to provide a refund to each customer consisting of the difference between the amount the customer was billed and the guaranteed discounted rate the customer was entitled to receive.  </w:t>
      </w:r>
      <w:r w:rsidR="00D318E0">
        <w:rPr>
          <w:bCs/>
          <w:color w:val="000000"/>
          <w:sz w:val="26"/>
          <w:szCs w:val="26"/>
        </w:rPr>
        <w:t xml:space="preserve">Finally, </w:t>
      </w:r>
      <w:r w:rsidRPr="0060539D">
        <w:rPr>
          <w:bCs/>
          <w:color w:val="000000"/>
          <w:sz w:val="26"/>
          <w:szCs w:val="26"/>
        </w:rPr>
        <w:t xml:space="preserve">I&amp;E averred that consolidating the two </w:t>
      </w:r>
      <w:r w:rsidR="00D318E0">
        <w:rPr>
          <w:bCs/>
          <w:color w:val="000000"/>
          <w:sz w:val="26"/>
          <w:szCs w:val="26"/>
        </w:rPr>
        <w:t>c</w:t>
      </w:r>
      <w:r w:rsidRPr="0060539D">
        <w:rPr>
          <w:bCs/>
          <w:color w:val="000000"/>
          <w:sz w:val="26"/>
          <w:szCs w:val="26"/>
        </w:rPr>
        <w:t>omplaints w</w:t>
      </w:r>
      <w:r w:rsidR="00D318E0">
        <w:rPr>
          <w:bCs/>
          <w:color w:val="000000"/>
          <w:sz w:val="26"/>
          <w:szCs w:val="26"/>
        </w:rPr>
        <w:t>ould</w:t>
      </w:r>
      <w:r w:rsidRPr="0060539D">
        <w:rPr>
          <w:bCs/>
          <w:color w:val="000000"/>
          <w:sz w:val="26"/>
          <w:szCs w:val="26"/>
        </w:rPr>
        <w:t xml:space="preserve"> expedite the administrative process, preserve judicial resources, prevent inconsistent outcomes</w:t>
      </w:r>
      <w:r w:rsidR="00D318E0">
        <w:rPr>
          <w:bCs/>
          <w:color w:val="000000"/>
          <w:sz w:val="26"/>
          <w:szCs w:val="26"/>
        </w:rPr>
        <w:t>/</w:t>
      </w:r>
      <w:r w:rsidRPr="0060539D">
        <w:rPr>
          <w:bCs/>
          <w:color w:val="000000"/>
          <w:sz w:val="26"/>
          <w:szCs w:val="26"/>
        </w:rPr>
        <w:t>cumulative penalties against Respond and save Respond from having to defend two similar complaints simultaneously.</w:t>
      </w:r>
      <w:r w:rsidR="00D318E0">
        <w:rPr>
          <w:bCs/>
          <w:color w:val="000000"/>
          <w:sz w:val="26"/>
          <w:szCs w:val="26"/>
        </w:rPr>
        <w:t xml:space="preserve">  The I&amp;E </w:t>
      </w:r>
      <w:r w:rsidR="0073629D">
        <w:rPr>
          <w:bCs/>
          <w:color w:val="000000"/>
          <w:sz w:val="26"/>
          <w:szCs w:val="26"/>
        </w:rPr>
        <w:t>Motion</w:t>
      </w:r>
      <w:r w:rsidR="00D318E0">
        <w:rPr>
          <w:bCs/>
          <w:color w:val="000000"/>
          <w:sz w:val="26"/>
          <w:szCs w:val="26"/>
        </w:rPr>
        <w:t xml:space="preserve"> to Consolidate was not opposed by any Party.</w:t>
      </w:r>
      <w:r w:rsidR="00212F68">
        <w:rPr>
          <w:bCs/>
          <w:color w:val="000000"/>
          <w:sz w:val="26"/>
          <w:szCs w:val="26"/>
        </w:rPr>
        <w:t xml:space="preserve">  </w:t>
      </w:r>
    </w:p>
    <w:p w:rsidR="00212F68" w:rsidRPr="0060539D" w:rsidRDefault="00212F68" w:rsidP="0060539D">
      <w:pPr>
        <w:pStyle w:val="Style"/>
        <w:spacing w:line="360" w:lineRule="auto"/>
        <w:ind w:firstLine="1440"/>
        <w:rPr>
          <w:bCs/>
          <w:color w:val="000000"/>
          <w:sz w:val="26"/>
          <w:szCs w:val="26"/>
        </w:rPr>
      </w:pPr>
    </w:p>
    <w:p w:rsidR="0060539D" w:rsidRDefault="0073629D" w:rsidP="0060539D">
      <w:pPr>
        <w:pStyle w:val="Style"/>
        <w:spacing w:line="360" w:lineRule="auto"/>
        <w:ind w:firstLine="1440"/>
        <w:rPr>
          <w:bCs/>
          <w:color w:val="000000"/>
          <w:sz w:val="26"/>
          <w:szCs w:val="26"/>
        </w:rPr>
      </w:pPr>
      <w:r w:rsidRPr="0073629D">
        <w:rPr>
          <w:bCs/>
          <w:color w:val="000000"/>
          <w:sz w:val="26"/>
          <w:szCs w:val="26"/>
        </w:rPr>
        <w:t>By Order o</w:t>
      </w:r>
      <w:r>
        <w:rPr>
          <w:bCs/>
          <w:color w:val="000000"/>
          <w:sz w:val="26"/>
          <w:szCs w:val="26"/>
        </w:rPr>
        <w:t>f October 28, 2014, the presiding ALJs granted the I&amp;E Motion</w:t>
      </w:r>
      <w:r w:rsidR="00A50920">
        <w:rPr>
          <w:bCs/>
          <w:color w:val="000000"/>
          <w:sz w:val="26"/>
          <w:szCs w:val="26"/>
        </w:rPr>
        <w:t xml:space="preserve"> for consolidation.</w:t>
      </w:r>
      <w:r>
        <w:rPr>
          <w:bCs/>
          <w:color w:val="000000"/>
          <w:sz w:val="26"/>
          <w:szCs w:val="26"/>
        </w:rPr>
        <w:t xml:space="preserve"> </w:t>
      </w:r>
      <w:r w:rsidR="00A50920">
        <w:rPr>
          <w:bCs/>
          <w:color w:val="000000"/>
          <w:sz w:val="26"/>
          <w:szCs w:val="26"/>
        </w:rPr>
        <w:t xml:space="preserve"> T</w:t>
      </w:r>
      <w:r>
        <w:rPr>
          <w:bCs/>
          <w:color w:val="000000"/>
          <w:sz w:val="26"/>
          <w:szCs w:val="26"/>
        </w:rPr>
        <w:t xml:space="preserve">he I&amp;E </w:t>
      </w:r>
      <w:r w:rsidR="00507DB5">
        <w:rPr>
          <w:bCs/>
          <w:color w:val="000000"/>
          <w:sz w:val="26"/>
          <w:szCs w:val="26"/>
        </w:rPr>
        <w:t>C</w:t>
      </w:r>
      <w:r>
        <w:rPr>
          <w:bCs/>
          <w:color w:val="000000"/>
          <w:sz w:val="26"/>
          <w:szCs w:val="26"/>
        </w:rPr>
        <w:t>omplaint was</w:t>
      </w:r>
      <w:r w:rsidR="00A50920">
        <w:rPr>
          <w:bCs/>
          <w:color w:val="000000"/>
          <w:sz w:val="26"/>
          <w:szCs w:val="26"/>
        </w:rPr>
        <w:t>, thereafter,</w:t>
      </w:r>
      <w:r>
        <w:rPr>
          <w:bCs/>
          <w:color w:val="000000"/>
          <w:sz w:val="26"/>
          <w:szCs w:val="26"/>
        </w:rPr>
        <w:t xml:space="preserve"> consolidated with the OAG/OCA </w:t>
      </w:r>
      <w:r w:rsidR="00507DB5">
        <w:rPr>
          <w:bCs/>
          <w:color w:val="000000"/>
          <w:sz w:val="26"/>
          <w:szCs w:val="26"/>
        </w:rPr>
        <w:t>C</w:t>
      </w:r>
      <w:r>
        <w:rPr>
          <w:bCs/>
          <w:color w:val="000000"/>
          <w:sz w:val="26"/>
          <w:szCs w:val="26"/>
        </w:rPr>
        <w:t>omplaint.</w:t>
      </w:r>
    </w:p>
    <w:p w:rsidR="0073629D" w:rsidRDefault="0073629D" w:rsidP="0060539D">
      <w:pPr>
        <w:pStyle w:val="Style"/>
        <w:spacing w:line="360" w:lineRule="auto"/>
        <w:ind w:firstLine="1440"/>
        <w:rPr>
          <w:bCs/>
          <w:color w:val="000000"/>
          <w:sz w:val="26"/>
          <w:szCs w:val="26"/>
        </w:rPr>
      </w:pPr>
    </w:p>
    <w:p w:rsidR="001621FF" w:rsidRDefault="006E3981" w:rsidP="0018116F">
      <w:pPr>
        <w:pStyle w:val="Style"/>
        <w:widowControl/>
        <w:spacing w:line="360" w:lineRule="auto"/>
        <w:ind w:firstLine="1440"/>
        <w:rPr>
          <w:bCs/>
          <w:color w:val="000000"/>
          <w:sz w:val="26"/>
          <w:szCs w:val="26"/>
        </w:rPr>
      </w:pPr>
      <w:r>
        <w:rPr>
          <w:bCs/>
          <w:color w:val="000000"/>
          <w:sz w:val="26"/>
          <w:szCs w:val="26"/>
        </w:rPr>
        <w:lastRenderedPageBreak/>
        <w:t xml:space="preserve">Subsequently, the I&amp;E </w:t>
      </w:r>
      <w:r w:rsidR="00507DB5">
        <w:rPr>
          <w:bCs/>
          <w:color w:val="000000"/>
          <w:sz w:val="26"/>
          <w:szCs w:val="26"/>
        </w:rPr>
        <w:t>C</w:t>
      </w:r>
      <w:r>
        <w:rPr>
          <w:bCs/>
          <w:color w:val="000000"/>
          <w:sz w:val="26"/>
          <w:szCs w:val="26"/>
        </w:rPr>
        <w:t xml:space="preserve">omplaint was the subject of an interim order addressing preliminary objections filed by Respond.  </w:t>
      </w:r>
      <w:r w:rsidR="00C569AD">
        <w:rPr>
          <w:bCs/>
          <w:color w:val="000000"/>
          <w:sz w:val="26"/>
          <w:szCs w:val="26"/>
        </w:rPr>
        <w:t>B</w:t>
      </w:r>
      <w:r w:rsidR="00FE31E3">
        <w:rPr>
          <w:bCs/>
          <w:color w:val="000000"/>
          <w:sz w:val="26"/>
          <w:szCs w:val="26"/>
        </w:rPr>
        <w:t xml:space="preserve">y </w:t>
      </w:r>
      <w:r>
        <w:rPr>
          <w:bCs/>
          <w:color w:val="000000"/>
          <w:sz w:val="26"/>
          <w:szCs w:val="26"/>
        </w:rPr>
        <w:t>o</w:t>
      </w:r>
      <w:r w:rsidR="00FE31E3">
        <w:rPr>
          <w:bCs/>
          <w:color w:val="000000"/>
          <w:sz w:val="26"/>
          <w:szCs w:val="26"/>
        </w:rPr>
        <w:t xml:space="preserve">rder of November 17, 2014, presiding ALJs Barnes and Cheskis considered and disposed of </w:t>
      </w:r>
      <w:r>
        <w:rPr>
          <w:bCs/>
          <w:color w:val="000000"/>
          <w:sz w:val="26"/>
          <w:szCs w:val="26"/>
        </w:rPr>
        <w:t xml:space="preserve">the </w:t>
      </w:r>
      <w:r w:rsidR="00FE31E3">
        <w:rPr>
          <w:bCs/>
          <w:color w:val="000000"/>
          <w:sz w:val="26"/>
          <w:szCs w:val="26"/>
        </w:rPr>
        <w:t xml:space="preserve">preliminary objections filed by Respond to the </w:t>
      </w:r>
      <w:r w:rsidR="000E0821">
        <w:rPr>
          <w:bCs/>
          <w:color w:val="000000"/>
          <w:sz w:val="26"/>
          <w:szCs w:val="26"/>
        </w:rPr>
        <w:t>I&amp;E C</w:t>
      </w:r>
      <w:r w:rsidR="00FE31E3">
        <w:rPr>
          <w:bCs/>
          <w:color w:val="000000"/>
          <w:sz w:val="26"/>
          <w:szCs w:val="26"/>
        </w:rPr>
        <w:t>omplaint.</w:t>
      </w:r>
      <w:r w:rsidR="00C16B03">
        <w:rPr>
          <w:bCs/>
          <w:color w:val="000000"/>
          <w:sz w:val="26"/>
          <w:szCs w:val="26"/>
        </w:rPr>
        <w:t xml:space="preserve"> </w:t>
      </w:r>
      <w:r w:rsidR="000E0821">
        <w:rPr>
          <w:bCs/>
          <w:color w:val="000000"/>
          <w:sz w:val="26"/>
          <w:szCs w:val="26"/>
        </w:rPr>
        <w:t xml:space="preserve"> </w:t>
      </w:r>
      <w:r w:rsidR="00C569AD">
        <w:rPr>
          <w:bCs/>
          <w:i/>
          <w:color w:val="000000"/>
          <w:sz w:val="26"/>
          <w:szCs w:val="26"/>
        </w:rPr>
        <w:t>See</w:t>
      </w:r>
      <w:r w:rsidR="000E0821">
        <w:rPr>
          <w:bCs/>
          <w:color w:val="000000"/>
          <w:sz w:val="26"/>
          <w:szCs w:val="26"/>
        </w:rPr>
        <w:t xml:space="preserve"> </w:t>
      </w:r>
      <w:r w:rsidR="001621FF" w:rsidRPr="0018116F">
        <w:rPr>
          <w:bCs/>
          <w:color w:val="000000"/>
          <w:sz w:val="26"/>
          <w:szCs w:val="26"/>
        </w:rPr>
        <w:t xml:space="preserve">November 17 </w:t>
      </w:r>
      <w:r w:rsidR="000E0821" w:rsidRPr="0018116F">
        <w:rPr>
          <w:bCs/>
          <w:color w:val="000000"/>
          <w:sz w:val="26"/>
          <w:szCs w:val="26"/>
        </w:rPr>
        <w:t>Order</w:t>
      </w:r>
      <w:r w:rsidR="00507DB5">
        <w:rPr>
          <w:bCs/>
          <w:color w:val="000000"/>
          <w:sz w:val="26"/>
          <w:szCs w:val="26"/>
        </w:rPr>
        <w:t xml:space="preserve">, </w:t>
      </w:r>
      <w:r w:rsidR="00507DB5" w:rsidRPr="0018116F">
        <w:rPr>
          <w:bCs/>
          <w:i/>
          <w:color w:val="000000"/>
          <w:sz w:val="26"/>
          <w:szCs w:val="26"/>
        </w:rPr>
        <w:t>supra</w:t>
      </w:r>
      <w:r w:rsidR="001621FF">
        <w:rPr>
          <w:bCs/>
          <w:color w:val="000000"/>
          <w:sz w:val="26"/>
          <w:szCs w:val="26"/>
        </w:rPr>
        <w:t xml:space="preserve">. </w:t>
      </w:r>
      <w:r w:rsidR="000E0821">
        <w:rPr>
          <w:bCs/>
          <w:color w:val="000000"/>
          <w:sz w:val="26"/>
          <w:szCs w:val="26"/>
        </w:rPr>
        <w:t xml:space="preserve"> </w:t>
      </w:r>
    </w:p>
    <w:p w:rsidR="001621FF" w:rsidRDefault="001621FF" w:rsidP="0060539D">
      <w:pPr>
        <w:pStyle w:val="Style"/>
        <w:spacing w:line="360" w:lineRule="auto"/>
        <w:ind w:firstLine="1440"/>
        <w:rPr>
          <w:bCs/>
          <w:color w:val="000000"/>
          <w:sz w:val="26"/>
          <w:szCs w:val="26"/>
        </w:rPr>
      </w:pPr>
    </w:p>
    <w:p w:rsidR="004236EE" w:rsidRDefault="001621FF" w:rsidP="0060539D">
      <w:pPr>
        <w:pStyle w:val="Style"/>
        <w:spacing w:line="360" w:lineRule="auto"/>
        <w:ind w:firstLine="1440"/>
        <w:rPr>
          <w:sz w:val="26"/>
          <w:szCs w:val="26"/>
        </w:rPr>
      </w:pPr>
      <w:r>
        <w:rPr>
          <w:bCs/>
          <w:color w:val="000000"/>
          <w:sz w:val="26"/>
          <w:szCs w:val="26"/>
        </w:rPr>
        <w:t xml:space="preserve">In </w:t>
      </w:r>
      <w:r w:rsidRPr="00163577">
        <w:rPr>
          <w:bCs/>
          <w:color w:val="000000"/>
          <w:sz w:val="26"/>
          <w:szCs w:val="26"/>
        </w:rPr>
        <w:t xml:space="preserve">the </w:t>
      </w:r>
      <w:r w:rsidRPr="0018116F">
        <w:rPr>
          <w:bCs/>
          <w:color w:val="000000"/>
          <w:sz w:val="26"/>
          <w:szCs w:val="26"/>
        </w:rPr>
        <w:t>November 17 Order</w:t>
      </w:r>
      <w:r w:rsidRPr="00163577">
        <w:rPr>
          <w:bCs/>
          <w:color w:val="000000"/>
          <w:sz w:val="26"/>
          <w:szCs w:val="26"/>
        </w:rPr>
        <w:t>, t</w:t>
      </w:r>
      <w:r w:rsidR="00C16B03" w:rsidRPr="00163577">
        <w:rPr>
          <w:bCs/>
          <w:color w:val="000000"/>
          <w:sz w:val="26"/>
          <w:szCs w:val="26"/>
        </w:rPr>
        <w:t>he</w:t>
      </w:r>
      <w:r w:rsidR="00C16B03">
        <w:rPr>
          <w:bCs/>
          <w:color w:val="000000"/>
          <w:sz w:val="26"/>
          <w:szCs w:val="26"/>
        </w:rPr>
        <w:t xml:space="preserve"> </w:t>
      </w:r>
      <w:r>
        <w:rPr>
          <w:bCs/>
          <w:color w:val="000000"/>
          <w:sz w:val="26"/>
          <w:szCs w:val="26"/>
        </w:rPr>
        <w:t xml:space="preserve">presiding </w:t>
      </w:r>
      <w:r w:rsidR="00C16B03">
        <w:rPr>
          <w:bCs/>
          <w:color w:val="000000"/>
          <w:sz w:val="26"/>
          <w:szCs w:val="26"/>
        </w:rPr>
        <w:t>ALJs granted in part, and denied in part, Respond</w:t>
      </w:r>
      <w:r w:rsidR="00C569AD">
        <w:rPr>
          <w:bCs/>
          <w:color w:val="000000"/>
          <w:sz w:val="26"/>
          <w:szCs w:val="26"/>
        </w:rPr>
        <w:t>’s</w:t>
      </w:r>
      <w:r w:rsidR="00C16B03">
        <w:rPr>
          <w:bCs/>
          <w:color w:val="000000"/>
          <w:sz w:val="26"/>
          <w:szCs w:val="26"/>
        </w:rPr>
        <w:t xml:space="preserve"> preliminary objections</w:t>
      </w:r>
      <w:r w:rsidR="006E3981">
        <w:rPr>
          <w:bCs/>
          <w:color w:val="000000"/>
          <w:sz w:val="26"/>
          <w:szCs w:val="26"/>
        </w:rPr>
        <w:t xml:space="preserve">. </w:t>
      </w:r>
      <w:r w:rsidR="00FE31E3">
        <w:rPr>
          <w:bCs/>
          <w:color w:val="000000"/>
          <w:sz w:val="26"/>
          <w:szCs w:val="26"/>
        </w:rPr>
        <w:t xml:space="preserve"> At the time of the </w:t>
      </w:r>
      <w:r w:rsidR="006E3981">
        <w:rPr>
          <w:bCs/>
          <w:color w:val="000000"/>
          <w:sz w:val="26"/>
          <w:szCs w:val="26"/>
        </w:rPr>
        <w:t xml:space="preserve">ALJs’ </w:t>
      </w:r>
      <w:r w:rsidR="00FE31E3">
        <w:rPr>
          <w:bCs/>
          <w:color w:val="000000"/>
          <w:sz w:val="26"/>
          <w:szCs w:val="26"/>
        </w:rPr>
        <w:t xml:space="preserve">consideration and disposition of the preliminary objections </w:t>
      </w:r>
      <w:r w:rsidR="004236EE">
        <w:rPr>
          <w:bCs/>
          <w:color w:val="000000"/>
          <w:sz w:val="26"/>
          <w:szCs w:val="26"/>
        </w:rPr>
        <w:t xml:space="preserve">filed by Respond </w:t>
      </w:r>
      <w:r w:rsidR="00FE31E3">
        <w:rPr>
          <w:bCs/>
          <w:color w:val="000000"/>
          <w:sz w:val="26"/>
          <w:szCs w:val="26"/>
        </w:rPr>
        <w:t>to the I&amp;E Complaint, the</w:t>
      </w:r>
      <w:r w:rsidR="006E3981">
        <w:rPr>
          <w:bCs/>
          <w:color w:val="000000"/>
          <w:sz w:val="26"/>
          <w:szCs w:val="26"/>
        </w:rPr>
        <w:t>y</w:t>
      </w:r>
      <w:r w:rsidR="00FE31E3">
        <w:rPr>
          <w:bCs/>
          <w:color w:val="000000"/>
          <w:sz w:val="26"/>
          <w:szCs w:val="26"/>
        </w:rPr>
        <w:t xml:space="preserve"> had the benefit of the Commission’s reasoning </w:t>
      </w:r>
      <w:r w:rsidR="004236EE">
        <w:rPr>
          <w:bCs/>
          <w:color w:val="000000"/>
          <w:sz w:val="26"/>
          <w:szCs w:val="26"/>
        </w:rPr>
        <w:t xml:space="preserve">and disposition </w:t>
      </w:r>
      <w:r w:rsidR="00FE31E3">
        <w:rPr>
          <w:bCs/>
          <w:color w:val="000000"/>
          <w:sz w:val="26"/>
          <w:szCs w:val="26"/>
        </w:rPr>
        <w:t xml:space="preserve">of substantially similar legal questions raised by </w:t>
      </w:r>
      <w:r w:rsidR="00B93D6A">
        <w:rPr>
          <w:bCs/>
          <w:color w:val="000000"/>
          <w:sz w:val="26"/>
          <w:szCs w:val="26"/>
        </w:rPr>
        <w:t xml:space="preserve">the </w:t>
      </w:r>
      <w:r w:rsidR="00FE31E3">
        <w:rPr>
          <w:bCs/>
          <w:color w:val="000000"/>
          <w:sz w:val="26"/>
          <w:szCs w:val="26"/>
        </w:rPr>
        <w:t>OAG and OCA in</w:t>
      </w:r>
      <w:r w:rsidR="006E3981">
        <w:rPr>
          <w:bCs/>
          <w:color w:val="000000"/>
          <w:sz w:val="26"/>
          <w:szCs w:val="26"/>
        </w:rPr>
        <w:t xml:space="preserve"> their petition for interlocutory review and answer to material questions which was decided in</w:t>
      </w:r>
      <w:r w:rsidR="00FE31E3">
        <w:rPr>
          <w:bCs/>
          <w:color w:val="000000"/>
          <w:sz w:val="26"/>
          <w:szCs w:val="26"/>
        </w:rPr>
        <w:t xml:space="preserve"> </w:t>
      </w:r>
      <w:r w:rsidR="00FE31E3" w:rsidRPr="00F421DF">
        <w:rPr>
          <w:i/>
          <w:sz w:val="26"/>
          <w:szCs w:val="26"/>
        </w:rPr>
        <w:t>Blue Pilot</w:t>
      </w:r>
      <w:r w:rsidR="00FE31E3">
        <w:rPr>
          <w:sz w:val="26"/>
          <w:szCs w:val="26"/>
        </w:rPr>
        <w:t xml:space="preserve">. </w:t>
      </w:r>
      <w:r w:rsidR="00C16B03">
        <w:rPr>
          <w:sz w:val="26"/>
          <w:szCs w:val="26"/>
        </w:rPr>
        <w:t xml:space="preserve">  </w:t>
      </w:r>
    </w:p>
    <w:p w:rsidR="004236EE" w:rsidRDefault="004236EE" w:rsidP="0060539D">
      <w:pPr>
        <w:pStyle w:val="Style"/>
        <w:spacing w:line="360" w:lineRule="auto"/>
        <w:ind w:firstLine="1440"/>
        <w:rPr>
          <w:sz w:val="26"/>
          <w:szCs w:val="26"/>
        </w:rPr>
      </w:pPr>
    </w:p>
    <w:p w:rsidR="006E3981" w:rsidRDefault="00A40F77" w:rsidP="0060539D">
      <w:pPr>
        <w:pStyle w:val="Style"/>
        <w:spacing w:line="360" w:lineRule="auto"/>
        <w:ind w:firstLine="1440"/>
        <w:rPr>
          <w:sz w:val="26"/>
          <w:szCs w:val="26"/>
        </w:rPr>
      </w:pPr>
      <w:r>
        <w:rPr>
          <w:sz w:val="26"/>
          <w:szCs w:val="26"/>
        </w:rPr>
        <w:t>No Party has filed a request for interlocutory Commission review of ALJ Barnes and Cheskis’</w:t>
      </w:r>
      <w:r w:rsidR="00C16B03">
        <w:rPr>
          <w:sz w:val="26"/>
          <w:szCs w:val="26"/>
        </w:rPr>
        <w:t xml:space="preserve"> disposition of the Respond preliminary objections </w:t>
      </w:r>
      <w:r w:rsidR="006E3981">
        <w:rPr>
          <w:sz w:val="26"/>
          <w:szCs w:val="26"/>
        </w:rPr>
        <w:t>result</w:t>
      </w:r>
      <w:r w:rsidR="00C569AD">
        <w:rPr>
          <w:sz w:val="26"/>
          <w:szCs w:val="26"/>
        </w:rPr>
        <w:t xml:space="preserve">ing from the </w:t>
      </w:r>
      <w:r w:rsidR="00C569AD" w:rsidRPr="0018116F">
        <w:rPr>
          <w:bCs/>
          <w:color w:val="000000"/>
          <w:sz w:val="26"/>
          <w:szCs w:val="26"/>
        </w:rPr>
        <w:t>November 17 Order</w:t>
      </w:r>
      <w:r w:rsidR="00C569AD">
        <w:rPr>
          <w:sz w:val="26"/>
          <w:szCs w:val="26"/>
        </w:rPr>
        <w:t xml:space="preserve"> at Docket No</w:t>
      </w:r>
      <w:r w:rsidR="00C569AD" w:rsidRPr="00C569AD">
        <w:rPr>
          <w:sz w:val="26"/>
          <w:szCs w:val="26"/>
        </w:rPr>
        <w:t xml:space="preserve">. </w:t>
      </w:r>
      <w:r w:rsidR="00C569AD" w:rsidRPr="00C569AD">
        <w:rPr>
          <w:bCs/>
          <w:color w:val="000000"/>
          <w:sz w:val="26"/>
          <w:szCs w:val="26"/>
        </w:rPr>
        <w:t>C-2014-2438640</w:t>
      </w:r>
      <w:r>
        <w:rPr>
          <w:sz w:val="26"/>
          <w:szCs w:val="26"/>
        </w:rPr>
        <w:t>.</w:t>
      </w:r>
      <w:r w:rsidR="000E0821">
        <w:rPr>
          <w:sz w:val="26"/>
          <w:szCs w:val="26"/>
        </w:rPr>
        <w:t xml:space="preserve">  </w:t>
      </w:r>
    </w:p>
    <w:p w:rsidR="006E3981" w:rsidRDefault="006E3981" w:rsidP="0060539D">
      <w:pPr>
        <w:pStyle w:val="Style"/>
        <w:spacing w:line="360" w:lineRule="auto"/>
        <w:ind w:firstLine="1440"/>
        <w:rPr>
          <w:sz w:val="26"/>
          <w:szCs w:val="26"/>
        </w:rPr>
      </w:pPr>
    </w:p>
    <w:p w:rsidR="00C16B03" w:rsidRDefault="008363EE" w:rsidP="0060539D">
      <w:pPr>
        <w:pStyle w:val="Style"/>
        <w:spacing w:line="360" w:lineRule="auto"/>
        <w:ind w:firstLine="1440"/>
        <w:rPr>
          <w:sz w:val="26"/>
          <w:szCs w:val="26"/>
        </w:rPr>
      </w:pPr>
      <w:r>
        <w:rPr>
          <w:sz w:val="26"/>
          <w:szCs w:val="26"/>
        </w:rPr>
        <w:t xml:space="preserve">We note that the </w:t>
      </w:r>
      <w:r w:rsidR="00A40F77">
        <w:rPr>
          <w:sz w:val="26"/>
          <w:szCs w:val="26"/>
        </w:rPr>
        <w:t xml:space="preserve">consolidated proceedings </w:t>
      </w:r>
      <w:r w:rsidR="00A50920">
        <w:rPr>
          <w:sz w:val="26"/>
          <w:szCs w:val="26"/>
        </w:rPr>
        <w:t xml:space="preserve">involving the OAG/OCA </w:t>
      </w:r>
      <w:r>
        <w:rPr>
          <w:sz w:val="26"/>
          <w:szCs w:val="26"/>
        </w:rPr>
        <w:t>C</w:t>
      </w:r>
      <w:r w:rsidR="00A50920">
        <w:rPr>
          <w:sz w:val="26"/>
          <w:szCs w:val="26"/>
        </w:rPr>
        <w:t xml:space="preserve">omplaint and the I&amp;E </w:t>
      </w:r>
      <w:r>
        <w:rPr>
          <w:sz w:val="26"/>
          <w:szCs w:val="26"/>
        </w:rPr>
        <w:t>C</w:t>
      </w:r>
      <w:r w:rsidR="00A50920">
        <w:rPr>
          <w:sz w:val="26"/>
          <w:szCs w:val="26"/>
        </w:rPr>
        <w:t xml:space="preserve">omplaint </w:t>
      </w:r>
      <w:r w:rsidR="00A40F77">
        <w:rPr>
          <w:sz w:val="26"/>
          <w:szCs w:val="26"/>
        </w:rPr>
        <w:t xml:space="preserve">are </w:t>
      </w:r>
      <w:r w:rsidR="001621FF">
        <w:rPr>
          <w:sz w:val="26"/>
          <w:szCs w:val="26"/>
        </w:rPr>
        <w:t>under a</w:t>
      </w:r>
      <w:r w:rsidR="00A40F77">
        <w:rPr>
          <w:sz w:val="26"/>
          <w:szCs w:val="26"/>
        </w:rPr>
        <w:t xml:space="preserve"> </w:t>
      </w:r>
      <w:r>
        <w:rPr>
          <w:sz w:val="26"/>
          <w:szCs w:val="26"/>
        </w:rPr>
        <w:t xml:space="preserve">common </w:t>
      </w:r>
      <w:r w:rsidR="00A40F77">
        <w:rPr>
          <w:sz w:val="26"/>
          <w:szCs w:val="26"/>
        </w:rPr>
        <w:t xml:space="preserve">procedural schedule with </w:t>
      </w:r>
      <w:r w:rsidR="001621FF">
        <w:rPr>
          <w:sz w:val="26"/>
          <w:szCs w:val="26"/>
        </w:rPr>
        <w:t xml:space="preserve">evidentiary </w:t>
      </w:r>
      <w:r w:rsidR="00A40F77">
        <w:rPr>
          <w:sz w:val="26"/>
          <w:szCs w:val="26"/>
        </w:rPr>
        <w:t xml:space="preserve">hearings scheduled for August 10-12, 2015.  </w:t>
      </w:r>
      <w:r w:rsidR="00A40F77">
        <w:rPr>
          <w:i/>
          <w:sz w:val="26"/>
          <w:szCs w:val="26"/>
        </w:rPr>
        <w:t xml:space="preserve">See Procedural Order #4 </w:t>
      </w:r>
      <w:r w:rsidR="00A40F77">
        <w:rPr>
          <w:sz w:val="26"/>
          <w:szCs w:val="26"/>
        </w:rPr>
        <w:t>(January 29, 2015).</w:t>
      </w:r>
      <w:r w:rsidR="00AE61C6">
        <w:rPr>
          <w:sz w:val="26"/>
          <w:szCs w:val="26"/>
        </w:rPr>
        <w:t xml:space="preserve">  </w:t>
      </w:r>
      <w:r w:rsidR="00C16B03">
        <w:rPr>
          <w:sz w:val="26"/>
          <w:szCs w:val="26"/>
        </w:rPr>
        <w:t xml:space="preserve">   </w:t>
      </w:r>
    </w:p>
    <w:p w:rsidR="008F27DF" w:rsidRDefault="008F27DF" w:rsidP="008363EE">
      <w:pPr>
        <w:pStyle w:val="Style"/>
        <w:spacing w:line="360" w:lineRule="auto"/>
        <w:ind w:firstLine="1440"/>
        <w:rPr>
          <w:sz w:val="26"/>
          <w:szCs w:val="26"/>
        </w:rPr>
      </w:pPr>
    </w:p>
    <w:p w:rsidR="008F27DF" w:rsidRPr="008F27DF" w:rsidRDefault="008F27DF" w:rsidP="008F27DF">
      <w:pPr>
        <w:pStyle w:val="Style"/>
        <w:spacing w:line="360" w:lineRule="auto"/>
        <w:jc w:val="center"/>
        <w:rPr>
          <w:b/>
          <w:sz w:val="26"/>
          <w:szCs w:val="26"/>
        </w:rPr>
      </w:pPr>
      <w:r>
        <w:rPr>
          <w:b/>
          <w:sz w:val="26"/>
          <w:szCs w:val="26"/>
        </w:rPr>
        <w:t>History of the Proceedings</w:t>
      </w:r>
    </w:p>
    <w:p w:rsidR="008F27DF" w:rsidRDefault="008F27DF" w:rsidP="008363EE">
      <w:pPr>
        <w:pStyle w:val="Style"/>
        <w:spacing w:line="360" w:lineRule="auto"/>
        <w:ind w:firstLine="1440"/>
        <w:rPr>
          <w:sz w:val="26"/>
          <w:szCs w:val="26"/>
        </w:rPr>
      </w:pPr>
    </w:p>
    <w:p w:rsidR="008F27DF" w:rsidRPr="003022F8" w:rsidRDefault="008F27DF" w:rsidP="008F27DF">
      <w:pPr>
        <w:adjustRightInd w:val="0"/>
        <w:spacing w:line="360" w:lineRule="auto"/>
        <w:ind w:firstLine="1440"/>
        <w:rPr>
          <w:bCs/>
          <w:color w:val="000000"/>
          <w:sz w:val="26"/>
          <w:szCs w:val="26"/>
        </w:rPr>
      </w:pPr>
      <w:r w:rsidRPr="003022F8">
        <w:rPr>
          <w:bCs/>
          <w:color w:val="000000"/>
          <w:sz w:val="26"/>
          <w:szCs w:val="26"/>
        </w:rPr>
        <w:t xml:space="preserve">On June 20, 2014, </w:t>
      </w:r>
      <w:r w:rsidR="00796BC2">
        <w:rPr>
          <w:bCs/>
          <w:color w:val="000000"/>
          <w:sz w:val="26"/>
          <w:szCs w:val="26"/>
        </w:rPr>
        <w:t xml:space="preserve">the </w:t>
      </w:r>
      <w:r w:rsidRPr="003022F8">
        <w:rPr>
          <w:bCs/>
          <w:color w:val="000000"/>
          <w:sz w:val="26"/>
          <w:szCs w:val="26"/>
        </w:rPr>
        <w:t>OAG</w:t>
      </w:r>
      <w:r>
        <w:rPr>
          <w:bCs/>
          <w:color w:val="000000"/>
          <w:sz w:val="26"/>
          <w:szCs w:val="26"/>
        </w:rPr>
        <w:t xml:space="preserve"> and </w:t>
      </w:r>
      <w:r w:rsidRPr="003022F8">
        <w:rPr>
          <w:bCs/>
          <w:color w:val="000000"/>
          <w:sz w:val="26"/>
          <w:szCs w:val="26"/>
        </w:rPr>
        <w:t>OCA</w:t>
      </w:r>
      <w:r>
        <w:rPr>
          <w:bCs/>
          <w:color w:val="000000"/>
          <w:sz w:val="26"/>
          <w:szCs w:val="26"/>
        </w:rPr>
        <w:t xml:space="preserve"> fi</w:t>
      </w:r>
      <w:r w:rsidRPr="003022F8">
        <w:rPr>
          <w:bCs/>
          <w:color w:val="000000"/>
          <w:sz w:val="26"/>
          <w:szCs w:val="26"/>
        </w:rPr>
        <w:t xml:space="preserve">led </w:t>
      </w:r>
      <w:r>
        <w:rPr>
          <w:bCs/>
          <w:color w:val="000000"/>
          <w:sz w:val="26"/>
          <w:szCs w:val="26"/>
        </w:rPr>
        <w:t xml:space="preserve">their </w:t>
      </w:r>
      <w:r w:rsidR="00796BC2">
        <w:rPr>
          <w:bCs/>
          <w:color w:val="000000"/>
          <w:sz w:val="26"/>
          <w:szCs w:val="26"/>
        </w:rPr>
        <w:t>C</w:t>
      </w:r>
      <w:r>
        <w:rPr>
          <w:bCs/>
          <w:color w:val="000000"/>
          <w:sz w:val="26"/>
          <w:szCs w:val="26"/>
        </w:rPr>
        <w:t xml:space="preserve">omplaint </w:t>
      </w:r>
      <w:r w:rsidRPr="003022F8">
        <w:rPr>
          <w:bCs/>
          <w:color w:val="000000"/>
          <w:sz w:val="26"/>
          <w:szCs w:val="26"/>
        </w:rPr>
        <w:t xml:space="preserve">with the </w:t>
      </w:r>
      <w:r>
        <w:rPr>
          <w:bCs/>
          <w:color w:val="000000"/>
          <w:sz w:val="26"/>
          <w:szCs w:val="26"/>
        </w:rPr>
        <w:t>C</w:t>
      </w:r>
      <w:r w:rsidRPr="003022F8">
        <w:rPr>
          <w:bCs/>
          <w:color w:val="000000"/>
          <w:sz w:val="26"/>
          <w:szCs w:val="26"/>
        </w:rPr>
        <w:t xml:space="preserve">ommission </w:t>
      </w:r>
      <w:r>
        <w:rPr>
          <w:bCs/>
          <w:color w:val="000000"/>
          <w:sz w:val="26"/>
          <w:szCs w:val="26"/>
        </w:rPr>
        <w:t>at Docket No.</w:t>
      </w:r>
      <w:r w:rsidRPr="003022F8">
        <w:rPr>
          <w:bCs/>
          <w:color w:val="000000"/>
          <w:sz w:val="26"/>
          <w:szCs w:val="26"/>
        </w:rPr>
        <w:t xml:space="preserve"> C-2014-2427659.  On July 10, 2014, Respond filed an Answer and New Matter in response to the Complaint</w:t>
      </w:r>
      <w:r>
        <w:rPr>
          <w:bCs/>
          <w:color w:val="000000"/>
          <w:sz w:val="26"/>
          <w:szCs w:val="26"/>
        </w:rPr>
        <w:t>,</w:t>
      </w:r>
      <w:r w:rsidRPr="003022F8">
        <w:rPr>
          <w:bCs/>
          <w:color w:val="000000"/>
          <w:sz w:val="26"/>
          <w:szCs w:val="26"/>
        </w:rPr>
        <w:t xml:space="preserve"> admitt</w:t>
      </w:r>
      <w:r>
        <w:rPr>
          <w:bCs/>
          <w:color w:val="000000"/>
          <w:sz w:val="26"/>
          <w:szCs w:val="26"/>
        </w:rPr>
        <w:t>ing</w:t>
      </w:r>
      <w:r w:rsidRPr="003022F8">
        <w:rPr>
          <w:bCs/>
          <w:color w:val="000000"/>
          <w:sz w:val="26"/>
          <w:szCs w:val="26"/>
        </w:rPr>
        <w:t xml:space="preserve"> or den</w:t>
      </w:r>
      <w:r>
        <w:rPr>
          <w:bCs/>
          <w:color w:val="000000"/>
          <w:sz w:val="26"/>
          <w:szCs w:val="26"/>
        </w:rPr>
        <w:t>ying</w:t>
      </w:r>
      <w:r w:rsidRPr="003022F8">
        <w:rPr>
          <w:bCs/>
          <w:color w:val="000000"/>
          <w:sz w:val="26"/>
          <w:szCs w:val="26"/>
        </w:rPr>
        <w:t xml:space="preserve"> the various averments.  </w:t>
      </w:r>
    </w:p>
    <w:p w:rsidR="008F27DF" w:rsidRDefault="008F27DF" w:rsidP="008F27DF">
      <w:pPr>
        <w:adjustRightInd w:val="0"/>
        <w:spacing w:line="360" w:lineRule="auto"/>
        <w:ind w:firstLine="1440"/>
        <w:rPr>
          <w:bCs/>
          <w:color w:val="000000"/>
          <w:sz w:val="26"/>
          <w:szCs w:val="26"/>
        </w:rPr>
      </w:pPr>
    </w:p>
    <w:p w:rsidR="008F27DF" w:rsidRPr="003022F8" w:rsidRDefault="008F27DF" w:rsidP="0018116F">
      <w:pPr>
        <w:widowControl/>
        <w:adjustRightInd w:val="0"/>
        <w:spacing w:line="360" w:lineRule="auto"/>
        <w:ind w:firstLine="1440"/>
        <w:rPr>
          <w:bCs/>
          <w:color w:val="000000"/>
          <w:sz w:val="26"/>
          <w:szCs w:val="26"/>
        </w:rPr>
      </w:pPr>
      <w:r w:rsidRPr="003022F8">
        <w:rPr>
          <w:bCs/>
          <w:color w:val="000000"/>
          <w:sz w:val="26"/>
          <w:szCs w:val="26"/>
        </w:rPr>
        <w:lastRenderedPageBreak/>
        <w:t xml:space="preserve">In New Matter, </w:t>
      </w:r>
      <w:r>
        <w:rPr>
          <w:bCs/>
          <w:color w:val="000000"/>
          <w:sz w:val="26"/>
          <w:szCs w:val="26"/>
        </w:rPr>
        <w:t>a</w:t>
      </w:r>
      <w:r w:rsidRPr="003022F8">
        <w:rPr>
          <w:bCs/>
          <w:color w:val="000000"/>
          <w:sz w:val="26"/>
          <w:szCs w:val="26"/>
        </w:rPr>
        <w:t>ccompanied by a Notice to Plead, Respond averred, among other things</w:t>
      </w:r>
      <w:r>
        <w:rPr>
          <w:bCs/>
          <w:color w:val="000000"/>
          <w:sz w:val="26"/>
          <w:szCs w:val="26"/>
        </w:rPr>
        <w:t>,</w:t>
      </w:r>
      <w:r w:rsidRPr="003022F8">
        <w:rPr>
          <w:bCs/>
          <w:color w:val="000000"/>
          <w:sz w:val="26"/>
          <w:szCs w:val="26"/>
        </w:rPr>
        <w:t xml:space="preserve"> that the </w:t>
      </w:r>
      <w:r w:rsidR="00796BC2">
        <w:rPr>
          <w:bCs/>
          <w:color w:val="000000"/>
          <w:sz w:val="26"/>
          <w:szCs w:val="26"/>
        </w:rPr>
        <w:t>C</w:t>
      </w:r>
      <w:r w:rsidRPr="003022F8">
        <w:rPr>
          <w:bCs/>
          <w:color w:val="000000"/>
          <w:sz w:val="26"/>
          <w:szCs w:val="26"/>
        </w:rPr>
        <w:t>omplaint ignores the market conditions that started in January 2014 that precipitated the variable price increases to which many consumers were exposed resulting in a spike in the volume of informal and formal complaints filed by consumers with the Commission.</w:t>
      </w:r>
      <w:r>
        <w:rPr>
          <w:bCs/>
          <w:color w:val="000000"/>
          <w:sz w:val="26"/>
          <w:szCs w:val="26"/>
        </w:rPr>
        <w:t xml:space="preserve">  </w:t>
      </w:r>
      <w:r>
        <w:rPr>
          <w:bCs/>
          <w:i/>
          <w:color w:val="000000"/>
          <w:sz w:val="26"/>
          <w:szCs w:val="26"/>
        </w:rPr>
        <w:t xml:space="preserve">See </w:t>
      </w:r>
      <w:r>
        <w:rPr>
          <w:bCs/>
          <w:color w:val="000000"/>
          <w:sz w:val="26"/>
          <w:szCs w:val="26"/>
        </w:rPr>
        <w:t>August 20 Order at 2.</w:t>
      </w:r>
      <w:r w:rsidRPr="003022F8">
        <w:rPr>
          <w:bCs/>
          <w:color w:val="000000"/>
          <w:sz w:val="26"/>
          <w:szCs w:val="26"/>
        </w:rPr>
        <w:t xml:space="preserve">  Respond further noted the Polar Vortex weather crisis that occurred that increased Respond’s costs.  Respond averred that various issues raised by the </w:t>
      </w:r>
      <w:r w:rsidR="00F01D00">
        <w:rPr>
          <w:bCs/>
          <w:color w:val="000000"/>
          <w:sz w:val="26"/>
          <w:szCs w:val="26"/>
        </w:rPr>
        <w:t>J</w:t>
      </w:r>
      <w:r w:rsidRPr="003022F8">
        <w:rPr>
          <w:bCs/>
          <w:color w:val="000000"/>
          <w:sz w:val="26"/>
          <w:szCs w:val="26"/>
        </w:rPr>
        <w:t xml:space="preserve">oint </w:t>
      </w:r>
      <w:r w:rsidR="00F01D00">
        <w:rPr>
          <w:bCs/>
          <w:color w:val="000000"/>
          <w:sz w:val="26"/>
          <w:szCs w:val="26"/>
        </w:rPr>
        <w:t>C</w:t>
      </w:r>
      <w:r w:rsidRPr="003022F8">
        <w:rPr>
          <w:bCs/>
          <w:color w:val="000000"/>
          <w:sz w:val="26"/>
          <w:szCs w:val="26"/>
        </w:rPr>
        <w:t>omplainants are beyond the Commission’s jurisdiction.  Respond requested that the Complaint be dismissed with prejudice.</w:t>
      </w:r>
      <w:r>
        <w:rPr>
          <w:bCs/>
          <w:color w:val="000000"/>
          <w:sz w:val="26"/>
          <w:szCs w:val="26"/>
        </w:rPr>
        <w:t xml:space="preserve">  </w:t>
      </w:r>
      <w:r>
        <w:rPr>
          <w:bCs/>
          <w:i/>
          <w:color w:val="000000"/>
          <w:sz w:val="26"/>
          <w:szCs w:val="26"/>
        </w:rPr>
        <w:t>Id</w:t>
      </w:r>
      <w:r>
        <w:rPr>
          <w:bCs/>
          <w:color w:val="000000"/>
          <w:sz w:val="26"/>
          <w:szCs w:val="26"/>
        </w:rPr>
        <w:t>.</w:t>
      </w:r>
    </w:p>
    <w:p w:rsidR="008F27DF" w:rsidRPr="003022F8" w:rsidRDefault="008F27DF" w:rsidP="008F27DF">
      <w:pPr>
        <w:adjustRightInd w:val="0"/>
        <w:spacing w:line="360" w:lineRule="auto"/>
        <w:ind w:firstLine="1440"/>
        <w:rPr>
          <w:bCs/>
          <w:color w:val="000000"/>
          <w:sz w:val="26"/>
          <w:szCs w:val="26"/>
        </w:rPr>
      </w:pPr>
    </w:p>
    <w:p w:rsidR="008F27DF" w:rsidRPr="003022F8" w:rsidRDefault="008F27DF" w:rsidP="008F27DF">
      <w:pPr>
        <w:adjustRightInd w:val="0"/>
        <w:spacing w:line="360" w:lineRule="auto"/>
        <w:ind w:firstLine="1440"/>
        <w:rPr>
          <w:bCs/>
          <w:color w:val="000000"/>
          <w:sz w:val="26"/>
          <w:szCs w:val="26"/>
        </w:rPr>
      </w:pPr>
      <w:r w:rsidRPr="003022F8">
        <w:rPr>
          <w:bCs/>
          <w:color w:val="000000"/>
          <w:sz w:val="26"/>
          <w:szCs w:val="26"/>
        </w:rPr>
        <w:t>Also on July 10, 2014, Respond filed Preliminary Objections in response to the Complaint</w:t>
      </w:r>
      <w:r>
        <w:rPr>
          <w:bCs/>
          <w:color w:val="000000"/>
          <w:sz w:val="26"/>
          <w:szCs w:val="26"/>
        </w:rPr>
        <w:t>,</w:t>
      </w:r>
      <w:r w:rsidRPr="003022F8">
        <w:rPr>
          <w:bCs/>
          <w:color w:val="000000"/>
          <w:sz w:val="26"/>
          <w:szCs w:val="26"/>
        </w:rPr>
        <w:t xml:space="preserve"> also accompanied by a Notice to Plead</w:t>
      </w:r>
      <w:r>
        <w:rPr>
          <w:bCs/>
          <w:color w:val="000000"/>
          <w:sz w:val="26"/>
          <w:szCs w:val="26"/>
        </w:rPr>
        <w:t xml:space="preserve">. </w:t>
      </w:r>
      <w:r w:rsidRPr="003022F8">
        <w:rPr>
          <w:bCs/>
          <w:color w:val="000000"/>
          <w:sz w:val="26"/>
          <w:szCs w:val="26"/>
        </w:rPr>
        <w:t xml:space="preserve"> Respond averred that five of the nine counts in the Complaint should be dismissed for lack of Commission jurisdiction, insufficient specificity of a pleading and/or legal insufficiency of a pleading, as discussed further below.</w:t>
      </w:r>
      <w:r>
        <w:rPr>
          <w:bCs/>
          <w:color w:val="000000"/>
          <w:sz w:val="26"/>
          <w:szCs w:val="26"/>
        </w:rPr>
        <w:t xml:space="preserve">  August 20 Order at 2.</w:t>
      </w:r>
    </w:p>
    <w:p w:rsidR="008F27DF" w:rsidRPr="003022F8" w:rsidRDefault="008F27DF" w:rsidP="008F27DF">
      <w:pPr>
        <w:adjustRightInd w:val="0"/>
        <w:spacing w:line="360" w:lineRule="auto"/>
        <w:ind w:firstLine="1440"/>
        <w:rPr>
          <w:bCs/>
          <w:color w:val="000000"/>
          <w:sz w:val="26"/>
          <w:szCs w:val="26"/>
        </w:rPr>
      </w:pPr>
    </w:p>
    <w:p w:rsidR="008F27DF" w:rsidRPr="003022F8" w:rsidRDefault="008F27DF" w:rsidP="008F27DF">
      <w:pPr>
        <w:adjustRightInd w:val="0"/>
        <w:spacing w:line="360" w:lineRule="auto"/>
        <w:ind w:firstLine="1440"/>
        <w:rPr>
          <w:bCs/>
          <w:color w:val="000000"/>
          <w:sz w:val="26"/>
          <w:szCs w:val="26"/>
        </w:rPr>
      </w:pPr>
      <w:r w:rsidRPr="003022F8">
        <w:rPr>
          <w:bCs/>
          <w:color w:val="000000"/>
          <w:sz w:val="26"/>
          <w:szCs w:val="26"/>
        </w:rPr>
        <w:t>On July 21, 2014, the Joint Complainants filed an Answer to Respond’s Preliminary Objections.  In their Answer, the Joint Complainants asserted that Respond’s Preliminary Objections are unsupported and should be overruled.  The Joint Complainants argued</w:t>
      </w:r>
      <w:r>
        <w:rPr>
          <w:bCs/>
          <w:color w:val="000000"/>
          <w:sz w:val="26"/>
          <w:szCs w:val="26"/>
        </w:rPr>
        <w:t xml:space="preserve">, </w:t>
      </w:r>
      <w:r>
        <w:rPr>
          <w:bCs/>
          <w:i/>
          <w:color w:val="000000"/>
          <w:sz w:val="26"/>
          <w:szCs w:val="26"/>
        </w:rPr>
        <w:t>inter alia</w:t>
      </w:r>
      <w:r>
        <w:rPr>
          <w:bCs/>
          <w:color w:val="000000"/>
          <w:sz w:val="26"/>
          <w:szCs w:val="26"/>
        </w:rPr>
        <w:t>,</w:t>
      </w:r>
      <w:r>
        <w:rPr>
          <w:bCs/>
          <w:i/>
          <w:color w:val="000000"/>
          <w:sz w:val="26"/>
          <w:szCs w:val="26"/>
        </w:rPr>
        <w:t xml:space="preserve"> </w:t>
      </w:r>
      <w:r w:rsidRPr="003022F8">
        <w:rPr>
          <w:bCs/>
          <w:color w:val="000000"/>
          <w:sz w:val="26"/>
          <w:szCs w:val="26"/>
        </w:rPr>
        <w:t xml:space="preserve">that the Complaint is sufficiently pleaded and seeks that the Commission make determinations pursuant to the Commission’s powers and jurisdiction.  </w:t>
      </w:r>
      <w:r>
        <w:rPr>
          <w:bCs/>
          <w:color w:val="000000"/>
          <w:sz w:val="26"/>
          <w:szCs w:val="26"/>
        </w:rPr>
        <w:t>S</w:t>
      </w:r>
      <w:r w:rsidRPr="003022F8">
        <w:rPr>
          <w:bCs/>
          <w:color w:val="000000"/>
          <w:sz w:val="26"/>
          <w:szCs w:val="26"/>
        </w:rPr>
        <w:t xml:space="preserve">pecifically, the </w:t>
      </w:r>
      <w:r w:rsidR="001E27E6">
        <w:rPr>
          <w:bCs/>
          <w:color w:val="000000"/>
          <w:sz w:val="26"/>
          <w:szCs w:val="26"/>
        </w:rPr>
        <w:t>J</w:t>
      </w:r>
      <w:r w:rsidRPr="003022F8">
        <w:rPr>
          <w:bCs/>
          <w:color w:val="000000"/>
          <w:sz w:val="26"/>
          <w:szCs w:val="26"/>
        </w:rPr>
        <w:t>oint</w:t>
      </w:r>
      <w:r>
        <w:rPr>
          <w:bCs/>
          <w:color w:val="000000"/>
          <w:sz w:val="26"/>
          <w:szCs w:val="26"/>
        </w:rPr>
        <w:t xml:space="preserve"> </w:t>
      </w:r>
      <w:r w:rsidR="001E27E6">
        <w:rPr>
          <w:bCs/>
          <w:color w:val="000000"/>
          <w:sz w:val="26"/>
          <w:szCs w:val="26"/>
        </w:rPr>
        <w:t>C</w:t>
      </w:r>
      <w:r w:rsidRPr="003022F8">
        <w:rPr>
          <w:bCs/>
          <w:color w:val="000000"/>
          <w:sz w:val="26"/>
          <w:szCs w:val="26"/>
        </w:rPr>
        <w:t>omplainants averred that the Commission has jurisdiction to hear cases brought pursuant to the CPL and the TRA.</w:t>
      </w:r>
    </w:p>
    <w:p w:rsidR="008F27DF" w:rsidRPr="003022F8" w:rsidRDefault="008F27DF" w:rsidP="008F27DF">
      <w:pPr>
        <w:adjustRightInd w:val="0"/>
        <w:spacing w:line="360" w:lineRule="auto"/>
        <w:ind w:firstLine="1440"/>
        <w:rPr>
          <w:bCs/>
          <w:color w:val="000000"/>
          <w:sz w:val="26"/>
          <w:szCs w:val="26"/>
        </w:rPr>
      </w:pPr>
    </w:p>
    <w:p w:rsidR="008F27DF" w:rsidRPr="003022F8" w:rsidRDefault="008F27DF" w:rsidP="0018116F">
      <w:pPr>
        <w:widowControl/>
        <w:adjustRightInd w:val="0"/>
        <w:spacing w:line="360" w:lineRule="auto"/>
        <w:ind w:firstLine="1440"/>
        <w:rPr>
          <w:bCs/>
          <w:color w:val="000000"/>
          <w:sz w:val="26"/>
          <w:szCs w:val="26"/>
        </w:rPr>
      </w:pPr>
      <w:r w:rsidRPr="003022F8">
        <w:rPr>
          <w:bCs/>
          <w:color w:val="000000"/>
          <w:sz w:val="26"/>
          <w:szCs w:val="26"/>
        </w:rPr>
        <w:t xml:space="preserve">On July 30, 2014, </w:t>
      </w:r>
      <w:r w:rsidR="001903D3">
        <w:rPr>
          <w:bCs/>
          <w:color w:val="000000"/>
          <w:sz w:val="26"/>
          <w:szCs w:val="26"/>
        </w:rPr>
        <w:t xml:space="preserve">the </w:t>
      </w:r>
      <w:r>
        <w:rPr>
          <w:bCs/>
          <w:color w:val="000000"/>
          <w:sz w:val="26"/>
          <w:szCs w:val="26"/>
        </w:rPr>
        <w:t>OAG/OCA</w:t>
      </w:r>
      <w:r w:rsidRPr="003022F8">
        <w:rPr>
          <w:bCs/>
          <w:color w:val="000000"/>
          <w:sz w:val="26"/>
          <w:szCs w:val="26"/>
        </w:rPr>
        <w:t xml:space="preserve"> filed an Answer to Respond’s New Matter.  In the Answer, </w:t>
      </w:r>
      <w:r w:rsidR="001903D3">
        <w:rPr>
          <w:bCs/>
          <w:color w:val="000000"/>
          <w:sz w:val="26"/>
          <w:szCs w:val="26"/>
        </w:rPr>
        <w:t xml:space="preserve">the </w:t>
      </w:r>
      <w:r>
        <w:rPr>
          <w:bCs/>
          <w:color w:val="000000"/>
          <w:sz w:val="26"/>
          <w:szCs w:val="26"/>
        </w:rPr>
        <w:t xml:space="preserve">OAG/OCA </w:t>
      </w:r>
      <w:r w:rsidRPr="003022F8">
        <w:rPr>
          <w:bCs/>
          <w:color w:val="000000"/>
          <w:sz w:val="26"/>
          <w:szCs w:val="26"/>
        </w:rPr>
        <w:t>den</w:t>
      </w:r>
      <w:r w:rsidR="001903D3">
        <w:rPr>
          <w:bCs/>
          <w:color w:val="000000"/>
          <w:sz w:val="26"/>
          <w:szCs w:val="26"/>
        </w:rPr>
        <w:t>ied</w:t>
      </w:r>
      <w:r w:rsidRPr="003022F8">
        <w:rPr>
          <w:bCs/>
          <w:color w:val="000000"/>
          <w:sz w:val="26"/>
          <w:szCs w:val="26"/>
        </w:rPr>
        <w:t xml:space="preserve"> that they have ignored market conditions and </w:t>
      </w:r>
      <w:r>
        <w:rPr>
          <w:bCs/>
          <w:color w:val="000000"/>
          <w:sz w:val="26"/>
          <w:szCs w:val="26"/>
        </w:rPr>
        <w:t>reference</w:t>
      </w:r>
      <w:r w:rsidRPr="003022F8">
        <w:rPr>
          <w:bCs/>
          <w:color w:val="000000"/>
          <w:sz w:val="26"/>
          <w:szCs w:val="26"/>
        </w:rPr>
        <w:t xml:space="preserve"> the affidavit attached to the Complaint regarding the cost to serve the average residential heating customer in the period in question.</w:t>
      </w:r>
      <w:r>
        <w:rPr>
          <w:bCs/>
          <w:color w:val="000000"/>
          <w:sz w:val="26"/>
          <w:szCs w:val="26"/>
        </w:rPr>
        <w:t xml:space="preserve">  August 20 Order at 3.</w:t>
      </w:r>
      <w:r w:rsidRPr="003022F8">
        <w:rPr>
          <w:bCs/>
          <w:color w:val="000000"/>
          <w:sz w:val="26"/>
          <w:szCs w:val="26"/>
        </w:rPr>
        <w:t xml:space="preserve">  </w:t>
      </w:r>
      <w:r w:rsidR="001903D3">
        <w:rPr>
          <w:bCs/>
          <w:color w:val="000000"/>
          <w:sz w:val="26"/>
          <w:szCs w:val="26"/>
        </w:rPr>
        <w:lastRenderedPageBreak/>
        <w:t xml:space="preserve">The </w:t>
      </w:r>
      <w:r>
        <w:rPr>
          <w:bCs/>
          <w:color w:val="000000"/>
          <w:sz w:val="26"/>
          <w:szCs w:val="26"/>
        </w:rPr>
        <w:t>OAG/OCA also</w:t>
      </w:r>
      <w:r w:rsidRPr="003022F8">
        <w:rPr>
          <w:bCs/>
          <w:color w:val="000000"/>
          <w:sz w:val="26"/>
          <w:szCs w:val="26"/>
        </w:rPr>
        <w:t xml:space="preserve"> denied that Respond adjusted its variable prices consistent with the terms and conditions of its Disclosure Statement in early 2014.</w:t>
      </w:r>
      <w:r>
        <w:rPr>
          <w:bCs/>
          <w:color w:val="000000"/>
          <w:sz w:val="26"/>
          <w:szCs w:val="26"/>
        </w:rPr>
        <w:t xml:space="preserve">  </w:t>
      </w:r>
      <w:r>
        <w:rPr>
          <w:bCs/>
          <w:i/>
          <w:color w:val="000000"/>
          <w:sz w:val="26"/>
          <w:szCs w:val="26"/>
        </w:rPr>
        <w:t>Id</w:t>
      </w:r>
      <w:r>
        <w:rPr>
          <w:bCs/>
          <w:color w:val="000000"/>
          <w:sz w:val="26"/>
          <w:szCs w:val="26"/>
        </w:rPr>
        <w:t>.</w:t>
      </w:r>
      <w:r w:rsidRPr="003022F8">
        <w:rPr>
          <w:bCs/>
          <w:color w:val="000000"/>
          <w:sz w:val="26"/>
          <w:szCs w:val="26"/>
        </w:rPr>
        <w:t xml:space="preserve">  </w:t>
      </w:r>
    </w:p>
    <w:p w:rsidR="008F27DF" w:rsidRPr="003022F8" w:rsidRDefault="008F27DF" w:rsidP="008F27DF">
      <w:pPr>
        <w:adjustRightInd w:val="0"/>
        <w:spacing w:line="360" w:lineRule="auto"/>
        <w:ind w:firstLine="1440"/>
        <w:rPr>
          <w:bCs/>
          <w:color w:val="000000"/>
          <w:sz w:val="26"/>
          <w:szCs w:val="26"/>
        </w:rPr>
      </w:pPr>
    </w:p>
    <w:p w:rsidR="008F27DF" w:rsidRDefault="008F27DF" w:rsidP="008F27DF">
      <w:pPr>
        <w:adjustRightInd w:val="0"/>
        <w:spacing w:line="360" w:lineRule="auto"/>
        <w:ind w:firstLine="1440"/>
        <w:rPr>
          <w:bCs/>
          <w:color w:val="000000"/>
          <w:sz w:val="26"/>
          <w:szCs w:val="26"/>
        </w:rPr>
      </w:pPr>
      <w:r w:rsidRPr="003022F8">
        <w:rPr>
          <w:bCs/>
          <w:color w:val="000000"/>
          <w:sz w:val="26"/>
          <w:szCs w:val="26"/>
        </w:rPr>
        <w:t>A</w:t>
      </w:r>
      <w:r>
        <w:rPr>
          <w:bCs/>
          <w:color w:val="000000"/>
          <w:sz w:val="26"/>
          <w:szCs w:val="26"/>
        </w:rPr>
        <w:t>s noted, an interim order, granting in part, and denying, in part, Respond’s preliminary objections was issued August 20, 2014.  A</w:t>
      </w:r>
      <w:r w:rsidRPr="003022F8">
        <w:rPr>
          <w:bCs/>
          <w:color w:val="000000"/>
          <w:sz w:val="26"/>
          <w:szCs w:val="26"/>
        </w:rPr>
        <w:t xml:space="preserve"> Prehearing Conference establishing an Initial Prehearing Conference for this matter </w:t>
      </w:r>
      <w:r>
        <w:rPr>
          <w:bCs/>
          <w:color w:val="000000"/>
          <w:sz w:val="26"/>
          <w:szCs w:val="26"/>
        </w:rPr>
        <w:t xml:space="preserve">was noticed </w:t>
      </w:r>
      <w:r w:rsidRPr="003022F8">
        <w:rPr>
          <w:bCs/>
          <w:color w:val="000000"/>
          <w:sz w:val="26"/>
          <w:szCs w:val="26"/>
        </w:rPr>
        <w:t>for August 25, 2014</w:t>
      </w:r>
      <w:r>
        <w:rPr>
          <w:bCs/>
          <w:color w:val="000000"/>
          <w:sz w:val="26"/>
          <w:szCs w:val="26"/>
        </w:rPr>
        <w:t>.</w:t>
      </w:r>
      <w:r w:rsidRPr="003022F8">
        <w:rPr>
          <w:bCs/>
          <w:color w:val="000000"/>
          <w:sz w:val="26"/>
          <w:szCs w:val="26"/>
        </w:rPr>
        <w:t xml:space="preserve"> </w:t>
      </w:r>
    </w:p>
    <w:p w:rsidR="001903D3" w:rsidRDefault="001903D3" w:rsidP="008F27DF">
      <w:pPr>
        <w:adjustRightInd w:val="0"/>
        <w:spacing w:line="360" w:lineRule="auto"/>
        <w:ind w:firstLine="1440"/>
        <w:rPr>
          <w:bCs/>
          <w:color w:val="000000"/>
          <w:sz w:val="26"/>
          <w:szCs w:val="26"/>
        </w:rPr>
      </w:pPr>
    </w:p>
    <w:p w:rsidR="008F27DF" w:rsidRDefault="008F27DF" w:rsidP="008F27DF">
      <w:pPr>
        <w:spacing w:line="360" w:lineRule="auto"/>
        <w:ind w:firstLine="1440"/>
        <w:rPr>
          <w:color w:val="000000"/>
          <w:sz w:val="26"/>
        </w:rPr>
      </w:pPr>
      <w:r>
        <w:rPr>
          <w:color w:val="000000"/>
          <w:sz w:val="26"/>
        </w:rPr>
        <w:t xml:space="preserve">On September 8, 2014, </w:t>
      </w:r>
      <w:r w:rsidR="001903D3">
        <w:rPr>
          <w:color w:val="000000"/>
          <w:sz w:val="26"/>
        </w:rPr>
        <w:t xml:space="preserve">the </w:t>
      </w:r>
      <w:r>
        <w:rPr>
          <w:color w:val="000000"/>
          <w:sz w:val="26"/>
        </w:rPr>
        <w:t xml:space="preserve">OAG and OCA filed their Joint Petition.  On September 18, 2014, Briefs in support of the Joint Petition and in opposition thereto were filed by the Parties. </w:t>
      </w:r>
    </w:p>
    <w:p w:rsidR="008363EE" w:rsidRPr="008363EE" w:rsidRDefault="00C16B03" w:rsidP="008F27DF">
      <w:pPr>
        <w:pStyle w:val="Style"/>
        <w:spacing w:line="360" w:lineRule="auto"/>
        <w:rPr>
          <w:bCs/>
          <w:color w:val="000000"/>
          <w:sz w:val="26"/>
          <w:szCs w:val="26"/>
        </w:rPr>
      </w:pPr>
      <w:r>
        <w:rPr>
          <w:sz w:val="26"/>
          <w:szCs w:val="26"/>
        </w:rPr>
        <w:t xml:space="preserve">  </w:t>
      </w:r>
      <w:r w:rsidR="00FE31E3">
        <w:rPr>
          <w:sz w:val="26"/>
          <w:szCs w:val="26"/>
        </w:rPr>
        <w:t xml:space="preserve">   </w:t>
      </w:r>
    </w:p>
    <w:p w:rsidR="002A4A4B" w:rsidRPr="00AC7895" w:rsidRDefault="00327853" w:rsidP="00AC7895">
      <w:pPr>
        <w:spacing w:line="360" w:lineRule="auto"/>
        <w:jc w:val="center"/>
        <w:rPr>
          <w:b/>
          <w:color w:val="000000"/>
          <w:sz w:val="26"/>
        </w:rPr>
      </w:pPr>
      <w:r w:rsidRPr="00327853">
        <w:rPr>
          <w:b/>
          <w:color w:val="000000"/>
          <w:sz w:val="26"/>
        </w:rPr>
        <w:t>Discussion</w:t>
      </w:r>
    </w:p>
    <w:p w:rsidR="008363EE" w:rsidRDefault="008363EE" w:rsidP="006067E6">
      <w:pPr>
        <w:spacing w:line="360" w:lineRule="auto"/>
        <w:ind w:firstLine="1440"/>
        <w:rPr>
          <w:sz w:val="26"/>
          <w:szCs w:val="26"/>
        </w:rPr>
      </w:pPr>
    </w:p>
    <w:p w:rsidR="006067E6" w:rsidRDefault="006067E6" w:rsidP="006067E6">
      <w:pPr>
        <w:spacing w:line="360" w:lineRule="auto"/>
        <w:ind w:firstLine="1440"/>
        <w:rPr>
          <w:sz w:val="26"/>
          <w:szCs w:val="26"/>
        </w:rPr>
      </w:pPr>
      <w:r>
        <w:rPr>
          <w:sz w:val="26"/>
          <w:szCs w:val="26"/>
        </w:rPr>
        <w:t>We take official notice that the instant Complaint is one of four complaints filed by the OAG and the OCA prosecuting consumer claims against companies providing variable rate</w:t>
      </w:r>
      <w:r w:rsidR="008363EE">
        <w:rPr>
          <w:sz w:val="26"/>
          <w:szCs w:val="26"/>
        </w:rPr>
        <w:t xml:space="preserve"> electric generation</w:t>
      </w:r>
      <w:r w:rsidR="00050DD5">
        <w:rPr>
          <w:sz w:val="26"/>
          <w:szCs w:val="26"/>
        </w:rPr>
        <w:t xml:space="preserve"> supplier</w:t>
      </w:r>
      <w:r w:rsidR="008363EE">
        <w:rPr>
          <w:sz w:val="26"/>
          <w:szCs w:val="26"/>
        </w:rPr>
        <w:t xml:space="preserve"> service</w:t>
      </w:r>
      <w:r>
        <w:rPr>
          <w:sz w:val="26"/>
          <w:szCs w:val="26"/>
        </w:rPr>
        <w:t xml:space="preserve"> pursuant to Section 2809 of the Code, 66 Pa. C.S. § 2809.  </w:t>
      </w:r>
      <w:r>
        <w:rPr>
          <w:i/>
          <w:sz w:val="26"/>
          <w:szCs w:val="26"/>
        </w:rPr>
        <w:t>See</w:t>
      </w:r>
      <w:r>
        <w:rPr>
          <w:sz w:val="26"/>
          <w:szCs w:val="26"/>
        </w:rPr>
        <w:t xml:space="preserve"> 66 Pa. C.S. § 331(g), pertaining to official notice; </w:t>
      </w:r>
      <w:r>
        <w:rPr>
          <w:i/>
          <w:sz w:val="26"/>
          <w:szCs w:val="26"/>
        </w:rPr>
        <w:t>see</w:t>
      </w:r>
      <w:r w:rsidR="00FA2042">
        <w:rPr>
          <w:i/>
          <w:sz w:val="26"/>
          <w:szCs w:val="26"/>
        </w:rPr>
        <w:t xml:space="preserve"> also</w:t>
      </w:r>
      <w:r>
        <w:rPr>
          <w:sz w:val="26"/>
          <w:szCs w:val="26"/>
        </w:rPr>
        <w:t>, 52 Pa. Code § 5.408, pertaining to official and judicial notice of fact.  The four complaints involve substantially similar, although not identical, issues.</w:t>
      </w:r>
    </w:p>
    <w:p w:rsidR="006067E6" w:rsidRDefault="006067E6" w:rsidP="006067E6">
      <w:pPr>
        <w:spacing w:line="360" w:lineRule="auto"/>
        <w:ind w:firstLine="1440"/>
        <w:rPr>
          <w:sz w:val="26"/>
          <w:szCs w:val="26"/>
        </w:rPr>
      </w:pPr>
    </w:p>
    <w:p w:rsidR="006067E6" w:rsidRPr="00EB5F05" w:rsidRDefault="00050DD5" w:rsidP="006067E6">
      <w:pPr>
        <w:pStyle w:val="FootnoteText"/>
        <w:spacing w:line="360" w:lineRule="auto"/>
        <w:ind w:firstLine="1440"/>
        <w:rPr>
          <w:i/>
        </w:rPr>
      </w:pPr>
      <w:r>
        <w:rPr>
          <w:sz w:val="26"/>
          <w:szCs w:val="26"/>
        </w:rPr>
        <w:t xml:space="preserve">The </w:t>
      </w:r>
      <w:r w:rsidR="006067E6">
        <w:rPr>
          <w:sz w:val="26"/>
          <w:szCs w:val="26"/>
        </w:rPr>
        <w:t xml:space="preserve">OAG and OCA have initiated formal complaints against EGS service providers at the following dockets: </w:t>
      </w:r>
      <w:r w:rsidR="006067E6">
        <w:rPr>
          <w:bCs/>
          <w:i/>
          <w:color w:val="000000"/>
          <w:sz w:val="26"/>
          <w:szCs w:val="26"/>
        </w:rPr>
        <w:t>Blue Pilot</w:t>
      </w:r>
      <w:r w:rsidR="006067E6">
        <w:rPr>
          <w:bCs/>
          <w:color w:val="000000"/>
          <w:sz w:val="26"/>
          <w:szCs w:val="26"/>
        </w:rPr>
        <w:t xml:space="preserve">, </w:t>
      </w:r>
      <w:r w:rsidR="006067E6">
        <w:rPr>
          <w:bCs/>
          <w:i/>
          <w:color w:val="000000"/>
          <w:sz w:val="26"/>
          <w:szCs w:val="26"/>
        </w:rPr>
        <w:t>supra</w:t>
      </w:r>
      <w:r w:rsidR="006067E6">
        <w:rPr>
          <w:bCs/>
          <w:color w:val="000000"/>
          <w:sz w:val="26"/>
          <w:szCs w:val="26"/>
        </w:rPr>
        <w:t xml:space="preserve">; </w:t>
      </w:r>
      <w:r w:rsidR="006067E6">
        <w:rPr>
          <w:bCs/>
          <w:i/>
          <w:color w:val="000000"/>
          <w:sz w:val="26"/>
          <w:szCs w:val="26"/>
        </w:rPr>
        <w:t>IDT</w:t>
      </w:r>
      <w:r w:rsidR="006067E6">
        <w:rPr>
          <w:bCs/>
          <w:color w:val="000000"/>
          <w:sz w:val="26"/>
          <w:szCs w:val="26"/>
        </w:rPr>
        <w:t xml:space="preserve">, </w:t>
      </w:r>
      <w:r w:rsidR="006067E6">
        <w:rPr>
          <w:bCs/>
          <w:i/>
          <w:color w:val="000000"/>
          <w:sz w:val="26"/>
          <w:szCs w:val="26"/>
        </w:rPr>
        <w:t>supra</w:t>
      </w:r>
      <w:r w:rsidR="006067E6">
        <w:rPr>
          <w:bCs/>
          <w:color w:val="000000"/>
          <w:sz w:val="26"/>
          <w:szCs w:val="26"/>
        </w:rPr>
        <w:t xml:space="preserve">; and </w:t>
      </w:r>
      <w:r w:rsidR="006067E6" w:rsidRPr="00EB5F05">
        <w:rPr>
          <w:i/>
          <w:sz w:val="26"/>
          <w:szCs w:val="26"/>
        </w:rPr>
        <w:t xml:space="preserve">Commonwealth of Pa., et al. v. </w:t>
      </w:r>
      <w:r w:rsidR="006067E6">
        <w:rPr>
          <w:i/>
          <w:sz w:val="26"/>
          <w:szCs w:val="26"/>
        </w:rPr>
        <w:t xml:space="preserve">Energy Services Providers, Inc. d/b/a Pennsylvania Gas &amp; </w:t>
      </w:r>
      <w:r w:rsidR="006067E6" w:rsidRPr="00B34F2B">
        <w:rPr>
          <w:sz w:val="26"/>
          <w:szCs w:val="26"/>
        </w:rPr>
        <w:t>Electric</w:t>
      </w:r>
      <w:r w:rsidR="006067E6">
        <w:rPr>
          <w:sz w:val="26"/>
          <w:szCs w:val="26"/>
        </w:rPr>
        <w:t xml:space="preserve">, Docket No. </w:t>
      </w:r>
      <w:r w:rsidR="006067E6" w:rsidRPr="00B34F2B">
        <w:rPr>
          <w:bCs/>
          <w:color w:val="000000"/>
          <w:sz w:val="26"/>
          <w:szCs w:val="26"/>
        </w:rPr>
        <w:t>C</w:t>
      </w:r>
      <w:r w:rsidR="006067E6">
        <w:rPr>
          <w:bCs/>
          <w:color w:val="000000"/>
          <w:sz w:val="26"/>
          <w:szCs w:val="26"/>
        </w:rPr>
        <w:t>-2014-</w:t>
      </w:r>
      <w:r w:rsidR="00FA2042">
        <w:rPr>
          <w:bCs/>
          <w:color w:val="000000"/>
          <w:sz w:val="26"/>
          <w:szCs w:val="26"/>
        </w:rPr>
        <w:t>2</w:t>
      </w:r>
      <w:r w:rsidR="006067E6">
        <w:rPr>
          <w:bCs/>
          <w:color w:val="000000"/>
          <w:sz w:val="26"/>
          <w:szCs w:val="26"/>
        </w:rPr>
        <w:t>427656.</w:t>
      </w:r>
    </w:p>
    <w:p w:rsidR="006067E6" w:rsidRPr="00B0474F" w:rsidRDefault="006067E6" w:rsidP="006067E6">
      <w:pPr>
        <w:spacing w:line="360" w:lineRule="auto"/>
        <w:rPr>
          <w:sz w:val="26"/>
          <w:szCs w:val="26"/>
        </w:rPr>
      </w:pPr>
    </w:p>
    <w:p w:rsidR="006067E6" w:rsidRPr="0046195E" w:rsidRDefault="006067E6" w:rsidP="006067E6">
      <w:pPr>
        <w:spacing w:line="360" w:lineRule="auto"/>
        <w:ind w:firstLine="1440"/>
        <w:rPr>
          <w:sz w:val="26"/>
          <w:szCs w:val="26"/>
        </w:rPr>
      </w:pPr>
      <w:r>
        <w:rPr>
          <w:sz w:val="26"/>
          <w:szCs w:val="26"/>
        </w:rPr>
        <w:t xml:space="preserve">Each above-cited complaint has been the subject of interim orders of the presiding ALJs, granting in part, and denying, in part, preliminary objections filed by the EGS company/respondent.  Subsequent to the interim orders, </w:t>
      </w:r>
      <w:r w:rsidR="00FA2042">
        <w:rPr>
          <w:sz w:val="26"/>
          <w:szCs w:val="26"/>
        </w:rPr>
        <w:t xml:space="preserve">various </w:t>
      </w:r>
      <w:r>
        <w:rPr>
          <w:sz w:val="26"/>
          <w:szCs w:val="26"/>
        </w:rPr>
        <w:t xml:space="preserve">Parties in the cases </w:t>
      </w:r>
      <w:r>
        <w:rPr>
          <w:sz w:val="26"/>
          <w:szCs w:val="26"/>
        </w:rPr>
        <w:lastRenderedPageBreak/>
        <w:t xml:space="preserve">have filed Petitions for Interlocutory Commission Review and Answer to Material Questions based on the rulings of the presiding </w:t>
      </w:r>
      <w:r w:rsidR="00FA2042">
        <w:rPr>
          <w:sz w:val="26"/>
          <w:szCs w:val="26"/>
        </w:rPr>
        <w:t>o</w:t>
      </w:r>
      <w:r>
        <w:rPr>
          <w:sz w:val="26"/>
          <w:szCs w:val="26"/>
        </w:rPr>
        <w:t xml:space="preserve">fficers.  </w:t>
      </w:r>
      <w:r>
        <w:rPr>
          <w:i/>
          <w:sz w:val="26"/>
          <w:szCs w:val="26"/>
        </w:rPr>
        <w:t xml:space="preserve">See </w:t>
      </w:r>
      <w:r>
        <w:rPr>
          <w:sz w:val="26"/>
          <w:szCs w:val="26"/>
        </w:rPr>
        <w:t xml:space="preserve">52 Pa. Code </w:t>
      </w:r>
      <w:r w:rsidR="00FA2042">
        <w:rPr>
          <w:sz w:val="26"/>
          <w:szCs w:val="26"/>
        </w:rPr>
        <w:br/>
      </w:r>
      <w:r>
        <w:rPr>
          <w:sz w:val="26"/>
          <w:szCs w:val="26"/>
        </w:rPr>
        <w:t>§ 5.301.</w:t>
      </w:r>
    </w:p>
    <w:p w:rsidR="006067E6" w:rsidRDefault="006067E6" w:rsidP="006067E6">
      <w:pPr>
        <w:spacing w:line="360" w:lineRule="auto"/>
        <w:ind w:firstLine="1440"/>
        <w:rPr>
          <w:sz w:val="26"/>
          <w:szCs w:val="26"/>
        </w:rPr>
      </w:pPr>
    </w:p>
    <w:p w:rsidR="006067E6" w:rsidRDefault="006067E6" w:rsidP="006067E6">
      <w:pPr>
        <w:spacing w:line="360" w:lineRule="auto"/>
        <w:ind w:firstLine="1440"/>
        <w:rPr>
          <w:sz w:val="26"/>
          <w:szCs w:val="26"/>
        </w:rPr>
      </w:pPr>
      <w:r>
        <w:rPr>
          <w:sz w:val="26"/>
          <w:szCs w:val="26"/>
        </w:rPr>
        <w:t xml:space="preserve">Specifically, </w:t>
      </w:r>
      <w:r w:rsidR="00FA2042">
        <w:rPr>
          <w:sz w:val="26"/>
          <w:szCs w:val="26"/>
        </w:rPr>
        <w:t xml:space="preserve">the </w:t>
      </w:r>
      <w:r>
        <w:rPr>
          <w:sz w:val="26"/>
          <w:szCs w:val="26"/>
        </w:rPr>
        <w:t>OAG and OCA</w:t>
      </w:r>
      <w:r w:rsidR="00C55F70">
        <w:rPr>
          <w:sz w:val="26"/>
          <w:szCs w:val="26"/>
        </w:rPr>
        <w:t xml:space="preserve"> raised the following questions for interlocutory Commission review in </w:t>
      </w:r>
      <w:r w:rsidR="00C55F70">
        <w:rPr>
          <w:i/>
          <w:sz w:val="26"/>
          <w:szCs w:val="26"/>
        </w:rPr>
        <w:t>Blue Pilot</w:t>
      </w:r>
      <w:r>
        <w:rPr>
          <w:sz w:val="26"/>
          <w:szCs w:val="26"/>
        </w:rPr>
        <w:t xml:space="preserve">, in response to an interim </w:t>
      </w:r>
      <w:r w:rsidR="00C55F70">
        <w:rPr>
          <w:sz w:val="26"/>
          <w:szCs w:val="26"/>
        </w:rPr>
        <w:t>order</w:t>
      </w:r>
      <w:r>
        <w:rPr>
          <w:sz w:val="26"/>
          <w:szCs w:val="26"/>
        </w:rPr>
        <w:t xml:space="preserve"> of the presiding ALJs in that proceeding:</w:t>
      </w:r>
    </w:p>
    <w:p w:rsidR="006067E6" w:rsidRDefault="006067E6" w:rsidP="006067E6">
      <w:pPr>
        <w:spacing w:line="360" w:lineRule="auto"/>
        <w:ind w:firstLine="1440"/>
        <w:rPr>
          <w:sz w:val="26"/>
          <w:szCs w:val="26"/>
        </w:rPr>
      </w:pPr>
    </w:p>
    <w:p w:rsidR="006067E6" w:rsidRDefault="006067E6" w:rsidP="006067E6">
      <w:pPr>
        <w:pStyle w:val="ListParagraph"/>
        <w:numPr>
          <w:ilvl w:val="0"/>
          <w:numId w:val="2"/>
        </w:numPr>
        <w:ind w:right="1440"/>
        <w:rPr>
          <w:sz w:val="26"/>
          <w:szCs w:val="26"/>
        </w:rPr>
      </w:pPr>
      <w:r w:rsidRPr="00934A99">
        <w:rPr>
          <w:sz w:val="26"/>
          <w:szCs w:val="26"/>
        </w:rPr>
        <w:t>Does the Commission have authority and jurisdiction to determine whether a violation of the Unfair Trade Practices and Consumer Protection Law and Telemarketer Registration Act has occurred when considering whether the Commission’s regulations – which require compliance with these laws – have been violated?</w:t>
      </w:r>
    </w:p>
    <w:p w:rsidR="006067E6" w:rsidRPr="00934A99" w:rsidRDefault="006067E6" w:rsidP="006067E6">
      <w:pPr>
        <w:ind w:right="1440"/>
        <w:rPr>
          <w:sz w:val="26"/>
          <w:szCs w:val="26"/>
        </w:rPr>
      </w:pPr>
    </w:p>
    <w:p w:rsidR="006067E6" w:rsidRDefault="006067E6" w:rsidP="006067E6">
      <w:pPr>
        <w:pStyle w:val="ListParagraph"/>
        <w:numPr>
          <w:ilvl w:val="0"/>
          <w:numId w:val="2"/>
        </w:numPr>
        <w:ind w:right="1440"/>
        <w:rPr>
          <w:sz w:val="26"/>
          <w:szCs w:val="26"/>
        </w:rPr>
      </w:pPr>
      <w:r w:rsidRPr="00934A99">
        <w:rPr>
          <w:sz w:val="26"/>
          <w:szCs w:val="26"/>
        </w:rPr>
        <w:t>Does the Commission have the authority and jurisdiction to determine whether the prices charged to customers by an electric generation supplier conform to the EGS disclosure statement regarding pricing?</w:t>
      </w:r>
    </w:p>
    <w:p w:rsidR="003001DB" w:rsidRPr="00934A99" w:rsidRDefault="003001DB" w:rsidP="0018116F">
      <w:pPr>
        <w:pStyle w:val="ListParagraph"/>
        <w:ind w:left="1800" w:right="1440"/>
        <w:rPr>
          <w:sz w:val="26"/>
          <w:szCs w:val="26"/>
        </w:rPr>
      </w:pPr>
    </w:p>
    <w:p w:rsidR="006067E6" w:rsidRDefault="006067E6" w:rsidP="006067E6">
      <w:pPr>
        <w:spacing w:line="360" w:lineRule="auto"/>
        <w:rPr>
          <w:sz w:val="26"/>
          <w:szCs w:val="26"/>
        </w:rPr>
      </w:pPr>
      <w:r>
        <w:rPr>
          <w:i/>
          <w:sz w:val="26"/>
          <w:szCs w:val="26"/>
        </w:rPr>
        <w:t>Blue Pilot</w:t>
      </w:r>
      <w:r>
        <w:rPr>
          <w:sz w:val="26"/>
          <w:szCs w:val="26"/>
        </w:rPr>
        <w:t xml:space="preserve"> at 2.   </w:t>
      </w:r>
    </w:p>
    <w:p w:rsidR="006067E6" w:rsidRDefault="006067E6" w:rsidP="006067E6">
      <w:pPr>
        <w:spacing w:line="360" w:lineRule="auto"/>
        <w:ind w:firstLine="1440"/>
        <w:rPr>
          <w:sz w:val="26"/>
          <w:szCs w:val="26"/>
        </w:rPr>
      </w:pPr>
    </w:p>
    <w:p w:rsidR="006067E6" w:rsidRDefault="006067E6" w:rsidP="006067E6">
      <w:pPr>
        <w:spacing w:line="360" w:lineRule="auto"/>
        <w:ind w:firstLine="1440"/>
        <w:rPr>
          <w:sz w:val="26"/>
          <w:szCs w:val="26"/>
        </w:rPr>
      </w:pPr>
      <w:r>
        <w:rPr>
          <w:sz w:val="26"/>
          <w:szCs w:val="26"/>
        </w:rPr>
        <w:t xml:space="preserve">On review of the questions raised in </w:t>
      </w:r>
      <w:r>
        <w:rPr>
          <w:i/>
          <w:sz w:val="26"/>
          <w:szCs w:val="26"/>
        </w:rPr>
        <w:t xml:space="preserve">Blue Pilot </w:t>
      </w:r>
      <w:r>
        <w:rPr>
          <w:sz w:val="26"/>
          <w:szCs w:val="26"/>
        </w:rPr>
        <w:t>and the questions raised in the instant case, they are identical.  Therefore, our disposition in this matter will be</w:t>
      </w:r>
      <w:r w:rsidR="00C55F70">
        <w:rPr>
          <w:sz w:val="26"/>
          <w:szCs w:val="26"/>
        </w:rPr>
        <w:t xml:space="preserve"> essentially</w:t>
      </w:r>
      <w:r>
        <w:rPr>
          <w:sz w:val="26"/>
          <w:szCs w:val="26"/>
        </w:rPr>
        <w:t xml:space="preserve"> governed by </w:t>
      </w:r>
      <w:r>
        <w:rPr>
          <w:i/>
          <w:sz w:val="26"/>
          <w:szCs w:val="26"/>
        </w:rPr>
        <w:t>Blue Pilot</w:t>
      </w:r>
      <w:r>
        <w:rPr>
          <w:sz w:val="26"/>
          <w:szCs w:val="26"/>
        </w:rPr>
        <w:t>.</w:t>
      </w:r>
      <w:r w:rsidR="00C55F70">
        <w:rPr>
          <w:sz w:val="26"/>
          <w:szCs w:val="26"/>
        </w:rPr>
        <w:t xml:space="preserve">   We expressly note, however, that the complaint allegations in </w:t>
      </w:r>
      <w:r w:rsidR="00C55F70">
        <w:rPr>
          <w:i/>
          <w:sz w:val="26"/>
          <w:szCs w:val="26"/>
        </w:rPr>
        <w:t xml:space="preserve">Blue Pilot </w:t>
      </w:r>
      <w:r w:rsidR="00C55F70">
        <w:rPr>
          <w:sz w:val="26"/>
          <w:szCs w:val="26"/>
        </w:rPr>
        <w:t xml:space="preserve">did not allege any counts regarding the practice of “slamming,” which allegations form a substantial part of the allegations against Respond in these consolidated cases.    </w:t>
      </w:r>
      <w:r>
        <w:rPr>
          <w:sz w:val="26"/>
          <w:szCs w:val="26"/>
        </w:rPr>
        <w:t xml:space="preserve">   </w:t>
      </w:r>
    </w:p>
    <w:p w:rsidR="006067E6" w:rsidRDefault="006067E6" w:rsidP="00C55F70">
      <w:pPr>
        <w:spacing w:line="360" w:lineRule="auto"/>
        <w:rPr>
          <w:color w:val="000000"/>
          <w:sz w:val="26"/>
        </w:rPr>
      </w:pPr>
    </w:p>
    <w:p w:rsidR="00A2471F" w:rsidRDefault="00A2471F" w:rsidP="00A2471F">
      <w:pPr>
        <w:spacing w:line="360" w:lineRule="auto"/>
        <w:rPr>
          <w:b/>
          <w:sz w:val="26"/>
          <w:szCs w:val="26"/>
        </w:rPr>
      </w:pPr>
      <w:r>
        <w:rPr>
          <w:b/>
          <w:sz w:val="26"/>
          <w:szCs w:val="26"/>
        </w:rPr>
        <w:t xml:space="preserve">Legal Standards for Interlocutory Review </w:t>
      </w:r>
    </w:p>
    <w:p w:rsidR="00A2471F" w:rsidRDefault="00A2471F" w:rsidP="00A2471F">
      <w:pPr>
        <w:keepNext/>
        <w:spacing w:line="360" w:lineRule="auto"/>
        <w:rPr>
          <w:szCs w:val="26"/>
        </w:rPr>
      </w:pPr>
    </w:p>
    <w:p w:rsidR="00BF625F" w:rsidRDefault="00A2471F" w:rsidP="00A2471F">
      <w:pPr>
        <w:spacing w:line="360" w:lineRule="auto"/>
        <w:ind w:firstLine="1440"/>
        <w:rPr>
          <w:sz w:val="26"/>
          <w:szCs w:val="26"/>
        </w:rPr>
      </w:pPr>
      <w:r>
        <w:rPr>
          <w:color w:val="000000"/>
          <w:sz w:val="26"/>
        </w:rPr>
        <w:t xml:space="preserve">The OAG/OCA Joint Petition is filed pursuant to the Commission’s Rules and Regulations at </w:t>
      </w:r>
      <w:r>
        <w:rPr>
          <w:sz w:val="26"/>
          <w:szCs w:val="26"/>
        </w:rPr>
        <w:t>52 Pa. Code § 5.302.  Section 5.302(a), states, in pertinent part:</w:t>
      </w:r>
    </w:p>
    <w:p w:rsidR="00291EF5" w:rsidRDefault="00291EF5" w:rsidP="00A2471F">
      <w:pPr>
        <w:spacing w:line="360" w:lineRule="auto"/>
        <w:ind w:firstLine="1440"/>
        <w:rPr>
          <w:sz w:val="26"/>
          <w:szCs w:val="26"/>
        </w:rPr>
      </w:pPr>
    </w:p>
    <w:p w:rsidR="00BF625F" w:rsidRPr="00B177C9" w:rsidRDefault="00A2471F" w:rsidP="0018116F">
      <w:pPr>
        <w:ind w:left="1440" w:right="1440"/>
        <w:rPr>
          <w:sz w:val="26"/>
          <w:szCs w:val="26"/>
        </w:rPr>
      </w:pPr>
      <w:r w:rsidRPr="00B177C9">
        <w:rPr>
          <w:sz w:val="26"/>
          <w:szCs w:val="26"/>
        </w:rPr>
        <w:t xml:space="preserve">During the course of a proceeding, a party may file a timely petition directed to the Commission requesting review and answer to a material question which has arisen or is likely to arise. The petition must </w:t>
      </w:r>
      <w:r>
        <w:rPr>
          <w:sz w:val="26"/>
          <w:szCs w:val="26"/>
        </w:rPr>
        <w:t>. . .</w:t>
      </w:r>
      <w:r w:rsidRPr="00B177C9">
        <w:rPr>
          <w:sz w:val="26"/>
          <w:szCs w:val="26"/>
        </w:rPr>
        <w:t xml:space="preserve"> state, in not more than three pages, the question to be answered and the compelling reasons why interlocutory review will prevent substantial prejudice or expedite the conduct of the proceeding.</w:t>
      </w:r>
    </w:p>
    <w:p w:rsidR="00A2471F" w:rsidRDefault="00A2471F" w:rsidP="00A2471F">
      <w:pPr>
        <w:spacing w:line="360" w:lineRule="auto"/>
        <w:rPr>
          <w:sz w:val="26"/>
          <w:szCs w:val="26"/>
        </w:rPr>
      </w:pPr>
    </w:p>
    <w:p w:rsidR="00A2471F" w:rsidRPr="006D26D5" w:rsidRDefault="00A2471F" w:rsidP="00A2471F">
      <w:pPr>
        <w:widowControl/>
        <w:spacing w:line="360" w:lineRule="auto"/>
        <w:ind w:firstLine="1440"/>
        <w:rPr>
          <w:sz w:val="26"/>
          <w:szCs w:val="26"/>
        </w:rPr>
      </w:pPr>
      <w:r w:rsidRPr="006D26D5">
        <w:rPr>
          <w:sz w:val="26"/>
          <w:szCs w:val="26"/>
        </w:rPr>
        <w:t xml:space="preserve">Upon the filing of a petition for interlocutory Commission review and answer to a material question, pursuant to 52 Pa. Code § 5.303(a), the Commission has the authority to either: (1) continue, revoke or grant a stay of proceedings if necessary to protect the substantial rights of the parties; (2) determine that the petition was improper and return the matter to the presiding officer; (3) decline to answer the question; or </w:t>
      </w:r>
      <w:r w:rsidRPr="006D26D5">
        <w:rPr>
          <w:sz w:val="26"/>
          <w:szCs w:val="26"/>
        </w:rPr>
        <w:br/>
        <w:t>(4) answer the question.</w:t>
      </w:r>
    </w:p>
    <w:p w:rsidR="00A2471F" w:rsidRPr="002763CC" w:rsidRDefault="00A2471F" w:rsidP="00A2471F">
      <w:pPr>
        <w:spacing w:line="360" w:lineRule="auto"/>
        <w:rPr>
          <w:sz w:val="26"/>
          <w:szCs w:val="26"/>
        </w:rPr>
      </w:pPr>
    </w:p>
    <w:p w:rsidR="00A2471F" w:rsidRPr="002763CC" w:rsidRDefault="00A2471F" w:rsidP="00A2471F">
      <w:pPr>
        <w:widowControl/>
        <w:spacing w:line="360" w:lineRule="auto"/>
        <w:ind w:firstLine="1440"/>
        <w:rPr>
          <w:color w:val="333333"/>
          <w:sz w:val="26"/>
          <w:szCs w:val="26"/>
        </w:rPr>
      </w:pPr>
      <w:r w:rsidRPr="00E555D1">
        <w:rPr>
          <w:sz w:val="26"/>
          <w:szCs w:val="26"/>
        </w:rPr>
        <w:t xml:space="preserve">The standards for interlocutory review are well established.  </w:t>
      </w:r>
      <w:r>
        <w:rPr>
          <w:sz w:val="26"/>
          <w:szCs w:val="26"/>
        </w:rPr>
        <w:t>As the Parties acknowledge, t</w:t>
      </w:r>
      <w:r w:rsidRPr="00E555D1">
        <w:rPr>
          <w:sz w:val="26"/>
          <w:szCs w:val="26"/>
        </w:rPr>
        <w:t xml:space="preserve">he pertinent consideration is whether interlocutory review is necessary in order to prevent substantial prejudice – that is, the error and any prejudice flowing therefrom could not be satisfactorily cured during the normal Commission review process.  </w:t>
      </w:r>
      <w:r w:rsidRPr="00E555D1">
        <w:rPr>
          <w:bCs/>
          <w:i/>
          <w:iCs/>
          <w:sz w:val="26"/>
          <w:szCs w:val="26"/>
        </w:rPr>
        <w:t>Joint Application of Bell Atlantic Corp. and GTE Corp.,</w:t>
      </w:r>
      <w:r w:rsidRPr="00E555D1">
        <w:rPr>
          <w:bCs/>
          <w:sz w:val="26"/>
          <w:szCs w:val="26"/>
        </w:rPr>
        <w:t xml:space="preserve"> Docket No</w:t>
      </w:r>
      <w:r>
        <w:rPr>
          <w:bCs/>
          <w:sz w:val="26"/>
          <w:szCs w:val="26"/>
        </w:rPr>
        <w:t>s</w:t>
      </w:r>
      <w:r w:rsidRPr="00E555D1">
        <w:rPr>
          <w:bCs/>
          <w:sz w:val="26"/>
          <w:szCs w:val="26"/>
        </w:rPr>
        <w:t xml:space="preserve">. </w:t>
      </w:r>
      <w:r>
        <w:rPr>
          <w:bCs/>
          <w:sz w:val="26"/>
          <w:szCs w:val="26"/>
        </w:rPr>
        <w:br/>
      </w:r>
      <w:r w:rsidRPr="00E555D1">
        <w:rPr>
          <w:bCs/>
          <w:sz w:val="26"/>
          <w:szCs w:val="26"/>
        </w:rPr>
        <w:t xml:space="preserve">A-310200F0002, </w:t>
      </w:r>
      <w:r w:rsidRPr="00E555D1">
        <w:rPr>
          <w:bCs/>
          <w:i/>
          <w:iCs/>
          <w:sz w:val="26"/>
          <w:szCs w:val="26"/>
        </w:rPr>
        <w:t>et al.</w:t>
      </w:r>
      <w:r w:rsidRPr="00E555D1">
        <w:rPr>
          <w:bCs/>
          <w:sz w:val="26"/>
          <w:szCs w:val="26"/>
        </w:rPr>
        <w:t xml:space="preserve"> (Order entered June 14, 1999); </w:t>
      </w:r>
      <w:r w:rsidRPr="00E555D1">
        <w:rPr>
          <w:bCs/>
          <w:i/>
          <w:iCs/>
          <w:sz w:val="26"/>
          <w:szCs w:val="26"/>
        </w:rPr>
        <w:t>Pa. PUC v. Frontier Communications of Pa. Inc.,</w:t>
      </w:r>
      <w:r w:rsidRPr="00E555D1">
        <w:rPr>
          <w:bCs/>
          <w:sz w:val="26"/>
          <w:szCs w:val="26"/>
        </w:rPr>
        <w:t xml:space="preserve"> Docket No. R</w:t>
      </w:r>
      <w:r w:rsidRPr="00E555D1">
        <w:rPr>
          <w:bCs/>
          <w:sz w:val="26"/>
          <w:szCs w:val="26"/>
        </w:rPr>
        <w:noBreakHyphen/>
        <w:t xml:space="preserve">00984411 (Order entered February 11, 1999); </w:t>
      </w:r>
      <w:r w:rsidRPr="00E555D1">
        <w:rPr>
          <w:bCs/>
          <w:i/>
          <w:sz w:val="26"/>
          <w:szCs w:val="26"/>
        </w:rPr>
        <w:t>In</w:t>
      </w:r>
      <w:r w:rsidRPr="00E555D1">
        <w:rPr>
          <w:bCs/>
          <w:sz w:val="26"/>
          <w:szCs w:val="26"/>
        </w:rPr>
        <w:t xml:space="preserve"> </w:t>
      </w:r>
      <w:r w:rsidRPr="00E555D1">
        <w:rPr>
          <w:bCs/>
          <w:i/>
          <w:sz w:val="26"/>
          <w:szCs w:val="26"/>
        </w:rPr>
        <w:t>r</w:t>
      </w:r>
      <w:r w:rsidRPr="00E555D1">
        <w:rPr>
          <w:i/>
          <w:sz w:val="26"/>
          <w:szCs w:val="26"/>
        </w:rPr>
        <w:t>e: Knights Limousine Service, Inc</w:t>
      </w:r>
      <w:r w:rsidRPr="00E555D1">
        <w:rPr>
          <w:sz w:val="26"/>
          <w:szCs w:val="26"/>
        </w:rPr>
        <w:t xml:space="preserve">., 59 Pa. P.U.C. 538 (1985).  </w:t>
      </w:r>
    </w:p>
    <w:p w:rsidR="00A2471F" w:rsidRPr="002763CC" w:rsidRDefault="00A2471F" w:rsidP="00A2471F">
      <w:pPr>
        <w:spacing w:line="360" w:lineRule="auto"/>
        <w:ind w:firstLine="1440"/>
        <w:rPr>
          <w:color w:val="333333"/>
          <w:sz w:val="26"/>
          <w:szCs w:val="26"/>
        </w:rPr>
      </w:pPr>
    </w:p>
    <w:p w:rsidR="00A2471F" w:rsidRDefault="00A2471F" w:rsidP="00A2471F">
      <w:pPr>
        <w:widowControl/>
        <w:spacing w:line="360" w:lineRule="auto"/>
        <w:ind w:firstLine="1440"/>
        <w:rPr>
          <w:sz w:val="26"/>
          <w:szCs w:val="26"/>
        </w:rPr>
      </w:pPr>
      <w:r>
        <w:rPr>
          <w:sz w:val="26"/>
          <w:szCs w:val="26"/>
        </w:rPr>
        <w:t>T</w:t>
      </w:r>
      <w:r w:rsidRPr="00B1194C">
        <w:rPr>
          <w:sz w:val="26"/>
          <w:szCs w:val="26"/>
        </w:rPr>
        <w:t>he correctness of the Presiding Officer</w:t>
      </w:r>
      <w:r>
        <w:rPr>
          <w:sz w:val="26"/>
          <w:szCs w:val="26"/>
        </w:rPr>
        <w:t>’</w:t>
      </w:r>
      <w:r w:rsidRPr="00B1194C">
        <w:rPr>
          <w:sz w:val="26"/>
          <w:szCs w:val="26"/>
        </w:rPr>
        <w:t xml:space="preserve">s ruling is not </w:t>
      </w:r>
      <w:r>
        <w:rPr>
          <w:sz w:val="26"/>
          <w:szCs w:val="26"/>
        </w:rPr>
        <w:t>a determinative</w:t>
      </w:r>
      <w:r w:rsidRPr="00B1194C">
        <w:rPr>
          <w:sz w:val="26"/>
          <w:szCs w:val="26"/>
        </w:rPr>
        <w:t xml:space="preserve"> </w:t>
      </w:r>
      <w:r>
        <w:rPr>
          <w:sz w:val="26"/>
          <w:szCs w:val="26"/>
        </w:rPr>
        <w:t>issue</w:t>
      </w:r>
      <w:r w:rsidRPr="00B1194C">
        <w:rPr>
          <w:sz w:val="26"/>
          <w:szCs w:val="26"/>
        </w:rPr>
        <w:t xml:space="preserve"> when the Commission sets out to </w:t>
      </w:r>
      <w:r>
        <w:rPr>
          <w:sz w:val="26"/>
          <w:szCs w:val="26"/>
        </w:rPr>
        <w:t>examine</w:t>
      </w:r>
      <w:r w:rsidRPr="00B1194C">
        <w:rPr>
          <w:sz w:val="26"/>
          <w:szCs w:val="26"/>
        </w:rPr>
        <w:t xml:space="preserve"> whether a petitioner has fulfilled the regulatory requirements for </w:t>
      </w:r>
      <w:r w:rsidRPr="00A76761">
        <w:rPr>
          <w:rStyle w:val="term1"/>
          <w:b w:val="0"/>
          <w:sz w:val="26"/>
          <w:szCs w:val="26"/>
        </w:rPr>
        <w:t>interlocutory review</w:t>
      </w:r>
      <w:r w:rsidRPr="00B1194C">
        <w:rPr>
          <w:sz w:val="26"/>
          <w:szCs w:val="26"/>
        </w:rPr>
        <w:t xml:space="preserve"> and answer </w:t>
      </w:r>
      <w:r>
        <w:rPr>
          <w:sz w:val="26"/>
          <w:szCs w:val="26"/>
        </w:rPr>
        <w:t xml:space="preserve">to </w:t>
      </w:r>
      <w:r w:rsidRPr="00B1194C">
        <w:rPr>
          <w:sz w:val="26"/>
          <w:szCs w:val="26"/>
        </w:rPr>
        <w:t xml:space="preserve">a material question. </w:t>
      </w:r>
      <w:r>
        <w:rPr>
          <w:sz w:val="26"/>
          <w:szCs w:val="26"/>
        </w:rPr>
        <w:t xml:space="preserve"> </w:t>
      </w:r>
      <w:r>
        <w:rPr>
          <w:i/>
          <w:sz w:val="26"/>
          <w:szCs w:val="26"/>
        </w:rPr>
        <w:t>See</w:t>
      </w:r>
      <w:r>
        <w:rPr>
          <w:sz w:val="26"/>
          <w:szCs w:val="26"/>
        </w:rPr>
        <w:t xml:space="preserve"> </w:t>
      </w:r>
    </w:p>
    <w:p w:rsidR="00243007" w:rsidRDefault="00243007">
      <w:pPr>
        <w:widowControl/>
        <w:spacing w:after="200" w:line="276" w:lineRule="auto"/>
        <w:rPr>
          <w:i/>
          <w:sz w:val="26"/>
          <w:szCs w:val="26"/>
        </w:rPr>
      </w:pPr>
      <w:r>
        <w:rPr>
          <w:i/>
          <w:sz w:val="26"/>
          <w:szCs w:val="26"/>
        </w:rPr>
        <w:br w:type="page"/>
      </w:r>
    </w:p>
    <w:p w:rsidR="00A2471F" w:rsidRPr="00A76761" w:rsidRDefault="00A2471F" w:rsidP="00A2471F">
      <w:pPr>
        <w:widowControl/>
        <w:spacing w:line="360" w:lineRule="auto"/>
        <w:rPr>
          <w:sz w:val="26"/>
          <w:szCs w:val="26"/>
        </w:rPr>
      </w:pPr>
      <w:r>
        <w:rPr>
          <w:i/>
          <w:sz w:val="26"/>
          <w:szCs w:val="26"/>
        </w:rPr>
        <w:lastRenderedPageBreak/>
        <w:t xml:space="preserve">Saucon Creek Assoc., Inc. v. Borough of Hellertown, </w:t>
      </w:r>
      <w:r>
        <w:rPr>
          <w:sz w:val="26"/>
          <w:szCs w:val="26"/>
        </w:rPr>
        <w:t xml:space="preserve">69 Pa. P.U.C. 467 (1989); </w:t>
      </w:r>
      <w:r>
        <w:rPr>
          <w:i/>
          <w:sz w:val="26"/>
          <w:szCs w:val="26"/>
        </w:rPr>
        <w:t xml:space="preserve">Berkery </w:t>
      </w:r>
      <w:r w:rsidRPr="00A04E72">
        <w:rPr>
          <w:bCs/>
          <w:i/>
          <w:color w:val="000000"/>
          <w:sz w:val="26"/>
          <w:szCs w:val="26"/>
        </w:rPr>
        <w:t>v. PECO Energy, LLC</w:t>
      </w:r>
      <w:r>
        <w:rPr>
          <w:bCs/>
          <w:color w:val="000000"/>
          <w:sz w:val="26"/>
          <w:szCs w:val="26"/>
        </w:rPr>
        <w:t>, Docket No. C-2010-20170223 (Order entered January 14, 2011).</w:t>
      </w:r>
      <w:r>
        <w:rPr>
          <w:rStyle w:val="FootnoteReference"/>
          <w:sz w:val="26"/>
          <w:szCs w:val="26"/>
        </w:rPr>
        <w:footnoteReference w:id="7"/>
      </w:r>
    </w:p>
    <w:p w:rsidR="00A2471F" w:rsidRDefault="00A2471F" w:rsidP="00A2471F">
      <w:pPr>
        <w:spacing w:line="360" w:lineRule="auto"/>
        <w:rPr>
          <w:sz w:val="26"/>
          <w:szCs w:val="26"/>
        </w:rPr>
      </w:pPr>
    </w:p>
    <w:p w:rsidR="00A2471F" w:rsidRPr="00E555D1" w:rsidRDefault="00A2471F" w:rsidP="00A2471F">
      <w:pPr>
        <w:widowControl/>
        <w:spacing w:line="360" w:lineRule="auto"/>
        <w:ind w:firstLine="1440"/>
        <w:rPr>
          <w:sz w:val="26"/>
          <w:szCs w:val="26"/>
        </w:rPr>
      </w:pPr>
      <w:r w:rsidRPr="00E555D1">
        <w:rPr>
          <w:sz w:val="26"/>
          <w:szCs w:val="26"/>
        </w:rPr>
        <w:t>Generally, petitions for interlocutory review are not favored, as the preferred approach is to permit proceedings to move forward in the normal course in order to provide all parties, the presiding officer, and the Commission</w:t>
      </w:r>
      <w:r>
        <w:rPr>
          <w:sz w:val="26"/>
          <w:szCs w:val="26"/>
        </w:rPr>
        <w:t>,</w:t>
      </w:r>
      <w:r w:rsidRPr="00E555D1">
        <w:rPr>
          <w:sz w:val="26"/>
          <w:szCs w:val="26"/>
        </w:rPr>
        <w:t xml:space="preserve"> with a full opportunity to develop the record, brief issues, and present arguments at each stage.  </w:t>
      </w:r>
      <w:r w:rsidRPr="00E555D1">
        <w:rPr>
          <w:i/>
          <w:sz w:val="26"/>
          <w:szCs w:val="26"/>
        </w:rPr>
        <w:t>Re:  Philadelphia Gas Works Universal Service and Energy Conservation Plan</w:t>
      </w:r>
      <w:r w:rsidRPr="00E555D1">
        <w:rPr>
          <w:sz w:val="26"/>
          <w:szCs w:val="26"/>
        </w:rPr>
        <w:t>, Docket No. M-00072021 (Order entered October 23, 2009) at 3.</w:t>
      </w:r>
    </w:p>
    <w:p w:rsidR="00A2471F" w:rsidRPr="00E555D1" w:rsidRDefault="00A2471F" w:rsidP="00A2471F">
      <w:pPr>
        <w:spacing w:line="360" w:lineRule="auto"/>
        <w:rPr>
          <w:sz w:val="26"/>
          <w:szCs w:val="26"/>
        </w:rPr>
      </w:pPr>
    </w:p>
    <w:p w:rsidR="00A2471F" w:rsidRDefault="00A2471F" w:rsidP="00A2471F">
      <w:pPr>
        <w:spacing w:line="360" w:lineRule="auto"/>
        <w:ind w:firstLine="1440"/>
        <w:rPr>
          <w:sz w:val="26"/>
          <w:szCs w:val="26"/>
        </w:rPr>
      </w:pPr>
      <w:r w:rsidRPr="00E555D1">
        <w:rPr>
          <w:sz w:val="26"/>
          <w:szCs w:val="26"/>
        </w:rPr>
        <w:t xml:space="preserve">The Commission has determined that a showing </w:t>
      </w:r>
      <w:r>
        <w:rPr>
          <w:sz w:val="26"/>
          <w:szCs w:val="26"/>
        </w:rPr>
        <w:t xml:space="preserve">supportive of interlocutory Commission review </w:t>
      </w:r>
      <w:r w:rsidRPr="00E555D1">
        <w:rPr>
          <w:sz w:val="26"/>
          <w:szCs w:val="26"/>
        </w:rPr>
        <w:t xml:space="preserve">may be accomplished by a petitioner by its proving that, without such interlocutory review, some harm would result which would not be reparable through normal avenues, that the relief sought should be granted now, rather than later, and that granting interlocutory review would prevent substantial prejudice or expedite the proceeding.  </w:t>
      </w:r>
      <w:r w:rsidRPr="00E555D1">
        <w:rPr>
          <w:i/>
          <w:sz w:val="26"/>
          <w:szCs w:val="26"/>
        </w:rPr>
        <w:t>Pa. PUC v. Philadelphia Gas Works</w:t>
      </w:r>
      <w:r w:rsidRPr="00E555D1">
        <w:rPr>
          <w:sz w:val="26"/>
          <w:szCs w:val="26"/>
        </w:rPr>
        <w:t xml:space="preserve">, Docket Nos. P-2009-2097639 and </w:t>
      </w:r>
      <w:r>
        <w:rPr>
          <w:sz w:val="26"/>
          <w:szCs w:val="26"/>
        </w:rPr>
        <w:br/>
      </w:r>
      <w:r w:rsidRPr="00E555D1">
        <w:rPr>
          <w:sz w:val="26"/>
          <w:szCs w:val="26"/>
        </w:rPr>
        <w:t>R-2009-2139884 (Order entered April 15, 2010) (</w:t>
      </w:r>
      <w:r w:rsidRPr="00E555D1">
        <w:rPr>
          <w:i/>
          <w:sz w:val="26"/>
          <w:szCs w:val="26"/>
        </w:rPr>
        <w:t>PGW Order</w:t>
      </w:r>
      <w:r w:rsidRPr="00E555D1">
        <w:rPr>
          <w:sz w:val="26"/>
          <w:szCs w:val="26"/>
        </w:rPr>
        <w:t>).</w:t>
      </w:r>
    </w:p>
    <w:p w:rsidR="00C562D2" w:rsidRDefault="00C562D2">
      <w:pPr>
        <w:widowControl/>
        <w:spacing w:after="200" w:line="276" w:lineRule="auto"/>
        <w:rPr>
          <w:b/>
          <w:sz w:val="26"/>
          <w:szCs w:val="26"/>
        </w:rPr>
      </w:pPr>
    </w:p>
    <w:p w:rsidR="00C55F70" w:rsidRPr="00433C46" w:rsidRDefault="00E22354" w:rsidP="00433C46">
      <w:pPr>
        <w:widowControl/>
        <w:spacing w:after="200" w:line="276" w:lineRule="auto"/>
        <w:rPr>
          <w:sz w:val="26"/>
          <w:szCs w:val="26"/>
        </w:rPr>
      </w:pPr>
      <w:r>
        <w:rPr>
          <w:b/>
          <w:sz w:val="26"/>
          <w:szCs w:val="26"/>
        </w:rPr>
        <w:t>A</w:t>
      </w:r>
      <w:r w:rsidR="00C569AD">
        <w:rPr>
          <w:b/>
          <w:sz w:val="26"/>
          <w:szCs w:val="26"/>
        </w:rPr>
        <w:t>ugust 20 Order</w:t>
      </w:r>
      <w:r>
        <w:rPr>
          <w:b/>
          <w:sz w:val="26"/>
          <w:szCs w:val="26"/>
        </w:rPr>
        <w:t xml:space="preserve"> </w:t>
      </w:r>
      <w:r w:rsidR="00051595">
        <w:rPr>
          <w:b/>
          <w:sz w:val="26"/>
          <w:szCs w:val="26"/>
        </w:rPr>
        <w:t xml:space="preserve">Regarding Preliminary Objections </w:t>
      </w:r>
    </w:p>
    <w:p w:rsidR="00C562D2" w:rsidRDefault="00C562D2" w:rsidP="002A4A4B">
      <w:pPr>
        <w:spacing w:line="360" w:lineRule="auto"/>
        <w:ind w:firstLine="1440"/>
        <w:rPr>
          <w:sz w:val="26"/>
          <w:szCs w:val="26"/>
        </w:rPr>
      </w:pPr>
    </w:p>
    <w:p w:rsidR="00C569AD" w:rsidRDefault="00306879" w:rsidP="002A4A4B">
      <w:pPr>
        <w:spacing w:line="360" w:lineRule="auto"/>
        <w:ind w:firstLine="1440"/>
        <w:rPr>
          <w:sz w:val="26"/>
          <w:szCs w:val="26"/>
        </w:rPr>
      </w:pPr>
      <w:r>
        <w:rPr>
          <w:sz w:val="26"/>
          <w:szCs w:val="26"/>
        </w:rPr>
        <w:t>In the August 20 Order</w:t>
      </w:r>
      <w:r w:rsidR="005165C7">
        <w:rPr>
          <w:sz w:val="26"/>
          <w:szCs w:val="26"/>
        </w:rPr>
        <w:t xml:space="preserve">, </w:t>
      </w:r>
      <w:r w:rsidR="00C55F70">
        <w:rPr>
          <w:sz w:val="26"/>
          <w:szCs w:val="26"/>
        </w:rPr>
        <w:t>t</w:t>
      </w:r>
      <w:r w:rsidR="005165C7">
        <w:rPr>
          <w:sz w:val="26"/>
          <w:szCs w:val="26"/>
        </w:rPr>
        <w:t>he presiding ALJs</w:t>
      </w:r>
      <w:r>
        <w:rPr>
          <w:sz w:val="26"/>
          <w:szCs w:val="26"/>
        </w:rPr>
        <w:t xml:space="preserve"> granted, in part, and denied, in part, Respond’s preliminary objections</w:t>
      </w:r>
      <w:r w:rsidR="005165C7">
        <w:rPr>
          <w:sz w:val="26"/>
          <w:szCs w:val="26"/>
        </w:rPr>
        <w:t xml:space="preserve">.  </w:t>
      </w:r>
      <w:r>
        <w:rPr>
          <w:sz w:val="26"/>
          <w:szCs w:val="26"/>
        </w:rPr>
        <w:t xml:space="preserve"> ALJs Cheskis and Barnes, on consideration of the </w:t>
      </w:r>
      <w:r w:rsidR="00E22354">
        <w:rPr>
          <w:sz w:val="26"/>
          <w:szCs w:val="26"/>
        </w:rPr>
        <w:t xml:space="preserve">positions of the Parties, </w:t>
      </w:r>
      <w:r w:rsidR="005165C7">
        <w:rPr>
          <w:sz w:val="26"/>
          <w:szCs w:val="26"/>
        </w:rPr>
        <w:t xml:space="preserve">concluded </w:t>
      </w:r>
      <w:r>
        <w:rPr>
          <w:sz w:val="26"/>
          <w:szCs w:val="26"/>
        </w:rPr>
        <w:t>in pertinent part</w:t>
      </w:r>
      <w:r w:rsidR="00E22354">
        <w:rPr>
          <w:sz w:val="26"/>
          <w:szCs w:val="26"/>
        </w:rPr>
        <w:t>:</w:t>
      </w:r>
    </w:p>
    <w:p w:rsidR="00E22354" w:rsidRDefault="00E22354" w:rsidP="002A4A4B">
      <w:pPr>
        <w:spacing w:line="360" w:lineRule="auto"/>
        <w:ind w:firstLine="1440"/>
        <w:rPr>
          <w:sz w:val="26"/>
          <w:szCs w:val="26"/>
        </w:rPr>
      </w:pPr>
    </w:p>
    <w:p w:rsidR="00C12A47" w:rsidRDefault="00E22354" w:rsidP="00243007">
      <w:pPr>
        <w:widowControl/>
        <w:ind w:left="1440" w:right="1440"/>
        <w:rPr>
          <w:sz w:val="26"/>
          <w:szCs w:val="26"/>
        </w:rPr>
      </w:pPr>
      <w:r w:rsidRPr="0058253A">
        <w:rPr>
          <w:sz w:val="26"/>
          <w:szCs w:val="26"/>
        </w:rPr>
        <w:lastRenderedPageBreak/>
        <w:t>Respond has failed to satisfy this high standard with regard to its claims that certain Counts in the Complaint are insufficiently plead</w:t>
      </w:r>
      <w:r w:rsidR="00BB0D7A">
        <w:rPr>
          <w:sz w:val="26"/>
          <w:szCs w:val="26"/>
        </w:rPr>
        <w:t>[ed]</w:t>
      </w:r>
      <w:r w:rsidRPr="0058253A">
        <w:rPr>
          <w:sz w:val="26"/>
          <w:szCs w:val="26"/>
        </w:rPr>
        <w:t xml:space="preserve">.  Respond has satisfied this high standard, however, with regard to </w:t>
      </w:r>
      <w:r w:rsidRPr="005165C7">
        <w:rPr>
          <w:sz w:val="26"/>
          <w:szCs w:val="26"/>
          <w:u w:val="single"/>
        </w:rPr>
        <w:t>Count VIII</w:t>
      </w:r>
      <w:r w:rsidRPr="0058253A">
        <w:rPr>
          <w:sz w:val="26"/>
          <w:szCs w:val="26"/>
        </w:rPr>
        <w:t xml:space="preserve"> which pertains to the specific prices charged by Respond.  Finally, Respond has demonstrated that </w:t>
      </w:r>
      <w:r w:rsidRPr="005165C7">
        <w:rPr>
          <w:sz w:val="26"/>
          <w:szCs w:val="26"/>
          <w:u w:val="single"/>
        </w:rPr>
        <w:t>the Commission has no jurisdiction to hear claims regarding the UTP/CPL and the TRA</w:t>
      </w:r>
      <w:r w:rsidRPr="0058253A">
        <w:rPr>
          <w:sz w:val="26"/>
          <w:szCs w:val="26"/>
        </w:rPr>
        <w:t>.  Nonetheless, however, the Commission can hear claims regarding its own consumer protection and telemarketing regulations.  Those Preliminary Objections brought by Respond will, therefore, be granted in part and denied in part.</w:t>
      </w:r>
    </w:p>
    <w:p w:rsidR="00E22354" w:rsidRDefault="00E22354" w:rsidP="0018116F">
      <w:pPr>
        <w:spacing w:line="360" w:lineRule="auto"/>
        <w:ind w:left="1440" w:right="1440"/>
        <w:rPr>
          <w:sz w:val="26"/>
          <w:szCs w:val="26"/>
        </w:rPr>
      </w:pPr>
      <w:r w:rsidRPr="0058253A">
        <w:rPr>
          <w:sz w:val="26"/>
          <w:szCs w:val="26"/>
        </w:rPr>
        <w:t xml:space="preserve">  </w:t>
      </w:r>
    </w:p>
    <w:p w:rsidR="00812AD9" w:rsidRPr="0058253A" w:rsidRDefault="00812AD9" w:rsidP="0018116F">
      <w:pPr>
        <w:spacing w:line="360" w:lineRule="auto"/>
        <w:rPr>
          <w:sz w:val="26"/>
          <w:szCs w:val="26"/>
        </w:rPr>
      </w:pPr>
      <w:r w:rsidRPr="00812AD9">
        <w:rPr>
          <w:sz w:val="26"/>
          <w:szCs w:val="26"/>
        </w:rPr>
        <w:t>Augu</w:t>
      </w:r>
      <w:r>
        <w:rPr>
          <w:sz w:val="26"/>
          <w:szCs w:val="26"/>
        </w:rPr>
        <w:t>st 20 Order at 22</w:t>
      </w:r>
      <w:r w:rsidR="005165C7">
        <w:rPr>
          <w:sz w:val="26"/>
          <w:szCs w:val="26"/>
        </w:rPr>
        <w:t xml:space="preserve"> (emphasis supplied)</w:t>
      </w:r>
      <w:r>
        <w:rPr>
          <w:sz w:val="26"/>
          <w:szCs w:val="26"/>
        </w:rPr>
        <w:t>.</w:t>
      </w:r>
    </w:p>
    <w:p w:rsidR="00E22354" w:rsidRDefault="00E22354" w:rsidP="002A4A4B">
      <w:pPr>
        <w:spacing w:line="360" w:lineRule="auto"/>
        <w:ind w:firstLine="1440"/>
        <w:rPr>
          <w:sz w:val="26"/>
          <w:szCs w:val="26"/>
        </w:rPr>
      </w:pPr>
    </w:p>
    <w:p w:rsidR="00C569AD" w:rsidRDefault="00E22354" w:rsidP="002A4A4B">
      <w:pPr>
        <w:spacing w:line="360" w:lineRule="auto"/>
        <w:ind w:firstLine="1440"/>
        <w:rPr>
          <w:sz w:val="26"/>
          <w:szCs w:val="26"/>
        </w:rPr>
      </w:pPr>
      <w:r>
        <w:rPr>
          <w:sz w:val="26"/>
          <w:szCs w:val="26"/>
        </w:rPr>
        <w:t xml:space="preserve">Based on the foregoing, </w:t>
      </w:r>
      <w:r w:rsidR="00BB0D7A">
        <w:rPr>
          <w:i/>
          <w:sz w:val="26"/>
          <w:szCs w:val="26"/>
        </w:rPr>
        <w:t xml:space="preserve">inter alia, </w:t>
      </w:r>
      <w:r>
        <w:rPr>
          <w:sz w:val="26"/>
          <w:szCs w:val="26"/>
        </w:rPr>
        <w:t>the following ordering paragraphs were entered:</w:t>
      </w:r>
    </w:p>
    <w:p w:rsidR="00E22354" w:rsidRDefault="00E22354" w:rsidP="002A4A4B">
      <w:pPr>
        <w:spacing w:line="360" w:lineRule="auto"/>
        <w:ind w:firstLine="1440"/>
        <w:rPr>
          <w:sz w:val="26"/>
          <w:szCs w:val="26"/>
        </w:rPr>
      </w:pPr>
    </w:p>
    <w:p w:rsidR="00812AD9" w:rsidRDefault="00812AD9" w:rsidP="00812AD9">
      <w:pPr>
        <w:widowControl/>
        <w:ind w:left="1440" w:right="1440"/>
        <w:rPr>
          <w:sz w:val="26"/>
          <w:szCs w:val="26"/>
        </w:rPr>
      </w:pPr>
      <w:r>
        <w:rPr>
          <w:sz w:val="26"/>
          <w:szCs w:val="26"/>
        </w:rPr>
        <w:t xml:space="preserve">2.     </w:t>
      </w:r>
      <w:r w:rsidRPr="00812AD9">
        <w:rPr>
          <w:sz w:val="26"/>
          <w:szCs w:val="26"/>
        </w:rPr>
        <w:t xml:space="preserve"> </w:t>
      </w:r>
      <w:r w:rsidR="00E22354" w:rsidRPr="00812AD9">
        <w:rPr>
          <w:sz w:val="26"/>
          <w:szCs w:val="26"/>
        </w:rPr>
        <w:t xml:space="preserve">That Count VIII raised in the Complaint is hereby </w:t>
      </w:r>
    </w:p>
    <w:p w:rsidR="00E22354" w:rsidRPr="00812AD9" w:rsidRDefault="00812AD9" w:rsidP="00812AD9">
      <w:pPr>
        <w:widowControl/>
        <w:ind w:left="1440" w:right="1440"/>
        <w:rPr>
          <w:sz w:val="26"/>
          <w:szCs w:val="26"/>
        </w:rPr>
      </w:pPr>
      <w:r>
        <w:rPr>
          <w:sz w:val="26"/>
          <w:szCs w:val="26"/>
        </w:rPr>
        <w:t xml:space="preserve"> </w:t>
      </w:r>
      <w:r w:rsidR="00E22354" w:rsidRPr="00812AD9">
        <w:rPr>
          <w:sz w:val="26"/>
          <w:szCs w:val="26"/>
        </w:rPr>
        <w:t>stricken in its entirety.</w:t>
      </w:r>
      <w:r w:rsidR="00C55F70">
        <w:rPr>
          <w:rStyle w:val="FootnoteReference"/>
          <w:sz w:val="26"/>
          <w:szCs w:val="26"/>
        </w:rPr>
        <w:footnoteReference w:id="8"/>
      </w:r>
    </w:p>
    <w:p w:rsidR="00E22354" w:rsidRPr="00E22354" w:rsidRDefault="00E22354" w:rsidP="00E22354">
      <w:pPr>
        <w:pStyle w:val="ListParagraph"/>
        <w:ind w:left="1440" w:right="1440"/>
        <w:rPr>
          <w:sz w:val="26"/>
          <w:szCs w:val="26"/>
        </w:rPr>
      </w:pPr>
    </w:p>
    <w:p w:rsidR="00E22354" w:rsidRPr="00812AD9" w:rsidRDefault="00812AD9" w:rsidP="00812AD9">
      <w:pPr>
        <w:pStyle w:val="ListParagraph"/>
        <w:widowControl/>
        <w:numPr>
          <w:ilvl w:val="0"/>
          <w:numId w:val="2"/>
        </w:numPr>
        <w:ind w:left="1440" w:right="1440" w:firstLine="0"/>
        <w:rPr>
          <w:sz w:val="26"/>
          <w:szCs w:val="26"/>
        </w:rPr>
      </w:pPr>
      <w:r>
        <w:rPr>
          <w:sz w:val="26"/>
          <w:szCs w:val="26"/>
        </w:rPr>
        <w:t xml:space="preserve"> </w:t>
      </w:r>
      <w:r w:rsidR="00E22354" w:rsidRPr="00812AD9">
        <w:rPr>
          <w:sz w:val="26"/>
          <w:szCs w:val="26"/>
        </w:rPr>
        <w:t xml:space="preserve">That Count III, IV and IX raised in the Complaint </w:t>
      </w:r>
      <w:r>
        <w:rPr>
          <w:sz w:val="26"/>
          <w:szCs w:val="26"/>
        </w:rPr>
        <w:t xml:space="preserve">         </w:t>
      </w:r>
      <w:r w:rsidR="00E22354" w:rsidRPr="00812AD9">
        <w:rPr>
          <w:sz w:val="26"/>
          <w:szCs w:val="26"/>
        </w:rPr>
        <w:t xml:space="preserve">are </w:t>
      </w:r>
      <w:r>
        <w:rPr>
          <w:sz w:val="26"/>
          <w:szCs w:val="26"/>
        </w:rPr>
        <w:t xml:space="preserve"> </w:t>
      </w:r>
      <w:r w:rsidR="00E22354" w:rsidRPr="00812AD9">
        <w:rPr>
          <w:sz w:val="26"/>
          <w:szCs w:val="26"/>
        </w:rPr>
        <w:t>hereby stricken in part consistent with the above discussion.</w:t>
      </w:r>
    </w:p>
    <w:p w:rsidR="00812AD9" w:rsidRDefault="00812AD9" w:rsidP="00812AD9">
      <w:pPr>
        <w:ind w:left="1440" w:right="1440"/>
        <w:rPr>
          <w:sz w:val="26"/>
          <w:szCs w:val="26"/>
        </w:rPr>
      </w:pPr>
    </w:p>
    <w:p w:rsidR="00812AD9" w:rsidRPr="00812AD9" w:rsidRDefault="00812AD9" w:rsidP="00812AD9">
      <w:pPr>
        <w:pStyle w:val="ListParagraph"/>
        <w:numPr>
          <w:ilvl w:val="0"/>
          <w:numId w:val="2"/>
        </w:numPr>
        <w:ind w:left="1440" w:right="1440" w:firstLine="0"/>
        <w:rPr>
          <w:sz w:val="26"/>
          <w:szCs w:val="26"/>
        </w:rPr>
      </w:pPr>
      <w:r>
        <w:rPr>
          <w:sz w:val="26"/>
          <w:szCs w:val="26"/>
        </w:rPr>
        <w:t xml:space="preserve"> T</w:t>
      </w:r>
      <w:r w:rsidRPr="00812AD9">
        <w:rPr>
          <w:sz w:val="26"/>
          <w:szCs w:val="26"/>
        </w:rPr>
        <w:t>hat all other Counts raised in the Complaint shall proceed to a Hearing.</w:t>
      </w:r>
    </w:p>
    <w:p w:rsidR="00BB0D7A" w:rsidRDefault="00BB0D7A" w:rsidP="00812AD9">
      <w:pPr>
        <w:rPr>
          <w:sz w:val="26"/>
          <w:szCs w:val="26"/>
        </w:rPr>
      </w:pPr>
    </w:p>
    <w:p w:rsidR="00812AD9" w:rsidRDefault="00812AD9" w:rsidP="00812AD9">
      <w:pPr>
        <w:rPr>
          <w:sz w:val="26"/>
          <w:szCs w:val="26"/>
        </w:rPr>
      </w:pPr>
      <w:r w:rsidRPr="00812AD9">
        <w:rPr>
          <w:sz w:val="26"/>
          <w:szCs w:val="26"/>
        </w:rPr>
        <w:t>Augu</w:t>
      </w:r>
      <w:r>
        <w:rPr>
          <w:sz w:val="26"/>
          <w:szCs w:val="26"/>
        </w:rPr>
        <w:t>st 20 Order at 22-23.</w:t>
      </w:r>
    </w:p>
    <w:p w:rsidR="00812AD9" w:rsidRDefault="00812AD9" w:rsidP="00812AD9">
      <w:pPr>
        <w:rPr>
          <w:sz w:val="26"/>
          <w:szCs w:val="26"/>
        </w:rPr>
      </w:pPr>
    </w:p>
    <w:p w:rsidR="00C55F70" w:rsidRDefault="00EB40F9" w:rsidP="00812AD9">
      <w:pPr>
        <w:rPr>
          <w:sz w:val="26"/>
          <w:szCs w:val="26"/>
        </w:rPr>
      </w:pPr>
      <w:r>
        <w:rPr>
          <w:sz w:val="26"/>
          <w:szCs w:val="26"/>
        </w:rPr>
        <w:tab/>
      </w:r>
      <w:r>
        <w:rPr>
          <w:sz w:val="26"/>
          <w:szCs w:val="26"/>
        </w:rPr>
        <w:tab/>
      </w:r>
    </w:p>
    <w:p w:rsidR="00EB40F9" w:rsidRDefault="00EB40F9" w:rsidP="0018116F">
      <w:pPr>
        <w:spacing w:line="360" w:lineRule="auto"/>
        <w:rPr>
          <w:b/>
          <w:sz w:val="26"/>
          <w:szCs w:val="26"/>
        </w:rPr>
      </w:pPr>
      <w:r>
        <w:rPr>
          <w:b/>
          <w:sz w:val="26"/>
          <w:szCs w:val="26"/>
        </w:rPr>
        <w:t xml:space="preserve">Position of </w:t>
      </w:r>
      <w:r w:rsidR="0088133D">
        <w:rPr>
          <w:b/>
          <w:sz w:val="26"/>
          <w:szCs w:val="26"/>
        </w:rPr>
        <w:t xml:space="preserve">the </w:t>
      </w:r>
      <w:r>
        <w:rPr>
          <w:b/>
          <w:sz w:val="26"/>
          <w:szCs w:val="26"/>
        </w:rPr>
        <w:t>OAG and OCA</w:t>
      </w:r>
    </w:p>
    <w:p w:rsidR="00EB40F9" w:rsidRPr="00EB40F9" w:rsidRDefault="00EB40F9" w:rsidP="0018116F">
      <w:pPr>
        <w:spacing w:line="360" w:lineRule="auto"/>
        <w:rPr>
          <w:sz w:val="26"/>
          <w:szCs w:val="26"/>
        </w:rPr>
      </w:pPr>
    </w:p>
    <w:p w:rsidR="00433C46" w:rsidRDefault="00936B6C" w:rsidP="00243007">
      <w:pPr>
        <w:widowControl/>
        <w:spacing w:line="360" w:lineRule="auto"/>
        <w:ind w:firstLine="1440"/>
        <w:rPr>
          <w:sz w:val="26"/>
          <w:szCs w:val="26"/>
        </w:rPr>
      </w:pPr>
      <w:r>
        <w:rPr>
          <w:sz w:val="26"/>
          <w:szCs w:val="26"/>
        </w:rPr>
        <w:t xml:space="preserve">In their Brief, </w:t>
      </w:r>
      <w:r w:rsidR="00336E60">
        <w:rPr>
          <w:sz w:val="26"/>
          <w:szCs w:val="26"/>
        </w:rPr>
        <w:t xml:space="preserve">the </w:t>
      </w:r>
      <w:r>
        <w:rPr>
          <w:sz w:val="26"/>
          <w:szCs w:val="26"/>
        </w:rPr>
        <w:t xml:space="preserve">OAG and OCA </w:t>
      </w:r>
      <w:r w:rsidR="00306879">
        <w:rPr>
          <w:sz w:val="26"/>
          <w:szCs w:val="26"/>
        </w:rPr>
        <w:t>argu</w:t>
      </w:r>
      <w:r w:rsidR="00EB40F9">
        <w:rPr>
          <w:sz w:val="26"/>
          <w:szCs w:val="26"/>
        </w:rPr>
        <w:t>e</w:t>
      </w:r>
      <w:r w:rsidR="00306879">
        <w:rPr>
          <w:sz w:val="26"/>
          <w:szCs w:val="26"/>
        </w:rPr>
        <w:t xml:space="preserve"> that, as a threshold consideration, the</w:t>
      </w:r>
      <w:r w:rsidR="00EB40F9">
        <w:rPr>
          <w:sz w:val="26"/>
          <w:szCs w:val="26"/>
        </w:rPr>
        <w:t>re</w:t>
      </w:r>
      <w:r w:rsidR="00306879">
        <w:rPr>
          <w:sz w:val="26"/>
          <w:szCs w:val="26"/>
        </w:rPr>
        <w:t xml:space="preserve"> </w:t>
      </w:r>
      <w:r w:rsidR="00EB40F9">
        <w:rPr>
          <w:sz w:val="26"/>
          <w:szCs w:val="26"/>
        </w:rPr>
        <w:t xml:space="preserve">are </w:t>
      </w:r>
      <w:r w:rsidR="00306879">
        <w:rPr>
          <w:sz w:val="26"/>
          <w:szCs w:val="26"/>
        </w:rPr>
        <w:t xml:space="preserve">compelling </w:t>
      </w:r>
      <w:r w:rsidR="00EB40F9">
        <w:rPr>
          <w:sz w:val="26"/>
          <w:szCs w:val="26"/>
        </w:rPr>
        <w:t>reasons fo</w:t>
      </w:r>
      <w:r w:rsidR="00306879">
        <w:rPr>
          <w:sz w:val="26"/>
          <w:szCs w:val="26"/>
        </w:rPr>
        <w:t xml:space="preserve">r </w:t>
      </w:r>
      <w:r w:rsidR="00EB40F9">
        <w:rPr>
          <w:sz w:val="26"/>
          <w:szCs w:val="26"/>
        </w:rPr>
        <w:t xml:space="preserve">granting </w:t>
      </w:r>
      <w:r w:rsidR="00306879">
        <w:rPr>
          <w:sz w:val="26"/>
          <w:szCs w:val="26"/>
        </w:rPr>
        <w:t xml:space="preserve">interlocutory review </w:t>
      </w:r>
      <w:r w:rsidR="00EB40F9">
        <w:rPr>
          <w:sz w:val="26"/>
          <w:szCs w:val="26"/>
        </w:rPr>
        <w:t>now, rather than await</w:t>
      </w:r>
      <w:r w:rsidR="005165C7">
        <w:rPr>
          <w:sz w:val="26"/>
          <w:szCs w:val="26"/>
        </w:rPr>
        <w:t>ing</w:t>
      </w:r>
      <w:r w:rsidR="00EB40F9">
        <w:rPr>
          <w:sz w:val="26"/>
          <w:szCs w:val="26"/>
        </w:rPr>
        <w:t xml:space="preserve"> the</w:t>
      </w:r>
      <w:r w:rsidR="005165C7">
        <w:rPr>
          <w:sz w:val="26"/>
          <w:szCs w:val="26"/>
        </w:rPr>
        <w:t xml:space="preserve"> issuance of</w:t>
      </w:r>
      <w:r w:rsidR="00EB40F9">
        <w:rPr>
          <w:sz w:val="26"/>
          <w:szCs w:val="26"/>
        </w:rPr>
        <w:t xml:space="preserve"> </w:t>
      </w:r>
      <w:r w:rsidR="005165C7">
        <w:rPr>
          <w:sz w:val="26"/>
          <w:szCs w:val="26"/>
        </w:rPr>
        <w:t xml:space="preserve">a </w:t>
      </w:r>
      <w:r w:rsidR="00EB40F9">
        <w:rPr>
          <w:sz w:val="26"/>
          <w:szCs w:val="26"/>
        </w:rPr>
        <w:t xml:space="preserve">Recommended Decision, due to the limiting effect of the August 20 </w:t>
      </w:r>
      <w:r w:rsidR="00EB40F9">
        <w:rPr>
          <w:sz w:val="26"/>
          <w:szCs w:val="26"/>
        </w:rPr>
        <w:lastRenderedPageBreak/>
        <w:t xml:space="preserve">Order on the ability of </w:t>
      </w:r>
      <w:r w:rsidR="00336E60">
        <w:rPr>
          <w:sz w:val="26"/>
          <w:szCs w:val="26"/>
        </w:rPr>
        <w:t xml:space="preserve">the </w:t>
      </w:r>
      <w:r w:rsidR="00EB40F9">
        <w:rPr>
          <w:sz w:val="26"/>
          <w:szCs w:val="26"/>
        </w:rPr>
        <w:t xml:space="preserve">OAG and OCA to fully develop an evidentiary record for Commission review.  Brief at 4.  </w:t>
      </w:r>
    </w:p>
    <w:p w:rsidR="00433C46" w:rsidRDefault="00433C46" w:rsidP="00812AD9">
      <w:pPr>
        <w:spacing w:line="360" w:lineRule="auto"/>
        <w:ind w:firstLine="1440"/>
        <w:rPr>
          <w:sz w:val="26"/>
          <w:szCs w:val="26"/>
        </w:rPr>
      </w:pPr>
    </w:p>
    <w:p w:rsidR="00EB40F9" w:rsidRDefault="00336E60" w:rsidP="0018116F">
      <w:pPr>
        <w:widowControl/>
        <w:spacing w:line="360" w:lineRule="auto"/>
        <w:ind w:firstLine="1440"/>
        <w:rPr>
          <w:sz w:val="26"/>
          <w:szCs w:val="26"/>
        </w:rPr>
      </w:pPr>
      <w:r>
        <w:rPr>
          <w:sz w:val="26"/>
          <w:szCs w:val="26"/>
        </w:rPr>
        <w:t xml:space="preserve">The </w:t>
      </w:r>
      <w:r w:rsidR="00EB40F9">
        <w:rPr>
          <w:sz w:val="26"/>
          <w:szCs w:val="26"/>
        </w:rPr>
        <w:t xml:space="preserve">OAG/OCA assert that the </w:t>
      </w:r>
      <w:r w:rsidR="0096099A">
        <w:rPr>
          <w:sz w:val="26"/>
          <w:szCs w:val="26"/>
        </w:rPr>
        <w:t>August 20 Order</w:t>
      </w:r>
      <w:r w:rsidR="00EB40F9">
        <w:rPr>
          <w:sz w:val="26"/>
          <w:szCs w:val="26"/>
        </w:rPr>
        <w:t xml:space="preserve"> will unduly restrict the development of the evidentiary record and significantly prejudice them (and the consumer interests they advocate) by not allowing for the full and adequate development of an accurate and complete evidentiary record for Commission review, contrary to the public interest.  </w:t>
      </w:r>
      <w:r w:rsidR="00EB40F9">
        <w:rPr>
          <w:i/>
          <w:sz w:val="26"/>
          <w:szCs w:val="26"/>
        </w:rPr>
        <w:t>Id</w:t>
      </w:r>
      <w:r w:rsidR="00EB40F9">
        <w:rPr>
          <w:sz w:val="26"/>
          <w:szCs w:val="26"/>
        </w:rPr>
        <w:t>.</w:t>
      </w:r>
    </w:p>
    <w:p w:rsidR="00EB40F9" w:rsidRDefault="00EB40F9" w:rsidP="00812AD9">
      <w:pPr>
        <w:spacing w:line="360" w:lineRule="auto"/>
        <w:ind w:firstLine="1440"/>
        <w:rPr>
          <w:sz w:val="26"/>
          <w:szCs w:val="26"/>
        </w:rPr>
      </w:pPr>
    </w:p>
    <w:p w:rsidR="00F865C9" w:rsidRDefault="00EB40F9" w:rsidP="00812AD9">
      <w:pPr>
        <w:spacing w:line="360" w:lineRule="auto"/>
        <w:ind w:firstLine="1440"/>
        <w:rPr>
          <w:sz w:val="26"/>
          <w:szCs w:val="26"/>
        </w:rPr>
      </w:pPr>
      <w:r>
        <w:rPr>
          <w:sz w:val="26"/>
          <w:szCs w:val="26"/>
        </w:rPr>
        <w:t xml:space="preserve"> </w:t>
      </w:r>
      <w:r w:rsidR="00336E60">
        <w:rPr>
          <w:sz w:val="26"/>
          <w:szCs w:val="26"/>
        </w:rPr>
        <w:t xml:space="preserve">The </w:t>
      </w:r>
      <w:r>
        <w:rPr>
          <w:sz w:val="26"/>
          <w:szCs w:val="26"/>
        </w:rPr>
        <w:t xml:space="preserve">OAG and OCA also state that granting interlocutory review will expedite the conduct of this proceeding by </w:t>
      </w:r>
      <w:r w:rsidR="00F865C9">
        <w:rPr>
          <w:sz w:val="26"/>
          <w:szCs w:val="26"/>
        </w:rPr>
        <w:t xml:space="preserve">giving consistency to the </w:t>
      </w:r>
      <w:r w:rsidR="005165C7">
        <w:rPr>
          <w:sz w:val="26"/>
          <w:szCs w:val="26"/>
        </w:rPr>
        <w:t>resolution of the</w:t>
      </w:r>
      <w:r w:rsidR="00F865C9">
        <w:rPr>
          <w:sz w:val="26"/>
          <w:szCs w:val="26"/>
        </w:rPr>
        <w:t xml:space="preserve"> legal issues presented </w:t>
      </w:r>
      <w:r w:rsidR="005165C7">
        <w:rPr>
          <w:sz w:val="26"/>
          <w:szCs w:val="26"/>
        </w:rPr>
        <w:t>concerning the authority and jurisdiction of the Commission over EGS services due to the contemporaneous litigation of t</w:t>
      </w:r>
      <w:r w:rsidR="00F865C9">
        <w:rPr>
          <w:sz w:val="26"/>
          <w:szCs w:val="26"/>
        </w:rPr>
        <w:t xml:space="preserve">he four formal complaints against EGS companies.  Brief at 5.  </w:t>
      </w:r>
    </w:p>
    <w:p w:rsidR="00F865C9" w:rsidRDefault="00F865C9" w:rsidP="00812AD9">
      <w:pPr>
        <w:spacing w:line="360" w:lineRule="auto"/>
        <w:ind w:firstLine="1440"/>
        <w:rPr>
          <w:sz w:val="26"/>
          <w:szCs w:val="26"/>
        </w:rPr>
      </w:pPr>
    </w:p>
    <w:p w:rsidR="00436E0D" w:rsidRDefault="00F865C9" w:rsidP="0018116F">
      <w:pPr>
        <w:widowControl/>
        <w:spacing w:line="360" w:lineRule="auto"/>
        <w:ind w:firstLine="1440"/>
        <w:rPr>
          <w:sz w:val="26"/>
          <w:szCs w:val="26"/>
        </w:rPr>
      </w:pPr>
      <w:r>
        <w:rPr>
          <w:sz w:val="26"/>
          <w:szCs w:val="26"/>
        </w:rPr>
        <w:t>Concerning the merits of their proposed material question</w:t>
      </w:r>
      <w:r w:rsidR="00433C46">
        <w:rPr>
          <w:sz w:val="26"/>
          <w:szCs w:val="26"/>
        </w:rPr>
        <w:t>s, regarding question</w:t>
      </w:r>
      <w:r>
        <w:rPr>
          <w:sz w:val="26"/>
          <w:szCs w:val="26"/>
        </w:rPr>
        <w:t xml:space="preserve"> #1, </w:t>
      </w:r>
      <w:r w:rsidR="00336E60">
        <w:rPr>
          <w:sz w:val="26"/>
          <w:szCs w:val="26"/>
        </w:rPr>
        <w:t xml:space="preserve">the </w:t>
      </w:r>
      <w:r>
        <w:rPr>
          <w:sz w:val="26"/>
          <w:szCs w:val="26"/>
        </w:rPr>
        <w:t>OAG and OCA heavily rely on language in the Commission’s</w:t>
      </w:r>
      <w:r w:rsidR="00436E0D">
        <w:rPr>
          <w:sz w:val="26"/>
          <w:szCs w:val="26"/>
        </w:rPr>
        <w:t xml:space="preserve"> order, </w:t>
      </w:r>
      <w:r>
        <w:rPr>
          <w:i/>
          <w:sz w:val="26"/>
          <w:szCs w:val="26"/>
        </w:rPr>
        <w:t>Use of Fixed-Price Labels for Products With a Pass-Through Clause</w:t>
      </w:r>
      <w:r>
        <w:rPr>
          <w:sz w:val="26"/>
          <w:szCs w:val="26"/>
        </w:rPr>
        <w:t xml:space="preserve">, Docket No. </w:t>
      </w:r>
      <w:r w:rsidR="00336E60">
        <w:rPr>
          <w:sz w:val="26"/>
          <w:szCs w:val="26"/>
        </w:rPr>
        <w:br/>
      </w:r>
      <w:r>
        <w:rPr>
          <w:sz w:val="26"/>
          <w:szCs w:val="26"/>
        </w:rPr>
        <w:t>M-2013-2362961 (Order entered November 14, 2014) (</w:t>
      </w:r>
      <w:r>
        <w:rPr>
          <w:i/>
          <w:sz w:val="26"/>
          <w:szCs w:val="26"/>
        </w:rPr>
        <w:t>Pass-Through Order</w:t>
      </w:r>
      <w:r>
        <w:rPr>
          <w:sz w:val="26"/>
          <w:szCs w:val="26"/>
        </w:rPr>
        <w:t>)</w:t>
      </w:r>
      <w:r w:rsidR="00436E0D">
        <w:rPr>
          <w:sz w:val="26"/>
          <w:szCs w:val="26"/>
        </w:rPr>
        <w:t>,</w:t>
      </w:r>
      <w:r>
        <w:rPr>
          <w:sz w:val="26"/>
          <w:szCs w:val="26"/>
        </w:rPr>
        <w:t xml:space="preserve"> to argue that the CPL and TRA are, essentially, “overlapping” statutes relative to the Commission’s Regulations at Sections 54.122(3)</w:t>
      </w:r>
      <w:r w:rsidR="00336E60">
        <w:rPr>
          <w:sz w:val="26"/>
          <w:szCs w:val="26"/>
        </w:rPr>
        <w:t xml:space="preserve"> and</w:t>
      </w:r>
      <w:r>
        <w:rPr>
          <w:sz w:val="26"/>
          <w:szCs w:val="26"/>
        </w:rPr>
        <w:t xml:space="preserve"> 111.12(d)(1)</w:t>
      </w:r>
      <w:r w:rsidR="00336E60">
        <w:rPr>
          <w:sz w:val="26"/>
          <w:szCs w:val="26"/>
        </w:rPr>
        <w:t xml:space="preserve">.  </w:t>
      </w:r>
      <w:r>
        <w:rPr>
          <w:sz w:val="26"/>
          <w:szCs w:val="26"/>
        </w:rPr>
        <w:t xml:space="preserve">52 Pa. Code </w:t>
      </w:r>
      <w:r w:rsidR="00336E60">
        <w:rPr>
          <w:sz w:val="26"/>
          <w:szCs w:val="26"/>
        </w:rPr>
        <w:br/>
      </w:r>
      <w:r>
        <w:rPr>
          <w:sz w:val="26"/>
          <w:szCs w:val="26"/>
        </w:rPr>
        <w:t>§§ 54.122(3); 111.12(d)(1)</w:t>
      </w:r>
      <w:r w:rsidR="00436E0D">
        <w:rPr>
          <w:sz w:val="26"/>
          <w:szCs w:val="26"/>
        </w:rPr>
        <w:t xml:space="preserve">.  These </w:t>
      </w:r>
      <w:r w:rsidR="00336E60">
        <w:rPr>
          <w:sz w:val="26"/>
          <w:szCs w:val="26"/>
        </w:rPr>
        <w:t>R</w:t>
      </w:r>
      <w:r w:rsidR="00436E0D">
        <w:rPr>
          <w:sz w:val="26"/>
          <w:szCs w:val="26"/>
        </w:rPr>
        <w:t>egulations</w:t>
      </w:r>
      <w:r w:rsidR="00433C46">
        <w:rPr>
          <w:sz w:val="26"/>
          <w:szCs w:val="26"/>
        </w:rPr>
        <w:t xml:space="preserve">, </w:t>
      </w:r>
      <w:r w:rsidR="00433C46">
        <w:rPr>
          <w:i/>
          <w:sz w:val="26"/>
          <w:szCs w:val="26"/>
        </w:rPr>
        <w:t>inter alia</w:t>
      </w:r>
      <w:r w:rsidR="00433C46">
        <w:rPr>
          <w:sz w:val="26"/>
          <w:szCs w:val="26"/>
        </w:rPr>
        <w:t>,</w:t>
      </w:r>
      <w:r w:rsidR="00436E0D">
        <w:rPr>
          <w:sz w:val="26"/>
          <w:szCs w:val="26"/>
        </w:rPr>
        <w:t xml:space="preserve"> expressly authorize the Commission to prevent an EGS from engaging in conduct that violates state and/or federal law.  Brief at 5-6.</w:t>
      </w:r>
    </w:p>
    <w:p w:rsidR="00436E0D" w:rsidRDefault="00436E0D" w:rsidP="00812AD9">
      <w:pPr>
        <w:spacing w:line="360" w:lineRule="auto"/>
        <w:ind w:firstLine="1440"/>
        <w:rPr>
          <w:sz w:val="26"/>
          <w:szCs w:val="26"/>
        </w:rPr>
      </w:pPr>
    </w:p>
    <w:p w:rsidR="00436E0D" w:rsidRDefault="00336E60" w:rsidP="00812AD9">
      <w:pPr>
        <w:spacing w:line="360" w:lineRule="auto"/>
        <w:ind w:firstLine="1440"/>
        <w:rPr>
          <w:sz w:val="26"/>
          <w:szCs w:val="26"/>
        </w:rPr>
      </w:pPr>
      <w:r>
        <w:rPr>
          <w:sz w:val="26"/>
          <w:szCs w:val="26"/>
        </w:rPr>
        <w:t xml:space="preserve">The </w:t>
      </w:r>
      <w:r w:rsidR="00436E0D">
        <w:rPr>
          <w:sz w:val="26"/>
          <w:szCs w:val="26"/>
        </w:rPr>
        <w:t xml:space="preserve">OAG and OCA </w:t>
      </w:r>
      <w:r w:rsidR="005165C7">
        <w:rPr>
          <w:sz w:val="26"/>
          <w:szCs w:val="26"/>
        </w:rPr>
        <w:t xml:space="preserve">additionally </w:t>
      </w:r>
      <w:r w:rsidR="00436E0D">
        <w:rPr>
          <w:sz w:val="26"/>
          <w:szCs w:val="26"/>
        </w:rPr>
        <w:t xml:space="preserve">point out that the Commission’s Regulations specifically reference the CPL and TRA and </w:t>
      </w:r>
      <w:r w:rsidR="00433C46">
        <w:rPr>
          <w:sz w:val="26"/>
          <w:szCs w:val="26"/>
        </w:rPr>
        <w:t xml:space="preserve">expressly </w:t>
      </w:r>
      <w:r w:rsidR="00436E0D">
        <w:rPr>
          <w:sz w:val="26"/>
          <w:szCs w:val="26"/>
        </w:rPr>
        <w:t xml:space="preserve">require </w:t>
      </w:r>
      <w:r w:rsidR="0096099A">
        <w:rPr>
          <w:sz w:val="26"/>
          <w:szCs w:val="26"/>
        </w:rPr>
        <w:t xml:space="preserve">EGS </w:t>
      </w:r>
      <w:r w:rsidR="00436E0D">
        <w:rPr>
          <w:sz w:val="26"/>
          <w:szCs w:val="26"/>
        </w:rPr>
        <w:t xml:space="preserve">compliance with these laws.  Brief at 6 </w:t>
      </w:r>
      <w:r w:rsidR="00097C95">
        <w:rPr>
          <w:sz w:val="26"/>
          <w:szCs w:val="26"/>
        </w:rPr>
        <w:t>(</w:t>
      </w:r>
      <w:r w:rsidR="00436E0D">
        <w:rPr>
          <w:sz w:val="26"/>
          <w:szCs w:val="26"/>
        </w:rPr>
        <w:t>citing 52 Pa. Code § 54.42(a)(8)</w:t>
      </w:r>
      <w:r w:rsidR="00097C95">
        <w:rPr>
          <w:sz w:val="26"/>
          <w:szCs w:val="26"/>
        </w:rPr>
        <w:t>)</w:t>
      </w:r>
      <w:r w:rsidR="00436E0D">
        <w:rPr>
          <w:sz w:val="26"/>
          <w:szCs w:val="26"/>
        </w:rPr>
        <w:t xml:space="preserve">.  In order to find a violation of Commission Regulations which cross-reference the CPL and TRA, </w:t>
      </w:r>
      <w:r w:rsidR="00436E0D">
        <w:rPr>
          <w:sz w:val="26"/>
          <w:szCs w:val="26"/>
        </w:rPr>
        <w:lastRenderedPageBreak/>
        <w:t>the</w:t>
      </w:r>
      <w:r w:rsidR="0096099A">
        <w:rPr>
          <w:sz w:val="26"/>
          <w:szCs w:val="26"/>
        </w:rPr>
        <w:t xml:space="preserve">y argue, the </w:t>
      </w:r>
      <w:r w:rsidR="00436E0D">
        <w:rPr>
          <w:sz w:val="26"/>
          <w:szCs w:val="26"/>
        </w:rPr>
        <w:t xml:space="preserve">Commission must consider evidence as to whether the provisions of those statutes have been violated.  </w:t>
      </w:r>
      <w:r w:rsidR="00436E0D">
        <w:rPr>
          <w:i/>
          <w:sz w:val="26"/>
          <w:szCs w:val="26"/>
        </w:rPr>
        <w:t>Id</w:t>
      </w:r>
      <w:r w:rsidR="00436E0D">
        <w:rPr>
          <w:sz w:val="26"/>
          <w:szCs w:val="26"/>
        </w:rPr>
        <w:t>.</w:t>
      </w:r>
    </w:p>
    <w:p w:rsidR="00436E0D" w:rsidRDefault="00436E0D" w:rsidP="00812AD9">
      <w:pPr>
        <w:spacing w:line="360" w:lineRule="auto"/>
        <w:ind w:firstLine="1440"/>
        <w:rPr>
          <w:sz w:val="26"/>
          <w:szCs w:val="26"/>
        </w:rPr>
      </w:pPr>
    </w:p>
    <w:p w:rsidR="005165C7" w:rsidRDefault="00E22FC1" w:rsidP="00812AD9">
      <w:pPr>
        <w:spacing w:line="360" w:lineRule="auto"/>
        <w:ind w:firstLine="1440"/>
        <w:rPr>
          <w:sz w:val="26"/>
          <w:szCs w:val="26"/>
        </w:rPr>
      </w:pPr>
      <w:r>
        <w:rPr>
          <w:sz w:val="26"/>
          <w:szCs w:val="26"/>
        </w:rPr>
        <w:t xml:space="preserve">In support of </w:t>
      </w:r>
      <w:r w:rsidR="00287FEA">
        <w:rPr>
          <w:sz w:val="26"/>
          <w:szCs w:val="26"/>
        </w:rPr>
        <w:t xml:space="preserve">the merits of </w:t>
      </w:r>
      <w:r>
        <w:rPr>
          <w:sz w:val="26"/>
          <w:szCs w:val="26"/>
        </w:rPr>
        <w:t xml:space="preserve">their proposed material question #2, </w:t>
      </w:r>
      <w:r w:rsidR="00097C95">
        <w:rPr>
          <w:sz w:val="26"/>
          <w:szCs w:val="26"/>
        </w:rPr>
        <w:t xml:space="preserve">the </w:t>
      </w:r>
      <w:r>
        <w:rPr>
          <w:sz w:val="26"/>
          <w:szCs w:val="26"/>
        </w:rPr>
        <w:t xml:space="preserve">OAG and OCA </w:t>
      </w:r>
      <w:r w:rsidR="00433C46">
        <w:rPr>
          <w:sz w:val="26"/>
          <w:szCs w:val="26"/>
        </w:rPr>
        <w:t xml:space="preserve">extensively seek to </w:t>
      </w:r>
      <w:r>
        <w:rPr>
          <w:sz w:val="26"/>
          <w:szCs w:val="26"/>
        </w:rPr>
        <w:t>clarify their position</w:t>
      </w:r>
      <w:r w:rsidR="00433C46">
        <w:rPr>
          <w:sz w:val="26"/>
          <w:szCs w:val="26"/>
        </w:rPr>
        <w:t xml:space="preserve"> in this formal complaint</w:t>
      </w:r>
      <w:r>
        <w:rPr>
          <w:sz w:val="26"/>
          <w:szCs w:val="26"/>
        </w:rPr>
        <w:t xml:space="preserve">.  </w:t>
      </w:r>
    </w:p>
    <w:p w:rsidR="005165C7" w:rsidRDefault="005165C7" w:rsidP="00812AD9">
      <w:pPr>
        <w:spacing w:line="360" w:lineRule="auto"/>
        <w:ind w:firstLine="1440"/>
        <w:rPr>
          <w:sz w:val="26"/>
          <w:szCs w:val="26"/>
        </w:rPr>
      </w:pPr>
    </w:p>
    <w:p w:rsidR="00106499" w:rsidRDefault="00097C95" w:rsidP="00812AD9">
      <w:pPr>
        <w:spacing w:line="360" w:lineRule="auto"/>
        <w:ind w:firstLine="1440"/>
        <w:rPr>
          <w:sz w:val="26"/>
          <w:szCs w:val="26"/>
        </w:rPr>
      </w:pPr>
      <w:r>
        <w:rPr>
          <w:sz w:val="26"/>
          <w:szCs w:val="26"/>
        </w:rPr>
        <w:t xml:space="preserve">The </w:t>
      </w:r>
      <w:r w:rsidR="005165C7">
        <w:rPr>
          <w:sz w:val="26"/>
          <w:szCs w:val="26"/>
        </w:rPr>
        <w:t xml:space="preserve">OAG/OCA </w:t>
      </w:r>
      <w:r w:rsidR="00E22FC1">
        <w:rPr>
          <w:sz w:val="26"/>
          <w:szCs w:val="26"/>
        </w:rPr>
        <w:t>assert</w:t>
      </w:r>
      <w:r w:rsidR="005165C7">
        <w:rPr>
          <w:sz w:val="26"/>
          <w:szCs w:val="26"/>
        </w:rPr>
        <w:t xml:space="preserve"> </w:t>
      </w:r>
      <w:r w:rsidR="00E22FC1">
        <w:rPr>
          <w:sz w:val="26"/>
          <w:szCs w:val="26"/>
        </w:rPr>
        <w:t xml:space="preserve">that they do not ask the Commission to regulate the price of EGS service.  Brief at 10.  Rather, </w:t>
      </w:r>
      <w:r w:rsidR="001557DB">
        <w:rPr>
          <w:sz w:val="26"/>
          <w:szCs w:val="26"/>
        </w:rPr>
        <w:t xml:space="preserve">the </w:t>
      </w:r>
      <w:r w:rsidR="00E22FC1">
        <w:rPr>
          <w:sz w:val="26"/>
          <w:szCs w:val="26"/>
        </w:rPr>
        <w:t>OAG/OCA are asking the Commission to determine whether the price</w:t>
      </w:r>
      <w:r w:rsidR="005165C7">
        <w:rPr>
          <w:sz w:val="26"/>
          <w:szCs w:val="26"/>
        </w:rPr>
        <w:t>s</w:t>
      </w:r>
      <w:r w:rsidR="00E22FC1">
        <w:rPr>
          <w:sz w:val="26"/>
          <w:szCs w:val="26"/>
        </w:rPr>
        <w:t xml:space="preserve"> charged by Respond w</w:t>
      </w:r>
      <w:r w:rsidR="005165C7">
        <w:rPr>
          <w:sz w:val="26"/>
          <w:szCs w:val="26"/>
        </w:rPr>
        <w:t>ere</w:t>
      </w:r>
      <w:r w:rsidR="00E22FC1">
        <w:rPr>
          <w:sz w:val="26"/>
          <w:szCs w:val="26"/>
        </w:rPr>
        <w:t xml:space="preserve"> consistent with the pricing terms contained in the Disclosure Statements.  </w:t>
      </w:r>
      <w:r w:rsidR="00E22FC1">
        <w:rPr>
          <w:i/>
          <w:sz w:val="26"/>
          <w:szCs w:val="26"/>
        </w:rPr>
        <w:t>Id</w:t>
      </w:r>
      <w:r w:rsidR="00E22FC1">
        <w:rPr>
          <w:sz w:val="26"/>
          <w:szCs w:val="26"/>
        </w:rPr>
        <w:t xml:space="preserve">.  </w:t>
      </w:r>
      <w:r w:rsidR="001557DB">
        <w:rPr>
          <w:sz w:val="26"/>
          <w:szCs w:val="26"/>
        </w:rPr>
        <w:t xml:space="preserve">The </w:t>
      </w:r>
      <w:r w:rsidR="00E22FC1">
        <w:rPr>
          <w:sz w:val="26"/>
          <w:szCs w:val="26"/>
        </w:rPr>
        <w:t xml:space="preserve">OAG and OCA take issue with the ALJs’ factual </w:t>
      </w:r>
      <w:r w:rsidR="005165C7">
        <w:rPr>
          <w:sz w:val="26"/>
          <w:szCs w:val="26"/>
        </w:rPr>
        <w:t xml:space="preserve">findings and </w:t>
      </w:r>
      <w:r w:rsidR="00E22FC1">
        <w:rPr>
          <w:sz w:val="26"/>
          <w:szCs w:val="26"/>
        </w:rPr>
        <w:t>statement that no averments in Count VIII p</w:t>
      </w:r>
      <w:r w:rsidR="00433C46">
        <w:rPr>
          <w:sz w:val="26"/>
          <w:szCs w:val="26"/>
        </w:rPr>
        <w:t>lace</w:t>
      </w:r>
      <w:r w:rsidR="00E22FC1">
        <w:rPr>
          <w:sz w:val="26"/>
          <w:szCs w:val="26"/>
        </w:rPr>
        <w:t xml:space="preserve"> Respond’s billing practices and </w:t>
      </w:r>
      <w:r w:rsidR="0096099A">
        <w:rPr>
          <w:sz w:val="26"/>
          <w:szCs w:val="26"/>
        </w:rPr>
        <w:t>D</w:t>
      </w:r>
      <w:r w:rsidR="00E22FC1">
        <w:rPr>
          <w:sz w:val="26"/>
          <w:szCs w:val="26"/>
        </w:rPr>
        <w:t xml:space="preserve">isclosure </w:t>
      </w:r>
      <w:r w:rsidR="0096099A">
        <w:rPr>
          <w:sz w:val="26"/>
          <w:szCs w:val="26"/>
        </w:rPr>
        <w:t>S</w:t>
      </w:r>
      <w:r w:rsidR="00E22FC1">
        <w:rPr>
          <w:sz w:val="26"/>
          <w:szCs w:val="26"/>
        </w:rPr>
        <w:t xml:space="preserve">tatement at issue.  Brief at 10 </w:t>
      </w:r>
      <w:r w:rsidR="001557DB">
        <w:rPr>
          <w:sz w:val="26"/>
          <w:szCs w:val="26"/>
        </w:rPr>
        <w:t>(</w:t>
      </w:r>
      <w:r w:rsidR="00E22FC1">
        <w:rPr>
          <w:sz w:val="26"/>
          <w:szCs w:val="26"/>
        </w:rPr>
        <w:t>referencing August 20 Order at 17</w:t>
      </w:r>
      <w:r w:rsidR="001557DB">
        <w:rPr>
          <w:sz w:val="26"/>
          <w:szCs w:val="26"/>
        </w:rPr>
        <w:t>)</w:t>
      </w:r>
      <w:r w:rsidR="00E22FC1">
        <w:rPr>
          <w:sz w:val="26"/>
          <w:szCs w:val="26"/>
        </w:rPr>
        <w:t xml:space="preserve">.  </w:t>
      </w:r>
      <w:r w:rsidR="001557DB">
        <w:rPr>
          <w:sz w:val="26"/>
          <w:szCs w:val="26"/>
        </w:rPr>
        <w:t xml:space="preserve">The </w:t>
      </w:r>
      <w:r w:rsidR="0096099A">
        <w:rPr>
          <w:sz w:val="26"/>
          <w:szCs w:val="26"/>
        </w:rPr>
        <w:t>OAG/OCA</w:t>
      </w:r>
      <w:r w:rsidR="00E22FC1">
        <w:rPr>
          <w:sz w:val="26"/>
          <w:szCs w:val="26"/>
        </w:rPr>
        <w:t xml:space="preserve"> argue that the ALJs’ findings </w:t>
      </w:r>
      <w:r w:rsidR="00287FEA">
        <w:rPr>
          <w:sz w:val="26"/>
          <w:szCs w:val="26"/>
        </w:rPr>
        <w:t>do</w:t>
      </w:r>
      <w:r w:rsidR="00E22FC1">
        <w:rPr>
          <w:sz w:val="26"/>
          <w:szCs w:val="26"/>
        </w:rPr>
        <w:t xml:space="preserve"> not accurate</w:t>
      </w:r>
      <w:r w:rsidR="005165C7">
        <w:rPr>
          <w:sz w:val="26"/>
          <w:szCs w:val="26"/>
        </w:rPr>
        <w:t xml:space="preserve">ly </w:t>
      </w:r>
      <w:r w:rsidR="0096099A">
        <w:rPr>
          <w:sz w:val="26"/>
          <w:szCs w:val="26"/>
        </w:rPr>
        <w:t>describe their</w:t>
      </w:r>
      <w:r w:rsidR="005165C7">
        <w:rPr>
          <w:sz w:val="26"/>
          <w:szCs w:val="26"/>
        </w:rPr>
        <w:t xml:space="preserve"> claims.</w:t>
      </w:r>
      <w:r w:rsidR="0096099A">
        <w:rPr>
          <w:sz w:val="26"/>
          <w:szCs w:val="26"/>
        </w:rPr>
        <w:t xml:space="preserve">  Brief at 11.</w:t>
      </w:r>
    </w:p>
    <w:p w:rsidR="00106499" w:rsidRDefault="00106499" w:rsidP="00812AD9">
      <w:pPr>
        <w:spacing w:line="360" w:lineRule="auto"/>
        <w:ind w:firstLine="1440"/>
        <w:rPr>
          <w:sz w:val="26"/>
          <w:szCs w:val="26"/>
        </w:rPr>
      </w:pPr>
    </w:p>
    <w:p w:rsidR="0096099A" w:rsidRDefault="001557DB" w:rsidP="00812AD9">
      <w:pPr>
        <w:spacing w:line="360" w:lineRule="auto"/>
        <w:ind w:firstLine="1440"/>
        <w:rPr>
          <w:sz w:val="26"/>
          <w:szCs w:val="26"/>
        </w:rPr>
      </w:pPr>
      <w:r>
        <w:rPr>
          <w:sz w:val="26"/>
          <w:szCs w:val="26"/>
        </w:rPr>
        <w:t xml:space="preserve">The </w:t>
      </w:r>
      <w:r w:rsidR="00106499">
        <w:rPr>
          <w:sz w:val="26"/>
          <w:szCs w:val="26"/>
        </w:rPr>
        <w:t>OAG and OCA explain that in order to establish facts in support of their allegations that Respond’s prices charged to its variable rate customers did not conform to the basis for pricing stated in the disclosure statement, they presented an analysis of electric generation market pricing as furnished by PJM</w:t>
      </w:r>
      <w:r w:rsidR="00CC1A9A">
        <w:rPr>
          <w:sz w:val="26"/>
          <w:szCs w:val="26"/>
        </w:rPr>
        <w:t xml:space="preserve"> Interconnection LLC</w:t>
      </w:r>
      <w:r w:rsidR="00882D75">
        <w:rPr>
          <w:sz w:val="26"/>
          <w:szCs w:val="26"/>
        </w:rPr>
        <w:t>,</w:t>
      </w:r>
      <w:r w:rsidR="00B02B91">
        <w:rPr>
          <w:rStyle w:val="FootnoteReference"/>
          <w:sz w:val="26"/>
          <w:szCs w:val="26"/>
        </w:rPr>
        <w:footnoteReference w:id="9"/>
      </w:r>
      <w:r w:rsidR="00106499">
        <w:rPr>
          <w:sz w:val="26"/>
          <w:szCs w:val="26"/>
        </w:rPr>
        <w:t xml:space="preserve"> since the disclosure statement conveys that pricing would be based on PJM market pricing.  Brief at 10-11.</w:t>
      </w:r>
      <w:r w:rsidR="0096099A">
        <w:rPr>
          <w:sz w:val="26"/>
          <w:szCs w:val="26"/>
        </w:rPr>
        <w:t xml:space="preserve">  </w:t>
      </w:r>
      <w:r w:rsidR="00537CE3">
        <w:rPr>
          <w:sz w:val="26"/>
          <w:szCs w:val="26"/>
        </w:rPr>
        <w:t xml:space="preserve">The </w:t>
      </w:r>
      <w:r w:rsidR="0096099A">
        <w:rPr>
          <w:sz w:val="26"/>
          <w:szCs w:val="26"/>
        </w:rPr>
        <w:t xml:space="preserve">OAG/OCA </w:t>
      </w:r>
      <w:r w:rsidR="00B02B91">
        <w:rPr>
          <w:sz w:val="26"/>
          <w:szCs w:val="26"/>
        </w:rPr>
        <w:t>make the argument</w:t>
      </w:r>
      <w:r w:rsidR="0096099A">
        <w:rPr>
          <w:sz w:val="26"/>
          <w:szCs w:val="26"/>
        </w:rPr>
        <w:t xml:space="preserve"> that, simply because the Affidavit of their witness, Dr. Estomin, used numerical pricing information in his analysis, does not equate to an attempt to regulate price.  </w:t>
      </w:r>
      <w:r w:rsidR="00537CE3">
        <w:rPr>
          <w:sz w:val="26"/>
          <w:szCs w:val="26"/>
        </w:rPr>
        <w:t xml:space="preserve">The </w:t>
      </w:r>
      <w:r w:rsidR="0096099A">
        <w:rPr>
          <w:sz w:val="26"/>
          <w:szCs w:val="26"/>
        </w:rPr>
        <w:t>OAG/OCA state:</w:t>
      </w:r>
    </w:p>
    <w:p w:rsidR="0096099A" w:rsidRDefault="0096099A" w:rsidP="00812AD9">
      <w:pPr>
        <w:spacing w:line="360" w:lineRule="auto"/>
        <w:ind w:firstLine="1440"/>
        <w:rPr>
          <w:sz w:val="26"/>
          <w:szCs w:val="26"/>
        </w:rPr>
      </w:pPr>
    </w:p>
    <w:p w:rsidR="0096099A" w:rsidRDefault="0096099A" w:rsidP="0096099A">
      <w:pPr>
        <w:ind w:left="1440" w:right="1440"/>
        <w:rPr>
          <w:sz w:val="26"/>
          <w:szCs w:val="26"/>
        </w:rPr>
      </w:pPr>
      <w:r>
        <w:rPr>
          <w:sz w:val="26"/>
          <w:szCs w:val="26"/>
        </w:rPr>
        <w:t xml:space="preserve">Rather, it provides evidence that the price charged was not in compliance with the elements that were to form the basis of the price as defined in Respond’s disclosure statement.  The determination of whether the marketed and disclosed price </w:t>
      </w:r>
      <w:r>
        <w:rPr>
          <w:sz w:val="26"/>
          <w:szCs w:val="26"/>
        </w:rPr>
        <w:lastRenderedPageBreak/>
        <w:t xml:space="preserve">conforms to the price actually charged to the customer is squarely within the Commission’s authority, as is the authority to determine whether the EGS provided adequate information to enable customers to make informed </w:t>
      </w:r>
      <w:r w:rsidR="00537CE3">
        <w:rPr>
          <w:sz w:val="26"/>
          <w:szCs w:val="26"/>
        </w:rPr>
        <w:br/>
      </w:r>
      <w:r>
        <w:rPr>
          <w:sz w:val="26"/>
          <w:szCs w:val="26"/>
        </w:rPr>
        <w:t>choices. . . .</w:t>
      </w:r>
    </w:p>
    <w:p w:rsidR="00537CE3" w:rsidRDefault="00537CE3" w:rsidP="0018116F">
      <w:pPr>
        <w:spacing w:line="360" w:lineRule="auto"/>
        <w:ind w:left="1440" w:right="1440"/>
        <w:rPr>
          <w:sz w:val="26"/>
          <w:szCs w:val="26"/>
        </w:rPr>
      </w:pPr>
    </w:p>
    <w:p w:rsidR="0096099A" w:rsidRDefault="0096099A" w:rsidP="0018116F">
      <w:pPr>
        <w:spacing w:line="360" w:lineRule="auto"/>
        <w:rPr>
          <w:sz w:val="26"/>
          <w:szCs w:val="26"/>
        </w:rPr>
      </w:pPr>
      <w:r>
        <w:rPr>
          <w:sz w:val="26"/>
          <w:szCs w:val="26"/>
        </w:rPr>
        <w:t xml:space="preserve">Brief at 11. </w:t>
      </w:r>
      <w:r w:rsidR="00106499">
        <w:rPr>
          <w:sz w:val="26"/>
          <w:szCs w:val="26"/>
        </w:rPr>
        <w:t xml:space="preserve">   </w:t>
      </w:r>
      <w:r w:rsidR="00E22FC1">
        <w:rPr>
          <w:sz w:val="26"/>
          <w:szCs w:val="26"/>
        </w:rPr>
        <w:t xml:space="preserve">  </w:t>
      </w:r>
    </w:p>
    <w:p w:rsidR="0096099A" w:rsidRDefault="0096099A" w:rsidP="0096099A">
      <w:pPr>
        <w:rPr>
          <w:sz w:val="26"/>
          <w:szCs w:val="26"/>
        </w:rPr>
      </w:pPr>
    </w:p>
    <w:p w:rsidR="00B93126" w:rsidRDefault="005662A7" w:rsidP="004C32C6">
      <w:pPr>
        <w:spacing w:line="360" w:lineRule="auto"/>
        <w:ind w:firstLine="1440"/>
        <w:rPr>
          <w:sz w:val="26"/>
          <w:szCs w:val="26"/>
        </w:rPr>
      </w:pPr>
      <w:r>
        <w:rPr>
          <w:sz w:val="26"/>
          <w:szCs w:val="26"/>
        </w:rPr>
        <w:t xml:space="preserve">Finally, </w:t>
      </w:r>
      <w:r w:rsidR="00524589">
        <w:rPr>
          <w:sz w:val="26"/>
          <w:szCs w:val="26"/>
        </w:rPr>
        <w:t xml:space="preserve">the </w:t>
      </w:r>
      <w:r>
        <w:rPr>
          <w:sz w:val="26"/>
          <w:szCs w:val="26"/>
        </w:rPr>
        <w:t xml:space="preserve">OAG/OCA </w:t>
      </w:r>
      <w:r w:rsidR="00B93126">
        <w:rPr>
          <w:sz w:val="26"/>
          <w:szCs w:val="26"/>
        </w:rPr>
        <w:t xml:space="preserve">criticize the </w:t>
      </w:r>
      <w:r w:rsidR="00B8094F">
        <w:rPr>
          <w:sz w:val="26"/>
          <w:szCs w:val="26"/>
        </w:rPr>
        <w:t xml:space="preserve">statement in the </w:t>
      </w:r>
      <w:r w:rsidR="00B93126">
        <w:rPr>
          <w:sz w:val="26"/>
          <w:szCs w:val="26"/>
        </w:rPr>
        <w:t xml:space="preserve">August 20 Order that they do not aver violations of Respond’s billing practices and disclosures and do not tie the Estomin Affidavit to the </w:t>
      </w:r>
      <w:r w:rsidR="00524589">
        <w:rPr>
          <w:sz w:val="26"/>
          <w:szCs w:val="26"/>
        </w:rPr>
        <w:t>D</w:t>
      </w:r>
      <w:r w:rsidR="00B93126">
        <w:rPr>
          <w:sz w:val="26"/>
          <w:szCs w:val="26"/>
        </w:rPr>
        <w:t xml:space="preserve">isclosure </w:t>
      </w:r>
      <w:r w:rsidR="00524589">
        <w:rPr>
          <w:sz w:val="26"/>
          <w:szCs w:val="26"/>
        </w:rPr>
        <w:t>S</w:t>
      </w:r>
      <w:r w:rsidR="00B93126">
        <w:rPr>
          <w:sz w:val="26"/>
          <w:szCs w:val="26"/>
        </w:rPr>
        <w:t>tatement in either the Complaint o</w:t>
      </w:r>
      <w:r w:rsidR="00B02B91">
        <w:rPr>
          <w:sz w:val="26"/>
          <w:szCs w:val="26"/>
        </w:rPr>
        <w:t>r</w:t>
      </w:r>
      <w:r w:rsidR="00B93126">
        <w:rPr>
          <w:sz w:val="26"/>
          <w:szCs w:val="26"/>
        </w:rPr>
        <w:t xml:space="preserve"> Answer to Preliminary Objections.  Brief at 11.  </w:t>
      </w:r>
      <w:r w:rsidR="00524589">
        <w:rPr>
          <w:sz w:val="26"/>
          <w:szCs w:val="26"/>
        </w:rPr>
        <w:t xml:space="preserve">The </w:t>
      </w:r>
      <w:r w:rsidR="00B93126">
        <w:rPr>
          <w:sz w:val="26"/>
          <w:szCs w:val="26"/>
        </w:rPr>
        <w:t xml:space="preserve">OAG/OCA </w:t>
      </w:r>
      <w:r w:rsidR="00B02B91">
        <w:rPr>
          <w:sz w:val="26"/>
          <w:szCs w:val="26"/>
        </w:rPr>
        <w:t xml:space="preserve">attempt to rebut the ALJs’ conclusion and </w:t>
      </w:r>
      <w:r w:rsidR="00B93126">
        <w:rPr>
          <w:sz w:val="26"/>
          <w:szCs w:val="26"/>
        </w:rPr>
        <w:t xml:space="preserve">refer to ¶ 90 of their Complaint which alleges, </w:t>
      </w:r>
      <w:r w:rsidR="00B93126">
        <w:rPr>
          <w:i/>
          <w:sz w:val="26"/>
          <w:szCs w:val="26"/>
        </w:rPr>
        <w:t>inter alia</w:t>
      </w:r>
      <w:r w:rsidR="00B93126">
        <w:rPr>
          <w:sz w:val="26"/>
          <w:szCs w:val="26"/>
        </w:rPr>
        <w:t xml:space="preserve">, that the prices do not conform to the variable rate pricing provisions of Respond’s Disclosure Statement.  </w:t>
      </w:r>
      <w:r w:rsidR="00B93126">
        <w:rPr>
          <w:i/>
          <w:sz w:val="26"/>
          <w:szCs w:val="26"/>
        </w:rPr>
        <w:t xml:space="preserve">Id.  </w:t>
      </w:r>
      <w:r w:rsidR="00B93126">
        <w:rPr>
          <w:sz w:val="26"/>
          <w:szCs w:val="26"/>
        </w:rPr>
        <w:t xml:space="preserve">These allegations are repeated in </w:t>
      </w:r>
      <w:r w:rsidR="00B02B91">
        <w:rPr>
          <w:sz w:val="26"/>
          <w:szCs w:val="26"/>
        </w:rPr>
        <w:t>the OAG/OCA</w:t>
      </w:r>
      <w:r w:rsidR="00B93126">
        <w:rPr>
          <w:sz w:val="26"/>
          <w:szCs w:val="26"/>
        </w:rPr>
        <w:t xml:space="preserve"> Answer to Respond’s Preliminary Objections.  Brief at 11-12.</w:t>
      </w:r>
    </w:p>
    <w:p w:rsidR="00B93126" w:rsidRDefault="00B93126" w:rsidP="004C32C6">
      <w:pPr>
        <w:spacing w:line="360" w:lineRule="auto"/>
        <w:ind w:firstLine="1440"/>
        <w:rPr>
          <w:sz w:val="26"/>
          <w:szCs w:val="26"/>
        </w:rPr>
      </w:pPr>
    </w:p>
    <w:p w:rsidR="009F77A7" w:rsidRDefault="00524589" w:rsidP="0018116F">
      <w:pPr>
        <w:widowControl/>
        <w:spacing w:line="360" w:lineRule="auto"/>
        <w:ind w:firstLine="1440"/>
        <w:rPr>
          <w:sz w:val="26"/>
          <w:szCs w:val="26"/>
        </w:rPr>
      </w:pPr>
      <w:r>
        <w:rPr>
          <w:sz w:val="26"/>
          <w:szCs w:val="26"/>
        </w:rPr>
        <w:t xml:space="preserve">The </w:t>
      </w:r>
      <w:r w:rsidR="00B93126">
        <w:rPr>
          <w:sz w:val="26"/>
          <w:szCs w:val="26"/>
        </w:rPr>
        <w:t xml:space="preserve">OAG/OCA state that there are numerous other references to Respond’s billing practices and </w:t>
      </w:r>
      <w:r w:rsidR="00090499">
        <w:rPr>
          <w:sz w:val="26"/>
          <w:szCs w:val="26"/>
        </w:rPr>
        <w:t>D</w:t>
      </w:r>
      <w:r w:rsidR="00B93126">
        <w:rPr>
          <w:sz w:val="26"/>
          <w:szCs w:val="26"/>
        </w:rPr>
        <w:t xml:space="preserve">isclosure </w:t>
      </w:r>
      <w:r w:rsidR="00090499">
        <w:rPr>
          <w:sz w:val="26"/>
          <w:szCs w:val="26"/>
        </w:rPr>
        <w:t>S</w:t>
      </w:r>
      <w:r w:rsidR="00B93126">
        <w:rPr>
          <w:sz w:val="26"/>
          <w:szCs w:val="26"/>
        </w:rPr>
        <w:t xml:space="preserve">tatement in Count VIII of the Complaint and </w:t>
      </w:r>
      <w:r w:rsidR="00090499">
        <w:rPr>
          <w:sz w:val="26"/>
          <w:szCs w:val="26"/>
        </w:rPr>
        <w:t xml:space="preserve">its </w:t>
      </w:r>
      <w:r w:rsidR="00B93126">
        <w:rPr>
          <w:sz w:val="26"/>
          <w:szCs w:val="26"/>
        </w:rPr>
        <w:t xml:space="preserve">Answer to Preliminary Objection.  They rely on </w:t>
      </w:r>
      <w:r w:rsidR="00B02B91">
        <w:rPr>
          <w:sz w:val="26"/>
          <w:szCs w:val="26"/>
        </w:rPr>
        <w:t xml:space="preserve">the holding in </w:t>
      </w:r>
      <w:r w:rsidR="00B93126">
        <w:rPr>
          <w:i/>
          <w:sz w:val="26"/>
          <w:szCs w:val="26"/>
        </w:rPr>
        <w:t>Grmusa v. Dominion Retail, Inc.</w:t>
      </w:r>
      <w:r w:rsidR="00B93126">
        <w:rPr>
          <w:sz w:val="26"/>
          <w:szCs w:val="26"/>
        </w:rPr>
        <w:t>, Docket No. C-2009-2124359</w:t>
      </w:r>
      <w:r w:rsidR="009F77A7">
        <w:rPr>
          <w:sz w:val="26"/>
          <w:szCs w:val="26"/>
        </w:rPr>
        <w:t xml:space="preserve"> </w:t>
      </w:r>
      <w:r w:rsidR="00B93126">
        <w:rPr>
          <w:sz w:val="26"/>
          <w:szCs w:val="26"/>
        </w:rPr>
        <w:t xml:space="preserve">(Order entered April 16, 2010), to distinguish the </w:t>
      </w:r>
      <w:r w:rsidR="00B02B91">
        <w:rPr>
          <w:sz w:val="26"/>
          <w:szCs w:val="26"/>
        </w:rPr>
        <w:t>present</w:t>
      </w:r>
      <w:r w:rsidR="00B93126">
        <w:rPr>
          <w:sz w:val="26"/>
          <w:szCs w:val="26"/>
        </w:rPr>
        <w:t xml:space="preserve"> </w:t>
      </w:r>
      <w:r w:rsidR="00090499">
        <w:rPr>
          <w:sz w:val="26"/>
          <w:szCs w:val="26"/>
        </w:rPr>
        <w:t>C</w:t>
      </w:r>
      <w:r w:rsidR="00B93126">
        <w:rPr>
          <w:sz w:val="26"/>
          <w:szCs w:val="26"/>
        </w:rPr>
        <w:t>omplaint</w:t>
      </w:r>
      <w:r w:rsidR="009F77A7">
        <w:rPr>
          <w:sz w:val="26"/>
          <w:szCs w:val="26"/>
        </w:rPr>
        <w:t xml:space="preserve"> from one seeking to regulate price, as in accord with </w:t>
      </w:r>
      <w:r w:rsidR="009F77A7">
        <w:rPr>
          <w:i/>
          <w:sz w:val="26"/>
          <w:szCs w:val="26"/>
        </w:rPr>
        <w:t xml:space="preserve">Grmusa </w:t>
      </w:r>
      <w:r w:rsidR="009F77A7">
        <w:rPr>
          <w:sz w:val="26"/>
          <w:szCs w:val="26"/>
        </w:rPr>
        <w:t xml:space="preserve">to the extent the </w:t>
      </w:r>
      <w:r w:rsidR="00090499">
        <w:rPr>
          <w:sz w:val="26"/>
          <w:szCs w:val="26"/>
        </w:rPr>
        <w:t>C</w:t>
      </w:r>
      <w:r w:rsidR="009F77A7">
        <w:rPr>
          <w:sz w:val="26"/>
          <w:szCs w:val="26"/>
        </w:rPr>
        <w:t>omplaint aver</w:t>
      </w:r>
      <w:r w:rsidR="00B02B91">
        <w:rPr>
          <w:sz w:val="26"/>
          <w:szCs w:val="26"/>
        </w:rPr>
        <w:t>s</w:t>
      </w:r>
      <w:r w:rsidR="009F77A7">
        <w:rPr>
          <w:sz w:val="26"/>
          <w:szCs w:val="26"/>
        </w:rPr>
        <w:t xml:space="preserve"> that prices charged by Respond to its variable rate customers did not conform to the variable rate pricing provisions of its Disclosure Statement.  Brief at 12-13.</w:t>
      </w:r>
    </w:p>
    <w:p w:rsidR="009F77A7" w:rsidRDefault="009F77A7" w:rsidP="004C32C6">
      <w:pPr>
        <w:spacing w:line="360" w:lineRule="auto"/>
        <w:ind w:firstLine="1440"/>
        <w:rPr>
          <w:sz w:val="26"/>
          <w:szCs w:val="26"/>
        </w:rPr>
      </w:pPr>
    </w:p>
    <w:p w:rsidR="009F77A7" w:rsidRDefault="00B17638" w:rsidP="0018116F">
      <w:pPr>
        <w:spacing w:line="360" w:lineRule="auto"/>
        <w:rPr>
          <w:b/>
          <w:sz w:val="26"/>
          <w:szCs w:val="26"/>
        </w:rPr>
      </w:pPr>
      <w:r>
        <w:rPr>
          <w:b/>
          <w:sz w:val="26"/>
          <w:szCs w:val="26"/>
        </w:rPr>
        <w:t xml:space="preserve">Position of </w:t>
      </w:r>
      <w:r w:rsidR="009F77A7">
        <w:rPr>
          <w:b/>
          <w:sz w:val="26"/>
          <w:szCs w:val="26"/>
        </w:rPr>
        <w:t xml:space="preserve">Respond </w:t>
      </w:r>
    </w:p>
    <w:p w:rsidR="00C935B6" w:rsidRDefault="00C935B6" w:rsidP="004C32C6">
      <w:pPr>
        <w:spacing w:line="360" w:lineRule="auto"/>
        <w:ind w:firstLine="1440"/>
        <w:rPr>
          <w:sz w:val="26"/>
          <w:szCs w:val="26"/>
        </w:rPr>
      </w:pPr>
    </w:p>
    <w:p w:rsidR="009F77A7" w:rsidRDefault="009F77A7" w:rsidP="004C32C6">
      <w:pPr>
        <w:spacing w:line="360" w:lineRule="auto"/>
        <w:ind w:firstLine="1440"/>
        <w:rPr>
          <w:sz w:val="26"/>
          <w:szCs w:val="26"/>
        </w:rPr>
      </w:pPr>
      <w:r>
        <w:rPr>
          <w:sz w:val="26"/>
          <w:szCs w:val="26"/>
        </w:rPr>
        <w:t xml:space="preserve">In its Brief, Respond alleges that, as a threshold consideration, the standards for interlocutory review have not been met.  That is, even with the partial dismissal of Counts III, IV, and IX, and the entirety of Count VIII, </w:t>
      </w:r>
      <w:r w:rsidR="00B02B91">
        <w:rPr>
          <w:sz w:val="26"/>
          <w:szCs w:val="26"/>
        </w:rPr>
        <w:t xml:space="preserve">of the </w:t>
      </w:r>
      <w:r w:rsidR="0017584B">
        <w:rPr>
          <w:sz w:val="26"/>
          <w:szCs w:val="26"/>
        </w:rPr>
        <w:t>C</w:t>
      </w:r>
      <w:r w:rsidR="00B02B91">
        <w:rPr>
          <w:sz w:val="26"/>
          <w:szCs w:val="26"/>
        </w:rPr>
        <w:t xml:space="preserve">omplaint, </w:t>
      </w:r>
      <w:r>
        <w:rPr>
          <w:sz w:val="26"/>
          <w:szCs w:val="26"/>
        </w:rPr>
        <w:lastRenderedPageBreak/>
        <w:t xml:space="preserve">Respond alleges that the </w:t>
      </w:r>
      <w:r w:rsidR="0017584B">
        <w:rPr>
          <w:sz w:val="26"/>
          <w:szCs w:val="26"/>
        </w:rPr>
        <w:t>J</w:t>
      </w:r>
      <w:r>
        <w:rPr>
          <w:sz w:val="26"/>
          <w:szCs w:val="26"/>
        </w:rPr>
        <w:t xml:space="preserve">oint </w:t>
      </w:r>
      <w:r w:rsidR="0017584B">
        <w:rPr>
          <w:sz w:val="26"/>
          <w:szCs w:val="26"/>
        </w:rPr>
        <w:t>C</w:t>
      </w:r>
      <w:r>
        <w:rPr>
          <w:sz w:val="26"/>
          <w:szCs w:val="26"/>
        </w:rPr>
        <w:t>omplainants are free to develop an evidentiary record on those claims within the context of the Commission’s Regulations.  Brief at 3</w:t>
      </w:r>
      <w:r w:rsidR="00CD6294">
        <w:rPr>
          <w:sz w:val="26"/>
          <w:szCs w:val="26"/>
        </w:rPr>
        <w:t>; 4-6</w:t>
      </w:r>
      <w:r>
        <w:rPr>
          <w:sz w:val="26"/>
          <w:szCs w:val="26"/>
        </w:rPr>
        <w:t xml:space="preserve">.  </w:t>
      </w:r>
    </w:p>
    <w:p w:rsidR="009F77A7" w:rsidRDefault="009F77A7" w:rsidP="004C32C6">
      <w:pPr>
        <w:spacing w:line="360" w:lineRule="auto"/>
        <w:ind w:firstLine="1440"/>
        <w:rPr>
          <w:sz w:val="26"/>
          <w:szCs w:val="26"/>
        </w:rPr>
      </w:pPr>
    </w:p>
    <w:p w:rsidR="00B02B91" w:rsidRDefault="009F77A7" w:rsidP="004C32C6">
      <w:pPr>
        <w:spacing w:line="360" w:lineRule="auto"/>
        <w:ind w:firstLine="1440"/>
        <w:rPr>
          <w:sz w:val="26"/>
          <w:szCs w:val="26"/>
        </w:rPr>
      </w:pPr>
      <w:r>
        <w:rPr>
          <w:sz w:val="26"/>
          <w:szCs w:val="26"/>
        </w:rPr>
        <w:t>Specifically, Respond replies that there is no authorization in the Code that gives the Commission leave to enforce the provisions of the CPL and the TRA.  Inclusion of these requirements in Commission Regulations does not confer subject matter jurisdiction on the Commission to determine whether violations of these laws has occurred.  Brief at 3</w:t>
      </w:r>
      <w:r w:rsidR="00CD6294">
        <w:rPr>
          <w:sz w:val="26"/>
          <w:szCs w:val="26"/>
        </w:rPr>
        <w:t xml:space="preserve">.  </w:t>
      </w:r>
    </w:p>
    <w:p w:rsidR="00B02B91" w:rsidRDefault="00B02B91" w:rsidP="004C32C6">
      <w:pPr>
        <w:spacing w:line="360" w:lineRule="auto"/>
        <w:ind w:firstLine="1440"/>
        <w:rPr>
          <w:sz w:val="26"/>
          <w:szCs w:val="26"/>
        </w:rPr>
      </w:pPr>
    </w:p>
    <w:p w:rsidR="00CD6294" w:rsidRDefault="00CD6294" w:rsidP="004C32C6">
      <w:pPr>
        <w:spacing w:line="360" w:lineRule="auto"/>
        <w:ind w:firstLine="1440"/>
        <w:rPr>
          <w:sz w:val="26"/>
          <w:szCs w:val="26"/>
        </w:rPr>
      </w:pPr>
      <w:r>
        <w:rPr>
          <w:sz w:val="26"/>
          <w:szCs w:val="26"/>
        </w:rPr>
        <w:t xml:space="preserve">Respond cites </w:t>
      </w:r>
      <w:r>
        <w:rPr>
          <w:i/>
          <w:sz w:val="26"/>
          <w:szCs w:val="26"/>
        </w:rPr>
        <w:t>Mid-Atlantic Power Supply Assoc. v. PECO Energy Co.</w:t>
      </w:r>
      <w:r>
        <w:rPr>
          <w:sz w:val="26"/>
          <w:szCs w:val="26"/>
        </w:rPr>
        <w:t>, Docket No. P-00981615 (Order entered May 19, 1999)</w:t>
      </w:r>
      <w:r w:rsidR="0017584B">
        <w:rPr>
          <w:sz w:val="26"/>
          <w:szCs w:val="26"/>
        </w:rPr>
        <w:t>;</w:t>
      </w:r>
      <w:r>
        <w:rPr>
          <w:sz w:val="26"/>
          <w:szCs w:val="26"/>
        </w:rPr>
        <w:t xml:space="preserve"> </w:t>
      </w:r>
      <w:r>
        <w:rPr>
          <w:i/>
          <w:sz w:val="26"/>
          <w:szCs w:val="26"/>
        </w:rPr>
        <w:t>David P. Torakeo v. Pa. American Water Co.</w:t>
      </w:r>
      <w:r>
        <w:rPr>
          <w:sz w:val="26"/>
          <w:szCs w:val="26"/>
        </w:rPr>
        <w:t xml:space="preserve">, Docket No. C-2013-2359123 (Order entered April 3, 2014); </w:t>
      </w:r>
      <w:r>
        <w:rPr>
          <w:i/>
          <w:sz w:val="26"/>
          <w:szCs w:val="26"/>
        </w:rPr>
        <w:t>Pa. PUC, et al v. The Bell Telephone Co. of Pa.</w:t>
      </w:r>
      <w:r>
        <w:rPr>
          <w:sz w:val="26"/>
          <w:szCs w:val="26"/>
        </w:rPr>
        <w:t xml:space="preserve">, 71 Pa. P.U.C. 338, 341 (1989); and </w:t>
      </w:r>
      <w:r>
        <w:rPr>
          <w:i/>
          <w:sz w:val="26"/>
          <w:szCs w:val="26"/>
        </w:rPr>
        <w:t>M</w:t>
      </w:r>
      <w:r w:rsidR="006F6670">
        <w:rPr>
          <w:i/>
          <w:sz w:val="26"/>
          <w:szCs w:val="26"/>
        </w:rPr>
        <w:t>a</w:t>
      </w:r>
      <w:r>
        <w:rPr>
          <w:i/>
          <w:sz w:val="26"/>
          <w:szCs w:val="26"/>
        </w:rPr>
        <w:t>cLuckie v. Palmco Energy PA, LLC</w:t>
      </w:r>
      <w:r>
        <w:rPr>
          <w:sz w:val="26"/>
          <w:szCs w:val="26"/>
        </w:rPr>
        <w:t>, Docket No. C-2014-2402558 (Initial Decision dated June 16, 2014), for the proposition that the Commission does not have jurisdiction over claims under the CPL.</w:t>
      </w:r>
      <w:r w:rsidR="00B02B91">
        <w:rPr>
          <w:sz w:val="26"/>
          <w:szCs w:val="26"/>
        </w:rPr>
        <w:t xml:space="preserve">  Brief at 8. </w:t>
      </w:r>
    </w:p>
    <w:p w:rsidR="00CD6294" w:rsidRDefault="00CD6294" w:rsidP="004C32C6">
      <w:pPr>
        <w:spacing w:line="360" w:lineRule="auto"/>
        <w:ind w:firstLine="1440"/>
        <w:rPr>
          <w:sz w:val="26"/>
          <w:szCs w:val="26"/>
        </w:rPr>
      </w:pPr>
    </w:p>
    <w:p w:rsidR="00381199" w:rsidRDefault="00381199" w:rsidP="004C32C6">
      <w:pPr>
        <w:spacing w:line="360" w:lineRule="auto"/>
        <w:ind w:firstLine="1440"/>
        <w:rPr>
          <w:sz w:val="26"/>
          <w:szCs w:val="26"/>
        </w:rPr>
      </w:pPr>
      <w:r>
        <w:rPr>
          <w:sz w:val="26"/>
          <w:szCs w:val="26"/>
        </w:rPr>
        <w:t xml:space="preserve">Respond </w:t>
      </w:r>
      <w:r w:rsidR="00B02B91">
        <w:rPr>
          <w:sz w:val="26"/>
          <w:szCs w:val="26"/>
        </w:rPr>
        <w:t xml:space="preserve">goes on to </w:t>
      </w:r>
      <w:r>
        <w:rPr>
          <w:sz w:val="26"/>
          <w:szCs w:val="26"/>
        </w:rPr>
        <w:t xml:space="preserve">distinguish the legal holding of </w:t>
      </w:r>
      <w:r>
        <w:rPr>
          <w:i/>
          <w:sz w:val="26"/>
          <w:szCs w:val="26"/>
        </w:rPr>
        <w:t>Harrisburg Taxicab &amp; Bagga</w:t>
      </w:r>
      <w:r w:rsidR="00B02B91">
        <w:rPr>
          <w:i/>
          <w:sz w:val="26"/>
          <w:szCs w:val="26"/>
        </w:rPr>
        <w:t>ge</w:t>
      </w:r>
      <w:r>
        <w:rPr>
          <w:i/>
          <w:sz w:val="26"/>
          <w:szCs w:val="26"/>
        </w:rPr>
        <w:t xml:space="preserve"> Co. v. Pa. PUC</w:t>
      </w:r>
      <w:r>
        <w:rPr>
          <w:sz w:val="26"/>
          <w:szCs w:val="26"/>
        </w:rPr>
        <w:t>, 786 A.2d 288 (Pa. Cmwlth. 2001) (</w:t>
      </w:r>
      <w:r>
        <w:rPr>
          <w:i/>
          <w:sz w:val="26"/>
          <w:szCs w:val="26"/>
        </w:rPr>
        <w:t>Harrisburg Taxi</w:t>
      </w:r>
      <w:r>
        <w:rPr>
          <w:sz w:val="26"/>
          <w:szCs w:val="26"/>
        </w:rPr>
        <w:t>), discussed at pages</w:t>
      </w:r>
      <w:r w:rsidR="0017584B">
        <w:rPr>
          <w:sz w:val="26"/>
          <w:szCs w:val="26"/>
        </w:rPr>
        <w:t xml:space="preserve"> </w:t>
      </w:r>
      <w:r w:rsidR="00B02B91">
        <w:rPr>
          <w:sz w:val="26"/>
          <w:szCs w:val="26"/>
        </w:rPr>
        <w:t>7-8</w:t>
      </w:r>
      <w:r>
        <w:rPr>
          <w:sz w:val="26"/>
          <w:szCs w:val="26"/>
        </w:rPr>
        <w:t xml:space="preserve"> in the August 20 Order</w:t>
      </w:r>
      <w:r w:rsidR="00B8094F">
        <w:rPr>
          <w:sz w:val="26"/>
          <w:szCs w:val="26"/>
        </w:rPr>
        <w:t>,</w:t>
      </w:r>
      <w:r w:rsidR="00B02B91">
        <w:rPr>
          <w:sz w:val="26"/>
          <w:szCs w:val="26"/>
        </w:rPr>
        <w:t xml:space="preserve"> from the circumstances in this proceeding.</w:t>
      </w:r>
    </w:p>
    <w:p w:rsidR="009F77A7" w:rsidRDefault="00381199" w:rsidP="004C32C6">
      <w:pPr>
        <w:spacing w:line="360" w:lineRule="auto"/>
        <w:ind w:firstLine="1440"/>
        <w:rPr>
          <w:sz w:val="26"/>
          <w:szCs w:val="26"/>
        </w:rPr>
      </w:pPr>
      <w:r>
        <w:rPr>
          <w:sz w:val="26"/>
          <w:szCs w:val="26"/>
        </w:rPr>
        <w:t xml:space="preserve"> </w:t>
      </w:r>
      <w:r w:rsidR="00CD6294">
        <w:rPr>
          <w:i/>
          <w:sz w:val="26"/>
          <w:szCs w:val="26"/>
        </w:rPr>
        <w:t xml:space="preserve"> </w:t>
      </w:r>
      <w:r w:rsidR="00CD6294">
        <w:rPr>
          <w:sz w:val="26"/>
          <w:szCs w:val="26"/>
        </w:rPr>
        <w:t xml:space="preserve">   </w:t>
      </w:r>
    </w:p>
    <w:p w:rsidR="00F66960" w:rsidRDefault="009F77A7" w:rsidP="004C32C6">
      <w:pPr>
        <w:spacing w:line="360" w:lineRule="auto"/>
        <w:ind w:firstLine="1440"/>
        <w:rPr>
          <w:sz w:val="26"/>
          <w:szCs w:val="26"/>
        </w:rPr>
      </w:pPr>
      <w:r>
        <w:rPr>
          <w:sz w:val="26"/>
          <w:szCs w:val="26"/>
        </w:rPr>
        <w:t>Also, with regard to question #2, Respond explains that, while the OAG/OCA attempt to characterize the gravamen of Count VIII as wheth</w:t>
      </w:r>
      <w:r w:rsidR="00F66960">
        <w:rPr>
          <w:sz w:val="26"/>
          <w:szCs w:val="26"/>
        </w:rPr>
        <w:t>e</w:t>
      </w:r>
      <w:r>
        <w:rPr>
          <w:sz w:val="26"/>
          <w:szCs w:val="26"/>
        </w:rPr>
        <w:t>r the Commission may determine whether prices charged by the EGS conform to the EG</w:t>
      </w:r>
      <w:r w:rsidR="00B02B91">
        <w:rPr>
          <w:sz w:val="26"/>
          <w:szCs w:val="26"/>
        </w:rPr>
        <w:t>S</w:t>
      </w:r>
      <w:r w:rsidR="00E9254A">
        <w:rPr>
          <w:sz w:val="26"/>
          <w:szCs w:val="26"/>
        </w:rPr>
        <w:t>’</w:t>
      </w:r>
      <w:r w:rsidR="00B02B91">
        <w:rPr>
          <w:sz w:val="26"/>
          <w:szCs w:val="26"/>
        </w:rPr>
        <w:t>s</w:t>
      </w:r>
      <w:r>
        <w:rPr>
          <w:sz w:val="26"/>
          <w:szCs w:val="26"/>
        </w:rPr>
        <w:t xml:space="preserve"> </w:t>
      </w:r>
      <w:r w:rsidR="00E9254A">
        <w:rPr>
          <w:sz w:val="26"/>
          <w:szCs w:val="26"/>
        </w:rPr>
        <w:t>D</w:t>
      </w:r>
      <w:r>
        <w:rPr>
          <w:sz w:val="26"/>
          <w:szCs w:val="26"/>
        </w:rPr>
        <w:t xml:space="preserve">isclosure </w:t>
      </w:r>
      <w:r w:rsidR="00E9254A">
        <w:rPr>
          <w:sz w:val="26"/>
          <w:szCs w:val="26"/>
        </w:rPr>
        <w:t>S</w:t>
      </w:r>
      <w:r>
        <w:rPr>
          <w:sz w:val="26"/>
          <w:szCs w:val="26"/>
        </w:rPr>
        <w:t xml:space="preserve">tatement, </w:t>
      </w:r>
      <w:r w:rsidR="00F66960">
        <w:rPr>
          <w:sz w:val="26"/>
          <w:szCs w:val="26"/>
        </w:rPr>
        <w:t>the count is</w:t>
      </w:r>
      <w:r w:rsidR="00B02B91">
        <w:rPr>
          <w:sz w:val="26"/>
          <w:szCs w:val="26"/>
        </w:rPr>
        <w:t>, in fact,</w:t>
      </w:r>
      <w:r w:rsidR="00F66960">
        <w:rPr>
          <w:sz w:val="26"/>
          <w:szCs w:val="26"/>
        </w:rPr>
        <w:t xml:space="preserve"> focused on the price charged by Respond.  This, according to Respond, “cuts right to the heart of electric competition.”  Brief at </w:t>
      </w:r>
      <w:r w:rsidR="007D3F34">
        <w:rPr>
          <w:sz w:val="26"/>
          <w:szCs w:val="26"/>
        </w:rPr>
        <w:t>11</w:t>
      </w:r>
      <w:r w:rsidR="00F66960">
        <w:rPr>
          <w:sz w:val="26"/>
          <w:szCs w:val="26"/>
        </w:rPr>
        <w:t>.</w:t>
      </w:r>
      <w:r w:rsidR="007D3F34">
        <w:rPr>
          <w:sz w:val="26"/>
          <w:szCs w:val="26"/>
        </w:rPr>
        <w:t xml:space="preserve">  Respond explains:</w:t>
      </w:r>
    </w:p>
    <w:p w:rsidR="007D3F34" w:rsidRDefault="007D3F34" w:rsidP="004C32C6">
      <w:pPr>
        <w:spacing w:line="360" w:lineRule="auto"/>
        <w:ind w:firstLine="1440"/>
        <w:rPr>
          <w:sz w:val="26"/>
          <w:szCs w:val="26"/>
        </w:rPr>
      </w:pPr>
    </w:p>
    <w:p w:rsidR="007D3F34" w:rsidRDefault="007D3F34" w:rsidP="00243007">
      <w:pPr>
        <w:widowControl/>
        <w:ind w:left="1440" w:right="1440"/>
        <w:rPr>
          <w:sz w:val="26"/>
          <w:szCs w:val="26"/>
        </w:rPr>
      </w:pPr>
      <w:r>
        <w:rPr>
          <w:sz w:val="26"/>
          <w:szCs w:val="26"/>
        </w:rPr>
        <w:lastRenderedPageBreak/>
        <w:t>Under Chapter 28 of the Code EGS rates are set by the EGS, not by the Commission.  Under the terms of its disclosure statement, Respond Power’s prices vary on a month-to-month basis to reflect various factors, including fluctuations in wholesale market conditions, and there [sic] no there are ceilings on the prices that may be charged.  Absent an ability to regulate EG</w:t>
      </w:r>
      <w:r w:rsidR="00A63AF4">
        <w:rPr>
          <w:sz w:val="26"/>
          <w:szCs w:val="26"/>
        </w:rPr>
        <w:t>S</w:t>
      </w:r>
      <w:r>
        <w:rPr>
          <w:sz w:val="26"/>
          <w:szCs w:val="26"/>
        </w:rPr>
        <w:t xml:space="preserve"> prices, the Commission cannot determine what that price “should” have been.  It would be especially inappropriate for the Commission to judge Respond Power’s variable price against a price that reflects “the cost to serve residential customers” for a certain time period.  Cost of service principles are related to utility ratemaking and have nothing to do with the way in which EGSs procure energy or set prices. . . .</w:t>
      </w:r>
    </w:p>
    <w:p w:rsidR="00E9254A" w:rsidRDefault="00E9254A" w:rsidP="0018116F">
      <w:pPr>
        <w:spacing w:line="360" w:lineRule="auto"/>
        <w:ind w:left="1440" w:right="1440"/>
        <w:rPr>
          <w:sz w:val="26"/>
          <w:szCs w:val="26"/>
        </w:rPr>
      </w:pPr>
    </w:p>
    <w:p w:rsidR="007D3F34" w:rsidRDefault="007D3F34" w:rsidP="0018116F">
      <w:pPr>
        <w:spacing w:line="360" w:lineRule="auto"/>
        <w:rPr>
          <w:sz w:val="26"/>
          <w:szCs w:val="26"/>
        </w:rPr>
      </w:pPr>
      <w:r>
        <w:rPr>
          <w:sz w:val="26"/>
          <w:szCs w:val="26"/>
        </w:rPr>
        <w:t>Brief at 11-12.</w:t>
      </w:r>
      <w:r>
        <w:rPr>
          <w:sz w:val="26"/>
          <w:szCs w:val="26"/>
        </w:rPr>
        <w:br/>
      </w:r>
    </w:p>
    <w:p w:rsidR="007D3F34" w:rsidRDefault="007D3F34" w:rsidP="007D3F34">
      <w:pPr>
        <w:spacing w:line="360" w:lineRule="auto"/>
        <w:ind w:firstLine="1440"/>
        <w:rPr>
          <w:sz w:val="26"/>
          <w:szCs w:val="26"/>
        </w:rPr>
      </w:pPr>
      <w:r>
        <w:rPr>
          <w:sz w:val="26"/>
          <w:szCs w:val="26"/>
        </w:rPr>
        <w:t xml:space="preserve">Based on the foregoing, Respond concludes that the Commission has recognized its lack of jurisdiction to limit prices charged by EGS companies.  Brief at 13.  Respond cites the Commission’s order in </w:t>
      </w:r>
      <w:r>
        <w:rPr>
          <w:i/>
          <w:sz w:val="26"/>
          <w:szCs w:val="26"/>
        </w:rPr>
        <w:t>Review of Rules, Policies and Consumer Education Measures Regarding Variable Rate Retail Electric Products</w:t>
      </w:r>
      <w:r>
        <w:rPr>
          <w:sz w:val="26"/>
          <w:szCs w:val="26"/>
        </w:rPr>
        <w:t xml:space="preserve">, Docket No. </w:t>
      </w:r>
      <w:r w:rsidR="00A63AF4">
        <w:rPr>
          <w:sz w:val="26"/>
          <w:szCs w:val="26"/>
        </w:rPr>
        <w:br/>
      </w:r>
      <w:r>
        <w:rPr>
          <w:sz w:val="26"/>
          <w:szCs w:val="26"/>
        </w:rPr>
        <w:t>M-2014-2406134 (order entered February 20, 2014) (</w:t>
      </w:r>
      <w:r>
        <w:rPr>
          <w:i/>
          <w:sz w:val="26"/>
          <w:szCs w:val="26"/>
        </w:rPr>
        <w:t>Variable Rate Order</w:t>
      </w:r>
      <w:r>
        <w:rPr>
          <w:sz w:val="26"/>
          <w:szCs w:val="26"/>
        </w:rPr>
        <w:t xml:space="preserve">), </w:t>
      </w:r>
      <w:r w:rsidR="00A76761">
        <w:rPr>
          <w:sz w:val="26"/>
          <w:szCs w:val="26"/>
        </w:rPr>
        <w:t>for the proposition that the rates consumers pay in the retail electric market are governed by the terms of their contract with their EGS.  With regard to variable rate products, some variable rate/price contracts have no ceiling on the rate that could be charged.  Thus, while a variable rate may offer substantial savings when wholesale market prices are low, customers may experience very high bills during period</w:t>
      </w:r>
      <w:r w:rsidR="00A63AF4">
        <w:rPr>
          <w:sz w:val="26"/>
          <w:szCs w:val="26"/>
        </w:rPr>
        <w:t>s</w:t>
      </w:r>
      <w:r w:rsidR="00A76761">
        <w:rPr>
          <w:sz w:val="26"/>
          <w:szCs w:val="26"/>
        </w:rPr>
        <w:t xml:space="preserve"> of market volatility such as occurred in early 2014.  Brief at 14. </w:t>
      </w:r>
      <w:r>
        <w:rPr>
          <w:sz w:val="26"/>
          <w:szCs w:val="26"/>
        </w:rPr>
        <w:t xml:space="preserve"> </w:t>
      </w:r>
    </w:p>
    <w:p w:rsidR="00A76761" w:rsidRDefault="00A76761" w:rsidP="004C32C6">
      <w:pPr>
        <w:spacing w:line="360" w:lineRule="auto"/>
        <w:ind w:firstLine="1440"/>
        <w:rPr>
          <w:b/>
          <w:sz w:val="26"/>
          <w:szCs w:val="26"/>
        </w:rPr>
      </w:pPr>
    </w:p>
    <w:p w:rsidR="00F66960" w:rsidRDefault="00A76761" w:rsidP="0018116F">
      <w:pPr>
        <w:spacing w:line="360" w:lineRule="auto"/>
        <w:rPr>
          <w:sz w:val="26"/>
          <w:szCs w:val="26"/>
        </w:rPr>
      </w:pPr>
      <w:r>
        <w:rPr>
          <w:b/>
          <w:sz w:val="26"/>
          <w:szCs w:val="26"/>
        </w:rPr>
        <w:t xml:space="preserve">Disposition </w:t>
      </w:r>
    </w:p>
    <w:p w:rsidR="00A76761" w:rsidRDefault="00A76761" w:rsidP="00A76761">
      <w:pPr>
        <w:spacing w:line="360" w:lineRule="auto"/>
        <w:ind w:firstLine="1440"/>
        <w:rPr>
          <w:sz w:val="26"/>
          <w:szCs w:val="26"/>
        </w:rPr>
      </w:pPr>
    </w:p>
    <w:p w:rsidR="00A76761" w:rsidRPr="00E555D1" w:rsidRDefault="00A76761" w:rsidP="0018116F">
      <w:pPr>
        <w:widowControl/>
        <w:spacing w:line="360" w:lineRule="auto"/>
        <w:ind w:firstLine="1440"/>
        <w:rPr>
          <w:sz w:val="26"/>
          <w:szCs w:val="26"/>
        </w:rPr>
      </w:pPr>
      <w:r>
        <w:rPr>
          <w:sz w:val="26"/>
          <w:szCs w:val="26"/>
        </w:rPr>
        <w:t>W</w:t>
      </w:r>
      <w:r w:rsidRPr="00E555D1">
        <w:rPr>
          <w:sz w:val="26"/>
          <w:szCs w:val="26"/>
        </w:rPr>
        <w:t xml:space="preserve">e </w:t>
      </w:r>
      <w:r>
        <w:rPr>
          <w:sz w:val="26"/>
          <w:szCs w:val="26"/>
        </w:rPr>
        <w:t xml:space="preserve">expressly </w:t>
      </w:r>
      <w:r w:rsidRPr="00E555D1">
        <w:rPr>
          <w:sz w:val="26"/>
          <w:szCs w:val="26"/>
        </w:rPr>
        <w:t xml:space="preserve">note that any issue that we do not specifically delineate shall be deemed to have been duly considered and denied without further discussion.  The </w:t>
      </w:r>
      <w:r w:rsidRPr="00E555D1">
        <w:rPr>
          <w:sz w:val="26"/>
          <w:szCs w:val="26"/>
        </w:rPr>
        <w:lastRenderedPageBreak/>
        <w:t xml:space="preserve">Commission is not required to consider expressly or at length each contention or argument raised by the parties.  </w:t>
      </w:r>
      <w:hyperlink r:id="rId9" w:history="1">
        <w:r w:rsidRPr="00E555D1">
          <w:rPr>
            <w:i/>
            <w:iCs/>
            <w:color w:val="000000"/>
            <w:sz w:val="26"/>
            <w:szCs w:val="26"/>
          </w:rPr>
          <w:t xml:space="preserve">Consolidated Rail Corp. v. Pa. PUC, </w:t>
        </w:r>
        <w:r w:rsidRPr="00E555D1">
          <w:rPr>
            <w:color w:val="000000"/>
            <w:sz w:val="26"/>
            <w:szCs w:val="26"/>
          </w:rPr>
          <w:t>625 A.2d 741 (Pa. Cmwlth. 1993);</w:t>
        </w:r>
      </w:hyperlink>
      <w:r w:rsidRPr="00E555D1">
        <w:rPr>
          <w:color w:val="000000"/>
          <w:sz w:val="26"/>
          <w:szCs w:val="26"/>
        </w:rPr>
        <w:t xml:space="preserve"> </w:t>
      </w:r>
      <w:r w:rsidRPr="00E555D1">
        <w:rPr>
          <w:i/>
          <w:color w:val="000000"/>
          <w:sz w:val="26"/>
          <w:szCs w:val="26"/>
        </w:rPr>
        <w:t xml:space="preserve">also </w:t>
      </w:r>
      <w:r w:rsidRPr="00E555D1">
        <w:rPr>
          <w:i/>
          <w:iCs/>
          <w:color w:val="000000"/>
          <w:sz w:val="26"/>
          <w:szCs w:val="26"/>
        </w:rPr>
        <w:t xml:space="preserve">see, generally, </w:t>
      </w:r>
      <w:hyperlink r:id="rId10" w:history="1">
        <w:r w:rsidRPr="00E555D1">
          <w:rPr>
            <w:i/>
            <w:iCs/>
            <w:color w:val="000000"/>
            <w:sz w:val="26"/>
            <w:szCs w:val="26"/>
          </w:rPr>
          <w:t>University of Pennsylvania v. Pa. PUC</w:t>
        </w:r>
        <w:r w:rsidRPr="00E555D1">
          <w:rPr>
            <w:color w:val="000000"/>
            <w:sz w:val="26"/>
            <w:szCs w:val="26"/>
          </w:rPr>
          <w:t>, 485 A.2d 1217 (Pa. Cmwlth. 1984).</w:t>
        </w:r>
      </w:hyperlink>
      <w:r w:rsidRPr="00E555D1">
        <w:rPr>
          <w:sz w:val="26"/>
          <w:szCs w:val="26"/>
        </w:rPr>
        <w:t xml:space="preserve"> </w:t>
      </w:r>
    </w:p>
    <w:p w:rsidR="00F66960" w:rsidRDefault="00F66960" w:rsidP="004C32C6">
      <w:pPr>
        <w:spacing w:line="360" w:lineRule="auto"/>
        <w:ind w:firstLine="1440"/>
        <w:rPr>
          <w:sz w:val="26"/>
          <w:szCs w:val="26"/>
        </w:rPr>
      </w:pPr>
    </w:p>
    <w:p w:rsidR="00A76761" w:rsidRDefault="00A76761" w:rsidP="00A76761">
      <w:pPr>
        <w:spacing w:line="360" w:lineRule="auto"/>
        <w:ind w:firstLine="1440"/>
        <w:rPr>
          <w:b/>
          <w:bCs/>
          <w:color w:val="000000"/>
          <w:sz w:val="26"/>
          <w:szCs w:val="26"/>
        </w:rPr>
      </w:pPr>
      <w:r>
        <w:rPr>
          <w:b/>
          <w:bCs/>
          <w:color w:val="000000"/>
          <w:sz w:val="26"/>
          <w:szCs w:val="26"/>
        </w:rPr>
        <w:t xml:space="preserve">The Standard for Interlocutory Review has been met </w:t>
      </w:r>
    </w:p>
    <w:p w:rsidR="00A76761" w:rsidRPr="00D57141" w:rsidRDefault="00A76761" w:rsidP="00A76761">
      <w:pPr>
        <w:spacing w:line="360" w:lineRule="auto"/>
        <w:ind w:firstLine="1440"/>
        <w:rPr>
          <w:bCs/>
          <w:color w:val="000000"/>
          <w:sz w:val="26"/>
          <w:szCs w:val="26"/>
        </w:rPr>
      </w:pPr>
    </w:p>
    <w:p w:rsidR="00A76761" w:rsidRDefault="00A76761" w:rsidP="00A76761">
      <w:pPr>
        <w:spacing w:line="360" w:lineRule="auto"/>
        <w:ind w:firstLine="1440"/>
        <w:rPr>
          <w:sz w:val="26"/>
          <w:szCs w:val="26"/>
        </w:rPr>
      </w:pPr>
      <w:r>
        <w:rPr>
          <w:sz w:val="26"/>
          <w:szCs w:val="26"/>
        </w:rPr>
        <w:t xml:space="preserve">Upon review of the OAG/OCA </w:t>
      </w:r>
      <w:r w:rsidR="002C0DE3">
        <w:rPr>
          <w:sz w:val="26"/>
          <w:szCs w:val="26"/>
        </w:rPr>
        <w:t xml:space="preserve">Joint </w:t>
      </w:r>
      <w:r>
        <w:rPr>
          <w:sz w:val="26"/>
          <w:szCs w:val="26"/>
        </w:rPr>
        <w:t>Petition, briefs, and attachments in this matter, we conclude that we sh</w:t>
      </w:r>
      <w:r w:rsidR="002C0DE3">
        <w:rPr>
          <w:sz w:val="26"/>
          <w:szCs w:val="26"/>
        </w:rPr>
        <w:t>all</w:t>
      </w:r>
      <w:r>
        <w:rPr>
          <w:sz w:val="26"/>
          <w:szCs w:val="26"/>
        </w:rPr>
        <w:t xml:space="preserve"> grant the Petition for Interlocutory Review and Answer to Material Questions filed by the OAG/OCA in this matter.</w:t>
      </w:r>
    </w:p>
    <w:p w:rsidR="00A76761" w:rsidRDefault="00A76761" w:rsidP="00A76761">
      <w:pPr>
        <w:spacing w:line="360" w:lineRule="auto"/>
        <w:ind w:firstLine="1440"/>
        <w:rPr>
          <w:sz w:val="26"/>
          <w:szCs w:val="26"/>
        </w:rPr>
      </w:pPr>
    </w:p>
    <w:p w:rsidR="00A76761" w:rsidRDefault="002C0DE3" w:rsidP="00A76761">
      <w:pPr>
        <w:spacing w:line="360" w:lineRule="auto"/>
        <w:ind w:firstLine="1440"/>
        <w:rPr>
          <w:sz w:val="26"/>
          <w:szCs w:val="26"/>
        </w:rPr>
      </w:pPr>
      <w:r>
        <w:rPr>
          <w:sz w:val="26"/>
          <w:szCs w:val="26"/>
        </w:rPr>
        <w:t xml:space="preserve">For those reasons substantially similar to the considerations addressed in </w:t>
      </w:r>
      <w:r>
        <w:rPr>
          <w:i/>
          <w:sz w:val="26"/>
          <w:szCs w:val="26"/>
        </w:rPr>
        <w:t>Blue Pilot</w:t>
      </w:r>
      <w:r>
        <w:rPr>
          <w:sz w:val="26"/>
          <w:szCs w:val="26"/>
        </w:rPr>
        <w:t xml:space="preserve"> and </w:t>
      </w:r>
      <w:r>
        <w:rPr>
          <w:i/>
          <w:sz w:val="26"/>
          <w:szCs w:val="26"/>
        </w:rPr>
        <w:t>IDT</w:t>
      </w:r>
      <w:r>
        <w:rPr>
          <w:sz w:val="26"/>
          <w:szCs w:val="26"/>
        </w:rPr>
        <w:t>, we conclude that g</w:t>
      </w:r>
      <w:r w:rsidR="00A76761">
        <w:rPr>
          <w:sz w:val="26"/>
          <w:szCs w:val="26"/>
        </w:rPr>
        <w:t xml:space="preserve">ranting interlocutory review </w:t>
      </w:r>
      <w:r>
        <w:rPr>
          <w:sz w:val="26"/>
          <w:szCs w:val="26"/>
        </w:rPr>
        <w:t xml:space="preserve">will </w:t>
      </w:r>
      <w:r w:rsidR="00A76761">
        <w:rPr>
          <w:sz w:val="26"/>
          <w:szCs w:val="26"/>
        </w:rPr>
        <w:t>expedite the conduct of multiple formal complaint proceedings initiated by the OAG/OCA against EGSs relating to variable rates by ensuring that the material questions raised in the cases are decided consistently.</w:t>
      </w:r>
      <w:r>
        <w:rPr>
          <w:sz w:val="26"/>
          <w:szCs w:val="26"/>
        </w:rPr>
        <w:t xml:space="preserve">  We observe that the presiding ALJs have applied this Commission’s determinations regarding substantially similar material questions in </w:t>
      </w:r>
      <w:r>
        <w:rPr>
          <w:i/>
          <w:sz w:val="26"/>
          <w:szCs w:val="26"/>
        </w:rPr>
        <w:t>Blue Pilot</w:t>
      </w:r>
      <w:r>
        <w:rPr>
          <w:sz w:val="26"/>
          <w:szCs w:val="26"/>
        </w:rPr>
        <w:t xml:space="preserve"> and </w:t>
      </w:r>
      <w:r>
        <w:rPr>
          <w:i/>
          <w:sz w:val="26"/>
          <w:szCs w:val="26"/>
        </w:rPr>
        <w:t xml:space="preserve">IDT </w:t>
      </w:r>
      <w:r>
        <w:rPr>
          <w:sz w:val="26"/>
          <w:szCs w:val="26"/>
        </w:rPr>
        <w:t xml:space="preserve">to resolve issues that have been raised concerning the proper scope of these consolidated complaint proceedings in both the </w:t>
      </w:r>
      <w:r w:rsidRPr="0018116F">
        <w:rPr>
          <w:sz w:val="26"/>
          <w:szCs w:val="26"/>
        </w:rPr>
        <w:t>November 17 Order</w:t>
      </w:r>
      <w:r w:rsidRPr="00163577">
        <w:rPr>
          <w:sz w:val="26"/>
          <w:szCs w:val="26"/>
        </w:rPr>
        <w:t>,</w:t>
      </w:r>
      <w:r>
        <w:rPr>
          <w:sz w:val="26"/>
          <w:szCs w:val="26"/>
        </w:rPr>
        <w:t xml:space="preserve"> </w:t>
      </w:r>
      <w:r>
        <w:rPr>
          <w:i/>
          <w:sz w:val="26"/>
          <w:szCs w:val="26"/>
        </w:rPr>
        <w:t>supra</w:t>
      </w:r>
      <w:r w:rsidR="004F71B5">
        <w:rPr>
          <w:sz w:val="26"/>
          <w:szCs w:val="26"/>
        </w:rPr>
        <w:t xml:space="preserve">, and in </w:t>
      </w:r>
      <w:r w:rsidR="004F71B5">
        <w:rPr>
          <w:i/>
          <w:sz w:val="26"/>
          <w:szCs w:val="26"/>
        </w:rPr>
        <w:t>Blue Pilot, supra,</w:t>
      </w:r>
      <w:r>
        <w:rPr>
          <w:sz w:val="26"/>
          <w:szCs w:val="26"/>
        </w:rPr>
        <w:t xml:space="preserve"> </w:t>
      </w:r>
      <w:r>
        <w:rPr>
          <w:i/>
          <w:sz w:val="26"/>
          <w:szCs w:val="26"/>
        </w:rPr>
        <w:t xml:space="preserve">Order Granting in Part and Denying in Part Motion to Compel Responses to Joint Complainant Interrogatories VI-1and V1-7 </w:t>
      </w:r>
      <w:r>
        <w:rPr>
          <w:sz w:val="26"/>
          <w:szCs w:val="26"/>
        </w:rPr>
        <w:t xml:space="preserve">(Order </w:t>
      </w:r>
      <w:r w:rsidR="004F71B5">
        <w:rPr>
          <w:sz w:val="26"/>
          <w:szCs w:val="26"/>
        </w:rPr>
        <w:t>issued</w:t>
      </w:r>
      <w:r>
        <w:rPr>
          <w:sz w:val="26"/>
          <w:szCs w:val="26"/>
        </w:rPr>
        <w:t xml:space="preserve"> March 3, 2015).  </w:t>
      </w:r>
      <w:r w:rsidR="00A76761">
        <w:rPr>
          <w:sz w:val="26"/>
          <w:szCs w:val="26"/>
        </w:rPr>
        <w:t xml:space="preserve">  </w:t>
      </w:r>
    </w:p>
    <w:p w:rsidR="00A76761" w:rsidRDefault="00A76761" w:rsidP="004C32C6">
      <w:pPr>
        <w:spacing w:line="360" w:lineRule="auto"/>
        <w:ind w:firstLine="1440"/>
        <w:rPr>
          <w:sz w:val="26"/>
          <w:szCs w:val="26"/>
        </w:rPr>
      </w:pPr>
    </w:p>
    <w:p w:rsidR="0082069B" w:rsidRDefault="0082069B" w:rsidP="0082069B">
      <w:pPr>
        <w:ind w:firstLine="1440"/>
        <w:rPr>
          <w:b/>
          <w:sz w:val="26"/>
          <w:szCs w:val="26"/>
        </w:rPr>
      </w:pPr>
      <w:r>
        <w:rPr>
          <w:b/>
          <w:sz w:val="26"/>
          <w:szCs w:val="26"/>
        </w:rPr>
        <w:t>Material Question #1 – Commission Authority and Jurisdiction Under the CPL and TRA</w:t>
      </w:r>
    </w:p>
    <w:p w:rsidR="0082069B" w:rsidRDefault="0082069B" w:rsidP="0082069B">
      <w:pPr>
        <w:spacing w:line="360" w:lineRule="auto"/>
        <w:ind w:firstLine="1440"/>
        <w:rPr>
          <w:b/>
          <w:sz w:val="26"/>
          <w:szCs w:val="26"/>
        </w:rPr>
      </w:pPr>
    </w:p>
    <w:p w:rsidR="0082069B" w:rsidRDefault="00163577" w:rsidP="0082069B">
      <w:pPr>
        <w:spacing w:line="360" w:lineRule="auto"/>
        <w:ind w:firstLine="1440"/>
        <w:rPr>
          <w:color w:val="000000"/>
          <w:sz w:val="26"/>
        </w:rPr>
      </w:pPr>
      <w:r>
        <w:rPr>
          <w:color w:val="000000"/>
          <w:sz w:val="26"/>
        </w:rPr>
        <w:t xml:space="preserve">The </w:t>
      </w:r>
      <w:r w:rsidR="0082069B">
        <w:rPr>
          <w:color w:val="000000"/>
          <w:sz w:val="26"/>
        </w:rPr>
        <w:t>OAG/OCA material question #1 is, as follows:</w:t>
      </w:r>
    </w:p>
    <w:p w:rsidR="0082069B" w:rsidRDefault="0082069B" w:rsidP="0082069B">
      <w:pPr>
        <w:spacing w:line="360" w:lineRule="auto"/>
        <w:ind w:firstLine="1440"/>
        <w:rPr>
          <w:color w:val="000000"/>
          <w:sz w:val="26"/>
        </w:rPr>
      </w:pPr>
    </w:p>
    <w:p w:rsidR="0082069B" w:rsidRPr="0082069B" w:rsidRDefault="0082069B" w:rsidP="0082069B">
      <w:pPr>
        <w:ind w:left="1440" w:right="1440"/>
        <w:rPr>
          <w:color w:val="000000"/>
          <w:sz w:val="26"/>
        </w:rPr>
      </w:pPr>
      <w:r w:rsidRPr="0082069B">
        <w:rPr>
          <w:color w:val="000000"/>
          <w:sz w:val="26"/>
        </w:rPr>
        <w:t xml:space="preserve">Does the Commission have authority and jurisdiction to determine whether a violation of the Unfair Trade Practices and Consumer Protection Law (CPL) and Telemarketer </w:t>
      </w:r>
      <w:r w:rsidRPr="0082069B">
        <w:rPr>
          <w:color w:val="000000"/>
          <w:sz w:val="26"/>
        </w:rPr>
        <w:lastRenderedPageBreak/>
        <w:t>Registration Act (TRA) has occurred when considering whether the Commission’s regulations – which require compliance with these laws – have been violated?</w:t>
      </w:r>
    </w:p>
    <w:p w:rsidR="0082069B" w:rsidRDefault="0082069B" w:rsidP="0082069B">
      <w:pPr>
        <w:spacing w:line="360" w:lineRule="auto"/>
        <w:ind w:firstLine="1440"/>
        <w:rPr>
          <w:color w:val="000000"/>
          <w:sz w:val="26"/>
        </w:rPr>
      </w:pPr>
      <w:r>
        <w:rPr>
          <w:color w:val="000000"/>
          <w:sz w:val="26"/>
        </w:rPr>
        <w:t xml:space="preserve">  </w:t>
      </w:r>
    </w:p>
    <w:p w:rsidR="0082069B" w:rsidRDefault="0082069B" w:rsidP="0082069B">
      <w:pPr>
        <w:spacing w:line="360" w:lineRule="auto"/>
        <w:ind w:firstLine="1440"/>
        <w:rPr>
          <w:sz w:val="26"/>
          <w:szCs w:val="26"/>
        </w:rPr>
      </w:pPr>
    </w:p>
    <w:p w:rsidR="0082069B" w:rsidRDefault="0082069B" w:rsidP="0082069B">
      <w:pPr>
        <w:spacing w:line="360" w:lineRule="auto"/>
        <w:ind w:firstLine="1440"/>
        <w:rPr>
          <w:sz w:val="26"/>
          <w:szCs w:val="26"/>
        </w:rPr>
      </w:pPr>
      <w:r>
        <w:rPr>
          <w:sz w:val="26"/>
          <w:szCs w:val="26"/>
        </w:rPr>
        <w:t xml:space="preserve">Upon review and consideration, this question shall be answered in the negative.  We agree, as we have held in </w:t>
      </w:r>
      <w:r>
        <w:rPr>
          <w:i/>
          <w:sz w:val="26"/>
          <w:szCs w:val="26"/>
        </w:rPr>
        <w:t>Blue Pilot</w:t>
      </w:r>
      <w:r>
        <w:rPr>
          <w:sz w:val="26"/>
          <w:szCs w:val="26"/>
        </w:rPr>
        <w:t xml:space="preserve">, with the reasoning and analysis of the presiding ALJs in the August 20 Order.  </w:t>
      </w:r>
      <w:r>
        <w:rPr>
          <w:i/>
          <w:sz w:val="26"/>
          <w:szCs w:val="26"/>
        </w:rPr>
        <w:t xml:space="preserve">See Blue Pilot </w:t>
      </w:r>
      <w:r>
        <w:rPr>
          <w:sz w:val="26"/>
          <w:szCs w:val="26"/>
        </w:rPr>
        <w:t>at 16-18.</w:t>
      </w:r>
    </w:p>
    <w:p w:rsidR="0082069B" w:rsidRPr="00815EF0" w:rsidRDefault="0082069B" w:rsidP="0082069B">
      <w:pPr>
        <w:spacing w:line="360" w:lineRule="auto"/>
        <w:ind w:firstLine="1440"/>
        <w:rPr>
          <w:sz w:val="26"/>
          <w:szCs w:val="26"/>
        </w:rPr>
      </w:pPr>
      <w:r>
        <w:rPr>
          <w:sz w:val="26"/>
          <w:szCs w:val="26"/>
        </w:rPr>
        <w:t xml:space="preserve">  </w:t>
      </w:r>
    </w:p>
    <w:p w:rsidR="0082069B" w:rsidRDefault="0082069B" w:rsidP="0082069B">
      <w:pPr>
        <w:spacing w:line="360" w:lineRule="auto"/>
        <w:ind w:firstLine="1440"/>
        <w:rPr>
          <w:sz w:val="26"/>
          <w:szCs w:val="26"/>
        </w:rPr>
      </w:pPr>
      <w:r>
        <w:rPr>
          <w:sz w:val="26"/>
          <w:szCs w:val="26"/>
        </w:rPr>
        <w:t>Although we answer the material question in the negative and reject the exercise of direct Commission jurisdiction and authority pursuant to the CPL and the TRA, we agree with the conclusion of the presiding ALJs that the Commission has jurisdiction over alleged violations of our own Regulations, which jurisdiction includes determining whether the Commission’s Regulations prohibiting deceptive and/or misleading conduct</w:t>
      </w:r>
      <w:r>
        <w:rPr>
          <w:rStyle w:val="FootnoteReference"/>
          <w:sz w:val="26"/>
          <w:szCs w:val="26"/>
        </w:rPr>
        <w:footnoteReference w:id="10"/>
      </w:r>
      <w:r>
        <w:rPr>
          <w:sz w:val="26"/>
          <w:szCs w:val="26"/>
        </w:rPr>
        <w:t xml:space="preserve">  and/or the Commission’s telemarketing regulations</w:t>
      </w:r>
      <w:r>
        <w:rPr>
          <w:rStyle w:val="FootnoteReference"/>
          <w:sz w:val="26"/>
          <w:szCs w:val="26"/>
        </w:rPr>
        <w:footnoteReference w:id="11"/>
      </w:r>
      <w:r>
        <w:rPr>
          <w:sz w:val="26"/>
          <w:szCs w:val="26"/>
        </w:rPr>
        <w:t xml:space="preserve"> have been violated by an EGS.  We conclude that the Commission can hear claims alleging fraudulent, deceptive, and/or misleading conduct brought against Respond under the Commission’s Regulations and that the Commission can hear claims alleging improper verification of enrollment of residential customers, improper association of Respond with the EDC, and other allegations raised against the </w:t>
      </w:r>
      <w:r w:rsidR="009C54CB">
        <w:rPr>
          <w:sz w:val="26"/>
          <w:szCs w:val="26"/>
        </w:rPr>
        <w:t>C</w:t>
      </w:r>
      <w:r>
        <w:rPr>
          <w:sz w:val="26"/>
          <w:szCs w:val="26"/>
        </w:rPr>
        <w:t xml:space="preserve">ompany under the Commission’s telemarketing regulations.  </w:t>
      </w:r>
    </w:p>
    <w:p w:rsidR="002C0DE3" w:rsidRDefault="002C0DE3" w:rsidP="004C32C6">
      <w:pPr>
        <w:spacing w:line="360" w:lineRule="auto"/>
        <w:ind w:firstLine="1440"/>
        <w:rPr>
          <w:sz w:val="26"/>
          <w:szCs w:val="26"/>
        </w:rPr>
      </w:pPr>
    </w:p>
    <w:p w:rsidR="00243007" w:rsidRDefault="00243007">
      <w:pPr>
        <w:widowControl/>
        <w:spacing w:after="200" w:line="276" w:lineRule="auto"/>
        <w:rPr>
          <w:b/>
          <w:sz w:val="26"/>
          <w:szCs w:val="26"/>
        </w:rPr>
      </w:pPr>
      <w:r>
        <w:rPr>
          <w:b/>
          <w:sz w:val="26"/>
          <w:szCs w:val="26"/>
        </w:rPr>
        <w:br w:type="page"/>
      </w:r>
    </w:p>
    <w:p w:rsidR="000714FC" w:rsidRDefault="000714FC" w:rsidP="000714FC">
      <w:pPr>
        <w:ind w:firstLine="1440"/>
        <w:rPr>
          <w:b/>
          <w:sz w:val="26"/>
          <w:szCs w:val="26"/>
        </w:rPr>
      </w:pPr>
      <w:r>
        <w:rPr>
          <w:b/>
          <w:sz w:val="26"/>
          <w:szCs w:val="26"/>
        </w:rPr>
        <w:lastRenderedPageBreak/>
        <w:t xml:space="preserve">Material Question #2 – Commission Authority and Jurisdiction </w:t>
      </w:r>
      <w:proofErr w:type="gramStart"/>
      <w:r>
        <w:rPr>
          <w:b/>
          <w:sz w:val="26"/>
          <w:szCs w:val="26"/>
        </w:rPr>
        <w:t>Over</w:t>
      </w:r>
      <w:proofErr w:type="gramEnd"/>
      <w:r>
        <w:rPr>
          <w:b/>
          <w:sz w:val="26"/>
          <w:szCs w:val="26"/>
        </w:rPr>
        <w:t xml:space="preserve"> EGS Prices</w:t>
      </w:r>
    </w:p>
    <w:p w:rsidR="000714FC" w:rsidRDefault="000714FC" w:rsidP="0018116F">
      <w:pPr>
        <w:spacing w:line="360" w:lineRule="auto"/>
        <w:ind w:firstLine="1440"/>
        <w:rPr>
          <w:b/>
          <w:sz w:val="26"/>
          <w:szCs w:val="26"/>
        </w:rPr>
      </w:pPr>
    </w:p>
    <w:p w:rsidR="000714FC" w:rsidRDefault="000714FC" w:rsidP="000714FC">
      <w:pPr>
        <w:spacing w:line="360" w:lineRule="auto"/>
        <w:ind w:firstLine="1440"/>
        <w:rPr>
          <w:sz w:val="26"/>
          <w:szCs w:val="26"/>
        </w:rPr>
      </w:pPr>
      <w:r>
        <w:rPr>
          <w:sz w:val="26"/>
          <w:szCs w:val="26"/>
        </w:rPr>
        <w:t>The second question raised by the OAG/OCA is reprinted below:</w:t>
      </w:r>
    </w:p>
    <w:p w:rsidR="000714FC" w:rsidRDefault="000714FC" w:rsidP="000714FC">
      <w:pPr>
        <w:spacing w:line="360" w:lineRule="auto"/>
        <w:ind w:firstLine="1440"/>
        <w:rPr>
          <w:sz w:val="26"/>
          <w:szCs w:val="26"/>
        </w:rPr>
      </w:pPr>
    </w:p>
    <w:p w:rsidR="000714FC" w:rsidRPr="00597132" w:rsidRDefault="000714FC" w:rsidP="0018116F">
      <w:pPr>
        <w:widowControl/>
        <w:ind w:left="1440" w:right="1440"/>
        <w:rPr>
          <w:sz w:val="26"/>
          <w:szCs w:val="26"/>
        </w:rPr>
      </w:pPr>
      <w:r w:rsidRPr="000714FC">
        <w:rPr>
          <w:color w:val="000000"/>
          <w:sz w:val="26"/>
        </w:rPr>
        <w:t xml:space="preserve">Does the Commission have </w:t>
      </w:r>
      <w:r w:rsidR="00917232">
        <w:rPr>
          <w:color w:val="000000"/>
          <w:sz w:val="26"/>
        </w:rPr>
        <w:t xml:space="preserve">the </w:t>
      </w:r>
      <w:r w:rsidRPr="000714FC">
        <w:rPr>
          <w:color w:val="000000"/>
          <w:sz w:val="26"/>
        </w:rPr>
        <w:t>authority and jurisdiction to determine whether the prices charged to customers by an electric generation supplier (EGS) conform to the EGS disclosure statement regarding pricing?</w:t>
      </w:r>
    </w:p>
    <w:p w:rsidR="000714FC" w:rsidRDefault="000714FC" w:rsidP="000714FC">
      <w:pPr>
        <w:spacing w:line="360" w:lineRule="auto"/>
        <w:ind w:firstLine="1440"/>
        <w:rPr>
          <w:b/>
          <w:sz w:val="26"/>
          <w:szCs w:val="26"/>
        </w:rPr>
      </w:pPr>
      <w:r>
        <w:rPr>
          <w:b/>
          <w:sz w:val="26"/>
          <w:szCs w:val="26"/>
        </w:rPr>
        <w:t xml:space="preserve"> </w:t>
      </w:r>
    </w:p>
    <w:p w:rsidR="000714FC" w:rsidRDefault="000714FC" w:rsidP="000714FC">
      <w:pPr>
        <w:spacing w:line="360" w:lineRule="auto"/>
        <w:ind w:firstLine="1440"/>
        <w:rPr>
          <w:sz w:val="26"/>
          <w:szCs w:val="26"/>
        </w:rPr>
      </w:pPr>
      <w:r>
        <w:rPr>
          <w:sz w:val="26"/>
          <w:szCs w:val="26"/>
        </w:rPr>
        <w:t xml:space="preserve">As noted above, the factual context in which this issue arises differs slightly from that in </w:t>
      </w:r>
      <w:r>
        <w:rPr>
          <w:i/>
          <w:sz w:val="26"/>
          <w:szCs w:val="26"/>
        </w:rPr>
        <w:t>Blue Pilot</w:t>
      </w:r>
      <w:r>
        <w:rPr>
          <w:sz w:val="26"/>
          <w:szCs w:val="26"/>
        </w:rPr>
        <w:t xml:space="preserve">, to the extent that there were no complaint counts expressly raised in the </w:t>
      </w:r>
      <w:r>
        <w:rPr>
          <w:i/>
          <w:sz w:val="26"/>
          <w:szCs w:val="26"/>
        </w:rPr>
        <w:t xml:space="preserve">Blue Pilot </w:t>
      </w:r>
      <w:r>
        <w:rPr>
          <w:sz w:val="26"/>
          <w:szCs w:val="26"/>
        </w:rPr>
        <w:t>complaint concerning slamming</w:t>
      </w:r>
      <w:r w:rsidRPr="003A6966">
        <w:rPr>
          <w:sz w:val="26"/>
          <w:szCs w:val="26"/>
        </w:rPr>
        <w:t>.  I</w:t>
      </w:r>
      <w:r>
        <w:rPr>
          <w:sz w:val="26"/>
          <w:szCs w:val="26"/>
        </w:rPr>
        <w:t xml:space="preserve">n </w:t>
      </w:r>
      <w:r w:rsidRPr="00917232">
        <w:rPr>
          <w:i/>
          <w:sz w:val="26"/>
          <w:szCs w:val="26"/>
        </w:rPr>
        <w:t xml:space="preserve">Blue </w:t>
      </w:r>
      <w:r w:rsidRPr="0018116F">
        <w:rPr>
          <w:i/>
          <w:sz w:val="26"/>
          <w:szCs w:val="26"/>
        </w:rPr>
        <w:t>Pilot</w:t>
      </w:r>
      <w:r>
        <w:rPr>
          <w:sz w:val="26"/>
          <w:szCs w:val="26"/>
        </w:rPr>
        <w:t xml:space="preserve">, this precise question was, however, considered and answered in the affirmative.  </w:t>
      </w:r>
      <w:r>
        <w:rPr>
          <w:i/>
          <w:sz w:val="26"/>
          <w:szCs w:val="26"/>
        </w:rPr>
        <w:t xml:space="preserve">Blue Pilot </w:t>
      </w:r>
      <w:r>
        <w:rPr>
          <w:sz w:val="26"/>
          <w:szCs w:val="26"/>
        </w:rPr>
        <w:t>at 18.</w:t>
      </w:r>
    </w:p>
    <w:p w:rsidR="003A6966" w:rsidRDefault="003A6966" w:rsidP="000714FC">
      <w:pPr>
        <w:spacing w:line="360" w:lineRule="auto"/>
        <w:ind w:firstLine="1440"/>
        <w:rPr>
          <w:sz w:val="26"/>
          <w:szCs w:val="26"/>
        </w:rPr>
      </w:pPr>
    </w:p>
    <w:p w:rsidR="000714FC" w:rsidRDefault="000714FC" w:rsidP="000714FC">
      <w:pPr>
        <w:spacing w:line="360" w:lineRule="auto"/>
        <w:ind w:firstLine="1440"/>
        <w:rPr>
          <w:sz w:val="26"/>
          <w:szCs w:val="26"/>
        </w:rPr>
      </w:pPr>
      <w:r w:rsidRPr="00D961BD">
        <w:rPr>
          <w:sz w:val="26"/>
          <w:szCs w:val="26"/>
        </w:rPr>
        <w:t xml:space="preserve">In </w:t>
      </w:r>
      <w:r w:rsidRPr="00D961BD">
        <w:rPr>
          <w:i/>
          <w:sz w:val="26"/>
          <w:szCs w:val="26"/>
        </w:rPr>
        <w:t>Blue Pilot</w:t>
      </w:r>
      <w:r w:rsidRPr="00D961BD">
        <w:rPr>
          <w:sz w:val="26"/>
          <w:szCs w:val="26"/>
        </w:rPr>
        <w:t xml:space="preserve">, we were careful to explain that the Commission does not have traditional ratemaking authority over competitive suppliers and does not regulate competitive supply rates.  </w:t>
      </w:r>
      <w:r w:rsidRPr="00D961BD">
        <w:rPr>
          <w:i/>
          <w:sz w:val="26"/>
          <w:szCs w:val="26"/>
        </w:rPr>
        <w:t>See</w:t>
      </w:r>
      <w:r w:rsidR="00917232" w:rsidRPr="00D961BD">
        <w:rPr>
          <w:i/>
          <w:sz w:val="26"/>
          <w:szCs w:val="26"/>
        </w:rPr>
        <w:t xml:space="preserve"> Blue Pilot</w:t>
      </w:r>
      <w:r w:rsidRPr="00D961BD">
        <w:rPr>
          <w:i/>
          <w:sz w:val="26"/>
          <w:szCs w:val="26"/>
        </w:rPr>
        <w:t xml:space="preserve"> </w:t>
      </w:r>
      <w:r w:rsidRPr="00D961BD">
        <w:rPr>
          <w:sz w:val="26"/>
          <w:szCs w:val="26"/>
        </w:rPr>
        <w:t xml:space="preserve">at 18-19.  </w:t>
      </w:r>
      <w:r w:rsidR="00D961BD" w:rsidRPr="00D961BD">
        <w:rPr>
          <w:sz w:val="26"/>
          <w:szCs w:val="26"/>
        </w:rPr>
        <w:t>At the same time, the Commi</w:t>
      </w:r>
      <w:r w:rsidR="00143092">
        <w:rPr>
          <w:sz w:val="26"/>
          <w:szCs w:val="26"/>
        </w:rPr>
        <w:t>ssion also explained that it has</w:t>
      </w:r>
      <w:r w:rsidR="00D961BD" w:rsidRPr="00D961BD">
        <w:rPr>
          <w:sz w:val="26"/>
          <w:szCs w:val="26"/>
        </w:rPr>
        <w:t xml:space="preserve"> subject matter jurisdiction to regulate certain aspects of the services provided by EGSs.  Specifically</w:t>
      </w:r>
      <w:r w:rsidR="00D961BD">
        <w:rPr>
          <w:sz w:val="26"/>
          <w:szCs w:val="26"/>
        </w:rPr>
        <w:t xml:space="preserve"> in </w:t>
      </w:r>
      <w:r w:rsidR="00D961BD">
        <w:rPr>
          <w:i/>
          <w:sz w:val="26"/>
          <w:szCs w:val="26"/>
        </w:rPr>
        <w:t xml:space="preserve">Blue </w:t>
      </w:r>
      <w:r w:rsidR="00D961BD" w:rsidRPr="00A75FBA">
        <w:rPr>
          <w:sz w:val="26"/>
          <w:szCs w:val="26"/>
        </w:rPr>
        <w:t>Pilot</w:t>
      </w:r>
      <w:r w:rsidR="00D961BD">
        <w:rPr>
          <w:sz w:val="26"/>
          <w:szCs w:val="26"/>
        </w:rPr>
        <w:t xml:space="preserve">, we expressly concluded that the Commission has jurisdiction and authority over whether the prices charged to consumers conformed to the variable rate pricing provisions in the company’s Disclosure Statement as required by Section 54.4(a) and 54.5(a) of our Regulations, 52 Pa. Code §§ 54.4(a), 54.5(a).  </w:t>
      </w:r>
      <w:r w:rsidR="00D961BD">
        <w:rPr>
          <w:i/>
          <w:sz w:val="26"/>
          <w:szCs w:val="26"/>
        </w:rPr>
        <w:t xml:space="preserve">Blue Pilot </w:t>
      </w:r>
      <w:r w:rsidR="00D961BD">
        <w:rPr>
          <w:sz w:val="26"/>
          <w:szCs w:val="26"/>
        </w:rPr>
        <w:t xml:space="preserve">at 19-20. </w:t>
      </w:r>
      <w:r w:rsidR="00D961BD" w:rsidRPr="003022F8">
        <w:rPr>
          <w:bCs/>
          <w:color w:val="000000"/>
          <w:sz w:val="26"/>
          <w:szCs w:val="26"/>
        </w:rPr>
        <w:t xml:space="preserve"> </w:t>
      </w:r>
    </w:p>
    <w:p w:rsidR="000714FC" w:rsidRDefault="000714FC" w:rsidP="000714FC">
      <w:pPr>
        <w:spacing w:line="360" w:lineRule="auto"/>
        <w:ind w:firstLine="1440"/>
        <w:rPr>
          <w:sz w:val="26"/>
          <w:szCs w:val="26"/>
        </w:rPr>
      </w:pPr>
    </w:p>
    <w:p w:rsidR="00990030" w:rsidRDefault="00990030" w:rsidP="008D5134">
      <w:pPr>
        <w:widowControl/>
        <w:spacing w:line="360" w:lineRule="auto"/>
        <w:ind w:firstLine="1440"/>
        <w:rPr>
          <w:sz w:val="26"/>
          <w:szCs w:val="26"/>
        </w:rPr>
      </w:pPr>
      <w:r>
        <w:rPr>
          <w:sz w:val="26"/>
          <w:szCs w:val="26"/>
        </w:rPr>
        <w:t xml:space="preserve">In the present case, </w:t>
      </w:r>
      <w:r w:rsidR="00917232">
        <w:rPr>
          <w:sz w:val="26"/>
          <w:szCs w:val="26"/>
        </w:rPr>
        <w:t xml:space="preserve">the </w:t>
      </w:r>
      <w:r>
        <w:rPr>
          <w:sz w:val="26"/>
          <w:szCs w:val="26"/>
        </w:rPr>
        <w:t xml:space="preserve">OAG and OCA object to the </w:t>
      </w:r>
      <w:r w:rsidR="00295081">
        <w:rPr>
          <w:sz w:val="26"/>
          <w:szCs w:val="26"/>
        </w:rPr>
        <w:t xml:space="preserve">ALJs’ </w:t>
      </w:r>
      <w:r>
        <w:rPr>
          <w:sz w:val="26"/>
          <w:szCs w:val="26"/>
        </w:rPr>
        <w:t>striking of Count VIII of their complaint, in its entirety</w:t>
      </w:r>
      <w:r w:rsidR="00295081">
        <w:rPr>
          <w:sz w:val="26"/>
          <w:szCs w:val="26"/>
        </w:rPr>
        <w:t>.  The OAG/OCA objection is</w:t>
      </w:r>
      <w:r>
        <w:rPr>
          <w:sz w:val="26"/>
          <w:szCs w:val="26"/>
        </w:rPr>
        <w:t xml:space="preserve"> based </w:t>
      </w:r>
      <w:r w:rsidR="00295081">
        <w:rPr>
          <w:sz w:val="26"/>
          <w:szCs w:val="26"/>
        </w:rPr>
        <w:t xml:space="preserve">primarily </w:t>
      </w:r>
      <w:r>
        <w:rPr>
          <w:sz w:val="26"/>
          <w:szCs w:val="26"/>
        </w:rPr>
        <w:t xml:space="preserve">on the position that </w:t>
      </w:r>
      <w:r w:rsidR="00295081">
        <w:rPr>
          <w:sz w:val="26"/>
          <w:szCs w:val="26"/>
        </w:rPr>
        <w:t>C</w:t>
      </w:r>
      <w:r>
        <w:rPr>
          <w:sz w:val="26"/>
          <w:szCs w:val="26"/>
        </w:rPr>
        <w:t xml:space="preserve">ount </w:t>
      </w:r>
      <w:r w:rsidR="00295081">
        <w:rPr>
          <w:sz w:val="26"/>
          <w:szCs w:val="26"/>
        </w:rPr>
        <w:t xml:space="preserve">VIII </w:t>
      </w:r>
      <w:r>
        <w:rPr>
          <w:sz w:val="26"/>
          <w:szCs w:val="26"/>
        </w:rPr>
        <w:t>does not purport to engage i</w:t>
      </w:r>
      <w:r w:rsidR="00295081">
        <w:rPr>
          <w:sz w:val="26"/>
          <w:szCs w:val="26"/>
        </w:rPr>
        <w:t>n</w:t>
      </w:r>
      <w:r>
        <w:rPr>
          <w:sz w:val="26"/>
          <w:szCs w:val="26"/>
        </w:rPr>
        <w:t xml:space="preserve"> </w:t>
      </w:r>
      <w:r w:rsidR="00295081">
        <w:rPr>
          <w:sz w:val="26"/>
          <w:szCs w:val="26"/>
        </w:rPr>
        <w:t>matters</w:t>
      </w:r>
      <w:r>
        <w:rPr>
          <w:sz w:val="26"/>
          <w:szCs w:val="26"/>
        </w:rPr>
        <w:t xml:space="preserve"> tantamount to the regulation of EGS prices, but rather, lays an evidentiary foundation to show that Respond violated pertinent Commission Regulations by charging prices that </w:t>
      </w:r>
      <w:r>
        <w:rPr>
          <w:sz w:val="26"/>
          <w:szCs w:val="26"/>
        </w:rPr>
        <w:lastRenderedPageBreak/>
        <w:t xml:space="preserve">did not conform to its required disclosures, or, otherwise, misrepresented prices </w:t>
      </w:r>
      <w:r w:rsidR="00295081">
        <w:rPr>
          <w:sz w:val="26"/>
          <w:szCs w:val="26"/>
        </w:rPr>
        <w:t xml:space="preserve">charged </w:t>
      </w:r>
      <w:r>
        <w:rPr>
          <w:sz w:val="26"/>
          <w:szCs w:val="26"/>
        </w:rPr>
        <w:t xml:space="preserve">to consumers.  </w:t>
      </w:r>
    </w:p>
    <w:p w:rsidR="00990030" w:rsidRDefault="00990030" w:rsidP="000714FC">
      <w:pPr>
        <w:spacing w:line="360" w:lineRule="auto"/>
        <w:ind w:firstLine="1440"/>
        <w:rPr>
          <w:sz w:val="26"/>
          <w:szCs w:val="26"/>
        </w:rPr>
      </w:pPr>
    </w:p>
    <w:p w:rsidR="00990030" w:rsidRDefault="00990030" w:rsidP="00990030">
      <w:pPr>
        <w:spacing w:line="360" w:lineRule="auto"/>
        <w:ind w:firstLine="1440"/>
        <w:rPr>
          <w:sz w:val="26"/>
          <w:szCs w:val="26"/>
        </w:rPr>
      </w:pPr>
      <w:r>
        <w:rPr>
          <w:sz w:val="26"/>
          <w:szCs w:val="26"/>
        </w:rPr>
        <w:t>To</w:t>
      </w:r>
      <w:r w:rsidR="000714FC">
        <w:rPr>
          <w:sz w:val="26"/>
          <w:szCs w:val="26"/>
        </w:rPr>
        <w:t xml:space="preserve"> the extent the presiding ALJs concluded that Count VIII </w:t>
      </w:r>
      <w:r>
        <w:rPr>
          <w:sz w:val="26"/>
          <w:szCs w:val="26"/>
        </w:rPr>
        <w:t xml:space="preserve">in these consolidated complaints </w:t>
      </w:r>
      <w:r w:rsidR="000714FC">
        <w:rPr>
          <w:sz w:val="26"/>
          <w:szCs w:val="26"/>
        </w:rPr>
        <w:t xml:space="preserve">should be dismissed, in its entirety, </w:t>
      </w:r>
      <w:r>
        <w:rPr>
          <w:sz w:val="26"/>
          <w:szCs w:val="26"/>
        </w:rPr>
        <w:t>we observe that they have</w:t>
      </w:r>
      <w:r w:rsidR="000714FC">
        <w:rPr>
          <w:sz w:val="26"/>
          <w:szCs w:val="26"/>
        </w:rPr>
        <w:t xml:space="preserve"> made a </w:t>
      </w:r>
      <w:r>
        <w:rPr>
          <w:sz w:val="26"/>
          <w:szCs w:val="26"/>
        </w:rPr>
        <w:t xml:space="preserve">valid </w:t>
      </w:r>
      <w:r w:rsidR="000714FC">
        <w:rPr>
          <w:sz w:val="26"/>
          <w:szCs w:val="26"/>
        </w:rPr>
        <w:t>distinction regarding th</w:t>
      </w:r>
      <w:r w:rsidR="003A6966">
        <w:rPr>
          <w:sz w:val="26"/>
          <w:szCs w:val="26"/>
        </w:rPr>
        <w:t>is</w:t>
      </w:r>
      <w:r w:rsidR="000714FC">
        <w:rPr>
          <w:sz w:val="26"/>
          <w:szCs w:val="26"/>
        </w:rPr>
        <w:t xml:space="preserve"> Commission’s </w:t>
      </w:r>
      <w:r>
        <w:rPr>
          <w:sz w:val="26"/>
          <w:szCs w:val="26"/>
        </w:rPr>
        <w:t xml:space="preserve">jurisdiction and authority to </w:t>
      </w:r>
      <w:r w:rsidR="000714FC">
        <w:rPr>
          <w:sz w:val="26"/>
          <w:szCs w:val="26"/>
        </w:rPr>
        <w:t>adjudicat</w:t>
      </w:r>
      <w:r>
        <w:rPr>
          <w:sz w:val="26"/>
          <w:szCs w:val="26"/>
        </w:rPr>
        <w:t>e</w:t>
      </w:r>
      <w:r w:rsidR="000714FC">
        <w:rPr>
          <w:sz w:val="26"/>
          <w:szCs w:val="26"/>
        </w:rPr>
        <w:t xml:space="preserve"> issues disputing the </w:t>
      </w:r>
      <w:r>
        <w:rPr>
          <w:sz w:val="26"/>
          <w:szCs w:val="26"/>
        </w:rPr>
        <w:t xml:space="preserve">ultimate, </w:t>
      </w:r>
      <w:r w:rsidR="003A6966">
        <w:rPr>
          <w:sz w:val="26"/>
          <w:szCs w:val="26"/>
        </w:rPr>
        <w:t xml:space="preserve">variable </w:t>
      </w:r>
      <w:r w:rsidR="000714FC">
        <w:rPr>
          <w:sz w:val="26"/>
          <w:szCs w:val="26"/>
        </w:rPr>
        <w:t>rate</w:t>
      </w:r>
      <w:r>
        <w:rPr>
          <w:sz w:val="26"/>
          <w:szCs w:val="26"/>
        </w:rPr>
        <w:t>,</w:t>
      </w:r>
      <w:r w:rsidR="000714FC">
        <w:rPr>
          <w:sz w:val="26"/>
          <w:szCs w:val="26"/>
        </w:rPr>
        <w:t xml:space="preserve"> charged </w:t>
      </w:r>
      <w:r w:rsidR="003A6966">
        <w:rPr>
          <w:sz w:val="26"/>
          <w:szCs w:val="26"/>
        </w:rPr>
        <w:t xml:space="preserve">by an EGS supplier </w:t>
      </w:r>
      <w:r w:rsidR="000714FC">
        <w:rPr>
          <w:sz w:val="26"/>
          <w:szCs w:val="26"/>
        </w:rPr>
        <w:t xml:space="preserve">(Count VIII in this </w:t>
      </w:r>
      <w:r w:rsidR="00917232">
        <w:rPr>
          <w:sz w:val="26"/>
          <w:szCs w:val="26"/>
        </w:rPr>
        <w:t>C</w:t>
      </w:r>
      <w:r w:rsidR="000714FC">
        <w:rPr>
          <w:sz w:val="26"/>
          <w:szCs w:val="26"/>
        </w:rPr>
        <w:t>omplaint</w:t>
      </w:r>
      <w:r w:rsidR="00917232">
        <w:rPr>
          <w:sz w:val="26"/>
          <w:szCs w:val="26"/>
        </w:rPr>
        <w:t>,</w:t>
      </w:r>
      <w:r w:rsidR="000714FC">
        <w:rPr>
          <w:sz w:val="26"/>
          <w:szCs w:val="26"/>
        </w:rPr>
        <w:t xml:space="preserve"> which count essentially corresponds to Count II in </w:t>
      </w:r>
      <w:r w:rsidR="000714FC">
        <w:rPr>
          <w:i/>
          <w:sz w:val="26"/>
          <w:szCs w:val="26"/>
        </w:rPr>
        <w:t>Blue Pilot</w:t>
      </w:r>
      <w:r w:rsidR="000714FC">
        <w:rPr>
          <w:sz w:val="26"/>
          <w:szCs w:val="26"/>
        </w:rPr>
        <w:t>),</w:t>
      </w:r>
      <w:r w:rsidR="003A6966">
        <w:rPr>
          <w:sz w:val="26"/>
          <w:szCs w:val="26"/>
        </w:rPr>
        <w:t xml:space="preserve"> with claims asserting whether the rate charged was consistent with EGS disclosure requirements </w:t>
      </w:r>
      <w:r>
        <w:rPr>
          <w:sz w:val="26"/>
          <w:szCs w:val="26"/>
        </w:rPr>
        <w:t>required b</w:t>
      </w:r>
      <w:r w:rsidR="003A6966">
        <w:rPr>
          <w:sz w:val="26"/>
          <w:szCs w:val="26"/>
        </w:rPr>
        <w:t>y Commission Regulations</w:t>
      </w:r>
      <w:r>
        <w:rPr>
          <w:sz w:val="26"/>
          <w:szCs w:val="26"/>
        </w:rPr>
        <w:t xml:space="preserve">.  </w:t>
      </w:r>
      <w:r>
        <w:rPr>
          <w:i/>
          <w:sz w:val="26"/>
          <w:szCs w:val="26"/>
        </w:rPr>
        <w:t xml:space="preserve">See </w:t>
      </w:r>
      <w:r>
        <w:rPr>
          <w:sz w:val="26"/>
          <w:szCs w:val="26"/>
        </w:rPr>
        <w:t>August 20 Order at 14-18.</w:t>
      </w:r>
      <w:r w:rsidR="003A6966">
        <w:rPr>
          <w:sz w:val="26"/>
          <w:szCs w:val="26"/>
        </w:rPr>
        <w:t xml:space="preserve"> </w:t>
      </w:r>
    </w:p>
    <w:p w:rsidR="00990030" w:rsidRDefault="00990030" w:rsidP="00990030">
      <w:pPr>
        <w:spacing w:line="360" w:lineRule="auto"/>
        <w:ind w:firstLine="1440"/>
        <w:rPr>
          <w:sz w:val="26"/>
          <w:szCs w:val="26"/>
        </w:rPr>
      </w:pPr>
    </w:p>
    <w:p w:rsidR="00D961BD" w:rsidRDefault="00990030" w:rsidP="00990030">
      <w:pPr>
        <w:spacing w:line="360" w:lineRule="auto"/>
        <w:ind w:firstLine="1440"/>
        <w:rPr>
          <w:sz w:val="26"/>
          <w:szCs w:val="26"/>
        </w:rPr>
      </w:pPr>
      <w:r>
        <w:rPr>
          <w:sz w:val="26"/>
          <w:szCs w:val="26"/>
        </w:rPr>
        <w:t>Based on the foregoing, we</w:t>
      </w:r>
      <w:r w:rsidR="003A6966">
        <w:rPr>
          <w:sz w:val="26"/>
          <w:szCs w:val="26"/>
        </w:rPr>
        <w:t xml:space="preserve"> </w:t>
      </w:r>
      <w:r>
        <w:rPr>
          <w:sz w:val="26"/>
          <w:szCs w:val="26"/>
        </w:rPr>
        <w:t xml:space="preserve">agree </w:t>
      </w:r>
      <w:r w:rsidR="00295081">
        <w:rPr>
          <w:sz w:val="26"/>
          <w:szCs w:val="26"/>
        </w:rPr>
        <w:t xml:space="preserve">with </w:t>
      </w:r>
      <w:r>
        <w:rPr>
          <w:sz w:val="26"/>
          <w:szCs w:val="26"/>
        </w:rPr>
        <w:t xml:space="preserve">and </w:t>
      </w:r>
      <w:r w:rsidR="003A6966">
        <w:rPr>
          <w:sz w:val="26"/>
          <w:szCs w:val="26"/>
        </w:rPr>
        <w:t>adopt the reasoning and conclusion of the presiding ALJs</w:t>
      </w:r>
      <w:r>
        <w:rPr>
          <w:sz w:val="26"/>
          <w:szCs w:val="26"/>
        </w:rPr>
        <w:t xml:space="preserve">, </w:t>
      </w:r>
      <w:r w:rsidR="00295081">
        <w:rPr>
          <w:sz w:val="26"/>
          <w:szCs w:val="26"/>
        </w:rPr>
        <w:t xml:space="preserve">to the extent consistent with </w:t>
      </w:r>
      <w:r w:rsidR="00295081">
        <w:rPr>
          <w:i/>
          <w:sz w:val="26"/>
          <w:szCs w:val="26"/>
        </w:rPr>
        <w:t xml:space="preserve">Blue Pilot </w:t>
      </w:r>
      <w:r w:rsidR="00295081">
        <w:rPr>
          <w:sz w:val="26"/>
          <w:szCs w:val="26"/>
        </w:rPr>
        <w:t xml:space="preserve">and our discussion herein, </w:t>
      </w:r>
      <w:r>
        <w:rPr>
          <w:sz w:val="26"/>
          <w:szCs w:val="26"/>
        </w:rPr>
        <w:t xml:space="preserve">that there must be a sufficient nexus </w:t>
      </w:r>
      <w:r w:rsidR="00295081">
        <w:rPr>
          <w:sz w:val="26"/>
          <w:szCs w:val="26"/>
        </w:rPr>
        <w:t>between</w:t>
      </w:r>
      <w:r>
        <w:rPr>
          <w:sz w:val="26"/>
          <w:szCs w:val="26"/>
        </w:rPr>
        <w:t xml:space="preserve"> allegations of </w:t>
      </w:r>
      <w:r w:rsidR="00295081">
        <w:rPr>
          <w:sz w:val="26"/>
          <w:szCs w:val="26"/>
        </w:rPr>
        <w:t>EGS pricing not in conformity with its required disclosures pursuant to Commission Regulations for such complaint to withstand preliminary objection</w:t>
      </w:r>
      <w:r w:rsidR="003A6966">
        <w:rPr>
          <w:sz w:val="26"/>
          <w:szCs w:val="26"/>
        </w:rPr>
        <w:t>.</w:t>
      </w:r>
      <w:r w:rsidR="00D961BD">
        <w:rPr>
          <w:sz w:val="26"/>
          <w:szCs w:val="26"/>
        </w:rPr>
        <w:t xml:space="preserve">  Upon review</w:t>
      </w:r>
      <w:r w:rsidR="00143092">
        <w:rPr>
          <w:sz w:val="26"/>
          <w:szCs w:val="26"/>
        </w:rPr>
        <w:t xml:space="preserve"> of</w:t>
      </w:r>
      <w:r w:rsidR="00D961BD">
        <w:rPr>
          <w:sz w:val="26"/>
          <w:szCs w:val="26"/>
        </w:rPr>
        <w:t xml:space="preserve"> </w:t>
      </w:r>
      <w:r w:rsidR="00143092">
        <w:rPr>
          <w:sz w:val="26"/>
          <w:szCs w:val="26"/>
        </w:rPr>
        <w:t xml:space="preserve">Count VIII of the </w:t>
      </w:r>
      <w:r w:rsidR="00D961BD">
        <w:rPr>
          <w:sz w:val="26"/>
          <w:szCs w:val="26"/>
        </w:rPr>
        <w:t>Complaint</w:t>
      </w:r>
      <w:r w:rsidR="00143092">
        <w:rPr>
          <w:sz w:val="26"/>
          <w:szCs w:val="26"/>
        </w:rPr>
        <w:t xml:space="preserve"> alleging that Respond’s prices did not conform to its Disclosure Statement, </w:t>
      </w:r>
      <w:r w:rsidR="00D961BD">
        <w:rPr>
          <w:sz w:val="26"/>
          <w:szCs w:val="26"/>
        </w:rPr>
        <w:t>we believe that such a sufficient nexus exists here to withstand preliminary objection.</w:t>
      </w:r>
      <w:r w:rsidR="003A6966">
        <w:rPr>
          <w:sz w:val="26"/>
          <w:szCs w:val="26"/>
        </w:rPr>
        <w:t xml:space="preserve">  </w:t>
      </w:r>
    </w:p>
    <w:p w:rsidR="00D961BD" w:rsidRDefault="00D961BD" w:rsidP="00990030">
      <w:pPr>
        <w:spacing w:line="360" w:lineRule="auto"/>
        <w:ind w:firstLine="1440"/>
        <w:rPr>
          <w:sz w:val="26"/>
          <w:szCs w:val="26"/>
        </w:rPr>
      </w:pPr>
    </w:p>
    <w:p w:rsidR="000714FC" w:rsidRPr="000714FC" w:rsidRDefault="00D961BD" w:rsidP="00D961BD">
      <w:pPr>
        <w:spacing w:line="360" w:lineRule="auto"/>
        <w:ind w:firstLine="1440"/>
        <w:rPr>
          <w:sz w:val="26"/>
          <w:szCs w:val="26"/>
        </w:rPr>
      </w:pPr>
      <w:r>
        <w:rPr>
          <w:sz w:val="26"/>
          <w:szCs w:val="26"/>
        </w:rPr>
        <w:t xml:space="preserve">Moreover, as previously noted, Count V of the Complaint alleges that Respond engaged in the practice of slamming.  </w:t>
      </w:r>
      <w:r w:rsidR="003A6966">
        <w:rPr>
          <w:sz w:val="26"/>
          <w:szCs w:val="26"/>
        </w:rPr>
        <w:t xml:space="preserve">We </w:t>
      </w:r>
      <w:r w:rsidR="00BE3FE6">
        <w:rPr>
          <w:sz w:val="26"/>
          <w:szCs w:val="26"/>
        </w:rPr>
        <w:t>reference</w:t>
      </w:r>
      <w:r w:rsidR="003A6966">
        <w:rPr>
          <w:sz w:val="26"/>
          <w:szCs w:val="26"/>
        </w:rPr>
        <w:t xml:space="preserve"> our discussion in </w:t>
      </w:r>
      <w:r w:rsidR="003A6966">
        <w:rPr>
          <w:i/>
          <w:sz w:val="26"/>
          <w:szCs w:val="26"/>
        </w:rPr>
        <w:t>IDT</w:t>
      </w:r>
      <w:r w:rsidR="003A6966">
        <w:rPr>
          <w:sz w:val="26"/>
          <w:szCs w:val="26"/>
        </w:rPr>
        <w:t xml:space="preserve">, </w:t>
      </w:r>
      <w:r w:rsidR="00295081">
        <w:rPr>
          <w:sz w:val="26"/>
          <w:szCs w:val="26"/>
        </w:rPr>
        <w:t xml:space="preserve">which was </w:t>
      </w:r>
      <w:r w:rsidR="003A6966">
        <w:rPr>
          <w:sz w:val="26"/>
          <w:szCs w:val="26"/>
        </w:rPr>
        <w:t>a complaint proceeding against an EGS company that involved allegations of slamming.</w:t>
      </w:r>
      <w:r>
        <w:rPr>
          <w:sz w:val="26"/>
          <w:szCs w:val="26"/>
        </w:rPr>
        <w:t xml:space="preserve">  </w:t>
      </w:r>
      <w:r w:rsidR="003A6966">
        <w:rPr>
          <w:sz w:val="26"/>
          <w:szCs w:val="26"/>
        </w:rPr>
        <w:t xml:space="preserve">In </w:t>
      </w:r>
      <w:r w:rsidR="003A6966">
        <w:rPr>
          <w:i/>
          <w:sz w:val="26"/>
          <w:szCs w:val="26"/>
        </w:rPr>
        <w:t>IDT</w:t>
      </w:r>
      <w:r w:rsidR="003A6966">
        <w:rPr>
          <w:sz w:val="26"/>
          <w:szCs w:val="26"/>
        </w:rPr>
        <w:t xml:space="preserve">, we recognized our plenary jurisdiction and authority pursuant to, </w:t>
      </w:r>
      <w:r w:rsidR="003A6966">
        <w:rPr>
          <w:i/>
          <w:sz w:val="26"/>
          <w:szCs w:val="26"/>
        </w:rPr>
        <w:t>inter alia</w:t>
      </w:r>
      <w:r w:rsidR="003A6966">
        <w:rPr>
          <w:sz w:val="26"/>
          <w:szCs w:val="26"/>
        </w:rPr>
        <w:t>, Section 501 of the Code, 66 Pa. C.S. § 501, to d</w:t>
      </w:r>
      <w:r w:rsidR="003A6966" w:rsidRPr="00F421DF">
        <w:rPr>
          <w:sz w:val="26"/>
          <w:szCs w:val="26"/>
        </w:rPr>
        <w:t xml:space="preserve">irect a billing adjustment for an EGS overbill of supply charges </w:t>
      </w:r>
      <w:r w:rsidR="003A6966">
        <w:rPr>
          <w:sz w:val="26"/>
          <w:szCs w:val="26"/>
        </w:rPr>
        <w:t>a</w:t>
      </w:r>
      <w:r w:rsidR="003A6966" w:rsidRPr="00F421DF">
        <w:rPr>
          <w:sz w:val="26"/>
          <w:szCs w:val="26"/>
        </w:rPr>
        <w:t xml:space="preserve">s within the Commission’s powers </w:t>
      </w:r>
      <w:r w:rsidR="003A6966">
        <w:rPr>
          <w:sz w:val="26"/>
          <w:szCs w:val="26"/>
        </w:rPr>
        <w:t xml:space="preserve">in order </w:t>
      </w:r>
      <w:r w:rsidR="003A6966" w:rsidRPr="00F421DF">
        <w:rPr>
          <w:sz w:val="26"/>
          <w:szCs w:val="26"/>
        </w:rPr>
        <w:t>to carry out the consumer protections in the Electric</w:t>
      </w:r>
      <w:r w:rsidR="00104C04">
        <w:rPr>
          <w:sz w:val="26"/>
          <w:szCs w:val="26"/>
        </w:rPr>
        <w:t>ity Generation Customer Choice and</w:t>
      </w:r>
      <w:r w:rsidR="003A6966" w:rsidRPr="00F421DF">
        <w:rPr>
          <w:sz w:val="26"/>
          <w:szCs w:val="26"/>
        </w:rPr>
        <w:t xml:space="preserve"> Competition Act </w:t>
      </w:r>
      <w:r w:rsidR="003A6966">
        <w:rPr>
          <w:sz w:val="26"/>
          <w:szCs w:val="26"/>
        </w:rPr>
        <w:t xml:space="preserve">that are </w:t>
      </w:r>
      <w:r w:rsidR="003A6966" w:rsidRPr="00F421DF">
        <w:rPr>
          <w:sz w:val="26"/>
          <w:szCs w:val="26"/>
        </w:rPr>
        <w:t xml:space="preserve">applicable to competitive </w:t>
      </w:r>
      <w:r w:rsidR="003A6966">
        <w:rPr>
          <w:sz w:val="26"/>
          <w:szCs w:val="26"/>
        </w:rPr>
        <w:t xml:space="preserve">electricity generation </w:t>
      </w:r>
      <w:r w:rsidR="003A6966" w:rsidRPr="00F421DF">
        <w:rPr>
          <w:sz w:val="26"/>
          <w:szCs w:val="26"/>
        </w:rPr>
        <w:t>supply service.</w:t>
      </w:r>
      <w:r w:rsidR="003A6966">
        <w:rPr>
          <w:sz w:val="26"/>
          <w:szCs w:val="26"/>
        </w:rPr>
        <w:t xml:space="preserve">  </w:t>
      </w:r>
      <w:r w:rsidR="003A6966">
        <w:rPr>
          <w:i/>
          <w:sz w:val="26"/>
          <w:szCs w:val="26"/>
        </w:rPr>
        <w:t xml:space="preserve">See IDT </w:t>
      </w:r>
      <w:r w:rsidR="003A6966">
        <w:rPr>
          <w:sz w:val="26"/>
          <w:szCs w:val="26"/>
        </w:rPr>
        <w:t>at 16-18, discuss</w:t>
      </w:r>
      <w:r w:rsidR="00295081">
        <w:rPr>
          <w:sz w:val="26"/>
          <w:szCs w:val="26"/>
        </w:rPr>
        <w:t>ing</w:t>
      </w:r>
      <w:r w:rsidR="003A6966">
        <w:rPr>
          <w:sz w:val="26"/>
          <w:szCs w:val="26"/>
        </w:rPr>
        <w:t xml:space="preserve"> Section 1312 of the Code, 66 Pa. C.S. § 1312.  We also expressly noted </w:t>
      </w:r>
      <w:r w:rsidR="003A6966">
        <w:rPr>
          <w:sz w:val="26"/>
          <w:szCs w:val="26"/>
        </w:rPr>
        <w:lastRenderedPageBreak/>
        <w:t xml:space="preserve">our Regulations which pertain to slamming as additional authority </w:t>
      </w:r>
      <w:r w:rsidR="00295081">
        <w:rPr>
          <w:sz w:val="26"/>
          <w:szCs w:val="26"/>
        </w:rPr>
        <w:t xml:space="preserve">to direct a billing adjustment </w:t>
      </w:r>
      <w:r w:rsidR="003A6966">
        <w:rPr>
          <w:sz w:val="26"/>
          <w:szCs w:val="26"/>
        </w:rPr>
        <w:t xml:space="preserve">under appropriate circumstances.  </w:t>
      </w:r>
      <w:r w:rsidR="003A6966">
        <w:rPr>
          <w:i/>
          <w:sz w:val="26"/>
          <w:szCs w:val="26"/>
        </w:rPr>
        <w:t>Id</w:t>
      </w:r>
      <w:r w:rsidR="003A6966">
        <w:rPr>
          <w:sz w:val="26"/>
          <w:szCs w:val="26"/>
        </w:rPr>
        <w:t xml:space="preserve">. </w:t>
      </w:r>
      <w:r w:rsidR="003A6966" w:rsidRPr="00F421DF">
        <w:rPr>
          <w:sz w:val="26"/>
          <w:szCs w:val="26"/>
        </w:rPr>
        <w:t xml:space="preserve"> </w:t>
      </w:r>
      <w:r w:rsidR="003A6966">
        <w:rPr>
          <w:i/>
          <w:sz w:val="26"/>
          <w:szCs w:val="26"/>
        </w:rPr>
        <w:t xml:space="preserve"> </w:t>
      </w:r>
      <w:r w:rsidR="000714FC">
        <w:rPr>
          <w:sz w:val="26"/>
          <w:szCs w:val="26"/>
        </w:rPr>
        <w:t xml:space="preserve">    </w:t>
      </w:r>
    </w:p>
    <w:p w:rsidR="00295081" w:rsidRDefault="00295081" w:rsidP="000714FC">
      <w:pPr>
        <w:widowControl/>
        <w:spacing w:line="360" w:lineRule="auto"/>
        <w:ind w:firstLine="1440"/>
        <w:rPr>
          <w:bCs/>
          <w:color w:val="000000"/>
          <w:sz w:val="26"/>
          <w:szCs w:val="26"/>
        </w:rPr>
      </w:pPr>
    </w:p>
    <w:p w:rsidR="00295081" w:rsidRPr="003022F8" w:rsidRDefault="00295081" w:rsidP="000714FC">
      <w:pPr>
        <w:widowControl/>
        <w:spacing w:line="360" w:lineRule="auto"/>
        <w:ind w:firstLine="1440"/>
        <w:rPr>
          <w:bCs/>
          <w:color w:val="000000"/>
          <w:sz w:val="26"/>
          <w:szCs w:val="26"/>
        </w:rPr>
      </w:pPr>
      <w:r>
        <w:rPr>
          <w:bCs/>
          <w:color w:val="000000"/>
          <w:sz w:val="26"/>
          <w:szCs w:val="26"/>
        </w:rPr>
        <w:t xml:space="preserve">Based on the foregoing, we shall answer </w:t>
      </w:r>
      <w:r w:rsidR="00104C04">
        <w:rPr>
          <w:bCs/>
          <w:color w:val="000000"/>
          <w:sz w:val="26"/>
          <w:szCs w:val="26"/>
        </w:rPr>
        <w:t>Material Q</w:t>
      </w:r>
      <w:r>
        <w:rPr>
          <w:bCs/>
          <w:color w:val="000000"/>
          <w:sz w:val="26"/>
          <w:szCs w:val="26"/>
        </w:rPr>
        <w:t>uestion #2 in the affirmative</w:t>
      </w:r>
      <w:r w:rsidR="006755BE">
        <w:rPr>
          <w:bCs/>
          <w:color w:val="000000"/>
          <w:sz w:val="26"/>
          <w:szCs w:val="26"/>
        </w:rPr>
        <w:t>, consistent with the discussion in this Opinion and Order</w:t>
      </w:r>
      <w:r>
        <w:rPr>
          <w:bCs/>
          <w:color w:val="000000"/>
          <w:sz w:val="26"/>
          <w:szCs w:val="26"/>
        </w:rPr>
        <w:t>.</w:t>
      </w:r>
    </w:p>
    <w:p w:rsidR="000714FC" w:rsidRDefault="000714FC" w:rsidP="00295081">
      <w:pPr>
        <w:spacing w:line="360" w:lineRule="auto"/>
        <w:rPr>
          <w:sz w:val="26"/>
          <w:szCs w:val="26"/>
        </w:rPr>
      </w:pPr>
    </w:p>
    <w:p w:rsidR="0082069B" w:rsidRPr="00E62E32" w:rsidRDefault="0082069B" w:rsidP="0082069B">
      <w:pPr>
        <w:spacing w:line="360" w:lineRule="auto"/>
        <w:jc w:val="center"/>
        <w:rPr>
          <w:b/>
          <w:sz w:val="26"/>
          <w:szCs w:val="26"/>
        </w:rPr>
      </w:pPr>
      <w:r>
        <w:rPr>
          <w:b/>
          <w:sz w:val="26"/>
          <w:szCs w:val="26"/>
        </w:rPr>
        <w:t>Conclusion</w:t>
      </w:r>
    </w:p>
    <w:p w:rsidR="0082069B" w:rsidRDefault="0082069B" w:rsidP="0082069B">
      <w:pPr>
        <w:spacing w:line="360" w:lineRule="auto"/>
        <w:ind w:firstLine="1440"/>
        <w:rPr>
          <w:sz w:val="26"/>
          <w:szCs w:val="26"/>
        </w:rPr>
      </w:pPr>
    </w:p>
    <w:p w:rsidR="0082069B" w:rsidRDefault="0082069B" w:rsidP="0082069B">
      <w:pPr>
        <w:spacing w:line="360" w:lineRule="auto"/>
        <w:ind w:firstLine="1440"/>
        <w:rPr>
          <w:sz w:val="26"/>
          <w:szCs w:val="26"/>
        </w:rPr>
      </w:pPr>
      <w:r>
        <w:rPr>
          <w:sz w:val="26"/>
          <w:szCs w:val="26"/>
        </w:rPr>
        <w:t>For the reasons set forth above, we shall grant the OAG/OCA Joint Petition and answer the material questions presented</w:t>
      </w:r>
      <w:r w:rsidR="00104C04">
        <w:rPr>
          <w:sz w:val="26"/>
          <w:szCs w:val="26"/>
        </w:rPr>
        <w:t>,</w:t>
      </w:r>
      <w:r>
        <w:rPr>
          <w:sz w:val="26"/>
          <w:szCs w:val="26"/>
        </w:rPr>
        <w:t xml:space="preserve"> consistent with the discussion contained in this Opinion and Order; </w:t>
      </w:r>
      <w:r w:rsidRPr="00D57141">
        <w:rPr>
          <w:b/>
          <w:sz w:val="26"/>
          <w:szCs w:val="26"/>
        </w:rPr>
        <w:t xml:space="preserve">THEREFORE, </w:t>
      </w:r>
    </w:p>
    <w:p w:rsidR="0082069B" w:rsidRDefault="0082069B" w:rsidP="0082069B">
      <w:pPr>
        <w:spacing w:line="360" w:lineRule="auto"/>
        <w:ind w:firstLine="1440"/>
        <w:rPr>
          <w:b/>
          <w:sz w:val="26"/>
          <w:szCs w:val="26"/>
        </w:rPr>
      </w:pPr>
    </w:p>
    <w:p w:rsidR="0082069B" w:rsidRDefault="0082069B" w:rsidP="0082069B">
      <w:pPr>
        <w:spacing w:line="360" w:lineRule="auto"/>
        <w:ind w:firstLine="1440"/>
        <w:rPr>
          <w:b/>
          <w:sz w:val="26"/>
          <w:szCs w:val="26"/>
        </w:rPr>
      </w:pPr>
      <w:r>
        <w:rPr>
          <w:b/>
          <w:sz w:val="26"/>
          <w:szCs w:val="26"/>
        </w:rPr>
        <w:t>IT IS ORDERED:</w:t>
      </w:r>
    </w:p>
    <w:p w:rsidR="0082069B" w:rsidRDefault="0082069B" w:rsidP="0082069B">
      <w:pPr>
        <w:spacing w:line="360" w:lineRule="auto"/>
        <w:ind w:firstLine="1440"/>
        <w:rPr>
          <w:b/>
          <w:sz w:val="26"/>
          <w:szCs w:val="26"/>
        </w:rPr>
      </w:pPr>
    </w:p>
    <w:p w:rsidR="0082069B" w:rsidRPr="00B21635" w:rsidRDefault="0082069B" w:rsidP="0082069B">
      <w:pPr>
        <w:pStyle w:val="ListParagraph"/>
        <w:numPr>
          <w:ilvl w:val="0"/>
          <w:numId w:val="8"/>
        </w:numPr>
        <w:spacing w:line="360" w:lineRule="auto"/>
        <w:ind w:left="0" w:firstLine="1440"/>
        <w:rPr>
          <w:sz w:val="26"/>
          <w:szCs w:val="26"/>
        </w:rPr>
      </w:pPr>
      <w:r>
        <w:rPr>
          <w:sz w:val="26"/>
          <w:szCs w:val="26"/>
        </w:rPr>
        <w:t xml:space="preserve">That the Joint Petition for </w:t>
      </w:r>
      <w:r>
        <w:rPr>
          <w:color w:val="000000"/>
          <w:sz w:val="26"/>
        </w:rPr>
        <w:t>Interlocutory Review and Answer to Material Questions filed by the Pennsylvania Office of Attorney General and the Pennsylvania Office of Consumer Advocate on September 8, 2014, is, hereby, granted.</w:t>
      </w:r>
      <w:r>
        <w:rPr>
          <w:sz w:val="26"/>
          <w:szCs w:val="26"/>
        </w:rPr>
        <w:t xml:space="preserve"> </w:t>
      </w:r>
    </w:p>
    <w:p w:rsidR="00295081" w:rsidRDefault="00295081" w:rsidP="0082069B">
      <w:pPr>
        <w:rPr>
          <w:sz w:val="26"/>
          <w:szCs w:val="26"/>
        </w:rPr>
      </w:pPr>
    </w:p>
    <w:p w:rsidR="0082069B" w:rsidRPr="00FC740F" w:rsidRDefault="0082069B" w:rsidP="0082069B">
      <w:pPr>
        <w:pStyle w:val="ListParagraph"/>
        <w:keepNext/>
        <w:widowControl/>
        <w:numPr>
          <w:ilvl w:val="0"/>
          <w:numId w:val="8"/>
        </w:numPr>
        <w:tabs>
          <w:tab w:val="clear" w:pos="2160"/>
          <w:tab w:val="num" w:pos="0"/>
        </w:tabs>
        <w:spacing w:line="360" w:lineRule="auto"/>
        <w:ind w:left="0" w:firstLine="1440"/>
        <w:rPr>
          <w:sz w:val="26"/>
          <w:szCs w:val="26"/>
        </w:rPr>
      </w:pPr>
      <w:r w:rsidRPr="00FC740F">
        <w:rPr>
          <w:sz w:val="26"/>
          <w:szCs w:val="26"/>
        </w:rPr>
        <w:t xml:space="preserve">That the following material question is answered in the </w:t>
      </w:r>
      <w:r>
        <w:rPr>
          <w:sz w:val="26"/>
          <w:szCs w:val="26"/>
        </w:rPr>
        <w:t>neg</w:t>
      </w:r>
      <w:r w:rsidRPr="00FC740F">
        <w:rPr>
          <w:sz w:val="26"/>
          <w:szCs w:val="26"/>
        </w:rPr>
        <w:t>ative, consistent with the discussion contained in this Opinion and Order:</w:t>
      </w:r>
    </w:p>
    <w:p w:rsidR="006755BE" w:rsidRDefault="006755BE" w:rsidP="006755BE">
      <w:pPr>
        <w:ind w:left="1440" w:right="1440"/>
        <w:rPr>
          <w:color w:val="000000"/>
          <w:sz w:val="26"/>
        </w:rPr>
      </w:pPr>
    </w:p>
    <w:p w:rsidR="006755BE" w:rsidRPr="006755BE" w:rsidRDefault="006755BE" w:rsidP="006755BE">
      <w:pPr>
        <w:ind w:left="1440" w:right="1440"/>
        <w:rPr>
          <w:color w:val="000000"/>
          <w:sz w:val="26"/>
        </w:rPr>
      </w:pPr>
      <w:r w:rsidRPr="006755BE">
        <w:rPr>
          <w:color w:val="000000"/>
          <w:sz w:val="26"/>
        </w:rPr>
        <w:t>Does the Commission have authority and jurisdiction to determine whether a violation of the Unfair Trade Practices and Consumer Protection Law (CPL) and Telemarketer Registration Act (TRA) has occurred when considering whether the Commission’s regulations – which require compliance with these laws – have been violated?</w:t>
      </w:r>
    </w:p>
    <w:p w:rsidR="0082069B" w:rsidRPr="00E62E32" w:rsidRDefault="0082069B" w:rsidP="006755BE">
      <w:pPr>
        <w:ind w:right="1440"/>
        <w:rPr>
          <w:sz w:val="26"/>
          <w:szCs w:val="26"/>
        </w:rPr>
      </w:pPr>
      <w:r>
        <w:rPr>
          <w:sz w:val="26"/>
          <w:szCs w:val="26"/>
        </w:rPr>
        <w:tab/>
      </w:r>
    </w:p>
    <w:p w:rsidR="0082069B" w:rsidRDefault="0082069B" w:rsidP="0082069B">
      <w:pPr>
        <w:ind w:right="1440"/>
        <w:rPr>
          <w:sz w:val="26"/>
          <w:szCs w:val="26"/>
        </w:rPr>
      </w:pPr>
    </w:p>
    <w:p w:rsidR="0082069B" w:rsidRPr="0006785A" w:rsidRDefault="0082069B" w:rsidP="0082069B">
      <w:pPr>
        <w:keepNext/>
        <w:widowControl/>
        <w:spacing w:line="360" w:lineRule="auto"/>
        <w:ind w:firstLine="1440"/>
        <w:rPr>
          <w:sz w:val="26"/>
          <w:szCs w:val="26"/>
        </w:rPr>
      </w:pPr>
      <w:r>
        <w:rPr>
          <w:sz w:val="26"/>
          <w:szCs w:val="26"/>
        </w:rPr>
        <w:t>3.</w:t>
      </w:r>
      <w:r>
        <w:rPr>
          <w:sz w:val="26"/>
          <w:szCs w:val="26"/>
        </w:rPr>
        <w:tab/>
      </w:r>
      <w:r w:rsidRPr="0006785A">
        <w:rPr>
          <w:sz w:val="26"/>
          <w:szCs w:val="26"/>
        </w:rPr>
        <w:t xml:space="preserve">That the following material question is answered in the </w:t>
      </w:r>
      <w:r>
        <w:rPr>
          <w:sz w:val="26"/>
          <w:szCs w:val="26"/>
        </w:rPr>
        <w:t>affirmative, consistent with the discussion contained in this Opinion and Order</w:t>
      </w:r>
      <w:r w:rsidRPr="0006785A">
        <w:rPr>
          <w:sz w:val="26"/>
          <w:szCs w:val="26"/>
        </w:rPr>
        <w:t>:</w:t>
      </w:r>
    </w:p>
    <w:p w:rsidR="0082069B" w:rsidRDefault="0082069B" w:rsidP="0082069B">
      <w:pPr>
        <w:pStyle w:val="ListParagraph"/>
        <w:ind w:left="1440" w:right="1440"/>
        <w:rPr>
          <w:sz w:val="26"/>
          <w:szCs w:val="26"/>
        </w:rPr>
      </w:pPr>
    </w:p>
    <w:p w:rsidR="006755BE" w:rsidRPr="006755BE" w:rsidRDefault="006755BE" w:rsidP="006755BE">
      <w:pPr>
        <w:ind w:left="1440" w:right="1440"/>
        <w:rPr>
          <w:color w:val="000000"/>
          <w:sz w:val="26"/>
        </w:rPr>
      </w:pPr>
      <w:r w:rsidRPr="006755BE">
        <w:rPr>
          <w:color w:val="000000"/>
          <w:sz w:val="26"/>
        </w:rPr>
        <w:lastRenderedPageBreak/>
        <w:t xml:space="preserve">Does the Commission have </w:t>
      </w:r>
      <w:r w:rsidR="00104C04">
        <w:rPr>
          <w:color w:val="000000"/>
          <w:sz w:val="26"/>
        </w:rPr>
        <w:t xml:space="preserve">the </w:t>
      </w:r>
      <w:r w:rsidRPr="006755BE">
        <w:rPr>
          <w:color w:val="000000"/>
          <w:sz w:val="26"/>
        </w:rPr>
        <w:t>authority and jurisdiction to determine whether the prices charged to customers by an electric generation supplier (EGS) conform to the EGS disclosure statement regarding pricing?</w:t>
      </w:r>
    </w:p>
    <w:p w:rsidR="006755BE" w:rsidRDefault="0082069B" w:rsidP="006755BE">
      <w:pPr>
        <w:pStyle w:val="ListParagraph"/>
        <w:ind w:left="1440" w:right="1440"/>
        <w:rPr>
          <w:sz w:val="26"/>
          <w:szCs w:val="26"/>
        </w:rPr>
      </w:pPr>
      <w:r>
        <w:rPr>
          <w:sz w:val="26"/>
          <w:szCs w:val="26"/>
        </w:rPr>
        <w:tab/>
      </w:r>
    </w:p>
    <w:p w:rsidR="0082069B" w:rsidRDefault="0082069B" w:rsidP="006755BE">
      <w:pPr>
        <w:pStyle w:val="ListParagraph"/>
        <w:ind w:left="1440" w:right="1440"/>
        <w:rPr>
          <w:sz w:val="26"/>
          <w:szCs w:val="26"/>
        </w:rPr>
      </w:pPr>
    </w:p>
    <w:p w:rsidR="0082069B" w:rsidRDefault="0082069B" w:rsidP="0082069B">
      <w:pPr>
        <w:spacing w:line="360" w:lineRule="auto"/>
        <w:ind w:firstLine="1440"/>
        <w:rPr>
          <w:sz w:val="26"/>
          <w:szCs w:val="26"/>
        </w:rPr>
      </w:pPr>
      <w:r>
        <w:rPr>
          <w:sz w:val="26"/>
          <w:szCs w:val="26"/>
        </w:rPr>
        <w:t xml:space="preserve">4.  </w:t>
      </w:r>
      <w:r>
        <w:rPr>
          <w:sz w:val="26"/>
          <w:szCs w:val="26"/>
        </w:rPr>
        <w:tab/>
        <w:t xml:space="preserve">That this matter is returned to the Office of Administrative Law Judge for such further proceedings as may be necessary.  </w:t>
      </w:r>
    </w:p>
    <w:p w:rsidR="0082069B" w:rsidRDefault="0082069B" w:rsidP="004C32C6">
      <w:pPr>
        <w:spacing w:line="360" w:lineRule="auto"/>
        <w:ind w:firstLine="1440"/>
        <w:rPr>
          <w:sz w:val="26"/>
          <w:szCs w:val="26"/>
        </w:rPr>
      </w:pPr>
    </w:p>
    <w:p w:rsidR="006755BE" w:rsidRDefault="001F36F7" w:rsidP="004C32C6">
      <w:pPr>
        <w:spacing w:line="360" w:lineRule="auto"/>
        <w:ind w:firstLine="1440"/>
        <w:rPr>
          <w:b/>
          <w:sz w:val="26"/>
          <w:szCs w:val="26"/>
        </w:rPr>
      </w:pPr>
      <w:r>
        <w:rPr>
          <w:noProof/>
        </w:rPr>
        <w:drawing>
          <wp:anchor distT="0" distB="0" distL="114300" distR="114300" simplePos="0" relativeHeight="251659264" behindDoc="1" locked="0" layoutInCell="1" allowOverlap="1" wp14:anchorId="26997F26" wp14:editId="69AFA4FA">
            <wp:simplePos x="0" y="0"/>
            <wp:positionH relativeFrom="column">
              <wp:posOffset>2162175</wp:posOffset>
            </wp:positionH>
            <wp:positionV relativeFrom="paragraph">
              <wp:posOffset>6985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66960">
        <w:rPr>
          <w:sz w:val="26"/>
          <w:szCs w:val="26"/>
        </w:rPr>
        <w:t xml:space="preserve">  </w:t>
      </w:r>
      <w:r w:rsidR="009F77A7">
        <w:rPr>
          <w:sz w:val="26"/>
          <w:szCs w:val="26"/>
        </w:rPr>
        <w:t xml:space="preserve">    </w:t>
      </w:r>
      <w:r w:rsidR="00B93126">
        <w:rPr>
          <w:sz w:val="26"/>
          <w:szCs w:val="26"/>
        </w:rPr>
        <w:t xml:space="preserve">    </w:t>
      </w:r>
      <w:r w:rsidR="00E22FC1">
        <w:rPr>
          <w:sz w:val="26"/>
          <w:szCs w:val="26"/>
        </w:rPr>
        <w:t xml:space="preserve"> </w:t>
      </w:r>
      <w:r w:rsidR="006755BE">
        <w:rPr>
          <w:sz w:val="26"/>
          <w:szCs w:val="26"/>
        </w:rPr>
        <w:tab/>
      </w:r>
      <w:r w:rsidR="006755BE">
        <w:rPr>
          <w:sz w:val="26"/>
          <w:szCs w:val="26"/>
        </w:rPr>
        <w:tab/>
      </w:r>
      <w:r w:rsidR="006755BE">
        <w:rPr>
          <w:sz w:val="26"/>
          <w:szCs w:val="26"/>
        </w:rPr>
        <w:tab/>
      </w:r>
      <w:r w:rsidR="006755BE">
        <w:rPr>
          <w:b/>
          <w:sz w:val="26"/>
          <w:szCs w:val="26"/>
        </w:rPr>
        <w:t>BY THE COMMISSION:</w:t>
      </w:r>
    </w:p>
    <w:p w:rsidR="006755BE" w:rsidRDefault="006755BE" w:rsidP="006755BE">
      <w:pPr>
        <w:tabs>
          <w:tab w:val="left" w:pos="-720"/>
        </w:tabs>
        <w:ind w:firstLine="5040"/>
        <w:rPr>
          <w:b/>
          <w:sz w:val="26"/>
          <w:szCs w:val="26"/>
        </w:rPr>
      </w:pPr>
    </w:p>
    <w:p w:rsidR="006755BE" w:rsidRDefault="006755BE" w:rsidP="006755BE">
      <w:pPr>
        <w:tabs>
          <w:tab w:val="left" w:pos="-720"/>
        </w:tabs>
        <w:ind w:firstLine="5040"/>
        <w:rPr>
          <w:b/>
          <w:sz w:val="26"/>
          <w:szCs w:val="26"/>
        </w:rPr>
      </w:pPr>
      <w:r>
        <w:rPr>
          <w:b/>
          <w:sz w:val="26"/>
          <w:szCs w:val="26"/>
        </w:rPr>
        <w:tab/>
      </w:r>
    </w:p>
    <w:p w:rsidR="006755BE" w:rsidRDefault="006755BE" w:rsidP="006755BE">
      <w:pPr>
        <w:tabs>
          <w:tab w:val="left" w:pos="-720"/>
        </w:tabs>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sz w:val="26"/>
          <w:szCs w:val="26"/>
        </w:rPr>
        <w:t>Rosemary Chiavetta</w:t>
      </w:r>
    </w:p>
    <w:p w:rsidR="006755BE" w:rsidRDefault="006755BE" w:rsidP="006755BE">
      <w:pPr>
        <w:tabs>
          <w:tab w:val="left" w:pos="-720"/>
        </w:tabs>
        <w:rPr>
          <w:sz w:val="26"/>
          <w:szCs w:val="26"/>
        </w:rPr>
      </w:pPr>
      <w:r>
        <w:rPr>
          <w:sz w:val="26"/>
          <w:szCs w:val="26"/>
        </w:rPr>
        <w:tab/>
      </w:r>
      <w:r>
        <w:rPr>
          <w:sz w:val="26"/>
          <w:szCs w:val="26"/>
        </w:rPr>
        <w:tab/>
      </w:r>
      <w:r>
        <w:rPr>
          <w:sz w:val="26"/>
          <w:szCs w:val="26"/>
        </w:rPr>
        <w:tab/>
      </w:r>
      <w:r>
        <w:rPr>
          <w:sz w:val="26"/>
          <w:szCs w:val="26"/>
        </w:rPr>
        <w:tab/>
      </w:r>
      <w:r>
        <w:rPr>
          <w:sz w:val="26"/>
          <w:szCs w:val="26"/>
        </w:rPr>
        <w:tab/>
        <w:t>Secretary</w:t>
      </w:r>
      <w:bookmarkStart w:id="0" w:name="_GoBack"/>
      <w:bookmarkEnd w:id="0"/>
    </w:p>
    <w:p w:rsidR="006755BE" w:rsidRDefault="006755BE" w:rsidP="006755BE">
      <w:pPr>
        <w:tabs>
          <w:tab w:val="left" w:pos="-720"/>
        </w:tabs>
        <w:rPr>
          <w:sz w:val="26"/>
          <w:szCs w:val="26"/>
        </w:rPr>
      </w:pPr>
    </w:p>
    <w:p w:rsidR="006755BE" w:rsidRDefault="006755BE" w:rsidP="006755BE">
      <w:pPr>
        <w:tabs>
          <w:tab w:val="left" w:pos="-720"/>
        </w:tabs>
        <w:rPr>
          <w:sz w:val="26"/>
          <w:szCs w:val="26"/>
        </w:rPr>
      </w:pPr>
      <w:r>
        <w:rPr>
          <w:sz w:val="26"/>
          <w:szCs w:val="26"/>
        </w:rPr>
        <w:t>(SEAL)</w:t>
      </w:r>
    </w:p>
    <w:p w:rsidR="006755BE" w:rsidRDefault="006755BE" w:rsidP="006755BE">
      <w:pPr>
        <w:tabs>
          <w:tab w:val="left" w:pos="-720"/>
        </w:tabs>
        <w:rPr>
          <w:sz w:val="26"/>
          <w:szCs w:val="26"/>
        </w:rPr>
      </w:pPr>
    </w:p>
    <w:p w:rsidR="006755BE" w:rsidRDefault="006755BE" w:rsidP="006755BE">
      <w:pPr>
        <w:tabs>
          <w:tab w:val="left" w:pos="-720"/>
        </w:tabs>
        <w:rPr>
          <w:sz w:val="26"/>
          <w:szCs w:val="26"/>
        </w:rPr>
      </w:pPr>
      <w:r>
        <w:rPr>
          <w:sz w:val="26"/>
          <w:szCs w:val="26"/>
        </w:rPr>
        <w:t xml:space="preserve">ORDER ADOPTED:  </w:t>
      </w:r>
      <w:r w:rsidR="001C37B9">
        <w:rPr>
          <w:sz w:val="26"/>
          <w:szCs w:val="26"/>
        </w:rPr>
        <w:t>April 9</w:t>
      </w:r>
      <w:r>
        <w:rPr>
          <w:sz w:val="26"/>
          <w:szCs w:val="26"/>
        </w:rPr>
        <w:t>, 2015</w:t>
      </w:r>
    </w:p>
    <w:p w:rsidR="006755BE" w:rsidRDefault="006755BE" w:rsidP="006755BE">
      <w:pPr>
        <w:tabs>
          <w:tab w:val="left" w:pos="-720"/>
        </w:tabs>
        <w:rPr>
          <w:sz w:val="26"/>
          <w:szCs w:val="26"/>
        </w:rPr>
      </w:pPr>
    </w:p>
    <w:p w:rsidR="006755BE" w:rsidRPr="00934A99" w:rsidRDefault="006755BE" w:rsidP="006755BE">
      <w:pPr>
        <w:tabs>
          <w:tab w:val="left" w:pos="-720"/>
        </w:tabs>
        <w:rPr>
          <w:sz w:val="26"/>
          <w:szCs w:val="26"/>
        </w:rPr>
      </w:pPr>
      <w:r>
        <w:rPr>
          <w:sz w:val="26"/>
          <w:szCs w:val="26"/>
        </w:rPr>
        <w:t xml:space="preserve">ORDER ENTERED:   </w:t>
      </w:r>
      <w:r w:rsidR="001F36F7">
        <w:rPr>
          <w:sz w:val="26"/>
          <w:szCs w:val="26"/>
        </w:rPr>
        <w:t>April 9, 2015</w:t>
      </w:r>
      <w:r>
        <w:rPr>
          <w:sz w:val="26"/>
          <w:szCs w:val="26"/>
        </w:rPr>
        <w:t xml:space="preserve">  </w:t>
      </w:r>
    </w:p>
    <w:p w:rsidR="00812AD9" w:rsidRDefault="00E22FC1" w:rsidP="004C32C6">
      <w:pPr>
        <w:spacing w:line="360" w:lineRule="auto"/>
        <w:ind w:firstLine="1440"/>
        <w:rPr>
          <w:sz w:val="26"/>
          <w:szCs w:val="26"/>
        </w:rPr>
      </w:pPr>
      <w:r>
        <w:rPr>
          <w:sz w:val="26"/>
          <w:szCs w:val="26"/>
        </w:rPr>
        <w:t xml:space="preserve">         </w:t>
      </w:r>
      <w:r w:rsidR="00436E0D">
        <w:rPr>
          <w:sz w:val="26"/>
          <w:szCs w:val="26"/>
        </w:rPr>
        <w:t xml:space="preserve">     </w:t>
      </w:r>
      <w:r w:rsidR="00F865C9">
        <w:rPr>
          <w:sz w:val="26"/>
          <w:szCs w:val="26"/>
        </w:rPr>
        <w:t xml:space="preserve">     </w:t>
      </w:r>
      <w:r w:rsidR="00306879">
        <w:rPr>
          <w:sz w:val="26"/>
          <w:szCs w:val="26"/>
        </w:rPr>
        <w:t xml:space="preserve">  </w:t>
      </w:r>
      <w:r w:rsidR="00936B6C">
        <w:rPr>
          <w:sz w:val="26"/>
          <w:szCs w:val="26"/>
        </w:rPr>
        <w:t xml:space="preserve">  </w:t>
      </w:r>
    </w:p>
    <w:p w:rsidR="00255362" w:rsidRPr="00524753" w:rsidRDefault="00255362" w:rsidP="00255362">
      <w:pPr>
        <w:rPr>
          <w:sz w:val="26"/>
          <w:szCs w:val="26"/>
        </w:rPr>
      </w:pPr>
    </w:p>
    <w:sectPr w:rsidR="00255362" w:rsidRPr="00524753" w:rsidSect="00DC726A">
      <w:footerReference w:type="default" r:id="rId12"/>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6E2" w:rsidRDefault="001856E2" w:rsidP="002A4A4B">
      <w:r>
        <w:separator/>
      </w:r>
    </w:p>
  </w:endnote>
  <w:endnote w:type="continuationSeparator" w:id="0">
    <w:p w:rsidR="001856E2" w:rsidRDefault="001856E2" w:rsidP="002A4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0295930"/>
      <w:docPartObj>
        <w:docPartGallery w:val="Page Numbers (Bottom of Page)"/>
        <w:docPartUnique/>
      </w:docPartObj>
    </w:sdtPr>
    <w:sdtEndPr>
      <w:rPr>
        <w:noProof/>
      </w:rPr>
    </w:sdtEndPr>
    <w:sdtContent>
      <w:p w:rsidR="00F01D00" w:rsidRDefault="00F01D00">
        <w:pPr>
          <w:pStyle w:val="Footer"/>
          <w:jc w:val="center"/>
        </w:pPr>
        <w:r>
          <w:fldChar w:fldCharType="begin"/>
        </w:r>
        <w:r>
          <w:instrText xml:space="preserve"> PAGE   \* MERGEFORMAT </w:instrText>
        </w:r>
        <w:r>
          <w:fldChar w:fldCharType="separate"/>
        </w:r>
        <w:r w:rsidR="001F36F7">
          <w:rPr>
            <w:noProof/>
          </w:rPr>
          <w:t>29</w:t>
        </w:r>
        <w:r>
          <w:rPr>
            <w:noProof/>
          </w:rPr>
          <w:fldChar w:fldCharType="end"/>
        </w:r>
      </w:p>
    </w:sdtContent>
  </w:sdt>
  <w:p w:rsidR="00F01D00" w:rsidRDefault="00F01D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6E2" w:rsidRDefault="001856E2" w:rsidP="002A4A4B">
      <w:r>
        <w:separator/>
      </w:r>
    </w:p>
  </w:footnote>
  <w:footnote w:type="continuationSeparator" w:id="0">
    <w:p w:rsidR="001856E2" w:rsidRDefault="001856E2" w:rsidP="002A4A4B">
      <w:r>
        <w:continuationSeparator/>
      </w:r>
    </w:p>
  </w:footnote>
  <w:footnote w:id="1">
    <w:p w:rsidR="00F01D00" w:rsidRPr="00C16B03" w:rsidRDefault="00F01D00" w:rsidP="00C16B03">
      <w:pPr>
        <w:pStyle w:val="FootnoteText"/>
        <w:ind w:firstLine="720"/>
      </w:pPr>
      <w:r>
        <w:rPr>
          <w:rStyle w:val="FootnoteReference"/>
        </w:rPr>
        <w:footnoteRef/>
      </w:r>
      <w:r>
        <w:t xml:space="preserve"> </w:t>
      </w:r>
      <w:r>
        <w:tab/>
      </w:r>
      <w:r w:rsidRPr="00C16B03">
        <w:rPr>
          <w:sz w:val="26"/>
          <w:szCs w:val="26"/>
        </w:rPr>
        <w:t xml:space="preserve">As </w:t>
      </w:r>
      <w:r>
        <w:rPr>
          <w:sz w:val="26"/>
          <w:szCs w:val="26"/>
        </w:rPr>
        <w:t xml:space="preserve">will be </w:t>
      </w:r>
      <w:r w:rsidRPr="00C16B03">
        <w:rPr>
          <w:sz w:val="26"/>
          <w:szCs w:val="26"/>
        </w:rPr>
        <w:t xml:space="preserve">noted, </w:t>
      </w:r>
      <w:r w:rsidRPr="00C16B03">
        <w:rPr>
          <w:i/>
          <w:sz w:val="26"/>
          <w:szCs w:val="26"/>
        </w:rPr>
        <w:t>infra</w:t>
      </w:r>
      <w:r w:rsidRPr="00C16B03">
        <w:rPr>
          <w:sz w:val="26"/>
          <w:szCs w:val="26"/>
        </w:rPr>
        <w:t>, I&amp;E</w:t>
      </w:r>
      <w:r>
        <w:rPr>
          <w:sz w:val="26"/>
          <w:szCs w:val="26"/>
        </w:rPr>
        <w:t xml:space="preserve"> subsequently</w:t>
      </w:r>
      <w:r w:rsidRPr="00C16B03">
        <w:rPr>
          <w:sz w:val="26"/>
          <w:szCs w:val="26"/>
        </w:rPr>
        <w:t xml:space="preserve"> filed a </w:t>
      </w:r>
      <w:r>
        <w:rPr>
          <w:sz w:val="26"/>
          <w:szCs w:val="26"/>
        </w:rPr>
        <w:t xml:space="preserve">separate </w:t>
      </w:r>
      <w:r w:rsidRPr="00C16B03">
        <w:rPr>
          <w:sz w:val="26"/>
          <w:szCs w:val="26"/>
        </w:rPr>
        <w:t xml:space="preserve">formal complaint against Respond which complaint </w:t>
      </w:r>
      <w:r>
        <w:rPr>
          <w:sz w:val="26"/>
          <w:szCs w:val="26"/>
        </w:rPr>
        <w:t>h</w:t>
      </w:r>
      <w:r w:rsidRPr="00C16B03">
        <w:rPr>
          <w:sz w:val="26"/>
          <w:szCs w:val="26"/>
        </w:rPr>
        <w:t xml:space="preserve">as </w:t>
      </w:r>
      <w:r>
        <w:rPr>
          <w:sz w:val="26"/>
          <w:szCs w:val="26"/>
        </w:rPr>
        <w:t xml:space="preserve">been </w:t>
      </w:r>
      <w:r w:rsidRPr="00C16B03">
        <w:rPr>
          <w:sz w:val="26"/>
          <w:szCs w:val="26"/>
        </w:rPr>
        <w:t>consolidated with the OAG/OCA complaint.</w:t>
      </w:r>
      <w:r>
        <w:t xml:space="preserve"> </w:t>
      </w:r>
    </w:p>
  </w:footnote>
  <w:footnote w:id="2">
    <w:p w:rsidR="00F01D00" w:rsidRDefault="00F01D00" w:rsidP="00C021E8">
      <w:pPr>
        <w:ind w:firstLine="720"/>
        <w:rPr>
          <w:sz w:val="26"/>
          <w:szCs w:val="26"/>
        </w:rPr>
      </w:pPr>
      <w:r>
        <w:rPr>
          <w:rStyle w:val="FootnoteReference"/>
        </w:rPr>
        <w:footnoteRef/>
      </w:r>
      <w:r>
        <w:t xml:space="preserve"> </w:t>
      </w:r>
      <w:r>
        <w:tab/>
      </w:r>
      <w:r>
        <w:rPr>
          <w:sz w:val="26"/>
          <w:szCs w:val="26"/>
        </w:rPr>
        <w:t>52 Pa. Code § 69.1803 defines PTC as follows:</w:t>
      </w:r>
      <w:r>
        <w:t xml:space="preserve"> </w:t>
      </w:r>
      <w:r>
        <w:rPr>
          <w:sz w:val="26"/>
          <w:szCs w:val="26"/>
        </w:rPr>
        <w:t>“</w:t>
      </w:r>
      <w:r>
        <w:rPr>
          <w:i/>
          <w:iCs/>
          <w:sz w:val="26"/>
          <w:szCs w:val="26"/>
        </w:rPr>
        <w:t>PTC—Price-to-compare</w:t>
      </w:r>
      <w:r>
        <w:rPr>
          <w:sz w:val="26"/>
          <w:szCs w:val="26"/>
        </w:rPr>
        <w:t>—A line item that appears on a retail customer’s monthly bill for default service.  The PTC is equal to the sum of all unbundled generation and transmission related charges to a default service customer for that month of service.”</w:t>
      </w:r>
    </w:p>
    <w:p w:rsidR="00F01D00" w:rsidRDefault="00F01D00" w:rsidP="00C021E8">
      <w:pPr>
        <w:pStyle w:val="FootnoteText"/>
        <w:ind w:firstLine="720"/>
      </w:pPr>
    </w:p>
  </w:footnote>
  <w:footnote w:id="3">
    <w:p w:rsidR="00F01D00" w:rsidRPr="00C0218C" w:rsidRDefault="00F01D00" w:rsidP="002C7EFF">
      <w:pPr>
        <w:pStyle w:val="FootnoteText"/>
        <w:ind w:firstLine="720"/>
        <w:rPr>
          <w:sz w:val="26"/>
          <w:szCs w:val="26"/>
        </w:rPr>
      </w:pPr>
      <w:r>
        <w:rPr>
          <w:rStyle w:val="FootnoteReference"/>
        </w:rPr>
        <w:footnoteRef/>
      </w:r>
      <w:r>
        <w:t xml:space="preserve"> </w:t>
      </w:r>
      <w:r>
        <w:tab/>
      </w:r>
      <w:r>
        <w:rPr>
          <w:sz w:val="26"/>
          <w:szCs w:val="26"/>
        </w:rPr>
        <w:t xml:space="preserve">73 P.S. §§ 201-1 – 201-9.3; referenced, </w:t>
      </w:r>
      <w:r>
        <w:rPr>
          <w:i/>
          <w:sz w:val="26"/>
          <w:szCs w:val="26"/>
        </w:rPr>
        <w:t>inter alia</w:t>
      </w:r>
      <w:r>
        <w:rPr>
          <w:sz w:val="26"/>
          <w:szCs w:val="26"/>
        </w:rPr>
        <w:t xml:space="preserve">, at 52 Pa. Code </w:t>
      </w:r>
      <w:r>
        <w:rPr>
          <w:sz w:val="26"/>
          <w:szCs w:val="26"/>
        </w:rPr>
        <w:br/>
        <w:t>§ 54.43(f).</w:t>
      </w:r>
      <w:r w:rsidRPr="00C0218C">
        <w:rPr>
          <w:i/>
          <w:sz w:val="26"/>
          <w:szCs w:val="26"/>
        </w:rPr>
        <w:t xml:space="preserve"> </w:t>
      </w:r>
    </w:p>
  </w:footnote>
  <w:footnote w:id="4">
    <w:p w:rsidR="00F01D00" w:rsidRPr="006458E6" w:rsidRDefault="00F01D00" w:rsidP="006458E6">
      <w:pPr>
        <w:pStyle w:val="FootnoteText"/>
        <w:ind w:firstLine="720"/>
        <w:rPr>
          <w:sz w:val="26"/>
          <w:szCs w:val="26"/>
        </w:rPr>
      </w:pPr>
      <w:r>
        <w:rPr>
          <w:rStyle w:val="FootnoteReference"/>
        </w:rPr>
        <w:footnoteRef/>
      </w:r>
      <w:r>
        <w:t xml:space="preserve"> </w:t>
      </w:r>
      <w:r>
        <w:tab/>
      </w:r>
      <w:r>
        <w:rPr>
          <w:sz w:val="26"/>
          <w:szCs w:val="26"/>
        </w:rPr>
        <w:t xml:space="preserve">73 P.S. §§ 2241, </w:t>
      </w:r>
      <w:r>
        <w:rPr>
          <w:i/>
          <w:sz w:val="26"/>
          <w:szCs w:val="26"/>
        </w:rPr>
        <w:t>et seq.</w:t>
      </w:r>
      <w:r>
        <w:rPr>
          <w:sz w:val="26"/>
          <w:szCs w:val="26"/>
        </w:rPr>
        <w:t xml:space="preserve">, referenced, </w:t>
      </w:r>
      <w:r>
        <w:rPr>
          <w:i/>
          <w:sz w:val="26"/>
          <w:szCs w:val="26"/>
        </w:rPr>
        <w:t>inter alia</w:t>
      </w:r>
      <w:r>
        <w:rPr>
          <w:sz w:val="26"/>
          <w:szCs w:val="26"/>
        </w:rPr>
        <w:t>, at 52 Pa. Code § 111.10.</w:t>
      </w:r>
    </w:p>
  </w:footnote>
  <w:footnote w:id="5">
    <w:p w:rsidR="00F01D00" w:rsidRDefault="00F01D00" w:rsidP="0018116F">
      <w:pPr>
        <w:adjustRightInd w:val="0"/>
        <w:ind w:firstLine="720"/>
      </w:pPr>
      <w:r>
        <w:rPr>
          <w:rStyle w:val="FootnoteReference"/>
        </w:rPr>
        <w:footnoteRef/>
      </w:r>
      <w:r>
        <w:t xml:space="preserve"> </w:t>
      </w:r>
      <w:r>
        <w:tab/>
      </w:r>
      <w:r w:rsidRPr="003C4DB9">
        <w:rPr>
          <w:bCs/>
          <w:color w:val="000000"/>
          <w:sz w:val="26"/>
          <w:szCs w:val="26"/>
        </w:rPr>
        <w:t xml:space="preserve">In </w:t>
      </w:r>
      <w:r>
        <w:rPr>
          <w:bCs/>
          <w:color w:val="000000"/>
          <w:sz w:val="26"/>
          <w:szCs w:val="26"/>
        </w:rPr>
        <w:t>the</w:t>
      </w:r>
      <w:r w:rsidRPr="003C4DB9">
        <w:rPr>
          <w:bCs/>
          <w:color w:val="000000"/>
          <w:sz w:val="26"/>
          <w:szCs w:val="26"/>
        </w:rPr>
        <w:t xml:space="preserve"> Complaint I&amp;E averred that it instituted an investigation of Respond </w:t>
      </w:r>
      <w:r>
        <w:rPr>
          <w:bCs/>
          <w:color w:val="000000"/>
          <w:sz w:val="26"/>
          <w:szCs w:val="26"/>
        </w:rPr>
        <w:t xml:space="preserve">that </w:t>
      </w:r>
      <w:r w:rsidRPr="003C4DB9">
        <w:rPr>
          <w:bCs/>
          <w:color w:val="000000"/>
          <w:sz w:val="26"/>
          <w:szCs w:val="26"/>
        </w:rPr>
        <w:t xml:space="preserve">centered on allegations of slamming and related </w:t>
      </w:r>
      <w:r>
        <w:rPr>
          <w:bCs/>
          <w:color w:val="000000"/>
          <w:sz w:val="26"/>
          <w:szCs w:val="26"/>
        </w:rPr>
        <w:t>improper</w:t>
      </w:r>
      <w:r w:rsidRPr="003C4DB9">
        <w:rPr>
          <w:bCs/>
          <w:color w:val="000000"/>
          <w:sz w:val="26"/>
          <w:szCs w:val="26"/>
        </w:rPr>
        <w:t xml:space="preserve"> marketing practices as alleged in a telephone call to the Commission’s Bureau of Consumer Services (BCS)</w:t>
      </w:r>
      <w:r>
        <w:rPr>
          <w:bCs/>
          <w:color w:val="000000"/>
          <w:sz w:val="26"/>
          <w:szCs w:val="26"/>
        </w:rPr>
        <w:t xml:space="preserve">.  </w:t>
      </w:r>
      <w:r w:rsidRPr="003C4DB9">
        <w:rPr>
          <w:bCs/>
          <w:color w:val="000000"/>
          <w:sz w:val="26"/>
          <w:szCs w:val="26"/>
        </w:rPr>
        <w:t>I&amp;E averred that the phone call was from an individual who identified himself as a senior door-to-door sales agent of Respond</w:t>
      </w:r>
      <w:r>
        <w:rPr>
          <w:bCs/>
          <w:color w:val="000000"/>
          <w:sz w:val="26"/>
          <w:szCs w:val="26"/>
        </w:rPr>
        <w:t>.  This person advised that</w:t>
      </w:r>
      <w:r w:rsidRPr="003C4DB9">
        <w:rPr>
          <w:bCs/>
          <w:color w:val="000000"/>
          <w:sz w:val="26"/>
          <w:szCs w:val="26"/>
        </w:rPr>
        <w:t xml:space="preserve"> the sales and marketing tactics being used by agents of Respond included the use of false identities and associated identification materials</w:t>
      </w:r>
      <w:r>
        <w:rPr>
          <w:bCs/>
          <w:color w:val="000000"/>
          <w:sz w:val="26"/>
          <w:szCs w:val="26"/>
        </w:rPr>
        <w:t xml:space="preserve">.  </w:t>
      </w:r>
      <w:r>
        <w:rPr>
          <w:bCs/>
          <w:i/>
          <w:color w:val="000000"/>
          <w:sz w:val="26"/>
          <w:szCs w:val="26"/>
        </w:rPr>
        <w:t>See Bureau of Investigation and Enforcement v. Respond Power LLC,</w:t>
      </w:r>
      <w:r w:rsidRPr="00886710">
        <w:rPr>
          <w:bCs/>
          <w:i/>
          <w:color w:val="000000"/>
          <w:sz w:val="26"/>
          <w:szCs w:val="26"/>
        </w:rPr>
        <w:t xml:space="preserve"> </w:t>
      </w:r>
      <w:r w:rsidRPr="0018116F">
        <w:rPr>
          <w:bCs/>
          <w:color w:val="000000"/>
          <w:sz w:val="26"/>
          <w:szCs w:val="26"/>
        </w:rPr>
        <w:t>Order Granting in Part and Denying in Part Preliminary Objections Filed Against the Formal Complaint of the Bureau of Investigation and Enforcement</w:t>
      </w:r>
      <w:r w:rsidRPr="00163577">
        <w:rPr>
          <w:bCs/>
          <w:color w:val="000000"/>
          <w:sz w:val="26"/>
          <w:szCs w:val="26"/>
        </w:rPr>
        <w:t>,</w:t>
      </w:r>
      <w:r>
        <w:rPr>
          <w:bCs/>
          <w:color w:val="000000"/>
          <w:sz w:val="26"/>
          <w:szCs w:val="26"/>
        </w:rPr>
        <w:t xml:space="preserve"> Docket No. </w:t>
      </w:r>
      <w:r w:rsidRPr="000E0821">
        <w:rPr>
          <w:bCs/>
          <w:color w:val="000000"/>
          <w:sz w:val="26"/>
          <w:szCs w:val="26"/>
        </w:rPr>
        <w:t>C-2014-2438640</w:t>
      </w:r>
      <w:r>
        <w:rPr>
          <w:bCs/>
          <w:color w:val="000000"/>
          <w:sz w:val="26"/>
          <w:szCs w:val="26"/>
        </w:rPr>
        <w:t xml:space="preserve"> (</w:t>
      </w:r>
      <w:r w:rsidRPr="0018116F">
        <w:rPr>
          <w:bCs/>
          <w:color w:val="000000"/>
          <w:sz w:val="26"/>
          <w:szCs w:val="26"/>
        </w:rPr>
        <w:t>November 17 Order</w:t>
      </w:r>
      <w:r>
        <w:rPr>
          <w:bCs/>
          <w:i/>
          <w:color w:val="000000"/>
          <w:sz w:val="26"/>
          <w:szCs w:val="26"/>
        </w:rPr>
        <w:t>)</w:t>
      </w:r>
      <w:r>
        <w:rPr>
          <w:bCs/>
          <w:color w:val="000000"/>
          <w:sz w:val="26"/>
          <w:szCs w:val="26"/>
        </w:rPr>
        <w:t xml:space="preserve">. </w:t>
      </w:r>
    </w:p>
  </w:footnote>
  <w:footnote w:id="6">
    <w:p w:rsidR="00F01D00" w:rsidRPr="00D318E0" w:rsidRDefault="00F01D00" w:rsidP="00D318E0">
      <w:pPr>
        <w:pStyle w:val="FootnoteText"/>
        <w:ind w:firstLine="720"/>
        <w:rPr>
          <w:sz w:val="26"/>
          <w:szCs w:val="26"/>
        </w:rPr>
      </w:pPr>
      <w:r>
        <w:rPr>
          <w:rStyle w:val="FootnoteReference"/>
        </w:rPr>
        <w:footnoteRef/>
      </w:r>
      <w:r>
        <w:t xml:space="preserve"> </w:t>
      </w:r>
      <w:r>
        <w:tab/>
      </w:r>
      <w:r w:rsidRPr="00D318E0">
        <w:rPr>
          <w:sz w:val="26"/>
          <w:szCs w:val="26"/>
        </w:rPr>
        <w:t xml:space="preserve">52 Pa. Code </w:t>
      </w:r>
      <w:r>
        <w:rPr>
          <w:sz w:val="26"/>
          <w:szCs w:val="26"/>
        </w:rPr>
        <w:t xml:space="preserve">§ </w:t>
      </w:r>
      <w:r w:rsidRPr="00D318E0">
        <w:rPr>
          <w:sz w:val="26"/>
          <w:szCs w:val="26"/>
        </w:rPr>
        <w:t>5.81(a), states: “The Commission or presiding officer, with or without motion, may order proceedings involving a common question of law or fact to be consolidated. The Commission or presiding officer may make orders concerning the conduct of the proceeding as may avoid unnecessary costs or delay.</w:t>
      </w:r>
      <w:r>
        <w:rPr>
          <w:sz w:val="26"/>
          <w:szCs w:val="26"/>
        </w:rPr>
        <w:t>”</w:t>
      </w:r>
    </w:p>
  </w:footnote>
  <w:footnote w:id="7">
    <w:p w:rsidR="00A2471F" w:rsidRPr="0004459F" w:rsidRDefault="00A2471F" w:rsidP="00A2471F">
      <w:pPr>
        <w:rPr>
          <w:sz w:val="26"/>
          <w:szCs w:val="26"/>
        </w:rPr>
      </w:pPr>
      <w:r>
        <w:tab/>
      </w:r>
      <w:r w:rsidRPr="0004459F">
        <w:rPr>
          <w:rStyle w:val="FootnoteReference"/>
        </w:rPr>
        <w:footnoteRef/>
      </w:r>
      <w:r w:rsidRPr="0004459F">
        <w:t xml:space="preserve"> </w:t>
      </w:r>
      <w:r w:rsidRPr="0004459F">
        <w:tab/>
      </w:r>
      <w:r w:rsidRPr="0004459F">
        <w:rPr>
          <w:sz w:val="26"/>
          <w:szCs w:val="26"/>
        </w:rPr>
        <w:t>Our rules governing interlocutory review found at 52 Pa. Code §§ 5.301-5.303, replaced rules that formerly governed interlocutory review which were found at 52 Pa. Code § 3.191.  The Commission’s past holdings under the former rules regarding the requisite criteria for interlocutory review are still valid.  69 Pa. P.U.C. at 468-469.</w:t>
      </w:r>
    </w:p>
    <w:p w:rsidR="00A2471F" w:rsidRDefault="00A2471F" w:rsidP="00A2471F">
      <w:pPr>
        <w:pStyle w:val="FootnoteText"/>
      </w:pPr>
    </w:p>
  </w:footnote>
  <w:footnote w:id="8">
    <w:p w:rsidR="00F01D00" w:rsidRDefault="00F01D00" w:rsidP="00C55F70">
      <w:pPr>
        <w:pStyle w:val="FootnoteText"/>
        <w:ind w:firstLine="720"/>
      </w:pPr>
      <w:r>
        <w:rPr>
          <w:rStyle w:val="FootnoteReference"/>
        </w:rPr>
        <w:footnoteRef/>
      </w:r>
      <w:r>
        <w:t xml:space="preserve"> </w:t>
      </w:r>
      <w:r>
        <w:tab/>
      </w:r>
      <w:r w:rsidRPr="00C55F70">
        <w:rPr>
          <w:sz w:val="26"/>
          <w:szCs w:val="26"/>
        </w:rPr>
        <w:t>“</w:t>
      </w:r>
      <w:r>
        <w:rPr>
          <w:sz w:val="26"/>
          <w:szCs w:val="26"/>
        </w:rPr>
        <w:t>Prices Not Conforming to Disclosure Statement.”</w:t>
      </w:r>
    </w:p>
  </w:footnote>
  <w:footnote w:id="9">
    <w:p w:rsidR="00F01D00" w:rsidRPr="00B02B91" w:rsidRDefault="00F01D00" w:rsidP="00B02B91">
      <w:pPr>
        <w:pStyle w:val="FootnoteText"/>
        <w:ind w:firstLine="720"/>
        <w:rPr>
          <w:sz w:val="26"/>
          <w:szCs w:val="26"/>
        </w:rPr>
      </w:pPr>
      <w:r>
        <w:rPr>
          <w:rStyle w:val="FootnoteReference"/>
        </w:rPr>
        <w:footnoteRef/>
      </w:r>
      <w:r>
        <w:t xml:space="preserve"> </w:t>
      </w:r>
      <w:r>
        <w:tab/>
      </w:r>
      <w:r w:rsidR="00537CE3" w:rsidRPr="0018116F">
        <w:rPr>
          <w:sz w:val="26"/>
          <w:szCs w:val="26"/>
        </w:rPr>
        <w:t>The</w:t>
      </w:r>
      <w:r w:rsidR="00537CE3">
        <w:t xml:space="preserve"> </w:t>
      </w:r>
      <w:r w:rsidRPr="00B02B91">
        <w:rPr>
          <w:sz w:val="26"/>
          <w:szCs w:val="26"/>
        </w:rPr>
        <w:t>Pennsylvania</w:t>
      </w:r>
      <w:r>
        <w:rPr>
          <w:sz w:val="26"/>
          <w:szCs w:val="26"/>
        </w:rPr>
        <w:t>,</w:t>
      </w:r>
      <w:r w:rsidRPr="00B02B91">
        <w:rPr>
          <w:sz w:val="26"/>
          <w:szCs w:val="26"/>
        </w:rPr>
        <w:t xml:space="preserve"> New Jersey</w:t>
      </w:r>
      <w:r>
        <w:rPr>
          <w:sz w:val="26"/>
          <w:szCs w:val="26"/>
        </w:rPr>
        <w:t>,</w:t>
      </w:r>
      <w:r w:rsidRPr="00B02B91">
        <w:rPr>
          <w:sz w:val="26"/>
          <w:szCs w:val="26"/>
        </w:rPr>
        <w:t xml:space="preserve"> Maryland</w:t>
      </w:r>
      <w:r>
        <w:rPr>
          <w:sz w:val="26"/>
          <w:szCs w:val="26"/>
        </w:rPr>
        <w:t xml:space="preserve"> Regional Transmission Organization (RTO). </w:t>
      </w:r>
      <w:r w:rsidRPr="00B02B91">
        <w:rPr>
          <w:sz w:val="26"/>
          <w:szCs w:val="26"/>
        </w:rPr>
        <w:t xml:space="preserve"> </w:t>
      </w:r>
    </w:p>
  </w:footnote>
  <w:footnote w:id="10">
    <w:p w:rsidR="00F01D00" w:rsidRPr="006870D1" w:rsidRDefault="00F01D00" w:rsidP="0082069B">
      <w:pPr>
        <w:pStyle w:val="FootnoteText"/>
        <w:ind w:firstLine="720"/>
        <w:rPr>
          <w:sz w:val="26"/>
          <w:szCs w:val="26"/>
        </w:rPr>
      </w:pPr>
      <w:r>
        <w:rPr>
          <w:rStyle w:val="FootnoteReference"/>
        </w:rPr>
        <w:footnoteRef/>
      </w:r>
      <w:r>
        <w:t xml:space="preserve"> </w:t>
      </w:r>
      <w:r>
        <w:tab/>
      </w:r>
      <w:r w:rsidRPr="006870D1">
        <w:rPr>
          <w:sz w:val="26"/>
          <w:szCs w:val="26"/>
        </w:rPr>
        <w:t xml:space="preserve">The relevant regulations include 52 Pa. Code § 54.43(f) and 52 Pa. Code </w:t>
      </w:r>
      <w:r>
        <w:rPr>
          <w:sz w:val="26"/>
          <w:szCs w:val="26"/>
        </w:rPr>
        <w:br/>
      </w:r>
      <w:r w:rsidRPr="006870D1">
        <w:rPr>
          <w:sz w:val="26"/>
          <w:szCs w:val="26"/>
        </w:rPr>
        <w:t>§ 111.12(d)(1).</w:t>
      </w:r>
    </w:p>
  </w:footnote>
  <w:footnote w:id="11">
    <w:p w:rsidR="00F01D00" w:rsidRPr="00C24AB6" w:rsidRDefault="00F01D00" w:rsidP="0082069B">
      <w:pPr>
        <w:pStyle w:val="FootnoteText"/>
        <w:ind w:firstLine="720"/>
        <w:rPr>
          <w:sz w:val="26"/>
          <w:szCs w:val="26"/>
        </w:rPr>
      </w:pPr>
      <w:r>
        <w:rPr>
          <w:rStyle w:val="FootnoteReference"/>
        </w:rPr>
        <w:footnoteRef/>
      </w:r>
      <w:r>
        <w:t xml:space="preserve"> </w:t>
      </w:r>
      <w:r>
        <w:tab/>
      </w:r>
      <w:r w:rsidRPr="00C24AB6">
        <w:rPr>
          <w:sz w:val="26"/>
          <w:szCs w:val="26"/>
        </w:rPr>
        <w:t>The relevant regulation is 52 Pa. Code § 111.10, which is applicable to residential customers only.  This regulation requires EGSs to comply with the TRA, except for the registration requirement.  Thus, as one example, EGSs are required under the Commission’s telemarketing regulations to co</w:t>
      </w:r>
      <w:r>
        <w:rPr>
          <w:sz w:val="26"/>
          <w:szCs w:val="26"/>
        </w:rPr>
        <w:t>m</w:t>
      </w:r>
      <w:r w:rsidRPr="00C24AB6">
        <w:rPr>
          <w:sz w:val="26"/>
          <w:szCs w:val="26"/>
        </w:rPr>
        <w:t>ply with the TRA provisions governing state/federal “Do Not Call” lists.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
    <w:nsid w:val="450E61BF"/>
    <w:multiLevelType w:val="hybridMultilevel"/>
    <w:tmpl w:val="CA7477B8"/>
    <w:lvl w:ilvl="0" w:tplc="50F4FC0A">
      <w:start w:val="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4666047D"/>
    <w:multiLevelType w:val="hybridMultilevel"/>
    <w:tmpl w:val="BB38DECC"/>
    <w:lvl w:ilvl="0" w:tplc="5B786D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7E02A99"/>
    <w:multiLevelType w:val="hybridMultilevel"/>
    <w:tmpl w:val="86D4123C"/>
    <w:lvl w:ilvl="0" w:tplc="E6FE4ADE">
      <w:start w:val="2"/>
      <w:numFmt w:val="bullet"/>
      <w:lvlText w:val=""/>
      <w:lvlJc w:val="left"/>
      <w:pPr>
        <w:ind w:left="2460" w:hanging="360"/>
      </w:pPr>
      <w:rPr>
        <w:rFonts w:ascii="Symbol" w:eastAsia="Times New Roman" w:hAnsi="Symbol" w:cs="Times New Roman"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4">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9982ABE"/>
    <w:multiLevelType w:val="hybridMultilevel"/>
    <w:tmpl w:val="47063392"/>
    <w:lvl w:ilvl="0" w:tplc="4D38E1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55175E7"/>
    <w:multiLevelType w:val="hybridMultilevel"/>
    <w:tmpl w:val="7804ACCE"/>
    <w:lvl w:ilvl="0" w:tplc="3184F5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8CE4AF3"/>
    <w:multiLevelType w:val="hybridMultilevel"/>
    <w:tmpl w:val="FFE2052A"/>
    <w:lvl w:ilvl="0" w:tplc="2960CD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5"/>
  </w:num>
  <w:num w:numId="3">
    <w:abstractNumId w:val="4"/>
  </w:num>
  <w:num w:numId="4">
    <w:abstractNumId w:val="1"/>
  </w:num>
  <w:num w:numId="5">
    <w:abstractNumId w:val="3"/>
  </w:num>
  <w:num w:numId="6">
    <w:abstractNumId w:val="7"/>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753"/>
    <w:rsid w:val="000330C6"/>
    <w:rsid w:val="00050DD5"/>
    <w:rsid w:val="00051595"/>
    <w:rsid w:val="00063213"/>
    <w:rsid w:val="0006536E"/>
    <w:rsid w:val="000714FC"/>
    <w:rsid w:val="00077500"/>
    <w:rsid w:val="00090499"/>
    <w:rsid w:val="000914D6"/>
    <w:rsid w:val="00097C95"/>
    <w:rsid w:val="000A0A51"/>
    <w:rsid w:val="000A40DB"/>
    <w:rsid w:val="000D0D34"/>
    <w:rsid w:val="000E0821"/>
    <w:rsid w:val="000E5A3F"/>
    <w:rsid w:val="001011E8"/>
    <w:rsid w:val="00104C04"/>
    <w:rsid w:val="00106499"/>
    <w:rsid w:val="00111D05"/>
    <w:rsid w:val="00115971"/>
    <w:rsid w:val="0014247D"/>
    <w:rsid w:val="00143092"/>
    <w:rsid w:val="001557DB"/>
    <w:rsid w:val="001621FF"/>
    <w:rsid w:val="00163152"/>
    <w:rsid w:val="00163577"/>
    <w:rsid w:val="0017584B"/>
    <w:rsid w:val="0018116F"/>
    <w:rsid w:val="001856E2"/>
    <w:rsid w:val="001903D3"/>
    <w:rsid w:val="001C37B9"/>
    <w:rsid w:val="001C50B3"/>
    <w:rsid w:val="001C5507"/>
    <w:rsid w:val="001D4002"/>
    <w:rsid w:val="001D6055"/>
    <w:rsid w:val="001D6692"/>
    <w:rsid w:val="001E27E6"/>
    <w:rsid w:val="001E58A1"/>
    <w:rsid w:val="001F36F7"/>
    <w:rsid w:val="001F4913"/>
    <w:rsid w:val="00200E54"/>
    <w:rsid w:val="00212F68"/>
    <w:rsid w:val="002241D0"/>
    <w:rsid w:val="002333E1"/>
    <w:rsid w:val="00243007"/>
    <w:rsid w:val="00255362"/>
    <w:rsid w:val="002708D0"/>
    <w:rsid w:val="00277102"/>
    <w:rsid w:val="00287FEA"/>
    <w:rsid w:val="002911FD"/>
    <w:rsid w:val="00291EF5"/>
    <w:rsid w:val="00292397"/>
    <w:rsid w:val="00295081"/>
    <w:rsid w:val="002A4A4B"/>
    <w:rsid w:val="002C0DE3"/>
    <w:rsid w:val="002C7EFF"/>
    <w:rsid w:val="002D5E4D"/>
    <w:rsid w:val="002F26F0"/>
    <w:rsid w:val="003001DB"/>
    <w:rsid w:val="00300BF3"/>
    <w:rsid w:val="003054E8"/>
    <w:rsid w:val="00305C4F"/>
    <w:rsid w:val="00306879"/>
    <w:rsid w:val="00314B9A"/>
    <w:rsid w:val="00322AA4"/>
    <w:rsid w:val="0032457E"/>
    <w:rsid w:val="00327640"/>
    <w:rsid w:val="00327853"/>
    <w:rsid w:val="00336E60"/>
    <w:rsid w:val="00354D5E"/>
    <w:rsid w:val="00371238"/>
    <w:rsid w:val="00381199"/>
    <w:rsid w:val="0039194B"/>
    <w:rsid w:val="003A6966"/>
    <w:rsid w:val="003B06D6"/>
    <w:rsid w:val="00414AB5"/>
    <w:rsid w:val="00416012"/>
    <w:rsid w:val="004236EE"/>
    <w:rsid w:val="00433C46"/>
    <w:rsid w:val="00436E0D"/>
    <w:rsid w:val="0046195E"/>
    <w:rsid w:val="00464A26"/>
    <w:rsid w:val="00465949"/>
    <w:rsid w:val="00472E2A"/>
    <w:rsid w:val="00484AD9"/>
    <w:rsid w:val="00493E4F"/>
    <w:rsid w:val="004A0F4F"/>
    <w:rsid w:val="004A6658"/>
    <w:rsid w:val="004C32C6"/>
    <w:rsid w:val="004F71B5"/>
    <w:rsid w:val="005001EE"/>
    <w:rsid w:val="00500A25"/>
    <w:rsid w:val="005014EE"/>
    <w:rsid w:val="00502B2C"/>
    <w:rsid w:val="00507DB5"/>
    <w:rsid w:val="005165C7"/>
    <w:rsid w:val="00516E1E"/>
    <w:rsid w:val="00524589"/>
    <w:rsid w:val="00524753"/>
    <w:rsid w:val="00532F5D"/>
    <w:rsid w:val="005338A1"/>
    <w:rsid w:val="00537CE3"/>
    <w:rsid w:val="0054519C"/>
    <w:rsid w:val="00550FC7"/>
    <w:rsid w:val="005645C8"/>
    <w:rsid w:val="005662A7"/>
    <w:rsid w:val="00566514"/>
    <w:rsid w:val="00572EE8"/>
    <w:rsid w:val="005824F6"/>
    <w:rsid w:val="00582751"/>
    <w:rsid w:val="00583C9F"/>
    <w:rsid w:val="005850B6"/>
    <w:rsid w:val="00590B47"/>
    <w:rsid w:val="005C750E"/>
    <w:rsid w:val="0060539D"/>
    <w:rsid w:val="006067E6"/>
    <w:rsid w:val="006150EE"/>
    <w:rsid w:val="00625BAC"/>
    <w:rsid w:val="0063709F"/>
    <w:rsid w:val="00645748"/>
    <w:rsid w:val="006458E6"/>
    <w:rsid w:val="00646D11"/>
    <w:rsid w:val="00652558"/>
    <w:rsid w:val="00654714"/>
    <w:rsid w:val="006565D3"/>
    <w:rsid w:val="00662DC2"/>
    <w:rsid w:val="00664D7F"/>
    <w:rsid w:val="006755BE"/>
    <w:rsid w:val="0068780C"/>
    <w:rsid w:val="006D6AA1"/>
    <w:rsid w:val="006E3981"/>
    <w:rsid w:val="006E3AEB"/>
    <w:rsid w:val="006F4F95"/>
    <w:rsid w:val="006F6670"/>
    <w:rsid w:val="007006CE"/>
    <w:rsid w:val="00701B2B"/>
    <w:rsid w:val="00712952"/>
    <w:rsid w:val="00715DF6"/>
    <w:rsid w:val="007175F2"/>
    <w:rsid w:val="007274CC"/>
    <w:rsid w:val="00732BD1"/>
    <w:rsid w:val="00733764"/>
    <w:rsid w:val="00735BA2"/>
    <w:rsid w:val="0073629D"/>
    <w:rsid w:val="00743B2A"/>
    <w:rsid w:val="00760078"/>
    <w:rsid w:val="007740D1"/>
    <w:rsid w:val="00774ED3"/>
    <w:rsid w:val="00776C5B"/>
    <w:rsid w:val="00776ED4"/>
    <w:rsid w:val="00781E2A"/>
    <w:rsid w:val="00793D68"/>
    <w:rsid w:val="00796BC2"/>
    <w:rsid w:val="007A52A9"/>
    <w:rsid w:val="007C70A1"/>
    <w:rsid w:val="007D20CB"/>
    <w:rsid w:val="007D3F34"/>
    <w:rsid w:val="007D67D6"/>
    <w:rsid w:val="007F7593"/>
    <w:rsid w:val="00812AD9"/>
    <w:rsid w:val="0082069B"/>
    <w:rsid w:val="008363EE"/>
    <w:rsid w:val="0084171A"/>
    <w:rsid w:val="00870431"/>
    <w:rsid w:val="0088133D"/>
    <w:rsid w:val="00882D75"/>
    <w:rsid w:val="008849CD"/>
    <w:rsid w:val="00886710"/>
    <w:rsid w:val="0089725A"/>
    <w:rsid w:val="00897BF2"/>
    <w:rsid w:val="008A2688"/>
    <w:rsid w:val="008C2847"/>
    <w:rsid w:val="008D351A"/>
    <w:rsid w:val="008D5134"/>
    <w:rsid w:val="008E3060"/>
    <w:rsid w:val="008F17E9"/>
    <w:rsid w:val="008F27DF"/>
    <w:rsid w:val="008F7AD0"/>
    <w:rsid w:val="00904411"/>
    <w:rsid w:val="00907268"/>
    <w:rsid w:val="009111D2"/>
    <w:rsid w:val="009141CF"/>
    <w:rsid w:val="00916420"/>
    <w:rsid w:val="00917232"/>
    <w:rsid w:val="00936B6C"/>
    <w:rsid w:val="009551A0"/>
    <w:rsid w:val="0096099A"/>
    <w:rsid w:val="00990030"/>
    <w:rsid w:val="009976D2"/>
    <w:rsid w:val="009C05A2"/>
    <w:rsid w:val="009C54CB"/>
    <w:rsid w:val="009D0A09"/>
    <w:rsid w:val="009F77A7"/>
    <w:rsid w:val="00A2471F"/>
    <w:rsid w:val="00A24C87"/>
    <w:rsid w:val="00A34BEC"/>
    <w:rsid w:val="00A364FE"/>
    <w:rsid w:val="00A373E2"/>
    <w:rsid w:val="00A40F77"/>
    <w:rsid w:val="00A50920"/>
    <w:rsid w:val="00A5638E"/>
    <w:rsid w:val="00A612D7"/>
    <w:rsid w:val="00A61D9E"/>
    <w:rsid w:val="00A62020"/>
    <w:rsid w:val="00A634E8"/>
    <w:rsid w:val="00A63AF4"/>
    <w:rsid w:val="00A76761"/>
    <w:rsid w:val="00AB45E3"/>
    <w:rsid w:val="00AB6D55"/>
    <w:rsid w:val="00AC7895"/>
    <w:rsid w:val="00AD166C"/>
    <w:rsid w:val="00AD582C"/>
    <w:rsid w:val="00AE1372"/>
    <w:rsid w:val="00AE61C6"/>
    <w:rsid w:val="00AF7F2A"/>
    <w:rsid w:val="00B02B91"/>
    <w:rsid w:val="00B10044"/>
    <w:rsid w:val="00B17638"/>
    <w:rsid w:val="00B335CB"/>
    <w:rsid w:val="00B34F2B"/>
    <w:rsid w:val="00B5340A"/>
    <w:rsid w:val="00B7702F"/>
    <w:rsid w:val="00B8094F"/>
    <w:rsid w:val="00B81085"/>
    <w:rsid w:val="00B83696"/>
    <w:rsid w:val="00B93126"/>
    <w:rsid w:val="00B93D6A"/>
    <w:rsid w:val="00BB0D7A"/>
    <w:rsid w:val="00BB6C77"/>
    <w:rsid w:val="00BD3FDA"/>
    <w:rsid w:val="00BE3FE6"/>
    <w:rsid w:val="00BE7468"/>
    <w:rsid w:val="00BF625F"/>
    <w:rsid w:val="00BF7A56"/>
    <w:rsid w:val="00C0218C"/>
    <w:rsid w:val="00C021E8"/>
    <w:rsid w:val="00C12A47"/>
    <w:rsid w:val="00C14A9E"/>
    <w:rsid w:val="00C14E14"/>
    <w:rsid w:val="00C1589C"/>
    <w:rsid w:val="00C16B03"/>
    <w:rsid w:val="00C25580"/>
    <w:rsid w:val="00C479FE"/>
    <w:rsid w:val="00C55F70"/>
    <w:rsid w:val="00C562D2"/>
    <w:rsid w:val="00C569AD"/>
    <w:rsid w:val="00C7020B"/>
    <w:rsid w:val="00C935B6"/>
    <w:rsid w:val="00CC17A6"/>
    <w:rsid w:val="00CC1A9A"/>
    <w:rsid w:val="00CC7E09"/>
    <w:rsid w:val="00CD54B5"/>
    <w:rsid w:val="00CD6294"/>
    <w:rsid w:val="00D04F84"/>
    <w:rsid w:val="00D233D1"/>
    <w:rsid w:val="00D318E0"/>
    <w:rsid w:val="00D5148C"/>
    <w:rsid w:val="00D639B1"/>
    <w:rsid w:val="00D63F15"/>
    <w:rsid w:val="00D76A9D"/>
    <w:rsid w:val="00D961BD"/>
    <w:rsid w:val="00DA1F45"/>
    <w:rsid w:val="00DB1082"/>
    <w:rsid w:val="00DC726A"/>
    <w:rsid w:val="00DF13F8"/>
    <w:rsid w:val="00E01EE0"/>
    <w:rsid w:val="00E22354"/>
    <w:rsid w:val="00E22FC1"/>
    <w:rsid w:val="00E56E32"/>
    <w:rsid w:val="00E601B4"/>
    <w:rsid w:val="00E620A3"/>
    <w:rsid w:val="00E77403"/>
    <w:rsid w:val="00E85C41"/>
    <w:rsid w:val="00E9078C"/>
    <w:rsid w:val="00E9254A"/>
    <w:rsid w:val="00E956E1"/>
    <w:rsid w:val="00E9617C"/>
    <w:rsid w:val="00EB40F9"/>
    <w:rsid w:val="00EB4450"/>
    <w:rsid w:val="00ED5B3F"/>
    <w:rsid w:val="00ED6109"/>
    <w:rsid w:val="00EE35E4"/>
    <w:rsid w:val="00F01D00"/>
    <w:rsid w:val="00F50C3B"/>
    <w:rsid w:val="00F66960"/>
    <w:rsid w:val="00F865C9"/>
    <w:rsid w:val="00F87DDA"/>
    <w:rsid w:val="00F91D9D"/>
    <w:rsid w:val="00F95612"/>
    <w:rsid w:val="00FA2042"/>
    <w:rsid w:val="00FC2F88"/>
    <w:rsid w:val="00FC7D40"/>
    <w:rsid w:val="00FE31E3"/>
    <w:rsid w:val="00FE51FB"/>
    <w:rsid w:val="00FF1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753"/>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475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
    <w:name w:val="Footnote Text Char"/>
    <w:aliases w:val="fn Char1,ALTS FOOTNOTE Char,Footnote Text 2 Char,Footnote text Char,FOOTNOTE Char,fn Char Char Char,fn Char Char1"/>
    <w:basedOn w:val="DefaultParagraphFont"/>
    <w:link w:val="FootnoteText"/>
    <w:uiPriority w:val="99"/>
    <w:locked/>
    <w:rsid w:val="002A4A4B"/>
    <w:rPr>
      <w:rFonts w:ascii="Times New Roman" w:eastAsia="Times New Roman" w:hAnsi="Times New Roman" w:cs="Times New Roman"/>
      <w:sz w:val="20"/>
      <w:szCs w:val="20"/>
    </w:rPr>
  </w:style>
  <w:style w:type="paragraph" w:styleId="FootnoteText">
    <w:name w:val="footnote text"/>
    <w:aliases w:val="fn,ALTS FOOTNOTE,Footnote Text 2,Footnote text,FOOTNOTE,fn Char Char,fn Char"/>
    <w:basedOn w:val="Normal"/>
    <w:link w:val="FootnoteTextChar"/>
    <w:uiPriority w:val="99"/>
    <w:unhideWhenUsed/>
    <w:rsid w:val="002A4A4B"/>
  </w:style>
  <w:style w:type="character" w:customStyle="1" w:styleId="FootnoteTextChar1">
    <w:name w:val="Footnote Text Char1"/>
    <w:basedOn w:val="DefaultParagraphFont"/>
    <w:uiPriority w:val="99"/>
    <w:semiHidden/>
    <w:rsid w:val="002A4A4B"/>
    <w:rPr>
      <w:rFonts w:ascii="Times New Roman" w:eastAsia="Times New Roman" w:hAnsi="Times New Roman" w:cs="Times New Roman"/>
      <w:sz w:val="20"/>
      <w:szCs w:val="20"/>
    </w:rPr>
  </w:style>
  <w:style w:type="character" w:styleId="FootnoteReference">
    <w:name w:val="footnote reference"/>
    <w:basedOn w:val="DefaultParagraphFont"/>
    <w:unhideWhenUsed/>
    <w:rsid w:val="002A4A4B"/>
    <w:rPr>
      <w:vertAlign w:val="superscript"/>
    </w:rPr>
  </w:style>
  <w:style w:type="paragraph" w:customStyle="1" w:styleId="Style">
    <w:name w:val="Style"/>
    <w:rsid w:val="0060539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4519C"/>
    <w:pPr>
      <w:ind w:left="720"/>
      <w:contextualSpacing/>
    </w:pPr>
  </w:style>
  <w:style w:type="paragraph" w:styleId="Header">
    <w:name w:val="header"/>
    <w:basedOn w:val="Normal"/>
    <w:link w:val="HeaderChar"/>
    <w:uiPriority w:val="99"/>
    <w:unhideWhenUsed/>
    <w:rsid w:val="00662DC2"/>
    <w:pPr>
      <w:tabs>
        <w:tab w:val="center" w:pos="4680"/>
        <w:tab w:val="right" w:pos="9360"/>
      </w:tabs>
    </w:pPr>
  </w:style>
  <w:style w:type="character" w:customStyle="1" w:styleId="HeaderChar">
    <w:name w:val="Header Char"/>
    <w:basedOn w:val="DefaultParagraphFont"/>
    <w:link w:val="Header"/>
    <w:uiPriority w:val="99"/>
    <w:rsid w:val="00662DC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62DC2"/>
    <w:pPr>
      <w:tabs>
        <w:tab w:val="center" w:pos="4680"/>
        <w:tab w:val="right" w:pos="9360"/>
      </w:tabs>
    </w:pPr>
  </w:style>
  <w:style w:type="character" w:customStyle="1" w:styleId="FooterChar">
    <w:name w:val="Footer Char"/>
    <w:basedOn w:val="DefaultParagraphFont"/>
    <w:link w:val="Footer"/>
    <w:uiPriority w:val="99"/>
    <w:rsid w:val="00662DC2"/>
    <w:rPr>
      <w:rFonts w:ascii="Times New Roman" w:eastAsia="Times New Roman" w:hAnsi="Times New Roman" w:cs="Times New Roman"/>
      <w:sz w:val="20"/>
      <w:szCs w:val="20"/>
    </w:rPr>
  </w:style>
  <w:style w:type="paragraph" w:styleId="NoSpacing">
    <w:name w:val="No Spacing"/>
    <w:uiPriority w:val="1"/>
    <w:qFormat/>
    <w:rsid w:val="00904411"/>
    <w:pPr>
      <w:widowControl w:val="0"/>
      <w:spacing w:after="0" w:line="240" w:lineRule="auto"/>
    </w:pPr>
    <w:rPr>
      <w:rFonts w:ascii="Times New Roman" w:eastAsia="Times New Roman" w:hAnsi="Times New Roman" w:cs="Times New Roman"/>
      <w:sz w:val="20"/>
      <w:szCs w:val="20"/>
    </w:rPr>
  </w:style>
  <w:style w:type="character" w:customStyle="1" w:styleId="term1">
    <w:name w:val="term1"/>
    <w:basedOn w:val="DefaultParagraphFont"/>
    <w:rsid w:val="00A76761"/>
    <w:rPr>
      <w:b/>
      <w:bCs/>
    </w:rPr>
  </w:style>
  <w:style w:type="paragraph" w:styleId="BalloonText">
    <w:name w:val="Balloon Text"/>
    <w:basedOn w:val="Normal"/>
    <w:link w:val="BalloonTextChar"/>
    <w:uiPriority w:val="99"/>
    <w:semiHidden/>
    <w:unhideWhenUsed/>
    <w:rsid w:val="002333E1"/>
    <w:rPr>
      <w:rFonts w:ascii="Tahoma" w:hAnsi="Tahoma" w:cs="Tahoma"/>
      <w:sz w:val="16"/>
      <w:szCs w:val="16"/>
    </w:rPr>
  </w:style>
  <w:style w:type="character" w:customStyle="1" w:styleId="BalloonTextChar">
    <w:name w:val="Balloon Text Char"/>
    <w:basedOn w:val="DefaultParagraphFont"/>
    <w:link w:val="BalloonText"/>
    <w:uiPriority w:val="99"/>
    <w:semiHidden/>
    <w:rsid w:val="002333E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63577"/>
    <w:rPr>
      <w:sz w:val="16"/>
      <w:szCs w:val="16"/>
    </w:rPr>
  </w:style>
  <w:style w:type="paragraph" w:styleId="CommentText">
    <w:name w:val="annotation text"/>
    <w:basedOn w:val="Normal"/>
    <w:link w:val="CommentTextChar"/>
    <w:uiPriority w:val="99"/>
    <w:semiHidden/>
    <w:unhideWhenUsed/>
    <w:rsid w:val="00163577"/>
  </w:style>
  <w:style w:type="character" w:customStyle="1" w:styleId="CommentTextChar">
    <w:name w:val="Comment Text Char"/>
    <w:basedOn w:val="DefaultParagraphFont"/>
    <w:link w:val="CommentText"/>
    <w:uiPriority w:val="99"/>
    <w:semiHidden/>
    <w:rsid w:val="001635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3577"/>
    <w:rPr>
      <w:b/>
      <w:bCs/>
    </w:rPr>
  </w:style>
  <w:style w:type="character" w:customStyle="1" w:styleId="CommentSubjectChar">
    <w:name w:val="Comment Subject Char"/>
    <w:basedOn w:val="CommentTextChar"/>
    <w:link w:val="CommentSubject"/>
    <w:uiPriority w:val="99"/>
    <w:semiHidden/>
    <w:rsid w:val="00163577"/>
    <w:rPr>
      <w:rFonts w:ascii="Times New Roman" w:eastAsia="Times New Roman" w:hAnsi="Times New Roman" w:cs="Times New Roman"/>
      <w:b/>
      <w:bCs/>
      <w:sz w:val="20"/>
      <w:szCs w:val="20"/>
    </w:rPr>
  </w:style>
  <w:style w:type="paragraph" w:styleId="Revision">
    <w:name w:val="Revision"/>
    <w:hidden/>
    <w:uiPriority w:val="99"/>
    <w:semiHidden/>
    <w:rsid w:val="00163577"/>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753"/>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475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
    <w:name w:val="Footnote Text Char"/>
    <w:aliases w:val="fn Char1,ALTS FOOTNOTE Char,Footnote Text 2 Char,Footnote text Char,FOOTNOTE Char,fn Char Char Char,fn Char Char1"/>
    <w:basedOn w:val="DefaultParagraphFont"/>
    <w:link w:val="FootnoteText"/>
    <w:uiPriority w:val="99"/>
    <w:locked/>
    <w:rsid w:val="002A4A4B"/>
    <w:rPr>
      <w:rFonts w:ascii="Times New Roman" w:eastAsia="Times New Roman" w:hAnsi="Times New Roman" w:cs="Times New Roman"/>
      <w:sz w:val="20"/>
      <w:szCs w:val="20"/>
    </w:rPr>
  </w:style>
  <w:style w:type="paragraph" w:styleId="FootnoteText">
    <w:name w:val="footnote text"/>
    <w:aliases w:val="fn,ALTS FOOTNOTE,Footnote Text 2,Footnote text,FOOTNOTE,fn Char Char,fn Char"/>
    <w:basedOn w:val="Normal"/>
    <w:link w:val="FootnoteTextChar"/>
    <w:uiPriority w:val="99"/>
    <w:unhideWhenUsed/>
    <w:rsid w:val="002A4A4B"/>
  </w:style>
  <w:style w:type="character" w:customStyle="1" w:styleId="FootnoteTextChar1">
    <w:name w:val="Footnote Text Char1"/>
    <w:basedOn w:val="DefaultParagraphFont"/>
    <w:uiPriority w:val="99"/>
    <w:semiHidden/>
    <w:rsid w:val="002A4A4B"/>
    <w:rPr>
      <w:rFonts w:ascii="Times New Roman" w:eastAsia="Times New Roman" w:hAnsi="Times New Roman" w:cs="Times New Roman"/>
      <w:sz w:val="20"/>
      <w:szCs w:val="20"/>
    </w:rPr>
  </w:style>
  <w:style w:type="character" w:styleId="FootnoteReference">
    <w:name w:val="footnote reference"/>
    <w:basedOn w:val="DefaultParagraphFont"/>
    <w:unhideWhenUsed/>
    <w:rsid w:val="002A4A4B"/>
    <w:rPr>
      <w:vertAlign w:val="superscript"/>
    </w:rPr>
  </w:style>
  <w:style w:type="paragraph" w:customStyle="1" w:styleId="Style">
    <w:name w:val="Style"/>
    <w:rsid w:val="0060539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4519C"/>
    <w:pPr>
      <w:ind w:left="720"/>
      <w:contextualSpacing/>
    </w:pPr>
  </w:style>
  <w:style w:type="paragraph" w:styleId="Header">
    <w:name w:val="header"/>
    <w:basedOn w:val="Normal"/>
    <w:link w:val="HeaderChar"/>
    <w:uiPriority w:val="99"/>
    <w:unhideWhenUsed/>
    <w:rsid w:val="00662DC2"/>
    <w:pPr>
      <w:tabs>
        <w:tab w:val="center" w:pos="4680"/>
        <w:tab w:val="right" w:pos="9360"/>
      </w:tabs>
    </w:pPr>
  </w:style>
  <w:style w:type="character" w:customStyle="1" w:styleId="HeaderChar">
    <w:name w:val="Header Char"/>
    <w:basedOn w:val="DefaultParagraphFont"/>
    <w:link w:val="Header"/>
    <w:uiPriority w:val="99"/>
    <w:rsid w:val="00662DC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62DC2"/>
    <w:pPr>
      <w:tabs>
        <w:tab w:val="center" w:pos="4680"/>
        <w:tab w:val="right" w:pos="9360"/>
      </w:tabs>
    </w:pPr>
  </w:style>
  <w:style w:type="character" w:customStyle="1" w:styleId="FooterChar">
    <w:name w:val="Footer Char"/>
    <w:basedOn w:val="DefaultParagraphFont"/>
    <w:link w:val="Footer"/>
    <w:uiPriority w:val="99"/>
    <w:rsid w:val="00662DC2"/>
    <w:rPr>
      <w:rFonts w:ascii="Times New Roman" w:eastAsia="Times New Roman" w:hAnsi="Times New Roman" w:cs="Times New Roman"/>
      <w:sz w:val="20"/>
      <w:szCs w:val="20"/>
    </w:rPr>
  </w:style>
  <w:style w:type="paragraph" w:styleId="NoSpacing">
    <w:name w:val="No Spacing"/>
    <w:uiPriority w:val="1"/>
    <w:qFormat/>
    <w:rsid w:val="00904411"/>
    <w:pPr>
      <w:widowControl w:val="0"/>
      <w:spacing w:after="0" w:line="240" w:lineRule="auto"/>
    </w:pPr>
    <w:rPr>
      <w:rFonts w:ascii="Times New Roman" w:eastAsia="Times New Roman" w:hAnsi="Times New Roman" w:cs="Times New Roman"/>
      <w:sz w:val="20"/>
      <w:szCs w:val="20"/>
    </w:rPr>
  </w:style>
  <w:style w:type="character" w:customStyle="1" w:styleId="term1">
    <w:name w:val="term1"/>
    <w:basedOn w:val="DefaultParagraphFont"/>
    <w:rsid w:val="00A76761"/>
    <w:rPr>
      <w:b/>
      <w:bCs/>
    </w:rPr>
  </w:style>
  <w:style w:type="paragraph" w:styleId="BalloonText">
    <w:name w:val="Balloon Text"/>
    <w:basedOn w:val="Normal"/>
    <w:link w:val="BalloonTextChar"/>
    <w:uiPriority w:val="99"/>
    <w:semiHidden/>
    <w:unhideWhenUsed/>
    <w:rsid w:val="002333E1"/>
    <w:rPr>
      <w:rFonts w:ascii="Tahoma" w:hAnsi="Tahoma" w:cs="Tahoma"/>
      <w:sz w:val="16"/>
      <w:szCs w:val="16"/>
    </w:rPr>
  </w:style>
  <w:style w:type="character" w:customStyle="1" w:styleId="BalloonTextChar">
    <w:name w:val="Balloon Text Char"/>
    <w:basedOn w:val="DefaultParagraphFont"/>
    <w:link w:val="BalloonText"/>
    <w:uiPriority w:val="99"/>
    <w:semiHidden/>
    <w:rsid w:val="002333E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63577"/>
    <w:rPr>
      <w:sz w:val="16"/>
      <w:szCs w:val="16"/>
    </w:rPr>
  </w:style>
  <w:style w:type="paragraph" w:styleId="CommentText">
    <w:name w:val="annotation text"/>
    <w:basedOn w:val="Normal"/>
    <w:link w:val="CommentTextChar"/>
    <w:uiPriority w:val="99"/>
    <w:semiHidden/>
    <w:unhideWhenUsed/>
    <w:rsid w:val="00163577"/>
  </w:style>
  <w:style w:type="character" w:customStyle="1" w:styleId="CommentTextChar">
    <w:name w:val="Comment Text Char"/>
    <w:basedOn w:val="DefaultParagraphFont"/>
    <w:link w:val="CommentText"/>
    <w:uiPriority w:val="99"/>
    <w:semiHidden/>
    <w:rsid w:val="001635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3577"/>
    <w:rPr>
      <w:b/>
      <w:bCs/>
    </w:rPr>
  </w:style>
  <w:style w:type="character" w:customStyle="1" w:styleId="CommentSubjectChar">
    <w:name w:val="Comment Subject Char"/>
    <w:basedOn w:val="CommentTextChar"/>
    <w:link w:val="CommentSubject"/>
    <w:uiPriority w:val="99"/>
    <w:semiHidden/>
    <w:rsid w:val="00163577"/>
    <w:rPr>
      <w:rFonts w:ascii="Times New Roman" w:eastAsia="Times New Roman" w:hAnsi="Times New Roman" w:cs="Times New Roman"/>
      <w:b/>
      <w:bCs/>
      <w:sz w:val="20"/>
      <w:szCs w:val="20"/>
    </w:rPr>
  </w:style>
  <w:style w:type="paragraph" w:styleId="Revision">
    <w:name w:val="Revision"/>
    <w:hidden/>
    <w:uiPriority w:val="99"/>
    <w:semiHidden/>
    <w:rsid w:val="00163577"/>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3CE42-978A-4A40-BF86-EC4B02256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7095</Words>
  <Characters>40444</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47445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Arnold, Phonse</dc:creator>
  <cp:lastModifiedBy>Wagner, Nathan R</cp:lastModifiedBy>
  <cp:revision>3</cp:revision>
  <cp:lastPrinted>2015-03-15T00:44:00Z</cp:lastPrinted>
  <dcterms:created xsi:type="dcterms:W3CDTF">2015-04-07T13:24:00Z</dcterms:created>
  <dcterms:modified xsi:type="dcterms:W3CDTF">2015-04-09T12:41:00Z</dcterms:modified>
</cp:coreProperties>
</file>