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065" w:rsidRPr="000C6065" w:rsidRDefault="000C6065" w:rsidP="000C6065">
      <w:pPr>
        <w:tabs>
          <w:tab w:val="clear" w:pos="1440"/>
          <w:tab w:val="left" w:pos="360"/>
        </w:tabs>
        <w:spacing w:after="0" w:line="233" w:lineRule="auto"/>
        <w:jc w:val="center"/>
        <w:rPr>
          <w:rFonts w:eastAsia="SimSun"/>
          <w:b/>
        </w:rPr>
      </w:pPr>
      <w:r w:rsidRPr="000C6065">
        <w:rPr>
          <w:rFonts w:eastAsia="SimSun"/>
          <w:b/>
        </w:rPr>
        <w:t>BEFORE THE</w:t>
      </w:r>
    </w:p>
    <w:p w:rsidR="000C6065" w:rsidRPr="000C6065" w:rsidRDefault="000C6065" w:rsidP="000C6065">
      <w:pPr>
        <w:tabs>
          <w:tab w:val="clear" w:pos="1440"/>
          <w:tab w:val="left" w:pos="360"/>
        </w:tabs>
        <w:spacing w:after="0" w:line="233" w:lineRule="auto"/>
        <w:jc w:val="center"/>
        <w:rPr>
          <w:rFonts w:eastAsia="SimSun"/>
          <w:b/>
        </w:rPr>
      </w:pPr>
      <w:smartTag w:uri="urn:schemas-microsoft-com:office:smarttags" w:element="place">
        <w:smartTag w:uri="urn:schemas-microsoft-com:office:smarttags" w:element="State">
          <w:r w:rsidRPr="000C6065">
            <w:rPr>
              <w:rFonts w:eastAsia="SimSun"/>
              <w:b/>
            </w:rPr>
            <w:t>PENNSYLVANIA</w:t>
          </w:r>
        </w:smartTag>
      </w:smartTag>
      <w:r w:rsidRPr="000C6065">
        <w:rPr>
          <w:rFonts w:eastAsia="SimSun"/>
          <w:b/>
        </w:rPr>
        <w:t xml:space="preserve"> PUBLIC UTILITY COMMISSION</w:t>
      </w:r>
    </w:p>
    <w:p w:rsidR="000C6065" w:rsidRPr="000C6065" w:rsidRDefault="000C6065" w:rsidP="000C6065">
      <w:pPr>
        <w:tabs>
          <w:tab w:val="clear" w:pos="1440"/>
          <w:tab w:val="left" w:pos="360"/>
        </w:tabs>
        <w:spacing w:after="0" w:line="233" w:lineRule="auto"/>
        <w:jc w:val="both"/>
        <w:rPr>
          <w:rFonts w:eastAsia="SimSun"/>
          <w:b/>
        </w:rPr>
      </w:pPr>
    </w:p>
    <w:p w:rsidR="000C6065" w:rsidRPr="000C6065" w:rsidRDefault="000C6065" w:rsidP="000C6065">
      <w:pPr>
        <w:tabs>
          <w:tab w:val="clear" w:pos="1440"/>
          <w:tab w:val="left" w:pos="360"/>
        </w:tabs>
        <w:spacing w:after="0" w:line="233" w:lineRule="auto"/>
        <w:jc w:val="both"/>
        <w:rPr>
          <w:rFonts w:eastAsia="SimSun"/>
          <w:b/>
        </w:rPr>
      </w:pPr>
    </w:p>
    <w:p w:rsidR="000C6065" w:rsidRPr="000C6065" w:rsidRDefault="000C6065" w:rsidP="000C6065">
      <w:pPr>
        <w:tabs>
          <w:tab w:val="clear" w:pos="1440"/>
          <w:tab w:val="left" w:pos="360"/>
        </w:tabs>
        <w:spacing w:after="0" w:line="233" w:lineRule="auto"/>
        <w:jc w:val="both"/>
        <w:rPr>
          <w:rFonts w:eastAsia="SimSun"/>
          <w:b/>
        </w:rPr>
      </w:pPr>
    </w:p>
    <w:p w:rsidR="000C6065" w:rsidRPr="000C6065" w:rsidRDefault="000C6065" w:rsidP="000C6065">
      <w:pPr>
        <w:tabs>
          <w:tab w:val="clear" w:pos="1440"/>
          <w:tab w:val="left" w:pos="360"/>
        </w:tabs>
        <w:spacing w:after="0" w:line="233" w:lineRule="auto"/>
        <w:jc w:val="both"/>
        <w:rPr>
          <w:rFonts w:eastAsia="SimSun"/>
          <w:b/>
        </w:rPr>
      </w:pPr>
      <w:r>
        <w:rPr>
          <w:rFonts w:eastAsia="SimSun"/>
        </w:rPr>
        <w:t>Daniel C. Matesic</w:t>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b/>
        </w:rPr>
        <w:t>:</w:t>
      </w:r>
    </w:p>
    <w:p w:rsidR="000C6065" w:rsidRPr="000C6065" w:rsidRDefault="000C6065" w:rsidP="000C6065">
      <w:pPr>
        <w:tabs>
          <w:tab w:val="clear" w:pos="1440"/>
          <w:tab w:val="left" w:pos="360"/>
        </w:tabs>
        <w:spacing w:after="0" w:line="233" w:lineRule="auto"/>
        <w:jc w:val="both"/>
        <w:rPr>
          <w:rFonts w:eastAsia="SimSun"/>
        </w:rPr>
      </w:pPr>
      <w:r w:rsidRPr="000C6065">
        <w:rPr>
          <w:rFonts w:eastAsia="SimSun"/>
          <w:b/>
        </w:rPr>
        <w:tab/>
      </w:r>
      <w:r w:rsidRPr="000C6065">
        <w:rPr>
          <w:rFonts w:eastAsia="SimSun"/>
          <w:b/>
        </w:rPr>
        <w:tab/>
      </w:r>
      <w:r w:rsidRPr="000C6065">
        <w:rPr>
          <w:rFonts w:eastAsia="SimSun"/>
          <w:b/>
        </w:rPr>
        <w:tab/>
      </w:r>
      <w:r w:rsidRPr="000C6065">
        <w:rPr>
          <w:rFonts w:eastAsia="SimSun"/>
          <w:b/>
        </w:rPr>
        <w:tab/>
      </w:r>
      <w:r w:rsidRPr="000C6065">
        <w:rPr>
          <w:rFonts w:eastAsia="SimSun"/>
          <w:b/>
        </w:rPr>
        <w:tab/>
      </w:r>
      <w:r w:rsidRPr="000C6065">
        <w:rPr>
          <w:rFonts w:eastAsia="SimSun"/>
          <w:b/>
        </w:rPr>
        <w:tab/>
      </w:r>
      <w:r w:rsidRPr="000C6065">
        <w:rPr>
          <w:rFonts w:eastAsia="SimSun"/>
          <w:b/>
        </w:rPr>
        <w:tab/>
      </w:r>
      <w:r w:rsidRPr="000C6065">
        <w:rPr>
          <w:rFonts w:eastAsia="SimSun"/>
          <w:b/>
        </w:rPr>
        <w:tab/>
        <w:t>:</w:t>
      </w:r>
    </w:p>
    <w:p w:rsidR="000C6065" w:rsidRPr="000C6065" w:rsidRDefault="000C6065" w:rsidP="000C6065">
      <w:pPr>
        <w:tabs>
          <w:tab w:val="clear" w:pos="1440"/>
          <w:tab w:val="left" w:pos="360"/>
          <w:tab w:val="left" w:pos="720"/>
        </w:tabs>
        <w:spacing w:after="0" w:line="233" w:lineRule="auto"/>
        <w:jc w:val="both"/>
        <w:rPr>
          <w:rFonts w:eastAsia="SimSun"/>
        </w:rPr>
      </w:pPr>
      <w:r w:rsidRPr="000C6065">
        <w:rPr>
          <w:rFonts w:eastAsia="SimSun"/>
        </w:rPr>
        <w:tab/>
      </w:r>
      <w:r w:rsidRPr="000C6065">
        <w:rPr>
          <w:rFonts w:eastAsia="SimSun"/>
        </w:rPr>
        <w:tab/>
        <w:t>v.</w:t>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b/>
        </w:rPr>
        <w:t>:</w:t>
      </w:r>
      <w:r w:rsidRPr="000C6065">
        <w:rPr>
          <w:rFonts w:eastAsia="SimSun"/>
        </w:rPr>
        <w:tab/>
      </w:r>
      <w:r w:rsidRPr="000C6065">
        <w:rPr>
          <w:rFonts w:eastAsia="SimSun"/>
        </w:rPr>
        <w:tab/>
        <w:t>C-201</w:t>
      </w:r>
      <w:r>
        <w:rPr>
          <w:rFonts w:eastAsia="SimSun"/>
        </w:rPr>
        <w:t>4-2438493</w:t>
      </w:r>
    </w:p>
    <w:p w:rsidR="000C6065" w:rsidRPr="000C6065" w:rsidRDefault="000C6065" w:rsidP="000C6065">
      <w:pPr>
        <w:tabs>
          <w:tab w:val="clear" w:pos="1440"/>
          <w:tab w:val="left" w:pos="360"/>
        </w:tabs>
        <w:spacing w:after="0" w:line="233" w:lineRule="auto"/>
        <w:jc w:val="both"/>
        <w:rPr>
          <w:rFonts w:eastAsia="SimSun"/>
        </w:rPr>
      </w:pP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b/>
        </w:rPr>
        <w:t>:</w:t>
      </w:r>
    </w:p>
    <w:p w:rsidR="000C6065" w:rsidRPr="000C6065" w:rsidRDefault="000C6065" w:rsidP="000C6065">
      <w:pPr>
        <w:tabs>
          <w:tab w:val="clear" w:pos="1440"/>
          <w:tab w:val="left" w:pos="360"/>
        </w:tabs>
        <w:spacing w:after="0" w:line="233" w:lineRule="auto"/>
        <w:jc w:val="both"/>
        <w:rPr>
          <w:rFonts w:eastAsia="SimSun"/>
        </w:rPr>
      </w:pPr>
      <w:r w:rsidRPr="000C6065">
        <w:rPr>
          <w:rFonts w:eastAsia="SimSun"/>
        </w:rPr>
        <w:t>Duquesne Light Company</w:t>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b/>
        </w:rPr>
        <w:t>:</w:t>
      </w:r>
    </w:p>
    <w:p w:rsidR="000C6065" w:rsidRPr="000C6065" w:rsidRDefault="000C6065" w:rsidP="000C6065">
      <w:pPr>
        <w:tabs>
          <w:tab w:val="clear" w:pos="1440"/>
          <w:tab w:val="left" w:pos="360"/>
        </w:tabs>
        <w:spacing w:after="0" w:line="233" w:lineRule="auto"/>
        <w:jc w:val="both"/>
        <w:rPr>
          <w:rFonts w:eastAsia="SimSun"/>
        </w:rPr>
      </w:pPr>
    </w:p>
    <w:p w:rsidR="000C6065" w:rsidRPr="000C6065" w:rsidRDefault="000C6065" w:rsidP="000C6065">
      <w:pPr>
        <w:tabs>
          <w:tab w:val="clear" w:pos="1440"/>
          <w:tab w:val="left" w:pos="360"/>
        </w:tabs>
        <w:spacing w:after="0" w:line="233" w:lineRule="auto"/>
        <w:jc w:val="both"/>
        <w:rPr>
          <w:rFonts w:eastAsia="SimSun"/>
          <w:b/>
        </w:rPr>
      </w:pPr>
    </w:p>
    <w:p w:rsidR="000C6065" w:rsidRPr="000C6065" w:rsidRDefault="000C6065" w:rsidP="000C6065">
      <w:pPr>
        <w:tabs>
          <w:tab w:val="clear" w:pos="1440"/>
          <w:tab w:val="left" w:pos="360"/>
        </w:tabs>
        <w:spacing w:after="0" w:line="233" w:lineRule="auto"/>
        <w:jc w:val="both"/>
        <w:rPr>
          <w:rFonts w:eastAsia="SimSun"/>
          <w:b/>
        </w:rPr>
      </w:pPr>
    </w:p>
    <w:p w:rsidR="002B4B68" w:rsidRPr="00B46894" w:rsidRDefault="00BF16A1" w:rsidP="00690FB7">
      <w:pPr>
        <w:spacing w:after="0" w:line="240" w:lineRule="auto"/>
        <w:jc w:val="center"/>
        <w:rPr>
          <w:b/>
          <w:u w:val="single"/>
        </w:rPr>
      </w:pPr>
      <w:r w:rsidRPr="00B46894">
        <w:rPr>
          <w:b/>
          <w:u w:val="single"/>
        </w:rPr>
        <w:t>INITIAL DECISION</w:t>
      </w:r>
    </w:p>
    <w:p w:rsidR="00BF16A1" w:rsidRDefault="00BF16A1" w:rsidP="002B4B68"/>
    <w:p w:rsidR="00BF16A1" w:rsidRDefault="00BF16A1" w:rsidP="001F49DB">
      <w:pPr>
        <w:spacing w:after="0" w:line="240" w:lineRule="auto"/>
        <w:jc w:val="center"/>
      </w:pPr>
      <w:r>
        <w:t>Before</w:t>
      </w:r>
    </w:p>
    <w:p w:rsidR="00BF16A1" w:rsidRDefault="00BF16A1" w:rsidP="001F49DB">
      <w:pPr>
        <w:spacing w:after="0" w:line="240" w:lineRule="auto"/>
        <w:jc w:val="center"/>
      </w:pPr>
      <w:r>
        <w:t>Mary D. Long</w:t>
      </w:r>
    </w:p>
    <w:p w:rsidR="00BF16A1" w:rsidRDefault="00BF16A1" w:rsidP="001F49DB">
      <w:pPr>
        <w:spacing w:after="0" w:line="240" w:lineRule="auto"/>
        <w:jc w:val="center"/>
      </w:pPr>
      <w:r>
        <w:t>Administrative Law Judge</w:t>
      </w:r>
    </w:p>
    <w:p w:rsidR="00BF16A1" w:rsidRDefault="00BF16A1" w:rsidP="00085487">
      <w:pPr>
        <w:spacing w:after="0"/>
      </w:pPr>
    </w:p>
    <w:p w:rsidR="00BF16A1" w:rsidRDefault="00AB7AAD" w:rsidP="00085487">
      <w:pPr>
        <w:spacing w:after="0"/>
      </w:pPr>
      <w:r>
        <w:tab/>
        <w:t>A complaint by a ratepayer concerning an electric distribution company’s termination of his electricity service for non-payment is dismissed because the ratepayer failed to prove that the company failed to comply with the Public Utility Code.  However, the ratepayer did prove that the company failed to provide reasonable customer service when another customer’s social security number was associated with the ratepayer’s account.  A civil penalty is assessed because the company failed to protect the integrity of the ratepayer’s personal and confidential account information.</w:t>
      </w:r>
    </w:p>
    <w:p w:rsidR="00085487" w:rsidRDefault="00085487" w:rsidP="00085487">
      <w:pPr>
        <w:spacing w:after="0"/>
      </w:pPr>
    </w:p>
    <w:p w:rsidR="00690FB7" w:rsidRDefault="00BF16A1" w:rsidP="00085487">
      <w:pPr>
        <w:spacing w:after="0"/>
        <w:jc w:val="center"/>
        <w:rPr>
          <w:u w:val="single"/>
        </w:rPr>
      </w:pPr>
      <w:r>
        <w:rPr>
          <w:u w:val="single"/>
        </w:rPr>
        <w:t>HISTORY OF THE PROCEEDING</w:t>
      </w:r>
    </w:p>
    <w:p w:rsidR="00085487" w:rsidRPr="00BF16A1" w:rsidRDefault="00085487" w:rsidP="00085487">
      <w:pPr>
        <w:spacing w:after="0"/>
        <w:jc w:val="center"/>
        <w:rPr>
          <w:u w:val="single"/>
        </w:rPr>
      </w:pPr>
    </w:p>
    <w:p w:rsidR="002B4B68" w:rsidRDefault="00690FB7" w:rsidP="00085487">
      <w:pPr>
        <w:spacing w:after="0"/>
      </w:pPr>
      <w:r>
        <w:tab/>
      </w:r>
      <w:r w:rsidR="002B4B68">
        <w:t>Daniel C. Matesic (Complainant) filed a formal complaint against Duquesne Light Company</w:t>
      </w:r>
      <w:r w:rsidR="00B8724F">
        <w:t xml:space="preserve"> (Duquesne Light)</w:t>
      </w:r>
      <w:r w:rsidR="002B4B68">
        <w:t xml:space="preserve"> on August 20, 2014.  In his complaint, Mr. Matesic alleges that Duquesne Light did not properly post a payment to his account in time to avoid termination of his electric distribution service.  He also objected to the necessity of providing his social security number to Duquesne Light over the telephone when he contacted the company to restore his ser</w:t>
      </w:r>
      <w:r w:rsidR="003D6287">
        <w:t xml:space="preserve">vice.  As relief, the Complainant </w:t>
      </w:r>
      <w:r w:rsidR="002B4B68">
        <w:t>want</w:t>
      </w:r>
      <w:r w:rsidR="00BF16A1">
        <w:t>s</w:t>
      </w:r>
      <w:r w:rsidR="002B4B68">
        <w:t xml:space="preserve"> the Commission to direct Duquesne Light to reimburse him for lost work time, for costs associated with the rental of a generator, reimbursement for time lost by the contractor working on his house and reimbursement for the </w:t>
      </w:r>
      <w:r w:rsidR="002B4B68">
        <w:lastRenderedPageBreak/>
        <w:t>lost power generation of his solar panel array.  The Complainant also wants a formal apology from Duquesne Light and a guarantee that his social security number will be kept secure.</w:t>
      </w:r>
    </w:p>
    <w:p w:rsidR="00571153" w:rsidRDefault="00571153" w:rsidP="00085487">
      <w:pPr>
        <w:spacing w:after="0"/>
      </w:pPr>
    </w:p>
    <w:p w:rsidR="006D4261" w:rsidRDefault="002B4B68" w:rsidP="00085487">
      <w:pPr>
        <w:spacing w:after="0"/>
      </w:pPr>
      <w:r>
        <w:tab/>
        <w:t>D</w:t>
      </w:r>
      <w:r w:rsidR="004C3A40">
        <w:t xml:space="preserve">uquesne Light filed a timely answer which denied the material allegations of the complaint and </w:t>
      </w:r>
      <w:r w:rsidR="00234EDD">
        <w:t xml:space="preserve">a </w:t>
      </w:r>
      <w:r w:rsidR="004C3A40">
        <w:t>preliminary objection.  The preliminary objection seek</w:t>
      </w:r>
      <w:r w:rsidR="00CD4963">
        <w:t>s</w:t>
      </w:r>
      <w:r w:rsidR="004C3A40">
        <w:t xml:space="preserve"> dismissal of the complaint to the extent that it seeks recovery of monetary damages.  </w:t>
      </w:r>
      <w:r w:rsidR="00BF16A1">
        <w:t>By interim order dated November 6, 2014, the preliminary objection was granted and the claim for monetary damages was dismissed.  However, the remaining customer service claims were preserved for hearing.</w:t>
      </w:r>
    </w:p>
    <w:p w:rsidR="00085487" w:rsidRDefault="00085487" w:rsidP="00085487">
      <w:pPr>
        <w:spacing w:after="0"/>
      </w:pPr>
    </w:p>
    <w:p w:rsidR="001619ED" w:rsidRDefault="00BF16A1" w:rsidP="00085487">
      <w:pPr>
        <w:spacing w:after="0"/>
      </w:pPr>
      <w:r>
        <w:tab/>
        <w:t>By h</w:t>
      </w:r>
      <w:r w:rsidR="005A04AF">
        <w:t xml:space="preserve">earing notice dated November 3, </w:t>
      </w:r>
      <w:r>
        <w:t>2014, this matter was assigned to me and scheduled for an eviden</w:t>
      </w:r>
      <w:r w:rsidR="00777CFC">
        <w:t xml:space="preserve">tiary hearing on Monday, December 8, 2014.  The hearing was held as scheduled.  The Complainant was self-represented and testified on his own behalf.  Duquesne Light was represented by </w:t>
      </w:r>
      <w:r w:rsidR="001F49DB">
        <w:t>Jeremy Farrell, Esquire.  One witness testified on behalf of the utility, Ms. Martha Mueller.  Four exhibits were admitted into the record.  Following the receipt of the transcript</w:t>
      </w:r>
      <w:r w:rsidR="005A04AF">
        <w:t xml:space="preserve"> of 58 pages</w:t>
      </w:r>
      <w:r w:rsidR="001F49DB">
        <w:t>, the record was closed by interim order dated January 12, 2015</w:t>
      </w:r>
      <w:r w:rsidR="00ED055C">
        <w:t>.</w:t>
      </w:r>
    </w:p>
    <w:p w:rsidR="00085487" w:rsidRDefault="00085487" w:rsidP="00085487">
      <w:pPr>
        <w:spacing w:after="0"/>
      </w:pPr>
    </w:p>
    <w:p w:rsidR="00B8724F" w:rsidRDefault="00B8724F" w:rsidP="00085487">
      <w:pPr>
        <w:spacing w:after="0"/>
        <w:jc w:val="center"/>
        <w:rPr>
          <w:b/>
          <w:u w:val="single"/>
        </w:rPr>
      </w:pPr>
      <w:r w:rsidRPr="006942DF">
        <w:rPr>
          <w:b/>
          <w:u w:val="single"/>
        </w:rPr>
        <w:t>FINDINGS OF FACT</w:t>
      </w:r>
    </w:p>
    <w:p w:rsidR="00085487" w:rsidRPr="006942DF" w:rsidRDefault="00085487" w:rsidP="00085487">
      <w:pPr>
        <w:spacing w:after="0"/>
        <w:jc w:val="center"/>
        <w:rPr>
          <w:b/>
          <w:u w:val="single"/>
        </w:rPr>
      </w:pPr>
    </w:p>
    <w:p w:rsidR="00182DA7" w:rsidRDefault="00B8724F" w:rsidP="00085487">
      <w:pPr>
        <w:pStyle w:val="ListParagraph"/>
      </w:pPr>
      <w:r>
        <w:t>Daniel C. Matesic (Complainant) receives electric distribution service from Duquesne Light Company at his service address, 4088 Surrey Drive, Allison Park, Pennsylvania</w:t>
      </w:r>
      <w:r w:rsidR="009E06B9">
        <w:t xml:space="preserve"> (Surrey service address)</w:t>
      </w:r>
      <w:r>
        <w:t>.  (N.T. 7)</w:t>
      </w:r>
    </w:p>
    <w:p w:rsidR="00B8724F" w:rsidRDefault="00085487" w:rsidP="00182DA7">
      <w:pPr>
        <w:pStyle w:val="ListParagraph"/>
        <w:numPr>
          <w:ilvl w:val="0"/>
          <w:numId w:val="0"/>
        </w:numPr>
        <w:ind w:left="1440"/>
      </w:pPr>
      <w:r>
        <w:tab/>
      </w:r>
    </w:p>
    <w:p w:rsidR="003B49E4" w:rsidRDefault="003B49E4" w:rsidP="00085487">
      <w:pPr>
        <w:spacing w:after="0"/>
      </w:pPr>
      <w:r w:rsidRPr="00E62CC7">
        <w:rPr>
          <w:i/>
          <w:u w:val="single"/>
        </w:rPr>
        <w:t>Termination</w:t>
      </w:r>
    </w:p>
    <w:p w:rsidR="00085487" w:rsidRPr="00085487" w:rsidRDefault="00085487" w:rsidP="00085487">
      <w:pPr>
        <w:spacing w:after="0"/>
      </w:pPr>
    </w:p>
    <w:p w:rsidR="00B8724F" w:rsidRDefault="00B8724F" w:rsidP="00085487">
      <w:pPr>
        <w:pStyle w:val="ListParagraph"/>
      </w:pPr>
      <w:r>
        <w:t>In early August 2014, the Complainant received a termination notice from Duquesne Light, due to lack of payment.  (N.T. 8</w:t>
      </w:r>
      <w:r w:rsidR="003B49E4">
        <w:t>, 11</w:t>
      </w:r>
      <w:r>
        <w:t>)</w:t>
      </w:r>
    </w:p>
    <w:p w:rsidR="00085487" w:rsidRDefault="00085487" w:rsidP="00085487">
      <w:pPr>
        <w:spacing w:after="0"/>
        <w:ind w:left="720"/>
      </w:pPr>
    </w:p>
    <w:p w:rsidR="003B49E4" w:rsidRDefault="003B49E4" w:rsidP="00085487">
      <w:pPr>
        <w:pStyle w:val="ListParagraph"/>
      </w:pPr>
      <w:r>
        <w:t>The Complainant’s account was, in fact, past due.  (N.T. 11)</w:t>
      </w:r>
    </w:p>
    <w:p w:rsidR="00085487" w:rsidRDefault="00085487" w:rsidP="00085487">
      <w:pPr>
        <w:spacing w:after="0"/>
      </w:pPr>
    </w:p>
    <w:p w:rsidR="004C73DB" w:rsidRDefault="004C73DB" w:rsidP="008A7610">
      <w:pPr>
        <w:pStyle w:val="ListParagraph"/>
      </w:pPr>
      <w:r>
        <w:lastRenderedPageBreak/>
        <w:t xml:space="preserve">The 10-day termination notice sent to the Complainant states that he must contact Duquesne Light to report any payments made in order to avoid termination.  </w:t>
      </w:r>
      <w:r w:rsidR="0003242C">
        <w:t xml:space="preserve">    </w:t>
      </w:r>
      <w:r>
        <w:t>(Duquesne Light Ex. 2</w:t>
      </w:r>
      <w:r w:rsidR="00EF1FE7">
        <w:t>; N.T. 19</w:t>
      </w:r>
      <w:r>
        <w:t>)</w:t>
      </w:r>
    </w:p>
    <w:p w:rsidR="00182DA7" w:rsidRDefault="00182DA7" w:rsidP="008A7610">
      <w:pPr>
        <w:pStyle w:val="ListParagraph"/>
        <w:numPr>
          <w:ilvl w:val="0"/>
          <w:numId w:val="0"/>
        </w:numPr>
        <w:ind w:left="1440"/>
      </w:pPr>
    </w:p>
    <w:p w:rsidR="009F69C1" w:rsidRDefault="004C73DB" w:rsidP="008A7610">
      <w:pPr>
        <w:pStyle w:val="ListParagraph"/>
      </w:pPr>
      <w:r>
        <w:t>The notice also informed the Complainant that to avoid termination, he must pay $267.46</w:t>
      </w:r>
      <w:r w:rsidR="00036238">
        <w:t xml:space="preserve">, </w:t>
      </w:r>
      <w:r>
        <w:t>before August 8, 2014.  (Duquesne Light Ex. 2)</w:t>
      </w:r>
      <w:r w:rsidR="009F69C1" w:rsidRPr="009F69C1">
        <w:t xml:space="preserve"> </w:t>
      </w:r>
    </w:p>
    <w:p w:rsidR="00085487" w:rsidRDefault="00085487" w:rsidP="008A7610">
      <w:pPr>
        <w:pStyle w:val="ListParagraph"/>
        <w:numPr>
          <w:ilvl w:val="0"/>
          <w:numId w:val="0"/>
        </w:numPr>
        <w:ind w:left="1440"/>
      </w:pPr>
    </w:p>
    <w:p w:rsidR="009F69C1" w:rsidRDefault="009F69C1" w:rsidP="008A7610">
      <w:pPr>
        <w:pStyle w:val="ListParagraph"/>
      </w:pPr>
      <w:r>
        <w:t>Although Duquesne Light’s record indicates that a 72-hour notice was made by telephone on August 5, 2014, at 11:37 a.m., there is no record to indicate what number was dialed.  The record only indicates that an answering machine was reached.  (N.T. 23-24, 50; Duquesne Light Ex. 4).</w:t>
      </w:r>
    </w:p>
    <w:p w:rsidR="00085487" w:rsidRDefault="00085487" w:rsidP="008A7610">
      <w:pPr>
        <w:pStyle w:val="ListParagraph"/>
        <w:numPr>
          <w:ilvl w:val="0"/>
          <w:numId w:val="0"/>
        </w:numPr>
        <w:ind w:left="1440"/>
      </w:pPr>
    </w:p>
    <w:p w:rsidR="009F69C1" w:rsidRDefault="009F69C1" w:rsidP="008A7610">
      <w:pPr>
        <w:pStyle w:val="ListParagraph"/>
      </w:pPr>
      <w:r>
        <w:t xml:space="preserve">Duquesne Light’s system does not always leave a message when an answering machine is reached.  Duquesne Light’s records do not indicate whether or not a message was left. </w:t>
      </w:r>
      <w:r w:rsidR="009830DE">
        <w:t xml:space="preserve"> </w:t>
      </w:r>
      <w:r>
        <w:t>If a message was left, it only informs the customer to contact Duquesne Light within 72 hours and to have an account number ready.</w:t>
      </w:r>
      <w:r w:rsidR="0003242C">
        <w:t xml:space="preserve"> </w:t>
      </w:r>
      <w:r>
        <w:t xml:space="preserve"> (N.T. 43)</w:t>
      </w:r>
    </w:p>
    <w:p w:rsidR="00085487" w:rsidRDefault="00085487" w:rsidP="008A7610">
      <w:pPr>
        <w:spacing w:after="0"/>
      </w:pPr>
    </w:p>
    <w:p w:rsidR="00F70C27" w:rsidRDefault="009F69C1" w:rsidP="008A7610">
      <w:pPr>
        <w:pStyle w:val="ListParagraph"/>
      </w:pPr>
      <w:r>
        <w:t xml:space="preserve">Duquesne Light’s record also indicates that a second attempt was made by telephone on August 6, 2014, at 7:32 p.m., but there is no record to indicate what number was dialed.  The record only indicates that an answering machine was reached.  </w:t>
      </w:r>
    </w:p>
    <w:p w:rsidR="009F69C1" w:rsidRDefault="009F69C1" w:rsidP="008A7610">
      <w:pPr>
        <w:spacing w:after="0"/>
      </w:pPr>
      <w:r>
        <w:t>(N.T. 25; Duquesne Light Ex. 5)</w:t>
      </w:r>
      <w:r w:rsidRPr="009F69C1">
        <w:t xml:space="preserve"> </w:t>
      </w:r>
    </w:p>
    <w:p w:rsidR="007434B3" w:rsidRDefault="007434B3" w:rsidP="008A7610">
      <w:pPr>
        <w:pStyle w:val="ListParagraph"/>
        <w:numPr>
          <w:ilvl w:val="0"/>
          <w:numId w:val="0"/>
        </w:numPr>
        <w:ind w:left="1440"/>
      </w:pPr>
    </w:p>
    <w:p w:rsidR="009F69C1" w:rsidRDefault="009F69C1" w:rsidP="008A7610">
      <w:pPr>
        <w:pStyle w:val="ListParagraph"/>
      </w:pPr>
      <w:r>
        <w:t>On August 9, 2014, the Complainant made arrangements through the Duquesne Light website for an electronic payment to Duquesne Light in the amount of $250.  (N.T. 8, 10)</w:t>
      </w:r>
    </w:p>
    <w:p w:rsidR="007434B3" w:rsidRDefault="007434B3" w:rsidP="008A7610">
      <w:pPr>
        <w:pStyle w:val="ListParagraph"/>
        <w:numPr>
          <w:ilvl w:val="0"/>
          <w:numId w:val="0"/>
        </w:numPr>
        <w:ind w:left="1440"/>
      </w:pPr>
    </w:p>
    <w:p w:rsidR="009F69C1" w:rsidRDefault="009F69C1" w:rsidP="008A7610">
      <w:pPr>
        <w:pStyle w:val="ListParagraph"/>
      </w:pPr>
      <w:r>
        <w:t>The Complainant did not contact Duquesne Light at that time to confirm the payment.  (N.T. 12)</w:t>
      </w:r>
    </w:p>
    <w:p w:rsidR="007434B3" w:rsidRDefault="007434B3" w:rsidP="008A7610">
      <w:pPr>
        <w:pStyle w:val="ListParagraph"/>
        <w:numPr>
          <w:ilvl w:val="0"/>
          <w:numId w:val="0"/>
        </w:numPr>
        <w:ind w:left="1440"/>
      </w:pPr>
    </w:p>
    <w:p w:rsidR="00B8724F" w:rsidRDefault="00B8724F" w:rsidP="008A7610">
      <w:pPr>
        <w:pStyle w:val="ListParagraph"/>
      </w:pPr>
      <w:r>
        <w:t>However, on August 18, 2014, Duquesne Light terminated service at the service address.  (N.T. 8</w:t>
      </w:r>
      <w:r w:rsidR="00A4781A">
        <w:t>, 14</w:t>
      </w:r>
      <w:r>
        <w:t>)</w:t>
      </w:r>
    </w:p>
    <w:p w:rsidR="00B8724F" w:rsidRDefault="00B8724F" w:rsidP="008A7610">
      <w:pPr>
        <w:pStyle w:val="ListParagraph"/>
      </w:pPr>
      <w:r>
        <w:lastRenderedPageBreak/>
        <w:t>The Complainant contacted Duquesne Light customer service.  Duquesne Light had no record of the August 9, 2014 payment.</w:t>
      </w:r>
    </w:p>
    <w:p w:rsidR="00182DA7" w:rsidRDefault="00182DA7" w:rsidP="008A7610">
      <w:pPr>
        <w:pStyle w:val="ListParagraph"/>
        <w:numPr>
          <w:ilvl w:val="0"/>
          <w:numId w:val="0"/>
        </w:numPr>
        <w:ind w:left="1440"/>
      </w:pPr>
    </w:p>
    <w:p w:rsidR="00B8724F" w:rsidRDefault="00B8724F" w:rsidP="008A7610">
      <w:pPr>
        <w:pStyle w:val="ListParagraph"/>
      </w:pPr>
      <w:r>
        <w:t>The Complainant made arrangements through Western Union to</w:t>
      </w:r>
      <w:r w:rsidR="006942DF">
        <w:t xml:space="preserve"> make payment immediately. </w:t>
      </w:r>
      <w:r w:rsidR="00196F71">
        <w:t xml:space="preserve"> That payment was in the amount of $640.30, which included an account balance of $443.30, a reconnection fee in the amount of $50, and a security deposit in the amount of $147.</w:t>
      </w:r>
      <w:r w:rsidR="0016725A">
        <w:t xml:space="preserve"> </w:t>
      </w:r>
      <w:r w:rsidR="006942DF">
        <w:t xml:space="preserve"> (N.T. 8</w:t>
      </w:r>
      <w:r w:rsidR="00196F71">
        <w:t>; 27; Duquesne Light Ex. 1</w:t>
      </w:r>
      <w:r w:rsidR="006942DF">
        <w:t>)</w:t>
      </w:r>
    </w:p>
    <w:p w:rsidR="007434B3" w:rsidRDefault="007434B3" w:rsidP="008A7610">
      <w:pPr>
        <w:spacing w:after="0"/>
      </w:pPr>
    </w:p>
    <w:p w:rsidR="006942DF" w:rsidRDefault="006942DF" w:rsidP="008A7610">
      <w:pPr>
        <w:pStyle w:val="ListParagraph"/>
      </w:pPr>
      <w:r>
        <w:t>Duquesne Light reconnected the Complainant’s service on August 19, 2014.</w:t>
      </w:r>
      <w:r w:rsidR="00D539EF">
        <w:t xml:space="preserve"> </w:t>
      </w:r>
      <w:r w:rsidR="0016725A">
        <w:t xml:space="preserve"> </w:t>
      </w:r>
      <w:r w:rsidR="00D539EF">
        <w:t>(N.T. 27)</w:t>
      </w:r>
    </w:p>
    <w:p w:rsidR="007434B3" w:rsidRDefault="007434B3" w:rsidP="008A7610">
      <w:pPr>
        <w:spacing w:after="0"/>
      </w:pPr>
    </w:p>
    <w:p w:rsidR="00D539EF" w:rsidRDefault="00D539EF" w:rsidP="008A7610">
      <w:pPr>
        <w:pStyle w:val="ListParagraph"/>
      </w:pPr>
      <w:r>
        <w:t>Unless a customer provides a medical certificate, Duquesne Light does not offer a service reconnection on the same day that payment is made.  (N.T. 28)</w:t>
      </w:r>
    </w:p>
    <w:p w:rsidR="007434B3" w:rsidRDefault="007434B3" w:rsidP="008A7610">
      <w:pPr>
        <w:pStyle w:val="ListParagraph"/>
        <w:numPr>
          <w:ilvl w:val="0"/>
          <w:numId w:val="0"/>
        </w:numPr>
        <w:ind w:left="1440"/>
      </w:pPr>
    </w:p>
    <w:p w:rsidR="00585623" w:rsidRPr="00182DA7" w:rsidRDefault="006942DF" w:rsidP="008A7610">
      <w:pPr>
        <w:pStyle w:val="ListParagraph"/>
        <w:rPr>
          <w:i/>
          <w:u w:val="single"/>
        </w:rPr>
      </w:pPr>
      <w:r>
        <w:t>The payment that the Complain</w:t>
      </w:r>
      <w:r w:rsidR="00E41033">
        <w:t>ant</w:t>
      </w:r>
      <w:r>
        <w:t xml:space="preserve"> made on August 9, 2014, was not recorded by Duquesne Light until August 19, 2014.  (N.T. 9</w:t>
      </w:r>
      <w:r w:rsidR="002A3F13">
        <w:t>; 26; Duquesne Light Ex. 1</w:t>
      </w:r>
      <w:r>
        <w:t>)</w:t>
      </w:r>
    </w:p>
    <w:p w:rsidR="00182DA7" w:rsidRPr="00585623" w:rsidRDefault="00182DA7" w:rsidP="008A7610">
      <w:pPr>
        <w:pStyle w:val="ListParagraph"/>
        <w:numPr>
          <w:ilvl w:val="0"/>
          <w:numId w:val="0"/>
        </w:numPr>
        <w:ind w:left="1440"/>
        <w:rPr>
          <w:i/>
          <w:u w:val="single"/>
        </w:rPr>
      </w:pPr>
    </w:p>
    <w:p w:rsidR="003B49E4" w:rsidRDefault="009F69C1" w:rsidP="008A7610">
      <w:pPr>
        <w:spacing w:after="0"/>
      </w:pPr>
      <w:r w:rsidRPr="00585623">
        <w:rPr>
          <w:i/>
          <w:u w:val="single"/>
        </w:rPr>
        <w:t xml:space="preserve"> </w:t>
      </w:r>
      <w:r w:rsidR="003B49E4" w:rsidRPr="00585623">
        <w:rPr>
          <w:i/>
          <w:u w:val="single"/>
        </w:rPr>
        <w:t>Account Identification</w:t>
      </w:r>
    </w:p>
    <w:p w:rsidR="007434B3" w:rsidRPr="007434B3" w:rsidRDefault="007434B3" w:rsidP="008A7610">
      <w:pPr>
        <w:spacing w:after="0"/>
      </w:pPr>
    </w:p>
    <w:p w:rsidR="006942DF" w:rsidRDefault="003B49E4" w:rsidP="008A7610">
      <w:pPr>
        <w:pStyle w:val="ListParagraph"/>
      </w:pPr>
      <w:r>
        <w:t>When the Complainant contacted customer service at Duquesne Light regarding his account, he was required to provide his social security number as identification.  (N.T. 9)</w:t>
      </w:r>
    </w:p>
    <w:p w:rsidR="00182DA7" w:rsidRDefault="00182DA7" w:rsidP="008A7610">
      <w:pPr>
        <w:pStyle w:val="ListParagraph"/>
        <w:numPr>
          <w:ilvl w:val="0"/>
          <w:numId w:val="0"/>
        </w:numPr>
        <w:ind w:left="1440"/>
      </w:pPr>
    </w:p>
    <w:p w:rsidR="003B49E4" w:rsidRDefault="003B49E4" w:rsidP="008A7610">
      <w:pPr>
        <w:pStyle w:val="ListParagraph"/>
      </w:pPr>
      <w:r>
        <w:t>The customer service representative informed the Complainant that a different social security number was associated with his account.  (N.T. 10)</w:t>
      </w:r>
    </w:p>
    <w:p w:rsidR="007434B3" w:rsidRDefault="007434B3" w:rsidP="008A7610">
      <w:pPr>
        <w:pStyle w:val="ListParagraph"/>
        <w:numPr>
          <w:ilvl w:val="0"/>
          <w:numId w:val="0"/>
        </w:numPr>
        <w:ind w:left="1440"/>
      </w:pPr>
    </w:p>
    <w:p w:rsidR="00794B4E" w:rsidRDefault="00794B4E" w:rsidP="008A7610">
      <w:pPr>
        <w:pStyle w:val="ListParagraph"/>
      </w:pPr>
      <w:r>
        <w:t>Duquesne Light admits that the incorrect social security number was associated with the Complainant’</w:t>
      </w:r>
      <w:r w:rsidR="009E06B9">
        <w:t>s account.  (N.T. 29)</w:t>
      </w:r>
    </w:p>
    <w:p w:rsidR="00182DA7" w:rsidRDefault="008A7610" w:rsidP="008A7610">
      <w:pPr>
        <w:tabs>
          <w:tab w:val="clear" w:pos="1440"/>
          <w:tab w:val="left" w:pos="6192"/>
        </w:tabs>
        <w:spacing w:after="0"/>
      </w:pPr>
      <w:r>
        <w:tab/>
      </w:r>
    </w:p>
    <w:p w:rsidR="007434B3" w:rsidRDefault="007434B3" w:rsidP="008A7610">
      <w:pPr>
        <w:pStyle w:val="ListParagraph"/>
        <w:numPr>
          <w:ilvl w:val="0"/>
          <w:numId w:val="0"/>
        </w:numPr>
        <w:ind w:left="1440"/>
      </w:pPr>
    </w:p>
    <w:p w:rsidR="009E06B9" w:rsidRDefault="009E06B9" w:rsidP="008A7610">
      <w:pPr>
        <w:pStyle w:val="ListParagraph"/>
      </w:pPr>
      <w:r>
        <w:lastRenderedPageBreak/>
        <w:t xml:space="preserve">In 1999, the Complainant’s father, Robert, received electric distribution service on two accounts associated with two different properties. </w:t>
      </w:r>
      <w:r w:rsidR="00182DA7">
        <w:t xml:space="preserve"> </w:t>
      </w:r>
      <w:r>
        <w:t>On</w:t>
      </w:r>
      <w:r w:rsidR="00182DA7">
        <w:t>e</w:t>
      </w:r>
      <w:r>
        <w:t xml:space="preserve"> property was on Burchfield Road in Allison Park (Burchfield service address); the other was on Middle Road in Glenshaw (Middle Road service address).</w:t>
      </w:r>
      <w:r w:rsidR="00182DA7">
        <w:t xml:space="preserve"> </w:t>
      </w:r>
      <w:r>
        <w:t xml:space="preserve"> (N.T. 29)</w:t>
      </w:r>
    </w:p>
    <w:p w:rsidR="007434B3" w:rsidRDefault="007434B3" w:rsidP="008A7610">
      <w:pPr>
        <w:pStyle w:val="ListParagraph"/>
        <w:numPr>
          <w:ilvl w:val="0"/>
          <w:numId w:val="0"/>
        </w:numPr>
        <w:ind w:left="1440"/>
      </w:pPr>
    </w:p>
    <w:p w:rsidR="009E06B9" w:rsidRDefault="009E06B9" w:rsidP="008A7610">
      <w:pPr>
        <w:pStyle w:val="ListParagraph"/>
      </w:pPr>
      <w:r>
        <w:t>On June 7, 1999, the Complainant contacted Duquesne Light and requested to place service at the Middle Road service address into his name.  Duquesne Light did not change the account number, but associated the Complainant’s social security number with the Middle Road service address and put the account in the Complainant’s name.  (N.T. 29</w:t>
      </w:r>
      <w:r w:rsidR="00D71DF5">
        <w:t>, 38</w:t>
      </w:r>
      <w:r>
        <w:t>)</w:t>
      </w:r>
    </w:p>
    <w:p w:rsidR="00182DA7" w:rsidRDefault="00182DA7" w:rsidP="008A7610">
      <w:pPr>
        <w:pStyle w:val="ListParagraph"/>
        <w:numPr>
          <w:ilvl w:val="0"/>
          <w:numId w:val="0"/>
        </w:numPr>
        <w:ind w:left="1440"/>
      </w:pPr>
    </w:p>
    <w:p w:rsidR="009E06B9" w:rsidRDefault="00D71DF5" w:rsidP="008A7610">
      <w:pPr>
        <w:pStyle w:val="ListParagraph"/>
      </w:pPr>
      <w:r>
        <w:t>On December 31, 2001</w:t>
      </w:r>
      <w:r w:rsidR="009E06B9">
        <w:t>, the Complainant contacted Duquesne Light and informed them that he was moving from the Middle Road service address, to his current address on Surrey Road.  (N.T. 30</w:t>
      </w:r>
      <w:r>
        <w:t>, 35</w:t>
      </w:r>
      <w:r w:rsidR="009E06B9">
        <w:t>)</w:t>
      </w:r>
    </w:p>
    <w:p w:rsidR="00182DA7" w:rsidRDefault="00182DA7" w:rsidP="008A7610">
      <w:pPr>
        <w:pStyle w:val="ListParagraph"/>
        <w:numPr>
          <w:ilvl w:val="0"/>
          <w:numId w:val="0"/>
        </w:numPr>
        <w:ind w:left="1440"/>
      </w:pPr>
    </w:p>
    <w:p w:rsidR="009E06B9" w:rsidRDefault="009E06B9" w:rsidP="008A7610">
      <w:pPr>
        <w:pStyle w:val="ListParagraph"/>
      </w:pPr>
      <w:r>
        <w:t xml:space="preserve">The Complainant’s father, Robert, passed away.  </w:t>
      </w:r>
      <w:r w:rsidR="00BB6BED">
        <w:t>On March 19, 2012</w:t>
      </w:r>
      <w:r>
        <w:t xml:space="preserve">, his mother, Irene, contacted Duquesne Light to request that the account for the Burchfield service address be placed into her name.  The account for the Burchfield service address was associated with Irene’s social security number. </w:t>
      </w:r>
      <w:r w:rsidR="00D71DF5">
        <w:t>The account number was not changed.</w:t>
      </w:r>
      <w:r>
        <w:t xml:space="preserve"> </w:t>
      </w:r>
      <w:r w:rsidR="0016725A">
        <w:t xml:space="preserve"> </w:t>
      </w:r>
      <w:r>
        <w:t>(N.T. 30</w:t>
      </w:r>
      <w:r w:rsidR="00BB6BED">
        <w:t>, 34</w:t>
      </w:r>
      <w:r w:rsidR="00D71DF5">
        <w:t>-35</w:t>
      </w:r>
      <w:r>
        <w:t>)</w:t>
      </w:r>
    </w:p>
    <w:p w:rsidR="00182DA7" w:rsidRDefault="00182DA7" w:rsidP="008A7610">
      <w:pPr>
        <w:pStyle w:val="ListParagraph"/>
        <w:numPr>
          <w:ilvl w:val="0"/>
          <w:numId w:val="0"/>
        </w:numPr>
        <w:ind w:left="1440"/>
      </w:pPr>
    </w:p>
    <w:p w:rsidR="0018564D" w:rsidRDefault="0018564D" w:rsidP="008A7610">
      <w:pPr>
        <w:pStyle w:val="ListParagraph"/>
      </w:pPr>
      <w:r>
        <w:t>Because Duquesne Light’s computer system at the time viewed the Burchfield service address as “connected” to the Surrey service address, Irene’s social security number was also placed on the account for the Surrey service address</w:t>
      </w:r>
      <w:r w:rsidR="00FD5671">
        <w:t xml:space="preserve"> and the Complainant’s social security number was removed</w:t>
      </w:r>
      <w:r>
        <w:t>.  (N.T. 33</w:t>
      </w:r>
      <w:r w:rsidR="00FD5671">
        <w:t>, 40</w:t>
      </w:r>
      <w:r>
        <w:t>)</w:t>
      </w:r>
    </w:p>
    <w:p w:rsidR="00182DA7" w:rsidRDefault="00182DA7" w:rsidP="008A7610">
      <w:pPr>
        <w:pStyle w:val="ListParagraph"/>
        <w:numPr>
          <w:ilvl w:val="0"/>
          <w:numId w:val="0"/>
        </w:numPr>
        <w:ind w:left="1440"/>
      </w:pPr>
    </w:p>
    <w:p w:rsidR="008F0643" w:rsidRDefault="00D71DF5" w:rsidP="008A7610">
      <w:pPr>
        <w:pStyle w:val="ListParagraph"/>
      </w:pPr>
      <w:r>
        <w:t>The error was not discovered until the Complainant contacted Duquesne Light about the termination of service at the Surrey service address.</w:t>
      </w:r>
      <w:r w:rsidR="009B7AC2">
        <w:t xml:space="preserve">  The correct social security number was placed on the account for the Surrey service address on August 18, 2014.</w:t>
      </w:r>
      <w:r>
        <w:t xml:space="preserve">  </w:t>
      </w:r>
    </w:p>
    <w:p w:rsidR="00D71DF5" w:rsidRDefault="00D71DF5" w:rsidP="008A7610">
      <w:pPr>
        <w:spacing w:after="0"/>
      </w:pPr>
      <w:r>
        <w:t>(N.T. 34</w:t>
      </w:r>
      <w:r w:rsidR="009B7AC2">
        <w:t>, 41</w:t>
      </w:r>
      <w:r>
        <w:t>)</w:t>
      </w:r>
    </w:p>
    <w:p w:rsidR="00182DA7" w:rsidRDefault="00182DA7" w:rsidP="008A7610">
      <w:pPr>
        <w:pStyle w:val="ListParagraph"/>
        <w:numPr>
          <w:ilvl w:val="0"/>
          <w:numId w:val="0"/>
        </w:numPr>
        <w:ind w:left="1440"/>
      </w:pPr>
    </w:p>
    <w:p w:rsidR="0016725A" w:rsidRDefault="00D71DF5" w:rsidP="008A7610">
      <w:pPr>
        <w:pStyle w:val="ListParagraph"/>
      </w:pPr>
      <w:r>
        <w:t xml:space="preserve">Neither Robert nor Irene ever lived at the Surrey service address.  </w:t>
      </w:r>
    </w:p>
    <w:p w:rsidR="00E01E77" w:rsidRDefault="00D71DF5" w:rsidP="008A7610">
      <w:pPr>
        <w:spacing w:after="0"/>
      </w:pPr>
      <w:r>
        <w:t>(N.T. 36)</w:t>
      </w:r>
    </w:p>
    <w:p w:rsidR="00E01E77" w:rsidRDefault="00E01E77" w:rsidP="00182DA7">
      <w:pPr>
        <w:spacing w:after="0"/>
        <w:jc w:val="center"/>
        <w:rPr>
          <w:u w:val="single"/>
        </w:rPr>
      </w:pPr>
      <w:r w:rsidRPr="00045955">
        <w:rPr>
          <w:u w:val="single"/>
        </w:rPr>
        <w:lastRenderedPageBreak/>
        <w:t>DISCUSSION</w:t>
      </w:r>
    </w:p>
    <w:p w:rsidR="00182DA7" w:rsidRPr="00045955" w:rsidRDefault="00182DA7" w:rsidP="00182DA7">
      <w:pPr>
        <w:spacing w:after="0"/>
        <w:jc w:val="center"/>
        <w:rPr>
          <w:u w:val="single"/>
        </w:rPr>
      </w:pPr>
    </w:p>
    <w:p w:rsidR="00E01E77" w:rsidRDefault="00E01E77" w:rsidP="00182DA7">
      <w:pPr>
        <w:spacing w:after="0"/>
        <w:ind w:firstLine="1440"/>
        <w:rPr>
          <w:szCs w:val="24"/>
        </w:rPr>
      </w:pPr>
      <w:r w:rsidRPr="00035CC2">
        <w:rPr>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035CC2">
        <w:rPr>
          <w:rStyle w:val="FootnoteReference"/>
          <w:szCs w:val="24"/>
        </w:rPr>
        <w:footnoteReference w:id="1"/>
      </w:r>
      <w:r w:rsidRPr="00035CC2">
        <w:rPr>
          <w:szCs w:val="24"/>
        </w:rPr>
        <w:t xml:space="preserve">  A person seeking affirmative relief from the Commission has the burden of proof.</w:t>
      </w:r>
      <w:r w:rsidRPr="00035CC2">
        <w:rPr>
          <w:rStyle w:val="FootnoteReference"/>
          <w:szCs w:val="24"/>
        </w:rPr>
        <w:footnoteReference w:id="2"/>
      </w:r>
    </w:p>
    <w:p w:rsidR="00182DA7" w:rsidRPr="00035CC2" w:rsidRDefault="00182DA7" w:rsidP="00182DA7">
      <w:pPr>
        <w:spacing w:after="0"/>
        <w:ind w:firstLine="1440"/>
        <w:rPr>
          <w:szCs w:val="24"/>
        </w:rPr>
      </w:pPr>
    </w:p>
    <w:p w:rsidR="00E01E77" w:rsidRDefault="00E01E77" w:rsidP="00182DA7">
      <w:pPr>
        <w:spacing w:after="0"/>
        <w:ind w:firstLine="1440"/>
        <w:rPr>
          <w:szCs w:val="24"/>
        </w:rPr>
      </w:pPr>
      <w:r w:rsidRPr="00035CC2">
        <w:rPr>
          <w:szCs w:val="24"/>
        </w:rPr>
        <w:t xml:space="preserve">In this matter, the Complainant is the party seeking affirmative relief from the Commission; therefore, he has the burden of proof.  This means that he has the duty to establish a fact by a preponderance of the evidence, and must show that </w:t>
      </w:r>
      <w:r>
        <w:rPr>
          <w:szCs w:val="24"/>
        </w:rPr>
        <w:t xml:space="preserve">the Company </w:t>
      </w:r>
      <w:r w:rsidRPr="00035CC2">
        <w:rPr>
          <w:szCs w:val="24"/>
        </w:rPr>
        <w:t>has violated the Public Utility Code or Commission regulations.</w:t>
      </w:r>
      <w:r w:rsidRPr="00035CC2">
        <w:rPr>
          <w:rStyle w:val="FootnoteReference"/>
          <w:szCs w:val="24"/>
        </w:rPr>
        <w:footnoteReference w:id="3"/>
      </w:r>
      <w:r w:rsidRPr="00035CC2">
        <w:rPr>
          <w:szCs w:val="24"/>
        </w:rPr>
        <w:t xml:space="preserve"> </w:t>
      </w:r>
    </w:p>
    <w:p w:rsidR="00182DA7" w:rsidRDefault="00182DA7" w:rsidP="00182DA7">
      <w:pPr>
        <w:spacing w:after="0"/>
        <w:ind w:firstLine="1440"/>
        <w:rPr>
          <w:szCs w:val="24"/>
        </w:rPr>
      </w:pPr>
    </w:p>
    <w:p w:rsidR="00BE0EE1" w:rsidRDefault="00BE0EE1" w:rsidP="00182DA7">
      <w:pPr>
        <w:spacing w:after="0"/>
      </w:pPr>
      <w:r>
        <w:tab/>
      </w:r>
      <w:r w:rsidRPr="00BE0EE1">
        <w:t>Section 1501 of the Code,</w:t>
      </w:r>
      <w:r>
        <w:rPr>
          <w:rStyle w:val="FootnoteReference"/>
        </w:rPr>
        <w:footnoteReference w:id="4"/>
      </w:r>
      <w:r w:rsidRPr="00BE0EE1">
        <w:t xml:space="preserve">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utility must furnish or employ.</w:t>
      </w:r>
      <w:r>
        <w:rPr>
          <w:rStyle w:val="FootnoteReference"/>
        </w:rPr>
        <w:footnoteReference w:id="5"/>
      </w:r>
      <w:r w:rsidRPr="00BE0EE1">
        <w:t xml:space="preserve">  </w:t>
      </w:r>
    </w:p>
    <w:p w:rsidR="00182DA7" w:rsidRDefault="00182DA7" w:rsidP="00182DA7">
      <w:pPr>
        <w:spacing w:after="0"/>
      </w:pPr>
    </w:p>
    <w:p w:rsidR="00182DA7" w:rsidRDefault="00182DA7" w:rsidP="00182DA7">
      <w:pPr>
        <w:spacing w:after="0"/>
      </w:pPr>
    </w:p>
    <w:p w:rsidR="003E262F" w:rsidRDefault="003E262F" w:rsidP="008A7610">
      <w:pPr>
        <w:spacing w:after="0"/>
      </w:pPr>
      <w:r>
        <w:lastRenderedPageBreak/>
        <w:tab/>
        <w:t>Termination of service is an extreme measure</w:t>
      </w:r>
      <w:r w:rsidR="00451E36">
        <w:t xml:space="preserve">.  Therefore, </w:t>
      </w:r>
      <w:r>
        <w:t>Section 1406 of the Public Utility Code</w:t>
      </w:r>
      <w:r w:rsidR="007A306E">
        <w:rPr>
          <w:rStyle w:val="FootnoteReference"/>
        </w:rPr>
        <w:footnoteReference w:id="6"/>
      </w:r>
      <w:r>
        <w:t xml:space="preserve"> sets forth the procedures necessary for a public utility to terminate service to a custo</w:t>
      </w:r>
      <w:r w:rsidR="00451E36">
        <w:t>mer:</w:t>
      </w:r>
    </w:p>
    <w:p w:rsidR="00451E36" w:rsidRDefault="00451E36" w:rsidP="008A7610">
      <w:pPr>
        <w:spacing w:after="0" w:line="240" w:lineRule="auto"/>
        <w:ind w:left="1440" w:right="1440"/>
      </w:pPr>
      <w:r>
        <w:tab/>
        <w:t>(a)</w:t>
      </w:r>
      <w:r>
        <w:tab/>
        <w:t>Authorized termination.  A public utility may notify a customer and terminate service provided to a customer after notice as provided in subsection (b) for any of the following actions by the customer:</w:t>
      </w:r>
    </w:p>
    <w:p w:rsidR="00693671" w:rsidRDefault="00693671" w:rsidP="008A7610">
      <w:pPr>
        <w:spacing w:after="0" w:line="240" w:lineRule="auto"/>
        <w:ind w:left="1440" w:right="1440"/>
      </w:pPr>
    </w:p>
    <w:p w:rsidR="00451E36" w:rsidRDefault="00451E36" w:rsidP="008A7610">
      <w:pPr>
        <w:spacing w:after="0" w:line="240" w:lineRule="auto"/>
        <w:ind w:left="1440" w:right="1440"/>
      </w:pPr>
      <w:r>
        <w:tab/>
      </w:r>
      <w:r>
        <w:tab/>
        <w:t>(1)</w:t>
      </w:r>
      <w:r>
        <w:tab/>
        <w:t>Nonpayment of an undisputed delinquent account.</w:t>
      </w:r>
    </w:p>
    <w:p w:rsidR="00451E36" w:rsidRDefault="00451E36" w:rsidP="008A7610">
      <w:pPr>
        <w:spacing w:after="0" w:line="240" w:lineRule="auto"/>
        <w:ind w:left="1440" w:right="1440"/>
      </w:pPr>
      <w:r>
        <w:t xml:space="preserve">. . . </w:t>
      </w:r>
    </w:p>
    <w:p w:rsidR="00A72C6D" w:rsidRDefault="00A72C6D" w:rsidP="008A7610">
      <w:pPr>
        <w:spacing w:after="0" w:line="240" w:lineRule="auto"/>
        <w:ind w:left="1440" w:right="1440"/>
      </w:pPr>
    </w:p>
    <w:p w:rsidR="00451E36" w:rsidRDefault="00451E36" w:rsidP="008A7610">
      <w:pPr>
        <w:spacing w:after="0" w:line="240" w:lineRule="auto"/>
        <w:ind w:left="1440" w:right="1440"/>
      </w:pPr>
      <w:r>
        <w:tab/>
        <w:t>(b)</w:t>
      </w:r>
      <w:r>
        <w:tab/>
        <w:t xml:space="preserve">Notice of termination of service. </w:t>
      </w:r>
    </w:p>
    <w:p w:rsidR="00693671" w:rsidRDefault="00693671" w:rsidP="008A7610">
      <w:pPr>
        <w:spacing w:after="0" w:line="240" w:lineRule="auto"/>
        <w:ind w:left="1440" w:right="1440"/>
      </w:pPr>
    </w:p>
    <w:p w:rsidR="00451E36" w:rsidRDefault="00451E36" w:rsidP="008A7610">
      <w:pPr>
        <w:spacing w:after="0" w:line="240" w:lineRule="auto"/>
        <w:ind w:left="1440" w:right="1440"/>
      </w:pPr>
      <w:r>
        <w:tab/>
      </w:r>
      <w:r>
        <w:tab/>
        <w:t>(1) Prior to terminating service under subsection (a), a public utility:</w:t>
      </w:r>
    </w:p>
    <w:p w:rsidR="00A72C6D" w:rsidRDefault="00A72C6D" w:rsidP="008A7610">
      <w:pPr>
        <w:spacing w:after="0" w:line="240" w:lineRule="auto"/>
        <w:ind w:left="1440" w:right="1440"/>
      </w:pPr>
    </w:p>
    <w:p w:rsidR="00451E36" w:rsidRDefault="00451E36" w:rsidP="008A7610">
      <w:pPr>
        <w:spacing w:after="0" w:line="240" w:lineRule="auto"/>
        <w:ind w:left="1440" w:right="1440"/>
      </w:pPr>
      <w:r>
        <w:tab/>
      </w:r>
      <w:r>
        <w:tab/>
      </w:r>
      <w:r>
        <w:tab/>
        <w:t>(</w:t>
      </w:r>
      <w:proofErr w:type="spellStart"/>
      <w:r>
        <w:t>i</w:t>
      </w:r>
      <w:proofErr w:type="spellEnd"/>
      <w:r>
        <w:t>)</w:t>
      </w:r>
      <w:r>
        <w:tab/>
        <w:t>Shall provide written notice of the termination to the customer at least ten days prior to the date of the proposed termination.  The termination notice shall remain in effect for 60 days.</w:t>
      </w:r>
    </w:p>
    <w:p w:rsidR="00693671" w:rsidRDefault="00693671" w:rsidP="008A7610">
      <w:pPr>
        <w:spacing w:after="0" w:line="240" w:lineRule="auto"/>
        <w:ind w:left="1440" w:right="1440"/>
      </w:pPr>
    </w:p>
    <w:p w:rsidR="00451E36" w:rsidRDefault="00451E36" w:rsidP="008A7610">
      <w:pPr>
        <w:spacing w:after="0" w:line="240" w:lineRule="auto"/>
        <w:ind w:left="1440" w:right="1440"/>
      </w:pPr>
      <w:r>
        <w:tab/>
      </w:r>
      <w:r>
        <w:tab/>
      </w:r>
      <w:r>
        <w:tab/>
        <w:t>(ii)</w:t>
      </w:r>
      <w:r>
        <w:tab/>
        <w:t xml:space="preserve">Shall attempt to contact the customer or occupant, either in person or by telephone, to provide notice of the proposed termination at least three days prior to the scheduled termination.  Phone contact shall be deemed complete upon attempted calls on two separate days to the residence between the hours of 7 a.m. and 9 p.m. if the calls were made </w:t>
      </w:r>
      <w:r w:rsidR="00EA26C2">
        <w:t>at</w:t>
      </w:r>
      <w:r>
        <w:t xml:space="preserve"> various times each day.</w:t>
      </w:r>
    </w:p>
    <w:p w:rsidR="00451E36" w:rsidRDefault="00451E36" w:rsidP="008A7610">
      <w:pPr>
        <w:spacing w:after="0" w:line="240" w:lineRule="auto"/>
        <w:ind w:left="1440" w:right="1440"/>
      </w:pPr>
      <w:r>
        <w:t xml:space="preserve">. . . </w:t>
      </w:r>
    </w:p>
    <w:p w:rsidR="00451E36" w:rsidRDefault="00451E36" w:rsidP="008A7610">
      <w:pPr>
        <w:spacing w:after="0" w:line="240" w:lineRule="auto"/>
        <w:ind w:left="1440" w:right="1440"/>
      </w:pPr>
      <w:r>
        <w:tab/>
      </w:r>
      <w:r>
        <w:tab/>
      </w:r>
      <w:r>
        <w:tab/>
      </w:r>
      <w:proofErr w:type="gramStart"/>
      <w:r>
        <w:t>(iv)</w:t>
      </w:r>
      <w:r>
        <w:tab/>
        <w:t>A</w:t>
      </w:r>
      <w:r w:rsidR="00F1093B">
        <w:t>fter</w:t>
      </w:r>
      <w:proofErr w:type="gramEnd"/>
      <w:r w:rsidR="00F1093B">
        <w:t xml:space="preserve"> complying with paragraphs (</w:t>
      </w:r>
      <w:r>
        <w:t>ii) and (iii), the public utility shall attempt to make personal contact with the customer or responsible adult at the time service is terminated.  Termination of service shall not be delayed for failure to make personal contact.</w:t>
      </w:r>
    </w:p>
    <w:p w:rsidR="009F69C1" w:rsidRDefault="009F69C1" w:rsidP="008A7610">
      <w:pPr>
        <w:spacing w:after="0" w:line="240" w:lineRule="auto"/>
        <w:ind w:left="1440" w:right="1440"/>
      </w:pPr>
      <w:r>
        <w:t>. . .</w:t>
      </w:r>
    </w:p>
    <w:p w:rsidR="00A72C6D" w:rsidRDefault="00A72C6D" w:rsidP="008A7610">
      <w:pPr>
        <w:spacing w:after="0" w:line="240" w:lineRule="auto"/>
        <w:ind w:left="1440" w:right="1440"/>
      </w:pPr>
    </w:p>
    <w:p w:rsidR="00D71CA4" w:rsidRDefault="00451E36" w:rsidP="008A7610">
      <w:pPr>
        <w:spacing w:after="0"/>
      </w:pPr>
      <w:r>
        <w:tab/>
      </w:r>
      <w:r w:rsidR="00D71CA4">
        <w:t>I must find that the Complainant failed to prove that Duquesne Light violat</w:t>
      </w:r>
      <w:r w:rsidR="003D6287">
        <w:t>ed</w:t>
      </w:r>
      <w:r w:rsidR="00D71CA4">
        <w:t xml:space="preserve"> the termination procedures in the Public Utility Code.  T</w:t>
      </w:r>
      <w:r>
        <w:t>he Complainant does not deny that his account was delinquent.  Nor does he claim that he did not receive the ten day written notice required by Section (b)(1).</w:t>
      </w:r>
      <w:r w:rsidR="009F69C1">
        <w:t xml:space="preserve">  </w:t>
      </w:r>
      <w:r w:rsidR="00D71CA4">
        <w:t xml:space="preserve">The termination notice notified the Complainant that he was required </w:t>
      </w:r>
      <w:r w:rsidR="00D71CA4">
        <w:lastRenderedPageBreak/>
        <w:t>to pay $267.46 before August 8, 2014, to avoid termination.  The Complainant attempted to m</w:t>
      </w:r>
      <w:r w:rsidR="009830DE">
        <w:t>ake a payment of $250, less than</w:t>
      </w:r>
      <w:r w:rsidR="00D71CA4">
        <w:t xml:space="preserve"> the requested amount, on August 9, 2014, the date after the deadline provided in the notice.  The Complainant admits that he did not contact Duquesne Light by telephone as instructed by the termination notice.</w:t>
      </w:r>
    </w:p>
    <w:p w:rsidR="00A72C6D" w:rsidRDefault="00A72C6D" w:rsidP="006D13E5">
      <w:pPr>
        <w:spacing w:after="0"/>
      </w:pPr>
    </w:p>
    <w:p w:rsidR="00E37B47" w:rsidRDefault="00E37B47" w:rsidP="006D13E5">
      <w:pPr>
        <w:spacing w:after="0"/>
      </w:pPr>
      <w:r>
        <w:tab/>
        <w:t xml:space="preserve">Duquesne Light offered no explanation for why the payment made by the Complainant via Duquesne Light’s website on August 9, 2014, was not posted to his account until ten days later, on August 19, 2014. </w:t>
      </w:r>
      <w:r w:rsidR="00D71CA4">
        <w:t xml:space="preserve"> Yet, t</w:t>
      </w:r>
      <w:r>
        <w:t>he written termination notice sent to the Complainant does not state that a payment made via Duquesne Light’s website is not an appropriate method to pay a past due balance upon receipt of the termination notice.</w:t>
      </w:r>
      <w:r w:rsidR="003D6287">
        <w:t xml:space="preserve">  But t</w:t>
      </w:r>
      <w:r w:rsidR="00D71CA4">
        <w:t xml:space="preserve">he Complainant did not offer into evidence any receipt or documentation in support of his </w:t>
      </w:r>
      <w:r w:rsidR="003D6287">
        <w:t xml:space="preserve">claim that he made the payment and verified </w:t>
      </w:r>
      <w:r w:rsidR="00D71CA4">
        <w:t>that it was effective on August 9, 2014.  It is the Complainant who bears the burden of proof.  Therefore, I cannot conclude that Duquesne Light did not render proper customer service.</w:t>
      </w:r>
    </w:p>
    <w:p w:rsidR="003F1652" w:rsidRDefault="003F1652" w:rsidP="006D13E5">
      <w:pPr>
        <w:spacing w:after="0"/>
      </w:pPr>
    </w:p>
    <w:p w:rsidR="006D13E5" w:rsidRDefault="00E37B47" w:rsidP="006D13E5">
      <w:pPr>
        <w:spacing w:after="0"/>
      </w:pPr>
      <w:r>
        <w:tab/>
      </w:r>
      <w:r w:rsidR="008C711E">
        <w:t xml:space="preserve">However, I do find that </w:t>
      </w:r>
      <w:r>
        <w:t xml:space="preserve">Duquesne </w:t>
      </w:r>
      <w:r w:rsidR="008C711E">
        <w:t>Light failed</w:t>
      </w:r>
      <w:r>
        <w:t xml:space="preserve"> to maintain the integrity of the Complainant’s account information and the account information of another customer of Duquesne Light.  Duquesne Light’s witness testified that the Complainant’s social security number associated with his service address was removed in 2012, and </w:t>
      </w:r>
      <w:r w:rsidR="00CB41EA">
        <w:t>the</w:t>
      </w:r>
      <w:r>
        <w:t xml:space="preserve"> social security number </w:t>
      </w:r>
      <w:r w:rsidR="00CB41EA">
        <w:t xml:space="preserve">of another person was placed on </w:t>
      </w:r>
      <w:r>
        <w:t xml:space="preserve">his account.  </w:t>
      </w:r>
      <w:r w:rsidR="00C32172">
        <w:t>Since the error was not discovered until the Complainant called customer service to resolve the termination of his electricity service,</w:t>
      </w:r>
      <w:r w:rsidR="00293EA1">
        <w:t xml:space="preserve"> the implication is that the company did not notify the Complainant that a change in the identifying information on his account had been changed.  I</w:t>
      </w:r>
      <w:r w:rsidR="00C32172">
        <w:t>t is</w:t>
      </w:r>
      <w:r w:rsidR="00293EA1">
        <w:t xml:space="preserve"> also</w:t>
      </w:r>
      <w:r w:rsidR="00C32172">
        <w:t xml:space="preserve"> unlikely that the other customer was notified that her social security number was associated with another Duquesne Light account.</w:t>
      </w:r>
      <w:r w:rsidR="004109BB">
        <w:t xml:space="preserve"> </w:t>
      </w:r>
      <w:r w:rsidR="006D13E5">
        <w:t xml:space="preserve"> </w:t>
      </w:r>
      <w:r w:rsidR="004109BB">
        <w:t>In other cases Duquesne Light has explained that a social security number is an important feature to correctly identify a customer and provide access to account information.  Indeed, the Complainant testified that the customer service representative required him to confirm the last four digits of his social security number as a precondition to speaking with him about the account.</w:t>
      </w:r>
      <w:r w:rsidR="0070513E">
        <w:t xml:space="preserve">  Apparently the account was later updated with the correct information, but the </w:t>
      </w:r>
      <w:r w:rsidR="008572B1">
        <w:t xml:space="preserve">source </w:t>
      </w:r>
    </w:p>
    <w:p w:rsidR="00E01E77" w:rsidRDefault="008572B1" w:rsidP="006D13E5">
      <w:pPr>
        <w:spacing w:after="0"/>
      </w:pPr>
      <w:r>
        <w:lastRenderedPageBreak/>
        <w:t>of the error was not discovered until after the Complainant filed this complaint with the Commission.</w:t>
      </w:r>
      <w:r w:rsidR="001E50D0">
        <w:rPr>
          <w:rStyle w:val="FootnoteReference"/>
        </w:rPr>
        <w:footnoteReference w:id="7"/>
      </w:r>
      <w:r w:rsidR="00F61AAD">
        <w:t xml:space="preserve">  I find that this failure to maintain the integrity of the Complainant’s personal and sensitive information on his account is a violation of Section 1501 of the Public Utility Code.</w:t>
      </w:r>
      <w:r w:rsidR="00953008">
        <w:rPr>
          <w:rStyle w:val="FootnoteReference"/>
        </w:rPr>
        <w:footnoteReference w:id="8"/>
      </w:r>
    </w:p>
    <w:p w:rsidR="006D13E5" w:rsidRDefault="006D13E5" w:rsidP="006D13E5">
      <w:pPr>
        <w:spacing w:after="0"/>
      </w:pPr>
    </w:p>
    <w:p w:rsidR="00BC4649" w:rsidRDefault="00BC4649" w:rsidP="00BC4649">
      <w:pPr>
        <w:spacing w:after="0"/>
        <w:ind w:firstLine="1440"/>
        <w:rPr>
          <w:szCs w:val="24"/>
        </w:rPr>
      </w:pPr>
      <w:r>
        <w:rPr>
          <w:szCs w:val="24"/>
        </w:rPr>
        <w:t xml:space="preserve">Having concluded that Duquesne Light violated the Public Utility Code by failing to provide reasonable service, it is appropriate to consider the assessment of a civil penalty. </w:t>
      </w:r>
      <w:r w:rsidRPr="0098528A">
        <w:rPr>
          <w:snapToGrid w:val="0"/>
          <w:szCs w:val="24"/>
        </w:rPr>
        <w:t>Section 3301 of the Public Utility Code provides that if any public utility fails to comply with any Commission regulation it shall forfeit and pay to the Commonwealth a sum not exceeding $1,000.00 per day of violation.</w:t>
      </w:r>
      <w:r w:rsidRPr="0098528A">
        <w:rPr>
          <w:rStyle w:val="FootnoteReference"/>
          <w:snapToGrid w:val="0"/>
          <w:szCs w:val="24"/>
        </w:rPr>
        <w:footnoteReference w:id="9"/>
      </w:r>
      <w:r w:rsidRPr="0098528A">
        <w:rPr>
          <w:snapToGrid w:val="0"/>
          <w:szCs w:val="24"/>
        </w:rPr>
        <w:t xml:space="preserve">  To implement this section, the Commission has adopted certain standards that must be applied when imposing a civil penalty for violations of Commission directives and regulations.</w:t>
      </w:r>
      <w:r w:rsidRPr="0098528A">
        <w:rPr>
          <w:rStyle w:val="FootnoteReference"/>
          <w:snapToGrid w:val="0"/>
          <w:szCs w:val="24"/>
        </w:rPr>
        <w:footnoteReference w:id="10"/>
      </w:r>
      <w:r w:rsidRPr="0098528A">
        <w:rPr>
          <w:snapToGrid w:val="0"/>
          <w:szCs w:val="24"/>
        </w:rPr>
        <w:t xml:space="preserve">  </w:t>
      </w:r>
      <w:r w:rsidRPr="0098528A">
        <w:rPr>
          <w:szCs w:val="24"/>
        </w:rPr>
        <w:t>Section 69.1201(a) of the Commission’s regulations states:</w:t>
      </w:r>
    </w:p>
    <w:p w:rsidR="00BC4649" w:rsidRPr="0098528A" w:rsidRDefault="00BC4649" w:rsidP="00BC4649">
      <w:pPr>
        <w:spacing w:after="0" w:line="240" w:lineRule="auto"/>
        <w:ind w:firstLine="1440"/>
        <w:rPr>
          <w:szCs w:val="24"/>
        </w:rPr>
      </w:pPr>
    </w:p>
    <w:p w:rsidR="00BC4649" w:rsidRPr="0098528A" w:rsidRDefault="00BC4649" w:rsidP="00BC4649">
      <w:pPr>
        <w:spacing w:after="0" w:line="240" w:lineRule="auto"/>
        <w:ind w:left="1440" w:right="1440"/>
        <w:rPr>
          <w:szCs w:val="24"/>
        </w:rPr>
      </w:pPr>
      <w:r w:rsidRPr="0098528A">
        <w:rPr>
          <w:szCs w:val="24"/>
        </w:rPr>
        <w:t>The Commission will consider specific factors and standards in evaluating litigated … cases involving violations of 66 Pa.C.S. (relating to the Public Utility Code) and this title.  These factors and standards will be utilized by the Commission in determining if a fine for violating a Commission order, regulation or statute is appropriate.</w:t>
      </w:r>
      <w:r w:rsidRPr="0098528A">
        <w:rPr>
          <w:rStyle w:val="FootnoteReference"/>
          <w:szCs w:val="24"/>
        </w:rPr>
        <w:footnoteReference w:id="11"/>
      </w:r>
      <w:r w:rsidRPr="0098528A">
        <w:rPr>
          <w:szCs w:val="24"/>
        </w:rPr>
        <w:t xml:space="preserve">  </w:t>
      </w:r>
    </w:p>
    <w:p w:rsidR="00BC4649" w:rsidRPr="0098528A" w:rsidRDefault="00BC4649" w:rsidP="00BC4649">
      <w:pPr>
        <w:spacing w:after="0"/>
        <w:ind w:left="1440" w:right="1440"/>
        <w:rPr>
          <w:szCs w:val="24"/>
        </w:rPr>
      </w:pPr>
    </w:p>
    <w:p w:rsidR="00BC4649" w:rsidRPr="0098528A" w:rsidRDefault="00BC4649" w:rsidP="00BC4649">
      <w:pPr>
        <w:spacing w:after="0" w:line="240" w:lineRule="auto"/>
        <w:outlineLvl w:val="0"/>
        <w:rPr>
          <w:szCs w:val="24"/>
        </w:rPr>
      </w:pPr>
      <w:r w:rsidRPr="0098528A">
        <w:rPr>
          <w:szCs w:val="24"/>
        </w:rPr>
        <w:t>These factors and standards to be considered are enumerated in subsection (c):</w:t>
      </w:r>
    </w:p>
    <w:p w:rsidR="00BC4649" w:rsidRPr="0098528A" w:rsidRDefault="00BC4649" w:rsidP="00BC4649">
      <w:pPr>
        <w:spacing w:after="0" w:line="240" w:lineRule="auto"/>
        <w:ind w:left="1440" w:right="1440"/>
        <w:rPr>
          <w:szCs w:val="24"/>
        </w:rPr>
      </w:pPr>
    </w:p>
    <w:p w:rsidR="00BC4649" w:rsidRDefault="00BC4649" w:rsidP="00BC4649">
      <w:pPr>
        <w:spacing w:after="0" w:line="240" w:lineRule="auto"/>
        <w:ind w:left="1440" w:right="1440" w:firstLine="720"/>
        <w:rPr>
          <w:szCs w:val="24"/>
        </w:rPr>
      </w:pPr>
      <w:r w:rsidRPr="0098528A">
        <w:rPr>
          <w:szCs w:val="24"/>
        </w:rPr>
        <w:t>(1)</w:t>
      </w:r>
      <w:r w:rsidRPr="0098528A">
        <w:rPr>
          <w:szCs w:val="24"/>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BC4649" w:rsidRDefault="00BC4649" w:rsidP="00BC4649">
      <w:pPr>
        <w:spacing w:after="0" w:line="240" w:lineRule="auto"/>
        <w:ind w:left="1440" w:right="1440" w:firstLine="720"/>
        <w:rPr>
          <w:szCs w:val="24"/>
        </w:rPr>
      </w:pPr>
    </w:p>
    <w:p w:rsidR="00BC4649" w:rsidRDefault="00BC4649" w:rsidP="00C9206C">
      <w:pPr>
        <w:spacing w:after="0" w:line="240" w:lineRule="auto"/>
        <w:ind w:left="1440" w:right="1440" w:firstLine="720"/>
        <w:rPr>
          <w:szCs w:val="24"/>
        </w:rPr>
      </w:pPr>
      <w:r w:rsidRPr="0098528A">
        <w:rPr>
          <w:szCs w:val="24"/>
        </w:rPr>
        <w:t>(2)</w:t>
      </w:r>
      <w:r w:rsidRPr="0098528A">
        <w:rPr>
          <w:szCs w:val="24"/>
        </w:rPr>
        <w:tab/>
        <w:t xml:space="preserve">Whether the resulting consequences of the conduct at issue were of a serious nature.  When consequences of a serious </w:t>
      </w:r>
      <w:r w:rsidRPr="0098528A">
        <w:rPr>
          <w:szCs w:val="24"/>
        </w:rPr>
        <w:lastRenderedPageBreak/>
        <w:t>nature are involved, such as personal injury or property damage, the consequences may warrant a higher penalty.</w:t>
      </w:r>
    </w:p>
    <w:p w:rsidR="00BC4649" w:rsidRDefault="00BC4649" w:rsidP="00C9206C">
      <w:pPr>
        <w:spacing w:after="0" w:line="240" w:lineRule="auto"/>
        <w:ind w:left="1440" w:right="1440" w:firstLine="720"/>
        <w:rPr>
          <w:szCs w:val="24"/>
        </w:rPr>
      </w:pPr>
    </w:p>
    <w:p w:rsidR="00BC4649" w:rsidRDefault="00BC4649" w:rsidP="00C9206C">
      <w:pPr>
        <w:spacing w:after="0" w:line="240" w:lineRule="auto"/>
        <w:ind w:left="1440" w:right="1440" w:firstLine="720"/>
        <w:rPr>
          <w:szCs w:val="24"/>
        </w:rPr>
      </w:pPr>
      <w:r w:rsidRPr="0098528A">
        <w:rPr>
          <w:szCs w:val="24"/>
        </w:rPr>
        <w:t>(3)</w:t>
      </w:r>
      <w:r w:rsidRPr="0098528A">
        <w:rPr>
          <w:szCs w:val="24"/>
        </w:rPr>
        <w:tab/>
        <w:t>Whether the conduct at issue was deemed intentional or negligent.  This factor may only be considered in evaluating litigated cases.  When conduct has been deemed intentional, the conduct may result in a higher penalty.</w:t>
      </w:r>
    </w:p>
    <w:p w:rsidR="00BC4649" w:rsidRPr="0098528A" w:rsidRDefault="00BC4649" w:rsidP="00C9206C">
      <w:pPr>
        <w:spacing w:after="0" w:line="240" w:lineRule="auto"/>
        <w:ind w:left="1440" w:right="1440" w:firstLine="720"/>
        <w:rPr>
          <w:szCs w:val="24"/>
        </w:rPr>
      </w:pPr>
    </w:p>
    <w:p w:rsidR="00BC4649" w:rsidRDefault="00BC4649" w:rsidP="00C9206C">
      <w:pPr>
        <w:spacing w:after="0" w:line="240" w:lineRule="auto"/>
        <w:ind w:left="1440" w:right="1440" w:firstLine="720"/>
        <w:rPr>
          <w:szCs w:val="24"/>
        </w:rPr>
      </w:pPr>
      <w:r w:rsidRPr="0098528A">
        <w:rPr>
          <w:szCs w:val="24"/>
        </w:rPr>
        <w:t>(4)</w:t>
      </w:r>
      <w:r w:rsidRPr="0098528A">
        <w:rPr>
          <w:szCs w:val="24"/>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BC4649" w:rsidRPr="0098528A" w:rsidRDefault="00BC4649" w:rsidP="00C9206C">
      <w:pPr>
        <w:spacing w:after="0" w:line="240" w:lineRule="auto"/>
        <w:ind w:left="1440" w:right="1440" w:firstLine="720"/>
        <w:rPr>
          <w:szCs w:val="24"/>
        </w:rPr>
      </w:pPr>
    </w:p>
    <w:p w:rsidR="00BC4649" w:rsidRDefault="00BC4649" w:rsidP="00C9206C">
      <w:pPr>
        <w:spacing w:after="0" w:line="240" w:lineRule="auto"/>
        <w:ind w:left="1440" w:right="1440" w:firstLine="720"/>
        <w:rPr>
          <w:szCs w:val="24"/>
        </w:rPr>
      </w:pPr>
      <w:r w:rsidRPr="0098528A">
        <w:rPr>
          <w:szCs w:val="24"/>
        </w:rPr>
        <w:t>(5)</w:t>
      </w:r>
      <w:r w:rsidRPr="0098528A">
        <w:rPr>
          <w:szCs w:val="24"/>
        </w:rPr>
        <w:tab/>
        <w:t>The number of customers affected and the duration of the violation.</w:t>
      </w:r>
    </w:p>
    <w:p w:rsidR="00BC4649" w:rsidRPr="0098528A" w:rsidRDefault="00BC4649" w:rsidP="00C9206C">
      <w:pPr>
        <w:spacing w:after="0" w:line="240" w:lineRule="auto"/>
        <w:ind w:left="1440" w:right="1440" w:firstLine="720"/>
        <w:rPr>
          <w:szCs w:val="24"/>
        </w:rPr>
      </w:pPr>
    </w:p>
    <w:p w:rsidR="00BC4649" w:rsidRDefault="00BC4649" w:rsidP="00C9206C">
      <w:pPr>
        <w:spacing w:after="0" w:line="240" w:lineRule="auto"/>
        <w:ind w:left="1440" w:right="1440" w:firstLine="720"/>
        <w:rPr>
          <w:szCs w:val="24"/>
        </w:rPr>
      </w:pPr>
      <w:r w:rsidRPr="0098528A">
        <w:rPr>
          <w:szCs w:val="24"/>
        </w:rPr>
        <w:t>(6)</w:t>
      </w:r>
      <w:r w:rsidRPr="0098528A">
        <w:rPr>
          <w:szCs w:val="24"/>
        </w:rPr>
        <w:tab/>
        <w:t>The compliance history of the regulated entity which committed the violation.  An isolated incident from an otherwise compliant utility may result in a lower penalty, whereas frequent, recurrent violations by a utility may result in a higher penalty.</w:t>
      </w:r>
    </w:p>
    <w:p w:rsidR="00BC4649" w:rsidRPr="0098528A" w:rsidRDefault="00BC4649" w:rsidP="00C9206C">
      <w:pPr>
        <w:spacing w:after="0" w:line="240" w:lineRule="auto"/>
        <w:ind w:left="1440" w:right="1440" w:firstLine="720"/>
        <w:rPr>
          <w:szCs w:val="24"/>
        </w:rPr>
      </w:pPr>
    </w:p>
    <w:p w:rsidR="00BC4649" w:rsidRDefault="00BC4649" w:rsidP="00C9206C">
      <w:pPr>
        <w:spacing w:after="0" w:line="240" w:lineRule="auto"/>
        <w:ind w:left="1440" w:right="1440" w:firstLine="720"/>
        <w:rPr>
          <w:szCs w:val="24"/>
        </w:rPr>
      </w:pPr>
      <w:r w:rsidRPr="0098528A">
        <w:rPr>
          <w:szCs w:val="24"/>
        </w:rPr>
        <w:t>(7)</w:t>
      </w:r>
      <w:r w:rsidRPr="0098528A">
        <w:rPr>
          <w:szCs w:val="24"/>
        </w:rPr>
        <w:tab/>
        <w:t>Whether the regulated entity cooperated with the Commission’s investigation.  Facts establishing bad faith, active concealment of violations or attempts to interfere with Commission investigations may result in a higher penalty.</w:t>
      </w:r>
    </w:p>
    <w:p w:rsidR="00BC4649" w:rsidRPr="0098528A" w:rsidRDefault="00BC4649" w:rsidP="00C9206C">
      <w:pPr>
        <w:spacing w:after="0" w:line="240" w:lineRule="auto"/>
        <w:ind w:left="1440" w:right="1440" w:firstLine="720"/>
        <w:rPr>
          <w:szCs w:val="24"/>
        </w:rPr>
      </w:pPr>
    </w:p>
    <w:p w:rsidR="00BC4649" w:rsidRDefault="00BC4649" w:rsidP="00C9206C">
      <w:pPr>
        <w:spacing w:after="0" w:line="240" w:lineRule="auto"/>
        <w:ind w:left="1440" w:right="1440" w:firstLine="720"/>
        <w:rPr>
          <w:szCs w:val="24"/>
        </w:rPr>
      </w:pPr>
      <w:r w:rsidRPr="0098528A">
        <w:rPr>
          <w:szCs w:val="24"/>
        </w:rPr>
        <w:t>(8)</w:t>
      </w:r>
      <w:r w:rsidRPr="0098528A">
        <w:rPr>
          <w:szCs w:val="24"/>
        </w:rPr>
        <w:tab/>
        <w:t>The amount of the civil penalty or fine necessary to deter future violations.  The size of the utility may be considered to determine an appropriate penalty amount.</w:t>
      </w:r>
    </w:p>
    <w:p w:rsidR="00BC4649" w:rsidRPr="0098528A" w:rsidRDefault="00BC4649" w:rsidP="00C9206C">
      <w:pPr>
        <w:spacing w:after="0" w:line="240" w:lineRule="auto"/>
        <w:ind w:left="1440" w:right="1440" w:firstLine="720"/>
        <w:rPr>
          <w:szCs w:val="24"/>
        </w:rPr>
      </w:pPr>
    </w:p>
    <w:p w:rsidR="00BC4649" w:rsidRDefault="00BC4649" w:rsidP="00C9206C">
      <w:pPr>
        <w:spacing w:after="0" w:line="240" w:lineRule="auto"/>
        <w:ind w:left="1440" w:right="1440" w:firstLine="720"/>
        <w:rPr>
          <w:szCs w:val="24"/>
        </w:rPr>
      </w:pPr>
      <w:r w:rsidRPr="0098528A">
        <w:rPr>
          <w:szCs w:val="24"/>
        </w:rPr>
        <w:t>(9)</w:t>
      </w:r>
      <w:r w:rsidRPr="0098528A">
        <w:rPr>
          <w:szCs w:val="24"/>
        </w:rPr>
        <w:tab/>
        <w:t>Past Commission decision</w:t>
      </w:r>
      <w:r>
        <w:rPr>
          <w:szCs w:val="24"/>
        </w:rPr>
        <w:t>s</w:t>
      </w:r>
      <w:r w:rsidRPr="0098528A">
        <w:rPr>
          <w:szCs w:val="24"/>
        </w:rPr>
        <w:t xml:space="preserve"> in similar situations.</w:t>
      </w:r>
    </w:p>
    <w:p w:rsidR="00BC4649" w:rsidRPr="0098528A" w:rsidRDefault="00BC4649" w:rsidP="00C9206C">
      <w:pPr>
        <w:spacing w:after="0" w:line="240" w:lineRule="auto"/>
        <w:ind w:left="1440" w:right="1440" w:firstLine="720"/>
        <w:rPr>
          <w:szCs w:val="24"/>
        </w:rPr>
      </w:pPr>
    </w:p>
    <w:p w:rsidR="00BC4649" w:rsidRDefault="00BC4649" w:rsidP="00C9206C">
      <w:pPr>
        <w:spacing w:after="0" w:line="240" w:lineRule="auto"/>
        <w:ind w:left="720" w:right="1440" w:firstLine="1440"/>
        <w:rPr>
          <w:szCs w:val="24"/>
        </w:rPr>
      </w:pPr>
      <w:r w:rsidRPr="0098528A">
        <w:rPr>
          <w:szCs w:val="24"/>
        </w:rPr>
        <w:t>(10)</w:t>
      </w:r>
      <w:r w:rsidRPr="0098528A">
        <w:rPr>
          <w:szCs w:val="24"/>
        </w:rPr>
        <w:tab/>
        <w:t>Other relevant factors.</w:t>
      </w:r>
      <w:r w:rsidRPr="0098528A">
        <w:rPr>
          <w:rStyle w:val="FootnoteReference"/>
          <w:szCs w:val="24"/>
        </w:rPr>
        <w:footnoteReference w:id="12"/>
      </w:r>
    </w:p>
    <w:p w:rsidR="00F61AAD" w:rsidRDefault="00F61AAD" w:rsidP="00C9206C">
      <w:pPr>
        <w:spacing w:after="0"/>
      </w:pPr>
    </w:p>
    <w:p w:rsidR="004E408D" w:rsidRDefault="004E408D" w:rsidP="00C9206C">
      <w:pPr>
        <w:spacing w:after="0"/>
      </w:pPr>
      <w:r>
        <w:tab/>
        <w:t xml:space="preserve">A civil penalty in the amount of $500 is appropriate for this violation.  The improper handling of social security numbers potentially subjects customers to fraud and identity theft. </w:t>
      </w:r>
      <w:r w:rsidR="008A7610">
        <w:t xml:space="preserve"> </w:t>
      </w:r>
      <w:r>
        <w:t xml:space="preserve">Such confidential and personal information must be handled with the utmost care.  </w:t>
      </w:r>
      <w:r>
        <w:lastRenderedPageBreak/>
        <w:t>Therefore, the conduct here is a serious violation of Section 1501.</w:t>
      </w:r>
      <w:r>
        <w:rPr>
          <w:rStyle w:val="FootnoteReference"/>
        </w:rPr>
        <w:footnoteReference w:id="13"/>
      </w:r>
      <w:r>
        <w:t xml:space="preserve">  However, it does not appear that, in this case, Duquesne Light’s failure to properly maintain sensitive customer information resulted in personal injury or property damage.</w:t>
      </w:r>
      <w:r>
        <w:rPr>
          <w:rStyle w:val="FootnoteReference"/>
        </w:rPr>
        <w:footnoteReference w:id="14"/>
      </w:r>
    </w:p>
    <w:p w:rsidR="00C9206C" w:rsidRDefault="00C9206C" w:rsidP="00C9206C">
      <w:pPr>
        <w:spacing w:after="0"/>
      </w:pPr>
    </w:p>
    <w:p w:rsidR="004E408D" w:rsidRDefault="004E408D" w:rsidP="00C9206C">
      <w:pPr>
        <w:spacing w:after="0"/>
      </w:pPr>
      <w:r>
        <w:tab/>
        <w:t xml:space="preserve">The witness for Duquesne Light did not have a convincing explanation for how the Complainant’s mother’s social security number was associated with his account.  She stated that the Complainant’s father had two properties, the Burchfield service address and the Middle Road service address.  The Complainant took service at the Middle Road service address.  He later moved to the Surrey service address.  Neither his father nor his mother were ever associated with the Surrey service address.  Yet, when his mother took responsibility for the Burchfield service address upon the death of his father, Duquesne Light associated her social security number with the Complaint’s Surrey service address.  No reason was offered for why Duquesne Light’s computer system would be structured to substitute a social security number from one account to another account when the two had nothing in common.  Moreover, it </w:t>
      </w:r>
      <w:r w:rsidR="004F2FBE">
        <w:t xml:space="preserve">does not appear that </w:t>
      </w:r>
      <w:r>
        <w:t xml:space="preserve">either customer was ever informed that the </w:t>
      </w:r>
      <w:r w:rsidR="004F2FBE">
        <w:t>change</w:t>
      </w:r>
      <w:bookmarkStart w:id="0" w:name="_GoBack"/>
      <w:bookmarkEnd w:id="0"/>
      <w:r>
        <w:t xml:space="preserve"> on the account was made</w:t>
      </w:r>
      <w:r w:rsidR="00583092">
        <w:t>.  This information handling policy is more than negligent, but is the intentional design of the customer information system of the company.  This merits a higher penalty.</w:t>
      </w:r>
      <w:r w:rsidR="00583092">
        <w:rPr>
          <w:rStyle w:val="FootnoteReference"/>
        </w:rPr>
        <w:footnoteReference w:id="15"/>
      </w:r>
      <w:r w:rsidR="00583092">
        <w:t xml:space="preserve">  There is no way of knowing how many customers were affected by Duquesne Light’s information handling policy, other than the Complainant and his mother.</w:t>
      </w:r>
      <w:r w:rsidR="00583092">
        <w:rPr>
          <w:rStyle w:val="FootnoteReference"/>
        </w:rPr>
        <w:footnoteReference w:id="16"/>
      </w:r>
      <w:r w:rsidR="00BF5D18">
        <w:t xml:space="preserve">  </w:t>
      </w:r>
      <w:r w:rsidR="00583092">
        <w:t>However, Duquesne Light’s computer system was changed sometime after 2012 and Duquesne Light no longer associates accounts in the manner in which these accounts were associated.</w:t>
      </w:r>
      <w:r w:rsidR="00583092">
        <w:rPr>
          <w:rStyle w:val="FootnoteReference"/>
        </w:rPr>
        <w:footnoteReference w:id="17"/>
      </w:r>
      <w:r w:rsidR="00BF5D18">
        <w:t xml:space="preserve">  Therefore, deterrence is not a significant consideration in the amount of the civil penalty in this case.</w:t>
      </w:r>
      <w:r w:rsidR="00BF5D18">
        <w:rPr>
          <w:rStyle w:val="FootnoteReference"/>
        </w:rPr>
        <w:footnoteReference w:id="18"/>
      </w:r>
      <w:r w:rsidR="00BF5D18">
        <w:t xml:space="preserve"> </w:t>
      </w:r>
      <w:r w:rsidR="00A733F1">
        <w:t xml:space="preserve"> </w:t>
      </w:r>
      <w:r w:rsidR="00BF5D18">
        <w:t>These factors considered together support a civil penalty of $500.</w:t>
      </w:r>
    </w:p>
    <w:p w:rsidR="00BF5D18" w:rsidRDefault="00BF5D18" w:rsidP="00156AAB">
      <w:pPr>
        <w:spacing w:after="0"/>
      </w:pPr>
      <w:r>
        <w:lastRenderedPageBreak/>
        <w:tab/>
        <w:t>The remaining factors of the Commission’s civil penalty policy are either not relevant considerations in this case or there is no evidence in the record to support their consideration.</w:t>
      </w:r>
    </w:p>
    <w:p w:rsidR="00C9206C" w:rsidRDefault="00C9206C" w:rsidP="00156AAB">
      <w:pPr>
        <w:spacing w:after="0"/>
      </w:pPr>
    </w:p>
    <w:p w:rsidR="00BF5D18" w:rsidRDefault="00BF5D18" w:rsidP="00156AAB">
      <w:pPr>
        <w:spacing w:after="0"/>
        <w:jc w:val="center"/>
        <w:rPr>
          <w:u w:val="single"/>
        </w:rPr>
      </w:pPr>
      <w:r w:rsidRPr="00552235">
        <w:rPr>
          <w:u w:val="single"/>
        </w:rPr>
        <w:t>CONCLUSIONS OF LAW</w:t>
      </w:r>
    </w:p>
    <w:p w:rsidR="00156AAB" w:rsidRPr="00552235" w:rsidRDefault="00156AAB" w:rsidP="00156AAB">
      <w:pPr>
        <w:spacing w:after="0"/>
        <w:jc w:val="center"/>
        <w:rPr>
          <w:u w:val="single"/>
        </w:rPr>
      </w:pPr>
    </w:p>
    <w:p w:rsidR="00BF5D18" w:rsidRDefault="00BF5D18" w:rsidP="0003242C">
      <w:pPr>
        <w:spacing w:after="0"/>
      </w:pPr>
      <w:r>
        <w:tab/>
        <w:t>1.</w:t>
      </w:r>
      <w:r>
        <w:tab/>
        <w:t>The Commission has jurisdiction over the parties and subject matter of this dispute.  66 Pa.C.S. § 701.</w:t>
      </w:r>
    </w:p>
    <w:p w:rsidR="00156AAB" w:rsidRDefault="00156AAB" w:rsidP="0003242C">
      <w:pPr>
        <w:spacing w:after="0"/>
      </w:pPr>
    </w:p>
    <w:p w:rsidR="00BF5D18" w:rsidRDefault="00BF5D18" w:rsidP="0003242C">
      <w:pPr>
        <w:spacing w:after="0"/>
      </w:pPr>
      <w:r>
        <w:tab/>
        <w:t>2.</w:t>
      </w:r>
      <w:r>
        <w:tab/>
        <w:t xml:space="preserve">The Complainant bears the burden of proof.  </w:t>
      </w:r>
      <w:proofErr w:type="gramStart"/>
      <w:r>
        <w:t>66 Pa.C.S.</w:t>
      </w:r>
      <w:proofErr w:type="gramEnd"/>
      <w:r>
        <w:t xml:space="preserve"> § 332.</w:t>
      </w:r>
    </w:p>
    <w:p w:rsidR="00156AAB" w:rsidRDefault="00156AAB" w:rsidP="0003242C">
      <w:pPr>
        <w:spacing w:after="0"/>
      </w:pPr>
    </w:p>
    <w:p w:rsidR="00BF5D18" w:rsidRDefault="00BF5D18" w:rsidP="0003242C">
      <w:pPr>
        <w:spacing w:after="0"/>
      </w:pPr>
      <w:r>
        <w:tab/>
        <w:t>3.</w:t>
      </w:r>
      <w:r>
        <w:tab/>
        <w:t xml:space="preserve">The Complainant failed to prove that Duquesne Light violated the Public Utility Code when it terminated his electricity service for non-payment.  </w:t>
      </w:r>
      <w:proofErr w:type="gramStart"/>
      <w:r>
        <w:t>66 Pa.C.S.</w:t>
      </w:r>
      <w:proofErr w:type="gramEnd"/>
      <w:r>
        <w:t xml:space="preserve"> § 1406.</w:t>
      </w:r>
    </w:p>
    <w:p w:rsidR="00156AAB" w:rsidRDefault="00156AAB" w:rsidP="0003242C">
      <w:pPr>
        <w:spacing w:after="0"/>
      </w:pPr>
    </w:p>
    <w:p w:rsidR="00156AAB" w:rsidRDefault="00BF5D18" w:rsidP="0003242C">
      <w:pPr>
        <w:spacing w:after="0"/>
      </w:pPr>
      <w:r>
        <w:tab/>
        <w:t>4.</w:t>
      </w:r>
      <w:r>
        <w:tab/>
        <w:t xml:space="preserve">The Complaint proved that Duquesne Light failed to render reasonable customer service by failing to protect the integrity of his personal account information.  </w:t>
      </w:r>
    </w:p>
    <w:p w:rsidR="00BF5D18" w:rsidRDefault="00BF5D18" w:rsidP="0003242C">
      <w:pPr>
        <w:spacing w:after="0"/>
      </w:pPr>
      <w:r>
        <w:t>66 Pa.C.S. § 1501.</w:t>
      </w:r>
    </w:p>
    <w:p w:rsidR="00156AAB" w:rsidRDefault="00156AAB" w:rsidP="00156AAB">
      <w:pPr>
        <w:spacing w:after="0"/>
      </w:pPr>
    </w:p>
    <w:p w:rsidR="00156AAB" w:rsidRDefault="00156AAB" w:rsidP="00156AAB">
      <w:pPr>
        <w:spacing w:after="0"/>
      </w:pPr>
    </w:p>
    <w:p w:rsidR="00BF5D18" w:rsidRDefault="00BF5D18" w:rsidP="00156AAB">
      <w:pPr>
        <w:spacing w:after="0"/>
        <w:jc w:val="center"/>
        <w:rPr>
          <w:u w:val="single"/>
        </w:rPr>
      </w:pPr>
      <w:r w:rsidRPr="00552235">
        <w:rPr>
          <w:u w:val="single"/>
        </w:rPr>
        <w:t>ORDER</w:t>
      </w:r>
    </w:p>
    <w:p w:rsidR="00156AAB" w:rsidRPr="00552235" w:rsidRDefault="00156AAB" w:rsidP="00156AAB">
      <w:pPr>
        <w:spacing w:after="0"/>
        <w:jc w:val="center"/>
        <w:rPr>
          <w:u w:val="single"/>
        </w:rPr>
      </w:pPr>
    </w:p>
    <w:p w:rsidR="00BF5D18" w:rsidRDefault="00607AED" w:rsidP="00156AAB">
      <w:pPr>
        <w:spacing w:after="0"/>
      </w:pPr>
      <w:r>
        <w:tab/>
      </w:r>
      <w:r w:rsidR="00BF5D18">
        <w:t>THEREFORE</w:t>
      </w:r>
    </w:p>
    <w:p w:rsidR="00156AAB" w:rsidRDefault="00156AAB" w:rsidP="00156AAB">
      <w:pPr>
        <w:spacing w:after="0"/>
      </w:pPr>
    </w:p>
    <w:p w:rsidR="00BF5D18" w:rsidRDefault="00607AED" w:rsidP="00156AAB">
      <w:pPr>
        <w:spacing w:after="0"/>
      </w:pPr>
      <w:r>
        <w:tab/>
      </w:r>
      <w:r w:rsidR="00BF5D18">
        <w:t>IT IS ORDERED:</w:t>
      </w:r>
    </w:p>
    <w:p w:rsidR="00156AAB" w:rsidRDefault="00156AAB" w:rsidP="00156AAB">
      <w:pPr>
        <w:spacing w:after="0"/>
      </w:pPr>
    </w:p>
    <w:p w:rsidR="00156AAB" w:rsidRDefault="00BF5D18" w:rsidP="00156AAB">
      <w:pPr>
        <w:spacing w:after="0"/>
      </w:pPr>
      <w:r>
        <w:tab/>
        <w:t>1.</w:t>
      </w:r>
      <w:r>
        <w:tab/>
        <w:t xml:space="preserve">That the formal complaint </w:t>
      </w:r>
      <w:r w:rsidR="00156AAB">
        <w:t>of Daniel</w:t>
      </w:r>
      <w:r w:rsidR="00585491">
        <w:t xml:space="preserve"> C. Matesic at Docket No.</w:t>
      </w:r>
    </w:p>
    <w:p w:rsidR="00BF5D18" w:rsidRDefault="00585491" w:rsidP="00156AAB">
      <w:pPr>
        <w:spacing w:after="0"/>
      </w:pPr>
      <w:r>
        <w:t>C-2014-2438493 is dismissed as to his claim that Duquesne Light improperly terminated his electricity service.</w:t>
      </w:r>
    </w:p>
    <w:p w:rsidR="00156AAB" w:rsidRDefault="00156AAB" w:rsidP="00156AAB">
      <w:pPr>
        <w:spacing w:after="0"/>
      </w:pPr>
    </w:p>
    <w:p w:rsidR="00156AAB" w:rsidRDefault="00156AAB" w:rsidP="00156AAB">
      <w:pPr>
        <w:spacing w:after="0"/>
      </w:pPr>
    </w:p>
    <w:p w:rsidR="00156AAB" w:rsidRDefault="00156AAB" w:rsidP="00156AAB">
      <w:pPr>
        <w:spacing w:after="0"/>
      </w:pPr>
    </w:p>
    <w:p w:rsidR="00156AAB" w:rsidRDefault="00585491" w:rsidP="00D728D9">
      <w:pPr>
        <w:spacing w:after="0"/>
      </w:pPr>
      <w:r>
        <w:lastRenderedPageBreak/>
        <w:tab/>
        <w:t>2.</w:t>
      </w:r>
      <w:r>
        <w:tab/>
        <w:t xml:space="preserve">That the formal complaint </w:t>
      </w:r>
      <w:r w:rsidR="00156AAB">
        <w:t>of Daniel</w:t>
      </w:r>
      <w:r>
        <w:t xml:space="preserve"> C. Matesic at Docket No. </w:t>
      </w:r>
    </w:p>
    <w:p w:rsidR="00585491" w:rsidRDefault="00585491" w:rsidP="00D728D9">
      <w:pPr>
        <w:spacing w:after="0"/>
      </w:pPr>
      <w:r>
        <w:t>C-2014-2438493 is sustained as to his claim that Duquesne Light failed to protect his personal information.</w:t>
      </w:r>
    </w:p>
    <w:p w:rsidR="00156AAB" w:rsidRDefault="00156AAB" w:rsidP="0003242C">
      <w:pPr>
        <w:spacing w:after="0"/>
      </w:pPr>
    </w:p>
    <w:p w:rsidR="0003242C" w:rsidRDefault="00585491" w:rsidP="00D728D9">
      <w:pPr>
        <w:spacing w:after="0"/>
      </w:pPr>
      <w:r>
        <w:tab/>
        <w:t>3.</w:t>
      </w:r>
      <w:r>
        <w:tab/>
      </w:r>
      <w:r w:rsidR="00F73CF2">
        <w:rPr>
          <w:szCs w:val="24"/>
        </w:rPr>
        <w:t xml:space="preserve">That Duquesne Light Company </w:t>
      </w:r>
      <w:r w:rsidR="00F73CF2">
        <w:t xml:space="preserve">shall pay a civil penalty in the amount of </w:t>
      </w:r>
    </w:p>
    <w:p w:rsidR="00F73CF2" w:rsidRDefault="00F73CF2" w:rsidP="00D728D9">
      <w:pPr>
        <w:spacing w:after="0"/>
      </w:pPr>
      <w:r>
        <w:t>$500 for the violations of the Public Utility Code by sending a certified check or money order payable to the Commonwealth of Pennsylvania, within thirty (30) days from the entry of the Final Commission Order to:</w:t>
      </w:r>
    </w:p>
    <w:p w:rsidR="00F73CF2" w:rsidRDefault="00F73CF2" w:rsidP="00607AED">
      <w:pPr>
        <w:spacing w:after="0" w:line="240" w:lineRule="auto"/>
      </w:pPr>
    </w:p>
    <w:p w:rsidR="00F73CF2" w:rsidRDefault="00F73CF2" w:rsidP="00607AED">
      <w:pPr>
        <w:spacing w:after="0" w:line="240" w:lineRule="auto"/>
        <w:ind w:left="2160" w:firstLine="720"/>
      </w:pPr>
      <w:r>
        <w:t>Secretary</w:t>
      </w:r>
    </w:p>
    <w:p w:rsidR="00F73CF2" w:rsidRDefault="00F73CF2" w:rsidP="00607AED">
      <w:pPr>
        <w:spacing w:after="0" w:line="240" w:lineRule="auto"/>
        <w:ind w:left="2160" w:firstLine="720"/>
      </w:pPr>
      <w:r>
        <w:t>Pennsylvania Public Utility Commission</w:t>
      </w:r>
    </w:p>
    <w:p w:rsidR="00F73CF2" w:rsidRDefault="00F73CF2" w:rsidP="00607AED">
      <w:pPr>
        <w:spacing w:after="0" w:line="240" w:lineRule="auto"/>
        <w:ind w:left="2160" w:firstLine="720"/>
      </w:pPr>
      <w:r>
        <w:t>P.O. Box 3265</w:t>
      </w:r>
    </w:p>
    <w:p w:rsidR="00F73CF2" w:rsidRDefault="00F73CF2" w:rsidP="00607AED">
      <w:pPr>
        <w:spacing w:after="0" w:line="240" w:lineRule="auto"/>
        <w:ind w:left="2160" w:firstLine="720"/>
      </w:pPr>
      <w:r>
        <w:t>Harrisburg, PA  17105-3265</w:t>
      </w:r>
    </w:p>
    <w:p w:rsidR="00F73CF2" w:rsidRDefault="00F73CF2" w:rsidP="00D728D9">
      <w:pPr>
        <w:spacing w:after="0"/>
      </w:pPr>
    </w:p>
    <w:p w:rsidR="00585491" w:rsidRDefault="00F73CF2" w:rsidP="00D728D9">
      <w:pPr>
        <w:spacing w:after="0"/>
      </w:pPr>
      <w:r>
        <w:tab/>
        <w:t>4.</w:t>
      </w:r>
      <w:r>
        <w:tab/>
        <w:t>That Duquesne Light Company shall cease and desist from further violations of Section 1501 of the Public Utility Code.</w:t>
      </w:r>
    </w:p>
    <w:p w:rsidR="00156AAB" w:rsidRDefault="00156AAB" w:rsidP="00D728D9">
      <w:pPr>
        <w:spacing w:after="0"/>
      </w:pPr>
    </w:p>
    <w:p w:rsidR="00156AAB" w:rsidRDefault="00156AAB" w:rsidP="00D728D9">
      <w:pPr>
        <w:spacing w:after="0"/>
      </w:pPr>
    </w:p>
    <w:p w:rsidR="00156AAB" w:rsidRDefault="00156AAB" w:rsidP="00D728D9">
      <w:pPr>
        <w:spacing w:after="0"/>
      </w:pPr>
    </w:p>
    <w:p w:rsidR="00156AAB" w:rsidRPr="00156AAB" w:rsidRDefault="00156AAB" w:rsidP="00D728D9">
      <w:pPr>
        <w:spacing w:after="0"/>
        <w:rPr>
          <w:szCs w:val="24"/>
        </w:rPr>
      </w:pPr>
    </w:p>
    <w:p w:rsidR="00156AAB" w:rsidRPr="00156AAB" w:rsidRDefault="00156AAB" w:rsidP="00D728D9">
      <w:pPr>
        <w:spacing w:after="0" w:line="240" w:lineRule="auto"/>
      </w:pPr>
      <w:r w:rsidRPr="00156AAB">
        <w:rPr>
          <w:spacing w:val="-3"/>
          <w:szCs w:val="24"/>
        </w:rPr>
        <w:t xml:space="preserve">Date:  </w:t>
      </w:r>
      <w:r>
        <w:rPr>
          <w:spacing w:val="-3"/>
          <w:szCs w:val="24"/>
          <w:u w:val="single"/>
        </w:rPr>
        <w:t xml:space="preserve">March </w:t>
      </w:r>
      <w:r w:rsidR="0021238F">
        <w:rPr>
          <w:spacing w:val="-3"/>
          <w:szCs w:val="24"/>
          <w:u w:val="single"/>
        </w:rPr>
        <w:t>31</w:t>
      </w:r>
      <w:r w:rsidRPr="00156AAB">
        <w:rPr>
          <w:spacing w:val="-3"/>
          <w:szCs w:val="24"/>
          <w:u w:val="single"/>
        </w:rPr>
        <w:t>, 2015</w:t>
      </w:r>
      <w:r w:rsidRPr="00156AAB">
        <w:rPr>
          <w:spacing w:val="-3"/>
          <w:szCs w:val="24"/>
        </w:rPr>
        <w:tab/>
      </w:r>
      <w:r w:rsidRPr="00156AAB">
        <w:rPr>
          <w:spacing w:val="-3"/>
          <w:szCs w:val="24"/>
        </w:rPr>
        <w:tab/>
      </w:r>
      <w:r w:rsidRPr="00156AAB">
        <w:rPr>
          <w:spacing w:val="-3"/>
          <w:szCs w:val="24"/>
        </w:rPr>
        <w:tab/>
      </w:r>
      <w:r w:rsidRPr="00156AAB">
        <w:rPr>
          <w:spacing w:val="-3"/>
          <w:szCs w:val="24"/>
        </w:rPr>
        <w:tab/>
      </w:r>
      <w:r w:rsidRPr="00156AAB">
        <w:rPr>
          <w:spacing w:val="-3"/>
          <w:szCs w:val="24"/>
        </w:rPr>
        <w:tab/>
      </w:r>
      <w:r w:rsidRPr="00156AAB">
        <w:rPr>
          <w:spacing w:val="-3"/>
          <w:szCs w:val="24"/>
        </w:rPr>
        <w:tab/>
      </w:r>
      <w:r w:rsidRPr="00156AAB">
        <w:rPr>
          <w:szCs w:val="24"/>
          <w:u w:val="single"/>
        </w:rPr>
        <w:tab/>
      </w:r>
      <w:r w:rsidRPr="00156AAB">
        <w:rPr>
          <w:szCs w:val="24"/>
          <w:u w:val="single"/>
        </w:rPr>
        <w:tab/>
        <w:t>/s/</w:t>
      </w:r>
      <w:r w:rsidRPr="00156AAB">
        <w:rPr>
          <w:szCs w:val="24"/>
          <w:u w:val="single"/>
        </w:rPr>
        <w:tab/>
      </w:r>
      <w:r w:rsidRPr="00156AAB">
        <w:rPr>
          <w:szCs w:val="24"/>
          <w:u w:val="single"/>
        </w:rPr>
        <w:tab/>
      </w:r>
      <w:r w:rsidRPr="00156AAB">
        <w:rPr>
          <w:szCs w:val="24"/>
          <w:u w:val="single"/>
        </w:rPr>
        <w:tab/>
      </w:r>
      <w:r w:rsidRPr="00156AAB">
        <w:rPr>
          <w:szCs w:val="24"/>
        </w:rPr>
        <w:tab/>
      </w:r>
      <w:r w:rsidRPr="00156AAB">
        <w:rPr>
          <w:szCs w:val="24"/>
        </w:rPr>
        <w:tab/>
      </w:r>
      <w:r w:rsidRPr="00156AAB">
        <w:rPr>
          <w:szCs w:val="24"/>
        </w:rPr>
        <w:tab/>
      </w:r>
      <w:r w:rsidRPr="00156AAB">
        <w:rPr>
          <w:szCs w:val="24"/>
        </w:rPr>
        <w:tab/>
      </w:r>
      <w:r w:rsidRPr="00156AAB">
        <w:rPr>
          <w:szCs w:val="24"/>
        </w:rPr>
        <w:tab/>
      </w:r>
      <w:r w:rsidRPr="00156AAB">
        <w:rPr>
          <w:szCs w:val="24"/>
        </w:rPr>
        <w:tab/>
      </w:r>
      <w:r w:rsidRPr="00156AAB">
        <w:rPr>
          <w:szCs w:val="24"/>
        </w:rPr>
        <w:tab/>
        <w:t>Mary D. Long</w:t>
      </w:r>
      <w:r w:rsidRPr="00156AAB">
        <w:rPr>
          <w:szCs w:val="24"/>
        </w:rPr>
        <w:tab/>
      </w:r>
      <w:r w:rsidRPr="00156AAB">
        <w:rPr>
          <w:szCs w:val="24"/>
        </w:rPr>
        <w:tab/>
      </w:r>
      <w:r w:rsidRPr="00156AAB">
        <w:rPr>
          <w:szCs w:val="24"/>
        </w:rPr>
        <w:tab/>
      </w:r>
      <w:r w:rsidRPr="00156AAB">
        <w:rPr>
          <w:szCs w:val="24"/>
        </w:rPr>
        <w:tab/>
      </w:r>
      <w:r w:rsidRPr="00156AAB">
        <w:rPr>
          <w:szCs w:val="24"/>
        </w:rPr>
        <w:tab/>
      </w:r>
      <w:r w:rsidRPr="00156AAB">
        <w:rPr>
          <w:szCs w:val="24"/>
        </w:rPr>
        <w:tab/>
      </w:r>
      <w:r w:rsidRPr="00156AAB">
        <w:rPr>
          <w:szCs w:val="24"/>
        </w:rPr>
        <w:tab/>
      </w:r>
      <w:r w:rsidRPr="00156AAB">
        <w:rPr>
          <w:szCs w:val="24"/>
        </w:rPr>
        <w:tab/>
      </w:r>
      <w:r w:rsidRPr="00156AAB">
        <w:rPr>
          <w:szCs w:val="24"/>
        </w:rPr>
        <w:tab/>
      </w:r>
      <w:r w:rsidRPr="00156AAB">
        <w:rPr>
          <w:szCs w:val="24"/>
        </w:rPr>
        <w:tab/>
      </w:r>
      <w:r w:rsidRPr="00156AAB">
        <w:rPr>
          <w:szCs w:val="24"/>
        </w:rPr>
        <w:tab/>
        <w:t>Administrative Law Judge</w:t>
      </w:r>
    </w:p>
    <w:p w:rsidR="00156AAB" w:rsidRDefault="00422605" w:rsidP="00D728D9">
      <w:pPr>
        <w:spacing w:after="0"/>
      </w:pPr>
      <w:r>
        <w:t xml:space="preserve"> </w:t>
      </w:r>
    </w:p>
    <w:sectPr w:rsidR="00156AAB" w:rsidSect="00E912C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CA0" w:rsidRDefault="00D10CA0" w:rsidP="001619ED">
      <w:pPr>
        <w:spacing w:after="0" w:line="240" w:lineRule="auto"/>
      </w:pPr>
      <w:r>
        <w:separator/>
      </w:r>
    </w:p>
  </w:endnote>
  <w:endnote w:type="continuationSeparator" w:id="0">
    <w:p w:rsidR="00D10CA0" w:rsidRDefault="00D10CA0" w:rsidP="0016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61363460"/>
      <w:docPartObj>
        <w:docPartGallery w:val="Page Numbers (Bottom of Page)"/>
        <w:docPartUnique/>
      </w:docPartObj>
    </w:sdtPr>
    <w:sdtEndPr>
      <w:rPr>
        <w:noProof/>
      </w:rPr>
    </w:sdtEndPr>
    <w:sdtContent>
      <w:p w:rsidR="00E912C0" w:rsidRPr="00A72C6D" w:rsidRDefault="00E912C0">
        <w:pPr>
          <w:pStyle w:val="Footer"/>
          <w:jc w:val="center"/>
          <w:rPr>
            <w:sz w:val="20"/>
          </w:rPr>
        </w:pPr>
        <w:r w:rsidRPr="00A72C6D">
          <w:rPr>
            <w:sz w:val="20"/>
          </w:rPr>
          <w:fldChar w:fldCharType="begin"/>
        </w:r>
        <w:r w:rsidRPr="00A72C6D">
          <w:rPr>
            <w:sz w:val="20"/>
          </w:rPr>
          <w:instrText xml:space="preserve"> PAGE   \* MERGEFORMAT </w:instrText>
        </w:r>
        <w:r w:rsidRPr="00A72C6D">
          <w:rPr>
            <w:sz w:val="20"/>
          </w:rPr>
          <w:fldChar w:fldCharType="separate"/>
        </w:r>
        <w:r w:rsidR="004F2FBE">
          <w:rPr>
            <w:noProof/>
            <w:sz w:val="20"/>
          </w:rPr>
          <w:t>11</w:t>
        </w:r>
        <w:r w:rsidRPr="00A72C6D">
          <w:rPr>
            <w:noProof/>
            <w:sz w:val="20"/>
          </w:rPr>
          <w:fldChar w:fldCharType="end"/>
        </w:r>
      </w:p>
    </w:sdtContent>
  </w:sdt>
  <w:p w:rsidR="00E912C0" w:rsidRPr="008A7610" w:rsidRDefault="00E912C0">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CA0" w:rsidRDefault="00D10CA0" w:rsidP="001619ED">
      <w:pPr>
        <w:spacing w:after="0" w:line="240" w:lineRule="auto"/>
      </w:pPr>
      <w:r>
        <w:separator/>
      </w:r>
    </w:p>
  </w:footnote>
  <w:footnote w:type="continuationSeparator" w:id="0">
    <w:p w:rsidR="00D10CA0" w:rsidRDefault="00D10CA0" w:rsidP="001619ED">
      <w:pPr>
        <w:spacing w:after="0" w:line="240" w:lineRule="auto"/>
      </w:pPr>
      <w:r>
        <w:continuationSeparator/>
      </w:r>
    </w:p>
  </w:footnote>
  <w:footnote w:id="1">
    <w:p w:rsidR="00E01E77" w:rsidRPr="00C81B96" w:rsidRDefault="00E01E77" w:rsidP="00DD4D79">
      <w:pPr>
        <w:pStyle w:val="FootnoteText"/>
        <w:spacing w:after="0" w:line="480" w:lineRule="auto"/>
        <w:ind w:firstLine="720"/>
      </w:pPr>
      <w:r w:rsidRPr="00C81B96">
        <w:rPr>
          <w:rStyle w:val="FootnoteReference"/>
        </w:rPr>
        <w:footnoteRef/>
      </w:r>
      <w:r w:rsidRPr="00C81B96">
        <w:t xml:space="preserve"> </w:t>
      </w:r>
      <w:r>
        <w:tab/>
      </w:r>
      <w:proofErr w:type="gramStart"/>
      <w:r>
        <w:t xml:space="preserve">66 </w:t>
      </w:r>
      <w:proofErr w:type="spellStart"/>
      <w:r>
        <w:t>Pa.</w:t>
      </w:r>
      <w:r w:rsidRPr="00C81B96">
        <w:t>C.S</w:t>
      </w:r>
      <w:proofErr w:type="spellEnd"/>
      <w:r w:rsidRPr="00C81B96">
        <w:t>.</w:t>
      </w:r>
      <w:proofErr w:type="gramEnd"/>
      <w:r w:rsidRPr="00C81B96">
        <w:t xml:space="preserve"> §</w:t>
      </w:r>
      <w:r>
        <w:t xml:space="preserve"> </w:t>
      </w:r>
      <w:r w:rsidRPr="00C81B96">
        <w:t>701.</w:t>
      </w:r>
    </w:p>
  </w:footnote>
  <w:footnote w:id="2">
    <w:p w:rsidR="00E01E77" w:rsidRPr="00C81B96" w:rsidRDefault="00E01E77" w:rsidP="00DD4D79">
      <w:pPr>
        <w:pStyle w:val="FootnoteText"/>
        <w:spacing w:after="0" w:line="480" w:lineRule="auto"/>
        <w:ind w:firstLine="720"/>
      </w:pPr>
      <w:r w:rsidRPr="00C81B96">
        <w:rPr>
          <w:rStyle w:val="FootnoteReference"/>
        </w:rPr>
        <w:footnoteRef/>
      </w:r>
      <w:r w:rsidRPr="00C81B96">
        <w:t xml:space="preserve"> </w:t>
      </w:r>
      <w:r>
        <w:tab/>
      </w:r>
      <w:proofErr w:type="gramStart"/>
      <w:r>
        <w:t>66 Pa.</w:t>
      </w:r>
      <w:r w:rsidRPr="00C81B96">
        <w:t>C.S.</w:t>
      </w:r>
      <w:proofErr w:type="gramEnd"/>
      <w:r w:rsidRPr="00C81B96">
        <w:t xml:space="preserve"> §</w:t>
      </w:r>
      <w:r>
        <w:t xml:space="preserve"> </w:t>
      </w:r>
      <w:r w:rsidRPr="00C81B96">
        <w:t>332(a).</w:t>
      </w:r>
    </w:p>
  </w:footnote>
  <w:footnote w:id="3">
    <w:p w:rsidR="00E01E77" w:rsidRDefault="00E01E77" w:rsidP="00DD4D79">
      <w:pPr>
        <w:pStyle w:val="FootnoteText"/>
        <w:spacing w:after="0" w:line="480" w:lineRule="auto"/>
        <w:ind w:firstLine="720"/>
      </w:pPr>
      <w:r w:rsidRPr="00C81B96">
        <w:rPr>
          <w:rStyle w:val="FootnoteReference"/>
        </w:rPr>
        <w:footnoteRef/>
      </w:r>
      <w:r w:rsidRPr="00C81B96">
        <w:t xml:space="preserve"> </w:t>
      </w:r>
      <w:r>
        <w:tab/>
      </w:r>
      <w:proofErr w:type="gramStart"/>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PA PUC 300 (1976).</w:t>
      </w:r>
      <w:proofErr w:type="gramEnd"/>
    </w:p>
    <w:p w:rsidR="00E01E77" w:rsidRPr="00C81B96" w:rsidRDefault="00E01E77" w:rsidP="00DD4D79">
      <w:pPr>
        <w:pStyle w:val="FootnoteText"/>
        <w:spacing w:after="0"/>
      </w:pPr>
    </w:p>
  </w:footnote>
  <w:footnote w:id="4">
    <w:p w:rsidR="00BE0EE1" w:rsidRDefault="00BE0EE1" w:rsidP="00DD4D79">
      <w:pPr>
        <w:pStyle w:val="FootnoteText"/>
        <w:spacing w:after="0" w:line="480" w:lineRule="auto"/>
        <w:ind w:firstLine="720"/>
      </w:pPr>
      <w:r>
        <w:rPr>
          <w:rStyle w:val="FootnoteReference"/>
        </w:rPr>
        <w:footnoteRef/>
      </w:r>
      <w:r>
        <w:t xml:space="preserve">  </w:t>
      </w:r>
      <w:r>
        <w:tab/>
      </w:r>
      <w:proofErr w:type="gramStart"/>
      <w:r w:rsidRPr="00BE0EE1">
        <w:t>66 Pa. C.S. §1501</w:t>
      </w:r>
      <w:r>
        <w:t>.</w:t>
      </w:r>
      <w:proofErr w:type="gramEnd"/>
    </w:p>
  </w:footnote>
  <w:footnote w:id="5">
    <w:p w:rsidR="00BE0EE1" w:rsidRDefault="00BE0EE1" w:rsidP="00DD4D79">
      <w:pPr>
        <w:pStyle w:val="FootnoteText"/>
        <w:spacing w:after="0" w:line="480" w:lineRule="auto"/>
        <w:ind w:firstLine="720"/>
      </w:pPr>
      <w:r>
        <w:rPr>
          <w:rStyle w:val="FootnoteReference"/>
        </w:rPr>
        <w:footnoteRef/>
      </w:r>
      <w:r>
        <w:t xml:space="preserve"> </w:t>
      </w:r>
      <w:r>
        <w:tab/>
      </w:r>
      <w:proofErr w:type="gramStart"/>
      <w:r w:rsidRPr="00BE0EE1">
        <w:t>66 Pa. C.S. §1505.</w:t>
      </w:r>
      <w:proofErr w:type="gramEnd"/>
    </w:p>
  </w:footnote>
  <w:footnote w:id="6">
    <w:p w:rsidR="007A306E" w:rsidRDefault="007A306E" w:rsidP="00A72C6D">
      <w:pPr>
        <w:pStyle w:val="FootnoteText"/>
        <w:spacing w:after="0"/>
        <w:ind w:firstLine="720"/>
      </w:pPr>
      <w:r>
        <w:rPr>
          <w:rStyle w:val="FootnoteReference"/>
        </w:rPr>
        <w:footnoteRef/>
      </w:r>
      <w:r>
        <w:t xml:space="preserve"> </w:t>
      </w:r>
      <w:r>
        <w:tab/>
      </w:r>
      <w:proofErr w:type="gramStart"/>
      <w:r>
        <w:t>66 Pa.C.S.</w:t>
      </w:r>
      <w:proofErr w:type="gramEnd"/>
      <w:r>
        <w:t xml:space="preserve"> </w:t>
      </w:r>
      <w:proofErr w:type="gramStart"/>
      <w:r>
        <w:t>§ 1406(a) and (b).</w:t>
      </w:r>
      <w:proofErr w:type="gramEnd"/>
    </w:p>
  </w:footnote>
  <w:footnote w:id="7">
    <w:p w:rsidR="001E50D0" w:rsidRDefault="001E50D0" w:rsidP="006D13E5">
      <w:pPr>
        <w:pStyle w:val="FootnoteText"/>
        <w:spacing w:after="0"/>
        <w:ind w:firstLine="720"/>
      </w:pPr>
      <w:r>
        <w:rPr>
          <w:rStyle w:val="FootnoteReference"/>
        </w:rPr>
        <w:footnoteRef/>
      </w:r>
      <w:r>
        <w:t xml:space="preserve">  </w:t>
      </w:r>
      <w:r>
        <w:tab/>
        <w:t>There is no evidence in the record what measures Duquesne Light took, if any, to verify the Complainant’s identity before correcting the social security number associated with the account.</w:t>
      </w:r>
    </w:p>
    <w:p w:rsidR="006D13E5" w:rsidRDefault="006D13E5" w:rsidP="006D13E5">
      <w:pPr>
        <w:pStyle w:val="FootnoteText"/>
        <w:spacing w:after="0"/>
        <w:ind w:firstLine="720"/>
      </w:pPr>
    </w:p>
  </w:footnote>
  <w:footnote w:id="8">
    <w:p w:rsidR="00953008" w:rsidRDefault="00953008" w:rsidP="006D13E5">
      <w:pPr>
        <w:pStyle w:val="FootnoteText"/>
        <w:spacing w:after="0"/>
        <w:ind w:firstLine="720"/>
      </w:pPr>
      <w:r>
        <w:rPr>
          <w:rStyle w:val="FootnoteReference"/>
        </w:rPr>
        <w:footnoteRef/>
      </w:r>
      <w:r>
        <w:t xml:space="preserve">  </w:t>
      </w:r>
      <w:r>
        <w:tab/>
      </w:r>
      <w:proofErr w:type="gramStart"/>
      <w:r>
        <w:t>66 Pa.C.S.</w:t>
      </w:r>
      <w:proofErr w:type="gramEnd"/>
      <w:r>
        <w:t xml:space="preserve"> § 1501.</w:t>
      </w:r>
    </w:p>
    <w:p w:rsidR="006D13E5" w:rsidRDefault="006D13E5" w:rsidP="006D13E5">
      <w:pPr>
        <w:pStyle w:val="FootnoteText"/>
        <w:spacing w:after="0"/>
        <w:ind w:firstLine="720"/>
      </w:pPr>
    </w:p>
  </w:footnote>
  <w:footnote w:id="9">
    <w:p w:rsidR="00BC4649" w:rsidRDefault="00BC4649" w:rsidP="006D13E5">
      <w:pPr>
        <w:pStyle w:val="FootnoteText"/>
        <w:spacing w:after="0"/>
        <w:ind w:firstLine="720"/>
        <w:rPr>
          <w:snapToGrid w:val="0"/>
        </w:rPr>
      </w:pPr>
      <w:r>
        <w:rPr>
          <w:rStyle w:val="FootnoteReference"/>
        </w:rPr>
        <w:footnoteRef/>
      </w:r>
      <w:r>
        <w:t xml:space="preserve"> </w:t>
      </w:r>
      <w:r>
        <w:tab/>
      </w:r>
      <w:proofErr w:type="gramStart"/>
      <w:r>
        <w:rPr>
          <w:snapToGrid w:val="0"/>
        </w:rPr>
        <w:t xml:space="preserve">66 </w:t>
      </w:r>
      <w:proofErr w:type="spellStart"/>
      <w:r>
        <w:rPr>
          <w:snapToGrid w:val="0"/>
        </w:rPr>
        <w:t>Pa.C.S</w:t>
      </w:r>
      <w:proofErr w:type="spellEnd"/>
      <w:r>
        <w:rPr>
          <w:snapToGrid w:val="0"/>
        </w:rPr>
        <w:t>.</w:t>
      </w:r>
      <w:proofErr w:type="gramEnd"/>
      <w:r>
        <w:rPr>
          <w:snapToGrid w:val="0"/>
        </w:rPr>
        <w:t xml:space="preserve"> § 3301.</w:t>
      </w:r>
      <w:r w:rsidR="008A7610">
        <w:rPr>
          <w:snapToGrid w:val="0"/>
        </w:rPr>
        <w:t xml:space="preserve"> </w:t>
      </w:r>
    </w:p>
    <w:p w:rsidR="00BC4649" w:rsidRDefault="00BC4649" w:rsidP="006D13E5">
      <w:pPr>
        <w:pStyle w:val="FootnoteText"/>
        <w:spacing w:after="0"/>
        <w:ind w:firstLine="720"/>
      </w:pPr>
    </w:p>
  </w:footnote>
  <w:footnote w:id="10">
    <w:p w:rsidR="00BC4649" w:rsidRPr="003D7B7B" w:rsidRDefault="00BC4649" w:rsidP="006D13E5">
      <w:pPr>
        <w:pStyle w:val="FootnoteText"/>
        <w:spacing w:after="0"/>
        <w:ind w:firstLine="720"/>
        <w:rPr>
          <w:snapToGrid w:val="0"/>
        </w:rPr>
      </w:pPr>
      <w:r>
        <w:rPr>
          <w:rStyle w:val="FootnoteReference"/>
        </w:rPr>
        <w:footnoteRef/>
      </w:r>
      <w:r>
        <w:t xml:space="preserve">  </w:t>
      </w:r>
      <w:r>
        <w:tab/>
      </w:r>
      <w:r>
        <w:rPr>
          <w:i/>
          <w:snapToGrid w:val="0"/>
        </w:rPr>
        <w:t>See</w:t>
      </w:r>
      <w:r>
        <w:rPr>
          <w:snapToGrid w:val="0"/>
        </w:rPr>
        <w:t xml:space="preserve"> 52 Pa.Code § 69.1201; </w:t>
      </w:r>
      <w:r>
        <w:rPr>
          <w:i/>
          <w:snapToGrid w:val="0"/>
        </w:rPr>
        <w:t>see also, Rosi v. Bell Atlantic-Pa., Inc. and Sprint Communica</w:t>
      </w:r>
      <w:r>
        <w:rPr>
          <w:i/>
          <w:snapToGrid w:val="0"/>
        </w:rPr>
        <w:softHyphen/>
        <w:t>tions Company</w:t>
      </w:r>
      <w:r>
        <w:rPr>
          <w:snapToGrid w:val="0"/>
        </w:rPr>
        <w:t>, Docket No. C</w:t>
      </w:r>
      <w:r>
        <w:rPr>
          <w:snapToGrid w:val="0"/>
        </w:rPr>
        <w:noBreakHyphen/>
        <w:t>00992409 (Order entered February 10, 2000) (</w:t>
      </w:r>
      <w:r>
        <w:rPr>
          <w:i/>
          <w:snapToGrid w:val="0"/>
        </w:rPr>
        <w:t>Rosi</w:t>
      </w:r>
      <w:r>
        <w:rPr>
          <w:snapToGrid w:val="0"/>
        </w:rPr>
        <w:t>).</w:t>
      </w:r>
    </w:p>
    <w:p w:rsidR="00BC4649" w:rsidRDefault="00BC4649" w:rsidP="006D13E5">
      <w:pPr>
        <w:pStyle w:val="FootnoteText"/>
        <w:spacing w:after="0"/>
        <w:ind w:firstLine="720"/>
      </w:pPr>
    </w:p>
  </w:footnote>
  <w:footnote w:id="11">
    <w:p w:rsidR="00BC4649" w:rsidRDefault="00BC4649" w:rsidP="006D13E5">
      <w:pPr>
        <w:pStyle w:val="FootnoteText"/>
        <w:spacing w:after="0"/>
        <w:ind w:firstLine="720"/>
      </w:pPr>
      <w:r>
        <w:rPr>
          <w:rStyle w:val="FootnoteReference"/>
        </w:rPr>
        <w:footnoteRef/>
      </w:r>
      <w:r>
        <w:t xml:space="preserve"> </w:t>
      </w:r>
      <w:r>
        <w:tab/>
        <w:t xml:space="preserve"> 52 Pa.Code § 69.1201(a).  </w:t>
      </w:r>
    </w:p>
  </w:footnote>
  <w:footnote w:id="12">
    <w:p w:rsidR="00BC4649" w:rsidRDefault="00BC4649" w:rsidP="00C9206C">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69.1201(c).</w:t>
      </w:r>
      <w:proofErr w:type="gramEnd"/>
    </w:p>
    <w:p w:rsidR="00BC4649" w:rsidRDefault="00BC4649" w:rsidP="00C9206C">
      <w:pPr>
        <w:pStyle w:val="FootnoteText"/>
        <w:spacing w:after="0"/>
        <w:ind w:firstLine="720"/>
      </w:pPr>
    </w:p>
  </w:footnote>
  <w:footnote w:id="13">
    <w:p w:rsidR="004E408D" w:rsidRDefault="004E408D" w:rsidP="00C9206C">
      <w:pPr>
        <w:pStyle w:val="FootnoteText"/>
        <w:spacing w:after="0"/>
        <w:ind w:firstLine="720"/>
      </w:pPr>
      <w:r>
        <w:rPr>
          <w:rStyle w:val="FootnoteReference"/>
        </w:rPr>
        <w:footnoteRef/>
      </w:r>
      <w:r>
        <w:t xml:space="preserve">  </w:t>
      </w:r>
      <w:r>
        <w:tab/>
        <w:t xml:space="preserve">52 </w:t>
      </w:r>
      <w:proofErr w:type="spellStart"/>
      <w:r>
        <w:t>Pa.Code</w:t>
      </w:r>
      <w:proofErr w:type="spellEnd"/>
      <w:r>
        <w:t xml:space="preserve"> § 69.1201(c</w:t>
      </w:r>
      <w:proofErr w:type="gramStart"/>
      <w:r>
        <w:t>)(</w:t>
      </w:r>
      <w:proofErr w:type="gramEnd"/>
      <w:r>
        <w:t>1).</w:t>
      </w:r>
    </w:p>
    <w:p w:rsidR="00C9206C" w:rsidRDefault="00C9206C" w:rsidP="00C9206C">
      <w:pPr>
        <w:pStyle w:val="FootnoteText"/>
        <w:spacing w:after="0"/>
        <w:ind w:firstLine="720"/>
      </w:pPr>
    </w:p>
  </w:footnote>
  <w:footnote w:id="14">
    <w:p w:rsidR="004E408D" w:rsidRDefault="004E408D" w:rsidP="00C9206C">
      <w:pPr>
        <w:pStyle w:val="FootnoteText"/>
        <w:spacing w:after="0"/>
        <w:ind w:firstLine="720"/>
      </w:pPr>
      <w:r>
        <w:rPr>
          <w:rStyle w:val="FootnoteReference"/>
        </w:rPr>
        <w:footnoteRef/>
      </w:r>
      <w:r>
        <w:t xml:space="preserve">  </w:t>
      </w:r>
      <w:r>
        <w:tab/>
        <w:t xml:space="preserve">52 </w:t>
      </w:r>
      <w:proofErr w:type="spellStart"/>
      <w:r>
        <w:t>Pa.Code</w:t>
      </w:r>
      <w:proofErr w:type="spellEnd"/>
      <w:r>
        <w:t xml:space="preserve"> § 69.1201(c</w:t>
      </w:r>
      <w:proofErr w:type="gramStart"/>
      <w:r>
        <w:t>)(</w:t>
      </w:r>
      <w:proofErr w:type="gramEnd"/>
      <w:r>
        <w:t>2).</w:t>
      </w:r>
    </w:p>
    <w:p w:rsidR="00C9206C" w:rsidRDefault="00C9206C" w:rsidP="00C9206C">
      <w:pPr>
        <w:pStyle w:val="FootnoteText"/>
        <w:spacing w:after="0"/>
        <w:ind w:firstLine="720"/>
      </w:pPr>
    </w:p>
  </w:footnote>
  <w:footnote w:id="15">
    <w:p w:rsidR="00583092" w:rsidRDefault="00583092" w:rsidP="00C9206C">
      <w:pPr>
        <w:pStyle w:val="FootnoteText"/>
        <w:spacing w:after="0"/>
        <w:ind w:firstLine="720"/>
      </w:pPr>
      <w:r>
        <w:rPr>
          <w:rStyle w:val="FootnoteReference"/>
        </w:rPr>
        <w:footnoteRef/>
      </w:r>
      <w:r>
        <w:t xml:space="preserve">  </w:t>
      </w:r>
      <w:r>
        <w:tab/>
        <w:t xml:space="preserve">52 </w:t>
      </w:r>
      <w:proofErr w:type="spellStart"/>
      <w:r>
        <w:t>Pa.Code</w:t>
      </w:r>
      <w:proofErr w:type="spellEnd"/>
      <w:r>
        <w:t xml:space="preserve"> § 69.1201(c</w:t>
      </w:r>
      <w:proofErr w:type="gramStart"/>
      <w:r>
        <w:t>)(</w:t>
      </w:r>
      <w:proofErr w:type="gramEnd"/>
      <w:r>
        <w:t>3).</w:t>
      </w:r>
    </w:p>
    <w:p w:rsidR="00C9206C" w:rsidRDefault="00C9206C" w:rsidP="00C9206C">
      <w:pPr>
        <w:pStyle w:val="FootnoteText"/>
        <w:spacing w:after="0"/>
        <w:ind w:firstLine="720"/>
      </w:pPr>
    </w:p>
  </w:footnote>
  <w:footnote w:id="16">
    <w:p w:rsidR="00583092" w:rsidRDefault="00583092" w:rsidP="00C9206C">
      <w:pPr>
        <w:pStyle w:val="FootnoteText"/>
        <w:spacing w:after="0"/>
        <w:ind w:firstLine="720"/>
      </w:pPr>
      <w:r>
        <w:rPr>
          <w:rStyle w:val="FootnoteReference"/>
        </w:rPr>
        <w:footnoteRef/>
      </w:r>
      <w:r>
        <w:t xml:space="preserve">  </w:t>
      </w:r>
      <w:r>
        <w:tab/>
        <w:t xml:space="preserve">52 </w:t>
      </w:r>
      <w:proofErr w:type="spellStart"/>
      <w:r>
        <w:t>Pa.Code</w:t>
      </w:r>
      <w:proofErr w:type="spellEnd"/>
      <w:r>
        <w:t xml:space="preserve"> § 69.1201(c</w:t>
      </w:r>
      <w:proofErr w:type="gramStart"/>
      <w:r>
        <w:t>)(</w:t>
      </w:r>
      <w:proofErr w:type="gramEnd"/>
      <w:r>
        <w:t>5).</w:t>
      </w:r>
    </w:p>
    <w:p w:rsidR="00C9206C" w:rsidRDefault="00C9206C" w:rsidP="00C9206C">
      <w:pPr>
        <w:pStyle w:val="FootnoteText"/>
        <w:spacing w:after="0"/>
        <w:ind w:firstLine="720"/>
      </w:pPr>
    </w:p>
  </w:footnote>
  <w:footnote w:id="17">
    <w:p w:rsidR="00583092" w:rsidRDefault="00583092" w:rsidP="00C9206C">
      <w:pPr>
        <w:pStyle w:val="FootnoteText"/>
        <w:spacing w:after="0"/>
        <w:ind w:firstLine="720"/>
      </w:pPr>
      <w:r>
        <w:rPr>
          <w:rStyle w:val="FootnoteReference"/>
        </w:rPr>
        <w:footnoteRef/>
      </w:r>
      <w:r>
        <w:t xml:space="preserve">  </w:t>
      </w:r>
      <w:r>
        <w:tab/>
        <w:t xml:space="preserve">52 </w:t>
      </w:r>
      <w:proofErr w:type="spellStart"/>
      <w:r>
        <w:t>Pa.Code</w:t>
      </w:r>
      <w:proofErr w:type="spellEnd"/>
      <w:r>
        <w:t xml:space="preserve"> § 69.1201(c</w:t>
      </w:r>
      <w:proofErr w:type="gramStart"/>
      <w:r>
        <w:t>)(</w:t>
      </w:r>
      <w:proofErr w:type="gramEnd"/>
      <w:r>
        <w:t>4).</w:t>
      </w:r>
    </w:p>
    <w:p w:rsidR="00C9206C" w:rsidRDefault="00C9206C" w:rsidP="00C9206C">
      <w:pPr>
        <w:pStyle w:val="FootnoteText"/>
        <w:spacing w:after="0"/>
        <w:ind w:firstLine="720"/>
      </w:pPr>
    </w:p>
  </w:footnote>
  <w:footnote w:id="18">
    <w:p w:rsidR="00BF5D18" w:rsidRDefault="00BF5D18" w:rsidP="00C9206C">
      <w:pPr>
        <w:pStyle w:val="FootnoteText"/>
        <w:spacing w:after="0"/>
        <w:ind w:firstLine="720"/>
      </w:pPr>
      <w:r>
        <w:rPr>
          <w:rStyle w:val="FootnoteReference"/>
        </w:rPr>
        <w:footnoteRef/>
      </w:r>
      <w:r>
        <w:t xml:space="preserve">  </w:t>
      </w:r>
      <w:r>
        <w:tab/>
        <w:t>52 Pa.Code § 69.1201(c</w:t>
      </w:r>
      <w:proofErr w:type="gramStart"/>
      <w:r>
        <w:t>)(</w:t>
      </w:r>
      <w:proofErr w:type="gramEnd"/>
      <w:r>
        <w:t>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8263FC"/>
    <w:lvl w:ilvl="0">
      <w:start w:val="1"/>
      <w:numFmt w:val="decimal"/>
      <w:lvlText w:val="%1."/>
      <w:lvlJc w:val="left"/>
      <w:pPr>
        <w:tabs>
          <w:tab w:val="num" w:pos="1800"/>
        </w:tabs>
        <w:ind w:left="1800" w:hanging="360"/>
      </w:pPr>
    </w:lvl>
  </w:abstractNum>
  <w:abstractNum w:abstractNumId="1">
    <w:nsid w:val="FFFFFF7D"/>
    <w:multiLevelType w:val="singleLevel"/>
    <w:tmpl w:val="7478AB08"/>
    <w:lvl w:ilvl="0">
      <w:start w:val="1"/>
      <w:numFmt w:val="decimal"/>
      <w:lvlText w:val="%1."/>
      <w:lvlJc w:val="left"/>
      <w:pPr>
        <w:tabs>
          <w:tab w:val="num" w:pos="1440"/>
        </w:tabs>
        <w:ind w:left="1440" w:hanging="360"/>
      </w:pPr>
    </w:lvl>
  </w:abstractNum>
  <w:abstractNum w:abstractNumId="2">
    <w:nsid w:val="FFFFFF7E"/>
    <w:multiLevelType w:val="singleLevel"/>
    <w:tmpl w:val="B0FC2442"/>
    <w:lvl w:ilvl="0">
      <w:start w:val="1"/>
      <w:numFmt w:val="decimal"/>
      <w:lvlText w:val="%1."/>
      <w:lvlJc w:val="left"/>
      <w:pPr>
        <w:tabs>
          <w:tab w:val="num" w:pos="1080"/>
        </w:tabs>
        <w:ind w:left="1080" w:hanging="360"/>
      </w:pPr>
    </w:lvl>
  </w:abstractNum>
  <w:abstractNum w:abstractNumId="3">
    <w:nsid w:val="FFFFFF7F"/>
    <w:multiLevelType w:val="singleLevel"/>
    <w:tmpl w:val="166CB546"/>
    <w:lvl w:ilvl="0">
      <w:start w:val="1"/>
      <w:numFmt w:val="decimal"/>
      <w:lvlText w:val="%1."/>
      <w:lvlJc w:val="left"/>
      <w:pPr>
        <w:tabs>
          <w:tab w:val="num" w:pos="720"/>
        </w:tabs>
        <w:ind w:left="720" w:hanging="360"/>
      </w:pPr>
    </w:lvl>
  </w:abstractNum>
  <w:abstractNum w:abstractNumId="4">
    <w:nsid w:val="FFFFFF80"/>
    <w:multiLevelType w:val="singleLevel"/>
    <w:tmpl w:val="6D26D8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39856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EE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7F66EE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452FDAA"/>
    <w:lvl w:ilvl="0">
      <w:start w:val="1"/>
      <w:numFmt w:val="decimal"/>
      <w:lvlText w:val="%1."/>
      <w:lvlJc w:val="left"/>
      <w:pPr>
        <w:tabs>
          <w:tab w:val="num" w:pos="360"/>
        </w:tabs>
        <w:ind w:left="360" w:hanging="360"/>
      </w:pPr>
    </w:lvl>
  </w:abstractNum>
  <w:abstractNum w:abstractNumId="9">
    <w:nsid w:val="FFFFFF89"/>
    <w:multiLevelType w:val="singleLevel"/>
    <w:tmpl w:val="62D876D2"/>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EDEACA40"/>
    <w:lvl w:ilvl="0" w:tplc="B40CD066">
      <w:start w:val="1"/>
      <w:numFmt w:val="decimal"/>
      <w:pStyle w:val="ListParagraph"/>
      <w:lvlText w:val="%1."/>
      <w:lvlJc w:val="left"/>
      <w:pPr>
        <w:ind w:left="18720" w:hanging="360"/>
      </w:pPr>
      <w:rPr>
        <w:i w:val="0"/>
      </w:rPr>
    </w:lvl>
    <w:lvl w:ilvl="1" w:tplc="04090019">
      <w:start w:val="1"/>
      <w:numFmt w:val="lowerLetter"/>
      <w:lvlText w:val="%2."/>
      <w:lvlJc w:val="left"/>
      <w:pPr>
        <w:ind w:left="19440" w:hanging="360"/>
      </w:pPr>
    </w:lvl>
    <w:lvl w:ilvl="2" w:tplc="0409001B" w:tentative="1">
      <w:start w:val="1"/>
      <w:numFmt w:val="lowerRoman"/>
      <w:lvlText w:val="%3."/>
      <w:lvlJc w:val="right"/>
      <w:pPr>
        <w:ind w:left="20160" w:hanging="180"/>
      </w:pPr>
    </w:lvl>
    <w:lvl w:ilvl="3" w:tplc="0409000F" w:tentative="1">
      <w:start w:val="1"/>
      <w:numFmt w:val="decimal"/>
      <w:lvlText w:val="%4."/>
      <w:lvlJc w:val="left"/>
      <w:pPr>
        <w:ind w:left="20880" w:hanging="360"/>
      </w:pPr>
    </w:lvl>
    <w:lvl w:ilvl="4" w:tplc="04090019" w:tentative="1">
      <w:start w:val="1"/>
      <w:numFmt w:val="lowerLetter"/>
      <w:lvlText w:val="%5."/>
      <w:lvlJc w:val="left"/>
      <w:pPr>
        <w:ind w:left="21600" w:hanging="360"/>
      </w:pPr>
    </w:lvl>
    <w:lvl w:ilvl="5" w:tplc="0409001B" w:tentative="1">
      <w:start w:val="1"/>
      <w:numFmt w:val="lowerRoman"/>
      <w:lvlText w:val="%6."/>
      <w:lvlJc w:val="right"/>
      <w:pPr>
        <w:ind w:left="22320" w:hanging="180"/>
      </w:pPr>
    </w:lvl>
    <w:lvl w:ilvl="6" w:tplc="0409000F" w:tentative="1">
      <w:start w:val="1"/>
      <w:numFmt w:val="decimal"/>
      <w:lvlText w:val="%7."/>
      <w:lvlJc w:val="left"/>
      <w:pPr>
        <w:ind w:left="23040" w:hanging="360"/>
      </w:pPr>
    </w:lvl>
    <w:lvl w:ilvl="7" w:tplc="04090019" w:tentative="1">
      <w:start w:val="1"/>
      <w:numFmt w:val="lowerLetter"/>
      <w:lvlText w:val="%8."/>
      <w:lvlJc w:val="left"/>
      <w:pPr>
        <w:ind w:left="23760" w:hanging="360"/>
      </w:pPr>
    </w:lvl>
    <w:lvl w:ilvl="8" w:tplc="0409001B" w:tentative="1">
      <w:start w:val="1"/>
      <w:numFmt w:val="lowerRoman"/>
      <w:lvlText w:val="%9."/>
      <w:lvlJc w:val="right"/>
      <w:pPr>
        <w:ind w:left="24480" w:hanging="180"/>
      </w:pPr>
    </w:lvl>
  </w:abstractNum>
  <w:abstractNum w:abstractNumId="1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15"/>
  </w:num>
  <w:num w:numId="3">
    <w:abstractNumId w:val="16"/>
  </w:num>
  <w:num w:numId="4">
    <w:abstractNumId w:val="19"/>
  </w:num>
  <w:num w:numId="5">
    <w:abstractNumId w:val="14"/>
  </w:num>
  <w:num w:numId="6">
    <w:abstractNumId w:val="13"/>
  </w:num>
  <w:num w:numId="7">
    <w:abstractNumId w:val="12"/>
  </w:num>
  <w:num w:numId="8">
    <w:abstractNumId w:val="18"/>
  </w:num>
  <w:num w:numId="9">
    <w:abstractNumId w:val="11"/>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ED"/>
    <w:rsid w:val="00001DDB"/>
    <w:rsid w:val="00004C37"/>
    <w:rsid w:val="0003242C"/>
    <w:rsid w:val="00036238"/>
    <w:rsid w:val="00045955"/>
    <w:rsid w:val="00046853"/>
    <w:rsid w:val="00085487"/>
    <w:rsid w:val="000A2998"/>
    <w:rsid w:val="000C6065"/>
    <w:rsid w:val="00103EAE"/>
    <w:rsid w:val="00127C57"/>
    <w:rsid w:val="00156AAB"/>
    <w:rsid w:val="001619ED"/>
    <w:rsid w:val="0016725A"/>
    <w:rsid w:val="00180A3A"/>
    <w:rsid w:val="00182DA7"/>
    <w:rsid w:val="0018564D"/>
    <w:rsid w:val="00187AE6"/>
    <w:rsid w:val="00193986"/>
    <w:rsid w:val="00196F71"/>
    <w:rsid w:val="001B1CBA"/>
    <w:rsid w:val="001E50D0"/>
    <w:rsid w:val="001F2C97"/>
    <w:rsid w:val="001F49DB"/>
    <w:rsid w:val="0021238F"/>
    <w:rsid w:val="00212472"/>
    <w:rsid w:val="00213167"/>
    <w:rsid w:val="00234EDD"/>
    <w:rsid w:val="00240247"/>
    <w:rsid w:val="00245029"/>
    <w:rsid w:val="002512F9"/>
    <w:rsid w:val="0026075A"/>
    <w:rsid w:val="00293EA1"/>
    <w:rsid w:val="002A3F13"/>
    <w:rsid w:val="002B4B68"/>
    <w:rsid w:val="003343E3"/>
    <w:rsid w:val="00384A50"/>
    <w:rsid w:val="00392749"/>
    <w:rsid w:val="00393C92"/>
    <w:rsid w:val="003A7049"/>
    <w:rsid w:val="003A743A"/>
    <w:rsid w:val="003B49E4"/>
    <w:rsid w:val="003D6287"/>
    <w:rsid w:val="003E262F"/>
    <w:rsid w:val="003E6FC7"/>
    <w:rsid w:val="003F1652"/>
    <w:rsid w:val="004109BB"/>
    <w:rsid w:val="00422605"/>
    <w:rsid w:val="00440A9A"/>
    <w:rsid w:val="00446728"/>
    <w:rsid w:val="00451E36"/>
    <w:rsid w:val="00457538"/>
    <w:rsid w:val="00477174"/>
    <w:rsid w:val="004840E9"/>
    <w:rsid w:val="004A2001"/>
    <w:rsid w:val="004C3A40"/>
    <w:rsid w:val="004C73DB"/>
    <w:rsid w:val="004D523C"/>
    <w:rsid w:val="004E408D"/>
    <w:rsid w:val="004F2FBE"/>
    <w:rsid w:val="004F5259"/>
    <w:rsid w:val="00537CBE"/>
    <w:rsid w:val="00552235"/>
    <w:rsid w:val="00571153"/>
    <w:rsid w:val="00583092"/>
    <w:rsid w:val="00585491"/>
    <w:rsid w:val="00585623"/>
    <w:rsid w:val="0059620B"/>
    <w:rsid w:val="005A04AF"/>
    <w:rsid w:val="005A2ABA"/>
    <w:rsid w:val="005E4E91"/>
    <w:rsid w:val="005F1CFD"/>
    <w:rsid w:val="005F6ECA"/>
    <w:rsid w:val="00607AED"/>
    <w:rsid w:val="0061775F"/>
    <w:rsid w:val="00666B6D"/>
    <w:rsid w:val="00690FB7"/>
    <w:rsid w:val="006910F0"/>
    <w:rsid w:val="00693671"/>
    <w:rsid w:val="006942DF"/>
    <w:rsid w:val="006A0FE5"/>
    <w:rsid w:val="006D13E5"/>
    <w:rsid w:val="006D1A56"/>
    <w:rsid w:val="006D4261"/>
    <w:rsid w:val="006F0329"/>
    <w:rsid w:val="0070513E"/>
    <w:rsid w:val="00712E58"/>
    <w:rsid w:val="007434B3"/>
    <w:rsid w:val="00777CFC"/>
    <w:rsid w:val="007873AF"/>
    <w:rsid w:val="00792796"/>
    <w:rsid w:val="00792AB9"/>
    <w:rsid w:val="00794B4E"/>
    <w:rsid w:val="007A306E"/>
    <w:rsid w:val="007E15FB"/>
    <w:rsid w:val="007E6779"/>
    <w:rsid w:val="007F3712"/>
    <w:rsid w:val="007F5C50"/>
    <w:rsid w:val="008529D2"/>
    <w:rsid w:val="008572B1"/>
    <w:rsid w:val="008A7610"/>
    <w:rsid w:val="008C711E"/>
    <w:rsid w:val="008F0643"/>
    <w:rsid w:val="00911077"/>
    <w:rsid w:val="009376DF"/>
    <w:rsid w:val="00953008"/>
    <w:rsid w:val="009830DE"/>
    <w:rsid w:val="009B7AC2"/>
    <w:rsid w:val="009E06B9"/>
    <w:rsid w:val="009F69C1"/>
    <w:rsid w:val="00A46CD4"/>
    <w:rsid w:val="00A4781A"/>
    <w:rsid w:val="00A72C6D"/>
    <w:rsid w:val="00A733F1"/>
    <w:rsid w:val="00AA2EC5"/>
    <w:rsid w:val="00AB4C73"/>
    <w:rsid w:val="00AB7AAD"/>
    <w:rsid w:val="00AE6F47"/>
    <w:rsid w:val="00AF337A"/>
    <w:rsid w:val="00B46894"/>
    <w:rsid w:val="00B8724F"/>
    <w:rsid w:val="00BB6BED"/>
    <w:rsid w:val="00BC4649"/>
    <w:rsid w:val="00BC6B21"/>
    <w:rsid w:val="00BE0EE1"/>
    <w:rsid w:val="00BF16A1"/>
    <w:rsid w:val="00BF5D18"/>
    <w:rsid w:val="00C0483B"/>
    <w:rsid w:val="00C32172"/>
    <w:rsid w:val="00C85D22"/>
    <w:rsid w:val="00C9206C"/>
    <w:rsid w:val="00C97B79"/>
    <w:rsid w:val="00CB41EA"/>
    <w:rsid w:val="00CD4963"/>
    <w:rsid w:val="00D032C3"/>
    <w:rsid w:val="00D10CA0"/>
    <w:rsid w:val="00D13A9D"/>
    <w:rsid w:val="00D539EF"/>
    <w:rsid w:val="00D71CA4"/>
    <w:rsid w:val="00D71DF5"/>
    <w:rsid w:val="00D728D9"/>
    <w:rsid w:val="00D94318"/>
    <w:rsid w:val="00DB0B83"/>
    <w:rsid w:val="00DC7D47"/>
    <w:rsid w:val="00DD1816"/>
    <w:rsid w:val="00DD4D79"/>
    <w:rsid w:val="00DD5C37"/>
    <w:rsid w:val="00E01E77"/>
    <w:rsid w:val="00E37B47"/>
    <w:rsid w:val="00E41033"/>
    <w:rsid w:val="00E4680F"/>
    <w:rsid w:val="00E62CC7"/>
    <w:rsid w:val="00E912C0"/>
    <w:rsid w:val="00EA26C2"/>
    <w:rsid w:val="00EB7088"/>
    <w:rsid w:val="00EC1CBA"/>
    <w:rsid w:val="00ED055C"/>
    <w:rsid w:val="00EF1FE7"/>
    <w:rsid w:val="00F1093B"/>
    <w:rsid w:val="00F16554"/>
    <w:rsid w:val="00F238FE"/>
    <w:rsid w:val="00F25933"/>
    <w:rsid w:val="00F40E4C"/>
    <w:rsid w:val="00F544E1"/>
    <w:rsid w:val="00F61AAD"/>
    <w:rsid w:val="00F70C27"/>
    <w:rsid w:val="00F73CF2"/>
    <w:rsid w:val="00F963A0"/>
    <w:rsid w:val="00FC4FCE"/>
    <w:rsid w:val="00FD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A40"/>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85487"/>
    <w:pPr>
      <w:numPr>
        <w:numId w:val="10"/>
      </w:numPr>
      <w:tabs>
        <w:tab w:val="clear" w:pos="1440"/>
        <w:tab w:val="left" w:pos="0"/>
      </w:tabs>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unhideWhenUsed/>
    <w:rsid w:val="001619ED"/>
    <w:rPr>
      <w:rFonts w:ascii="Times New Roman" w:hAnsi="Times New Roman"/>
      <w:vertAlign w:val="superscript"/>
    </w:rPr>
  </w:style>
  <w:style w:type="paragraph" w:styleId="Quote">
    <w:name w:val="Quote"/>
    <w:basedOn w:val="Normal"/>
    <w:next w:val="Normal"/>
    <w:link w:val="QuoteChar"/>
    <w:uiPriority w:val="29"/>
    <w:qFormat/>
    <w:rsid w:val="004C3A40"/>
    <w:pPr>
      <w:tabs>
        <w:tab w:val="clear" w:pos="1440"/>
      </w:tabs>
      <w:spacing w:line="240" w:lineRule="auto"/>
      <w:ind w:firstLine="1440"/>
    </w:pPr>
    <w:rPr>
      <w:iCs/>
      <w:color w:val="000000" w:themeColor="text1"/>
    </w:rPr>
  </w:style>
  <w:style w:type="character" w:customStyle="1" w:styleId="QuoteChar">
    <w:name w:val="Quote Char"/>
    <w:basedOn w:val="DefaultParagraphFont"/>
    <w:link w:val="Quote"/>
    <w:uiPriority w:val="29"/>
    <w:rsid w:val="004C3A40"/>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E912C0"/>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E912C0"/>
    <w:rPr>
      <w:rFonts w:ascii="Times New Roman" w:hAnsi="Times New Roman" w:cs="Times New Roman"/>
      <w:sz w:val="24"/>
      <w:szCs w:val="20"/>
    </w:rPr>
  </w:style>
  <w:style w:type="paragraph" w:styleId="Footer">
    <w:name w:val="footer"/>
    <w:basedOn w:val="Normal"/>
    <w:link w:val="FooterChar"/>
    <w:uiPriority w:val="99"/>
    <w:unhideWhenUsed/>
    <w:rsid w:val="00E912C0"/>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E912C0"/>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E46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8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A40"/>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85487"/>
    <w:pPr>
      <w:numPr>
        <w:numId w:val="10"/>
      </w:numPr>
      <w:tabs>
        <w:tab w:val="clear" w:pos="1440"/>
        <w:tab w:val="left" w:pos="0"/>
      </w:tabs>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unhideWhenUsed/>
    <w:rsid w:val="001619ED"/>
    <w:rPr>
      <w:rFonts w:ascii="Times New Roman" w:hAnsi="Times New Roman"/>
      <w:vertAlign w:val="superscript"/>
    </w:rPr>
  </w:style>
  <w:style w:type="paragraph" w:styleId="Quote">
    <w:name w:val="Quote"/>
    <w:basedOn w:val="Normal"/>
    <w:next w:val="Normal"/>
    <w:link w:val="QuoteChar"/>
    <w:uiPriority w:val="29"/>
    <w:qFormat/>
    <w:rsid w:val="004C3A40"/>
    <w:pPr>
      <w:tabs>
        <w:tab w:val="clear" w:pos="1440"/>
      </w:tabs>
      <w:spacing w:line="240" w:lineRule="auto"/>
      <w:ind w:firstLine="1440"/>
    </w:pPr>
    <w:rPr>
      <w:iCs/>
      <w:color w:val="000000" w:themeColor="text1"/>
    </w:rPr>
  </w:style>
  <w:style w:type="character" w:customStyle="1" w:styleId="QuoteChar">
    <w:name w:val="Quote Char"/>
    <w:basedOn w:val="DefaultParagraphFont"/>
    <w:link w:val="Quote"/>
    <w:uiPriority w:val="29"/>
    <w:rsid w:val="004C3A40"/>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E912C0"/>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E912C0"/>
    <w:rPr>
      <w:rFonts w:ascii="Times New Roman" w:hAnsi="Times New Roman" w:cs="Times New Roman"/>
      <w:sz w:val="24"/>
      <w:szCs w:val="20"/>
    </w:rPr>
  </w:style>
  <w:style w:type="paragraph" w:styleId="Footer">
    <w:name w:val="footer"/>
    <w:basedOn w:val="Normal"/>
    <w:link w:val="FooterChar"/>
    <w:uiPriority w:val="99"/>
    <w:unhideWhenUsed/>
    <w:rsid w:val="00E912C0"/>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E912C0"/>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E46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8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13</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26</cp:revision>
  <cp:lastPrinted>2015-03-31T12:50:00Z</cp:lastPrinted>
  <dcterms:created xsi:type="dcterms:W3CDTF">2015-03-25T15:18:00Z</dcterms:created>
  <dcterms:modified xsi:type="dcterms:W3CDTF">2015-04-06T13:48:00Z</dcterms:modified>
</cp:coreProperties>
</file>