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D7D" w:rsidRPr="00B62BE4" w:rsidRDefault="00734D7D" w:rsidP="007C7022">
      <w:pPr>
        <w:tabs>
          <w:tab w:val="left" w:pos="0"/>
        </w:tabs>
        <w:spacing w:after="0" w:line="240" w:lineRule="auto"/>
        <w:jc w:val="center"/>
        <w:rPr>
          <w:b/>
        </w:rPr>
      </w:pPr>
      <w:r w:rsidRPr="00B62BE4">
        <w:rPr>
          <w:b/>
        </w:rPr>
        <w:t>BEFORE THE</w:t>
      </w:r>
    </w:p>
    <w:p w:rsidR="00734D7D" w:rsidRPr="00B62BE4" w:rsidRDefault="00734D7D" w:rsidP="007C7022">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734D7D" w:rsidRPr="00B62BE4" w:rsidRDefault="00734D7D" w:rsidP="007C7022">
      <w:pPr>
        <w:tabs>
          <w:tab w:val="left" w:pos="0"/>
        </w:tabs>
        <w:spacing w:after="0" w:line="240" w:lineRule="auto"/>
        <w:jc w:val="both"/>
        <w:rPr>
          <w:b/>
        </w:rPr>
      </w:pPr>
    </w:p>
    <w:p w:rsidR="00734D7D" w:rsidRPr="00B62BE4" w:rsidRDefault="00734D7D" w:rsidP="007C7022">
      <w:pPr>
        <w:tabs>
          <w:tab w:val="left" w:pos="0"/>
        </w:tabs>
        <w:spacing w:after="0" w:line="240" w:lineRule="auto"/>
        <w:jc w:val="both"/>
        <w:rPr>
          <w:b/>
        </w:rPr>
      </w:pPr>
    </w:p>
    <w:p w:rsidR="00734D7D" w:rsidRPr="00B62BE4" w:rsidRDefault="00734D7D" w:rsidP="007C7022">
      <w:pPr>
        <w:tabs>
          <w:tab w:val="left" w:pos="0"/>
        </w:tabs>
        <w:spacing w:after="0" w:line="240" w:lineRule="auto"/>
        <w:jc w:val="both"/>
        <w:rPr>
          <w:b/>
        </w:rPr>
      </w:pPr>
    </w:p>
    <w:p w:rsidR="00734D7D" w:rsidRPr="00B62BE4" w:rsidRDefault="00734D7D" w:rsidP="00562CBA">
      <w:pPr>
        <w:tabs>
          <w:tab w:val="left" w:pos="0"/>
        </w:tabs>
        <w:spacing w:after="0" w:line="240" w:lineRule="auto"/>
        <w:jc w:val="both"/>
      </w:pPr>
      <w:r>
        <w:t>BM Enterprises, Inc., t/</w:t>
      </w:r>
      <w:proofErr w:type="gramStart"/>
      <w:r>
        <w:t>a</w:t>
      </w:r>
      <w:proofErr w:type="gramEnd"/>
      <w:r>
        <w:t xml:space="preserve"> A &amp; G Taxi</w:t>
      </w:r>
      <w:r>
        <w:tab/>
      </w:r>
      <w:r w:rsidRPr="00B62BE4">
        <w:tab/>
      </w:r>
      <w:r w:rsidRPr="00B62BE4">
        <w:tab/>
        <w:t>:</w:t>
      </w:r>
    </w:p>
    <w:p w:rsidR="00734D7D" w:rsidRPr="00B62BE4" w:rsidRDefault="00734D7D" w:rsidP="00562CBA">
      <w:pPr>
        <w:tabs>
          <w:tab w:val="left" w:pos="0"/>
        </w:tabs>
        <w:spacing w:after="0" w:line="240" w:lineRule="auto"/>
        <w:jc w:val="both"/>
        <w:rPr>
          <w:b/>
        </w:rPr>
      </w:pPr>
      <w:r>
        <w:tab/>
      </w:r>
      <w:r>
        <w:tab/>
      </w:r>
      <w:r>
        <w:tab/>
      </w:r>
      <w:r>
        <w:tab/>
      </w:r>
      <w:r w:rsidRPr="00B62BE4">
        <w:tab/>
      </w:r>
      <w:r w:rsidRPr="00B62BE4">
        <w:tab/>
        <w:t>:</w:t>
      </w:r>
    </w:p>
    <w:p w:rsidR="00734D7D" w:rsidRPr="00B62BE4" w:rsidRDefault="00734D7D" w:rsidP="00562CBA">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734D7D" w:rsidRPr="00B62BE4" w:rsidRDefault="00734D7D" w:rsidP="00562CBA">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2014-2452316</w:t>
      </w:r>
    </w:p>
    <w:p w:rsidR="00734D7D" w:rsidRPr="00B62BE4" w:rsidRDefault="00734D7D" w:rsidP="00562CBA">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734D7D" w:rsidRPr="00B62BE4" w:rsidRDefault="00734D7D" w:rsidP="00562CBA">
      <w:pPr>
        <w:tabs>
          <w:tab w:val="left" w:pos="0"/>
        </w:tabs>
        <w:spacing w:after="0" w:line="240" w:lineRule="auto"/>
        <w:jc w:val="both"/>
      </w:pPr>
      <w:r>
        <w:t>Uber Technologies, Inc.</w:t>
      </w:r>
      <w:r>
        <w:tab/>
      </w:r>
      <w:r w:rsidRPr="00B62BE4">
        <w:tab/>
      </w:r>
      <w:r w:rsidRPr="00B62BE4">
        <w:tab/>
      </w:r>
      <w:r w:rsidRPr="00B62BE4">
        <w:tab/>
        <w:t>:</w:t>
      </w:r>
    </w:p>
    <w:p w:rsidR="00734D7D" w:rsidRPr="00B62BE4" w:rsidRDefault="00734D7D" w:rsidP="003A7E3B">
      <w:pPr>
        <w:tabs>
          <w:tab w:val="left" w:pos="0"/>
        </w:tabs>
        <w:spacing w:after="0" w:line="19" w:lineRule="atLeast"/>
        <w:jc w:val="both"/>
      </w:pPr>
    </w:p>
    <w:p w:rsidR="00792796" w:rsidRDefault="00792796" w:rsidP="003A7E3B">
      <w:pPr>
        <w:spacing w:after="0" w:line="19" w:lineRule="atLeast"/>
      </w:pPr>
    </w:p>
    <w:p w:rsidR="007C7022" w:rsidRDefault="007C7022" w:rsidP="003A7E3B">
      <w:pPr>
        <w:spacing w:after="0" w:line="19" w:lineRule="atLeast"/>
      </w:pPr>
    </w:p>
    <w:p w:rsidR="006673B2" w:rsidRDefault="000725B9" w:rsidP="00562CBA">
      <w:pPr>
        <w:spacing w:after="0" w:line="240" w:lineRule="auto"/>
        <w:jc w:val="center"/>
        <w:rPr>
          <w:b/>
        </w:rPr>
      </w:pPr>
      <w:r>
        <w:rPr>
          <w:b/>
        </w:rPr>
        <w:t xml:space="preserve">INITIAL DECISION </w:t>
      </w:r>
    </w:p>
    <w:p w:rsidR="007D510E" w:rsidRDefault="000725B9" w:rsidP="00562CBA">
      <w:pPr>
        <w:spacing w:after="0" w:line="240" w:lineRule="auto"/>
        <w:jc w:val="center"/>
      </w:pPr>
      <w:r w:rsidRPr="006673B2">
        <w:rPr>
          <w:b/>
          <w:u w:val="single"/>
        </w:rPr>
        <w:t>GRANTING</w:t>
      </w:r>
      <w:r w:rsidR="006673B2" w:rsidRPr="006673B2">
        <w:rPr>
          <w:b/>
          <w:u w:val="single"/>
        </w:rPr>
        <w:t xml:space="preserve"> </w:t>
      </w:r>
      <w:r w:rsidR="007D510E" w:rsidRPr="006673B2">
        <w:rPr>
          <w:b/>
          <w:u w:val="single"/>
        </w:rPr>
        <w:t>P</w:t>
      </w:r>
      <w:r w:rsidR="007D510E" w:rsidRPr="00B13E8E">
        <w:rPr>
          <w:b/>
          <w:u w:val="single"/>
        </w:rPr>
        <w:t>RELIMINARY OBJECTIONS</w:t>
      </w:r>
      <w:r>
        <w:rPr>
          <w:b/>
          <w:u w:val="single"/>
        </w:rPr>
        <w:t xml:space="preserve"> AND DISMISSING COMPLAINT</w:t>
      </w:r>
    </w:p>
    <w:p w:rsidR="000725B9" w:rsidRDefault="000725B9" w:rsidP="00562CBA">
      <w:pPr>
        <w:spacing w:after="0"/>
      </w:pPr>
    </w:p>
    <w:p w:rsidR="00121E65" w:rsidRDefault="00121E65" w:rsidP="00562CBA">
      <w:pPr>
        <w:spacing w:after="0" w:line="240" w:lineRule="auto"/>
        <w:jc w:val="center"/>
      </w:pPr>
      <w:r>
        <w:t>Before</w:t>
      </w:r>
    </w:p>
    <w:p w:rsidR="00121E65" w:rsidRDefault="00121E65" w:rsidP="00562CBA">
      <w:pPr>
        <w:spacing w:after="0" w:line="240" w:lineRule="auto"/>
        <w:jc w:val="center"/>
      </w:pPr>
      <w:r>
        <w:t>Mary D. Long</w:t>
      </w:r>
    </w:p>
    <w:p w:rsidR="00121E65" w:rsidRDefault="00121E65" w:rsidP="00562CBA">
      <w:pPr>
        <w:spacing w:after="0" w:line="240" w:lineRule="auto"/>
        <w:jc w:val="center"/>
      </w:pPr>
      <w:r>
        <w:t>Administrative Law Judge</w:t>
      </w:r>
    </w:p>
    <w:p w:rsidR="00121E65" w:rsidRDefault="000725B9" w:rsidP="00562CBA">
      <w:pPr>
        <w:spacing w:after="0"/>
      </w:pPr>
      <w:r>
        <w:tab/>
      </w:r>
    </w:p>
    <w:p w:rsidR="000725B9" w:rsidRDefault="00121E65" w:rsidP="00562CBA">
      <w:pPr>
        <w:spacing w:after="0"/>
      </w:pPr>
      <w:r>
        <w:tab/>
      </w:r>
      <w:r w:rsidR="000725B9">
        <w:t xml:space="preserve">This decision dismisses the complaint of a call or demand motor carrier because the complaint fails to allege any facts which </w:t>
      </w:r>
      <w:r w:rsidR="006673B2">
        <w:t xml:space="preserve">support </w:t>
      </w:r>
      <w:r w:rsidR="00C82E33">
        <w:t>the motor carrier</w:t>
      </w:r>
      <w:r w:rsidR="002877F1">
        <w:t>’</w:t>
      </w:r>
      <w:r w:rsidR="00C82E33">
        <w:t>s</w:t>
      </w:r>
      <w:r w:rsidR="006673B2">
        <w:t xml:space="preserve"> direct, immediate and substantial interest in the dispute</w:t>
      </w:r>
      <w:r w:rsidR="000725B9">
        <w:t>.</w:t>
      </w:r>
      <w:r w:rsidR="006673B2">
        <w:t xml:space="preserve">  Rath</w:t>
      </w:r>
      <w:r w:rsidR="00753FA3">
        <w:t>er, the complaint only articulat</w:t>
      </w:r>
      <w:r w:rsidR="006673B2">
        <w:t>es</w:t>
      </w:r>
      <w:r w:rsidR="00753FA3">
        <w:t xml:space="preserve"> a generalized interest in compliance with the law.</w:t>
      </w:r>
    </w:p>
    <w:p w:rsidR="002A6B47" w:rsidRDefault="002A6B47" w:rsidP="00562CBA">
      <w:pPr>
        <w:spacing w:after="0"/>
      </w:pPr>
    </w:p>
    <w:p w:rsidR="00CD0A04" w:rsidRDefault="000725B9" w:rsidP="00562CBA">
      <w:pPr>
        <w:spacing w:after="0"/>
        <w:jc w:val="center"/>
        <w:rPr>
          <w:u w:val="single"/>
        </w:rPr>
      </w:pPr>
      <w:r w:rsidRPr="000725B9">
        <w:rPr>
          <w:u w:val="single"/>
        </w:rPr>
        <w:t>PROCEDURAL HISTORY</w:t>
      </w:r>
    </w:p>
    <w:p w:rsidR="007C7022" w:rsidRPr="000725B9" w:rsidRDefault="007C7022" w:rsidP="00562CBA">
      <w:pPr>
        <w:spacing w:after="0"/>
        <w:jc w:val="center"/>
        <w:rPr>
          <w:u w:val="single"/>
        </w:rPr>
      </w:pPr>
    </w:p>
    <w:p w:rsidR="007D510E" w:rsidRDefault="007D510E" w:rsidP="00562CBA">
      <w:pPr>
        <w:spacing w:after="0"/>
      </w:pPr>
      <w:r>
        <w:tab/>
      </w:r>
      <w:r w:rsidR="000725B9">
        <w:t>B</w:t>
      </w:r>
      <w:r>
        <w:t>M Enterprises, Inc. t/</w:t>
      </w:r>
      <w:proofErr w:type="gramStart"/>
      <w:r>
        <w:t>a</w:t>
      </w:r>
      <w:proofErr w:type="gramEnd"/>
      <w:r>
        <w:t xml:space="preserve"> A&amp;G Taxi (Complainant) filed a formal complaint against Uber Technologies, Inc. (Uber) on November</w:t>
      </w:r>
      <w:r w:rsidR="00C82E33">
        <w:t xml:space="preserve"> 5, 2014.  The complaint alleged</w:t>
      </w:r>
      <w:r>
        <w:t xml:space="preserve"> that Uber </w:t>
      </w:r>
      <w:r w:rsidR="002877F1">
        <w:t>was</w:t>
      </w:r>
      <w:r>
        <w:t xml:space="preserve"> “operating illegally with no over-sight.”  According to the Complainant, Uber’s alleged illegal operation is to the detriment of the public and to “properly” certificated carriers.  As </w:t>
      </w:r>
      <w:r w:rsidR="00C82E33">
        <w:t>relief, the Complainant requested</w:t>
      </w:r>
      <w:r>
        <w:t xml:space="preserve"> the Commission to direct Uber to stop providing transportation service</w:t>
      </w:r>
      <w:r w:rsidR="00C82E33">
        <w:t>s.  The Complainant also alleged</w:t>
      </w:r>
      <w:r>
        <w:t xml:space="preserve"> that Uber is using an improper tariff and that the Commission should direct Uber to issue refunds to customers who were charged “illegal rates.”</w:t>
      </w:r>
    </w:p>
    <w:p w:rsidR="007C7022" w:rsidRDefault="007C7022" w:rsidP="00562CBA">
      <w:pPr>
        <w:spacing w:after="0"/>
      </w:pPr>
    </w:p>
    <w:p w:rsidR="007D510E" w:rsidRDefault="007D510E" w:rsidP="00562CBA">
      <w:pPr>
        <w:spacing w:after="0"/>
      </w:pPr>
      <w:r>
        <w:lastRenderedPageBreak/>
        <w:tab/>
        <w:t>The complaint was served by the Secretary’s Bureau on November 10, 2014.</w:t>
      </w:r>
      <w:r w:rsidR="002B434D">
        <w:t xml:space="preserve">  On December 1, 2014, Uber filed an answer to the complaint which denied the material allegations made by the Complainant.  Uber al</w:t>
      </w:r>
      <w:r w:rsidR="003A5E18">
        <w:t xml:space="preserve">so filed preliminary objections on the grounds that the Complainant </w:t>
      </w:r>
      <w:r w:rsidR="00151695">
        <w:t>did</w:t>
      </w:r>
      <w:r w:rsidR="003A5E18">
        <w:t xml:space="preserve"> not have standing; that the Commission lack</w:t>
      </w:r>
      <w:r w:rsidR="00151695">
        <w:t>ed</w:t>
      </w:r>
      <w:r w:rsidR="003A5E18">
        <w:t xml:space="preserve"> jurisdiction regarding the “activities of a software company”; that the complaint contain</w:t>
      </w:r>
      <w:r w:rsidR="00151695">
        <w:t>ed</w:t>
      </w:r>
      <w:r w:rsidR="003A5E18">
        <w:t xml:space="preserve"> insufficient specificity; and that the complaint contain</w:t>
      </w:r>
      <w:r w:rsidR="00151695">
        <w:t>ed</w:t>
      </w:r>
      <w:r w:rsidR="003A5E18">
        <w:t xml:space="preserve"> impertinent matter consisting of expressions of opinion and legal arguments.</w:t>
      </w:r>
      <w:r w:rsidR="00CD0A04">
        <w:t xml:space="preserve">  The Complainant filed a response to the preliminary objections on December 10, 2014.</w:t>
      </w:r>
    </w:p>
    <w:p w:rsidR="007C7022" w:rsidRDefault="007C7022" w:rsidP="00562CBA">
      <w:pPr>
        <w:spacing w:after="0"/>
      </w:pPr>
    </w:p>
    <w:p w:rsidR="00CD0A04" w:rsidRDefault="00CD0A04" w:rsidP="00562CBA">
      <w:pPr>
        <w:spacing w:after="0"/>
      </w:pPr>
      <w:r>
        <w:tab/>
        <w:t xml:space="preserve">By notice dated January 12, 2015, this matter was assigned to me for disposition.  </w:t>
      </w:r>
      <w:r w:rsidR="00BB71D2">
        <w:t>By interim order dated February 11, 2015, I granted the preliminary objections to the extent that the complaint sought redress of improperly charged fares to transportation customers.  The February order also directed the Complainant to file an amended complaint setting forth facts supporting its standing to lodge a complaint and specific allegations of harm allegedly caused by Uber Technologies, Inc.</w:t>
      </w:r>
    </w:p>
    <w:p w:rsidR="007C7022" w:rsidRDefault="007C7022" w:rsidP="00562CBA">
      <w:pPr>
        <w:spacing w:after="0"/>
      </w:pPr>
    </w:p>
    <w:p w:rsidR="00BB71D2" w:rsidRDefault="00BB71D2" w:rsidP="00562CBA">
      <w:pPr>
        <w:spacing w:after="0"/>
      </w:pPr>
      <w:r>
        <w:tab/>
        <w:t>On February 23, 2015, the Complainant filed an amended complaint.</w:t>
      </w:r>
      <w:r w:rsidR="00D514E1">
        <w:t xml:space="preserve"> </w:t>
      </w:r>
      <w:r>
        <w:t xml:space="preserve"> </w:t>
      </w:r>
      <w:r w:rsidR="00ED2AFD">
        <w:t>The Complainant avers that its standing is based upon its view that Uber is operating unlawfully in its service territory:</w:t>
      </w:r>
    </w:p>
    <w:p w:rsidR="007C7022" w:rsidRDefault="007C7022" w:rsidP="00562CBA">
      <w:pPr>
        <w:spacing w:after="0" w:line="240" w:lineRule="auto"/>
      </w:pPr>
    </w:p>
    <w:p w:rsidR="00ED2AFD" w:rsidRDefault="00ED2AFD" w:rsidP="00562CBA">
      <w:pPr>
        <w:spacing w:after="0" w:line="240" w:lineRule="auto"/>
        <w:ind w:left="1440" w:right="1440"/>
      </w:pPr>
      <w:r>
        <w:t>Complain</w:t>
      </w:r>
      <w:r w:rsidR="00CC7FB5">
        <w:t>ant</w:t>
      </w:r>
      <w:r>
        <w:t xml:space="preserve"> has standing to file the instant complaint because the Respondent is facilitating provision of illegal call or demand service in Complainant’s designated territory, using private individuals without certificates of public convenience and such service is in actual, or potential, conflict with Complainant’s Commission-issued call or demand authority in its designated territory.</w:t>
      </w:r>
      <w:r>
        <w:rPr>
          <w:rStyle w:val="FootnoteReference"/>
        </w:rPr>
        <w:footnoteReference w:id="1"/>
      </w:r>
    </w:p>
    <w:p w:rsidR="00562CBA" w:rsidRDefault="00562CBA" w:rsidP="00562CBA">
      <w:pPr>
        <w:spacing w:after="0" w:line="240" w:lineRule="auto"/>
        <w:ind w:left="1440" w:right="1440"/>
      </w:pPr>
    </w:p>
    <w:p w:rsidR="00562CBA" w:rsidRDefault="00562CBA" w:rsidP="00562CBA">
      <w:pPr>
        <w:spacing w:after="0" w:line="240" w:lineRule="auto"/>
        <w:ind w:left="1440" w:right="1440"/>
      </w:pPr>
    </w:p>
    <w:p w:rsidR="00ED2AFD" w:rsidRDefault="00ED2AFD" w:rsidP="00562CBA">
      <w:pPr>
        <w:spacing w:after="0"/>
      </w:pPr>
      <w:r>
        <w:tab/>
        <w:t xml:space="preserve">The complaint thereafter includes three counts, which include an allegation that Uber arranges transportation services using its digital platform that provides services called UberX, UberFamily, Black Car and SUV.  The Complainant alleges that none of the drivers who provide the transportation services arranged using Uber’s digital platform are authorized by the </w:t>
      </w:r>
      <w:r>
        <w:lastRenderedPageBreak/>
        <w:t xml:space="preserve">Commission to offer taxicab service in the Complainant’s service territory.  The Complainant also alleges that even though Rasier-PA, LLC, a subsidiary of Uber, holds a certificate of public convenience from the Commission, this service is nevertheless in violation of the Public Utility Code because Rasier-PA is not a “motor carrier.”  Finally, in </w:t>
      </w:r>
      <w:r w:rsidR="00151695">
        <w:t>the third count</w:t>
      </w:r>
      <w:r>
        <w:t xml:space="preserve">, the Complainant alleges that the transportation services rendered by Uber violate the </w:t>
      </w:r>
      <w:r w:rsidR="00DC222D">
        <w:t>Ridesharing</w:t>
      </w:r>
      <w:r>
        <w:t xml:space="preserve"> Arrangement Act, thereby violating the Public Utility Code.</w:t>
      </w:r>
    </w:p>
    <w:p w:rsidR="00F66381" w:rsidRDefault="00F66381" w:rsidP="00562CBA">
      <w:pPr>
        <w:spacing w:after="0"/>
      </w:pPr>
    </w:p>
    <w:p w:rsidR="00ED2AFD" w:rsidRDefault="00ED2AFD" w:rsidP="00562CBA">
      <w:pPr>
        <w:spacing w:after="0"/>
      </w:pPr>
      <w:r>
        <w:tab/>
        <w:t xml:space="preserve">Uber filed a timely answer and preliminary objections on </w:t>
      </w:r>
      <w:r w:rsidR="003E5B20">
        <w:t>March 16, 2015.  Uber’s answer denies that it is rendering any transportation services in violation of the Public Utility Code.  The basis of Uber’s preliminary objection is that the Complainant has failed to articulate any facts which support its standing to pursue its claims, other than a general statement that it holds authority in the same service territory.  Uber further points out that many of the legal arguments raised by the Complainant were disposed of by the Commission in the application proceedings of Uber’s subsidiary, Rasier-PA, LLC.</w:t>
      </w:r>
      <w:r w:rsidR="00151695">
        <w:rPr>
          <w:rStyle w:val="FootnoteReference"/>
        </w:rPr>
        <w:footnoteReference w:id="2"/>
      </w:r>
    </w:p>
    <w:p w:rsidR="00F66381" w:rsidRDefault="00F66381" w:rsidP="00562CBA">
      <w:pPr>
        <w:spacing w:after="0"/>
      </w:pPr>
    </w:p>
    <w:p w:rsidR="003E5B20" w:rsidRDefault="003E5B20" w:rsidP="00562CBA">
      <w:pPr>
        <w:spacing w:after="0"/>
      </w:pPr>
      <w:r>
        <w:tab/>
        <w:t xml:space="preserve">The Complainant did not file an answer to the preliminary objections. </w:t>
      </w:r>
    </w:p>
    <w:p w:rsidR="00B125D7" w:rsidRDefault="00B125D7" w:rsidP="00562CBA">
      <w:pPr>
        <w:spacing w:after="0"/>
      </w:pPr>
    </w:p>
    <w:p w:rsidR="003E5B20" w:rsidRDefault="003E5B20" w:rsidP="00562CBA">
      <w:pPr>
        <w:spacing w:after="0"/>
        <w:jc w:val="center"/>
        <w:rPr>
          <w:u w:val="single"/>
        </w:rPr>
      </w:pPr>
      <w:r w:rsidRPr="004845B9">
        <w:rPr>
          <w:u w:val="single"/>
        </w:rPr>
        <w:t>FINDINGS OF FACT</w:t>
      </w:r>
    </w:p>
    <w:p w:rsidR="009D7230" w:rsidRPr="004845B9" w:rsidRDefault="009D7230" w:rsidP="00562CBA">
      <w:pPr>
        <w:spacing w:after="0"/>
        <w:jc w:val="center"/>
        <w:rPr>
          <w:u w:val="single"/>
        </w:rPr>
      </w:pPr>
    </w:p>
    <w:p w:rsidR="003E5B20" w:rsidRDefault="003E5B20" w:rsidP="00562CBA">
      <w:pPr>
        <w:spacing w:after="0"/>
      </w:pPr>
      <w:r>
        <w:tab/>
        <w:t>1.</w:t>
      </w:r>
      <w:r>
        <w:tab/>
        <w:t>The Complainant is BM Enterprises, Inc. t/</w:t>
      </w:r>
      <w:proofErr w:type="gramStart"/>
      <w:r>
        <w:t>a</w:t>
      </w:r>
      <w:proofErr w:type="gramEnd"/>
      <w:r>
        <w:t xml:space="preserve"> A&amp;G Taxi.</w:t>
      </w:r>
    </w:p>
    <w:p w:rsidR="009D7230" w:rsidRDefault="009D7230" w:rsidP="00562CBA">
      <w:pPr>
        <w:spacing w:after="0"/>
      </w:pPr>
    </w:p>
    <w:p w:rsidR="003E5B20" w:rsidRDefault="00A7421F" w:rsidP="00562CBA">
      <w:pPr>
        <w:spacing w:after="0"/>
      </w:pPr>
      <w:r>
        <w:tab/>
        <w:t>2.</w:t>
      </w:r>
      <w:r>
        <w:tab/>
        <w:t>The R</w:t>
      </w:r>
      <w:r w:rsidR="003E5B20">
        <w:t>espondent is Uber Technologies, Inc.</w:t>
      </w:r>
    </w:p>
    <w:p w:rsidR="009D7230" w:rsidRDefault="009D7230" w:rsidP="00562CBA">
      <w:pPr>
        <w:spacing w:after="0"/>
      </w:pPr>
    </w:p>
    <w:p w:rsidR="003E5B20" w:rsidRDefault="003E5B20" w:rsidP="00562CBA">
      <w:pPr>
        <w:spacing w:after="0"/>
      </w:pPr>
      <w:r>
        <w:tab/>
        <w:t>3.</w:t>
      </w:r>
      <w:r>
        <w:tab/>
        <w:t>Uber Technologies, Inc. filed preliminary objections seeking dismissal of the complaint due to lack of standing.</w:t>
      </w:r>
    </w:p>
    <w:p w:rsidR="009D7230" w:rsidRDefault="009D7230" w:rsidP="00562CBA">
      <w:pPr>
        <w:spacing w:after="0"/>
      </w:pPr>
    </w:p>
    <w:p w:rsidR="003E5B20" w:rsidRDefault="003E5B20" w:rsidP="00562CBA">
      <w:pPr>
        <w:spacing w:after="0"/>
      </w:pPr>
      <w:r>
        <w:tab/>
        <w:t>4.</w:t>
      </w:r>
      <w:r>
        <w:tab/>
        <w:t>The Complainant did not file a response to the preliminary objection</w:t>
      </w:r>
      <w:r w:rsidR="00B60C17">
        <w:t>s</w:t>
      </w:r>
      <w:r>
        <w:t>.</w:t>
      </w:r>
    </w:p>
    <w:p w:rsidR="009D7230" w:rsidRDefault="009D7230" w:rsidP="00562CBA">
      <w:pPr>
        <w:spacing w:after="0"/>
      </w:pPr>
    </w:p>
    <w:p w:rsidR="009D7230" w:rsidRDefault="009D7230" w:rsidP="00562CBA">
      <w:pPr>
        <w:spacing w:after="0"/>
        <w:jc w:val="center"/>
        <w:rPr>
          <w:u w:val="single"/>
        </w:rPr>
      </w:pPr>
    </w:p>
    <w:p w:rsidR="003E5B20" w:rsidRDefault="003E5B20" w:rsidP="002A6B47">
      <w:pPr>
        <w:spacing w:after="0"/>
        <w:jc w:val="center"/>
        <w:rPr>
          <w:u w:val="single"/>
        </w:rPr>
      </w:pPr>
      <w:r w:rsidRPr="004845B9">
        <w:rPr>
          <w:u w:val="single"/>
        </w:rPr>
        <w:lastRenderedPageBreak/>
        <w:t>DISCUSSION</w:t>
      </w:r>
    </w:p>
    <w:p w:rsidR="009D7230" w:rsidRPr="004845B9" w:rsidRDefault="009D7230" w:rsidP="002A6B47">
      <w:pPr>
        <w:spacing w:after="0"/>
        <w:jc w:val="center"/>
        <w:rPr>
          <w:u w:val="single"/>
        </w:rPr>
      </w:pPr>
    </w:p>
    <w:p w:rsidR="00CD0A04" w:rsidRDefault="00CD0A04" w:rsidP="002A6B47">
      <w:pPr>
        <w:spacing w:after="0"/>
      </w:pPr>
      <w:r>
        <w:tab/>
        <w:t>Preliminary objection practice before the Commission is similar to Pennsylvania civil practice respecting preliminary objections.</w:t>
      </w:r>
      <w:r>
        <w:rPr>
          <w:rStyle w:val="FootnoteReference"/>
        </w:rPr>
        <w:footnoteReference w:id="3"/>
      </w:r>
      <w:r>
        <w:t xml:space="preserve">  A preliminary objection which seeks dismissal of a pleading will only be granted where relief is clearly warranted and free from doubt.</w:t>
      </w:r>
      <w:r>
        <w:rPr>
          <w:rStyle w:val="FootnoteReference"/>
        </w:rPr>
        <w:footnoteReference w:id="4"/>
      </w:r>
      <w:r>
        <w:t xml:space="preserve">  The moving party may not rely on its own factual assertions, but must accept for the purpose of disposition of the motion, all well-pleaded material facts of the other party, as well as every inference fairly deducible from those facts.</w:t>
      </w:r>
      <w:r>
        <w:rPr>
          <w:rStyle w:val="FootnoteReference"/>
        </w:rPr>
        <w:footnoteReference w:id="5"/>
      </w:r>
      <w:r>
        <w:t xml:space="preserve">  Therefore, in ruling on a preliminary objection, the Commission must assume, for decisional purposes only, that the factual allegations of the complaint are true.</w:t>
      </w:r>
      <w:r>
        <w:rPr>
          <w:rStyle w:val="FootnoteReference"/>
        </w:rPr>
        <w:footnoteReference w:id="6"/>
      </w:r>
    </w:p>
    <w:p w:rsidR="00987EC1" w:rsidRDefault="00987EC1" w:rsidP="002A6B47">
      <w:pPr>
        <w:spacing w:after="0"/>
      </w:pPr>
    </w:p>
    <w:p w:rsidR="00CD0A04" w:rsidRDefault="00CD0A04" w:rsidP="002A6B47">
      <w:pPr>
        <w:spacing w:after="0"/>
      </w:pPr>
      <w:r>
        <w:tab/>
        <w:t xml:space="preserve">The grounds for preliminary objection, under the Commission’s rules, are limited: </w:t>
      </w:r>
    </w:p>
    <w:p w:rsidR="00CD0A04" w:rsidRDefault="00CD0A04" w:rsidP="002A6B47">
      <w:pPr>
        <w:pStyle w:val="Quote"/>
        <w:spacing w:after="0" w:line="360" w:lineRule="auto"/>
        <w:ind w:firstLine="720"/>
      </w:pPr>
      <w:r>
        <w:t xml:space="preserve">§ 5.101.  </w:t>
      </w:r>
      <w:proofErr w:type="gramStart"/>
      <w:r>
        <w:t>Preliminary objections.</w:t>
      </w:r>
      <w:proofErr w:type="gramEnd"/>
    </w:p>
    <w:p w:rsidR="009D7230" w:rsidRPr="009D7230" w:rsidRDefault="009D7230" w:rsidP="002A6B47">
      <w:pPr>
        <w:spacing w:after="0" w:line="240" w:lineRule="auto"/>
      </w:pPr>
    </w:p>
    <w:p w:rsidR="00CD0A04" w:rsidRDefault="00CD0A04" w:rsidP="002A6B47">
      <w:pPr>
        <w:pStyle w:val="Quote"/>
        <w:spacing w:after="0"/>
        <w:ind w:left="1440" w:right="1440"/>
      </w:pPr>
      <w:r>
        <w:t>(a)</w:t>
      </w:r>
      <w: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D7230" w:rsidRPr="009D7230" w:rsidRDefault="009D7230" w:rsidP="002A6B47">
      <w:pPr>
        <w:spacing w:after="0" w:line="240" w:lineRule="auto"/>
      </w:pPr>
    </w:p>
    <w:p w:rsidR="00CD0A04" w:rsidRDefault="00CD0A04" w:rsidP="002A6B47">
      <w:pPr>
        <w:pStyle w:val="Quote"/>
        <w:spacing w:after="0"/>
        <w:ind w:left="1440" w:right="1440" w:firstLine="720"/>
      </w:pPr>
      <w:r>
        <w:t>(1)</w:t>
      </w:r>
      <w:r>
        <w:tab/>
        <w:t>Lack of Commission jurisdiction or improper service of the pleading initiating the proceeding.</w:t>
      </w:r>
    </w:p>
    <w:p w:rsidR="009D7230" w:rsidRPr="009D7230" w:rsidRDefault="009D7230" w:rsidP="002A6B47">
      <w:pPr>
        <w:spacing w:after="0" w:line="240" w:lineRule="auto"/>
      </w:pPr>
    </w:p>
    <w:p w:rsidR="00CD0A04" w:rsidRDefault="00CD0A04" w:rsidP="002A6B47">
      <w:pPr>
        <w:pStyle w:val="Quote"/>
        <w:spacing w:after="0"/>
        <w:ind w:left="1440" w:right="1440" w:firstLine="720"/>
      </w:pPr>
      <w:r>
        <w:t>(2)</w:t>
      </w:r>
      <w:r>
        <w:tab/>
        <w:t>Failure of a pleading to conform to this chapter or the inclusion of scandalous or impertinent matter.</w:t>
      </w:r>
    </w:p>
    <w:p w:rsidR="009D7230" w:rsidRPr="009D7230" w:rsidRDefault="009D7230" w:rsidP="002A6B47">
      <w:pPr>
        <w:spacing w:after="0" w:line="240" w:lineRule="auto"/>
      </w:pPr>
    </w:p>
    <w:p w:rsidR="00CD0A04" w:rsidRDefault="00CD0A04" w:rsidP="002A6B47">
      <w:pPr>
        <w:pStyle w:val="Quote"/>
        <w:spacing w:after="0"/>
        <w:ind w:left="1440" w:right="1440" w:firstLine="720"/>
      </w:pPr>
      <w:r>
        <w:t>(3)</w:t>
      </w:r>
      <w:r>
        <w:tab/>
        <w:t>Insufficient specificity of a pleading.</w:t>
      </w:r>
    </w:p>
    <w:p w:rsidR="009D7230" w:rsidRPr="009D7230" w:rsidRDefault="009D7230" w:rsidP="002A6B47">
      <w:pPr>
        <w:spacing w:after="0" w:line="240" w:lineRule="auto"/>
      </w:pPr>
    </w:p>
    <w:p w:rsidR="00CD0A04" w:rsidRDefault="00CD0A04" w:rsidP="002A6B47">
      <w:pPr>
        <w:pStyle w:val="Quote"/>
        <w:spacing w:after="0"/>
        <w:ind w:left="1440" w:right="1440" w:firstLine="720"/>
      </w:pPr>
      <w:r>
        <w:t>(4)</w:t>
      </w:r>
      <w:r>
        <w:tab/>
        <w:t>Legal insufficiency of a pleading.</w:t>
      </w:r>
    </w:p>
    <w:p w:rsidR="009D7230" w:rsidRPr="009D7230" w:rsidRDefault="009D7230" w:rsidP="002A6B47">
      <w:pPr>
        <w:spacing w:after="0"/>
      </w:pPr>
    </w:p>
    <w:p w:rsidR="00CD0A04" w:rsidRDefault="00CD0A04" w:rsidP="002A6B47">
      <w:pPr>
        <w:pStyle w:val="Quote"/>
        <w:spacing w:after="0"/>
        <w:ind w:left="1440" w:right="1440" w:firstLine="720"/>
      </w:pPr>
      <w:r>
        <w:lastRenderedPageBreak/>
        <w:t>(5)</w:t>
      </w:r>
      <w:r>
        <w:tab/>
        <w:t>Lack of capacity to sue, nonjoinder of a necessary party or misjoinder of a cause of action.</w:t>
      </w:r>
    </w:p>
    <w:p w:rsidR="009D7230" w:rsidRPr="009D7230" w:rsidRDefault="009D7230" w:rsidP="002A6B47">
      <w:pPr>
        <w:spacing w:after="0" w:line="240" w:lineRule="auto"/>
      </w:pPr>
    </w:p>
    <w:p w:rsidR="00CD0A04" w:rsidRDefault="00CD0A04" w:rsidP="002A6B47">
      <w:pPr>
        <w:pStyle w:val="Quote"/>
        <w:spacing w:after="0"/>
        <w:ind w:left="1440" w:right="1440" w:firstLine="720"/>
      </w:pPr>
      <w:r>
        <w:t>(6)</w:t>
      </w:r>
      <w:r>
        <w:tab/>
        <w:t>Pendency of a prior proceeding or agreement for alternative dispute resolution.</w:t>
      </w:r>
    </w:p>
    <w:p w:rsidR="009D7230" w:rsidRPr="009D7230" w:rsidRDefault="009D7230" w:rsidP="002A6B47">
      <w:pPr>
        <w:spacing w:after="0" w:line="240" w:lineRule="auto"/>
      </w:pPr>
    </w:p>
    <w:p w:rsidR="00CD0A04" w:rsidRDefault="00CD0A04" w:rsidP="002A6B47">
      <w:pPr>
        <w:spacing w:after="0"/>
      </w:pPr>
      <w:r>
        <w:tab/>
      </w:r>
      <w:r>
        <w:tab/>
        <w:t xml:space="preserve">(7) </w:t>
      </w:r>
      <w:r>
        <w:tab/>
        <w:t>Standing of a party to participate in the proceeding.</w:t>
      </w:r>
    </w:p>
    <w:p w:rsidR="00CD0A04" w:rsidRDefault="00CD0A04" w:rsidP="002A6B47">
      <w:pPr>
        <w:spacing w:after="0"/>
      </w:pPr>
      <w:r>
        <w:tab/>
      </w:r>
    </w:p>
    <w:p w:rsidR="00CD0A04" w:rsidRDefault="00952398" w:rsidP="002A6B47">
      <w:pPr>
        <w:spacing w:after="0"/>
      </w:pPr>
      <w:r>
        <w:tab/>
      </w:r>
      <w:r w:rsidRPr="00952398">
        <w:t>Determining whether someone has a cognizable interest in an administrative proceeding is akin to deciding the legal principle of “standing” in a civil court.  To have standing in civil practice, a party must have a substantial interest in the subject matter of the litigation, the interest must be direct, and the interest must be immediate and not a remote consequence.</w:t>
      </w:r>
      <w:r>
        <w:rPr>
          <w:rStyle w:val="FootnoteReference"/>
        </w:rPr>
        <w:footnoteReference w:id="7"/>
      </w:r>
      <w:r w:rsidRPr="00952398">
        <w:t xml:space="preserve">  The core concept of the question of “standing” is that a person, who is not adversely affected in any way by the matter he/she seeks to challenge, is not “aggrieved” thereby and has no standing to obtain a judicial resolution of his/her challenge.</w:t>
      </w:r>
      <w:r>
        <w:rPr>
          <w:rStyle w:val="FootnoteReference"/>
        </w:rPr>
        <w:footnoteReference w:id="8"/>
      </w:r>
      <w:r w:rsidRPr="00952398">
        <w:t xml:space="preserve">  The requirement of a “substantial” interest means the litigant must have some discernible adverse effect upon some interest other than the abstract interest of all citizens in havi</w:t>
      </w:r>
      <w:r>
        <w:t>ng others comply with the law.</w:t>
      </w:r>
      <w:r>
        <w:rPr>
          <w:rStyle w:val="FootnoteReference"/>
        </w:rPr>
        <w:footnoteReference w:id="9"/>
      </w:r>
      <w:r w:rsidRPr="00952398">
        <w:t xml:space="preserve">  The requirement that the litigant’s interest be “direct” simply means the person claiming to be aggrieved must show causation of the harm to his/her interest as a matter of which he/she complains.</w:t>
      </w:r>
      <w:r>
        <w:rPr>
          <w:rStyle w:val="FootnoteReference"/>
        </w:rPr>
        <w:footnoteReference w:id="10"/>
      </w:r>
      <w:r w:rsidRPr="00952398">
        <w:t xml:space="preserve">  The interest sought to be protected must be “immediate” and “not a remote </w:t>
      </w:r>
      <w:r>
        <w:t xml:space="preserve">consequence of the </w:t>
      </w:r>
      <w:r w:rsidR="000F4343">
        <w:t>judgment</w:t>
      </w:r>
      <w:r>
        <w:t>.”</w:t>
      </w:r>
      <w:r>
        <w:rPr>
          <w:rStyle w:val="FootnoteReference"/>
        </w:rPr>
        <w:footnoteReference w:id="11"/>
      </w:r>
    </w:p>
    <w:p w:rsidR="001E65B1" w:rsidRDefault="001E65B1" w:rsidP="002A6B47">
      <w:pPr>
        <w:spacing w:after="0"/>
      </w:pPr>
    </w:p>
    <w:p w:rsidR="00C73F30" w:rsidRDefault="00C73F30" w:rsidP="002A6B47">
      <w:pPr>
        <w:spacing w:after="0"/>
      </w:pPr>
      <w:r>
        <w:tab/>
        <w:t>Generally speaking, the Commission has permitted one public utility to complain that another public utility is violating the Public Utility Code:</w:t>
      </w:r>
    </w:p>
    <w:p w:rsidR="00C73F30" w:rsidRDefault="00C73F30" w:rsidP="002A6B47">
      <w:pPr>
        <w:spacing w:after="0" w:line="240" w:lineRule="auto"/>
        <w:ind w:left="1440" w:right="1530"/>
      </w:pPr>
      <w:r>
        <w:t xml:space="preserve">The commission, or any person, corporation, or municipal corporation having an interest in the subject matter, or any public utility concerned, may complain in writing, setting forth any act or thing done or omitted to be done by any public utility in violation, or claimed violation, of any law which the commission </w:t>
      </w:r>
      <w:r>
        <w:lastRenderedPageBreak/>
        <w:t>has jurisdiction to administer, or of any regulation or order of the commission.</w:t>
      </w:r>
      <w:r>
        <w:rPr>
          <w:rStyle w:val="FootnoteReference"/>
        </w:rPr>
        <w:footnoteReference w:id="12"/>
      </w:r>
    </w:p>
    <w:p w:rsidR="00E53F76" w:rsidRDefault="00E53F76" w:rsidP="002A6B47">
      <w:pPr>
        <w:spacing w:after="0"/>
        <w:ind w:left="1440" w:right="1526"/>
      </w:pPr>
    </w:p>
    <w:p w:rsidR="00C73F30" w:rsidRDefault="00C73F30" w:rsidP="002A6B47">
      <w:pPr>
        <w:spacing w:after="0"/>
      </w:pPr>
      <w:r>
        <w:t>However, a generalized allegation of a violation of the law, without a specific allegation of direct, immediate and substantial interest, is not sufficient.</w:t>
      </w:r>
      <w:r>
        <w:rPr>
          <w:rStyle w:val="FootnoteReference"/>
        </w:rPr>
        <w:footnoteReference w:id="13"/>
      </w:r>
    </w:p>
    <w:p w:rsidR="00E53F76" w:rsidRDefault="00E53F76" w:rsidP="002A6B47">
      <w:pPr>
        <w:spacing w:after="0"/>
      </w:pPr>
    </w:p>
    <w:p w:rsidR="00151695" w:rsidRDefault="00783317" w:rsidP="002A6B47">
      <w:pPr>
        <w:spacing w:after="0"/>
      </w:pPr>
      <w:r>
        <w:tab/>
        <w:t xml:space="preserve">As explained above, only the facts alleged in </w:t>
      </w:r>
      <w:r w:rsidR="00867CF3">
        <w:t>the complaint may be considered</w:t>
      </w:r>
      <w:r>
        <w:t xml:space="preserve"> when ruling on preliminary objections. </w:t>
      </w:r>
      <w:r w:rsidR="00273ED5">
        <w:t xml:space="preserve"> </w:t>
      </w:r>
      <w:r>
        <w:t xml:space="preserve"> Examining the </w:t>
      </w:r>
      <w:r w:rsidR="00C73F30">
        <w:t xml:space="preserve">amended </w:t>
      </w:r>
      <w:r>
        <w:t xml:space="preserve">complaint, </w:t>
      </w:r>
      <w:r w:rsidR="002A65B4">
        <w:t>the complaint</w:t>
      </w:r>
      <w:r>
        <w:t xml:space="preserve"> </w:t>
      </w:r>
      <w:r w:rsidR="00C73F30">
        <w:t xml:space="preserve">lacks </w:t>
      </w:r>
      <w:r>
        <w:t>facts which can be construed a</w:t>
      </w:r>
      <w:r w:rsidR="00C73F30">
        <w:t>s</w:t>
      </w:r>
      <w:r>
        <w:t xml:space="preserve"> allegations of </w:t>
      </w:r>
      <w:r w:rsidR="002A65B4">
        <w:t>a specific injury to</w:t>
      </w:r>
      <w:r>
        <w:t xml:space="preserve"> the </w:t>
      </w:r>
      <w:r w:rsidR="002A65B4">
        <w:t>Complainant.</w:t>
      </w:r>
      <w:r w:rsidR="00151695">
        <w:t xml:space="preserve"> The sole factual averment of harm is the statement that the Complainant holds authority in the same service territory where Uber operat</w:t>
      </w:r>
      <w:r w:rsidR="00A7421F">
        <w:t>e</w:t>
      </w:r>
      <w:r w:rsidR="00151695">
        <w:t>s. T</w:t>
      </w:r>
      <w:r>
        <w:t>he</w:t>
      </w:r>
      <w:r w:rsidR="00151695">
        <w:t xml:space="preserve"> remainder of the </w:t>
      </w:r>
      <w:r>
        <w:t xml:space="preserve">complaint includes </w:t>
      </w:r>
      <w:r w:rsidR="00C73F30">
        <w:t>only a general statement of harm</w:t>
      </w:r>
      <w:r w:rsidR="00217D07">
        <w:t xml:space="preserve"> – and a litany of alleged violations of the Public Utility Code by Uber, which were raised by the Complainant as a protestant in the application proceedings against Uber’s subsidiary, Rasier-PA, LLC.  </w:t>
      </w:r>
      <w:r w:rsidR="00151695">
        <w:t>There is no stated nexus between these allegations of illegal activity and an impact on the Complainant’s business.</w:t>
      </w:r>
    </w:p>
    <w:p w:rsidR="00E53F76" w:rsidRDefault="00E53F76" w:rsidP="002A6B47">
      <w:pPr>
        <w:spacing w:after="0"/>
      </w:pPr>
    </w:p>
    <w:p w:rsidR="00151695" w:rsidRDefault="00151695" w:rsidP="002A6B47">
      <w:pPr>
        <w:spacing w:after="0"/>
      </w:pPr>
      <w:r>
        <w:tab/>
      </w:r>
      <w:r w:rsidR="00217D07">
        <w:t>Further, the Complainant was specifically directed to include “specific allegations of harm allegedly caused by Uber Technologies, Inc.”</w:t>
      </w:r>
      <w:r w:rsidR="00217D07">
        <w:rPr>
          <w:rStyle w:val="FootnoteReference"/>
        </w:rPr>
        <w:footnoteReference w:id="14"/>
      </w:r>
      <w:r w:rsidR="00217D07">
        <w:t xml:space="preserve">  A bald statement that Uber’s “use of private individuals without certificates of public convenience . . .  is in actual, or potential conflict with Complainant’s Commission-issued call or demand authority in its designated territory” is not sufficient to withstand dismissal, particularly when the Complainant has had an opportunity to provide a proper factual basis for its allegation of direct and immediate harm.</w:t>
      </w:r>
      <w:r w:rsidR="00590A2F">
        <w:t xml:space="preserve">  Although the Complainant’s description of the </w:t>
      </w:r>
      <w:r>
        <w:t xml:space="preserve">alleged </w:t>
      </w:r>
      <w:r w:rsidR="00590A2F">
        <w:t>violations of the Public Utility Code are more detailed and specific than those raised in the initial complaint, they still support nothing more than a generalized interest in compliance with the law.</w:t>
      </w:r>
      <w:r w:rsidR="00D878D0">
        <w:t xml:space="preserve">  </w:t>
      </w:r>
      <w:r w:rsidR="00D878D0" w:rsidRPr="00F255F5">
        <w:t>It is just, reasonable and in the public inter</w:t>
      </w:r>
      <w:r w:rsidR="00D878D0">
        <w:t xml:space="preserve">est that the complaint filed </w:t>
      </w:r>
      <w:r w:rsidR="00D878D0" w:rsidRPr="00F255F5">
        <w:t>be dismissed</w:t>
      </w:r>
      <w:r w:rsidR="00D878D0">
        <w:t xml:space="preserve"> without a hearing</w:t>
      </w:r>
      <w:r w:rsidR="00D878D0" w:rsidRPr="00F255F5">
        <w:t>.</w:t>
      </w:r>
      <w:r w:rsidR="00D878D0">
        <w:rPr>
          <w:rStyle w:val="FootnoteReference"/>
        </w:rPr>
        <w:footnoteReference w:id="15"/>
      </w:r>
      <w:r w:rsidR="00D878D0">
        <w:t xml:space="preserve">  </w:t>
      </w:r>
    </w:p>
    <w:p w:rsidR="00E53F76" w:rsidRDefault="00E53F76" w:rsidP="002A6B47">
      <w:pPr>
        <w:spacing w:after="0"/>
      </w:pPr>
    </w:p>
    <w:p w:rsidR="00151695" w:rsidRDefault="00151695" w:rsidP="002A6B47">
      <w:pPr>
        <w:spacing w:after="0"/>
      </w:pPr>
      <w:r>
        <w:lastRenderedPageBreak/>
        <w:tab/>
        <w:t>Uber’s preliminary objections will be granted and the complaint dismissed.</w:t>
      </w:r>
      <w:r w:rsidR="00D878D0">
        <w:t xml:space="preserve">  </w:t>
      </w:r>
    </w:p>
    <w:p w:rsidR="00E53F76" w:rsidRDefault="00E53F76" w:rsidP="002A6B47">
      <w:pPr>
        <w:spacing w:after="0"/>
      </w:pPr>
    </w:p>
    <w:p w:rsidR="00F22312" w:rsidRDefault="00F22312" w:rsidP="002A6B47">
      <w:pPr>
        <w:spacing w:after="0"/>
        <w:jc w:val="center"/>
        <w:rPr>
          <w:u w:val="single"/>
        </w:rPr>
      </w:pPr>
      <w:r w:rsidRPr="00151695">
        <w:rPr>
          <w:u w:val="single"/>
        </w:rPr>
        <w:t>CONCLUSIONS OF LAW</w:t>
      </w:r>
    </w:p>
    <w:p w:rsidR="00E53F76" w:rsidRPr="00151695" w:rsidRDefault="00E53F76" w:rsidP="002A6B47">
      <w:pPr>
        <w:spacing w:after="0"/>
        <w:jc w:val="center"/>
        <w:rPr>
          <w:u w:val="single"/>
        </w:rPr>
      </w:pPr>
    </w:p>
    <w:p w:rsidR="008A4F14" w:rsidRDefault="008A4F14" w:rsidP="002A6B47">
      <w:pPr>
        <w:spacing w:after="0"/>
      </w:pPr>
      <w:r>
        <w:tab/>
        <w:t>1.</w:t>
      </w:r>
      <w:r>
        <w:tab/>
        <w:t>The Commission has jurisdiction over the parties and subject</w:t>
      </w:r>
      <w:r w:rsidR="002F25B2">
        <w:t xml:space="preserve"> </w:t>
      </w:r>
      <w:bookmarkStart w:id="0" w:name="_GoBack"/>
      <w:bookmarkEnd w:id="0"/>
      <w:r>
        <w:t xml:space="preserve">matter of this dispute.  </w:t>
      </w:r>
      <w:proofErr w:type="gramStart"/>
      <w:r>
        <w:t>66 Pa.C.S.</w:t>
      </w:r>
      <w:proofErr w:type="gramEnd"/>
      <w:r>
        <w:t xml:space="preserve"> § 701.</w:t>
      </w:r>
    </w:p>
    <w:p w:rsidR="00E53F76" w:rsidRDefault="00E53F76" w:rsidP="002A6B47">
      <w:pPr>
        <w:spacing w:after="0"/>
      </w:pPr>
    </w:p>
    <w:p w:rsidR="008A4F14" w:rsidRDefault="008A4F14" w:rsidP="002A6B47">
      <w:pPr>
        <w:spacing w:after="0"/>
      </w:pPr>
      <w:r>
        <w:tab/>
        <w:t>2.</w:t>
      </w:r>
      <w:r>
        <w:tab/>
      </w:r>
      <w:r w:rsidR="00D33F1B">
        <w:t>The complainant motor carrier has failed to sufficiently demonstrate a direct, immediate and substantial interest in the allegations made in the complaint.</w:t>
      </w:r>
      <w:r w:rsidR="008979C5">
        <w:t xml:space="preserve">  </w:t>
      </w:r>
      <w:proofErr w:type="gramStart"/>
      <w:r w:rsidR="008979C5">
        <w:rPr>
          <w:i/>
        </w:rPr>
        <w:t>Waddington v. Pa. Pub.</w:t>
      </w:r>
      <w:proofErr w:type="gramEnd"/>
      <w:r w:rsidR="008979C5">
        <w:rPr>
          <w:i/>
        </w:rPr>
        <w:t xml:space="preserve"> </w:t>
      </w:r>
      <w:proofErr w:type="gramStart"/>
      <w:r w:rsidR="008979C5">
        <w:rPr>
          <w:i/>
        </w:rPr>
        <w:t>Util. Comm’n</w:t>
      </w:r>
      <w:r w:rsidR="008979C5">
        <w:t>, 670 A.2d 199 (Pa.Cmwlth.Ct. 1995).</w:t>
      </w:r>
      <w:proofErr w:type="gramEnd"/>
    </w:p>
    <w:p w:rsidR="00E53F76" w:rsidRDefault="00E53F76" w:rsidP="002A6B47">
      <w:pPr>
        <w:spacing w:after="0"/>
      </w:pPr>
    </w:p>
    <w:p w:rsidR="008979C5" w:rsidRDefault="008979C5" w:rsidP="002A6B47">
      <w:pPr>
        <w:spacing w:after="0"/>
      </w:pPr>
      <w:r>
        <w:tab/>
        <w:t>3.</w:t>
      </w:r>
      <w:r>
        <w:tab/>
        <w:t xml:space="preserve">The respondent transportation network company sufficiently demonstrated that the complaint should be dismissed due to lack of standing.  52 </w:t>
      </w:r>
      <w:proofErr w:type="spellStart"/>
      <w:r>
        <w:t>Pa.Code</w:t>
      </w:r>
      <w:proofErr w:type="spellEnd"/>
      <w:r>
        <w:t xml:space="preserve"> § 5.101(a</w:t>
      </w:r>
      <w:proofErr w:type="gramStart"/>
      <w:r>
        <w:t>)(</w:t>
      </w:r>
      <w:proofErr w:type="gramEnd"/>
      <w:r>
        <w:t>7).</w:t>
      </w:r>
    </w:p>
    <w:p w:rsidR="00E53F76" w:rsidRDefault="00E53F76" w:rsidP="002A6B47">
      <w:pPr>
        <w:spacing w:after="0"/>
      </w:pPr>
    </w:p>
    <w:p w:rsidR="00D878D0" w:rsidRDefault="00D878D0" w:rsidP="002A6B47">
      <w:pPr>
        <w:spacing w:after="0"/>
      </w:pPr>
      <w:r>
        <w:tab/>
        <w:t>4.</w:t>
      </w:r>
      <w:r>
        <w:tab/>
      </w:r>
      <w:r w:rsidRPr="00F255F5">
        <w:t>It is just, reasonable and in the public inter</w:t>
      </w:r>
      <w:r>
        <w:t xml:space="preserve">est that the complaint filed </w:t>
      </w:r>
      <w:r w:rsidRPr="00F255F5">
        <w:t>be dismissed</w:t>
      </w:r>
      <w:r>
        <w:t xml:space="preserve"> without a hearing</w:t>
      </w:r>
      <w:r w:rsidRPr="00F255F5">
        <w:t>.</w:t>
      </w:r>
      <w:r>
        <w:t xml:space="preserve">  </w:t>
      </w:r>
      <w:proofErr w:type="gramStart"/>
      <w:r>
        <w:t>66 Pa.C.S.</w:t>
      </w:r>
      <w:proofErr w:type="gramEnd"/>
      <w:r>
        <w:t xml:space="preserve"> § 703(b).</w:t>
      </w:r>
    </w:p>
    <w:p w:rsidR="00F22312" w:rsidRDefault="00F22312" w:rsidP="002A6B47">
      <w:pPr>
        <w:spacing w:after="0"/>
      </w:pPr>
    </w:p>
    <w:p w:rsidR="007C7022" w:rsidRDefault="007C7022" w:rsidP="002A6B47">
      <w:pPr>
        <w:spacing w:after="0"/>
      </w:pPr>
    </w:p>
    <w:p w:rsidR="00F22312" w:rsidRDefault="00F22312" w:rsidP="002A6B47">
      <w:pPr>
        <w:spacing w:after="0"/>
        <w:jc w:val="center"/>
        <w:rPr>
          <w:u w:val="single"/>
        </w:rPr>
      </w:pPr>
      <w:r w:rsidRPr="00F22312">
        <w:rPr>
          <w:u w:val="single"/>
        </w:rPr>
        <w:t>ORDER</w:t>
      </w:r>
    </w:p>
    <w:p w:rsidR="007C7022" w:rsidRPr="00F22312" w:rsidRDefault="007C7022" w:rsidP="002A6B47">
      <w:pPr>
        <w:spacing w:after="0"/>
        <w:jc w:val="center"/>
        <w:rPr>
          <w:u w:val="single"/>
        </w:rPr>
      </w:pPr>
    </w:p>
    <w:p w:rsidR="00273ED5" w:rsidRDefault="007C7022" w:rsidP="002A6B47">
      <w:pPr>
        <w:spacing w:after="0"/>
      </w:pPr>
      <w:r>
        <w:tab/>
      </w:r>
      <w:r w:rsidR="00273ED5">
        <w:t>THEREFORE,</w:t>
      </w:r>
    </w:p>
    <w:p w:rsidR="007C7022" w:rsidRDefault="007C7022" w:rsidP="002A6B47">
      <w:pPr>
        <w:spacing w:after="0"/>
      </w:pPr>
    </w:p>
    <w:p w:rsidR="00273ED5" w:rsidRDefault="007C7022" w:rsidP="002A6B47">
      <w:pPr>
        <w:spacing w:after="0"/>
      </w:pPr>
      <w:r>
        <w:tab/>
      </w:r>
      <w:r w:rsidR="00273ED5">
        <w:t>IT IS ORDERED</w:t>
      </w:r>
    </w:p>
    <w:p w:rsidR="00C05D56" w:rsidRDefault="00C05D56" w:rsidP="002A6B47">
      <w:pPr>
        <w:spacing w:after="0"/>
      </w:pPr>
    </w:p>
    <w:p w:rsidR="000A7CF9" w:rsidRDefault="00C05D56" w:rsidP="002A6B47">
      <w:pPr>
        <w:spacing w:after="0"/>
      </w:pPr>
      <w:r>
        <w:tab/>
        <w:t>1.</w:t>
      </w:r>
      <w:r>
        <w:tab/>
        <w:t xml:space="preserve">That the preliminary objection of Uber Technologies, Inc. to dismiss the complaint of BM Enterprises, Inc. t/a </w:t>
      </w:r>
      <w:proofErr w:type="spellStart"/>
      <w:r>
        <w:t>A</w:t>
      </w:r>
      <w:proofErr w:type="spellEnd"/>
      <w:r>
        <w:t xml:space="preserve"> &amp;</w:t>
      </w:r>
      <w:r w:rsidR="00867CF3">
        <w:t xml:space="preserve"> </w:t>
      </w:r>
      <w:r>
        <w:t>G Taxi at PUC Docket</w:t>
      </w:r>
      <w:r w:rsidR="000A7915">
        <w:t xml:space="preserve"> No. C-2014-2452316 is granted</w:t>
      </w:r>
      <w:r w:rsidR="008A4F14">
        <w:t>.</w:t>
      </w:r>
    </w:p>
    <w:p w:rsidR="008A4F14" w:rsidRDefault="008A4F14" w:rsidP="002A6B47">
      <w:pPr>
        <w:spacing w:after="0"/>
      </w:pPr>
      <w:r>
        <w:tab/>
        <w:t>2.</w:t>
      </w:r>
      <w:r>
        <w:tab/>
        <w:t xml:space="preserve">That the formal complaint of BM Enterprises, Inc. t/a </w:t>
      </w:r>
      <w:proofErr w:type="spellStart"/>
      <w:r>
        <w:t>A</w:t>
      </w:r>
      <w:proofErr w:type="spellEnd"/>
      <w:r>
        <w:t xml:space="preserve"> &amp;</w:t>
      </w:r>
      <w:r w:rsidR="00867CF3">
        <w:t xml:space="preserve"> </w:t>
      </w:r>
      <w:r>
        <w:t>G Taxi at PUC Docket No. C-2014-2452316, is dismissed.</w:t>
      </w:r>
    </w:p>
    <w:p w:rsidR="00E53F76" w:rsidRDefault="00E53F76" w:rsidP="002A6B47">
      <w:pPr>
        <w:spacing w:after="0"/>
      </w:pPr>
    </w:p>
    <w:p w:rsidR="008A4F14" w:rsidRDefault="008A4F14" w:rsidP="002A6B47">
      <w:pPr>
        <w:spacing w:after="0"/>
      </w:pPr>
    </w:p>
    <w:p w:rsidR="008A4F14" w:rsidRDefault="008A4F14" w:rsidP="002A6B47">
      <w:pPr>
        <w:spacing w:after="0"/>
      </w:pPr>
      <w:r>
        <w:lastRenderedPageBreak/>
        <w:tab/>
        <w:t>3.</w:t>
      </w:r>
      <w:r>
        <w:tab/>
        <w:t>That the Secretary shall mark the docket closed.</w:t>
      </w:r>
    </w:p>
    <w:p w:rsidR="00E53F76" w:rsidRDefault="00E53F76" w:rsidP="002A6B47">
      <w:pPr>
        <w:spacing w:after="0"/>
      </w:pPr>
    </w:p>
    <w:p w:rsidR="00E53F76" w:rsidRDefault="00E53F76" w:rsidP="002A6B47">
      <w:pPr>
        <w:spacing w:after="0"/>
      </w:pPr>
    </w:p>
    <w:p w:rsidR="00E53F76" w:rsidRDefault="00E53F76" w:rsidP="002A6B47">
      <w:pPr>
        <w:spacing w:after="0"/>
      </w:pPr>
    </w:p>
    <w:p w:rsidR="00E53F76" w:rsidRDefault="00E53F76" w:rsidP="002A6B47">
      <w:pPr>
        <w:spacing w:after="0" w:line="240" w:lineRule="auto"/>
        <w:rPr>
          <w:snapToGrid w:val="0"/>
          <w:szCs w:val="24"/>
          <w:u w:val="single"/>
        </w:rPr>
      </w:pPr>
      <w:r w:rsidRPr="00077E32">
        <w:rPr>
          <w:snapToGrid w:val="0"/>
          <w:szCs w:val="24"/>
        </w:rPr>
        <w:t xml:space="preserve">Date:  </w:t>
      </w:r>
      <w:r w:rsidR="002A6B47">
        <w:rPr>
          <w:snapToGrid w:val="0"/>
          <w:szCs w:val="24"/>
          <w:u w:val="single"/>
        </w:rPr>
        <w:t>April 6</w:t>
      </w:r>
      <w:r w:rsidRPr="00077E32">
        <w:rPr>
          <w:snapToGrid w:val="0"/>
          <w:szCs w:val="24"/>
          <w:u w:val="single"/>
        </w:rPr>
        <w:t>, 201</w:t>
      </w:r>
      <w:r>
        <w:rPr>
          <w:snapToGrid w:val="0"/>
          <w:szCs w:val="24"/>
          <w:u w:val="single"/>
        </w:rPr>
        <w:t>5</w:t>
      </w:r>
      <w:r w:rsidRPr="00077E32">
        <w:rPr>
          <w:snapToGrid w:val="0"/>
          <w:szCs w:val="24"/>
        </w:rPr>
        <w:tab/>
      </w:r>
      <w:r w:rsidRPr="00077E32">
        <w:rPr>
          <w:snapToGrid w:val="0"/>
          <w:szCs w:val="24"/>
        </w:rPr>
        <w:tab/>
      </w:r>
      <w:r w:rsidRPr="00077E32">
        <w:rPr>
          <w:snapToGrid w:val="0"/>
          <w:szCs w:val="24"/>
        </w:rPr>
        <w:tab/>
      </w:r>
      <w:r w:rsidRPr="00077E32">
        <w:rPr>
          <w:snapToGrid w:val="0"/>
          <w:szCs w:val="24"/>
        </w:rPr>
        <w:tab/>
      </w:r>
      <w:r>
        <w:rPr>
          <w:snapToGrid w:val="0"/>
          <w:szCs w:val="24"/>
        </w:rPr>
        <w:tab/>
      </w:r>
      <w:r>
        <w:rPr>
          <w:snapToGrid w:val="0"/>
          <w:szCs w:val="24"/>
        </w:rPr>
        <w:tab/>
      </w:r>
      <w:r>
        <w:rPr>
          <w:snapToGrid w:val="0"/>
          <w:szCs w:val="24"/>
          <w:u w:val="single"/>
        </w:rPr>
        <w:t xml:space="preserve">                  </w:t>
      </w:r>
      <w:r w:rsidRPr="00077E32">
        <w:rPr>
          <w:snapToGrid w:val="0"/>
          <w:szCs w:val="24"/>
          <w:u w:val="single"/>
        </w:rPr>
        <w:t xml:space="preserve"> /s/</w:t>
      </w:r>
      <w:r w:rsidRPr="00077E32">
        <w:rPr>
          <w:snapToGrid w:val="0"/>
          <w:szCs w:val="24"/>
          <w:u w:val="single"/>
        </w:rPr>
        <w:tab/>
      </w:r>
      <w:r w:rsidRPr="00077E32">
        <w:rPr>
          <w:snapToGrid w:val="0"/>
          <w:szCs w:val="24"/>
          <w:u w:val="single"/>
        </w:rPr>
        <w:tab/>
      </w:r>
      <w:r>
        <w:rPr>
          <w:snapToGrid w:val="0"/>
          <w:szCs w:val="24"/>
          <w:u w:val="single"/>
        </w:rPr>
        <w:tab/>
      </w:r>
      <w:r w:rsidRPr="00077E32">
        <w:rPr>
          <w:snapToGrid w:val="0"/>
          <w:szCs w:val="24"/>
          <w:u w:val="single"/>
        </w:rPr>
        <w:tab/>
      </w:r>
    </w:p>
    <w:p w:rsidR="00E53F76" w:rsidRDefault="00E53F76" w:rsidP="002A6B47">
      <w:pPr>
        <w:spacing w:after="0" w:line="240" w:lineRule="auto"/>
        <w:rPr>
          <w:snapToGrid w:val="0"/>
          <w:szCs w:val="24"/>
        </w:rPr>
      </w:pP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Mary D. Long</w:t>
      </w:r>
      <w:r w:rsidRPr="00077E32">
        <w:rPr>
          <w:snapToGrid w:val="0"/>
          <w:szCs w:val="24"/>
          <w:u w:val="single"/>
        </w:rPr>
        <w:t xml:space="preserve">   </w:t>
      </w:r>
    </w:p>
    <w:p w:rsidR="00E53F76" w:rsidRPr="00655A01" w:rsidRDefault="00E53F76" w:rsidP="002A6B47">
      <w:pPr>
        <w:spacing w:after="0" w:line="240" w:lineRule="auto"/>
        <w:rPr>
          <w:snapToGrid w:val="0"/>
          <w:szCs w:val="24"/>
        </w:rPr>
      </w:pP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Administrative Law Judge</w:t>
      </w:r>
    </w:p>
    <w:p w:rsidR="00E53F76" w:rsidRDefault="00E53F76" w:rsidP="002A6B47">
      <w:pPr>
        <w:spacing w:after="0"/>
      </w:pPr>
    </w:p>
    <w:sectPr w:rsidR="00E53F76" w:rsidSect="000B2E7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28B" w:rsidRDefault="008D328B" w:rsidP="00CD0A04">
      <w:pPr>
        <w:spacing w:after="0" w:line="240" w:lineRule="auto"/>
      </w:pPr>
      <w:r>
        <w:separator/>
      </w:r>
    </w:p>
  </w:endnote>
  <w:endnote w:type="continuationSeparator" w:id="0">
    <w:p w:rsidR="008D328B" w:rsidRDefault="008D328B" w:rsidP="00CD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565225"/>
      <w:docPartObj>
        <w:docPartGallery w:val="Page Numbers (Bottom of Page)"/>
        <w:docPartUnique/>
      </w:docPartObj>
    </w:sdtPr>
    <w:sdtEndPr>
      <w:rPr>
        <w:noProof/>
      </w:rPr>
    </w:sdtEndPr>
    <w:sdtContent>
      <w:p w:rsidR="000B2E73" w:rsidRDefault="000B2E73">
        <w:pPr>
          <w:pStyle w:val="Footer"/>
          <w:jc w:val="center"/>
        </w:pPr>
        <w:r>
          <w:fldChar w:fldCharType="begin"/>
        </w:r>
        <w:r>
          <w:instrText xml:space="preserve"> PAGE   \* MERGEFORMAT </w:instrText>
        </w:r>
        <w:r>
          <w:fldChar w:fldCharType="separate"/>
        </w:r>
        <w:r w:rsidR="002F25B2">
          <w:rPr>
            <w:noProof/>
          </w:rPr>
          <w:t>7</w:t>
        </w:r>
        <w:r>
          <w:rPr>
            <w:noProof/>
          </w:rPr>
          <w:fldChar w:fldCharType="end"/>
        </w:r>
      </w:p>
    </w:sdtContent>
  </w:sdt>
  <w:p w:rsidR="00A208E2" w:rsidRDefault="00A20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28B" w:rsidRDefault="008D328B" w:rsidP="00CD0A04">
      <w:pPr>
        <w:spacing w:after="0" w:line="240" w:lineRule="auto"/>
      </w:pPr>
      <w:r>
        <w:separator/>
      </w:r>
    </w:p>
  </w:footnote>
  <w:footnote w:type="continuationSeparator" w:id="0">
    <w:p w:rsidR="008D328B" w:rsidRDefault="008D328B" w:rsidP="00CD0A04">
      <w:pPr>
        <w:spacing w:after="0" w:line="240" w:lineRule="auto"/>
      </w:pPr>
      <w:r>
        <w:continuationSeparator/>
      </w:r>
    </w:p>
  </w:footnote>
  <w:footnote w:id="1">
    <w:p w:rsidR="00ED2AFD" w:rsidRDefault="00ED2AFD" w:rsidP="00F66381">
      <w:pPr>
        <w:pStyle w:val="FootnoteText"/>
        <w:spacing w:after="0"/>
        <w:ind w:firstLine="720"/>
      </w:pPr>
      <w:r>
        <w:rPr>
          <w:rStyle w:val="FootnoteReference"/>
        </w:rPr>
        <w:footnoteRef/>
      </w:r>
      <w:r>
        <w:t xml:space="preserve">  </w:t>
      </w:r>
      <w:r>
        <w:tab/>
      </w:r>
      <w:proofErr w:type="gramStart"/>
      <w:r>
        <w:t>Amended Complaint, ¶ 3.</w:t>
      </w:r>
      <w:proofErr w:type="gramEnd"/>
    </w:p>
  </w:footnote>
  <w:footnote w:id="2">
    <w:p w:rsidR="00151695" w:rsidRPr="00151695" w:rsidRDefault="00151695" w:rsidP="009D7230">
      <w:pPr>
        <w:pStyle w:val="FootnoteText"/>
        <w:spacing w:after="0"/>
        <w:ind w:firstLine="720"/>
      </w:pPr>
      <w:r>
        <w:rPr>
          <w:rStyle w:val="FootnoteReference"/>
        </w:rPr>
        <w:footnoteRef/>
      </w:r>
      <w:r>
        <w:t xml:space="preserve">  </w:t>
      </w:r>
      <w:r>
        <w:tab/>
      </w:r>
      <w:r>
        <w:rPr>
          <w:i/>
        </w:rPr>
        <w:t xml:space="preserve">Application of </w:t>
      </w:r>
      <w:proofErr w:type="spellStart"/>
      <w:r>
        <w:rPr>
          <w:i/>
        </w:rPr>
        <w:t>Rasier</w:t>
      </w:r>
      <w:proofErr w:type="spellEnd"/>
      <w:r>
        <w:rPr>
          <w:i/>
        </w:rPr>
        <w:t>-PA, LLC,</w:t>
      </w:r>
      <w:r>
        <w:t xml:space="preserve"> Docket No. A-2014-2424608 (Opinion and Order entered December 5, 2014).  The Complainant was a protestant to the application and actively participated in the proceeding.</w:t>
      </w:r>
    </w:p>
  </w:footnote>
  <w:footnote w:id="3">
    <w:p w:rsidR="00CD0A04" w:rsidRDefault="00CD0A04" w:rsidP="00CD0A04">
      <w:pPr>
        <w:pStyle w:val="FootnoteText"/>
        <w:spacing w:after="0"/>
        <w:ind w:firstLine="720"/>
      </w:pPr>
      <w:r>
        <w:rPr>
          <w:rStyle w:val="FootnoteReference"/>
        </w:rPr>
        <w:footnoteRef/>
      </w:r>
      <w:r>
        <w:t xml:space="preserve"> </w:t>
      </w:r>
      <w:r>
        <w:tab/>
      </w:r>
      <w:r w:rsidRPr="000E2B4C">
        <w:rPr>
          <w:i/>
        </w:rPr>
        <w:t>Equitable Small Transportation Intervenors v. Equitable Gas Company</w:t>
      </w:r>
      <w:r>
        <w:t xml:space="preserve">, 1994 Pa. PUC LEXIS 69, Docket No. </w:t>
      </w:r>
      <w:proofErr w:type="gramStart"/>
      <w:r>
        <w:t>C-00935435 (July 18, 1994).</w:t>
      </w:r>
      <w:proofErr w:type="gramEnd"/>
      <w:r>
        <w:t xml:space="preserve">  </w:t>
      </w:r>
    </w:p>
    <w:p w:rsidR="00CD0A04" w:rsidRDefault="00CD0A04" w:rsidP="00CD0A04">
      <w:pPr>
        <w:pStyle w:val="FootnoteText"/>
        <w:spacing w:after="0"/>
        <w:ind w:firstLine="720"/>
      </w:pPr>
    </w:p>
  </w:footnote>
  <w:footnote w:id="4">
    <w:p w:rsidR="00CD0A04" w:rsidRDefault="00CD0A04" w:rsidP="00CD0A04">
      <w:pPr>
        <w:pStyle w:val="FootnoteText"/>
        <w:spacing w:after="0"/>
        <w:ind w:firstLine="720"/>
      </w:pPr>
      <w:r>
        <w:rPr>
          <w:rStyle w:val="FootnoteReference"/>
        </w:rPr>
        <w:footnoteRef/>
      </w:r>
      <w:r>
        <w:t xml:space="preserve">  </w:t>
      </w:r>
      <w:r>
        <w:tab/>
      </w:r>
      <w:proofErr w:type="gramStart"/>
      <w:r>
        <w:rPr>
          <w:i/>
        </w:rPr>
        <w:t>Interstate Traveller Services, Inc. v. Pa. Department of Environmental Resources</w:t>
      </w:r>
      <w:r>
        <w:t xml:space="preserve">, 406 A.2d 1020 (Pa. 1979); </w:t>
      </w:r>
      <w:r>
        <w:rPr>
          <w:i/>
        </w:rPr>
        <w:t>Application of K&amp;F Medical Transport, LLC,</w:t>
      </w:r>
      <w:r>
        <w:t xml:space="preserve"> PUC Docket No.</w:t>
      </w:r>
      <w:proofErr w:type="gramEnd"/>
      <w:r>
        <w:t xml:space="preserve"> A-2008-2020353 (Initial Decision dated April 25, 2008).</w:t>
      </w:r>
    </w:p>
    <w:p w:rsidR="00CD0A04" w:rsidRPr="00297F80" w:rsidRDefault="00CD0A04" w:rsidP="00CD0A04">
      <w:pPr>
        <w:pStyle w:val="FootnoteText"/>
        <w:spacing w:after="0"/>
        <w:ind w:firstLine="720"/>
      </w:pPr>
    </w:p>
  </w:footnote>
  <w:footnote w:id="5">
    <w:p w:rsidR="00CD0A04" w:rsidRDefault="00CD0A04" w:rsidP="00CD0A04">
      <w:pPr>
        <w:pStyle w:val="FootnoteText"/>
        <w:spacing w:after="0"/>
        <w:ind w:firstLine="720"/>
      </w:pPr>
      <w:r>
        <w:rPr>
          <w:rStyle w:val="FootnoteReference"/>
        </w:rPr>
        <w:footnoteRef/>
      </w:r>
      <w:r>
        <w:t xml:space="preserve">  </w:t>
      </w:r>
      <w:r>
        <w:tab/>
      </w:r>
      <w:proofErr w:type="gramStart"/>
      <w:r>
        <w:rPr>
          <w:i/>
        </w:rPr>
        <w:t>County of Allegheny v. Commonwealth of Pennsylvania</w:t>
      </w:r>
      <w:r>
        <w:t>, 490 A.2d 402 (Pa. 1985).</w:t>
      </w:r>
      <w:proofErr w:type="gramEnd"/>
    </w:p>
    <w:p w:rsidR="00CD0A04" w:rsidRPr="00512CEC" w:rsidRDefault="00CD0A04" w:rsidP="00CD0A04">
      <w:pPr>
        <w:pStyle w:val="FootnoteText"/>
        <w:spacing w:after="0"/>
        <w:ind w:firstLine="720"/>
      </w:pPr>
    </w:p>
  </w:footnote>
  <w:footnote w:id="6">
    <w:p w:rsidR="00CD0A04" w:rsidRPr="00512CEC" w:rsidRDefault="00CD0A04" w:rsidP="00CD0A04">
      <w:pPr>
        <w:pStyle w:val="FootnoteText"/>
        <w:spacing w:after="0"/>
        <w:ind w:firstLine="720"/>
        <w:rPr>
          <w:i/>
        </w:rPr>
      </w:pPr>
      <w:r>
        <w:rPr>
          <w:rStyle w:val="FootnoteReference"/>
        </w:rPr>
        <w:footnoteRef/>
      </w:r>
      <w:r>
        <w:t xml:space="preserve">  </w:t>
      </w:r>
      <w:r>
        <w:tab/>
      </w:r>
      <w:r>
        <w:rPr>
          <w:i/>
        </w:rPr>
        <w:t>Id.</w:t>
      </w:r>
    </w:p>
  </w:footnote>
  <w:footnote w:id="7">
    <w:p w:rsidR="00952398" w:rsidRDefault="00952398" w:rsidP="00E53F76">
      <w:pPr>
        <w:pStyle w:val="FootnoteText"/>
        <w:spacing w:after="0" w:line="480" w:lineRule="auto"/>
        <w:ind w:firstLine="720"/>
      </w:pPr>
      <w:r>
        <w:rPr>
          <w:rStyle w:val="FootnoteReference"/>
        </w:rPr>
        <w:footnoteRef/>
      </w:r>
      <w:r>
        <w:t xml:space="preserve"> </w:t>
      </w:r>
      <w:r w:rsidR="009D6243">
        <w:t xml:space="preserve"> </w:t>
      </w:r>
      <w:r w:rsidR="009D6243">
        <w:tab/>
      </w:r>
      <w:proofErr w:type="gramStart"/>
      <w:r w:rsidRPr="00952398">
        <w:rPr>
          <w:i/>
        </w:rPr>
        <w:t>Franklin Twp. v. Pa. Dept. of Environmental Resources</w:t>
      </w:r>
      <w:r w:rsidRPr="00952398">
        <w:t>, 452 A.2d 718 (</w:t>
      </w:r>
      <w:r>
        <w:t xml:space="preserve">Pa. </w:t>
      </w:r>
      <w:r w:rsidRPr="00952398">
        <w:t>1982).</w:t>
      </w:r>
      <w:proofErr w:type="gramEnd"/>
      <w:r w:rsidRPr="00952398">
        <w:t xml:space="preserve">  </w:t>
      </w:r>
    </w:p>
  </w:footnote>
  <w:footnote w:id="8">
    <w:p w:rsidR="00952398" w:rsidRDefault="00952398" w:rsidP="00E53F76">
      <w:pPr>
        <w:pStyle w:val="FootnoteText"/>
        <w:spacing w:after="0" w:line="480" w:lineRule="auto"/>
        <w:ind w:firstLine="720"/>
      </w:pPr>
      <w:r>
        <w:rPr>
          <w:rStyle w:val="FootnoteReference"/>
        </w:rPr>
        <w:footnoteRef/>
      </w:r>
      <w:r>
        <w:t xml:space="preserve"> </w:t>
      </w:r>
      <w:r w:rsidR="009D6243">
        <w:t xml:space="preserve"> </w:t>
      </w:r>
      <w:r w:rsidR="009D6243">
        <w:tab/>
      </w:r>
      <w:r w:rsidRPr="00952398">
        <w:rPr>
          <w:i/>
        </w:rPr>
        <w:t>Wm. Penn Parking Garage, Inc. v. City of Pittsburgh</w:t>
      </w:r>
      <w:r w:rsidRPr="00952398">
        <w:t>, 346 A.2d 269 (</w:t>
      </w:r>
      <w:r>
        <w:t xml:space="preserve">Pa. </w:t>
      </w:r>
      <w:r w:rsidRPr="00952398">
        <w:t>1975).</w:t>
      </w:r>
    </w:p>
  </w:footnote>
  <w:footnote w:id="9">
    <w:p w:rsidR="00952398" w:rsidRPr="00952398" w:rsidRDefault="00952398" w:rsidP="00E53F76">
      <w:pPr>
        <w:pStyle w:val="FootnoteText"/>
        <w:spacing w:after="0" w:line="480" w:lineRule="auto"/>
        <w:ind w:firstLine="720"/>
        <w:rPr>
          <w:i/>
        </w:rPr>
      </w:pPr>
      <w:r>
        <w:rPr>
          <w:rStyle w:val="FootnoteReference"/>
        </w:rPr>
        <w:footnoteRef/>
      </w:r>
      <w:r w:rsidR="009D6243">
        <w:t xml:space="preserve"> </w:t>
      </w:r>
      <w:r w:rsidR="009D6243">
        <w:tab/>
      </w:r>
      <w:r>
        <w:t xml:space="preserve"> </w:t>
      </w:r>
      <w:r>
        <w:rPr>
          <w:i/>
        </w:rPr>
        <w:t>Id.</w:t>
      </w:r>
    </w:p>
  </w:footnote>
  <w:footnote w:id="10">
    <w:p w:rsidR="00952398" w:rsidRPr="00952398" w:rsidRDefault="00952398" w:rsidP="00E53F76">
      <w:pPr>
        <w:pStyle w:val="FootnoteText"/>
        <w:spacing w:after="0" w:line="480" w:lineRule="auto"/>
        <w:ind w:firstLine="720"/>
        <w:rPr>
          <w:i/>
        </w:rPr>
      </w:pPr>
      <w:r>
        <w:rPr>
          <w:rStyle w:val="FootnoteReference"/>
        </w:rPr>
        <w:footnoteRef/>
      </w:r>
      <w:r w:rsidR="009D6243">
        <w:t xml:space="preserve"> </w:t>
      </w:r>
      <w:r w:rsidR="009D6243">
        <w:tab/>
      </w:r>
      <w:r>
        <w:t xml:space="preserve"> </w:t>
      </w:r>
      <w:r>
        <w:rPr>
          <w:i/>
        </w:rPr>
        <w:t>Id.</w:t>
      </w:r>
    </w:p>
  </w:footnote>
  <w:footnote w:id="11">
    <w:p w:rsidR="00952398" w:rsidRPr="00952398" w:rsidRDefault="00952398" w:rsidP="00E53F76">
      <w:pPr>
        <w:pStyle w:val="FootnoteText"/>
        <w:spacing w:after="0" w:line="480" w:lineRule="auto"/>
        <w:ind w:firstLine="720"/>
        <w:rPr>
          <w:i/>
        </w:rPr>
      </w:pPr>
      <w:r>
        <w:rPr>
          <w:rStyle w:val="FootnoteReference"/>
        </w:rPr>
        <w:footnoteRef/>
      </w:r>
      <w:r w:rsidR="009D6243">
        <w:t xml:space="preserve"> </w:t>
      </w:r>
      <w:r w:rsidR="009D6243">
        <w:tab/>
      </w:r>
      <w:r>
        <w:t xml:space="preserve"> </w:t>
      </w:r>
      <w:r>
        <w:rPr>
          <w:i/>
        </w:rPr>
        <w:t>Id.</w:t>
      </w:r>
    </w:p>
  </w:footnote>
  <w:footnote w:id="12">
    <w:p w:rsidR="00C73F30" w:rsidRDefault="00C73F30" w:rsidP="00E53F76">
      <w:pPr>
        <w:pStyle w:val="FootnoteText"/>
        <w:spacing w:after="0" w:line="480" w:lineRule="auto"/>
        <w:ind w:firstLine="720"/>
      </w:pPr>
      <w:r>
        <w:rPr>
          <w:rStyle w:val="FootnoteReference"/>
        </w:rPr>
        <w:footnoteRef/>
      </w:r>
      <w:r>
        <w:t xml:space="preserve">  </w:t>
      </w:r>
      <w:r>
        <w:tab/>
      </w:r>
      <w:proofErr w:type="gramStart"/>
      <w:r>
        <w:t>66 Pa.C.S.</w:t>
      </w:r>
      <w:proofErr w:type="gramEnd"/>
      <w:r>
        <w:t xml:space="preserve"> § 701.</w:t>
      </w:r>
    </w:p>
  </w:footnote>
  <w:footnote w:id="13">
    <w:p w:rsidR="00C73F30" w:rsidRPr="00C73F30" w:rsidRDefault="00C73F30" w:rsidP="00E53F76">
      <w:pPr>
        <w:pStyle w:val="FootnoteText"/>
        <w:spacing w:after="0" w:line="480" w:lineRule="auto"/>
        <w:ind w:firstLine="720"/>
      </w:pPr>
      <w:r>
        <w:rPr>
          <w:rStyle w:val="FootnoteReference"/>
        </w:rPr>
        <w:footnoteRef/>
      </w:r>
      <w:r>
        <w:t xml:space="preserve">  </w:t>
      </w:r>
      <w:r>
        <w:tab/>
      </w:r>
      <w:r>
        <w:rPr>
          <w:i/>
        </w:rPr>
        <w:t>Waddington v. Pa. Pub. Util. Comm’n</w:t>
      </w:r>
      <w:r>
        <w:t>, 670 A.2d 199 (Pa.Cmwlth.Ct. 1995).</w:t>
      </w:r>
    </w:p>
  </w:footnote>
  <w:footnote w:id="14">
    <w:p w:rsidR="00217D07" w:rsidRDefault="00217D07" w:rsidP="00E53F76">
      <w:pPr>
        <w:pStyle w:val="FootnoteText"/>
        <w:spacing w:after="0"/>
        <w:ind w:firstLine="720"/>
      </w:pPr>
      <w:r>
        <w:rPr>
          <w:rStyle w:val="FootnoteReference"/>
        </w:rPr>
        <w:footnoteRef/>
      </w:r>
      <w:r>
        <w:t xml:space="preserve">  </w:t>
      </w:r>
      <w:r>
        <w:tab/>
        <w:t>Interim Order dated February 11, 2015,  Ordering Paragraph 2</w:t>
      </w:r>
    </w:p>
    <w:p w:rsidR="00E53F76" w:rsidRDefault="00E53F76" w:rsidP="00E53F76">
      <w:pPr>
        <w:pStyle w:val="FootnoteText"/>
        <w:spacing w:after="0"/>
        <w:ind w:firstLine="720"/>
      </w:pPr>
    </w:p>
  </w:footnote>
  <w:footnote w:id="15">
    <w:p w:rsidR="00D878D0" w:rsidRDefault="00D878D0" w:rsidP="00E53F76">
      <w:pPr>
        <w:pStyle w:val="FootnoteText"/>
        <w:spacing w:after="0"/>
        <w:ind w:firstLine="720"/>
      </w:pPr>
      <w:r>
        <w:rPr>
          <w:rStyle w:val="FootnoteReference"/>
        </w:rPr>
        <w:footnoteRef/>
      </w:r>
      <w:r>
        <w:t xml:space="preserve">  </w:t>
      </w:r>
      <w:r>
        <w:tab/>
      </w:r>
      <w:proofErr w:type="gramStart"/>
      <w:r>
        <w:t>66 Pa.C.S.</w:t>
      </w:r>
      <w:proofErr w:type="gramEnd"/>
      <w:r>
        <w:t xml:space="preserve"> § 703(b).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0E"/>
    <w:rsid w:val="00004C37"/>
    <w:rsid w:val="000725B9"/>
    <w:rsid w:val="0008387D"/>
    <w:rsid w:val="00087103"/>
    <w:rsid w:val="000A7915"/>
    <w:rsid w:val="000A7CF9"/>
    <w:rsid w:val="000B2E73"/>
    <w:rsid w:val="000F4343"/>
    <w:rsid w:val="00121E65"/>
    <w:rsid w:val="00135409"/>
    <w:rsid w:val="00151695"/>
    <w:rsid w:val="0015711B"/>
    <w:rsid w:val="00197F33"/>
    <w:rsid w:val="001B1CBA"/>
    <w:rsid w:val="001E65B1"/>
    <w:rsid w:val="00205D72"/>
    <w:rsid w:val="00213167"/>
    <w:rsid w:val="00217D07"/>
    <w:rsid w:val="00221E82"/>
    <w:rsid w:val="002512F9"/>
    <w:rsid w:val="00254984"/>
    <w:rsid w:val="0027008A"/>
    <w:rsid w:val="00273ED5"/>
    <w:rsid w:val="002877F1"/>
    <w:rsid w:val="002A65B4"/>
    <w:rsid w:val="002A6B47"/>
    <w:rsid w:val="002B434D"/>
    <w:rsid w:val="002F25B2"/>
    <w:rsid w:val="0033579D"/>
    <w:rsid w:val="00367693"/>
    <w:rsid w:val="00393C92"/>
    <w:rsid w:val="003A5E18"/>
    <w:rsid w:val="003A7E3B"/>
    <w:rsid w:val="003E5B20"/>
    <w:rsid w:val="003E6C1D"/>
    <w:rsid w:val="004339F2"/>
    <w:rsid w:val="00446E6E"/>
    <w:rsid w:val="0047735B"/>
    <w:rsid w:val="004845B9"/>
    <w:rsid w:val="004D08CD"/>
    <w:rsid w:val="004D523C"/>
    <w:rsid w:val="00562CBA"/>
    <w:rsid w:val="00572ACF"/>
    <w:rsid w:val="00590A2F"/>
    <w:rsid w:val="005A1C17"/>
    <w:rsid w:val="005A2ABA"/>
    <w:rsid w:val="005B0D19"/>
    <w:rsid w:val="0061775F"/>
    <w:rsid w:val="00650B6D"/>
    <w:rsid w:val="00662661"/>
    <w:rsid w:val="00662F41"/>
    <w:rsid w:val="006673B2"/>
    <w:rsid w:val="006B196F"/>
    <w:rsid w:val="006F0329"/>
    <w:rsid w:val="00701B44"/>
    <w:rsid w:val="00712E58"/>
    <w:rsid w:val="00734D7D"/>
    <w:rsid w:val="00753FA3"/>
    <w:rsid w:val="00783317"/>
    <w:rsid w:val="007844FF"/>
    <w:rsid w:val="00792796"/>
    <w:rsid w:val="00797342"/>
    <w:rsid w:val="007C7022"/>
    <w:rsid w:val="007D510E"/>
    <w:rsid w:val="007E6779"/>
    <w:rsid w:val="00802E6D"/>
    <w:rsid w:val="00820B4C"/>
    <w:rsid w:val="008526CC"/>
    <w:rsid w:val="008529D2"/>
    <w:rsid w:val="00867CF3"/>
    <w:rsid w:val="008979C5"/>
    <w:rsid w:val="008A4F14"/>
    <w:rsid w:val="008D328B"/>
    <w:rsid w:val="009367ED"/>
    <w:rsid w:val="009473BC"/>
    <w:rsid w:val="00952398"/>
    <w:rsid w:val="00987EC1"/>
    <w:rsid w:val="009D6243"/>
    <w:rsid w:val="009D7230"/>
    <w:rsid w:val="009E66AB"/>
    <w:rsid w:val="009F3C91"/>
    <w:rsid w:val="009F693A"/>
    <w:rsid w:val="00A16938"/>
    <w:rsid w:val="00A208E2"/>
    <w:rsid w:val="00A7421F"/>
    <w:rsid w:val="00AA2EC5"/>
    <w:rsid w:val="00AB4C73"/>
    <w:rsid w:val="00AE6F47"/>
    <w:rsid w:val="00B125D7"/>
    <w:rsid w:val="00B13E8E"/>
    <w:rsid w:val="00B43213"/>
    <w:rsid w:val="00B60C17"/>
    <w:rsid w:val="00BA2D27"/>
    <w:rsid w:val="00BB71D2"/>
    <w:rsid w:val="00BC6B21"/>
    <w:rsid w:val="00BD52C1"/>
    <w:rsid w:val="00C05D56"/>
    <w:rsid w:val="00C46CE8"/>
    <w:rsid w:val="00C55D58"/>
    <w:rsid w:val="00C62C69"/>
    <w:rsid w:val="00C73F30"/>
    <w:rsid w:val="00C82E33"/>
    <w:rsid w:val="00C87E57"/>
    <w:rsid w:val="00CC7FB5"/>
    <w:rsid w:val="00CD0A04"/>
    <w:rsid w:val="00CF2C3C"/>
    <w:rsid w:val="00D16206"/>
    <w:rsid w:val="00D33F1B"/>
    <w:rsid w:val="00D514E1"/>
    <w:rsid w:val="00D878D0"/>
    <w:rsid w:val="00DC222D"/>
    <w:rsid w:val="00DD5C37"/>
    <w:rsid w:val="00E17DBC"/>
    <w:rsid w:val="00E53F76"/>
    <w:rsid w:val="00E64E24"/>
    <w:rsid w:val="00EC1CBA"/>
    <w:rsid w:val="00ED2AFD"/>
    <w:rsid w:val="00EE7801"/>
    <w:rsid w:val="00F16554"/>
    <w:rsid w:val="00F22312"/>
    <w:rsid w:val="00F51FB7"/>
    <w:rsid w:val="00F544E1"/>
    <w:rsid w:val="00F6638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CD0A04"/>
    <w:rPr>
      <w:rFonts w:ascii="Times New Roman" w:hAnsi="Times New Roman"/>
      <w:vertAlign w:val="superscript"/>
    </w:rPr>
  </w:style>
  <w:style w:type="paragraph" w:styleId="Quote">
    <w:name w:val="Quote"/>
    <w:basedOn w:val="Normal"/>
    <w:next w:val="Normal"/>
    <w:link w:val="QuoteChar"/>
    <w:uiPriority w:val="29"/>
    <w:qFormat/>
    <w:rsid w:val="00CD0A04"/>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CD0A04"/>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A208E2"/>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A208E2"/>
    <w:rPr>
      <w:rFonts w:ascii="Times New Roman" w:hAnsi="Times New Roman" w:cs="Times New Roman"/>
      <w:sz w:val="24"/>
      <w:szCs w:val="20"/>
    </w:rPr>
  </w:style>
  <w:style w:type="paragraph" w:styleId="Footer">
    <w:name w:val="footer"/>
    <w:basedOn w:val="Normal"/>
    <w:link w:val="FooterChar"/>
    <w:uiPriority w:val="99"/>
    <w:unhideWhenUsed/>
    <w:rsid w:val="00A208E2"/>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A208E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947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CD0A04"/>
    <w:rPr>
      <w:rFonts w:ascii="Times New Roman" w:hAnsi="Times New Roman"/>
      <w:vertAlign w:val="superscript"/>
    </w:rPr>
  </w:style>
  <w:style w:type="paragraph" w:styleId="Quote">
    <w:name w:val="Quote"/>
    <w:basedOn w:val="Normal"/>
    <w:next w:val="Normal"/>
    <w:link w:val="QuoteChar"/>
    <w:uiPriority w:val="29"/>
    <w:qFormat/>
    <w:rsid w:val="00CD0A04"/>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CD0A04"/>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A208E2"/>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A208E2"/>
    <w:rPr>
      <w:rFonts w:ascii="Times New Roman" w:hAnsi="Times New Roman" w:cs="Times New Roman"/>
      <w:sz w:val="24"/>
      <w:szCs w:val="20"/>
    </w:rPr>
  </w:style>
  <w:style w:type="paragraph" w:styleId="Footer">
    <w:name w:val="footer"/>
    <w:basedOn w:val="Normal"/>
    <w:link w:val="FooterChar"/>
    <w:uiPriority w:val="99"/>
    <w:unhideWhenUsed/>
    <w:rsid w:val="00A208E2"/>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A208E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947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20</cp:revision>
  <cp:lastPrinted>2015-04-06T15:12:00Z</cp:lastPrinted>
  <dcterms:created xsi:type="dcterms:W3CDTF">2015-03-31T14:28:00Z</dcterms:created>
  <dcterms:modified xsi:type="dcterms:W3CDTF">2015-04-13T14:28:00Z</dcterms:modified>
</cp:coreProperties>
</file>