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DA" w:rsidRPr="00B62BE4" w:rsidRDefault="008B1DDA" w:rsidP="008B1DDA">
      <w:pPr>
        <w:tabs>
          <w:tab w:val="left" w:pos="0"/>
        </w:tabs>
        <w:spacing w:after="0" w:line="240" w:lineRule="auto"/>
        <w:jc w:val="center"/>
        <w:rPr>
          <w:b/>
        </w:rPr>
      </w:pPr>
      <w:r w:rsidRPr="00B62BE4">
        <w:rPr>
          <w:b/>
        </w:rPr>
        <w:t>BEFORE THE</w:t>
      </w:r>
    </w:p>
    <w:p w:rsidR="008B1DDA" w:rsidRPr="00B62BE4" w:rsidRDefault="008B1DDA" w:rsidP="008B1DDA">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rPr>
          <w:b/>
        </w:rPr>
      </w:pPr>
    </w:p>
    <w:p w:rsidR="00C47B91" w:rsidRPr="00C47B91" w:rsidRDefault="00C47B91" w:rsidP="005357BF">
      <w:pPr>
        <w:tabs>
          <w:tab w:val="clear" w:pos="1440"/>
        </w:tabs>
        <w:autoSpaceDE w:val="0"/>
        <w:autoSpaceDN w:val="0"/>
        <w:spacing w:after="0" w:line="240" w:lineRule="auto"/>
        <w:rPr>
          <w:rFonts w:ascii="CG Times" w:hAnsi="CG Times" w:cs="CG Times"/>
          <w:bCs/>
          <w:szCs w:val="24"/>
        </w:rPr>
      </w:pPr>
    </w:p>
    <w:tbl>
      <w:tblPr>
        <w:tblW w:w="0" w:type="auto"/>
        <w:tblLayout w:type="fixed"/>
        <w:tblLook w:val="0000" w:firstRow="0" w:lastRow="0" w:firstColumn="0" w:lastColumn="0" w:noHBand="0" w:noVBand="0"/>
      </w:tblPr>
      <w:tblGrid>
        <w:gridCol w:w="4788"/>
        <w:gridCol w:w="450"/>
        <w:gridCol w:w="4338"/>
      </w:tblGrid>
      <w:tr w:rsidR="005357BF" w:rsidRPr="00F93B57" w:rsidTr="004C02A5">
        <w:tc>
          <w:tcPr>
            <w:tcW w:w="4788" w:type="dxa"/>
          </w:tcPr>
          <w:p w:rsidR="005357BF" w:rsidRPr="00F93B57" w:rsidRDefault="005357BF" w:rsidP="005357BF">
            <w:pPr>
              <w:spacing w:after="0" w:line="240" w:lineRule="auto"/>
            </w:pPr>
            <w:r w:rsidRPr="00F93B57">
              <w:t>Commonwealth of Pennsylvania, by Attorney General KATHLEEN G. KANE, Through the Bureau of Consumer Protection,</w:t>
            </w:r>
          </w:p>
          <w:p w:rsidR="005357BF" w:rsidRPr="00F93B57" w:rsidRDefault="005357BF" w:rsidP="005357BF">
            <w:pPr>
              <w:spacing w:after="0" w:line="240" w:lineRule="auto"/>
            </w:pPr>
          </w:p>
          <w:p w:rsidR="005357BF" w:rsidRPr="00F93B57" w:rsidRDefault="005357BF" w:rsidP="005357BF">
            <w:pPr>
              <w:spacing w:after="0" w:line="240" w:lineRule="auto"/>
            </w:pPr>
            <w:r w:rsidRPr="00F93B57">
              <w:t>And</w:t>
            </w:r>
          </w:p>
          <w:p w:rsidR="005357BF" w:rsidRPr="00F93B57" w:rsidRDefault="005357BF" w:rsidP="005357BF">
            <w:pPr>
              <w:spacing w:after="0" w:line="240" w:lineRule="auto"/>
            </w:pPr>
          </w:p>
          <w:p w:rsidR="005357BF" w:rsidRPr="00F93B57" w:rsidRDefault="005357BF" w:rsidP="005357BF">
            <w:pPr>
              <w:spacing w:after="0" w:line="240" w:lineRule="auto"/>
            </w:pPr>
            <w:r w:rsidRPr="00F93B57">
              <w:t>TANYA J. McCLOSKEY, Acting Consumer Advocate,</w:t>
            </w:r>
          </w:p>
          <w:p w:rsidR="005357BF" w:rsidRPr="00F93B57" w:rsidRDefault="005357BF" w:rsidP="005357BF">
            <w:pPr>
              <w:spacing w:after="0" w:line="240" w:lineRule="auto"/>
            </w:pPr>
            <w:r w:rsidRPr="00F93B57">
              <w:t xml:space="preserve">                                         Complainants</w:t>
            </w:r>
          </w:p>
          <w:p w:rsidR="005357BF" w:rsidRPr="00F93B57" w:rsidRDefault="005357BF" w:rsidP="005357BF">
            <w:pPr>
              <w:spacing w:after="0" w:line="240" w:lineRule="auto"/>
            </w:pPr>
          </w:p>
          <w:p w:rsidR="005357BF" w:rsidRPr="00F93B57" w:rsidRDefault="005357BF" w:rsidP="005357BF">
            <w:pPr>
              <w:spacing w:after="0" w:line="240" w:lineRule="auto"/>
            </w:pPr>
            <w:r w:rsidRPr="00F93B57">
              <w:tab/>
              <w:t xml:space="preserve">v.                                                    </w:t>
            </w:r>
          </w:p>
          <w:p w:rsidR="005357BF" w:rsidRPr="00F93B57" w:rsidRDefault="005357BF" w:rsidP="005357BF">
            <w:pPr>
              <w:spacing w:after="0" w:line="240" w:lineRule="auto"/>
            </w:pPr>
          </w:p>
          <w:p w:rsidR="005357BF" w:rsidRPr="00F93B57" w:rsidRDefault="005357BF" w:rsidP="005357BF">
            <w:pPr>
              <w:tabs>
                <w:tab w:val="left" w:pos="4572"/>
              </w:tabs>
              <w:spacing w:after="0" w:line="240" w:lineRule="auto"/>
            </w:pPr>
            <w:r w:rsidRPr="00F93B57">
              <w:t>Respond Power, LLC,</w:t>
            </w:r>
          </w:p>
          <w:p w:rsidR="005357BF" w:rsidRPr="00F93B57" w:rsidRDefault="005357BF" w:rsidP="005357BF">
            <w:pPr>
              <w:tabs>
                <w:tab w:val="left" w:pos="4572"/>
              </w:tabs>
              <w:spacing w:after="0" w:line="240" w:lineRule="auto"/>
            </w:pPr>
            <w:r w:rsidRPr="00F93B57">
              <w:t xml:space="preserve">                                         Respondent             </w:t>
            </w:r>
          </w:p>
          <w:p w:rsidR="005357BF" w:rsidRPr="00F93B57" w:rsidRDefault="005357BF" w:rsidP="005357BF">
            <w:pPr>
              <w:tabs>
                <w:tab w:val="left" w:pos="4572"/>
              </w:tabs>
              <w:spacing w:after="0" w:line="240" w:lineRule="auto"/>
            </w:pPr>
          </w:p>
          <w:p w:rsidR="005357BF" w:rsidRPr="00F93B57" w:rsidRDefault="005357BF" w:rsidP="005357BF">
            <w:pPr>
              <w:tabs>
                <w:tab w:val="left" w:pos="4572"/>
              </w:tabs>
              <w:spacing w:after="0" w:line="240" w:lineRule="auto"/>
            </w:pPr>
          </w:p>
          <w:p w:rsidR="005357BF" w:rsidRPr="00F93B57" w:rsidRDefault="005357BF" w:rsidP="005357BF">
            <w:pPr>
              <w:tabs>
                <w:tab w:val="left" w:pos="4572"/>
              </w:tabs>
              <w:spacing w:after="0" w:line="240" w:lineRule="auto"/>
            </w:pPr>
          </w:p>
          <w:p w:rsidR="005357BF" w:rsidRPr="00F93B57" w:rsidRDefault="005357BF" w:rsidP="005357BF">
            <w:pPr>
              <w:tabs>
                <w:tab w:val="left" w:pos="4680"/>
              </w:tabs>
              <w:spacing w:after="0" w:line="240" w:lineRule="auto"/>
              <w:rPr>
                <w:snapToGrid w:val="0"/>
                <w:spacing w:val="-3"/>
              </w:rPr>
            </w:pPr>
            <w:r w:rsidRPr="00F93B57">
              <w:rPr>
                <w:snapToGrid w:val="0"/>
                <w:spacing w:val="-3"/>
              </w:rPr>
              <w:t>PENNSYLVANIA PUBLIC UTILITY</w:t>
            </w:r>
            <w:r w:rsidRPr="00F93B57">
              <w:rPr>
                <w:snapToGrid w:val="0"/>
                <w:spacing w:val="-3"/>
              </w:rPr>
              <w:tab/>
            </w:r>
            <w:r w:rsidRPr="00F93B57">
              <w:rPr>
                <w:snapToGrid w:val="0"/>
                <w:spacing w:val="-3"/>
              </w:rPr>
              <w:tab/>
              <w:t>:</w:t>
            </w:r>
          </w:p>
          <w:p w:rsidR="005357BF" w:rsidRPr="00F93B57" w:rsidRDefault="005357BF" w:rsidP="005357BF">
            <w:pPr>
              <w:tabs>
                <w:tab w:val="left" w:pos="4680"/>
              </w:tabs>
              <w:spacing w:after="0" w:line="240" w:lineRule="auto"/>
              <w:rPr>
                <w:snapToGrid w:val="0"/>
                <w:spacing w:val="-3"/>
              </w:rPr>
            </w:pPr>
            <w:r w:rsidRPr="00F93B57">
              <w:rPr>
                <w:snapToGrid w:val="0"/>
                <w:spacing w:val="-3"/>
              </w:rPr>
              <w:t xml:space="preserve">COMMISSION, BUREAU OF </w:t>
            </w:r>
            <w:r w:rsidRPr="00F93B57">
              <w:rPr>
                <w:snapToGrid w:val="0"/>
                <w:spacing w:val="-3"/>
              </w:rPr>
              <w:tab/>
            </w:r>
            <w:r w:rsidRPr="00F93B57">
              <w:rPr>
                <w:snapToGrid w:val="0"/>
                <w:spacing w:val="-3"/>
              </w:rPr>
              <w:tab/>
              <w:t>:</w:t>
            </w:r>
          </w:p>
          <w:p w:rsidR="005357BF" w:rsidRPr="00F93B57" w:rsidRDefault="005357BF" w:rsidP="005357BF">
            <w:pPr>
              <w:tabs>
                <w:tab w:val="left" w:pos="4680"/>
              </w:tabs>
              <w:spacing w:after="0" w:line="240" w:lineRule="auto"/>
              <w:rPr>
                <w:snapToGrid w:val="0"/>
                <w:spacing w:val="-3"/>
              </w:rPr>
            </w:pPr>
            <w:r w:rsidRPr="00F93B57">
              <w:rPr>
                <w:snapToGrid w:val="0"/>
                <w:spacing w:val="-3"/>
              </w:rPr>
              <w:t>INVESTIGATION AND ENFORCEMENT,</w:t>
            </w:r>
            <w:r w:rsidRPr="00F93B57">
              <w:rPr>
                <w:snapToGrid w:val="0"/>
                <w:spacing w:val="-3"/>
              </w:rPr>
              <w:tab/>
            </w:r>
            <w:r w:rsidRPr="00F93B57">
              <w:rPr>
                <w:snapToGrid w:val="0"/>
                <w:spacing w:val="-3"/>
              </w:rPr>
              <w:tab/>
              <w:t>:</w:t>
            </w:r>
          </w:p>
          <w:p w:rsidR="005357BF" w:rsidRPr="00F93B57" w:rsidRDefault="005357BF" w:rsidP="005357BF">
            <w:pPr>
              <w:tabs>
                <w:tab w:val="left" w:pos="2880"/>
                <w:tab w:val="left" w:pos="4680"/>
              </w:tabs>
              <w:spacing w:after="0" w:line="240" w:lineRule="auto"/>
              <w:rPr>
                <w:snapToGrid w:val="0"/>
                <w:spacing w:val="-3"/>
              </w:rPr>
            </w:pPr>
            <w:r w:rsidRPr="00F93B57">
              <w:rPr>
                <w:snapToGrid w:val="0"/>
                <w:spacing w:val="-3"/>
              </w:rPr>
              <w:tab/>
              <w:t>Complainant</w:t>
            </w:r>
            <w:r w:rsidRPr="00F93B57">
              <w:rPr>
                <w:snapToGrid w:val="0"/>
                <w:spacing w:val="-3"/>
              </w:rPr>
              <w:tab/>
            </w:r>
            <w:r w:rsidRPr="00F93B57">
              <w:rPr>
                <w:snapToGrid w:val="0"/>
                <w:spacing w:val="-3"/>
              </w:rPr>
              <w:tab/>
              <w:t>:</w:t>
            </w:r>
          </w:p>
          <w:p w:rsidR="005357BF" w:rsidRPr="00F93B57" w:rsidRDefault="005357BF" w:rsidP="005357BF">
            <w:pPr>
              <w:tabs>
                <w:tab w:val="left" w:pos="4680"/>
              </w:tabs>
              <w:spacing w:after="0" w:line="240" w:lineRule="auto"/>
              <w:rPr>
                <w:snapToGrid w:val="0"/>
                <w:spacing w:val="-3"/>
              </w:rPr>
            </w:pPr>
            <w:r w:rsidRPr="00F93B57">
              <w:rPr>
                <w:snapToGrid w:val="0"/>
                <w:spacing w:val="-3"/>
              </w:rPr>
              <w:tab/>
            </w:r>
            <w:r w:rsidRPr="00F93B57">
              <w:rPr>
                <w:snapToGrid w:val="0"/>
                <w:spacing w:val="-3"/>
              </w:rPr>
              <w:tab/>
              <w:t>:</w:t>
            </w:r>
          </w:p>
          <w:p w:rsidR="005357BF" w:rsidRPr="00F93B57" w:rsidRDefault="005357BF" w:rsidP="005357BF">
            <w:pPr>
              <w:tabs>
                <w:tab w:val="left" w:pos="4680"/>
              </w:tabs>
              <w:spacing w:after="0" w:line="240" w:lineRule="auto"/>
              <w:rPr>
                <w:snapToGrid w:val="0"/>
                <w:spacing w:val="-3"/>
              </w:rPr>
            </w:pPr>
            <w:r w:rsidRPr="00F93B57">
              <w:rPr>
                <w:snapToGrid w:val="0"/>
                <w:spacing w:val="-3"/>
              </w:rPr>
              <w:tab/>
              <w:t>v.</w:t>
            </w:r>
            <w:r w:rsidRPr="00F93B57">
              <w:rPr>
                <w:snapToGrid w:val="0"/>
                <w:spacing w:val="-3"/>
              </w:rPr>
              <w:tab/>
            </w:r>
            <w:r w:rsidRPr="00F93B57">
              <w:rPr>
                <w:snapToGrid w:val="0"/>
                <w:spacing w:val="-3"/>
              </w:rPr>
              <w:tab/>
              <w:t>:</w:t>
            </w:r>
            <w:r w:rsidRPr="00F93B57">
              <w:rPr>
                <w:snapToGrid w:val="0"/>
                <w:spacing w:val="-3"/>
              </w:rPr>
              <w:tab/>
              <w:t>Docket No.</w:t>
            </w:r>
            <w:r w:rsidRPr="00F93B57">
              <w:rPr>
                <w:snapToGrid w:val="0"/>
                <w:spacing w:val="-3"/>
              </w:rPr>
              <w:tab/>
              <w:t>C-2014-2438640</w:t>
            </w:r>
          </w:p>
          <w:p w:rsidR="005357BF" w:rsidRPr="00F93B57" w:rsidRDefault="005357BF" w:rsidP="005357BF">
            <w:pPr>
              <w:tabs>
                <w:tab w:val="left" w:pos="4680"/>
              </w:tabs>
              <w:spacing w:after="0" w:line="240" w:lineRule="auto"/>
              <w:rPr>
                <w:snapToGrid w:val="0"/>
                <w:spacing w:val="-3"/>
              </w:rPr>
            </w:pPr>
            <w:r w:rsidRPr="00F93B57">
              <w:rPr>
                <w:snapToGrid w:val="0"/>
                <w:spacing w:val="-3"/>
              </w:rPr>
              <w:tab/>
            </w:r>
            <w:r w:rsidRPr="00F93B57">
              <w:rPr>
                <w:snapToGrid w:val="0"/>
                <w:spacing w:val="-3"/>
              </w:rPr>
              <w:tab/>
              <w:t>:</w:t>
            </w:r>
          </w:p>
          <w:p w:rsidR="005357BF" w:rsidRPr="00F93B57" w:rsidRDefault="005357BF" w:rsidP="005357BF">
            <w:pPr>
              <w:tabs>
                <w:tab w:val="left" w:pos="4680"/>
              </w:tabs>
              <w:spacing w:after="0" w:line="240" w:lineRule="auto"/>
              <w:rPr>
                <w:snapToGrid w:val="0"/>
                <w:spacing w:val="-3"/>
              </w:rPr>
            </w:pPr>
            <w:r w:rsidRPr="00F93B57">
              <w:rPr>
                <w:snapToGrid w:val="0"/>
                <w:spacing w:val="-3"/>
              </w:rPr>
              <w:t>R</w:t>
            </w:r>
            <w:r>
              <w:rPr>
                <w:snapToGrid w:val="0"/>
                <w:spacing w:val="-3"/>
              </w:rPr>
              <w:t>espond Power</w:t>
            </w:r>
            <w:r w:rsidRPr="00F93B57">
              <w:rPr>
                <w:snapToGrid w:val="0"/>
                <w:spacing w:val="-3"/>
              </w:rPr>
              <w:t>, LLC,</w:t>
            </w:r>
            <w:r w:rsidRPr="00F93B57">
              <w:rPr>
                <w:snapToGrid w:val="0"/>
                <w:spacing w:val="-3"/>
              </w:rPr>
              <w:tab/>
            </w:r>
            <w:r w:rsidRPr="00F93B57">
              <w:rPr>
                <w:snapToGrid w:val="0"/>
                <w:spacing w:val="-3"/>
              </w:rPr>
              <w:tab/>
              <w:t>:</w:t>
            </w:r>
          </w:p>
          <w:p w:rsidR="005357BF" w:rsidRPr="00F93B57" w:rsidRDefault="005357BF" w:rsidP="005357BF">
            <w:pPr>
              <w:tabs>
                <w:tab w:val="left" w:pos="2880"/>
                <w:tab w:val="left" w:pos="4680"/>
              </w:tabs>
              <w:spacing w:after="0" w:line="240" w:lineRule="auto"/>
              <w:rPr>
                <w:snapToGrid w:val="0"/>
                <w:spacing w:val="-3"/>
              </w:rPr>
            </w:pPr>
            <w:r w:rsidRPr="00F93B57">
              <w:rPr>
                <w:snapToGrid w:val="0"/>
                <w:spacing w:val="-3"/>
              </w:rPr>
              <w:tab/>
              <w:t>Respondent</w:t>
            </w:r>
            <w:r w:rsidRPr="00F93B57">
              <w:rPr>
                <w:snapToGrid w:val="0"/>
                <w:spacing w:val="-3"/>
              </w:rPr>
              <w:tab/>
            </w:r>
            <w:r w:rsidRPr="00F93B57">
              <w:rPr>
                <w:snapToGrid w:val="0"/>
                <w:spacing w:val="-3"/>
              </w:rPr>
              <w:tab/>
              <w:t>:</w:t>
            </w:r>
          </w:p>
          <w:p w:rsidR="005357BF" w:rsidRPr="00F93B57" w:rsidRDefault="005357BF" w:rsidP="005357BF">
            <w:pPr>
              <w:tabs>
                <w:tab w:val="left" w:pos="4572"/>
              </w:tabs>
              <w:spacing w:after="0" w:line="240" w:lineRule="auto"/>
            </w:pPr>
            <w:r w:rsidRPr="00F93B57">
              <w:t xml:space="preserve">                                                                                                  </w:t>
            </w:r>
          </w:p>
        </w:tc>
        <w:tc>
          <w:tcPr>
            <w:tcW w:w="450" w:type="dxa"/>
          </w:tcPr>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 xml:space="preserve">: </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p>
          <w:p w:rsidR="005357BF" w:rsidRPr="00F93B57" w:rsidRDefault="005357BF" w:rsidP="005357BF">
            <w:pPr>
              <w:spacing w:after="0" w:line="240" w:lineRule="auto"/>
            </w:pPr>
          </w:p>
          <w:p w:rsidR="005357BF" w:rsidRPr="00F93B57" w:rsidRDefault="005357BF" w:rsidP="005357BF">
            <w:pPr>
              <w:spacing w:after="0" w:line="240" w:lineRule="auto"/>
            </w:pP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p w:rsidR="005357BF" w:rsidRPr="00F93B57" w:rsidRDefault="005357BF" w:rsidP="005357BF">
            <w:pPr>
              <w:spacing w:after="0" w:line="240" w:lineRule="auto"/>
            </w:pPr>
            <w:r w:rsidRPr="00F93B57">
              <w:t>:</w:t>
            </w:r>
          </w:p>
        </w:tc>
        <w:tc>
          <w:tcPr>
            <w:tcW w:w="4338" w:type="dxa"/>
          </w:tcPr>
          <w:p w:rsidR="005357BF" w:rsidRPr="00F93B57" w:rsidRDefault="005357BF" w:rsidP="005357BF">
            <w:pPr>
              <w:spacing w:after="0" w:line="240" w:lineRule="auto"/>
            </w:pPr>
          </w:p>
          <w:p w:rsidR="005357BF" w:rsidRPr="00F93B57" w:rsidRDefault="005357BF" w:rsidP="005357BF">
            <w:pPr>
              <w:spacing w:after="0" w:line="240" w:lineRule="auto"/>
            </w:pPr>
          </w:p>
          <w:p w:rsidR="005357BF" w:rsidRPr="00F93B57" w:rsidRDefault="005357BF" w:rsidP="005357BF">
            <w:pPr>
              <w:spacing w:after="0" w:line="240" w:lineRule="auto"/>
            </w:pPr>
          </w:p>
          <w:p w:rsidR="005357BF" w:rsidRPr="00F93B57" w:rsidRDefault="005357BF" w:rsidP="005357BF">
            <w:pPr>
              <w:spacing w:after="0" w:line="240" w:lineRule="auto"/>
            </w:pPr>
          </w:p>
          <w:p w:rsidR="005357BF" w:rsidRPr="00F93B57" w:rsidRDefault="005357BF" w:rsidP="006C7C3C">
            <w:pPr>
              <w:tabs>
                <w:tab w:val="clear" w:pos="1440"/>
              </w:tabs>
              <w:spacing w:after="0" w:line="240" w:lineRule="auto"/>
              <w:ind w:firstLine="1242"/>
              <w:rPr>
                <w:rFonts w:eastAsia="Calibri"/>
                <w:szCs w:val="22"/>
              </w:rPr>
            </w:pPr>
            <w:r w:rsidRPr="00F93B57">
              <w:rPr>
                <w:rFonts w:eastAsia="Calibri"/>
                <w:szCs w:val="22"/>
              </w:rPr>
              <w:t xml:space="preserve"> C-2014-2427659</w:t>
            </w:r>
          </w:p>
          <w:p w:rsidR="005357BF" w:rsidRPr="00F93B57" w:rsidRDefault="005357BF" w:rsidP="005357BF">
            <w:pPr>
              <w:spacing w:after="0" w:line="240" w:lineRule="auto"/>
            </w:pPr>
          </w:p>
          <w:p w:rsidR="005357BF" w:rsidRPr="00F93B57" w:rsidRDefault="005357BF" w:rsidP="005357BF">
            <w:pPr>
              <w:spacing w:after="0" w:line="240" w:lineRule="auto"/>
              <w:rPr>
                <w:color w:val="FF0000"/>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p>
          <w:p w:rsidR="005357BF" w:rsidRPr="00F93B57" w:rsidRDefault="005357BF" w:rsidP="005357BF">
            <w:pPr>
              <w:spacing w:after="0" w:line="240" w:lineRule="auto"/>
              <w:rPr>
                <w:sz w:val="32"/>
                <w:szCs w:val="32"/>
              </w:rPr>
            </w:pPr>
            <w:r w:rsidRPr="00F93B57">
              <w:rPr>
                <w:rFonts w:eastAsia="Calibri"/>
                <w:snapToGrid w:val="0"/>
                <w:spacing w:val="-3"/>
                <w:szCs w:val="22"/>
              </w:rPr>
              <w:tab/>
              <w:t>C-2014-2438640</w:t>
            </w:r>
          </w:p>
        </w:tc>
      </w:tr>
    </w:tbl>
    <w:p w:rsidR="00C47B91" w:rsidRPr="00C47B91" w:rsidRDefault="00C47B91" w:rsidP="00C47B91">
      <w:pPr>
        <w:tabs>
          <w:tab w:val="clear" w:pos="1440"/>
        </w:tabs>
        <w:autoSpaceDE w:val="0"/>
        <w:autoSpaceDN w:val="0"/>
        <w:spacing w:after="0" w:line="240" w:lineRule="auto"/>
        <w:rPr>
          <w:rFonts w:ascii="CG Times" w:hAnsi="CG Times" w:cs="CG Times"/>
          <w:bCs/>
          <w:szCs w:val="24"/>
        </w:rPr>
      </w:pPr>
    </w:p>
    <w:p w:rsidR="00B31FEC" w:rsidRDefault="00B31FEC" w:rsidP="008B1DDA">
      <w:pPr>
        <w:spacing w:after="0" w:line="240" w:lineRule="auto"/>
        <w:jc w:val="center"/>
        <w:rPr>
          <w:b/>
        </w:rPr>
      </w:pPr>
    </w:p>
    <w:p w:rsidR="0044124C" w:rsidRDefault="008270B4" w:rsidP="008270B4">
      <w:pPr>
        <w:spacing w:after="0" w:line="240" w:lineRule="auto"/>
        <w:jc w:val="center"/>
        <w:rPr>
          <w:b/>
        </w:rPr>
      </w:pPr>
      <w:r w:rsidRPr="008B1DDA">
        <w:rPr>
          <w:b/>
        </w:rPr>
        <w:t xml:space="preserve">INTERIM ORDER </w:t>
      </w:r>
    </w:p>
    <w:p w:rsidR="0044124C" w:rsidRDefault="00AE59BD" w:rsidP="008270B4">
      <w:pPr>
        <w:spacing w:after="0" w:line="240" w:lineRule="auto"/>
        <w:jc w:val="center"/>
        <w:rPr>
          <w:b/>
        </w:rPr>
      </w:pPr>
      <w:r>
        <w:rPr>
          <w:b/>
        </w:rPr>
        <w:t>ON</w:t>
      </w:r>
      <w:r w:rsidR="0044124C">
        <w:rPr>
          <w:b/>
        </w:rPr>
        <w:t xml:space="preserve"> </w:t>
      </w:r>
      <w:r w:rsidR="008270B4" w:rsidRPr="008B1DDA">
        <w:rPr>
          <w:b/>
        </w:rPr>
        <w:t xml:space="preserve">MOTION FOR SCHEDULING OF A SETTLEMENT </w:t>
      </w:r>
    </w:p>
    <w:p w:rsidR="008270B4" w:rsidRPr="008B1DDA" w:rsidRDefault="008270B4" w:rsidP="008270B4">
      <w:pPr>
        <w:spacing w:after="0" w:line="240" w:lineRule="auto"/>
        <w:jc w:val="center"/>
        <w:rPr>
          <w:b/>
          <w:u w:val="single"/>
        </w:rPr>
      </w:pPr>
      <w:r w:rsidRPr="0044124C">
        <w:rPr>
          <w:b/>
          <w:u w:val="single"/>
        </w:rPr>
        <w:t xml:space="preserve">CONFERENCE AND </w:t>
      </w:r>
      <w:r w:rsidRPr="008B1DDA">
        <w:rPr>
          <w:b/>
          <w:u w:val="single"/>
        </w:rPr>
        <w:t>ASSIGNMENT OF SETTLEMENT JUDGE</w:t>
      </w:r>
    </w:p>
    <w:p w:rsidR="00B847D2" w:rsidRDefault="00B847D2" w:rsidP="006C7C3C">
      <w:pPr>
        <w:spacing w:after="0" w:line="480" w:lineRule="auto"/>
        <w:contextualSpacing/>
        <w:jc w:val="both"/>
      </w:pPr>
    </w:p>
    <w:p w:rsidR="00C91E6A" w:rsidRDefault="008270B4" w:rsidP="006C7C3C">
      <w:pPr>
        <w:spacing w:after="0"/>
        <w:contextualSpacing/>
      </w:pPr>
      <w:r>
        <w:tab/>
        <w:t xml:space="preserve">On June </w:t>
      </w:r>
      <w:r w:rsidR="00C47B91">
        <w:t>20, 2014, the Commonwealth of Pennsylvania, by Attorney Genera</w:t>
      </w:r>
      <w:r w:rsidR="00753EEC">
        <w:t xml:space="preserve">l Kathleen G. Kane through the </w:t>
      </w:r>
      <w:r w:rsidR="00375236">
        <w:t>B</w:t>
      </w:r>
      <w:r w:rsidR="00C47B91">
        <w:t>ureau of Consumer Protection (OAG) and</w:t>
      </w:r>
      <w:r w:rsidR="004B547D">
        <w:t xml:space="preserve"> the Acting Consumer Advocate T</w:t>
      </w:r>
      <w:r w:rsidR="00C47B91">
        <w:t xml:space="preserve">anya J. McCloskey (OCA) (collectively Joint Complainants) </w:t>
      </w:r>
      <w:r w:rsidR="00FF1977">
        <w:t xml:space="preserve">filed a formal complaint </w:t>
      </w:r>
      <w:r w:rsidR="00C47B91">
        <w:t xml:space="preserve">containing nine counts against Respond Power, LLC (Respond Power). </w:t>
      </w:r>
    </w:p>
    <w:p w:rsidR="00C91E6A" w:rsidRDefault="00C91E6A" w:rsidP="006C7C3C">
      <w:pPr>
        <w:spacing w:after="0"/>
      </w:pPr>
    </w:p>
    <w:p w:rsidR="00C91E6A" w:rsidRDefault="00C91E6A" w:rsidP="006C7C3C">
      <w:pPr>
        <w:spacing w:after="0"/>
      </w:pPr>
      <w:r>
        <w:lastRenderedPageBreak/>
        <w:tab/>
      </w:r>
      <w:r w:rsidR="00C47B91">
        <w:t xml:space="preserve">On August 21, 2014, </w:t>
      </w:r>
      <w:r w:rsidR="008270B4">
        <w:t xml:space="preserve">the Commission’s Bureau of Investigation and Enforcement (BIE) filed a complaint against </w:t>
      </w:r>
      <w:r w:rsidR="00C47B91">
        <w:t>Respond Power</w:t>
      </w:r>
      <w:r>
        <w:t xml:space="preserve"> </w:t>
      </w:r>
      <w:r w:rsidR="005357BF" w:rsidRPr="00666FD0">
        <w:rPr>
          <w:rFonts w:eastAsia="Calibri"/>
          <w:lang w:val="pt-BR" w:eastAsia="ja-JP"/>
        </w:rPr>
        <w:t xml:space="preserve">alleging various violations of the Public Utility Code and the Commission’s Regulations and </w:t>
      </w:r>
      <w:r w:rsidR="005357BF">
        <w:rPr>
          <w:rFonts w:eastAsia="Calibri"/>
          <w:lang w:val="pt-BR" w:eastAsia="ja-JP"/>
        </w:rPr>
        <w:t xml:space="preserve">the </w:t>
      </w:r>
      <w:r w:rsidR="005357BF" w:rsidRPr="00666FD0">
        <w:rPr>
          <w:rFonts w:eastAsia="Calibri"/>
          <w:lang w:val="pt-BR" w:eastAsia="ja-JP"/>
        </w:rPr>
        <w:t>C</w:t>
      </w:r>
      <w:r>
        <w:rPr>
          <w:rFonts w:eastAsia="Calibri"/>
          <w:lang w:val="pt-BR" w:eastAsia="ja-JP"/>
        </w:rPr>
        <w:t xml:space="preserve">onsumer </w:t>
      </w:r>
      <w:r w:rsidR="005357BF" w:rsidRPr="00666FD0">
        <w:rPr>
          <w:rFonts w:eastAsia="Calibri"/>
          <w:lang w:val="pt-BR" w:eastAsia="ja-JP"/>
        </w:rPr>
        <w:t>P</w:t>
      </w:r>
      <w:r>
        <w:rPr>
          <w:rFonts w:eastAsia="Calibri"/>
          <w:lang w:val="pt-BR" w:eastAsia="ja-JP"/>
        </w:rPr>
        <w:t xml:space="preserve">rotection </w:t>
      </w:r>
      <w:r w:rsidR="005357BF" w:rsidRPr="00666FD0">
        <w:rPr>
          <w:rFonts w:eastAsia="Calibri"/>
          <w:lang w:val="pt-BR" w:eastAsia="ja-JP"/>
        </w:rPr>
        <w:t>L</w:t>
      </w:r>
      <w:r>
        <w:rPr>
          <w:rFonts w:eastAsia="Calibri"/>
          <w:lang w:val="pt-BR" w:eastAsia="ja-JP"/>
        </w:rPr>
        <w:t>aw</w:t>
      </w:r>
      <w:r w:rsidR="005357BF" w:rsidRPr="00666FD0">
        <w:rPr>
          <w:rFonts w:eastAsia="Calibri"/>
          <w:lang w:val="pt-BR" w:eastAsia="ja-JP"/>
        </w:rPr>
        <w:t xml:space="preserve">.  </w:t>
      </w:r>
    </w:p>
    <w:p w:rsidR="00C91E6A" w:rsidRDefault="00C91E6A" w:rsidP="006C7C3C">
      <w:pPr>
        <w:spacing w:after="0"/>
        <w:ind w:firstLine="720"/>
        <w:rPr>
          <w:rFonts w:eastAsia="Calibri"/>
        </w:rPr>
      </w:pPr>
    </w:p>
    <w:p w:rsidR="00C91E6A" w:rsidRDefault="00C91E6A" w:rsidP="006C7C3C">
      <w:pPr>
        <w:spacing w:after="0"/>
        <w:ind w:firstLine="720"/>
      </w:pPr>
      <w:r>
        <w:rPr>
          <w:rFonts w:eastAsia="Calibri"/>
        </w:rPr>
        <w:tab/>
      </w:r>
      <w:r w:rsidR="005357BF" w:rsidRPr="001A0004">
        <w:rPr>
          <w:rFonts w:eastAsia="Calibri"/>
        </w:rPr>
        <w:t xml:space="preserve">On August 25, 2014, a Prehearing Conference was convened and a litigation schedule was adopted for the submission of consumer testimony in the </w:t>
      </w:r>
      <w:r w:rsidR="005357BF">
        <w:rPr>
          <w:rFonts w:eastAsia="Calibri"/>
        </w:rPr>
        <w:t>Joint Complainants’ proceeding</w:t>
      </w:r>
      <w:r w:rsidR="005357BF" w:rsidRPr="001A0004">
        <w:rPr>
          <w:rFonts w:eastAsia="Calibri"/>
        </w:rPr>
        <w:t>.</w:t>
      </w:r>
      <w:r w:rsidR="005357BF" w:rsidRPr="006C7C3C">
        <w:rPr>
          <w:rFonts w:eastAsia="Calibri"/>
        </w:rPr>
        <w:t xml:space="preserve">  </w:t>
      </w:r>
      <w:r w:rsidR="005357BF" w:rsidRPr="00EB636F">
        <w:rPr>
          <w:rFonts w:eastAsia="Calibri"/>
        </w:rPr>
        <w:t xml:space="preserve">On September 2, 2014, OAG filed a Notice of Intervention in the I&amp;E proceeding.  </w:t>
      </w:r>
      <w:r w:rsidR="005357BF" w:rsidRPr="00EB636F">
        <w:t>On</w:t>
      </w:r>
      <w:r w:rsidR="005357BF">
        <w:t xml:space="preserve"> September 3, 2</w:t>
      </w:r>
      <w:r w:rsidR="005357BF" w:rsidRPr="00666FD0">
        <w:t>014, OCA filed a Notice of Intervention and Public Statement</w:t>
      </w:r>
      <w:r w:rsidR="005357BF">
        <w:t xml:space="preserve"> in </w:t>
      </w:r>
      <w:proofErr w:type="gramStart"/>
      <w:r w:rsidR="005357BF">
        <w:t>the I</w:t>
      </w:r>
      <w:proofErr w:type="gramEnd"/>
      <w:r w:rsidR="005357BF">
        <w:t>&amp;E proceeding</w:t>
      </w:r>
      <w:r w:rsidR="006C7C3C">
        <w:t xml:space="preserve">. </w:t>
      </w:r>
      <w:r w:rsidR="005357BF" w:rsidRPr="00666FD0">
        <w:t xml:space="preserve"> </w:t>
      </w:r>
      <w:r>
        <w:t xml:space="preserve">These two dockets were </w:t>
      </w:r>
      <w:r w:rsidRPr="00666FD0">
        <w:t>consolidated by Order dated October 28, 2014.</w:t>
      </w:r>
      <w:r>
        <w:t xml:space="preserve">  </w:t>
      </w:r>
    </w:p>
    <w:p w:rsidR="00265A25" w:rsidRDefault="00265A25" w:rsidP="006C7C3C">
      <w:pPr>
        <w:spacing w:after="0"/>
        <w:ind w:firstLine="720"/>
        <w:rPr>
          <w:rFonts w:eastAsia="Calibri"/>
        </w:rPr>
      </w:pPr>
    </w:p>
    <w:p w:rsidR="005357BF" w:rsidRDefault="00265A25" w:rsidP="006C7C3C">
      <w:pPr>
        <w:spacing w:after="0"/>
        <w:ind w:firstLine="720"/>
        <w:rPr>
          <w:rFonts w:eastAsia="Calibri"/>
        </w:rPr>
      </w:pPr>
      <w:r>
        <w:rPr>
          <w:rFonts w:eastAsia="Calibri"/>
        </w:rPr>
        <w:tab/>
      </w:r>
      <w:r w:rsidR="00FF1977">
        <w:rPr>
          <w:rFonts w:eastAsia="Calibri"/>
        </w:rPr>
        <w:t>On December 30, 2014, Respond Power filed a Motion for Scheduling of Settlement Conference.  As articulated in the Motion, t</w:t>
      </w:r>
      <w:r w:rsidR="005357BF" w:rsidRPr="00DA61DB">
        <w:rPr>
          <w:rFonts w:eastAsia="Calibri"/>
        </w:rPr>
        <w:t xml:space="preserve">hroughout the course of this proceeding, the parties have actively engaged in </w:t>
      </w:r>
      <w:r w:rsidR="00FF1977">
        <w:rPr>
          <w:rFonts w:eastAsia="Calibri"/>
        </w:rPr>
        <w:t xml:space="preserve">the following </w:t>
      </w:r>
      <w:r w:rsidR="00375236">
        <w:rPr>
          <w:rFonts w:eastAsia="Calibri"/>
        </w:rPr>
        <w:t>S</w:t>
      </w:r>
      <w:r w:rsidR="005357BF" w:rsidRPr="00DA61DB">
        <w:rPr>
          <w:rFonts w:eastAsia="Calibri"/>
        </w:rPr>
        <w:t xml:space="preserve">ettlement discussions.  </w:t>
      </w:r>
      <w:r w:rsidR="005357BF">
        <w:rPr>
          <w:rFonts w:eastAsia="Calibri"/>
        </w:rPr>
        <w:t xml:space="preserve">On September 10, 2014, the parties to this proceeding held an in-person settlement conference.  </w:t>
      </w:r>
      <w:r w:rsidR="005357BF" w:rsidRPr="00DA61DB">
        <w:rPr>
          <w:rFonts w:eastAsia="Calibri"/>
        </w:rPr>
        <w:t xml:space="preserve">On October 24, 2014, Respond Power provided a proposed term sheet to the parties.  </w:t>
      </w:r>
      <w:r w:rsidR="005357BF">
        <w:rPr>
          <w:rFonts w:eastAsia="Calibri"/>
        </w:rPr>
        <w:t xml:space="preserve">On November 12, 2014, the parties had a conference call to discuss Respond Power’s proposed term sheet.  </w:t>
      </w:r>
      <w:r w:rsidR="005357BF" w:rsidRPr="00DA61DB">
        <w:rPr>
          <w:rFonts w:eastAsia="Calibri"/>
        </w:rPr>
        <w:t>On December 20, 2014, Respond Power filed this Motion</w:t>
      </w:r>
      <w:r w:rsidR="005357BF">
        <w:rPr>
          <w:rFonts w:eastAsia="Calibri"/>
        </w:rPr>
        <w:t xml:space="preserve">.  </w:t>
      </w:r>
      <w:r w:rsidR="005357BF" w:rsidRPr="00DA61DB">
        <w:rPr>
          <w:rFonts w:eastAsia="Calibri"/>
        </w:rPr>
        <w:t>Joint Complainants and I&amp;E provided Respond Power with a comprehensive, joint counterproposal on December 23, 2014.  On January 7, 2015, Respond Power provided the parties with a counterproposal</w:t>
      </w:r>
      <w:r w:rsidR="005357BF">
        <w:rPr>
          <w:rFonts w:eastAsia="Calibri"/>
        </w:rPr>
        <w:t>, and the parties had a third settlement discussion regarding that counterproposal</w:t>
      </w:r>
      <w:r w:rsidR="005357BF" w:rsidRPr="00DA61DB">
        <w:rPr>
          <w:rFonts w:eastAsia="Calibri"/>
        </w:rPr>
        <w:t>.  By letter dated January 8, 2015</w:t>
      </w:r>
      <w:r w:rsidR="005357BF">
        <w:rPr>
          <w:rFonts w:eastAsia="Calibri"/>
        </w:rPr>
        <w:t xml:space="preserve"> (January 8 Letter)</w:t>
      </w:r>
      <w:r w:rsidR="005357BF" w:rsidRPr="00DA61DB">
        <w:rPr>
          <w:rFonts w:eastAsia="Calibri"/>
        </w:rPr>
        <w:t>, Respond Power requested that the ALJs hold the Motion in abeyance “[d]ue to the productive discussions eng</w:t>
      </w:r>
      <w:r w:rsidR="005357BF">
        <w:rPr>
          <w:rFonts w:eastAsia="Calibri"/>
        </w:rPr>
        <w:t>aged in by the parties during [the</w:t>
      </w:r>
      <w:r w:rsidR="005357BF" w:rsidRPr="00DA61DB">
        <w:rPr>
          <w:rFonts w:eastAsia="Calibri"/>
        </w:rPr>
        <w:t xml:space="preserve"> January 7, 2015 settlement conference] call.”</w:t>
      </w:r>
      <w:r w:rsidR="005357BF">
        <w:rPr>
          <w:rFonts w:eastAsia="Calibri"/>
        </w:rPr>
        <w:t xml:space="preserve">  </w:t>
      </w:r>
      <w:r w:rsidR="005357BF" w:rsidRPr="00DA61DB">
        <w:rPr>
          <w:rFonts w:eastAsia="Calibri"/>
        </w:rPr>
        <w:t>On February 2, 2015, Joint Complainants and I&amp;E provided Respond Power with another counterproposal.</w:t>
      </w:r>
      <w:r w:rsidR="005357BF">
        <w:rPr>
          <w:rFonts w:eastAsia="Calibri"/>
        </w:rPr>
        <w:t xml:space="preserve">  Hearings for cross-</w:t>
      </w:r>
      <w:r w:rsidR="005357BF" w:rsidRPr="004936B6">
        <w:rPr>
          <w:rFonts w:eastAsia="Calibri"/>
        </w:rPr>
        <w:t xml:space="preserve">examination of the </w:t>
      </w:r>
      <w:r w:rsidR="005357BF">
        <w:rPr>
          <w:rFonts w:eastAsia="Calibri"/>
        </w:rPr>
        <w:t xml:space="preserve">Joint Complainants’ and I&amp;E’s </w:t>
      </w:r>
      <w:r w:rsidR="005357BF" w:rsidRPr="004936B6">
        <w:rPr>
          <w:rFonts w:eastAsia="Calibri"/>
        </w:rPr>
        <w:t>consumer witnesses were held on March 9 through March 13, 2015</w:t>
      </w:r>
      <w:r w:rsidR="00DC6DD9">
        <w:rPr>
          <w:rFonts w:eastAsia="Calibri"/>
        </w:rPr>
        <w:t>, and consumer direct testimony was entered into the record</w:t>
      </w:r>
      <w:r w:rsidR="005357BF" w:rsidRPr="004936B6">
        <w:rPr>
          <w:rFonts w:eastAsia="Calibri"/>
        </w:rPr>
        <w:t xml:space="preserve">.  </w:t>
      </w:r>
      <w:r w:rsidR="005357BF" w:rsidRPr="00DA61DB">
        <w:rPr>
          <w:rFonts w:eastAsia="Calibri"/>
        </w:rPr>
        <w:t xml:space="preserve">  </w:t>
      </w:r>
    </w:p>
    <w:p w:rsidR="00265A25" w:rsidRDefault="00265A25" w:rsidP="006C7C3C">
      <w:pPr>
        <w:spacing w:after="0"/>
        <w:ind w:firstLine="720"/>
        <w:rPr>
          <w:rFonts w:eastAsia="Calibri"/>
        </w:rPr>
      </w:pPr>
    </w:p>
    <w:p w:rsidR="005357BF" w:rsidRPr="00C23BA2" w:rsidRDefault="00265A25" w:rsidP="00CD5CC4">
      <w:pPr>
        <w:spacing w:after="0"/>
        <w:ind w:firstLine="720"/>
        <w:rPr>
          <w:rFonts w:eastAsia="Calibri"/>
          <w:b/>
        </w:rPr>
      </w:pPr>
      <w:r>
        <w:rPr>
          <w:rFonts w:eastAsia="Calibri"/>
        </w:rPr>
        <w:tab/>
      </w:r>
      <w:r w:rsidR="005357BF">
        <w:rPr>
          <w:rFonts w:eastAsia="Calibri"/>
        </w:rPr>
        <w:t xml:space="preserve">The Joint Complainants </w:t>
      </w:r>
      <w:r w:rsidR="00DC6DD9">
        <w:rPr>
          <w:rFonts w:eastAsia="Calibri"/>
        </w:rPr>
        <w:t xml:space="preserve">claim that they </w:t>
      </w:r>
      <w:r w:rsidR="005357BF">
        <w:rPr>
          <w:rFonts w:eastAsia="Calibri"/>
        </w:rPr>
        <w:t>have yet to receive a response from Respond Power to their February 9, 2015 counterproposal.  Instead, by letter dated March 27, 2015, Respond Power renewed its Motion</w:t>
      </w:r>
      <w:r w:rsidR="00FF1977">
        <w:rPr>
          <w:rFonts w:eastAsia="Calibri"/>
        </w:rPr>
        <w:t xml:space="preserve"> for a Settlement Judge and Conference</w:t>
      </w:r>
      <w:r w:rsidR="005357BF">
        <w:rPr>
          <w:rFonts w:eastAsia="Calibri"/>
        </w:rPr>
        <w:t xml:space="preserve">.  Responses to the Motion </w:t>
      </w:r>
      <w:r w:rsidR="00DC6DD9">
        <w:rPr>
          <w:rFonts w:eastAsia="Calibri"/>
        </w:rPr>
        <w:t>were filed on or about Apr</w:t>
      </w:r>
      <w:r w:rsidR="005357BF">
        <w:rPr>
          <w:rFonts w:eastAsia="Calibri"/>
        </w:rPr>
        <w:t xml:space="preserve">il 6, 2015.  </w:t>
      </w:r>
      <w:r w:rsidR="00DC6DD9">
        <w:rPr>
          <w:rFonts w:eastAsia="Calibri"/>
        </w:rPr>
        <w:t>Although I&amp;E has no opposition to the request, OCA and OAG request Respond Power’s Motion be d</w:t>
      </w:r>
      <w:r w:rsidR="005357BF" w:rsidRPr="004936B6">
        <w:rPr>
          <w:rFonts w:eastAsia="Calibri"/>
        </w:rPr>
        <w:t>enied</w:t>
      </w:r>
      <w:r w:rsidR="005357BF">
        <w:rPr>
          <w:rFonts w:eastAsia="Calibri"/>
        </w:rPr>
        <w:t xml:space="preserve"> as unnecessary at this time</w:t>
      </w:r>
      <w:r w:rsidR="005357BF" w:rsidRPr="004936B6">
        <w:rPr>
          <w:rFonts w:eastAsia="Calibri"/>
        </w:rPr>
        <w:t xml:space="preserve">. </w:t>
      </w:r>
    </w:p>
    <w:p w:rsidR="005357BF" w:rsidRDefault="005357BF" w:rsidP="00CD5CC4">
      <w:pPr>
        <w:spacing w:after="0"/>
        <w:jc w:val="both"/>
        <w:rPr>
          <w:b/>
          <w:color w:val="333333"/>
          <w:shd w:val="clear" w:color="auto" w:fill="FFFFFF"/>
        </w:rPr>
      </w:pPr>
    </w:p>
    <w:p w:rsidR="00DC6DD9" w:rsidRPr="006C7C3C" w:rsidRDefault="00DC6DD9" w:rsidP="00CD5CC4">
      <w:pPr>
        <w:spacing w:after="0"/>
        <w:jc w:val="both"/>
        <w:rPr>
          <w:b/>
          <w:color w:val="333333"/>
          <w:u w:val="single"/>
          <w:shd w:val="clear" w:color="auto" w:fill="FFFFFF"/>
        </w:rPr>
      </w:pPr>
      <w:r w:rsidRPr="006C7C3C">
        <w:rPr>
          <w:b/>
          <w:color w:val="333333"/>
          <w:u w:val="single"/>
          <w:shd w:val="clear" w:color="auto" w:fill="FFFFFF"/>
        </w:rPr>
        <w:t>Parties Positions</w:t>
      </w:r>
    </w:p>
    <w:p w:rsidR="002A77B4" w:rsidRDefault="002A77B4" w:rsidP="00CD5CC4">
      <w:pPr>
        <w:spacing w:after="0"/>
        <w:jc w:val="both"/>
        <w:rPr>
          <w:b/>
          <w:color w:val="333333"/>
          <w:shd w:val="clear" w:color="auto" w:fill="FFFFFF"/>
        </w:rPr>
      </w:pPr>
    </w:p>
    <w:p w:rsidR="00DC6DD9" w:rsidRDefault="00DC6DD9" w:rsidP="00CD5CC4">
      <w:pPr>
        <w:spacing w:after="0"/>
        <w:jc w:val="both"/>
        <w:rPr>
          <w:b/>
          <w:color w:val="333333"/>
          <w:shd w:val="clear" w:color="auto" w:fill="FFFFFF"/>
        </w:rPr>
      </w:pPr>
      <w:r>
        <w:rPr>
          <w:b/>
          <w:color w:val="333333"/>
          <w:shd w:val="clear" w:color="auto" w:fill="FFFFFF"/>
        </w:rPr>
        <w:t>Respond Power</w:t>
      </w:r>
    </w:p>
    <w:p w:rsidR="006C7C3C" w:rsidRDefault="006C7C3C" w:rsidP="00CD5CC4">
      <w:pPr>
        <w:spacing w:after="0"/>
        <w:jc w:val="both"/>
        <w:rPr>
          <w:b/>
          <w:color w:val="333333"/>
          <w:shd w:val="clear" w:color="auto" w:fill="FFFFFF"/>
        </w:rPr>
      </w:pPr>
    </w:p>
    <w:p w:rsidR="00D22705" w:rsidRDefault="00E853A3" w:rsidP="00CD5CC4">
      <w:pPr>
        <w:spacing w:after="0"/>
        <w:ind w:firstLine="720"/>
        <w:rPr>
          <w:color w:val="333333"/>
          <w:shd w:val="clear" w:color="auto" w:fill="FFFFFF"/>
        </w:rPr>
      </w:pPr>
      <w:r>
        <w:rPr>
          <w:color w:val="333333"/>
          <w:shd w:val="clear" w:color="auto" w:fill="FFFFFF"/>
        </w:rPr>
        <w:tab/>
      </w:r>
      <w:r w:rsidR="00D22705">
        <w:rPr>
          <w:color w:val="333333"/>
          <w:shd w:val="clear" w:color="auto" w:fill="FFFFFF"/>
        </w:rPr>
        <w:t>I</w:t>
      </w:r>
      <w:r w:rsidR="00D22705">
        <w:rPr>
          <w:rFonts w:eastAsia="Calibri"/>
        </w:rPr>
        <w:t>n its Motion, Respond Power requests that a Settlement ALJ be assigned pursuant to 52 Pa. Code Section 5.231and a settlement conference</w:t>
      </w:r>
      <w:r w:rsidR="00FF1977">
        <w:rPr>
          <w:rFonts w:eastAsia="Calibri"/>
        </w:rPr>
        <w:t xml:space="preserve"> be scheduled</w:t>
      </w:r>
      <w:r w:rsidR="00D22705">
        <w:rPr>
          <w:rFonts w:eastAsia="Calibri"/>
        </w:rPr>
        <w:t>.</w:t>
      </w:r>
      <w:r w:rsidR="00D22705">
        <w:rPr>
          <w:vertAlign w:val="superscript"/>
        </w:rPr>
        <w:footnoteReference w:id="1"/>
      </w:r>
      <w:r w:rsidR="00D22705">
        <w:rPr>
          <w:rFonts w:eastAsia="Calibri"/>
        </w:rPr>
        <w:t xml:space="preserve">  </w:t>
      </w:r>
      <w:r w:rsidR="00D22705">
        <w:rPr>
          <w:color w:val="333333"/>
          <w:shd w:val="clear" w:color="auto" w:fill="FFFFFF"/>
        </w:rPr>
        <w:t xml:space="preserve">In support of its Motion, Respond Power asserts that the designation of an ALJ to participate in settlement discussions would aid in the negotiations and offer a greater likelihood of success.  Respond Power states that it has a strong interest in avoiding the expenditure of significant resources for preparation of administrative proceedings when those resources could be better utilized to achieve a settlement.  Respond Power further </w:t>
      </w:r>
      <w:r w:rsidR="002A77B4">
        <w:rPr>
          <w:color w:val="333333"/>
          <w:shd w:val="clear" w:color="auto" w:fill="FFFFFF"/>
        </w:rPr>
        <w:t xml:space="preserve">requests a </w:t>
      </w:r>
      <w:r w:rsidR="00D22705">
        <w:rPr>
          <w:color w:val="333333"/>
          <w:shd w:val="clear" w:color="auto" w:fill="FFFFFF"/>
        </w:rPr>
        <w:t xml:space="preserve">Settlement ALJ due to the unprecedented nature of the Joint Complaint and the complexity of the issues.  </w:t>
      </w:r>
    </w:p>
    <w:p w:rsidR="00DC6DD9" w:rsidRDefault="00DC6DD9" w:rsidP="00CD5CC4">
      <w:pPr>
        <w:spacing w:after="0"/>
        <w:ind w:firstLine="720"/>
        <w:rPr>
          <w:color w:val="333333"/>
          <w:u w:val="single"/>
          <w:shd w:val="clear" w:color="auto" w:fill="FFFFFF"/>
        </w:rPr>
      </w:pPr>
    </w:p>
    <w:p w:rsidR="00DC6DD9" w:rsidRDefault="00DC6DD9" w:rsidP="00CD5CC4">
      <w:pPr>
        <w:spacing w:after="0"/>
        <w:rPr>
          <w:b/>
          <w:color w:val="333333"/>
          <w:shd w:val="clear" w:color="auto" w:fill="FFFFFF"/>
        </w:rPr>
      </w:pPr>
      <w:r w:rsidRPr="006C1BFA">
        <w:rPr>
          <w:b/>
          <w:color w:val="333333"/>
          <w:shd w:val="clear" w:color="auto" w:fill="FFFFFF"/>
        </w:rPr>
        <w:t>Joint Complainants</w:t>
      </w:r>
      <w:r w:rsidR="00521BDC">
        <w:rPr>
          <w:b/>
          <w:color w:val="333333"/>
          <w:shd w:val="clear" w:color="auto" w:fill="FFFFFF"/>
        </w:rPr>
        <w:t xml:space="preserve">  </w:t>
      </w:r>
    </w:p>
    <w:p w:rsidR="00CD5CC4" w:rsidRPr="00CD5CC4" w:rsidRDefault="00CD5CC4" w:rsidP="00CD5CC4">
      <w:pPr>
        <w:spacing w:after="0"/>
        <w:rPr>
          <w:b/>
          <w:shd w:val="clear" w:color="auto" w:fill="FFFFFF"/>
        </w:rPr>
      </w:pPr>
    </w:p>
    <w:p w:rsidR="00D22705" w:rsidRDefault="00E853A3" w:rsidP="00CD5CC4">
      <w:pPr>
        <w:spacing w:after="0"/>
        <w:ind w:firstLine="720"/>
        <w:rPr>
          <w:rFonts w:eastAsia="Calibri"/>
        </w:rPr>
      </w:pPr>
      <w:r>
        <w:rPr>
          <w:rFonts w:eastAsia="Calibri"/>
        </w:rPr>
        <w:tab/>
      </w:r>
      <w:r w:rsidR="00D22705">
        <w:rPr>
          <w:rFonts w:eastAsia="Calibri"/>
        </w:rPr>
        <w:t xml:space="preserve">Joint Complainants </w:t>
      </w:r>
      <w:r w:rsidR="002F0114">
        <w:rPr>
          <w:rFonts w:eastAsia="Calibri"/>
        </w:rPr>
        <w:t xml:space="preserve">object to the assignment of a settlement judge and conference.  Joint Complainants </w:t>
      </w:r>
      <w:r w:rsidR="002A77B4">
        <w:rPr>
          <w:rFonts w:eastAsia="Calibri"/>
        </w:rPr>
        <w:t xml:space="preserve">claim they </w:t>
      </w:r>
      <w:r w:rsidR="00D22705">
        <w:rPr>
          <w:rFonts w:eastAsia="Calibri"/>
        </w:rPr>
        <w:t>have engaged in settlement negotiations in good faith with the Company and will continue to do so.  The Joint Complainants</w:t>
      </w:r>
      <w:r w:rsidR="002A77B4">
        <w:rPr>
          <w:rFonts w:eastAsia="Calibri"/>
        </w:rPr>
        <w:t xml:space="preserve"> contend</w:t>
      </w:r>
      <w:r w:rsidR="00D22705">
        <w:rPr>
          <w:rFonts w:eastAsia="Calibri"/>
        </w:rPr>
        <w:t xml:space="preserve"> that a Settlement ALJ is not necessary at this time to aid in settlement negotiations.  The parties in this proceeding have actively exchanged settlement proposals.  Based on the settlement discussions with Respond Power to date, Joint Complainants </w:t>
      </w:r>
      <w:r w:rsidR="002A77B4">
        <w:rPr>
          <w:rFonts w:eastAsia="Calibri"/>
        </w:rPr>
        <w:t>believe</w:t>
      </w:r>
      <w:r w:rsidR="00D22705">
        <w:rPr>
          <w:rFonts w:eastAsia="Calibri"/>
        </w:rPr>
        <w:t xml:space="preserve"> that the parties w</w:t>
      </w:r>
      <w:r w:rsidR="002A77B4">
        <w:rPr>
          <w:rFonts w:eastAsia="Calibri"/>
        </w:rPr>
        <w:t>ill</w:t>
      </w:r>
      <w:r w:rsidR="00D22705">
        <w:rPr>
          <w:rFonts w:eastAsia="Calibri"/>
        </w:rPr>
        <w:t xml:space="preserve"> continue to exchange information and negotiate.  The Joint Complainants and I&amp;E provide</w:t>
      </w:r>
      <w:r w:rsidR="002A77B4">
        <w:rPr>
          <w:rFonts w:eastAsia="Calibri"/>
        </w:rPr>
        <w:t>d</w:t>
      </w:r>
      <w:r w:rsidR="00D22705">
        <w:rPr>
          <w:rFonts w:eastAsia="Calibri"/>
        </w:rPr>
        <w:t xml:space="preserve"> Respond Power with a second counterproposal on February 9, 2015.  Joint Complainants have timely answered the Company’s inquiries concerning the proposal.  The Joint Complainants are amenable to further settlement discussions with Respond Power and are prepared to review any counterproposal that Respond Power provides to them.</w:t>
      </w:r>
      <w:r w:rsidR="00D22705">
        <w:rPr>
          <w:vertAlign w:val="superscript"/>
        </w:rPr>
        <w:footnoteReference w:id="2"/>
      </w:r>
      <w:r w:rsidR="00D22705">
        <w:rPr>
          <w:rFonts w:eastAsia="Calibri"/>
        </w:rPr>
        <w:t xml:space="preserve">  Joint Complainants </w:t>
      </w:r>
      <w:r w:rsidR="002A77B4">
        <w:rPr>
          <w:rFonts w:eastAsia="Calibri"/>
        </w:rPr>
        <w:t>assert</w:t>
      </w:r>
      <w:r w:rsidR="00D22705">
        <w:rPr>
          <w:rFonts w:eastAsia="Calibri"/>
        </w:rPr>
        <w:t xml:space="preserve"> that the intervention of a Settlement ALJ at this juncture is unnecessary as the Joint Complainants are guided by their legal duties to represent the public and consumers.</w:t>
      </w:r>
    </w:p>
    <w:p w:rsidR="002A77B4" w:rsidRDefault="002A77B4" w:rsidP="00DC6DD9">
      <w:pPr>
        <w:ind w:firstLine="720"/>
        <w:jc w:val="both"/>
        <w:rPr>
          <w:rFonts w:eastAsia="Calibri"/>
        </w:rPr>
      </w:pPr>
    </w:p>
    <w:p w:rsidR="00D22705" w:rsidRDefault="00E853A3" w:rsidP="002A77B4">
      <w:pPr>
        <w:ind w:firstLine="720"/>
        <w:rPr>
          <w:rFonts w:eastAsia="Calibri"/>
          <w:b/>
        </w:rPr>
      </w:pPr>
      <w:r>
        <w:rPr>
          <w:rFonts w:eastAsia="Calibri"/>
        </w:rPr>
        <w:tab/>
      </w:r>
      <w:r w:rsidR="00D22705">
        <w:rPr>
          <w:rFonts w:eastAsia="Calibri"/>
        </w:rPr>
        <w:t xml:space="preserve">As for Respond Power’s interest in “avoiding </w:t>
      </w:r>
      <w:r w:rsidR="00D22705">
        <w:rPr>
          <w:color w:val="333333"/>
          <w:shd w:val="clear" w:color="auto" w:fill="FFFFFF"/>
        </w:rPr>
        <w:t>the expenditure of significant resources for preparation of administrative proceedings,”</w:t>
      </w:r>
      <w:r w:rsidR="00D22705">
        <w:rPr>
          <w:rFonts w:eastAsia="Calibri"/>
        </w:rPr>
        <w:t xml:space="preserve"> Joint Complainants </w:t>
      </w:r>
      <w:r w:rsidR="002A77B4">
        <w:rPr>
          <w:rFonts w:eastAsia="Calibri"/>
        </w:rPr>
        <w:t xml:space="preserve">claim that </w:t>
      </w:r>
      <w:r w:rsidR="00D22705">
        <w:rPr>
          <w:rFonts w:eastAsia="Calibri"/>
        </w:rPr>
        <w:t xml:space="preserve">this point has become moot since </w:t>
      </w:r>
      <w:r w:rsidR="002A77B4">
        <w:rPr>
          <w:rFonts w:eastAsia="Calibri"/>
        </w:rPr>
        <w:t>the consumer testimony h</w:t>
      </w:r>
      <w:r w:rsidR="00D22705">
        <w:rPr>
          <w:rFonts w:eastAsia="Calibri"/>
        </w:rPr>
        <w:t>earings have already occurred.</w:t>
      </w:r>
      <w:r w:rsidR="00D22705">
        <w:rPr>
          <w:rFonts w:eastAsia="Calibri"/>
          <w:b/>
        </w:rPr>
        <w:t xml:space="preserve">  </w:t>
      </w:r>
      <w:r w:rsidR="00D22705">
        <w:rPr>
          <w:rFonts w:eastAsia="Calibri"/>
        </w:rPr>
        <w:t>Additionally, Joint Complainants note that the parties have more than a month to continue to engage in settlement discussions before Joint Complainants must serve the direct testimony of their experts or other non-consumer witnesses.  Thus, Joint Complainants submit that the parties have time to direct their attention to settlement discussions should the Company provide Joint Complainants and I&amp;E with a counterproposal to the February 9</w:t>
      </w:r>
      <w:r w:rsidR="00D22705">
        <w:rPr>
          <w:rFonts w:eastAsia="Calibri"/>
          <w:vertAlign w:val="superscript"/>
        </w:rPr>
        <w:t>th</w:t>
      </w:r>
      <w:r w:rsidR="00D22705">
        <w:rPr>
          <w:rFonts w:eastAsia="Calibri"/>
        </w:rPr>
        <w:t xml:space="preserve"> proposal.</w:t>
      </w:r>
    </w:p>
    <w:p w:rsidR="00E853A3" w:rsidRDefault="00E853A3" w:rsidP="00DC6DD9">
      <w:pPr>
        <w:ind w:firstLine="720"/>
        <w:jc w:val="both"/>
        <w:rPr>
          <w:rFonts w:eastAsia="Calibri"/>
        </w:rPr>
      </w:pPr>
    </w:p>
    <w:p w:rsidR="00D22705" w:rsidRDefault="00E853A3" w:rsidP="00E853A3">
      <w:pPr>
        <w:ind w:firstLine="720"/>
        <w:rPr>
          <w:rFonts w:eastAsia="Calibri"/>
        </w:rPr>
      </w:pPr>
      <w:r>
        <w:rPr>
          <w:rFonts w:eastAsia="Calibri"/>
        </w:rPr>
        <w:tab/>
      </w:r>
      <w:r w:rsidR="00D22705">
        <w:rPr>
          <w:rFonts w:eastAsia="Calibri"/>
        </w:rPr>
        <w:t xml:space="preserve">The Joint Complainants are concerned that the assignment of a </w:t>
      </w:r>
      <w:r>
        <w:rPr>
          <w:rFonts w:eastAsia="Calibri"/>
        </w:rPr>
        <w:t xml:space="preserve">new </w:t>
      </w:r>
      <w:r w:rsidR="00D22705">
        <w:rPr>
          <w:rFonts w:eastAsia="Calibri"/>
        </w:rPr>
        <w:t xml:space="preserve">Settlement ALJ could unnecessarily delay this proceeding.  It could take time for a Settlement ALJ to </w:t>
      </w:r>
      <w:r>
        <w:rPr>
          <w:rFonts w:eastAsia="Calibri"/>
        </w:rPr>
        <w:t>become familiar</w:t>
      </w:r>
      <w:r w:rsidR="00D22705">
        <w:rPr>
          <w:rFonts w:eastAsia="Calibri"/>
        </w:rPr>
        <w:t xml:space="preserve"> with the specific issues and testimony in this proceeding, potentially delaying settlement negotiations.   </w:t>
      </w:r>
    </w:p>
    <w:p w:rsidR="00D22705" w:rsidRDefault="00D22705" w:rsidP="00DC6DD9">
      <w:pPr>
        <w:ind w:firstLine="720"/>
        <w:jc w:val="both"/>
        <w:rPr>
          <w:color w:val="333333"/>
          <w:shd w:val="clear" w:color="auto" w:fill="FFFFFF"/>
        </w:rPr>
      </w:pPr>
    </w:p>
    <w:p w:rsidR="00D22705" w:rsidRPr="00E853A3" w:rsidRDefault="002F0114" w:rsidP="00DC6DD9">
      <w:pPr>
        <w:jc w:val="both"/>
        <w:rPr>
          <w:b/>
        </w:rPr>
      </w:pPr>
      <w:r w:rsidRPr="00E853A3">
        <w:rPr>
          <w:b/>
        </w:rPr>
        <w:t>I&amp;E</w:t>
      </w:r>
    </w:p>
    <w:p w:rsidR="002F0114" w:rsidRDefault="002F0114" w:rsidP="00DC6DD9">
      <w:pPr>
        <w:jc w:val="both"/>
      </w:pPr>
      <w:r>
        <w:tab/>
        <w:t>I&amp;E does not oppose the motion.</w:t>
      </w:r>
    </w:p>
    <w:p w:rsidR="002F0114" w:rsidRPr="002F0114" w:rsidRDefault="002F0114" w:rsidP="00DC6DD9">
      <w:pPr>
        <w:jc w:val="both"/>
      </w:pPr>
    </w:p>
    <w:p w:rsidR="00D22705" w:rsidRDefault="00E853A3" w:rsidP="00DC6DD9">
      <w:pPr>
        <w:jc w:val="both"/>
        <w:rPr>
          <w:b/>
        </w:rPr>
      </w:pPr>
      <w:r>
        <w:rPr>
          <w:b/>
        </w:rPr>
        <w:t>Disposition</w:t>
      </w:r>
    </w:p>
    <w:p w:rsidR="006C15D9" w:rsidRDefault="00DE4B88" w:rsidP="00DC6DD9">
      <w:pPr>
        <w:jc w:val="both"/>
      </w:pPr>
      <w:r>
        <w:tab/>
      </w:r>
      <w:r w:rsidR="006C15D9">
        <w:t>Section 5.223(c) provides:</w:t>
      </w:r>
    </w:p>
    <w:p w:rsidR="006C15D9" w:rsidRDefault="006C15D9" w:rsidP="00CD5CC4">
      <w:pPr>
        <w:spacing w:line="240" w:lineRule="auto"/>
        <w:ind w:left="720" w:right="720"/>
      </w:pPr>
      <w:r>
        <w:t>(</w:t>
      </w:r>
      <w:proofErr w:type="gramStart"/>
      <w:r>
        <w:t>c )</w:t>
      </w:r>
      <w:proofErr w:type="gramEnd"/>
      <w:r>
        <w:t xml:space="preserve"> The presiding officer may participate in settlement discussions upon agreement of all parties.  A different presiding officer or a mediator, if appropriate, will be assigned by the Chief Administrative Law Judge to participate in settlement discussions upon the request of a party.</w:t>
      </w:r>
    </w:p>
    <w:p w:rsidR="006C15D9" w:rsidRDefault="006C15D9" w:rsidP="00CD5CC4">
      <w:pPr>
        <w:spacing w:line="240" w:lineRule="auto"/>
        <w:ind w:left="720" w:right="720"/>
      </w:pPr>
    </w:p>
    <w:p w:rsidR="006C15D9" w:rsidRDefault="00C2765E" w:rsidP="00CD5CC4">
      <w:pPr>
        <w:spacing w:line="240" w:lineRule="auto"/>
        <w:ind w:right="720"/>
      </w:pPr>
      <w:r>
        <w:t>52 Pa. Code § 5.223.</w:t>
      </w:r>
    </w:p>
    <w:p w:rsidR="00C2765E" w:rsidRPr="006C15D9" w:rsidRDefault="00C2765E" w:rsidP="006C15D9">
      <w:pPr>
        <w:spacing w:line="240" w:lineRule="auto"/>
        <w:ind w:right="720"/>
      </w:pPr>
    </w:p>
    <w:p w:rsidR="00DC6DD9" w:rsidRDefault="00DE4B88" w:rsidP="00DC6DD9">
      <w:pPr>
        <w:spacing w:line="480" w:lineRule="auto"/>
        <w:jc w:val="both"/>
        <w:rPr>
          <w:rFonts w:eastAsia="Calibri"/>
        </w:rPr>
      </w:pPr>
      <w:r>
        <w:rPr>
          <w:rFonts w:eastAsia="Calibri"/>
        </w:rPr>
        <w:tab/>
      </w:r>
      <w:r w:rsidR="00DC6DD9">
        <w:rPr>
          <w:rFonts w:eastAsia="Calibri"/>
        </w:rPr>
        <w:t>Section 5.231 provides:</w:t>
      </w:r>
    </w:p>
    <w:p w:rsidR="00DC6DD9" w:rsidRDefault="00DC6DD9" w:rsidP="00E853A3">
      <w:pPr>
        <w:spacing w:before="100" w:beforeAutospacing="1" w:after="100" w:afterAutospacing="1" w:line="240" w:lineRule="auto"/>
        <w:ind w:left="720" w:right="720"/>
        <w:contextualSpacing/>
        <w:jc w:val="both"/>
        <w:outlineLvl w:val="3"/>
        <w:rPr>
          <w:bCs/>
        </w:rPr>
      </w:pPr>
      <w:r>
        <w:rPr>
          <w:bCs/>
        </w:rPr>
        <w:t>§ 5.231. Offers of settlement.</w:t>
      </w:r>
    </w:p>
    <w:p w:rsidR="00DC6DD9" w:rsidRDefault="00DC6DD9" w:rsidP="00E853A3">
      <w:pPr>
        <w:spacing w:before="100" w:beforeAutospacing="1" w:after="100" w:afterAutospacing="1" w:line="240" w:lineRule="auto"/>
        <w:ind w:left="720" w:right="720"/>
        <w:jc w:val="both"/>
      </w:pPr>
      <w:r>
        <w:t xml:space="preserve"> (a)  It is the policy of the Commission to encourage settlements. </w:t>
      </w:r>
    </w:p>
    <w:p w:rsidR="00DC6DD9" w:rsidRDefault="00DC6DD9" w:rsidP="00E853A3">
      <w:pPr>
        <w:spacing w:before="100" w:beforeAutospacing="1" w:after="100" w:afterAutospacing="1" w:line="240" w:lineRule="auto"/>
        <w:ind w:left="720" w:right="720"/>
        <w:jc w:val="both"/>
      </w:pPr>
      <w:r>
        <w:t xml:space="preserve"> (b)  Nothing contained in this chapter or Chapter 1 or 3 (relating to rules of administrative practice and procedure; and special provisions) preclude a party in a proceeding from submitting, at any time, offers of settlement or proposals of adjustment, or from requesting conferences for that purpose. </w:t>
      </w:r>
    </w:p>
    <w:p w:rsidR="00E853A3" w:rsidRDefault="00E853A3" w:rsidP="00E853A3">
      <w:pPr>
        <w:spacing w:before="100" w:beforeAutospacing="1" w:after="100" w:afterAutospacing="1" w:line="240" w:lineRule="auto"/>
        <w:ind w:left="720" w:right="720"/>
        <w:jc w:val="both"/>
      </w:pPr>
      <w:r>
        <w:t xml:space="preserve">(c) Parties may request that the presiding officer participate in the settlement conferences or that an additional presiding officer or mediator be designated to participate in the settlement conferences. </w:t>
      </w:r>
    </w:p>
    <w:p w:rsidR="00DC6DD9" w:rsidRDefault="00DC6DD9" w:rsidP="00DC6DD9">
      <w:pPr>
        <w:spacing w:line="480" w:lineRule="auto"/>
        <w:jc w:val="both"/>
      </w:pPr>
      <w:bookmarkStart w:id="0" w:name="5.231."/>
      <w:bookmarkEnd w:id="0"/>
      <w:proofErr w:type="gramStart"/>
      <w:r>
        <w:rPr>
          <w:rFonts w:eastAsia="Calibri"/>
        </w:rPr>
        <w:t xml:space="preserve">52 Pa. Code </w:t>
      </w:r>
      <w:r>
        <w:t>§ 5.231.</w:t>
      </w:r>
      <w:proofErr w:type="gramEnd"/>
    </w:p>
    <w:p w:rsidR="002F0114" w:rsidRDefault="002F0114" w:rsidP="00CD5CC4">
      <w:pPr>
        <w:spacing w:after="0"/>
      </w:pPr>
    </w:p>
    <w:p w:rsidR="00375236" w:rsidRDefault="002F0114" w:rsidP="00375236">
      <w:pPr>
        <w:spacing w:after="0"/>
      </w:pPr>
      <w:r>
        <w:tab/>
      </w:r>
      <w:r w:rsidR="00C2765E">
        <w:t xml:space="preserve">In the instant case, </w:t>
      </w:r>
      <w:r w:rsidR="00DA3AE7">
        <w:t xml:space="preserve">there is no agreement between Respond Power and the Joint Complainants to have a presiding officer participate in settlement negotiations within the meaning of Section 5.223(c).  Further, </w:t>
      </w:r>
      <w:r w:rsidR="00DA3AE7">
        <w:rPr>
          <w:rFonts w:eastAsia="Calibri"/>
        </w:rPr>
        <w:t xml:space="preserve">Section 5.231 provides for the assignment of a settlement judge when the “parties” request it, not just a “party.”  Here, </w:t>
      </w:r>
      <w:r w:rsidR="00E853A3">
        <w:t>Joint Complainants</w:t>
      </w:r>
      <w:r>
        <w:t xml:space="preserve"> oppose the designation of a settlement judge for the reasons articulated in </w:t>
      </w:r>
      <w:r w:rsidR="00E853A3">
        <w:t>their joint</w:t>
      </w:r>
      <w:r>
        <w:t xml:space="preserve"> answer to the motion.  The regulation is not meant to enable one party to force another party to engage in the formalized settlement process permitted by the rule.  That is, </w:t>
      </w:r>
      <w:r w:rsidR="00DA3AE7">
        <w:t>opposing</w:t>
      </w:r>
      <w:r>
        <w:t xml:space="preserve"> parties must be willing to submit to the settlement or mediation process.  </w:t>
      </w:r>
      <w:r w:rsidR="00DA3AE7">
        <w:t>Although I&amp;E is unopposed to the request, the cases have been consolidated for litigation, and we find t</w:t>
      </w:r>
      <w:r w:rsidR="006C15D9">
        <w:t xml:space="preserve">his case is similar to </w:t>
      </w:r>
      <w:r w:rsidR="006C15D9">
        <w:rPr>
          <w:i/>
        </w:rPr>
        <w:t xml:space="preserve">Pa. Pub. Util. Comm’n, Bureau of Investigation and Enforcement v. Uber Technologies, Inc. </w:t>
      </w:r>
      <w:r w:rsidR="006C15D9">
        <w:t xml:space="preserve">at Docket No. C-2014-2422723, </w:t>
      </w:r>
      <w:r w:rsidR="006C15D9">
        <w:rPr>
          <w:i/>
        </w:rPr>
        <w:t xml:space="preserve">Interim Order on Motion For Scheduling of a Settlement Conference and Assignment of Settlement Judge, </w:t>
      </w:r>
      <w:r w:rsidR="006C15D9">
        <w:t xml:space="preserve">dated January 23, 2015.  In the </w:t>
      </w:r>
      <w:r w:rsidR="006C15D9">
        <w:rPr>
          <w:i/>
        </w:rPr>
        <w:t>Uber</w:t>
      </w:r>
      <w:r w:rsidR="006C15D9">
        <w:t xml:space="preserve"> case, the ALJs denied </w:t>
      </w:r>
      <w:r>
        <w:t>Uber’s request for the assignment of a settlement judge</w:t>
      </w:r>
      <w:r w:rsidR="006C15D9">
        <w:t xml:space="preserve"> because I&amp;E opposed the use of a Settlement Judge process. </w:t>
      </w:r>
      <w:r w:rsidR="00C2765E">
        <w:t xml:space="preserve"> Similarly, in the instant case, Joint Complainants oppose the designation of a settlement judge.  Accordingly, at this time, the request is denied as it is </w:t>
      </w:r>
      <w:r w:rsidR="00375236">
        <w:t>opposed</w:t>
      </w:r>
      <w:r w:rsidR="00C2765E">
        <w:t xml:space="preserve">.  In the event that </w:t>
      </w:r>
      <w:r w:rsidR="00DA3AE7">
        <w:t>all</w:t>
      </w:r>
      <w:r w:rsidR="00C2765E">
        <w:t xml:space="preserve"> parties should agree in the future that they have reached </w:t>
      </w:r>
      <w:r w:rsidR="00DA3AE7">
        <w:t>impasse</w:t>
      </w:r>
      <w:r w:rsidR="00C2765E">
        <w:t xml:space="preserve"> which could benefit from the </w:t>
      </w:r>
      <w:r w:rsidR="00375236">
        <w:t>scheduling</w:t>
      </w:r>
      <w:r w:rsidR="0028462C" w:rsidRPr="0028462C">
        <w:rPr>
          <w:color w:val="4F81BD" w:themeColor="accent1"/>
        </w:rPr>
        <w:t xml:space="preserve"> </w:t>
      </w:r>
      <w:r w:rsidR="00C2765E">
        <w:t>of a settlement conference</w:t>
      </w:r>
      <w:r w:rsidR="0028462C">
        <w:t xml:space="preserve"> </w:t>
      </w:r>
      <w:r w:rsidR="0028462C" w:rsidRPr="00375236">
        <w:t>and assignment of a settlement judge</w:t>
      </w:r>
      <w:r w:rsidR="00C2765E" w:rsidRPr="00375236">
        <w:t xml:space="preserve">, </w:t>
      </w:r>
      <w:r w:rsidR="00753EEC" w:rsidRPr="00375236">
        <w:t xml:space="preserve">the parties may </w:t>
      </w:r>
      <w:r w:rsidR="0028462C" w:rsidRPr="00375236">
        <w:t xml:space="preserve">make such a </w:t>
      </w:r>
      <w:r w:rsidR="00753EEC" w:rsidRPr="00375236">
        <w:t>request</w:t>
      </w:r>
      <w:r w:rsidR="0028462C" w:rsidRPr="00375236">
        <w:t>.</w:t>
      </w:r>
      <w:r w:rsidR="00C2765E">
        <w:tab/>
        <w:t xml:space="preserve"> </w:t>
      </w:r>
    </w:p>
    <w:p w:rsidR="00375236" w:rsidRDefault="00375236" w:rsidP="00375236">
      <w:pPr>
        <w:spacing w:after="0"/>
      </w:pPr>
    </w:p>
    <w:p w:rsidR="002F0114" w:rsidRDefault="00375236" w:rsidP="00375236">
      <w:pPr>
        <w:spacing w:after="0"/>
      </w:pPr>
      <w:r>
        <w:tab/>
      </w:r>
      <w:r w:rsidR="002F0114">
        <w:t>THEREFORE,</w:t>
      </w:r>
    </w:p>
    <w:p w:rsidR="002F0114" w:rsidRDefault="002F0114" w:rsidP="002F0114">
      <w:pPr>
        <w:spacing w:after="0"/>
      </w:pPr>
    </w:p>
    <w:p w:rsidR="002F0114" w:rsidRDefault="002F0114" w:rsidP="002F0114">
      <w:pPr>
        <w:spacing w:after="0"/>
      </w:pPr>
      <w:r>
        <w:tab/>
        <w:t>IT IS ORDERED:</w:t>
      </w:r>
    </w:p>
    <w:p w:rsidR="002F0114" w:rsidRDefault="002F0114" w:rsidP="002F0114">
      <w:pPr>
        <w:spacing w:after="0"/>
      </w:pPr>
    </w:p>
    <w:p w:rsidR="002F0114" w:rsidRPr="002F0114" w:rsidRDefault="002F0114" w:rsidP="00DA3AE7">
      <w:pPr>
        <w:pStyle w:val="ListParagraph"/>
        <w:rPr>
          <w:color w:val="333333"/>
          <w:shd w:val="clear" w:color="auto" w:fill="FFFFFF"/>
        </w:rPr>
      </w:pPr>
      <w:r w:rsidRPr="002F0114">
        <w:t>T</w:t>
      </w:r>
      <w:r w:rsidR="00D22705" w:rsidRPr="002F0114">
        <w:t>hat Respond Power</w:t>
      </w:r>
      <w:r w:rsidRPr="002F0114">
        <w:t>, LLC</w:t>
      </w:r>
      <w:r w:rsidR="00D22705" w:rsidRPr="002F0114">
        <w:t xml:space="preserve">’s Motion for Scheduling of Settlement Conference and Assignment of Settlement Judge </w:t>
      </w:r>
      <w:r w:rsidRPr="002F0114">
        <w:t>dated December 30, 2014, and renewed by letter request dated March 27, 2015, is</w:t>
      </w:r>
      <w:r w:rsidR="00D22705" w:rsidRPr="002F0114">
        <w:t xml:space="preserve"> denied</w:t>
      </w:r>
      <w:r w:rsidR="0026352F">
        <w:t xml:space="preserve"> without prejudice</w:t>
      </w:r>
      <w:r w:rsidR="00D22705" w:rsidRPr="002F0114">
        <w:t>.</w:t>
      </w:r>
    </w:p>
    <w:p w:rsidR="002F0114" w:rsidRPr="00DA3AE7" w:rsidRDefault="002F0114" w:rsidP="00DA3AE7">
      <w:pPr>
        <w:ind w:left="720"/>
        <w:rPr>
          <w:shd w:val="clear" w:color="auto" w:fill="FFFFFF"/>
        </w:rPr>
      </w:pPr>
    </w:p>
    <w:p w:rsidR="002F0114" w:rsidRPr="002F0114" w:rsidRDefault="002F0114" w:rsidP="00DA3AE7">
      <w:pPr>
        <w:pStyle w:val="ListParagraph"/>
        <w:rPr>
          <w:shd w:val="clear" w:color="auto" w:fill="FFFFFF"/>
        </w:rPr>
      </w:pPr>
      <w:r w:rsidRPr="002F0114">
        <w:rPr>
          <w:shd w:val="clear" w:color="auto" w:fill="FFFFFF"/>
        </w:rPr>
        <w:t xml:space="preserve">That the parties are not precluded from requesting a Settlement Conference and Appointment of Settlement Judge at a future date if they are </w:t>
      </w:r>
      <w:r w:rsidR="00DA3AE7">
        <w:rPr>
          <w:shd w:val="clear" w:color="auto" w:fill="FFFFFF"/>
        </w:rPr>
        <w:t xml:space="preserve">all </w:t>
      </w:r>
      <w:r w:rsidRPr="002F0114">
        <w:rPr>
          <w:shd w:val="clear" w:color="auto" w:fill="FFFFFF"/>
        </w:rPr>
        <w:t xml:space="preserve">in agreement with the request. </w:t>
      </w:r>
    </w:p>
    <w:p w:rsidR="005357BF" w:rsidRPr="002F0114" w:rsidRDefault="005357BF" w:rsidP="00DC6DD9">
      <w:pPr>
        <w:jc w:val="both"/>
        <w:rPr>
          <w:szCs w:val="24"/>
          <w:shd w:val="clear" w:color="auto" w:fill="FFFFFF"/>
        </w:rPr>
      </w:pPr>
    </w:p>
    <w:p w:rsidR="00B900E5" w:rsidRPr="002F0114" w:rsidRDefault="00B900E5" w:rsidP="00DC6DD9">
      <w:pPr>
        <w:spacing w:after="0"/>
      </w:pPr>
    </w:p>
    <w:p w:rsidR="00985788" w:rsidRDefault="00985788" w:rsidP="00E22051">
      <w:pPr>
        <w:tabs>
          <w:tab w:val="clear" w:pos="1440"/>
        </w:tabs>
        <w:spacing w:after="0" w:line="240" w:lineRule="auto"/>
        <w:ind w:left="5040" w:firstLine="720"/>
        <w:rPr>
          <w:rFonts w:eastAsia="SimSun"/>
        </w:rPr>
      </w:pPr>
      <w:r w:rsidRPr="00985788">
        <w:rPr>
          <w:rFonts w:eastAsia="SimSun"/>
        </w:rPr>
        <w:t>______________________________</w:t>
      </w:r>
      <w:r w:rsidRPr="00985788">
        <w:rPr>
          <w:rFonts w:eastAsia="SimSun"/>
        </w:rPr>
        <w:tab/>
      </w:r>
      <w:r w:rsidR="002F0114">
        <w:rPr>
          <w:rFonts w:eastAsia="SimSun"/>
        </w:rPr>
        <w:t>Elizabeth H. Barnes</w:t>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E22051" w:rsidRPr="00985788" w:rsidRDefault="00E22051" w:rsidP="00E22051">
      <w:pPr>
        <w:tabs>
          <w:tab w:val="clear" w:pos="1440"/>
        </w:tabs>
        <w:spacing w:after="0" w:line="240" w:lineRule="auto"/>
        <w:ind w:left="5040" w:firstLine="720"/>
        <w:rPr>
          <w:rFonts w:eastAsia="SimSun"/>
        </w:rPr>
      </w:pPr>
    </w:p>
    <w:p w:rsidR="00985788" w:rsidRPr="00985788" w:rsidRDefault="00985788" w:rsidP="00E22051">
      <w:pPr>
        <w:tabs>
          <w:tab w:val="clear" w:pos="1440"/>
        </w:tabs>
        <w:spacing w:after="0" w:line="240" w:lineRule="auto"/>
        <w:rPr>
          <w:rFonts w:eastAsia="SimSun"/>
        </w:rPr>
      </w:pPr>
    </w:p>
    <w:p w:rsidR="00985788" w:rsidRPr="00985788" w:rsidRDefault="00985788" w:rsidP="00E22051">
      <w:pPr>
        <w:tabs>
          <w:tab w:val="clear" w:pos="1440"/>
        </w:tabs>
        <w:spacing w:after="0" w:line="240" w:lineRule="auto"/>
        <w:rPr>
          <w:rFonts w:eastAsia="SimSun"/>
        </w:rPr>
      </w:pPr>
    </w:p>
    <w:p w:rsidR="00985788" w:rsidRDefault="00985788" w:rsidP="00E22051">
      <w:pPr>
        <w:tabs>
          <w:tab w:val="clear" w:pos="1440"/>
        </w:tabs>
        <w:spacing w:after="0" w:line="240" w:lineRule="auto"/>
        <w:rPr>
          <w:rFonts w:eastAsia="SimSun"/>
        </w:rPr>
      </w:pPr>
      <w:r w:rsidRPr="00985788">
        <w:rPr>
          <w:rFonts w:eastAsia="SimSun"/>
        </w:rPr>
        <w:t xml:space="preserve">Date:  </w:t>
      </w:r>
      <w:r w:rsidR="002F0114">
        <w:rPr>
          <w:rFonts w:eastAsia="SimSun"/>
          <w:u w:val="single"/>
        </w:rPr>
        <w:t xml:space="preserve">April </w:t>
      </w:r>
      <w:r w:rsidR="00B847D2">
        <w:rPr>
          <w:rFonts w:eastAsia="SimSun"/>
          <w:u w:val="single"/>
        </w:rPr>
        <w:t>1</w:t>
      </w:r>
      <w:r w:rsidR="00375236">
        <w:rPr>
          <w:rFonts w:eastAsia="SimSun"/>
          <w:u w:val="single"/>
        </w:rPr>
        <w:t>4</w:t>
      </w:r>
      <w:r w:rsidR="002F0114">
        <w:rPr>
          <w:rFonts w:eastAsia="SimSun"/>
          <w:u w:val="single"/>
        </w:rPr>
        <w:t>, 2015</w:t>
      </w:r>
      <w:r w:rsidR="002F0114">
        <w:rPr>
          <w:rFonts w:eastAsia="SimSun"/>
          <w:u w:val="single"/>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______________________________</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002F0114">
        <w:rPr>
          <w:rFonts w:eastAsia="SimSun"/>
        </w:rPr>
        <w:t>Joel H. Cheskis</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FB6C38" w:rsidRDefault="00FB6C38" w:rsidP="00E22051">
      <w:pPr>
        <w:tabs>
          <w:tab w:val="clear" w:pos="1440"/>
        </w:tabs>
        <w:spacing w:after="0" w:line="240" w:lineRule="auto"/>
        <w:rPr>
          <w:rFonts w:eastAsia="SimSun"/>
        </w:rPr>
        <w:sectPr w:rsidR="00FB6C38" w:rsidSect="002A2025">
          <w:footerReference w:type="default" r:id="rId8"/>
          <w:pgSz w:w="12240" w:h="15840"/>
          <w:pgMar w:top="1440" w:right="1440" w:bottom="1440" w:left="1440" w:header="720" w:footer="720" w:gutter="0"/>
          <w:cols w:space="720"/>
          <w:titlePg/>
          <w:docGrid w:linePitch="360"/>
        </w:sectPr>
      </w:pPr>
    </w:p>
    <w:p w:rsidR="00FB6C38" w:rsidRPr="00483E47" w:rsidRDefault="00FB6C38" w:rsidP="00FB6C38">
      <w:pPr>
        <w:spacing w:after="0" w:line="240" w:lineRule="auto"/>
        <w:rPr>
          <w:rFonts w:ascii="Microsoft Sans Serif" w:hAnsi="Microsoft Sans Serif" w:cs="Microsoft Sans Serif"/>
          <w:b/>
          <w:szCs w:val="24"/>
          <w:u w:val="single"/>
        </w:rPr>
      </w:pPr>
      <w:r w:rsidRPr="00483E47">
        <w:rPr>
          <w:rFonts w:ascii="Microsoft Sans Serif" w:hAnsi="Microsoft Sans Serif" w:cs="Microsoft Sans Serif"/>
          <w:b/>
          <w:szCs w:val="24"/>
          <w:u w:val="single"/>
        </w:rPr>
        <w:t>C-2014-242765</w:t>
      </w:r>
      <w:r>
        <w:rPr>
          <w:rFonts w:ascii="Microsoft Sans Serif" w:hAnsi="Microsoft Sans Serif" w:cs="Microsoft Sans Serif"/>
          <w:b/>
          <w:szCs w:val="24"/>
          <w:u w:val="single"/>
        </w:rPr>
        <w:t>9</w:t>
      </w:r>
      <w:r w:rsidRPr="00483E47">
        <w:rPr>
          <w:rFonts w:ascii="Microsoft Sans Serif" w:hAnsi="Microsoft Sans Serif" w:cs="Microsoft Sans Serif"/>
          <w:b/>
          <w:szCs w:val="24"/>
          <w:u w:val="single"/>
        </w:rPr>
        <w:t xml:space="preserve"> - ATTORNEY GENERAL PA &amp; OFFICE OF CONSUMER ADVOCATE v. </w:t>
      </w:r>
      <w:r>
        <w:rPr>
          <w:rFonts w:ascii="Microsoft Sans Serif" w:hAnsi="Microsoft Sans Serif" w:cs="Microsoft Sans Serif"/>
          <w:b/>
          <w:szCs w:val="24"/>
          <w:u w:val="single"/>
        </w:rPr>
        <w:t>RESPOND POWER LLC</w:t>
      </w:r>
      <w:r w:rsidRPr="00483E47">
        <w:rPr>
          <w:rFonts w:ascii="Microsoft Sans Serif" w:hAnsi="Microsoft Sans Serif" w:cs="Microsoft Sans Serif"/>
          <w:b/>
          <w:szCs w:val="24"/>
          <w:u w:val="single"/>
        </w:rPr>
        <w:cr/>
      </w:r>
    </w:p>
    <w:p w:rsidR="00FB6C38" w:rsidRPr="00E91C8E" w:rsidRDefault="00FB6C38" w:rsidP="00FB6C38">
      <w:pPr>
        <w:spacing w:after="0" w:line="240" w:lineRule="auto"/>
        <w:rPr>
          <w:rFonts w:ascii="Microsoft Sans Serif" w:hAnsi="Microsoft Sans Serif" w:cs="Microsoft Sans Serif"/>
          <w:b/>
          <w:i/>
          <w:szCs w:val="24"/>
          <w:u w:val="single"/>
        </w:rPr>
      </w:pPr>
      <w:r>
        <w:rPr>
          <w:rFonts w:ascii="Microsoft Sans Serif" w:hAnsi="Microsoft Sans Serif" w:cs="Microsoft Sans Serif"/>
          <w:b/>
          <w:i/>
          <w:szCs w:val="24"/>
          <w:u w:val="single"/>
        </w:rPr>
        <w:t>REVISED 2/17/15</w:t>
      </w:r>
    </w:p>
    <w:p w:rsidR="00FB6C38" w:rsidRPr="00483E47" w:rsidRDefault="00FB6C38" w:rsidP="00FB6C38">
      <w:pPr>
        <w:spacing w:after="0" w:line="240" w:lineRule="auto"/>
        <w:rPr>
          <w:rFonts w:ascii="Microsoft Sans Serif" w:hAnsi="Microsoft Sans Serif" w:cs="Microsoft Sans Serif"/>
          <w:szCs w:val="24"/>
        </w:rPr>
      </w:pPr>
      <w:r w:rsidRPr="00483E47">
        <w:rPr>
          <w:rFonts w:ascii="Microsoft Sans Serif" w:hAnsi="Microsoft Sans Serif" w:cs="Microsoft Sans Serif"/>
          <w:b/>
          <w:szCs w:val="24"/>
          <w:u w:val="single"/>
        </w:rPr>
        <w:cr/>
      </w:r>
      <w:r w:rsidRPr="00483E47">
        <w:rPr>
          <w:rFonts w:ascii="Microsoft Sans Serif" w:hAnsi="Microsoft Sans Serif" w:cs="Microsoft Sans Serif"/>
          <w:szCs w:val="24"/>
        </w:rPr>
        <w:t>JOHN M ABEL ESQUIRE</w:t>
      </w:r>
      <w:r w:rsidRPr="00483E47">
        <w:rPr>
          <w:rFonts w:ascii="Microsoft Sans Serif" w:hAnsi="Microsoft Sans Serif" w:cs="Microsoft Sans Serif"/>
          <w:szCs w:val="24"/>
        </w:rPr>
        <w:cr/>
      </w:r>
      <w:r>
        <w:rPr>
          <w:rFonts w:ascii="Microsoft Sans Serif" w:hAnsi="Microsoft Sans Serif" w:cs="Microsoft Sans Serif"/>
          <w:szCs w:val="24"/>
        </w:rPr>
        <w:t>NICOLE R BECK</w:t>
      </w:r>
      <w:r w:rsidRPr="00483E47">
        <w:rPr>
          <w:rFonts w:ascii="Microsoft Sans Serif" w:hAnsi="Microsoft Sans Serif" w:cs="Microsoft Sans Serif"/>
          <w:szCs w:val="24"/>
        </w:rPr>
        <w:t xml:space="preserve"> ESQUIRE</w:t>
      </w:r>
    </w:p>
    <w:p w:rsidR="00FB6C38" w:rsidRDefault="00FB6C38" w:rsidP="00FB6C38">
      <w:pPr>
        <w:spacing w:after="0" w:line="240" w:lineRule="auto"/>
        <w:rPr>
          <w:rFonts w:ascii="Microsoft Sans Serif" w:hAnsi="Microsoft Sans Serif" w:cs="Microsoft Sans Serif"/>
          <w:szCs w:val="24"/>
        </w:rPr>
      </w:pPr>
      <w:r w:rsidRPr="00483E47">
        <w:rPr>
          <w:rFonts w:ascii="Microsoft Sans Serif" w:hAnsi="Microsoft Sans Serif" w:cs="Microsoft Sans Serif"/>
          <w:szCs w:val="24"/>
        </w:rPr>
        <w:t>PA OFFICE OF ATTORNEY GENERAL</w:t>
      </w:r>
      <w:r w:rsidRPr="00483E47">
        <w:rPr>
          <w:rFonts w:ascii="Microsoft Sans Serif" w:hAnsi="Microsoft Sans Serif" w:cs="Microsoft Sans Serif"/>
          <w:szCs w:val="24"/>
        </w:rPr>
        <w:cr/>
        <w:t>BUREAU OF CONSUMER PROTECTION</w:t>
      </w:r>
      <w:r w:rsidRPr="00483E47">
        <w:rPr>
          <w:rFonts w:ascii="Microsoft Sans Serif" w:hAnsi="Microsoft Sans Serif" w:cs="Microsoft Sans Serif"/>
          <w:szCs w:val="24"/>
        </w:rPr>
        <w:cr/>
        <w:t>15</w:t>
      </w:r>
      <w:r w:rsidRPr="00483E47">
        <w:rPr>
          <w:rFonts w:ascii="Microsoft Sans Serif" w:hAnsi="Microsoft Sans Serif" w:cs="Microsoft Sans Serif"/>
          <w:szCs w:val="24"/>
          <w:vertAlign w:val="superscript"/>
        </w:rPr>
        <w:t>TH</w:t>
      </w:r>
      <w:r w:rsidRPr="00483E47">
        <w:rPr>
          <w:rFonts w:ascii="Microsoft Sans Serif" w:hAnsi="Microsoft Sans Serif" w:cs="Microsoft Sans Serif"/>
          <w:szCs w:val="24"/>
        </w:rPr>
        <w:t xml:space="preserve"> FL STRAWBERRY SQUARE</w:t>
      </w:r>
      <w:r w:rsidRPr="00483E47">
        <w:rPr>
          <w:rFonts w:ascii="Microsoft Sans Serif" w:hAnsi="Microsoft Sans Serif" w:cs="Microsoft Sans Serif"/>
          <w:szCs w:val="24"/>
        </w:rPr>
        <w:cr/>
        <w:t>HARRISBURG PA  17120</w:t>
      </w:r>
      <w:r w:rsidRPr="00483E47">
        <w:rPr>
          <w:rFonts w:ascii="Microsoft Sans Serif" w:hAnsi="Microsoft Sans Serif" w:cs="Microsoft Sans Serif"/>
          <w:szCs w:val="24"/>
        </w:rPr>
        <w:cr/>
      </w:r>
      <w:r w:rsidRPr="00483E47">
        <w:rPr>
          <w:rFonts w:ascii="Microsoft Sans Serif" w:hAnsi="Microsoft Sans Serif" w:cs="Microsoft Sans Serif"/>
          <w:szCs w:val="24"/>
        </w:rPr>
        <w:cr/>
        <w:t xml:space="preserve">CANDIS A TUNILO </w:t>
      </w:r>
      <w:r>
        <w:rPr>
          <w:rFonts w:ascii="Microsoft Sans Serif" w:hAnsi="Microsoft Sans Serif" w:cs="Microsoft Sans Serif"/>
          <w:szCs w:val="24"/>
        </w:rPr>
        <w:t>ESQUIRE</w:t>
      </w:r>
      <w:r>
        <w:rPr>
          <w:rFonts w:ascii="Microsoft Sans Serif" w:hAnsi="Microsoft Sans Serif" w:cs="Microsoft Sans Serif"/>
          <w:szCs w:val="24"/>
        </w:rPr>
        <w:cr/>
        <w:t>**CHRISTY APPLEBY ESQUIRE*</w:t>
      </w:r>
    </w:p>
    <w:p w:rsidR="00FB6C38" w:rsidRPr="00483E47" w:rsidRDefault="00FB6C38" w:rsidP="00FB6C38">
      <w:pPr>
        <w:spacing w:after="0" w:line="240" w:lineRule="auto"/>
        <w:rPr>
          <w:rFonts w:ascii="Microsoft Sans Serif" w:hAnsi="Microsoft Sans Serif" w:cs="Microsoft Sans Serif"/>
          <w:szCs w:val="24"/>
        </w:rPr>
      </w:pPr>
      <w:r w:rsidRPr="00483E47">
        <w:rPr>
          <w:rFonts w:ascii="Microsoft Sans Serif" w:hAnsi="Microsoft Sans Serif" w:cs="Microsoft Sans Serif"/>
          <w:szCs w:val="24"/>
        </w:rPr>
        <w:t>KRISTINE E ROBINSON ESQUIRE</w:t>
      </w:r>
    </w:p>
    <w:p w:rsidR="00FB6C38" w:rsidRPr="00E91C8E" w:rsidRDefault="00FB6C38" w:rsidP="00FB6C38">
      <w:pPr>
        <w:spacing w:after="0" w:line="240" w:lineRule="auto"/>
        <w:rPr>
          <w:rFonts w:ascii="Microsoft Sans Serif" w:hAnsi="Microsoft Sans Serif" w:cs="Microsoft Sans Serif"/>
          <w:b/>
          <w:i/>
          <w:szCs w:val="24"/>
          <w:u w:val="single"/>
        </w:rPr>
      </w:pPr>
      <w:r w:rsidRPr="00483E47">
        <w:rPr>
          <w:rFonts w:ascii="Microsoft Sans Serif" w:hAnsi="Microsoft Sans Serif" w:cs="Microsoft Sans Serif"/>
          <w:szCs w:val="24"/>
        </w:rPr>
        <w:t>OFFICE OF CONSUMER ADVOCATE</w:t>
      </w:r>
      <w:r w:rsidRPr="00483E47">
        <w:rPr>
          <w:rFonts w:ascii="Microsoft Sans Serif" w:hAnsi="Microsoft Sans Serif" w:cs="Microsoft Sans Serif"/>
          <w:szCs w:val="24"/>
        </w:rPr>
        <w:cr/>
        <w:t>5</w:t>
      </w:r>
      <w:r w:rsidRPr="00483E47">
        <w:rPr>
          <w:rFonts w:ascii="Microsoft Sans Serif" w:hAnsi="Microsoft Sans Serif" w:cs="Microsoft Sans Serif"/>
          <w:szCs w:val="24"/>
          <w:vertAlign w:val="superscript"/>
        </w:rPr>
        <w:t>TH</w:t>
      </w:r>
      <w:r w:rsidRPr="00483E47">
        <w:rPr>
          <w:rFonts w:ascii="Microsoft Sans Serif" w:hAnsi="Microsoft Sans Serif" w:cs="Microsoft Sans Serif"/>
          <w:szCs w:val="24"/>
        </w:rPr>
        <w:t xml:space="preserve"> FLOOR FORUM PLACE</w:t>
      </w:r>
      <w:r w:rsidRPr="00483E47">
        <w:rPr>
          <w:rFonts w:ascii="Microsoft Sans Serif" w:hAnsi="Microsoft Sans Serif" w:cs="Microsoft Sans Serif"/>
          <w:szCs w:val="24"/>
        </w:rPr>
        <w:cr/>
      </w:r>
      <w:bookmarkStart w:id="1" w:name="_GoBack"/>
      <w:bookmarkEnd w:id="1"/>
      <w:r w:rsidRPr="00483E47">
        <w:rPr>
          <w:rFonts w:ascii="Microsoft Sans Serif" w:hAnsi="Microsoft Sans Serif" w:cs="Microsoft Sans Serif"/>
          <w:szCs w:val="24"/>
        </w:rPr>
        <w:t>555 WALNUT STREET</w:t>
      </w:r>
      <w:r w:rsidRPr="00483E47">
        <w:rPr>
          <w:rFonts w:ascii="Microsoft Sans Serif" w:hAnsi="Microsoft Sans Serif" w:cs="Microsoft Sans Serif"/>
          <w:szCs w:val="24"/>
        </w:rPr>
        <w:cr/>
        <w:t>HARRISBURG PA  17101-1923</w:t>
      </w:r>
      <w:r w:rsidRPr="00483E47">
        <w:rPr>
          <w:rFonts w:ascii="Microsoft Sans Serif" w:hAnsi="Microsoft Sans Serif" w:cs="Microsoft Sans Serif"/>
          <w:szCs w:val="24"/>
        </w:rPr>
        <w:cr/>
      </w:r>
      <w:r w:rsidRPr="00BB0DFF">
        <w:rPr>
          <w:rFonts w:ascii="Microsoft Sans Serif" w:hAnsi="Microsoft Sans Serif" w:cs="Microsoft Sans Serif"/>
          <w:szCs w:val="24"/>
          <w:u w:val="single"/>
        </w:rPr>
        <w:t>**</w:t>
      </w:r>
      <w:r w:rsidRPr="00E91C8E">
        <w:rPr>
          <w:rFonts w:ascii="Microsoft Sans Serif" w:hAnsi="Microsoft Sans Serif" w:cs="Microsoft Sans Serif"/>
          <w:b/>
          <w:i/>
          <w:szCs w:val="24"/>
          <w:u w:val="single"/>
        </w:rPr>
        <w:t>Accepts eService</w:t>
      </w:r>
    </w:p>
    <w:p w:rsidR="00FB6C38" w:rsidRDefault="00FB6C38" w:rsidP="00FB6C38">
      <w:pPr>
        <w:spacing w:after="0" w:line="240" w:lineRule="auto"/>
        <w:rPr>
          <w:rFonts w:ascii="Microsoft Sans Serif" w:hAnsi="Microsoft Sans Serif" w:cs="Microsoft Sans Serif"/>
          <w:b/>
          <w:i/>
          <w:szCs w:val="24"/>
          <w:u w:val="single"/>
        </w:rPr>
      </w:pPr>
      <w:r w:rsidRPr="00483E47">
        <w:rPr>
          <w:rFonts w:ascii="Microsoft Sans Serif" w:hAnsi="Microsoft Sans Serif" w:cs="Microsoft Sans Serif"/>
          <w:szCs w:val="24"/>
        </w:rPr>
        <w:cr/>
        <w:t>SHARON WEBB ESQUIRE</w:t>
      </w:r>
      <w:r w:rsidRPr="00483E47">
        <w:rPr>
          <w:rFonts w:ascii="Microsoft Sans Serif" w:hAnsi="Microsoft Sans Serif" w:cs="Microsoft Sans Serif"/>
          <w:szCs w:val="24"/>
        </w:rPr>
        <w:cr/>
        <w:t xml:space="preserve">OFFICE OF </w:t>
      </w:r>
      <w:r>
        <w:rPr>
          <w:rFonts w:ascii="Microsoft Sans Serif" w:hAnsi="Microsoft Sans Serif" w:cs="Microsoft Sans Serif"/>
          <w:szCs w:val="24"/>
        </w:rPr>
        <w:t>SMALL BUSINESS ADVOCATE</w:t>
      </w:r>
      <w:r>
        <w:rPr>
          <w:rFonts w:ascii="Microsoft Sans Serif" w:hAnsi="Microsoft Sans Serif" w:cs="Microsoft Sans Serif"/>
          <w:szCs w:val="24"/>
        </w:rPr>
        <w:cr/>
        <w:t>SUITE 2</w:t>
      </w:r>
      <w:r w:rsidRPr="00483E47">
        <w:rPr>
          <w:rFonts w:ascii="Microsoft Sans Serif" w:hAnsi="Microsoft Sans Serif" w:cs="Microsoft Sans Serif"/>
          <w:szCs w:val="24"/>
        </w:rPr>
        <w:t>02</w:t>
      </w:r>
      <w:r w:rsidRPr="00483E47">
        <w:rPr>
          <w:rFonts w:ascii="Microsoft Sans Serif" w:hAnsi="Microsoft Sans Serif" w:cs="Microsoft Sans Serif"/>
          <w:szCs w:val="24"/>
        </w:rPr>
        <w:cr/>
        <w:t xml:space="preserve">300 NORTH SECOND </w:t>
      </w:r>
      <w:proofErr w:type="gramStart"/>
      <w:r w:rsidRPr="00483E47">
        <w:rPr>
          <w:rFonts w:ascii="Microsoft Sans Serif" w:hAnsi="Microsoft Sans Serif" w:cs="Microsoft Sans Serif"/>
          <w:szCs w:val="24"/>
        </w:rPr>
        <w:t>STREET</w:t>
      </w:r>
      <w:proofErr w:type="gramEnd"/>
      <w:r w:rsidRPr="00483E47">
        <w:rPr>
          <w:rFonts w:ascii="Microsoft Sans Serif" w:hAnsi="Microsoft Sans Serif" w:cs="Microsoft Sans Serif"/>
          <w:szCs w:val="24"/>
        </w:rPr>
        <w:cr/>
      </w:r>
      <w:r w:rsidRPr="00E91C8E">
        <w:rPr>
          <w:rFonts w:ascii="Microsoft Sans Serif" w:hAnsi="Microsoft Sans Serif" w:cs="Microsoft Sans Serif"/>
          <w:szCs w:val="24"/>
        </w:rPr>
        <w:t>HARRISBURG PA  17101</w:t>
      </w:r>
      <w:r w:rsidRPr="00E91C8E">
        <w:rPr>
          <w:rFonts w:ascii="Microsoft Sans Serif" w:hAnsi="Microsoft Sans Serif" w:cs="Microsoft Sans Serif"/>
          <w:szCs w:val="24"/>
        </w:rPr>
        <w:cr/>
      </w:r>
      <w:r w:rsidRPr="00E91C8E">
        <w:rPr>
          <w:rFonts w:ascii="Microsoft Sans Serif" w:hAnsi="Microsoft Sans Serif" w:cs="Microsoft Sans Serif"/>
          <w:b/>
          <w:i/>
          <w:szCs w:val="24"/>
          <w:u w:val="single"/>
        </w:rPr>
        <w:t>Accepts eService</w:t>
      </w:r>
    </w:p>
    <w:p w:rsidR="00FB6C38" w:rsidRPr="00E91C8E" w:rsidRDefault="00FB6C38" w:rsidP="00FB6C38">
      <w:pPr>
        <w:spacing w:after="0" w:line="240" w:lineRule="auto"/>
        <w:rPr>
          <w:rFonts w:ascii="Microsoft Sans Serif" w:hAnsi="Microsoft Sans Serif" w:cs="Microsoft Sans Serif"/>
          <w:szCs w:val="24"/>
        </w:rPr>
      </w:pPr>
    </w:p>
    <w:p w:rsidR="00FB6C38" w:rsidRDefault="00FB6C38" w:rsidP="00FB6C38">
      <w:pPr>
        <w:spacing w:after="0" w:line="240" w:lineRule="auto"/>
        <w:rPr>
          <w:rFonts w:ascii="Microsoft Sans Serif" w:hAnsi="Microsoft Sans Serif" w:cs="Microsoft Sans Serif"/>
          <w:szCs w:val="24"/>
        </w:rPr>
      </w:pPr>
      <w:r>
        <w:rPr>
          <w:rFonts w:ascii="Microsoft Sans Serif" w:hAnsi="Microsoft Sans Serif" w:cs="Microsoft Sans Serif"/>
          <w:szCs w:val="24"/>
        </w:rPr>
        <w:t>ADAM YOUNG</w:t>
      </w:r>
      <w:r w:rsidRPr="00E91C8E">
        <w:rPr>
          <w:rFonts w:ascii="Microsoft Sans Serif" w:hAnsi="Microsoft Sans Serif" w:cs="Microsoft Sans Serif"/>
          <w:szCs w:val="24"/>
        </w:rPr>
        <w:t xml:space="preserve"> ESQUIRE</w:t>
      </w:r>
    </w:p>
    <w:p w:rsidR="00FB6C38" w:rsidRDefault="00FB6C38" w:rsidP="00FB6C38">
      <w:pPr>
        <w:spacing w:after="0" w:line="240" w:lineRule="auto"/>
        <w:rPr>
          <w:rFonts w:ascii="Microsoft Sans Serif" w:hAnsi="Microsoft Sans Serif" w:cs="Microsoft Sans Serif"/>
          <w:szCs w:val="24"/>
        </w:rPr>
      </w:pPr>
      <w:r>
        <w:rPr>
          <w:rFonts w:ascii="Microsoft Sans Serif" w:hAnsi="Microsoft Sans Serif" w:cs="Microsoft Sans Serif"/>
          <w:szCs w:val="24"/>
        </w:rPr>
        <w:t>MICHAEL L SWINDLER ESQUIRE</w:t>
      </w:r>
    </w:p>
    <w:p w:rsidR="00FB6C38" w:rsidRPr="00E91C8E" w:rsidRDefault="00FB6C38" w:rsidP="00FB6C38">
      <w:pPr>
        <w:spacing w:after="0" w:line="240" w:lineRule="auto"/>
        <w:rPr>
          <w:rFonts w:ascii="Microsoft Sans Serif" w:hAnsi="Microsoft Sans Serif" w:cs="Microsoft Sans Serif"/>
          <w:szCs w:val="24"/>
        </w:rPr>
      </w:pPr>
      <w:r>
        <w:rPr>
          <w:rFonts w:ascii="Microsoft Sans Serif" w:hAnsi="Microsoft Sans Serif" w:cs="Microsoft Sans Serif"/>
          <w:szCs w:val="24"/>
        </w:rPr>
        <w:t>WAYNE T SCOTT ESQUIRE</w:t>
      </w:r>
    </w:p>
    <w:p w:rsidR="00FB6C38" w:rsidRPr="00E91C8E" w:rsidRDefault="00FB6C38" w:rsidP="00FB6C38">
      <w:pPr>
        <w:spacing w:after="0" w:line="240" w:lineRule="auto"/>
        <w:rPr>
          <w:rFonts w:ascii="Microsoft Sans Serif" w:hAnsi="Microsoft Sans Serif" w:cs="Microsoft Sans Serif"/>
          <w:szCs w:val="24"/>
        </w:rPr>
      </w:pPr>
      <w:r w:rsidRPr="00E91C8E">
        <w:rPr>
          <w:rFonts w:ascii="Microsoft Sans Serif" w:hAnsi="Microsoft Sans Serif" w:cs="Microsoft Sans Serif"/>
          <w:szCs w:val="24"/>
        </w:rPr>
        <w:t xml:space="preserve">PA PUC </w:t>
      </w:r>
      <w:r>
        <w:rPr>
          <w:rFonts w:ascii="Microsoft Sans Serif" w:hAnsi="Microsoft Sans Serif" w:cs="Microsoft Sans Serif"/>
          <w:szCs w:val="24"/>
        </w:rPr>
        <w:t>I&amp;E</w:t>
      </w:r>
    </w:p>
    <w:p w:rsidR="00FB6C38" w:rsidRPr="00E91C8E" w:rsidRDefault="00FB6C38" w:rsidP="00FB6C38">
      <w:pPr>
        <w:spacing w:after="0" w:line="240" w:lineRule="auto"/>
        <w:rPr>
          <w:rFonts w:ascii="Microsoft Sans Serif" w:hAnsi="Microsoft Sans Serif" w:cs="Microsoft Sans Serif"/>
          <w:szCs w:val="24"/>
        </w:rPr>
      </w:pPr>
      <w:r w:rsidRPr="00E91C8E">
        <w:rPr>
          <w:rFonts w:ascii="Microsoft Sans Serif" w:hAnsi="Microsoft Sans Serif" w:cs="Microsoft Sans Serif"/>
          <w:szCs w:val="24"/>
        </w:rPr>
        <w:t>PO BOX 3265</w:t>
      </w:r>
    </w:p>
    <w:p w:rsidR="00FB6C38" w:rsidRPr="00E91C8E" w:rsidRDefault="00FB6C38" w:rsidP="00FB6C38">
      <w:pPr>
        <w:spacing w:after="0" w:line="240" w:lineRule="auto"/>
        <w:rPr>
          <w:rFonts w:ascii="Microsoft Sans Serif" w:hAnsi="Microsoft Sans Serif" w:cs="Microsoft Sans Serif"/>
          <w:szCs w:val="24"/>
        </w:rPr>
      </w:pPr>
      <w:r w:rsidRPr="00E91C8E">
        <w:rPr>
          <w:rFonts w:ascii="Microsoft Sans Serif" w:hAnsi="Microsoft Sans Serif" w:cs="Microsoft Sans Serif"/>
          <w:szCs w:val="24"/>
        </w:rPr>
        <w:t>HARRISBURG PA  17105-3265</w:t>
      </w:r>
    </w:p>
    <w:p w:rsidR="00FB6C38" w:rsidRPr="00E91C8E" w:rsidRDefault="00FB6C38" w:rsidP="00FB6C38">
      <w:pPr>
        <w:spacing w:after="0" w:line="240" w:lineRule="auto"/>
        <w:rPr>
          <w:rFonts w:ascii="Microsoft Sans Serif" w:hAnsi="Microsoft Sans Serif" w:cs="Microsoft Sans Serif"/>
          <w:b/>
          <w:i/>
          <w:szCs w:val="24"/>
          <w:u w:val="single"/>
        </w:rPr>
      </w:pPr>
      <w:r w:rsidRPr="00E91C8E">
        <w:rPr>
          <w:rFonts w:ascii="Microsoft Sans Serif" w:hAnsi="Microsoft Sans Serif" w:cs="Microsoft Sans Serif"/>
          <w:b/>
          <w:i/>
          <w:szCs w:val="24"/>
          <w:u w:val="single"/>
        </w:rPr>
        <w:t>Accepts eService</w:t>
      </w:r>
    </w:p>
    <w:p w:rsidR="00FB6C38" w:rsidRPr="00E91C8E" w:rsidRDefault="00FB6C38" w:rsidP="00FB6C38">
      <w:pPr>
        <w:spacing w:after="0" w:line="240" w:lineRule="auto"/>
        <w:rPr>
          <w:rFonts w:ascii="Microsoft Sans Serif" w:hAnsi="Microsoft Sans Serif" w:cs="Microsoft Sans Serif"/>
          <w:szCs w:val="24"/>
        </w:rPr>
      </w:pPr>
    </w:p>
    <w:p w:rsidR="00FB6C38" w:rsidRPr="00E91C8E" w:rsidRDefault="00FB6C38" w:rsidP="00FB6C38">
      <w:pPr>
        <w:spacing w:after="0" w:line="240" w:lineRule="auto"/>
        <w:rPr>
          <w:rFonts w:ascii="Microsoft Sans Serif" w:hAnsi="Microsoft Sans Serif" w:cs="Microsoft Sans Serif"/>
          <w:szCs w:val="24"/>
        </w:rPr>
      </w:pPr>
      <w:r w:rsidRPr="00E91C8E">
        <w:rPr>
          <w:rFonts w:ascii="Microsoft Sans Serif" w:hAnsi="Microsoft Sans Serif" w:cs="Microsoft Sans Serif"/>
          <w:szCs w:val="24"/>
        </w:rPr>
        <w:t>KAREN MOURY ESQUIRE</w:t>
      </w:r>
    </w:p>
    <w:p w:rsidR="00FB6C38" w:rsidRPr="00483E47" w:rsidRDefault="00FB6C38" w:rsidP="00FB6C38">
      <w:pPr>
        <w:spacing w:after="0" w:line="240" w:lineRule="auto"/>
        <w:rPr>
          <w:rFonts w:ascii="Microsoft Sans Serif" w:hAnsi="Microsoft Sans Serif" w:cs="Microsoft Sans Serif"/>
          <w:szCs w:val="24"/>
        </w:rPr>
      </w:pPr>
      <w:r w:rsidRPr="00E91C8E">
        <w:rPr>
          <w:rFonts w:ascii="Microsoft Sans Serif" w:hAnsi="Microsoft Sans Serif" w:cs="Microsoft Sans Serif"/>
          <w:szCs w:val="24"/>
        </w:rPr>
        <w:t>BUCHANAN</w:t>
      </w:r>
      <w:r w:rsidRPr="00483E47">
        <w:rPr>
          <w:rFonts w:ascii="Microsoft Sans Serif" w:hAnsi="Microsoft Sans Serif" w:cs="Microsoft Sans Serif"/>
          <w:szCs w:val="24"/>
        </w:rPr>
        <w:t xml:space="preserve"> INGERSOLL ROONEY PC</w:t>
      </w:r>
      <w:r w:rsidRPr="00483E47">
        <w:rPr>
          <w:rFonts w:ascii="Microsoft Sans Serif" w:hAnsi="Microsoft Sans Serif" w:cs="Microsoft Sans Serif"/>
          <w:szCs w:val="24"/>
        </w:rPr>
        <w:cr/>
        <w:t xml:space="preserve">409 NORTH SECOND </w:t>
      </w:r>
      <w:proofErr w:type="gramStart"/>
      <w:r w:rsidRPr="00483E47">
        <w:rPr>
          <w:rFonts w:ascii="Microsoft Sans Serif" w:hAnsi="Microsoft Sans Serif" w:cs="Microsoft Sans Serif"/>
          <w:szCs w:val="24"/>
        </w:rPr>
        <w:t>STREET</w:t>
      </w:r>
      <w:proofErr w:type="gramEnd"/>
      <w:r w:rsidRPr="00483E47">
        <w:rPr>
          <w:rFonts w:ascii="Microsoft Sans Serif" w:hAnsi="Microsoft Sans Serif" w:cs="Microsoft Sans Serif"/>
          <w:szCs w:val="24"/>
        </w:rPr>
        <w:cr/>
        <w:t>SUITE 500</w:t>
      </w:r>
      <w:r w:rsidRPr="00483E47">
        <w:rPr>
          <w:rFonts w:ascii="Microsoft Sans Serif" w:hAnsi="Microsoft Sans Serif" w:cs="Microsoft Sans Serif"/>
          <w:szCs w:val="24"/>
        </w:rPr>
        <w:cr/>
        <w:t>HARRISBURG PA  17101</w:t>
      </w:r>
    </w:p>
    <w:p w:rsidR="00FB6C38" w:rsidRPr="002E3B05" w:rsidRDefault="00FB6C38" w:rsidP="00FB6C38">
      <w:pPr>
        <w:spacing w:after="0" w:line="240" w:lineRule="auto"/>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FB6C38" w:rsidRPr="00985788" w:rsidRDefault="00FB6C38" w:rsidP="00E22051">
      <w:pPr>
        <w:tabs>
          <w:tab w:val="clear" w:pos="1440"/>
        </w:tabs>
        <w:spacing w:after="0" w:line="240" w:lineRule="auto"/>
        <w:rPr>
          <w:rFonts w:eastAsia="SimSun"/>
        </w:rPr>
      </w:pPr>
    </w:p>
    <w:sectPr w:rsidR="00FB6C38" w:rsidRPr="00985788" w:rsidSect="002A2025">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22" w:rsidRDefault="002C1822" w:rsidP="00912FC8">
      <w:pPr>
        <w:spacing w:after="0" w:line="240" w:lineRule="auto"/>
      </w:pPr>
      <w:r>
        <w:separator/>
      </w:r>
    </w:p>
  </w:endnote>
  <w:endnote w:type="continuationSeparator" w:id="0">
    <w:p w:rsidR="002C1822" w:rsidRDefault="002C1822" w:rsidP="0091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350372"/>
      <w:docPartObj>
        <w:docPartGallery w:val="Page Numbers (Bottom of Page)"/>
        <w:docPartUnique/>
      </w:docPartObj>
    </w:sdtPr>
    <w:sdtEndPr>
      <w:rPr>
        <w:noProof/>
        <w:sz w:val="20"/>
      </w:rPr>
    </w:sdtEndPr>
    <w:sdtContent>
      <w:p w:rsidR="00521BDC" w:rsidRPr="006C7C3C" w:rsidRDefault="00521BDC">
        <w:pPr>
          <w:pStyle w:val="Footer"/>
          <w:jc w:val="center"/>
          <w:rPr>
            <w:sz w:val="20"/>
          </w:rPr>
        </w:pPr>
        <w:r w:rsidRPr="006C7C3C">
          <w:rPr>
            <w:sz w:val="20"/>
          </w:rPr>
          <w:fldChar w:fldCharType="begin"/>
        </w:r>
        <w:r w:rsidRPr="006C7C3C">
          <w:rPr>
            <w:sz w:val="20"/>
          </w:rPr>
          <w:instrText xml:space="preserve"> PAGE   \* MERGEFORMAT </w:instrText>
        </w:r>
        <w:r w:rsidRPr="006C7C3C">
          <w:rPr>
            <w:sz w:val="20"/>
          </w:rPr>
          <w:fldChar w:fldCharType="separate"/>
        </w:r>
        <w:r w:rsidR="00626E49">
          <w:rPr>
            <w:noProof/>
            <w:sz w:val="20"/>
          </w:rPr>
          <w:t>6</w:t>
        </w:r>
        <w:r w:rsidRPr="006C7C3C">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38" w:rsidRDefault="00FB6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22" w:rsidRDefault="002C1822" w:rsidP="00912FC8">
      <w:pPr>
        <w:spacing w:after="0" w:line="240" w:lineRule="auto"/>
      </w:pPr>
      <w:r>
        <w:separator/>
      </w:r>
    </w:p>
  </w:footnote>
  <w:footnote w:type="continuationSeparator" w:id="0">
    <w:p w:rsidR="002C1822" w:rsidRDefault="002C1822" w:rsidP="00912FC8">
      <w:pPr>
        <w:spacing w:after="0" w:line="240" w:lineRule="auto"/>
      </w:pPr>
      <w:r>
        <w:continuationSeparator/>
      </w:r>
    </w:p>
  </w:footnote>
  <w:footnote w:id="1">
    <w:p w:rsidR="00D22705" w:rsidRPr="002A77B4" w:rsidRDefault="00D22705" w:rsidP="002A77B4">
      <w:pPr>
        <w:spacing w:line="240" w:lineRule="auto"/>
        <w:rPr>
          <w:sz w:val="20"/>
        </w:rPr>
      </w:pPr>
      <w:r w:rsidRPr="002A77B4">
        <w:rPr>
          <w:rStyle w:val="FootnoteReference"/>
          <w:sz w:val="20"/>
        </w:rPr>
        <w:footnoteRef/>
      </w:r>
      <w:r w:rsidRPr="002A77B4">
        <w:rPr>
          <w:rFonts w:eastAsia="Calibri"/>
          <w:sz w:val="20"/>
        </w:rPr>
        <w:t xml:space="preserve">  </w:t>
      </w:r>
      <w:r w:rsidR="002A77B4" w:rsidRPr="002A77B4">
        <w:rPr>
          <w:rFonts w:eastAsia="Calibri"/>
          <w:sz w:val="20"/>
        </w:rPr>
        <w:t>I</w:t>
      </w:r>
      <w:r w:rsidRPr="002A77B4">
        <w:rPr>
          <w:rFonts w:eastAsia="Calibri"/>
          <w:sz w:val="20"/>
        </w:rPr>
        <w:t>n its letter renewing this Motion, dated March 27, 2015, Respond Power does not request a specific timeframe.</w:t>
      </w:r>
    </w:p>
    <w:p w:rsidR="00D22705" w:rsidRDefault="00D22705" w:rsidP="00D22705">
      <w:pPr>
        <w:spacing w:line="480" w:lineRule="auto"/>
        <w:jc w:val="both"/>
      </w:pPr>
    </w:p>
  </w:footnote>
  <w:footnote w:id="2">
    <w:p w:rsidR="00D22705" w:rsidRPr="00AE7D74" w:rsidRDefault="00D22705" w:rsidP="00AE7D74">
      <w:pPr>
        <w:spacing w:after="0" w:line="240" w:lineRule="auto"/>
        <w:rPr>
          <w:sz w:val="20"/>
        </w:rPr>
      </w:pPr>
      <w:r>
        <w:rPr>
          <w:rStyle w:val="FootnoteReference"/>
        </w:rPr>
        <w:footnoteRef/>
      </w:r>
      <w:r>
        <w:rPr>
          <w:rFonts w:eastAsia="Calibri"/>
        </w:rPr>
        <w:t xml:space="preserve">  </w:t>
      </w:r>
      <w:r w:rsidRPr="00AE7D74">
        <w:rPr>
          <w:rFonts w:eastAsia="Calibri"/>
          <w:sz w:val="20"/>
        </w:rPr>
        <w:t xml:space="preserve">Joint Complainants also </w:t>
      </w:r>
      <w:r w:rsidR="00E853A3">
        <w:rPr>
          <w:rFonts w:eastAsia="Calibri"/>
          <w:sz w:val="20"/>
        </w:rPr>
        <w:t>contend</w:t>
      </w:r>
      <w:r w:rsidRPr="00AE7D74">
        <w:rPr>
          <w:rFonts w:eastAsia="Calibri"/>
          <w:sz w:val="20"/>
        </w:rPr>
        <w:t xml:space="preserve"> that they have reached a Settlement in a similar case against another EGS and have reached a Settlement in Principle in another similar proceeding without the appointment of a Settlement ALJ.  Thus, Joint Complainants submit that a Settlement ALJ is not necessary for Joint Complainants to engage in meaningful settlement discussions. </w:t>
      </w:r>
    </w:p>
    <w:p w:rsidR="00D22705" w:rsidRPr="00AE7D74" w:rsidRDefault="00D22705" w:rsidP="00AE7D74">
      <w:pPr>
        <w:spacing w:after="0" w:line="240" w:lineRule="auto"/>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088EB1B4"/>
    <w:lvl w:ilvl="0" w:tplc="B3F07BB8">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B4"/>
    <w:rsid w:val="00004C37"/>
    <w:rsid w:val="00051A26"/>
    <w:rsid w:val="00070C38"/>
    <w:rsid w:val="0009517C"/>
    <w:rsid w:val="000D1418"/>
    <w:rsid w:val="001037F0"/>
    <w:rsid w:val="00140B04"/>
    <w:rsid w:val="001A215B"/>
    <w:rsid w:val="001B1CBA"/>
    <w:rsid w:val="001F06F1"/>
    <w:rsid w:val="00213167"/>
    <w:rsid w:val="002512F9"/>
    <w:rsid w:val="0026352F"/>
    <w:rsid w:val="00265A25"/>
    <w:rsid w:val="002770F6"/>
    <w:rsid w:val="0028462C"/>
    <w:rsid w:val="002A2025"/>
    <w:rsid w:val="002A77B4"/>
    <w:rsid w:val="002C1822"/>
    <w:rsid w:val="002C686C"/>
    <w:rsid w:val="002D5EC4"/>
    <w:rsid w:val="002F0114"/>
    <w:rsid w:val="002F1C85"/>
    <w:rsid w:val="0030270F"/>
    <w:rsid w:val="003260FB"/>
    <w:rsid w:val="00356373"/>
    <w:rsid w:val="00375236"/>
    <w:rsid w:val="00393C92"/>
    <w:rsid w:val="00395005"/>
    <w:rsid w:val="003C66AD"/>
    <w:rsid w:val="00400F0A"/>
    <w:rsid w:val="0044124C"/>
    <w:rsid w:val="00484940"/>
    <w:rsid w:val="004B3F90"/>
    <w:rsid w:val="004B547D"/>
    <w:rsid w:val="004C711B"/>
    <w:rsid w:val="004D523C"/>
    <w:rsid w:val="00521BDC"/>
    <w:rsid w:val="005357BF"/>
    <w:rsid w:val="0055272E"/>
    <w:rsid w:val="00562905"/>
    <w:rsid w:val="005A1C17"/>
    <w:rsid w:val="005A2ABA"/>
    <w:rsid w:val="005C6334"/>
    <w:rsid w:val="0061775F"/>
    <w:rsid w:val="00626E49"/>
    <w:rsid w:val="006638B1"/>
    <w:rsid w:val="006673CC"/>
    <w:rsid w:val="00682A19"/>
    <w:rsid w:val="006A0406"/>
    <w:rsid w:val="006B4A0E"/>
    <w:rsid w:val="006C15D9"/>
    <w:rsid w:val="006C1BFA"/>
    <w:rsid w:val="006C7C3C"/>
    <w:rsid w:val="006E68C1"/>
    <w:rsid w:val="006F0329"/>
    <w:rsid w:val="006F381F"/>
    <w:rsid w:val="00700645"/>
    <w:rsid w:val="00712E58"/>
    <w:rsid w:val="00722626"/>
    <w:rsid w:val="00745E59"/>
    <w:rsid w:val="00753EEC"/>
    <w:rsid w:val="00777F0B"/>
    <w:rsid w:val="00792796"/>
    <w:rsid w:val="007B3DF6"/>
    <w:rsid w:val="007D663B"/>
    <w:rsid w:val="007E6779"/>
    <w:rsid w:val="00820B4C"/>
    <w:rsid w:val="008270B4"/>
    <w:rsid w:val="00827FD9"/>
    <w:rsid w:val="0084338F"/>
    <w:rsid w:val="008529D2"/>
    <w:rsid w:val="008B1DDA"/>
    <w:rsid w:val="00912FC8"/>
    <w:rsid w:val="00924CB1"/>
    <w:rsid w:val="009402D5"/>
    <w:rsid w:val="00985788"/>
    <w:rsid w:val="00994C97"/>
    <w:rsid w:val="009E39E4"/>
    <w:rsid w:val="009E4D97"/>
    <w:rsid w:val="00A656F7"/>
    <w:rsid w:val="00A74DEE"/>
    <w:rsid w:val="00A85072"/>
    <w:rsid w:val="00A9763E"/>
    <w:rsid w:val="00AA2EC5"/>
    <w:rsid w:val="00AB04A2"/>
    <w:rsid w:val="00AB4C73"/>
    <w:rsid w:val="00AE59BD"/>
    <w:rsid w:val="00AE6F47"/>
    <w:rsid w:val="00AE7D74"/>
    <w:rsid w:val="00B03A9D"/>
    <w:rsid w:val="00B308E1"/>
    <w:rsid w:val="00B31FEC"/>
    <w:rsid w:val="00B668A4"/>
    <w:rsid w:val="00B847D2"/>
    <w:rsid w:val="00B900E5"/>
    <w:rsid w:val="00BC165C"/>
    <w:rsid w:val="00BC6B21"/>
    <w:rsid w:val="00C1082B"/>
    <w:rsid w:val="00C217B3"/>
    <w:rsid w:val="00C2765E"/>
    <w:rsid w:val="00C436FD"/>
    <w:rsid w:val="00C4611B"/>
    <w:rsid w:val="00C47B91"/>
    <w:rsid w:val="00C71575"/>
    <w:rsid w:val="00C820CC"/>
    <w:rsid w:val="00C87E57"/>
    <w:rsid w:val="00C91E6A"/>
    <w:rsid w:val="00C97A8C"/>
    <w:rsid w:val="00C97CFB"/>
    <w:rsid w:val="00CD507A"/>
    <w:rsid w:val="00CD5CC4"/>
    <w:rsid w:val="00D22705"/>
    <w:rsid w:val="00D67F9B"/>
    <w:rsid w:val="00DA3AE7"/>
    <w:rsid w:val="00DC6DD9"/>
    <w:rsid w:val="00DD5C37"/>
    <w:rsid w:val="00DE4B88"/>
    <w:rsid w:val="00E01C14"/>
    <w:rsid w:val="00E22051"/>
    <w:rsid w:val="00E362EB"/>
    <w:rsid w:val="00E853A3"/>
    <w:rsid w:val="00E867D5"/>
    <w:rsid w:val="00EB2936"/>
    <w:rsid w:val="00EC1CBA"/>
    <w:rsid w:val="00EE7801"/>
    <w:rsid w:val="00EE785B"/>
    <w:rsid w:val="00F01CBC"/>
    <w:rsid w:val="00F10CA6"/>
    <w:rsid w:val="00F16554"/>
    <w:rsid w:val="00F50027"/>
    <w:rsid w:val="00F544E1"/>
    <w:rsid w:val="00F9377D"/>
    <w:rsid w:val="00FB6C38"/>
    <w:rsid w:val="00FD5C10"/>
    <w:rsid w:val="00FE1450"/>
    <w:rsid w:val="00FE594B"/>
    <w:rsid w:val="00FF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A3AE7"/>
    <w:pPr>
      <w:numPr>
        <w:numId w:val="14"/>
      </w:numPr>
      <w:spacing w:after="0"/>
      <w:ind w:left="0" w:firstLine="72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DA3AE7"/>
    <w:pPr>
      <w:numPr>
        <w:numId w:val="14"/>
      </w:numPr>
      <w:spacing w:after="0"/>
      <w:ind w:left="0" w:firstLine="72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2</cp:revision>
  <cp:lastPrinted>2015-04-14T18:55:00Z</cp:lastPrinted>
  <dcterms:created xsi:type="dcterms:W3CDTF">2015-04-14T19:04:00Z</dcterms:created>
  <dcterms:modified xsi:type="dcterms:W3CDTF">2015-04-14T19:04:00Z</dcterms:modified>
</cp:coreProperties>
</file>