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DDA" w:rsidRPr="00D64605" w:rsidRDefault="00564DDA" w:rsidP="003844F5">
      <w:pPr>
        <w:widowControl/>
        <w:tabs>
          <w:tab w:val="center" w:pos="4680"/>
        </w:tabs>
        <w:suppressAutoHyphens/>
        <w:jc w:val="center"/>
        <w:rPr>
          <w:b/>
          <w:sz w:val="26"/>
          <w:szCs w:val="26"/>
        </w:rPr>
      </w:pPr>
      <w:r w:rsidRPr="00D64605">
        <w:rPr>
          <w:b/>
          <w:sz w:val="26"/>
          <w:szCs w:val="26"/>
        </w:rPr>
        <w:t>PENNSYLVANIA</w:t>
      </w:r>
    </w:p>
    <w:p w:rsidR="00564DDA" w:rsidRPr="00D64605" w:rsidRDefault="00564DDA" w:rsidP="003844F5">
      <w:pPr>
        <w:widowControl/>
        <w:tabs>
          <w:tab w:val="center" w:pos="4680"/>
        </w:tabs>
        <w:suppressAutoHyphens/>
        <w:jc w:val="center"/>
        <w:rPr>
          <w:sz w:val="26"/>
          <w:szCs w:val="26"/>
        </w:rPr>
      </w:pPr>
      <w:r w:rsidRPr="00D64605">
        <w:rPr>
          <w:b/>
          <w:sz w:val="26"/>
          <w:szCs w:val="26"/>
        </w:rPr>
        <w:t>PUBLIC UTILITY COMMISSION</w:t>
      </w:r>
    </w:p>
    <w:p w:rsidR="00564DDA" w:rsidRPr="00D64605" w:rsidRDefault="00564DDA" w:rsidP="003844F5">
      <w:pPr>
        <w:widowControl/>
        <w:tabs>
          <w:tab w:val="center" w:pos="4680"/>
        </w:tabs>
        <w:suppressAutoHyphens/>
        <w:jc w:val="center"/>
        <w:rPr>
          <w:sz w:val="26"/>
          <w:szCs w:val="26"/>
        </w:rPr>
      </w:pPr>
      <w:r w:rsidRPr="00D64605">
        <w:rPr>
          <w:b/>
          <w:sz w:val="26"/>
          <w:szCs w:val="26"/>
        </w:rPr>
        <w:t>Harrisburg, PA 17105-3265</w:t>
      </w:r>
    </w:p>
    <w:p w:rsidR="00564DDA" w:rsidRPr="00D64605" w:rsidRDefault="00564DDA" w:rsidP="003844F5">
      <w:pPr>
        <w:widowControl/>
        <w:tabs>
          <w:tab w:val="left" w:pos="-720"/>
        </w:tabs>
        <w:suppressAutoHyphens/>
        <w:rPr>
          <w:sz w:val="26"/>
          <w:szCs w:val="26"/>
        </w:rPr>
      </w:pPr>
    </w:p>
    <w:p w:rsidR="00564DDA" w:rsidRPr="00D64605" w:rsidRDefault="00564DDA" w:rsidP="003844F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810"/>
        <w:gridCol w:w="3618"/>
      </w:tblGrid>
      <w:tr w:rsidR="00564DDA" w:rsidRPr="00D64605" w:rsidTr="00C6631D">
        <w:tc>
          <w:tcPr>
            <w:tcW w:w="5058" w:type="dxa"/>
          </w:tcPr>
          <w:p w:rsidR="00564DDA" w:rsidRPr="00D64605" w:rsidRDefault="00564DDA" w:rsidP="003844F5">
            <w:pPr>
              <w:widowControl/>
              <w:rPr>
                <w:sz w:val="26"/>
                <w:szCs w:val="26"/>
              </w:rPr>
            </w:pPr>
          </w:p>
        </w:tc>
        <w:tc>
          <w:tcPr>
            <w:tcW w:w="4428" w:type="dxa"/>
            <w:gridSpan w:val="2"/>
          </w:tcPr>
          <w:p w:rsidR="00564DDA" w:rsidRPr="00D64605" w:rsidRDefault="005F376C" w:rsidP="003844F5">
            <w:pPr>
              <w:widowControl/>
              <w:ind w:right="-90"/>
              <w:rPr>
                <w:sz w:val="26"/>
                <w:szCs w:val="26"/>
              </w:rPr>
            </w:pPr>
            <w:r>
              <w:rPr>
                <w:sz w:val="26"/>
                <w:szCs w:val="26"/>
              </w:rPr>
              <w:t xml:space="preserve">Public Meeting held </w:t>
            </w:r>
            <w:r w:rsidR="00F106F2">
              <w:rPr>
                <w:sz w:val="26"/>
                <w:szCs w:val="26"/>
              </w:rPr>
              <w:t>March</w:t>
            </w:r>
            <w:r>
              <w:rPr>
                <w:sz w:val="26"/>
                <w:szCs w:val="26"/>
              </w:rPr>
              <w:t xml:space="preserve"> 1</w:t>
            </w:r>
            <w:r w:rsidR="00F106F2">
              <w:rPr>
                <w:sz w:val="26"/>
                <w:szCs w:val="26"/>
              </w:rPr>
              <w:t>1</w:t>
            </w:r>
            <w:r>
              <w:rPr>
                <w:sz w:val="26"/>
                <w:szCs w:val="26"/>
              </w:rPr>
              <w:t>, 2015</w:t>
            </w:r>
          </w:p>
          <w:p w:rsidR="00564DDA" w:rsidRPr="00D64605" w:rsidRDefault="00564DDA" w:rsidP="003844F5">
            <w:pPr>
              <w:widowControl/>
              <w:jc w:val="right"/>
              <w:rPr>
                <w:sz w:val="26"/>
                <w:szCs w:val="26"/>
              </w:rPr>
            </w:pPr>
          </w:p>
        </w:tc>
      </w:tr>
      <w:tr w:rsidR="00564DDA" w:rsidRPr="00D64605" w:rsidTr="00C6631D">
        <w:tc>
          <w:tcPr>
            <w:tcW w:w="9486" w:type="dxa"/>
            <w:gridSpan w:val="3"/>
          </w:tcPr>
          <w:p w:rsidR="00564DDA" w:rsidRPr="00D64605" w:rsidRDefault="00564DDA" w:rsidP="003844F5">
            <w:pPr>
              <w:widowControl/>
              <w:rPr>
                <w:sz w:val="26"/>
                <w:szCs w:val="26"/>
              </w:rPr>
            </w:pPr>
            <w:r w:rsidRPr="00D64605">
              <w:rPr>
                <w:sz w:val="26"/>
                <w:szCs w:val="26"/>
              </w:rPr>
              <w:t>Commissioners Present:</w:t>
            </w:r>
          </w:p>
          <w:p w:rsidR="00564DDA" w:rsidRPr="00D64605" w:rsidRDefault="00564DDA" w:rsidP="003844F5">
            <w:pPr>
              <w:widowControl/>
              <w:rPr>
                <w:sz w:val="26"/>
                <w:szCs w:val="26"/>
              </w:rPr>
            </w:pPr>
          </w:p>
          <w:p w:rsidR="00564DDA" w:rsidRPr="00D64605" w:rsidRDefault="00564DDA" w:rsidP="003844F5">
            <w:pPr>
              <w:widowControl/>
              <w:tabs>
                <w:tab w:val="left" w:pos="705"/>
              </w:tabs>
              <w:ind w:firstLine="720"/>
              <w:rPr>
                <w:sz w:val="26"/>
                <w:szCs w:val="26"/>
              </w:rPr>
            </w:pPr>
            <w:r w:rsidRPr="00D64605">
              <w:rPr>
                <w:sz w:val="26"/>
                <w:szCs w:val="26"/>
              </w:rPr>
              <w:t>Robert F. Powelson, Chairman</w:t>
            </w:r>
          </w:p>
          <w:p w:rsidR="00564DDA" w:rsidRPr="00D64605" w:rsidRDefault="00564DDA" w:rsidP="003844F5">
            <w:pPr>
              <w:widowControl/>
              <w:tabs>
                <w:tab w:val="left" w:pos="705"/>
              </w:tabs>
              <w:ind w:firstLine="720"/>
              <w:rPr>
                <w:sz w:val="26"/>
                <w:szCs w:val="26"/>
              </w:rPr>
            </w:pPr>
            <w:r w:rsidRPr="00D64605">
              <w:rPr>
                <w:sz w:val="26"/>
                <w:szCs w:val="26"/>
              </w:rPr>
              <w:t>John F. Coleman, Jr., Vice Chairman</w:t>
            </w:r>
          </w:p>
          <w:p w:rsidR="00564DDA" w:rsidRPr="00D64605" w:rsidRDefault="00564DDA" w:rsidP="003844F5">
            <w:pPr>
              <w:widowControl/>
              <w:tabs>
                <w:tab w:val="left" w:pos="705"/>
              </w:tabs>
              <w:ind w:firstLine="720"/>
              <w:rPr>
                <w:sz w:val="26"/>
                <w:szCs w:val="26"/>
              </w:rPr>
            </w:pPr>
            <w:r w:rsidRPr="00D64605">
              <w:rPr>
                <w:sz w:val="26"/>
                <w:szCs w:val="26"/>
              </w:rPr>
              <w:t xml:space="preserve">James H. </w:t>
            </w:r>
            <w:proofErr w:type="spellStart"/>
            <w:r w:rsidRPr="00D64605">
              <w:rPr>
                <w:sz w:val="26"/>
                <w:szCs w:val="26"/>
              </w:rPr>
              <w:t>Cawley</w:t>
            </w:r>
            <w:proofErr w:type="spellEnd"/>
          </w:p>
          <w:p w:rsidR="00564DDA" w:rsidRPr="00D64605" w:rsidRDefault="00564DDA" w:rsidP="003844F5">
            <w:pPr>
              <w:widowControl/>
              <w:tabs>
                <w:tab w:val="left" w:pos="705"/>
              </w:tabs>
              <w:ind w:firstLine="720"/>
              <w:rPr>
                <w:sz w:val="26"/>
                <w:szCs w:val="26"/>
              </w:rPr>
            </w:pPr>
            <w:r w:rsidRPr="00D64605">
              <w:rPr>
                <w:sz w:val="26"/>
                <w:szCs w:val="26"/>
              </w:rPr>
              <w:t xml:space="preserve">Pamela A. </w:t>
            </w:r>
            <w:proofErr w:type="spellStart"/>
            <w:r w:rsidRPr="00D64605">
              <w:rPr>
                <w:sz w:val="26"/>
                <w:szCs w:val="26"/>
              </w:rPr>
              <w:t>Witmer</w:t>
            </w:r>
            <w:proofErr w:type="spellEnd"/>
          </w:p>
          <w:p w:rsidR="00564DDA" w:rsidRPr="00D64605" w:rsidRDefault="00564DDA" w:rsidP="003844F5">
            <w:pPr>
              <w:widowControl/>
              <w:tabs>
                <w:tab w:val="left" w:pos="705"/>
              </w:tabs>
              <w:ind w:firstLine="720"/>
              <w:rPr>
                <w:sz w:val="26"/>
                <w:szCs w:val="26"/>
              </w:rPr>
            </w:pPr>
            <w:r w:rsidRPr="00D64605">
              <w:rPr>
                <w:sz w:val="26"/>
                <w:szCs w:val="26"/>
              </w:rPr>
              <w:t>Gladys M. Brown</w:t>
            </w:r>
          </w:p>
          <w:p w:rsidR="00564DDA" w:rsidRPr="00D64605" w:rsidRDefault="00564DDA" w:rsidP="003844F5">
            <w:pPr>
              <w:widowControl/>
              <w:rPr>
                <w:sz w:val="26"/>
                <w:szCs w:val="26"/>
              </w:rPr>
            </w:pPr>
          </w:p>
          <w:p w:rsidR="00564DDA" w:rsidRPr="00D64605" w:rsidRDefault="00564DDA" w:rsidP="003844F5">
            <w:pPr>
              <w:widowControl/>
              <w:jc w:val="right"/>
              <w:rPr>
                <w:sz w:val="26"/>
                <w:szCs w:val="26"/>
              </w:rPr>
            </w:pPr>
          </w:p>
        </w:tc>
      </w:tr>
      <w:tr w:rsidR="00564DDA" w:rsidRPr="00D64605" w:rsidTr="00F106F2">
        <w:tc>
          <w:tcPr>
            <w:tcW w:w="5868" w:type="dxa"/>
            <w:gridSpan w:val="2"/>
          </w:tcPr>
          <w:p w:rsidR="00564DDA" w:rsidRPr="00D64605" w:rsidRDefault="00F106F2" w:rsidP="003844F5">
            <w:pPr>
              <w:widowControl/>
              <w:rPr>
                <w:sz w:val="26"/>
                <w:szCs w:val="26"/>
              </w:rPr>
            </w:pPr>
            <w:r w:rsidRPr="00F106F2">
              <w:rPr>
                <w:sz w:val="26"/>
                <w:szCs w:val="26"/>
              </w:rPr>
              <w:t xml:space="preserve">Joint Application of PPL Interstate Energy Company and PPL Electric Utilities </w:t>
            </w:r>
            <w:r>
              <w:rPr>
                <w:sz w:val="26"/>
                <w:szCs w:val="26"/>
              </w:rPr>
              <w:t>C</w:t>
            </w:r>
            <w:r w:rsidRPr="00F106F2">
              <w:rPr>
                <w:sz w:val="26"/>
                <w:szCs w:val="26"/>
              </w:rPr>
              <w:t>orporation for All of the Necessary Authority, Approval</w:t>
            </w:r>
            <w:r>
              <w:rPr>
                <w:sz w:val="26"/>
                <w:szCs w:val="26"/>
              </w:rPr>
              <w:t xml:space="preserve">s, </w:t>
            </w:r>
            <w:r w:rsidRPr="00F106F2">
              <w:rPr>
                <w:sz w:val="26"/>
                <w:szCs w:val="26"/>
              </w:rPr>
              <w:t>and Certificates of Public Convenience (1) for</w:t>
            </w:r>
            <w:r>
              <w:rPr>
                <w:sz w:val="26"/>
                <w:szCs w:val="26"/>
              </w:rPr>
              <w:t xml:space="preserve"> </w:t>
            </w:r>
            <w:r w:rsidRPr="00F106F2">
              <w:rPr>
                <w:sz w:val="26"/>
                <w:szCs w:val="26"/>
              </w:rPr>
              <w:t>the Transfer of PPL Corporation's Ownership Interest in PPL Interstate Energy Company to Talen Energy Corporation, and Certain Post Closing Transactions Associated therewith;</w:t>
            </w:r>
            <w:r>
              <w:rPr>
                <w:sz w:val="26"/>
                <w:szCs w:val="26"/>
              </w:rPr>
              <w:t xml:space="preserve"> </w:t>
            </w:r>
            <w:r w:rsidRPr="00F106F2">
              <w:rPr>
                <w:sz w:val="26"/>
                <w:szCs w:val="26"/>
              </w:rPr>
              <w:t xml:space="preserve">(2) for the Transfer of Certain Property Interests Between PPL Electric Utilities Corporation and </w:t>
            </w:r>
            <w:r>
              <w:rPr>
                <w:sz w:val="26"/>
                <w:szCs w:val="26"/>
              </w:rPr>
              <w:t>P</w:t>
            </w:r>
            <w:r w:rsidRPr="00F106F2">
              <w:rPr>
                <w:sz w:val="26"/>
                <w:szCs w:val="26"/>
              </w:rPr>
              <w:t>PL Energy Supply, LLC, and its Subsidiaries in Conjunction with the Transfer of All of the Interests of PPL Energy Supply, LLC and its Subsidiaries to Talen Energy Corporation;</w:t>
            </w:r>
            <w:r>
              <w:rPr>
                <w:sz w:val="26"/>
                <w:szCs w:val="26"/>
              </w:rPr>
              <w:t xml:space="preserve"> </w:t>
            </w:r>
            <w:r w:rsidRPr="00F106F2">
              <w:rPr>
                <w:sz w:val="26"/>
                <w:szCs w:val="26"/>
              </w:rPr>
              <w:t>(3) for any Modification or Amendment of Associated Affiliated Interest Agreements; and (4) for any Other Approvals Necessary to Complete the Contemplated Transactions</w:t>
            </w:r>
          </w:p>
        </w:tc>
        <w:tc>
          <w:tcPr>
            <w:tcW w:w="3618" w:type="dxa"/>
          </w:tcPr>
          <w:p w:rsidR="00F106F2" w:rsidRDefault="00F106F2" w:rsidP="003844F5">
            <w:pPr>
              <w:widowControl/>
              <w:jc w:val="right"/>
              <w:rPr>
                <w:sz w:val="26"/>
                <w:szCs w:val="26"/>
              </w:rPr>
            </w:pPr>
          </w:p>
          <w:p w:rsidR="00F106F2" w:rsidRDefault="00F106F2" w:rsidP="003844F5">
            <w:pPr>
              <w:widowControl/>
              <w:jc w:val="right"/>
              <w:rPr>
                <w:sz w:val="26"/>
                <w:szCs w:val="26"/>
              </w:rPr>
            </w:pPr>
          </w:p>
          <w:p w:rsidR="00F106F2" w:rsidRDefault="00F106F2" w:rsidP="003844F5">
            <w:pPr>
              <w:widowControl/>
              <w:jc w:val="right"/>
              <w:rPr>
                <w:sz w:val="26"/>
                <w:szCs w:val="26"/>
              </w:rPr>
            </w:pPr>
          </w:p>
          <w:p w:rsidR="00F106F2" w:rsidRDefault="00F106F2" w:rsidP="003844F5">
            <w:pPr>
              <w:widowControl/>
              <w:jc w:val="right"/>
              <w:rPr>
                <w:sz w:val="26"/>
                <w:szCs w:val="26"/>
              </w:rPr>
            </w:pPr>
          </w:p>
          <w:p w:rsidR="00F106F2" w:rsidRDefault="00F106F2" w:rsidP="003844F5">
            <w:pPr>
              <w:widowControl/>
              <w:jc w:val="right"/>
              <w:rPr>
                <w:sz w:val="26"/>
                <w:szCs w:val="26"/>
              </w:rPr>
            </w:pPr>
          </w:p>
          <w:p w:rsidR="00F106F2" w:rsidRDefault="00F106F2" w:rsidP="003844F5">
            <w:pPr>
              <w:widowControl/>
              <w:jc w:val="right"/>
              <w:rPr>
                <w:sz w:val="26"/>
                <w:szCs w:val="26"/>
              </w:rPr>
            </w:pPr>
          </w:p>
          <w:p w:rsidR="00564DDA" w:rsidRDefault="00F106F2" w:rsidP="003844F5">
            <w:pPr>
              <w:widowControl/>
              <w:jc w:val="right"/>
              <w:rPr>
                <w:sz w:val="26"/>
                <w:szCs w:val="26"/>
              </w:rPr>
            </w:pPr>
            <w:r w:rsidRPr="00F106F2">
              <w:rPr>
                <w:sz w:val="26"/>
                <w:szCs w:val="26"/>
              </w:rPr>
              <w:t>A-2014-2435752</w:t>
            </w:r>
            <w:r w:rsidR="00564DDA" w:rsidRPr="00D64605">
              <w:rPr>
                <w:sz w:val="26"/>
                <w:szCs w:val="26"/>
              </w:rPr>
              <w:t xml:space="preserve"> </w:t>
            </w:r>
          </w:p>
          <w:p w:rsidR="00F106F2" w:rsidRPr="00D64605" w:rsidRDefault="00F106F2" w:rsidP="003844F5">
            <w:pPr>
              <w:widowControl/>
              <w:jc w:val="right"/>
              <w:rPr>
                <w:sz w:val="26"/>
                <w:szCs w:val="26"/>
              </w:rPr>
            </w:pPr>
            <w:r w:rsidRPr="00F106F2">
              <w:rPr>
                <w:sz w:val="26"/>
                <w:szCs w:val="26"/>
              </w:rPr>
              <w:t>A-2014-2435833</w:t>
            </w:r>
          </w:p>
        </w:tc>
      </w:tr>
    </w:tbl>
    <w:p w:rsidR="00564DDA" w:rsidRPr="00D64605" w:rsidRDefault="00564DDA" w:rsidP="003844F5">
      <w:pPr>
        <w:widowControl/>
        <w:rPr>
          <w:sz w:val="26"/>
          <w:szCs w:val="26"/>
        </w:rPr>
      </w:pPr>
    </w:p>
    <w:p w:rsidR="00564DDA" w:rsidRPr="00D64605" w:rsidRDefault="00564DDA" w:rsidP="003844F5">
      <w:pPr>
        <w:widowControl/>
        <w:rPr>
          <w:sz w:val="26"/>
          <w:szCs w:val="26"/>
        </w:rPr>
      </w:pPr>
    </w:p>
    <w:p w:rsidR="00564DDA" w:rsidRPr="00D64605" w:rsidRDefault="00564DDA" w:rsidP="003844F5">
      <w:pPr>
        <w:widowControl/>
        <w:jc w:val="center"/>
        <w:rPr>
          <w:b/>
          <w:sz w:val="26"/>
          <w:szCs w:val="26"/>
        </w:rPr>
      </w:pPr>
      <w:r w:rsidRPr="00D64605">
        <w:rPr>
          <w:b/>
          <w:sz w:val="26"/>
          <w:szCs w:val="26"/>
        </w:rPr>
        <w:t>OPINION AND ORDER</w:t>
      </w:r>
    </w:p>
    <w:p w:rsidR="00564DDA" w:rsidRPr="00D64605" w:rsidRDefault="00564DDA" w:rsidP="003844F5">
      <w:pPr>
        <w:widowControl/>
        <w:jc w:val="center"/>
        <w:rPr>
          <w:b/>
          <w:sz w:val="26"/>
          <w:szCs w:val="26"/>
        </w:rPr>
      </w:pPr>
    </w:p>
    <w:p w:rsidR="00564DDA" w:rsidRPr="00D64605" w:rsidRDefault="00564DDA" w:rsidP="003844F5">
      <w:pPr>
        <w:widowControl/>
        <w:rPr>
          <w:b/>
          <w:sz w:val="26"/>
          <w:szCs w:val="26"/>
        </w:rPr>
      </w:pPr>
      <w:r w:rsidRPr="00D64605">
        <w:rPr>
          <w:b/>
          <w:sz w:val="26"/>
          <w:szCs w:val="26"/>
        </w:rPr>
        <w:t>BY THE COMMISSION:</w:t>
      </w:r>
    </w:p>
    <w:p w:rsidR="00564DDA" w:rsidRPr="00D64605" w:rsidRDefault="00564DDA" w:rsidP="003844F5">
      <w:pPr>
        <w:widowControl/>
        <w:rPr>
          <w:sz w:val="26"/>
          <w:szCs w:val="26"/>
        </w:rPr>
      </w:pPr>
    </w:p>
    <w:p w:rsidR="007A5C6E" w:rsidRPr="00BA31D7" w:rsidRDefault="00564DDA" w:rsidP="003844F5">
      <w:pPr>
        <w:widowControl/>
        <w:spacing w:line="360" w:lineRule="auto"/>
        <w:ind w:firstLine="1440"/>
        <w:rPr>
          <w:sz w:val="26"/>
          <w:szCs w:val="26"/>
        </w:rPr>
      </w:pPr>
      <w:r w:rsidRPr="00A15D84">
        <w:rPr>
          <w:sz w:val="26"/>
          <w:szCs w:val="26"/>
        </w:rPr>
        <w:t xml:space="preserve">Before the Pennsylvania Public Utility Commission (Commission) for consideration and disposition </w:t>
      </w:r>
      <w:r w:rsidR="003721A7" w:rsidRPr="00A15D84">
        <w:rPr>
          <w:color w:val="000000"/>
          <w:sz w:val="26"/>
        </w:rPr>
        <w:t xml:space="preserve">is the </w:t>
      </w:r>
      <w:r w:rsidR="00F106F2">
        <w:rPr>
          <w:color w:val="000000"/>
          <w:sz w:val="26"/>
        </w:rPr>
        <w:t>Recommended</w:t>
      </w:r>
      <w:r w:rsidR="003721A7" w:rsidRPr="00A15D84">
        <w:rPr>
          <w:color w:val="000000"/>
          <w:sz w:val="26"/>
        </w:rPr>
        <w:t xml:space="preserve"> Decision</w:t>
      </w:r>
      <w:r w:rsidRPr="00A15D84">
        <w:rPr>
          <w:color w:val="000000"/>
          <w:sz w:val="26"/>
        </w:rPr>
        <w:t xml:space="preserve"> </w:t>
      </w:r>
      <w:r w:rsidR="007A5C6E" w:rsidRPr="00A15D84">
        <w:rPr>
          <w:color w:val="000000"/>
          <w:sz w:val="26"/>
        </w:rPr>
        <w:t>(</w:t>
      </w:r>
      <w:r w:rsidR="00F106F2">
        <w:rPr>
          <w:color w:val="000000"/>
          <w:sz w:val="26"/>
        </w:rPr>
        <w:t>R</w:t>
      </w:r>
      <w:r w:rsidR="007A5C6E" w:rsidRPr="00A15D84">
        <w:rPr>
          <w:color w:val="000000"/>
          <w:sz w:val="26"/>
        </w:rPr>
        <w:t xml:space="preserve">.D.) </w:t>
      </w:r>
      <w:r w:rsidR="003721A7" w:rsidRPr="00A15D84">
        <w:rPr>
          <w:color w:val="000000"/>
          <w:sz w:val="26"/>
        </w:rPr>
        <w:t>of Administrative</w:t>
      </w:r>
      <w:r w:rsidR="00A15D84" w:rsidRPr="00A15D84">
        <w:rPr>
          <w:color w:val="000000"/>
          <w:sz w:val="26"/>
        </w:rPr>
        <w:t xml:space="preserve"> Law Judge (ALJ) </w:t>
      </w:r>
      <w:r w:rsidR="00F106F2">
        <w:rPr>
          <w:color w:val="000000"/>
          <w:sz w:val="26"/>
        </w:rPr>
        <w:t>Susan D. Colwell</w:t>
      </w:r>
      <w:r w:rsidR="00A15D84" w:rsidRPr="00DF4729">
        <w:rPr>
          <w:color w:val="000000"/>
          <w:sz w:val="26"/>
        </w:rPr>
        <w:t xml:space="preserve"> issued on </w:t>
      </w:r>
      <w:r w:rsidR="00F106F2">
        <w:rPr>
          <w:color w:val="000000"/>
          <w:sz w:val="26"/>
        </w:rPr>
        <w:t>February</w:t>
      </w:r>
      <w:r w:rsidR="00A15D84" w:rsidRPr="00DF4729">
        <w:rPr>
          <w:color w:val="000000"/>
          <w:sz w:val="26"/>
        </w:rPr>
        <w:t xml:space="preserve"> </w:t>
      </w:r>
      <w:r w:rsidR="00F106F2">
        <w:rPr>
          <w:color w:val="000000"/>
          <w:sz w:val="26"/>
        </w:rPr>
        <w:t>6</w:t>
      </w:r>
      <w:r w:rsidRPr="00DF4729">
        <w:rPr>
          <w:color w:val="000000"/>
          <w:sz w:val="26"/>
        </w:rPr>
        <w:t>, 201</w:t>
      </w:r>
      <w:r w:rsidR="00F106F2">
        <w:rPr>
          <w:color w:val="000000"/>
          <w:sz w:val="26"/>
        </w:rPr>
        <w:t>5</w:t>
      </w:r>
      <w:r w:rsidRPr="00DF4729">
        <w:rPr>
          <w:color w:val="000000"/>
          <w:sz w:val="26"/>
        </w:rPr>
        <w:t xml:space="preserve">, in the above-captioned </w:t>
      </w:r>
      <w:r w:rsidRPr="00DF4729">
        <w:rPr>
          <w:color w:val="000000"/>
          <w:sz w:val="26"/>
        </w:rPr>
        <w:lastRenderedPageBreak/>
        <w:t xml:space="preserve">proceeding.  </w:t>
      </w:r>
      <w:r w:rsidR="009F7664">
        <w:rPr>
          <w:color w:val="000000"/>
          <w:sz w:val="26"/>
        </w:rPr>
        <w:t>In t</w:t>
      </w:r>
      <w:r w:rsidR="007A5C6E" w:rsidRPr="00DF4729">
        <w:rPr>
          <w:sz w:val="26"/>
          <w:szCs w:val="26"/>
        </w:rPr>
        <w:t xml:space="preserve">he </w:t>
      </w:r>
      <w:r w:rsidR="00F106F2">
        <w:rPr>
          <w:sz w:val="26"/>
          <w:szCs w:val="26"/>
        </w:rPr>
        <w:t xml:space="preserve">Recommended </w:t>
      </w:r>
      <w:r w:rsidR="007A5C6E" w:rsidRPr="00DF4729">
        <w:rPr>
          <w:sz w:val="26"/>
          <w:szCs w:val="26"/>
        </w:rPr>
        <w:t>Decision</w:t>
      </w:r>
      <w:r w:rsidR="002B31CD">
        <w:rPr>
          <w:sz w:val="26"/>
          <w:szCs w:val="26"/>
        </w:rPr>
        <w:t>,</w:t>
      </w:r>
      <w:r w:rsidR="007A5C6E" w:rsidRPr="00DF4729">
        <w:rPr>
          <w:sz w:val="26"/>
          <w:szCs w:val="26"/>
        </w:rPr>
        <w:t xml:space="preserve"> </w:t>
      </w:r>
      <w:r w:rsidR="009F7664">
        <w:rPr>
          <w:sz w:val="26"/>
          <w:szCs w:val="26"/>
        </w:rPr>
        <w:t xml:space="preserve">the ALJ </w:t>
      </w:r>
      <w:r w:rsidR="00F106F2">
        <w:rPr>
          <w:sz w:val="26"/>
          <w:szCs w:val="26"/>
        </w:rPr>
        <w:t>recommended approval of the Joint Petition for Settlement of All Issues Without Modification (</w:t>
      </w:r>
      <w:r w:rsidR="009945CC">
        <w:rPr>
          <w:sz w:val="26"/>
          <w:szCs w:val="26"/>
        </w:rPr>
        <w:t>Joint Petition</w:t>
      </w:r>
      <w:r w:rsidR="00F106F2">
        <w:rPr>
          <w:sz w:val="26"/>
          <w:szCs w:val="26"/>
        </w:rPr>
        <w:t xml:space="preserve">) </w:t>
      </w:r>
      <w:r w:rsidR="007A5C6E" w:rsidRPr="00DF4729">
        <w:rPr>
          <w:sz w:val="26"/>
          <w:szCs w:val="26"/>
        </w:rPr>
        <w:t xml:space="preserve">filed </w:t>
      </w:r>
      <w:r w:rsidR="00F106F2">
        <w:rPr>
          <w:sz w:val="26"/>
          <w:szCs w:val="26"/>
        </w:rPr>
        <w:t>by PPL Interstate Energy Company (PPL IEC) and PPL Electric Utilities Corporation (PPL</w:t>
      </w:r>
      <w:r w:rsidR="009F7664">
        <w:rPr>
          <w:sz w:val="26"/>
          <w:szCs w:val="26"/>
        </w:rPr>
        <w:t xml:space="preserve"> Electric</w:t>
      </w:r>
      <w:r w:rsidR="00F106F2">
        <w:rPr>
          <w:sz w:val="26"/>
          <w:szCs w:val="26"/>
        </w:rPr>
        <w:t xml:space="preserve">) (collectively </w:t>
      </w:r>
      <w:r w:rsidR="00B42AC8">
        <w:rPr>
          <w:sz w:val="26"/>
          <w:szCs w:val="26"/>
        </w:rPr>
        <w:t xml:space="preserve">Joint </w:t>
      </w:r>
      <w:r w:rsidR="00F106F2">
        <w:rPr>
          <w:sz w:val="26"/>
          <w:szCs w:val="26"/>
        </w:rPr>
        <w:t xml:space="preserve">Applicants), and the Office of Small Business Advocate (OSBA) on December 30, 2014.  </w:t>
      </w:r>
      <w:r w:rsidR="007A5C6E" w:rsidRPr="00DF4729">
        <w:rPr>
          <w:sz w:val="26"/>
          <w:szCs w:val="26"/>
        </w:rPr>
        <w:t xml:space="preserve">No Exceptions were filed.  For the reasons set forth herein, we shall </w:t>
      </w:r>
      <w:r w:rsidR="00A457A7">
        <w:rPr>
          <w:sz w:val="26"/>
          <w:szCs w:val="26"/>
        </w:rPr>
        <w:t xml:space="preserve">modify </w:t>
      </w:r>
      <w:r w:rsidR="007A5C6E" w:rsidRPr="00DF4729">
        <w:rPr>
          <w:sz w:val="26"/>
          <w:szCs w:val="26"/>
        </w:rPr>
        <w:t xml:space="preserve">the </w:t>
      </w:r>
      <w:r w:rsidR="00F106F2">
        <w:rPr>
          <w:sz w:val="26"/>
          <w:szCs w:val="26"/>
        </w:rPr>
        <w:t>Recommended</w:t>
      </w:r>
      <w:r w:rsidR="007A5C6E" w:rsidRPr="00DF4729">
        <w:rPr>
          <w:sz w:val="26"/>
          <w:szCs w:val="26"/>
        </w:rPr>
        <w:t xml:space="preserve"> </w:t>
      </w:r>
      <w:r w:rsidR="007A5C6E" w:rsidRPr="00BA31D7">
        <w:rPr>
          <w:sz w:val="26"/>
          <w:szCs w:val="26"/>
        </w:rPr>
        <w:t xml:space="preserve">Decision as </w:t>
      </w:r>
      <w:r w:rsidR="00A457A7">
        <w:rPr>
          <w:sz w:val="26"/>
          <w:szCs w:val="26"/>
        </w:rPr>
        <w:t>stated in</w:t>
      </w:r>
      <w:r w:rsidR="00DF4729" w:rsidRPr="00BA31D7">
        <w:rPr>
          <w:sz w:val="26"/>
          <w:szCs w:val="26"/>
        </w:rPr>
        <w:t xml:space="preserve"> this Opinion and Order</w:t>
      </w:r>
      <w:r w:rsidR="007A5C6E" w:rsidRPr="00BA31D7">
        <w:rPr>
          <w:sz w:val="26"/>
          <w:szCs w:val="26"/>
        </w:rPr>
        <w:t>.</w:t>
      </w:r>
    </w:p>
    <w:p w:rsidR="007A5C6E" w:rsidRPr="00BA31D7" w:rsidRDefault="007A5C6E" w:rsidP="003844F5">
      <w:pPr>
        <w:widowControl/>
        <w:spacing w:line="360" w:lineRule="auto"/>
        <w:ind w:firstLine="1440"/>
        <w:rPr>
          <w:sz w:val="26"/>
          <w:szCs w:val="26"/>
        </w:rPr>
      </w:pPr>
    </w:p>
    <w:p w:rsidR="004B7158" w:rsidRPr="00BA31D7" w:rsidRDefault="00564DDA" w:rsidP="003844F5">
      <w:pPr>
        <w:keepNext/>
        <w:widowControl/>
        <w:spacing w:line="360" w:lineRule="auto"/>
        <w:jc w:val="center"/>
        <w:rPr>
          <w:b/>
          <w:sz w:val="26"/>
          <w:szCs w:val="26"/>
        </w:rPr>
      </w:pPr>
      <w:r w:rsidRPr="00BA31D7">
        <w:rPr>
          <w:b/>
          <w:sz w:val="26"/>
          <w:szCs w:val="26"/>
        </w:rPr>
        <w:t>History of the Proceeding</w:t>
      </w:r>
    </w:p>
    <w:p w:rsidR="0088335E" w:rsidRPr="00BA31D7" w:rsidRDefault="0088335E" w:rsidP="003844F5">
      <w:pPr>
        <w:keepNext/>
        <w:widowControl/>
        <w:spacing w:line="360" w:lineRule="auto"/>
        <w:jc w:val="center"/>
        <w:rPr>
          <w:b/>
          <w:sz w:val="26"/>
          <w:szCs w:val="26"/>
        </w:rPr>
      </w:pPr>
    </w:p>
    <w:p w:rsidR="003844F5" w:rsidRDefault="00F106F2"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On July 30, 2014, </w:t>
      </w:r>
      <w:r w:rsidR="00B42AC8">
        <w:rPr>
          <w:rFonts w:ascii="Times New Roman" w:hAnsi="Times New Roman" w:cs="Times New Roman"/>
          <w:sz w:val="26"/>
          <w:szCs w:val="26"/>
        </w:rPr>
        <w:t xml:space="preserve">Joint </w:t>
      </w:r>
      <w:r>
        <w:rPr>
          <w:rFonts w:ascii="Times New Roman" w:hAnsi="Times New Roman" w:cs="Times New Roman"/>
          <w:sz w:val="26"/>
          <w:szCs w:val="26"/>
        </w:rPr>
        <w:t>Applicants filed a Joint Application</w:t>
      </w:r>
      <w:r w:rsidR="003844F5">
        <w:rPr>
          <w:rFonts w:ascii="Times New Roman" w:hAnsi="Times New Roman" w:cs="Times New Roman"/>
          <w:sz w:val="26"/>
          <w:szCs w:val="26"/>
        </w:rPr>
        <w:t xml:space="preserve"> for All of the Necessary Authority, Approvals, and Certificates of Public Convenience (1) for the Transfer of PPL Corporation’s Ownership Interest in PPL Interstate Energy Company to Talen Energy Corporation, and Certain Post Closing Transactions Associated therewith; (2) for the Transfer of Certain Property Interests Between PPL Electric Utilities Corporation and PPL Energy Supply, LLC, and its Subsidiaries in Conjunction with the Transfer of All of the Interest</w:t>
      </w:r>
      <w:r w:rsidR="00AA7F65">
        <w:rPr>
          <w:rFonts w:ascii="Times New Roman" w:hAnsi="Times New Roman" w:cs="Times New Roman"/>
          <w:sz w:val="26"/>
          <w:szCs w:val="26"/>
        </w:rPr>
        <w:t>s</w:t>
      </w:r>
      <w:r w:rsidR="003844F5">
        <w:rPr>
          <w:rFonts w:ascii="Times New Roman" w:hAnsi="Times New Roman" w:cs="Times New Roman"/>
          <w:sz w:val="26"/>
          <w:szCs w:val="26"/>
        </w:rPr>
        <w:t xml:space="preserve"> of PPL Energy Supply, LLC and its Subsidiaries to Talen Energy Corporation; (3) for any Modification or Amendment of Associated Affiliated Interest Agreements; and (4) for any Other Approvals Necessary to Complete the Contemplated Transactions</w:t>
      </w:r>
      <w:r w:rsidR="00AA7F65">
        <w:rPr>
          <w:rFonts w:ascii="Times New Roman" w:hAnsi="Times New Roman" w:cs="Times New Roman"/>
          <w:sz w:val="26"/>
          <w:szCs w:val="26"/>
        </w:rPr>
        <w:t xml:space="preserve"> (Joint Application)</w:t>
      </w:r>
      <w:r w:rsidR="003844F5">
        <w:rPr>
          <w:rFonts w:ascii="Times New Roman" w:hAnsi="Times New Roman" w:cs="Times New Roman"/>
          <w:sz w:val="26"/>
          <w:szCs w:val="26"/>
        </w:rPr>
        <w:t xml:space="preserve">. </w:t>
      </w:r>
      <w:r>
        <w:rPr>
          <w:rFonts w:ascii="Times New Roman" w:hAnsi="Times New Roman" w:cs="Times New Roman"/>
          <w:sz w:val="26"/>
          <w:szCs w:val="26"/>
        </w:rPr>
        <w:t xml:space="preserve"> </w:t>
      </w:r>
      <w:r w:rsidR="003844F5">
        <w:rPr>
          <w:rFonts w:ascii="Times New Roman" w:hAnsi="Times New Roman" w:cs="Times New Roman"/>
          <w:sz w:val="26"/>
          <w:szCs w:val="26"/>
        </w:rPr>
        <w:t xml:space="preserve">Also attached to the Joint Application were </w:t>
      </w:r>
      <w:r>
        <w:rPr>
          <w:rFonts w:ascii="Times New Roman" w:hAnsi="Times New Roman" w:cs="Times New Roman"/>
          <w:sz w:val="26"/>
          <w:szCs w:val="26"/>
        </w:rPr>
        <w:t>Appendices A through O</w:t>
      </w:r>
      <w:r w:rsidR="003844F5">
        <w:rPr>
          <w:rFonts w:ascii="Times New Roman" w:hAnsi="Times New Roman" w:cs="Times New Roman"/>
          <w:sz w:val="26"/>
          <w:szCs w:val="26"/>
        </w:rPr>
        <w:t xml:space="preserve">.  </w:t>
      </w:r>
    </w:p>
    <w:p w:rsidR="003844F5" w:rsidRDefault="003844F5" w:rsidP="003844F5">
      <w:pPr>
        <w:pStyle w:val="ParaTab1"/>
        <w:spacing w:line="360" w:lineRule="auto"/>
        <w:rPr>
          <w:rFonts w:ascii="Times New Roman" w:hAnsi="Times New Roman" w:cs="Times New Roman"/>
          <w:sz w:val="26"/>
          <w:szCs w:val="26"/>
        </w:rPr>
      </w:pPr>
    </w:p>
    <w:p w:rsidR="00102BD0" w:rsidRDefault="00B42AC8"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Joint </w:t>
      </w:r>
      <w:r w:rsidR="003844F5">
        <w:rPr>
          <w:rFonts w:ascii="Times New Roman" w:hAnsi="Times New Roman" w:cs="Times New Roman"/>
          <w:sz w:val="26"/>
          <w:szCs w:val="26"/>
        </w:rPr>
        <w:t>Applicants sought</w:t>
      </w:r>
      <w:r w:rsidR="00F106F2">
        <w:rPr>
          <w:rFonts w:ascii="Times New Roman" w:hAnsi="Times New Roman" w:cs="Times New Roman"/>
          <w:sz w:val="26"/>
          <w:szCs w:val="26"/>
        </w:rPr>
        <w:t xml:space="preserve"> Commission approval of the transfer of </w:t>
      </w:r>
      <w:r w:rsidR="009F7664">
        <w:rPr>
          <w:rFonts w:ascii="Times New Roman" w:hAnsi="Times New Roman" w:cs="Times New Roman"/>
          <w:sz w:val="26"/>
          <w:szCs w:val="26"/>
        </w:rPr>
        <w:t xml:space="preserve">the interests of </w:t>
      </w:r>
      <w:r w:rsidR="00F106F2">
        <w:rPr>
          <w:rFonts w:ascii="Times New Roman" w:hAnsi="Times New Roman" w:cs="Times New Roman"/>
          <w:sz w:val="26"/>
          <w:szCs w:val="26"/>
        </w:rPr>
        <w:t>PPL Corporation</w:t>
      </w:r>
      <w:r w:rsidR="009F7664">
        <w:rPr>
          <w:rFonts w:ascii="Times New Roman" w:hAnsi="Times New Roman" w:cs="Times New Roman"/>
          <w:sz w:val="26"/>
          <w:szCs w:val="26"/>
        </w:rPr>
        <w:t xml:space="preserve"> (PPL Corp.) </w:t>
      </w:r>
      <w:r w:rsidR="00F106F2">
        <w:rPr>
          <w:rFonts w:ascii="Times New Roman" w:hAnsi="Times New Roman" w:cs="Times New Roman"/>
          <w:sz w:val="26"/>
          <w:szCs w:val="26"/>
        </w:rPr>
        <w:t>in PPL IEC pursuant to Section 1102(a)(3) of the Public Utility Code (Code), 66 Pa. C.S. § 1102(a)(3)</w:t>
      </w:r>
      <w:r w:rsidR="003844F5">
        <w:rPr>
          <w:rFonts w:ascii="Times New Roman" w:hAnsi="Times New Roman" w:cs="Times New Roman"/>
          <w:sz w:val="26"/>
          <w:szCs w:val="26"/>
        </w:rPr>
        <w:t xml:space="preserve"> </w:t>
      </w:r>
      <w:r w:rsidR="00F106F2">
        <w:rPr>
          <w:rFonts w:ascii="Times New Roman" w:hAnsi="Times New Roman" w:cs="Times New Roman"/>
          <w:sz w:val="26"/>
          <w:szCs w:val="26"/>
        </w:rPr>
        <w:t>because the current ownership of a certificated public utility will be transferred to Talen Energy</w:t>
      </w:r>
      <w:r w:rsidR="00102BD0">
        <w:rPr>
          <w:rFonts w:ascii="Times New Roman" w:hAnsi="Times New Roman" w:cs="Times New Roman"/>
          <w:sz w:val="26"/>
          <w:szCs w:val="26"/>
        </w:rPr>
        <w:t xml:space="preserve"> Corporation (Talen), which </w:t>
      </w:r>
      <w:r w:rsidR="009F7664">
        <w:rPr>
          <w:rFonts w:ascii="Times New Roman" w:hAnsi="Times New Roman" w:cs="Times New Roman"/>
          <w:sz w:val="26"/>
          <w:szCs w:val="26"/>
        </w:rPr>
        <w:t xml:space="preserve">upon consummation of the transaction </w:t>
      </w:r>
      <w:r w:rsidR="00102BD0">
        <w:rPr>
          <w:rFonts w:ascii="Times New Roman" w:hAnsi="Times New Roman" w:cs="Times New Roman"/>
          <w:sz w:val="26"/>
          <w:szCs w:val="26"/>
        </w:rPr>
        <w:t xml:space="preserve">will be a stand-alone, publicly-traded company with its own Board of Directors.  </w:t>
      </w:r>
      <w:r>
        <w:rPr>
          <w:rFonts w:ascii="Times New Roman" w:hAnsi="Times New Roman" w:cs="Times New Roman"/>
          <w:sz w:val="26"/>
          <w:szCs w:val="26"/>
        </w:rPr>
        <w:t xml:space="preserve">Joint </w:t>
      </w:r>
      <w:r w:rsidR="00102BD0">
        <w:rPr>
          <w:rFonts w:ascii="Times New Roman" w:hAnsi="Times New Roman" w:cs="Times New Roman"/>
          <w:sz w:val="26"/>
          <w:szCs w:val="26"/>
        </w:rPr>
        <w:t>Applicants also sought Commission approval because the Commission’s Policy Statement at 52 Pa. Code § 69.901(1) may govern the future sell-down of stock.</w:t>
      </w:r>
    </w:p>
    <w:p w:rsidR="00102BD0" w:rsidRDefault="00102BD0" w:rsidP="003844F5">
      <w:pPr>
        <w:pStyle w:val="ParaTab1"/>
        <w:spacing w:line="360" w:lineRule="auto"/>
        <w:rPr>
          <w:rFonts w:ascii="Times New Roman" w:hAnsi="Times New Roman" w:cs="Times New Roman"/>
          <w:sz w:val="26"/>
          <w:szCs w:val="26"/>
        </w:rPr>
      </w:pPr>
    </w:p>
    <w:p w:rsidR="00A03B56" w:rsidRDefault="008C0402"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Pursuant to a</w:t>
      </w:r>
      <w:r w:rsidR="00A03B56">
        <w:rPr>
          <w:rFonts w:ascii="Times New Roman" w:hAnsi="Times New Roman" w:cs="Times New Roman"/>
          <w:sz w:val="26"/>
          <w:szCs w:val="26"/>
        </w:rPr>
        <w:t xml:space="preserve">n August 5, 2014 </w:t>
      </w:r>
      <w:r>
        <w:rPr>
          <w:rFonts w:ascii="Times New Roman" w:hAnsi="Times New Roman" w:cs="Times New Roman"/>
          <w:sz w:val="26"/>
          <w:szCs w:val="26"/>
        </w:rPr>
        <w:t xml:space="preserve">Secretarial Letter, notice of the Joint Application was published in newspapers of general circulation in the areas affected, as confirmed by Affidavits for Proof of Publication filed by Joint Applicants on August 29, 2014.  Notice </w:t>
      </w:r>
      <w:r w:rsidR="00A03B56">
        <w:rPr>
          <w:rFonts w:ascii="Times New Roman" w:hAnsi="Times New Roman" w:cs="Times New Roman"/>
          <w:sz w:val="26"/>
          <w:szCs w:val="26"/>
        </w:rPr>
        <w:t xml:space="preserve">of the filing </w:t>
      </w:r>
      <w:r>
        <w:rPr>
          <w:rFonts w:ascii="Times New Roman" w:hAnsi="Times New Roman" w:cs="Times New Roman"/>
          <w:sz w:val="26"/>
          <w:szCs w:val="26"/>
        </w:rPr>
        <w:t xml:space="preserve">was also published on August 16, 2014, in the </w:t>
      </w:r>
      <w:r>
        <w:rPr>
          <w:rFonts w:ascii="Times New Roman" w:hAnsi="Times New Roman" w:cs="Times New Roman"/>
          <w:i/>
          <w:sz w:val="26"/>
          <w:szCs w:val="26"/>
        </w:rPr>
        <w:t xml:space="preserve">Pennsylvania </w:t>
      </w:r>
      <w:r w:rsidRPr="008C0402">
        <w:rPr>
          <w:rFonts w:ascii="Times New Roman" w:hAnsi="Times New Roman" w:cs="Times New Roman"/>
          <w:i/>
          <w:sz w:val="26"/>
          <w:szCs w:val="26"/>
        </w:rPr>
        <w:t>Bulletin</w:t>
      </w:r>
      <w:r>
        <w:rPr>
          <w:rFonts w:ascii="Times New Roman" w:hAnsi="Times New Roman" w:cs="Times New Roman"/>
          <w:sz w:val="26"/>
          <w:szCs w:val="26"/>
        </w:rPr>
        <w:t xml:space="preserve">, 44 </w:t>
      </w:r>
      <w:r w:rsidRPr="008C0402">
        <w:rPr>
          <w:rFonts w:ascii="Times New Roman" w:hAnsi="Times New Roman" w:cs="Times New Roman"/>
          <w:i/>
          <w:sz w:val="26"/>
          <w:szCs w:val="26"/>
        </w:rPr>
        <w:t>Pa.</w:t>
      </w:r>
      <w:r w:rsidR="00AA7F65">
        <w:rPr>
          <w:rFonts w:ascii="Times New Roman" w:hAnsi="Times New Roman" w:cs="Times New Roman"/>
          <w:i/>
          <w:sz w:val="26"/>
          <w:szCs w:val="26"/>
        </w:rPr>
        <w:t xml:space="preserve"> </w:t>
      </w:r>
      <w:r w:rsidRPr="008C0402">
        <w:rPr>
          <w:rFonts w:ascii="Times New Roman" w:hAnsi="Times New Roman" w:cs="Times New Roman"/>
          <w:i/>
          <w:sz w:val="26"/>
          <w:szCs w:val="26"/>
        </w:rPr>
        <w:t>B.</w:t>
      </w:r>
      <w:r>
        <w:rPr>
          <w:rFonts w:ascii="Times New Roman" w:hAnsi="Times New Roman" w:cs="Times New Roman"/>
          <w:sz w:val="26"/>
          <w:szCs w:val="26"/>
        </w:rPr>
        <w:t xml:space="preserve"> 5547, including notice of dates for the prehearing conference</w:t>
      </w:r>
      <w:r w:rsidR="003844F5">
        <w:rPr>
          <w:rFonts w:ascii="Times New Roman" w:hAnsi="Times New Roman" w:cs="Times New Roman"/>
          <w:sz w:val="26"/>
          <w:szCs w:val="26"/>
        </w:rPr>
        <w:t xml:space="preserve"> and due dates for</w:t>
      </w:r>
      <w:r>
        <w:rPr>
          <w:rFonts w:ascii="Times New Roman" w:hAnsi="Times New Roman" w:cs="Times New Roman"/>
          <w:sz w:val="26"/>
          <w:szCs w:val="26"/>
        </w:rPr>
        <w:t xml:space="preserve"> protests and interventions.  </w:t>
      </w:r>
    </w:p>
    <w:p w:rsidR="00A03B56" w:rsidRDefault="00A03B56" w:rsidP="003844F5">
      <w:pPr>
        <w:pStyle w:val="ParaTab1"/>
        <w:spacing w:line="360" w:lineRule="auto"/>
        <w:rPr>
          <w:rFonts w:ascii="Times New Roman" w:hAnsi="Times New Roman" w:cs="Times New Roman"/>
          <w:sz w:val="26"/>
          <w:szCs w:val="26"/>
        </w:rPr>
      </w:pPr>
    </w:p>
    <w:p w:rsidR="00A03B56" w:rsidRDefault="00A03B56"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On August 26, 2014, the International Brotherhood of Electrical Workers, </w:t>
      </w:r>
      <w:r w:rsidR="00AA7F65">
        <w:rPr>
          <w:rFonts w:ascii="Times New Roman" w:hAnsi="Times New Roman" w:cs="Times New Roman"/>
          <w:sz w:val="26"/>
          <w:szCs w:val="26"/>
        </w:rPr>
        <w:t>L</w:t>
      </w:r>
      <w:r>
        <w:rPr>
          <w:rFonts w:ascii="Times New Roman" w:hAnsi="Times New Roman" w:cs="Times New Roman"/>
          <w:sz w:val="26"/>
          <w:szCs w:val="26"/>
        </w:rPr>
        <w:t xml:space="preserve">ocal 1600 (IBEW) filed a </w:t>
      </w:r>
      <w:r w:rsidR="00C605CF">
        <w:rPr>
          <w:rFonts w:ascii="Times New Roman" w:hAnsi="Times New Roman" w:cs="Times New Roman"/>
          <w:sz w:val="26"/>
          <w:szCs w:val="26"/>
        </w:rPr>
        <w:t>P</w:t>
      </w:r>
      <w:r>
        <w:rPr>
          <w:rFonts w:ascii="Times New Roman" w:hAnsi="Times New Roman" w:cs="Times New Roman"/>
          <w:sz w:val="26"/>
          <w:szCs w:val="26"/>
        </w:rPr>
        <w:t xml:space="preserve">etition to </w:t>
      </w:r>
      <w:r w:rsidR="00C605CF">
        <w:rPr>
          <w:rFonts w:ascii="Times New Roman" w:hAnsi="Times New Roman" w:cs="Times New Roman"/>
          <w:sz w:val="26"/>
          <w:szCs w:val="26"/>
        </w:rPr>
        <w:t>I</w:t>
      </w:r>
      <w:r>
        <w:rPr>
          <w:rFonts w:ascii="Times New Roman" w:hAnsi="Times New Roman" w:cs="Times New Roman"/>
          <w:sz w:val="26"/>
          <w:szCs w:val="26"/>
        </w:rPr>
        <w:t xml:space="preserve">ntervene. </w:t>
      </w:r>
      <w:r w:rsidR="003844F5">
        <w:rPr>
          <w:rFonts w:ascii="Times New Roman" w:hAnsi="Times New Roman" w:cs="Times New Roman"/>
          <w:sz w:val="26"/>
          <w:szCs w:val="26"/>
        </w:rPr>
        <w:t xml:space="preserve"> </w:t>
      </w:r>
      <w:r>
        <w:rPr>
          <w:rFonts w:ascii="Times New Roman" w:hAnsi="Times New Roman" w:cs="Times New Roman"/>
          <w:sz w:val="26"/>
          <w:szCs w:val="26"/>
        </w:rPr>
        <w:t xml:space="preserve">The Office of Consumer Advocate (OCA) filed a </w:t>
      </w:r>
      <w:r w:rsidR="00C605CF">
        <w:rPr>
          <w:rFonts w:ascii="Times New Roman" w:hAnsi="Times New Roman" w:cs="Times New Roman"/>
          <w:sz w:val="26"/>
          <w:szCs w:val="26"/>
        </w:rPr>
        <w:t>N</w:t>
      </w:r>
      <w:r>
        <w:rPr>
          <w:rFonts w:ascii="Times New Roman" w:hAnsi="Times New Roman" w:cs="Times New Roman"/>
          <w:sz w:val="26"/>
          <w:szCs w:val="26"/>
        </w:rPr>
        <w:t xml:space="preserve">otice of </w:t>
      </w:r>
      <w:r w:rsidR="00C605CF">
        <w:rPr>
          <w:rFonts w:ascii="Times New Roman" w:hAnsi="Times New Roman" w:cs="Times New Roman"/>
          <w:sz w:val="26"/>
          <w:szCs w:val="26"/>
        </w:rPr>
        <w:t>I</w:t>
      </w:r>
      <w:r>
        <w:rPr>
          <w:rFonts w:ascii="Times New Roman" w:hAnsi="Times New Roman" w:cs="Times New Roman"/>
          <w:sz w:val="26"/>
          <w:szCs w:val="26"/>
        </w:rPr>
        <w:t xml:space="preserve">ntervention on September 4, 2014.  </w:t>
      </w:r>
      <w:r w:rsidRPr="00A03B56">
        <w:rPr>
          <w:rFonts w:ascii="Times New Roman" w:hAnsi="Times New Roman" w:cs="Times New Roman"/>
          <w:sz w:val="26"/>
          <w:szCs w:val="26"/>
        </w:rPr>
        <w:t xml:space="preserve">On September 5, 2015, Allegheny Electric Cooperative, Inc. (AECI) filed a </w:t>
      </w:r>
      <w:r w:rsidR="00C605CF">
        <w:rPr>
          <w:rFonts w:ascii="Times New Roman" w:hAnsi="Times New Roman" w:cs="Times New Roman"/>
          <w:sz w:val="26"/>
          <w:szCs w:val="26"/>
        </w:rPr>
        <w:t>P</w:t>
      </w:r>
      <w:r w:rsidRPr="00A03B56">
        <w:rPr>
          <w:rFonts w:ascii="Times New Roman" w:hAnsi="Times New Roman" w:cs="Times New Roman"/>
          <w:sz w:val="26"/>
          <w:szCs w:val="26"/>
        </w:rPr>
        <w:t xml:space="preserve">etition to </w:t>
      </w:r>
      <w:r w:rsidR="00C605CF">
        <w:rPr>
          <w:rFonts w:ascii="Times New Roman" w:hAnsi="Times New Roman" w:cs="Times New Roman"/>
          <w:sz w:val="26"/>
          <w:szCs w:val="26"/>
        </w:rPr>
        <w:t>I</w:t>
      </w:r>
      <w:r w:rsidRPr="00A03B56">
        <w:rPr>
          <w:rFonts w:ascii="Times New Roman" w:hAnsi="Times New Roman" w:cs="Times New Roman"/>
          <w:sz w:val="26"/>
          <w:szCs w:val="26"/>
        </w:rPr>
        <w:t xml:space="preserve">ntervene </w:t>
      </w:r>
      <w:r>
        <w:rPr>
          <w:rFonts w:ascii="Times New Roman" w:hAnsi="Times New Roman" w:cs="Times New Roman"/>
          <w:sz w:val="26"/>
          <w:szCs w:val="26"/>
        </w:rPr>
        <w:t xml:space="preserve">and the OSBA filed a </w:t>
      </w:r>
      <w:r w:rsidR="00C605CF">
        <w:rPr>
          <w:rFonts w:ascii="Times New Roman" w:hAnsi="Times New Roman" w:cs="Times New Roman"/>
          <w:sz w:val="26"/>
          <w:szCs w:val="26"/>
        </w:rPr>
        <w:t>P</w:t>
      </w:r>
      <w:r>
        <w:rPr>
          <w:rFonts w:ascii="Times New Roman" w:hAnsi="Times New Roman" w:cs="Times New Roman"/>
          <w:sz w:val="26"/>
          <w:szCs w:val="26"/>
        </w:rPr>
        <w:t xml:space="preserve">rotest.  All interventions were unopposed and were granted by the ALJ by Scheduling Order issued September 22, 2014.  </w:t>
      </w:r>
      <w:r w:rsidR="00C605CF" w:rsidRPr="00C605CF">
        <w:rPr>
          <w:rFonts w:ascii="Times New Roman" w:hAnsi="Times New Roman" w:cs="Times New Roman"/>
          <w:sz w:val="26"/>
          <w:szCs w:val="26"/>
        </w:rPr>
        <w:t xml:space="preserve">Monitoring Analytics, LLC, acting in its capacity as the Independent Market Monitor for </w:t>
      </w:r>
      <w:r w:rsidR="00D129D7">
        <w:rPr>
          <w:rFonts w:ascii="Times New Roman" w:hAnsi="Times New Roman" w:cs="Times New Roman"/>
          <w:sz w:val="26"/>
          <w:szCs w:val="26"/>
        </w:rPr>
        <w:t>PJM Interconnection, LLC (</w:t>
      </w:r>
      <w:r w:rsidR="00C605CF" w:rsidRPr="00C605CF">
        <w:rPr>
          <w:rFonts w:ascii="Times New Roman" w:hAnsi="Times New Roman" w:cs="Times New Roman"/>
          <w:sz w:val="26"/>
          <w:szCs w:val="26"/>
        </w:rPr>
        <w:t>PJM</w:t>
      </w:r>
      <w:r w:rsidR="00D129D7">
        <w:rPr>
          <w:rFonts w:ascii="Times New Roman" w:hAnsi="Times New Roman" w:cs="Times New Roman"/>
          <w:sz w:val="26"/>
          <w:szCs w:val="26"/>
        </w:rPr>
        <w:t>)</w:t>
      </w:r>
      <w:r w:rsidR="00C605CF">
        <w:rPr>
          <w:rFonts w:ascii="Times New Roman" w:hAnsi="Times New Roman" w:cs="Times New Roman"/>
          <w:sz w:val="26"/>
          <w:szCs w:val="26"/>
        </w:rPr>
        <w:t>, filed</w:t>
      </w:r>
      <w:r w:rsidR="00C605CF" w:rsidRPr="00C605CF">
        <w:rPr>
          <w:rFonts w:ascii="Times New Roman" w:hAnsi="Times New Roman" w:cs="Times New Roman"/>
          <w:sz w:val="26"/>
          <w:szCs w:val="26"/>
        </w:rPr>
        <w:t xml:space="preserve"> </w:t>
      </w:r>
      <w:r>
        <w:rPr>
          <w:rFonts w:ascii="Times New Roman" w:hAnsi="Times New Roman" w:cs="Times New Roman"/>
          <w:sz w:val="26"/>
          <w:szCs w:val="26"/>
        </w:rPr>
        <w:t>Comments and a Motion to Intervene Out</w:t>
      </w:r>
      <w:r w:rsidR="00C605CF">
        <w:rPr>
          <w:rFonts w:ascii="Times New Roman" w:hAnsi="Times New Roman" w:cs="Times New Roman"/>
          <w:sz w:val="26"/>
          <w:szCs w:val="26"/>
        </w:rPr>
        <w:t>-</w:t>
      </w:r>
      <w:r>
        <w:rPr>
          <w:rFonts w:ascii="Times New Roman" w:hAnsi="Times New Roman" w:cs="Times New Roman"/>
          <w:sz w:val="26"/>
          <w:szCs w:val="26"/>
        </w:rPr>
        <w:t>of</w:t>
      </w:r>
      <w:r w:rsidR="00C605CF">
        <w:rPr>
          <w:rFonts w:ascii="Times New Roman" w:hAnsi="Times New Roman" w:cs="Times New Roman"/>
          <w:sz w:val="26"/>
          <w:szCs w:val="26"/>
        </w:rPr>
        <w:t>-</w:t>
      </w:r>
      <w:r>
        <w:rPr>
          <w:rFonts w:ascii="Times New Roman" w:hAnsi="Times New Roman" w:cs="Times New Roman"/>
          <w:sz w:val="26"/>
          <w:szCs w:val="26"/>
        </w:rPr>
        <w:t xml:space="preserve">Time </w:t>
      </w:r>
      <w:r w:rsidR="00C605CF">
        <w:rPr>
          <w:rFonts w:ascii="Times New Roman" w:hAnsi="Times New Roman" w:cs="Times New Roman"/>
          <w:sz w:val="26"/>
          <w:szCs w:val="26"/>
        </w:rPr>
        <w:t>o</w:t>
      </w:r>
      <w:r>
        <w:rPr>
          <w:rFonts w:ascii="Times New Roman" w:hAnsi="Times New Roman" w:cs="Times New Roman"/>
          <w:sz w:val="26"/>
          <w:szCs w:val="26"/>
        </w:rPr>
        <w:t xml:space="preserve">n September 24, 2014.  </w:t>
      </w:r>
      <w:r w:rsidR="00B42AC8">
        <w:rPr>
          <w:rFonts w:ascii="Times New Roman" w:hAnsi="Times New Roman" w:cs="Times New Roman"/>
          <w:sz w:val="26"/>
          <w:szCs w:val="26"/>
        </w:rPr>
        <w:t xml:space="preserve">Joint </w:t>
      </w:r>
      <w:r>
        <w:rPr>
          <w:rFonts w:ascii="Times New Roman" w:hAnsi="Times New Roman" w:cs="Times New Roman"/>
          <w:sz w:val="26"/>
          <w:szCs w:val="26"/>
        </w:rPr>
        <w:t>Applicants filed a timely Answer and Objection to the late-filed intervention</w:t>
      </w:r>
      <w:r w:rsidR="0032074A">
        <w:rPr>
          <w:rFonts w:ascii="Times New Roman" w:hAnsi="Times New Roman" w:cs="Times New Roman"/>
          <w:sz w:val="26"/>
          <w:szCs w:val="26"/>
        </w:rPr>
        <w:t xml:space="preserve">. By Initial Decision </w:t>
      </w:r>
      <w:r w:rsidR="007B0044">
        <w:rPr>
          <w:rFonts w:ascii="Times New Roman" w:hAnsi="Times New Roman" w:cs="Times New Roman"/>
          <w:sz w:val="26"/>
          <w:szCs w:val="26"/>
        </w:rPr>
        <w:t>issued</w:t>
      </w:r>
      <w:r w:rsidR="0032074A">
        <w:rPr>
          <w:rFonts w:ascii="Times New Roman" w:hAnsi="Times New Roman" w:cs="Times New Roman"/>
          <w:sz w:val="26"/>
          <w:szCs w:val="26"/>
        </w:rPr>
        <w:t xml:space="preserve"> November 4, 2014, the ALJ denied Monitoring Analytics, LLC’s intervention, which decision </w:t>
      </w:r>
      <w:r w:rsidR="0032074A" w:rsidRPr="0032074A">
        <w:rPr>
          <w:rFonts w:ascii="Times New Roman" w:hAnsi="Times New Roman" w:cs="Times New Roman"/>
          <w:sz w:val="26"/>
          <w:szCs w:val="26"/>
        </w:rPr>
        <w:t xml:space="preserve">become final without further Commission action </w:t>
      </w:r>
      <w:r>
        <w:rPr>
          <w:rFonts w:ascii="Times New Roman" w:hAnsi="Times New Roman" w:cs="Times New Roman"/>
          <w:sz w:val="26"/>
          <w:szCs w:val="26"/>
        </w:rPr>
        <w:t xml:space="preserve">by </w:t>
      </w:r>
      <w:r w:rsidR="0032074A">
        <w:rPr>
          <w:rFonts w:ascii="Times New Roman" w:hAnsi="Times New Roman" w:cs="Times New Roman"/>
          <w:sz w:val="26"/>
          <w:szCs w:val="26"/>
        </w:rPr>
        <w:t>Final Order entered December 8, 2014</w:t>
      </w:r>
      <w:r>
        <w:rPr>
          <w:rFonts w:ascii="Times New Roman" w:hAnsi="Times New Roman" w:cs="Times New Roman"/>
          <w:sz w:val="26"/>
          <w:szCs w:val="26"/>
        </w:rPr>
        <w:t xml:space="preserve">. </w:t>
      </w:r>
      <w:r w:rsidR="003844F5">
        <w:rPr>
          <w:rFonts w:ascii="Times New Roman" w:hAnsi="Times New Roman" w:cs="Times New Roman"/>
          <w:sz w:val="26"/>
          <w:szCs w:val="26"/>
        </w:rPr>
        <w:t xml:space="preserve"> </w:t>
      </w:r>
      <w:r>
        <w:rPr>
          <w:rFonts w:ascii="Times New Roman" w:hAnsi="Times New Roman" w:cs="Times New Roman"/>
          <w:sz w:val="26"/>
          <w:szCs w:val="26"/>
        </w:rPr>
        <w:t xml:space="preserve">On October 15, 2014, AECI filed a Petition for Leave to Withdraw its Petition to Intervene, which was unopposed.  AECI’s withdrawal was </w:t>
      </w:r>
      <w:r w:rsidR="00C605CF">
        <w:rPr>
          <w:rFonts w:ascii="Times New Roman" w:hAnsi="Times New Roman" w:cs="Times New Roman"/>
          <w:sz w:val="26"/>
          <w:szCs w:val="26"/>
        </w:rPr>
        <w:t xml:space="preserve">granted </w:t>
      </w:r>
      <w:r>
        <w:rPr>
          <w:rFonts w:ascii="Times New Roman" w:hAnsi="Times New Roman" w:cs="Times New Roman"/>
          <w:sz w:val="26"/>
          <w:szCs w:val="26"/>
        </w:rPr>
        <w:t xml:space="preserve">by </w:t>
      </w:r>
      <w:r w:rsidR="00C605CF">
        <w:rPr>
          <w:rFonts w:ascii="Times New Roman" w:hAnsi="Times New Roman" w:cs="Times New Roman"/>
          <w:sz w:val="26"/>
          <w:szCs w:val="26"/>
        </w:rPr>
        <w:t xml:space="preserve">the </w:t>
      </w:r>
      <w:r>
        <w:rPr>
          <w:rFonts w:ascii="Times New Roman" w:hAnsi="Times New Roman" w:cs="Times New Roman"/>
          <w:sz w:val="26"/>
          <w:szCs w:val="26"/>
        </w:rPr>
        <w:t xml:space="preserve">ALJ </w:t>
      </w:r>
      <w:r w:rsidR="00C605CF">
        <w:rPr>
          <w:rFonts w:ascii="Times New Roman" w:hAnsi="Times New Roman" w:cs="Times New Roman"/>
          <w:sz w:val="26"/>
          <w:szCs w:val="26"/>
        </w:rPr>
        <w:t xml:space="preserve">in an Initial Decision </w:t>
      </w:r>
      <w:r w:rsidR="007B0044">
        <w:rPr>
          <w:rFonts w:ascii="Times New Roman" w:hAnsi="Times New Roman" w:cs="Times New Roman"/>
          <w:sz w:val="26"/>
          <w:szCs w:val="26"/>
        </w:rPr>
        <w:t>issued December 3</w:t>
      </w:r>
      <w:r>
        <w:rPr>
          <w:rFonts w:ascii="Times New Roman" w:hAnsi="Times New Roman" w:cs="Times New Roman"/>
          <w:sz w:val="26"/>
          <w:szCs w:val="26"/>
        </w:rPr>
        <w:t>, 2014</w:t>
      </w:r>
      <w:r w:rsidR="0032074A">
        <w:rPr>
          <w:rFonts w:ascii="Times New Roman" w:hAnsi="Times New Roman" w:cs="Times New Roman"/>
          <w:sz w:val="26"/>
          <w:szCs w:val="26"/>
        </w:rPr>
        <w:t xml:space="preserve">, which decision became </w:t>
      </w:r>
      <w:r w:rsidR="0032074A" w:rsidRPr="0032074A">
        <w:rPr>
          <w:rFonts w:ascii="Times New Roman" w:hAnsi="Times New Roman" w:cs="Times New Roman"/>
          <w:sz w:val="26"/>
          <w:szCs w:val="26"/>
        </w:rPr>
        <w:t xml:space="preserve">final without further Commission action </w:t>
      </w:r>
      <w:r w:rsidR="0032074A">
        <w:rPr>
          <w:rFonts w:ascii="Times New Roman" w:hAnsi="Times New Roman" w:cs="Times New Roman"/>
          <w:sz w:val="26"/>
          <w:szCs w:val="26"/>
        </w:rPr>
        <w:t>by Final Order entered January 8, 2015</w:t>
      </w:r>
      <w:r>
        <w:rPr>
          <w:rFonts w:ascii="Times New Roman" w:hAnsi="Times New Roman" w:cs="Times New Roman"/>
          <w:sz w:val="26"/>
          <w:szCs w:val="26"/>
        </w:rPr>
        <w:t xml:space="preserve">.  </w:t>
      </w:r>
    </w:p>
    <w:p w:rsidR="00A03B56" w:rsidRDefault="00A03B56" w:rsidP="003844F5">
      <w:pPr>
        <w:pStyle w:val="ParaTab1"/>
        <w:spacing w:line="360" w:lineRule="auto"/>
        <w:rPr>
          <w:rFonts w:ascii="Times New Roman" w:hAnsi="Times New Roman" w:cs="Times New Roman"/>
          <w:sz w:val="26"/>
          <w:szCs w:val="26"/>
        </w:rPr>
      </w:pPr>
    </w:p>
    <w:p w:rsidR="009945CC" w:rsidRDefault="00C605CF"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After reaching an agreement in principle on all issues, the parties requested a suspension of the procedural sc</w:t>
      </w:r>
      <w:r w:rsidR="009F7664">
        <w:rPr>
          <w:rFonts w:ascii="Times New Roman" w:hAnsi="Times New Roman" w:cs="Times New Roman"/>
          <w:sz w:val="26"/>
          <w:szCs w:val="26"/>
        </w:rPr>
        <w:t>hedule and hearings were cancel</w:t>
      </w:r>
      <w:r>
        <w:rPr>
          <w:rFonts w:ascii="Times New Roman" w:hAnsi="Times New Roman" w:cs="Times New Roman"/>
          <w:sz w:val="26"/>
          <w:szCs w:val="26"/>
        </w:rPr>
        <w:t xml:space="preserve">ed.  On December 30, 2014, </w:t>
      </w:r>
      <w:r w:rsidR="00B42AC8">
        <w:rPr>
          <w:rFonts w:ascii="Times New Roman" w:hAnsi="Times New Roman" w:cs="Times New Roman"/>
          <w:sz w:val="26"/>
          <w:szCs w:val="26"/>
        </w:rPr>
        <w:t xml:space="preserve">Joint </w:t>
      </w:r>
      <w:r>
        <w:rPr>
          <w:rFonts w:ascii="Times New Roman" w:hAnsi="Times New Roman" w:cs="Times New Roman"/>
          <w:sz w:val="26"/>
          <w:szCs w:val="26"/>
        </w:rPr>
        <w:t xml:space="preserve">Applicants and the OSBA (Signatory Parties) filed </w:t>
      </w:r>
      <w:r w:rsidR="009945CC">
        <w:rPr>
          <w:rFonts w:ascii="Times New Roman" w:hAnsi="Times New Roman" w:cs="Times New Roman"/>
          <w:sz w:val="26"/>
          <w:szCs w:val="26"/>
        </w:rPr>
        <w:t>the</w:t>
      </w:r>
      <w:r>
        <w:rPr>
          <w:rFonts w:ascii="Times New Roman" w:hAnsi="Times New Roman" w:cs="Times New Roman"/>
          <w:sz w:val="26"/>
          <w:szCs w:val="26"/>
        </w:rPr>
        <w:t xml:space="preserve"> Joint Petition, including Statements in Support of the Joint Petition</w:t>
      </w:r>
      <w:r w:rsidR="009945CC">
        <w:rPr>
          <w:rFonts w:ascii="Times New Roman" w:hAnsi="Times New Roman" w:cs="Times New Roman"/>
          <w:sz w:val="26"/>
          <w:szCs w:val="26"/>
        </w:rPr>
        <w:t>,</w:t>
      </w:r>
      <w:r>
        <w:rPr>
          <w:rFonts w:ascii="Times New Roman" w:hAnsi="Times New Roman" w:cs="Times New Roman"/>
          <w:sz w:val="26"/>
          <w:szCs w:val="26"/>
        </w:rPr>
        <w:t xml:space="preserve"> </w:t>
      </w:r>
      <w:r w:rsidR="009945CC">
        <w:rPr>
          <w:rFonts w:ascii="Times New Roman" w:hAnsi="Times New Roman" w:cs="Times New Roman"/>
          <w:sz w:val="26"/>
          <w:szCs w:val="26"/>
        </w:rPr>
        <w:t xml:space="preserve">and </w:t>
      </w:r>
      <w:r>
        <w:rPr>
          <w:rFonts w:ascii="Times New Roman" w:hAnsi="Times New Roman" w:cs="Times New Roman"/>
          <w:sz w:val="26"/>
          <w:szCs w:val="26"/>
        </w:rPr>
        <w:t xml:space="preserve">proposed Findings of Fact, Conclusions of Law, and Ordering Paragraphs.  Non-signatory parties did not oppose the </w:t>
      </w:r>
      <w:r>
        <w:rPr>
          <w:rFonts w:ascii="Times New Roman" w:hAnsi="Times New Roman" w:cs="Times New Roman"/>
          <w:sz w:val="26"/>
          <w:szCs w:val="26"/>
        </w:rPr>
        <w:lastRenderedPageBreak/>
        <w:t xml:space="preserve">Joint Petition, as indicated </w:t>
      </w:r>
      <w:r w:rsidR="009945CC">
        <w:rPr>
          <w:rFonts w:ascii="Times New Roman" w:hAnsi="Times New Roman" w:cs="Times New Roman"/>
          <w:sz w:val="26"/>
          <w:szCs w:val="26"/>
        </w:rPr>
        <w:t>by</w:t>
      </w:r>
      <w:r>
        <w:rPr>
          <w:rFonts w:ascii="Times New Roman" w:hAnsi="Times New Roman" w:cs="Times New Roman"/>
          <w:sz w:val="26"/>
          <w:szCs w:val="26"/>
        </w:rPr>
        <w:t xml:space="preserve"> letters of non-opposition from the OCA and the IBEW attached to the Joint Petition as Appendices C and D</w:t>
      </w:r>
      <w:r w:rsidR="002B31CD">
        <w:rPr>
          <w:rFonts w:ascii="Times New Roman" w:hAnsi="Times New Roman" w:cs="Times New Roman"/>
          <w:sz w:val="26"/>
          <w:szCs w:val="26"/>
        </w:rPr>
        <w:t>, respectively</w:t>
      </w:r>
      <w:r>
        <w:rPr>
          <w:rFonts w:ascii="Times New Roman" w:hAnsi="Times New Roman" w:cs="Times New Roman"/>
          <w:sz w:val="26"/>
          <w:szCs w:val="26"/>
        </w:rPr>
        <w:t xml:space="preserve">.  </w:t>
      </w:r>
    </w:p>
    <w:p w:rsidR="009945CC" w:rsidRDefault="009945CC" w:rsidP="003844F5">
      <w:pPr>
        <w:pStyle w:val="ParaTab1"/>
        <w:spacing w:line="360" w:lineRule="auto"/>
        <w:rPr>
          <w:rFonts w:ascii="Times New Roman" w:hAnsi="Times New Roman" w:cs="Times New Roman"/>
          <w:sz w:val="26"/>
          <w:szCs w:val="26"/>
        </w:rPr>
      </w:pPr>
    </w:p>
    <w:p w:rsidR="009945CC" w:rsidRPr="008B180E" w:rsidRDefault="00F918E1" w:rsidP="003844F5">
      <w:pPr>
        <w:widowControl/>
        <w:tabs>
          <w:tab w:val="left" w:pos="1440"/>
        </w:tabs>
        <w:spacing w:line="360" w:lineRule="auto"/>
        <w:ind w:firstLine="720"/>
        <w:rPr>
          <w:sz w:val="24"/>
          <w:szCs w:val="24"/>
        </w:rPr>
      </w:pPr>
      <w:r>
        <w:rPr>
          <w:sz w:val="26"/>
          <w:szCs w:val="26"/>
        </w:rPr>
        <w:tab/>
      </w:r>
      <w:r w:rsidR="009945CC">
        <w:rPr>
          <w:sz w:val="26"/>
          <w:szCs w:val="26"/>
        </w:rPr>
        <w:t>On January 6, 2015, the Appendices to the Joint Application were updated.</w:t>
      </w:r>
      <w:r w:rsidR="009F7664">
        <w:rPr>
          <w:rStyle w:val="FootnoteReference"/>
          <w:sz w:val="26"/>
          <w:szCs w:val="26"/>
        </w:rPr>
        <w:footnoteReference w:id="1"/>
      </w:r>
      <w:r w:rsidR="009945CC">
        <w:rPr>
          <w:sz w:val="26"/>
          <w:szCs w:val="26"/>
        </w:rPr>
        <w:t xml:space="preserve">  On January 8, 2015, a Stipulation of Evidence was filed, seeking inclusion into the record of the following</w:t>
      </w:r>
      <w:r w:rsidR="009945CC" w:rsidRPr="008B180E">
        <w:rPr>
          <w:sz w:val="24"/>
          <w:szCs w:val="24"/>
        </w:rPr>
        <w:t>:</w:t>
      </w:r>
    </w:p>
    <w:p w:rsidR="009945CC" w:rsidRPr="008B180E" w:rsidRDefault="009945CC" w:rsidP="003844F5">
      <w:pPr>
        <w:widowControl/>
        <w:spacing w:line="360" w:lineRule="auto"/>
        <w:rPr>
          <w:sz w:val="24"/>
          <w:szCs w:val="24"/>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w:t>
      </w:r>
      <w:r w:rsidRPr="004A3A4C">
        <w:rPr>
          <w:sz w:val="26"/>
          <w:szCs w:val="26"/>
        </w:rPr>
        <w:t xml:space="preserve"> – “Joint Application of PPL Interstate Energy Company and PPL Electric Utilities Corporation for All Necessary Authority, Approvals, and Certificates of Public Convenience (1) for the Transfer of PPL Corporation’s Ownership Interests in PPL Interstate Energy Company to Talen Energy Corporation, and Certain Post-closing Transactions Associated therewith; (2) for the Transfer of Certain Property Interests Between PPL Electric Utilities Corporation and PPL Energy Supply, LLC and its Subsidiaries in Conjunction with the Transfer of All of the Interests of PPL Energy Supply, LLC and its Subsidiaries to Talen Energy Corporation; (3) for any Modification or Amendment of Associated Affiliated Interest Agreements; and (4) for any Other Approvals Necessary to Complete the Contemplated Transactions.”</w:t>
      </w:r>
    </w:p>
    <w:p w:rsidR="009945CC" w:rsidRPr="004A3A4C" w:rsidRDefault="009945CC" w:rsidP="003844F5">
      <w:pPr>
        <w:pStyle w:val="ListNumber"/>
        <w:numPr>
          <w:ilvl w:val="0"/>
          <w:numId w:val="0"/>
        </w:numPr>
        <w:spacing w:line="240" w:lineRule="auto"/>
        <w:ind w:left="1800"/>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A</w:t>
      </w:r>
      <w:r w:rsidRPr="004A3A4C">
        <w:rPr>
          <w:sz w:val="26"/>
          <w:szCs w:val="26"/>
        </w:rPr>
        <w:t xml:space="preserve"> – Separation Agreement [</w:t>
      </w:r>
      <w:r w:rsidRPr="004A3A4C">
        <w:rPr>
          <w:b/>
          <w:sz w:val="26"/>
          <w:szCs w:val="26"/>
        </w:rPr>
        <w:t>HIGHLY CONFIDENTIAL treatment is required for the Separation Agreement Schedules (ALL FILED UNDER SEAL)</w:t>
      </w:r>
      <w:r w:rsidRPr="004A3A4C">
        <w:rPr>
          <w:sz w:val="26"/>
          <w:szCs w:val="26"/>
        </w:rPr>
        <w:t>]</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B</w:t>
      </w:r>
      <w:r w:rsidRPr="004A3A4C">
        <w:rPr>
          <w:sz w:val="26"/>
          <w:szCs w:val="26"/>
        </w:rPr>
        <w:t xml:space="preserve"> – Transaction Agreement [</w:t>
      </w:r>
      <w:r w:rsidRPr="004A3A4C">
        <w:rPr>
          <w:b/>
          <w:sz w:val="26"/>
          <w:szCs w:val="26"/>
        </w:rPr>
        <w:t>HIGHLY CONFIDENTIAL treatment is required for the Parent Disclosure Letter and RJS Disclosure Letter (ALL FILED UNDER SEAL)</w:t>
      </w:r>
      <w:r w:rsidRPr="004A3A4C">
        <w:rPr>
          <w:sz w:val="26"/>
          <w:szCs w:val="26"/>
        </w:rPr>
        <w:t>]</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C</w:t>
      </w:r>
      <w:r w:rsidRPr="004A3A4C">
        <w:rPr>
          <w:sz w:val="26"/>
          <w:szCs w:val="26"/>
        </w:rPr>
        <w:t xml:space="preserve"> – Employee Matters Agreement</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D</w:t>
      </w:r>
      <w:r w:rsidRPr="004A3A4C">
        <w:rPr>
          <w:sz w:val="26"/>
          <w:szCs w:val="26"/>
        </w:rPr>
        <w:t xml:space="preserve"> – Organizational chart showing PPL Corp. and its relevant domestic subsidiaries prior to the closing of the Proposed Transaction (June 1, 2014)</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lastRenderedPageBreak/>
        <w:t>Joint Applicants’ Exhibit No. 1, Appendix E</w:t>
      </w:r>
      <w:r w:rsidRPr="004A3A4C">
        <w:rPr>
          <w:sz w:val="26"/>
          <w:szCs w:val="26"/>
        </w:rPr>
        <w:t xml:space="preserve"> – Organizational chart showing </w:t>
      </w:r>
      <w:proofErr w:type="spellStart"/>
      <w:r w:rsidRPr="004A3A4C">
        <w:rPr>
          <w:sz w:val="26"/>
          <w:szCs w:val="26"/>
        </w:rPr>
        <w:t>Riverstone</w:t>
      </w:r>
      <w:proofErr w:type="spellEnd"/>
      <w:r w:rsidRPr="004A3A4C">
        <w:rPr>
          <w:sz w:val="26"/>
          <w:szCs w:val="26"/>
        </w:rPr>
        <w:t xml:space="preserve">, the RJS Entities and its relevant affiliates prior to the closing of the Proposed Transaction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F</w:t>
      </w:r>
      <w:r w:rsidRPr="004A3A4C">
        <w:rPr>
          <w:sz w:val="26"/>
          <w:szCs w:val="26"/>
        </w:rPr>
        <w:t xml:space="preserve"> – Organizational chart showing PPL Corp. and its first-tier domestic subsidiaries following the closing of the Proposed Transaction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G</w:t>
      </w:r>
      <w:r w:rsidRPr="004A3A4C">
        <w:rPr>
          <w:sz w:val="26"/>
          <w:szCs w:val="26"/>
        </w:rPr>
        <w:t xml:space="preserve"> – Organizational chart showing </w:t>
      </w:r>
      <w:proofErr w:type="spellStart"/>
      <w:r w:rsidRPr="004A3A4C">
        <w:rPr>
          <w:sz w:val="26"/>
          <w:szCs w:val="26"/>
        </w:rPr>
        <w:t>Riverstone</w:t>
      </w:r>
      <w:proofErr w:type="spellEnd"/>
      <w:r w:rsidRPr="004A3A4C">
        <w:rPr>
          <w:sz w:val="26"/>
          <w:szCs w:val="26"/>
        </w:rPr>
        <w:t xml:space="preserve">, the RJS Entities and relevant affiliates following the closing of the Proposed Transaction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H (REVISED)</w:t>
      </w:r>
      <w:r w:rsidRPr="004A3A4C">
        <w:rPr>
          <w:sz w:val="26"/>
          <w:szCs w:val="26"/>
        </w:rPr>
        <w:t xml:space="preserve"> – List of properties owned by PPL Energy Supply and/or its subsidiaries that currently are encumbered by PPL EU transmission rights-of-way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I</w:t>
      </w:r>
      <w:r w:rsidRPr="004A3A4C">
        <w:rPr>
          <w:sz w:val="26"/>
          <w:szCs w:val="26"/>
        </w:rPr>
        <w:t xml:space="preserve"> – List of properties owned by PPL Energy Supply and/or its subsidiaries that currently are encumbered by PPL EU distribution rights-of-way</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J (REVISED)</w:t>
      </w:r>
      <w:r w:rsidRPr="004A3A4C">
        <w:rPr>
          <w:sz w:val="26"/>
          <w:szCs w:val="26"/>
        </w:rPr>
        <w:t xml:space="preserve"> – List of properties owned by PPL Energy Supply and/or its subsidiaries at which PPL EU substation facilities are located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K</w:t>
      </w:r>
      <w:r w:rsidRPr="004A3A4C">
        <w:rPr>
          <w:sz w:val="26"/>
          <w:szCs w:val="26"/>
        </w:rPr>
        <w:t xml:space="preserve"> – List of miscellaneous properties and interests owned by PPL Energy Supply and/or its subsidiaries that currently are used by PPL EU</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 xml:space="preserve">Joint Applicants’ Exhibit No. 1¸ Appendix </w:t>
      </w:r>
      <w:r w:rsidRPr="007B0044">
        <w:rPr>
          <w:sz w:val="26"/>
          <w:szCs w:val="26"/>
          <w:u w:val="single"/>
        </w:rPr>
        <w:t>L</w:t>
      </w:r>
      <w:r w:rsidRPr="0032573C">
        <w:rPr>
          <w:sz w:val="26"/>
          <w:szCs w:val="26"/>
          <w:u w:val="single"/>
        </w:rPr>
        <w:t xml:space="preserve"> (REVISED)</w:t>
      </w:r>
      <w:r w:rsidRPr="004A3A4C">
        <w:rPr>
          <w:sz w:val="26"/>
          <w:szCs w:val="26"/>
        </w:rPr>
        <w:t xml:space="preserve"> – List of miscellaneous properties and interests owned by PPL EU that currently are used by PPL Energy Supply and/or its subsidiaries</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M (REVISED)</w:t>
      </w:r>
      <w:r w:rsidRPr="004A3A4C">
        <w:rPr>
          <w:sz w:val="26"/>
          <w:szCs w:val="26"/>
        </w:rPr>
        <w:t xml:space="preserve"> – List of certain of the intercompany affiliate agreements with PPL EU and PPL IEC that will remain in place unchanged after closing of the Proposed Transaction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Exhibit No. 1, Appendix N (REVISED)</w:t>
      </w:r>
      <w:r w:rsidRPr="004A3A4C">
        <w:rPr>
          <w:sz w:val="26"/>
          <w:szCs w:val="26"/>
        </w:rPr>
        <w:t xml:space="preserve"> – List of intercompany affiliate agreements that will remain in place unchanged after closing, but PPL Energy Supply and its subsidiaries will no longer be parties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lastRenderedPageBreak/>
        <w:t>Joint Applicants’ Exhibit No. 1, Appendix O (REVISED)</w:t>
      </w:r>
      <w:r w:rsidRPr="004A3A4C">
        <w:rPr>
          <w:sz w:val="26"/>
          <w:szCs w:val="26"/>
        </w:rPr>
        <w:t xml:space="preserve"> – List of interconnection agreements between PPL Energy Supply and its subsidiaries and PPL EU</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Statement No. 1</w:t>
      </w:r>
      <w:r w:rsidRPr="004A3A4C">
        <w:rPr>
          <w:sz w:val="26"/>
          <w:szCs w:val="26"/>
        </w:rPr>
        <w:t xml:space="preserve">, Direct Testimony of Jeremy R. McGuire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Statement No. 2</w:t>
      </w:r>
      <w:r w:rsidRPr="004A3A4C">
        <w:rPr>
          <w:sz w:val="26"/>
          <w:szCs w:val="26"/>
        </w:rPr>
        <w:t xml:space="preserve">, Direct Testimony of Dennis A. Urban, Jr. </w:t>
      </w:r>
    </w:p>
    <w:p w:rsidR="009945CC" w:rsidRPr="004A3A4C" w:rsidRDefault="009945CC" w:rsidP="003844F5">
      <w:pPr>
        <w:pStyle w:val="ListNumber"/>
        <w:numPr>
          <w:ilvl w:val="0"/>
          <w:numId w:val="0"/>
        </w:numPr>
        <w:spacing w:line="240" w:lineRule="auto"/>
        <w:ind w:left="1620" w:hanging="72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Statement No. 3</w:t>
      </w:r>
      <w:r w:rsidRPr="004A3A4C">
        <w:rPr>
          <w:sz w:val="26"/>
          <w:szCs w:val="26"/>
        </w:rPr>
        <w:t>, Direct Testimony of Drew D. Cummings</w:t>
      </w:r>
    </w:p>
    <w:p w:rsidR="009945CC" w:rsidRPr="004A3A4C" w:rsidRDefault="009945CC" w:rsidP="003844F5">
      <w:pPr>
        <w:pStyle w:val="ListNumber"/>
        <w:numPr>
          <w:ilvl w:val="0"/>
          <w:numId w:val="0"/>
        </w:numPr>
        <w:spacing w:line="240" w:lineRule="auto"/>
        <w:ind w:left="1800"/>
        <w:jc w:val="left"/>
        <w:rPr>
          <w:sz w:val="26"/>
          <w:szCs w:val="26"/>
        </w:rPr>
      </w:pPr>
    </w:p>
    <w:p w:rsidR="009945CC" w:rsidRPr="004A3A4C" w:rsidRDefault="009945CC" w:rsidP="003844F5">
      <w:pPr>
        <w:pStyle w:val="ListNumber"/>
        <w:numPr>
          <w:ilvl w:val="0"/>
          <w:numId w:val="4"/>
        </w:numPr>
        <w:spacing w:line="240" w:lineRule="auto"/>
        <w:jc w:val="left"/>
        <w:rPr>
          <w:sz w:val="26"/>
          <w:szCs w:val="26"/>
        </w:rPr>
      </w:pPr>
      <w:r w:rsidRPr="004A3A4C">
        <w:rPr>
          <w:sz w:val="26"/>
          <w:szCs w:val="26"/>
          <w:u w:val="single"/>
        </w:rPr>
        <w:t>Joint Applicants’ Statement No. 4</w:t>
      </w:r>
      <w:r w:rsidRPr="004A3A4C">
        <w:rPr>
          <w:sz w:val="26"/>
          <w:szCs w:val="26"/>
        </w:rPr>
        <w:t>, Direct Testimony of Marc A. Jackson, including Exhibit MAJ-1.</w:t>
      </w:r>
    </w:p>
    <w:p w:rsidR="009945CC" w:rsidRDefault="009945CC" w:rsidP="003844F5">
      <w:pPr>
        <w:pStyle w:val="ListNumber"/>
        <w:numPr>
          <w:ilvl w:val="0"/>
          <w:numId w:val="0"/>
        </w:numPr>
        <w:spacing w:line="240" w:lineRule="auto"/>
        <w:ind w:left="1620" w:hanging="720"/>
        <w:jc w:val="left"/>
      </w:pPr>
    </w:p>
    <w:p w:rsidR="009945CC" w:rsidRDefault="009945CC" w:rsidP="003844F5">
      <w:pPr>
        <w:pStyle w:val="ListNumber"/>
        <w:numPr>
          <w:ilvl w:val="0"/>
          <w:numId w:val="0"/>
        </w:numPr>
        <w:spacing w:line="240" w:lineRule="auto"/>
        <w:ind w:left="1620" w:hanging="720"/>
        <w:jc w:val="left"/>
      </w:pPr>
    </w:p>
    <w:p w:rsidR="008C0402" w:rsidRDefault="009945CC" w:rsidP="003844F5">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R.D. at 1-5.</w:t>
      </w:r>
      <w:r w:rsidR="00F106F2">
        <w:rPr>
          <w:rFonts w:ascii="Times New Roman" w:hAnsi="Times New Roman" w:cs="Times New Roman"/>
          <w:sz w:val="26"/>
          <w:szCs w:val="26"/>
        </w:rPr>
        <w:t xml:space="preserve"> </w:t>
      </w:r>
    </w:p>
    <w:p w:rsidR="00F918E1" w:rsidRDefault="00F918E1" w:rsidP="003844F5">
      <w:pPr>
        <w:pStyle w:val="ParaTab1"/>
        <w:spacing w:line="360" w:lineRule="auto"/>
        <w:ind w:firstLine="0"/>
        <w:rPr>
          <w:rFonts w:ascii="Times New Roman" w:hAnsi="Times New Roman" w:cs="Times New Roman"/>
          <w:sz w:val="26"/>
          <w:szCs w:val="26"/>
        </w:rPr>
      </w:pPr>
    </w:p>
    <w:p w:rsidR="009945CC" w:rsidRDefault="00F918E1" w:rsidP="003844F5">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February 6, 2015, the Commission issued the ALJ’s Recommended Decision</w:t>
      </w:r>
      <w:r w:rsidR="007B0044">
        <w:rPr>
          <w:rFonts w:ascii="Times New Roman" w:hAnsi="Times New Roman" w:cs="Times New Roman"/>
          <w:sz w:val="26"/>
          <w:szCs w:val="26"/>
        </w:rPr>
        <w:t xml:space="preserve">, which </w:t>
      </w:r>
      <w:r>
        <w:rPr>
          <w:rFonts w:ascii="Times New Roman" w:hAnsi="Times New Roman" w:cs="Times New Roman"/>
          <w:sz w:val="26"/>
          <w:szCs w:val="26"/>
        </w:rPr>
        <w:t>recommended the Joint Petition be approved without modification.  No Exceptions to the Recommended Decision were filed.</w:t>
      </w:r>
      <w:r w:rsidR="003E0F7A">
        <w:rPr>
          <w:rFonts w:ascii="Times New Roman" w:hAnsi="Times New Roman" w:cs="Times New Roman"/>
          <w:sz w:val="26"/>
          <w:szCs w:val="26"/>
        </w:rPr>
        <w:t xml:space="preserve">  </w:t>
      </w:r>
    </w:p>
    <w:p w:rsidR="009F0F94" w:rsidRDefault="009F0F94" w:rsidP="00B36585">
      <w:pPr>
        <w:pStyle w:val="ParaTab1"/>
        <w:keepNext/>
        <w:keepLines/>
        <w:spacing w:line="360" w:lineRule="auto"/>
        <w:ind w:firstLine="0"/>
        <w:rPr>
          <w:rFonts w:ascii="Times New Roman" w:hAnsi="Times New Roman" w:cs="Times New Roman"/>
          <w:b/>
          <w:sz w:val="26"/>
          <w:szCs w:val="26"/>
        </w:rPr>
      </w:pPr>
    </w:p>
    <w:p w:rsidR="00644490" w:rsidRPr="009945CC" w:rsidRDefault="00644490" w:rsidP="0032573C">
      <w:pPr>
        <w:pStyle w:val="ParaTab1"/>
        <w:keepNext/>
        <w:keepLines/>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Background</w:t>
      </w:r>
    </w:p>
    <w:p w:rsidR="009945CC" w:rsidRDefault="009945CC" w:rsidP="00B36585">
      <w:pPr>
        <w:pStyle w:val="ParaTab1"/>
        <w:keepNext/>
        <w:keepLines/>
        <w:spacing w:line="360" w:lineRule="auto"/>
        <w:ind w:firstLine="0"/>
        <w:rPr>
          <w:rFonts w:ascii="Times New Roman" w:hAnsi="Times New Roman" w:cs="Times New Roman"/>
          <w:sz w:val="26"/>
          <w:szCs w:val="26"/>
        </w:rPr>
      </w:pPr>
    </w:p>
    <w:p w:rsidR="008D20F6" w:rsidRDefault="00445B22"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As described </w:t>
      </w:r>
      <w:r w:rsidR="008D20F6">
        <w:rPr>
          <w:rFonts w:ascii="Times New Roman" w:hAnsi="Times New Roman" w:cs="Times New Roman"/>
          <w:sz w:val="26"/>
          <w:szCs w:val="26"/>
        </w:rPr>
        <w:t>more</w:t>
      </w:r>
      <w:r w:rsidR="003B3DE1">
        <w:rPr>
          <w:rFonts w:ascii="Times New Roman" w:hAnsi="Times New Roman" w:cs="Times New Roman"/>
          <w:sz w:val="26"/>
          <w:szCs w:val="26"/>
        </w:rPr>
        <w:t xml:space="preserve"> full</w:t>
      </w:r>
      <w:r w:rsidR="008D20F6">
        <w:rPr>
          <w:rFonts w:ascii="Times New Roman" w:hAnsi="Times New Roman" w:cs="Times New Roman"/>
          <w:sz w:val="26"/>
          <w:szCs w:val="26"/>
        </w:rPr>
        <w:t>y</w:t>
      </w:r>
      <w:r w:rsidR="003B3DE1">
        <w:rPr>
          <w:rFonts w:ascii="Times New Roman" w:hAnsi="Times New Roman" w:cs="Times New Roman"/>
          <w:sz w:val="26"/>
          <w:szCs w:val="26"/>
        </w:rPr>
        <w:t xml:space="preserve"> in the </w:t>
      </w:r>
      <w:r w:rsidR="008D20F6">
        <w:rPr>
          <w:rFonts w:ascii="Times New Roman" w:hAnsi="Times New Roman" w:cs="Times New Roman"/>
          <w:sz w:val="26"/>
          <w:szCs w:val="26"/>
        </w:rPr>
        <w:t xml:space="preserve">ALJ’s </w:t>
      </w:r>
      <w:r w:rsidR="003B3DE1">
        <w:rPr>
          <w:rFonts w:ascii="Times New Roman" w:hAnsi="Times New Roman" w:cs="Times New Roman"/>
          <w:sz w:val="26"/>
          <w:szCs w:val="26"/>
        </w:rPr>
        <w:t>Recommended Decision</w:t>
      </w:r>
      <w:r>
        <w:rPr>
          <w:rFonts w:ascii="Times New Roman" w:hAnsi="Times New Roman" w:cs="Times New Roman"/>
          <w:sz w:val="26"/>
          <w:szCs w:val="26"/>
        </w:rPr>
        <w:t xml:space="preserve">, the transaction subject to the Joint Application is </w:t>
      </w:r>
      <w:r w:rsidR="003B3DE1">
        <w:rPr>
          <w:rFonts w:ascii="Times New Roman" w:hAnsi="Times New Roman" w:cs="Times New Roman"/>
          <w:sz w:val="26"/>
          <w:szCs w:val="26"/>
        </w:rPr>
        <w:t xml:space="preserve">largely outside this Commission’s jurisdiction.  The transaction involves </w:t>
      </w:r>
      <w:r>
        <w:rPr>
          <w:rFonts w:ascii="Times New Roman" w:hAnsi="Times New Roman" w:cs="Times New Roman"/>
          <w:sz w:val="26"/>
          <w:szCs w:val="26"/>
        </w:rPr>
        <w:t>a joint venture between PPL Corp</w:t>
      </w:r>
      <w:r w:rsidR="003B3DE1">
        <w:rPr>
          <w:rFonts w:ascii="Times New Roman" w:hAnsi="Times New Roman" w:cs="Times New Roman"/>
          <w:sz w:val="26"/>
          <w:szCs w:val="26"/>
        </w:rPr>
        <w:t>.</w:t>
      </w:r>
      <w:r>
        <w:rPr>
          <w:rFonts w:ascii="Times New Roman" w:hAnsi="Times New Roman" w:cs="Times New Roman"/>
          <w:sz w:val="26"/>
          <w:szCs w:val="26"/>
        </w:rPr>
        <w:t xml:space="preserve">, the </w:t>
      </w:r>
      <w:r w:rsidR="00B42AC8">
        <w:rPr>
          <w:rFonts w:ascii="Times New Roman" w:hAnsi="Times New Roman" w:cs="Times New Roman"/>
          <w:sz w:val="26"/>
          <w:szCs w:val="26"/>
        </w:rPr>
        <w:t xml:space="preserve">Joint </w:t>
      </w:r>
      <w:r>
        <w:rPr>
          <w:rFonts w:ascii="Times New Roman" w:hAnsi="Times New Roman" w:cs="Times New Roman"/>
          <w:sz w:val="26"/>
          <w:szCs w:val="26"/>
        </w:rPr>
        <w:t>Applicants</w:t>
      </w:r>
      <w:r w:rsidR="003B3DE1">
        <w:rPr>
          <w:rFonts w:ascii="Times New Roman" w:hAnsi="Times New Roman" w:cs="Times New Roman"/>
          <w:sz w:val="26"/>
          <w:szCs w:val="26"/>
        </w:rPr>
        <w:t>’ parent company</w:t>
      </w:r>
      <w:r>
        <w:rPr>
          <w:rFonts w:ascii="Times New Roman" w:hAnsi="Times New Roman" w:cs="Times New Roman"/>
          <w:sz w:val="26"/>
          <w:szCs w:val="26"/>
        </w:rPr>
        <w:t xml:space="preserve">, and </w:t>
      </w:r>
      <w:proofErr w:type="spellStart"/>
      <w:r>
        <w:rPr>
          <w:rFonts w:ascii="Times New Roman" w:hAnsi="Times New Roman" w:cs="Times New Roman"/>
          <w:sz w:val="26"/>
          <w:szCs w:val="26"/>
        </w:rPr>
        <w:t>Riverstone</w:t>
      </w:r>
      <w:proofErr w:type="spellEnd"/>
      <w:r>
        <w:rPr>
          <w:rFonts w:ascii="Times New Roman" w:hAnsi="Times New Roman" w:cs="Times New Roman"/>
          <w:sz w:val="26"/>
          <w:szCs w:val="26"/>
        </w:rPr>
        <w:t xml:space="preserve"> Holdings</w:t>
      </w:r>
      <w:r w:rsidR="00BF4D9A">
        <w:rPr>
          <w:rFonts w:ascii="Times New Roman" w:hAnsi="Times New Roman" w:cs="Times New Roman"/>
          <w:sz w:val="26"/>
          <w:szCs w:val="26"/>
        </w:rPr>
        <w:t>, LLC</w:t>
      </w:r>
      <w:r w:rsidR="008D20F6">
        <w:rPr>
          <w:rFonts w:ascii="Times New Roman" w:hAnsi="Times New Roman" w:cs="Times New Roman"/>
          <w:sz w:val="26"/>
          <w:szCs w:val="26"/>
        </w:rPr>
        <w:t xml:space="preserve"> (</w:t>
      </w:r>
      <w:proofErr w:type="spellStart"/>
      <w:r w:rsidR="008D20F6">
        <w:rPr>
          <w:rFonts w:ascii="Times New Roman" w:hAnsi="Times New Roman" w:cs="Times New Roman"/>
          <w:sz w:val="26"/>
          <w:szCs w:val="26"/>
        </w:rPr>
        <w:t>Riverstone</w:t>
      </w:r>
      <w:proofErr w:type="spellEnd"/>
      <w:r w:rsidR="008D20F6">
        <w:rPr>
          <w:rFonts w:ascii="Times New Roman" w:hAnsi="Times New Roman" w:cs="Times New Roman"/>
          <w:sz w:val="26"/>
          <w:szCs w:val="26"/>
        </w:rPr>
        <w:t>)</w:t>
      </w:r>
      <w:r>
        <w:rPr>
          <w:rFonts w:ascii="Times New Roman" w:hAnsi="Times New Roman" w:cs="Times New Roman"/>
          <w:sz w:val="26"/>
          <w:szCs w:val="26"/>
        </w:rPr>
        <w:t xml:space="preserve">, </w:t>
      </w:r>
      <w:r w:rsidR="003B3DE1">
        <w:rPr>
          <w:rFonts w:ascii="Times New Roman" w:hAnsi="Times New Roman" w:cs="Times New Roman"/>
          <w:sz w:val="26"/>
          <w:szCs w:val="26"/>
        </w:rPr>
        <w:t>a</w:t>
      </w:r>
      <w:r w:rsidR="003B3DE1" w:rsidRPr="003B3DE1">
        <w:rPr>
          <w:rFonts w:ascii="Times New Roman" w:hAnsi="Times New Roman" w:cs="Times New Roman"/>
          <w:sz w:val="26"/>
          <w:szCs w:val="26"/>
        </w:rPr>
        <w:t>n energy and power-focused private investment firm founded in 2000</w:t>
      </w:r>
      <w:r w:rsidR="003B3DE1">
        <w:rPr>
          <w:rFonts w:ascii="Times New Roman" w:hAnsi="Times New Roman" w:cs="Times New Roman"/>
          <w:sz w:val="26"/>
          <w:szCs w:val="26"/>
        </w:rPr>
        <w:t xml:space="preserve"> as a Delaware </w:t>
      </w:r>
      <w:r>
        <w:rPr>
          <w:rFonts w:ascii="Times New Roman" w:hAnsi="Times New Roman" w:cs="Times New Roman"/>
          <w:sz w:val="26"/>
          <w:szCs w:val="26"/>
        </w:rPr>
        <w:t xml:space="preserve">limited liability company.  </w:t>
      </w:r>
      <w:r w:rsidR="003B3DE1">
        <w:rPr>
          <w:rFonts w:ascii="Times New Roman" w:hAnsi="Times New Roman" w:cs="Times New Roman"/>
          <w:sz w:val="26"/>
          <w:szCs w:val="26"/>
        </w:rPr>
        <w:t>PPL Corp. is the parent of three Commission-regulated entities: PPL Electric</w:t>
      </w:r>
      <w:r w:rsidR="008D20F6">
        <w:rPr>
          <w:rFonts w:ascii="Times New Roman" w:hAnsi="Times New Roman" w:cs="Times New Roman"/>
          <w:sz w:val="26"/>
          <w:szCs w:val="26"/>
        </w:rPr>
        <w:t>, a regulated electric distribution company (EDC)</w:t>
      </w:r>
      <w:r w:rsidR="003B3DE1">
        <w:rPr>
          <w:rFonts w:ascii="Times New Roman" w:hAnsi="Times New Roman" w:cs="Times New Roman"/>
          <w:sz w:val="26"/>
          <w:szCs w:val="26"/>
        </w:rPr>
        <w:t xml:space="preserve">, PPL </w:t>
      </w:r>
      <w:proofErr w:type="spellStart"/>
      <w:r w:rsidR="003B3DE1">
        <w:rPr>
          <w:rFonts w:ascii="Times New Roman" w:hAnsi="Times New Roman" w:cs="Times New Roman"/>
          <w:sz w:val="26"/>
          <w:szCs w:val="26"/>
        </w:rPr>
        <w:t>EnergyPlus</w:t>
      </w:r>
      <w:proofErr w:type="spellEnd"/>
      <w:r w:rsidR="003B3DE1">
        <w:rPr>
          <w:rFonts w:ascii="Times New Roman" w:hAnsi="Times New Roman" w:cs="Times New Roman"/>
          <w:sz w:val="26"/>
          <w:szCs w:val="26"/>
        </w:rPr>
        <w:t xml:space="preserve">, a licensed electric generation supplier (EGS), and PPL IEC, a </w:t>
      </w:r>
      <w:r w:rsidR="00925FF2">
        <w:rPr>
          <w:rFonts w:ascii="Times New Roman" w:hAnsi="Times New Roman" w:cs="Times New Roman"/>
          <w:sz w:val="26"/>
          <w:szCs w:val="26"/>
        </w:rPr>
        <w:t xml:space="preserve">Pennsylvania </w:t>
      </w:r>
      <w:r w:rsidR="003B3DE1">
        <w:rPr>
          <w:rFonts w:ascii="Times New Roman" w:hAnsi="Times New Roman" w:cs="Times New Roman"/>
          <w:sz w:val="26"/>
          <w:szCs w:val="26"/>
        </w:rPr>
        <w:t xml:space="preserve">certificated public utility providing transportation of oil and natural gas to electric generating stations.  </w:t>
      </w:r>
      <w:r w:rsidR="008D20F6">
        <w:rPr>
          <w:rFonts w:ascii="Times New Roman" w:hAnsi="Times New Roman" w:cs="Times New Roman"/>
          <w:sz w:val="26"/>
          <w:szCs w:val="26"/>
        </w:rPr>
        <w:t>R.D. at 23.</w:t>
      </w:r>
    </w:p>
    <w:p w:rsidR="008D20F6" w:rsidRDefault="008D20F6" w:rsidP="003844F5">
      <w:pPr>
        <w:pStyle w:val="ParaTab1"/>
        <w:spacing w:line="360" w:lineRule="auto"/>
        <w:rPr>
          <w:rFonts w:ascii="Times New Roman" w:hAnsi="Times New Roman" w:cs="Times New Roman"/>
          <w:sz w:val="26"/>
          <w:szCs w:val="26"/>
        </w:rPr>
      </w:pPr>
    </w:p>
    <w:p w:rsidR="007F0A0F" w:rsidRDefault="009F7664"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 xml:space="preserve">Under the transaction, </w:t>
      </w:r>
      <w:r w:rsidR="008D20F6">
        <w:rPr>
          <w:rFonts w:ascii="Times New Roman" w:hAnsi="Times New Roman" w:cs="Times New Roman"/>
          <w:sz w:val="26"/>
          <w:szCs w:val="26"/>
        </w:rPr>
        <w:t xml:space="preserve">PPL Corp. will spin off its deregulated electric generation and retail electric and gas supply business lines to the shareowners of PPL Corp. and then immediately combine with the competitive generation assets owned by </w:t>
      </w:r>
      <w:r w:rsidR="004F0487" w:rsidRPr="004F0487">
        <w:rPr>
          <w:rFonts w:ascii="Times New Roman" w:hAnsi="Times New Roman" w:cs="Times New Roman"/>
          <w:sz w:val="26"/>
          <w:szCs w:val="26"/>
        </w:rPr>
        <w:t>the competitive power generation business lines of Raven Power Holdings LLC (“Raven</w:t>
      </w:r>
      <w:r w:rsidR="007F0A0F">
        <w:rPr>
          <w:rFonts w:ascii="Times New Roman" w:hAnsi="Times New Roman" w:cs="Times New Roman"/>
          <w:sz w:val="26"/>
          <w:szCs w:val="26"/>
        </w:rPr>
        <w:t>”</w:t>
      </w:r>
      <w:r w:rsidR="004F0487" w:rsidRPr="004F0487">
        <w:rPr>
          <w:rFonts w:ascii="Times New Roman" w:hAnsi="Times New Roman" w:cs="Times New Roman"/>
          <w:sz w:val="26"/>
          <w:szCs w:val="26"/>
        </w:rPr>
        <w:t xml:space="preserve">), C/R Energy Jade, LLC (“Jade”), and Sapphire Power Holdings LLC (“Sapphire” and together with Raven and Jade hereinafter collectively referred to as the “RJS Entities”) to form Talen Energy.  </w:t>
      </w:r>
      <w:r w:rsidR="007F0A0F" w:rsidRPr="007F0A0F">
        <w:rPr>
          <w:rFonts w:ascii="Times New Roman" w:hAnsi="Times New Roman" w:cs="Times New Roman"/>
          <w:sz w:val="26"/>
          <w:szCs w:val="26"/>
        </w:rPr>
        <w:t xml:space="preserve">Currently Talen Energy is a wholly-owned indirect subsidiary of PPL Corp.  </w:t>
      </w:r>
      <w:r w:rsidR="007F0A0F">
        <w:rPr>
          <w:rFonts w:ascii="Times New Roman" w:hAnsi="Times New Roman" w:cs="Times New Roman"/>
          <w:sz w:val="26"/>
          <w:szCs w:val="26"/>
        </w:rPr>
        <w:t>Upon</w:t>
      </w:r>
      <w:r w:rsidR="008D20F6">
        <w:rPr>
          <w:rFonts w:ascii="Times New Roman" w:hAnsi="Times New Roman" w:cs="Times New Roman"/>
          <w:sz w:val="26"/>
          <w:szCs w:val="26"/>
        </w:rPr>
        <w:t xml:space="preserve"> close of the transaction, Talen Energy will become a new stand-alone, publicly-traded Independent Power Producer, with PPL Corp</w:t>
      </w:r>
      <w:r>
        <w:rPr>
          <w:rFonts w:ascii="Times New Roman" w:hAnsi="Times New Roman" w:cs="Times New Roman"/>
          <w:sz w:val="26"/>
          <w:szCs w:val="26"/>
        </w:rPr>
        <w:t>.</w:t>
      </w:r>
      <w:r w:rsidR="008D20F6">
        <w:rPr>
          <w:rFonts w:ascii="Times New Roman" w:hAnsi="Times New Roman" w:cs="Times New Roman"/>
          <w:sz w:val="26"/>
          <w:szCs w:val="26"/>
        </w:rPr>
        <w:t xml:space="preserve">’s shareholders owning 65% of Talen Energy, and 35% being held by either </w:t>
      </w:r>
      <w:r w:rsidR="007F0A0F">
        <w:rPr>
          <w:rFonts w:ascii="Times New Roman" w:hAnsi="Times New Roman" w:cs="Times New Roman"/>
          <w:sz w:val="26"/>
          <w:szCs w:val="26"/>
        </w:rPr>
        <w:t xml:space="preserve">the </w:t>
      </w:r>
      <w:r w:rsidR="008D20F6">
        <w:rPr>
          <w:rFonts w:ascii="Times New Roman" w:hAnsi="Times New Roman" w:cs="Times New Roman"/>
          <w:sz w:val="26"/>
          <w:szCs w:val="26"/>
        </w:rPr>
        <w:t xml:space="preserve">RJS Entities or </w:t>
      </w:r>
      <w:r w:rsidR="007F0A0F" w:rsidRPr="007F0A0F">
        <w:rPr>
          <w:rFonts w:ascii="Times New Roman" w:hAnsi="Times New Roman" w:cs="Times New Roman"/>
          <w:sz w:val="26"/>
          <w:szCs w:val="26"/>
        </w:rPr>
        <w:t>an existing or newly formed holding company that will be wholly owned by the RJS Entities and controlled by Raven (the “RJS SPE”)</w:t>
      </w:r>
      <w:r w:rsidR="008D20F6">
        <w:rPr>
          <w:rFonts w:ascii="Times New Roman" w:hAnsi="Times New Roman" w:cs="Times New Roman"/>
          <w:sz w:val="26"/>
          <w:szCs w:val="26"/>
        </w:rPr>
        <w:t xml:space="preserve">.  R.D. at </w:t>
      </w:r>
      <w:r w:rsidR="007F0A0F">
        <w:rPr>
          <w:rFonts w:ascii="Times New Roman" w:hAnsi="Times New Roman" w:cs="Times New Roman"/>
          <w:sz w:val="26"/>
          <w:szCs w:val="26"/>
        </w:rPr>
        <w:t xml:space="preserve">6-7, </w:t>
      </w:r>
      <w:r w:rsidR="008D20F6">
        <w:rPr>
          <w:rFonts w:ascii="Times New Roman" w:hAnsi="Times New Roman" w:cs="Times New Roman"/>
          <w:sz w:val="26"/>
          <w:szCs w:val="26"/>
        </w:rPr>
        <w:t xml:space="preserve">23-24.  </w:t>
      </w:r>
      <w:r w:rsidR="007F0A0F" w:rsidRPr="007F0A0F">
        <w:rPr>
          <w:rFonts w:ascii="Times New Roman" w:hAnsi="Times New Roman" w:cs="Times New Roman"/>
          <w:sz w:val="26"/>
          <w:szCs w:val="26"/>
        </w:rPr>
        <w:t xml:space="preserve">PPL Electric is not affected in any material way by the transaction except for agreements between PPL Electric and the present affiliates and facilities being transferred in the transaction and will remain under PPL Corp.’s ownership after completion of the transaction. </w:t>
      </w:r>
    </w:p>
    <w:p w:rsidR="007F0A0F" w:rsidRDefault="007F0A0F" w:rsidP="003844F5">
      <w:pPr>
        <w:pStyle w:val="ParaTab1"/>
        <w:spacing w:line="360" w:lineRule="auto"/>
        <w:rPr>
          <w:rFonts w:ascii="Times New Roman" w:hAnsi="Times New Roman" w:cs="Times New Roman"/>
          <w:sz w:val="26"/>
          <w:szCs w:val="26"/>
        </w:rPr>
      </w:pPr>
    </w:p>
    <w:p w:rsidR="0088335E" w:rsidRDefault="00B42AC8"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Joint </w:t>
      </w:r>
      <w:r w:rsidR="007F0A0F">
        <w:rPr>
          <w:rFonts w:ascii="Times New Roman" w:hAnsi="Times New Roman" w:cs="Times New Roman"/>
          <w:sz w:val="26"/>
          <w:szCs w:val="26"/>
        </w:rPr>
        <w:t xml:space="preserve">Applicants requested that the Commission find that </w:t>
      </w:r>
      <w:proofErr w:type="spellStart"/>
      <w:r w:rsidR="007F0A0F">
        <w:rPr>
          <w:rFonts w:ascii="Times New Roman" w:hAnsi="Times New Roman" w:cs="Times New Roman"/>
          <w:sz w:val="26"/>
          <w:szCs w:val="26"/>
        </w:rPr>
        <w:t>Riverstone</w:t>
      </w:r>
      <w:proofErr w:type="spellEnd"/>
      <w:r w:rsidR="007F0A0F">
        <w:rPr>
          <w:rFonts w:ascii="Times New Roman" w:hAnsi="Times New Roman" w:cs="Times New Roman"/>
          <w:sz w:val="26"/>
          <w:szCs w:val="26"/>
        </w:rPr>
        <w:t xml:space="preserve"> be permitted to engage in sell-down transactions so long as they did not result in a new entity other than a </w:t>
      </w:r>
      <w:proofErr w:type="spellStart"/>
      <w:r w:rsidR="007F0A0F">
        <w:rPr>
          <w:rFonts w:ascii="Times New Roman" w:hAnsi="Times New Roman" w:cs="Times New Roman"/>
          <w:sz w:val="26"/>
          <w:szCs w:val="26"/>
        </w:rPr>
        <w:t>Riverstone</w:t>
      </w:r>
      <w:proofErr w:type="spellEnd"/>
      <w:r w:rsidR="007F0A0F">
        <w:rPr>
          <w:rFonts w:ascii="Times New Roman" w:hAnsi="Times New Roman" w:cs="Times New Roman"/>
          <w:sz w:val="26"/>
          <w:szCs w:val="26"/>
        </w:rPr>
        <w:t xml:space="preserve"> entity directly or indirectly holding 20% or more of the voting interest in Talen Energy or PPL IEC</w:t>
      </w:r>
      <w:r w:rsidR="00BF4D9A">
        <w:rPr>
          <w:rFonts w:ascii="Times New Roman" w:hAnsi="Times New Roman" w:cs="Times New Roman"/>
          <w:sz w:val="26"/>
          <w:szCs w:val="26"/>
        </w:rPr>
        <w:t>,</w:t>
      </w:r>
      <w:r w:rsidR="007F0A0F">
        <w:rPr>
          <w:rFonts w:ascii="Times New Roman" w:hAnsi="Times New Roman" w:cs="Times New Roman"/>
          <w:sz w:val="26"/>
          <w:szCs w:val="26"/>
        </w:rPr>
        <w:t xml:space="preserve"> without the requirement that prior Commission approval be sought.  R.D. at 25.</w:t>
      </w:r>
      <w:r w:rsidR="004A3A4C">
        <w:rPr>
          <w:rFonts w:ascii="Times New Roman" w:hAnsi="Times New Roman" w:cs="Times New Roman"/>
          <w:sz w:val="26"/>
          <w:szCs w:val="26"/>
        </w:rPr>
        <w:t xml:space="preserve"> </w:t>
      </w:r>
    </w:p>
    <w:p w:rsidR="00644490" w:rsidRDefault="00644490" w:rsidP="003844F5">
      <w:pPr>
        <w:pStyle w:val="ParaTab1"/>
        <w:spacing w:line="360" w:lineRule="auto"/>
        <w:ind w:firstLine="0"/>
        <w:rPr>
          <w:rFonts w:ascii="Times New Roman" w:hAnsi="Times New Roman" w:cs="Times New Roman"/>
          <w:sz w:val="26"/>
          <w:szCs w:val="26"/>
        </w:rPr>
      </w:pPr>
    </w:p>
    <w:p w:rsidR="00BF4D9A" w:rsidRPr="0032573C" w:rsidRDefault="00BF4D9A" w:rsidP="0032573C">
      <w:pPr>
        <w:pStyle w:val="ParaTab1"/>
        <w:spacing w:line="360" w:lineRule="auto"/>
        <w:ind w:firstLine="0"/>
        <w:jc w:val="center"/>
        <w:rPr>
          <w:rFonts w:ascii="Times New Roman" w:hAnsi="Times New Roman" w:cs="Times New Roman"/>
          <w:b/>
          <w:sz w:val="26"/>
          <w:szCs w:val="26"/>
        </w:rPr>
      </w:pPr>
      <w:r>
        <w:rPr>
          <w:rFonts w:ascii="Times New Roman" w:hAnsi="Times New Roman" w:cs="Times New Roman"/>
          <w:b/>
          <w:sz w:val="26"/>
          <w:szCs w:val="26"/>
        </w:rPr>
        <w:t>Discussion</w:t>
      </w:r>
    </w:p>
    <w:p w:rsidR="00BF4D9A" w:rsidRDefault="00BF4D9A" w:rsidP="003844F5">
      <w:pPr>
        <w:pStyle w:val="ParaTab1"/>
        <w:spacing w:line="360" w:lineRule="auto"/>
        <w:ind w:firstLine="0"/>
        <w:rPr>
          <w:rFonts w:ascii="Times New Roman" w:hAnsi="Times New Roman" w:cs="Times New Roman"/>
          <w:sz w:val="26"/>
          <w:szCs w:val="26"/>
        </w:rPr>
      </w:pPr>
    </w:p>
    <w:p w:rsidR="00BF4D9A" w:rsidRDefault="007B0044" w:rsidP="0032573C">
      <w:pPr>
        <w:pStyle w:val="ParaTab1"/>
        <w:spacing w:line="360" w:lineRule="auto"/>
        <w:rPr>
          <w:rFonts w:ascii="Times New Roman" w:hAnsi="Times New Roman" w:cs="Times New Roman"/>
          <w:sz w:val="26"/>
          <w:szCs w:val="26"/>
        </w:rPr>
      </w:pPr>
      <w:r>
        <w:rPr>
          <w:rFonts w:ascii="Times New Roman" w:hAnsi="Times New Roman" w:cs="Times New Roman"/>
          <w:sz w:val="26"/>
          <w:szCs w:val="26"/>
        </w:rPr>
        <w:t>The Recommended Decision contains seventy-three Findings of Fact and thirty-nine Conclusions of Law</w:t>
      </w:r>
      <w:r w:rsidR="00BF4D9A">
        <w:rPr>
          <w:rFonts w:ascii="Times New Roman" w:hAnsi="Times New Roman" w:cs="Times New Roman"/>
          <w:sz w:val="26"/>
          <w:szCs w:val="26"/>
        </w:rPr>
        <w:t>.</w:t>
      </w:r>
      <w:r>
        <w:rPr>
          <w:rFonts w:ascii="Times New Roman" w:hAnsi="Times New Roman" w:cs="Times New Roman"/>
          <w:sz w:val="26"/>
          <w:szCs w:val="26"/>
        </w:rPr>
        <w:t xml:space="preserve">  </w:t>
      </w:r>
      <w:r w:rsidRPr="00B36585">
        <w:rPr>
          <w:rFonts w:ascii="Times New Roman" w:hAnsi="Times New Roman" w:cs="Times New Roman"/>
          <w:sz w:val="26"/>
          <w:szCs w:val="26"/>
        </w:rPr>
        <w:t>The Findings of Fact and Conclusions of Law are incorporated herein by reference and are adopted without comment unless they are either expressly or by necessary implication rejected or modified by this Opinion and Order.</w:t>
      </w:r>
    </w:p>
    <w:p w:rsidR="00BF4D9A" w:rsidRDefault="00BF4D9A" w:rsidP="0032573C">
      <w:pPr>
        <w:pStyle w:val="ParaTab1"/>
        <w:spacing w:line="360" w:lineRule="auto"/>
        <w:rPr>
          <w:rFonts w:ascii="Times New Roman" w:hAnsi="Times New Roman" w:cs="Times New Roman"/>
          <w:sz w:val="26"/>
          <w:szCs w:val="26"/>
        </w:rPr>
      </w:pPr>
    </w:p>
    <w:p w:rsidR="000B3B43" w:rsidRPr="002A6750" w:rsidRDefault="00DA3A9F" w:rsidP="000B3B43">
      <w:pPr>
        <w:widowControl/>
        <w:spacing w:line="360" w:lineRule="auto"/>
        <w:ind w:firstLine="1440"/>
        <w:rPr>
          <w:sz w:val="26"/>
          <w:szCs w:val="26"/>
        </w:rPr>
      </w:pPr>
      <w:r>
        <w:rPr>
          <w:sz w:val="26"/>
          <w:szCs w:val="26"/>
        </w:rPr>
        <w:t xml:space="preserve">Additionally, </w:t>
      </w:r>
      <w:r w:rsidR="000B3B43" w:rsidRPr="002A6750">
        <w:rPr>
          <w:sz w:val="26"/>
          <w:szCs w:val="26"/>
        </w:rPr>
        <w:t xml:space="preserve">we note that any issue or </w:t>
      </w:r>
      <w:r w:rsidR="000B3B43">
        <w:rPr>
          <w:sz w:val="26"/>
          <w:szCs w:val="26"/>
        </w:rPr>
        <w:t xml:space="preserve">argument </w:t>
      </w:r>
      <w:r w:rsidR="000B3B43" w:rsidRPr="002A6750">
        <w:rPr>
          <w:sz w:val="26"/>
          <w:szCs w:val="26"/>
        </w:rPr>
        <w:t xml:space="preserve">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000B3B43" w:rsidRPr="000B3B43">
          <w:rPr>
            <w:rStyle w:val="Emphasis"/>
            <w:color w:val="000000"/>
            <w:sz w:val="26"/>
            <w:szCs w:val="26"/>
          </w:rPr>
          <w:t xml:space="preserve">Consolidated Rail Corp. v. Pa. PUC, </w:t>
        </w:r>
        <w:r w:rsidR="000B3B43" w:rsidRPr="00B66833">
          <w:rPr>
            <w:rStyle w:val="Hyperlink"/>
            <w:color w:val="000000"/>
            <w:sz w:val="26"/>
            <w:szCs w:val="26"/>
            <w:u w:val="none"/>
          </w:rPr>
          <w:t xml:space="preserve">625 A.2d 741 (Pa. </w:t>
        </w:r>
        <w:proofErr w:type="spellStart"/>
        <w:r w:rsidR="000B3B43" w:rsidRPr="00B66833">
          <w:rPr>
            <w:rStyle w:val="Hyperlink"/>
            <w:color w:val="000000"/>
            <w:sz w:val="26"/>
            <w:szCs w:val="26"/>
            <w:u w:val="none"/>
          </w:rPr>
          <w:t>Cmwlth</w:t>
        </w:r>
        <w:proofErr w:type="spellEnd"/>
        <w:r w:rsidR="000B3B43" w:rsidRPr="00B66833">
          <w:rPr>
            <w:rStyle w:val="Hyperlink"/>
            <w:color w:val="000000"/>
            <w:sz w:val="26"/>
            <w:szCs w:val="26"/>
            <w:u w:val="none"/>
          </w:rPr>
          <w:t>. 1993);</w:t>
        </w:r>
      </w:hyperlink>
      <w:r w:rsidR="000B3B43" w:rsidRPr="000B3B43">
        <w:rPr>
          <w:color w:val="000000"/>
          <w:sz w:val="26"/>
          <w:szCs w:val="26"/>
        </w:rPr>
        <w:t xml:space="preserve"> </w:t>
      </w:r>
      <w:r w:rsidR="000B3B43" w:rsidRPr="002A6750">
        <w:rPr>
          <w:i/>
          <w:color w:val="000000"/>
          <w:sz w:val="26"/>
          <w:szCs w:val="26"/>
        </w:rPr>
        <w:t xml:space="preserve">also </w:t>
      </w:r>
      <w:r w:rsidR="000B3B43" w:rsidRPr="002A6750">
        <w:rPr>
          <w:rStyle w:val="Emphasis"/>
          <w:color w:val="000000"/>
          <w:sz w:val="26"/>
          <w:szCs w:val="26"/>
        </w:rPr>
        <w:t xml:space="preserve">see, generally, </w:t>
      </w:r>
      <w:hyperlink r:id="rId10" w:history="1">
        <w:r w:rsidR="000B3B43" w:rsidRPr="002A6750">
          <w:rPr>
            <w:rStyle w:val="Emphasis"/>
            <w:color w:val="000000"/>
            <w:sz w:val="26"/>
            <w:szCs w:val="26"/>
          </w:rPr>
          <w:t>University of Pennsylvania v. Pa. PUC</w:t>
        </w:r>
        <w:r w:rsidR="000B3B43" w:rsidRPr="00B42AC8">
          <w:rPr>
            <w:rStyle w:val="Hyperlink"/>
            <w:color w:val="000000"/>
            <w:sz w:val="26"/>
            <w:szCs w:val="26"/>
            <w:u w:val="none"/>
          </w:rPr>
          <w:t xml:space="preserve">, 485 A.2d 1217 (Pa. </w:t>
        </w:r>
        <w:proofErr w:type="spellStart"/>
        <w:r w:rsidR="000B3B43" w:rsidRPr="00B42AC8">
          <w:rPr>
            <w:rStyle w:val="Hyperlink"/>
            <w:color w:val="000000"/>
            <w:sz w:val="26"/>
            <w:szCs w:val="26"/>
            <w:u w:val="none"/>
          </w:rPr>
          <w:t>Cmwlth</w:t>
        </w:r>
        <w:proofErr w:type="spellEnd"/>
        <w:r w:rsidR="000B3B43" w:rsidRPr="00B42AC8">
          <w:rPr>
            <w:rStyle w:val="Hyperlink"/>
            <w:color w:val="000000"/>
            <w:sz w:val="26"/>
            <w:szCs w:val="26"/>
            <w:u w:val="none"/>
          </w:rPr>
          <w:t>. 1984).</w:t>
        </w:r>
      </w:hyperlink>
      <w:r w:rsidR="000B3B43" w:rsidRPr="002A6750">
        <w:rPr>
          <w:sz w:val="26"/>
          <w:szCs w:val="26"/>
        </w:rPr>
        <w:t xml:space="preserve"> </w:t>
      </w:r>
    </w:p>
    <w:p w:rsidR="00DA3A9F" w:rsidRDefault="00DA3A9F" w:rsidP="0032573C">
      <w:pPr>
        <w:pStyle w:val="ParaTab1"/>
        <w:spacing w:line="360" w:lineRule="auto"/>
        <w:rPr>
          <w:rFonts w:ascii="Times New Roman" w:hAnsi="Times New Roman" w:cs="Times New Roman"/>
          <w:sz w:val="26"/>
          <w:szCs w:val="26"/>
        </w:rPr>
      </w:pPr>
    </w:p>
    <w:p w:rsidR="00644490" w:rsidRPr="00644490" w:rsidRDefault="00644490" w:rsidP="003844F5">
      <w:pPr>
        <w:pStyle w:val="ParaTab1"/>
        <w:spacing w:line="360" w:lineRule="auto"/>
        <w:ind w:firstLine="0"/>
        <w:rPr>
          <w:rFonts w:ascii="Times New Roman" w:hAnsi="Times New Roman" w:cs="Times New Roman"/>
          <w:b/>
          <w:sz w:val="26"/>
          <w:szCs w:val="26"/>
        </w:rPr>
      </w:pPr>
      <w:r>
        <w:rPr>
          <w:rFonts w:ascii="Times New Roman" w:hAnsi="Times New Roman" w:cs="Times New Roman"/>
          <w:b/>
          <w:sz w:val="26"/>
          <w:szCs w:val="26"/>
        </w:rPr>
        <w:tab/>
      </w:r>
      <w:r w:rsidR="006A5E91">
        <w:rPr>
          <w:rFonts w:ascii="Times New Roman" w:hAnsi="Times New Roman" w:cs="Times New Roman"/>
          <w:b/>
          <w:sz w:val="26"/>
          <w:szCs w:val="26"/>
        </w:rPr>
        <w:t xml:space="preserve">ALJ’s </w:t>
      </w:r>
      <w:r w:rsidR="00ED5A83">
        <w:rPr>
          <w:rFonts w:ascii="Times New Roman" w:hAnsi="Times New Roman" w:cs="Times New Roman"/>
          <w:b/>
          <w:sz w:val="26"/>
          <w:szCs w:val="26"/>
        </w:rPr>
        <w:t xml:space="preserve">Recommended </w:t>
      </w:r>
      <w:r w:rsidR="006A5E91">
        <w:rPr>
          <w:rFonts w:ascii="Times New Roman" w:hAnsi="Times New Roman" w:cs="Times New Roman"/>
          <w:b/>
          <w:sz w:val="26"/>
          <w:szCs w:val="26"/>
        </w:rPr>
        <w:t>Decision</w:t>
      </w:r>
    </w:p>
    <w:p w:rsidR="0088335E" w:rsidRPr="00CF576A" w:rsidRDefault="0088335E" w:rsidP="003844F5">
      <w:pPr>
        <w:pStyle w:val="ParaTab1"/>
        <w:spacing w:line="360" w:lineRule="auto"/>
        <w:rPr>
          <w:rFonts w:ascii="Times New Roman" w:hAnsi="Times New Roman" w:cs="Times New Roman"/>
          <w:sz w:val="26"/>
          <w:szCs w:val="26"/>
        </w:rPr>
      </w:pPr>
    </w:p>
    <w:p w:rsidR="005B19C5" w:rsidRPr="00464EA7" w:rsidRDefault="002B31CD" w:rsidP="003844F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Presented for resolution </w:t>
      </w:r>
      <w:r w:rsidR="00ED5A83">
        <w:rPr>
          <w:rFonts w:ascii="Times New Roman" w:hAnsi="Times New Roman" w:cs="Times New Roman"/>
          <w:sz w:val="26"/>
          <w:szCs w:val="26"/>
        </w:rPr>
        <w:t xml:space="preserve">is </w:t>
      </w:r>
      <w:r>
        <w:rPr>
          <w:rFonts w:ascii="Times New Roman" w:hAnsi="Times New Roman" w:cs="Times New Roman"/>
          <w:sz w:val="26"/>
          <w:szCs w:val="26"/>
        </w:rPr>
        <w:t>a f</w:t>
      </w:r>
      <w:r w:rsidR="00500EDC">
        <w:rPr>
          <w:rFonts w:ascii="Times New Roman" w:hAnsi="Times New Roman" w:cs="Times New Roman"/>
          <w:sz w:val="26"/>
          <w:szCs w:val="26"/>
        </w:rPr>
        <w:t xml:space="preserve">ull </w:t>
      </w:r>
      <w:r w:rsidR="009F7664" w:rsidRPr="009F7664">
        <w:rPr>
          <w:rFonts w:ascii="Times New Roman" w:hAnsi="Times New Roman" w:cs="Times New Roman"/>
          <w:sz w:val="26"/>
          <w:szCs w:val="26"/>
        </w:rPr>
        <w:t>settlement in th</w:t>
      </w:r>
      <w:r w:rsidR="00ED5A83">
        <w:rPr>
          <w:rFonts w:ascii="Times New Roman" w:hAnsi="Times New Roman" w:cs="Times New Roman"/>
          <w:sz w:val="26"/>
          <w:szCs w:val="26"/>
        </w:rPr>
        <w:t>is</w:t>
      </w:r>
      <w:r w:rsidR="009F7664" w:rsidRPr="009F7664">
        <w:rPr>
          <w:rFonts w:ascii="Times New Roman" w:hAnsi="Times New Roman" w:cs="Times New Roman"/>
          <w:sz w:val="26"/>
          <w:szCs w:val="26"/>
        </w:rPr>
        <w:t xml:space="preserve"> proceeding</w:t>
      </w:r>
      <w:r w:rsidR="00ED5A83">
        <w:rPr>
          <w:rFonts w:ascii="Times New Roman" w:hAnsi="Times New Roman" w:cs="Times New Roman"/>
          <w:sz w:val="26"/>
          <w:szCs w:val="26"/>
        </w:rPr>
        <w:t>.  T</w:t>
      </w:r>
      <w:r w:rsidR="009F7664" w:rsidRPr="009F7664">
        <w:rPr>
          <w:rFonts w:ascii="Times New Roman" w:hAnsi="Times New Roman" w:cs="Times New Roman"/>
          <w:sz w:val="26"/>
          <w:szCs w:val="26"/>
        </w:rPr>
        <w:t>he ALJ first concluded that the legal standards applicable to the Commission’s review of settlements require that the proposed terms and conditions must be in the public interest.</w:t>
      </w:r>
      <w:r w:rsidR="009F7664">
        <w:rPr>
          <w:rFonts w:ascii="Times New Roman" w:hAnsi="Times New Roman" w:cs="Times New Roman"/>
          <w:sz w:val="26"/>
          <w:szCs w:val="26"/>
        </w:rPr>
        <w:t xml:space="preserve">  </w:t>
      </w:r>
      <w:r w:rsidR="00925FF2">
        <w:rPr>
          <w:rFonts w:ascii="Times New Roman" w:hAnsi="Times New Roman" w:cs="Times New Roman"/>
          <w:sz w:val="26"/>
          <w:szCs w:val="26"/>
        </w:rPr>
        <w:t xml:space="preserve">Finding that the transaction would result in a new controlling interest of PPL IEC, a certificated public utility, the ALJ concluded Section 1102(a)(3) of the Code, 66 Pa. C.S. § 1102(a)(3), and our Policy Statement regarding changes in control found at 52 Pa. Code § 69.901, </w:t>
      </w:r>
      <w:r w:rsidR="00ED5A83">
        <w:rPr>
          <w:rFonts w:ascii="Times New Roman" w:hAnsi="Times New Roman" w:cs="Times New Roman"/>
          <w:sz w:val="26"/>
          <w:szCs w:val="26"/>
        </w:rPr>
        <w:t xml:space="preserve">require prior </w:t>
      </w:r>
      <w:r w:rsidR="00925FF2">
        <w:rPr>
          <w:rFonts w:ascii="Times New Roman" w:hAnsi="Times New Roman" w:cs="Times New Roman"/>
          <w:sz w:val="26"/>
          <w:szCs w:val="26"/>
        </w:rPr>
        <w:t xml:space="preserve">Commission approval of the transaction.  </w:t>
      </w:r>
      <w:r w:rsidR="00784C2F">
        <w:rPr>
          <w:rFonts w:ascii="Times New Roman" w:hAnsi="Times New Roman" w:cs="Times New Roman"/>
          <w:sz w:val="26"/>
          <w:szCs w:val="26"/>
        </w:rPr>
        <w:t xml:space="preserve">The ALJ further concluded that under Sections 1102 and 1103 of the Code, </w:t>
      </w:r>
      <w:r w:rsidR="00B42AC8">
        <w:rPr>
          <w:rFonts w:ascii="Times New Roman" w:hAnsi="Times New Roman" w:cs="Times New Roman"/>
          <w:sz w:val="26"/>
          <w:szCs w:val="26"/>
        </w:rPr>
        <w:t xml:space="preserve">Joint </w:t>
      </w:r>
      <w:r w:rsidR="00784C2F">
        <w:rPr>
          <w:rFonts w:ascii="Times New Roman" w:hAnsi="Times New Roman" w:cs="Times New Roman"/>
          <w:sz w:val="26"/>
          <w:szCs w:val="26"/>
        </w:rPr>
        <w:t xml:space="preserve">Applicants must demonstrate that the party to which the assets and service obligations are being transferred is legally, technically, and financially fit, and that grant of a certificate is necessary or proper for the service, accommodation, convenience, or safety of the public.  </w:t>
      </w:r>
      <w:r w:rsidR="00644490">
        <w:rPr>
          <w:rFonts w:ascii="Times New Roman" w:hAnsi="Times New Roman" w:cs="Times New Roman"/>
          <w:sz w:val="26"/>
          <w:szCs w:val="26"/>
        </w:rPr>
        <w:t>R.D. at 25-28.</w:t>
      </w:r>
    </w:p>
    <w:p w:rsidR="00A06A0B" w:rsidRPr="00464EA7" w:rsidRDefault="00A06A0B" w:rsidP="003844F5">
      <w:pPr>
        <w:pStyle w:val="ParaTab1"/>
        <w:spacing w:line="360" w:lineRule="auto"/>
        <w:rPr>
          <w:rFonts w:ascii="Times New Roman" w:hAnsi="Times New Roman" w:cs="Times New Roman"/>
          <w:sz w:val="26"/>
          <w:szCs w:val="26"/>
        </w:rPr>
      </w:pPr>
    </w:p>
    <w:p w:rsidR="00B8676A" w:rsidRDefault="0061631C" w:rsidP="003844F5">
      <w:pPr>
        <w:widowControl/>
        <w:tabs>
          <w:tab w:val="left" w:pos="-720"/>
        </w:tabs>
        <w:suppressAutoHyphens/>
        <w:spacing w:line="360" w:lineRule="auto"/>
        <w:rPr>
          <w:rStyle w:val="Hyperlink"/>
          <w:color w:val="000000"/>
          <w:sz w:val="26"/>
          <w:szCs w:val="26"/>
          <w:u w:val="none"/>
        </w:rPr>
      </w:pPr>
      <w:r w:rsidRPr="0061631C">
        <w:rPr>
          <w:rStyle w:val="Hyperlink"/>
          <w:color w:val="000000"/>
          <w:sz w:val="26"/>
          <w:szCs w:val="26"/>
          <w:u w:val="none"/>
        </w:rPr>
        <w:tab/>
      </w:r>
      <w:r w:rsidRPr="0061631C">
        <w:rPr>
          <w:rStyle w:val="Hyperlink"/>
          <w:color w:val="000000"/>
          <w:sz w:val="26"/>
          <w:szCs w:val="26"/>
          <w:u w:val="none"/>
        </w:rPr>
        <w:tab/>
      </w:r>
      <w:r w:rsidR="00644490">
        <w:rPr>
          <w:rStyle w:val="Hyperlink"/>
          <w:color w:val="000000"/>
          <w:sz w:val="26"/>
          <w:szCs w:val="26"/>
          <w:u w:val="none"/>
        </w:rPr>
        <w:t>The ALJ also discussed the legal standards applicable under Chapters 21</w:t>
      </w:r>
      <w:r w:rsidR="0009265E">
        <w:rPr>
          <w:rStyle w:val="Hyperlink"/>
          <w:color w:val="000000"/>
          <w:sz w:val="26"/>
          <w:szCs w:val="26"/>
          <w:u w:val="none"/>
        </w:rPr>
        <w:t xml:space="preserve">, </w:t>
      </w:r>
      <w:r w:rsidR="00644490">
        <w:rPr>
          <w:rStyle w:val="Hyperlink"/>
          <w:color w:val="000000"/>
          <w:sz w:val="26"/>
          <w:szCs w:val="26"/>
          <w:u w:val="none"/>
        </w:rPr>
        <w:t>22</w:t>
      </w:r>
      <w:r w:rsidR="0009265E">
        <w:rPr>
          <w:rStyle w:val="Hyperlink"/>
          <w:color w:val="000000"/>
          <w:sz w:val="26"/>
          <w:szCs w:val="26"/>
          <w:u w:val="none"/>
        </w:rPr>
        <w:t>, and 28</w:t>
      </w:r>
      <w:r w:rsidR="00644490">
        <w:rPr>
          <w:rStyle w:val="Hyperlink"/>
          <w:color w:val="000000"/>
          <w:sz w:val="26"/>
          <w:szCs w:val="26"/>
          <w:u w:val="none"/>
        </w:rPr>
        <w:t xml:space="preserve"> of the Code.  Chapter 21 address</w:t>
      </w:r>
      <w:r w:rsidR="0009265E">
        <w:rPr>
          <w:rStyle w:val="Hyperlink"/>
          <w:color w:val="000000"/>
          <w:sz w:val="26"/>
          <w:szCs w:val="26"/>
          <w:u w:val="none"/>
        </w:rPr>
        <w:t>es</w:t>
      </w:r>
      <w:r w:rsidR="00644490">
        <w:rPr>
          <w:rStyle w:val="Hyperlink"/>
          <w:color w:val="000000"/>
          <w:sz w:val="26"/>
          <w:szCs w:val="26"/>
          <w:u w:val="none"/>
        </w:rPr>
        <w:t xml:space="preserve"> relations with affiliated interests, </w:t>
      </w:r>
      <w:r w:rsidR="0009265E">
        <w:rPr>
          <w:rStyle w:val="Hyperlink"/>
          <w:color w:val="000000"/>
          <w:sz w:val="26"/>
          <w:szCs w:val="26"/>
          <w:u w:val="none"/>
        </w:rPr>
        <w:t xml:space="preserve">and, as the </w:t>
      </w:r>
      <w:r w:rsidR="00644490">
        <w:rPr>
          <w:rStyle w:val="Hyperlink"/>
          <w:color w:val="000000"/>
          <w:sz w:val="26"/>
          <w:szCs w:val="26"/>
          <w:u w:val="none"/>
        </w:rPr>
        <w:t>ALJ concluded</w:t>
      </w:r>
      <w:r w:rsidR="0009265E">
        <w:rPr>
          <w:rStyle w:val="Hyperlink"/>
          <w:color w:val="000000"/>
          <w:sz w:val="26"/>
          <w:szCs w:val="26"/>
          <w:u w:val="none"/>
        </w:rPr>
        <w:t xml:space="preserve">, under </w:t>
      </w:r>
      <w:r w:rsidR="00644490">
        <w:rPr>
          <w:rStyle w:val="Hyperlink"/>
          <w:color w:val="000000"/>
          <w:sz w:val="26"/>
          <w:szCs w:val="26"/>
          <w:u w:val="none"/>
        </w:rPr>
        <w:t>Section 2102 of the Code, 66 Pa. C.S. § 210</w:t>
      </w:r>
      <w:r w:rsidR="0086127F">
        <w:rPr>
          <w:rStyle w:val="Hyperlink"/>
          <w:color w:val="000000"/>
          <w:sz w:val="26"/>
          <w:szCs w:val="26"/>
          <w:u w:val="none"/>
        </w:rPr>
        <w:t>2</w:t>
      </w:r>
      <w:r w:rsidR="00644490">
        <w:rPr>
          <w:rStyle w:val="Hyperlink"/>
          <w:color w:val="000000"/>
          <w:sz w:val="26"/>
          <w:szCs w:val="26"/>
          <w:u w:val="none"/>
        </w:rPr>
        <w:t>, require</w:t>
      </w:r>
      <w:r w:rsidR="00B66833">
        <w:rPr>
          <w:rStyle w:val="Hyperlink"/>
          <w:color w:val="000000"/>
          <w:sz w:val="26"/>
          <w:szCs w:val="26"/>
          <w:u w:val="none"/>
        </w:rPr>
        <w:t>s</w:t>
      </w:r>
      <w:r w:rsidR="00644490">
        <w:rPr>
          <w:rStyle w:val="Hyperlink"/>
          <w:color w:val="000000"/>
          <w:sz w:val="26"/>
          <w:szCs w:val="26"/>
          <w:u w:val="none"/>
        </w:rPr>
        <w:t xml:space="preserve"> the Commission’s approval of affiliated interest contracts, including the modification o</w:t>
      </w:r>
      <w:r w:rsidR="00021CE4">
        <w:rPr>
          <w:rStyle w:val="Hyperlink"/>
          <w:color w:val="000000"/>
          <w:sz w:val="26"/>
          <w:szCs w:val="26"/>
          <w:u w:val="none"/>
        </w:rPr>
        <w:t>r</w:t>
      </w:r>
      <w:r w:rsidR="00644490">
        <w:rPr>
          <w:rStyle w:val="Hyperlink"/>
          <w:color w:val="000000"/>
          <w:sz w:val="26"/>
          <w:szCs w:val="26"/>
          <w:u w:val="none"/>
        </w:rPr>
        <w:t xml:space="preserve"> amendment of such contracts.  </w:t>
      </w:r>
      <w:r w:rsidR="00B8676A">
        <w:rPr>
          <w:rStyle w:val="Hyperlink"/>
          <w:color w:val="000000"/>
          <w:sz w:val="26"/>
          <w:szCs w:val="26"/>
          <w:u w:val="none"/>
        </w:rPr>
        <w:t>R.D. at 28-29.</w:t>
      </w:r>
    </w:p>
    <w:p w:rsidR="00B8676A" w:rsidRDefault="00B8676A" w:rsidP="003844F5">
      <w:pPr>
        <w:widowControl/>
        <w:tabs>
          <w:tab w:val="left" w:pos="-720"/>
        </w:tabs>
        <w:suppressAutoHyphens/>
        <w:spacing w:line="360" w:lineRule="auto"/>
        <w:rPr>
          <w:rStyle w:val="Hyperlink"/>
          <w:color w:val="000000"/>
          <w:sz w:val="26"/>
          <w:szCs w:val="26"/>
          <w:u w:val="none"/>
        </w:rPr>
      </w:pPr>
    </w:p>
    <w:p w:rsidR="0061631C" w:rsidRDefault="00B8676A" w:rsidP="003844F5">
      <w:pPr>
        <w:widowControl/>
        <w:tabs>
          <w:tab w:val="left" w:pos="-720"/>
          <w:tab w:val="left" w:pos="720"/>
        </w:tabs>
        <w:suppressAutoHyphens/>
        <w:spacing w:line="360" w:lineRule="auto"/>
        <w:rPr>
          <w:rStyle w:val="Hyperlink"/>
          <w:color w:val="000000"/>
          <w:sz w:val="26"/>
          <w:szCs w:val="26"/>
          <w:u w:val="none"/>
        </w:rPr>
      </w:pPr>
      <w:r>
        <w:rPr>
          <w:rStyle w:val="Hyperlink"/>
          <w:color w:val="000000"/>
          <w:sz w:val="26"/>
          <w:szCs w:val="26"/>
          <w:u w:val="none"/>
        </w:rPr>
        <w:lastRenderedPageBreak/>
        <w:tab/>
      </w:r>
      <w:r>
        <w:rPr>
          <w:rStyle w:val="Hyperlink"/>
          <w:color w:val="000000"/>
          <w:sz w:val="26"/>
          <w:szCs w:val="26"/>
          <w:u w:val="none"/>
        </w:rPr>
        <w:tab/>
      </w:r>
      <w:r w:rsidR="0009265E">
        <w:rPr>
          <w:rStyle w:val="Hyperlink"/>
          <w:color w:val="000000"/>
          <w:sz w:val="26"/>
          <w:szCs w:val="26"/>
          <w:u w:val="none"/>
        </w:rPr>
        <w:t>Chapter 22 addresses natural gas competition. According to the ALJ, Section 2210(a)(1) of the Code, 66 Pa. C.S. § 2210(a)(1), require</w:t>
      </w:r>
      <w:r w:rsidR="00B66833">
        <w:rPr>
          <w:rStyle w:val="Hyperlink"/>
          <w:color w:val="000000"/>
          <w:sz w:val="26"/>
          <w:szCs w:val="26"/>
          <w:u w:val="none"/>
        </w:rPr>
        <w:t>s</w:t>
      </w:r>
      <w:r w:rsidR="0009265E">
        <w:rPr>
          <w:rStyle w:val="Hyperlink"/>
          <w:color w:val="000000"/>
          <w:sz w:val="26"/>
          <w:szCs w:val="26"/>
          <w:u w:val="none"/>
        </w:rPr>
        <w:t xml:space="preserve"> the Commission to consider whether a propo</w:t>
      </w:r>
      <w:r>
        <w:rPr>
          <w:rStyle w:val="Hyperlink"/>
          <w:color w:val="000000"/>
          <w:sz w:val="26"/>
          <w:szCs w:val="26"/>
          <w:u w:val="none"/>
        </w:rPr>
        <w:t>s</w:t>
      </w:r>
      <w:r w:rsidR="0009265E">
        <w:rPr>
          <w:rStyle w:val="Hyperlink"/>
          <w:color w:val="000000"/>
          <w:sz w:val="26"/>
          <w:szCs w:val="26"/>
          <w:u w:val="none"/>
        </w:rPr>
        <w:t xml:space="preserve">ed merger or consolidation of a natural gas distribution company or supplier is likely to result in anticompetitive or discriminatory conduct. </w:t>
      </w:r>
      <w:r>
        <w:rPr>
          <w:rStyle w:val="Hyperlink"/>
          <w:color w:val="000000"/>
          <w:sz w:val="26"/>
          <w:szCs w:val="26"/>
          <w:u w:val="none"/>
        </w:rPr>
        <w:t xml:space="preserve"> Section 2210(a)(2) </w:t>
      </w:r>
      <w:r w:rsidR="00500EDC">
        <w:rPr>
          <w:rStyle w:val="Hyperlink"/>
          <w:color w:val="000000"/>
          <w:sz w:val="26"/>
          <w:szCs w:val="26"/>
          <w:u w:val="none"/>
        </w:rPr>
        <w:t xml:space="preserve">of the Code, 66 Pa. C.S. § 2210(a)(2), </w:t>
      </w:r>
      <w:r>
        <w:rPr>
          <w:rStyle w:val="Hyperlink"/>
          <w:color w:val="000000"/>
          <w:sz w:val="26"/>
          <w:szCs w:val="26"/>
          <w:u w:val="none"/>
        </w:rPr>
        <w:t>require</w:t>
      </w:r>
      <w:r w:rsidR="00B66833">
        <w:rPr>
          <w:rStyle w:val="Hyperlink"/>
          <w:color w:val="000000"/>
          <w:sz w:val="26"/>
          <w:szCs w:val="26"/>
          <w:u w:val="none"/>
        </w:rPr>
        <w:t>s</w:t>
      </w:r>
      <w:r>
        <w:rPr>
          <w:rStyle w:val="Hyperlink"/>
          <w:color w:val="000000"/>
          <w:sz w:val="26"/>
          <w:szCs w:val="26"/>
          <w:u w:val="none"/>
        </w:rPr>
        <w:t xml:space="preserve"> consideration of the impact of a proposed merger or consolidation on the employees of the natural gas distribution company.  The ALJ concluded that both standards ha</w:t>
      </w:r>
      <w:r w:rsidR="00B66833">
        <w:rPr>
          <w:rStyle w:val="Hyperlink"/>
          <w:color w:val="000000"/>
          <w:sz w:val="26"/>
          <w:szCs w:val="26"/>
          <w:u w:val="none"/>
        </w:rPr>
        <w:t>ve</w:t>
      </w:r>
      <w:r>
        <w:rPr>
          <w:rStyle w:val="Hyperlink"/>
          <w:color w:val="000000"/>
          <w:sz w:val="26"/>
          <w:szCs w:val="26"/>
          <w:u w:val="none"/>
        </w:rPr>
        <w:t xml:space="preserve"> been satisfied.  Over time</w:t>
      </w:r>
      <w:r w:rsidR="00500EDC">
        <w:rPr>
          <w:rStyle w:val="Hyperlink"/>
          <w:color w:val="000000"/>
          <w:sz w:val="26"/>
          <w:szCs w:val="26"/>
          <w:u w:val="none"/>
        </w:rPr>
        <w:t>,</w:t>
      </w:r>
      <w:r>
        <w:rPr>
          <w:rStyle w:val="Hyperlink"/>
          <w:color w:val="000000"/>
          <w:sz w:val="26"/>
          <w:szCs w:val="26"/>
          <w:u w:val="none"/>
        </w:rPr>
        <w:t xml:space="preserve"> the sell-down of shares of Talen Energy’s common stock held by the RJS Entities or the RJS SPE would be less than a combined 20% of the outstanding shares of Talen Energy’s common stock as part of </w:t>
      </w:r>
      <w:proofErr w:type="spellStart"/>
      <w:r>
        <w:rPr>
          <w:rStyle w:val="Hyperlink"/>
          <w:color w:val="000000"/>
          <w:sz w:val="26"/>
          <w:szCs w:val="26"/>
          <w:u w:val="none"/>
        </w:rPr>
        <w:t>Riverstone’s</w:t>
      </w:r>
      <w:proofErr w:type="spellEnd"/>
      <w:r>
        <w:rPr>
          <w:rStyle w:val="Hyperlink"/>
          <w:color w:val="000000"/>
          <w:sz w:val="26"/>
          <w:szCs w:val="26"/>
          <w:u w:val="none"/>
        </w:rPr>
        <w:t xml:space="preserve"> ordinary business, thus supporting the finding that the transaction is in the public interest under Section 1102(a)(3) of the Code.  Further, under the Joint Petition, </w:t>
      </w:r>
      <w:r w:rsidR="00B42AC8">
        <w:rPr>
          <w:rStyle w:val="Hyperlink"/>
          <w:color w:val="000000"/>
          <w:sz w:val="26"/>
          <w:szCs w:val="26"/>
          <w:u w:val="none"/>
        </w:rPr>
        <w:t xml:space="preserve">Joint </w:t>
      </w:r>
      <w:r>
        <w:rPr>
          <w:rStyle w:val="Hyperlink"/>
          <w:color w:val="000000"/>
          <w:sz w:val="26"/>
          <w:szCs w:val="26"/>
          <w:u w:val="none"/>
        </w:rPr>
        <w:t>Applicants represented that all operating and management employees of PPL IEC prior to closing will remain employees following closing as required to meet the business’ continuing needs, satisfying review under Section 2210(a)(2).  R.D. at 29.</w:t>
      </w:r>
    </w:p>
    <w:p w:rsidR="00B8676A" w:rsidRDefault="00B8676A" w:rsidP="003844F5">
      <w:pPr>
        <w:widowControl/>
        <w:tabs>
          <w:tab w:val="left" w:pos="-720"/>
          <w:tab w:val="left" w:pos="720"/>
        </w:tabs>
        <w:suppressAutoHyphens/>
        <w:spacing w:line="360" w:lineRule="auto"/>
        <w:rPr>
          <w:rStyle w:val="Hyperlink"/>
          <w:color w:val="000000"/>
          <w:sz w:val="26"/>
          <w:szCs w:val="26"/>
          <w:u w:val="none"/>
        </w:rPr>
      </w:pPr>
    </w:p>
    <w:p w:rsidR="00536C13" w:rsidRDefault="00B8676A" w:rsidP="003844F5">
      <w:pPr>
        <w:widowControl/>
        <w:tabs>
          <w:tab w:val="left" w:pos="-720"/>
          <w:tab w:val="left" w:pos="720"/>
        </w:tabs>
        <w:suppressAutoHyphens/>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r>
      <w:r w:rsidR="00536C13">
        <w:rPr>
          <w:rStyle w:val="Hyperlink"/>
          <w:color w:val="000000"/>
          <w:sz w:val="26"/>
          <w:szCs w:val="26"/>
          <w:u w:val="none"/>
        </w:rPr>
        <w:t xml:space="preserve">Chapter 28 addresses restructuring of the electric industry, and under Section 2811(e) of the Code, 66 Pa. C.S. § 2811(e), </w:t>
      </w:r>
      <w:r w:rsidR="00500EDC">
        <w:rPr>
          <w:rStyle w:val="Hyperlink"/>
          <w:color w:val="000000"/>
          <w:sz w:val="26"/>
          <w:szCs w:val="26"/>
          <w:u w:val="none"/>
        </w:rPr>
        <w:t>require</w:t>
      </w:r>
      <w:r w:rsidR="00B66833">
        <w:rPr>
          <w:rStyle w:val="Hyperlink"/>
          <w:color w:val="000000"/>
          <w:sz w:val="26"/>
          <w:szCs w:val="26"/>
          <w:u w:val="none"/>
        </w:rPr>
        <w:t>s</w:t>
      </w:r>
      <w:r w:rsidR="00536C13">
        <w:rPr>
          <w:rStyle w:val="Hyperlink"/>
          <w:color w:val="000000"/>
          <w:sz w:val="26"/>
          <w:szCs w:val="26"/>
          <w:u w:val="none"/>
        </w:rPr>
        <w:t xml:space="preserve"> that the Commission consider, </w:t>
      </w:r>
      <w:r w:rsidR="00536C13">
        <w:rPr>
          <w:rStyle w:val="Hyperlink"/>
          <w:i/>
          <w:color w:val="000000"/>
          <w:sz w:val="26"/>
          <w:szCs w:val="26"/>
          <w:u w:val="none"/>
        </w:rPr>
        <w:t>inter alia</w:t>
      </w:r>
      <w:r w:rsidR="00536C13">
        <w:rPr>
          <w:rStyle w:val="Hyperlink"/>
          <w:color w:val="000000"/>
          <w:sz w:val="26"/>
          <w:szCs w:val="26"/>
          <w:u w:val="none"/>
        </w:rPr>
        <w:t xml:space="preserve">, whether a proposed merger or consolidation of an EDC or EGS is likely to result in anticompetitive or discriminatory conduct.  While the ownership of PPL Electric was not at issue in the transaction, certain ancillary transfers necessary to the transaction brought Commission jurisdiction into play even though it did not trigger Commission approval.  As the ALJ concluded: </w:t>
      </w:r>
    </w:p>
    <w:p w:rsidR="00536C13" w:rsidRDefault="00536C13" w:rsidP="003844F5">
      <w:pPr>
        <w:widowControl/>
        <w:tabs>
          <w:tab w:val="left" w:pos="-720"/>
          <w:tab w:val="left" w:pos="720"/>
        </w:tabs>
        <w:suppressAutoHyphens/>
        <w:spacing w:line="360" w:lineRule="auto"/>
        <w:rPr>
          <w:rStyle w:val="Hyperlink"/>
          <w:color w:val="000000"/>
          <w:sz w:val="26"/>
          <w:szCs w:val="26"/>
          <w:u w:val="none"/>
        </w:rPr>
      </w:pPr>
    </w:p>
    <w:p w:rsidR="00536C13" w:rsidRDefault="00536C13" w:rsidP="003844F5">
      <w:pPr>
        <w:widowControl/>
        <w:tabs>
          <w:tab w:val="left" w:pos="-720"/>
          <w:tab w:val="left" w:pos="720"/>
        </w:tabs>
        <w:suppressAutoHyphens/>
        <w:ind w:left="1440" w:right="1440"/>
        <w:rPr>
          <w:rStyle w:val="Hyperlink"/>
          <w:color w:val="000000"/>
          <w:sz w:val="26"/>
          <w:szCs w:val="26"/>
          <w:u w:val="none"/>
        </w:rPr>
      </w:pPr>
      <w:r>
        <w:rPr>
          <w:rStyle w:val="Hyperlink"/>
          <w:color w:val="000000"/>
          <w:sz w:val="26"/>
          <w:szCs w:val="26"/>
          <w:u w:val="none"/>
        </w:rPr>
        <w:t>When viewed from the perspective of separating the electric distribution service provided by</w:t>
      </w:r>
      <w:r w:rsidR="002B31CD">
        <w:rPr>
          <w:rStyle w:val="Hyperlink"/>
          <w:color w:val="000000"/>
          <w:sz w:val="26"/>
          <w:szCs w:val="26"/>
          <w:u w:val="none"/>
        </w:rPr>
        <w:t xml:space="preserve"> PPL E</w:t>
      </w:r>
      <w:r>
        <w:rPr>
          <w:rStyle w:val="Hyperlink"/>
          <w:color w:val="000000"/>
          <w:sz w:val="26"/>
          <w:szCs w:val="26"/>
          <w:u w:val="none"/>
        </w:rPr>
        <w:t xml:space="preserve">lectric from the other companies owned by PPL Corporation, the Transaction described in the Joint Application, subject to the terms and conditions contained in the Settlement is consistent with the service, accommodation, convenience, or safety of the public, as required by Section 1103 of the Public Utility Code[.]  </w:t>
      </w:r>
    </w:p>
    <w:p w:rsidR="00536C13" w:rsidRDefault="00536C13" w:rsidP="003844F5">
      <w:pPr>
        <w:widowControl/>
        <w:tabs>
          <w:tab w:val="left" w:pos="-720"/>
          <w:tab w:val="left" w:pos="720"/>
        </w:tabs>
        <w:suppressAutoHyphens/>
        <w:spacing w:line="360" w:lineRule="auto"/>
        <w:rPr>
          <w:rStyle w:val="Hyperlink"/>
          <w:color w:val="000000"/>
          <w:sz w:val="26"/>
          <w:szCs w:val="26"/>
          <w:u w:val="none"/>
        </w:rPr>
      </w:pPr>
    </w:p>
    <w:p w:rsidR="00B8676A" w:rsidRDefault="00B66833" w:rsidP="003844F5">
      <w:pPr>
        <w:widowControl/>
        <w:tabs>
          <w:tab w:val="left" w:pos="-720"/>
          <w:tab w:val="left" w:pos="720"/>
        </w:tabs>
        <w:suppressAutoHyphens/>
        <w:spacing w:line="360" w:lineRule="auto"/>
        <w:rPr>
          <w:color w:val="000000"/>
          <w:sz w:val="26"/>
          <w:szCs w:val="26"/>
        </w:rPr>
      </w:pPr>
      <w:r>
        <w:rPr>
          <w:rStyle w:val="Hyperlink"/>
          <w:color w:val="000000"/>
          <w:sz w:val="26"/>
          <w:szCs w:val="26"/>
          <w:u w:val="none"/>
        </w:rPr>
        <w:t>According to t</w:t>
      </w:r>
      <w:r w:rsidR="00500EDC">
        <w:rPr>
          <w:rStyle w:val="Hyperlink"/>
          <w:color w:val="000000"/>
          <w:sz w:val="26"/>
          <w:szCs w:val="26"/>
          <w:u w:val="none"/>
        </w:rPr>
        <w:t xml:space="preserve">he </w:t>
      </w:r>
      <w:r>
        <w:rPr>
          <w:rStyle w:val="Hyperlink"/>
          <w:color w:val="000000"/>
          <w:sz w:val="26"/>
          <w:szCs w:val="26"/>
          <w:u w:val="none"/>
        </w:rPr>
        <w:t xml:space="preserve">ALJ, the </w:t>
      </w:r>
      <w:r w:rsidR="00500EDC">
        <w:rPr>
          <w:rStyle w:val="Hyperlink"/>
          <w:color w:val="000000"/>
          <w:sz w:val="26"/>
          <w:szCs w:val="26"/>
          <w:u w:val="none"/>
        </w:rPr>
        <w:t>transaction</w:t>
      </w:r>
      <w:r w:rsidR="00536C13">
        <w:rPr>
          <w:rStyle w:val="Hyperlink"/>
          <w:color w:val="000000"/>
          <w:sz w:val="26"/>
          <w:szCs w:val="26"/>
          <w:u w:val="none"/>
        </w:rPr>
        <w:t xml:space="preserve"> also promotes the public interest as required by </w:t>
      </w:r>
      <w:r w:rsidR="00536C13">
        <w:rPr>
          <w:rStyle w:val="Hyperlink"/>
          <w:i/>
          <w:color w:val="000000"/>
          <w:sz w:val="26"/>
          <w:szCs w:val="26"/>
          <w:u w:val="none"/>
        </w:rPr>
        <w:t>City of York v. Pa. PUC</w:t>
      </w:r>
      <w:r w:rsidR="00536C13">
        <w:rPr>
          <w:rStyle w:val="Hyperlink"/>
          <w:color w:val="000000"/>
          <w:sz w:val="26"/>
          <w:szCs w:val="26"/>
          <w:u w:val="none"/>
        </w:rPr>
        <w:t xml:space="preserve">, 449 Pa. 136, 295 A.2d 825 (1972).  R.D. at 30-31.  </w:t>
      </w:r>
    </w:p>
    <w:p w:rsidR="00337D1B" w:rsidRDefault="00337D1B" w:rsidP="003844F5">
      <w:pPr>
        <w:widowControl/>
        <w:tabs>
          <w:tab w:val="left" w:pos="-720"/>
        </w:tabs>
        <w:suppressAutoHyphens/>
        <w:spacing w:line="360" w:lineRule="auto"/>
        <w:rPr>
          <w:color w:val="000000"/>
          <w:sz w:val="26"/>
          <w:szCs w:val="26"/>
        </w:rPr>
      </w:pPr>
    </w:p>
    <w:p w:rsidR="000C76B1" w:rsidRDefault="00337D1B" w:rsidP="003844F5">
      <w:pPr>
        <w:widowControl/>
        <w:tabs>
          <w:tab w:val="left" w:pos="-720"/>
        </w:tabs>
        <w:suppressAutoHyphens/>
        <w:spacing w:line="360" w:lineRule="auto"/>
        <w:rPr>
          <w:color w:val="000000"/>
          <w:sz w:val="26"/>
          <w:szCs w:val="26"/>
        </w:rPr>
      </w:pPr>
      <w:r>
        <w:rPr>
          <w:color w:val="000000"/>
          <w:sz w:val="26"/>
          <w:szCs w:val="26"/>
        </w:rPr>
        <w:tab/>
      </w:r>
      <w:r>
        <w:rPr>
          <w:color w:val="000000"/>
          <w:sz w:val="26"/>
          <w:szCs w:val="26"/>
        </w:rPr>
        <w:tab/>
      </w:r>
      <w:r w:rsidR="004F3D9A" w:rsidRPr="004F3D9A">
        <w:rPr>
          <w:color w:val="000000"/>
          <w:sz w:val="26"/>
          <w:szCs w:val="26"/>
        </w:rPr>
        <w:t>As stated in the Recommended Decision,</w:t>
      </w:r>
      <w:r w:rsidR="00B42AC8">
        <w:rPr>
          <w:color w:val="000000"/>
          <w:sz w:val="26"/>
          <w:szCs w:val="26"/>
        </w:rPr>
        <w:t xml:space="preserve"> Joint</w:t>
      </w:r>
      <w:r w:rsidR="004F3D9A" w:rsidRPr="004F3D9A">
        <w:rPr>
          <w:color w:val="000000"/>
          <w:sz w:val="26"/>
          <w:szCs w:val="26"/>
        </w:rPr>
        <w:t xml:space="preserve"> Applicants </w:t>
      </w:r>
      <w:r w:rsidR="004F3D9A">
        <w:rPr>
          <w:color w:val="000000"/>
          <w:sz w:val="26"/>
          <w:szCs w:val="26"/>
        </w:rPr>
        <w:t xml:space="preserve">also </w:t>
      </w:r>
      <w:r w:rsidR="004F3D9A" w:rsidRPr="004F3D9A">
        <w:rPr>
          <w:color w:val="000000"/>
          <w:sz w:val="26"/>
          <w:szCs w:val="26"/>
        </w:rPr>
        <w:t xml:space="preserve">included a discussion of transactions that may trigger the Commission’s interest but not its jurisdiction. </w:t>
      </w:r>
      <w:r w:rsidR="000C76B1">
        <w:rPr>
          <w:color w:val="000000"/>
          <w:sz w:val="26"/>
          <w:szCs w:val="26"/>
        </w:rPr>
        <w:t>The</w:t>
      </w:r>
      <w:r w:rsidR="004F3D9A">
        <w:rPr>
          <w:color w:val="000000"/>
          <w:sz w:val="26"/>
          <w:szCs w:val="26"/>
        </w:rPr>
        <w:t>se</w:t>
      </w:r>
      <w:r w:rsidR="000C76B1">
        <w:rPr>
          <w:color w:val="000000"/>
          <w:sz w:val="26"/>
          <w:szCs w:val="26"/>
        </w:rPr>
        <w:t xml:space="preserve"> </w:t>
      </w:r>
      <w:r w:rsidR="00021CE4">
        <w:rPr>
          <w:color w:val="000000"/>
          <w:sz w:val="26"/>
          <w:szCs w:val="26"/>
        </w:rPr>
        <w:t>transactions</w:t>
      </w:r>
      <w:r w:rsidR="000C76B1">
        <w:rPr>
          <w:color w:val="000000"/>
          <w:sz w:val="26"/>
          <w:szCs w:val="26"/>
        </w:rPr>
        <w:t xml:space="preserve"> involv</w:t>
      </w:r>
      <w:r w:rsidR="004F3D9A">
        <w:rPr>
          <w:color w:val="000000"/>
          <w:sz w:val="26"/>
          <w:szCs w:val="26"/>
        </w:rPr>
        <w:t xml:space="preserve">ed, </w:t>
      </w:r>
      <w:r w:rsidR="004F3D9A">
        <w:rPr>
          <w:i/>
          <w:color w:val="000000"/>
          <w:sz w:val="26"/>
          <w:szCs w:val="26"/>
        </w:rPr>
        <w:t xml:space="preserve">inter </w:t>
      </w:r>
      <w:r w:rsidR="004F3D9A" w:rsidRPr="004F3D9A">
        <w:rPr>
          <w:i/>
          <w:color w:val="000000"/>
          <w:sz w:val="26"/>
          <w:szCs w:val="26"/>
        </w:rPr>
        <w:t>alia</w:t>
      </w:r>
      <w:r w:rsidR="004F3D9A">
        <w:rPr>
          <w:color w:val="000000"/>
          <w:sz w:val="26"/>
          <w:szCs w:val="26"/>
        </w:rPr>
        <w:t xml:space="preserve">, </w:t>
      </w:r>
      <w:r w:rsidR="000C76B1">
        <w:rPr>
          <w:color w:val="000000"/>
          <w:sz w:val="26"/>
          <w:szCs w:val="26"/>
        </w:rPr>
        <w:t xml:space="preserve">the transfer and clarification of </w:t>
      </w:r>
      <w:r w:rsidR="00500EDC">
        <w:rPr>
          <w:color w:val="000000"/>
          <w:sz w:val="26"/>
          <w:szCs w:val="26"/>
        </w:rPr>
        <w:t xml:space="preserve">certain </w:t>
      </w:r>
      <w:r w:rsidR="000C76B1">
        <w:rPr>
          <w:color w:val="000000"/>
          <w:sz w:val="26"/>
          <w:szCs w:val="26"/>
        </w:rPr>
        <w:t xml:space="preserve">property interests such as transmission and distribution rights-of-way, substation sites, </w:t>
      </w:r>
      <w:r w:rsidR="00CF6497">
        <w:rPr>
          <w:color w:val="000000"/>
          <w:sz w:val="26"/>
          <w:szCs w:val="26"/>
        </w:rPr>
        <w:t xml:space="preserve">and </w:t>
      </w:r>
      <w:r w:rsidR="000C76B1">
        <w:rPr>
          <w:color w:val="000000"/>
          <w:sz w:val="26"/>
          <w:szCs w:val="26"/>
        </w:rPr>
        <w:t xml:space="preserve">miscellaneous properties and interests owned by </w:t>
      </w:r>
      <w:r w:rsidR="00B42AC8">
        <w:rPr>
          <w:color w:val="000000"/>
          <w:sz w:val="26"/>
          <w:szCs w:val="26"/>
        </w:rPr>
        <w:t xml:space="preserve">Joint </w:t>
      </w:r>
      <w:r w:rsidR="000C76B1">
        <w:rPr>
          <w:color w:val="000000"/>
          <w:sz w:val="26"/>
          <w:szCs w:val="26"/>
        </w:rPr>
        <w:t xml:space="preserve">Applicants and used by various affiliates.  With respect to </w:t>
      </w:r>
      <w:r w:rsidR="003A5163">
        <w:rPr>
          <w:color w:val="000000"/>
          <w:sz w:val="26"/>
          <w:szCs w:val="26"/>
        </w:rPr>
        <w:t>certain</w:t>
      </w:r>
      <w:r w:rsidR="004F3D9A">
        <w:rPr>
          <w:color w:val="000000"/>
          <w:sz w:val="26"/>
          <w:szCs w:val="26"/>
        </w:rPr>
        <w:t xml:space="preserve"> </w:t>
      </w:r>
      <w:r w:rsidR="00B52B2F">
        <w:rPr>
          <w:color w:val="000000"/>
          <w:sz w:val="26"/>
          <w:szCs w:val="26"/>
        </w:rPr>
        <w:t xml:space="preserve">property </w:t>
      </w:r>
      <w:r w:rsidR="004F3D9A">
        <w:rPr>
          <w:color w:val="000000"/>
          <w:sz w:val="26"/>
          <w:szCs w:val="26"/>
        </w:rPr>
        <w:t>rights</w:t>
      </w:r>
      <w:r w:rsidR="00B52B2F">
        <w:rPr>
          <w:color w:val="000000"/>
          <w:sz w:val="26"/>
          <w:szCs w:val="26"/>
        </w:rPr>
        <w:t xml:space="preserve"> and interests</w:t>
      </w:r>
      <w:r w:rsidR="000C76B1">
        <w:rPr>
          <w:color w:val="000000"/>
          <w:sz w:val="26"/>
          <w:szCs w:val="26"/>
        </w:rPr>
        <w:t xml:space="preserve">, </w:t>
      </w:r>
      <w:r w:rsidR="00B42AC8">
        <w:rPr>
          <w:color w:val="000000"/>
          <w:sz w:val="26"/>
          <w:szCs w:val="26"/>
        </w:rPr>
        <w:t xml:space="preserve">Joint </w:t>
      </w:r>
      <w:r w:rsidR="009B7184">
        <w:rPr>
          <w:color w:val="000000"/>
          <w:sz w:val="26"/>
          <w:szCs w:val="26"/>
        </w:rPr>
        <w:t>Applicants represented that these “transactions include the reaffirmation</w:t>
      </w:r>
      <w:r w:rsidR="00A04F7F">
        <w:rPr>
          <w:color w:val="000000"/>
          <w:sz w:val="26"/>
          <w:szCs w:val="26"/>
        </w:rPr>
        <w:t>”</w:t>
      </w:r>
      <w:r w:rsidR="009B7184">
        <w:rPr>
          <w:color w:val="000000"/>
          <w:sz w:val="26"/>
          <w:szCs w:val="26"/>
        </w:rPr>
        <w:t xml:space="preserve"> of PPL E</w:t>
      </w:r>
      <w:r w:rsidR="00A04F7F">
        <w:rPr>
          <w:color w:val="000000"/>
          <w:sz w:val="26"/>
          <w:szCs w:val="26"/>
        </w:rPr>
        <w:t xml:space="preserve">lectric’s </w:t>
      </w:r>
      <w:r w:rsidR="009B7184">
        <w:rPr>
          <w:color w:val="000000"/>
          <w:sz w:val="26"/>
          <w:szCs w:val="26"/>
        </w:rPr>
        <w:t>existing rights</w:t>
      </w:r>
      <w:r w:rsidR="00A04F7F">
        <w:rPr>
          <w:color w:val="000000"/>
          <w:sz w:val="26"/>
          <w:szCs w:val="26"/>
        </w:rPr>
        <w:t xml:space="preserve"> as</w:t>
      </w:r>
      <w:r w:rsidR="009B7184">
        <w:rPr>
          <w:color w:val="000000"/>
          <w:sz w:val="26"/>
          <w:szCs w:val="26"/>
        </w:rPr>
        <w:t xml:space="preserve"> set forth in </w:t>
      </w:r>
      <w:r w:rsidR="00B42AC8">
        <w:rPr>
          <w:color w:val="000000"/>
          <w:sz w:val="26"/>
          <w:szCs w:val="26"/>
        </w:rPr>
        <w:t xml:space="preserve">Joint </w:t>
      </w:r>
      <w:r w:rsidR="009B7184">
        <w:rPr>
          <w:color w:val="000000"/>
          <w:sz w:val="26"/>
          <w:szCs w:val="26"/>
        </w:rPr>
        <w:t>Appli</w:t>
      </w:r>
      <w:r w:rsidR="00123E74">
        <w:rPr>
          <w:color w:val="000000"/>
          <w:sz w:val="26"/>
          <w:szCs w:val="26"/>
        </w:rPr>
        <w:t>c</w:t>
      </w:r>
      <w:r w:rsidR="009B7184">
        <w:rPr>
          <w:color w:val="000000"/>
          <w:sz w:val="26"/>
          <w:szCs w:val="26"/>
        </w:rPr>
        <w:t>ant</w:t>
      </w:r>
      <w:r w:rsidR="00123E74">
        <w:rPr>
          <w:color w:val="000000"/>
          <w:sz w:val="26"/>
          <w:szCs w:val="26"/>
        </w:rPr>
        <w:t>s</w:t>
      </w:r>
      <w:r w:rsidR="009B7184">
        <w:rPr>
          <w:color w:val="000000"/>
          <w:sz w:val="26"/>
          <w:szCs w:val="26"/>
        </w:rPr>
        <w:t>’ Exhibit No. 1, Appendi</w:t>
      </w:r>
      <w:r w:rsidR="00A04F7F">
        <w:rPr>
          <w:color w:val="000000"/>
          <w:sz w:val="26"/>
          <w:szCs w:val="26"/>
        </w:rPr>
        <w:t>ces</w:t>
      </w:r>
      <w:r w:rsidR="009B7184">
        <w:rPr>
          <w:color w:val="000000"/>
          <w:sz w:val="26"/>
          <w:szCs w:val="26"/>
        </w:rPr>
        <w:t xml:space="preserve"> H (REVISED)</w:t>
      </w:r>
      <w:r w:rsidR="00A04F7F">
        <w:rPr>
          <w:color w:val="000000"/>
          <w:sz w:val="26"/>
          <w:szCs w:val="26"/>
        </w:rPr>
        <w:t>, I, J (REVISED), K, and L (REVISED)</w:t>
      </w:r>
      <w:r w:rsidR="00CF6497">
        <w:rPr>
          <w:color w:val="000000"/>
          <w:sz w:val="26"/>
          <w:szCs w:val="26"/>
        </w:rPr>
        <w:t xml:space="preserve"> and b</w:t>
      </w:r>
      <w:r w:rsidR="009B7184">
        <w:rPr>
          <w:color w:val="000000"/>
          <w:sz w:val="26"/>
          <w:szCs w:val="26"/>
        </w:rPr>
        <w:t>ecause the agreements simply memorializ</w:t>
      </w:r>
      <w:r w:rsidR="00A04F7F">
        <w:rPr>
          <w:color w:val="000000"/>
          <w:sz w:val="26"/>
          <w:szCs w:val="26"/>
        </w:rPr>
        <w:t>ed</w:t>
      </w:r>
      <w:r w:rsidR="009B7184">
        <w:rPr>
          <w:color w:val="000000"/>
          <w:sz w:val="26"/>
          <w:szCs w:val="26"/>
        </w:rPr>
        <w:t xml:space="preserve"> existing rights and </w:t>
      </w:r>
      <w:r w:rsidR="00A04F7F">
        <w:rPr>
          <w:color w:val="000000"/>
          <w:sz w:val="26"/>
          <w:szCs w:val="26"/>
        </w:rPr>
        <w:t xml:space="preserve">did not involve the exchange of </w:t>
      </w:r>
      <w:r w:rsidR="009B7184">
        <w:rPr>
          <w:color w:val="000000"/>
          <w:sz w:val="26"/>
          <w:szCs w:val="26"/>
        </w:rPr>
        <w:t>consideration</w:t>
      </w:r>
      <w:r w:rsidR="00EB1C99">
        <w:rPr>
          <w:color w:val="000000"/>
          <w:sz w:val="26"/>
          <w:szCs w:val="26"/>
        </w:rPr>
        <w:t xml:space="preserve"> or the acquisition or transfer of realty that is used or useful</w:t>
      </w:r>
      <w:r w:rsidR="00A04F7F">
        <w:rPr>
          <w:color w:val="000000"/>
          <w:sz w:val="26"/>
          <w:szCs w:val="26"/>
        </w:rPr>
        <w:t xml:space="preserve">, Commission approval was not required.  </w:t>
      </w:r>
      <w:r w:rsidR="009B7184">
        <w:rPr>
          <w:color w:val="000000"/>
          <w:sz w:val="26"/>
          <w:szCs w:val="26"/>
        </w:rPr>
        <w:t>R.D. at 31</w:t>
      </w:r>
      <w:r w:rsidR="00A04F7F">
        <w:rPr>
          <w:color w:val="000000"/>
          <w:sz w:val="26"/>
          <w:szCs w:val="26"/>
        </w:rPr>
        <w:t>-</w:t>
      </w:r>
      <w:r w:rsidR="00CF6497">
        <w:rPr>
          <w:color w:val="000000"/>
          <w:sz w:val="26"/>
          <w:szCs w:val="26"/>
        </w:rPr>
        <w:t>35</w:t>
      </w:r>
      <w:r w:rsidR="00AC528A">
        <w:rPr>
          <w:color w:val="000000"/>
          <w:sz w:val="26"/>
          <w:szCs w:val="26"/>
        </w:rPr>
        <w:t xml:space="preserve">; </w:t>
      </w:r>
      <w:r w:rsidR="00AC528A">
        <w:rPr>
          <w:i/>
          <w:color w:val="000000"/>
          <w:sz w:val="26"/>
          <w:szCs w:val="26"/>
        </w:rPr>
        <w:t xml:space="preserve">also see </w:t>
      </w:r>
      <w:r w:rsidR="00AC528A">
        <w:rPr>
          <w:color w:val="000000"/>
          <w:sz w:val="26"/>
          <w:szCs w:val="26"/>
        </w:rPr>
        <w:t>Joint Applicants</w:t>
      </w:r>
      <w:r w:rsidR="003A5163">
        <w:rPr>
          <w:color w:val="000000"/>
          <w:sz w:val="26"/>
          <w:szCs w:val="26"/>
        </w:rPr>
        <w:t>’</w:t>
      </w:r>
      <w:r w:rsidR="00AC528A">
        <w:rPr>
          <w:color w:val="000000"/>
          <w:sz w:val="26"/>
          <w:szCs w:val="26"/>
        </w:rPr>
        <w:t xml:space="preserve"> Statement No. 4 at 6</w:t>
      </w:r>
      <w:r w:rsidR="00EB1C99">
        <w:rPr>
          <w:color w:val="000000"/>
          <w:sz w:val="26"/>
          <w:szCs w:val="26"/>
        </w:rPr>
        <w:t>-15</w:t>
      </w:r>
      <w:r w:rsidR="00AC528A">
        <w:rPr>
          <w:color w:val="000000"/>
          <w:sz w:val="26"/>
          <w:szCs w:val="26"/>
        </w:rPr>
        <w:t xml:space="preserve"> (</w:t>
      </w:r>
      <w:r w:rsidR="00AC528A" w:rsidRPr="00AC528A">
        <w:rPr>
          <w:color w:val="000000"/>
          <w:sz w:val="26"/>
          <w:szCs w:val="26"/>
        </w:rPr>
        <w:t>proposed agreements simply</w:t>
      </w:r>
      <w:r w:rsidR="00AC528A">
        <w:rPr>
          <w:color w:val="000000"/>
          <w:sz w:val="26"/>
          <w:szCs w:val="26"/>
        </w:rPr>
        <w:t xml:space="preserve"> m</w:t>
      </w:r>
      <w:r w:rsidR="00AC528A" w:rsidRPr="00AC528A">
        <w:rPr>
          <w:color w:val="000000"/>
          <w:sz w:val="26"/>
          <w:szCs w:val="26"/>
        </w:rPr>
        <w:t>emorializ</w:t>
      </w:r>
      <w:r w:rsidR="00EB1C99">
        <w:rPr>
          <w:color w:val="000000"/>
          <w:sz w:val="26"/>
          <w:szCs w:val="26"/>
        </w:rPr>
        <w:t>e</w:t>
      </w:r>
      <w:r w:rsidR="00AC528A">
        <w:rPr>
          <w:color w:val="000000"/>
          <w:sz w:val="26"/>
          <w:szCs w:val="26"/>
        </w:rPr>
        <w:t xml:space="preserve"> </w:t>
      </w:r>
      <w:r w:rsidR="00AC528A" w:rsidRPr="00AC528A">
        <w:rPr>
          <w:color w:val="000000"/>
          <w:sz w:val="26"/>
          <w:szCs w:val="26"/>
        </w:rPr>
        <w:t>existing rights</w:t>
      </w:r>
      <w:r w:rsidR="00EB1C99">
        <w:rPr>
          <w:color w:val="000000"/>
          <w:sz w:val="26"/>
          <w:szCs w:val="26"/>
        </w:rPr>
        <w:t xml:space="preserve"> where</w:t>
      </w:r>
      <w:r w:rsidR="00AC528A">
        <w:rPr>
          <w:color w:val="000000"/>
          <w:sz w:val="26"/>
          <w:szCs w:val="26"/>
        </w:rPr>
        <w:t xml:space="preserve"> </w:t>
      </w:r>
      <w:r w:rsidR="00AC528A" w:rsidRPr="00AC528A">
        <w:rPr>
          <w:color w:val="000000"/>
          <w:sz w:val="26"/>
          <w:szCs w:val="26"/>
        </w:rPr>
        <w:t xml:space="preserve">no </w:t>
      </w:r>
      <w:r w:rsidR="00AC528A">
        <w:rPr>
          <w:color w:val="000000"/>
          <w:sz w:val="26"/>
          <w:szCs w:val="26"/>
        </w:rPr>
        <w:t>m</w:t>
      </w:r>
      <w:r w:rsidR="00AC528A" w:rsidRPr="00AC528A">
        <w:rPr>
          <w:color w:val="000000"/>
          <w:sz w:val="26"/>
          <w:szCs w:val="26"/>
        </w:rPr>
        <w:t>onetary consideration</w:t>
      </w:r>
      <w:r w:rsidR="00AC528A">
        <w:rPr>
          <w:color w:val="000000"/>
          <w:sz w:val="26"/>
          <w:szCs w:val="26"/>
        </w:rPr>
        <w:t xml:space="preserve"> </w:t>
      </w:r>
      <w:r w:rsidR="00AC528A" w:rsidRPr="00AC528A">
        <w:rPr>
          <w:color w:val="000000"/>
          <w:sz w:val="26"/>
          <w:szCs w:val="26"/>
        </w:rPr>
        <w:t>will be exchanged</w:t>
      </w:r>
      <w:r w:rsidR="00EB1C99">
        <w:rPr>
          <w:color w:val="000000"/>
          <w:sz w:val="26"/>
          <w:szCs w:val="26"/>
        </w:rPr>
        <w:t xml:space="preserve"> and no used or useful property</w:t>
      </w:r>
      <w:r w:rsidR="00B42AC8">
        <w:rPr>
          <w:color w:val="000000"/>
          <w:sz w:val="26"/>
          <w:szCs w:val="26"/>
        </w:rPr>
        <w:t xml:space="preserve"> will be</w:t>
      </w:r>
      <w:r w:rsidR="00EB1C99">
        <w:rPr>
          <w:color w:val="000000"/>
          <w:sz w:val="26"/>
          <w:szCs w:val="26"/>
        </w:rPr>
        <w:t xml:space="preserve"> acquired or transferred does not require Commission approval; however to the </w:t>
      </w:r>
      <w:r w:rsidR="00AC528A" w:rsidRPr="00AC528A">
        <w:rPr>
          <w:color w:val="000000"/>
          <w:sz w:val="26"/>
          <w:szCs w:val="26"/>
        </w:rPr>
        <w:t>extent the</w:t>
      </w:r>
      <w:r w:rsidR="00AC528A">
        <w:rPr>
          <w:color w:val="000000"/>
          <w:sz w:val="26"/>
          <w:szCs w:val="26"/>
        </w:rPr>
        <w:t xml:space="preserve"> </w:t>
      </w:r>
      <w:r w:rsidR="00AC528A" w:rsidRPr="00AC528A">
        <w:rPr>
          <w:color w:val="000000"/>
          <w:sz w:val="26"/>
          <w:szCs w:val="26"/>
        </w:rPr>
        <w:t>Commission concludes that approval is required</w:t>
      </w:r>
      <w:r w:rsidR="00EB1C99">
        <w:rPr>
          <w:color w:val="000000"/>
          <w:sz w:val="26"/>
          <w:szCs w:val="26"/>
        </w:rPr>
        <w:t>, it is requested</w:t>
      </w:r>
      <w:r w:rsidR="00AC528A">
        <w:rPr>
          <w:color w:val="000000"/>
          <w:sz w:val="26"/>
          <w:szCs w:val="26"/>
        </w:rPr>
        <w:t>)</w:t>
      </w:r>
      <w:r w:rsidR="003A5163">
        <w:rPr>
          <w:color w:val="000000"/>
          <w:sz w:val="26"/>
          <w:szCs w:val="26"/>
        </w:rPr>
        <w:t>.</w:t>
      </w:r>
      <w:r w:rsidR="009B7184">
        <w:rPr>
          <w:color w:val="000000"/>
          <w:sz w:val="26"/>
          <w:szCs w:val="26"/>
        </w:rPr>
        <w:t xml:space="preserve"> </w:t>
      </w:r>
      <w:r w:rsidR="00CF6497">
        <w:rPr>
          <w:color w:val="000000"/>
          <w:sz w:val="26"/>
          <w:szCs w:val="26"/>
        </w:rPr>
        <w:t xml:space="preserve"> </w:t>
      </w:r>
    </w:p>
    <w:p w:rsidR="000C76B1" w:rsidRDefault="000C76B1" w:rsidP="003844F5">
      <w:pPr>
        <w:widowControl/>
        <w:tabs>
          <w:tab w:val="left" w:pos="-720"/>
        </w:tabs>
        <w:suppressAutoHyphens/>
        <w:spacing w:line="360" w:lineRule="auto"/>
        <w:rPr>
          <w:color w:val="000000"/>
          <w:sz w:val="26"/>
          <w:szCs w:val="26"/>
        </w:rPr>
      </w:pPr>
    </w:p>
    <w:p w:rsidR="009B7184" w:rsidRDefault="000C76B1" w:rsidP="003844F5">
      <w:pPr>
        <w:widowControl/>
        <w:tabs>
          <w:tab w:val="left" w:pos="-720"/>
        </w:tabs>
        <w:suppressAutoHyphens/>
        <w:spacing w:line="360" w:lineRule="auto"/>
        <w:rPr>
          <w:color w:val="000000"/>
          <w:sz w:val="26"/>
          <w:szCs w:val="26"/>
        </w:rPr>
      </w:pPr>
      <w:r>
        <w:rPr>
          <w:color w:val="000000"/>
          <w:sz w:val="26"/>
          <w:szCs w:val="26"/>
        </w:rPr>
        <w:tab/>
      </w:r>
      <w:r>
        <w:rPr>
          <w:color w:val="000000"/>
          <w:sz w:val="26"/>
          <w:szCs w:val="26"/>
        </w:rPr>
        <w:tab/>
      </w:r>
      <w:r w:rsidR="00B42AC8">
        <w:rPr>
          <w:color w:val="000000"/>
          <w:sz w:val="26"/>
          <w:szCs w:val="26"/>
        </w:rPr>
        <w:t xml:space="preserve">Joint </w:t>
      </w:r>
      <w:r>
        <w:rPr>
          <w:color w:val="000000"/>
          <w:sz w:val="26"/>
          <w:szCs w:val="26"/>
        </w:rPr>
        <w:t xml:space="preserve">Applicants’ representations appear to have </w:t>
      </w:r>
      <w:r w:rsidR="009B7184">
        <w:rPr>
          <w:color w:val="000000"/>
          <w:sz w:val="26"/>
          <w:szCs w:val="26"/>
        </w:rPr>
        <w:t>formed the basis for the ALJ’s Conclusion</w:t>
      </w:r>
      <w:r w:rsidR="00FA59F5">
        <w:rPr>
          <w:color w:val="000000"/>
          <w:sz w:val="26"/>
          <w:szCs w:val="26"/>
        </w:rPr>
        <w:t>s</w:t>
      </w:r>
      <w:r w:rsidR="009B7184">
        <w:rPr>
          <w:color w:val="000000"/>
          <w:sz w:val="26"/>
          <w:szCs w:val="26"/>
        </w:rPr>
        <w:t xml:space="preserve"> of Law </w:t>
      </w:r>
      <w:r w:rsidR="00EB1C99">
        <w:rPr>
          <w:color w:val="000000"/>
          <w:sz w:val="26"/>
          <w:szCs w:val="26"/>
        </w:rPr>
        <w:t xml:space="preserve">addressing approval required under Section 1103(a) of the Code, 66 Pa. C.S. § 1103(a)(3), where no consideration is exchanged.  For example, Conclusion of Law </w:t>
      </w:r>
      <w:r w:rsidR="009B7184">
        <w:rPr>
          <w:color w:val="000000"/>
          <w:sz w:val="26"/>
          <w:szCs w:val="26"/>
        </w:rPr>
        <w:t>No. 2</w:t>
      </w:r>
      <w:r w:rsidR="00FA59F5">
        <w:rPr>
          <w:color w:val="000000"/>
          <w:sz w:val="26"/>
          <w:szCs w:val="26"/>
        </w:rPr>
        <w:t>9</w:t>
      </w:r>
      <w:r w:rsidR="009B7184">
        <w:rPr>
          <w:color w:val="000000"/>
          <w:sz w:val="26"/>
          <w:szCs w:val="26"/>
        </w:rPr>
        <w:t xml:space="preserve">, </w:t>
      </w:r>
      <w:r w:rsidR="00FA59F5">
        <w:rPr>
          <w:color w:val="000000"/>
          <w:sz w:val="26"/>
          <w:szCs w:val="26"/>
        </w:rPr>
        <w:t>address</w:t>
      </w:r>
      <w:r w:rsidR="00EB1C99">
        <w:rPr>
          <w:color w:val="000000"/>
          <w:sz w:val="26"/>
          <w:szCs w:val="26"/>
        </w:rPr>
        <w:t>ing</w:t>
      </w:r>
      <w:r w:rsidR="00FA59F5">
        <w:rPr>
          <w:color w:val="000000"/>
          <w:sz w:val="26"/>
          <w:szCs w:val="26"/>
        </w:rPr>
        <w:t xml:space="preserve"> the transfer or clarification of property rights </w:t>
      </w:r>
      <w:r w:rsidR="00EB1C99">
        <w:rPr>
          <w:color w:val="000000"/>
          <w:sz w:val="26"/>
          <w:szCs w:val="26"/>
        </w:rPr>
        <w:t xml:space="preserve">related to substation facilities, </w:t>
      </w:r>
      <w:r w:rsidR="009B7184">
        <w:rPr>
          <w:color w:val="000000"/>
          <w:sz w:val="26"/>
          <w:szCs w:val="26"/>
        </w:rPr>
        <w:t>state</w:t>
      </w:r>
      <w:r w:rsidR="00123E74">
        <w:rPr>
          <w:color w:val="000000"/>
          <w:sz w:val="26"/>
          <w:szCs w:val="26"/>
        </w:rPr>
        <w:t>d</w:t>
      </w:r>
      <w:r w:rsidR="009B7184">
        <w:rPr>
          <w:color w:val="000000"/>
          <w:sz w:val="26"/>
          <w:szCs w:val="26"/>
        </w:rPr>
        <w:t xml:space="preserve"> as follows:</w:t>
      </w:r>
    </w:p>
    <w:p w:rsidR="009B7184" w:rsidRDefault="009B7184" w:rsidP="003844F5">
      <w:pPr>
        <w:widowControl/>
        <w:tabs>
          <w:tab w:val="left" w:pos="-720"/>
        </w:tabs>
        <w:suppressAutoHyphens/>
        <w:spacing w:line="360" w:lineRule="auto"/>
        <w:rPr>
          <w:color w:val="000000"/>
          <w:sz w:val="26"/>
          <w:szCs w:val="26"/>
        </w:rPr>
      </w:pPr>
    </w:p>
    <w:p w:rsidR="00FA59F5" w:rsidRDefault="00FA59F5" w:rsidP="003844F5">
      <w:pPr>
        <w:widowControl/>
        <w:tabs>
          <w:tab w:val="left" w:pos="-720"/>
        </w:tabs>
        <w:suppressAutoHyphens/>
        <w:ind w:left="1440" w:right="1440"/>
        <w:rPr>
          <w:color w:val="000000"/>
          <w:sz w:val="26"/>
          <w:szCs w:val="26"/>
        </w:rPr>
      </w:pPr>
      <w:r>
        <w:rPr>
          <w:color w:val="000000"/>
          <w:sz w:val="26"/>
          <w:szCs w:val="26"/>
        </w:rPr>
        <w:tab/>
      </w:r>
      <w:r>
        <w:rPr>
          <w:color w:val="000000"/>
          <w:sz w:val="26"/>
          <w:szCs w:val="26"/>
        </w:rPr>
        <w:tab/>
      </w:r>
      <w:r w:rsidRPr="00FA59F5">
        <w:rPr>
          <w:color w:val="000000"/>
          <w:sz w:val="26"/>
          <w:szCs w:val="26"/>
        </w:rPr>
        <w:t>29.</w:t>
      </w:r>
      <w:r w:rsidRPr="00FA59F5">
        <w:rPr>
          <w:color w:val="000000"/>
          <w:sz w:val="26"/>
          <w:szCs w:val="26"/>
        </w:rPr>
        <w:tab/>
        <w:t xml:space="preserve"> Agreements that simply transfer or clarify existing property rights and interests for the existing </w:t>
      </w:r>
      <w:r w:rsidRPr="00FA59F5">
        <w:rPr>
          <w:color w:val="000000"/>
          <w:sz w:val="26"/>
          <w:szCs w:val="26"/>
        </w:rPr>
        <w:lastRenderedPageBreak/>
        <w:t xml:space="preserve">PPL EU substation facilities located on properties of PPL Energy Supply and/or its subsidiaries set forth in Joint Applicants’ Exhibit 1, Appendix J (REVISED) do not require approval because these agreements are simply transferring or clarifying existing rights and no consideration will be exchanged.  66 </w:t>
      </w:r>
      <w:proofErr w:type="spellStart"/>
      <w:r w:rsidRPr="00FA59F5">
        <w:rPr>
          <w:color w:val="000000"/>
          <w:sz w:val="26"/>
          <w:szCs w:val="26"/>
        </w:rPr>
        <w:t>Pa.C.S</w:t>
      </w:r>
      <w:proofErr w:type="spellEnd"/>
      <w:r w:rsidRPr="00FA59F5">
        <w:rPr>
          <w:color w:val="000000"/>
          <w:sz w:val="26"/>
          <w:szCs w:val="26"/>
        </w:rPr>
        <w:t>. § 1102(a)(3).</w:t>
      </w:r>
    </w:p>
    <w:p w:rsidR="00EB1C99" w:rsidRPr="00FA59F5" w:rsidRDefault="00EB1C99" w:rsidP="003844F5">
      <w:pPr>
        <w:widowControl/>
        <w:tabs>
          <w:tab w:val="left" w:pos="-720"/>
        </w:tabs>
        <w:suppressAutoHyphens/>
        <w:ind w:left="1440" w:right="1440"/>
        <w:rPr>
          <w:color w:val="000000"/>
          <w:sz w:val="26"/>
          <w:szCs w:val="26"/>
        </w:rPr>
      </w:pPr>
    </w:p>
    <w:p w:rsidR="009B7184" w:rsidRDefault="009B7184" w:rsidP="003844F5">
      <w:pPr>
        <w:widowControl/>
        <w:tabs>
          <w:tab w:val="left" w:pos="-720"/>
        </w:tabs>
        <w:suppressAutoHyphens/>
        <w:ind w:left="1440" w:right="1440"/>
        <w:rPr>
          <w:color w:val="000000"/>
          <w:sz w:val="26"/>
          <w:szCs w:val="26"/>
        </w:rPr>
      </w:pPr>
    </w:p>
    <w:p w:rsidR="00123E74" w:rsidRDefault="009B7184" w:rsidP="003844F5">
      <w:pPr>
        <w:widowControl/>
        <w:tabs>
          <w:tab w:val="left" w:pos="-720"/>
        </w:tabs>
        <w:suppressAutoHyphens/>
        <w:spacing w:line="360" w:lineRule="auto"/>
        <w:rPr>
          <w:rStyle w:val="Hyperlink"/>
          <w:color w:val="000000"/>
          <w:sz w:val="26"/>
          <w:szCs w:val="26"/>
          <w:u w:val="none"/>
        </w:rPr>
      </w:pPr>
      <w:r>
        <w:rPr>
          <w:color w:val="000000"/>
          <w:sz w:val="26"/>
          <w:szCs w:val="26"/>
        </w:rPr>
        <w:t>R.D. at 41.</w:t>
      </w:r>
    </w:p>
    <w:p w:rsidR="00123E74" w:rsidRDefault="00123E74" w:rsidP="003844F5">
      <w:pPr>
        <w:widowControl/>
        <w:tabs>
          <w:tab w:val="left" w:pos="-720"/>
        </w:tabs>
        <w:suppressAutoHyphens/>
        <w:spacing w:line="360" w:lineRule="auto"/>
        <w:rPr>
          <w:rStyle w:val="Hyperlink"/>
          <w:color w:val="000000"/>
          <w:sz w:val="26"/>
          <w:szCs w:val="26"/>
          <w:u w:val="none"/>
        </w:rPr>
      </w:pPr>
    </w:p>
    <w:p w:rsidR="00B52B2F" w:rsidRDefault="00B52B2F" w:rsidP="003844F5">
      <w:pPr>
        <w:widowControl/>
        <w:tabs>
          <w:tab w:val="left" w:pos="-720"/>
        </w:tabs>
        <w:suppressAutoHyphens/>
        <w:spacing w:line="360" w:lineRule="auto"/>
        <w:rPr>
          <w:rStyle w:val="Hyperlink"/>
          <w:color w:val="000000"/>
          <w:sz w:val="26"/>
          <w:szCs w:val="26"/>
          <w:u w:val="none"/>
        </w:rPr>
      </w:pPr>
      <w:r>
        <w:rPr>
          <w:rStyle w:val="Hyperlink"/>
          <w:color w:val="000000"/>
          <w:sz w:val="26"/>
          <w:szCs w:val="26"/>
          <w:u w:val="none"/>
        </w:rPr>
        <w:tab/>
      </w:r>
      <w:r>
        <w:rPr>
          <w:rStyle w:val="Hyperlink"/>
          <w:color w:val="000000"/>
          <w:sz w:val="26"/>
          <w:szCs w:val="26"/>
          <w:u w:val="none"/>
        </w:rPr>
        <w:tab/>
        <w:t xml:space="preserve">Based upon </w:t>
      </w:r>
      <w:r w:rsidR="00B66833">
        <w:rPr>
          <w:rStyle w:val="Hyperlink"/>
          <w:color w:val="000000"/>
          <w:sz w:val="26"/>
          <w:szCs w:val="26"/>
          <w:u w:val="none"/>
        </w:rPr>
        <w:t xml:space="preserve">her </w:t>
      </w:r>
      <w:r w:rsidR="00EB1C99">
        <w:rPr>
          <w:rStyle w:val="Hyperlink"/>
          <w:color w:val="000000"/>
          <w:sz w:val="26"/>
          <w:szCs w:val="26"/>
          <w:u w:val="none"/>
        </w:rPr>
        <w:t>review of the stipulated evidence</w:t>
      </w:r>
      <w:r w:rsidR="000E21E9">
        <w:rPr>
          <w:rStyle w:val="FootnoteReference"/>
          <w:color w:val="000000"/>
          <w:sz w:val="26"/>
          <w:szCs w:val="26"/>
        </w:rPr>
        <w:footnoteReference w:id="2"/>
      </w:r>
      <w:r w:rsidR="00EB1C99">
        <w:rPr>
          <w:rStyle w:val="Hyperlink"/>
          <w:color w:val="000000"/>
          <w:sz w:val="26"/>
          <w:szCs w:val="26"/>
          <w:u w:val="none"/>
        </w:rPr>
        <w:t xml:space="preserve"> and analysis of the legal standards applicable to the Commission’s approval of settlements and transactions involving change of control and affiliated interests, </w:t>
      </w:r>
      <w:r>
        <w:rPr>
          <w:rStyle w:val="Hyperlink"/>
          <w:color w:val="000000"/>
          <w:sz w:val="26"/>
          <w:szCs w:val="26"/>
          <w:u w:val="none"/>
        </w:rPr>
        <w:t xml:space="preserve">the ALJ found that the Joint Petition was in the public interest and that the transactions contemplated in this proceeding met the applicable legal standards for </w:t>
      </w:r>
      <w:r w:rsidR="000E21E9">
        <w:rPr>
          <w:rStyle w:val="Hyperlink"/>
          <w:color w:val="000000"/>
          <w:sz w:val="26"/>
          <w:szCs w:val="26"/>
          <w:u w:val="none"/>
        </w:rPr>
        <w:t xml:space="preserve">approval of settlements and </w:t>
      </w:r>
      <w:r>
        <w:rPr>
          <w:rStyle w:val="Hyperlink"/>
          <w:color w:val="000000"/>
          <w:sz w:val="26"/>
          <w:szCs w:val="26"/>
          <w:u w:val="none"/>
        </w:rPr>
        <w:t xml:space="preserve">a change in control with respect to Chapters 11, 21, 22, and 28 of the Code as well as our applicable Policy Statement and </w:t>
      </w:r>
      <w:r w:rsidR="00500EDC">
        <w:rPr>
          <w:rStyle w:val="Hyperlink"/>
          <w:color w:val="000000"/>
          <w:sz w:val="26"/>
          <w:szCs w:val="26"/>
          <w:u w:val="none"/>
        </w:rPr>
        <w:t xml:space="preserve">relevant Commission </w:t>
      </w:r>
      <w:r>
        <w:rPr>
          <w:rStyle w:val="Hyperlink"/>
          <w:color w:val="000000"/>
          <w:sz w:val="26"/>
          <w:szCs w:val="26"/>
          <w:u w:val="none"/>
        </w:rPr>
        <w:t xml:space="preserve">decisions.  R.D. at 36-43.  The ALJ recommended that the Joint Petition for Approval of Settlement of All Issues submitted by </w:t>
      </w:r>
      <w:r w:rsidR="00B42AC8">
        <w:rPr>
          <w:rStyle w:val="Hyperlink"/>
          <w:color w:val="000000"/>
          <w:sz w:val="26"/>
          <w:szCs w:val="26"/>
          <w:u w:val="none"/>
        </w:rPr>
        <w:t xml:space="preserve">Joint </w:t>
      </w:r>
      <w:r>
        <w:rPr>
          <w:rStyle w:val="Hyperlink"/>
          <w:color w:val="000000"/>
          <w:sz w:val="26"/>
          <w:szCs w:val="26"/>
          <w:u w:val="none"/>
        </w:rPr>
        <w:t>Applicants and the OSBA, including all its terms and conditions, be approved; that all necessary authority, approvals, and certificates of public convenience be issued; that all protests or interventions not withdrawn or satisfied b</w:t>
      </w:r>
      <w:r w:rsidR="00DD7F9F">
        <w:rPr>
          <w:rStyle w:val="Hyperlink"/>
          <w:color w:val="000000"/>
          <w:sz w:val="26"/>
          <w:szCs w:val="26"/>
          <w:u w:val="none"/>
        </w:rPr>
        <w:t>e</w:t>
      </w:r>
      <w:r>
        <w:rPr>
          <w:rStyle w:val="Hyperlink"/>
          <w:color w:val="000000"/>
          <w:sz w:val="26"/>
          <w:szCs w:val="26"/>
          <w:u w:val="none"/>
        </w:rPr>
        <w:t xml:space="preserve"> denied; and that the proceeding be marked closed.  R.D. at 44-47.</w:t>
      </w:r>
    </w:p>
    <w:p w:rsidR="00B52B2F" w:rsidRDefault="00B52B2F" w:rsidP="003844F5">
      <w:pPr>
        <w:widowControl/>
        <w:tabs>
          <w:tab w:val="left" w:pos="-720"/>
        </w:tabs>
        <w:suppressAutoHyphens/>
        <w:spacing w:line="360" w:lineRule="auto"/>
        <w:rPr>
          <w:rStyle w:val="Hyperlink"/>
          <w:color w:val="000000"/>
          <w:sz w:val="26"/>
          <w:szCs w:val="26"/>
          <w:u w:val="none"/>
        </w:rPr>
      </w:pPr>
    </w:p>
    <w:p w:rsidR="003E0F7A" w:rsidRPr="003E0F7A" w:rsidRDefault="003E0F7A" w:rsidP="0032573C">
      <w:pPr>
        <w:keepNext/>
        <w:keepLines/>
        <w:widowControl/>
        <w:tabs>
          <w:tab w:val="left" w:pos="-720"/>
        </w:tabs>
        <w:suppressAutoHyphens/>
        <w:spacing w:line="360" w:lineRule="auto"/>
        <w:ind w:firstLine="720"/>
        <w:rPr>
          <w:b/>
          <w:color w:val="000000"/>
          <w:sz w:val="26"/>
          <w:szCs w:val="26"/>
        </w:rPr>
      </w:pPr>
      <w:r w:rsidRPr="003E0F7A">
        <w:rPr>
          <w:b/>
          <w:color w:val="000000"/>
          <w:sz w:val="26"/>
          <w:szCs w:val="26"/>
        </w:rPr>
        <w:t>Disposition</w:t>
      </w:r>
    </w:p>
    <w:p w:rsidR="00177553" w:rsidRPr="009C7F2E" w:rsidRDefault="00177553" w:rsidP="003844F5">
      <w:pPr>
        <w:keepNext/>
        <w:keepLines/>
        <w:widowControl/>
        <w:tabs>
          <w:tab w:val="left" w:pos="-720"/>
        </w:tabs>
        <w:suppressAutoHyphens/>
        <w:spacing w:line="360" w:lineRule="auto"/>
        <w:rPr>
          <w:rStyle w:val="Hyperlink"/>
          <w:color w:val="000000"/>
          <w:sz w:val="26"/>
          <w:szCs w:val="26"/>
          <w:u w:val="none"/>
        </w:rPr>
      </w:pPr>
    </w:p>
    <w:p w:rsidR="003A5163" w:rsidRPr="003A5163" w:rsidRDefault="00177553" w:rsidP="003844F5">
      <w:pPr>
        <w:widowControl/>
        <w:tabs>
          <w:tab w:val="left" w:pos="-720"/>
        </w:tabs>
        <w:suppressAutoHyphens/>
        <w:spacing w:line="360" w:lineRule="auto"/>
        <w:rPr>
          <w:color w:val="000000"/>
          <w:sz w:val="26"/>
          <w:szCs w:val="26"/>
        </w:rPr>
      </w:pPr>
      <w:r w:rsidRPr="009C7F2E">
        <w:rPr>
          <w:rStyle w:val="Hyperlink"/>
          <w:color w:val="000000"/>
          <w:sz w:val="26"/>
          <w:szCs w:val="26"/>
          <w:u w:val="none"/>
        </w:rPr>
        <w:tab/>
      </w:r>
      <w:r w:rsidRPr="009C7F2E">
        <w:rPr>
          <w:rStyle w:val="Hyperlink"/>
          <w:color w:val="000000"/>
          <w:sz w:val="26"/>
          <w:szCs w:val="26"/>
          <w:u w:val="none"/>
        </w:rPr>
        <w:tab/>
        <w:t xml:space="preserve">Based upon our review and consideration of the record evidence, the </w:t>
      </w:r>
      <w:r w:rsidR="00644490">
        <w:rPr>
          <w:rStyle w:val="Hyperlink"/>
          <w:color w:val="000000"/>
          <w:sz w:val="26"/>
          <w:szCs w:val="26"/>
          <w:u w:val="none"/>
        </w:rPr>
        <w:t xml:space="preserve">Joint Petition, and the ALJ’s Recommended Decision, </w:t>
      </w:r>
      <w:r w:rsidRPr="009C7F2E">
        <w:rPr>
          <w:rStyle w:val="Hyperlink"/>
          <w:color w:val="000000"/>
          <w:sz w:val="26"/>
          <w:szCs w:val="26"/>
          <w:u w:val="none"/>
        </w:rPr>
        <w:t>we agree</w:t>
      </w:r>
      <w:r w:rsidR="009C7F2E">
        <w:rPr>
          <w:rStyle w:val="Hyperlink"/>
          <w:color w:val="000000"/>
          <w:sz w:val="26"/>
          <w:szCs w:val="26"/>
          <w:u w:val="none"/>
        </w:rPr>
        <w:t xml:space="preserve"> with the ALJ’s findings </w:t>
      </w:r>
      <w:r w:rsidR="00B52B2F">
        <w:rPr>
          <w:rStyle w:val="Hyperlink"/>
          <w:color w:val="000000"/>
          <w:sz w:val="26"/>
          <w:szCs w:val="26"/>
          <w:u w:val="none"/>
        </w:rPr>
        <w:t>and recommendations</w:t>
      </w:r>
      <w:r w:rsidR="00500EDC">
        <w:rPr>
          <w:rStyle w:val="Hyperlink"/>
          <w:color w:val="000000"/>
          <w:sz w:val="26"/>
          <w:szCs w:val="26"/>
          <w:u w:val="none"/>
        </w:rPr>
        <w:t xml:space="preserve">.  We </w:t>
      </w:r>
      <w:r w:rsidR="00B65A3F">
        <w:rPr>
          <w:rStyle w:val="Hyperlink"/>
          <w:color w:val="000000"/>
          <w:sz w:val="26"/>
          <w:szCs w:val="26"/>
          <w:u w:val="none"/>
        </w:rPr>
        <w:t>believe</w:t>
      </w:r>
      <w:r w:rsidR="00500EDC">
        <w:rPr>
          <w:rStyle w:val="Hyperlink"/>
          <w:color w:val="000000"/>
          <w:sz w:val="26"/>
          <w:szCs w:val="26"/>
          <w:u w:val="none"/>
        </w:rPr>
        <w:t xml:space="preserve"> one point within the Recommended Decision, however, requires c</w:t>
      </w:r>
      <w:r w:rsidR="00B52B2F">
        <w:rPr>
          <w:rStyle w:val="Hyperlink"/>
          <w:color w:val="000000"/>
          <w:sz w:val="26"/>
          <w:szCs w:val="26"/>
          <w:u w:val="none"/>
        </w:rPr>
        <w:t>larification</w:t>
      </w:r>
      <w:r w:rsidR="00500EDC">
        <w:rPr>
          <w:rStyle w:val="Hyperlink"/>
          <w:color w:val="000000"/>
          <w:sz w:val="26"/>
          <w:szCs w:val="26"/>
          <w:u w:val="none"/>
        </w:rPr>
        <w:t>, namely t</w:t>
      </w:r>
      <w:r w:rsidR="00B52B2F">
        <w:rPr>
          <w:rStyle w:val="Hyperlink"/>
          <w:color w:val="000000"/>
          <w:sz w:val="26"/>
          <w:szCs w:val="26"/>
          <w:u w:val="none"/>
        </w:rPr>
        <w:t xml:space="preserve">he ALJ’s </w:t>
      </w:r>
      <w:r w:rsidR="000E21E9">
        <w:rPr>
          <w:rStyle w:val="Hyperlink"/>
          <w:color w:val="000000"/>
          <w:sz w:val="26"/>
          <w:szCs w:val="26"/>
          <w:u w:val="none"/>
        </w:rPr>
        <w:t>legal c</w:t>
      </w:r>
      <w:r w:rsidR="00B52B2F">
        <w:rPr>
          <w:rStyle w:val="Hyperlink"/>
          <w:color w:val="000000"/>
          <w:sz w:val="26"/>
          <w:szCs w:val="26"/>
          <w:u w:val="none"/>
        </w:rPr>
        <w:t xml:space="preserve">onclusion that agreements that simply </w:t>
      </w:r>
      <w:r w:rsidR="00B52B2F">
        <w:rPr>
          <w:rStyle w:val="Hyperlink"/>
          <w:color w:val="000000"/>
          <w:sz w:val="26"/>
          <w:szCs w:val="26"/>
          <w:u w:val="none"/>
        </w:rPr>
        <w:lastRenderedPageBreak/>
        <w:t xml:space="preserve">transfer or clarify existing rights and do not involve the exchange of consideration do not require our approval under Section 1102(a)(3) of the Code.  </w:t>
      </w:r>
    </w:p>
    <w:p w:rsidR="003A5163" w:rsidRPr="003A5163" w:rsidRDefault="003A5163" w:rsidP="003844F5">
      <w:pPr>
        <w:widowControl/>
        <w:tabs>
          <w:tab w:val="left" w:pos="-720"/>
        </w:tabs>
        <w:suppressAutoHyphens/>
        <w:spacing w:line="360" w:lineRule="auto"/>
        <w:rPr>
          <w:color w:val="000000"/>
          <w:sz w:val="26"/>
          <w:szCs w:val="26"/>
        </w:rPr>
      </w:pPr>
    </w:p>
    <w:p w:rsidR="000E21E9" w:rsidRDefault="003A5163" w:rsidP="003844F5">
      <w:pPr>
        <w:widowControl/>
        <w:tabs>
          <w:tab w:val="left" w:pos="-720"/>
        </w:tabs>
        <w:suppressAutoHyphens/>
        <w:spacing w:line="360" w:lineRule="auto"/>
        <w:rPr>
          <w:color w:val="000000"/>
          <w:sz w:val="26"/>
          <w:szCs w:val="26"/>
        </w:rPr>
      </w:pPr>
      <w:r w:rsidRPr="003A5163">
        <w:rPr>
          <w:color w:val="000000"/>
          <w:sz w:val="26"/>
          <w:szCs w:val="26"/>
        </w:rPr>
        <w:tab/>
      </w:r>
      <w:r w:rsidRPr="003A5163">
        <w:rPr>
          <w:color w:val="000000"/>
          <w:sz w:val="26"/>
          <w:szCs w:val="26"/>
        </w:rPr>
        <w:tab/>
        <w:t>We note that under Section 1102(a)(3) of the Code, 66 Pa. C.S. § 1102(a)(3), it is the value of the property being transferred, and not whether there is consideration exchanged, that triggers the Commission’s jurisdiction.  Section 1102(a)(3) addresses acquisitions and transfers by any method.  In determining whether our jurisdiction is implicated, the trigger for jurisdiction is transactions involving the transfer of undepreciated book value greater than $1,000</w:t>
      </w:r>
      <w:r w:rsidR="00134D7B">
        <w:rPr>
          <w:color w:val="000000"/>
          <w:sz w:val="26"/>
          <w:szCs w:val="26"/>
        </w:rPr>
        <w:t>;</w:t>
      </w:r>
      <w:r w:rsidRPr="003A5163">
        <w:rPr>
          <w:color w:val="000000"/>
          <w:sz w:val="26"/>
          <w:szCs w:val="26"/>
        </w:rPr>
        <w:t xml:space="preserve"> the greater of 2% of the undepreciated book value of all fixed assets or $5,000 for </w:t>
      </w:r>
      <w:proofErr w:type="spellStart"/>
      <w:r w:rsidRPr="003A5163">
        <w:rPr>
          <w:color w:val="000000"/>
          <w:sz w:val="26"/>
          <w:szCs w:val="26"/>
        </w:rPr>
        <w:t>personalty</w:t>
      </w:r>
      <w:proofErr w:type="spellEnd"/>
      <w:r w:rsidRPr="003A5163">
        <w:rPr>
          <w:color w:val="000000"/>
          <w:sz w:val="26"/>
          <w:szCs w:val="26"/>
        </w:rPr>
        <w:t xml:space="preserve"> or $50,000 for realty</w:t>
      </w:r>
      <w:r w:rsidR="00134D7B">
        <w:rPr>
          <w:color w:val="000000"/>
          <w:sz w:val="26"/>
          <w:szCs w:val="26"/>
        </w:rPr>
        <w:t>;</w:t>
      </w:r>
      <w:r w:rsidRPr="003A5163">
        <w:rPr>
          <w:color w:val="000000"/>
          <w:sz w:val="26"/>
          <w:szCs w:val="26"/>
        </w:rPr>
        <w:t xml:space="preserve"> and under other conditions, all unrelated to </w:t>
      </w:r>
      <w:r w:rsidR="00500EDC">
        <w:rPr>
          <w:color w:val="000000"/>
          <w:sz w:val="26"/>
          <w:szCs w:val="26"/>
        </w:rPr>
        <w:t xml:space="preserve">whether or not there is </w:t>
      </w:r>
      <w:r w:rsidRPr="003A5163">
        <w:rPr>
          <w:color w:val="000000"/>
          <w:sz w:val="26"/>
          <w:szCs w:val="26"/>
        </w:rPr>
        <w:t>the exchange of consideration.  While the value of consideration is a factor identified in our Policy Statement at 52 Pa. Code § 69.901, it pertains only to “</w:t>
      </w:r>
      <w:proofErr w:type="spellStart"/>
      <w:r w:rsidRPr="003A5163">
        <w:rPr>
          <w:color w:val="000000"/>
          <w:sz w:val="26"/>
          <w:szCs w:val="26"/>
        </w:rPr>
        <w:t>intrafamily</w:t>
      </w:r>
      <w:proofErr w:type="spellEnd"/>
      <w:r w:rsidRPr="003A5163">
        <w:rPr>
          <w:color w:val="000000"/>
          <w:sz w:val="26"/>
          <w:szCs w:val="26"/>
        </w:rPr>
        <w:t xml:space="preserve"> transactions made with only nominal consideration” among spouses, parents, siblings, or direct descendants to or from a trust, as conditioned, in escaping our jurisdiction.  </w:t>
      </w:r>
    </w:p>
    <w:p w:rsidR="000E21E9" w:rsidRDefault="000E21E9" w:rsidP="003844F5">
      <w:pPr>
        <w:widowControl/>
        <w:tabs>
          <w:tab w:val="left" w:pos="-720"/>
        </w:tabs>
        <w:suppressAutoHyphens/>
        <w:spacing w:line="360" w:lineRule="auto"/>
        <w:rPr>
          <w:color w:val="000000"/>
          <w:sz w:val="26"/>
          <w:szCs w:val="26"/>
        </w:rPr>
      </w:pPr>
    </w:p>
    <w:p w:rsidR="000E21E9" w:rsidRPr="003A5163" w:rsidRDefault="000E21E9" w:rsidP="003844F5">
      <w:pPr>
        <w:widowControl/>
        <w:tabs>
          <w:tab w:val="left" w:pos="-720"/>
        </w:tabs>
        <w:suppressAutoHyphens/>
        <w:spacing w:line="360" w:lineRule="auto"/>
        <w:rPr>
          <w:color w:val="000000"/>
          <w:sz w:val="26"/>
          <w:szCs w:val="26"/>
        </w:rPr>
      </w:pPr>
      <w:r>
        <w:rPr>
          <w:color w:val="000000"/>
          <w:sz w:val="26"/>
          <w:szCs w:val="26"/>
        </w:rPr>
        <w:tab/>
      </w:r>
      <w:r>
        <w:rPr>
          <w:color w:val="000000"/>
          <w:sz w:val="26"/>
          <w:szCs w:val="26"/>
        </w:rPr>
        <w:tab/>
      </w:r>
      <w:r w:rsidR="003A5163" w:rsidRPr="003A5163">
        <w:rPr>
          <w:color w:val="000000"/>
          <w:sz w:val="26"/>
          <w:szCs w:val="26"/>
        </w:rPr>
        <w:t xml:space="preserve">As </w:t>
      </w:r>
      <w:r w:rsidR="00B42AC8">
        <w:rPr>
          <w:color w:val="000000"/>
          <w:sz w:val="26"/>
          <w:szCs w:val="26"/>
        </w:rPr>
        <w:t xml:space="preserve">Joint </w:t>
      </w:r>
      <w:r w:rsidR="006B4BD1">
        <w:rPr>
          <w:color w:val="000000"/>
          <w:sz w:val="26"/>
          <w:szCs w:val="26"/>
        </w:rPr>
        <w:t>Applicants</w:t>
      </w:r>
      <w:r w:rsidR="003A5163" w:rsidRPr="003A5163">
        <w:rPr>
          <w:color w:val="000000"/>
          <w:sz w:val="26"/>
          <w:szCs w:val="26"/>
        </w:rPr>
        <w:t xml:space="preserve"> explained, however, </w:t>
      </w:r>
      <w:r>
        <w:rPr>
          <w:color w:val="000000"/>
          <w:sz w:val="26"/>
          <w:szCs w:val="26"/>
        </w:rPr>
        <w:t xml:space="preserve">for example with respect to the transfer or clarification of the PPL Electric substation sites, </w:t>
      </w:r>
      <w:r w:rsidR="003A5163" w:rsidRPr="003A5163">
        <w:rPr>
          <w:color w:val="000000"/>
          <w:sz w:val="26"/>
          <w:szCs w:val="26"/>
        </w:rPr>
        <w:t xml:space="preserve">because the easements and deeds of transfer at issue are simply memorializing existing PPL Electric rights, or transferring existing PPL Electric property located at PPL Energy </w:t>
      </w:r>
      <w:r w:rsidR="00FA59F5">
        <w:rPr>
          <w:color w:val="000000"/>
          <w:sz w:val="26"/>
          <w:szCs w:val="26"/>
        </w:rPr>
        <w:t>supply substations back to PPL E</w:t>
      </w:r>
      <w:r w:rsidR="003A5163" w:rsidRPr="003A5163">
        <w:rPr>
          <w:color w:val="000000"/>
          <w:sz w:val="26"/>
          <w:szCs w:val="26"/>
        </w:rPr>
        <w:t>lectric, the Commission’s jurisdiction is not triggered under Section 110</w:t>
      </w:r>
      <w:r w:rsidR="00134D7B">
        <w:rPr>
          <w:color w:val="000000"/>
          <w:sz w:val="26"/>
          <w:szCs w:val="26"/>
        </w:rPr>
        <w:t>2</w:t>
      </w:r>
      <w:r w:rsidR="003A5163" w:rsidRPr="003A5163">
        <w:rPr>
          <w:color w:val="000000"/>
          <w:sz w:val="26"/>
          <w:szCs w:val="26"/>
        </w:rPr>
        <w:t xml:space="preserve">(a)(3) and approvals are not necessary.  </w:t>
      </w:r>
      <w:r>
        <w:rPr>
          <w:color w:val="000000"/>
          <w:sz w:val="26"/>
          <w:szCs w:val="26"/>
        </w:rPr>
        <w:t>Joint Applicants’ Statement No. 4 at 15.  In addition</w:t>
      </w:r>
      <w:r w:rsidR="00500EDC">
        <w:rPr>
          <w:color w:val="000000"/>
          <w:sz w:val="26"/>
          <w:szCs w:val="26"/>
        </w:rPr>
        <w:t xml:space="preserve">, although approval is not necessary for the reasons clarified herein, </w:t>
      </w:r>
      <w:r>
        <w:rPr>
          <w:color w:val="000000"/>
          <w:sz w:val="26"/>
          <w:szCs w:val="26"/>
        </w:rPr>
        <w:t>with respect to the substation sites, we believe it is necessary for PPL Electric to file with the Commission a comprehensive list of the PPL Electric property implicated at Joint Applicants’ Exhibit 1, Appendix J, within thirty days of closing in order for the Commission to properly account for PPL Electric’s jurisdictional property.</w:t>
      </w:r>
    </w:p>
    <w:p w:rsidR="001049F8" w:rsidRPr="00AA3605" w:rsidRDefault="001049F8" w:rsidP="003844F5">
      <w:pPr>
        <w:widowControl/>
        <w:tabs>
          <w:tab w:val="left" w:pos="-720"/>
        </w:tabs>
        <w:suppressAutoHyphens/>
        <w:spacing w:line="360" w:lineRule="auto"/>
        <w:rPr>
          <w:rStyle w:val="Hyperlink"/>
          <w:color w:val="000000"/>
          <w:sz w:val="26"/>
          <w:szCs w:val="26"/>
          <w:u w:val="none"/>
        </w:rPr>
      </w:pPr>
    </w:p>
    <w:p w:rsidR="005B19C5" w:rsidRPr="00AA3605" w:rsidRDefault="001049F8" w:rsidP="003844F5">
      <w:pPr>
        <w:widowControl/>
        <w:tabs>
          <w:tab w:val="left" w:pos="-720"/>
        </w:tabs>
        <w:suppressAutoHyphens/>
        <w:spacing w:line="360" w:lineRule="auto"/>
        <w:rPr>
          <w:sz w:val="26"/>
          <w:szCs w:val="26"/>
        </w:rPr>
      </w:pPr>
      <w:r w:rsidRPr="00AA3605">
        <w:rPr>
          <w:rStyle w:val="Hyperlink"/>
          <w:color w:val="000000"/>
          <w:sz w:val="26"/>
          <w:szCs w:val="26"/>
          <w:u w:val="none"/>
        </w:rPr>
        <w:lastRenderedPageBreak/>
        <w:tab/>
      </w:r>
      <w:r w:rsidRPr="00AA3605">
        <w:rPr>
          <w:rStyle w:val="Hyperlink"/>
          <w:color w:val="000000"/>
          <w:sz w:val="26"/>
          <w:szCs w:val="26"/>
          <w:u w:val="none"/>
        </w:rPr>
        <w:tab/>
      </w:r>
      <w:r w:rsidR="006A6A76" w:rsidRPr="00AA3605">
        <w:rPr>
          <w:rStyle w:val="Hyperlink"/>
          <w:color w:val="000000"/>
          <w:sz w:val="26"/>
          <w:szCs w:val="26"/>
          <w:u w:val="none"/>
        </w:rPr>
        <w:t xml:space="preserve">Therefore, we shall adopt the ALJ’s </w:t>
      </w:r>
      <w:r w:rsidR="003A5163">
        <w:rPr>
          <w:rStyle w:val="Hyperlink"/>
          <w:color w:val="000000"/>
          <w:sz w:val="26"/>
          <w:szCs w:val="26"/>
          <w:u w:val="none"/>
        </w:rPr>
        <w:t xml:space="preserve">Recommended </w:t>
      </w:r>
      <w:r w:rsidR="006A6A76" w:rsidRPr="00AA3605">
        <w:rPr>
          <w:rStyle w:val="Hyperlink"/>
          <w:color w:val="000000"/>
          <w:sz w:val="26"/>
          <w:szCs w:val="26"/>
          <w:u w:val="none"/>
        </w:rPr>
        <w:t xml:space="preserve">Decision to </w:t>
      </w:r>
      <w:r w:rsidR="003A5163">
        <w:rPr>
          <w:rStyle w:val="Hyperlink"/>
          <w:color w:val="000000"/>
          <w:sz w:val="26"/>
          <w:szCs w:val="26"/>
          <w:u w:val="none"/>
        </w:rPr>
        <w:t>approve the Joint Petition</w:t>
      </w:r>
      <w:r w:rsidR="000E7895" w:rsidRPr="00AA3605">
        <w:rPr>
          <w:rStyle w:val="Hyperlink"/>
          <w:color w:val="000000"/>
          <w:sz w:val="26"/>
          <w:szCs w:val="26"/>
          <w:u w:val="none"/>
        </w:rPr>
        <w:t>, consistent w</w:t>
      </w:r>
      <w:r w:rsidR="00AA3605">
        <w:rPr>
          <w:rStyle w:val="Hyperlink"/>
          <w:color w:val="000000"/>
          <w:sz w:val="26"/>
          <w:szCs w:val="26"/>
          <w:u w:val="none"/>
        </w:rPr>
        <w:t xml:space="preserve">ith the </w:t>
      </w:r>
      <w:r w:rsidR="00500EDC">
        <w:rPr>
          <w:rStyle w:val="Hyperlink"/>
          <w:color w:val="000000"/>
          <w:sz w:val="26"/>
          <w:szCs w:val="26"/>
          <w:u w:val="none"/>
        </w:rPr>
        <w:t xml:space="preserve">clarification addressed </w:t>
      </w:r>
      <w:r w:rsidR="00AA3605">
        <w:rPr>
          <w:rStyle w:val="Hyperlink"/>
          <w:color w:val="000000"/>
          <w:sz w:val="26"/>
          <w:szCs w:val="26"/>
          <w:u w:val="none"/>
        </w:rPr>
        <w:t>above,</w:t>
      </w:r>
      <w:r w:rsidR="000E7895" w:rsidRPr="00AA3605">
        <w:rPr>
          <w:rStyle w:val="Hyperlink"/>
          <w:color w:val="000000"/>
          <w:sz w:val="26"/>
          <w:szCs w:val="26"/>
          <w:u w:val="none"/>
        </w:rPr>
        <w:t xml:space="preserve"> </w:t>
      </w:r>
      <w:r w:rsidR="00DC46E8" w:rsidRPr="00AA3605">
        <w:rPr>
          <w:rStyle w:val="Hyperlink"/>
          <w:color w:val="000000"/>
          <w:sz w:val="26"/>
          <w:szCs w:val="26"/>
          <w:u w:val="none"/>
        </w:rPr>
        <w:t xml:space="preserve">which </w:t>
      </w:r>
      <w:r w:rsidR="003A5163">
        <w:rPr>
          <w:rStyle w:val="Hyperlink"/>
          <w:color w:val="000000"/>
          <w:sz w:val="26"/>
          <w:szCs w:val="26"/>
          <w:u w:val="none"/>
        </w:rPr>
        <w:t xml:space="preserve">clarifies the conclusion that it is the value of the property being transferred, and not the exchange of consideration, that triggers the Commission’s jurisdiction. </w:t>
      </w:r>
    </w:p>
    <w:p w:rsidR="005B19C5" w:rsidRPr="00AA3605" w:rsidRDefault="005B19C5" w:rsidP="003844F5">
      <w:pPr>
        <w:pStyle w:val="ParaTab1"/>
        <w:spacing w:line="360" w:lineRule="auto"/>
        <w:rPr>
          <w:rFonts w:ascii="Times New Roman" w:hAnsi="Times New Roman" w:cs="Times New Roman"/>
          <w:sz w:val="26"/>
          <w:szCs w:val="26"/>
        </w:rPr>
      </w:pPr>
    </w:p>
    <w:p w:rsidR="005B19C5" w:rsidRPr="00AA3605" w:rsidRDefault="005B19C5" w:rsidP="003844F5">
      <w:pPr>
        <w:keepNext/>
        <w:widowControl/>
        <w:spacing w:line="360" w:lineRule="auto"/>
        <w:jc w:val="center"/>
        <w:rPr>
          <w:b/>
          <w:sz w:val="26"/>
          <w:szCs w:val="26"/>
        </w:rPr>
      </w:pPr>
      <w:r w:rsidRPr="00AA3605">
        <w:rPr>
          <w:b/>
          <w:sz w:val="26"/>
          <w:szCs w:val="26"/>
        </w:rPr>
        <w:t>Conclusion</w:t>
      </w:r>
    </w:p>
    <w:p w:rsidR="005B19C5" w:rsidRPr="00AA3605" w:rsidRDefault="005B19C5" w:rsidP="003844F5">
      <w:pPr>
        <w:keepNext/>
        <w:widowControl/>
        <w:spacing w:line="360" w:lineRule="auto"/>
        <w:ind w:firstLine="1440"/>
        <w:rPr>
          <w:sz w:val="26"/>
          <w:szCs w:val="26"/>
        </w:rPr>
      </w:pPr>
    </w:p>
    <w:p w:rsidR="005B19C5" w:rsidRPr="00AA3605" w:rsidRDefault="003E0F7A" w:rsidP="003844F5">
      <w:pPr>
        <w:widowControl/>
        <w:spacing w:line="360" w:lineRule="auto"/>
        <w:ind w:firstLine="1440"/>
        <w:rPr>
          <w:sz w:val="26"/>
          <w:szCs w:val="26"/>
        </w:rPr>
      </w:pPr>
      <w:r>
        <w:rPr>
          <w:sz w:val="26"/>
          <w:szCs w:val="26"/>
        </w:rPr>
        <w:t xml:space="preserve">Upon consideration of the record before us, </w:t>
      </w:r>
      <w:r w:rsidR="005B19C5" w:rsidRPr="00AA3605">
        <w:rPr>
          <w:sz w:val="26"/>
          <w:szCs w:val="26"/>
        </w:rPr>
        <w:t xml:space="preserve">we shall </w:t>
      </w:r>
      <w:r w:rsidR="00484A02">
        <w:rPr>
          <w:sz w:val="26"/>
          <w:szCs w:val="26"/>
        </w:rPr>
        <w:t>modify</w:t>
      </w:r>
      <w:r w:rsidR="005B19C5" w:rsidRPr="00AA3605">
        <w:rPr>
          <w:sz w:val="26"/>
          <w:szCs w:val="26"/>
        </w:rPr>
        <w:t xml:space="preserve"> the </w:t>
      </w:r>
      <w:r>
        <w:rPr>
          <w:sz w:val="26"/>
          <w:szCs w:val="26"/>
        </w:rPr>
        <w:t xml:space="preserve">Recommended </w:t>
      </w:r>
      <w:r w:rsidR="005B19C5" w:rsidRPr="00AA3605">
        <w:rPr>
          <w:sz w:val="26"/>
          <w:szCs w:val="26"/>
        </w:rPr>
        <w:t>Decision of Administ</w:t>
      </w:r>
      <w:r w:rsidR="00AA3605" w:rsidRPr="00AA3605">
        <w:rPr>
          <w:sz w:val="26"/>
          <w:szCs w:val="26"/>
        </w:rPr>
        <w:t xml:space="preserve">rative Law Judge </w:t>
      </w:r>
      <w:r>
        <w:rPr>
          <w:sz w:val="26"/>
          <w:szCs w:val="26"/>
        </w:rPr>
        <w:t>Susan D. Colwell</w:t>
      </w:r>
      <w:r w:rsidR="005B19C5" w:rsidRPr="00AA3605">
        <w:rPr>
          <w:sz w:val="26"/>
          <w:szCs w:val="26"/>
        </w:rPr>
        <w:t>, consiste</w:t>
      </w:r>
      <w:r w:rsidR="00AA3605" w:rsidRPr="00AA3605">
        <w:rPr>
          <w:sz w:val="26"/>
          <w:szCs w:val="26"/>
        </w:rPr>
        <w:t>nt with this Opinion and Order</w:t>
      </w:r>
      <w:r w:rsidR="005B19C5" w:rsidRPr="00AA3605">
        <w:rPr>
          <w:sz w:val="26"/>
          <w:szCs w:val="26"/>
        </w:rPr>
        <w:t xml:space="preserve">; </w:t>
      </w:r>
      <w:r w:rsidR="005B19C5" w:rsidRPr="00AA3605">
        <w:rPr>
          <w:b/>
          <w:sz w:val="26"/>
          <w:szCs w:val="26"/>
        </w:rPr>
        <w:t>THEREFORE,</w:t>
      </w:r>
      <w:r w:rsidR="005B19C5" w:rsidRPr="00AA3605">
        <w:rPr>
          <w:sz w:val="26"/>
          <w:szCs w:val="26"/>
        </w:rPr>
        <w:t xml:space="preserve"> </w:t>
      </w:r>
    </w:p>
    <w:p w:rsidR="005B19C5" w:rsidRPr="00AA3605" w:rsidRDefault="005B19C5" w:rsidP="003844F5">
      <w:pPr>
        <w:widowControl/>
        <w:rPr>
          <w:sz w:val="26"/>
          <w:szCs w:val="26"/>
        </w:rPr>
      </w:pPr>
    </w:p>
    <w:p w:rsidR="005B19C5" w:rsidRPr="00AA3605" w:rsidRDefault="005B19C5" w:rsidP="003844F5">
      <w:pPr>
        <w:widowControl/>
        <w:ind w:firstLine="1440"/>
        <w:rPr>
          <w:b/>
          <w:sz w:val="26"/>
          <w:szCs w:val="26"/>
        </w:rPr>
      </w:pPr>
      <w:r w:rsidRPr="00AA3605">
        <w:rPr>
          <w:b/>
          <w:sz w:val="26"/>
          <w:szCs w:val="26"/>
        </w:rPr>
        <w:t>IT IS ORDERED:</w:t>
      </w:r>
    </w:p>
    <w:p w:rsidR="005B19C5" w:rsidRPr="00AA3605" w:rsidRDefault="005B19C5" w:rsidP="003844F5">
      <w:pPr>
        <w:widowControl/>
        <w:spacing w:line="360" w:lineRule="auto"/>
        <w:rPr>
          <w:sz w:val="26"/>
          <w:szCs w:val="26"/>
        </w:rPr>
      </w:pPr>
    </w:p>
    <w:p w:rsidR="005B19C5" w:rsidRDefault="005B19C5" w:rsidP="003844F5">
      <w:pPr>
        <w:widowControl/>
        <w:numPr>
          <w:ilvl w:val="0"/>
          <w:numId w:val="1"/>
        </w:numPr>
        <w:tabs>
          <w:tab w:val="clear" w:pos="2160"/>
          <w:tab w:val="num" w:pos="0"/>
        </w:tabs>
        <w:spacing w:line="360" w:lineRule="auto"/>
        <w:ind w:left="0" w:firstLine="1440"/>
        <w:rPr>
          <w:sz w:val="26"/>
          <w:szCs w:val="26"/>
        </w:rPr>
      </w:pPr>
      <w:r w:rsidRPr="00AA3605">
        <w:rPr>
          <w:sz w:val="26"/>
          <w:szCs w:val="26"/>
        </w:rPr>
        <w:t xml:space="preserve">That the </w:t>
      </w:r>
      <w:r w:rsidR="00F44A41">
        <w:rPr>
          <w:sz w:val="26"/>
          <w:szCs w:val="26"/>
        </w:rPr>
        <w:t>Recommended</w:t>
      </w:r>
      <w:r w:rsidRPr="00AA3605">
        <w:rPr>
          <w:sz w:val="26"/>
          <w:szCs w:val="26"/>
        </w:rPr>
        <w:t xml:space="preserve"> Decision of Administrative Law Judge </w:t>
      </w:r>
      <w:r w:rsidR="003E0F7A">
        <w:rPr>
          <w:sz w:val="26"/>
          <w:szCs w:val="26"/>
        </w:rPr>
        <w:t>Susan D. Colwell</w:t>
      </w:r>
      <w:r w:rsidR="00AA3605" w:rsidRPr="00AA3605">
        <w:rPr>
          <w:sz w:val="26"/>
          <w:szCs w:val="26"/>
        </w:rPr>
        <w:t xml:space="preserve"> issued </w:t>
      </w:r>
      <w:r w:rsidR="003E0F7A">
        <w:rPr>
          <w:sz w:val="26"/>
          <w:szCs w:val="26"/>
        </w:rPr>
        <w:t xml:space="preserve">February </w:t>
      </w:r>
      <w:r w:rsidR="00D1624B">
        <w:rPr>
          <w:sz w:val="26"/>
          <w:szCs w:val="26"/>
        </w:rPr>
        <w:t>6</w:t>
      </w:r>
      <w:r w:rsidR="00AA3605" w:rsidRPr="00AA3605">
        <w:rPr>
          <w:sz w:val="26"/>
          <w:szCs w:val="26"/>
        </w:rPr>
        <w:t>, 201</w:t>
      </w:r>
      <w:r w:rsidR="003E0F7A">
        <w:rPr>
          <w:sz w:val="26"/>
          <w:szCs w:val="26"/>
        </w:rPr>
        <w:t>5</w:t>
      </w:r>
      <w:r w:rsidR="00AA3605" w:rsidRPr="00AA3605">
        <w:rPr>
          <w:sz w:val="26"/>
          <w:szCs w:val="26"/>
        </w:rPr>
        <w:t xml:space="preserve">, is </w:t>
      </w:r>
      <w:r w:rsidR="00484A02">
        <w:rPr>
          <w:sz w:val="26"/>
          <w:szCs w:val="26"/>
        </w:rPr>
        <w:t>modified</w:t>
      </w:r>
      <w:r w:rsidRPr="00AA3605">
        <w:rPr>
          <w:sz w:val="26"/>
          <w:szCs w:val="26"/>
        </w:rPr>
        <w:t>, consistent with this Opinion and Order.</w:t>
      </w:r>
    </w:p>
    <w:p w:rsidR="003E79A3" w:rsidRPr="003E79A3" w:rsidRDefault="003E79A3" w:rsidP="0032573C">
      <w:pPr>
        <w:widowControl/>
        <w:spacing w:line="360" w:lineRule="auto"/>
        <w:rPr>
          <w:sz w:val="26"/>
          <w:szCs w:val="26"/>
        </w:rPr>
      </w:pPr>
    </w:p>
    <w:p w:rsidR="003E79A3" w:rsidRPr="0032573C" w:rsidRDefault="003E79A3" w:rsidP="0032573C">
      <w:pPr>
        <w:pStyle w:val="ListParagraph"/>
        <w:numPr>
          <w:ilvl w:val="0"/>
          <w:numId w:val="1"/>
        </w:numPr>
        <w:tabs>
          <w:tab w:val="clear" w:pos="2160"/>
          <w:tab w:val="num" w:pos="0"/>
        </w:tabs>
        <w:spacing w:line="360" w:lineRule="auto"/>
        <w:ind w:left="0" w:firstLine="1440"/>
        <w:rPr>
          <w:sz w:val="26"/>
          <w:szCs w:val="26"/>
        </w:rPr>
      </w:pPr>
      <w:r w:rsidRPr="0032573C">
        <w:rPr>
          <w:sz w:val="26"/>
          <w:szCs w:val="26"/>
        </w:rPr>
        <w:t xml:space="preserve">That the Joint Petition for Approval of Settlement of All Issues submitted by PPL Interstate Energy Company, PPL Electric Utilities Corporation, and the Office of Small Business Advocate at Docket Nos. A-2014-2435752 and </w:t>
      </w:r>
      <w:r w:rsidR="00263729">
        <w:rPr>
          <w:sz w:val="26"/>
          <w:szCs w:val="26"/>
        </w:rPr>
        <w:br/>
      </w:r>
      <w:r w:rsidRPr="0032573C">
        <w:rPr>
          <w:sz w:val="26"/>
          <w:szCs w:val="26"/>
        </w:rPr>
        <w:t>A-2014-2435833, including all terms and conditions, is incorporated herein and hereby approved.</w:t>
      </w:r>
    </w:p>
    <w:p w:rsidR="003E79A3" w:rsidRPr="003E79A3" w:rsidRDefault="003E79A3" w:rsidP="0032573C">
      <w:pPr>
        <w:pStyle w:val="ListParagraph"/>
        <w:spacing w:line="360" w:lineRule="auto"/>
        <w:ind w:left="2160"/>
        <w:rPr>
          <w:sz w:val="24"/>
          <w:szCs w:val="24"/>
        </w:rPr>
      </w:pPr>
    </w:p>
    <w:p w:rsidR="00A274B9" w:rsidRDefault="003E79A3" w:rsidP="003E79A3">
      <w:pPr>
        <w:pStyle w:val="ListParagraph"/>
        <w:numPr>
          <w:ilvl w:val="0"/>
          <w:numId w:val="1"/>
        </w:numPr>
        <w:tabs>
          <w:tab w:val="clear" w:pos="2160"/>
          <w:tab w:val="num" w:pos="0"/>
        </w:tabs>
        <w:spacing w:line="360" w:lineRule="auto"/>
        <w:ind w:left="0" w:firstLine="1440"/>
        <w:rPr>
          <w:sz w:val="26"/>
          <w:szCs w:val="26"/>
        </w:rPr>
      </w:pPr>
      <w:r w:rsidRPr="0032573C">
        <w:rPr>
          <w:sz w:val="26"/>
          <w:szCs w:val="26"/>
        </w:rPr>
        <w:t>The Joint Application of PPL Interstate Energy Company and PPL Electric Utilities Corporation requesting all necessary authority, approvals and certificates of public convenience pursuant to Sections 1102(a)(3), 2101(a), 2210(a), and 2811(e) of the Public Utility Code, 66 Pa.</w:t>
      </w:r>
      <w:r>
        <w:rPr>
          <w:sz w:val="26"/>
          <w:szCs w:val="26"/>
        </w:rPr>
        <w:t xml:space="preserve"> </w:t>
      </w:r>
      <w:r w:rsidRPr="0032573C">
        <w:rPr>
          <w:sz w:val="26"/>
          <w:szCs w:val="26"/>
        </w:rPr>
        <w:t>C.S. §§ 1102(a)(3), 2102(a), 2210(a), and 2811(e), authorizing:</w:t>
      </w:r>
    </w:p>
    <w:p w:rsidR="003E79A3" w:rsidRPr="0032573C" w:rsidRDefault="003E79A3" w:rsidP="0032573C">
      <w:pPr>
        <w:pStyle w:val="ListParagraph"/>
        <w:spacing w:line="360" w:lineRule="auto"/>
        <w:ind w:left="1440"/>
        <w:rPr>
          <w:sz w:val="26"/>
          <w:szCs w:val="26"/>
        </w:rPr>
      </w:pPr>
      <w:r w:rsidRPr="0032573C">
        <w:rPr>
          <w:sz w:val="26"/>
          <w:szCs w:val="26"/>
        </w:rPr>
        <w:t xml:space="preserve">  </w:t>
      </w:r>
    </w:p>
    <w:p w:rsidR="003E79A3" w:rsidRPr="0032573C" w:rsidRDefault="003E79A3" w:rsidP="0032573C">
      <w:pPr>
        <w:pStyle w:val="ListParagraph"/>
        <w:ind w:left="2160" w:right="1440"/>
        <w:rPr>
          <w:sz w:val="26"/>
          <w:szCs w:val="26"/>
        </w:rPr>
      </w:pPr>
      <w:r w:rsidRPr="0032573C">
        <w:rPr>
          <w:sz w:val="26"/>
          <w:szCs w:val="26"/>
        </w:rPr>
        <w:lastRenderedPageBreak/>
        <w:t>(a)</w:t>
      </w:r>
      <w:r w:rsidRPr="0032573C">
        <w:rPr>
          <w:sz w:val="26"/>
          <w:szCs w:val="26"/>
        </w:rPr>
        <w:tab/>
        <w:t>the transfer of PPL Corporation’s indirect ownership interests in PPL Interstate Energy Company, which holds a certificate of public convenience to transport oil and natural gas only to generating facilities, to Talen Energy Corporation;</w:t>
      </w:r>
    </w:p>
    <w:p w:rsidR="003E79A3" w:rsidRPr="0032573C" w:rsidRDefault="003E79A3"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 xml:space="preserve">(b) </w:t>
      </w:r>
      <w:r w:rsidRPr="0032573C">
        <w:rPr>
          <w:sz w:val="26"/>
          <w:szCs w:val="26"/>
        </w:rPr>
        <w:tab/>
        <w:t xml:space="preserve">the acquisition by </w:t>
      </w:r>
      <w:proofErr w:type="spellStart"/>
      <w:r w:rsidRPr="0032573C">
        <w:rPr>
          <w:sz w:val="26"/>
          <w:szCs w:val="26"/>
        </w:rPr>
        <w:t>Riverstone</w:t>
      </w:r>
      <w:proofErr w:type="spellEnd"/>
      <w:r w:rsidRPr="0032573C">
        <w:rPr>
          <w:sz w:val="26"/>
          <w:szCs w:val="26"/>
        </w:rPr>
        <w:t xml:space="preserve"> Holdings LLC, through Raven Power Holdings LLC, C/R Energy Jade, LLC, and Sapphire Power Holdings LLC or an existing or newly formed holding company, of an indirect thirty-five percent (35%) ownership interest in PPL Interstate Energy Company via its ownership interest in Talen Energy Corporation; </w:t>
      </w:r>
    </w:p>
    <w:p w:rsidR="003E79A3" w:rsidRPr="0032573C" w:rsidRDefault="003E79A3"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 xml:space="preserve">(c) </w:t>
      </w:r>
      <w:r w:rsidRPr="0032573C">
        <w:rPr>
          <w:sz w:val="26"/>
          <w:szCs w:val="26"/>
        </w:rPr>
        <w:tab/>
        <w:t xml:space="preserve">the anticipated future sell-down over time of the interests in Talen Energy Corporation held by Raven Power Holdings LLC, C/R Energy Jade, LLC, and Sapphire Power Holdings LLC, the above-referenced holding company, or entities that are ultimately controlled by </w:t>
      </w:r>
      <w:proofErr w:type="spellStart"/>
      <w:r w:rsidRPr="0032573C">
        <w:rPr>
          <w:sz w:val="26"/>
          <w:szCs w:val="26"/>
        </w:rPr>
        <w:t>Riverstone</w:t>
      </w:r>
      <w:proofErr w:type="spellEnd"/>
      <w:r w:rsidRPr="0032573C">
        <w:rPr>
          <w:sz w:val="26"/>
          <w:szCs w:val="26"/>
        </w:rPr>
        <w:t xml:space="preserve"> Holdings LLC, which will result in the dissipation of </w:t>
      </w:r>
      <w:proofErr w:type="spellStart"/>
      <w:r w:rsidRPr="0032573C">
        <w:rPr>
          <w:sz w:val="26"/>
          <w:szCs w:val="26"/>
        </w:rPr>
        <w:t>Riverstone</w:t>
      </w:r>
      <w:proofErr w:type="spellEnd"/>
      <w:r w:rsidRPr="0032573C">
        <w:rPr>
          <w:sz w:val="26"/>
          <w:szCs w:val="26"/>
        </w:rPr>
        <w:t xml:space="preserve"> Holdings LLC’s indirect ownership interest in PPL Interstate Energy Company to less than a combined 20% of the outstanding shares of the common stock of Talen Energy Corporation; </w:t>
      </w:r>
    </w:p>
    <w:p w:rsidR="00DA16E7" w:rsidRDefault="00DA16E7"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(d)</w:t>
      </w:r>
      <w:r w:rsidRPr="0032573C">
        <w:rPr>
          <w:sz w:val="26"/>
          <w:szCs w:val="26"/>
        </w:rPr>
        <w:tab/>
        <w:t xml:space="preserve">the potential future internal corporate reorganizations within </w:t>
      </w:r>
      <w:proofErr w:type="spellStart"/>
      <w:r w:rsidRPr="0032573C">
        <w:rPr>
          <w:sz w:val="26"/>
          <w:szCs w:val="26"/>
        </w:rPr>
        <w:t>Riverstone</w:t>
      </w:r>
      <w:proofErr w:type="spellEnd"/>
      <w:r w:rsidRPr="0032573C">
        <w:rPr>
          <w:sz w:val="26"/>
          <w:szCs w:val="26"/>
        </w:rPr>
        <w:t xml:space="preserve"> Holdings LLC; </w:t>
      </w:r>
    </w:p>
    <w:p w:rsidR="003E79A3" w:rsidRPr="0032573C" w:rsidRDefault="003E79A3"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(e)</w:t>
      </w:r>
      <w:r w:rsidRPr="0032573C">
        <w:rPr>
          <w:sz w:val="26"/>
          <w:szCs w:val="26"/>
        </w:rPr>
        <w:tab/>
        <w:t xml:space="preserve">the transfer/clarification of property rights between PPL Energy Supply, LLC and/or its subsidiaries and PPL Electric Utilities Corporation; </w:t>
      </w:r>
    </w:p>
    <w:p w:rsidR="003E79A3" w:rsidRPr="0032573C" w:rsidRDefault="003E79A3"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 xml:space="preserve">(f) </w:t>
      </w:r>
      <w:r w:rsidRPr="0032573C">
        <w:rPr>
          <w:sz w:val="26"/>
          <w:szCs w:val="26"/>
        </w:rPr>
        <w:tab/>
        <w:t>the termination or revision of intercompany agreements between PPL Energy Supply LLC and/or its subsidiaries and PPL Electric Utilities Corporation or PPL Interstate Energy Company; and</w:t>
      </w:r>
    </w:p>
    <w:p w:rsidR="003E79A3" w:rsidRPr="0032573C" w:rsidRDefault="003E79A3" w:rsidP="0032573C">
      <w:pPr>
        <w:pStyle w:val="ListParagraph"/>
        <w:ind w:left="2160" w:right="1440"/>
        <w:rPr>
          <w:sz w:val="26"/>
          <w:szCs w:val="26"/>
        </w:rPr>
      </w:pPr>
    </w:p>
    <w:p w:rsidR="003E79A3" w:rsidRPr="0032573C" w:rsidRDefault="003E79A3" w:rsidP="0032573C">
      <w:pPr>
        <w:pStyle w:val="ListParagraph"/>
        <w:ind w:left="2160" w:right="1440"/>
        <w:rPr>
          <w:sz w:val="26"/>
          <w:szCs w:val="26"/>
        </w:rPr>
      </w:pPr>
      <w:r w:rsidRPr="0032573C">
        <w:rPr>
          <w:sz w:val="26"/>
          <w:szCs w:val="26"/>
        </w:rPr>
        <w:t>(g)</w:t>
      </w:r>
      <w:r w:rsidRPr="0032573C">
        <w:rPr>
          <w:sz w:val="26"/>
          <w:szCs w:val="26"/>
        </w:rPr>
        <w:tab/>
        <w:t>any other approvals necessary to complete the transactions set forth in the Joint Application, is hereby approved, subject to the terms and conditions of the Joint Petition for Settlement of All Issues.</w:t>
      </w:r>
    </w:p>
    <w:p w:rsidR="00AE7CCE" w:rsidRPr="00A274B9" w:rsidRDefault="00AE7CCE" w:rsidP="003844F5">
      <w:pPr>
        <w:widowControl/>
        <w:spacing w:line="360" w:lineRule="auto"/>
        <w:ind w:left="1440"/>
        <w:rPr>
          <w:sz w:val="26"/>
          <w:szCs w:val="26"/>
        </w:rPr>
      </w:pPr>
    </w:p>
    <w:p w:rsidR="00AE7CCE" w:rsidRPr="0032573C" w:rsidRDefault="00AE7CCE" w:rsidP="00AE7CCE">
      <w:pPr>
        <w:pStyle w:val="ListNumber"/>
        <w:numPr>
          <w:ilvl w:val="0"/>
          <w:numId w:val="0"/>
        </w:numPr>
        <w:spacing w:line="360" w:lineRule="auto"/>
        <w:ind w:firstLine="720"/>
        <w:jc w:val="left"/>
        <w:rPr>
          <w:sz w:val="26"/>
          <w:szCs w:val="26"/>
        </w:rPr>
      </w:pPr>
      <w:r w:rsidRPr="0032573C">
        <w:rPr>
          <w:sz w:val="26"/>
          <w:szCs w:val="26"/>
        </w:rPr>
        <w:lastRenderedPageBreak/>
        <w:tab/>
        <w:t>4.</w:t>
      </w:r>
      <w:r w:rsidRPr="0032573C">
        <w:rPr>
          <w:sz w:val="26"/>
          <w:szCs w:val="26"/>
        </w:rPr>
        <w:tab/>
        <w:t>That all required Certificates of Public Convenience be issued evidencing the Pennsylvania Public Utility Commission's approval of the transactions set forth in the Joint Application, subject to the terms and conditions of the Joint Petition for Approval of Settlement of All Issues.</w:t>
      </w:r>
    </w:p>
    <w:p w:rsidR="00AE7CCE" w:rsidRPr="0032573C" w:rsidRDefault="00AE7CCE" w:rsidP="00AE7CCE">
      <w:pPr>
        <w:pStyle w:val="ListNumber"/>
        <w:numPr>
          <w:ilvl w:val="0"/>
          <w:numId w:val="0"/>
        </w:numPr>
        <w:spacing w:line="360" w:lineRule="auto"/>
        <w:ind w:firstLine="720"/>
        <w:jc w:val="left"/>
        <w:rPr>
          <w:sz w:val="26"/>
          <w:szCs w:val="26"/>
        </w:rPr>
      </w:pPr>
    </w:p>
    <w:p w:rsidR="00AE7CCE" w:rsidRPr="0032573C" w:rsidRDefault="00AE7CCE" w:rsidP="00AE7CCE">
      <w:pPr>
        <w:pStyle w:val="ListNumber"/>
        <w:numPr>
          <w:ilvl w:val="0"/>
          <w:numId w:val="0"/>
        </w:numPr>
        <w:spacing w:line="360" w:lineRule="auto"/>
        <w:ind w:firstLine="720"/>
        <w:jc w:val="left"/>
        <w:rPr>
          <w:sz w:val="26"/>
          <w:szCs w:val="26"/>
        </w:rPr>
      </w:pPr>
      <w:r w:rsidRPr="0032573C">
        <w:rPr>
          <w:sz w:val="26"/>
          <w:szCs w:val="26"/>
        </w:rPr>
        <w:tab/>
        <w:t>5.</w:t>
      </w:r>
      <w:r w:rsidRPr="0032573C">
        <w:rPr>
          <w:sz w:val="26"/>
          <w:szCs w:val="26"/>
        </w:rPr>
        <w:tab/>
        <w:t>That any protest or petition to intervene filed in this proceeding that is not satisfied or withdrawn pursuant to the terms of the Joint Petition for Approval of Settlement of All Issues is hereby denied.</w:t>
      </w:r>
    </w:p>
    <w:p w:rsidR="00AE7CCE" w:rsidRPr="00A274B9" w:rsidRDefault="00AE7CCE" w:rsidP="003844F5">
      <w:pPr>
        <w:widowControl/>
        <w:spacing w:line="360" w:lineRule="auto"/>
        <w:ind w:left="1440"/>
        <w:rPr>
          <w:sz w:val="26"/>
          <w:szCs w:val="26"/>
        </w:rPr>
      </w:pPr>
    </w:p>
    <w:p w:rsidR="0032573C" w:rsidRDefault="0032573C" w:rsidP="0032573C">
      <w:pPr>
        <w:widowControl/>
        <w:tabs>
          <w:tab w:val="left" w:pos="-720"/>
        </w:tabs>
        <w:suppressAutoHyphens/>
        <w:spacing w:line="360" w:lineRule="auto"/>
        <w:rPr>
          <w:color w:val="000000"/>
          <w:sz w:val="26"/>
          <w:szCs w:val="26"/>
        </w:rPr>
      </w:pPr>
      <w:r>
        <w:rPr>
          <w:sz w:val="26"/>
          <w:szCs w:val="26"/>
        </w:rPr>
        <w:tab/>
      </w:r>
      <w:r>
        <w:rPr>
          <w:sz w:val="26"/>
          <w:szCs w:val="26"/>
        </w:rPr>
        <w:tab/>
      </w:r>
      <w:r w:rsidR="009F7376">
        <w:rPr>
          <w:sz w:val="26"/>
          <w:szCs w:val="26"/>
        </w:rPr>
        <w:t>6.</w:t>
      </w:r>
      <w:r w:rsidR="009F7376">
        <w:rPr>
          <w:sz w:val="26"/>
          <w:szCs w:val="26"/>
        </w:rPr>
        <w:tab/>
      </w:r>
      <w:r>
        <w:rPr>
          <w:sz w:val="26"/>
          <w:szCs w:val="26"/>
        </w:rPr>
        <w:t xml:space="preserve">That </w:t>
      </w:r>
      <w:r>
        <w:rPr>
          <w:color w:val="000000"/>
          <w:sz w:val="26"/>
          <w:szCs w:val="26"/>
        </w:rPr>
        <w:t>PPL Electric shall file with the Commission a comprehensive list of the PPL Electric property implicated at Joint Applicants’ Exhibit 1, Appendix J, within thirty days of closing.</w:t>
      </w:r>
    </w:p>
    <w:p w:rsidR="0032573C" w:rsidRDefault="0032573C" w:rsidP="0032573C">
      <w:pPr>
        <w:widowControl/>
        <w:tabs>
          <w:tab w:val="left" w:pos="-720"/>
        </w:tabs>
        <w:suppressAutoHyphens/>
        <w:spacing w:line="360" w:lineRule="auto"/>
        <w:rPr>
          <w:color w:val="000000"/>
          <w:sz w:val="26"/>
          <w:szCs w:val="26"/>
        </w:rPr>
      </w:pPr>
    </w:p>
    <w:p w:rsidR="00074094" w:rsidRPr="0032573C" w:rsidRDefault="0032573C" w:rsidP="0032573C">
      <w:pPr>
        <w:spacing w:line="360" w:lineRule="auto"/>
        <w:ind w:firstLine="1440"/>
        <w:rPr>
          <w:sz w:val="26"/>
          <w:szCs w:val="26"/>
        </w:rPr>
      </w:pPr>
      <w:r>
        <w:rPr>
          <w:sz w:val="26"/>
          <w:szCs w:val="26"/>
        </w:rPr>
        <w:t>7.</w:t>
      </w:r>
      <w:r>
        <w:rPr>
          <w:sz w:val="26"/>
          <w:szCs w:val="26"/>
        </w:rPr>
        <w:tab/>
      </w:r>
      <w:r w:rsidR="00074094" w:rsidRPr="0032573C">
        <w:rPr>
          <w:sz w:val="26"/>
          <w:szCs w:val="26"/>
        </w:rPr>
        <w:t>That</w:t>
      </w:r>
      <w:r>
        <w:rPr>
          <w:sz w:val="26"/>
          <w:szCs w:val="26"/>
        </w:rPr>
        <w:t>, upon receipt of the filing described in Ordering Paragraph No. 6,</w:t>
      </w:r>
      <w:r w:rsidR="00074094" w:rsidRPr="0032573C">
        <w:rPr>
          <w:sz w:val="26"/>
          <w:szCs w:val="26"/>
        </w:rPr>
        <w:t xml:space="preserve"> the </w:t>
      </w:r>
      <w:r w:rsidR="00DC46E8" w:rsidRPr="0032573C">
        <w:rPr>
          <w:sz w:val="26"/>
          <w:szCs w:val="26"/>
        </w:rPr>
        <w:t xml:space="preserve">proceeding at </w:t>
      </w:r>
      <w:r w:rsidR="00074094" w:rsidRPr="0032573C">
        <w:rPr>
          <w:sz w:val="26"/>
          <w:szCs w:val="26"/>
        </w:rPr>
        <w:t>Docket No</w:t>
      </w:r>
      <w:r w:rsidR="003E0F7A" w:rsidRPr="0032573C">
        <w:rPr>
          <w:sz w:val="26"/>
          <w:szCs w:val="26"/>
        </w:rPr>
        <w:t>s</w:t>
      </w:r>
      <w:r w:rsidR="00074094" w:rsidRPr="0032573C">
        <w:rPr>
          <w:sz w:val="26"/>
          <w:szCs w:val="26"/>
        </w:rPr>
        <w:t xml:space="preserve">. </w:t>
      </w:r>
      <w:r w:rsidR="003E0F7A" w:rsidRPr="0032573C">
        <w:rPr>
          <w:sz w:val="26"/>
          <w:szCs w:val="26"/>
        </w:rPr>
        <w:t xml:space="preserve">A-2014-2435752 and A-2014-2435833 </w:t>
      </w:r>
      <w:r>
        <w:rPr>
          <w:sz w:val="26"/>
          <w:szCs w:val="26"/>
        </w:rPr>
        <w:t xml:space="preserve">shall </w:t>
      </w:r>
      <w:r w:rsidR="00DC46E8" w:rsidRPr="0032573C">
        <w:rPr>
          <w:spacing w:val="-3"/>
          <w:sz w:val="26"/>
          <w:szCs w:val="26"/>
        </w:rPr>
        <w:t xml:space="preserve">be </w:t>
      </w:r>
      <w:r w:rsidR="00074094" w:rsidRPr="0032573C">
        <w:rPr>
          <w:sz w:val="26"/>
          <w:szCs w:val="26"/>
        </w:rPr>
        <w:t>marked closed.</w:t>
      </w:r>
    </w:p>
    <w:p w:rsidR="007D4F23" w:rsidRPr="00414100" w:rsidRDefault="007D4F23" w:rsidP="003844F5">
      <w:pPr>
        <w:keepNext/>
        <w:widowControl/>
        <w:spacing w:line="360" w:lineRule="auto"/>
        <w:rPr>
          <w:sz w:val="26"/>
          <w:szCs w:val="26"/>
        </w:rPr>
      </w:pPr>
    </w:p>
    <w:p w:rsidR="007D4F23" w:rsidRPr="005F376C" w:rsidRDefault="00632867" w:rsidP="003844F5">
      <w:pPr>
        <w:keepNext/>
        <w:widowControl/>
        <w:tabs>
          <w:tab w:val="left" w:pos="-720"/>
        </w:tabs>
        <w:ind w:firstLine="5040"/>
        <w:rPr>
          <w:sz w:val="26"/>
          <w:szCs w:val="26"/>
        </w:rPr>
      </w:pPr>
      <w:bookmarkStart w:id="0" w:name="_GoBack"/>
      <w:r>
        <w:rPr>
          <w:noProof/>
        </w:rPr>
        <w:drawing>
          <wp:anchor distT="0" distB="0" distL="114300" distR="114300" simplePos="0" relativeHeight="251659264" behindDoc="1" locked="0" layoutInCell="1" allowOverlap="1" wp14:anchorId="50029280" wp14:editId="0DBB1770">
            <wp:simplePos x="0" y="0"/>
            <wp:positionH relativeFrom="column">
              <wp:posOffset>3060700</wp:posOffset>
            </wp:positionH>
            <wp:positionV relativeFrom="paragraph">
              <wp:posOffset>-5080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D4F23" w:rsidRPr="005F376C">
        <w:rPr>
          <w:b/>
          <w:sz w:val="26"/>
          <w:szCs w:val="26"/>
        </w:rPr>
        <w:t>BY THE COMMISSION,</w:t>
      </w:r>
    </w:p>
    <w:p w:rsidR="007D4F23" w:rsidRPr="005F376C" w:rsidRDefault="007D4F23" w:rsidP="003844F5">
      <w:pPr>
        <w:keepNext/>
        <w:widowControl/>
        <w:tabs>
          <w:tab w:val="left" w:pos="-720"/>
        </w:tabs>
        <w:rPr>
          <w:sz w:val="26"/>
          <w:szCs w:val="26"/>
        </w:rPr>
      </w:pPr>
    </w:p>
    <w:p w:rsidR="007D4F23" w:rsidRPr="005F376C" w:rsidRDefault="007D4F23" w:rsidP="003844F5">
      <w:pPr>
        <w:keepNext/>
        <w:widowControl/>
        <w:tabs>
          <w:tab w:val="left" w:pos="-720"/>
        </w:tabs>
        <w:rPr>
          <w:sz w:val="26"/>
          <w:szCs w:val="26"/>
        </w:rPr>
      </w:pPr>
    </w:p>
    <w:p w:rsidR="007D4F23" w:rsidRPr="005F376C" w:rsidRDefault="007D4F23" w:rsidP="003844F5">
      <w:pPr>
        <w:keepNext/>
        <w:widowControl/>
        <w:tabs>
          <w:tab w:val="left" w:pos="-720"/>
        </w:tabs>
        <w:rPr>
          <w:sz w:val="26"/>
          <w:szCs w:val="26"/>
        </w:rPr>
      </w:pPr>
    </w:p>
    <w:p w:rsidR="007D4F23" w:rsidRPr="005F376C" w:rsidRDefault="007D4F23" w:rsidP="003844F5">
      <w:pPr>
        <w:keepNext/>
        <w:widowControl/>
        <w:tabs>
          <w:tab w:val="left" w:pos="-720"/>
        </w:tabs>
        <w:ind w:firstLine="5040"/>
        <w:rPr>
          <w:b/>
          <w:sz w:val="26"/>
          <w:szCs w:val="26"/>
        </w:rPr>
      </w:pPr>
      <w:r w:rsidRPr="005F376C">
        <w:rPr>
          <w:sz w:val="26"/>
          <w:szCs w:val="26"/>
        </w:rPr>
        <w:t>Rosemary Chiavetta</w:t>
      </w:r>
    </w:p>
    <w:p w:rsidR="007D4F23" w:rsidRPr="005F376C" w:rsidRDefault="007D4F23" w:rsidP="003844F5">
      <w:pPr>
        <w:keepNext/>
        <w:widowControl/>
        <w:tabs>
          <w:tab w:val="left" w:pos="-720"/>
        </w:tabs>
        <w:ind w:firstLine="5040"/>
        <w:rPr>
          <w:sz w:val="26"/>
          <w:szCs w:val="26"/>
        </w:rPr>
      </w:pPr>
      <w:r w:rsidRPr="005F376C">
        <w:rPr>
          <w:sz w:val="26"/>
          <w:szCs w:val="26"/>
        </w:rPr>
        <w:t>Secretary</w:t>
      </w:r>
    </w:p>
    <w:p w:rsidR="007D4F23" w:rsidRPr="005F376C" w:rsidRDefault="007D4F23" w:rsidP="003844F5">
      <w:pPr>
        <w:keepNext/>
        <w:widowControl/>
        <w:tabs>
          <w:tab w:val="left" w:pos="-720"/>
        </w:tabs>
        <w:rPr>
          <w:sz w:val="26"/>
          <w:szCs w:val="26"/>
        </w:rPr>
      </w:pPr>
    </w:p>
    <w:p w:rsidR="007D4F23" w:rsidRPr="005F376C" w:rsidRDefault="007D4F23" w:rsidP="003844F5">
      <w:pPr>
        <w:keepNext/>
        <w:widowControl/>
        <w:tabs>
          <w:tab w:val="left" w:pos="-720"/>
        </w:tabs>
        <w:rPr>
          <w:sz w:val="26"/>
          <w:szCs w:val="26"/>
        </w:rPr>
      </w:pPr>
      <w:r w:rsidRPr="005F376C">
        <w:rPr>
          <w:sz w:val="26"/>
          <w:szCs w:val="26"/>
        </w:rPr>
        <w:t>(SEAL)</w:t>
      </w:r>
    </w:p>
    <w:p w:rsidR="007D4F23" w:rsidRPr="005F376C" w:rsidRDefault="007D4F23" w:rsidP="003844F5">
      <w:pPr>
        <w:keepNext/>
        <w:widowControl/>
        <w:tabs>
          <w:tab w:val="left" w:pos="-720"/>
        </w:tabs>
        <w:rPr>
          <w:sz w:val="26"/>
          <w:szCs w:val="26"/>
        </w:rPr>
      </w:pPr>
    </w:p>
    <w:p w:rsidR="007D4F23" w:rsidRPr="005F376C" w:rsidRDefault="007D4F23" w:rsidP="003844F5">
      <w:pPr>
        <w:keepNext/>
        <w:widowControl/>
        <w:tabs>
          <w:tab w:val="left" w:pos="-720"/>
        </w:tabs>
        <w:rPr>
          <w:sz w:val="26"/>
          <w:szCs w:val="26"/>
        </w:rPr>
      </w:pPr>
      <w:r w:rsidRPr="005F376C">
        <w:rPr>
          <w:sz w:val="26"/>
          <w:szCs w:val="26"/>
        </w:rPr>
        <w:t xml:space="preserve">ORDER ADOPTED: </w:t>
      </w:r>
      <w:r w:rsidR="003E0F7A">
        <w:rPr>
          <w:sz w:val="26"/>
          <w:szCs w:val="26"/>
        </w:rPr>
        <w:t>March</w:t>
      </w:r>
      <w:r w:rsidR="005F376C" w:rsidRPr="005F376C">
        <w:rPr>
          <w:sz w:val="26"/>
          <w:szCs w:val="26"/>
        </w:rPr>
        <w:t xml:space="preserve"> 1</w:t>
      </w:r>
      <w:r w:rsidR="003E0F7A">
        <w:rPr>
          <w:sz w:val="26"/>
          <w:szCs w:val="26"/>
        </w:rPr>
        <w:t>1</w:t>
      </w:r>
      <w:r w:rsidR="005F376C" w:rsidRPr="005F376C">
        <w:rPr>
          <w:sz w:val="26"/>
          <w:szCs w:val="26"/>
        </w:rPr>
        <w:t>, 2015</w:t>
      </w:r>
    </w:p>
    <w:p w:rsidR="007D4F23" w:rsidRPr="005F376C" w:rsidRDefault="007D4F23" w:rsidP="003844F5">
      <w:pPr>
        <w:keepNext/>
        <w:widowControl/>
        <w:tabs>
          <w:tab w:val="left" w:pos="-720"/>
        </w:tabs>
        <w:rPr>
          <w:sz w:val="26"/>
          <w:szCs w:val="26"/>
        </w:rPr>
      </w:pPr>
    </w:p>
    <w:p w:rsidR="0088335E" w:rsidRPr="00564DDA" w:rsidRDefault="005F376C" w:rsidP="003844F5">
      <w:pPr>
        <w:keepNext/>
        <w:widowControl/>
        <w:tabs>
          <w:tab w:val="left" w:pos="-720"/>
        </w:tabs>
        <w:rPr>
          <w:b/>
          <w:sz w:val="26"/>
          <w:szCs w:val="26"/>
        </w:rPr>
      </w:pPr>
      <w:r w:rsidRPr="005F376C">
        <w:rPr>
          <w:sz w:val="26"/>
          <w:szCs w:val="26"/>
        </w:rPr>
        <w:t>ORDER ENTERED:</w:t>
      </w:r>
      <w:r w:rsidR="00632867">
        <w:rPr>
          <w:sz w:val="26"/>
          <w:szCs w:val="26"/>
        </w:rPr>
        <w:t xml:space="preserve"> April 15, 2015</w:t>
      </w:r>
    </w:p>
    <w:sectPr w:rsidR="0088335E" w:rsidRPr="00564DDA" w:rsidSect="002960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A3" w:rsidRDefault="00A026A3" w:rsidP="00564DDA">
      <w:r>
        <w:separator/>
      </w:r>
    </w:p>
  </w:endnote>
  <w:endnote w:type="continuationSeparator" w:id="0">
    <w:p w:rsidR="00A026A3" w:rsidRDefault="00A026A3" w:rsidP="005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1B" w:rsidRDefault="00A75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0462423"/>
      <w:docPartObj>
        <w:docPartGallery w:val="Page Numbers (Bottom of Page)"/>
        <w:docPartUnique/>
      </w:docPartObj>
    </w:sdtPr>
    <w:sdtEndPr>
      <w:rPr>
        <w:noProof/>
      </w:rPr>
    </w:sdtEndPr>
    <w:sdtContent>
      <w:p w:rsidR="00903C52" w:rsidRDefault="00903C52">
        <w:pPr>
          <w:pStyle w:val="Footer"/>
          <w:jc w:val="center"/>
        </w:pPr>
        <w:r>
          <w:fldChar w:fldCharType="begin"/>
        </w:r>
        <w:r>
          <w:instrText xml:space="preserve"> PAGE   \* MERGEFORMAT </w:instrText>
        </w:r>
        <w:r>
          <w:fldChar w:fldCharType="separate"/>
        </w:r>
        <w:r w:rsidR="00632867">
          <w:rPr>
            <w:noProof/>
          </w:rPr>
          <w:t>15</w:t>
        </w:r>
        <w:r>
          <w:rPr>
            <w:noProof/>
          </w:rPr>
          <w:fldChar w:fldCharType="end"/>
        </w:r>
      </w:p>
    </w:sdtContent>
  </w:sdt>
  <w:p w:rsidR="00903C52" w:rsidRDefault="00903C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1B" w:rsidRDefault="00A75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A3" w:rsidRDefault="00A026A3" w:rsidP="00564DDA">
      <w:r>
        <w:separator/>
      </w:r>
    </w:p>
  </w:footnote>
  <w:footnote w:type="continuationSeparator" w:id="0">
    <w:p w:rsidR="00A026A3" w:rsidRDefault="00A026A3" w:rsidP="00564DDA">
      <w:r>
        <w:continuationSeparator/>
      </w:r>
    </w:p>
  </w:footnote>
  <w:footnote w:id="1">
    <w:p w:rsidR="009F7664" w:rsidRDefault="009F7664" w:rsidP="009F7664">
      <w:pPr>
        <w:pStyle w:val="FootnoteText"/>
        <w:ind w:firstLine="720"/>
      </w:pPr>
      <w:r>
        <w:rPr>
          <w:rStyle w:val="FootnoteReference"/>
        </w:rPr>
        <w:footnoteRef/>
      </w:r>
      <w:r>
        <w:t xml:space="preserve"> </w:t>
      </w:r>
      <w:r>
        <w:tab/>
      </w:r>
      <w:r>
        <w:rPr>
          <w:sz w:val="26"/>
          <w:szCs w:val="26"/>
        </w:rPr>
        <w:t xml:space="preserve">Referrals in the Joint Petition are to the revised Appendices.  </w:t>
      </w:r>
    </w:p>
  </w:footnote>
  <w:footnote w:id="2">
    <w:p w:rsidR="000E21E9" w:rsidRPr="000E21E9" w:rsidRDefault="000E21E9" w:rsidP="000E21E9">
      <w:pPr>
        <w:pStyle w:val="FootnoteText"/>
        <w:ind w:firstLine="720"/>
        <w:rPr>
          <w:sz w:val="26"/>
          <w:szCs w:val="26"/>
        </w:rPr>
      </w:pPr>
      <w:r>
        <w:rPr>
          <w:rStyle w:val="FootnoteReference"/>
        </w:rPr>
        <w:footnoteRef/>
      </w:r>
      <w:r>
        <w:t xml:space="preserve"> </w:t>
      </w:r>
      <w:r>
        <w:tab/>
      </w:r>
      <w:r>
        <w:rPr>
          <w:sz w:val="26"/>
          <w:szCs w:val="26"/>
        </w:rPr>
        <w:t>Evidentiary material contained in the Joint Stipulation for Admission of Evidence signed by the Joint Signatories to the Joint Petition was admitted into the record in the Recommended Decision.  R.D. at 44-45.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1B" w:rsidRDefault="00A755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1B" w:rsidRDefault="00A755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1B" w:rsidRDefault="00A75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43928"/>
    <w:multiLevelType w:val="hybridMultilevel"/>
    <w:tmpl w:val="CB1CAD1C"/>
    <w:name w:val=" Numbered List2"/>
    <w:lvl w:ilvl="0" w:tplc="B326472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608686F"/>
    <w:multiLevelType w:val="multilevel"/>
    <w:tmpl w:val="45B6C248"/>
    <w:lvl w:ilvl="0">
      <w:start w:val="1"/>
      <w:numFmt w:val="decimal"/>
      <w:pStyle w:val="ListNumber"/>
      <w:lvlText w:val="%1."/>
      <w:lvlJc w:val="left"/>
      <w:pPr>
        <w:tabs>
          <w:tab w:val="num" w:pos="1800"/>
        </w:tabs>
        <w:ind w:left="1800" w:hanging="720"/>
      </w:pPr>
      <w:rPr>
        <w:rFonts w:hint="default"/>
      </w:rPr>
    </w:lvl>
    <w:lvl w:ilvl="1">
      <w:start w:val="1"/>
      <w:numFmt w:val="lowerLetter"/>
      <w:lvlText w:val="%2)"/>
      <w:lvlJc w:val="left"/>
      <w:pPr>
        <w:tabs>
          <w:tab w:val="num" w:pos="3060"/>
        </w:tabs>
        <w:ind w:left="3060" w:hanging="720"/>
      </w:pPr>
      <w:rPr>
        <w:rFonts w:hint="default"/>
      </w:rPr>
    </w:lvl>
    <w:lvl w:ilvl="2">
      <w:start w:val="1"/>
      <w:numFmt w:val="lowerRoman"/>
      <w:lvlText w:val="%3)"/>
      <w:lvlJc w:val="left"/>
      <w:pPr>
        <w:tabs>
          <w:tab w:val="num" w:pos="3060"/>
        </w:tabs>
        <w:ind w:left="3060" w:hanging="720"/>
      </w:pPr>
      <w:rPr>
        <w:rFonts w:hint="default"/>
      </w:rPr>
    </w:lvl>
    <w:lvl w:ilvl="3">
      <w:start w:val="1"/>
      <w:numFmt w:val="decimal"/>
      <w:lvlText w:val="(%4)"/>
      <w:lvlJc w:val="left"/>
      <w:pPr>
        <w:tabs>
          <w:tab w:val="num" w:pos="3060"/>
        </w:tabs>
        <w:ind w:left="3060" w:hanging="720"/>
      </w:pPr>
      <w:rPr>
        <w:rFonts w:hint="default"/>
      </w:rPr>
    </w:lvl>
    <w:lvl w:ilvl="4">
      <w:start w:val="1"/>
      <w:numFmt w:val="lowerLetter"/>
      <w:lvlText w:val="(%5)"/>
      <w:lvlJc w:val="left"/>
      <w:pPr>
        <w:tabs>
          <w:tab w:val="num" w:pos="3060"/>
        </w:tabs>
        <w:ind w:left="3060" w:hanging="720"/>
      </w:pPr>
      <w:rPr>
        <w:rFonts w:hint="default"/>
      </w:rPr>
    </w:lvl>
    <w:lvl w:ilvl="5">
      <w:start w:val="1"/>
      <w:numFmt w:val="lowerRoman"/>
      <w:lvlText w:val="(%6)"/>
      <w:lvlJc w:val="left"/>
      <w:pPr>
        <w:tabs>
          <w:tab w:val="num" w:pos="3060"/>
        </w:tabs>
        <w:ind w:left="3060" w:hanging="720"/>
      </w:pPr>
      <w:rPr>
        <w:rFonts w:hint="default"/>
      </w:rPr>
    </w:lvl>
    <w:lvl w:ilvl="6">
      <w:start w:val="1"/>
      <w:numFmt w:val="decimal"/>
      <w:lvlText w:val="%7."/>
      <w:lvlJc w:val="left"/>
      <w:pPr>
        <w:tabs>
          <w:tab w:val="num" w:pos="3060"/>
        </w:tabs>
        <w:ind w:left="3060" w:hanging="720"/>
      </w:pPr>
      <w:rPr>
        <w:rFonts w:hint="default"/>
      </w:rPr>
    </w:lvl>
    <w:lvl w:ilvl="7">
      <w:start w:val="1"/>
      <w:numFmt w:val="lowerLetter"/>
      <w:lvlText w:val="%8."/>
      <w:lvlJc w:val="left"/>
      <w:pPr>
        <w:tabs>
          <w:tab w:val="num" w:pos="3060"/>
        </w:tabs>
        <w:ind w:left="3060" w:hanging="720"/>
      </w:pPr>
      <w:rPr>
        <w:rFonts w:hint="default"/>
      </w:rPr>
    </w:lvl>
    <w:lvl w:ilvl="8">
      <w:start w:val="1"/>
      <w:numFmt w:val="lowerRoman"/>
      <w:lvlText w:val="%9."/>
      <w:lvlJc w:val="left"/>
      <w:pPr>
        <w:tabs>
          <w:tab w:val="num" w:pos="3060"/>
        </w:tabs>
        <w:ind w:left="3060" w:hanging="720"/>
      </w:pPr>
      <w:rPr>
        <w:rFonts w:hint="default"/>
      </w:rPr>
    </w:lvl>
  </w:abstractNum>
  <w:abstractNum w:abstractNumId="3">
    <w:nsid w:val="7C157F5B"/>
    <w:multiLevelType w:val="multilevel"/>
    <w:tmpl w:val="60A8869E"/>
    <w:name w:val="PS Standard"/>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350"/>
        </w:tabs>
        <w:ind w:left="1350" w:hanging="720"/>
      </w:pPr>
      <w:rPr>
        <w:rFonts w:hint="default"/>
        <w:caps w:val="0"/>
        <w:color w:val="010000"/>
        <w:u w:val="none"/>
      </w:rPr>
    </w:lvl>
    <w:lvl w:ilvl="2">
      <w:start w:val="1"/>
      <w:numFmt w:val="decimal"/>
      <w:pStyle w:val="Heading3"/>
      <w:lvlText w:val="%3."/>
      <w:lvlJc w:val="left"/>
      <w:pPr>
        <w:tabs>
          <w:tab w:val="num" w:pos="2070"/>
        </w:tabs>
        <w:ind w:left="207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upp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DA"/>
    <w:rsid w:val="00000DD3"/>
    <w:rsid w:val="00021CE4"/>
    <w:rsid w:val="00062F69"/>
    <w:rsid w:val="00071061"/>
    <w:rsid w:val="00074094"/>
    <w:rsid w:val="00090BCA"/>
    <w:rsid w:val="0009265E"/>
    <w:rsid w:val="00093F5E"/>
    <w:rsid w:val="000B3B43"/>
    <w:rsid w:val="000B471A"/>
    <w:rsid w:val="000C76B1"/>
    <w:rsid w:val="000E1F39"/>
    <w:rsid w:val="000E21E9"/>
    <w:rsid w:val="000E40AA"/>
    <w:rsid w:val="000E7895"/>
    <w:rsid w:val="000F6DA0"/>
    <w:rsid w:val="00102BD0"/>
    <w:rsid w:val="001049F8"/>
    <w:rsid w:val="00122F41"/>
    <w:rsid w:val="001234EB"/>
    <w:rsid w:val="00123E74"/>
    <w:rsid w:val="00134D7B"/>
    <w:rsid w:val="001561F2"/>
    <w:rsid w:val="00162DCB"/>
    <w:rsid w:val="00177553"/>
    <w:rsid w:val="00184BC0"/>
    <w:rsid w:val="00187941"/>
    <w:rsid w:val="001A3AC8"/>
    <w:rsid w:val="001C6B18"/>
    <w:rsid w:val="001D36E9"/>
    <w:rsid w:val="001E54D7"/>
    <w:rsid w:val="001F1A20"/>
    <w:rsid w:val="00201099"/>
    <w:rsid w:val="002130E5"/>
    <w:rsid w:val="002473D3"/>
    <w:rsid w:val="00262F12"/>
    <w:rsid w:val="00263729"/>
    <w:rsid w:val="002721D1"/>
    <w:rsid w:val="00296047"/>
    <w:rsid w:val="002B0C92"/>
    <w:rsid w:val="002B31CD"/>
    <w:rsid w:val="002D3ADA"/>
    <w:rsid w:val="002D416B"/>
    <w:rsid w:val="002D6AFB"/>
    <w:rsid w:val="002F03C1"/>
    <w:rsid w:val="0030124F"/>
    <w:rsid w:val="0032074A"/>
    <w:rsid w:val="0032573C"/>
    <w:rsid w:val="00331AA6"/>
    <w:rsid w:val="00337D1B"/>
    <w:rsid w:val="00354A08"/>
    <w:rsid w:val="003721A7"/>
    <w:rsid w:val="00372B18"/>
    <w:rsid w:val="003844F5"/>
    <w:rsid w:val="00386A7A"/>
    <w:rsid w:val="0039366D"/>
    <w:rsid w:val="003A00F0"/>
    <w:rsid w:val="003A5163"/>
    <w:rsid w:val="003B3DE1"/>
    <w:rsid w:val="003E0F7A"/>
    <w:rsid w:val="003E79A3"/>
    <w:rsid w:val="00414100"/>
    <w:rsid w:val="00434AC8"/>
    <w:rsid w:val="00445B22"/>
    <w:rsid w:val="0044748A"/>
    <w:rsid w:val="00464EA7"/>
    <w:rsid w:val="00484A02"/>
    <w:rsid w:val="00493E9E"/>
    <w:rsid w:val="004A3A4C"/>
    <w:rsid w:val="004C1D7C"/>
    <w:rsid w:val="004E245A"/>
    <w:rsid w:val="004F0487"/>
    <w:rsid w:val="004F3D9A"/>
    <w:rsid w:val="004F5104"/>
    <w:rsid w:val="00500EDC"/>
    <w:rsid w:val="005336ED"/>
    <w:rsid w:val="00536C13"/>
    <w:rsid w:val="005471BD"/>
    <w:rsid w:val="00563ABA"/>
    <w:rsid w:val="00563C81"/>
    <w:rsid w:val="00564DDA"/>
    <w:rsid w:val="005942F3"/>
    <w:rsid w:val="005960A8"/>
    <w:rsid w:val="005B19C5"/>
    <w:rsid w:val="005C5A77"/>
    <w:rsid w:val="005D23F8"/>
    <w:rsid w:val="005F376C"/>
    <w:rsid w:val="005F739C"/>
    <w:rsid w:val="00604A0C"/>
    <w:rsid w:val="00606FF8"/>
    <w:rsid w:val="00611E83"/>
    <w:rsid w:val="0061631C"/>
    <w:rsid w:val="006227B4"/>
    <w:rsid w:val="00632867"/>
    <w:rsid w:val="00635AE0"/>
    <w:rsid w:val="006379BD"/>
    <w:rsid w:val="00644490"/>
    <w:rsid w:val="00645ACA"/>
    <w:rsid w:val="00665AA9"/>
    <w:rsid w:val="006920CC"/>
    <w:rsid w:val="006A12A3"/>
    <w:rsid w:val="006A5E91"/>
    <w:rsid w:val="006A5EFA"/>
    <w:rsid w:val="006A6A76"/>
    <w:rsid w:val="006B1573"/>
    <w:rsid w:val="006B4BD1"/>
    <w:rsid w:val="006C433D"/>
    <w:rsid w:val="006D2548"/>
    <w:rsid w:val="006E0FFB"/>
    <w:rsid w:val="00740113"/>
    <w:rsid w:val="00747888"/>
    <w:rsid w:val="00754512"/>
    <w:rsid w:val="007575FE"/>
    <w:rsid w:val="0076105F"/>
    <w:rsid w:val="00773EE5"/>
    <w:rsid w:val="00784C2F"/>
    <w:rsid w:val="007A5C6E"/>
    <w:rsid w:val="007B0044"/>
    <w:rsid w:val="007C7C3A"/>
    <w:rsid w:val="007D4F23"/>
    <w:rsid w:val="007E66B6"/>
    <w:rsid w:val="007F0A0F"/>
    <w:rsid w:val="00810424"/>
    <w:rsid w:val="0083491E"/>
    <w:rsid w:val="00847D42"/>
    <w:rsid w:val="0086127F"/>
    <w:rsid w:val="00874BC6"/>
    <w:rsid w:val="0088335E"/>
    <w:rsid w:val="008918F7"/>
    <w:rsid w:val="008A2BFF"/>
    <w:rsid w:val="008B1DD8"/>
    <w:rsid w:val="008B3826"/>
    <w:rsid w:val="008C0402"/>
    <w:rsid w:val="008C1130"/>
    <w:rsid w:val="008D0509"/>
    <w:rsid w:val="008D20F6"/>
    <w:rsid w:val="00903C52"/>
    <w:rsid w:val="00925FF2"/>
    <w:rsid w:val="00926BDB"/>
    <w:rsid w:val="009346CB"/>
    <w:rsid w:val="00943DB9"/>
    <w:rsid w:val="00944253"/>
    <w:rsid w:val="009945CC"/>
    <w:rsid w:val="00997643"/>
    <w:rsid w:val="009B7184"/>
    <w:rsid w:val="009C49F2"/>
    <w:rsid w:val="009C7F2E"/>
    <w:rsid w:val="009D1540"/>
    <w:rsid w:val="009E0162"/>
    <w:rsid w:val="009F0F94"/>
    <w:rsid w:val="009F7376"/>
    <w:rsid w:val="009F7664"/>
    <w:rsid w:val="00A026A3"/>
    <w:rsid w:val="00A03B56"/>
    <w:rsid w:val="00A04F7F"/>
    <w:rsid w:val="00A06A0B"/>
    <w:rsid w:val="00A159C4"/>
    <w:rsid w:val="00A15D84"/>
    <w:rsid w:val="00A23C37"/>
    <w:rsid w:val="00A274B9"/>
    <w:rsid w:val="00A30F9C"/>
    <w:rsid w:val="00A457A7"/>
    <w:rsid w:val="00A7551B"/>
    <w:rsid w:val="00A77047"/>
    <w:rsid w:val="00A91702"/>
    <w:rsid w:val="00A96B6D"/>
    <w:rsid w:val="00AA1B28"/>
    <w:rsid w:val="00AA3605"/>
    <w:rsid w:val="00AA7F65"/>
    <w:rsid w:val="00AB47C1"/>
    <w:rsid w:val="00AB5140"/>
    <w:rsid w:val="00AB6B8E"/>
    <w:rsid w:val="00AB7884"/>
    <w:rsid w:val="00AC528A"/>
    <w:rsid w:val="00AD25A3"/>
    <w:rsid w:val="00AE28AD"/>
    <w:rsid w:val="00AE7CCE"/>
    <w:rsid w:val="00B34BB6"/>
    <w:rsid w:val="00B36585"/>
    <w:rsid w:val="00B42AC8"/>
    <w:rsid w:val="00B51A32"/>
    <w:rsid w:val="00B52B2F"/>
    <w:rsid w:val="00B62895"/>
    <w:rsid w:val="00B65A3F"/>
    <w:rsid w:val="00B66833"/>
    <w:rsid w:val="00B707F2"/>
    <w:rsid w:val="00B72006"/>
    <w:rsid w:val="00B8676A"/>
    <w:rsid w:val="00BA31D7"/>
    <w:rsid w:val="00BC71EC"/>
    <w:rsid w:val="00BE45B7"/>
    <w:rsid w:val="00BF4D9A"/>
    <w:rsid w:val="00C218CE"/>
    <w:rsid w:val="00C32CB0"/>
    <w:rsid w:val="00C45206"/>
    <w:rsid w:val="00C605CF"/>
    <w:rsid w:val="00C6425F"/>
    <w:rsid w:val="00CB126A"/>
    <w:rsid w:val="00CB1A50"/>
    <w:rsid w:val="00CC0E50"/>
    <w:rsid w:val="00CF576A"/>
    <w:rsid w:val="00CF6497"/>
    <w:rsid w:val="00D1200E"/>
    <w:rsid w:val="00D129D7"/>
    <w:rsid w:val="00D13405"/>
    <w:rsid w:val="00D1624B"/>
    <w:rsid w:val="00D24D6F"/>
    <w:rsid w:val="00D4119B"/>
    <w:rsid w:val="00D640B0"/>
    <w:rsid w:val="00D760B5"/>
    <w:rsid w:val="00D77C14"/>
    <w:rsid w:val="00D84B7B"/>
    <w:rsid w:val="00DA16C1"/>
    <w:rsid w:val="00DA16E7"/>
    <w:rsid w:val="00DA3A9F"/>
    <w:rsid w:val="00DC46E8"/>
    <w:rsid w:val="00DD419E"/>
    <w:rsid w:val="00DD7F9F"/>
    <w:rsid w:val="00DE57F9"/>
    <w:rsid w:val="00DF00B5"/>
    <w:rsid w:val="00DF1DB4"/>
    <w:rsid w:val="00DF4729"/>
    <w:rsid w:val="00E23A6E"/>
    <w:rsid w:val="00E26B82"/>
    <w:rsid w:val="00E42626"/>
    <w:rsid w:val="00E56419"/>
    <w:rsid w:val="00E8046A"/>
    <w:rsid w:val="00EB1C99"/>
    <w:rsid w:val="00EB2D2E"/>
    <w:rsid w:val="00ED01F3"/>
    <w:rsid w:val="00ED2533"/>
    <w:rsid w:val="00ED56F6"/>
    <w:rsid w:val="00ED5A83"/>
    <w:rsid w:val="00F106F2"/>
    <w:rsid w:val="00F14B66"/>
    <w:rsid w:val="00F41B4E"/>
    <w:rsid w:val="00F44A41"/>
    <w:rsid w:val="00F82345"/>
    <w:rsid w:val="00F918E1"/>
    <w:rsid w:val="00F97A7B"/>
    <w:rsid w:val="00FA59F5"/>
    <w:rsid w:val="00FA6733"/>
    <w:rsid w:val="00FB68A9"/>
    <w:rsid w:val="00FB75CC"/>
    <w:rsid w:val="00FB76DE"/>
    <w:rsid w:val="00FC1C67"/>
    <w:rsid w:val="00FC2201"/>
    <w:rsid w:val="00FE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unhideWhenUsed/>
    <w:qFormat/>
    <w:rsid w:val="009945CC"/>
    <w:pPr>
      <w:keepLines/>
      <w:widowControl/>
      <w:numPr>
        <w:numId w:val="2"/>
      </w:numPr>
      <w:spacing w:after="240"/>
      <w:jc w:val="both"/>
      <w:outlineLvl w:val="0"/>
    </w:pPr>
    <w:rPr>
      <w:b/>
      <w:caps/>
      <w:snapToGrid w:val="0"/>
      <w:color w:val="000000"/>
      <w:sz w:val="24"/>
      <w:u w:val="single"/>
    </w:rPr>
  </w:style>
  <w:style w:type="paragraph" w:styleId="Heading2">
    <w:name w:val="heading 2"/>
    <w:basedOn w:val="Normal"/>
    <w:next w:val="BodyText2"/>
    <w:link w:val="Heading2Char"/>
    <w:uiPriority w:val="2"/>
    <w:unhideWhenUsed/>
    <w:qFormat/>
    <w:rsid w:val="009945CC"/>
    <w:pPr>
      <w:keepLines/>
      <w:widowControl/>
      <w:numPr>
        <w:ilvl w:val="1"/>
        <w:numId w:val="2"/>
      </w:numPr>
      <w:tabs>
        <w:tab w:val="clear" w:pos="1350"/>
        <w:tab w:val="num" w:pos="1440"/>
      </w:tabs>
      <w:spacing w:after="240"/>
      <w:ind w:left="1440"/>
      <w:jc w:val="both"/>
      <w:outlineLvl w:val="1"/>
    </w:pPr>
    <w:rPr>
      <w:b/>
      <w:caps/>
      <w:snapToGrid w:val="0"/>
      <w:color w:val="000000"/>
      <w:sz w:val="24"/>
    </w:rPr>
  </w:style>
  <w:style w:type="paragraph" w:styleId="Heading3">
    <w:name w:val="heading 3"/>
    <w:basedOn w:val="Normal"/>
    <w:next w:val="BodyText2"/>
    <w:link w:val="Heading3Char"/>
    <w:uiPriority w:val="2"/>
    <w:unhideWhenUsed/>
    <w:qFormat/>
    <w:rsid w:val="009945CC"/>
    <w:pPr>
      <w:widowControl/>
      <w:numPr>
        <w:ilvl w:val="2"/>
        <w:numId w:val="2"/>
      </w:numPr>
      <w:tabs>
        <w:tab w:val="clear" w:pos="2070"/>
        <w:tab w:val="num" w:pos="2160"/>
      </w:tabs>
      <w:spacing w:after="240"/>
      <w:ind w:left="2160"/>
      <w:jc w:val="both"/>
      <w:outlineLvl w:val="2"/>
    </w:pPr>
    <w:rPr>
      <w:b/>
      <w:snapToGrid w:val="0"/>
      <w:color w:val="000000"/>
      <w:sz w:val="24"/>
    </w:rPr>
  </w:style>
  <w:style w:type="paragraph" w:styleId="Heading4">
    <w:name w:val="heading 4"/>
    <w:basedOn w:val="Normal"/>
    <w:next w:val="BodyText2"/>
    <w:link w:val="Heading4Char"/>
    <w:uiPriority w:val="2"/>
    <w:unhideWhenUsed/>
    <w:qFormat/>
    <w:rsid w:val="009945CC"/>
    <w:pPr>
      <w:widowControl/>
      <w:numPr>
        <w:ilvl w:val="3"/>
        <w:numId w:val="2"/>
      </w:numPr>
      <w:spacing w:after="240"/>
      <w:jc w:val="both"/>
      <w:outlineLvl w:val="3"/>
    </w:pPr>
    <w:rPr>
      <w:b/>
      <w:snapToGrid w:val="0"/>
      <w:color w:val="000000"/>
      <w:sz w:val="24"/>
    </w:rPr>
  </w:style>
  <w:style w:type="paragraph" w:styleId="Heading5">
    <w:name w:val="heading 5"/>
    <w:basedOn w:val="Normal"/>
    <w:next w:val="BodyText2"/>
    <w:link w:val="Heading5Char"/>
    <w:uiPriority w:val="2"/>
    <w:unhideWhenUsed/>
    <w:qFormat/>
    <w:rsid w:val="009945CC"/>
    <w:pPr>
      <w:widowControl/>
      <w:numPr>
        <w:ilvl w:val="4"/>
        <w:numId w:val="2"/>
      </w:numPr>
      <w:spacing w:after="240"/>
      <w:jc w:val="both"/>
      <w:outlineLvl w:val="4"/>
    </w:pPr>
    <w:rPr>
      <w:b/>
      <w:snapToGrid w:val="0"/>
      <w:color w:val="000000"/>
      <w:sz w:val="24"/>
    </w:rPr>
  </w:style>
  <w:style w:type="paragraph" w:styleId="Heading6">
    <w:name w:val="heading 6"/>
    <w:basedOn w:val="Normal"/>
    <w:next w:val="BodyText2"/>
    <w:link w:val="Heading6Char"/>
    <w:uiPriority w:val="2"/>
    <w:unhideWhenUsed/>
    <w:qFormat/>
    <w:rsid w:val="009945CC"/>
    <w:pPr>
      <w:widowControl/>
      <w:numPr>
        <w:ilvl w:val="5"/>
        <w:numId w:val="2"/>
      </w:numPr>
      <w:spacing w:after="240"/>
      <w:outlineLvl w:val="5"/>
    </w:pPr>
    <w:rPr>
      <w:b/>
      <w:snapToGrid w:val="0"/>
      <w:color w:val="000000"/>
      <w:sz w:val="24"/>
    </w:rPr>
  </w:style>
  <w:style w:type="paragraph" w:styleId="Heading7">
    <w:name w:val="heading 7"/>
    <w:basedOn w:val="Normal"/>
    <w:next w:val="BodyText2"/>
    <w:link w:val="Heading7Char"/>
    <w:uiPriority w:val="2"/>
    <w:unhideWhenUsed/>
    <w:qFormat/>
    <w:rsid w:val="009945CC"/>
    <w:pPr>
      <w:widowControl/>
      <w:numPr>
        <w:ilvl w:val="6"/>
        <w:numId w:val="2"/>
      </w:numPr>
      <w:spacing w:after="240"/>
      <w:outlineLvl w:val="6"/>
    </w:pPr>
    <w:rPr>
      <w:b/>
      <w:snapToGrid w:val="0"/>
      <w:color w:val="000000"/>
      <w:sz w:val="24"/>
    </w:rPr>
  </w:style>
  <w:style w:type="paragraph" w:styleId="Heading8">
    <w:name w:val="heading 8"/>
    <w:basedOn w:val="Normal"/>
    <w:next w:val="BodyText2"/>
    <w:link w:val="Heading8Char"/>
    <w:uiPriority w:val="2"/>
    <w:unhideWhenUsed/>
    <w:qFormat/>
    <w:rsid w:val="009945CC"/>
    <w:pPr>
      <w:widowControl/>
      <w:numPr>
        <w:ilvl w:val="7"/>
        <w:numId w:val="2"/>
      </w:numPr>
      <w:spacing w:after="240"/>
      <w:jc w:val="both"/>
      <w:outlineLvl w:val="7"/>
    </w:pPr>
    <w:rPr>
      <w:b/>
      <w:snapToGrid w:val="0"/>
      <w:color w:val="000000"/>
      <w:sz w:val="24"/>
    </w:rPr>
  </w:style>
  <w:style w:type="paragraph" w:styleId="Heading9">
    <w:name w:val="heading 9"/>
    <w:basedOn w:val="Normal"/>
    <w:next w:val="BodyText2"/>
    <w:link w:val="Heading9Char"/>
    <w:uiPriority w:val="2"/>
    <w:unhideWhenUsed/>
    <w:qFormat/>
    <w:rsid w:val="009945CC"/>
    <w:pPr>
      <w:widowControl/>
      <w:numPr>
        <w:ilvl w:val="8"/>
        <w:numId w:val="2"/>
      </w:numPr>
      <w:spacing w:after="240"/>
      <w:outlineLvl w:val="8"/>
    </w:pPr>
    <w:rPr>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 w:type="character" w:customStyle="1" w:styleId="Heading1Char">
    <w:name w:val="Heading 1 Char"/>
    <w:basedOn w:val="DefaultParagraphFont"/>
    <w:link w:val="Heading1"/>
    <w:uiPriority w:val="2"/>
    <w:rsid w:val="009945CC"/>
    <w:rPr>
      <w:rFonts w:ascii="Times New Roman" w:eastAsia="Times New Roman" w:hAnsi="Times New Roman" w:cs="Times New Roman"/>
      <w:b/>
      <w:caps/>
      <w:snapToGrid w:val="0"/>
      <w:color w:val="000000"/>
      <w:sz w:val="24"/>
      <w:szCs w:val="20"/>
      <w:u w:val="single"/>
    </w:rPr>
  </w:style>
  <w:style w:type="character" w:customStyle="1" w:styleId="Heading2Char">
    <w:name w:val="Heading 2 Char"/>
    <w:basedOn w:val="DefaultParagraphFont"/>
    <w:link w:val="Heading2"/>
    <w:uiPriority w:val="2"/>
    <w:rsid w:val="009945CC"/>
    <w:rPr>
      <w:rFonts w:ascii="Times New Roman" w:eastAsia="Times New Roman" w:hAnsi="Times New Roman" w:cs="Times New Roman"/>
      <w:b/>
      <w:caps/>
      <w:snapToGrid w:val="0"/>
      <w:color w:val="000000"/>
      <w:sz w:val="24"/>
      <w:szCs w:val="20"/>
    </w:rPr>
  </w:style>
  <w:style w:type="character" w:customStyle="1" w:styleId="Heading3Char">
    <w:name w:val="Heading 3 Char"/>
    <w:basedOn w:val="DefaultParagraphFont"/>
    <w:link w:val="Heading3"/>
    <w:uiPriority w:val="2"/>
    <w:rsid w:val="009945CC"/>
    <w:rPr>
      <w:rFonts w:ascii="Times New Roman" w:eastAsia="Times New Roman" w:hAnsi="Times New Roman" w:cs="Times New Roman"/>
      <w:b/>
      <w:snapToGrid w:val="0"/>
      <w:color w:val="000000"/>
      <w:sz w:val="24"/>
      <w:szCs w:val="20"/>
    </w:rPr>
  </w:style>
  <w:style w:type="character" w:customStyle="1" w:styleId="Heading4Char">
    <w:name w:val="Heading 4 Char"/>
    <w:basedOn w:val="DefaultParagraphFont"/>
    <w:link w:val="Heading4"/>
    <w:uiPriority w:val="2"/>
    <w:rsid w:val="009945CC"/>
    <w:rPr>
      <w:rFonts w:ascii="Times New Roman" w:eastAsia="Times New Roman" w:hAnsi="Times New Roman" w:cs="Times New Roman"/>
      <w:b/>
      <w:snapToGrid w:val="0"/>
      <w:color w:val="000000"/>
      <w:sz w:val="24"/>
      <w:szCs w:val="20"/>
    </w:rPr>
  </w:style>
  <w:style w:type="character" w:customStyle="1" w:styleId="Heading5Char">
    <w:name w:val="Heading 5 Char"/>
    <w:basedOn w:val="DefaultParagraphFont"/>
    <w:link w:val="Heading5"/>
    <w:uiPriority w:val="2"/>
    <w:rsid w:val="009945CC"/>
    <w:rPr>
      <w:rFonts w:ascii="Times New Roman" w:eastAsia="Times New Roman" w:hAnsi="Times New Roman" w:cs="Times New Roman"/>
      <w:b/>
      <w:snapToGrid w:val="0"/>
      <w:color w:val="000000"/>
      <w:sz w:val="24"/>
      <w:szCs w:val="20"/>
    </w:rPr>
  </w:style>
  <w:style w:type="character" w:customStyle="1" w:styleId="Heading6Char">
    <w:name w:val="Heading 6 Char"/>
    <w:basedOn w:val="DefaultParagraphFont"/>
    <w:link w:val="Heading6"/>
    <w:uiPriority w:val="2"/>
    <w:rsid w:val="009945CC"/>
    <w:rPr>
      <w:rFonts w:ascii="Times New Roman" w:eastAsia="Times New Roman" w:hAnsi="Times New Roman" w:cs="Times New Roman"/>
      <w:b/>
      <w:snapToGrid w:val="0"/>
      <w:color w:val="000000"/>
      <w:sz w:val="24"/>
      <w:szCs w:val="20"/>
    </w:rPr>
  </w:style>
  <w:style w:type="character" w:customStyle="1" w:styleId="Heading7Char">
    <w:name w:val="Heading 7 Char"/>
    <w:basedOn w:val="DefaultParagraphFont"/>
    <w:link w:val="Heading7"/>
    <w:uiPriority w:val="2"/>
    <w:rsid w:val="009945CC"/>
    <w:rPr>
      <w:rFonts w:ascii="Times New Roman" w:eastAsia="Times New Roman" w:hAnsi="Times New Roman" w:cs="Times New Roman"/>
      <w:b/>
      <w:snapToGrid w:val="0"/>
      <w:color w:val="000000"/>
      <w:sz w:val="24"/>
      <w:szCs w:val="20"/>
    </w:rPr>
  </w:style>
  <w:style w:type="character" w:customStyle="1" w:styleId="Heading8Char">
    <w:name w:val="Heading 8 Char"/>
    <w:basedOn w:val="DefaultParagraphFont"/>
    <w:link w:val="Heading8"/>
    <w:uiPriority w:val="2"/>
    <w:rsid w:val="009945CC"/>
    <w:rPr>
      <w:rFonts w:ascii="Times New Roman" w:eastAsia="Times New Roman" w:hAnsi="Times New Roman" w:cs="Times New Roman"/>
      <w:b/>
      <w:snapToGrid w:val="0"/>
      <w:color w:val="000000"/>
      <w:sz w:val="24"/>
      <w:szCs w:val="20"/>
    </w:rPr>
  </w:style>
  <w:style w:type="character" w:customStyle="1" w:styleId="Heading9Char">
    <w:name w:val="Heading 9 Char"/>
    <w:basedOn w:val="DefaultParagraphFont"/>
    <w:link w:val="Heading9"/>
    <w:uiPriority w:val="2"/>
    <w:rsid w:val="009945CC"/>
    <w:rPr>
      <w:rFonts w:ascii="Times New Roman" w:eastAsia="Times New Roman" w:hAnsi="Times New Roman" w:cs="Times New Roman"/>
      <w:b/>
      <w:snapToGrid w:val="0"/>
      <w:color w:val="000000"/>
      <w:sz w:val="24"/>
      <w:szCs w:val="20"/>
    </w:rPr>
  </w:style>
  <w:style w:type="paragraph" w:styleId="ListNumber">
    <w:name w:val="List Number"/>
    <w:aliases w:val="List Number 1"/>
    <w:basedOn w:val="Normal"/>
    <w:qFormat/>
    <w:rsid w:val="009945CC"/>
    <w:pPr>
      <w:widowControl/>
      <w:numPr>
        <w:numId w:val="3"/>
      </w:numPr>
      <w:tabs>
        <w:tab w:val="num" w:pos="1620"/>
      </w:tabs>
      <w:spacing w:line="480" w:lineRule="auto"/>
      <w:ind w:left="1620"/>
      <w:jc w:val="both"/>
    </w:pPr>
    <w:rPr>
      <w:sz w:val="24"/>
      <w:szCs w:val="24"/>
    </w:rPr>
  </w:style>
  <w:style w:type="paragraph" w:styleId="BodyText2">
    <w:name w:val="Body Text 2"/>
    <w:basedOn w:val="Normal"/>
    <w:link w:val="BodyText2Char"/>
    <w:uiPriority w:val="99"/>
    <w:semiHidden/>
    <w:unhideWhenUsed/>
    <w:rsid w:val="009945CC"/>
    <w:pPr>
      <w:spacing w:after="120" w:line="480" w:lineRule="auto"/>
    </w:pPr>
  </w:style>
  <w:style w:type="character" w:customStyle="1" w:styleId="BodyText2Char">
    <w:name w:val="Body Text 2 Char"/>
    <w:basedOn w:val="DefaultParagraphFont"/>
    <w:link w:val="BodyText2"/>
    <w:uiPriority w:val="99"/>
    <w:semiHidden/>
    <w:rsid w:val="009945C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7F65"/>
    <w:rPr>
      <w:sz w:val="16"/>
      <w:szCs w:val="16"/>
    </w:rPr>
  </w:style>
  <w:style w:type="paragraph" w:styleId="CommentText">
    <w:name w:val="annotation text"/>
    <w:basedOn w:val="Normal"/>
    <w:link w:val="CommentTextChar"/>
    <w:uiPriority w:val="99"/>
    <w:semiHidden/>
    <w:unhideWhenUsed/>
    <w:rsid w:val="00AA7F65"/>
  </w:style>
  <w:style w:type="character" w:customStyle="1" w:styleId="CommentTextChar">
    <w:name w:val="Comment Text Char"/>
    <w:basedOn w:val="DefaultParagraphFont"/>
    <w:link w:val="CommentText"/>
    <w:uiPriority w:val="99"/>
    <w:semiHidden/>
    <w:rsid w:val="00AA7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7F65"/>
    <w:rPr>
      <w:b/>
      <w:bCs/>
    </w:rPr>
  </w:style>
  <w:style w:type="character" w:customStyle="1" w:styleId="CommentSubjectChar">
    <w:name w:val="Comment Subject Char"/>
    <w:basedOn w:val="CommentTextChar"/>
    <w:link w:val="CommentSubject"/>
    <w:uiPriority w:val="99"/>
    <w:semiHidden/>
    <w:rsid w:val="00AA7F65"/>
    <w:rPr>
      <w:rFonts w:ascii="Times New Roman" w:eastAsia="Times New Roman" w:hAnsi="Times New Roman" w:cs="Times New Roman"/>
      <w:b/>
      <w:bCs/>
      <w:sz w:val="20"/>
      <w:szCs w:val="20"/>
    </w:rPr>
  </w:style>
  <w:style w:type="paragraph" w:styleId="Revision">
    <w:name w:val="Revision"/>
    <w:hidden/>
    <w:uiPriority w:val="99"/>
    <w:semiHidden/>
    <w:rsid w:val="003E79A3"/>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DDA"/>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BodyText2"/>
    <w:link w:val="Heading1Char"/>
    <w:uiPriority w:val="2"/>
    <w:unhideWhenUsed/>
    <w:qFormat/>
    <w:rsid w:val="009945CC"/>
    <w:pPr>
      <w:keepLines/>
      <w:widowControl/>
      <w:numPr>
        <w:numId w:val="2"/>
      </w:numPr>
      <w:spacing w:after="240"/>
      <w:jc w:val="both"/>
      <w:outlineLvl w:val="0"/>
    </w:pPr>
    <w:rPr>
      <w:b/>
      <w:caps/>
      <w:snapToGrid w:val="0"/>
      <w:color w:val="000000"/>
      <w:sz w:val="24"/>
      <w:u w:val="single"/>
    </w:rPr>
  </w:style>
  <w:style w:type="paragraph" w:styleId="Heading2">
    <w:name w:val="heading 2"/>
    <w:basedOn w:val="Normal"/>
    <w:next w:val="BodyText2"/>
    <w:link w:val="Heading2Char"/>
    <w:uiPriority w:val="2"/>
    <w:unhideWhenUsed/>
    <w:qFormat/>
    <w:rsid w:val="009945CC"/>
    <w:pPr>
      <w:keepLines/>
      <w:widowControl/>
      <w:numPr>
        <w:ilvl w:val="1"/>
        <w:numId w:val="2"/>
      </w:numPr>
      <w:tabs>
        <w:tab w:val="clear" w:pos="1350"/>
        <w:tab w:val="num" w:pos="1440"/>
      </w:tabs>
      <w:spacing w:after="240"/>
      <w:ind w:left="1440"/>
      <w:jc w:val="both"/>
      <w:outlineLvl w:val="1"/>
    </w:pPr>
    <w:rPr>
      <w:b/>
      <w:caps/>
      <w:snapToGrid w:val="0"/>
      <w:color w:val="000000"/>
      <w:sz w:val="24"/>
    </w:rPr>
  </w:style>
  <w:style w:type="paragraph" w:styleId="Heading3">
    <w:name w:val="heading 3"/>
    <w:basedOn w:val="Normal"/>
    <w:next w:val="BodyText2"/>
    <w:link w:val="Heading3Char"/>
    <w:uiPriority w:val="2"/>
    <w:unhideWhenUsed/>
    <w:qFormat/>
    <w:rsid w:val="009945CC"/>
    <w:pPr>
      <w:widowControl/>
      <w:numPr>
        <w:ilvl w:val="2"/>
        <w:numId w:val="2"/>
      </w:numPr>
      <w:tabs>
        <w:tab w:val="clear" w:pos="2070"/>
        <w:tab w:val="num" w:pos="2160"/>
      </w:tabs>
      <w:spacing w:after="240"/>
      <w:ind w:left="2160"/>
      <w:jc w:val="both"/>
      <w:outlineLvl w:val="2"/>
    </w:pPr>
    <w:rPr>
      <w:b/>
      <w:snapToGrid w:val="0"/>
      <w:color w:val="000000"/>
      <w:sz w:val="24"/>
    </w:rPr>
  </w:style>
  <w:style w:type="paragraph" w:styleId="Heading4">
    <w:name w:val="heading 4"/>
    <w:basedOn w:val="Normal"/>
    <w:next w:val="BodyText2"/>
    <w:link w:val="Heading4Char"/>
    <w:uiPriority w:val="2"/>
    <w:unhideWhenUsed/>
    <w:qFormat/>
    <w:rsid w:val="009945CC"/>
    <w:pPr>
      <w:widowControl/>
      <w:numPr>
        <w:ilvl w:val="3"/>
        <w:numId w:val="2"/>
      </w:numPr>
      <w:spacing w:after="240"/>
      <w:jc w:val="both"/>
      <w:outlineLvl w:val="3"/>
    </w:pPr>
    <w:rPr>
      <w:b/>
      <w:snapToGrid w:val="0"/>
      <w:color w:val="000000"/>
      <w:sz w:val="24"/>
    </w:rPr>
  </w:style>
  <w:style w:type="paragraph" w:styleId="Heading5">
    <w:name w:val="heading 5"/>
    <w:basedOn w:val="Normal"/>
    <w:next w:val="BodyText2"/>
    <w:link w:val="Heading5Char"/>
    <w:uiPriority w:val="2"/>
    <w:unhideWhenUsed/>
    <w:qFormat/>
    <w:rsid w:val="009945CC"/>
    <w:pPr>
      <w:widowControl/>
      <w:numPr>
        <w:ilvl w:val="4"/>
        <w:numId w:val="2"/>
      </w:numPr>
      <w:spacing w:after="240"/>
      <w:jc w:val="both"/>
      <w:outlineLvl w:val="4"/>
    </w:pPr>
    <w:rPr>
      <w:b/>
      <w:snapToGrid w:val="0"/>
      <w:color w:val="000000"/>
      <w:sz w:val="24"/>
    </w:rPr>
  </w:style>
  <w:style w:type="paragraph" w:styleId="Heading6">
    <w:name w:val="heading 6"/>
    <w:basedOn w:val="Normal"/>
    <w:next w:val="BodyText2"/>
    <w:link w:val="Heading6Char"/>
    <w:uiPriority w:val="2"/>
    <w:unhideWhenUsed/>
    <w:qFormat/>
    <w:rsid w:val="009945CC"/>
    <w:pPr>
      <w:widowControl/>
      <w:numPr>
        <w:ilvl w:val="5"/>
        <w:numId w:val="2"/>
      </w:numPr>
      <w:spacing w:after="240"/>
      <w:outlineLvl w:val="5"/>
    </w:pPr>
    <w:rPr>
      <w:b/>
      <w:snapToGrid w:val="0"/>
      <w:color w:val="000000"/>
      <w:sz w:val="24"/>
    </w:rPr>
  </w:style>
  <w:style w:type="paragraph" w:styleId="Heading7">
    <w:name w:val="heading 7"/>
    <w:basedOn w:val="Normal"/>
    <w:next w:val="BodyText2"/>
    <w:link w:val="Heading7Char"/>
    <w:uiPriority w:val="2"/>
    <w:unhideWhenUsed/>
    <w:qFormat/>
    <w:rsid w:val="009945CC"/>
    <w:pPr>
      <w:widowControl/>
      <w:numPr>
        <w:ilvl w:val="6"/>
        <w:numId w:val="2"/>
      </w:numPr>
      <w:spacing w:after="240"/>
      <w:outlineLvl w:val="6"/>
    </w:pPr>
    <w:rPr>
      <w:b/>
      <w:snapToGrid w:val="0"/>
      <w:color w:val="000000"/>
      <w:sz w:val="24"/>
    </w:rPr>
  </w:style>
  <w:style w:type="paragraph" w:styleId="Heading8">
    <w:name w:val="heading 8"/>
    <w:basedOn w:val="Normal"/>
    <w:next w:val="BodyText2"/>
    <w:link w:val="Heading8Char"/>
    <w:uiPriority w:val="2"/>
    <w:unhideWhenUsed/>
    <w:qFormat/>
    <w:rsid w:val="009945CC"/>
    <w:pPr>
      <w:widowControl/>
      <w:numPr>
        <w:ilvl w:val="7"/>
        <w:numId w:val="2"/>
      </w:numPr>
      <w:spacing w:after="240"/>
      <w:jc w:val="both"/>
      <w:outlineLvl w:val="7"/>
    </w:pPr>
    <w:rPr>
      <w:b/>
      <w:snapToGrid w:val="0"/>
      <w:color w:val="000000"/>
      <w:sz w:val="24"/>
    </w:rPr>
  </w:style>
  <w:style w:type="paragraph" w:styleId="Heading9">
    <w:name w:val="heading 9"/>
    <w:basedOn w:val="Normal"/>
    <w:next w:val="BodyText2"/>
    <w:link w:val="Heading9Char"/>
    <w:uiPriority w:val="2"/>
    <w:unhideWhenUsed/>
    <w:qFormat/>
    <w:rsid w:val="009945CC"/>
    <w:pPr>
      <w:widowControl/>
      <w:numPr>
        <w:ilvl w:val="8"/>
        <w:numId w:val="2"/>
      </w:numPr>
      <w:spacing w:after="240"/>
      <w:outlineLvl w:val="8"/>
    </w:pPr>
    <w:rPr>
      <w:b/>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D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semiHidden/>
    <w:rsid w:val="00564DDA"/>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64DDA"/>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64DDA"/>
    <w:rPr>
      <w:rFonts w:ascii="Times New Roman" w:eastAsia="Times New Roman" w:hAnsi="Times New Roman" w:cs="Times New Roman"/>
      <w:sz w:val="20"/>
      <w:szCs w:val="20"/>
    </w:rPr>
  </w:style>
  <w:style w:type="paragraph" w:customStyle="1" w:styleId="ParaTab1">
    <w:name w:val="ParaTab 1"/>
    <w:rsid w:val="0088335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074094"/>
    <w:pPr>
      <w:ind w:left="720"/>
      <w:contextualSpacing/>
    </w:pPr>
  </w:style>
  <w:style w:type="paragraph" w:styleId="Header">
    <w:name w:val="header"/>
    <w:basedOn w:val="Normal"/>
    <w:link w:val="HeaderChar"/>
    <w:uiPriority w:val="99"/>
    <w:unhideWhenUsed/>
    <w:rsid w:val="00903C52"/>
    <w:pPr>
      <w:tabs>
        <w:tab w:val="center" w:pos="4680"/>
        <w:tab w:val="right" w:pos="9360"/>
      </w:tabs>
    </w:pPr>
  </w:style>
  <w:style w:type="character" w:customStyle="1" w:styleId="HeaderChar">
    <w:name w:val="Header Char"/>
    <w:basedOn w:val="DefaultParagraphFont"/>
    <w:link w:val="Header"/>
    <w:uiPriority w:val="99"/>
    <w:rsid w:val="00903C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03C52"/>
    <w:pPr>
      <w:tabs>
        <w:tab w:val="center" w:pos="4680"/>
        <w:tab w:val="right" w:pos="9360"/>
      </w:tabs>
    </w:pPr>
  </w:style>
  <w:style w:type="character" w:customStyle="1" w:styleId="FooterChar">
    <w:name w:val="Footer Char"/>
    <w:basedOn w:val="DefaultParagraphFont"/>
    <w:link w:val="Footer"/>
    <w:uiPriority w:val="99"/>
    <w:rsid w:val="00903C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2345"/>
    <w:rPr>
      <w:rFonts w:ascii="Tahoma" w:hAnsi="Tahoma" w:cs="Tahoma"/>
      <w:sz w:val="16"/>
      <w:szCs w:val="16"/>
    </w:rPr>
  </w:style>
  <w:style w:type="character" w:customStyle="1" w:styleId="BalloonTextChar">
    <w:name w:val="Balloon Text Char"/>
    <w:basedOn w:val="DefaultParagraphFont"/>
    <w:link w:val="BalloonText"/>
    <w:uiPriority w:val="99"/>
    <w:semiHidden/>
    <w:rsid w:val="00F82345"/>
    <w:rPr>
      <w:rFonts w:ascii="Tahoma" w:eastAsia="Times New Roman" w:hAnsi="Tahoma" w:cs="Tahoma"/>
      <w:sz w:val="16"/>
      <w:szCs w:val="16"/>
    </w:rPr>
  </w:style>
  <w:style w:type="character" w:styleId="Hyperlink">
    <w:name w:val="Hyperlink"/>
    <w:rsid w:val="00F82345"/>
    <w:rPr>
      <w:color w:val="0000FF"/>
      <w:u w:val="single"/>
    </w:rPr>
  </w:style>
  <w:style w:type="character" w:styleId="Emphasis">
    <w:name w:val="Emphasis"/>
    <w:qFormat/>
    <w:rsid w:val="00F82345"/>
    <w:rPr>
      <w:i/>
      <w:iCs/>
    </w:rPr>
  </w:style>
  <w:style w:type="character" w:customStyle="1" w:styleId="term1">
    <w:name w:val="term1"/>
    <w:basedOn w:val="DefaultParagraphFont"/>
    <w:rsid w:val="00F82345"/>
    <w:rPr>
      <w:b/>
      <w:bCs/>
    </w:rPr>
  </w:style>
  <w:style w:type="character" w:customStyle="1" w:styleId="Heading1Char">
    <w:name w:val="Heading 1 Char"/>
    <w:basedOn w:val="DefaultParagraphFont"/>
    <w:link w:val="Heading1"/>
    <w:uiPriority w:val="2"/>
    <w:rsid w:val="009945CC"/>
    <w:rPr>
      <w:rFonts w:ascii="Times New Roman" w:eastAsia="Times New Roman" w:hAnsi="Times New Roman" w:cs="Times New Roman"/>
      <w:b/>
      <w:caps/>
      <w:snapToGrid w:val="0"/>
      <w:color w:val="000000"/>
      <w:sz w:val="24"/>
      <w:szCs w:val="20"/>
      <w:u w:val="single"/>
    </w:rPr>
  </w:style>
  <w:style w:type="character" w:customStyle="1" w:styleId="Heading2Char">
    <w:name w:val="Heading 2 Char"/>
    <w:basedOn w:val="DefaultParagraphFont"/>
    <w:link w:val="Heading2"/>
    <w:uiPriority w:val="2"/>
    <w:rsid w:val="009945CC"/>
    <w:rPr>
      <w:rFonts w:ascii="Times New Roman" w:eastAsia="Times New Roman" w:hAnsi="Times New Roman" w:cs="Times New Roman"/>
      <w:b/>
      <w:caps/>
      <w:snapToGrid w:val="0"/>
      <w:color w:val="000000"/>
      <w:sz w:val="24"/>
      <w:szCs w:val="20"/>
    </w:rPr>
  </w:style>
  <w:style w:type="character" w:customStyle="1" w:styleId="Heading3Char">
    <w:name w:val="Heading 3 Char"/>
    <w:basedOn w:val="DefaultParagraphFont"/>
    <w:link w:val="Heading3"/>
    <w:uiPriority w:val="2"/>
    <w:rsid w:val="009945CC"/>
    <w:rPr>
      <w:rFonts w:ascii="Times New Roman" w:eastAsia="Times New Roman" w:hAnsi="Times New Roman" w:cs="Times New Roman"/>
      <w:b/>
      <w:snapToGrid w:val="0"/>
      <w:color w:val="000000"/>
      <w:sz w:val="24"/>
      <w:szCs w:val="20"/>
    </w:rPr>
  </w:style>
  <w:style w:type="character" w:customStyle="1" w:styleId="Heading4Char">
    <w:name w:val="Heading 4 Char"/>
    <w:basedOn w:val="DefaultParagraphFont"/>
    <w:link w:val="Heading4"/>
    <w:uiPriority w:val="2"/>
    <w:rsid w:val="009945CC"/>
    <w:rPr>
      <w:rFonts w:ascii="Times New Roman" w:eastAsia="Times New Roman" w:hAnsi="Times New Roman" w:cs="Times New Roman"/>
      <w:b/>
      <w:snapToGrid w:val="0"/>
      <w:color w:val="000000"/>
      <w:sz w:val="24"/>
      <w:szCs w:val="20"/>
    </w:rPr>
  </w:style>
  <w:style w:type="character" w:customStyle="1" w:styleId="Heading5Char">
    <w:name w:val="Heading 5 Char"/>
    <w:basedOn w:val="DefaultParagraphFont"/>
    <w:link w:val="Heading5"/>
    <w:uiPriority w:val="2"/>
    <w:rsid w:val="009945CC"/>
    <w:rPr>
      <w:rFonts w:ascii="Times New Roman" w:eastAsia="Times New Roman" w:hAnsi="Times New Roman" w:cs="Times New Roman"/>
      <w:b/>
      <w:snapToGrid w:val="0"/>
      <w:color w:val="000000"/>
      <w:sz w:val="24"/>
      <w:szCs w:val="20"/>
    </w:rPr>
  </w:style>
  <w:style w:type="character" w:customStyle="1" w:styleId="Heading6Char">
    <w:name w:val="Heading 6 Char"/>
    <w:basedOn w:val="DefaultParagraphFont"/>
    <w:link w:val="Heading6"/>
    <w:uiPriority w:val="2"/>
    <w:rsid w:val="009945CC"/>
    <w:rPr>
      <w:rFonts w:ascii="Times New Roman" w:eastAsia="Times New Roman" w:hAnsi="Times New Roman" w:cs="Times New Roman"/>
      <w:b/>
      <w:snapToGrid w:val="0"/>
      <w:color w:val="000000"/>
      <w:sz w:val="24"/>
      <w:szCs w:val="20"/>
    </w:rPr>
  </w:style>
  <w:style w:type="character" w:customStyle="1" w:styleId="Heading7Char">
    <w:name w:val="Heading 7 Char"/>
    <w:basedOn w:val="DefaultParagraphFont"/>
    <w:link w:val="Heading7"/>
    <w:uiPriority w:val="2"/>
    <w:rsid w:val="009945CC"/>
    <w:rPr>
      <w:rFonts w:ascii="Times New Roman" w:eastAsia="Times New Roman" w:hAnsi="Times New Roman" w:cs="Times New Roman"/>
      <w:b/>
      <w:snapToGrid w:val="0"/>
      <w:color w:val="000000"/>
      <w:sz w:val="24"/>
      <w:szCs w:val="20"/>
    </w:rPr>
  </w:style>
  <w:style w:type="character" w:customStyle="1" w:styleId="Heading8Char">
    <w:name w:val="Heading 8 Char"/>
    <w:basedOn w:val="DefaultParagraphFont"/>
    <w:link w:val="Heading8"/>
    <w:uiPriority w:val="2"/>
    <w:rsid w:val="009945CC"/>
    <w:rPr>
      <w:rFonts w:ascii="Times New Roman" w:eastAsia="Times New Roman" w:hAnsi="Times New Roman" w:cs="Times New Roman"/>
      <w:b/>
      <w:snapToGrid w:val="0"/>
      <w:color w:val="000000"/>
      <w:sz w:val="24"/>
      <w:szCs w:val="20"/>
    </w:rPr>
  </w:style>
  <w:style w:type="character" w:customStyle="1" w:styleId="Heading9Char">
    <w:name w:val="Heading 9 Char"/>
    <w:basedOn w:val="DefaultParagraphFont"/>
    <w:link w:val="Heading9"/>
    <w:uiPriority w:val="2"/>
    <w:rsid w:val="009945CC"/>
    <w:rPr>
      <w:rFonts w:ascii="Times New Roman" w:eastAsia="Times New Roman" w:hAnsi="Times New Roman" w:cs="Times New Roman"/>
      <w:b/>
      <w:snapToGrid w:val="0"/>
      <w:color w:val="000000"/>
      <w:sz w:val="24"/>
      <w:szCs w:val="20"/>
    </w:rPr>
  </w:style>
  <w:style w:type="paragraph" w:styleId="ListNumber">
    <w:name w:val="List Number"/>
    <w:aliases w:val="List Number 1"/>
    <w:basedOn w:val="Normal"/>
    <w:qFormat/>
    <w:rsid w:val="009945CC"/>
    <w:pPr>
      <w:widowControl/>
      <w:numPr>
        <w:numId w:val="3"/>
      </w:numPr>
      <w:tabs>
        <w:tab w:val="num" w:pos="1620"/>
      </w:tabs>
      <w:spacing w:line="480" w:lineRule="auto"/>
      <w:ind w:left="1620"/>
      <w:jc w:val="both"/>
    </w:pPr>
    <w:rPr>
      <w:sz w:val="24"/>
      <w:szCs w:val="24"/>
    </w:rPr>
  </w:style>
  <w:style w:type="paragraph" w:styleId="BodyText2">
    <w:name w:val="Body Text 2"/>
    <w:basedOn w:val="Normal"/>
    <w:link w:val="BodyText2Char"/>
    <w:uiPriority w:val="99"/>
    <w:semiHidden/>
    <w:unhideWhenUsed/>
    <w:rsid w:val="009945CC"/>
    <w:pPr>
      <w:spacing w:after="120" w:line="480" w:lineRule="auto"/>
    </w:pPr>
  </w:style>
  <w:style w:type="character" w:customStyle="1" w:styleId="BodyText2Char">
    <w:name w:val="Body Text 2 Char"/>
    <w:basedOn w:val="DefaultParagraphFont"/>
    <w:link w:val="BodyText2"/>
    <w:uiPriority w:val="99"/>
    <w:semiHidden/>
    <w:rsid w:val="009945C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A7F65"/>
    <w:rPr>
      <w:sz w:val="16"/>
      <w:szCs w:val="16"/>
    </w:rPr>
  </w:style>
  <w:style w:type="paragraph" w:styleId="CommentText">
    <w:name w:val="annotation text"/>
    <w:basedOn w:val="Normal"/>
    <w:link w:val="CommentTextChar"/>
    <w:uiPriority w:val="99"/>
    <w:semiHidden/>
    <w:unhideWhenUsed/>
    <w:rsid w:val="00AA7F65"/>
  </w:style>
  <w:style w:type="character" w:customStyle="1" w:styleId="CommentTextChar">
    <w:name w:val="Comment Text Char"/>
    <w:basedOn w:val="DefaultParagraphFont"/>
    <w:link w:val="CommentText"/>
    <w:uiPriority w:val="99"/>
    <w:semiHidden/>
    <w:rsid w:val="00AA7F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7F65"/>
    <w:rPr>
      <w:b/>
      <w:bCs/>
    </w:rPr>
  </w:style>
  <w:style w:type="character" w:customStyle="1" w:styleId="CommentSubjectChar">
    <w:name w:val="Comment Subject Char"/>
    <w:basedOn w:val="CommentTextChar"/>
    <w:link w:val="CommentSubject"/>
    <w:uiPriority w:val="99"/>
    <w:semiHidden/>
    <w:rsid w:val="00AA7F65"/>
    <w:rPr>
      <w:rFonts w:ascii="Times New Roman" w:eastAsia="Times New Roman" w:hAnsi="Times New Roman" w:cs="Times New Roman"/>
      <w:b/>
      <w:bCs/>
      <w:sz w:val="20"/>
      <w:szCs w:val="20"/>
    </w:rPr>
  </w:style>
  <w:style w:type="paragraph" w:styleId="Revision">
    <w:name w:val="Revision"/>
    <w:hidden/>
    <w:uiPriority w:val="99"/>
    <w:semiHidden/>
    <w:rsid w:val="003E79A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AD5C-7933-4298-9260-ECCBC1464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4069</Words>
  <Characters>23196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2015-04-14T18:09:00Z</dcterms:created>
  <dcterms:modified xsi:type="dcterms:W3CDTF">2015-04-15T13:39:00Z</dcterms:modified>
</cp:coreProperties>
</file>