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18149C" w:rsidP="0018149C">
      <w:pPr>
        <w:spacing w:line="240" w:lineRule="auto"/>
        <w:rPr>
          <w:b/>
        </w:rPr>
      </w:pPr>
      <w:r>
        <w:rPr>
          <w:b/>
        </w:rPr>
        <w:t>BEFORE THE</w:t>
      </w:r>
    </w:p>
    <w:p w:rsidR="0018149C" w:rsidRDefault="0018149C" w:rsidP="0018149C">
      <w:pPr>
        <w:spacing w:line="240" w:lineRule="auto"/>
        <w:rPr>
          <w:b/>
        </w:rPr>
      </w:pPr>
      <w:r>
        <w:rPr>
          <w:b/>
        </w:rPr>
        <w:t>PENNSYLVANIA PUBLIC UTILITY COMMISSION</w:t>
      </w:r>
    </w:p>
    <w:p w:rsidR="0018149C" w:rsidRDefault="0018149C" w:rsidP="0018149C">
      <w:pPr>
        <w:spacing w:line="240" w:lineRule="auto"/>
        <w:rPr>
          <w:b/>
        </w:rPr>
      </w:pPr>
    </w:p>
    <w:p w:rsidR="009C7B98" w:rsidRDefault="009C7B98" w:rsidP="0018149C">
      <w:pPr>
        <w:spacing w:line="240" w:lineRule="auto"/>
        <w:rPr>
          <w:b/>
        </w:rPr>
      </w:pPr>
    </w:p>
    <w:p w:rsidR="0018149C" w:rsidRDefault="0018149C" w:rsidP="0018149C">
      <w:pPr>
        <w:spacing w:line="240" w:lineRule="auto"/>
        <w:rPr>
          <w:b/>
        </w:rPr>
      </w:pPr>
    </w:p>
    <w:p w:rsidR="0018149C" w:rsidRDefault="00065447" w:rsidP="0018149C">
      <w:pPr>
        <w:spacing w:line="240" w:lineRule="auto"/>
        <w:jc w:val="left"/>
      </w:pPr>
      <w:r>
        <w:t>John Hartman</w:t>
      </w:r>
      <w:r w:rsidR="0018149C">
        <w:t xml:space="preserve"> </w:t>
      </w:r>
      <w:r w:rsidR="0018149C">
        <w:tab/>
      </w:r>
      <w:r w:rsidR="0018149C">
        <w:tab/>
      </w:r>
      <w:r w:rsidR="0018149C">
        <w:tab/>
      </w:r>
      <w:r w:rsidR="0018149C">
        <w:tab/>
      </w:r>
      <w:r w:rsidR="0018149C">
        <w:tab/>
      </w:r>
      <w:r w:rsidR="009C7B98">
        <w:tab/>
      </w:r>
      <w:r w:rsidR="0018149C">
        <w:t>:</w:t>
      </w:r>
    </w:p>
    <w:p w:rsidR="0018149C" w:rsidRDefault="0018149C" w:rsidP="0018149C">
      <w:pPr>
        <w:spacing w:line="240" w:lineRule="auto"/>
        <w:jc w:val="left"/>
      </w:pPr>
      <w:r>
        <w:tab/>
      </w:r>
      <w:r>
        <w:tab/>
      </w:r>
      <w:r>
        <w:tab/>
      </w:r>
      <w:r>
        <w:tab/>
      </w:r>
      <w:r>
        <w:tab/>
      </w:r>
      <w:r>
        <w:tab/>
      </w:r>
      <w:r w:rsidR="009C7B98">
        <w:tab/>
      </w:r>
      <w:r>
        <w:t>:</w:t>
      </w:r>
    </w:p>
    <w:p w:rsidR="0018149C" w:rsidRDefault="0018149C" w:rsidP="0018149C">
      <w:pPr>
        <w:spacing w:line="240" w:lineRule="auto"/>
        <w:jc w:val="left"/>
      </w:pPr>
      <w:r>
        <w:tab/>
        <w:t>v.</w:t>
      </w:r>
      <w:r>
        <w:tab/>
      </w:r>
      <w:r>
        <w:tab/>
      </w:r>
      <w:r>
        <w:tab/>
      </w:r>
      <w:r>
        <w:tab/>
      </w:r>
      <w:r>
        <w:tab/>
      </w:r>
      <w:r w:rsidR="009C7B98">
        <w:tab/>
      </w:r>
      <w:r>
        <w:t>:</w:t>
      </w:r>
      <w:r>
        <w:tab/>
      </w:r>
      <w:r>
        <w:tab/>
      </w:r>
      <w:r>
        <w:tab/>
        <w:t>C-</w:t>
      </w:r>
      <w:r w:rsidR="00065447">
        <w:t>2015-2471129</w:t>
      </w:r>
      <w:r w:rsidR="00221312">
        <w:t xml:space="preserve"> </w:t>
      </w:r>
    </w:p>
    <w:p w:rsidR="0018149C" w:rsidRDefault="0018149C" w:rsidP="0018149C">
      <w:pPr>
        <w:spacing w:line="240" w:lineRule="auto"/>
        <w:jc w:val="left"/>
      </w:pPr>
      <w:r>
        <w:tab/>
      </w:r>
      <w:r>
        <w:tab/>
      </w:r>
      <w:r>
        <w:tab/>
      </w:r>
      <w:r>
        <w:tab/>
      </w:r>
      <w:r>
        <w:tab/>
      </w:r>
      <w:r>
        <w:tab/>
      </w:r>
      <w:r w:rsidR="009C7B98">
        <w:tab/>
      </w:r>
      <w:r>
        <w:t>:</w:t>
      </w:r>
    </w:p>
    <w:p w:rsidR="0018149C" w:rsidRDefault="00065447" w:rsidP="0018149C">
      <w:pPr>
        <w:spacing w:line="240" w:lineRule="auto"/>
        <w:jc w:val="left"/>
      </w:pPr>
      <w:r>
        <w:t>PECO Energy Company</w:t>
      </w:r>
      <w:r>
        <w:tab/>
      </w:r>
      <w:r w:rsidR="0018149C">
        <w:tab/>
      </w:r>
      <w:r w:rsidR="0018149C">
        <w:tab/>
      </w:r>
      <w:r w:rsidR="009C7B98">
        <w:tab/>
      </w:r>
      <w:r w:rsidR="0018149C">
        <w:t>:</w:t>
      </w:r>
    </w:p>
    <w:p w:rsidR="0018149C" w:rsidRDefault="0018149C" w:rsidP="0018149C">
      <w:pPr>
        <w:spacing w:line="240" w:lineRule="auto"/>
        <w:jc w:val="left"/>
      </w:pPr>
    </w:p>
    <w:p w:rsidR="009C7B98" w:rsidRDefault="009C7B98" w:rsidP="0018149C">
      <w:pPr>
        <w:spacing w:line="240" w:lineRule="auto"/>
        <w:jc w:val="left"/>
      </w:pPr>
    </w:p>
    <w:p w:rsidR="0018149C" w:rsidRDefault="00065447" w:rsidP="0018149C">
      <w:pPr>
        <w:spacing w:line="240" w:lineRule="auto"/>
        <w:jc w:val="left"/>
      </w:pPr>
      <w:r>
        <w:t>John Hartman</w:t>
      </w:r>
      <w:r w:rsidR="0018149C">
        <w:tab/>
      </w:r>
      <w:r w:rsidR="0018149C">
        <w:tab/>
      </w:r>
      <w:r>
        <w:tab/>
      </w:r>
      <w:r w:rsidR="0018149C">
        <w:tab/>
      </w:r>
      <w:r w:rsidR="0018149C">
        <w:tab/>
      </w:r>
      <w:r w:rsidR="009C7B98">
        <w:tab/>
      </w:r>
      <w:r w:rsidR="0018149C">
        <w:t>:</w:t>
      </w:r>
    </w:p>
    <w:p w:rsidR="0018149C" w:rsidRDefault="0018149C" w:rsidP="0018149C">
      <w:pPr>
        <w:spacing w:line="240" w:lineRule="auto"/>
        <w:jc w:val="left"/>
      </w:pPr>
      <w:r>
        <w:tab/>
      </w:r>
      <w:r>
        <w:tab/>
      </w:r>
      <w:r>
        <w:tab/>
      </w:r>
      <w:r>
        <w:tab/>
      </w:r>
      <w:r>
        <w:tab/>
      </w:r>
      <w:r>
        <w:tab/>
      </w:r>
      <w:r w:rsidR="009C7B98">
        <w:tab/>
      </w:r>
      <w:r>
        <w:t>:</w:t>
      </w:r>
    </w:p>
    <w:p w:rsidR="0018149C" w:rsidRDefault="0018149C" w:rsidP="0018149C">
      <w:pPr>
        <w:spacing w:line="240" w:lineRule="auto"/>
        <w:jc w:val="left"/>
      </w:pPr>
      <w:r>
        <w:tab/>
        <w:t>v.</w:t>
      </w:r>
      <w:r>
        <w:tab/>
      </w:r>
      <w:r>
        <w:tab/>
      </w:r>
      <w:r>
        <w:tab/>
      </w:r>
      <w:r>
        <w:tab/>
      </w:r>
      <w:r>
        <w:tab/>
      </w:r>
      <w:r w:rsidR="009C7B98">
        <w:tab/>
      </w:r>
      <w:r>
        <w:t>:</w:t>
      </w:r>
      <w:r>
        <w:tab/>
      </w:r>
      <w:r>
        <w:tab/>
      </w:r>
      <w:r>
        <w:tab/>
        <w:t>C-201</w:t>
      </w:r>
      <w:r w:rsidR="00065447">
        <w:t>5</w:t>
      </w:r>
      <w:r>
        <w:t>-</w:t>
      </w:r>
      <w:r w:rsidR="00065447">
        <w:t>2469877</w:t>
      </w:r>
    </w:p>
    <w:p w:rsidR="0018149C" w:rsidRDefault="0018149C" w:rsidP="0018149C">
      <w:pPr>
        <w:spacing w:line="240" w:lineRule="auto"/>
        <w:jc w:val="left"/>
      </w:pPr>
      <w:r>
        <w:tab/>
      </w:r>
      <w:r>
        <w:tab/>
      </w:r>
      <w:r>
        <w:tab/>
      </w:r>
      <w:r>
        <w:tab/>
      </w:r>
      <w:r>
        <w:tab/>
      </w:r>
      <w:r>
        <w:tab/>
      </w:r>
      <w:r w:rsidR="009C7B98">
        <w:tab/>
      </w:r>
      <w:r>
        <w:t>:</w:t>
      </w:r>
    </w:p>
    <w:p w:rsidR="0018149C" w:rsidRDefault="00065447" w:rsidP="0018149C">
      <w:pPr>
        <w:spacing w:line="240" w:lineRule="auto"/>
        <w:jc w:val="left"/>
      </w:pPr>
      <w:r>
        <w:t>PECO Energy</w:t>
      </w:r>
      <w:r w:rsidR="0018149C">
        <w:t xml:space="preserve"> Company</w:t>
      </w:r>
      <w:r w:rsidR="0018149C">
        <w:tab/>
      </w:r>
      <w:r w:rsidR="0018149C">
        <w:tab/>
      </w:r>
      <w:r>
        <w:tab/>
      </w:r>
      <w:r w:rsidR="009C7B98">
        <w:tab/>
      </w:r>
      <w:r w:rsidR="0018149C">
        <w:t>:</w:t>
      </w:r>
    </w:p>
    <w:p w:rsidR="0018149C" w:rsidRDefault="0018149C" w:rsidP="0018149C">
      <w:pPr>
        <w:spacing w:line="240" w:lineRule="auto"/>
        <w:jc w:val="left"/>
      </w:pPr>
    </w:p>
    <w:p w:rsidR="0018149C" w:rsidRDefault="0018149C" w:rsidP="0018149C">
      <w:pPr>
        <w:spacing w:line="240" w:lineRule="auto"/>
        <w:jc w:val="left"/>
      </w:pPr>
    </w:p>
    <w:p w:rsidR="0018149C" w:rsidRDefault="0018149C" w:rsidP="0018149C">
      <w:pPr>
        <w:spacing w:line="240" w:lineRule="auto"/>
        <w:jc w:val="left"/>
      </w:pPr>
    </w:p>
    <w:p w:rsidR="0018149C" w:rsidRPr="00B331B1" w:rsidRDefault="0018149C" w:rsidP="0018149C">
      <w:pPr>
        <w:spacing w:line="240" w:lineRule="auto"/>
        <w:rPr>
          <w:b/>
          <w:u w:val="single"/>
        </w:rPr>
      </w:pPr>
      <w:r w:rsidRPr="00B331B1">
        <w:rPr>
          <w:b/>
          <w:u w:val="single"/>
        </w:rPr>
        <w:t>ORDER GRANTING MOTION TO CONSOLIDATE</w:t>
      </w:r>
    </w:p>
    <w:p w:rsidR="0018149C" w:rsidRPr="00B331B1" w:rsidRDefault="0018149C" w:rsidP="0018149C">
      <w:pPr>
        <w:spacing w:line="240" w:lineRule="auto"/>
        <w:rPr>
          <w:b/>
          <w:u w:val="single"/>
        </w:rPr>
      </w:pPr>
    </w:p>
    <w:p w:rsidR="0018149C" w:rsidRDefault="0018149C" w:rsidP="0018149C"/>
    <w:p w:rsidR="001815D1" w:rsidRDefault="0018149C" w:rsidP="0087193D">
      <w:pPr>
        <w:jc w:val="left"/>
      </w:pPr>
      <w:r>
        <w:tab/>
      </w:r>
      <w:r>
        <w:tab/>
        <w:t xml:space="preserve">On </w:t>
      </w:r>
      <w:r w:rsidR="0087193D">
        <w:t>March 3, 2015, John Hartman (Complainant) filed a formal Complaint (</w:t>
      </w:r>
      <w:r w:rsidR="000D539C">
        <w:t xml:space="preserve">First </w:t>
      </w:r>
      <w:r w:rsidR="0087193D">
        <w:t>Complaint) against PECO Energy Company (PECO</w:t>
      </w:r>
      <w:r w:rsidR="0047431A">
        <w:t xml:space="preserve"> or Respondent</w:t>
      </w:r>
      <w:r w:rsidR="0087193D">
        <w:t xml:space="preserve">).  </w:t>
      </w:r>
      <w:r w:rsidR="000D539C">
        <w:t xml:space="preserve">Complainant alleged that PECO had issued him a shut off notice on February 23, 2015.  When Complainant contacted PECO, he was told by a PECO representative that he had to pay a catch up amount of $400 to avoid service termination.  When Complainant called PECO again on March 2, 2015, to ascertain the method by which he could pay the $400 catch up amount, he was told that the amount owed had increased to $786.34.  </w:t>
      </w:r>
      <w:r w:rsidR="008924C7">
        <w:t xml:space="preserve">Complainant asked PECO for a payment agreement, but was told he could not have one.  As relief, </w:t>
      </w:r>
      <w:r w:rsidR="000D539C">
        <w:t xml:space="preserve">Complainant requests a payment agreement.  </w:t>
      </w:r>
    </w:p>
    <w:p w:rsidR="001815D1" w:rsidRDefault="001815D1" w:rsidP="0087193D">
      <w:pPr>
        <w:jc w:val="left"/>
      </w:pPr>
    </w:p>
    <w:p w:rsidR="00221312" w:rsidRDefault="001815D1" w:rsidP="0087193D">
      <w:pPr>
        <w:jc w:val="left"/>
      </w:pPr>
      <w:r>
        <w:tab/>
      </w:r>
      <w:r>
        <w:tab/>
      </w:r>
      <w:r w:rsidR="00C733DB">
        <w:t xml:space="preserve">The </w:t>
      </w:r>
      <w:r w:rsidR="00453602">
        <w:t xml:space="preserve">First </w:t>
      </w:r>
      <w:r w:rsidR="00C733DB">
        <w:t xml:space="preserve">Complaint was served </w:t>
      </w:r>
      <w:r>
        <w:t xml:space="preserve">electronically </w:t>
      </w:r>
      <w:r w:rsidR="00C733DB">
        <w:t xml:space="preserve">by the Secretary on </w:t>
      </w:r>
      <w:r w:rsidR="000D539C">
        <w:t>March 3, 2015</w:t>
      </w:r>
      <w:r w:rsidR="00C6125D">
        <w:t>.</w:t>
      </w:r>
      <w:r>
        <w:rPr>
          <w:rStyle w:val="FootnoteReference"/>
        </w:rPr>
        <w:footnoteReference w:id="1"/>
      </w:r>
    </w:p>
    <w:p w:rsidR="00457AA3" w:rsidRDefault="00457AA3" w:rsidP="0018149C">
      <w:pPr>
        <w:jc w:val="left"/>
      </w:pPr>
    </w:p>
    <w:p w:rsidR="0018149C" w:rsidRDefault="00457AA3" w:rsidP="0018149C">
      <w:pPr>
        <w:jc w:val="left"/>
      </w:pPr>
      <w:r>
        <w:lastRenderedPageBreak/>
        <w:tab/>
      </w:r>
      <w:r>
        <w:tab/>
      </w:r>
      <w:r w:rsidR="000D539C">
        <w:t xml:space="preserve">On March 7, 2015, Complainant filed another formal Complaint (Second Complaint) against PECO.  </w:t>
      </w:r>
      <w:r w:rsidR="00192D05">
        <w:t xml:space="preserve">Complainant stated that he </w:t>
      </w:r>
      <w:r w:rsidR="007F4E1E">
        <w:t xml:space="preserve">recently </w:t>
      </w:r>
      <w:r w:rsidR="00192D05">
        <w:t xml:space="preserve">had a setback and cannot pay the full amount of over $1200 owed, but that he can pay half and would like some assistance from PECO so he can catch up on his bill.  </w:t>
      </w:r>
      <w:r w:rsidR="00B21A25">
        <w:t xml:space="preserve">Complainant alleges that he contacted PECO in late February and again on March 2, 2015 </w:t>
      </w:r>
      <w:r w:rsidR="00192D05">
        <w:t xml:space="preserve">to </w:t>
      </w:r>
      <w:r w:rsidR="00F26235">
        <w:t>negotiate</w:t>
      </w:r>
      <w:r w:rsidR="00192D05">
        <w:t xml:space="preserve"> a payment agreement, but </w:t>
      </w:r>
      <w:r w:rsidR="00F92441">
        <w:t>has been denied one so far</w:t>
      </w:r>
      <w:r w:rsidR="00192D05">
        <w:t xml:space="preserve">.  </w:t>
      </w:r>
      <w:r w:rsidR="00453602">
        <w:t xml:space="preserve">The Second Complaint was served </w:t>
      </w:r>
      <w:r w:rsidR="001815D1">
        <w:t xml:space="preserve">electronically </w:t>
      </w:r>
      <w:r w:rsidR="00453602">
        <w:t>by the Secretary on March 10, 2015.</w:t>
      </w:r>
      <w:r w:rsidR="001815D1">
        <w:rPr>
          <w:rStyle w:val="FootnoteReference"/>
        </w:rPr>
        <w:footnoteReference w:id="2"/>
      </w:r>
    </w:p>
    <w:p w:rsidR="000164BB" w:rsidRDefault="000164BB" w:rsidP="0018149C">
      <w:pPr>
        <w:jc w:val="left"/>
      </w:pPr>
    </w:p>
    <w:p w:rsidR="00CE3836" w:rsidRDefault="000164BB" w:rsidP="0018149C">
      <w:pPr>
        <w:jc w:val="left"/>
        <w:rPr>
          <w:color w:val="000000" w:themeColor="text1"/>
        </w:rPr>
      </w:pPr>
      <w:r>
        <w:tab/>
      </w:r>
      <w:r w:rsidRPr="00C6125D">
        <w:rPr>
          <w:color w:val="000000" w:themeColor="text1"/>
        </w:rPr>
        <w:tab/>
      </w:r>
      <w:r w:rsidR="00C6125D" w:rsidRPr="00C6125D">
        <w:rPr>
          <w:color w:val="000000" w:themeColor="text1"/>
        </w:rPr>
        <w:t xml:space="preserve">On March 16, 2015, PECO filed its Answer (First Answer) which denied the material allegations of the Complaint and provided additional allegations of fact regarding the Complainant's payment history and prior payment arrangement.  PECO avers that Complainant has not received a Commission-issued payment agreement, but states that Complainant has defaulted on a company-issued payment agreement and currently has a balance of $1,290.86 on his account.  PECO states that any Commission-issued payment agreement should be awarded in accordance with 66 Pa.C.S. § 1405(b).  Also </w:t>
      </w:r>
      <w:r w:rsidR="00C6125D">
        <w:rPr>
          <w:color w:val="000000" w:themeColor="text1"/>
        </w:rPr>
        <w:t>o</w:t>
      </w:r>
      <w:r w:rsidR="00CE3836" w:rsidRPr="00A45EC6">
        <w:rPr>
          <w:color w:val="000000" w:themeColor="text1"/>
        </w:rPr>
        <w:t xml:space="preserve">n March 16, 2015, PECO filed </w:t>
      </w:r>
      <w:r w:rsidR="00896B83">
        <w:rPr>
          <w:color w:val="000000" w:themeColor="text1"/>
        </w:rPr>
        <w:t>an A</w:t>
      </w:r>
      <w:r w:rsidR="00264DAB" w:rsidRPr="00A45EC6">
        <w:rPr>
          <w:color w:val="000000" w:themeColor="text1"/>
        </w:rPr>
        <w:t>nswer to the Se</w:t>
      </w:r>
      <w:r w:rsidR="009E0E19">
        <w:rPr>
          <w:color w:val="000000" w:themeColor="text1"/>
        </w:rPr>
        <w:t xml:space="preserve">cond Complaint (Second Answer) accompanied with a Notice to Plead. </w:t>
      </w:r>
      <w:r w:rsidR="00264DAB" w:rsidRPr="00A45EC6">
        <w:rPr>
          <w:color w:val="000000" w:themeColor="text1"/>
        </w:rPr>
        <w:t xml:space="preserve"> </w:t>
      </w:r>
      <w:r w:rsidR="00A45EC6" w:rsidRPr="00A45EC6">
        <w:rPr>
          <w:color w:val="000000" w:themeColor="text1"/>
        </w:rPr>
        <w:t xml:space="preserve">The Second Answer is </w:t>
      </w:r>
      <w:r w:rsidR="001815D1">
        <w:rPr>
          <w:color w:val="000000" w:themeColor="text1"/>
        </w:rPr>
        <w:t>nearly</w:t>
      </w:r>
      <w:r w:rsidR="00A45EC6" w:rsidRPr="00A45EC6">
        <w:rPr>
          <w:color w:val="000000" w:themeColor="text1"/>
        </w:rPr>
        <w:t xml:space="preserve"> </w:t>
      </w:r>
      <w:r w:rsidR="0003278B">
        <w:rPr>
          <w:color w:val="000000" w:themeColor="text1"/>
        </w:rPr>
        <w:t>identical to the First Answer, differing only</w:t>
      </w:r>
      <w:r w:rsidR="00A45EC6" w:rsidRPr="00A45EC6">
        <w:rPr>
          <w:color w:val="000000" w:themeColor="text1"/>
        </w:rPr>
        <w:t xml:space="preserve"> to reflect the date on which the Second Complaint was served on PECO. </w:t>
      </w:r>
    </w:p>
    <w:p w:rsidR="00A45EC6" w:rsidRDefault="00A45EC6" w:rsidP="0018149C">
      <w:pPr>
        <w:jc w:val="left"/>
        <w:rPr>
          <w:color w:val="000000" w:themeColor="text1"/>
        </w:rPr>
      </w:pPr>
    </w:p>
    <w:p w:rsidR="00A45EC6" w:rsidRPr="00426900" w:rsidRDefault="00A45EC6" w:rsidP="0018149C">
      <w:pPr>
        <w:jc w:val="left"/>
      </w:pPr>
      <w:r>
        <w:rPr>
          <w:color w:val="000000" w:themeColor="text1"/>
        </w:rPr>
        <w:tab/>
      </w:r>
      <w:r>
        <w:rPr>
          <w:color w:val="000000" w:themeColor="text1"/>
        </w:rPr>
        <w:tab/>
      </w:r>
      <w:r w:rsidR="0057386C">
        <w:rPr>
          <w:color w:val="000000" w:themeColor="text1"/>
        </w:rPr>
        <w:t xml:space="preserve">On March 16, 2015, PECO also filed a Motion to Consolidate the Formal Complaints with regard to Complainant’s case.  </w:t>
      </w:r>
      <w:r w:rsidR="00AE6B0A">
        <w:rPr>
          <w:color w:val="000000" w:themeColor="text1"/>
        </w:rPr>
        <w:t xml:space="preserve">PECO alleges that the First Complaint and the Second Complaint involve similar issues of law and fact.  </w:t>
      </w:r>
      <w:r w:rsidR="007418B4">
        <w:rPr>
          <w:color w:val="000000" w:themeColor="text1"/>
        </w:rPr>
        <w:t>PECO also avers that the First Complaint and the Second Complaint allege the same payment agreement request; which cover the same customer, address, and contain common questions of law and fact wherein the Complainant requests a payment agreement.  Therefore, PECO requests that both Complaints be consolidate</w:t>
      </w:r>
      <w:r w:rsidR="00303132">
        <w:rPr>
          <w:color w:val="000000" w:themeColor="text1"/>
        </w:rPr>
        <w:t>d to sav</w:t>
      </w:r>
      <w:r w:rsidR="007418B4">
        <w:rPr>
          <w:color w:val="000000" w:themeColor="text1"/>
        </w:rPr>
        <w:t xml:space="preserve">e time, resources, and expense to the parties and the </w:t>
      </w:r>
      <w:r w:rsidR="007418B4" w:rsidRPr="00426900">
        <w:t>Commission.</w:t>
      </w:r>
    </w:p>
    <w:p w:rsidR="00CE3836" w:rsidRPr="00426900" w:rsidRDefault="00CE3836" w:rsidP="0018149C">
      <w:pPr>
        <w:jc w:val="left"/>
      </w:pPr>
    </w:p>
    <w:p w:rsidR="000164BB" w:rsidRDefault="008C6398" w:rsidP="0018149C">
      <w:pPr>
        <w:jc w:val="left"/>
      </w:pPr>
      <w:r w:rsidRPr="00426900">
        <w:tab/>
      </w:r>
      <w:r>
        <w:rPr>
          <w:color w:val="FF0000"/>
        </w:rPr>
        <w:tab/>
      </w:r>
      <w:r w:rsidRPr="008C6398">
        <w:rPr>
          <w:color w:val="000000" w:themeColor="text1"/>
        </w:rPr>
        <w:t>T</w:t>
      </w:r>
      <w:r w:rsidR="002C1D31" w:rsidRPr="008C6398">
        <w:rPr>
          <w:color w:val="000000" w:themeColor="text1"/>
        </w:rPr>
        <w:t xml:space="preserve">he Complainant did not file a responsive pleading.  </w:t>
      </w:r>
      <w:r w:rsidR="00C733DB" w:rsidRPr="008C6398">
        <w:rPr>
          <w:color w:val="000000" w:themeColor="text1"/>
        </w:rPr>
        <w:t>The case was assigned to me</w:t>
      </w:r>
      <w:r w:rsidRPr="008C6398">
        <w:rPr>
          <w:color w:val="000000" w:themeColor="text1"/>
        </w:rPr>
        <w:t xml:space="preserve"> </w:t>
      </w:r>
      <w:r w:rsidR="00C733DB" w:rsidRPr="008C6398">
        <w:rPr>
          <w:color w:val="000000" w:themeColor="text1"/>
        </w:rPr>
        <w:t xml:space="preserve">by Motion Judge Assignment Notice dated </w:t>
      </w:r>
      <w:r w:rsidRPr="008C6398">
        <w:rPr>
          <w:color w:val="000000" w:themeColor="text1"/>
        </w:rPr>
        <w:t>March 27, 2015</w:t>
      </w:r>
      <w:r w:rsidR="00C733DB" w:rsidRPr="008C6398">
        <w:rPr>
          <w:color w:val="000000" w:themeColor="text1"/>
        </w:rPr>
        <w:t>.</w:t>
      </w:r>
    </w:p>
    <w:p w:rsidR="002C1D31" w:rsidRDefault="002C1D31" w:rsidP="0018149C">
      <w:pPr>
        <w:jc w:val="left"/>
      </w:pPr>
    </w:p>
    <w:p w:rsidR="002C1D31" w:rsidRDefault="002C1D31" w:rsidP="0018149C">
      <w:pPr>
        <w:jc w:val="left"/>
      </w:pPr>
      <w:r>
        <w:tab/>
      </w:r>
      <w:r>
        <w:tab/>
        <w:t xml:space="preserve">The </w:t>
      </w:r>
      <w:r w:rsidR="00D33056">
        <w:t>Motion to Consolidate is</w:t>
      </w:r>
      <w:r>
        <w:t xml:space="preserve"> ripe for disposition.</w:t>
      </w:r>
    </w:p>
    <w:p w:rsidR="002C1D31" w:rsidRDefault="002C1D31" w:rsidP="0018149C">
      <w:pPr>
        <w:jc w:val="left"/>
      </w:pPr>
    </w:p>
    <w:p w:rsidR="002C1D31" w:rsidRDefault="002C1D31" w:rsidP="002C1D31">
      <w:pPr>
        <w:rPr>
          <w:u w:val="single"/>
        </w:rPr>
      </w:pPr>
      <w:r w:rsidRPr="002C1D31">
        <w:rPr>
          <w:u w:val="single"/>
        </w:rPr>
        <w:t>DISCUSSION</w:t>
      </w:r>
    </w:p>
    <w:p w:rsidR="002C1D31" w:rsidRDefault="002C1D31" w:rsidP="002C1D31">
      <w:pPr>
        <w:jc w:val="left"/>
      </w:pPr>
    </w:p>
    <w:p w:rsidR="002C1D31" w:rsidRDefault="002C1D31" w:rsidP="00D33056">
      <w:pPr>
        <w:jc w:val="left"/>
      </w:pPr>
      <w:r>
        <w:tab/>
      </w:r>
      <w:r>
        <w:tab/>
      </w:r>
      <w:r w:rsidR="00D33056">
        <w:t>Complainant filed two Complaints, one on March 3, 2015, and the second on March 7, 2015, which contain similar allegations.  PECO seeks to have the two Complaints consolidated for litigation.</w:t>
      </w:r>
    </w:p>
    <w:p w:rsidR="00D33056" w:rsidRDefault="00D33056" w:rsidP="00D33056">
      <w:pPr>
        <w:jc w:val="left"/>
      </w:pPr>
    </w:p>
    <w:p w:rsidR="003E4C4F" w:rsidRPr="00E52684" w:rsidRDefault="007C7013" w:rsidP="002C1D31">
      <w:pPr>
        <w:contextualSpacing/>
        <w:jc w:val="left"/>
      </w:pPr>
      <w:r>
        <w:tab/>
      </w:r>
      <w:r>
        <w:tab/>
        <w:t>Reviewing the two Complaints, the only material difference in Complainant’s claims is the amount of money he owes</w:t>
      </w:r>
      <w:r w:rsidR="006764F7">
        <w:t xml:space="preserve"> to</w:t>
      </w:r>
      <w:r>
        <w:t xml:space="preserve"> PECO.  In the First Complaint, </w:t>
      </w:r>
      <w:r w:rsidR="006764F7">
        <w:t>Complainant</w:t>
      </w:r>
      <w:r>
        <w:t xml:space="preserve"> states that he owes PECO $786.34.  In the Second Complaint,</w:t>
      </w:r>
      <w:r w:rsidR="006764F7">
        <w:t xml:space="preserve"> Complainant</w:t>
      </w:r>
      <w:r>
        <w:t xml:space="preserve"> states that he owes PECO over $1200.  Otherwise, Complainant provides identical personal and contact information, refers to the same dates of contact with PECO, and seeks the same relief in the form of a payment agreement in both Complaints</w:t>
      </w:r>
      <w:r w:rsidR="00E52684">
        <w:t>.</w:t>
      </w:r>
    </w:p>
    <w:p w:rsidR="003E4C4F" w:rsidRPr="00426900" w:rsidRDefault="003E4C4F" w:rsidP="002C1D31">
      <w:pPr>
        <w:contextualSpacing/>
        <w:jc w:val="left"/>
      </w:pPr>
    </w:p>
    <w:p w:rsidR="003E4C4F" w:rsidRPr="00426900" w:rsidRDefault="003E4C4F" w:rsidP="001526BE">
      <w:pPr>
        <w:contextualSpacing/>
        <w:jc w:val="left"/>
      </w:pPr>
      <w:r w:rsidRPr="00426900">
        <w:tab/>
      </w:r>
      <w:r w:rsidRPr="00426900">
        <w:tab/>
      </w:r>
      <w:r w:rsidR="007C7013" w:rsidRPr="00426900">
        <w:t>Therefore</w:t>
      </w:r>
      <w:r w:rsidRPr="00426900">
        <w:t xml:space="preserve">, Respondent </w:t>
      </w:r>
      <w:r w:rsidR="00E52684" w:rsidRPr="00426900">
        <w:t>proposes</w:t>
      </w:r>
      <w:r w:rsidRPr="00426900">
        <w:t>:</w:t>
      </w:r>
    </w:p>
    <w:p w:rsidR="003E4C4F" w:rsidRPr="00426900" w:rsidRDefault="003E4C4F" w:rsidP="001526BE">
      <w:pPr>
        <w:contextualSpacing/>
        <w:jc w:val="left"/>
      </w:pPr>
    </w:p>
    <w:p w:rsidR="003E4C4F" w:rsidRPr="00426900" w:rsidRDefault="003E4C4F" w:rsidP="001526BE">
      <w:pPr>
        <w:ind w:left="1440" w:right="1440"/>
        <w:contextualSpacing/>
        <w:jc w:val="left"/>
        <w:rPr>
          <w:b/>
        </w:rPr>
      </w:pPr>
      <w:r w:rsidRPr="00426900">
        <w:rPr>
          <w:b/>
        </w:rPr>
        <w:t>§ 5.81.  Consolidation</w:t>
      </w:r>
    </w:p>
    <w:p w:rsidR="003E4C4F" w:rsidRPr="00426900" w:rsidRDefault="003E4C4F" w:rsidP="003E4C4F">
      <w:pPr>
        <w:spacing w:line="240" w:lineRule="auto"/>
        <w:ind w:left="1440" w:right="1440"/>
        <w:contextualSpacing/>
        <w:jc w:val="left"/>
        <w:rPr>
          <w:b/>
        </w:rPr>
      </w:pPr>
    </w:p>
    <w:p w:rsidR="003E4C4F" w:rsidRPr="00426900" w:rsidRDefault="003E4C4F" w:rsidP="003E4C4F">
      <w:pPr>
        <w:spacing w:line="240" w:lineRule="auto"/>
        <w:ind w:left="1440" w:right="1440"/>
        <w:contextualSpacing/>
        <w:jc w:val="left"/>
      </w:pPr>
      <w:r w:rsidRPr="00426900">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3E4C4F" w:rsidRPr="00426900" w:rsidRDefault="003E4C4F" w:rsidP="002C1D31">
      <w:pPr>
        <w:contextualSpacing/>
        <w:jc w:val="left"/>
      </w:pPr>
      <w:proofErr w:type="gramStart"/>
      <w:r w:rsidRPr="00426900">
        <w:t>52 Pa. Code § 5.81(a).</w:t>
      </w:r>
      <w:proofErr w:type="gramEnd"/>
    </w:p>
    <w:p w:rsidR="003E4C4F" w:rsidRPr="00426900" w:rsidRDefault="003E4C4F" w:rsidP="002C1D31">
      <w:pPr>
        <w:contextualSpacing/>
        <w:jc w:val="left"/>
      </w:pPr>
    </w:p>
    <w:p w:rsidR="003E4C4F" w:rsidRPr="00381A0E" w:rsidRDefault="003E4C4F" w:rsidP="002C1D31">
      <w:pPr>
        <w:contextualSpacing/>
        <w:jc w:val="left"/>
        <w:rPr>
          <w:color w:val="FF0000"/>
        </w:rPr>
      </w:pPr>
      <w:r w:rsidRPr="00381A0E">
        <w:rPr>
          <w:color w:val="FF0000"/>
        </w:rPr>
        <w:tab/>
      </w:r>
      <w:r w:rsidRPr="00381A0E">
        <w:rPr>
          <w:color w:val="FF0000"/>
        </w:rPr>
        <w:tab/>
      </w:r>
      <w:r w:rsidR="001073A1" w:rsidRPr="00F544AD">
        <w:rPr>
          <w:color w:val="000000" w:themeColor="text1"/>
        </w:rPr>
        <w:t>A</w:t>
      </w:r>
      <w:r w:rsidR="00A57FA1" w:rsidRPr="00F544AD">
        <w:rPr>
          <w:color w:val="000000" w:themeColor="text1"/>
        </w:rPr>
        <w:t>s the second Complaint requires no more factual or legal development than the first, c</w:t>
      </w:r>
      <w:r w:rsidRPr="00F544AD">
        <w:rPr>
          <w:color w:val="000000" w:themeColor="text1"/>
        </w:rPr>
        <w:t>onsolidation is justified as it furthers judicial efficiency and is not at all prejudicial to the parties</w:t>
      </w:r>
      <w:r w:rsidR="00C733DB" w:rsidRPr="00F544AD">
        <w:rPr>
          <w:color w:val="000000" w:themeColor="text1"/>
        </w:rPr>
        <w:t>.  Accordingly, the cases are consolidated.</w:t>
      </w:r>
    </w:p>
    <w:p w:rsidR="00C733DB" w:rsidRDefault="00C733DB" w:rsidP="002C1D31">
      <w:pPr>
        <w:contextualSpacing/>
        <w:jc w:val="left"/>
      </w:pPr>
    </w:p>
    <w:p w:rsidR="00426900" w:rsidRDefault="00C733DB" w:rsidP="002C1D31">
      <w:pPr>
        <w:contextualSpacing/>
        <w:jc w:val="left"/>
      </w:pPr>
      <w:r>
        <w:tab/>
      </w:r>
      <w:r>
        <w:tab/>
      </w:r>
      <w:r w:rsidR="00426900">
        <w:br w:type="page"/>
      </w:r>
    </w:p>
    <w:p w:rsidR="00C733DB" w:rsidRDefault="00426900" w:rsidP="002C1D31">
      <w:pPr>
        <w:contextualSpacing/>
        <w:jc w:val="left"/>
      </w:pPr>
      <w:r>
        <w:tab/>
      </w:r>
      <w:r>
        <w:tab/>
      </w:r>
      <w:r w:rsidR="00C733DB">
        <w:t>THEREFORE,</w:t>
      </w:r>
    </w:p>
    <w:p w:rsidR="00C733DB" w:rsidRDefault="00C733DB" w:rsidP="002C1D31">
      <w:pPr>
        <w:contextualSpacing/>
        <w:jc w:val="left"/>
      </w:pPr>
    </w:p>
    <w:p w:rsidR="00C733DB" w:rsidRDefault="00C733DB" w:rsidP="002C1D31">
      <w:pPr>
        <w:contextualSpacing/>
        <w:jc w:val="left"/>
      </w:pPr>
      <w:r>
        <w:tab/>
      </w:r>
      <w:r>
        <w:tab/>
        <w:t>IT IS ORDERED:</w:t>
      </w:r>
    </w:p>
    <w:p w:rsidR="00C733DB" w:rsidRDefault="00C733DB" w:rsidP="002C1D31">
      <w:pPr>
        <w:contextualSpacing/>
        <w:jc w:val="left"/>
      </w:pPr>
    </w:p>
    <w:p w:rsidR="00D33056" w:rsidRPr="00426900" w:rsidRDefault="00C733DB" w:rsidP="002C1D31">
      <w:pPr>
        <w:contextualSpacing/>
        <w:jc w:val="left"/>
      </w:pPr>
      <w:r>
        <w:tab/>
      </w:r>
      <w:r>
        <w:tab/>
        <w:t>1.</w:t>
      </w:r>
      <w:r>
        <w:tab/>
        <w:t xml:space="preserve">That the </w:t>
      </w:r>
      <w:r w:rsidR="00D33056">
        <w:t>Motion</w:t>
      </w:r>
      <w:r>
        <w:t xml:space="preserve"> of </w:t>
      </w:r>
      <w:r w:rsidR="00381A0E">
        <w:t>PECO Energy</w:t>
      </w:r>
      <w:r>
        <w:t xml:space="preserve"> Company filed in the case captioned </w:t>
      </w:r>
      <w:r w:rsidR="00381A0E" w:rsidRPr="00426900">
        <w:t>John Hartman v. PECO Energy Company</w:t>
      </w:r>
      <w:r w:rsidRPr="00426900">
        <w:t xml:space="preserve">, Docket No. </w:t>
      </w:r>
      <w:r w:rsidR="00381A0E" w:rsidRPr="00426900">
        <w:t>C-2015-</w:t>
      </w:r>
      <w:proofErr w:type="gramStart"/>
      <w:r w:rsidR="00381A0E" w:rsidRPr="00426900">
        <w:t>2471129</w:t>
      </w:r>
      <w:r w:rsidRPr="00426900">
        <w:t>,</w:t>
      </w:r>
      <w:proofErr w:type="gramEnd"/>
      <w:r w:rsidRPr="00426900">
        <w:t xml:space="preserve"> </w:t>
      </w:r>
      <w:r w:rsidR="00D33056" w:rsidRPr="00426900">
        <w:t>is</w:t>
      </w:r>
      <w:r w:rsidRPr="00426900">
        <w:t xml:space="preserve"> granted</w:t>
      </w:r>
      <w:r w:rsidR="00D33056" w:rsidRPr="00426900">
        <w:t>.</w:t>
      </w:r>
    </w:p>
    <w:p w:rsidR="00C733DB" w:rsidRPr="00426900" w:rsidRDefault="00C733DB" w:rsidP="002C1D31">
      <w:pPr>
        <w:contextualSpacing/>
        <w:jc w:val="left"/>
      </w:pPr>
      <w:r w:rsidRPr="00426900">
        <w:t xml:space="preserve"> </w:t>
      </w:r>
    </w:p>
    <w:p w:rsidR="00C733DB" w:rsidRPr="00426900" w:rsidRDefault="00C733DB" w:rsidP="002C1D31">
      <w:pPr>
        <w:contextualSpacing/>
        <w:jc w:val="left"/>
      </w:pPr>
      <w:r w:rsidRPr="00426900">
        <w:tab/>
      </w:r>
      <w:r w:rsidRPr="00426900">
        <w:tab/>
        <w:t>2.</w:t>
      </w:r>
      <w:r w:rsidRPr="00426900">
        <w:tab/>
        <w:t xml:space="preserve">That the cases captioned </w:t>
      </w:r>
      <w:r w:rsidR="00381A0E" w:rsidRPr="00426900">
        <w:t>John Hartman v. PECO Energy Company</w:t>
      </w:r>
      <w:r w:rsidRPr="00426900">
        <w:t xml:space="preserve">, at Docket Nos. </w:t>
      </w:r>
      <w:r w:rsidR="00381A0E" w:rsidRPr="00426900">
        <w:t>C-2015-2471129</w:t>
      </w:r>
      <w:r w:rsidRPr="00426900">
        <w:t xml:space="preserve"> and </w:t>
      </w:r>
      <w:r w:rsidR="00381A0E" w:rsidRPr="00426900">
        <w:t>C-2015-</w:t>
      </w:r>
      <w:proofErr w:type="gramStart"/>
      <w:r w:rsidR="00381A0E" w:rsidRPr="00426900">
        <w:t>2469877</w:t>
      </w:r>
      <w:r w:rsidRPr="00426900">
        <w:t>,</w:t>
      </w:r>
      <w:proofErr w:type="gramEnd"/>
      <w:r w:rsidRPr="00426900">
        <w:t xml:space="preserve"> are consolidated.</w:t>
      </w:r>
    </w:p>
    <w:p w:rsidR="002D48F5" w:rsidRDefault="002D48F5" w:rsidP="002C1D31">
      <w:pPr>
        <w:contextualSpacing/>
        <w:jc w:val="left"/>
      </w:pPr>
    </w:p>
    <w:p w:rsidR="00C733DB" w:rsidRDefault="00C733DB" w:rsidP="002C1D31">
      <w:pPr>
        <w:contextualSpacing/>
        <w:jc w:val="left"/>
      </w:pPr>
    </w:p>
    <w:p w:rsidR="00C733DB" w:rsidRDefault="00C733DB" w:rsidP="00C733DB">
      <w:pPr>
        <w:spacing w:line="240" w:lineRule="auto"/>
        <w:contextualSpacing/>
        <w:jc w:val="left"/>
      </w:pPr>
      <w:r>
        <w:t>Dated:</w:t>
      </w:r>
      <w:r>
        <w:tab/>
      </w:r>
      <w:r w:rsidR="00381A0E">
        <w:rPr>
          <w:u w:val="single"/>
        </w:rPr>
        <w:t>April 1</w:t>
      </w:r>
      <w:r w:rsidR="00D33056">
        <w:rPr>
          <w:u w:val="single"/>
        </w:rPr>
        <w:t>5</w:t>
      </w:r>
      <w:r w:rsidR="00381A0E">
        <w:rPr>
          <w:u w:val="single"/>
        </w:rPr>
        <w:t>, 2015</w:t>
      </w:r>
      <w:r w:rsidR="00381A0E">
        <w:rPr>
          <w:u w:val="single"/>
        </w:rPr>
        <w:tab/>
      </w:r>
      <w:r>
        <w:tab/>
      </w:r>
      <w:r>
        <w:tab/>
      </w:r>
      <w:r>
        <w:tab/>
      </w:r>
      <w:r>
        <w:tab/>
      </w:r>
      <w:r w:rsidR="00381A0E">
        <w:tab/>
      </w:r>
      <w:r>
        <w:t>______________________________</w:t>
      </w:r>
    </w:p>
    <w:p w:rsidR="00C733DB" w:rsidRDefault="00C733DB" w:rsidP="00C733DB">
      <w:pPr>
        <w:spacing w:line="240" w:lineRule="auto"/>
        <w:contextualSpacing/>
        <w:jc w:val="left"/>
      </w:pPr>
      <w:r>
        <w:tab/>
      </w:r>
      <w:r>
        <w:tab/>
      </w:r>
      <w:r>
        <w:tab/>
      </w:r>
      <w:r>
        <w:tab/>
      </w:r>
      <w:r>
        <w:tab/>
      </w:r>
      <w:r>
        <w:tab/>
      </w:r>
      <w:r>
        <w:tab/>
      </w:r>
      <w:r>
        <w:tab/>
        <w:t>Susan D. Colwell</w:t>
      </w:r>
    </w:p>
    <w:p w:rsidR="00C733DB" w:rsidRPr="00C733DB" w:rsidRDefault="00C733DB" w:rsidP="00C733DB">
      <w:pPr>
        <w:spacing w:line="240" w:lineRule="auto"/>
        <w:contextualSpacing/>
        <w:jc w:val="left"/>
      </w:pPr>
      <w:r>
        <w:tab/>
      </w:r>
      <w:r>
        <w:tab/>
      </w:r>
      <w:r>
        <w:tab/>
      </w:r>
      <w:r>
        <w:tab/>
      </w:r>
      <w:r>
        <w:tab/>
      </w:r>
      <w:r>
        <w:tab/>
      </w:r>
      <w:r>
        <w:tab/>
      </w:r>
      <w:r>
        <w:tab/>
        <w:t>Administrative Law Judge</w:t>
      </w:r>
      <w:r>
        <w:tab/>
      </w:r>
    </w:p>
    <w:p w:rsidR="006F19B4" w:rsidRDefault="006F19B4" w:rsidP="002C1D31">
      <w:pPr>
        <w:contextualSpacing/>
        <w:jc w:val="left"/>
        <w:sectPr w:rsidR="006F19B4" w:rsidSect="00A57FA1">
          <w:footerReference w:type="default" r:id="rId8"/>
          <w:pgSz w:w="12240" w:h="15840"/>
          <w:pgMar w:top="1440" w:right="1440" w:bottom="1440" w:left="1440" w:header="720" w:footer="720" w:gutter="0"/>
          <w:cols w:space="720"/>
          <w:titlePg/>
          <w:docGrid w:linePitch="360"/>
        </w:sectPr>
      </w:pPr>
    </w:p>
    <w:p w:rsidR="006F19B4" w:rsidRPr="006F19B4" w:rsidRDefault="006F19B4" w:rsidP="006F19B4">
      <w:pPr>
        <w:spacing w:line="240" w:lineRule="auto"/>
        <w:contextualSpacing/>
        <w:jc w:val="left"/>
        <w:rPr>
          <w:rFonts w:ascii="Microsoft Sans Serif" w:eastAsia="Times New Roman" w:hAnsi="Calibri"/>
          <w:szCs w:val="22"/>
        </w:rPr>
      </w:pPr>
      <w:r w:rsidRPr="006F19B4">
        <w:rPr>
          <w:rFonts w:ascii="Microsoft Sans Serif" w:eastAsia="Times New Roman" w:hAnsi="Calibri"/>
          <w:b/>
          <w:szCs w:val="22"/>
          <w:u w:val="single"/>
        </w:rPr>
        <w:t>C-2015-2471129 / C-2015-2469877 - JOHN HARTMAN v. PECO</w:t>
      </w:r>
      <w:r w:rsidRPr="006F19B4">
        <w:rPr>
          <w:rFonts w:ascii="Microsoft Sans Serif" w:eastAsia="Times New Roman" w:hAnsi="Calibri"/>
          <w:b/>
          <w:szCs w:val="22"/>
          <w:u w:val="single"/>
        </w:rPr>
        <w:cr/>
      </w:r>
      <w:r w:rsidRPr="006F19B4">
        <w:rPr>
          <w:rFonts w:ascii="Microsoft Sans Serif" w:eastAsia="Times New Roman" w:hAnsi="Calibri"/>
          <w:b/>
          <w:szCs w:val="22"/>
          <w:u w:val="single"/>
        </w:rPr>
        <w:cr/>
      </w:r>
      <w:r w:rsidRPr="006F19B4">
        <w:rPr>
          <w:rFonts w:ascii="Microsoft Sans Serif" w:eastAsia="Times New Roman" w:hAnsi="Calibri"/>
          <w:szCs w:val="22"/>
        </w:rPr>
        <w:t>JOHN HARTMAN</w:t>
      </w:r>
      <w:r w:rsidRPr="006F19B4">
        <w:rPr>
          <w:rFonts w:ascii="Microsoft Sans Serif" w:eastAsia="Times New Roman" w:hAnsi="Calibri"/>
          <w:szCs w:val="22"/>
        </w:rPr>
        <w:cr/>
        <w:t>7018 HUBER DRIVE</w:t>
      </w:r>
      <w:r w:rsidRPr="006F19B4">
        <w:rPr>
          <w:rFonts w:ascii="Microsoft Sans Serif" w:eastAsia="Times New Roman" w:hAnsi="Calibri"/>
          <w:szCs w:val="22"/>
        </w:rPr>
        <w:cr/>
        <w:t>MORRISVILLE PA  19067</w:t>
      </w:r>
      <w:r w:rsidRPr="006F19B4">
        <w:rPr>
          <w:rFonts w:ascii="Microsoft Sans Serif" w:eastAsia="Times New Roman" w:hAnsi="Calibri"/>
          <w:szCs w:val="22"/>
        </w:rPr>
        <w:cr/>
      </w:r>
      <w:r w:rsidRPr="006F19B4">
        <w:rPr>
          <w:rFonts w:ascii="Microsoft Sans Serif" w:eastAsia="Times New Roman" w:hAnsi="Calibri"/>
          <w:b/>
          <w:szCs w:val="22"/>
        </w:rPr>
        <w:t>267-784-4035</w:t>
      </w:r>
      <w:r w:rsidRPr="006F19B4">
        <w:rPr>
          <w:rFonts w:ascii="Microsoft Sans Serif" w:eastAsia="Times New Roman" w:hAnsi="Calibri"/>
          <w:b/>
          <w:szCs w:val="22"/>
        </w:rPr>
        <w:cr/>
      </w:r>
    </w:p>
    <w:p w:rsidR="006F19B4" w:rsidRPr="006F19B4" w:rsidRDefault="006F19B4" w:rsidP="006F19B4">
      <w:pPr>
        <w:spacing w:line="240" w:lineRule="auto"/>
        <w:contextualSpacing/>
        <w:jc w:val="left"/>
        <w:rPr>
          <w:rFonts w:ascii="Microsoft Sans Serif" w:eastAsia="Times New Roman" w:hAnsi="Calibri"/>
          <w:szCs w:val="22"/>
        </w:rPr>
      </w:pPr>
      <w:r w:rsidRPr="006F19B4">
        <w:rPr>
          <w:rFonts w:ascii="Microsoft Sans Serif" w:eastAsia="Times New Roman" w:hAnsi="Calibri"/>
          <w:szCs w:val="22"/>
        </w:rPr>
        <w:t>SHAWANE L LEE ESQUIRE</w:t>
      </w:r>
      <w:r w:rsidRPr="006F19B4">
        <w:rPr>
          <w:rFonts w:ascii="Microsoft Sans Serif" w:eastAsia="Times New Roman" w:hAnsi="Calibri"/>
          <w:szCs w:val="22"/>
        </w:rPr>
        <w:cr/>
        <w:t>EXELON BUSINESS SERVICES</w:t>
      </w:r>
      <w:r w:rsidRPr="006F19B4">
        <w:rPr>
          <w:rFonts w:ascii="Microsoft Sans Serif" w:eastAsia="Times New Roman" w:hAnsi="Calibri"/>
          <w:szCs w:val="22"/>
        </w:rPr>
        <w:cr/>
        <w:t>2301 MARKET STREET S23-1</w:t>
      </w:r>
      <w:r w:rsidRPr="006F19B4">
        <w:rPr>
          <w:rFonts w:ascii="Microsoft Sans Serif" w:eastAsia="Times New Roman" w:hAnsi="Calibri"/>
          <w:szCs w:val="22"/>
        </w:rPr>
        <w:cr/>
        <w:t>PHILADELPHIA PA  19103</w:t>
      </w:r>
      <w:r w:rsidRPr="006F19B4">
        <w:rPr>
          <w:rFonts w:ascii="Microsoft Sans Serif" w:eastAsia="Times New Roman" w:hAnsi="Calibri"/>
          <w:szCs w:val="22"/>
        </w:rPr>
        <w:cr/>
      </w:r>
      <w:r w:rsidRPr="006F19B4">
        <w:rPr>
          <w:rFonts w:ascii="Microsoft Sans Serif" w:eastAsia="Times New Roman" w:hAnsi="Calibri"/>
          <w:b/>
          <w:szCs w:val="22"/>
        </w:rPr>
        <w:t>215.841.6841</w:t>
      </w:r>
      <w:bookmarkStart w:id="0" w:name="_GoBack"/>
      <w:bookmarkEnd w:id="0"/>
    </w:p>
    <w:p w:rsidR="006F19B4" w:rsidRPr="006F19B4" w:rsidRDefault="006F19B4" w:rsidP="006F19B4">
      <w:pPr>
        <w:spacing w:line="240" w:lineRule="auto"/>
        <w:contextualSpacing/>
        <w:jc w:val="left"/>
        <w:rPr>
          <w:rFonts w:ascii="Microsoft Sans Serif" w:eastAsia="Times New Roman" w:hAnsi="Calibri"/>
          <w:szCs w:val="22"/>
        </w:rPr>
      </w:pPr>
      <w:r w:rsidRPr="006F19B4">
        <w:rPr>
          <w:rFonts w:ascii="Microsoft Sans Serif" w:eastAsia="Times New Roman" w:hAnsi="Calibri"/>
          <w:szCs w:val="22"/>
        </w:rPr>
        <w:t>Accepts E-service</w:t>
      </w:r>
    </w:p>
    <w:p w:rsidR="006F19B4" w:rsidRPr="006F19B4" w:rsidRDefault="006F19B4" w:rsidP="006F19B4">
      <w:pPr>
        <w:spacing w:line="240" w:lineRule="auto"/>
        <w:contextualSpacing/>
        <w:jc w:val="left"/>
        <w:rPr>
          <w:rFonts w:ascii="Calibri" w:eastAsia="Times New Roman" w:hAnsi="Calibri"/>
          <w:sz w:val="22"/>
          <w:szCs w:val="22"/>
        </w:rPr>
      </w:pPr>
      <w:r w:rsidRPr="006F19B4">
        <w:rPr>
          <w:rFonts w:ascii="Microsoft Sans Serif" w:eastAsia="Times New Roman" w:hAnsi="Calibri"/>
          <w:szCs w:val="22"/>
        </w:rPr>
        <w:t>Representing PECO Power Energy Company</w:t>
      </w:r>
      <w:r w:rsidRPr="006F19B4">
        <w:rPr>
          <w:rFonts w:ascii="Microsoft Sans Serif" w:eastAsia="Times New Roman" w:hAnsi="Calibri"/>
          <w:szCs w:val="22"/>
        </w:rPr>
        <w:cr/>
      </w:r>
    </w:p>
    <w:p w:rsidR="003E4C4F" w:rsidRDefault="003E4C4F" w:rsidP="002C1D31">
      <w:pPr>
        <w:contextualSpacing/>
        <w:jc w:val="left"/>
      </w:pPr>
    </w:p>
    <w:p w:rsidR="002C1D31" w:rsidRDefault="002C1D31" w:rsidP="002C1D31">
      <w:pPr>
        <w:contextualSpacing/>
        <w:jc w:val="left"/>
      </w:pPr>
    </w:p>
    <w:p w:rsidR="002C1D31" w:rsidRPr="002C1D31" w:rsidRDefault="002C1D31" w:rsidP="002C1D31">
      <w:pPr>
        <w:jc w:val="left"/>
      </w:pPr>
    </w:p>
    <w:p w:rsidR="002C1D31" w:rsidRDefault="002C1D31" w:rsidP="002C1D31"/>
    <w:p w:rsidR="002C1D31" w:rsidRPr="0018149C" w:rsidRDefault="002C1D31" w:rsidP="002C1D31"/>
    <w:sectPr w:rsidR="002C1D31" w:rsidRPr="0018149C" w:rsidSect="00A57FA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0AE" w:rsidRDefault="00E660AE" w:rsidP="00154A78">
      <w:pPr>
        <w:spacing w:line="240" w:lineRule="auto"/>
      </w:pPr>
      <w:r>
        <w:separator/>
      </w:r>
    </w:p>
  </w:endnote>
  <w:endnote w:type="continuationSeparator" w:id="0">
    <w:p w:rsidR="00E660AE" w:rsidRDefault="00E660AE" w:rsidP="00154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97701"/>
      <w:docPartObj>
        <w:docPartGallery w:val="Page Numbers (Bottom of Page)"/>
        <w:docPartUnique/>
      </w:docPartObj>
    </w:sdtPr>
    <w:sdtEndPr>
      <w:rPr>
        <w:noProof/>
      </w:rPr>
    </w:sdtEndPr>
    <w:sdtContent>
      <w:p w:rsidR="00A57FA1" w:rsidRDefault="00A57FA1">
        <w:pPr>
          <w:pStyle w:val="Footer"/>
        </w:pPr>
        <w:r w:rsidRPr="00426900">
          <w:rPr>
            <w:sz w:val="20"/>
            <w:szCs w:val="20"/>
          </w:rPr>
          <w:fldChar w:fldCharType="begin"/>
        </w:r>
        <w:r w:rsidRPr="00426900">
          <w:rPr>
            <w:sz w:val="20"/>
            <w:szCs w:val="20"/>
          </w:rPr>
          <w:instrText xml:space="preserve"> PAGE   \* MERGEFORMAT </w:instrText>
        </w:r>
        <w:r w:rsidRPr="00426900">
          <w:rPr>
            <w:sz w:val="20"/>
            <w:szCs w:val="20"/>
          </w:rPr>
          <w:fldChar w:fldCharType="separate"/>
        </w:r>
        <w:r w:rsidR="006F19B4">
          <w:rPr>
            <w:noProof/>
            <w:sz w:val="20"/>
            <w:szCs w:val="20"/>
          </w:rPr>
          <w:t>4</w:t>
        </w:r>
        <w:r w:rsidRPr="0042690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0AE" w:rsidRDefault="00E660AE" w:rsidP="00426900">
      <w:pPr>
        <w:spacing w:line="240" w:lineRule="auto"/>
        <w:jc w:val="left"/>
      </w:pPr>
      <w:r>
        <w:separator/>
      </w:r>
    </w:p>
  </w:footnote>
  <w:footnote w:type="continuationSeparator" w:id="0">
    <w:p w:rsidR="00E660AE" w:rsidRDefault="00E660AE" w:rsidP="00154A78">
      <w:pPr>
        <w:spacing w:line="240" w:lineRule="auto"/>
      </w:pPr>
      <w:r>
        <w:continuationSeparator/>
      </w:r>
    </w:p>
  </w:footnote>
  <w:footnote w:id="1">
    <w:p w:rsidR="001815D1" w:rsidRPr="001815D1" w:rsidRDefault="00426900" w:rsidP="001815D1">
      <w:pPr>
        <w:spacing w:line="240" w:lineRule="auto"/>
        <w:jc w:val="left"/>
        <w:rPr>
          <w:sz w:val="20"/>
          <w:szCs w:val="20"/>
        </w:rPr>
      </w:pPr>
      <w:r>
        <w:tab/>
      </w:r>
      <w:r w:rsidR="001815D1">
        <w:rPr>
          <w:rStyle w:val="FootnoteReference"/>
        </w:rPr>
        <w:footnoteRef/>
      </w:r>
      <w:r w:rsidR="001815D1">
        <w:t xml:space="preserve"> </w:t>
      </w:r>
      <w:r>
        <w:tab/>
      </w:r>
      <w:r w:rsidR="001815D1" w:rsidRPr="001815D1">
        <w:rPr>
          <w:sz w:val="20"/>
          <w:szCs w:val="20"/>
        </w:rPr>
        <w:t>PECO has signed a waiver of the Section 702 requirements for service of formal complaints, 66 Pa.C.S.  702, and has agreed to electronic service instead under the Commission’s Waiver of 702 program.   Service is listed in the Audit History of the case as having been effected on Ma</w:t>
      </w:r>
      <w:r w:rsidR="001815D1">
        <w:rPr>
          <w:sz w:val="20"/>
          <w:szCs w:val="20"/>
        </w:rPr>
        <w:t>rch 3, 2015</w:t>
      </w:r>
      <w:r w:rsidR="001815D1" w:rsidRPr="001815D1">
        <w:rPr>
          <w:sz w:val="20"/>
          <w:szCs w:val="20"/>
        </w:rPr>
        <w:t>.</w:t>
      </w:r>
    </w:p>
    <w:p w:rsidR="001815D1" w:rsidRDefault="001815D1" w:rsidP="001815D1">
      <w:pPr>
        <w:pStyle w:val="FootnoteText"/>
        <w:jc w:val="left"/>
      </w:pPr>
    </w:p>
  </w:footnote>
  <w:footnote w:id="2">
    <w:p w:rsidR="001815D1" w:rsidRPr="001815D1" w:rsidRDefault="00426900" w:rsidP="001815D1">
      <w:pPr>
        <w:spacing w:line="240" w:lineRule="auto"/>
        <w:jc w:val="left"/>
        <w:rPr>
          <w:sz w:val="20"/>
          <w:szCs w:val="20"/>
        </w:rPr>
      </w:pPr>
      <w:r>
        <w:tab/>
      </w:r>
      <w:r w:rsidR="001815D1">
        <w:rPr>
          <w:rStyle w:val="FootnoteReference"/>
        </w:rPr>
        <w:footnoteRef/>
      </w:r>
      <w:r w:rsidR="001815D1">
        <w:t xml:space="preserve"> </w:t>
      </w:r>
      <w:r>
        <w:tab/>
      </w:r>
      <w:r w:rsidR="001815D1" w:rsidRPr="001815D1">
        <w:rPr>
          <w:sz w:val="20"/>
          <w:szCs w:val="20"/>
        </w:rPr>
        <w:t>Service is listed in the Audit History of the case as having been effected on Ma</w:t>
      </w:r>
      <w:r w:rsidR="001815D1">
        <w:rPr>
          <w:sz w:val="20"/>
          <w:szCs w:val="20"/>
        </w:rPr>
        <w:t>rch 10, 2015</w:t>
      </w:r>
      <w:r w:rsidR="001815D1" w:rsidRPr="001815D1">
        <w:rPr>
          <w:sz w:val="20"/>
          <w:szCs w:val="20"/>
        </w:rPr>
        <w:t>.</w:t>
      </w:r>
    </w:p>
    <w:p w:rsidR="001815D1" w:rsidRDefault="001815D1" w:rsidP="001815D1">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9C"/>
    <w:rsid w:val="00001E3A"/>
    <w:rsid w:val="00001EF6"/>
    <w:rsid w:val="000028EA"/>
    <w:rsid w:val="00003D11"/>
    <w:rsid w:val="00004AA3"/>
    <w:rsid w:val="00005558"/>
    <w:rsid w:val="000079FE"/>
    <w:rsid w:val="00012104"/>
    <w:rsid w:val="00012655"/>
    <w:rsid w:val="0001305A"/>
    <w:rsid w:val="000164BB"/>
    <w:rsid w:val="00016E55"/>
    <w:rsid w:val="0002023D"/>
    <w:rsid w:val="00020760"/>
    <w:rsid w:val="0002105C"/>
    <w:rsid w:val="0002110E"/>
    <w:rsid w:val="00022B3F"/>
    <w:rsid w:val="00025D7A"/>
    <w:rsid w:val="000304BF"/>
    <w:rsid w:val="00032379"/>
    <w:rsid w:val="0003278B"/>
    <w:rsid w:val="0003306B"/>
    <w:rsid w:val="00033303"/>
    <w:rsid w:val="000338CD"/>
    <w:rsid w:val="00034D99"/>
    <w:rsid w:val="00035BB8"/>
    <w:rsid w:val="000372C5"/>
    <w:rsid w:val="00037484"/>
    <w:rsid w:val="000377F5"/>
    <w:rsid w:val="00037E0F"/>
    <w:rsid w:val="00040EB6"/>
    <w:rsid w:val="00041A37"/>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5447"/>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CD2"/>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39C"/>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3A1"/>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6BE"/>
    <w:rsid w:val="00152794"/>
    <w:rsid w:val="00152FD8"/>
    <w:rsid w:val="001537E3"/>
    <w:rsid w:val="00153C39"/>
    <w:rsid w:val="00154A78"/>
    <w:rsid w:val="00154F0C"/>
    <w:rsid w:val="0015569F"/>
    <w:rsid w:val="00155E87"/>
    <w:rsid w:val="0015737B"/>
    <w:rsid w:val="00157450"/>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49C"/>
    <w:rsid w:val="001815D1"/>
    <w:rsid w:val="00181AB1"/>
    <w:rsid w:val="001835FC"/>
    <w:rsid w:val="001857EA"/>
    <w:rsid w:val="00186328"/>
    <w:rsid w:val="001868F5"/>
    <w:rsid w:val="00190B2C"/>
    <w:rsid w:val="00191522"/>
    <w:rsid w:val="00192D05"/>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312"/>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DAB"/>
    <w:rsid w:val="0026705F"/>
    <w:rsid w:val="002704DD"/>
    <w:rsid w:val="00270AF3"/>
    <w:rsid w:val="0027207B"/>
    <w:rsid w:val="0027210A"/>
    <w:rsid w:val="002748C2"/>
    <w:rsid w:val="002752C3"/>
    <w:rsid w:val="00275659"/>
    <w:rsid w:val="002761E2"/>
    <w:rsid w:val="00277591"/>
    <w:rsid w:val="00283282"/>
    <w:rsid w:val="00284760"/>
    <w:rsid w:val="00285526"/>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1D31"/>
    <w:rsid w:val="002C4F02"/>
    <w:rsid w:val="002C69AD"/>
    <w:rsid w:val="002D0E4D"/>
    <w:rsid w:val="002D11F2"/>
    <w:rsid w:val="002D1E71"/>
    <w:rsid w:val="002D29B0"/>
    <w:rsid w:val="002D48F5"/>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132"/>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A0E"/>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C4F"/>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6900"/>
    <w:rsid w:val="00431130"/>
    <w:rsid w:val="00433AE5"/>
    <w:rsid w:val="0043485A"/>
    <w:rsid w:val="00434FD6"/>
    <w:rsid w:val="00440521"/>
    <w:rsid w:val="004407EE"/>
    <w:rsid w:val="00441078"/>
    <w:rsid w:val="00442254"/>
    <w:rsid w:val="00443307"/>
    <w:rsid w:val="00443ED0"/>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602"/>
    <w:rsid w:val="00453A6E"/>
    <w:rsid w:val="00454158"/>
    <w:rsid w:val="00454723"/>
    <w:rsid w:val="00455691"/>
    <w:rsid w:val="004565C0"/>
    <w:rsid w:val="00456A39"/>
    <w:rsid w:val="00457AA3"/>
    <w:rsid w:val="00460024"/>
    <w:rsid w:val="00460031"/>
    <w:rsid w:val="00460140"/>
    <w:rsid w:val="00460F00"/>
    <w:rsid w:val="0046238B"/>
    <w:rsid w:val="004625E8"/>
    <w:rsid w:val="00464B18"/>
    <w:rsid w:val="00465D71"/>
    <w:rsid w:val="00466D15"/>
    <w:rsid w:val="0047070D"/>
    <w:rsid w:val="0047431A"/>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747A"/>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386C"/>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065"/>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4F7"/>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9B4"/>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18B4"/>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013"/>
    <w:rsid w:val="007C7435"/>
    <w:rsid w:val="007D158A"/>
    <w:rsid w:val="007D5B1C"/>
    <w:rsid w:val="007D6D87"/>
    <w:rsid w:val="007D6FD6"/>
    <w:rsid w:val="007E0ADA"/>
    <w:rsid w:val="007E15CF"/>
    <w:rsid w:val="007E1DB4"/>
    <w:rsid w:val="007E5866"/>
    <w:rsid w:val="007F07AF"/>
    <w:rsid w:val="007F21C0"/>
    <w:rsid w:val="007F2A44"/>
    <w:rsid w:val="007F4E1E"/>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27FAC"/>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193D"/>
    <w:rsid w:val="00876B32"/>
    <w:rsid w:val="00882CB8"/>
    <w:rsid w:val="00884366"/>
    <w:rsid w:val="00884650"/>
    <w:rsid w:val="008851B9"/>
    <w:rsid w:val="00885F50"/>
    <w:rsid w:val="00887314"/>
    <w:rsid w:val="00890EB4"/>
    <w:rsid w:val="00891D35"/>
    <w:rsid w:val="008924C7"/>
    <w:rsid w:val="00893901"/>
    <w:rsid w:val="0089667B"/>
    <w:rsid w:val="00896B83"/>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C2F"/>
    <w:rsid w:val="008C6398"/>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3A3"/>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C7B98"/>
    <w:rsid w:val="009D3AAC"/>
    <w:rsid w:val="009D5B63"/>
    <w:rsid w:val="009D6C48"/>
    <w:rsid w:val="009E0E19"/>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5EC6"/>
    <w:rsid w:val="00A46087"/>
    <w:rsid w:val="00A510EE"/>
    <w:rsid w:val="00A51638"/>
    <w:rsid w:val="00A52A4E"/>
    <w:rsid w:val="00A5343C"/>
    <w:rsid w:val="00A55081"/>
    <w:rsid w:val="00A5538B"/>
    <w:rsid w:val="00A57796"/>
    <w:rsid w:val="00A57AB1"/>
    <w:rsid w:val="00A57FA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20C"/>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6B0A"/>
    <w:rsid w:val="00AE7E8A"/>
    <w:rsid w:val="00AF32D8"/>
    <w:rsid w:val="00AF3F64"/>
    <w:rsid w:val="00AF40CA"/>
    <w:rsid w:val="00AF4C64"/>
    <w:rsid w:val="00AF70FF"/>
    <w:rsid w:val="00AF7CB3"/>
    <w:rsid w:val="00B01BE5"/>
    <w:rsid w:val="00B02385"/>
    <w:rsid w:val="00B03878"/>
    <w:rsid w:val="00B06DDF"/>
    <w:rsid w:val="00B07809"/>
    <w:rsid w:val="00B079A5"/>
    <w:rsid w:val="00B10A7A"/>
    <w:rsid w:val="00B11C89"/>
    <w:rsid w:val="00B134C7"/>
    <w:rsid w:val="00B136CC"/>
    <w:rsid w:val="00B143BA"/>
    <w:rsid w:val="00B17521"/>
    <w:rsid w:val="00B17683"/>
    <w:rsid w:val="00B20FAA"/>
    <w:rsid w:val="00B21806"/>
    <w:rsid w:val="00B21A25"/>
    <w:rsid w:val="00B21CD8"/>
    <w:rsid w:val="00B21FBA"/>
    <w:rsid w:val="00B23036"/>
    <w:rsid w:val="00B23264"/>
    <w:rsid w:val="00B257FC"/>
    <w:rsid w:val="00B2793E"/>
    <w:rsid w:val="00B3022C"/>
    <w:rsid w:val="00B32ABD"/>
    <w:rsid w:val="00B32E35"/>
    <w:rsid w:val="00B331B1"/>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3EF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5D4D"/>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19CE"/>
    <w:rsid w:val="00C6125D"/>
    <w:rsid w:val="00C613E2"/>
    <w:rsid w:val="00C621E3"/>
    <w:rsid w:val="00C6430C"/>
    <w:rsid w:val="00C64E24"/>
    <w:rsid w:val="00C65047"/>
    <w:rsid w:val="00C653CC"/>
    <w:rsid w:val="00C665D4"/>
    <w:rsid w:val="00C67E56"/>
    <w:rsid w:val="00C733DB"/>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8E9"/>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CEE"/>
    <w:rsid w:val="00CC3D4E"/>
    <w:rsid w:val="00CC4003"/>
    <w:rsid w:val="00CC74BD"/>
    <w:rsid w:val="00CD0768"/>
    <w:rsid w:val="00CD3CC4"/>
    <w:rsid w:val="00CD788F"/>
    <w:rsid w:val="00CE047D"/>
    <w:rsid w:val="00CE1017"/>
    <w:rsid w:val="00CE358A"/>
    <w:rsid w:val="00CE373E"/>
    <w:rsid w:val="00CE3836"/>
    <w:rsid w:val="00CE43AF"/>
    <w:rsid w:val="00CE577D"/>
    <w:rsid w:val="00CE665D"/>
    <w:rsid w:val="00CE6758"/>
    <w:rsid w:val="00CE7731"/>
    <w:rsid w:val="00CF096F"/>
    <w:rsid w:val="00CF1226"/>
    <w:rsid w:val="00CF329F"/>
    <w:rsid w:val="00CF6106"/>
    <w:rsid w:val="00CF6505"/>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056"/>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684"/>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0AE"/>
    <w:rsid w:val="00E6634F"/>
    <w:rsid w:val="00E6716A"/>
    <w:rsid w:val="00E67F40"/>
    <w:rsid w:val="00E70167"/>
    <w:rsid w:val="00E703C3"/>
    <w:rsid w:val="00E73F29"/>
    <w:rsid w:val="00E74899"/>
    <w:rsid w:val="00E759B1"/>
    <w:rsid w:val="00E779AA"/>
    <w:rsid w:val="00E80333"/>
    <w:rsid w:val="00E8107B"/>
    <w:rsid w:val="00E83629"/>
    <w:rsid w:val="00E838DB"/>
    <w:rsid w:val="00E839E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5BD3"/>
    <w:rsid w:val="00EE659F"/>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235"/>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4AD"/>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2441"/>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3193"/>
    <w:rsid w:val="00FB4326"/>
    <w:rsid w:val="00FB4C6F"/>
    <w:rsid w:val="00FB64A1"/>
    <w:rsid w:val="00FB6732"/>
    <w:rsid w:val="00FB7D16"/>
    <w:rsid w:val="00FC0858"/>
    <w:rsid w:val="00FC110D"/>
    <w:rsid w:val="00FC3800"/>
    <w:rsid w:val="00FC4527"/>
    <w:rsid w:val="00FC4E90"/>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4A78"/>
    <w:pPr>
      <w:spacing w:line="240" w:lineRule="auto"/>
    </w:pPr>
    <w:rPr>
      <w:sz w:val="20"/>
      <w:szCs w:val="20"/>
    </w:rPr>
  </w:style>
  <w:style w:type="character" w:customStyle="1" w:styleId="FootnoteTextChar">
    <w:name w:val="Footnote Text Char"/>
    <w:basedOn w:val="DefaultParagraphFont"/>
    <w:link w:val="FootnoteText"/>
    <w:uiPriority w:val="99"/>
    <w:semiHidden/>
    <w:rsid w:val="00154A78"/>
    <w:rPr>
      <w:sz w:val="20"/>
      <w:szCs w:val="20"/>
    </w:rPr>
  </w:style>
  <w:style w:type="character" w:styleId="FootnoteReference">
    <w:name w:val="footnote reference"/>
    <w:basedOn w:val="DefaultParagraphFont"/>
    <w:uiPriority w:val="99"/>
    <w:semiHidden/>
    <w:unhideWhenUsed/>
    <w:rsid w:val="00154A78"/>
    <w:rPr>
      <w:vertAlign w:val="superscript"/>
    </w:rPr>
  </w:style>
  <w:style w:type="paragraph" w:styleId="Header">
    <w:name w:val="header"/>
    <w:basedOn w:val="Normal"/>
    <w:link w:val="HeaderChar"/>
    <w:uiPriority w:val="99"/>
    <w:unhideWhenUsed/>
    <w:rsid w:val="00A57FA1"/>
    <w:pPr>
      <w:tabs>
        <w:tab w:val="center" w:pos="4680"/>
        <w:tab w:val="right" w:pos="9360"/>
      </w:tabs>
      <w:spacing w:line="240" w:lineRule="auto"/>
    </w:pPr>
  </w:style>
  <w:style w:type="character" w:customStyle="1" w:styleId="HeaderChar">
    <w:name w:val="Header Char"/>
    <w:basedOn w:val="DefaultParagraphFont"/>
    <w:link w:val="Header"/>
    <w:uiPriority w:val="99"/>
    <w:rsid w:val="00A57FA1"/>
  </w:style>
  <w:style w:type="paragraph" w:styleId="Footer">
    <w:name w:val="footer"/>
    <w:basedOn w:val="Normal"/>
    <w:link w:val="FooterChar"/>
    <w:uiPriority w:val="99"/>
    <w:unhideWhenUsed/>
    <w:rsid w:val="00A57FA1"/>
    <w:pPr>
      <w:tabs>
        <w:tab w:val="center" w:pos="4680"/>
        <w:tab w:val="right" w:pos="9360"/>
      </w:tabs>
      <w:spacing w:line="240" w:lineRule="auto"/>
    </w:pPr>
  </w:style>
  <w:style w:type="character" w:customStyle="1" w:styleId="FooterChar">
    <w:name w:val="Footer Char"/>
    <w:basedOn w:val="DefaultParagraphFont"/>
    <w:link w:val="Footer"/>
    <w:uiPriority w:val="99"/>
    <w:rsid w:val="00A57FA1"/>
  </w:style>
  <w:style w:type="paragraph" w:styleId="BalloonText">
    <w:name w:val="Balloon Text"/>
    <w:basedOn w:val="Normal"/>
    <w:link w:val="BalloonTextChar"/>
    <w:uiPriority w:val="99"/>
    <w:semiHidden/>
    <w:unhideWhenUsed/>
    <w:rsid w:val="002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4A78"/>
    <w:pPr>
      <w:spacing w:line="240" w:lineRule="auto"/>
    </w:pPr>
    <w:rPr>
      <w:sz w:val="20"/>
      <w:szCs w:val="20"/>
    </w:rPr>
  </w:style>
  <w:style w:type="character" w:customStyle="1" w:styleId="FootnoteTextChar">
    <w:name w:val="Footnote Text Char"/>
    <w:basedOn w:val="DefaultParagraphFont"/>
    <w:link w:val="FootnoteText"/>
    <w:uiPriority w:val="99"/>
    <w:semiHidden/>
    <w:rsid w:val="00154A78"/>
    <w:rPr>
      <w:sz w:val="20"/>
      <w:szCs w:val="20"/>
    </w:rPr>
  </w:style>
  <w:style w:type="character" w:styleId="FootnoteReference">
    <w:name w:val="footnote reference"/>
    <w:basedOn w:val="DefaultParagraphFont"/>
    <w:uiPriority w:val="99"/>
    <w:semiHidden/>
    <w:unhideWhenUsed/>
    <w:rsid w:val="00154A78"/>
    <w:rPr>
      <w:vertAlign w:val="superscript"/>
    </w:rPr>
  </w:style>
  <w:style w:type="paragraph" w:styleId="Header">
    <w:name w:val="header"/>
    <w:basedOn w:val="Normal"/>
    <w:link w:val="HeaderChar"/>
    <w:uiPriority w:val="99"/>
    <w:unhideWhenUsed/>
    <w:rsid w:val="00A57FA1"/>
    <w:pPr>
      <w:tabs>
        <w:tab w:val="center" w:pos="4680"/>
        <w:tab w:val="right" w:pos="9360"/>
      </w:tabs>
      <w:spacing w:line="240" w:lineRule="auto"/>
    </w:pPr>
  </w:style>
  <w:style w:type="character" w:customStyle="1" w:styleId="HeaderChar">
    <w:name w:val="Header Char"/>
    <w:basedOn w:val="DefaultParagraphFont"/>
    <w:link w:val="Header"/>
    <w:uiPriority w:val="99"/>
    <w:rsid w:val="00A57FA1"/>
  </w:style>
  <w:style w:type="paragraph" w:styleId="Footer">
    <w:name w:val="footer"/>
    <w:basedOn w:val="Normal"/>
    <w:link w:val="FooterChar"/>
    <w:uiPriority w:val="99"/>
    <w:unhideWhenUsed/>
    <w:rsid w:val="00A57FA1"/>
    <w:pPr>
      <w:tabs>
        <w:tab w:val="center" w:pos="4680"/>
        <w:tab w:val="right" w:pos="9360"/>
      </w:tabs>
      <w:spacing w:line="240" w:lineRule="auto"/>
    </w:pPr>
  </w:style>
  <w:style w:type="character" w:customStyle="1" w:styleId="FooterChar">
    <w:name w:val="Footer Char"/>
    <w:basedOn w:val="DefaultParagraphFont"/>
    <w:link w:val="Footer"/>
    <w:uiPriority w:val="99"/>
    <w:rsid w:val="00A57FA1"/>
  </w:style>
  <w:style w:type="paragraph" w:styleId="BalloonText">
    <w:name w:val="Balloon Text"/>
    <w:basedOn w:val="Normal"/>
    <w:link w:val="BalloonTextChar"/>
    <w:uiPriority w:val="99"/>
    <w:semiHidden/>
    <w:unhideWhenUsed/>
    <w:rsid w:val="002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C951-3B88-4153-8277-ED2DB28B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2015-04-16T14:58:00Z</cp:lastPrinted>
  <dcterms:created xsi:type="dcterms:W3CDTF">2015-04-16T14:42:00Z</dcterms:created>
  <dcterms:modified xsi:type="dcterms:W3CDTF">2015-04-16T14:58:00Z</dcterms:modified>
</cp:coreProperties>
</file>