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D1532D" w:rsidRDefault="00CF4780" w:rsidP="00CF4780">
      <w:pPr>
        <w:jc w:val="center"/>
        <w:rPr>
          <w:b/>
        </w:rPr>
      </w:pPr>
      <w:r w:rsidRPr="00D1532D">
        <w:rPr>
          <w:b/>
        </w:rPr>
        <w:t>BEFORE THE</w:t>
      </w:r>
    </w:p>
    <w:p w:rsidR="00CF4780" w:rsidRPr="00D1532D" w:rsidRDefault="00CF4780" w:rsidP="00CF4780">
      <w:pPr>
        <w:jc w:val="center"/>
        <w:rPr>
          <w:b/>
        </w:rPr>
      </w:pPr>
      <w:r w:rsidRPr="00D1532D">
        <w:rPr>
          <w:b/>
        </w:rPr>
        <w:t>PENNSYLVANIA PUBLIC UTILITY COMMISSION</w:t>
      </w:r>
    </w:p>
    <w:p w:rsidR="00B16FEE" w:rsidRPr="00D1532D" w:rsidRDefault="00B16FEE" w:rsidP="00CF4780">
      <w:pPr>
        <w:jc w:val="center"/>
        <w:rPr>
          <w:b/>
        </w:rPr>
      </w:pPr>
    </w:p>
    <w:p w:rsidR="00B16FEE" w:rsidRPr="00D1532D" w:rsidRDefault="00B16FEE" w:rsidP="00CF4780">
      <w:pPr>
        <w:jc w:val="center"/>
        <w:rPr>
          <w:b/>
        </w:rPr>
      </w:pPr>
    </w:p>
    <w:p w:rsidR="00B16FEE" w:rsidRPr="00D1532D" w:rsidRDefault="00B16FEE" w:rsidP="00CF4780">
      <w:pPr>
        <w:jc w:val="center"/>
        <w:rPr>
          <w:b/>
        </w:rPr>
      </w:pPr>
    </w:p>
    <w:p w:rsidR="00CF4780" w:rsidRPr="00D1532D" w:rsidRDefault="00387435" w:rsidP="00CF4780">
      <w:r w:rsidRPr="00D1532D">
        <w:t>Michael A. Rizzo</w:t>
      </w:r>
      <w:r w:rsidR="008B53E2" w:rsidRPr="00D1532D">
        <w:tab/>
      </w:r>
      <w:r w:rsidR="007018AA" w:rsidRPr="00D1532D">
        <w:tab/>
      </w:r>
      <w:r w:rsidR="007018AA" w:rsidRPr="00D1532D">
        <w:tab/>
      </w:r>
      <w:r w:rsidR="00CF4780" w:rsidRPr="00D1532D">
        <w:tab/>
      </w:r>
      <w:r w:rsidR="00B16FEE" w:rsidRPr="00D1532D">
        <w:tab/>
      </w:r>
      <w:r w:rsidR="00CF4780" w:rsidRPr="00D1532D">
        <w:t>:</w:t>
      </w:r>
    </w:p>
    <w:p w:rsidR="00CF4780" w:rsidRPr="00D1532D" w:rsidRDefault="00CF4780" w:rsidP="00CF4780">
      <w:r w:rsidRPr="00D1532D">
        <w:tab/>
      </w:r>
      <w:r w:rsidRPr="00D1532D">
        <w:tab/>
      </w:r>
      <w:r w:rsidRPr="00D1532D">
        <w:tab/>
      </w:r>
      <w:r w:rsidRPr="00D1532D">
        <w:tab/>
      </w:r>
      <w:r w:rsidRPr="00D1532D">
        <w:tab/>
      </w:r>
      <w:r w:rsidR="00B16FEE" w:rsidRPr="00D1532D">
        <w:tab/>
      </w:r>
      <w:r w:rsidRPr="00D1532D">
        <w:tab/>
        <w:t>:</w:t>
      </w:r>
    </w:p>
    <w:p w:rsidR="00CF4780" w:rsidRPr="00D1532D" w:rsidRDefault="00CF4780" w:rsidP="00CF4780">
      <w:r w:rsidRPr="00D1532D">
        <w:tab/>
        <w:t>v.</w:t>
      </w:r>
      <w:r w:rsidRPr="00D1532D">
        <w:tab/>
      </w:r>
      <w:r w:rsidRPr="00D1532D">
        <w:tab/>
      </w:r>
      <w:r w:rsidRPr="00D1532D">
        <w:tab/>
      </w:r>
      <w:r w:rsidRPr="00D1532D">
        <w:tab/>
      </w:r>
      <w:r w:rsidR="00B16FEE" w:rsidRPr="00D1532D">
        <w:tab/>
      </w:r>
      <w:r w:rsidRPr="00D1532D">
        <w:tab/>
        <w:t>:</w:t>
      </w:r>
      <w:r w:rsidRPr="00D1532D">
        <w:tab/>
      </w:r>
      <w:r w:rsidRPr="00D1532D">
        <w:tab/>
      </w:r>
      <w:r w:rsidR="00387435" w:rsidRPr="00D1532D">
        <w:t>C-2015-2469134</w:t>
      </w:r>
      <w:r w:rsidRPr="00D1532D">
        <w:tab/>
      </w:r>
      <w:r w:rsidRPr="00D1532D">
        <w:tab/>
      </w:r>
      <w:r w:rsidRPr="00D1532D">
        <w:tab/>
      </w:r>
      <w:r w:rsidRPr="00D1532D">
        <w:tab/>
      </w:r>
      <w:r w:rsidR="0060004E" w:rsidRPr="00D1532D">
        <w:tab/>
      </w:r>
      <w:r w:rsidR="0060004E" w:rsidRPr="00D1532D">
        <w:tab/>
      </w:r>
      <w:r w:rsidRPr="00D1532D">
        <w:tab/>
      </w:r>
      <w:r w:rsidR="00B16FEE" w:rsidRPr="00D1532D">
        <w:tab/>
      </w:r>
      <w:r w:rsidRPr="00D1532D">
        <w:tab/>
        <w:t>:</w:t>
      </w:r>
    </w:p>
    <w:p w:rsidR="00CF4780" w:rsidRPr="00D1532D" w:rsidRDefault="004E381E" w:rsidP="00CF4780">
      <w:r w:rsidRPr="00D1532D">
        <w:t>PECO Energy Company</w:t>
      </w:r>
      <w:r w:rsidR="0038792F" w:rsidRPr="00D1532D">
        <w:t xml:space="preserve"> </w:t>
      </w:r>
      <w:r w:rsidR="00CF4780" w:rsidRPr="00D1532D">
        <w:tab/>
      </w:r>
      <w:r w:rsidR="00CF4780" w:rsidRPr="00D1532D">
        <w:tab/>
      </w:r>
      <w:r w:rsidR="00B16FEE" w:rsidRPr="00D1532D">
        <w:tab/>
      </w:r>
      <w:r w:rsidR="00CF4780" w:rsidRPr="00D1532D">
        <w:tab/>
        <w:t>:</w:t>
      </w:r>
    </w:p>
    <w:p w:rsidR="00B0450A" w:rsidRPr="00D1532D" w:rsidRDefault="00DD073C" w:rsidP="00B0450A">
      <w:pPr>
        <w:tabs>
          <w:tab w:val="left" w:pos="5040"/>
        </w:tabs>
        <w:jc w:val="both"/>
      </w:pPr>
      <w:proofErr w:type="gramStart"/>
      <w:r>
        <w:t>a</w:t>
      </w:r>
      <w:r w:rsidR="0038792F" w:rsidRPr="00D1532D">
        <w:t>nd</w:t>
      </w:r>
      <w:proofErr w:type="gramEnd"/>
      <w:r w:rsidR="0038792F" w:rsidRPr="00D1532D">
        <w:t xml:space="preserve"> Public Power, LLC</w:t>
      </w:r>
      <w:r w:rsidR="00FE0945">
        <w:tab/>
        <w:t>:</w:t>
      </w:r>
    </w:p>
    <w:p w:rsidR="00B0450A" w:rsidRPr="00D1532D" w:rsidRDefault="00B0450A" w:rsidP="00B0450A">
      <w:pPr>
        <w:tabs>
          <w:tab w:val="left" w:pos="5040"/>
        </w:tabs>
        <w:jc w:val="both"/>
      </w:pPr>
    </w:p>
    <w:p w:rsidR="00B0450A" w:rsidRPr="00D1532D" w:rsidRDefault="00B0450A" w:rsidP="00B0450A">
      <w:pPr>
        <w:tabs>
          <w:tab w:val="left" w:pos="5040"/>
        </w:tabs>
        <w:jc w:val="both"/>
      </w:pPr>
    </w:p>
    <w:p w:rsidR="00D1532D" w:rsidRPr="00D1532D" w:rsidRDefault="00D1532D" w:rsidP="00B0450A">
      <w:pPr>
        <w:tabs>
          <w:tab w:val="left" w:pos="5040"/>
        </w:tabs>
        <w:jc w:val="both"/>
      </w:pPr>
    </w:p>
    <w:p w:rsidR="00B0450A" w:rsidRPr="00D1532D" w:rsidRDefault="00B0450A" w:rsidP="00B0450A">
      <w:pPr>
        <w:jc w:val="center"/>
        <w:rPr>
          <w:b/>
          <w:u w:val="single"/>
        </w:rPr>
      </w:pPr>
      <w:r w:rsidRPr="00D1532D">
        <w:rPr>
          <w:b/>
          <w:u w:val="single"/>
        </w:rPr>
        <w:t>INITIAL DECISION</w:t>
      </w:r>
    </w:p>
    <w:p w:rsidR="00B0450A" w:rsidRPr="00D1532D" w:rsidRDefault="00B0450A" w:rsidP="00B0450A">
      <w:pPr>
        <w:jc w:val="center"/>
        <w:rPr>
          <w:b/>
          <w:u w:val="single"/>
        </w:rPr>
      </w:pPr>
    </w:p>
    <w:p w:rsidR="00B0450A" w:rsidRPr="00D1532D" w:rsidRDefault="00B0450A" w:rsidP="00B0450A">
      <w:pPr>
        <w:jc w:val="center"/>
        <w:rPr>
          <w:b/>
          <w:u w:val="single"/>
        </w:rPr>
      </w:pPr>
    </w:p>
    <w:p w:rsidR="00B0450A" w:rsidRPr="00D1532D" w:rsidRDefault="00B0450A" w:rsidP="00B0450A">
      <w:pPr>
        <w:jc w:val="center"/>
      </w:pPr>
      <w:r w:rsidRPr="00D1532D">
        <w:t>Before</w:t>
      </w:r>
    </w:p>
    <w:p w:rsidR="00B0450A" w:rsidRPr="00D1532D" w:rsidRDefault="00D53777" w:rsidP="00B0450A">
      <w:pPr>
        <w:jc w:val="center"/>
      </w:pPr>
      <w:r w:rsidRPr="00D1532D">
        <w:t>David A. Salapa</w:t>
      </w:r>
    </w:p>
    <w:p w:rsidR="00B0450A" w:rsidRPr="00D1532D" w:rsidRDefault="00B0450A" w:rsidP="00B0450A">
      <w:pPr>
        <w:jc w:val="center"/>
      </w:pPr>
      <w:r w:rsidRPr="00D1532D">
        <w:t>Administrative Law Judge</w:t>
      </w:r>
    </w:p>
    <w:p w:rsidR="00B0450A" w:rsidRPr="00D1532D" w:rsidRDefault="00B0450A" w:rsidP="00B0450A">
      <w:pPr>
        <w:jc w:val="center"/>
      </w:pPr>
    </w:p>
    <w:p w:rsidR="00B0450A" w:rsidRPr="00D1532D" w:rsidRDefault="00B0450A" w:rsidP="00B0450A">
      <w:pPr>
        <w:jc w:val="center"/>
        <w:rPr>
          <w:u w:val="single"/>
        </w:rPr>
      </w:pPr>
    </w:p>
    <w:p w:rsidR="00B0450A" w:rsidRPr="00D1532D" w:rsidRDefault="00B0450A" w:rsidP="00B0450A">
      <w:pPr>
        <w:jc w:val="center"/>
        <w:rPr>
          <w:u w:val="single"/>
        </w:rPr>
      </w:pPr>
      <w:r w:rsidRPr="00D1532D">
        <w:rPr>
          <w:u w:val="single"/>
        </w:rPr>
        <w:t>INTRODUCTION</w:t>
      </w:r>
    </w:p>
    <w:p w:rsidR="00B0450A" w:rsidRPr="00D1532D" w:rsidRDefault="00B0450A" w:rsidP="00B0450A">
      <w:pPr>
        <w:jc w:val="center"/>
        <w:rPr>
          <w:u w:val="single"/>
        </w:rPr>
      </w:pPr>
    </w:p>
    <w:p w:rsidR="00B0450A" w:rsidRPr="00D1532D" w:rsidRDefault="00B0450A" w:rsidP="00387435"/>
    <w:p w:rsidR="00387435" w:rsidRPr="00D1532D" w:rsidRDefault="00387435" w:rsidP="002F71A4">
      <w:pPr>
        <w:pStyle w:val="ParaTab1"/>
        <w:spacing w:line="360" w:lineRule="auto"/>
        <w:ind w:firstLine="1354"/>
        <w:rPr>
          <w:rFonts w:ascii="Times New Roman" w:hAnsi="Times New Roman" w:cs="Times New Roman"/>
        </w:rPr>
      </w:pPr>
      <w:r w:rsidRPr="00D1532D">
        <w:rPr>
          <w:rFonts w:ascii="Times New Roman" w:hAnsi="Times New Roman" w:cs="Times New Roman"/>
          <w:bCs/>
          <w:spacing w:val="-3"/>
        </w:rPr>
        <w:t xml:space="preserve">A customer filed a complaint against the electric </w:t>
      </w:r>
      <w:r w:rsidR="002F71A4" w:rsidRPr="00D1532D">
        <w:rPr>
          <w:rFonts w:ascii="Times New Roman" w:hAnsi="Times New Roman" w:cs="Times New Roman"/>
          <w:bCs/>
          <w:spacing w:val="-3"/>
        </w:rPr>
        <w:t>utility and an</w:t>
      </w:r>
      <w:r w:rsidRPr="00D1532D">
        <w:rPr>
          <w:rFonts w:ascii="Times New Roman" w:hAnsi="Times New Roman" w:cs="Times New Roman"/>
          <w:bCs/>
          <w:spacing w:val="-3"/>
        </w:rPr>
        <w:t xml:space="preserve"> e</w:t>
      </w:r>
      <w:r w:rsidR="00785B2C" w:rsidRPr="00D1532D">
        <w:rPr>
          <w:rFonts w:ascii="Times New Roman" w:hAnsi="Times New Roman" w:cs="Times New Roman"/>
          <w:bCs/>
          <w:spacing w:val="-3"/>
        </w:rPr>
        <w:t>lectric generation supplier (</w:t>
      </w:r>
      <w:r w:rsidR="003F3145" w:rsidRPr="00D1532D">
        <w:rPr>
          <w:rFonts w:ascii="Times New Roman" w:hAnsi="Times New Roman" w:cs="Times New Roman"/>
          <w:bCs/>
          <w:spacing w:val="-3"/>
        </w:rPr>
        <w:t>EGS</w:t>
      </w:r>
      <w:r w:rsidRPr="00D1532D">
        <w:rPr>
          <w:rFonts w:ascii="Times New Roman" w:hAnsi="Times New Roman" w:cs="Times New Roman"/>
          <w:bCs/>
          <w:spacing w:val="-3"/>
        </w:rPr>
        <w:t>) alleging that</w:t>
      </w:r>
      <w:r w:rsidR="002F71A4" w:rsidRPr="00D1532D">
        <w:rPr>
          <w:rFonts w:ascii="Times New Roman" w:hAnsi="Times New Roman" w:cs="Times New Roman"/>
          <w:bCs/>
          <w:spacing w:val="-3"/>
        </w:rPr>
        <w:t xml:space="preserve"> his </w:t>
      </w:r>
      <w:r w:rsidR="00785B2C" w:rsidRPr="00D1532D">
        <w:rPr>
          <w:rFonts w:ascii="Times New Roman" w:hAnsi="Times New Roman" w:cs="Times New Roman"/>
          <w:bCs/>
          <w:spacing w:val="-3"/>
        </w:rPr>
        <w:t>supplier had tripled its</w:t>
      </w:r>
      <w:r w:rsidR="002F71A4" w:rsidRPr="00D1532D">
        <w:rPr>
          <w:rFonts w:ascii="Times New Roman" w:hAnsi="Times New Roman" w:cs="Times New Roman"/>
          <w:bCs/>
          <w:spacing w:val="-3"/>
        </w:rPr>
        <w:t xml:space="preserve"> rates even though the price of energy had significantly dropped</w:t>
      </w:r>
      <w:r w:rsidRPr="00D1532D">
        <w:rPr>
          <w:rFonts w:ascii="Times New Roman" w:hAnsi="Times New Roman" w:cs="Times New Roman"/>
          <w:bCs/>
          <w:spacing w:val="-3"/>
        </w:rPr>
        <w:t xml:space="preserve">.  This decision dismisses the complaint </w:t>
      </w:r>
      <w:r w:rsidR="002F71A4" w:rsidRPr="00D1532D">
        <w:rPr>
          <w:rFonts w:ascii="Times New Roman" w:hAnsi="Times New Roman" w:cs="Times New Roman"/>
          <w:bCs/>
          <w:spacing w:val="-3"/>
        </w:rPr>
        <w:t xml:space="preserve">against the utility </w:t>
      </w:r>
      <w:r w:rsidRPr="00D1532D">
        <w:rPr>
          <w:rFonts w:ascii="Times New Roman" w:hAnsi="Times New Roman" w:cs="Times New Roman"/>
          <w:bCs/>
          <w:spacing w:val="-3"/>
        </w:rPr>
        <w:t xml:space="preserve">because the complaint does not allege that the utility failed to </w:t>
      </w:r>
      <w:r w:rsidRPr="00D1532D">
        <w:rPr>
          <w:rFonts w:ascii="Times New Roman" w:hAnsi="Times New Roman" w:cs="Times New Roman"/>
        </w:rPr>
        <w:t>comply with any Commission statutes, regulations or orders.</w:t>
      </w:r>
    </w:p>
    <w:p w:rsidR="00B0450A" w:rsidRPr="00D1532D" w:rsidRDefault="00B0450A" w:rsidP="00B0450A">
      <w:pPr>
        <w:spacing w:line="360" w:lineRule="auto"/>
        <w:ind w:firstLine="1440"/>
      </w:pPr>
    </w:p>
    <w:p w:rsidR="00B16FEE" w:rsidRPr="00D1532D" w:rsidRDefault="00B0450A" w:rsidP="00D1532D">
      <w:pPr>
        <w:spacing w:line="360" w:lineRule="auto"/>
        <w:jc w:val="center"/>
        <w:rPr>
          <w:u w:val="single"/>
        </w:rPr>
      </w:pPr>
      <w:r w:rsidRPr="00D1532D">
        <w:rPr>
          <w:u w:val="single"/>
        </w:rPr>
        <w:t>HISTORY OF THE PROCEEDING</w:t>
      </w:r>
    </w:p>
    <w:p w:rsidR="00B16FEE" w:rsidRPr="00D1532D" w:rsidRDefault="00B16FEE" w:rsidP="00D1532D">
      <w:pPr>
        <w:spacing w:line="360" w:lineRule="auto"/>
        <w:jc w:val="center"/>
      </w:pPr>
    </w:p>
    <w:p w:rsidR="00D1532D" w:rsidRPr="00D1532D" w:rsidRDefault="000C409B" w:rsidP="00D1532D">
      <w:pPr>
        <w:spacing w:line="360" w:lineRule="auto"/>
        <w:sectPr w:rsidR="00D1532D" w:rsidRPr="00D1532D" w:rsidSect="00D1532D">
          <w:footerReference w:type="even" r:id="rId9"/>
          <w:pgSz w:w="12240" w:h="15840"/>
          <w:pgMar w:top="1440" w:right="1440" w:bottom="1440" w:left="1440" w:header="720" w:footer="720" w:gutter="0"/>
          <w:cols w:space="720"/>
          <w:docGrid w:linePitch="360"/>
        </w:sectPr>
      </w:pPr>
      <w:r w:rsidRPr="00D1532D">
        <w:tab/>
      </w:r>
      <w:r w:rsidRPr="00D1532D">
        <w:tab/>
        <w:t>On February 2, 2015, Michael A. Rizzo (Complainant) filed a complaint with the</w:t>
      </w:r>
      <w:r w:rsidR="00F776B9" w:rsidRPr="00D1532D">
        <w:t xml:space="preserve"> Pennsylvania Public Utility</w:t>
      </w:r>
      <w:r w:rsidRPr="00D1532D">
        <w:t xml:space="preserve"> Commission </w:t>
      </w:r>
      <w:r w:rsidR="00F776B9" w:rsidRPr="00D1532D">
        <w:t xml:space="preserve">(Commission) </w:t>
      </w:r>
      <w:r w:rsidRPr="00D1532D">
        <w:t>against Public Power</w:t>
      </w:r>
      <w:r w:rsidR="008105E1" w:rsidRPr="00D1532D">
        <w:t>, LLC</w:t>
      </w:r>
      <w:r w:rsidR="006C092C" w:rsidRPr="00D1532D">
        <w:t xml:space="preserve"> (Public)</w:t>
      </w:r>
      <w:r w:rsidRPr="00D1532D">
        <w:t xml:space="preserve"> and PECO Energy Company (Respondent).  In the complaint, the Complainant allege</w:t>
      </w:r>
      <w:r w:rsidR="006C092C" w:rsidRPr="00D1532D">
        <w:t>d that Public</w:t>
      </w:r>
      <w:r w:rsidR="00785B2C" w:rsidRPr="00D1532D">
        <w:t xml:space="preserve"> had tripled its rates</w:t>
      </w:r>
      <w:r w:rsidRPr="00D1532D">
        <w:t xml:space="preserve"> and that his bill had gone from $199 a month to $800 a month.  He stated that this had also happened last year.  He </w:t>
      </w:r>
      <w:r w:rsidR="008105E1" w:rsidRPr="00D1532D">
        <w:t>asked that the Commission</w:t>
      </w:r>
      <w:r w:rsidR="00752AC6" w:rsidRPr="00D1532D">
        <w:t xml:space="preserve"> monitor</w:t>
      </w:r>
      <w:r w:rsidRPr="00D1532D">
        <w:t xml:space="preserve"> energy providers. </w:t>
      </w:r>
    </w:p>
    <w:p w:rsidR="00752AC6" w:rsidRPr="00D1532D" w:rsidRDefault="00752AC6" w:rsidP="005C776C">
      <w:pPr>
        <w:pStyle w:val="ParaTab1"/>
        <w:spacing w:line="360" w:lineRule="auto"/>
        <w:ind w:firstLine="1350"/>
        <w:rPr>
          <w:rFonts w:ascii="Times New Roman" w:hAnsi="Times New Roman" w:cs="Times New Roman"/>
        </w:rPr>
      </w:pPr>
      <w:r w:rsidRPr="00D1532D">
        <w:rPr>
          <w:rFonts w:ascii="Times New Roman" w:hAnsi="Times New Roman" w:cs="Times New Roman"/>
        </w:rPr>
        <w:lastRenderedPageBreak/>
        <w:t xml:space="preserve">On March 10, 2015, the Respondent filed an answer and preliminary objections.  The answer admits that the Respondent provides service to the Complainant at the address shown on the complaint.  The answer asserts that the Respondent received notices from </w:t>
      </w:r>
      <w:r w:rsidR="00785B2C" w:rsidRPr="00D1532D">
        <w:rPr>
          <w:rFonts w:ascii="Times New Roman" w:hAnsi="Times New Roman" w:cs="Times New Roman"/>
        </w:rPr>
        <w:t xml:space="preserve">various </w:t>
      </w:r>
      <w:r w:rsidR="003F3145" w:rsidRPr="00D1532D">
        <w:rPr>
          <w:rFonts w:ascii="Times New Roman" w:hAnsi="Times New Roman" w:cs="Times New Roman"/>
          <w:bCs/>
          <w:spacing w:val="-3"/>
        </w:rPr>
        <w:t>EGSs</w:t>
      </w:r>
      <w:r w:rsidRPr="00D1532D">
        <w:rPr>
          <w:rFonts w:ascii="Times New Roman" w:hAnsi="Times New Roman" w:cs="Times New Roman"/>
        </w:rPr>
        <w:t xml:space="preserve"> that the Complainant had selected those</w:t>
      </w:r>
      <w:r w:rsidR="00785B2C" w:rsidRPr="00D1532D">
        <w:rPr>
          <w:rFonts w:ascii="Times New Roman" w:hAnsi="Times New Roman" w:cs="Times New Roman"/>
        </w:rPr>
        <w:t xml:space="preserve"> </w:t>
      </w:r>
      <w:r w:rsidR="003F3145" w:rsidRPr="00D1532D">
        <w:rPr>
          <w:rFonts w:ascii="Times New Roman" w:hAnsi="Times New Roman" w:cs="Times New Roman"/>
          <w:bCs/>
          <w:spacing w:val="-3"/>
        </w:rPr>
        <w:t>EGS</w:t>
      </w:r>
      <w:r w:rsidR="00785B2C" w:rsidRPr="00D1532D">
        <w:rPr>
          <w:rFonts w:ascii="Times New Roman" w:hAnsi="Times New Roman" w:cs="Times New Roman"/>
        </w:rPr>
        <w:t>s, including Public Power, LLC</w:t>
      </w:r>
      <w:r w:rsidRPr="00D1532D">
        <w:rPr>
          <w:rFonts w:ascii="Times New Roman" w:hAnsi="Times New Roman" w:cs="Times New Roman"/>
        </w:rPr>
        <w:t xml:space="preserve"> to supply electricity to him.  The answer </w:t>
      </w:r>
      <w:r w:rsidR="00785B2C" w:rsidRPr="00D1532D">
        <w:rPr>
          <w:rFonts w:ascii="Times New Roman" w:hAnsi="Times New Roman" w:cs="Times New Roman"/>
        </w:rPr>
        <w:t xml:space="preserve">further </w:t>
      </w:r>
      <w:r w:rsidRPr="00D1532D">
        <w:rPr>
          <w:rFonts w:ascii="Times New Roman" w:hAnsi="Times New Roman" w:cs="Times New Roman"/>
        </w:rPr>
        <w:t>states that</w:t>
      </w:r>
      <w:r w:rsidR="00785B2C" w:rsidRPr="00D1532D">
        <w:rPr>
          <w:rFonts w:ascii="Times New Roman" w:hAnsi="Times New Roman" w:cs="Times New Roman"/>
        </w:rPr>
        <w:t xml:space="preserve"> the Respondent</w:t>
      </w:r>
      <w:r w:rsidRPr="00D1532D">
        <w:rPr>
          <w:rFonts w:ascii="Times New Roman" w:hAnsi="Times New Roman" w:cs="Times New Roman"/>
        </w:rPr>
        <w:t xml:space="preserve"> is not a party to the contract between the Complainant and Public Power, has no knowledge of the rate agreed upon, and</w:t>
      </w:r>
      <w:r w:rsidR="00785B2C" w:rsidRPr="00D1532D">
        <w:rPr>
          <w:rFonts w:ascii="Times New Roman" w:hAnsi="Times New Roman" w:cs="Times New Roman"/>
        </w:rPr>
        <w:t xml:space="preserve"> that</w:t>
      </w:r>
      <w:r w:rsidRPr="00D1532D">
        <w:rPr>
          <w:rFonts w:ascii="Times New Roman" w:hAnsi="Times New Roman" w:cs="Times New Roman"/>
        </w:rPr>
        <w:t xml:space="preserve"> the compl</w:t>
      </w:r>
      <w:r w:rsidR="006C092C" w:rsidRPr="00D1532D">
        <w:rPr>
          <w:rFonts w:ascii="Times New Roman" w:hAnsi="Times New Roman" w:cs="Times New Roman"/>
        </w:rPr>
        <w:t>aint is improperly brought</w:t>
      </w:r>
      <w:r w:rsidRPr="00D1532D">
        <w:rPr>
          <w:rFonts w:ascii="Times New Roman" w:hAnsi="Times New Roman" w:cs="Times New Roman"/>
        </w:rPr>
        <w:t xml:space="preserve"> against the Respondent.  The </w:t>
      </w:r>
      <w:r w:rsidR="005C776C" w:rsidRPr="00D1532D">
        <w:rPr>
          <w:rFonts w:ascii="Times New Roman" w:hAnsi="Times New Roman" w:cs="Times New Roman"/>
        </w:rPr>
        <w:t xml:space="preserve">answer </w:t>
      </w:r>
      <w:r w:rsidRPr="00D1532D">
        <w:rPr>
          <w:rFonts w:ascii="Times New Roman" w:hAnsi="Times New Roman" w:cs="Times New Roman"/>
        </w:rPr>
        <w:t>request</w:t>
      </w:r>
      <w:r w:rsidR="005C776C" w:rsidRPr="00D1532D">
        <w:rPr>
          <w:rFonts w:ascii="Times New Roman" w:hAnsi="Times New Roman" w:cs="Times New Roman"/>
        </w:rPr>
        <w:t>s</w:t>
      </w:r>
      <w:r w:rsidRPr="00D1532D">
        <w:rPr>
          <w:rFonts w:ascii="Times New Roman" w:hAnsi="Times New Roman" w:cs="Times New Roman"/>
        </w:rPr>
        <w:t xml:space="preserve"> that the Commission dismiss the complaint.</w:t>
      </w:r>
    </w:p>
    <w:p w:rsidR="00752AC6" w:rsidRPr="00D1532D" w:rsidRDefault="00752AC6" w:rsidP="00752AC6">
      <w:pPr>
        <w:tabs>
          <w:tab w:val="left" w:pos="-720"/>
        </w:tabs>
        <w:suppressAutoHyphens/>
        <w:autoSpaceDE w:val="0"/>
        <w:autoSpaceDN w:val="0"/>
        <w:spacing w:line="360" w:lineRule="auto"/>
        <w:ind w:firstLine="1350"/>
      </w:pPr>
    </w:p>
    <w:p w:rsidR="00752AC6" w:rsidRPr="00D1532D" w:rsidRDefault="00752AC6" w:rsidP="00752AC6">
      <w:pPr>
        <w:tabs>
          <w:tab w:val="left" w:pos="-720"/>
        </w:tabs>
        <w:suppressAutoHyphens/>
        <w:autoSpaceDE w:val="0"/>
        <w:autoSpaceDN w:val="0"/>
        <w:spacing w:line="360" w:lineRule="auto"/>
        <w:ind w:firstLine="1350"/>
      </w:pPr>
      <w:r w:rsidRPr="00D1532D">
        <w:t>The preliminary objections state that the complaint</w:t>
      </w:r>
      <w:r w:rsidR="00BF1E62" w:rsidRPr="00D1532D">
        <w:t xml:space="preserve"> disputes the rate t</w:t>
      </w:r>
      <w:r w:rsidR="00785B2C" w:rsidRPr="00D1532D">
        <w:t xml:space="preserve">he Complainant is paying his </w:t>
      </w:r>
      <w:r w:rsidR="003F3145" w:rsidRPr="00D1532D">
        <w:rPr>
          <w:bCs/>
          <w:spacing w:val="-3"/>
        </w:rPr>
        <w:t>EGS</w:t>
      </w:r>
      <w:r w:rsidRPr="00D1532D">
        <w:t xml:space="preserve">.  The preliminary objections argue that the complaint is legally insufficient because </w:t>
      </w:r>
      <w:r w:rsidR="00785B2C" w:rsidRPr="00D1532D">
        <w:t xml:space="preserve">the </w:t>
      </w:r>
      <w:r w:rsidRPr="00D1532D">
        <w:t xml:space="preserve">allegations in the complaint do not pertain to the Respondent.  According to the preliminary objections, </w:t>
      </w:r>
      <w:r w:rsidR="00BF1E62" w:rsidRPr="00D1532D">
        <w:t xml:space="preserve">the complaint does not allege any violation by </w:t>
      </w:r>
      <w:r w:rsidRPr="00D1532D">
        <w:t>the Respondent</w:t>
      </w:r>
      <w:r w:rsidR="00BF1E62" w:rsidRPr="00D1532D">
        <w:t xml:space="preserve"> of the Public Utility Code, Commission regulations, or the Respondent’s tariff</w:t>
      </w:r>
      <w:r w:rsidR="008E5C3A">
        <w:t>.  R</w:t>
      </w:r>
      <w:bookmarkStart w:id="0" w:name="_GoBack"/>
      <w:bookmarkEnd w:id="0"/>
      <w:r w:rsidR="00785B2C" w:rsidRPr="00D1532D">
        <w:t xml:space="preserve">ather it alleges that the </w:t>
      </w:r>
      <w:r w:rsidR="003F3145" w:rsidRPr="00D1532D">
        <w:rPr>
          <w:bCs/>
          <w:spacing w:val="-3"/>
        </w:rPr>
        <w:t>EGS</w:t>
      </w:r>
      <w:r w:rsidR="00785B2C" w:rsidRPr="00D1532D">
        <w:t>’s rates have tripled.</w:t>
      </w:r>
      <w:r w:rsidRPr="00D1532D">
        <w:t xml:space="preserve">  The preliminary objections request that the Commission dismiss the complaint</w:t>
      </w:r>
      <w:r w:rsidR="00B67C5F" w:rsidRPr="00D1532D">
        <w:t xml:space="preserve"> against the Respondent</w:t>
      </w:r>
      <w:r w:rsidRPr="00D1532D">
        <w:t>.</w:t>
      </w:r>
    </w:p>
    <w:p w:rsidR="006C092C" w:rsidRPr="00D1532D" w:rsidRDefault="006C092C" w:rsidP="00752AC6">
      <w:pPr>
        <w:tabs>
          <w:tab w:val="left" w:pos="-720"/>
        </w:tabs>
        <w:suppressAutoHyphens/>
        <w:autoSpaceDE w:val="0"/>
        <w:autoSpaceDN w:val="0"/>
        <w:spacing w:line="360" w:lineRule="auto"/>
        <w:ind w:firstLine="1350"/>
      </w:pPr>
    </w:p>
    <w:p w:rsidR="006C092C" w:rsidRPr="00D1532D" w:rsidRDefault="006C092C" w:rsidP="00752AC6">
      <w:pPr>
        <w:tabs>
          <w:tab w:val="left" w:pos="-720"/>
        </w:tabs>
        <w:suppressAutoHyphens/>
        <w:autoSpaceDE w:val="0"/>
        <w:autoSpaceDN w:val="0"/>
        <w:spacing w:line="360" w:lineRule="auto"/>
        <w:ind w:firstLine="1350"/>
      </w:pPr>
      <w:r w:rsidRPr="00D1532D">
        <w:t>On March 20, 2015, Public filed an answer to the Complaint.  The answer denies that Public tripled the Complainant’s bill.  According to the answer, the Complainant’s increased electricity usage caused his electric bills to increase.  Public’s answer requests that the Commission dismiss the complaint against Public.</w:t>
      </w:r>
    </w:p>
    <w:p w:rsidR="00752AC6" w:rsidRPr="00D1532D" w:rsidRDefault="00752AC6" w:rsidP="000C409B"/>
    <w:p w:rsidR="008C0B6A" w:rsidRPr="00D1532D" w:rsidRDefault="00F538BB" w:rsidP="00CF56BA">
      <w:pPr>
        <w:pStyle w:val="ParaTab1"/>
        <w:spacing w:line="360" w:lineRule="auto"/>
        <w:ind w:left="90" w:firstLine="1350"/>
        <w:rPr>
          <w:rFonts w:ascii="Times New Roman" w:hAnsi="Times New Roman" w:cs="Times New Roman"/>
        </w:rPr>
      </w:pPr>
      <w:r w:rsidRPr="00D1532D">
        <w:rPr>
          <w:rFonts w:ascii="Times New Roman" w:hAnsi="Times New Roman" w:cs="Times New Roman"/>
        </w:rPr>
        <w:t>By notice dated March 27, 2015, the Commission notified the parties that it had assigned the case to me as motion judge.  As of the date of this decision, the Complainant has not filed an answer to the</w:t>
      </w:r>
      <w:r w:rsidR="005A0880" w:rsidRPr="00D1532D">
        <w:rPr>
          <w:rFonts w:ascii="Times New Roman" w:hAnsi="Times New Roman" w:cs="Times New Roman"/>
        </w:rPr>
        <w:t xml:space="preserve"> Respondent’s</w:t>
      </w:r>
      <w:r w:rsidRPr="00D1532D">
        <w:rPr>
          <w:rFonts w:ascii="Times New Roman" w:hAnsi="Times New Roman" w:cs="Times New Roman"/>
        </w:rPr>
        <w:t xml:space="preserve"> preliminary objections.  The preliminary objections are ready for decision.  For the reasons set forth below, I will sustain the preliminary objections and dismiss the complaint as it</w:t>
      </w:r>
      <w:r w:rsidR="005A0880" w:rsidRPr="00D1532D">
        <w:rPr>
          <w:rFonts w:ascii="Times New Roman" w:hAnsi="Times New Roman" w:cs="Times New Roman"/>
        </w:rPr>
        <w:t xml:space="preserve"> pertains to the Respondent</w:t>
      </w:r>
      <w:r w:rsidRPr="00D1532D">
        <w:rPr>
          <w:rFonts w:ascii="Times New Roman" w:hAnsi="Times New Roman" w:cs="Times New Roman"/>
        </w:rPr>
        <w:t>.</w:t>
      </w:r>
    </w:p>
    <w:p w:rsidR="002A3176" w:rsidRPr="00D1532D" w:rsidRDefault="002A3176" w:rsidP="009A1D98">
      <w:pPr>
        <w:spacing w:line="360" w:lineRule="auto"/>
        <w:ind w:firstLine="1440"/>
      </w:pPr>
    </w:p>
    <w:p w:rsidR="00CE60DD" w:rsidRPr="00D1532D" w:rsidRDefault="00CD6D25" w:rsidP="003D5B61">
      <w:pPr>
        <w:spacing w:line="360" w:lineRule="auto"/>
        <w:jc w:val="center"/>
        <w:rPr>
          <w:u w:val="single"/>
        </w:rPr>
      </w:pPr>
      <w:r w:rsidRPr="00D1532D">
        <w:rPr>
          <w:u w:val="single"/>
        </w:rPr>
        <w:t>FINDINGS OF FACT</w:t>
      </w:r>
    </w:p>
    <w:p w:rsidR="003D5B61" w:rsidRPr="00D1532D" w:rsidRDefault="003D5B61" w:rsidP="003D5B61">
      <w:pPr>
        <w:spacing w:line="360" w:lineRule="auto"/>
        <w:ind w:left="2160"/>
      </w:pPr>
    </w:p>
    <w:p w:rsidR="00CF56BA" w:rsidRDefault="00CF56BA" w:rsidP="00CF56BA">
      <w:pPr>
        <w:autoSpaceDE w:val="0"/>
        <w:autoSpaceDN w:val="0"/>
        <w:spacing w:line="360" w:lineRule="auto"/>
      </w:pPr>
      <w:r w:rsidRPr="00D1532D">
        <w:tab/>
      </w:r>
      <w:r w:rsidRPr="00D1532D">
        <w:tab/>
        <w:t>1.</w:t>
      </w:r>
      <w:r w:rsidRPr="00D1532D">
        <w:tab/>
        <w:t>The Complainant in this case is Michael A. Rizzo.</w:t>
      </w:r>
    </w:p>
    <w:p w:rsidR="00D1532D" w:rsidRPr="00D1532D" w:rsidRDefault="00D1532D" w:rsidP="00CF56BA">
      <w:pPr>
        <w:autoSpaceDE w:val="0"/>
        <w:autoSpaceDN w:val="0"/>
        <w:spacing w:line="360" w:lineRule="auto"/>
      </w:pPr>
    </w:p>
    <w:p w:rsidR="00CF56BA" w:rsidRPr="00D1532D" w:rsidRDefault="00CF56BA" w:rsidP="00CF56BA">
      <w:pPr>
        <w:autoSpaceDE w:val="0"/>
        <w:autoSpaceDN w:val="0"/>
        <w:spacing w:line="360" w:lineRule="auto"/>
      </w:pPr>
      <w:r w:rsidRPr="00D1532D">
        <w:lastRenderedPageBreak/>
        <w:tab/>
      </w:r>
      <w:r w:rsidRPr="00D1532D">
        <w:tab/>
        <w:t>2.</w:t>
      </w:r>
      <w:r w:rsidRPr="00D1532D">
        <w:tab/>
        <w:t>The Respondent in this case is PECO Energy Company.</w:t>
      </w:r>
    </w:p>
    <w:p w:rsidR="00CF56BA" w:rsidRPr="00D1532D" w:rsidRDefault="00CF56BA" w:rsidP="00CF56BA">
      <w:pPr>
        <w:autoSpaceDE w:val="0"/>
        <w:autoSpaceDN w:val="0"/>
        <w:spacing w:line="360" w:lineRule="auto"/>
      </w:pPr>
    </w:p>
    <w:p w:rsidR="00CF56BA" w:rsidRPr="00D1532D" w:rsidRDefault="00CF56BA" w:rsidP="00CF56BA">
      <w:pPr>
        <w:autoSpaceDE w:val="0"/>
        <w:autoSpaceDN w:val="0"/>
        <w:spacing w:line="360" w:lineRule="auto"/>
      </w:pPr>
      <w:r w:rsidRPr="00D1532D">
        <w:tab/>
      </w:r>
      <w:r w:rsidRPr="00D1532D">
        <w:tab/>
        <w:t>3.</w:t>
      </w:r>
      <w:r w:rsidRPr="00D1532D">
        <w:tab/>
        <w:t>On February 2, 2015, the Complainant filed a complaint with the Commission against the Respondent.</w:t>
      </w:r>
    </w:p>
    <w:p w:rsidR="00CF56BA" w:rsidRPr="00D1532D" w:rsidRDefault="00CF56BA" w:rsidP="00CF56BA">
      <w:pPr>
        <w:autoSpaceDE w:val="0"/>
        <w:autoSpaceDN w:val="0"/>
        <w:spacing w:line="360" w:lineRule="auto"/>
      </w:pPr>
    </w:p>
    <w:p w:rsidR="00CF56BA" w:rsidRPr="00D1532D" w:rsidRDefault="00CF56BA" w:rsidP="00CF56BA">
      <w:pPr>
        <w:autoSpaceDE w:val="0"/>
        <w:autoSpaceDN w:val="0"/>
        <w:spacing w:line="360" w:lineRule="auto"/>
      </w:pPr>
      <w:r w:rsidRPr="00D1532D">
        <w:tab/>
      </w:r>
      <w:r w:rsidRPr="00D1532D">
        <w:tab/>
        <w:t>4.</w:t>
      </w:r>
      <w:r w:rsidRPr="00D1532D">
        <w:tab/>
        <w:t>The Respondent filed an answer on March 10, 2015.</w:t>
      </w:r>
    </w:p>
    <w:p w:rsidR="00CF56BA" w:rsidRPr="00D1532D" w:rsidRDefault="00CF56BA" w:rsidP="00CF56BA">
      <w:pPr>
        <w:autoSpaceDE w:val="0"/>
        <w:autoSpaceDN w:val="0"/>
        <w:spacing w:line="360" w:lineRule="auto"/>
      </w:pPr>
    </w:p>
    <w:p w:rsidR="00CF56BA" w:rsidRPr="00D1532D" w:rsidRDefault="00CF56BA" w:rsidP="00CF56BA">
      <w:pPr>
        <w:autoSpaceDE w:val="0"/>
        <w:autoSpaceDN w:val="0"/>
        <w:spacing w:line="360" w:lineRule="auto"/>
      </w:pPr>
      <w:r w:rsidRPr="00D1532D">
        <w:tab/>
      </w:r>
      <w:r w:rsidRPr="00D1532D">
        <w:tab/>
        <w:t>5.</w:t>
      </w:r>
      <w:r w:rsidRPr="00D1532D">
        <w:tab/>
        <w:t>On March 10, 2015, the Respondent filed preliminary objections.</w:t>
      </w:r>
    </w:p>
    <w:p w:rsidR="00CF56BA" w:rsidRPr="00D1532D" w:rsidRDefault="00CF56BA" w:rsidP="00CF56BA">
      <w:pPr>
        <w:autoSpaceDE w:val="0"/>
        <w:autoSpaceDN w:val="0"/>
        <w:spacing w:line="360" w:lineRule="auto"/>
      </w:pPr>
    </w:p>
    <w:p w:rsidR="00CF56BA" w:rsidRPr="00D1532D" w:rsidRDefault="00CF56BA" w:rsidP="00CD176B">
      <w:pPr>
        <w:autoSpaceDE w:val="0"/>
        <w:autoSpaceDN w:val="0"/>
        <w:spacing w:line="360" w:lineRule="auto"/>
      </w:pPr>
      <w:r w:rsidRPr="00D1532D">
        <w:tab/>
      </w:r>
      <w:r w:rsidRPr="00D1532D">
        <w:tab/>
        <w:t>6.</w:t>
      </w:r>
      <w:r w:rsidRPr="00D1532D">
        <w:tab/>
        <w:t>The Complainant did not file an answer to the Respondent’s preliminary objections.</w:t>
      </w:r>
    </w:p>
    <w:p w:rsidR="00785B2C" w:rsidRPr="00D1532D" w:rsidRDefault="00785B2C" w:rsidP="00CD176B">
      <w:pPr>
        <w:autoSpaceDE w:val="0"/>
        <w:autoSpaceDN w:val="0"/>
        <w:spacing w:line="360" w:lineRule="auto"/>
      </w:pPr>
    </w:p>
    <w:p w:rsidR="00CD6D25" w:rsidRPr="00D1532D" w:rsidRDefault="00CD6D25" w:rsidP="00CD6D25">
      <w:pPr>
        <w:spacing w:line="360" w:lineRule="auto"/>
        <w:jc w:val="center"/>
        <w:rPr>
          <w:u w:val="single"/>
        </w:rPr>
      </w:pPr>
      <w:r w:rsidRPr="00D1532D">
        <w:rPr>
          <w:u w:val="single"/>
        </w:rPr>
        <w:t>DISCUSSION</w:t>
      </w:r>
    </w:p>
    <w:p w:rsidR="008463A8" w:rsidRPr="00D1532D" w:rsidRDefault="008463A8" w:rsidP="00CD6D25">
      <w:pPr>
        <w:spacing w:line="360" w:lineRule="auto"/>
        <w:ind w:firstLine="1440"/>
      </w:pPr>
    </w:p>
    <w:p w:rsidR="00CD176B" w:rsidRPr="00D1532D" w:rsidRDefault="00CD176B" w:rsidP="00CD176B">
      <w:pPr>
        <w:autoSpaceDE w:val="0"/>
        <w:autoSpaceDN w:val="0"/>
        <w:spacing w:line="360" w:lineRule="auto"/>
        <w:ind w:firstLine="1440"/>
      </w:pPr>
      <w:r w:rsidRPr="00D1532D">
        <w:t>The Commission’s Rules of Practice and Procedure permit parties to file preliminary objections.  The grounds for preliminary objections are limited to those set forth in 52 Pa.Code §</w:t>
      </w:r>
      <w:r w:rsidR="003F3145" w:rsidRPr="00D1532D">
        <w:t xml:space="preserve"> </w:t>
      </w:r>
      <w:r w:rsidRPr="00D1532D">
        <w:t>5.101(a) as follows:</w:t>
      </w:r>
    </w:p>
    <w:p w:rsidR="00CD176B" w:rsidRPr="00D1532D" w:rsidRDefault="00CD176B" w:rsidP="00CD176B">
      <w:pPr>
        <w:autoSpaceDE w:val="0"/>
        <w:autoSpaceDN w:val="0"/>
        <w:spacing w:line="360" w:lineRule="auto"/>
      </w:pPr>
    </w:p>
    <w:p w:rsidR="00CD176B" w:rsidRPr="00D1532D" w:rsidRDefault="00CD176B" w:rsidP="00CD176B">
      <w:pPr>
        <w:widowControl w:val="0"/>
        <w:numPr>
          <w:ilvl w:val="0"/>
          <w:numId w:val="36"/>
        </w:numPr>
        <w:autoSpaceDE w:val="0"/>
        <w:autoSpaceDN w:val="0"/>
        <w:adjustRightInd w:val="0"/>
        <w:ind w:left="1440" w:right="1350" w:firstLine="720"/>
      </w:pPr>
      <w:r w:rsidRPr="00D1532D">
        <w:t>Lack of Commission jurisdiction or improper service of the pleading initiating the proceeding.</w:t>
      </w:r>
    </w:p>
    <w:p w:rsidR="00CD176B" w:rsidRPr="00D1532D" w:rsidRDefault="00CD176B" w:rsidP="00CD176B">
      <w:pPr>
        <w:autoSpaceDE w:val="0"/>
        <w:autoSpaceDN w:val="0"/>
        <w:ind w:left="1440" w:right="1350"/>
      </w:pPr>
    </w:p>
    <w:p w:rsidR="00CD176B" w:rsidRPr="00D1532D" w:rsidRDefault="00CD176B" w:rsidP="00CD176B">
      <w:pPr>
        <w:widowControl w:val="0"/>
        <w:numPr>
          <w:ilvl w:val="0"/>
          <w:numId w:val="36"/>
        </w:numPr>
        <w:autoSpaceDE w:val="0"/>
        <w:autoSpaceDN w:val="0"/>
        <w:adjustRightInd w:val="0"/>
        <w:ind w:left="1440" w:right="1350" w:firstLine="720"/>
      </w:pPr>
      <w:r w:rsidRPr="00D1532D">
        <w:t>Failure of a pleading to conform to this chapter or the inclusion of scandalous or impertinent matter.</w:t>
      </w:r>
    </w:p>
    <w:p w:rsidR="00CD176B" w:rsidRPr="00D1532D" w:rsidRDefault="00CD176B" w:rsidP="00CD176B">
      <w:pPr>
        <w:autoSpaceDE w:val="0"/>
        <w:autoSpaceDN w:val="0"/>
        <w:ind w:left="1440" w:right="1350"/>
      </w:pPr>
    </w:p>
    <w:p w:rsidR="00CD176B" w:rsidRPr="00D1532D" w:rsidRDefault="00CD176B" w:rsidP="00CD176B">
      <w:pPr>
        <w:widowControl w:val="0"/>
        <w:numPr>
          <w:ilvl w:val="0"/>
          <w:numId w:val="36"/>
        </w:numPr>
        <w:autoSpaceDE w:val="0"/>
        <w:autoSpaceDN w:val="0"/>
        <w:adjustRightInd w:val="0"/>
        <w:ind w:left="1440" w:right="1350" w:firstLine="720"/>
      </w:pPr>
      <w:r w:rsidRPr="00D1532D">
        <w:t>Insufficient specificity of a pleading.</w:t>
      </w:r>
    </w:p>
    <w:p w:rsidR="00CD176B" w:rsidRPr="00D1532D" w:rsidRDefault="00CD176B" w:rsidP="00CD176B">
      <w:pPr>
        <w:autoSpaceDE w:val="0"/>
        <w:autoSpaceDN w:val="0"/>
        <w:ind w:left="1440" w:right="1350"/>
      </w:pPr>
    </w:p>
    <w:p w:rsidR="00CD176B" w:rsidRPr="00D1532D" w:rsidRDefault="00CD176B" w:rsidP="00CD176B">
      <w:pPr>
        <w:widowControl w:val="0"/>
        <w:numPr>
          <w:ilvl w:val="0"/>
          <w:numId w:val="36"/>
        </w:numPr>
        <w:autoSpaceDE w:val="0"/>
        <w:autoSpaceDN w:val="0"/>
        <w:adjustRightInd w:val="0"/>
        <w:ind w:left="1440" w:right="1350" w:firstLine="720"/>
      </w:pPr>
      <w:r w:rsidRPr="00D1532D">
        <w:t>Legal insufficiency of a pleading.</w:t>
      </w:r>
    </w:p>
    <w:p w:rsidR="00CD176B" w:rsidRPr="00D1532D" w:rsidRDefault="00CD176B" w:rsidP="00CD176B">
      <w:pPr>
        <w:autoSpaceDE w:val="0"/>
        <w:autoSpaceDN w:val="0"/>
        <w:ind w:left="1440" w:right="1350"/>
      </w:pPr>
    </w:p>
    <w:p w:rsidR="00CD176B" w:rsidRPr="00D1532D" w:rsidRDefault="00CD176B" w:rsidP="00CD176B">
      <w:pPr>
        <w:widowControl w:val="0"/>
        <w:numPr>
          <w:ilvl w:val="0"/>
          <w:numId w:val="36"/>
        </w:numPr>
        <w:autoSpaceDE w:val="0"/>
        <w:autoSpaceDN w:val="0"/>
        <w:adjustRightInd w:val="0"/>
        <w:ind w:left="1440" w:right="1350" w:firstLine="720"/>
      </w:pPr>
      <w:r w:rsidRPr="00D1532D">
        <w:t xml:space="preserve">Lack of capacity to sue, </w:t>
      </w:r>
      <w:proofErr w:type="spellStart"/>
      <w:r w:rsidRPr="00D1532D">
        <w:t>nonjoinder</w:t>
      </w:r>
      <w:proofErr w:type="spellEnd"/>
      <w:r w:rsidRPr="00D1532D">
        <w:t xml:space="preserve"> of a necessary party or misjoinder of a cause of action.</w:t>
      </w:r>
    </w:p>
    <w:p w:rsidR="00CD176B" w:rsidRPr="00D1532D" w:rsidRDefault="00CD176B" w:rsidP="00CD176B">
      <w:pPr>
        <w:autoSpaceDE w:val="0"/>
        <w:autoSpaceDN w:val="0"/>
        <w:ind w:left="1440" w:right="1350"/>
      </w:pPr>
    </w:p>
    <w:p w:rsidR="00CD176B" w:rsidRPr="00D1532D" w:rsidRDefault="00CD176B" w:rsidP="00CD176B">
      <w:pPr>
        <w:widowControl w:val="0"/>
        <w:numPr>
          <w:ilvl w:val="0"/>
          <w:numId w:val="36"/>
        </w:numPr>
        <w:autoSpaceDE w:val="0"/>
        <w:autoSpaceDN w:val="0"/>
        <w:adjustRightInd w:val="0"/>
        <w:ind w:left="1440" w:right="1350" w:firstLine="720"/>
      </w:pPr>
      <w:r w:rsidRPr="00D1532D">
        <w:t>Pendency of a prior proceeding or agreement for alternative dispute resolution.</w:t>
      </w:r>
    </w:p>
    <w:p w:rsidR="00CA5CCA" w:rsidRPr="00D1532D" w:rsidRDefault="00CA5CCA" w:rsidP="00CA5CCA">
      <w:pPr>
        <w:widowControl w:val="0"/>
        <w:autoSpaceDE w:val="0"/>
        <w:autoSpaceDN w:val="0"/>
        <w:adjustRightInd w:val="0"/>
        <w:ind w:right="1350"/>
      </w:pPr>
    </w:p>
    <w:p w:rsidR="00CA5CCA" w:rsidRPr="00D1532D" w:rsidRDefault="00CA5CCA" w:rsidP="00CA5CCA">
      <w:pPr>
        <w:widowControl w:val="0"/>
        <w:autoSpaceDE w:val="0"/>
        <w:autoSpaceDN w:val="0"/>
        <w:adjustRightInd w:val="0"/>
        <w:ind w:right="1350"/>
      </w:pPr>
      <w:r w:rsidRPr="00D1532D">
        <w:tab/>
      </w:r>
      <w:r w:rsidRPr="00D1532D">
        <w:tab/>
      </w:r>
      <w:r w:rsidRPr="00D1532D">
        <w:tab/>
        <w:t>7.</w:t>
      </w:r>
      <w:r w:rsidRPr="00D1532D">
        <w:tab/>
        <w:t>Standing of a party to participate in the proceeding.</w:t>
      </w:r>
    </w:p>
    <w:p w:rsidR="00CD176B" w:rsidRPr="00D1532D" w:rsidRDefault="00CD176B" w:rsidP="00CD176B">
      <w:pPr>
        <w:tabs>
          <w:tab w:val="left" w:pos="-720"/>
        </w:tabs>
        <w:suppressAutoHyphens/>
        <w:autoSpaceDE w:val="0"/>
        <w:autoSpaceDN w:val="0"/>
        <w:spacing w:line="360" w:lineRule="auto"/>
        <w:ind w:right="1354"/>
      </w:pPr>
    </w:p>
    <w:p w:rsidR="00CD176B" w:rsidRPr="00D1532D" w:rsidRDefault="00CD176B" w:rsidP="00CD176B">
      <w:pPr>
        <w:tabs>
          <w:tab w:val="left" w:pos="-720"/>
        </w:tabs>
        <w:suppressAutoHyphens/>
        <w:autoSpaceDE w:val="0"/>
        <w:autoSpaceDN w:val="0"/>
        <w:spacing w:line="360" w:lineRule="auto"/>
        <w:ind w:firstLine="1350"/>
      </w:pPr>
      <w:r w:rsidRPr="00D1532D">
        <w:t>Here, the Respondent’s preliminary objections assert that the complaint is legally insufficient</w:t>
      </w:r>
      <w:r w:rsidR="005B1E71" w:rsidRPr="00D1532D">
        <w:t>,</w:t>
      </w:r>
      <w:r w:rsidRPr="00D1532D">
        <w:t xml:space="preserve"> pursuant to 52 Pa.Code §</w:t>
      </w:r>
      <w:r w:rsidR="003F3145" w:rsidRPr="00D1532D">
        <w:t xml:space="preserve"> </w:t>
      </w:r>
      <w:r w:rsidRPr="00D1532D">
        <w:t xml:space="preserve">5.101(a)(4), in that the complaint fails to allege that the </w:t>
      </w:r>
      <w:r w:rsidRPr="00D1532D">
        <w:lastRenderedPageBreak/>
        <w:t>Respondent has violated the Public Utility Code, Commission regulations</w:t>
      </w:r>
      <w:r w:rsidR="00785B2C" w:rsidRPr="00D1532D">
        <w:t>,</w:t>
      </w:r>
      <w:r w:rsidRPr="00D1532D">
        <w:t xml:space="preserve"> or Commission orders.  I agree.</w:t>
      </w:r>
    </w:p>
    <w:p w:rsidR="00CD176B" w:rsidRPr="00D1532D" w:rsidRDefault="00CD176B" w:rsidP="00CD176B">
      <w:pPr>
        <w:tabs>
          <w:tab w:val="left" w:pos="-720"/>
        </w:tabs>
        <w:suppressAutoHyphens/>
        <w:autoSpaceDE w:val="0"/>
        <w:autoSpaceDN w:val="0"/>
        <w:spacing w:line="360" w:lineRule="auto"/>
      </w:pPr>
    </w:p>
    <w:p w:rsidR="00CD176B" w:rsidRPr="00D1532D" w:rsidRDefault="00CD176B" w:rsidP="00CD176B">
      <w:pPr>
        <w:tabs>
          <w:tab w:val="left" w:pos="-720"/>
        </w:tabs>
        <w:suppressAutoHyphens/>
        <w:autoSpaceDE w:val="0"/>
        <w:autoSpaceDN w:val="0"/>
        <w:spacing w:line="360" w:lineRule="auto"/>
        <w:ind w:firstLine="1350"/>
      </w:pPr>
      <w:r w:rsidRPr="00D1532D">
        <w:t xml:space="preserve">Commission preliminary objection practice is analogous to Pennsylvania civil practice regarding preliminary objections.  </w:t>
      </w:r>
      <w:r w:rsidRPr="00D1532D">
        <w:rPr>
          <w:u w:val="single"/>
        </w:rPr>
        <w:t>Equitable Small Transportation Intervenors v. Equitable Gas Company</w:t>
      </w:r>
      <w:r w:rsidRPr="00D1532D">
        <w:t>, 1994 Pa PUC LEXIS 69, Docket No. C</w:t>
      </w:r>
      <w:r w:rsidRPr="00D1532D">
        <w:noBreakHyphen/>
        <w:t xml:space="preserve">00935435 (July 18, 1994).  Preliminary objections in civil practice requesting dismissal of a pleading will be granted only where the right to relief is clearly warranted and free from doubt.  </w:t>
      </w:r>
      <w:proofErr w:type="gramStart"/>
      <w:r w:rsidRPr="00D1532D">
        <w:rPr>
          <w:u w:val="single"/>
        </w:rPr>
        <w:t xml:space="preserve">Interstate </w:t>
      </w:r>
      <w:proofErr w:type="spellStart"/>
      <w:r w:rsidRPr="00D1532D">
        <w:rPr>
          <w:u w:val="single"/>
        </w:rPr>
        <w:t>Traveller</w:t>
      </w:r>
      <w:proofErr w:type="spellEnd"/>
      <w:r w:rsidRPr="00D1532D">
        <w:rPr>
          <w:u w:val="single"/>
        </w:rPr>
        <w:t xml:space="preserve"> Services, Inc. v. Pa. Dept. of Environment Resources</w:t>
      </w:r>
      <w:r w:rsidRPr="00D1532D">
        <w:t xml:space="preserve">, 406 A.2d 1020 (Pa. 1979); </w:t>
      </w:r>
      <w:r w:rsidRPr="00D1532D">
        <w:rPr>
          <w:u w:val="single"/>
        </w:rPr>
        <w:t>Rivera v. Philadelphia Theological Seminary of St. Charles Borromeo, Inc.</w:t>
      </w:r>
      <w:r w:rsidRPr="00D1532D">
        <w:t>, 595 A.2d 172 (Pa. Super. 1991).</w:t>
      </w:r>
      <w:proofErr w:type="gramEnd"/>
      <w:r w:rsidRPr="00D1532D">
        <w:t xml:space="preserve">  The Commission follows this standard.  </w:t>
      </w:r>
      <w:proofErr w:type="gramStart"/>
      <w:r w:rsidRPr="00D1532D">
        <w:rPr>
          <w:u w:val="single"/>
        </w:rPr>
        <w:t>Montague v. Philadelphia Electric Company</w:t>
      </w:r>
      <w:r w:rsidRPr="00D1532D">
        <w:t>, 66 Pa. PUC 24 (1988).</w:t>
      </w:r>
      <w:proofErr w:type="gramEnd"/>
    </w:p>
    <w:p w:rsidR="00CD176B" w:rsidRPr="00D1532D" w:rsidRDefault="00CD176B" w:rsidP="00CD176B">
      <w:pPr>
        <w:tabs>
          <w:tab w:val="left" w:pos="-720"/>
        </w:tabs>
        <w:suppressAutoHyphens/>
        <w:autoSpaceDE w:val="0"/>
        <w:autoSpaceDN w:val="0"/>
        <w:spacing w:line="360" w:lineRule="auto"/>
        <w:ind w:firstLine="1350"/>
      </w:pPr>
    </w:p>
    <w:p w:rsidR="00CD176B" w:rsidRPr="00D1532D" w:rsidRDefault="00CD176B" w:rsidP="00CD176B">
      <w:pPr>
        <w:tabs>
          <w:tab w:val="left" w:pos="-720"/>
        </w:tabs>
        <w:suppressAutoHyphens/>
        <w:autoSpaceDE w:val="0"/>
        <w:autoSpaceDN w:val="0"/>
        <w:spacing w:line="360" w:lineRule="auto"/>
        <w:ind w:firstLine="1350"/>
      </w:pPr>
      <w:r w:rsidRPr="00D1532D">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D1532D">
        <w:rPr>
          <w:u w:val="single"/>
        </w:rPr>
        <w:t>County of Allegheny v. Commonwealth of Pennsylvania</w:t>
      </w:r>
      <w:r w:rsidRPr="00D1532D">
        <w:t xml:space="preserve">, 490 A. 2d 402 (Pa. 1985); </w:t>
      </w:r>
      <w:r w:rsidRPr="00D1532D">
        <w:rPr>
          <w:u w:val="single"/>
        </w:rPr>
        <w:t>Commonwealth of Pennsylvania v. Bell Telephone Co. of Pa.</w:t>
      </w:r>
      <w:r w:rsidRPr="00D1532D">
        <w:t>, 551 A.2d 602 (Pa. Cmwlth. 1988).</w:t>
      </w:r>
      <w:proofErr w:type="gramEnd"/>
      <w:r w:rsidRPr="00D1532D">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D1532D">
        <w:rPr>
          <w:u w:val="single"/>
        </w:rPr>
        <w:t>Equitable Small Transportation Intervenors v. Equitable Gas Company</w:t>
      </w:r>
      <w:r w:rsidRPr="00D1532D">
        <w:t xml:space="preserve">, 1994 Pa PUC LEXIS 69, Docket No. </w:t>
      </w:r>
      <w:proofErr w:type="gramStart"/>
      <w:r w:rsidRPr="00D1532D">
        <w:t>C-00935435 (July 18, 1994).</w:t>
      </w:r>
      <w:proofErr w:type="gramEnd"/>
    </w:p>
    <w:p w:rsidR="00CD176B" w:rsidRPr="00D1532D" w:rsidRDefault="00CD176B" w:rsidP="00CD176B">
      <w:pPr>
        <w:tabs>
          <w:tab w:val="left" w:pos="-720"/>
        </w:tabs>
        <w:suppressAutoHyphens/>
        <w:autoSpaceDE w:val="0"/>
        <w:autoSpaceDN w:val="0"/>
        <w:spacing w:line="360" w:lineRule="auto"/>
      </w:pPr>
    </w:p>
    <w:p w:rsidR="00CD176B" w:rsidRPr="00D1532D" w:rsidRDefault="00CD176B" w:rsidP="00CD176B">
      <w:pPr>
        <w:tabs>
          <w:tab w:val="left" w:pos="-720"/>
        </w:tabs>
        <w:suppressAutoHyphens/>
        <w:autoSpaceDE w:val="0"/>
        <w:autoSpaceDN w:val="0"/>
        <w:spacing w:line="360" w:lineRule="auto"/>
        <w:ind w:firstLine="1350"/>
      </w:pPr>
      <w:r w:rsidRPr="00D1532D">
        <w:t>The Commission regulation at 52 Pa.Code §</w:t>
      </w:r>
      <w:r w:rsidR="004B5DF8" w:rsidRPr="00D1532D">
        <w:t xml:space="preserve"> </w:t>
      </w:r>
      <w:r w:rsidRPr="00D1532D">
        <w:t>5.21(a) states that a person may file a formal complaint claiming a violation of a statute that the Commission has jurisdiction to administer.  The regulation at 52 Pa.Code §</w:t>
      </w:r>
      <w:r w:rsidR="004B5DF8" w:rsidRPr="00D1532D">
        <w:t xml:space="preserve"> </w:t>
      </w:r>
      <w:r w:rsidRPr="00D1532D">
        <w:t>5.21(d) authorizes the Commission to dismiss a complaint if a hearing is not necessary and authorizes preliminary objections to be filed in response to a complaint.</w:t>
      </w:r>
    </w:p>
    <w:p w:rsidR="00CD176B" w:rsidRPr="00D1532D" w:rsidRDefault="00CD176B" w:rsidP="00CD176B">
      <w:pPr>
        <w:tabs>
          <w:tab w:val="left" w:pos="-720"/>
        </w:tabs>
        <w:suppressAutoHyphens/>
        <w:autoSpaceDE w:val="0"/>
        <w:autoSpaceDN w:val="0"/>
        <w:spacing w:line="360" w:lineRule="auto"/>
      </w:pPr>
    </w:p>
    <w:p w:rsidR="00CD176B" w:rsidRPr="00D1532D" w:rsidRDefault="00CD176B" w:rsidP="00CD176B">
      <w:pPr>
        <w:tabs>
          <w:tab w:val="left" w:pos="-720"/>
        </w:tabs>
        <w:suppressAutoHyphens/>
        <w:autoSpaceDE w:val="0"/>
        <w:autoSpaceDN w:val="0"/>
        <w:spacing w:line="360" w:lineRule="auto"/>
        <w:ind w:firstLine="1350"/>
      </w:pPr>
      <w:r w:rsidRPr="00D1532D">
        <w:t>The regulation at 52 Pa.Code §</w:t>
      </w:r>
      <w:r w:rsidR="004B5DF8" w:rsidRPr="00D1532D">
        <w:t xml:space="preserve"> </w:t>
      </w:r>
      <w:r w:rsidRPr="00D1532D">
        <w:t>5.101(a</w:t>
      </w:r>
      <w:proofErr w:type="gramStart"/>
      <w:r w:rsidRPr="00D1532D">
        <w:t>)(</w:t>
      </w:r>
      <w:proofErr w:type="gramEnd"/>
      <w:r w:rsidRPr="00D1532D">
        <w:t>4) permits the filing of a preliminary objection to dismiss a pleading for legal insufficiency.  The provision at 52 Pa.Code §</w:t>
      </w:r>
      <w:r w:rsidR="00D1532D" w:rsidRPr="00D1532D">
        <w:t> </w:t>
      </w:r>
      <w:r w:rsidRPr="00D1532D">
        <w:t>5.101(a</w:t>
      </w:r>
      <w:proofErr w:type="gramStart"/>
      <w:r w:rsidRPr="00D1532D">
        <w:t>)(</w:t>
      </w:r>
      <w:proofErr w:type="gramEnd"/>
      <w:r w:rsidRPr="00D1532D">
        <w:t xml:space="preserve">4) serves judicial economy by avoiding a hearing where no factual dispute exists.  If </w:t>
      </w:r>
      <w:r w:rsidRPr="00D1532D">
        <w:lastRenderedPageBreak/>
        <w:t xml:space="preserve">no factual issue pertinent to the resolution of a case exists, a hearing is unnecessary.  </w:t>
      </w:r>
      <w:proofErr w:type="gramStart"/>
      <w:r w:rsidRPr="00D1532D">
        <w:t>66 Pa.C.S.</w:t>
      </w:r>
      <w:proofErr w:type="gramEnd"/>
      <w:r w:rsidRPr="00D1532D">
        <w:t xml:space="preserve"> §</w:t>
      </w:r>
      <w:r w:rsidR="004B5DF8" w:rsidRPr="00D1532D">
        <w:t xml:space="preserve"> </w:t>
      </w:r>
      <w:r w:rsidRPr="00D1532D">
        <w:t xml:space="preserve">703(a); </w:t>
      </w:r>
      <w:r w:rsidRPr="00D1532D">
        <w:rPr>
          <w:u w:val="single"/>
        </w:rPr>
        <w:t>Lehigh Valley</w:t>
      </w:r>
      <w:r w:rsidR="005B1E71" w:rsidRPr="00D1532D">
        <w:rPr>
          <w:u w:val="single"/>
        </w:rPr>
        <w:t xml:space="preserve"> Power Committee v. Pa.</w:t>
      </w:r>
      <w:r w:rsidRPr="00D1532D">
        <w:rPr>
          <w:u w:val="single"/>
        </w:rPr>
        <w:t xml:space="preserve"> Pub. </w:t>
      </w:r>
      <w:proofErr w:type="gramStart"/>
      <w:r w:rsidRPr="00D1532D">
        <w:rPr>
          <w:u w:val="single"/>
        </w:rPr>
        <w:t>Util. Comm’n</w:t>
      </w:r>
      <w:r w:rsidRPr="00D1532D">
        <w:t xml:space="preserve">, 563 A.2d 557 (Pa. Cmwlth. 1989); </w:t>
      </w:r>
      <w:r w:rsidRPr="00D1532D">
        <w:rPr>
          <w:u w:val="single"/>
        </w:rPr>
        <w:t>Lehigh Valley</w:t>
      </w:r>
      <w:r w:rsidR="005B1E71" w:rsidRPr="00D1532D">
        <w:rPr>
          <w:u w:val="single"/>
        </w:rPr>
        <w:t xml:space="preserve"> Power Committee v. Pa.</w:t>
      </w:r>
      <w:r w:rsidRPr="00D1532D">
        <w:rPr>
          <w:u w:val="single"/>
        </w:rPr>
        <w:t xml:space="preserve"> Pub.</w:t>
      </w:r>
      <w:proofErr w:type="gramEnd"/>
      <w:r w:rsidRPr="00D1532D">
        <w:rPr>
          <w:u w:val="single"/>
        </w:rPr>
        <w:t xml:space="preserve"> </w:t>
      </w:r>
      <w:proofErr w:type="gramStart"/>
      <w:r w:rsidRPr="00D1532D">
        <w:rPr>
          <w:u w:val="single"/>
        </w:rPr>
        <w:t>Util. Comm’n</w:t>
      </w:r>
      <w:r w:rsidRPr="00D1532D">
        <w:t xml:space="preserve">, 563 A.2d 548 (Pa. Cmwlth. 1989); </w:t>
      </w:r>
      <w:r w:rsidRPr="00D1532D">
        <w:rPr>
          <w:u w:val="single"/>
        </w:rPr>
        <w:t>S.M.E. Bes</w:t>
      </w:r>
      <w:r w:rsidR="005B1E71" w:rsidRPr="00D1532D">
        <w:rPr>
          <w:u w:val="single"/>
        </w:rPr>
        <w:t>semer Cement, Inc. v. Pa</w:t>
      </w:r>
      <w:r w:rsidRPr="00D1532D">
        <w:rPr>
          <w:u w:val="single"/>
        </w:rPr>
        <w:t xml:space="preserve"> Pub.</w:t>
      </w:r>
      <w:proofErr w:type="gramEnd"/>
      <w:r w:rsidRPr="00D1532D">
        <w:rPr>
          <w:u w:val="single"/>
        </w:rPr>
        <w:t xml:space="preserve"> </w:t>
      </w:r>
      <w:proofErr w:type="gramStart"/>
      <w:r w:rsidRPr="00D1532D">
        <w:rPr>
          <w:u w:val="single"/>
        </w:rPr>
        <w:t>Util. Comm’n</w:t>
      </w:r>
      <w:r w:rsidRPr="00D1532D">
        <w:t xml:space="preserve">, 540 A.2d 1006 (Pa. Cmwlth. 1988); </w:t>
      </w:r>
      <w:r w:rsidRPr="00D1532D">
        <w:rPr>
          <w:u w:val="single"/>
        </w:rPr>
        <w:t>White Oak B</w:t>
      </w:r>
      <w:r w:rsidR="005B1E71" w:rsidRPr="00D1532D">
        <w:rPr>
          <w:u w:val="single"/>
        </w:rPr>
        <w:t>orough Authority v. Pa</w:t>
      </w:r>
      <w:r w:rsidRPr="00D1532D">
        <w:rPr>
          <w:u w:val="single"/>
        </w:rPr>
        <w:t xml:space="preserve"> Pub.</w:t>
      </w:r>
      <w:proofErr w:type="gramEnd"/>
      <w:r w:rsidRPr="00D1532D">
        <w:rPr>
          <w:u w:val="single"/>
        </w:rPr>
        <w:t xml:space="preserve"> </w:t>
      </w:r>
      <w:proofErr w:type="gramStart"/>
      <w:r w:rsidRPr="00D1532D">
        <w:rPr>
          <w:u w:val="single"/>
        </w:rPr>
        <w:t>Util. Comm’n</w:t>
      </w:r>
      <w:r w:rsidRPr="00D1532D">
        <w:t>, 103 A.2d 502 (Pa. Super. 1954).</w:t>
      </w:r>
      <w:proofErr w:type="gramEnd"/>
    </w:p>
    <w:p w:rsidR="00CD176B" w:rsidRPr="00D1532D" w:rsidRDefault="00CD176B" w:rsidP="00CD176B">
      <w:pPr>
        <w:tabs>
          <w:tab w:val="left" w:pos="-720"/>
        </w:tabs>
        <w:suppressAutoHyphens/>
        <w:autoSpaceDE w:val="0"/>
        <w:autoSpaceDN w:val="0"/>
        <w:spacing w:line="360" w:lineRule="auto"/>
        <w:ind w:firstLine="1350"/>
      </w:pPr>
    </w:p>
    <w:p w:rsidR="00CD176B" w:rsidRPr="00D1532D" w:rsidRDefault="00CD176B" w:rsidP="00CD176B">
      <w:pPr>
        <w:tabs>
          <w:tab w:val="left" w:pos="-720"/>
        </w:tabs>
        <w:suppressAutoHyphens/>
        <w:autoSpaceDE w:val="0"/>
        <w:autoSpaceDN w:val="0"/>
        <w:spacing w:line="360" w:lineRule="auto"/>
        <w:ind w:firstLine="1350"/>
      </w:pPr>
      <w:r w:rsidRPr="00D1532D">
        <w:t>Viewing the complaint in this case in the light most favorable to the Complainant, the rates the Complainant’s</w:t>
      </w:r>
      <w:r w:rsidR="00785B2C" w:rsidRPr="00D1532D">
        <w:t xml:space="preserve"> </w:t>
      </w:r>
      <w:r w:rsidR="004B5DF8" w:rsidRPr="00D1532D">
        <w:rPr>
          <w:bCs/>
          <w:spacing w:val="-3"/>
        </w:rPr>
        <w:t>EGS</w:t>
      </w:r>
      <w:r w:rsidRPr="00D1532D">
        <w:t xml:space="preserve"> has charged him have tripled.</w:t>
      </w:r>
    </w:p>
    <w:p w:rsidR="00CD176B" w:rsidRPr="00D1532D" w:rsidRDefault="00CD176B" w:rsidP="00CD176B">
      <w:pPr>
        <w:tabs>
          <w:tab w:val="left" w:pos="-720"/>
        </w:tabs>
        <w:suppressAutoHyphens/>
        <w:autoSpaceDE w:val="0"/>
        <w:autoSpaceDN w:val="0"/>
        <w:spacing w:line="360" w:lineRule="auto"/>
        <w:ind w:firstLine="1350"/>
      </w:pPr>
    </w:p>
    <w:p w:rsidR="00CD176B" w:rsidRPr="00D1532D" w:rsidRDefault="00CD176B" w:rsidP="00CD176B">
      <w:pPr>
        <w:tabs>
          <w:tab w:val="left" w:pos="-720"/>
        </w:tabs>
        <w:suppressAutoHyphens/>
        <w:autoSpaceDE w:val="0"/>
        <w:autoSpaceDN w:val="0"/>
        <w:spacing w:line="360" w:lineRule="auto"/>
        <w:ind w:firstLine="1350"/>
      </w:pPr>
      <w:r w:rsidRPr="00D1532D">
        <w:t>Accepting the facts alleged in the complaint as true for purposes of disposing of its preliminary objections, the Respondent contends that the complaint fails to allege that the Respondent has violated the Public Utility Code, Commission regulations</w:t>
      </w:r>
      <w:r w:rsidR="00785B2C" w:rsidRPr="00D1532D">
        <w:t>,</w:t>
      </w:r>
      <w:r w:rsidRPr="00D1532D">
        <w:t xml:space="preserve"> or orders.  The Respondent concludes that the complaint is legally insufficient.  I agree.</w:t>
      </w:r>
    </w:p>
    <w:p w:rsidR="00CD176B" w:rsidRPr="00D1532D" w:rsidRDefault="00CD176B" w:rsidP="00CD176B">
      <w:pPr>
        <w:tabs>
          <w:tab w:val="left" w:pos="-720"/>
        </w:tabs>
        <w:suppressAutoHyphens/>
        <w:autoSpaceDE w:val="0"/>
        <w:autoSpaceDN w:val="0"/>
        <w:spacing w:line="360" w:lineRule="auto"/>
      </w:pPr>
    </w:p>
    <w:p w:rsidR="00CD176B" w:rsidRPr="00D1532D" w:rsidRDefault="00CD176B" w:rsidP="00CD176B">
      <w:pPr>
        <w:tabs>
          <w:tab w:val="left" w:pos="-720"/>
        </w:tabs>
        <w:suppressAutoHyphens/>
        <w:autoSpaceDE w:val="0"/>
        <w:autoSpaceDN w:val="0"/>
        <w:spacing w:line="360" w:lineRule="auto"/>
        <w:ind w:firstLine="1350"/>
      </w:pPr>
      <w:r w:rsidRPr="00D1532D">
        <w:t>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 Code §5.22(a</w:t>
      </w:r>
      <w:proofErr w:type="gramStart"/>
      <w:r w:rsidRPr="00D1532D">
        <w:t>)(</w:t>
      </w:r>
      <w:proofErr w:type="gramEnd"/>
      <w:r w:rsidRPr="00D1532D">
        <w:t>4).  Here, the complaint does not allege any facts that could be construed as a violation by the Respondent of any statute, regulation or order which the Commission has jurisdiction to administer.  Rather, the complaint alle</w:t>
      </w:r>
      <w:r w:rsidR="00785B2C" w:rsidRPr="00D1532D">
        <w:t>ges high rates charged by a</w:t>
      </w:r>
      <w:r w:rsidR="004B5DF8" w:rsidRPr="00D1532D">
        <w:t xml:space="preserve">n </w:t>
      </w:r>
      <w:r w:rsidR="004B5DF8" w:rsidRPr="00D1532D">
        <w:rPr>
          <w:bCs/>
          <w:spacing w:val="-3"/>
        </w:rPr>
        <w:t>EGS</w:t>
      </w:r>
      <w:r w:rsidRPr="00D1532D">
        <w:t>.  The complaint is therefore legally insufficient as it pertains to the Respondent.</w:t>
      </w:r>
    </w:p>
    <w:p w:rsidR="00CD176B" w:rsidRPr="00D1532D" w:rsidRDefault="00CD176B" w:rsidP="00CD176B">
      <w:pPr>
        <w:tabs>
          <w:tab w:val="left" w:pos="-720"/>
        </w:tabs>
        <w:suppressAutoHyphens/>
        <w:autoSpaceDE w:val="0"/>
        <w:autoSpaceDN w:val="0"/>
        <w:spacing w:line="360" w:lineRule="auto"/>
        <w:ind w:firstLine="1350"/>
      </w:pPr>
    </w:p>
    <w:p w:rsidR="005B1E71" w:rsidRPr="00D1532D" w:rsidRDefault="00CD176B" w:rsidP="00CD176B">
      <w:pPr>
        <w:tabs>
          <w:tab w:val="left" w:pos="-720"/>
        </w:tabs>
        <w:suppressAutoHyphens/>
        <w:autoSpaceDE w:val="0"/>
        <w:autoSpaceDN w:val="0"/>
        <w:spacing w:line="360" w:lineRule="auto"/>
        <w:ind w:firstLine="1350"/>
      </w:pPr>
      <w:r w:rsidRPr="00D1532D">
        <w:t>Since the Complainant’s complaint does not set forth any facts that could be construed as a violation of a</w:t>
      </w:r>
      <w:r w:rsidR="00785B2C" w:rsidRPr="00D1532D">
        <w:t xml:space="preserve"> statute or Commission regulation </w:t>
      </w:r>
      <w:r w:rsidRPr="00D1532D">
        <w:t xml:space="preserve">or order by the Respondent, it is legally insufficient.  </w:t>
      </w:r>
    </w:p>
    <w:p w:rsidR="005B1E71" w:rsidRPr="00D1532D" w:rsidRDefault="005B1E71" w:rsidP="00CD176B">
      <w:pPr>
        <w:tabs>
          <w:tab w:val="left" w:pos="-720"/>
        </w:tabs>
        <w:suppressAutoHyphens/>
        <w:autoSpaceDE w:val="0"/>
        <w:autoSpaceDN w:val="0"/>
        <w:spacing w:line="360" w:lineRule="auto"/>
        <w:ind w:firstLine="1350"/>
      </w:pPr>
    </w:p>
    <w:p w:rsidR="005B1E71" w:rsidRPr="00D1532D" w:rsidRDefault="005B1E71" w:rsidP="005B1E71">
      <w:pPr>
        <w:autoSpaceDE w:val="0"/>
        <w:autoSpaceDN w:val="0"/>
        <w:spacing w:line="360" w:lineRule="auto"/>
        <w:ind w:firstLine="1440"/>
        <w:rPr>
          <w:color w:val="000000"/>
          <w:u w:color="000000"/>
        </w:rPr>
      </w:pPr>
      <w:r w:rsidRPr="00D1532D">
        <w:t xml:space="preserve">In prior decisions, the Commission has indicated that it disfavors granting motions dismissing complaints filed by </w:t>
      </w:r>
      <w:r w:rsidRPr="00D1532D">
        <w:rPr>
          <w:u w:val="single"/>
        </w:rPr>
        <w:t>pro se</w:t>
      </w:r>
      <w:r w:rsidRPr="00D1532D">
        <w:t xml:space="preserve"> complainants.  </w:t>
      </w:r>
      <w:proofErr w:type="spellStart"/>
      <w:proofErr w:type="gramStart"/>
      <w:r w:rsidRPr="00D1532D">
        <w:rPr>
          <w:iCs/>
          <w:color w:val="000000"/>
          <w:u w:val="single" w:color="000000"/>
        </w:rPr>
        <w:t>Carlock</w:t>
      </w:r>
      <w:proofErr w:type="spellEnd"/>
      <w:r w:rsidRPr="00D1532D">
        <w:rPr>
          <w:iCs/>
          <w:color w:val="000000"/>
          <w:u w:val="single" w:color="000000"/>
        </w:rPr>
        <w:t xml:space="preserve"> v.</w:t>
      </w:r>
      <w:proofErr w:type="gramEnd"/>
      <w:r w:rsidRPr="00D1532D">
        <w:rPr>
          <w:iCs/>
          <w:color w:val="000000"/>
          <w:u w:val="single" w:color="000000"/>
        </w:rPr>
        <w:t xml:space="preserve"> The United Telephone Company of Pennsylvania</w:t>
      </w:r>
      <w:r w:rsidRPr="00D1532D">
        <w:rPr>
          <w:iCs/>
          <w:color w:val="000000"/>
          <w:u w:color="000000"/>
        </w:rPr>
        <w:t>,</w:t>
      </w:r>
      <w:r w:rsidRPr="00D1532D">
        <w:rPr>
          <w:color w:val="000000"/>
          <w:u w:color="000000"/>
        </w:rPr>
        <w:t xml:space="preserve"> Docket No. </w:t>
      </w:r>
      <w:proofErr w:type="gramStart"/>
      <w:r w:rsidRPr="00D1532D">
        <w:rPr>
          <w:color w:val="000000"/>
          <w:u w:color="000000"/>
        </w:rPr>
        <w:t>F-00163617 (Order entered July 14, 1993) (</w:t>
      </w:r>
      <w:proofErr w:type="spellStart"/>
      <w:r w:rsidRPr="00D1532D">
        <w:rPr>
          <w:color w:val="000000"/>
          <w:u w:val="single" w:color="000000"/>
        </w:rPr>
        <w:t>Carlock</w:t>
      </w:r>
      <w:proofErr w:type="spellEnd"/>
      <w:r w:rsidRPr="00D1532D">
        <w:rPr>
          <w:color w:val="000000"/>
          <w:u w:color="000000"/>
        </w:rPr>
        <w:t xml:space="preserve">); </w:t>
      </w:r>
      <w:r w:rsidRPr="00D1532D">
        <w:rPr>
          <w:color w:val="000000"/>
          <w:u w:val="single" w:color="000000"/>
        </w:rPr>
        <w:t>Brown v. PECO Energy Company</w:t>
      </w:r>
      <w:r w:rsidRPr="00D1532D">
        <w:rPr>
          <w:color w:val="000000"/>
          <w:u w:color="000000"/>
        </w:rPr>
        <w:t>, Docket No.</w:t>
      </w:r>
      <w:proofErr w:type="gramEnd"/>
      <w:r w:rsidRPr="00D1532D">
        <w:rPr>
          <w:color w:val="000000"/>
          <w:u w:color="000000"/>
        </w:rPr>
        <w:t xml:space="preserve"> C-2008-2055866 (Order entered May 29, 2009) </w:t>
      </w:r>
      <w:r w:rsidRPr="00D1532D">
        <w:rPr>
          <w:color w:val="000000"/>
          <w:u w:color="000000"/>
        </w:rPr>
        <w:lastRenderedPageBreak/>
        <w:t>(</w:t>
      </w:r>
      <w:r w:rsidRPr="00D1532D">
        <w:rPr>
          <w:color w:val="000000"/>
          <w:u w:val="single" w:color="000000"/>
        </w:rPr>
        <w:t>Brown</w:t>
      </w:r>
      <w:r w:rsidRPr="00D1532D">
        <w:rPr>
          <w:color w:val="000000"/>
          <w:u w:color="000000"/>
        </w:rPr>
        <w:t xml:space="preserve">); </w:t>
      </w:r>
      <w:r w:rsidRPr="00D1532D">
        <w:rPr>
          <w:color w:val="000000"/>
          <w:u w:val="single" w:color="000000"/>
        </w:rPr>
        <w:t>Richmond v. PECO Energy Company</w:t>
      </w:r>
      <w:r w:rsidRPr="00D1532D">
        <w:rPr>
          <w:color w:val="000000"/>
          <w:u w:color="000000"/>
        </w:rPr>
        <w:t>, Docket No. F-2010-2187305 (Order entered December 7, 2011) (</w:t>
      </w:r>
      <w:r w:rsidRPr="00D1532D">
        <w:rPr>
          <w:color w:val="000000"/>
          <w:u w:val="single" w:color="000000"/>
        </w:rPr>
        <w:t>Richmond</w:t>
      </w:r>
      <w:r w:rsidRPr="00D1532D">
        <w:rPr>
          <w:color w:val="000000"/>
          <w:u w:color="000000"/>
        </w:rPr>
        <w:t xml:space="preserve">).  In </w:t>
      </w:r>
      <w:proofErr w:type="spellStart"/>
      <w:r w:rsidRPr="00D1532D">
        <w:rPr>
          <w:color w:val="000000"/>
          <w:u w:val="single" w:color="000000"/>
        </w:rPr>
        <w:t>Carlock</w:t>
      </w:r>
      <w:proofErr w:type="spellEnd"/>
      <w:r w:rsidRPr="00D1532D">
        <w:rPr>
          <w:color w:val="000000"/>
          <w:u w:color="000000"/>
        </w:rPr>
        <w:t xml:space="preserve">, </w:t>
      </w:r>
      <w:r w:rsidRPr="00D1532D">
        <w:rPr>
          <w:color w:val="000000"/>
          <w:u w:val="single" w:color="000000"/>
        </w:rPr>
        <w:t>Brown</w:t>
      </w:r>
      <w:r w:rsidRPr="00D1532D">
        <w:rPr>
          <w:color w:val="000000"/>
          <w:u w:color="000000"/>
        </w:rPr>
        <w:t xml:space="preserve">, and </w:t>
      </w:r>
      <w:r w:rsidRPr="00D1532D">
        <w:rPr>
          <w:color w:val="000000"/>
          <w:u w:val="single" w:color="000000"/>
        </w:rPr>
        <w:t>Richmond</w:t>
      </w:r>
      <w:r w:rsidRPr="00D1532D">
        <w:rPr>
          <w:color w:val="000000"/>
          <w:u w:color="000000"/>
        </w:rPr>
        <w:t xml:space="preserve">, the Commission indicated that a complaint filed by a </w:t>
      </w:r>
      <w:r w:rsidRPr="00D1532D">
        <w:rPr>
          <w:color w:val="000000"/>
          <w:u w:val="single"/>
        </w:rPr>
        <w:t>pro se</w:t>
      </w:r>
      <w:r w:rsidRPr="00D1532D">
        <w:rPr>
          <w:color w:val="000000"/>
          <w:u w:color="000000"/>
        </w:rPr>
        <w:t xml:space="preserve"> complainant should not be dismissed until the complainant has the opportunity to orally explain his or her position at a hearing.  </w:t>
      </w:r>
    </w:p>
    <w:p w:rsidR="005B1E71" w:rsidRPr="00D1532D" w:rsidRDefault="005B1E71" w:rsidP="005B1E71">
      <w:pPr>
        <w:autoSpaceDE w:val="0"/>
        <w:autoSpaceDN w:val="0"/>
        <w:spacing w:line="360" w:lineRule="auto"/>
        <w:ind w:firstLine="1440"/>
        <w:rPr>
          <w:color w:val="000000"/>
          <w:u w:color="000000"/>
        </w:rPr>
      </w:pPr>
    </w:p>
    <w:p w:rsidR="005B1E71" w:rsidRPr="00D1532D" w:rsidRDefault="005B1E71" w:rsidP="005B1E71">
      <w:pPr>
        <w:autoSpaceDE w:val="0"/>
        <w:autoSpaceDN w:val="0"/>
        <w:spacing w:line="360" w:lineRule="auto"/>
        <w:ind w:firstLine="1440"/>
        <w:rPr>
          <w:color w:val="000000"/>
          <w:u w:color="000000"/>
        </w:rPr>
      </w:pPr>
      <w:r w:rsidRPr="00D1532D">
        <w:rPr>
          <w:color w:val="000000"/>
          <w:u w:color="000000"/>
        </w:rPr>
        <w:t>However,</w:t>
      </w:r>
      <w:r w:rsidR="0054488F" w:rsidRPr="00D1532D">
        <w:rPr>
          <w:color w:val="000000"/>
          <w:u w:color="000000"/>
        </w:rPr>
        <w:t xml:space="preserve"> i</w:t>
      </w:r>
      <w:r w:rsidRPr="00D1532D">
        <w:rPr>
          <w:color w:val="000000"/>
          <w:u w:color="000000"/>
        </w:rPr>
        <w:t xml:space="preserve">n </w:t>
      </w:r>
      <w:proofErr w:type="spellStart"/>
      <w:r w:rsidRPr="00D1532D">
        <w:rPr>
          <w:color w:val="000000"/>
          <w:u w:val="single" w:color="000000"/>
        </w:rPr>
        <w:t>Mulzet</w:t>
      </w:r>
      <w:proofErr w:type="spellEnd"/>
      <w:r w:rsidRPr="00D1532D">
        <w:rPr>
          <w:color w:val="000000"/>
          <w:u w:val="single" w:color="000000"/>
        </w:rPr>
        <w:t xml:space="preserve"> v. PPL Electric Utilities Corporation</w:t>
      </w:r>
      <w:r w:rsidRPr="00D1532D">
        <w:rPr>
          <w:color w:val="000000"/>
          <w:u w:color="000000"/>
        </w:rPr>
        <w:t>, Docket No. C-2013-2367132 (Order entered August 28, 2013) (</w:t>
      </w:r>
      <w:proofErr w:type="spellStart"/>
      <w:r w:rsidRPr="00D1532D">
        <w:rPr>
          <w:color w:val="000000"/>
          <w:u w:val="single" w:color="000000"/>
        </w:rPr>
        <w:t>Mulzet</w:t>
      </w:r>
      <w:proofErr w:type="spellEnd"/>
      <w:r w:rsidRPr="00D1532D">
        <w:rPr>
          <w:color w:val="000000"/>
          <w:u w:color="000000"/>
        </w:rPr>
        <w:t xml:space="preserve">), the Commission sustained preliminary objections filed by </w:t>
      </w:r>
      <w:r w:rsidR="004B5DF8" w:rsidRPr="00D1532D">
        <w:rPr>
          <w:color w:val="000000"/>
          <w:u w:color="000000"/>
        </w:rPr>
        <w:t>a utility</w:t>
      </w:r>
      <w:r w:rsidRPr="00D1532D">
        <w:rPr>
          <w:color w:val="000000"/>
          <w:u w:color="000000"/>
        </w:rPr>
        <w:t xml:space="preserve"> and dismissed a complaint where the complaint alleged that a complainant had entered into agreements with various EGSs for electric generation supply service and the EGS billed him at rates higher than the rates set forth in the agreements.  In dismissing the complaint, the Commission in </w:t>
      </w:r>
      <w:proofErr w:type="spellStart"/>
      <w:r w:rsidRPr="00D1532D">
        <w:rPr>
          <w:color w:val="000000"/>
          <w:u w:val="single" w:color="000000"/>
        </w:rPr>
        <w:t>Mulzet</w:t>
      </w:r>
      <w:proofErr w:type="spellEnd"/>
      <w:r w:rsidRPr="00D1532D">
        <w:rPr>
          <w:color w:val="000000"/>
          <w:u w:color="000000"/>
        </w:rPr>
        <w:t xml:space="preserve"> concluded that the complaint did not allege any facts that could be construed as a violation by </w:t>
      </w:r>
      <w:r w:rsidR="004B5DF8" w:rsidRPr="00D1532D">
        <w:rPr>
          <w:color w:val="000000"/>
          <w:u w:color="000000"/>
        </w:rPr>
        <w:t>the utility</w:t>
      </w:r>
      <w:r w:rsidRPr="00D1532D">
        <w:rPr>
          <w:color w:val="000000"/>
          <w:u w:color="000000"/>
        </w:rPr>
        <w:t xml:space="preserve"> of any statute, regulation or order which the Commission has jurisdiction to administer and was therefore legally insufficient.</w:t>
      </w:r>
    </w:p>
    <w:p w:rsidR="0054488F" w:rsidRPr="00D1532D" w:rsidRDefault="0054488F" w:rsidP="005B1E71">
      <w:pPr>
        <w:autoSpaceDE w:val="0"/>
        <w:autoSpaceDN w:val="0"/>
        <w:spacing w:line="360" w:lineRule="auto"/>
        <w:ind w:firstLine="1440"/>
        <w:rPr>
          <w:color w:val="000000"/>
          <w:u w:color="000000"/>
        </w:rPr>
      </w:pPr>
    </w:p>
    <w:p w:rsidR="0054488F" w:rsidRPr="00D1532D" w:rsidRDefault="00F94317" w:rsidP="005B1E71">
      <w:pPr>
        <w:autoSpaceDE w:val="0"/>
        <w:autoSpaceDN w:val="0"/>
        <w:spacing w:line="360" w:lineRule="auto"/>
        <w:ind w:firstLine="1440"/>
        <w:rPr>
          <w:color w:val="000000"/>
          <w:u w:color="000000"/>
        </w:rPr>
      </w:pPr>
      <w:r w:rsidRPr="00D1532D">
        <w:rPr>
          <w:color w:val="000000"/>
          <w:u w:color="000000"/>
        </w:rPr>
        <w:t>Similarly,</w:t>
      </w:r>
      <w:r w:rsidR="0054488F" w:rsidRPr="00D1532D">
        <w:rPr>
          <w:color w:val="000000"/>
          <w:u w:color="000000"/>
        </w:rPr>
        <w:t xml:space="preserve"> in </w:t>
      </w:r>
      <w:proofErr w:type="spellStart"/>
      <w:r w:rsidR="0054488F" w:rsidRPr="00D1532D">
        <w:rPr>
          <w:color w:val="000000"/>
          <w:u w:val="single"/>
        </w:rPr>
        <w:t>Friz</w:t>
      </w:r>
      <w:proofErr w:type="spellEnd"/>
      <w:r w:rsidR="0054488F" w:rsidRPr="00D1532D">
        <w:rPr>
          <w:color w:val="000000"/>
          <w:u w:val="single"/>
        </w:rPr>
        <w:t xml:space="preserve"> v. Respond Power LLC and PPL Electric Utilities Corp</w:t>
      </w:r>
      <w:r w:rsidR="0054488F" w:rsidRPr="00D1532D">
        <w:rPr>
          <w:color w:val="000000"/>
          <w:u w:color="000000"/>
        </w:rPr>
        <w:t xml:space="preserve">., Docket No. F-2014-2453888 (Order entered </w:t>
      </w:r>
      <w:r w:rsidRPr="00D1532D">
        <w:rPr>
          <w:color w:val="000000"/>
          <w:u w:color="000000"/>
        </w:rPr>
        <w:t>March 19, 2015) (</w:t>
      </w:r>
      <w:proofErr w:type="spellStart"/>
      <w:r w:rsidRPr="00D1532D">
        <w:rPr>
          <w:color w:val="000000"/>
          <w:u w:val="single"/>
        </w:rPr>
        <w:t>Friz</w:t>
      </w:r>
      <w:proofErr w:type="spellEnd"/>
      <w:r w:rsidRPr="00D1532D">
        <w:rPr>
          <w:color w:val="000000"/>
          <w:u w:color="000000"/>
        </w:rPr>
        <w:t xml:space="preserve">), the Commission sustained preliminary objections filed by </w:t>
      </w:r>
      <w:r w:rsidR="004B5DF8" w:rsidRPr="00D1532D">
        <w:rPr>
          <w:color w:val="000000"/>
          <w:u w:color="000000"/>
        </w:rPr>
        <w:t>a utility</w:t>
      </w:r>
      <w:r w:rsidRPr="00D1532D">
        <w:rPr>
          <w:color w:val="000000"/>
          <w:u w:color="000000"/>
        </w:rPr>
        <w:t xml:space="preserve"> and dismissed a complaint where the complaint alleged that </w:t>
      </w:r>
      <w:r w:rsidR="004B5DF8" w:rsidRPr="00D1532D">
        <w:rPr>
          <w:color w:val="000000"/>
          <w:u w:color="000000"/>
        </w:rPr>
        <w:t xml:space="preserve">an </w:t>
      </w:r>
      <w:r w:rsidR="004B5DF8" w:rsidRPr="00D1532D">
        <w:rPr>
          <w:bCs/>
          <w:spacing w:val="-3"/>
        </w:rPr>
        <w:t>EGS</w:t>
      </w:r>
      <w:r w:rsidRPr="00D1532D">
        <w:rPr>
          <w:color w:val="000000"/>
          <w:u w:color="000000"/>
        </w:rPr>
        <w:t xml:space="preserve"> had raised the complainant’s rates by 300% without notification.  In dismissing the complaint against </w:t>
      </w:r>
      <w:r w:rsidR="004B5DF8" w:rsidRPr="00D1532D">
        <w:rPr>
          <w:color w:val="000000"/>
          <w:u w:color="000000"/>
        </w:rPr>
        <w:t>the utility</w:t>
      </w:r>
      <w:r w:rsidRPr="00D1532D">
        <w:rPr>
          <w:color w:val="000000"/>
          <w:u w:color="000000"/>
        </w:rPr>
        <w:t xml:space="preserve">, the Commission in </w:t>
      </w:r>
      <w:proofErr w:type="spellStart"/>
      <w:r w:rsidRPr="00D1532D">
        <w:rPr>
          <w:color w:val="000000"/>
          <w:u w:val="single"/>
        </w:rPr>
        <w:t>Friz</w:t>
      </w:r>
      <w:proofErr w:type="spellEnd"/>
      <w:r w:rsidRPr="00D1532D">
        <w:rPr>
          <w:color w:val="000000"/>
          <w:u w:color="000000"/>
        </w:rPr>
        <w:t xml:space="preserve"> again concluded that the complaint did not allege any facts that could be construed as a violation by </w:t>
      </w:r>
      <w:r w:rsidR="004B5DF8" w:rsidRPr="00D1532D">
        <w:rPr>
          <w:color w:val="000000"/>
          <w:u w:color="000000"/>
        </w:rPr>
        <w:t>the utility</w:t>
      </w:r>
      <w:r w:rsidRPr="00D1532D">
        <w:rPr>
          <w:color w:val="000000"/>
          <w:u w:color="000000"/>
        </w:rPr>
        <w:t xml:space="preserve"> of any statute, regulation, or order which the Commission has jurisdiction to administer and was legally insufficient. </w:t>
      </w:r>
    </w:p>
    <w:p w:rsidR="005B1E71" w:rsidRPr="00D1532D" w:rsidRDefault="005B1E71" w:rsidP="005B1E71">
      <w:pPr>
        <w:autoSpaceDE w:val="0"/>
        <w:autoSpaceDN w:val="0"/>
        <w:spacing w:line="360" w:lineRule="auto"/>
        <w:ind w:firstLine="1440"/>
        <w:rPr>
          <w:color w:val="000000"/>
          <w:u w:color="000000"/>
        </w:rPr>
      </w:pPr>
    </w:p>
    <w:p w:rsidR="00CD176B" w:rsidRPr="00D1532D" w:rsidRDefault="005B1E71" w:rsidP="0054488F">
      <w:pPr>
        <w:autoSpaceDE w:val="0"/>
        <w:autoSpaceDN w:val="0"/>
        <w:spacing w:line="360" w:lineRule="auto"/>
        <w:ind w:firstLine="1440"/>
      </w:pPr>
      <w:r w:rsidRPr="00D1532D">
        <w:rPr>
          <w:color w:val="000000"/>
          <w:u w:color="000000"/>
        </w:rPr>
        <w:t xml:space="preserve">Since the complaint in this case raises </w:t>
      </w:r>
      <w:r w:rsidR="0054488F" w:rsidRPr="00D1532D">
        <w:rPr>
          <w:color w:val="000000"/>
          <w:u w:color="000000"/>
        </w:rPr>
        <w:t>the same issue as the complaint</w:t>
      </w:r>
      <w:r w:rsidR="00F94317" w:rsidRPr="00D1532D">
        <w:rPr>
          <w:color w:val="000000"/>
          <w:u w:color="000000"/>
        </w:rPr>
        <w:t>s</w:t>
      </w:r>
      <w:r w:rsidRPr="00D1532D">
        <w:rPr>
          <w:color w:val="000000"/>
          <w:u w:color="000000"/>
        </w:rPr>
        <w:t xml:space="preserve"> in </w:t>
      </w:r>
      <w:proofErr w:type="spellStart"/>
      <w:r w:rsidRPr="00D1532D">
        <w:rPr>
          <w:color w:val="000000"/>
          <w:u w:val="single" w:color="000000"/>
        </w:rPr>
        <w:t>Mulzet</w:t>
      </w:r>
      <w:proofErr w:type="spellEnd"/>
      <w:r w:rsidR="00F94317" w:rsidRPr="00D1532D">
        <w:rPr>
          <w:color w:val="000000"/>
        </w:rPr>
        <w:t xml:space="preserve"> and </w:t>
      </w:r>
      <w:proofErr w:type="spellStart"/>
      <w:r w:rsidR="00F94317" w:rsidRPr="00D1532D">
        <w:rPr>
          <w:color w:val="000000"/>
          <w:u w:val="single"/>
        </w:rPr>
        <w:t>Friz</w:t>
      </w:r>
      <w:proofErr w:type="spellEnd"/>
      <w:r w:rsidRPr="00D1532D">
        <w:rPr>
          <w:color w:val="000000"/>
          <w:u w:color="000000"/>
        </w:rPr>
        <w:t xml:space="preserve">, </w:t>
      </w:r>
      <w:r w:rsidR="0054488F" w:rsidRPr="00D1532D">
        <w:rPr>
          <w:color w:val="000000"/>
          <w:u w:color="000000"/>
        </w:rPr>
        <w:t>I find the decision</w:t>
      </w:r>
      <w:r w:rsidR="00F94317" w:rsidRPr="00D1532D">
        <w:rPr>
          <w:color w:val="000000"/>
          <w:u w:color="000000"/>
        </w:rPr>
        <w:t>s</w:t>
      </w:r>
      <w:r w:rsidRPr="00D1532D">
        <w:rPr>
          <w:color w:val="000000"/>
          <w:u w:color="000000"/>
        </w:rPr>
        <w:t xml:space="preserve"> in </w:t>
      </w:r>
      <w:proofErr w:type="spellStart"/>
      <w:r w:rsidRPr="00D1532D">
        <w:rPr>
          <w:color w:val="000000"/>
          <w:u w:val="single" w:color="000000"/>
        </w:rPr>
        <w:t>Mulzet</w:t>
      </w:r>
      <w:proofErr w:type="spellEnd"/>
      <w:r w:rsidRPr="00D1532D">
        <w:rPr>
          <w:color w:val="000000"/>
          <w:u w:color="000000"/>
        </w:rPr>
        <w:t xml:space="preserve"> </w:t>
      </w:r>
      <w:r w:rsidR="00F94317" w:rsidRPr="00D1532D">
        <w:rPr>
          <w:color w:val="000000"/>
          <w:u w:color="000000"/>
        </w:rPr>
        <w:t xml:space="preserve">and </w:t>
      </w:r>
      <w:proofErr w:type="spellStart"/>
      <w:r w:rsidR="00F94317" w:rsidRPr="00D1532D">
        <w:rPr>
          <w:color w:val="000000"/>
          <w:u w:val="single"/>
        </w:rPr>
        <w:t>Friz</w:t>
      </w:r>
      <w:proofErr w:type="spellEnd"/>
      <w:r w:rsidR="00F94317" w:rsidRPr="00D1532D">
        <w:rPr>
          <w:color w:val="000000"/>
          <w:u w:val="single"/>
        </w:rPr>
        <w:t xml:space="preserve"> </w:t>
      </w:r>
      <w:r w:rsidRPr="00D1532D">
        <w:rPr>
          <w:color w:val="000000"/>
          <w:u w:color="000000"/>
        </w:rPr>
        <w:t xml:space="preserve">to be more persuasive than the decisions in </w:t>
      </w:r>
      <w:proofErr w:type="spellStart"/>
      <w:r w:rsidRPr="00D1532D">
        <w:rPr>
          <w:color w:val="000000"/>
          <w:u w:val="single" w:color="000000"/>
        </w:rPr>
        <w:t>Carlock</w:t>
      </w:r>
      <w:proofErr w:type="spellEnd"/>
      <w:r w:rsidRPr="00D1532D">
        <w:rPr>
          <w:color w:val="000000"/>
          <w:u w:color="000000"/>
        </w:rPr>
        <w:t xml:space="preserve">, </w:t>
      </w:r>
      <w:r w:rsidRPr="00D1532D">
        <w:rPr>
          <w:color w:val="000000"/>
          <w:u w:val="single" w:color="000000"/>
        </w:rPr>
        <w:t>Brown</w:t>
      </w:r>
      <w:r w:rsidRPr="00D1532D">
        <w:rPr>
          <w:color w:val="000000"/>
          <w:u w:color="000000"/>
        </w:rPr>
        <w:t xml:space="preserve">, and </w:t>
      </w:r>
      <w:r w:rsidRPr="00D1532D">
        <w:rPr>
          <w:color w:val="000000"/>
          <w:u w:val="single" w:color="000000"/>
        </w:rPr>
        <w:t>Richmond</w:t>
      </w:r>
      <w:r w:rsidRPr="00D1532D">
        <w:rPr>
          <w:color w:val="000000"/>
          <w:u w:color="000000"/>
        </w:rPr>
        <w:t xml:space="preserve">.  </w:t>
      </w:r>
      <w:r w:rsidRPr="00D1532D">
        <w:t>In these circumstances, giving the Complainant the opportunity to explain h</w:t>
      </w:r>
      <w:r w:rsidR="0054488F" w:rsidRPr="00D1532D">
        <w:t>is</w:t>
      </w:r>
      <w:r w:rsidRPr="00D1532D">
        <w:t xml:space="preserve"> position</w:t>
      </w:r>
      <w:r w:rsidR="0054488F" w:rsidRPr="00D1532D">
        <w:t xml:space="preserve"> against the Respondent</w:t>
      </w:r>
      <w:r w:rsidRPr="00D1532D">
        <w:t xml:space="preserve"> at a hearing would be a fruitless exercise.</w:t>
      </w:r>
      <w:r w:rsidR="0054488F" w:rsidRPr="00D1532D">
        <w:t xml:space="preserve">  </w:t>
      </w:r>
      <w:r w:rsidRPr="00D1532D">
        <w:t xml:space="preserve">Sustaining </w:t>
      </w:r>
      <w:r w:rsidR="0054488F" w:rsidRPr="00D1532D">
        <w:t>the Respondent’s</w:t>
      </w:r>
      <w:r w:rsidRPr="00D1532D">
        <w:t xml:space="preserve"> preliminary objections and dismissing the complaint is appropriate under the circumstances.  I will enter the following order.</w:t>
      </w:r>
    </w:p>
    <w:p w:rsidR="007D3639" w:rsidRPr="00D1532D" w:rsidRDefault="007D3639" w:rsidP="00741E8C"/>
    <w:p w:rsidR="00D1532D" w:rsidRDefault="00D1532D">
      <w:pPr>
        <w:rPr>
          <w:u w:val="single"/>
        </w:rPr>
      </w:pPr>
      <w:r>
        <w:rPr>
          <w:u w:val="single"/>
        </w:rPr>
        <w:br w:type="page"/>
      </w:r>
    </w:p>
    <w:p w:rsidR="009D178A" w:rsidRPr="00D1532D" w:rsidRDefault="009D178A" w:rsidP="009D178A">
      <w:pPr>
        <w:spacing w:line="360" w:lineRule="auto"/>
        <w:jc w:val="center"/>
        <w:rPr>
          <w:u w:val="single"/>
        </w:rPr>
      </w:pPr>
      <w:r w:rsidRPr="00D1532D">
        <w:rPr>
          <w:u w:val="single"/>
        </w:rPr>
        <w:lastRenderedPageBreak/>
        <w:t>CONCLUSIONS OF LAW</w:t>
      </w:r>
    </w:p>
    <w:p w:rsidR="009D178A" w:rsidRPr="00D1532D" w:rsidRDefault="009D178A" w:rsidP="009D178A">
      <w:pPr>
        <w:spacing w:line="360" w:lineRule="auto"/>
        <w:jc w:val="center"/>
        <w:rPr>
          <w:u w:val="single"/>
        </w:rPr>
      </w:pPr>
    </w:p>
    <w:p w:rsidR="00CD176B" w:rsidRPr="00D1532D" w:rsidRDefault="00CD176B" w:rsidP="00CD176B">
      <w:pPr>
        <w:numPr>
          <w:ilvl w:val="0"/>
          <w:numId w:val="37"/>
        </w:numPr>
        <w:tabs>
          <w:tab w:val="num" w:pos="0"/>
        </w:tabs>
        <w:autoSpaceDE w:val="0"/>
        <w:autoSpaceDN w:val="0"/>
        <w:spacing w:line="360" w:lineRule="auto"/>
        <w:ind w:left="0" w:firstLine="1440"/>
        <w:rPr>
          <w:b/>
        </w:rPr>
      </w:pPr>
      <w:r w:rsidRPr="00D1532D">
        <w:t>The Commission has jurisdiction over the parties and the subject matter of this dispute.  66 Pa. C.S.A. §701.</w:t>
      </w:r>
    </w:p>
    <w:p w:rsidR="00CD176B" w:rsidRPr="00D1532D" w:rsidRDefault="00CD176B" w:rsidP="00CD176B">
      <w:pPr>
        <w:spacing w:line="360" w:lineRule="auto"/>
      </w:pPr>
    </w:p>
    <w:p w:rsidR="00CD176B" w:rsidRPr="00D1532D" w:rsidRDefault="00CD176B" w:rsidP="00CD176B">
      <w:pPr>
        <w:tabs>
          <w:tab w:val="left" w:pos="0"/>
        </w:tabs>
        <w:spacing w:line="360" w:lineRule="auto"/>
      </w:pPr>
      <w:r w:rsidRPr="00D1532D">
        <w:tab/>
      </w:r>
      <w:r w:rsidRPr="00D1532D">
        <w:tab/>
        <w:t>2.</w:t>
      </w:r>
      <w:r w:rsidRPr="00D1532D">
        <w:tab/>
        <w:t>The Complainant’s complaint fails to state a claim upon which relief can be granted.</w:t>
      </w:r>
    </w:p>
    <w:p w:rsidR="00CD176B" w:rsidRPr="00D1532D" w:rsidRDefault="00CD176B" w:rsidP="00CD176B">
      <w:pPr>
        <w:autoSpaceDE w:val="0"/>
        <w:autoSpaceDN w:val="0"/>
        <w:spacing w:line="360" w:lineRule="auto"/>
      </w:pPr>
    </w:p>
    <w:p w:rsidR="0054488F" w:rsidRPr="00D1532D" w:rsidRDefault="00CD176B" w:rsidP="009F3A0C">
      <w:pPr>
        <w:autoSpaceDE w:val="0"/>
        <w:autoSpaceDN w:val="0"/>
        <w:spacing w:line="360" w:lineRule="auto"/>
      </w:pPr>
      <w:r w:rsidRPr="00D1532D">
        <w:tab/>
      </w:r>
      <w:r w:rsidRPr="00D1532D">
        <w:tab/>
        <w:t>3.</w:t>
      </w:r>
      <w:r w:rsidRPr="00D1532D">
        <w:tab/>
        <w:t>It is just, reasonable and in the public interest that the complaint filed</w:t>
      </w:r>
      <w:r w:rsidR="00B04E08" w:rsidRPr="00D1532D">
        <w:t xml:space="preserve"> against PECO Energy Compa</w:t>
      </w:r>
      <w:r w:rsidR="00785B2C" w:rsidRPr="00D1532D">
        <w:t>n</w:t>
      </w:r>
      <w:r w:rsidR="00B04E08" w:rsidRPr="00D1532D">
        <w:t>y</w:t>
      </w:r>
      <w:r w:rsidRPr="00D1532D">
        <w:t xml:space="preserve"> at Docket No. C-201</w:t>
      </w:r>
      <w:r w:rsidR="00785B2C" w:rsidRPr="00D1532D">
        <w:t>5-2469134</w:t>
      </w:r>
      <w:r w:rsidRPr="00D1532D">
        <w:t xml:space="preserve"> </w:t>
      </w:r>
      <w:proofErr w:type="gramStart"/>
      <w:r w:rsidRPr="00D1532D">
        <w:t>be</w:t>
      </w:r>
      <w:proofErr w:type="gramEnd"/>
      <w:r w:rsidRPr="00D1532D">
        <w:t xml:space="preserve"> dismissed.</w:t>
      </w:r>
    </w:p>
    <w:p w:rsidR="00785B2C" w:rsidRPr="00D1532D" w:rsidRDefault="00785B2C" w:rsidP="009D178A">
      <w:pPr>
        <w:spacing w:line="360" w:lineRule="auto"/>
        <w:ind w:left="1440"/>
      </w:pPr>
    </w:p>
    <w:p w:rsidR="00CD6D25" w:rsidRPr="00D1532D" w:rsidRDefault="00CD6D25" w:rsidP="00CD6D25">
      <w:pPr>
        <w:pStyle w:val="FootnoteText"/>
        <w:spacing w:line="360" w:lineRule="auto"/>
        <w:jc w:val="center"/>
        <w:rPr>
          <w:sz w:val="24"/>
          <w:szCs w:val="24"/>
          <w:u w:val="single"/>
        </w:rPr>
      </w:pPr>
      <w:r w:rsidRPr="00D1532D">
        <w:rPr>
          <w:sz w:val="24"/>
          <w:szCs w:val="24"/>
          <w:u w:val="single"/>
        </w:rPr>
        <w:t>ORDER</w:t>
      </w:r>
    </w:p>
    <w:p w:rsidR="00CD6D25" w:rsidRPr="00D1532D" w:rsidRDefault="00CD6D25" w:rsidP="00CD6D25">
      <w:pPr>
        <w:spacing w:line="360" w:lineRule="auto"/>
        <w:jc w:val="center"/>
        <w:outlineLvl w:val="0"/>
        <w:rPr>
          <w:u w:val="single"/>
        </w:rPr>
      </w:pPr>
    </w:p>
    <w:p w:rsidR="00CD6D25" w:rsidRPr="00D1532D" w:rsidRDefault="00CD6D25" w:rsidP="00CD6D25">
      <w:pPr>
        <w:tabs>
          <w:tab w:val="num" w:pos="2160"/>
        </w:tabs>
        <w:spacing w:line="360" w:lineRule="auto"/>
        <w:ind w:firstLine="1440"/>
      </w:pPr>
      <w:r w:rsidRPr="00D1532D">
        <w:t>THEREFORE,</w:t>
      </w:r>
    </w:p>
    <w:p w:rsidR="00CD6D25" w:rsidRPr="00D1532D" w:rsidRDefault="00CD6D25" w:rsidP="00CD6D25">
      <w:pPr>
        <w:tabs>
          <w:tab w:val="num" w:pos="2160"/>
        </w:tabs>
        <w:spacing w:line="360" w:lineRule="auto"/>
      </w:pPr>
    </w:p>
    <w:p w:rsidR="00CD6D25" w:rsidRPr="00D1532D" w:rsidRDefault="00CD6D25" w:rsidP="00CD6D25">
      <w:pPr>
        <w:tabs>
          <w:tab w:val="num" w:pos="2160"/>
        </w:tabs>
        <w:spacing w:line="360" w:lineRule="auto"/>
        <w:ind w:firstLine="1440"/>
        <w:outlineLvl w:val="0"/>
      </w:pPr>
      <w:r w:rsidRPr="00D1532D">
        <w:t>IT IS ORDERED:</w:t>
      </w:r>
    </w:p>
    <w:p w:rsidR="00CD6D25" w:rsidRPr="00D1532D" w:rsidRDefault="00CD6D25" w:rsidP="00CD6D25">
      <w:pPr>
        <w:tabs>
          <w:tab w:val="num" w:pos="2160"/>
        </w:tabs>
        <w:spacing w:line="360" w:lineRule="auto"/>
        <w:ind w:firstLine="1440"/>
        <w:outlineLvl w:val="0"/>
      </w:pPr>
    </w:p>
    <w:p w:rsidR="00CD176B" w:rsidRPr="00D1532D" w:rsidRDefault="00CD176B" w:rsidP="00CD176B">
      <w:pPr>
        <w:autoSpaceDE w:val="0"/>
        <w:autoSpaceDN w:val="0"/>
        <w:spacing w:line="360" w:lineRule="auto"/>
      </w:pPr>
    </w:p>
    <w:p w:rsidR="00CD176B" w:rsidRPr="00D1532D" w:rsidRDefault="00CD176B" w:rsidP="00CD176B">
      <w:pPr>
        <w:numPr>
          <w:ilvl w:val="0"/>
          <w:numId w:val="38"/>
        </w:numPr>
        <w:autoSpaceDE w:val="0"/>
        <w:autoSpaceDN w:val="0"/>
        <w:spacing w:line="360" w:lineRule="auto"/>
        <w:ind w:left="0" w:firstLine="1440"/>
      </w:pPr>
      <w:r w:rsidRPr="00D1532D">
        <w:t xml:space="preserve">That the preliminary objections filed by PECO Energy Company at Docket No. C-2015-2469134 </w:t>
      </w:r>
      <w:proofErr w:type="gramStart"/>
      <w:r w:rsidRPr="00D1532D">
        <w:t>are</w:t>
      </w:r>
      <w:proofErr w:type="gramEnd"/>
      <w:r w:rsidRPr="00D1532D">
        <w:t xml:space="preserve"> sustained.</w:t>
      </w:r>
    </w:p>
    <w:p w:rsidR="00CD176B" w:rsidRPr="00D1532D" w:rsidRDefault="00CD176B" w:rsidP="00CD176B">
      <w:pPr>
        <w:autoSpaceDE w:val="0"/>
        <w:autoSpaceDN w:val="0"/>
        <w:spacing w:line="360" w:lineRule="auto"/>
      </w:pPr>
    </w:p>
    <w:p w:rsidR="00CD176B" w:rsidRPr="00D1532D" w:rsidRDefault="00CD176B" w:rsidP="00CD176B">
      <w:pPr>
        <w:numPr>
          <w:ilvl w:val="0"/>
          <w:numId w:val="38"/>
        </w:numPr>
        <w:autoSpaceDE w:val="0"/>
        <w:autoSpaceDN w:val="0"/>
        <w:spacing w:line="360" w:lineRule="auto"/>
        <w:ind w:left="0" w:firstLine="1440"/>
      </w:pPr>
      <w:r w:rsidRPr="00D1532D">
        <w:t>That the complaint of Michael A. Rizzo at Docket No. C-2015-2469134 against PECO Energy Company is dismissed.</w:t>
      </w:r>
    </w:p>
    <w:p w:rsidR="00CD176B" w:rsidRPr="00D1532D" w:rsidRDefault="00CD176B" w:rsidP="00CD176B">
      <w:pPr>
        <w:autoSpaceDE w:val="0"/>
        <w:autoSpaceDN w:val="0"/>
        <w:spacing w:line="360" w:lineRule="auto"/>
      </w:pPr>
    </w:p>
    <w:p w:rsidR="00CD176B" w:rsidRPr="00D1532D" w:rsidRDefault="00CD176B" w:rsidP="00CD176B">
      <w:pPr>
        <w:autoSpaceDE w:val="0"/>
        <w:autoSpaceDN w:val="0"/>
        <w:spacing w:line="360" w:lineRule="auto"/>
      </w:pPr>
      <w:r w:rsidRPr="00D1532D">
        <w:tab/>
      </w:r>
      <w:r w:rsidRPr="00D1532D">
        <w:tab/>
        <w:t>3.</w:t>
      </w:r>
      <w:r w:rsidRPr="00D1532D">
        <w:tab/>
        <w:t xml:space="preserve">That the </w:t>
      </w:r>
      <w:r w:rsidR="00DD073C">
        <w:t>c</w:t>
      </w:r>
      <w:r w:rsidRPr="00D1532D">
        <w:t xml:space="preserve">omplaint against Public Power LLC at Docket No. C-2015-2469134 </w:t>
      </w:r>
      <w:r w:rsidR="009F3A0C" w:rsidRPr="00D1532D">
        <w:t xml:space="preserve">shall be scheduled for </w:t>
      </w:r>
      <w:r w:rsidR="004B5DF8" w:rsidRPr="00D1532D">
        <w:t xml:space="preserve">a </w:t>
      </w:r>
      <w:r w:rsidR="009F3A0C" w:rsidRPr="00D1532D">
        <w:t>hearing before an administrative law judge</w:t>
      </w:r>
      <w:r w:rsidRPr="00D1532D">
        <w:t>.</w:t>
      </w:r>
    </w:p>
    <w:p w:rsidR="00B04E08" w:rsidRPr="00D1532D" w:rsidRDefault="00B04E08" w:rsidP="00CD6D25">
      <w:pPr>
        <w:spacing w:line="360" w:lineRule="auto"/>
      </w:pPr>
    </w:p>
    <w:p w:rsidR="00CD6D25" w:rsidRPr="00D1532D" w:rsidRDefault="00CD6D25" w:rsidP="00CD6D25">
      <w:pPr>
        <w:tabs>
          <w:tab w:val="num" w:pos="2160"/>
          <w:tab w:val="left" w:pos="5048"/>
        </w:tabs>
        <w:spacing w:line="360" w:lineRule="auto"/>
      </w:pPr>
    </w:p>
    <w:p w:rsidR="00CD6D25" w:rsidRPr="00D1532D" w:rsidRDefault="00CD6D25" w:rsidP="00CD6D25">
      <w:pPr>
        <w:tabs>
          <w:tab w:val="num" w:pos="2160"/>
          <w:tab w:val="left" w:pos="5048"/>
        </w:tabs>
        <w:rPr>
          <w:u w:val="single"/>
        </w:rPr>
      </w:pPr>
      <w:r w:rsidRPr="00D1532D">
        <w:t>Date:</w:t>
      </w:r>
      <w:r w:rsidRPr="00D1532D">
        <w:rPr>
          <w:u w:val="single"/>
        </w:rPr>
        <w:t xml:space="preserve"> </w:t>
      </w:r>
      <w:r w:rsidR="00B21C67" w:rsidRPr="00D1532D">
        <w:rPr>
          <w:u w:val="single"/>
        </w:rPr>
        <w:t xml:space="preserve"> April </w:t>
      </w:r>
      <w:r w:rsidR="004B5DF8" w:rsidRPr="00D1532D">
        <w:rPr>
          <w:u w:val="single"/>
        </w:rPr>
        <w:t>13</w:t>
      </w:r>
      <w:r w:rsidRPr="00D1532D">
        <w:rPr>
          <w:u w:val="single"/>
        </w:rPr>
        <w:t>, 2015</w:t>
      </w:r>
      <w:r w:rsidR="00B04E08" w:rsidRPr="00D1532D">
        <w:rPr>
          <w:u w:val="single"/>
        </w:rPr>
        <w:t xml:space="preserve">   </w:t>
      </w:r>
      <w:r w:rsidRPr="00D1532D">
        <w:t xml:space="preserve"> </w:t>
      </w:r>
      <w:r w:rsidRPr="00D1532D">
        <w:tab/>
      </w:r>
      <w:r w:rsidRPr="00D1532D">
        <w:rPr>
          <w:u w:val="single"/>
        </w:rPr>
        <w:tab/>
        <w:t>/s/</w:t>
      </w:r>
      <w:r w:rsidRPr="00D1532D">
        <w:rPr>
          <w:u w:val="single"/>
        </w:rPr>
        <w:tab/>
      </w:r>
      <w:r w:rsidRPr="00D1532D">
        <w:rPr>
          <w:u w:val="single"/>
        </w:rPr>
        <w:tab/>
      </w:r>
      <w:r w:rsidRPr="00D1532D">
        <w:rPr>
          <w:u w:val="single"/>
        </w:rPr>
        <w:tab/>
      </w:r>
      <w:r w:rsidRPr="00D1532D">
        <w:rPr>
          <w:u w:val="single"/>
        </w:rPr>
        <w:tab/>
      </w:r>
      <w:r w:rsidRPr="00D1532D">
        <w:rPr>
          <w:u w:val="single"/>
        </w:rPr>
        <w:tab/>
      </w:r>
    </w:p>
    <w:p w:rsidR="00CD6D25" w:rsidRPr="00D1532D" w:rsidRDefault="00CD6D25" w:rsidP="00CD6D25">
      <w:pPr>
        <w:tabs>
          <w:tab w:val="num" w:pos="2160"/>
          <w:tab w:val="left" w:pos="5048"/>
        </w:tabs>
      </w:pPr>
      <w:r w:rsidRPr="00D1532D">
        <w:tab/>
      </w:r>
      <w:r w:rsidRPr="00D1532D">
        <w:tab/>
      </w:r>
      <w:r w:rsidR="00B04E08" w:rsidRPr="00D1532D">
        <w:t>David A. Salapa</w:t>
      </w:r>
      <w:r w:rsidRPr="00D1532D">
        <w:t xml:space="preserve"> </w:t>
      </w:r>
    </w:p>
    <w:p w:rsidR="00CD6D25" w:rsidRPr="00D1532D" w:rsidRDefault="00CD6D25" w:rsidP="007D3639">
      <w:pPr>
        <w:tabs>
          <w:tab w:val="num" w:pos="2160"/>
          <w:tab w:val="left" w:pos="5048"/>
        </w:tabs>
      </w:pPr>
      <w:r w:rsidRPr="00D1532D">
        <w:tab/>
      </w:r>
      <w:r w:rsidRPr="00D1532D">
        <w:tab/>
        <w:t>Administrative Law Judge</w:t>
      </w:r>
    </w:p>
    <w:sectPr w:rsidR="00CD6D25" w:rsidRPr="00D1532D" w:rsidSect="00D1532D">
      <w:footerReference w:type="default" r:id="rId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376" w:rsidRDefault="00234376">
      <w:r>
        <w:separator/>
      </w:r>
    </w:p>
  </w:endnote>
  <w:endnote w:type="continuationSeparator" w:id="0">
    <w:p w:rsidR="00234376" w:rsidRDefault="0023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71" w:rsidRDefault="00726E71"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6E71" w:rsidRDefault="00726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924374956"/>
      <w:docPartObj>
        <w:docPartGallery w:val="Page Numbers (Bottom of Page)"/>
        <w:docPartUnique/>
      </w:docPartObj>
    </w:sdtPr>
    <w:sdtEndPr>
      <w:rPr>
        <w:noProof/>
      </w:rPr>
    </w:sdtEndPr>
    <w:sdtContent>
      <w:p w:rsidR="00D1532D" w:rsidRPr="00D1532D" w:rsidRDefault="00D1532D">
        <w:pPr>
          <w:pStyle w:val="Footer"/>
          <w:jc w:val="center"/>
          <w:rPr>
            <w:sz w:val="20"/>
            <w:szCs w:val="20"/>
          </w:rPr>
        </w:pPr>
        <w:r w:rsidRPr="00D1532D">
          <w:rPr>
            <w:sz w:val="20"/>
            <w:szCs w:val="20"/>
          </w:rPr>
          <w:fldChar w:fldCharType="begin"/>
        </w:r>
        <w:r w:rsidRPr="00D1532D">
          <w:rPr>
            <w:sz w:val="20"/>
            <w:szCs w:val="20"/>
          </w:rPr>
          <w:instrText xml:space="preserve"> PAGE   \* MERGEFORMAT </w:instrText>
        </w:r>
        <w:r w:rsidRPr="00D1532D">
          <w:rPr>
            <w:sz w:val="20"/>
            <w:szCs w:val="20"/>
          </w:rPr>
          <w:fldChar w:fldCharType="separate"/>
        </w:r>
        <w:r w:rsidR="008E5C3A">
          <w:rPr>
            <w:noProof/>
            <w:sz w:val="20"/>
            <w:szCs w:val="20"/>
          </w:rPr>
          <w:t>2</w:t>
        </w:r>
        <w:r w:rsidRPr="00D1532D">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376" w:rsidRDefault="00234376">
      <w:r>
        <w:separator/>
      </w:r>
    </w:p>
  </w:footnote>
  <w:footnote w:type="continuationSeparator" w:id="0">
    <w:p w:rsidR="00234376" w:rsidRDefault="00234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01E"/>
    <w:multiLevelType w:val="hybridMultilevel"/>
    <w:tmpl w:val="B216AD16"/>
    <w:lvl w:ilvl="0" w:tplc="7CCAAF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B77AE"/>
    <w:multiLevelType w:val="hybridMultilevel"/>
    <w:tmpl w:val="DB3041B0"/>
    <w:lvl w:ilvl="0" w:tplc="2BAA9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nsid w:val="10BD64BA"/>
    <w:multiLevelType w:val="hybridMultilevel"/>
    <w:tmpl w:val="56627930"/>
    <w:lvl w:ilvl="0" w:tplc="43B4C5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346B1B"/>
    <w:multiLevelType w:val="hybridMultilevel"/>
    <w:tmpl w:val="86F4A13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nsid w:val="15BB5904"/>
    <w:multiLevelType w:val="hybridMultilevel"/>
    <w:tmpl w:val="A17EC77A"/>
    <w:lvl w:ilvl="0" w:tplc="EF760816">
      <w:start w:val="1"/>
      <w:numFmt w:val="decimal"/>
      <w:lvlText w:val="(%1)"/>
      <w:lvlJc w:val="left"/>
      <w:pPr>
        <w:ind w:left="3216" w:hanging="177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D00311D"/>
    <w:multiLevelType w:val="hybridMultilevel"/>
    <w:tmpl w:val="F342F30C"/>
    <w:lvl w:ilvl="0" w:tplc="D42AEF7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97AC3"/>
    <w:multiLevelType w:val="hybridMultilevel"/>
    <w:tmpl w:val="86306C94"/>
    <w:lvl w:ilvl="0" w:tplc="B45E32DC">
      <w:start w:val="2"/>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2B5A5C6F"/>
    <w:multiLevelType w:val="hybridMultilevel"/>
    <w:tmpl w:val="6DB2B4F8"/>
    <w:lvl w:ilvl="0" w:tplc="349EEADA">
      <w:start w:val="1"/>
      <w:numFmt w:val="lowerLetter"/>
      <w:lvlText w:val="(%1)"/>
      <w:lvlJc w:val="left"/>
      <w:pPr>
        <w:ind w:left="1884" w:hanging="384"/>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4">
    <w:nsid w:val="31053A5B"/>
    <w:multiLevelType w:val="hybridMultilevel"/>
    <w:tmpl w:val="D41CE3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14C6971"/>
    <w:multiLevelType w:val="hybridMultilevel"/>
    <w:tmpl w:val="272C364A"/>
    <w:lvl w:ilvl="0" w:tplc="8956504E">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6">
    <w:nsid w:val="31BB0BF7"/>
    <w:multiLevelType w:val="hybridMultilevel"/>
    <w:tmpl w:val="60806C5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32E3C51"/>
    <w:multiLevelType w:val="hybridMultilevel"/>
    <w:tmpl w:val="76F88240"/>
    <w:lvl w:ilvl="0" w:tplc="724411C8">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111C82"/>
    <w:multiLevelType w:val="hybridMultilevel"/>
    <w:tmpl w:val="46DCE2CA"/>
    <w:lvl w:ilvl="0" w:tplc="3E3CFF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E3D7BDF"/>
    <w:multiLevelType w:val="hybridMultilevel"/>
    <w:tmpl w:val="A0124846"/>
    <w:lvl w:ilvl="0" w:tplc="26388422">
      <w:start w:val="2"/>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43E60839"/>
    <w:multiLevelType w:val="hybridMultilevel"/>
    <w:tmpl w:val="145A0C9E"/>
    <w:lvl w:ilvl="0" w:tplc="1B36437A">
      <w:start w:val="1"/>
      <w:numFmt w:val="upperLetter"/>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3">
    <w:nsid w:val="479E4AFF"/>
    <w:multiLevelType w:val="hybridMultilevel"/>
    <w:tmpl w:val="36663B24"/>
    <w:lvl w:ilvl="0" w:tplc="292AB05C">
      <w:start w:val="2"/>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4">
    <w:nsid w:val="582A0279"/>
    <w:multiLevelType w:val="hybridMultilevel"/>
    <w:tmpl w:val="FFCCC0D6"/>
    <w:lvl w:ilvl="0" w:tplc="75A6DB5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A9301B9"/>
    <w:multiLevelType w:val="hybridMultilevel"/>
    <w:tmpl w:val="34C84FBA"/>
    <w:lvl w:ilvl="0" w:tplc="0F708D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AB51F3D"/>
    <w:multiLevelType w:val="hybridMultilevel"/>
    <w:tmpl w:val="9A2E405E"/>
    <w:lvl w:ilvl="0" w:tplc="224E5F7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5B9C31AA"/>
    <w:multiLevelType w:val="hybridMultilevel"/>
    <w:tmpl w:val="F2B6D13A"/>
    <w:lvl w:ilvl="0" w:tplc="AB068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BB15143"/>
    <w:multiLevelType w:val="hybridMultilevel"/>
    <w:tmpl w:val="D856FC30"/>
    <w:lvl w:ilvl="0" w:tplc="D2D0F3A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DDF74F4"/>
    <w:multiLevelType w:val="hybridMultilevel"/>
    <w:tmpl w:val="E7F09380"/>
    <w:lvl w:ilvl="0" w:tplc="7D6E4A8A">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4380182"/>
    <w:multiLevelType w:val="hybridMultilevel"/>
    <w:tmpl w:val="1AE29044"/>
    <w:lvl w:ilvl="0" w:tplc="CEC4C37E">
      <w:start w:val="1"/>
      <w:numFmt w:val="decimal"/>
      <w:lvlText w:val="(%1)"/>
      <w:lvlJc w:val="left"/>
      <w:pPr>
        <w:ind w:left="1800" w:hanging="360"/>
      </w:pPr>
      <w:rPr>
        <w:rFonts w:hint="default"/>
      </w:rPr>
    </w:lvl>
    <w:lvl w:ilvl="1" w:tplc="E6A873E2">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C3B6807"/>
    <w:multiLevelType w:val="hybridMultilevel"/>
    <w:tmpl w:val="7D661C88"/>
    <w:lvl w:ilvl="0" w:tplc="737A96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5E3FF0"/>
    <w:multiLevelType w:val="hybridMultilevel"/>
    <w:tmpl w:val="FA0C5128"/>
    <w:lvl w:ilvl="0" w:tplc="0F440444">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7FE15AC"/>
    <w:multiLevelType w:val="hybridMultilevel"/>
    <w:tmpl w:val="1F2E8CB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13"/>
  </w:num>
  <w:num w:numId="3">
    <w:abstractNumId w:val="8"/>
  </w:num>
  <w:num w:numId="4">
    <w:abstractNumId w:val="7"/>
  </w:num>
  <w:num w:numId="5">
    <w:abstractNumId w:val="9"/>
  </w:num>
  <w:num w:numId="6">
    <w:abstractNumId w:val="32"/>
  </w:num>
  <w:num w:numId="7">
    <w:abstractNumId w:val="31"/>
  </w:num>
  <w:num w:numId="8">
    <w:abstractNumId w:val="3"/>
  </w:num>
  <w:num w:numId="9">
    <w:abstractNumId w:val="22"/>
  </w:num>
  <w:num w:numId="10">
    <w:abstractNumId w:val="21"/>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16"/>
  </w:num>
  <w:num w:numId="16">
    <w:abstractNumId w:val="35"/>
  </w:num>
  <w:num w:numId="17">
    <w:abstractNumId w:val="3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27"/>
  </w:num>
  <w:num w:numId="22">
    <w:abstractNumId w:val="25"/>
  </w:num>
  <w:num w:numId="23">
    <w:abstractNumId w:val="28"/>
  </w:num>
  <w:num w:numId="24">
    <w:abstractNumId w:val="17"/>
  </w:num>
  <w:num w:numId="25">
    <w:abstractNumId w:val="23"/>
  </w:num>
  <w:num w:numId="26">
    <w:abstractNumId w:val="15"/>
  </w:num>
  <w:num w:numId="27">
    <w:abstractNumId w:val="2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3"/>
  </w:num>
  <w:num w:numId="34">
    <w:abstractNumId w:val="18"/>
  </w:num>
  <w:num w:numId="35">
    <w:abstractNumId w:val="0"/>
  </w:num>
  <w:num w:numId="36">
    <w:abstractNumId w:val="11"/>
  </w:num>
  <w:num w:numId="37">
    <w:abstractNumId w:val="3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360D"/>
    <w:rsid w:val="00006BC2"/>
    <w:rsid w:val="00007520"/>
    <w:rsid w:val="000075FC"/>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03CB"/>
    <w:rsid w:val="000315D8"/>
    <w:rsid w:val="00031968"/>
    <w:rsid w:val="000320EA"/>
    <w:rsid w:val="00034D35"/>
    <w:rsid w:val="000353FC"/>
    <w:rsid w:val="000359CF"/>
    <w:rsid w:val="00037AB9"/>
    <w:rsid w:val="00037FC7"/>
    <w:rsid w:val="00040B16"/>
    <w:rsid w:val="0004187E"/>
    <w:rsid w:val="00042212"/>
    <w:rsid w:val="000431CB"/>
    <w:rsid w:val="00044226"/>
    <w:rsid w:val="000446DB"/>
    <w:rsid w:val="00046434"/>
    <w:rsid w:val="0004698F"/>
    <w:rsid w:val="00046F49"/>
    <w:rsid w:val="000479B4"/>
    <w:rsid w:val="00047DE8"/>
    <w:rsid w:val="00050656"/>
    <w:rsid w:val="00052875"/>
    <w:rsid w:val="00052AF9"/>
    <w:rsid w:val="0005373A"/>
    <w:rsid w:val="00053792"/>
    <w:rsid w:val="0005431F"/>
    <w:rsid w:val="0005540A"/>
    <w:rsid w:val="0005568B"/>
    <w:rsid w:val="00061103"/>
    <w:rsid w:val="00061CCC"/>
    <w:rsid w:val="0007460B"/>
    <w:rsid w:val="00074BA6"/>
    <w:rsid w:val="0007524A"/>
    <w:rsid w:val="000757AD"/>
    <w:rsid w:val="00076C46"/>
    <w:rsid w:val="00077E32"/>
    <w:rsid w:val="000831AA"/>
    <w:rsid w:val="00085155"/>
    <w:rsid w:val="00085C0D"/>
    <w:rsid w:val="000868D6"/>
    <w:rsid w:val="00087009"/>
    <w:rsid w:val="00087BDA"/>
    <w:rsid w:val="000901CB"/>
    <w:rsid w:val="000928E5"/>
    <w:rsid w:val="000936AA"/>
    <w:rsid w:val="00093CF1"/>
    <w:rsid w:val="00094A2B"/>
    <w:rsid w:val="000962F2"/>
    <w:rsid w:val="000A055A"/>
    <w:rsid w:val="000A07BD"/>
    <w:rsid w:val="000A1769"/>
    <w:rsid w:val="000A25EB"/>
    <w:rsid w:val="000A27C5"/>
    <w:rsid w:val="000A2D8C"/>
    <w:rsid w:val="000A5190"/>
    <w:rsid w:val="000A5360"/>
    <w:rsid w:val="000A741D"/>
    <w:rsid w:val="000A7657"/>
    <w:rsid w:val="000B0781"/>
    <w:rsid w:val="000B4662"/>
    <w:rsid w:val="000B4A44"/>
    <w:rsid w:val="000C0751"/>
    <w:rsid w:val="000C0E75"/>
    <w:rsid w:val="000C1740"/>
    <w:rsid w:val="000C1854"/>
    <w:rsid w:val="000C1970"/>
    <w:rsid w:val="000C409B"/>
    <w:rsid w:val="000C46E1"/>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274"/>
    <w:rsid w:val="000F2AFC"/>
    <w:rsid w:val="000F3DD5"/>
    <w:rsid w:val="000F4EE1"/>
    <w:rsid w:val="000F546F"/>
    <w:rsid w:val="000F5A5F"/>
    <w:rsid w:val="000F5F2C"/>
    <w:rsid w:val="000F62EA"/>
    <w:rsid w:val="000F6954"/>
    <w:rsid w:val="001004D2"/>
    <w:rsid w:val="0010105F"/>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5AAE"/>
    <w:rsid w:val="00136AF3"/>
    <w:rsid w:val="00136BC9"/>
    <w:rsid w:val="00136C9A"/>
    <w:rsid w:val="00137A58"/>
    <w:rsid w:val="00137DBE"/>
    <w:rsid w:val="00141571"/>
    <w:rsid w:val="00142279"/>
    <w:rsid w:val="00142920"/>
    <w:rsid w:val="00142C54"/>
    <w:rsid w:val="00143719"/>
    <w:rsid w:val="00143DCC"/>
    <w:rsid w:val="00144856"/>
    <w:rsid w:val="0014491A"/>
    <w:rsid w:val="00144CF2"/>
    <w:rsid w:val="001460FA"/>
    <w:rsid w:val="00146443"/>
    <w:rsid w:val="00146F1F"/>
    <w:rsid w:val="00151911"/>
    <w:rsid w:val="00152ADD"/>
    <w:rsid w:val="0015332A"/>
    <w:rsid w:val="00153362"/>
    <w:rsid w:val="00154FD6"/>
    <w:rsid w:val="001554C0"/>
    <w:rsid w:val="00155C48"/>
    <w:rsid w:val="001576E9"/>
    <w:rsid w:val="00162991"/>
    <w:rsid w:val="00163921"/>
    <w:rsid w:val="00164042"/>
    <w:rsid w:val="00164213"/>
    <w:rsid w:val="00166790"/>
    <w:rsid w:val="001671A3"/>
    <w:rsid w:val="00167E26"/>
    <w:rsid w:val="00170954"/>
    <w:rsid w:val="001719B5"/>
    <w:rsid w:val="00171B15"/>
    <w:rsid w:val="00172031"/>
    <w:rsid w:val="00175E13"/>
    <w:rsid w:val="00177450"/>
    <w:rsid w:val="001825C3"/>
    <w:rsid w:val="00182AEC"/>
    <w:rsid w:val="00184760"/>
    <w:rsid w:val="00185A40"/>
    <w:rsid w:val="00192956"/>
    <w:rsid w:val="00193B60"/>
    <w:rsid w:val="00193C8F"/>
    <w:rsid w:val="00195EBA"/>
    <w:rsid w:val="001973E5"/>
    <w:rsid w:val="001A039F"/>
    <w:rsid w:val="001A12C3"/>
    <w:rsid w:val="001A225A"/>
    <w:rsid w:val="001A4C79"/>
    <w:rsid w:val="001A4DCA"/>
    <w:rsid w:val="001A7526"/>
    <w:rsid w:val="001A77D3"/>
    <w:rsid w:val="001B009E"/>
    <w:rsid w:val="001B0BEE"/>
    <w:rsid w:val="001B39C2"/>
    <w:rsid w:val="001B4411"/>
    <w:rsid w:val="001B6AFF"/>
    <w:rsid w:val="001B6F4A"/>
    <w:rsid w:val="001B7509"/>
    <w:rsid w:val="001C0959"/>
    <w:rsid w:val="001C2D99"/>
    <w:rsid w:val="001C45AF"/>
    <w:rsid w:val="001C63D6"/>
    <w:rsid w:val="001C6995"/>
    <w:rsid w:val="001C73C9"/>
    <w:rsid w:val="001C7624"/>
    <w:rsid w:val="001C7868"/>
    <w:rsid w:val="001D057D"/>
    <w:rsid w:val="001D17E6"/>
    <w:rsid w:val="001D2EB6"/>
    <w:rsid w:val="001D2F5E"/>
    <w:rsid w:val="001D40D2"/>
    <w:rsid w:val="001D43E1"/>
    <w:rsid w:val="001D63E0"/>
    <w:rsid w:val="001D66A1"/>
    <w:rsid w:val="001D6E1D"/>
    <w:rsid w:val="001D708E"/>
    <w:rsid w:val="001D7982"/>
    <w:rsid w:val="001E12A6"/>
    <w:rsid w:val="001E168D"/>
    <w:rsid w:val="001E3219"/>
    <w:rsid w:val="001E4DE9"/>
    <w:rsid w:val="001E4F80"/>
    <w:rsid w:val="001E5C7B"/>
    <w:rsid w:val="001F2E47"/>
    <w:rsid w:val="001F38DD"/>
    <w:rsid w:val="001F5959"/>
    <w:rsid w:val="001F627F"/>
    <w:rsid w:val="001F6805"/>
    <w:rsid w:val="001F6BA3"/>
    <w:rsid w:val="001F7426"/>
    <w:rsid w:val="002040B2"/>
    <w:rsid w:val="0020452F"/>
    <w:rsid w:val="0020455D"/>
    <w:rsid w:val="002049CE"/>
    <w:rsid w:val="00204E2B"/>
    <w:rsid w:val="002068A5"/>
    <w:rsid w:val="00206E08"/>
    <w:rsid w:val="00206FF0"/>
    <w:rsid w:val="00207226"/>
    <w:rsid w:val="002078BB"/>
    <w:rsid w:val="0021072E"/>
    <w:rsid w:val="00210DF5"/>
    <w:rsid w:val="00211026"/>
    <w:rsid w:val="002118A9"/>
    <w:rsid w:val="002119BD"/>
    <w:rsid w:val="002124AF"/>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1C0D"/>
    <w:rsid w:val="002324AD"/>
    <w:rsid w:val="00232EF1"/>
    <w:rsid w:val="00233425"/>
    <w:rsid w:val="002336DD"/>
    <w:rsid w:val="00234376"/>
    <w:rsid w:val="00234AF5"/>
    <w:rsid w:val="00234ECC"/>
    <w:rsid w:val="0023608D"/>
    <w:rsid w:val="002410C5"/>
    <w:rsid w:val="002415F2"/>
    <w:rsid w:val="0024317F"/>
    <w:rsid w:val="00244CBE"/>
    <w:rsid w:val="00244D31"/>
    <w:rsid w:val="00244F8C"/>
    <w:rsid w:val="0024513C"/>
    <w:rsid w:val="002452E3"/>
    <w:rsid w:val="00245F9C"/>
    <w:rsid w:val="00246E11"/>
    <w:rsid w:val="0025047B"/>
    <w:rsid w:val="00250849"/>
    <w:rsid w:val="002524AE"/>
    <w:rsid w:val="00252D91"/>
    <w:rsid w:val="002534FF"/>
    <w:rsid w:val="00254DC4"/>
    <w:rsid w:val="002568A1"/>
    <w:rsid w:val="002573E2"/>
    <w:rsid w:val="0026175F"/>
    <w:rsid w:val="00261950"/>
    <w:rsid w:val="0026395A"/>
    <w:rsid w:val="0026397D"/>
    <w:rsid w:val="00265612"/>
    <w:rsid w:val="002664A3"/>
    <w:rsid w:val="00266C2B"/>
    <w:rsid w:val="0026732E"/>
    <w:rsid w:val="00270B7C"/>
    <w:rsid w:val="00272A22"/>
    <w:rsid w:val="00273C64"/>
    <w:rsid w:val="0027536E"/>
    <w:rsid w:val="00276A81"/>
    <w:rsid w:val="00276DCE"/>
    <w:rsid w:val="00277337"/>
    <w:rsid w:val="00277A4C"/>
    <w:rsid w:val="00280326"/>
    <w:rsid w:val="00281E25"/>
    <w:rsid w:val="00284168"/>
    <w:rsid w:val="00284CE5"/>
    <w:rsid w:val="00284D30"/>
    <w:rsid w:val="002852ED"/>
    <w:rsid w:val="00286757"/>
    <w:rsid w:val="00286EC1"/>
    <w:rsid w:val="00286F6A"/>
    <w:rsid w:val="00291609"/>
    <w:rsid w:val="00291FFF"/>
    <w:rsid w:val="00296273"/>
    <w:rsid w:val="00296C41"/>
    <w:rsid w:val="002972AC"/>
    <w:rsid w:val="002A3176"/>
    <w:rsid w:val="002A60FF"/>
    <w:rsid w:val="002A6EDE"/>
    <w:rsid w:val="002A71F6"/>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398C"/>
    <w:rsid w:val="002C4903"/>
    <w:rsid w:val="002C5896"/>
    <w:rsid w:val="002C665D"/>
    <w:rsid w:val="002C75EE"/>
    <w:rsid w:val="002C786A"/>
    <w:rsid w:val="002D05FF"/>
    <w:rsid w:val="002D2E41"/>
    <w:rsid w:val="002D3A0E"/>
    <w:rsid w:val="002D45D1"/>
    <w:rsid w:val="002D4D3D"/>
    <w:rsid w:val="002D5D82"/>
    <w:rsid w:val="002D79A2"/>
    <w:rsid w:val="002D7FA4"/>
    <w:rsid w:val="002E0D9D"/>
    <w:rsid w:val="002E1EED"/>
    <w:rsid w:val="002E4098"/>
    <w:rsid w:val="002E4595"/>
    <w:rsid w:val="002E4FCF"/>
    <w:rsid w:val="002E546C"/>
    <w:rsid w:val="002E6570"/>
    <w:rsid w:val="002E6F33"/>
    <w:rsid w:val="002F1981"/>
    <w:rsid w:val="002F2838"/>
    <w:rsid w:val="002F2FC5"/>
    <w:rsid w:val="002F3EE1"/>
    <w:rsid w:val="002F6B84"/>
    <w:rsid w:val="002F71A4"/>
    <w:rsid w:val="003015CD"/>
    <w:rsid w:val="00301F30"/>
    <w:rsid w:val="00302253"/>
    <w:rsid w:val="00302A6D"/>
    <w:rsid w:val="0030574A"/>
    <w:rsid w:val="00305D74"/>
    <w:rsid w:val="003124FC"/>
    <w:rsid w:val="00313833"/>
    <w:rsid w:val="00314D31"/>
    <w:rsid w:val="00317560"/>
    <w:rsid w:val="00317627"/>
    <w:rsid w:val="00320F10"/>
    <w:rsid w:val="0032153C"/>
    <w:rsid w:val="00321F00"/>
    <w:rsid w:val="0032281C"/>
    <w:rsid w:val="0032416B"/>
    <w:rsid w:val="003271DE"/>
    <w:rsid w:val="003304AF"/>
    <w:rsid w:val="003332E9"/>
    <w:rsid w:val="00333743"/>
    <w:rsid w:val="00333E5D"/>
    <w:rsid w:val="003362B8"/>
    <w:rsid w:val="00337524"/>
    <w:rsid w:val="00340895"/>
    <w:rsid w:val="00341495"/>
    <w:rsid w:val="003426C9"/>
    <w:rsid w:val="0034412D"/>
    <w:rsid w:val="00344367"/>
    <w:rsid w:val="003450D5"/>
    <w:rsid w:val="003465D9"/>
    <w:rsid w:val="0034749C"/>
    <w:rsid w:val="003500FF"/>
    <w:rsid w:val="0035049A"/>
    <w:rsid w:val="00351F39"/>
    <w:rsid w:val="003531AF"/>
    <w:rsid w:val="00362686"/>
    <w:rsid w:val="00362EA2"/>
    <w:rsid w:val="00363ADD"/>
    <w:rsid w:val="00364825"/>
    <w:rsid w:val="003660B7"/>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043B"/>
    <w:rsid w:val="003824F6"/>
    <w:rsid w:val="00382C34"/>
    <w:rsid w:val="00383038"/>
    <w:rsid w:val="003838B9"/>
    <w:rsid w:val="00384A39"/>
    <w:rsid w:val="003861F0"/>
    <w:rsid w:val="00387435"/>
    <w:rsid w:val="0038792F"/>
    <w:rsid w:val="00391F07"/>
    <w:rsid w:val="003920E6"/>
    <w:rsid w:val="003923E4"/>
    <w:rsid w:val="00392D91"/>
    <w:rsid w:val="0039374E"/>
    <w:rsid w:val="00393B86"/>
    <w:rsid w:val="003946AE"/>
    <w:rsid w:val="00394FD7"/>
    <w:rsid w:val="00395648"/>
    <w:rsid w:val="00396DE8"/>
    <w:rsid w:val="0039789B"/>
    <w:rsid w:val="003A36F3"/>
    <w:rsid w:val="003A6925"/>
    <w:rsid w:val="003A6BDE"/>
    <w:rsid w:val="003A76BF"/>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00EF"/>
    <w:rsid w:val="003D0F6A"/>
    <w:rsid w:val="003D112B"/>
    <w:rsid w:val="003D43BA"/>
    <w:rsid w:val="003D4CE7"/>
    <w:rsid w:val="003D53CA"/>
    <w:rsid w:val="003D55B8"/>
    <w:rsid w:val="003D575B"/>
    <w:rsid w:val="003D5B61"/>
    <w:rsid w:val="003D677D"/>
    <w:rsid w:val="003D7B0C"/>
    <w:rsid w:val="003E2005"/>
    <w:rsid w:val="003E24CD"/>
    <w:rsid w:val="003E6024"/>
    <w:rsid w:val="003E670A"/>
    <w:rsid w:val="003E786D"/>
    <w:rsid w:val="003E792E"/>
    <w:rsid w:val="003F0A3F"/>
    <w:rsid w:val="003F1704"/>
    <w:rsid w:val="003F3145"/>
    <w:rsid w:val="003F459E"/>
    <w:rsid w:val="003F45A1"/>
    <w:rsid w:val="003F6606"/>
    <w:rsid w:val="003F7E03"/>
    <w:rsid w:val="00400E61"/>
    <w:rsid w:val="004034CE"/>
    <w:rsid w:val="00403B5A"/>
    <w:rsid w:val="004052B7"/>
    <w:rsid w:val="00405944"/>
    <w:rsid w:val="00405FDA"/>
    <w:rsid w:val="0040648E"/>
    <w:rsid w:val="00406856"/>
    <w:rsid w:val="004110EC"/>
    <w:rsid w:val="00411D76"/>
    <w:rsid w:val="004123F9"/>
    <w:rsid w:val="00415F43"/>
    <w:rsid w:val="00416181"/>
    <w:rsid w:val="00416CD2"/>
    <w:rsid w:val="00420E18"/>
    <w:rsid w:val="00421A70"/>
    <w:rsid w:val="004229A6"/>
    <w:rsid w:val="004230D1"/>
    <w:rsid w:val="004248B3"/>
    <w:rsid w:val="0042498C"/>
    <w:rsid w:val="004258F4"/>
    <w:rsid w:val="00426CEB"/>
    <w:rsid w:val="0043010B"/>
    <w:rsid w:val="00430E36"/>
    <w:rsid w:val="004331E1"/>
    <w:rsid w:val="004351AD"/>
    <w:rsid w:val="004365FC"/>
    <w:rsid w:val="00436950"/>
    <w:rsid w:val="0043708E"/>
    <w:rsid w:val="00437368"/>
    <w:rsid w:val="0043784A"/>
    <w:rsid w:val="00443515"/>
    <w:rsid w:val="00443DE2"/>
    <w:rsid w:val="00443E23"/>
    <w:rsid w:val="00450625"/>
    <w:rsid w:val="00450D25"/>
    <w:rsid w:val="00453F66"/>
    <w:rsid w:val="00456D91"/>
    <w:rsid w:val="00457018"/>
    <w:rsid w:val="0046053D"/>
    <w:rsid w:val="00460B35"/>
    <w:rsid w:val="00460DCC"/>
    <w:rsid w:val="00461E61"/>
    <w:rsid w:val="0046382E"/>
    <w:rsid w:val="00464B98"/>
    <w:rsid w:val="00466080"/>
    <w:rsid w:val="004661AD"/>
    <w:rsid w:val="004663B3"/>
    <w:rsid w:val="00466C76"/>
    <w:rsid w:val="00466E13"/>
    <w:rsid w:val="00472CC3"/>
    <w:rsid w:val="00474243"/>
    <w:rsid w:val="00474D81"/>
    <w:rsid w:val="00475928"/>
    <w:rsid w:val="00475949"/>
    <w:rsid w:val="00475D83"/>
    <w:rsid w:val="00475F0B"/>
    <w:rsid w:val="004769A9"/>
    <w:rsid w:val="00477497"/>
    <w:rsid w:val="00480736"/>
    <w:rsid w:val="00480806"/>
    <w:rsid w:val="00481A65"/>
    <w:rsid w:val="0048289A"/>
    <w:rsid w:val="00482D88"/>
    <w:rsid w:val="00483E47"/>
    <w:rsid w:val="00485294"/>
    <w:rsid w:val="00485861"/>
    <w:rsid w:val="00486532"/>
    <w:rsid w:val="004873C6"/>
    <w:rsid w:val="00487A3E"/>
    <w:rsid w:val="00487B09"/>
    <w:rsid w:val="004926AC"/>
    <w:rsid w:val="00493BB3"/>
    <w:rsid w:val="0049510E"/>
    <w:rsid w:val="00497922"/>
    <w:rsid w:val="004A69DB"/>
    <w:rsid w:val="004B0BCC"/>
    <w:rsid w:val="004B0F6B"/>
    <w:rsid w:val="004B1570"/>
    <w:rsid w:val="004B1B60"/>
    <w:rsid w:val="004B3046"/>
    <w:rsid w:val="004B3061"/>
    <w:rsid w:val="004B5DF8"/>
    <w:rsid w:val="004B60FF"/>
    <w:rsid w:val="004C21C3"/>
    <w:rsid w:val="004C24C3"/>
    <w:rsid w:val="004C5E0F"/>
    <w:rsid w:val="004C6775"/>
    <w:rsid w:val="004C6C62"/>
    <w:rsid w:val="004D00F1"/>
    <w:rsid w:val="004D0854"/>
    <w:rsid w:val="004D0CD5"/>
    <w:rsid w:val="004D231C"/>
    <w:rsid w:val="004D3350"/>
    <w:rsid w:val="004D6224"/>
    <w:rsid w:val="004D626C"/>
    <w:rsid w:val="004D711C"/>
    <w:rsid w:val="004D749A"/>
    <w:rsid w:val="004E01D4"/>
    <w:rsid w:val="004E0EDD"/>
    <w:rsid w:val="004E0FB7"/>
    <w:rsid w:val="004E109F"/>
    <w:rsid w:val="004E12A2"/>
    <w:rsid w:val="004E1D7C"/>
    <w:rsid w:val="004E1F8C"/>
    <w:rsid w:val="004E3785"/>
    <w:rsid w:val="004E381E"/>
    <w:rsid w:val="004E5A27"/>
    <w:rsid w:val="004E5D60"/>
    <w:rsid w:val="004E6B46"/>
    <w:rsid w:val="004E74A6"/>
    <w:rsid w:val="004E75A8"/>
    <w:rsid w:val="004F2BEE"/>
    <w:rsid w:val="004F52DC"/>
    <w:rsid w:val="004F5BBA"/>
    <w:rsid w:val="004F6F90"/>
    <w:rsid w:val="004F74A8"/>
    <w:rsid w:val="004F7610"/>
    <w:rsid w:val="004F7B3C"/>
    <w:rsid w:val="004F7E21"/>
    <w:rsid w:val="0050099A"/>
    <w:rsid w:val="00500C09"/>
    <w:rsid w:val="005011AF"/>
    <w:rsid w:val="00501C57"/>
    <w:rsid w:val="00502443"/>
    <w:rsid w:val="00503B86"/>
    <w:rsid w:val="00503E54"/>
    <w:rsid w:val="00504EB6"/>
    <w:rsid w:val="00504EDF"/>
    <w:rsid w:val="00505A90"/>
    <w:rsid w:val="00505EEE"/>
    <w:rsid w:val="0050663A"/>
    <w:rsid w:val="0050721B"/>
    <w:rsid w:val="005076B1"/>
    <w:rsid w:val="00507EDD"/>
    <w:rsid w:val="00511CE3"/>
    <w:rsid w:val="00511ECD"/>
    <w:rsid w:val="005171C1"/>
    <w:rsid w:val="005172EA"/>
    <w:rsid w:val="005173E8"/>
    <w:rsid w:val="005201EE"/>
    <w:rsid w:val="0052087C"/>
    <w:rsid w:val="00520BA7"/>
    <w:rsid w:val="00522427"/>
    <w:rsid w:val="00524161"/>
    <w:rsid w:val="00530859"/>
    <w:rsid w:val="005312D7"/>
    <w:rsid w:val="005317E1"/>
    <w:rsid w:val="00532B8B"/>
    <w:rsid w:val="00533581"/>
    <w:rsid w:val="00533822"/>
    <w:rsid w:val="00540664"/>
    <w:rsid w:val="005409C5"/>
    <w:rsid w:val="00541FE1"/>
    <w:rsid w:val="00542A59"/>
    <w:rsid w:val="00543B4D"/>
    <w:rsid w:val="0054488F"/>
    <w:rsid w:val="005469BF"/>
    <w:rsid w:val="005470FD"/>
    <w:rsid w:val="00547E46"/>
    <w:rsid w:val="00550669"/>
    <w:rsid w:val="00550AD7"/>
    <w:rsid w:val="005555A5"/>
    <w:rsid w:val="00561908"/>
    <w:rsid w:val="00561BC1"/>
    <w:rsid w:val="005624B6"/>
    <w:rsid w:val="005629D6"/>
    <w:rsid w:val="00562D3A"/>
    <w:rsid w:val="0056496B"/>
    <w:rsid w:val="00566FDB"/>
    <w:rsid w:val="005675B1"/>
    <w:rsid w:val="00567A3A"/>
    <w:rsid w:val="00572CAC"/>
    <w:rsid w:val="00573B51"/>
    <w:rsid w:val="005747F6"/>
    <w:rsid w:val="00574AE9"/>
    <w:rsid w:val="00574E2F"/>
    <w:rsid w:val="00582597"/>
    <w:rsid w:val="005829ED"/>
    <w:rsid w:val="00582F1E"/>
    <w:rsid w:val="00583043"/>
    <w:rsid w:val="0058421D"/>
    <w:rsid w:val="00584C4C"/>
    <w:rsid w:val="00586449"/>
    <w:rsid w:val="00586718"/>
    <w:rsid w:val="005901BD"/>
    <w:rsid w:val="00590C92"/>
    <w:rsid w:val="0059326C"/>
    <w:rsid w:val="00593772"/>
    <w:rsid w:val="00593B6D"/>
    <w:rsid w:val="00594701"/>
    <w:rsid w:val="00594827"/>
    <w:rsid w:val="005948F4"/>
    <w:rsid w:val="00594AE8"/>
    <w:rsid w:val="0059529E"/>
    <w:rsid w:val="005978AA"/>
    <w:rsid w:val="005A0880"/>
    <w:rsid w:val="005A34E7"/>
    <w:rsid w:val="005A3ABC"/>
    <w:rsid w:val="005A6C80"/>
    <w:rsid w:val="005A6E9D"/>
    <w:rsid w:val="005A7A07"/>
    <w:rsid w:val="005A7F69"/>
    <w:rsid w:val="005B1E71"/>
    <w:rsid w:val="005B29AE"/>
    <w:rsid w:val="005B2C6F"/>
    <w:rsid w:val="005B3179"/>
    <w:rsid w:val="005B31C8"/>
    <w:rsid w:val="005B53FA"/>
    <w:rsid w:val="005B72FC"/>
    <w:rsid w:val="005C0391"/>
    <w:rsid w:val="005C1646"/>
    <w:rsid w:val="005C1CD7"/>
    <w:rsid w:val="005C1D12"/>
    <w:rsid w:val="005C30C9"/>
    <w:rsid w:val="005C5469"/>
    <w:rsid w:val="005C56DE"/>
    <w:rsid w:val="005C776C"/>
    <w:rsid w:val="005C780A"/>
    <w:rsid w:val="005D0166"/>
    <w:rsid w:val="005D0972"/>
    <w:rsid w:val="005D26CB"/>
    <w:rsid w:val="005D2A76"/>
    <w:rsid w:val="005D4280"/>
    <w:rsid w:val="005D460A"/>
    <w:rsid w:val="005D5186"/>
    <w:rsid w:val="005D687C"/>
    <w:rsid w:val="005D7F6F"/>
    <w:rsid w:val="005E100E"/>
    <w:rsid w:val="005E199C"/>
    <w:rsid w:val="005E1CCD"/>
    <w:rsid w:val="005E2BB6"/>
    <w:rsid w:val="005E349A"/>
    <w:rsid w:val="005E3B4F"/>
    <w:rsid w:val="005E51CD"/>
    <w:rsid w:val="005E6B58"/>
    <w:rsid w:val="005E7929"/>
    <w:rsid w:val="005E7BEB"/>
    <w:rsid w:val="005F1B8D"/>
    <w:rsid w:val="005F1C7E"/>
    <w:rsid w:val="005F1FCA"/>
    <w:rsid w:val="005F4E63"/>
    <w:rsid w:val="005F6022"/>
    <w:rsid w:val="005F68FF"/>
    <w:rsid w:val="005F6A75"/>
    <w:rsid w:val="005F7E5F"/>
    <w:rsid w:val="0060004E"/>
    <w:rsid w:val="00600512"/>
    <w:rsid w:val="0060243A"/>
    <w:rsid w:val="006028A7"/>
    <w:rsid w:val="006032A8"/>
    <w:rsid w:val="006037EF"/>
    <w:rsid w:val="00603D85"/>
    <w:rsid w:val="006042B7"/>
    <w:rsid w:val="00604D9F"/>
    <w:rsid w:val="00604EEE"/>
    <w:rsid w:val="0060524E"/>
    <w:rsid w:val="006057DE"/>
    <w:rsid w:val="00605DC5"/>
    <w:rsid w:val="006064D4"/>
    <w:rsid w:val="00606527"/>
    <w:rsid w:val="00606750"/>
    <w:rsid w:val="006105D0"/>
    <w:rsid w:val="0061246F"/>
    <w:rsid w:val="00613BF1"/>
    <w:rsid w:val="00615BB8"/>
    <w:rsid w:val="00616CCF"/>
    <w:rsid w:val="00616F7B"/>
    <w:rsid w:val="00617D73"/>
    <w:rsid w:val="0062025B"/>
    <w:rsid w:val="00626A5C"/>
    <w:rsid w:val="00626FCB"/>
    <w:rsid w:val="0062796C"/>
    <w:rsid w:val="00627A2B"/>
    <w:rsid w:val="00631336"/>
    <w:rsid w:val="00631B51"/>
    <w:rsid w:val="00632A8D"/>
    <w:rsid w:val="00632AD7"/>
    <w:rsid w:val="0063436E"/>
    <w:rsid w:val="00634DDA"/>
    <w:rsid w:val="0063529C"/>
    <w:rsid w:val="006353E5"/>
    <w:rsid w:val="00637620"/>
    <w:rsid w:val="00637E6E"/>
    <w:rsid w:val="00641579"/>
    <w:rsid w:val="00641629"/>
    <w:rsid w:val="00641FBD"/>
    <w:rsid w:val="00643476"/>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23"/>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2C9A"/>
    <w:rsid w:val="006A2DBF"/>
    <w:rsid w:val="006A3BE6"/>
    <w:rsid w:val="006A6ADB"/>
    <w:rsid w:val="006A73DE"/>
    <w:rsid w:val="006B011C"/>
    <w:rsid w:val="006B0567"/>
    <w:rsid w:val="006B0593"/>
    <w:rsid w:val="006B252A"/>
    <w:rsid w:val="006B3272"/>
    <w:rsid w:val="006B3FBF"/>
    <w:rsid w:val="006B4635"/>
    <w:rsid w:val="006C06F9"/>
    <w:rsid w:val="006C092C"/>
    <w:rsid w:val="006C1767"/>
    <w:rsid w:val="006C184E"/>
    <w:rsid w:val="006C309E"/>
    <w:rsid w:val="006C4E10"/>
    <w:rsid w:val="006C742D"/>
    <w:rsid w:val="006D0342"/>
    <w:rsid w:val="006D100A"/>
    <w:rsid w:val="006D1251"/>
    <w:rsid w:val="006D1FC7"/>
    <w:rsid w:val="006D4730"/>
    <w:rsid w:val="006D5DAE"/>
    <w:rsid w:val="006D5E05"/>
    <w:rsid w:val="006D69AA"/>
    <w:rsid w:val="006E0829"/>
    <w:rsid w:val="006E0CC8"/>
    <w:rsid w:val="006E11B8"/>
    <w:rsid w:val="006E12B8"/>
    <w:rsid w:val="006E1600"/>
    <w:rsid w:val="006E22D4"/>
    <w:rsid w:val="006E22EE"/>
    <w:rsid w:val="006E5AAC"/>
    <w:rsid w:val="006E660F"/>
    <w:rsid w:val="006E7285"/>
    <w:rsid w:val="006F0679"/>
    <w:rsid w:val="006F3CEE"/>
    <w:rsid w:val="006F622B"/>
    <w:rsid w:val="007018AA"/>
    <w:rsid w:val="00704A41"/>
    <w:rsid w:val="00705290"/>
    <w:rsid w:val="00706EAD"/>
    <w:rsid w:val="007071A5"/>
    <w:rsid w:val="0070782F"/>
    <w:rsid w:val="0071063F"/>
    <w:rsid w:val="00711DB4"/>
    <w:rsid w:val="007125E3"/>
    <w:rsid w:val="00712B9D"/>
    <w:rsid w:val="007148DF"/>
    <w:rsid w:val="007159E5"/>
    <w:rsid w:val="007161BC"/>
    <w:rsid w:val="007165B5"/>
    <w:rsid w:val="007203F9"/>
    <w:rsid w:val="00720A5D"/>
    <w:rsid w:val="00720BB7"/>
    <w:rsid w:val="00721125"/>
    <w:rsid w:val="0072152C"/>
    <w:rsid w:val="007217DA"/>
    <w:rsid w:val="00722A1F"/>
    <w:rsid w:val="00723174"/>
    <w:rsid w:val="007238AB"/>
    <w:rsid w:val="00724502"/>
    <w:rsid w:val="00724C9C"/>
    <w:rsid w:val="0072657D"/>
    <w:rsid w:val="007269F9"/>
    <w:rsid w:val="00726E71"/>
    <w:rsid w:val="0072794D"/>
    <w:rsid w:val="00727F5F"/>
    <w:rsid w:val="00727F89"/>
    <w:rsid w:val="00730DDB"/>
    <w:rsid w:val="0073193D"/>
    <w:rsid w:val="00735176"/>
    <w:rsid w:val="0073668C"/>
    <w:rsid w:val="00736917"/>
    <w:rsid w:val="00737FEC"/>
    <w:rsid w:val="0074066D"/>
    <w:rsid w:val="00741E8C"/>
    <w:rsid w:val="00743C40"/>
    <w:rsid w:val="00744AF3"/>
    <w:rsid w:val="007453B1"/>
    <w:rsid w:val="0075097C"/>
    <w:rsid w:val="00750D18"/>
    <w:rsid w:val="00751F22"/>
    <w:rsid w:val="00752AC6"/>
    <w:rsid w:val="00753152"/>
    <w:rsid w:val="00753FD1"/>
    <w:rsid w:val="007544B1"/>
    <w:rsid w:val="00754791"/>
    <w:rsid w:val="00754893"/>
    <w:rsid w:val="00755583"/>
    <w:rsid w:val="00755971"/>
    <w:rsid w:val="00755E5F"/>
    <w:rsid w:val="007647B4"/>
    <w:rsid w:val="007647C1"/>
    <w:rsid w:val="00766817"/>
    <w:rsid w:val="00766A47"/>
    <w:rsid w:val="00766D16"/>
    <w:rsid w:val="00766E4B"/>
    <w:rsid w:val="00767FA3"/>
    <w:rsid w:val="00770354"/>
    <w:rsid w:val="007705B6"/>
    <w:rsid w:val="00770D1A"/>
    <w:rsid w:val="00770F9F"/>
    <w:rsid w:val="007712D5"/>
    <w:rsid w:val="0077333C"/>
    <w:rsid w:val="007733E4"/>
    <w:rsid w:val="00774D85"/>
    <w:rsid w:val="0077529F"/>
    <w:rsid w:val="007765FE"/>
    <w:rsid w:val="00780448"/>
    <w:rsid w:val="00780AAD"/>
    <w:rsid w:val="00780FBD"/>
    <w:rsid w:val="00781D0B"/>
    <w:rsid w:val="00782119"/>
    <w:rsid w:val="007836AD"/>
    <w:rsid w:val="007847DE"/>
    <w:rsid w:val="00785B2C"/>
    <w:rsid w:val="00786881"/>
    <w:rsid w:val="00787AB7"/>
    <w:rsid w:val="007910EF"/>
    <w:rsid w:val="0079417E"/>
    <w:rsid w:val="0079526D"/>
    <w:rsid w:val="007964EA"/>
    <w:rsid w:val="0079668E"/>
    <w:rsid w:val="0079754C"/>
    <w:rsid w:val="007A2046"/>
    <w:rsid w:val="007A2505"/>
    <w:rsid w:val="007A2B6B"/>
    <w:rsid w:val="007A3E44"/>
    <w:rsid w:val="007A6714"/>
    <w:rsid w:val="007B0095"/>
    <w:rsid w:val="007B069E"/>
    <w:rsid w:val="007B19AC"/>
    <w:rsid w:val="007B1E26"/>
    <w:rsid w:val="007B2034"/>
    <w:rsid w:val="007B232C"/>
    <w:rsid w:val="007B24AA"/>
    <w:rsid w:val="007B25AD"/>
    <w:rsid w:val="007B2D19"/>
    <w:rsid w:val="007B505F"/>
    <w:rsid w:val="007B69C6"/>
    <w:rsid w:val="007C00B2"/>
    <w:rsid w:val="007C1657"/>
    <w:rsid w:val="007C27EB"/>
    <w:rsid w:val="007C2A16"/>
    <w:rsid w:val="007C34FB"/>
    <w:rsid w:val="007C44A0"/>
    <w:rsid w:val="007C4B96"/>
    <w:rsid w:val="007C5CA4"/>
    <w:rsid w:val="007C65FB"/>
    <w:rsid w:val="007D0D5D"/>
    <w:rsid w:val="007D19CE"/>
    <w:rsid w:val="007D3639"/>
    <w:rsid w:val="007D49E4"/>
    <w:rsid w:val="007D4B51"/>
    <w:rsid w:val="007D7F7A"/>
    <w:rsid w:val="007E16F3"/>
    <w:rsid w:val="007E23B7"/>
    <w:rsid w:val="007E422C"/>
    <w:rsid w:val="007E4F3F"/>
    <w:rsid w:val="007E4F7B"/>
    <w:rsid w:val="007E5467"/>
    <w:rsid w:val="007E6426"/>
    <w:rsid w:val="007E7528"/>
    <w:rsid w:val="007F0312"/>
    <w:rsid w:val="007F0356"/>
    <w:rsid w:val="007F0451"/>
    <w:rsid w:val="007F0952"/>
    <w:rsid w:val="007F18CC"/>
    <w:rsid w:val="007F1B3C"/>
    <w:rsid w:val="007F21B9"/>
    <w:rsid w:val="007F3175"/>
    <w:rsid w:val="007F55A8"/>
    <w:rsid w:val="007F5ED4"/>
    <w:rsid w:val="007F7F28"/>
    <w:rsid w:val="0080572E"/>
    <w:rsid w:val="00807663"/>
    <w:rsid w:val="00807959"/>
    <w:rsid w:val="00807D17"/>
    <w:rsid w:val="0081024D"/>
    <w:rsid w:val="008105E1"/>
    <w:rsid w:val="00812D1B"/>
    <w:rsid w:val="00813A40"/>
    <w:rsid w:val="00815510"/>
    <w:rsid w:val="00816FE5"/>
    <w:rsid w:val="0081720D"/>
    <w:rsid w:val="00820A0C"/>
    <w:rsid w:val="00825C97"/>
    <w:rsid w:val="00827F90"/>
    <w:rsid w:val="008304C8"/>
    <w:rsid w:val="00830C63"/>
    <w:rsid w:val="00830CFD"/>
    <w:rsid w:val="00831192"/>
    <w:rsid w:val="008324DA"/>
    <w:rsid w:val="008341BA"/>
    <w:rsid w:val="00834B0B"/>
    <w:rsid w:val="008355D3"/>
    <w:rsid w:val="00836757"/>
    <w:rsid w:val="00837B3B"/>
    <w:rsid w:val="00837F6A"/>
    <w:rsid w:val="00842A09"/>
    <w:rsid w:val="0084385D"/>
    <w:rsid w:val="008463A8"/>
    <w:rsid w:val="0084647B"/>
    <w:rsid w:val="00850E6F"/>
    <w:rsid w:val="008511FD"/>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786"/>
    <w:rsid w:val="008879F5"/>
    <w:rsid w:val="0089084E"/>
    <w:rsid w:val="0089176C"/>
    <w:rsid w:val="00892232"/>
    <w:rsid w:val="00892917"/>
    <w:rsid w:val="00892E71"/>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3E2"/>
    <w:rsid w:val="008B56B6"/>
    <w:rsid w:val="008B79F0"/>
    <w:rsid w:val="008C0B6A"/>
    <w:rsid w:val="008C0EE5"/>
    <w:rsid w:val="008C0F6E"/>
    <w:rsid w:val="008C1B33"/>
    <w:rsid w:val="008C20EC"/>
    <w:rsid w:val="008C2807"/>
    <w:rsid w:val="008D11BB"/>
    <w:rsid w:val="008D1CD4"/>
    <w:rsid w:val="008D35DF"/>
    <w:rsid w:val="008D4696"/>
    <w:rsid w:val="008D5922"/>
    <w:rsid w:val="008D732B"/>
    <w:rsid w:val="008D7AE4"/>
    <w:rsid w:val="008E30E5"/>
    <w:rsid w:val="008E34FE"/>
    <w:rsid w:val="008E5C3A"/>
    <w:rsid w:val="008E7D23"/>
    <w:rsid w:val="008E7D91"/>
    <w:rsid w:val="008F0230"/>
    <w:rsid w:val="008F1C3C"/>
    <w:rsid w:val="008F32E3"/>
    <w:rsid w:val="008F3D70"/>
    <w:rsid w:val="008F4A0C"/>
    <w:rsid w:val="008F5726"/>
    <w:rsid w:val="008F7755"/>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38E"/>
    <w:rsid w:val="00916A57"/>
    <w:rsid w:val="00916B55"/>
    <w:rsid w:val="00917013"/>
    <w:rsid w:val="00920115"/>
    <w:rsid w:val="00920C50"/>
    <w:rsid w:val="0092380E"/>
    <w:rsid w:val="009254E9"/>
    <w:rsid w:val="00926312"/>
    <w:rsid w:val="00926644"/>
    <w:rsid w:val="00930564"/>
    <w:rsid w:val="00930A00"/>
    <w:rsid w:val="0093135F"/>
    <w:rsid w:val="009320B6"/>
    <w:rsid w:val="009326EF"/>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5A77"/>
    <w:rsid w:val="0095679C"/>
    <w:rsid w:val="00962711"/>
    <w:rsid w:val="0096285C"/>
    <w:rsid w:val="00962F73"/>
    <w:rsid w:val="00963621"/>
    <w:rsid w:val="00965150"/>
    <w:rsid w:val="00965596"/>
    <w:rsid w:val="0096743A"/>
    <w:rsid w:val="00971270"/>
    <w:rsid w:val="009719F6"/>
    <w:rsid w:val="00972768"/>
    <w:rsid w:val="00975481"/>
    <w:rsid w:val="00980066"/>
    <w:rsid w:val="0098185A"/>
    <w:rsid w:val="00983EA0"/>
    <w:rsid w:val="00986682"/>
    <w:rsid w:val="00987846"/>
    <w:rsid w:val="00991C41"/>
    <w:rsid w:val="00992621"/>
    <w:rsid w:val="00992BC5"/>
    <w:rsid w:val="00994E33"/>
    <w:rsid w:val="00995309"/>
    <w:rsid w:val="009960C3"/>
    <w:rsid w:val="00997697"/>
    <w:rsid w:val="0099796B"/>
    <w:rsid w:val="009979D7"/>
    <w:rsid w:val="009A0F77"/>
    <w:rsid w:val="009A18E2"/>
    <w:rsid w:val="009A1D98"/>
    <w:rsid w:val="009A1F82"/>
    <w:rsid w:val="009A217F"/>
    <w:rsid w:val="009A22A5"/>
    <w:rsid w:val="009A436E"/>
    <w:rsid w:val="009A5962"/>
    <w:rsid w:val="009A646A"/>
    <w:rsid w:val="009A64B8"/>
    <w:rsid w:val="009A6D1E"/>
    <w:rsid w:val="009B243D"/>
    <w:rsid w:val="009B27AB"/>
    <w:rsid w:val="009B3326"/>
    <w:rsid w:val="009B54A8"/>
    <w:rsid w:val="009B5AA0"/>
    <w:rsid w:val="009B5B9D"/>
    <w:rsid w:val="009B5E4F"/>
    <w:rsid w:val="009C01E7"/>
    <w:rsid w:val="009C099B"/>
    <w:rsid w:val="009C0A14"/>
    <w:rsid w:val="009C0CA6"/>
    <w:rsid w:val="009C0D06"/>
    <w:rsid w:val="009C230C"/>
    <w:rsid w:val="009C3486"/>
    <w:rsid w:val="009C36A8"/>
    <w:rsid w:val="009C3D4C"/>
    <w:rsid w:val="009C51C2"/>
    <w:rsid w:val="009C58E5"/>
    <w:rsid w:val="009C6899"/>
    <w:rsid w:val="009D178A"/>
    <w:rsid w:val="009D22F4"/>
    <w:rsid w:val="009D315A"/>
    <w:rsid w:val="009E00CB"/>
    <w:rsid w:val="009E1321"/>
    <w:rsid w:val="009E54F2"/>
    <w:rsid w:val="009E6510"/>
    <w:rsid w:val="009F0BEF"/>
    <w:rsid w:val="009F3737"/>
    <w:rsid w:val="009F3A0C"/>
    <w:rsid w:val="009F5756"/>
    <w:rsid w:val="009F611D"/>
    <w:rsid w:val="009F7E45"/>
    <w:rsid w:val="00A008DB"/>
    <w:rsid w:val="00A00AA7"/>
    <w:rsid w:val="00A00F2D"/>
    <w:rsid w:val="00A0260B"/>
    <w:rsid w:val="00A02A5D"/>
    <w:rsid w:val="00A03B08"/>
    <w:rsid w:val="00A04D91"/>
    <w:rsid w:val="00A056DB"/>
    <w:rsid w:val="00A1010F"/>
    <w:rsid w:val="00A108C4"/>
    <w:rsid w:val="00A1150E"/>
    <w:rsid w:val="00A14EA7"/>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B"/>
    <w:rsid w:val="00A329E0"/>
    <w:rsid w:val="00A330C3"/>
    <w:rsid w:val="00A34056"/>
    <w:rsid w:val="00A353F1"/>
    <w:rsid w:val="00A36D45"/>
    <w:rsid w:val="00A36D91"/>
    <w:rsid w:val="00A3736C"/>
    <w:rsid w:val="00A408D7"/>
    <w:rsid w:val="00A40DD7"/>
    <w:rsid w:val="00A435B6"/>
    <w:rsid w:val="00A45267"/>
    <w:rsid w:val="00A470EF"/>
    <w:rsid w:val="00A47161"/>
    <w:rsid w:val="00A51A63"/>
    <w:rsid w:val="00A5506C"/>
    <w:rsid w:val="00A559AF"/>
    <w:rsid w:val="00A55E4E"/>
    <w:rsid w:val="00A574E2"/>
    <w:rsid w:val="00A57923"/>
    <w:rsid w:val="00A61137"/>
    <w:rsid w:val="00A6294C"/>
    <w:rsid w:val="00A65A1C"/>
    <w:rsid w:val="00A65E2A"/>
    <w:rsid w:val="00A66540"/>
    <w:rsid w:val="00A6714F"/>
    <w:rsid w:val="00A74AE5"/>
    <w:rsid w:val="00A74CA6"/>
    <w:rsid w:val="00A751B8"/>
    <w:rsid w:val="00A75A9D"/>
    <w:rsid w:val="00A75DF9"/>
    <w:rsid w:val="00A75FCD"/>
    <w:rsid w:val="00A7621A"/>
    <w:rsid w:val="00A763A8"/>
    <w:rsid w:val="00A76EDA"/>
    <w:rsid w:val="00A81C4C"/>
    <w:rsid w:val="00A83524"/>
    <w:rsid w:val="00A8564A"/>
    <w:rsid w:val="00A87C77"/>
    <w:rsid w:val="00A909C4"/>
    <w:rsid w:val="00A90F08"/>
    <w:rsid w:val="00A92ED9"/>
    <w:rsid w:val="00A934CF"/>
    <w:rsid w:val="00A93BBB"/>
    <w:rsid w:val="00A9559D"/>
    <w:rsid w:val="00A961DC"/>
    <w:rsid w:val="00A961F3"/>
    <w:rsid w:val="00A96419"/>
    <w:rsid w:val="00A96A18"/>
    <w:rsid w:val="00AA1646"/>
    <w:rsid w:val="00AA213E"/>
    <w:rsid w:val="00AA5B4D"/>
    <w:rsid w:val="00AA75DA"/>
    <w:rsid w:val="00AB0D3D"/>
    <w:rsid w:val="00AB2ED0"/>
    <w:rsid w:val="00AB37D5"/>
    <w:rsid w:val="00AB3DCC"/>
    <w:rsid w:val="00AB3E36"/>
    <w:rsid w:val="00AB520A"/>
    <w:rsid w:val="00AB6499"/>
    <w:rsid w:val="00AB749D"/>
    <w:rsid w:val="00AC032B"/>
    <w:rsid w:val="00AC0C1E"/>
    <w:rsid w:val="00AC0FBC"/>
    <w:rsid w:val="00AC2DB7"/>
    <w:rsid w:val="00AC35BB"/>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037B"/>
    <w:rsid w:val="00AE231B"/>
    <w:rsid w:val="00AE6E3A"/>
    <w:rsid w:val="00AE7F92"/>
    <w:rsid w:val="00AF022B"/>
    <w:rsid w:val="00AF3324"/>
    <w:rsid w:val="00AF5A08"/>
    <w:rsid w:val="00AF7419"/>
    <w:rsid w:val="00B0450A"/>
    <w:rsid w:val="00B04E08"/>
    <w:rsid w:val="00B05997"/>
    <w:rsid w:val="00B05DFF"/>
    <w:rsid w:val="00B0780B"/>
    <w:rsid w:val="00B07A6C"/>
    <w:rsid w:val="00B07B2E"/>
    <w:rsid w:val="00B13271"/>
    <w:rsid w:val="00B1367F"/>
    <w:rsid w:val="00B137C9"/>
    <w:rsid w:val="00B14E5D"/>
    <w:rsid w:val="00B16FEE"/>
    <w:rsid w:val="00B205EC"/>
    <w:rsid w:val="00B21863"/>
    <w:rsid w:val="00B21C67"/>
    <w:rsid w:val="00B21E57"/>
    <w:rsid w:val="00B224F8"/>
    <w:rsid w:val="00B2377E"/>
    <w:rsid w:val="00B23B96"/>
    <w:rsid w:val="00B23F37"/>
    <w:rsid w:val="00B23F83"/>
    <w:rsid w:val="00B241C8"/>
    <w:rsid w:val="00B2512F"/>
    <w:rsid w:val="00B3163F"/>
    <w:rsid w:val="00B33CB5"/>
    <w:rsid w:val="00B35DA0"/>
    <w:rsid w:val="00B40C92"/>
    <w:rsid w:val="00B41BC3"/>
    <w:rsid w:val="00B420CB"/>
    <w:rsid w:val="00B42D67"/>
    <w:rsid w:val="00B43E27"/>
    <w:rsid w:val="00B44BF7"/>
    <w:rsid w:val="00B44BF8"/>
    <w:rsid w:val="00B4523E"/>
    <w:rsid w:val="00B46B86"/>
    <w:rsid w:val="00B46BFF"/>
    <w:rsid w:val="00B505F4"/>
    <w:rsid w:val="00B51AB1"/>
    <w:rsid w:val="00B51B4D"/>
    <w:rsid w:val="00B521DC"/>
    <w:rsid w:val="00B5348C"/>
    <w:rsid w:val="00B547D5"/>
    <w:rsid w:val="00B54ABC"/>
    <w:rsid w:val="00B5703C"/>
    <w:rsid w:val="00B5707C"/>
    <w:rsid w:val="00B61066"/>
    <w:rsid w:val="00B61F24"/>
    <w:rsid w:val="00B62903"/>
    <w:rsid w:val="00B62E3E"/>
    <w:rsid w:val="00B64663"/>
    <w:rsid w:val="00B663F2"/>
    <w:rsid w:val="00B66D65"/>
    <w:rsid w:val="00B67C5F"/>
    <w:rsid w:val="00B67C7C"/>
    <w:rsid w:val="00B67E2E"/>
    <w:rsid w:val="00B67FE1"/>
    <w:rsid w:val="00B72423"/>
    <w:rsid w:val="00B740BD"/>
    <w:rsid w:val="00B742E9"/>
    <w:rsid w:val="00B76A92"/>
    <w:rsid w:val="00B81090"/>
    <w:rsid w:val="00B819CC"/>
    <w:rsid w:val="00B82BD3"/>
    <w:rsid w:val="00B82FCA"/>
    <w:rsid w:val="00B83926"/>
    <w:rsid w:val="00B83BF3"/>
    <w:rsid w:val="00B8424E"/>
    <w:rsid w:val="00B84AEB"/>
    <w:rsid w:val="00B86488"/>
    <w:rsid w:val="00B90D55"/>
    <w:rsid w:val="00B92DA4"/>
    <w:rsid w:val="00B9595D"/>
    <w:rsid w:val="00B95DA5"/>
    <w:rsid w:val="00B963EF"/>
    <w:rsid w:val="00BA0872"/>
    <w:rsid w:val="00BA1206"/>
    <w:rsid w:val="00BA2170"/>
    <w:rsid w:val="00BA309E"/>
    <w:rsid w:val="00BA4584"/>
    <w:rsid w:val="00BA5C15"/>
    <w:rsid w:val="00BA66BE"/>
    <w:rsid w:val="00BA6B4A"/>
    <w:rsid w:val="00BA6FB4"/>
    <w:rsid w:val="00BB0C9F"/>
    <w:rsid w:val="00BB1285"/>
    <w:rsid w:val="00BB2136"/>
    <w:rsid w:val="00BB2A4A"/>
    <w:rsid w:val="00BB515E"/>
    <w:rsid w:val="00BB5EFD"/>
    <w:rsid w:val="00BB7BA3"/>
    <w:rsid w:val="00BC1758"/>
    <w:rsid w:val="00BC1C73"/>
    <w:rsid w:val="00BC4222"/>
    <w:rsid w:val="00BC5623"/>
    <w:rsid w:val="00BC593F"/>
    <w:rsid w:val="00BC6415"/>
    <w:rsid w:val="00BD0D1B"/>
    <w:rsid w:val="00BD15F0"/>
    <w:rsid w:val="00BD1E6C"/>
    <w:rsid w:val="00BD30A5"/>
    <w:rsid w:val="00BD3E1C"/>
    <w:rsid w:val="00BD4AE6"/>
    <w:rsid w:val="00BD54E8"/>
    <w:rsid w:val="00BD57BC"/>
    <w:rsid w:val="00BD5A67"/>
    <w:rsid w:val="00BD6352"/>
    <w:rsid w:val="00BD77E4"/>
    <w:rsid w:val="00BE07A0"/>
    <w:rsid w:val="00BE0B3A"/>
    <w:rsid w:val="00BE13BD"/>
    <w:rsid w:val="00BE1D10"/>
    <w:rsid w:val="00BE1ECC"/>
    <w:rsid w:val="00BE2421"/>
    <w:rsid w:val="00BE2CA3"/>
    <w:rsid w:val="00BE2F79"/>
    <w:rsid w:val="00BE33C8"/>
    <w:rsid w:val="00BE352F"/>
    <w:rsid w:val="00BE5085"/>
    <w:rsid w:val="00BE65D8"/>
    <w:rsid w:val="00BE65FA"/>
    <w:rsid w:val="00BF0478"/>
    <w:rsid w:val="00BF12CA"/>
    <w:rsid w:val="00BF14F0"/>
    <w:rsid w:val="00BF1BBF"/>
    <w:rsid w:val="00BF1E62"/>
    <w:rsid w:val="00BF299C"/>
    <w:rsid w:val="00BF2A19"/>
    <w:rsid w:val="00BF2ADE"/>
    <w:rsid w:val="00BF4A61"/>
    <w:rsid w:val="00BF6191"/>
    <w:rsid w:val="00BF7ED6"/>
    <w:rsid w:val="00C01880"/>
    <w:rsid w:val="00C0194F"/>
    <w:rsid w:val="00C01992"/>
    <w:rsid w:val="00C0256F"/>
    <w:rsid w:val="00C03B88"/>
    <w:rsid w:val="00C041B3"/>
    <w:rsid w:val="00C0435C"/>
    <w:rsid w:val="00C0458C"/>
    <w:rsid w:val="00C05B41"/>
    <w:rsid w:val="00C068A2"/>
    <w:rsid w:val="00C0782A"/>
    <w:rsid w:val="00C134FC"/>
    <w:rsid w:val="00C136D1"/>
    <w:rsid w:val="00C158FC"/>
    <w:rsid w:val="00C1698C"/>
    <w:rsid w:val="00C16E89"/>
    <w:rsid w:val="00C2015E"/>
    <w:rsid w:val="00C21E65"/>
    <w:rsid w:val="00C24A0F"/>
    <w:rsid w:val="00C24FB3"/>
    <w:rsid w:val="00C26934"/>
    <w:rsid w:val="00C27176"/>
    <w:rsid w:val="00C2720B"/>
    <w:rsid w:val="00C32B1B"/>
    <w:rsid w:val="00C33327"/>
    <w:rsid w:val="00C33787"/>
    <w:rsid w:val="00C337E0"/>
    <w:rsid w:val="00C40F59"/>
    <w:rsid w:val="00C4154F"/>
    <w:rsid w:val="00C41579"/>
    <w:rsid w:val="00C41C20"/>
    <w:rsid w:val="00C43018"/>
    <w:rsid w:val="00C43D81"/>
    <w:rsid w:val="00C43E8C"/>
    <w:rsid w:val="00C44469"/>
    <w:rsid w:val="00C4555E"/>
    <w:rsid w:val="00C477F6"/>
    <w:rsid w:val="00C50693"/>
    <w:rsid w:val="00C5245D"/>
    <w:rsid w:val="00C525AE"/>
    <w:rsid w:val="00C52B11"/>
    <w:rsid w:val="00C52CF5"/>
    <w:rsid w:val="00C5370C"/>
    <w:rsid w:val="00C541DD"/>
    <w:rsid w:val="00C55C76"/>
    <w:rsid w:val="00C60C95"/>
    <w:rsid w:val="00C61944"/>
    <w:rsid w:val="00C63007"/>
    <w:rsid w:val="00C63813"/>
    <w:rsid w:val="00C63F28"/>
    <w:rsid w:val="00C6446C"/>
    <w:rsid w:val="00C64D91"/>
    <w:rsid w:val="00C65709"/>
    <w:rsid w:val="00C70971"/>
    <w:rsid w:val="00C72026"/>
    <w:rsid w:val="00C73C24"/>
    <w:rsid w:val="00C7595C"/>
    <w:rsid w:val="00C803D5"/>
    <w:rsid w:val="00C807F7"/>
    <w:rsid w:val="00C81FA7"/>
    <w:rsid w:val="00C8226E"/>
    <w:rsid w:val="00C8360E"/>
    <w:rsid w:val="00C85658"/>
    <w:rsid w:val="00C859CB"/>
    <w:rsid w:val="00C86EDC"/>
    <w:rsid w:val="00C8710E"/>
    <w:rsid w:val="00C87D84"/>
    <w:rsid w:val="00C90AFD"/>
    <w:rsid w:val="00C90C9C"/>
    <w:rsid w:val="00C921E2"/>
    <w:rsid w:val="00C94596"/>
    <w:rsid w:val="00C95299"/>
    <w:rsid w:val="00C95A39"/>
    <w:rsid w:val="00C95AA4"/>
    <w:rsid w:val="00C97132"/>
    <w:rsid w:val="00CA039C"/>
    <w:rsid w:val="00CA095D"/>
    <w:rsid w:val="00CA2672"/>
    <w:rsid w:val="00CA2EA5"/>
    <w:rsid w:val="00CA4525"/>
    <w:rsid w:val="00CA4F94"/>
    <w:rsid w:val="00CA5CCA"/>
    <w:rsid w:val="00CA66C0"/>
    <w:rsid w:val="00CB0A05"/>
    <w:rsid w:val="00CB1645"/>
    <w:rsid w:val="00CB2293"/>
    <w:rsid w:val="00CB5914"/>
    <w:rsid w:val="00CB5C53"/>
    <w:rsid w:val="00CB5DD0"/>
    <w:rsid w:val="00CB7E7E"/>
    <w:rsid w:val="00CC053F"/>
    <w:rsid w:val="00CC057D"/>
    <w:rsid w:val="00CC0B54"/>
    <w:rsid w:val="00CC2C94"/>
    <w:rsid w:val="00CC37F1"/>
    <w:rsid w:val="00CC3B04"/>
    <w:rsid w:val="00CC3B26"/>
    <w:rsid w:val="00CC4229"/>
    <w:rsid w:val="00CC5A0F"/>
    <w:rsid w:val="00CC5DD5"/>
    <w:rsid w:val="00CC6182"/>
    <w:rsid w:val="00CC63CC"/>
    <w:rsid w:val="00CD176B"/>
    <w:rsid w:val="00CD2AFA"/>
    <w:rsid w:val="00CD3192"/>
    <w:rsid w:val="00CD3AAB"/>
    <w:rsid w:val="00CD3EFF"/>
    <w:rsid w:val="00CD4681"/>
    <w:rsid w:val="00CD6D25"/>
    <w:rsid w:val="00CD7A01"/>
    <w:rsid w:val="00CE0219"/>
    <w:rsid w:val="00CE09B6"/>
    <w:rsid w:val="00CE1598"/>
    <w:rsid w:val="00CE1B61"/>
    <w:rsid w:val="00CE3530"/>
    <w:rsid w:val="00CE4F46"/>
    <w:rsid w:val="00CE60DD"/>
    <w:rsid w:val="00CE70C3"/>
    <w:rsid w:val="00CE7A35"/>
    <w:rsid w:val="00CF0B72"/>
    <w:rsid w:val="00CF3A9B"/>
    <w:rsid w:val="00CF4780"/>
    <w:rsid w:val="00CF4E75"/>
    <w:rsid w:val="00CF56BA"/>
    <w:rsid w:val="00CF6038"/>
    <w:rsid w:val="00CF66A2"/>
    <w:rsid w:val="00CF7061"/>
    <w:rsid w:val="00D00318"/>
    <w:rsid w:val="00D004EA"/>
    <w:rsid w:val="00D01DA1"/>
    <w:rsid w:val="00D0244C"/>
    <w:rsid w:val="00D02585"/>
    <w:rsid w:val="00D02F9F"/>
    <w:rsid w:val="00D061A5"/>
    <w:rsid w:val="00D07110"/>
    <w:rsid w:val="00D07524"/>
    <w:rsid w:val="00D07606"/>
    <w:rsid w:val="00D07B01"/>
    <w:rsid w:val="00D07D43"/>
    <w:rsid w:val="00D10D2B"/>
    <w:rsid w:val="00D10E80"/>
    <w:rsid w:val="00D11997"/>
    <w:rsid w:val="00D12D7C"/>
    <w:rsid w:val="00D1413E"/>
    <w:rsid w:val="00D1532D"/>
    <w:rsid w:val="00D15442"/>
    <w:rsid w:val="00D20EAA"/>
    <w:rsid w:val="00D20F3C"/>
    <w:rsid w:val="00D21459"/>
    <w:rsid w:val="00D21AEF"/>
    <w:rsid w:val="00D21CED"/>
    <w:rsid w:val="00D23680"/>
    <w:rsid w:val="00D25456"/>
    <w:rsid w:val="00D259A7"/>
    <w:rsid w:val="00D25B02"/>
    <w:rsid w:val="00D2790D"/>
    <w:rsid w:val="00D33019"/>
    <w:rsid w:val="00D34FE1"/>
    <w:rsid w:val="00D351BC"/>
    <w:rsid w:val="00D35CFE"/>
    <w:rsid w:val="00D36462"/>
    <w:rsid w:val="00D3679F"/>
    <w:rsid w:val="00D37701"/>
    <w:rsid w:val="00D417CC"/>
    <w:rsid w:val="00D4224A"/>
    <w:rsid w:val="00D42BC8"/>
    <w:rsid w:val="00D42BCE"/>
    <w:rsid w:val="00D42C51"/>
    <w:rsid w:val="00D4444F"/>
    <w:rsid w:val="00D45198"/>
    <w:rsid w:val="00D47177"/>
    <w:rsid w:val="00D473E4"/>
    <w:rsid w:val="00D47D89"/>
    <w:rsid w:val="00D52053"/>
    <w:rsid w:val="00D53777"/>
    <w:rsid w:val="00D53F20"/>
    <w:rsid w:val="00D5468B"/>
    <w:rsid w:val="00D600A5"/>
    <w:rsid w:val="00D61B3D"/>
    <w:rsid w:val="00D6207A"/>
    <w:rsid w:val="00D62B9A"/>
    <w:rsid w:val="00D63402"/>
    <w:rsid w:val="00D64A38"/>
    <w:rsid w:val="00D65561"/>
    <w:rsid w:val="00D669E0"/>
    <w:rsid w:val="00D675A5"/>
    <w:rsid w:val="00D70324"/>
    <w:rsid w:val="00D733F1"/>
    <w:rsid w:val="00D73F7B"/>
    <w:rsid w:val="00D74BCB"/>
    <w:rsid w:val="00D74CF1"/>
    <w:rsid w:val="00D7698B"/>
    <w:rsid w:val="00D76B14"/>
    <w:rsid w:val="00D76ECF"/>
    <w:rsid w:val="00D77590"/>
    <w:rsid w:val="00D82429"/>
    <w:rsid w:val="00D82462"/>
    <w:rsid w:val="00D82DBF"/>
    <w:rsid w:val="00D83BA6"/>
    <w:rsid w:val="00D8644F"/>
    <w:rsid w:val="00D868C0"/>
    <w:rsid w:val="00D86917"/>
    <w:rsid w:val="00D9297C"/>
    <w:rsid w:val="00D9314E"/>
    <w:rsid w:val="00D93DA5"/>
    <w:rsid w:val="00D947A6"/>
    <w:rsid w:val="00D94A3E"/>
    <w:rsid w:val="00D962CC"/>
    <w:rsid w:val="00D96370"/>
    <w:rsid w:val="00D972B0"/>
    <w:rsid w:val="00DA1096"/>
    <w:rsid w:val="00DA16D3"/>
    <w:rsid w:val="00DA19F1"/>
    <w:rsid w:val="00DA4C57"/>
    <w:rsid w:val="00DA65E9"/>
    <w:rsid w:val="00DA734C"/>
    <w:rsid w:val="00DB09EB"/>
    <w:rsid w:val="00DB0E1A"/>
    <w:rsid w:val="00DB303E"/>
    <w:rsid w:val="00DB4421"/>
    <w:rsid w:val="00DB6F9D"/>
    <w:rsid w:val="00DC0281"/>
    <w:rsid w:val="00DC058A"/>
    <w:rsid w:val="00DC4D37"/>
    <w:rsid w:val="00DC4FF6"/>
    <w:rsid w:val="00DC6E30"/>
    <w:rsid w:val="00DD0566"/>
    <w:rsid w:val="00DD073C"/>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5F3D"/>
    <w:rsid w:val="00DF65DA"/>
    <w:rsid w:val="00DF6689"/>
    <w:rsid w:val="00DF7100"/>
    <w:rsid w:val="00E00575"/>
    <w:rsid w:val="00E01CF3"/>
    <w:rsid w:val="00E02C2F"/>
    <w:rsid w:val="00E02EC1"/>
    <w:rsid w:val="00E02FC7"/>
    <w:rsid w:val="00E03590"/>
    <w:rsid w:val="00E03703"/>
    <w:rsid w:val="00E042D8"/>
    <w:rsid w:val="00E049DB"/>
    <w:rsid w:val="00E0619C"/>
    <w:rsid w:val="00E072F2"/>
    <w:rsid w:val="00E129D3"/>
    <w:rsid w:val="00E1415C"/>
    <w:rsid w:val="00E14AEB"/>
    <w:rsid w:val="00E14B86"/>
    <w:rsid w:val="00E163D0"/>
    <w:rsid w:val="00E1744E"/>
    <w:rsid w:val="00E2005E"/>
    <w:rsid w:val="00E20316"/>
    <w:rsid w:val="00E209F1"/>
    <w:rsid w:val="00E20E39"/>
    <w:rsid w:val="00E22C83"/>
    <w:rsid w:val="00E237EB"/>
    <w:rsid w:val="00E261F6"/>
    <w:rsid w:val="00E31EC6"/>
    <w:rsid w:val="00E31FEE"/>
    <w:rsid w:val="00E3214D"/>
    <w:rsid w:val="00E347FD"/>
    <w:rsid w:val="00E4193B"/>
    <w:rsid w:val="00E45361"/>
    <w:rsid w:val="00E512C9"/>
    <w:rsid w:val="00E55B65"/>
    <w:rsid w:val="00E56E54"/>
    <w:rsid w:val="00E57A7C"/>
    <w:rsid w:val="00E62611"/>
    <w:rsid w:val="00E62615"/>
    <w:rsid w:val="00E627BB"/>
    <w:rsid w:val="00E6537A"/>
    <w:rsid w:val="00E656C1"/>
    <w:rsid w:val="00E65BBE"/>
    <w:rsid w:val="00E661DD"/>
    <w:rsid w:val="00E66889"/>
    <w:rsid w:val="00E66E39"/>
    <w:rsid w:val="00E70A64"/>
    <w:rsid w:val="00E72297"/>
    <w:rsid w:val="00E77178"/>
    <w:rsid w:val="00E777D1"/>
    <w:rsid w:val="00E80A41"/>
    <w:rsid w:val="00E83731"/>
    <w:rsid w:val="00E839FC"/>
    <w:rsid w:val="00E856BC"/>
    <w:rsid w:val="00E858BF"/>
    <w:rsid w:val="00E862D5"/>
    <w:rsid w:val="00E90ADA"/>
    <w:rsid w:val="00E910B7"/>
    <w:rsid w:val="00E916B8"/>
    <w:rsid w:val="00E93239"/>
    <w:rsid w:val="00E932D2"/>
    <w:rsid w:val="00E9565B"/>
    <w:rsid w:val="00EA00D4"/>
    <w:rsid w:val="00EA01A8"/>
    <w:rsid w:val="00EA388B"/>
    <w:rsid w:val="00EA3982"/>
    <w:rsid w:val="00EA3D52"/>
    <w:rsid w:val="00EA53BC"/>
    <w:rsid w:val="00EA54EB"/>
    <w:rsid w:val="00EB1169"/>
    <w:rsid w:val="00EB2025"/>
    <w:rsid w:val="00EB3B29"/>
    <w:rsid w:val="00EB6E59"/>
    <w:rsid w:val="00EB782E"/>
    <w:rsid w:val="00EB7F37"/>
    <w:rsid w:val="00EC0DF2"/>
    <w:rsid w:val="00EC283A"/>
    <w:rsid w:val="00EC28DF"/>
    <w:rsid w:val="00EC2942"/>
    <w:rsid w:val="00EC4A90"/>
    <w:rsid w:val="00EC51B5"/>
    <w:rsid w:val="00EC7BE7"/>
    <w:rsid w:val="00ED0CCF"/>
    <w:rsid w:val="00ED0D4E"/>
    <w:rsid w:val="00ED11BE"/>
    <w:rsid w:val="00ED1521"/>
    <w:rsid w:val="00ED2283"/>
    <w:rsid w:val="00ED301C"/>
    <w:rsid w:val="00ED39FA"/>
    <w:rsid w:val="00ED57FB"/>
    <w:rsid w:val="00ED6BC7"/>
    <w:rsid w:val="00ED719D"/>
    <w:rsid w:val="00EE0471"/>
    <w:rsid w:val="00EE0531"/>
    <w:rsid w:val="00EE17A4"/>
    <w:rsid w:val="00EE18E3"/>
    <w:rsid w:val="00EE51D6"/>
    <w:rsid w:val="00EE6C7D"/>
    <w:rsid w:val="00EE6D48"/>
    <w:rsid w:val="00EE7EDA"/>
    <w:rsid w:val="00EF1FB8"/>
    <w:rsid w:val="00EF3176"/>
    <w:rsid w:val="00EF3E9C"/>
    <w:rsid w:val="00EF6033"/>
    <w:rsid w:val="00EF72F0"/>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5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38BB"/>
    <w:rsid w:val="00F57FC3"/>
    <w:rsid w:val="00F6004E"/>
    <w:rsid w:val="00F60136"/>
    <w:rsid w:val="00F60852"/>
    <w:rsid w:val="00F648F9"/>
    <w:rsid w:val="00F64D43"/>
    <w:rsid w:val="00F67AA1"/>
    <w:rsid w:val="00F701C0"/>
    <w:rsid w:val="00F70774"/>
    <w:rsid w:val="00F714CB"/>
    <w:rsid w:val="00F721F9"/>
    <w:rsid w:val="00F73CC8"/>
    <w:rsid w:val="00F776B9"/>
    <w:rsid w:val="00F77A7A"/>
    <w:rsid w:val="00F77F2B"/>
    <w:rsid w:val="00F814C8"/>
    <w:rsid w:val="00F823C6"/>
    <w:rsid w:val="00F83844"/>
    <w:rsid w:val="00F85B69"/>
    <w:rsid w:val="00F85F9D"/>
    <w:rsid w:val="00F8648B"/>
    <w:rsid w:val="00F8690A"/>
    <w:rsid w:val="00F86C2F"/>
    <w:rsid w:val="00F90BC9"/>
    <w:rsid w:val="00F90F6B"/>
    <w:rsid w:val="00F937D6"/>
    <w:rsid w:val="00F94317"/>
    <w:rsid w:val="00F9541D"/>
    <w:rsid w:val="00F965E3"/>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3431"/>
    <w:rsid w:val="00FB4096"/>
    <w:rsid w:val="00FB4438"/>
    <w:rsid w:val="00FB5975"/>
    <w:rsid w:val="00FB5A71"/>
    <w:rsid w:val="00FB62AB"/>
    <w:rsid w:val="00FB7379"/>
    <w:rsid w:val="00FB7B65"/>
    <w:rsid w:val="00FC0303"/>
    <w:rsid w:val="00FC7E81"/>
    <w:rsid w:val="00FD0302"/>
    <w:rsid w:val="00FD3164"/>
    <w:rsid w:val="00FD44A8"/>
    <w:rsid w:val="00FD5B47"/>
    <w:rsid w:val="00FD6AC7"/>
    <w:rsid w:val="00FE0945"/>
    <w:rsid w:val="00FE153E"/>
    <w:rsid w:val="00FE1D5C"/>
    <w:rsid w:val="00FE2D3A"/>
    <w:rsid w:val="00FE449A"/>
    <w:rsid w:val="00FE5ACD"/>
    <w:rsid w:val="00FE5BC5"/>
    <w:rsid w:val="00FE60FB"/>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9B2A8-12DD-4D2E-AC56-9622722A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dsalapa</cp:lastModifiedBy>
  <cp:revision>8</cp:revision>
  <cp:lastPrinted>2015-04-08T18:39:00Z</cp:lastPrinted>
  <dcterms:created xsi:type="dcterms:W3CDTF">2015-04-13T13:48:00Z</dcterms:created>
  <dcterms:modified xsi:type="dcterms:W3CDTF">2015-04-16T19:29:00Z</dcterms:modified>
</cp:coreProperties>
</file>