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5861CE" w:rsidP="005861CE">
      <w:pPr>
        <w:spacing w:line="240" w:lineRule="auto"/>
        <w:rPr>
          <w:b/>
        </w:rPr>
      </w:pPr>
      <w:r>
        <w:rPr>
          <w:b/>
        </w:rPr>
        <w:t xml:space="preserve">BEFORE THE </w:t>
      </w:r>
    </w:p>
    <w:p w:rsidR="005861CE" w:rsidRDefault="005861CE" w:rsidP="005861CE">
      <w:pPr>
        <w:spacing w:line="240" w:lineRule="auto"/>
        <w:rPr>
          <w:b/>
        </w:rPr>
      </w:pPr>
      <w:r>
        <w:rPr>
          <w:b/>
        </w:rPr>
        <w:t>PENNSYLVANIA PUBLIC UTILITY COMMISSION</w:t>
      </w:r>
    </w:p>
    <w:p w:rsidR="005861CE" w:rsidRDefault="005861CE" w:rsidP="005861CE">
      <w:pPr>
        <w:spacing w:line="240" w:lineRule="auto"/>
        <w:rPr>
          <w:b/>
        </w:rPr>
      </w:pPr>
    </w:p>
    <w:p w:rsidR="005861CE" w:rsidRDefault="005861CE" w:rsidP="005861CE">
      <w:pPr>
        <w:spacing w:line="240" w:lineRule="auto"/>
        <w:rPr>
          <w:b/>
        </w:rPr>
      </w:pPr>
    </w:p>
    <w:p w:rsidR="00266E24" w:rsidRDefault="00266E24" w:rsidP="005861CE">
      <w:pPr>
        <w:spacing w:line="240" w:lineRule="auto"/>
        <w:rPr>
          <w:b/>
        </w:rPr>
      </w:pPr>
    </w:p>
    <w:p w:rsidR="005861CE" w:rsidRDefault="00006BD3" w:rsidP="005861CE">
      <w:pPr>
        <w:spacing w:line="240" w:lineRule="auto"/>
        <w:jc w:val="left"/>
      </w:pPr>
      <w:r>
        <w:t>Gregory Kennedy</w:t>
      </w:r>
      <w:r w:rsidR="00232397">
        <w:tab/>
      </w:r>
      <w:r w:rsidR="00232397">
        <w:tab/>
      </w:r>
      <w:r w:rsidR="00232397">
        <w:tab/>
      </w:r>
      <w:r w:rsidR="00BA1A63">
        <w:tab/>
      </w:r>
      <w:r w:rsidR="00232397">
        <w:tab/>
      </w:r>
      <w:r w:rsidR="005861CE">
        <w:t>:</w:t>
      </w:r>
    </w:p>
    <w:p w:rsidR="005861CE" w:rsidRDefault="005861CE" w:rsidP="005861CE">
      <w:pPr>
        <w:spacing w:line="240" w:lineRule="auto"/>
        <w:jc w:val="left"/>
      </w:pPr>
      <w:r>
        <w:tab/>
      </w:r>
      <w:r>
        <w:tab/>
      </w:r>
      <w:r>
        <w:tab/>
      </w:r>
      <w:r>
        <w:tab/>
      </w:r>
      <w:r>
        <w:tab/>
      </w:r>
      <w:r>
        <w:tab/>
      </w:r>
      <w:r>
        <w:tab/>
        <w:t>:</w:t>
      </w:r>
    </w:p>
    <w:p w:rsidR="005861CE" w:rsidRDefault="005861CE" w:rsidP="005861CE">
      <w:pPr>
        <w:spacing w:line="240" w:lineRule="auto"/>
        <w:jc w:val="left"/>
      </w:pPr>
      <w:r>
        <w:tab/>
        <w:t>v.</w:t>
      </w:r>
      <w:r>
        <w:tab/>
      </w:r>
      <w:r>
        <w:tab/>
      </w:r>
      <w:r>
        <w:tab/>
      </w:r>
      <w:r>
        <w:tab/>
      </w:r>
      <w:r>
        <w:tab/>
      </w:r>
      <w:r>
        <w:tab/>
        <w:t>:</w:t>
      </w:r>
      <w:r>
        <w:tab/>
      </w:r>
      <w:r>
        <w:tab/>
      </w:r>
      <w:r>
        <w:tab/>
      </w:r>
      <w:bookmarkStart w:id="0" w:name="_GoBack"/>
      <w:r w:rsidR="00BA1A63">
        <w:t>C-2015-24</w:t>
      </w:r>
      <w:r w:rsidR="00006BD3">
        <w:t>71718</w:t>
      </w:r>
      <w:bookmarkEnd w:id="0"/>
      <w:r>
        <w:tab/>
      </w:r>
    </w:p>
    <w:p w:rsidR="005861CE" w:rsidRDefault="005861CE" w:rsidP="005861CE">
      <w:pPr>
        <w:spacing w:line="240" w:lineRule="auto"/>
        <w:jc w:val="left"/>
      </w:pPr>
      <w:r>
        <w:tab/>
      </w:r>
      <w:r>
        <w:tab/>
      </w:r>
      <w:r>
        <w:tab/>
      </w:r>
      <w:r>
        <w:tab/>
      </w:r>
      <w:r>
        <w:tab/>
      </w:r>
      <w:r>
        <w:tab/>
      </w:r>
      <w:r>
        <w:tab/>
        <w:t>:</w:t>
      </w:r>
    </w:p>
    <w:p w:rsidR="005861CE" w:rsidRDefault="00006BD3" w:rsidP="005861CE">
      <w:pPr>
        <w:spacing w:line="240" w:lineRule="auto"/>
        <w:jc w:val="left"/>
      </w:pPr>
      <w:r>
        <w:t>PECO Energy Company</w:t>
      </w:r>
      <w:r>
        <w:tab/>
      </w:r>
      <w:r w:rsidR="00232397">
        <w:tab/>
      </w:r>
      <w:r w:rsidR="00232397">
        <w:tab/>
      </w:r>
      <w:r w:rsidR="00232397">
        <w:tab/>
        <w:t>:</w:t>
      </w:r>
    </w:p>
    <w:p w:rsidR="005861CE" w:rsidRDefault="005861CE" w:rsidP="005861CE">
      <w:pPr>
        <w:spacing w:line="240" w:lineRule="auto"/>
        <w:jc w:val="left"/>
      </w:pPr>
    </w:p>
    <w:p w:rsidR="007E44BD" w:rsidRDefault="007E44BD" w:rsidP="00AE00E2">
      <w:pPr>
        <w:spacing w:line="240" w:lineRule="auto"/>
        <w:rPr>
          <w:b/>
          <w:color w:val="000000" w:themeColor="text1"/>
          <w:u w:val="single"/>
        </w:rPr>
      </w:pPr>
    </w:p>
    <w:p w:rsidR="00266E24" w:rsidRDefault="00266E24" w:rsidP="00AE00E2">
      <w:pPr>
        <w:spacing w:line="240" w:lineRule="auto"/>
        <w:rPr>
          <w:b/>
          <w:color w:val="000000" w:themeColor="text1"/>
          <w:u w:val="single"/>
        </w:rPr>
      </w:pPr>
    </w:p>
    <w:p w:rsidR="007E44BD" w:rsidRPr="00AE00E2" w:rsidRDefault="00957D53" w:rsidP="00AE00E2">
      <w:pPr>
        <w:spacing w:line="240" w:lineRule="auto"/>
        <w:rPr>
          <w:b/>
          <w:color w:val="000000" w:themeColor="text1"/>
          <w:u w:val="single"/>
        </w:rPr>
      </w:pPr>
      <w:r>
        <w:rPr>
          <w:b/>
          <w:color w:val="000000" w:themeColor="text1"/>
          <w:u w:val="single"/>
        </w:rPr>
        <w:t>INITIAL DECISION</w:t>
      </w:r>
    </w:p>
    <w:p w:rsidR="007C12D9" w:rsidRPr="00266E24" w:rsidRDefault="007C12D9" w:rsidP="005861CE">
      <w:pPr>
        <w:spacing w:line="240" w:lineRule="auto"/>
        <w:rPr>
          <w:b/>
        </w:rPr>
      </w:pPr>
    </w:p>
    <w:p w:rsidR="0042227A" w:rsidRPr="00266E24" w:rsidRDefault="0042227A" w:rsidP="005861CE">
      <w:pPr>
        <w:spacing w:line="240" w:lineRule="auto"/>
        <w:rPr>
          <w:b/>
        </w:rPr>
      </w:pPr>
    </w:p>
    <w:p w:rsidR="0042227A" w:rsidRPr="00266E24" w:rsidRDefault="0042227A" w:rsidP="0042227A">
      <w:pPr>
        <w:spacing w:line="240" w:lineRule="auto"/>
        <w:rPr>
          <w:rFonts w:eastAsia="Calibri"/>
        </w:rPr>
      </w:pPr>
      <w:r w:rsidRPr="00266E24">
        <w:rPr>
          <w:rFonts w:eastAsia="Calibri"/>
        </w:rPr>
        <w:t>Before</w:t>
      </w:r>
    </w:p>
    <w:p w:rsidR="0042227A" w:rsidRPr="00280FDD" w:rsidRDefault="0042227A" w:rsidP="0042227A">
      <w:pPr>
        <w:spacing w:line="240" w:lineRule="auto"/>
        <w:rPr>
          <w:rFonts w:eastAsia="Calibri"/>
        </w:rPr>
      </w:pPr>
      <w:r w:rsidRPr="00280FDD">
        <w:rPr>
          <w:rFonts w:eastAsia="Calibri"/>
        </w:rPr>
        <w:t>Susan D. Colwell</w:t>
      </w:r>
    </w:p>
    <w:p w:rsidR="0042227A" w:rsidRDefault="0042227A" w:rsidP="0042227A">
      <w:pPr>
        <w:spacing w:line="240" w:lineRule="auto"/>
        <w:rPr>
          <w:rFonts w:eastAsia="Calibri"/>
        </w:rPr>
      </w:pPr>
      <w:r w:rsidRPr="00280FDD">
        <w:rPr>
          <w:rFonts w:eastAsia="Calibri"/>
        </w:rPr>
        <w:t>Administrative Law Judge</w:t>
      </w:r>
    </w:p>
    <w:p w:rsidR="00D3778A" w:rsidRDefault="00D3778A" w:rsidP="0042227A">
      <w:pPr>
        <w:spacing w:line="240" w:lineRule="auto"/>
        <w:rPr>
          <w:rFonts w:eastAsia="Calibri"/>
        </w:rPr>
      </w:pPr>
    </w:p>
    <w:p w:rsidR="00D3778A" w:rsidRDefault="00D3778A" w:rsidP="0042227A">
      <w:pPr>
        <w:spacing w:line="240" w:lineRule="auto"/>
        <w:rPr>
          <w:rFonts w:eastAsia="Calibri"/>
        </w:rPr>
      </w:pPr>
    </w:p>
    <w:p w:rsidR="00D3778A" w:rsidRDefault="00D3778A" w:rsidP="00266E24">
      <w:pPr>
        <w:rPr>
          <w:rFonts w:eastAsia="Calibri"/>
          <w:u w:val="single"/>
        </w:rPr>
      </w:pPr>
      <w:r w:rsidRPr="00D3778A">
        <w:rPr>
          <w:rFonts w:eastAsia="Calibri"/>
          <w:u w:val="single"/>
        </w:rPr>
        <w:t>INTRODUCTION</w:t>
      </w:r>
    </w:p>
    <w:p w:rsidR="00266E24" w:rsidRPr="00D3778A" w:rsidRDefault="00266E24" w:rsidP="00266E24">
      <w:pPr>
        <w:rPr>
          <w:rFonts w:eastAsia="Calibri"/>
          <w:u w:val="single"/>
        </w:rPr>
      </w:pPr>
    </w:p>
    <w:p w:rsidR="000F5D78" w:rsidRPr="00280FDD" w:rsidRDefault="00D3778A" w:rsidP="00266E24">
      <w:pPr>
        <w:jc w:val="left"/>
        <w:rPr>
          <w:rFonts w:eastAsia="Calibri"/>
        </w:rPr>
      </w:pPr>
      <w:r>
        <w:rPr>
          <w:rFonts w:eastAsia="Calibri"/>
        </w:rPr>
        <w:tab/>
      </w:r>
      <w:r>
        <w:rPr>
          <w:rFonts w:eastAsia="Calibri"/>
        </w:rPr>
        <w:tab/>
        <w:t xml:space="preserve">This initial decision grants the </w:t>
      </w:r>
      <w:r w:rsidR="00273679">
        <w:rPr>
          <w:rFonts w:eastAsia="Calibri"/>
        </w:rPr>
        <w:t xml:space="preserve">Respondent’s </w:t>
      </w:r>
      <w:r w:rsidR="00B13A3E">
        <w:rPr>
          <w:rFonts w:eastAsia="Calibri"/>
        </w:rPr>
        <w:t>Preliminary Objections</w:t>
      </w:r>
      <w:r>
        <w:rPr>
          <w:rFonts w:eastAsia="Calibri"/>
        </w:rPr>
        <w:t xml:space="preserve"> and dismisses the formal complaint because the Commission does not have jurisdiction over interpreting negotiable instruments under the Uniform Commercial Code, and because the Commission has </w:t>
      </w:r>
      <w:r w:rsidR="00273679">
        <w:rPr>
          <w:rFonts w:eastAsia="Calibri"/>
        </w:rPr>
        <w:t xml:space="preserve">previously </w:t>
      </w:r>
      <w:r>
        <w:rPr>
          <w:rFonts w:eastAsia="Calibri"/>
        </w:rPr>
        <w:t>ruled that Respondent’s accepted methods of payment policy is not unreasonable and therefore not in violation of Section 1501.</w:t>
      </w:r>
    </w:p>
    <w:p w:rsidR="0042227A" w:rsidRPr="00280FDD" w:rsidRDefault="0042227A" w:rsidP="0042227A">
      <w:pPr>
        <w:spacing w:line="240" w:lineRule="auto"/>
        <w:rPr>
          <w:rFonts w:eastAsia="Calibri"/>
        </w:rPr>
      </w:pPr>
    </w:p>
    <w:p w:rsidR="00FB05E3" w:rsidRPr="000F5D78" w:rsidRDefault="0042227A" w:rsidP="000F5D78">
      <w:pPr>
        <w:spacing w:line="240" w:lineRule="auto"/>
        <w:rPr>
          <w:rFonts w:eastAsia="Calibri"/>
          <w:i/>
          <w:color w:val="4F81BD" w:themeColor="accent1"/>
        </w:rPr>
      </w:pPr>
      <w:r w:rsidRPr="00280FDD">
        <w:rPr>
          <w:rFonts w:eastAsia="Calibri"/>
          <w:u w:val="single"/>
        </w:rPr>
        <w:t>HISTORY OF THE PROCEEDING</w:t>
      </w:r>
      <w:r>
        <w:rPr>
          <w:rFonts w:eastAsia="Calibri"/>
          <w:i/>
          <w:color w:val="4F81BD" w:themeColor="accent1"/>
        </w:rPr>
        <w:t xml:space="preserve"> </w:t>
      </w:r>
    </w:p>
    <w:p w:rsidR="007C12D9" w:rsidRPr="00266E24" w:rsidRDefault="007C12D9" w:rsidP="003C7514">
      <w:pPr>
        <w:jc w:val="left"/>
      </w:pPr>
    </w:p>
    <w:p w:rsidR="00AD2E2E" w:rsidRDefault="004C583B" w:rsidP="00BA1A63">
      <w:pPr>
        <w:jc w:val="left"/>
      </w:pPr>
      <w:r>
        <w:tab/>
      </w:r>
      <w:r>
        <w:tab/>
      </w:r>
      <w:r w:rsidR="00006BD3">
        <w:t xml:space="preserve">On February 23, 2015, </w:t>
      </w:r>
      <w:r w:rsidR="00E569BD">
        <w:t xml:space="preserve">Gregory Kennedy (Complainant) filed a formal Complaint (Complaint) against PECO Energy Company (PECO or Respondent).  Complainant alleged that PECO was threatening to shut off service or </w:t>
      </w:r>
      <w:r w:rsidR="00E557B3">
        <w:t xml:space="preserve">had </w:t>
      </w:r>
      <w:r w:rsidR="00E569BD">
        <w:t xml:space="preserve">already shut off service.  Complainant also alleged that PECO </w:t>
      </w:r>
      <w:r w:rsidR="00B30D3F">
        <w:t>was providing unreasonable customer service by refusing</w:t>
      </w:r>
      <w:r w:rsidR="00E569BD">
        <w:t xml:space="preserve"> to accept any form of payment other than cash, check, or credit cards; a policy which Complainant</w:t>
      </w:r>
      <w:r w:rsidR="008159D4">
        <w:t xml:space="preserve"> asserts is in violation UCC 3-603 Tender of Payment, and 31 USC 5118 The Gold Clause and Consent to Sue.  Complainant states that he attempted to discharge his debt pursuant to Public Law 73-10 by submitting a </w:t>
      </w:r>
      <w:r w:rsidR="00977159">
        <w:t xml:space="preserve">negotiable instrument in the form of a </w:t>
      </w:r>
      <w:r w:rsidR="008159D4">
        <w:t xml:space="preserve">promissory note to PECO, </w:t>
      </w:r>
      <w:r w:rsidR="00B05D4A">
        <w:t>and that PECO</w:t>
      </w:r>
      <w:r w:rsidR="008159D4">
        <w:t xml:space="preserve"> </w:t>
      </w:r>
      <w:r w:rsidR="008159D4">
        <w:lastRenderedPageBreak/>
        <w:t xml:space="preserve">rejected the promissory note as a form of payment for his bill. </w:t>
      </w:r>
      <w:r w:rsidR="00FD0B64">
        <w:t xml:space="preserve"> </w:t>
      </w:r>
      <w:r w:rsidR="00AD2E2E">
        <w:t xml:space="preserve">Complainant alleges that he spoke to PECO representatives via telephone and tried to explain to them </w:t>
      </w:r>
      <w:r w:rsidR="00A56E00">
        <w:t xml:space="preserve">that his promissory notes </w:t>
      </w:r>
      <w:r w:rsidR="004A2610">
        <w:t>a</w:t>
      </w:r>
      <w:r w:rsidR="00A56E00">
        <w:t>re n</w:t>
      </w:r>
      <w:r w:rsidR="00AD2E2E">
        <w:t xml:space="preserve">egotiable </w:t>
      </w:r>
      <w:r w:rsidR="00A56E00">
        <w:t>i</w:t>
      </w:r>
      <w:r w:rsidR="00AD2E2E">
        <w:t>nstruments under the Uniform Commercial Code</w:t>
      </w:r>
      <w:r w:rsidR="00A56E00">
        <w:t xml:space="preserve"> (UCC)</w:t>
      </w:r>
      <w:r w:rsidR="00AD2E2E">
        <w:t>, under which he alleges PECO is governed</w:t>
      </w:r>
      <w:r w:rsidR="007D79A7">
        <w:t>, but that</w:t>
      </w:r>
      <w:r w:rsidR="00AD2E2E">
        <w:t xml:space="preserve"> PECO’s representatives</w:t>
      </w:r>
      <w:r w:rsidR="007D79A7">
        <w:t xml:space="preserve"> still</w:t>
      </w:r>
      <w:r w:rsidR="00AD2E2E">
        <w:t xml:space="preserve"> refused to accept his </w:t>
      </w:r>
      <w:r w:rsidR="007D79A7">
        <w:t>promissory note as payment</w:t>
      </w:r>
      <w:r w:rsidR="00AD2E2E">
        <w:t>.</w:t>
      </w:r>
      <w:r w:rsidR="008120D0">
        <w:t xml:space="preserve">  </w:t>
      </w:r>
      <w:r w:rsidR="00AD2E2E">
        <w:t>Complainant</w:t>
      </w:r>
      <w:r w:rsidR="00AF5133">
        <w:t xml:space="preserve"> </w:t>
      </w:r>
      <w:r w:rsidR="00C47DC9">
        <w:t>states</w:t>
      </w:r>
      <w:r w:rsidR="00AF5133">
        <w:t xml:space="preserve"> that his case </w:t>
      </w:r>
      <w:r w:rsidR="00AD2E2E">
        <w:t xml:space="preserve">was heard in Municipal Court (no </w:t>
      </w:r>
      <w:r w:rsidR="008120D0">
        <w:t xml:space="preserve">location, </w:t>
      </w:r>
      <w:r w:rsidR="00AD2E2E">
        <w:t>date</w:t>
      </w:r>
      <w:r w:rsidR="008120D0">
        <w:t>,</w:t>
      </w:r>
      <w:r w:rsidR="00AD2E2E">
        <w:t xml:space="preserve"> </w:t>
      </w:r>
      <w:r w:rsidR="000A6171">
        <w:t xml:space="preserve">or docket number </w:t>
      </w:r>
      <w:r w:rsidR="00AD2E2E">
        <w:t xml:space="preserve">provided) </w:t>
      </w:r>
      <w:r w:rsidR="000A6171">
        <w:t xml:space="preserve">wherein PECO successfully had the case </w:t>
      </w:r>
      <w:r w:rsidR="008058A3">
        <w:t>dismissed on Summary Judgment.</w:t>
      </w:r>
      <w:r w:rsidR="008058A3">
        <w:rPr>
          <w:rStyle w:val="FootnoteReference"/>
        </w:rPr>
        <w:footnoteReference w:id="1"/>
      </w:r>
      <w:r w:rsidR="007D79A7" w:rsidRPr="007D79A7">
        <w:t xml:space="preserve"> </w:t>
      </w:r>
      <w:r w:rsidR="00270FE4">
        <w:t xml:space="preserve"> </w:t>
      </w:r>
      <w:r w:rsidR="007D79A7">
        <w:t>Complainant requests that the Pennsylvania Public Utility Commission (Commission) investigates what he alleges are PECO’s willful violations of law</w:t>
      </w:r>
      <w:r w:rsidR="00BF2D44">
        <w:t xml:space="preserve"> and to direct PECO to accept his promissory note as payment for his bill. </w:t>
      </w:r>
    </w:p>
    <w:p w:rsidR="003B4DD9" w:rsidRDefault="003B4DD9" w:rsidP="00BA1A63">
      <w:pPr>
        <w:jc w:val="left"/>
      </w:pPr>
    </w:p>
    <w:p w:rsidR="00955D81" w:rsidRDefault="003B4DD9" w:rsidP="008120D0">
      <w:pPr>
        <w:jc w:val="left"/>
        <w:rPr>
          <w:color w:val="7F7F7F" w:themeColor="text1" w:themeTint="80"/>
        </w:rPr>
      </w:pPr>
      <w:r>
        <w:tab/>
      </w:r>
      <w:r>
        <w:tab/>
      </w:r>
      <w:r w:rsidR="002C4241">
        <w:rPr>
          <w:color w:val="000000" w:themeColor="text1"/>
        </w:rPr>
        <w:t>On March</w:t>
      </w:r>
      <w:r w:rsidR="008120D0">
        <w:rPr>
          <w:color w:val="000000" w:themeColor="text1"/>
        </w:rPr>
        <w:t xml:space="preserve"> 20, 2015, PECO fil</w:t>
      </w:r>
      <w:r w:rsidR="00BC6EEE">
        <w:rPr>
          <w:color w:val="000000" w:themeColor="text1"/>
        </w:rPr>
        <w:t xml:space="preserve">ed its Answer to the Complaint. </w:t>
      </w:r>
      <w:r w:rsidR="00685D49">
        <w:rPr>
          <w:color w:val="000000" w:themeColor="text1"/>
        </w:rPr>
        <w:t xml:space="preserve"> Attached to the Answer are the Complainant’s billing history and a copy of a Bureau of Consumer Services (BCS) Informal Decision on the matter. </w:t>
      </w:r>
      <w:r w:rsidR="00BC6EEE">
        <w:rPr>
          <w:color w:val="000000" w:themeColor="text1"/>
        </w:rPr>
        <w:t xml:space="preserve"> PECO avers that it </w:t>
      </w:r>
      <w:r w:rsidR="00815C12">
        <w:rPr>
          <w:color w:val="000000" w:themeColor="text1"/>
        </w:rPr>
        <w:t xml:space="preserve">accepts cash, certified checks, </w:t>
      </w:r>
      <w:r w:rsidR="00BC6EEE">
        <w:rPr>
          <w:color w:val="000000" w:themeColor="text1"/>
        </w:rPr>
        <w:t>money orders, valid bank checks</w:t>
      </w:r>
      <w:r w:rsidR="00815C12">
        <w:rPr>
          <w:color w:val="000000" w:themeColor="text1"/>
        </w:rPr>
        <w:t xml:space="preserve">, </w:t>
      </w:r>
      <w:r w:rsidR="0024037F">
        <w:rPr>
          <w:color w:val="000000" w:themeColor="text1"/>
        </w:rPr>
        <w:t xml:space="preserve">personal checks, </w:t>
      </w:r>
      <w:r w:rsidR="00E557B3">
        <w:rPr>
          <w:color w:val="000000" w:themeColor="text1"/>
        </w:rPr>
        <w:t>and</w:t>
      </w:r>
      <w:r w:rsidR="00815C12">
        <w:rPr>
          <w:color w:val="000000" w:themeColor="text1"/>
        </w:rPr>
        <w:t xml:space="preserve"> a number of credit cards</w:t>
      </w:r>
      <w:r w:rsidR="00BC6EEE">
        <w:rPr>
          <w:color w:val="000000" w:themeColor="text1"/>
        </w:rPr>
        <w:t xml:space="preserve"> </w:t>
      </w:r>
      <w:r w:rsidR="00E557B3">
        <w:rPr>
          <w:color w:val="000000" w:themeColor="text1"/>
        </w:rPr>
        <w:t>for</w:t>
      </w:r>
      <w:r w:rsidR="00BC6EEE">
        <w:rPr>
          <w:color w:val="000000" w:themeColor="text1"/>
        </w:rPr>
        <w:t xml:space="preserve"> </w:t>
      </w:r>
      <w:r w:rsidR="00815C12">
        <w:rPr>
          <w:color w:val="000000" w:themeColor="text1"/>
        </w:rPr>
        <w:t xml:space="preserve">payment of utility accounts.  </w:t>
      </w:r>
      <w:r w:rsidR="00BC6EEE">
        <w:rPr>
          <w:color w:val="000000" w:themeColor="text1"/>
        </w:rPr>
        <w:t xml:space="preserve">PECO also states that it will not apply as credit to any customer account non-negotiable documents, sight drafts, 1099 Forms, Acceptance for Value, UCC Certified Tender of Payments, Promissory Notes or other UCC documents.  </w:t>
      </w:r>
      <w:r w:rsidR="008A70AE">
        <w:rPr>
          <w:color w:val="000000" w:themeColor="text1"/>
        </w:rPr>
        <w:t xml:space="preserve">PECO </w:t>
      </w:r>
      <w:r w:rsidR="000C5DC7">
        <w:rPr>
          <w:color w:val="000000" w:themeColor="text1"/>
        </w:rPr>
        <w:t>states</w:t>
      </w:r>
      <w:r w:rsidR="008A70AE">
        <w:rPr>
          <w:color w:val="000000" w:themeColor="text1"/>
        </w:rPr>
        <w:t xml:space="preserve"> that Complainant has been sending in documents he claims </w:t>
      </w:r>
      <w:r w:rsidR="00BD08F8">
        <w:rPr>
          <w:color w:val="000000" w:themeColor="text1"/>
        </w:rPr>
        <w:t>are</w:t>
      </w:r>
      <w:r w:rsidR="008A70AE">
        <w:rPr>
          <w:color w:val="000000" w:themeColor="text1"/>
        </w:rPr>
        <w:t xml:space="preserve"> payments toward his account.  These documents, which were refused</w:t>
      </w:r>
      <w:r w:rsidR="00F819C4">
        <w:rPr>
          <w:color w:val="000000" w:themeColor="text1"/>
        </w:rPr>
        <w:t xml:space="preserve"> by PECO as payment of Complainant’s bill</w:t>
      </w:r>
      <w:r w:rsidR="008A70AE">
        <w:rPr>
          <w:color w:val="000000" w:themeColor="text1"/>
        </w:rPr>
        <w:t xml:space="preserve">, include forms 1099A and 1099C, along with a bill of exchange and promissory notes.  </w:t>
      </w:r>
      <w:r w:rsidR="003522AE">
        <w:rPr>
          <w:color w:val="000000" w:themeColor="text1"/>
        </w:rPr>
        <w:t xml:space="preserve">PECO notes that the Complainant is currently enrolled in PECO’s Customer Assistance </w:t>
      </w:r>
      <w:r w:rsidR="000C5DC7">
        <w:rPr>
          <w:color w:val="000000" w:themeColor="text1"/>
        </w:rPr>
        <w:t>Program (CAP) and has a balance</w:t>
      </w:r>
      <w:r w:rsidR="003522AE">
        <w:rPr>
          <w:color w:val="000000" w:themeColor="text1"/>
        </w:rPr>
        <w:t xml:space="preserve"> totaling $4,860.80.</w:t>
      </w:r>
      <w:r w:rsidR="003522AE">
        <w:rPr>
          <w:rStyle w:val="FootnoteReference"/>
          <w:color w:val="000000" w:themeColor="text1"/>
        </w:rPr>
        <w:footnoteReference w:id="2"/>
      </w:r>
      <w:r w:rsidR="003522AE">
        <w:rPr>
          <w:color w:val="000000" w:themeColor="text1"/>
        </w:rPr>
        <w:t xml:space="preserve">  </w:t>
      </w:r>
      <w:r w:rsidR="00F2343B">
        <w:rPr>
          <w:color w:val="000000" w:themeColor="text1"/>
        </w:rPr>
        <w:t xml:space="preserve">PECO states that unless Complainant pays his bill with any of the aforementioned accepted methods of payment, his account will go into the collections process and </w:t>
      </w:r>
      <w:r w:rsidR="00DE780F">
        <w:rPr>
          <w:color w:val="000000" w:themeColor="text1"/>
        </w:rPr>
        <w:t xml:space="preserve">his service will be terminated.  PECO admits that </w:t>
      </w:r>
      <w:r w:rsidR="003C3DEA">
        <w:rPr>
          <w:color w:val="000000" w:themeColor="text1"/>
        </w:rPr>
        <w:t>it had Complainant’s Municipal Court proceeding dismissed on Summary Judgment.</w:t>
      </w:r>
      <w:r w:rsidR="00DE780F">
        <w:rPr>
          <w:color w:val="000000" w:themeColor="text1"/>
        </w:rPr>
        <w:t xml:space="preserve">  </w:t>
      </w:r>
      <w:r w:rsidR="00BC6EEE">
        <w:rPr>
          <w:color w:val="000000" w:themeColor="text1"/>
        </w:rPr>
        <w:t>PECO cites a previous Commission decision</w:t>
      </w:r>
      <w:r w:rsidR="00BC6EEE">
        <w:rPr>
          <w:rStyle w:val="FootnoteReference"/>
          <w:color w:val="000000" w:themeColor="text1"/>
        </w:rPr>
        <w:footnoteReference w:id="3"/>
      </w:r>
      <w:r w:rsidR="00BC6EEE">
        <w:rPr>
          <w:color w:val="000000" w:themeColor="text1"/>
        </w:rPr>
        <w:t xml:space="preserve"> and seeks dismissal of the Complaint for legal insufficiency.</w:t>
      </w:r>
      <w:r w:rsidR="00685D49">
        <w:rPr>
          <w:color w:val="000000" w:themeColor="text1"/>
        </w:rPr>
        <w:t xml:space="preserve">  </w:t>
      </w:r>
    </w:p>
    <w:p w:rsidR="002C4241" w:rsidRPr="0014145C" w:rsidRDefault="002C4241" w:rsidP="008120D0">
      <w:pPr>
        <w:jc w:val="left"/>
        <w:rPr>
          <w:color w:val="7F7F7F" w:themeColor="text1" w:themeTint="80"/>
        </w:rPr>
      </w:pPr>
      <w:r>
        <w:rPr>
          <w:color w:val="7F7F7F" w:themeColor="text1" w:themeTint="80"/>
        </w:rPr>
        <w:tab/>
      </w:r>
      <w:r>
        <w:rPr>
          <w:color w:val="7F7F7F" w:themeColor="text1" w:themeTint="80"/>
        </w:rPr>
        <w:tab/>
      </w:r>
      <w:r w:rsidRPr="002C4241">
        <w:rPr>
          <w:color w:val="000000" w:themeColor="text1"/>
        </w:rPr>
        <w:t xml:space="preserve">On March 20, 2015, PECO also filed its Preliminary Objections </w:t>
      </w:r>
      <w:r w:rsidR="00FC71AE">
        <w:rPr>
          <w:color w:val="000000" w:themeColor="text1"/>
        </w:rPr>
        <w:t xml:space="preserve">(POs) </w:t>
      </w:r>
      <w:r w:rsidRPr="002C4241">
        <w:rPr>
          <w:color w:val="000000" w:themeColor="text1"/>
        </w:rPr>
        <w:t>to the Complaint</w:t>
      </w:r>
      <w:r w:rsidR="00353F10">
        <w:rPr>
          <w:color w:val="000000" w:themeColor="text1"/>
        </w:rPr>
        <w:t>, properly accompanied by a Notice to Plead</w:t>
      </w:r>
      <w:r w:rsidRPr="002C4241">
        <w:rPr>
          <w:color w:val="000000" w:themeColor="text1"/>
        </w:rPr>
        <w:t xml:space="preserve">. </w:t>
      </w:r>
      <w:r w:rsidR="00DE780F">
        <w:rPr>
          <w:color w:val="000000" w:themeColor="text1"/>
        </w:rPr>
        <w:t xml:space="preserve"> </w:t>
      </w:r>
      <w:r w:rsidR="00AA4D66">
        <w:rPr>
          <w:color w:val="000000" w:themeColor="text1"/>
        </w:rPr>
        <w:t xml:space="preserve">PECO’s POs </w:t>
      </w:r>
      <w:r w:rsidR="00954B5F">
        <w:rPr>
          <w:color w:val="000000" w:themeColor="text1"/>
        </w:rPr>
        <w:t xml:space="preserve">assert that Respondent is entitled to judgment as a matter of law and </w:t>
      </w:r>
      <w:r w:rsidR="00AA4D66">
        <w:rPr>
          <w:color w:val="000000" w:themeColor="text1"/>
        </w:rPr>
        <w:t>s</w:t>
      </w:r>
      <w:r w:rsidR="00CE60AF">
        <w:rPr>
          <w:color w:val="000000" w:themeColor="text1"/>
        </w:rPr>
        <w:t>eek</w:t>
      </w:r>
      <w:r w:rsidR="00AA4D66">
        <w:rPr>
          <w:color w:val="000000" w:themeColor="text1"/>
        </w:rPr>
        <w:t xml:space="preserve"> for the Commission to dismiss the Complaint on the grounds that it is legally insufficient. </w:t>
      </w:r>
      <w:r w:rsidR="00CE60AF">
        <w:rPr>
          <w:color w:val="000000" w:themeColor="text1"/>
        </w:rPr>
        <w:t xml:space="preserve"> </w:t>
      </w:r>
      <w:r w:rsidR="00F655E1">
        <w:rPr>
          <w:color w:val="000000" w:themeColor="text1"/>
        </w:rPr>
        <w:t xml:space="preserve">PECO again cites </w:t>
      </w:r>
      <w:r w:rsidR="00F655E1" w:rsidRPr="00F24632">
        <w:rPr>
          <w:i/>
          <w:color w:val="000000" w:themeColor="text1"/>
        </w:rPr>
        <w:t>James Coppedge v. PECO</w:t>
      </w:r>
      <w:r w:rsidR="00AE134F">
        <w:rPr>
          <w:i/>
          <w:color w:val="000000" w:themeColor="text1"/>
        </w:rPr>
        <w:t>,</w:t>
      </w:r>
      <w:r w:rsidR="00F655E1">
        <w:rPr>
          <w:color w:val="000000" w:themeColor="text1"/>
        </w:rPr>
        <w:t xml:space="preserve"> </w:t>
      </w:r>
      <w:r w:rsidR="00AE134F" w:rsidRPr="00BC6EEE">
        <w:t>Docket No. F-2014-2406180</w:t>
      </w:r>
      <w:r w:rsidR="00AE134F">
        <w:t xml:space="preserve"> </w:t>
      </w:r>
      <w:r w:rsidR="00AE134F" w:rsidRPr="00BC6EEE">
        <w:t>(Order entered July 29, 2014)</w:t>
      </w:r>
      <w:r w:rsidR="00AE134F">
        <w:t>,</w:t>
      </w:r>
      <w:r w:rsidR="00AE134F" w:rsidRPr="00BC6EEE">
        <w:t xml:space="preserve"> </w:t>
      </w:r>
      <w:r w:rsidR="00F655E1">
        <w:rPr>
          <w:color w:val="000000" w:themeColor="text1"/>
        </w:rPr>
        <w:t xml:space="preserve">as controlling, along with a prior decision addressing the Commission’s lack of jurisdiction to interpret the </w:t>
      </w:r>
      <w:r w:rsidR="001632AC">
        <w:rPr>
          <w:color w:val="000000" w:themeColor="text1"/>
        </w:rPr>
        <w:t>UCC</w:t>
      </w:r>
      <w:r w:rsidR="00F655E1">
        <w:rPr>
          <w:color w:val="000000" w:themeColor="text1"/>
        </w:rPr>
        <w:t xml:space="preserve"> to determine the negotiability of instruments.</w:t>
      </w:r>
      <w:r w:rsidR="00F655E1">
        <w:rPr>
          <w:rStyle w:val="FootnoteReference"/>
          <w:color w:val="000000" w:themeColor="text1"/>
        </w:rPr>
        <w:footnoteReference w:id="4"/>
      </w:r>
      <w:r w:rsidR="00F655E1">
        <w:rPr>
          <w:color w:val="000000" w:themeColor="text1"/>
        </w:rPr>
        <w:t xml:space="preserve"> </w:t>
      </w:r>
      <w:r w:rsidR="00954B5F">
        <w:rPr>
          <w:color w:val="000000" w:themeColor="text1"/>
        </w:rPr>
        <w:t xml:space="preserve"> Copies of both decisions are attached to the POs. </w:t>
      </w:r>
    </w:p>
    <w:p w:rsidR="0074623E" w:rsidRPr="0014145C" w:rsidRDefault="0074623E" w:rsidP="005861CE">
      <w:pPr>
        <w:jc w:val="left"/>
        <w:rPr>
          <w:color w:val="7F7F7F" w:themeColor="text1" w:themeTint="80"/>
        </w:rPr>
      </w:pPr>
    </w:p>
    <w:p w:rsidR="00B459CF" w:rsidRPr="0014145C" w:rsidRDefault="00B459CF" w:rsidP="005861CE">
      <w:pPr>
        <w:jc w:val="left"/>
        <w:rPr>
          <w:color w:val="7F7F7F" w:themeColor="text1" w:themeTint="80"/>
        </w:rPr>
      </w:pPr>
      <w:r w:rsidRPr="0014145C">
        <w:rPr>
          <w:rFonts w:eastAsia="Calibri"/>
          <w:color w:val="7F7F7F" w:themeColor="text1" w:themeTint="80"/>
        </w:rPr>
        <w:tab/>
      </w:r>
      <w:r w:rsidRPr="0014145C">
        <w:rPr>
          <w:rFonts w:eastAsia="Calibri"/>
          <w:color w:val="7F7F7F" w:themeColor="text1" w:themeTint="80"/>
        </w:rPr>
        <w:tab/>
      </w:r>
      <w:r w:rsidRPr="002C4241">
        <w:rPr>
          <w:rFonts w:eastAsia="Calibri"/>
          <w:color w:val="000000" w:themeColor="text1"/>
        </w:rPr>
        <w:t xml:space="preserve">On March </w:t>
      </w:r>
      <w:r w:rsidR="002C4241" w:rsidRPr="002C4241">
        <w:rPr>
          <w:rFonts w:eastAsia="Calibri"/>
          <w:color w:val="000000" w:themeColor="text1"/>
        </w:rPr>
        <w:t>30</w:t>
      </w:r>
      <w:r w:rsidRPr="002C4241">
        <w:rPr>
          <w:rFonts w:eastAsia="Calibri"/>
          <w:color w:val="000000" w:themeColor="text1"/>
        </w:rPr>
        <w:t>, 2015, the matter was assigned to me by Motion Judge Assignment Notice.</w:t>
      </w:r>
    </w:p>
    <w:p w:rsidR="00B459CF" w:rsidRPr="0014145C" w:rsidRDefault="00B459CF" w:rsidP="005861CE">
      <w:pPr>
        <w:jc w:val="left"/>
        <w:rPr>
          <w:color w:val="7F7F7F" w:themeColor="text1" w:themeTint="80"/>
        </w:rPr>
      </w:pPr>
    </w:p>
    <w:p w:rsidR="00B0355A" w:rsidRPr="002C4241" w:rsidRDefault="003E54B5" w:rsidP="005861CE">
      <w:pPr>
        <w:jc w:val="left"/>
        <w:rPr>
          <w:color w:val="000000" w:themeColor="text1"/>
        </w:rPr>
      </w:pPr>
      <w:r w:rsidRPr="0014145C">
        <w:rPr>
          <w:color w:val="7F7F7F" w:themeColor="text1" w:themeTint="80"/>
        </w:rPr>
        <w:tab/>
      </w:r>
      <w:r w:rsidRPr="0014145C">
        <w:rPr>
          <w:color w:val="7F7F7F" w:themeColor="text1" w:themeTint="80"/>
        </w:rPr>
        <w:tab/>
      </w:r>
      <w:r w:rsidRPr="002C4241">
        <w:rPr>
          <w:color w:val="000000" w:themeColor="text1"/>
        </w:rPr>
        <w:t>More than ten days has run since the filing of the Preliminary Objections, and no resp</w:t>
      </w:r>
      <w:r w:rsidR="00955D81" w:rsidRPr="002C4241">
        <w:rPr>
          <w:color w:val="000000" w:themeColor="text1"/>
        </w:rPr>
        <w:t>onsive pleading has been filed.</w:t>
      </w:r>
      <w:r w:rsidRPr="002C4241">
        <w:rPr>
          <w:color w:val="000000" w:themeColor="text1"/>
        </w:rPr>
        <w:t xml:space="preserve">  52 Pa. Code § 5.101(f)(1).  </w:t>
      </w:r>
    </w:p>
    <w:p w:rsidR="00B0355A" w:rsidRPr="002C4241" w:rsidRDefault="00B0355A" w:rsidP="005861CE">
      <w:pPr>
        <w:jc w:val="left"/>
        <w:rPr>
          <w:color w:val="000000" w:themeColor="text1"/>
        </w:rPr>
      </w:pPr>
    </w:p>
    <w:p w:rsidR="003E54B5" w:rsidRDefault="00B0355A" w:rsidP="005861CE">
      <w:pPr>
        <w:jc w:val="left"/>
        <w:rPr>
          <w:color w:val="000000" w:themeColor="text1"/>
        </w:rPr>
      </w:pPr>
      <w:r w:rsidRPr="002C4241">
        <w:rPr>
          <w:color w:val="000000" w:themeColor="text1"/>
        </w:rPr>
        <w:tab/>
      </w:r>
      <w:r w:rsidRPr="002C4241">
        <w:rPr>
          <w:color w:val="000000" w:themeColor="text1"/>
        </w:rPr>
        <w:tab/>
      </w:r>
      <w:r w:rsidR="003E54B5" w:rsidRPr="002C4241">
        <w:rPr>
          <w:color w:val="000000" w:themeColor="text1"/>
        </w:rPr>
        <w:t>The matter is ripe for disposition.</w:t>
      </w:r>
    </w:p>
    <w:p w:rsidR="00802AF2" w:rsidRDefault="00802AF2" w:rsidP="005861CE">
      <w:pPr>
        <w:jc w:val="left"/>
        <w:rPr>
          <w:color w:val="000000" w:themeColor="text1"/>
        </w:rPr>
      </w:pPr>
    </w:p>
    <w:p w:rsidR="00802AF2" w:rsidRPr="00802AF2" w:rsidRDefault="00802AF2" w:rsidP="00802AF2">
      <w:pPr>
        <w:rPr>
          <w:color w:val="000000" w:themeColor="text1"/>
          <w:u w:val="single"/>
        </w:rPr>
      </w:pPr>
      <w:r w:rsidRPr="00802AF2">
        <w:rPr>
          <w:color w:val="000000" w:themeColor="text1"/>
          <w:u w:val="single"/>
        </w:rPr>
        <w:t>FINDINGS OF FACT</w:t>
      </w:r>
    </w:p>
    <w:p w:rsidR="00802AF2" w:rsidRPr="00802AF2" w:rsidRDefault="00802AF2" w:rsidP="00802AF2">
      <w:pPr>
        <w:jc w:val="left"/>
        <w:rPr>
          <w:color w:val="000000" w:themeColor="text1"/>
        </w:rPr>
      </w:pPr>
    </w:p>
    <w:p w:rsidR="00802AF2" w:rsidRPr="00802AF2" w:rsidRDefault="00802AF2" w:rsidP="00802AF2">
      <w:pPr>
        <w:jc w:val="left"/>
        <w:rPr>
          <w:color w:val="000000" w:themeColor="text1"/>
        </w:rPr>
      </w:pPr>
      <w:r w:rsidRPr="00802AF2">
        <w:rPr>
          <w:color w:val="000000" w:themeColor="text1"/>
        </w:rPr>
        <w:tab/>
      </w:r>
      <w:r w:rsidRPr="00802AF2">
        <w:rPr>
          <w:color w:val="000000" w:themeColor="text1"/>
        </w:rPr>
        <w:tab/>
        <w:t>1.</w:t>
      </w:r>
      <w:r w:rsidRPr="00802AF2">
        <w:rPr>
          <w:color w:val="000000" w:themeColor="text1"/>
        </w:rPr>
        <w:tab/>
        <w:t>Complainant is Gregory Kennedy of Philadelphia, PA.</w:t>
      </w:r>
    </w:p>
    <w:p w:rsidR="00802AF2" w:rsidRPr="00802AF2" w:rsidRDefault="00802AF2" w:rsidP="00802AF2">
      <w:pPr>
        <w:jc w:val="left"/>
        <w:rPr>
          <w:color w:val="000000" w:themeColor="text1"/>
        </w:rPr>
      </w:pPr>
    </w:p>
    <w:p w:rsidR="00802AF2" w:rsidRPr="00802AF2" w:rsidRDefault="00802AF2" w:rsidP="00802AF2">
      <w:pPr>
        <w:jc w:val="left"/>
        <w:rPr>
          <w:color w:val="000000" w:themeColor="text1"/>
        </w:rPr>
      </w:pPr>
      <w:r w:rsidRPr="00802AF2">
        <w:rPr>
          <w:color w:val="000000" w:themeColor="text1"/>
        </w:rPr>
        <w:tab/>
      </w:r>
      <w:r w:rsidRPr="00802AF2">
        <w:rPr>
          <w:color w:val="000000" w:themeColor="text1"/>
        </w:rPr>
        <w:tab/>
        <w:t>2.</w:t>
      </w:r>
      <w:r w:rsidRPr="00802AF2">
        <w:rPr>
          <w:color w:val="000000" w:themeColor="text1"/>
        </w:rPr>
        <w:tab/>
        <w:t>Respondent is PECO Energy Company, a jurisdictional public utility company providing electric service in the Commonwealth of Pennsylvania.</w:t>
      </w:r>
    </w:p>
    <w:p w:rsidR="00802AF2" w:rsidRPr="00802AF2" w:rsidRDefault="00802AF2" w:rsidP="00802AF2">
      <w:pPr>
        <w:jc w:val="left"/>
        <w:rPr>
          <w:color w:val="000000" w:themeColor="text1"/>
        </w:rPr>
      </w:pPr>
    </w:p>
    <w:p w:rsidR="00802AF2" w:rsidRPr="00802AF2" w:rsidRDefault="00802AF2" w:rsidP="00802AF2">
      <w:pPr>
        <w:jc w:val="left"/>
        <w:rPr>
          <w:color w:val="000000" w:themeColor="text1"/>
        </w:rPr>
      </w:pPr>
      <w:r w:rsidRPr="00802AF2">
        <w:rPr>
          <w:color w:val="000000" w:themeColor="text1"/>
        </w:rPr>
        <w:tab/>
      </w:r>
      <w:r w:rsidRPr="00802AF2">
        <w:rPr>
          <w:color w:val="000000" w:themeColor="text1"/>
        </w:rPr>
        <w:tab/>
        <w:t>3.</w:t>
      </w:r>
      <w:r w:rsidRPr="00802AF2">
        <w:rPr>
          <w:color w:val="000000" w:themeColor="text1"/>
        </w:rPr>
        <w:tab/>
        <w:t>On February 23, 2015, Complainant filed a formal Complaint against Respondent.  Complainant alleged that PECO was threatening to shut off service or already shut off service.  Complainant also alleged that PECO refused to accept any form of payment other than cash, check, or credit cards, which he believes to be in violation of the Uniform Commercial Code (UCC).</w:t>
      </w:r>
    </w:p>
    <w:p w:rsidR="00802AF2" w:rsidRPr="00802AF2" w:rsidRDefault="00802AF2" w:rsidP="00802AF2">
      <w:pPr>
        <w:jc w:val="left"/>
        <w:rPr>
          <w:color w:val="000000" w:themeColor="text1"/>
        </w:rPr>
      </w:pPr>
    </w:p>
    <w:p w:rsidR="00802AF2" w:rsidRPr="00802AF2" w:rsidRDefault="00802AF2" w:rsidP="00802AF2">
      <w:pPr>
        <w:jc w:val="left"/>
        <w:rPr>
          <w:color w:val="000000" w:themeColor="text1"/>
        </w:rPr>
      </w:pPr>
      <w:r w:rsidRPr="00802AF2">
        <w:rPr>
          <w:color w:val="000000" w:themeColor="text1"/>
        </w:rPr>
        <w:tab/>
      </w:r>
      <w:r w:rsidRPr="00802AF2">
        <w:rPr>
          <w:color w:val="000000" w:themeColor="text1"/>
        </w:rPr>
        <w:tab/>
        <w:t>4.</w:t>
      </w:r>
      <w:r w:rsidRPr="00802AF2">
        <w:rPr>
          <w:color w:val="000000" w:themeColor="text1"/>
        </w:rPr>
        <w:tab/>
        <w:t xml:space="preserve">The Complaint seeks for the Commission to investigate Respondent’s alleged violations of the UCC, and to </w:t>
      </w:r>
      <w:r w:rsidR="00D033B1">
        <w:rPr>
          <w:color w:val="000000" w:themeColor="text1"/>
        </w:rPr>
        <w:t>direct Respondent to accept Complainant’s promissory note as valid payment for his bill.</w:t>
      </w:r>
    </w:p>
    <w:p w:rsidR="00802AF2" w:rsidRPr="00802AF2" w:rsidRDefault="00802AF2" w:rsidP="00802AF2">
      <w:pPr>
        <w:jc w:val="left"/>
        <w:rPr>
          <w:color w:val="000000" w:themeColor="text1"/>
        </w:rPr>
      </w:pPr>
    </w:p>
    <w:p w:rsidR="00802AF2" w:rsidRPr="00802AF2" w:rsidRDefault="00802AF2" w:rsidP="00802AF2">
      <w:pPr>
        <w:jc w:val="left"/>
        <w:rPr>
          <w:color w:val="000000" w:themeColor="text1"/>
        </w:rPr>
      </w:pPr>
      <w:r w:rsidRPr="00802AF2">
        <w:rPr>
          <w:color w:val="000000" w:themeColor="text1"/>
        </w:rPr>
        <w:tab/>
      </w:r>
      <w:r w:rsidRPr="00802AF2">
        <w:rPr>
          <w:color w:val="000000" w:themeColor="text1"/>
        </w:rPr>
        <w:tab/>
        <w:t>5.</w:t>
      </w:r>
      <w:r w:rsidRPr="00802AF2">
        <w:rPr>
          <w:color w:val="000000" w:themeColor="text1"/>
        </w:rPr>
        <w:tab/>
        <w:t>On March 20, 2015, Respondent filed its Answer, as well as Preliminary Objections to the formal Complaint.</w:t>
      </w:r>
    </w:p>
    <w:p w:rsidR="00802AF2" w:rsidRPr="00802AF2" w:rsidRDefault="00802AF2" w:rsidP="00802AF2">
      <w:pPr>
        <w:jc w:val="left"/>
        <w:rPr>
          <w:color w:val="000000" w:themeColor="text1"/>
        </w:rPr>
      </w:pPr>
    </w:p>
    <w:p w:rsidR="00802AF2" w:rsidRPr="002C4241" w:rsidRDefault="00802AF2" w:rsidP="00802AF2">
      <w:pPr>
        <w:jc w:val="left"/>
        <w:rPr>
          <w:color w:val="000000" w:themeColor="text1"/>
        </w:rPr>
      </w:pPr>
      <w:r w:rsidRPr="00802AF2">
        <w:rPr>
          <w:color w:val="000000" w:themeColor="text1"/>
        </w:rPr>
        <w:tab/>
      </w:r>
      <w:r w:rsidRPr="00802AF2">
        <w:rPr>
          <w:color w:val="000000" w:themeColor="text1"/>
        </w:rPr>
        <w:tab/>
        <w:t>6.</w:t>
      </w:r>
      <w:r w:rsidRPr="00802AF2">
        <w:rPr>
          <w:color w:val="000000" w:themeColor="text1"/>
        </w:rPr>
        <w:tab/>
        <w:t xml:space="preserve">No responsive pleading was filed to the Answer or to the Preliminary Objections.  </w:t>
      </w:r>
    </w:p>
    <w:p w:rsidR="002D5B2A" w:rsidRPr="0014145C" w:rsidRDefault="002D5B2A" w:rsidP="003E54B5">
      <w:pPr>
        <w:rPr>
          <w:color w:val="7F7F7F" w:themeColor="text1" w:themeTint="80"/>
          <w:u w:val="single"/>
        </w:rPr>
      </w:pPr>
    </w:p>
    <w:p w:rsidR="003E54B5" w:rsidRPr="00231F41" w:rsidRDefault="003E54B5" w:rsidP="003E54B5">
      <w:pPr>
        <w:rPr>
          <w:color w:val="000000" w:themeColor="text1"/>
          <w:u w:val="single"/>
        </w:rPr>
      </w:pPr>
      <w:r w:rsidRPr="00231F41">
        <w:rPr>
          <w:color w:val="000000" w:themeColor="text1"/>
          <w:u w:val="single"/>
        </w:rPr>
        <w:t>DISCUSSION</w:t>
      </w:r>
    </w:p>
    <w:p w:rsidR="008C4D41" w:rsidRPr="0014145C" w:rsidRDefault="008C4D41" w:rsidP="008C4D41">
      <w:pPr>
        <w:jc w:val="left"/>
        <w:rPr>
          <w:color w:val="7F7F7F" w:themeColor="text1" w:themeTint="80"/>
        </w:rPr>
      </w:pPr>
    </w:p>
    <w:p w:rsidR="00D1514D" w:rsidRPr="0014145C" w:rsidRDefault="008C4D41" w:rsidP="00D1514D">
      <w:pPr>
        <w:jc w:val="left"/>
        <w:rPr>
          <w:color w:val="7F7F7F" w:themeColor="text1" w:themeTint="80"/>
        </w:rPr>
      </w:pPr>
      <w:r w:rsidRPr="0014145C">
        <w:rPr>
          <w:color w:val="7F7F7F" w:themeColor="text1" w:themeTint="80"/>
        </w:rPr>
        <w:tab/>
      </w:r>
      <w:r w:rsidRPr="00312CA3">
        <w:rPr>
          <w:color w:val="000000" w:themeColor="text1"/>
        </w:rPr>
        <w:tab/>
      </w:r>
      <w:r w:rsidR="00E557B3">
        <w:rPr>
          <w:color w:val="000000" w:themeColor="text1"/>
        </w:rPr>
        <w:t xml:space="preserve">Complainant seeks an alternative form of payment for his utility bill, which PECO refuses to accept.  </w:t>
      </w:r>
      <w:r w:rsidRPr="00312CA3">
        <w:rPr>
          <w:color w:val="000000" w:themeColor="text1"/>
        </w:rPr>
        <w:t>Res</w:t>
      </w:r>
      <w:r w:rsidR="00285C9A" w:rsidRPr="00312CA3">
        <w:rPr>
          <w:color w:val="000000" w:themeColor="text1"/>
        </w:rPr>
        <w:t>pondent’s P</w:t>
      </w:r>
      <w:r w:rsidR="003E13E3" w:rsidRPr="00312CA3">
        <w:rPr>
          <w:color w:val="000000" w:themeColor="text1"/>
        </w:rPr>
        <w:t>O</w:t>
      </w:r>
      <w:r w:rsidR="004D4E7A">
        <w:rPr>
          <w:color w:val="000000" w:themeColor="text1"/>
        </w:rPr>
        <w:t>s</w:t>
      </w:r>
      <w:r w:rsidRPr="00312CA3">
        <w:rPr>
          <w:color w:val="000000" w:themeColor="text1"/>
        </w:rPr>
        <w:t xml:space="preserve"> seek </w:t>
      </w:r>
      <w:r w:rsidR="00D1514D" w:rsidRPr="00312CA3">
        <w:rPr>
          <w:color w:val="000000" w:themeColor="text1"/>
        </w:rPr>
        <w:t xml:space="preserve">to dismiss the case because </w:t>
      </w:r>
      <w:r w:rsidR="00312CA3" w:rsidRPr="00312CA3">
        <w:rPr>
          <w:color w:val="000000" w:themeColor="text1"/>
        </w:rPr>
        <w:t xml:space="preserve">there is no issue of material fact and because the </w:t>
      </w:r>
      <w:r w:rsidR="003A7600" w:rsidRPr="00312CA3">
        <w:rPr>
          <w:color w:val="000000" w:themeColor="text1"/>
        </w:rPr>
        <w:t>Commiss</w:t>
      </w:r>
      <w:r w:rsidR="00D1514D" w:rsidRPr="00312CA3">
        <w:rPr>
          <w:color w:val="000000" w:themeColor="text1"/>
        </w:rPr>
        <w:t xml:space="preserve">ion has no jurisdiction to </w:t>
      </w:r>
      <w:r w:rsidR="00312CA3">
        <w:rPr>
          <w:color w:val="000000" w:themeColor="text1"/>
        </w:rPr>
        <w:t>interpret the negotiability of</w:t>
      </w:r>
      <w:r w:rsidR="00312CA3" w:rsidRPr="00312CA3">
        <w:rPr>
          <w:color w:val="000000" w:themeColor="text1"/>
        </w:rPr>
        <w:t xml:space="preserve"> instruments under the Uniform Commercial Code.</w:t>
      </w:r>
    </w:p>
    <w:p w:rsidR="003E54B5" w:rsidRPr="0014145C" w:rsidRDefault="00D1514D" w:rsidP="00D1514D">
      <w:pPr>
        <w:jc w:val="left"/>
        <w:rPr>
          <w:color w:val="7F7F7F" w:themeColor="text1" w:themeTint="80"/>
          <w:u w:val="single"/>
        </w:rPr>
      </w:pPr>
      <w:r w:rsidRPr="0014145C">
        <w:rPr>
          <w:color w:val="7F7F7F" w:themeColor="text1" w:themeTint="80"/>
          <w:u w:val="single"/>
        </w:rPr>
        <w:t xml:space="preserve"> </w:t>
      </w:r>
    </w:p>
    <w:p w:rsidR="009943BE" w:rsidRPr="0014145C" w:rsidRDefault="009943BE" w:rsidP="009943BE">
      <w:pPr>
        <w:jc w:val="left"/>
        <w:rPr>
          <w:color w:val="000000" w:themeColor="text1"/>
        </w:rPr>
      </w:pPr>
      <w:r w:rsidRPr="0014145C">
        <w:rPr>
          <w:color w:val="7F7F7F" w:themeColor="text1" w:themeTint="80"/>
        </w:rPr>
        <w:tab/>
      </w:r>
      <w:r w:rsidRPr="0014145C">
        <w:rPr>
          <w:color w:val="000000" w:themeColor="text1"/>
        </w:rPr>
        <w:tab/>
        <w:t xml:space="preserve">Commission preliminary objection practice is similar to Pennsylvania civil practice.  </w:t>
      </w:r>
      <w:r w:rsidRPr="0014145C">
        <w:rPr>
          <w:i/>
          <w:color w:val="000000" w:themeColor="text1"/>
        </w:rPr>
        <w:t xml:space="preserve">Equitable Small Transportation Interveners v. Equitable Gas Company, </w:t>
      </w:r>
      <w:r w:rsidRPr="0014145C">
        <w:rPr>
          <w:color w:val="000000" w:themeColor="text1"/>
        </w:rPr>
        <w:t xml:space="preserve">1994 Pa. PUC LEXIS 69, PUC Docket No. C-000935435 (July 18, 1994). </w:t>
      </w:r>
      <w:r w:rsidRPr="0014145C">
        <w:rPr>
          <w:color w:val="000000" w:themeColor="text1"/>
        </w:rPr>
        <w:tab/>
        <w:t xml:space="preserve"> When considering the preliminary objection, the Commission must determine “whether the law says with certainty, based on well-pleaded factual averments . . . that no recovery or relief is possible.  </w:t>
      </w:r>
      <w:r w:rsidRPr="0014145C">
        <w:rPr>
          <w:i/>
          <w:color w:val="000000" w:themeColor="text1"/>
        </w:rPr>
        <w:t xml:space="preserve">P. J. S. v. Pa. State Ethics Commission, </w:t>
      </w:r>
      <w:r w:rsidR="00E557B3">
        <w:rPr>
          <w:color w:val="000000" w:themeColor="text1"/>
        </w:rPr>
        <w:t>669 A.2d 1105 (Pa.</w:t>
      </w:r>
      <w:r w:rsidRPr="0014145C">
        <w:rPr>
          <w:color w:val="000000" w:themeColor="text1"/>
        </w:rPr>
        <w:t xml:space="preserve">Cmwlth. 1996).  Any doubt must be resolved in favor of the non-moving party by refusing to sustain the preliminary objections.  </w:t>
      </w:r>
      <w:r w:rsidRPr="0014145C">
        <w:rPr>
          <w:i/>
          <w:color w:val="000000" w:themeColor="text1"/>
        </w:rPr>
        <w:t xml:space="preserve">Boyd v. Ward, </w:t>
      </w:r>
      <w:r w:rsidRPr="0014145C">
        <w:rPr>
          <w:color w:val="000000" w:themeColor="text1"/>
        </w:rPr>
        <w:t xml:space="preserve">802 A.2d 705 (Pa.Cmwlth. 2002).”  </w:t>
      </w:r>
      <w:r w:rsidRPr="0014145C">
        <w:rPr>
          <w:i/>
          <w:color w:val="000000" w:themeColor="text1"/>
        </w:rPr>
        <w:t xml:space="preserve">Dept. of Auditor General, et al. v. State Employees’ Retirement System, et al., </w:t>
      </w:r>
      <w:r w:rsidRPr="0014145C">
        <w:rPr>
          <w:color w:val="000000" w:themeColor="text1"/>
        </w:rPr>
        <w:t xml:space="preserve">836 A.2d 1053, 1064 (Pa.Cmwlth. 2003).  </w:t>
      </w:r>
      <w:r w:rsidRPr="0014145C">
        <w:rPr>
          <w:i/>
          <w:color w:val="000000" w:themeColor="text1"/>
        </w:rPr>
        <w:t xml:space="preserve"> </w:t>
      </w:r>
    </w:p>
    <w:p w:rsidR="009943BE" w:rsidRPr="0014145C" w:rsidRDefault="009943BE" w:rsidP="009943BE">
      <w:pPr>
        <w:rPr>
          <w:color w:val="000000" w:themeColor="text1"/>
        </w:rPr>
      </w:pPr>
    </w:p>
    <w:p w:rsidR="009943BE" w:rsidRPr="0014145C" w:rsidRDefault="009943BE" w:rsidP="009943BE">
      <w:pPr>
        <w:jc w:val="left"/>
        <w:rPr>
          <w:color w:val="000000" w:themeColor="text1"/>
        </w:rPr>
      </w:pPr>
      <w:r w:rsidRPr="0014145C">
        <w:rPr>
          <w:color w:val="000000" w:themeColor="text1"/>
        </w:rPr>
        <w:tab/>
      </w:r>
      <w:r w:rsidRPr="0014145C">
        <w:rPr>
          <w:color w:val="000000" w:themeColor="text1"/>
        </w:rPr>
        <w:tab/>
        <w:t>The rules regarding preliminary objections are as follows:</w:t>
      </w:r>
    </w:p>
    <w:p w:rsidR="009943BE" w:rsidRPr="0014145C" w:rsidRDefault="009943BE" w:rsidP="009943BE">
      <w:pPr>
        <w:jc w:val="left"/>
        <w:rPr>
          <w:color w:val="000000" w:themeColor="text1"/>
        </w:rPr>
      </w:pPr>
    </w:p>
    <w:p w:rsidR="009943BE" w:rsidRPr="0014145C" w:rsidRDefault="009943BE" w:rsidP="009943BE">
      <w:pPr>
        <w:spacing w:line="240" w:lineRule="auto"/>
        <w:ind w:left="1440" w:right="1440"/>
        <w:contextualSpacing/>
        <w:jc w:val="left"/>
        <w:rPr>
          <w:b/>
          <w:color w:val="000000" w:themeColor="text1"/>
        </w:rPr>
      </w:pPr>
      <w:r w:rsidRPr="0014145C">
        <w:rPr>
          <w:b/>
          <w:color w:val="000000" w:themeColor="text1"/>
        </w:rPr>
        <w:t>§ 5.101.  Preliminary objections.</w:t>
      </w:r>
    </w:p>
    <w:p w:rsidR="009943BE" w:rsidRPr="0014145C" w:rsidRDefault="009943BE" w:rsidP="009943BE">
      <w:pPr>
        <w:spacing w:line="240" w:lineRule="auto"/>
        <w:ind w:left="1440" w:right="1440"/>
        <w:contextualSpacing/>
        <w:jc w:val="left"/>
        <w:rPr>
          <w:color w:val="000000" w:themeColor="text1"/>
        </w:rPr>
      </w:pPr>
      <w:r w:rsidRPr="0014145C">
        <w:rPr>
          <w:color w:val="000000" w:themeColor="text1"/>
        </w:rPr>
        <w:t>(a)</w:t>
      </w:r>
      <w:r w:rsidRPr="0014145C">
        <w:rPr>
          <w:color w:val="000000" w:themeColor="text1"/>
        </w:rPr>
        <w:tab/>
      </w:r>
      <w:r w:rsidRPr="0014145C">
        <w:rPr>
          <w:i/>
          <w:color w:val="000000" w:themeColor="text1"/>
        </w:rPr>
        <w:t>Grounds.</w:t>
      </w:r>
      <w:r w:rsidRPr="0014145C">
        <w:rPr>
          <w:color w:val="000000" w:themeColor="text1"/>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9943BE" w:rsidRPr="0014145C" w:rsidRDefault="009943BE" w:rsidP="009943BE">
      <w:pPr>
        <w:spacing w:line="240" w:lineRule="auto"/>
        <w:ind w:left="1440" w:right="1440"/>
        <w:contextualSpacing/>
        <w:jc w:val="left"/>
        <w:rPr>
          <w:i/>
          <w:color w:val="000000" w:themeColor="text1"/>
        </w:rPr>
      </w:pPr>
    </w:p>
    <w:p w:rsidR="009943BE" w:rsidRPr="0014145C" w:rsidRDefault="009943BE" w:rsidP="009943BE">
      <w:pPr>
        <w:spacing w:line="240" w:lineRule="auto"/>
        <w:ind w:left="1440" w:right="1440"/>
        <w:contextualSpacing/>
        <w:jc w:val="left"/>
        <w:rPr>
          <w:color w:val="000000" w:themeColor="text1"/>
        </w:rPr>
      </w:pPr>
      <w:r w:rsidRPr="0014145C">
        <w:rPr>
          <w:color w:val="000000" w:themeColor="text1"/>
        </w:rPr>
        <w:t>(1)  Lack of Commission jurisdiction or improper service of the pleading initiating the proceeding.</w:t>
      </w:r>
    </w:p>
    <w:p w:rsidR="009943BE" w:rsidRPr="0014145C" w:rsidRDefault="009943BE" w:rsidP="009943BE">
      <w:pPr>
        <w:spacing w:line="240" w:lineRule="auto"/>
        <w:ind w:left="1440" w:right="1440"/>
        <w:contextualSpacing/>
        <w:jc w:val="left"/>
        <w:rPr>
          <w:color w:val="000000" w:themeColor="text1"/>
        </w:rPr>
      </w:pPr>
    </w:p>
    <w:p w:rsidR="009943BE" w:rsidRPr="0014145C" w:rsidRDefault="009943BE" w:rsidP="009943BE">
      <w:pPr>
        <w:spacing w:line="240" w:lineRule="auto"/>
        <w:ind w:left="1440" w:right="1440"/>
        <w:contextualSpacing/>
        <w:jc w:val="left"/>
        <w:rPr>
          <w:color w:val="000000" w:themeColor="text1"/>
        </w:rPr>
      </w:pPr>
      <w:r w:rsidRPr="0014145C">
        <w:rPr>
          <w:color w:val="000000" w:themeColor="text1"/>
        </w:rPr>
        <w:t>(2)  Failure of a pleading to conform to this chapter or the inclusion of scandalous or impertinent matter.</w:t>
      </w:r>
    </w:p>
    <w:p w:rsidR="009943BE" w:rsidRPr="0014145C" w:rsidRDefault="009943BE" w:rsidP="009943BE">
      <w:pPr>
        <w:spacing w:line="240" w:lineRule="auto"/>
        <w:ind w:left="1440" w:right="1440"/>
        <w:contextualSpacing/>
        <w:jc w:val="left"/>
        <w:rPr>
          <w:color w:val="000000" w:themeColor="text1"/>
        </w:rPr>
      </w:pPr>
    </w:p>
    <w:p w:rsidR="009943BE" w:rsidRPr="0014145C" w:rsidRDefault="009943BE" w:rsidP="009943BE">
      <w:pPr>
        <w:spacing w:line="240" w:lineRule="auto"/>
        <w:ind w:left="1440" w:right="1440"/>
        <w:contextualSpacing/>
        <w:jc w:val="left"/>
        <w:rPr>
          <w:color w:val="000000" w:themeColor="text1"/>
        </w:rPr>
      </w:pPr>
      <w:r w:rsidRPr="0014145C">
        <w:rPr>
          <w:color w:val="000000" w:themeColor="text1"/>
        </w:rPr>
        <w:t>(3)  Insufficient specificity of a pleading.</w:t>
      </w:r>
    </w:p>
    <w:p w:rsidR="009943BE" w:rsidRPr="0014145C" w:rsidRDefault="009943BE" w:rsidP="009943BE">
      <w:pPr>
        <w:spacing w:line="240" w:lineRule="auto"/>
        <w:ind w:left="1440" w:right="1440"/>
        <w:contextualSpacing/>
        <w:jc w:val="left"/>
        <w:rPr>
          <w:color w:val="000000" w:themeColor="text1"/>
        </w:rPr>
      </w:pPr>
    </w:p>
    <w:p w:rsidR="009943BE" w:rsidRPr="0014145C" w:rsidRDefault="009943BE" w:rsidP="009943BE">
      <w:pPr>
        <w:spacing w:line="240" w:lineRule="auto"/>
        <w:ind w:left="1440" w:right="1440"/>
        <w:contextualSpacing/>
        <w:jc w:val="left"/>
        <w:rPr>
          <w:color w:val="000000" w:themeColor="text1"/>
        </w:rPr>
      </w:pPr>
      <w:r w:rsidRPr="0014145C">
        <w:rPr>
          <w:color w:val="000000" w:themeColor="text1"/>
        </w:rPr>
        <w:t>(4)  Legal insufficiency of a pleading.</w:t>
      </w:r>
    </w:p>
    <w:p w:rsidR="009943BE" w:rsidRPr="0014145C" w:rsidRDefault="009943BE" w:rsidP="009943BE">
      <w:pPr>
        <w:spacing w:line="240" w:lineRule="auto"/>
        <w:ind w:left="1440" w:right="1440"/>
        <w:contextualSpacing/>
        <w:jc w:val="left"/>
        <w:rPr>
          <w:color w:val="000000" w:themeColor="text1"/>
        </w:rPr>
      </w:pPr>
    </w:p>
    <w:p w:rsidR="009943BE" w:rsidRPr="0014145C" w:rsidRDefault="009943BE" w:rsidP="009943BE">
      <w:pPr>
        <w:spacing w:line="240" w:lineRule="auto"/>
        <w:ind w:left="1440" w:right="1440"/>
        <w:contextualSpacing/>
        <w:jc w:val="left"/>
        <w:rPr>
          <w:color w:val="000000" w:themeColor="text1"/>
        </w:rPr>
      </w:pPr>
      <w:r w:rsidRPr="0014145C">
        <w:rPr>
          <w:color w:val="000000" w:themeColor="text1"/>
        </w:rPr>
        <w:t xml:space="preserve">(5) </w:t>
      </w:r>
      <w:r w:rsidR="00B63B78">
        <w:rPr>
          <w:color w:val="000000" w:themeColor="text1"/>
        </w:rPr>
        <w:t xml:space="preserve"> </w:t>
      </w:r>
      <w:r w:rsidRPr="0014145C">
        <w:rPr>
          <w:color w:val="000000" w:themeColor="text1"/>
        </w:rPr>
        <w:t>Lack of capacity to sue, nonjoinder of a necessary party or misjoinder of a cause of action.</w:t>
      </w:r>
    </w:p>
    <w:p w:rsidR="009943BE" w:rsidRPr="0014145C" w:rsidRDefault="009943BE" w:rsidP="009943BE">
      <w:pPr>
        <w:spacing w:line="240" w:lineRule="auto"/>
        <w:ind w:left="1440" w:right="1440"/>
        <w:contextualSpacing/>
        <w:jc w:val="left"/>
        <w:rPr>
          <w:color w:val="000000" w:themeColor="text1"/>
        </w:rPr>
      </w:pPr>
    </w:p>
    <w:p w:rsidR="00BB2E03" w:rsidRPr="0014145C" w:rsidRDefault="009943BE" w:rsidP="009943BE">
      <w:pPr>
        <w:spacing w:line="240" w:lineRule="auto"/>
        <w:ind w:left="1440" w:right="1440"/>
        <w:contextualSpacing/>
        <w:jc w:val="left"/>
        <w:rPr>
          <w:color w:val="000000" w:themeColor="text1"/>
        </w:rPr>
      </w:pPr>
      <w:r w:rsidRPr="0014145C">
        <w:rPr>
          <w:color w:val="000000" w:themeColor="text1"/>
        </w:rPr>
        <w:t xml:space="preserve">(6)  Pendency of a prior proceeding or agreement for alternative </w:t>
      </w:r>
    </w:p>
    <w:p w:rsidR="009943BE" w:rsidRPr="0014145C" w:rsidRDefault="009943BE" w:rsidP="009943BE">
      <w:pPr>
        <w:spacing w:line="240" w:lineRule="auto"/>
        <w:ind w:left="1440" w:right="1440"/>
        <w:contextualSpacing/>
        <w:jc w:val="left"/>
        <w:rPr>
          <w:color w:val="000000" w:themeColor="text1"/>
        </w:rPr>
      </w:pPr>
      <w:r w:rsidRPr="0014145C">
        <w:rPr>
          <w:color w:val="000000" w:themeColor="text1"/>
        </w:rPr>
        <w:t>dispute resolution.</w:t>
      </w:r>
    </w:p>
    <w:p w:rsidR="00BB2E03" w:rsidRPr="0014145C" w:rsidRDefault="00BB2E03" w:rsidP="009943BE">
      <w:pPr>
        <w:spacing w:line="240" w:lineRule="auto"/>
        <w:ind w:left="1440" w:right="1440"/>
        <w:contextualSpacing/>
        <w:jc w:val="left"/>
        <w:rPr>
          <w:color w:val="000000" w:themeColor="text1"/>
        </w:rPr>
      </w:pPr>
    </w:p>
    <w:p w:rsidR="00BB2E03" w:rsidRPr="0014145C" w:rsidRDefault="00BB2E03" w:rsidP="009943BE">
      <w:pPr>
        <w:spacing w:line="240" w:lineRule="auto"/>
        <w:ind w:left="1440" w:right="1440"/>
        <w:contextualSpacing/>
        <w:jc w:val="left"/>
        <w:rPr>
          <w:color w:val="000000" w:themeColor="text1"/>
        </w:rPr>
      </w:pPr>
      <w:r w:rsidRPr="0014145C">
        <w:rPr>
          <w:color w:val="000000" w:themeColor="text1"/>
        </w:rPr>
        <w:t>(7)  Standing of a party to participate in the proceeding.</w:t>
      </w:r>
    </w:p>
    <w:p w:rsidR="00BB2E03" w:rsidRPr="0014145C" w:rsidRDefault="00BB2E03" w:rsidP="009943BE">
      <w:pPr>
        <w:spacing w:line="240" w:lineRule="auto"/>
        <w:ind w:left="1440" w:right="1440"/>
        <w:contextualSpacing/>
        <w:jc w:val="left"/>
        <w:rPr>
          <w:color w:val="000000" w:themeColor="text1"/>
        </w:rPr>
      </w:pPr>
    </w:p>
    <w:p w:rsidR="009943BE" w:rsidRPr="0014145C" w:rsidRDefault="009943BE" w:rsidP="009943BE">
      <w:pPr>
        <w:spacing w:line="240" w:lineRule="auto"/>
        <w:ind w:left="1440" w:right="1440"/>
        <w:contextualSpacing/>
        <w:rPr>
          <w:color w:val="000000" w:themeColor="text1"/>
        </w:rPr>
      </w:pPr>
      <w:r w:rsidRPr="0014145C">
        <w:rPr>
          <w:color w:val="000000" w:themeColor="text1"/>
        </w:rPr>
        <w:t>* * *</w:t>
      </w:r>
    </w:p>
    <w:p w:rsidR="009943BE" w:rsidRPr="0014145C" w:rsidRDefault="009943BE" w:rsidP="00B31D9A">
      <w:pPr>
        <w:spacing w:line="240" w:lineRule="auto"/>
        <w:ind w:right="1440"/>
        <w:contextualSpacing/>
        <w:jc w:val="left"/>
        <w:rPr>
          <w:color w:val="000000" w:themeColor="text1"/>
        </w:rPr>
      </w:pPr>
      <w:r w:rsidRPr="0014145C">
        <w:rPr>
          <w:color w:val="000000" w:themeColor="text1"/>
        </w:rPr>
        <w:t xml:space="preserve">52 Pa.Code § 5.101(a).  </w:t>
      </w:r>
    </w:p>
    <w:p w:rsidR="009943BE" w:rsidRPr="0014145C" w:rsidRDefault="009943BE" w:rsidP="009943BE">
      <w:pPr>
        <w:ind w:left="1440" w:right="1440"/>
        <w:jc w:val="left"/>
        <w:rPr>
          <w:color w:val="000000" w:themeColor="text1"/>
        </w:rPr>
      </w:pPr>
    </w:p>
    <w:p w:rsidR="009943BE" w:rsidRPr="0014145C" w:rsidRDefault="009943BE" w:rsidP="009943BE">
      <w:pPr>
        <w:jc w:val="left"/>
        <w:rPr>
          <w:color w:val="000000" w:themeColor="text1"/>
        </w:rPr>
      </w:pPr>
      <w:r w:rsidRPr="0014145C">
        <w:rPr>
          <w:color w:val="000000" w:themeColor="text1"/>
        </w:rPr>
        <w:tab/>
      </w:r>
      <w:r w:rsidRPr="0014145C">
        <w:rPr>
          <w:color w:val="000000" w:themeColor="text1"/>
        </w:rPr>
        <w:tab/>
        <w:t xml:space="preserve"> In reviewing preliminary objections, only the facts in the Complaint can be presumed to be true in order to determine whether recovery is possible.  In order for Complainant to prevail ultimately, there must be a statute, regulation or order which the Commission is authorized to enforce.  The Complaint must set forth anything done or omitted to be done by </w:t>
      </w:r>
      <w:r w:rsidR="00E3743F" w:rsidRPr="0014145C">
        <w:rPr>
          <w:color w:val="000000" w:themeColor="text1"/>
        </w:rPr>
        <w:t xml:space="preserve">the utility company </w:t>
      </w:r>
      <w:r w:rsidRPr="0014145C">
        <w:rPr>
          <w:color w:val="000000" w:themeColor="text1"/>
        </w:rPr>
        <w:t xml:space="preserve">in violation of any law which the Commission has jurisdiction to administer.  66 Pa.C.S. § 701; 52 Pa.Code § 5.21(a).  </w:t>
      </w:r>
    </w:p>
    <w:p w:rsidR="002D56A9" w:rsidRPr="0014145C" w:rsidRDefault="002D56A9" w:rsidP="002D56A9">
      <w:pPr>
        <w:jc w:val="left"/>
        <w:rPr>
          <w:color w:val="7F7F7F" w:themeColor="text1" w:themeTint="80"/>
        </w:rPr>
      </w:pPr>
    </w:p>
    <w:p w:rsidR="008D1C71" w:rsidRPr="00965AF9" w:rsidRDefault="008D1C71" w:rsidP="009960C5">
      <w:pPr>
        <w:jc w:val="left"/>
        <w:rPr>
          <w:color w:val="000000" w:themeColor="text1"/>
        </w:rPr>
      </w:pPr>
      <w:r w:rsidRPr="0014145C">
        <w:rPr>
          <w:color w:val="7F7F7F" w:themeColor="text1" w:themeTint="80"/>
        </w:rPr>
        <w:tab/>
      </w:r>
      <w:r w:rsidRPr="0014145C">
        <w:rPr>
          <w:color w:val="7F7F7F" w:themeColor="text1" w:themeTint="80"/>
        </w:rPr>
        <w:tab/>
      </w:r>
      <w:r w:rsidRPr="00B75D6F">
        <w:rPr>
          <w:color w:val="000000" w:themeColor="text1"/>
        </w:rPr>
        <w:t xml:space="preserve">In </w:t>
      </w:r>
      <w:r w:rsidR="00B75D6F" w:rsidRPr="00B75D6F">
        <w:rPr>
          <w:color w:val="000000" w:themeColor="text1"/>
        </w:rPr>
        <w:t>its Answer and POs</w:t>
      </w:r>
      <w:r w:rsidRPr="00B75D6F">
        <w:rPr>
          <w:color w:val="000000" w:themeColor="text1"/>
        </w:rPr>
        <w:t xml:space="preserve">, Respondent raised the issue of the Commission’s lack of jurisdiction </w:t>
      </w:r>
      <w:r w:rsidR="00B75D6F" w:rsidRPr="00B75D6F">
        <w:rPr>
          <w:color w:val="000000" w:themeColor="text1"/>
        </w:rPr>
        <w:t xml:space="preserve">to interpret the negotiability of instruments under the </w:t>
      </w:r>
      <w:r w:rsidR="005216F6">
        <w:rPr>
          <w:color w:val="000000" w:themeColor="text1"/>
        </w:rPr>
        <w:t>UCC</w:t>
      </w:r>
      <w:r w:rsidR="00B75D6F">
        <w:rPr>
          <w:color w:val="000000" w:themeColor="text1"/>
        </w:rPr>
        <w:t xml:space="preserve"> and asserted that it was entitled to judgment as a matter of law.</w:t>
      </w:r>
    </w:p>
    <w:p w:rsidR="002D56A9" w:rsidRPr="00965AF9" w:rsidRDefault="002D56A9" w:rsidP="002D56A9">
      <w:pPr>
        <w:jc w:val="left"/>
        <w:rPr>
          <w:strike/>
          <w:color w:val="000000" w:themeColor="text1"/>
        </w:rPr>
      </w:pPr>
    </w:p>
    <w:p w:rsidR="007E44BD" w:rsidRDefault="002D56A9" w:rsidP="002D56A9">
      <w:pPr>
        <w:jc w:val="left"/>
        <w:rPr>
          <w:color w:val="000000" w:themeColor="text1"/>
        </w:rPr>
      </w:pPr>
      <w:r w:rsidRPr="00965AF9">
        <w:rPr>
          <w:color w:val="000000" w:themeColor="text1"/>
        </w:rPr>
        <w:tab/>
      </w:r>
      <w:r w:rsidRPr="00965AF9">
        <w:rPr>
          <w:color w:val="000000" w:themeColor="text1"/>
        </w:rPr>
        <w:tab/>
        <w:t>I will vie</w:t>
      </w:r>
      <w:r w:rsidR="00AB56D4" w:rsidRPr="00965AF9">
        <w:rPr>
          <w:color w:val="000000" w:themeColor="text1"/>
        </w:rPr>
        <w:t>w the factual averments in the C</w:t>
      </w:r>
      <w:r w:rsidRPr="00965AF9">
        <w:rPr>
          <w:color w:val="000000" w:themeColor="text1"/>
        </w:rPr>
        <w:t xml:space="preserve">omplaint in this case as true for purposes of disposing of the </w:t>
      </w:r>
      <w:r w:rsidR="005F1229">
        <w:rPr>
          <w:color w:val="000000" w:themeColor="text1"/>
        </w:rPr>
        <w:t>POs</w:t>
      </w:r>
      <w:r w:rsidR="00AB56D4" w:rsidRPr="00965AF9">
        <w:rPr>
          <w:color w:val="000000" w:themeColor="text1"/>
        </w:rPr>
        <w:t xml:space="preserve">. </w:t>
      </w:r>
      <w:r w:rsidR="00B63B78">
        <w:rPr>
          <w:color w:val="000000" w:themeColor="text1"/>
        </w:rPr>
        <w:t xml:space="preserve"> </w:t>
      </w:r>
      <w:r w:rsidRPr="00704DCD">
        <w:rPr>
          <w:color w:val="000000" w:themeColor="text1"/>
        </w:rPr>
        <w:t>The factual averment</w:t>
      </w:r>
      <w:r w:rsidR="00704DCD" w:rsidRPr="00704DCD">
        <w:rPr>
          <w:color w:val="000000" w:themeColor="text1"/>
        </w:rPr>
        <w:t>s are</w:t>
      </w:r>
      <w:r w:rsidRPr="00704DCD">
        <w:rPr>
          <w:color w:val="000000" w:themeColor="text1"/>
        </w:rPr>
        <w:t xml:space="preserve"> that</w:t>
      </w:r>
      <w:r w:rsidR="00E557B3">
        <w:rPr>
          <w:color w:val="000000" w:themeColor="text1"/>
        </w:rPr>
        <w:t>:</w:t>
      </w:r>
      <w:r w:rsidR="00B63B78">
        <w:rPr>
          <w:color w:val="000000" w:themeColor="text1"/>
        </w:rPr>
        <w:t xml:space="preserve"> </w:t>
      </w:r>
      <w:r w:rsidR="00704DCD" w:rsidRPr="00704DCD">
        <w:rPr>
          <w:color w:val="000000" w:themeColor="text1"/>
        </w:rPr>
        <w:t xml:space="preserve"> </w:t>
      </w:r>
      <w:r w:rsidR="00717C76">
        <w:rPr>
          <w:color w:val="000000" w:themeColor="text1"/>
        </w:rPr>
        <w:t>(</w:t>
      </w:r>
      <w:r w:rsidR="00704DCD" w:rsidRPr="00704DCD">
        <w:rPr>
          <w:color w:val="000000" w:themeColor="text1"/>
        </w:rPr>
        <w:t xml:space="preserve">1) </w:t>
      </w:r>
      <w:r w:rsidR="00717C76">
        <w:rPr>
          <w:color w:val="000000" w:themeColor="text1"/>
        </w:rPr>
        <w:t>Respondent is threatening to shut off or has already</w:t>
      </w:r>
      <w:r w:rsidR="003E31DD">
        <w:rPr>
          <w:color w:val="000000" w:themeColor="text1"/>
        </w:rPr>
        <w:t xml:space="preserve"> shut off Complainant’s service;</w:t>
      </w:r>
      <w:r w:rsidR="00717C76">
        <w:rPr>
          <w:color w:val="000000" w:themeColor="text1"/>
        </w:rPr>
        <w:t xml:space="preserve"> </w:t>
      </w:r>
      <w:r w:rsidR="00E557B3">
        <w:rPr>
          <w:color w:val="000000" w:themeColor="text1"/>
        </w:rPr>
        <w:t xml:space="preserve">and </w:t>
      </w:r>
      <w:r w:rsidR="00717C76">
        <w:rPr>
          <w:color w:val="000000" w:themeColor="text1"/>
        </w:rPr>
        <w:t xml:space="preserve">(2) </w:t>
      </w:r>
      <w:r w:rsidR="00AB56D4" w:rsidRPr="00704DCD">
        <w:rPr>
          <w:color w:val="000000" w:themeColor="text1"/>
        </w:rPr>
        <w:t>Respondent</w:t>
      </w:r>
      <w:r w:rsidR="00C91E82">
        <w:rPr>
          <w:color w:val="000000" w:themeColor="text1"/>
        </w:rPr>
        <w:t xml:space="preserve"> is providing unreasonable customer service</w:t>
      </w:r>
      <w:r w:rsidR="00FF2000">
        <w:rPr>
          <w:color w:val="000000" w:themeColor="text1"/>
        </w:rPr>
        <w:t xml:space="preserve"> by refusing to accept Complainant’s proffered promissory note as payment</w:t>
      </w:r>
      <w:r w:rsidR="003E31DD">
        <w:rPr>
          <w:color w:val="000000" w:themeColor="text1"/>
        </w:rPr>
        <w:t>.</w:t>
      </w:r>
      <w:r w:rsidR="00704DCD" w:rsidRPr="00717C76">
        <w:rPr>
          <w:color w:val="000000" w:themeColor="text1"/>
        </w:rPr>
        <w:t xml:space="preserve"> </w:t>
      </w:r>
      <w:r w:rsidR="00AB56D4" w:rsidRPr="00717C76">
        <w:rPr>
          <w:color w:val="000000" w:themeColor="text1"/>
        </w:rPr>
        <w:t xml:space="preserve"> </w:t>
      </w:r>
      <w:r w:rsidRPr="00704DCD">
        <w:rPr>
          <w:color w:val="000000" w:themeColor="text1"/>
        </w:rPr>
        <w:t>The Complaint requests that the Commission</w:t>
      </w:r>
      <w:r w:rsidR="00AB56D4" w:rsidRPr="00704DCD">
        <w:rPr>
          <w:color w:val="000000" w:themeColor="text1"/>
        </w:rPr>
        <w:t xml:space="preserve"> </w:t>
      </w:r>
      <w:r w:rsidR="00704DCD" w:rsidRPr="00704DCD">
        <w:rPr>
          <w:color w:val="000000" w:themeColor="text1"/>
        </w:rPr>
        <w:t xml:space="preserve">investigate Respondent’s alleged violation of the UCC, and </w:t>
      </w:r>
      <w:r w:rsidR="003E31DD">
        <w:rPr>
          <w:color w:val="000000" w:themeColor="text1"/>
        </w:rPr>
        <w:t>direct PECO to accept his promissory note as payment for his bill.</w:t>
      </w:r>
    </w:p>
    <w:p w:rsidR="003D0C76" w:rsidRDefault="003D0C76" w:rsidP="002D56A9">
      <w:pPr>
        <w:jc w:val="left"/>
        <w:rPr>
          <w:color w:val="000000" w:themeColor="text1"/>
        </w:rPr>
      </w:pPr>
    </w:p>
    <w:p w:rsidR="003D0C76" w:rsidRDefault="003D0C76" w:rsidP="002D56A9">
      <w:pPr>
        <w:jc w:val="left"/>
        <w:rPr>
          <w:color w:val="000000" w:themeColor="text1"/>
        </w:rPr>
      </w:pPr>
      <w:r>
        <w:rPr>
          <w:color w:val="000000" w:themeColor="text1"/>
        </w:rPr>
        <w:tab/>
      </w:r>
      <w:r>
        <w:rPr>
          <w:color w:val="000000" w:themeColor="text1"/>
        </w:rPr>
        <w:tab/>
        <w:t xml:space="preserve">PECO </w:t>
      </w:r>
      <w:r w:rsidR="00E557B3">
        <w:rPr>
          <w:color w:val="000000" w:themeColor="text1"/>
        </w:rPr>
        <w:t>points out</w:t>
      </w:r>
      <w:r>
        <w:rPr>
          <w:color w:val="000000" w:themeColor="text1"/>
        </w:rPr>
        <w:t xml:space="preserve"> in that many of the issues present in this Complaint have been addressed in </w:t>
      </w:r>
      <w:r w:rsidRPr="003D0C76">
        <w:rPr>
          <w:i/>
          <w:color w:val="000000" w:themeColor="text1"/>
        </w:rPr>
        <w:t>James Coppedge v. PECO Energy Company</w:t>
      </w:r>
      <w:r w:rsidRPr="003D0C76">
        <w:rPr>
          <w:color w:val="000000" w:themeColor="text1"/>
        </w:rPr>
        <w:t>, Docket No. F-2014-2406180</w:t>
      </w:r>
      <w:r w:rsidR="00AE134F">
        <w:rPr>
          <w:color w:val="000000" w:themeColor="text1"/>
        </w:rPr>
        <w:t>.</w:t>
      </w:r>
    </w:p>
    <w:p w:rsidR="009943BE" w:rsidRPr="00B63B78" w:rsidRDefault="009943BE" w:rsidP="009943BE">
      <w:pPr>
        <w:jc w:val="left"/>
      </w:pPr>
    </w:p>
    <w:p w:rsidR="00A01488" w:rsidRDefault="002809C9" w:rsidP="00B63B78">
      <w:pPr>
        <w:tabs>
          <w:tab w:val="left" w:pos="1440"/>
        </w:tabs>
        <w:spacing w:after="120"/>
        <w:ind w:firstLine="1440"/>
        <w:jc w:val="left"/>
      </w:pPr>
      <w:r w:rsidRPr="00794794">
        <w:rPr>
          <w:rFonts w:eastAsia="Times New Roman"/>
          <w:color w:val="000000" w:themeColor="text1"/>
        </w:rPr>
        <w:t>A</w:t>
      </w:r>
      <w:r w:rsidR="00135C30" w:rsidRPr="00794794">
        <w:rPr>
          <w:rFonts w:eastAsia="Times New Roman"/>
          <w:color w:val="000000" w:themeColor="text1"/>
        </w:rPr>
        <w:t xml:space="preserve">ll Commission-regulated public utilities, </w:t>
      </w:r>
      <w:r w:rsidRPr="00794794">
        <w:rPr>
          <w:rFonts w:eastAsia="Times New Roman"/>
          <w:color w:val="000000" w:themeColor="text1"/>
        </w:rPr>
        <w:t>including PECO, are</w:t>
      </w:r>
      <w:r w:rsidR="00135C30" w:rsidRPr="00794794">
        <w:rPr>
          <w:rFonts w:eastAsia="Times New Roman"/>
          <w:color w:val="000000" w:themeColor="text1"/>
        </w:rPr>
        <w:t xml:space="preserve"> statutorily required to provide reasonable customer service</w:t>
      </w:r>
      <w:r w:rsidR="00E557B3">
        <w:rPr>
          <w:rFonts w:eastAsia="Times New Roman"/>
          <w:color w:val="000000" w:themeColor="text1"/>
        </w:rPr>
        <w:t xml:space="preserve">.  </w:t>
      </w:r>
      <w:r w:rsidR="00135C30" w:rsidRPr="00794794">
        <w:rPr>
          <w:color w:val="000000" w:themeColor="text1"/>
        </w:rPr>
        <w:t>66 Pa.C.S. § 1501.</w:t>
      </w:r>
      <w:r w:rsidR="00E557B3">
        <w:rPr>
          <w:color w:val="000000" w:themeColor="text1"/>
        </w:rPr>
        <w:t xml:space="preserve">  </w:t>
      </w:r>
      <w:r w:rsidR="00A01488" w:rsidRPr="00A01488">
        <w:rPr>
          <w:color w:val="000000" w:themeColor="text1"/>
        </w:rPr>
        <w:t>The Commonwealth Court has cautioned that the Commission may not sustain a complaint pursuant to Section 1501 unless it finds that a utility has violated a duty to render reasonable and reliable service.</w:t>
      </w:r>
      <w:r w:rsidR="00A01488">
        <w:rPr>
          <w:color w:val="000000" w:themeColor="text1"/>
        </w:rPr>
        <w:t xml:space="preserve">  </w:t>
      </w:r>
      <w:r w:rsidR="00A01488" w:rsidRPr="00931E61">
        <w:rPr>
          <w:i/>
        </w:rPr>
        <w:t>West Penn Power Co. v. Pa. Pub</w:t>
      </w:r>
      <w:r w:rsidR="00A01488">
        <w:rPr>
          <w:i/>
        </w:rPr>
        <w:t>.</w:t>
      </w:r>
      <w:r w:rsidR="00A01488" w:rsidRPr="00931E61">
        <w:rPr>
          <w:i/>
        </w:rPr>
        <w:t xml:space="preserve"> Util. Comm’n</w:t>
      </w:r>
      <w:r w:rsidR="00A01488" w:rsidRPr="00A64B1F">
        <w:t>, 478 A.2d 947, 949 (Pa.Cmwlth. 1984).</w:t>
      </w:r>
      <w:r w:rsidR="00A01488">
        <w:t xml:space="preserve">  </w:t>
      </w:r>
      <w:r w:rsidR="00A01488" w:rsidRPr="0062657B">
        <w:t>The test to determine the adequacy of</w:t>
      </w:r>
      <w:r w:rsidR="00E557B3">
        <w:t xml:space="preserve"> both</w:t>
      </w:r>
      <w:r w:rsidR="00A01488" w:rsidRPr="0062657B">
        <w:t xml:space="preserve"> a utility’s service and facilities </w:t>
      </w:r>
      <w:r w:rsidR="00E557B3">
        <w:t xml:space="preserve">and the adequacy of a utility's response to customer service complaints </w:t>
      </w:r>
      <w:r w:rsidR="00A01488" w:rsidRPr="0062657B">
        <w:t>is that of reasonableness.</w:t>
      </w:r>
      <w:r w:rsidR="00A01488">
        <w:t xml:space="preserve">  </w:t>
      </w:r>
      <w:r w:rsidR="00A01488" w:rsidRPr="00A64B1F">
        <w:rPr>
          <w:i/>
        </w:rPr>
        <w:t>Scherich v. Verizon Pennsylvania Inc.</w:t>
      </w:r>
      <w:r w:rsidR="00A01488" w:rsidRPr="00A64B1F">
        <w:t>, PUC Docket Nos. C-2008-2061244, C-2008</w:t>
      </w:r>
      <w:r w:rsidR="00A01488">
        <w:t>-</w:t>
      </w:r>
      <w:r w:rsidR="00A01488" w:rsidRPr="00A64B1F">
        <w:t xml:space="preserve">2068818 (Final Order </w:t>
      </w:r>
      <w:r w:rsidR="00B63B78">
        <w:t>January </w:t>
      </w:r>
      <w:r w:rsidR="00A01488" w:rsidRPr="00A64B1F">
        <w:t>28, 2010).</w:t>
      </w:r>
      <w:r w:rsidR="00A01488">
        <w:t xml:space="preserve">  </w:t>
      </w:r>
    </w:p>
    <w:p w:rsidR="00E557B3" w:rsidRDefault="00E557B3" w:rsidP="00E557B3">
      <w:pPr>
        <w:tabs>
          <w:tab w:val="left" w:pos="1440"/>
        </w:tabs>
        <w:spacing w:after="120"/>
        <w:ind w:firstLine="1440"/>
        <w:contextualSpacing/>
        <w:jc w:val="left"/>
      </w:pPr>
    </w:p>
    <w:p w:rsidR="009B2458" w:rsidRPr="00794794" w:rsidRDefault="00A01488" w:rsidP="00C57E9A">
      <w:pPr>
        <w:contextualSpacing/>
        <w:jc w:val="left"/>
        <w:rPr>
          <w:color w:val="000000" w:themeColor="text1"/>
        </w:rPr>
      </w:pPr>
      <w:r>
        <w:tab/>
      </w:r>
      <w:r>
        <w:tab/>
        <w:t xml:space="preserve">The Commission’s regulations do not specifically address the forms of payment which a utility is required to accept from a customer as payment for services rendered.  However, the regulations relating to termination note that a customer may avoid termination if “payment in full is tendered in </w:t>
      </w:r>
      <w:r w:rsidRPr="00172D55">
        <w:rPr>
          <w:i/>
        </w:rPr>
        <w:t>any reasonable manner</w:t>
      </w:r>
      <w:r>
        <w:t>…”  The regulation also notes that payment “in any reasonable manner includes payment by personal check . . .”  52 Pa.Code § 56.94 (emphasis added).  PECO’s tariff also does not appear to directly define its view of payment in “any reasonable manner” except to note that customers who are deemed to not be “creditworthy” are required to make payment “by means of a certified, cashier’s, teller’s or bank check, or by wire transfer, or in cash or other immediately available funds.”  PECO Tariff Rule 17.3.</w:t>
      </w:r>
    </w:p>
    <w:p w:rsidR="009B2458" w:rsidRPr="00794794" w:rsidRDefault="009B2458" w:rsidP="00C57E9A">
      <w:pPr>
        <w:jc w:val="left"/>
        <w:rPr>
          <w:color w:val="000000" w:themeColor="text1"/>
        </w:rPr>
      </w:pPr>
    </w:p>
    <w:p w:rsidR="009B2458" w:rsidRPr="00794794" w:rsidRDefault="00FF2000" w:rsidP="009B2458">
      <w:pPr>
        <w:jc w:val="left"/>
        <w:rPr>
          <w:color w:val="000000" w:themeColor="text1"/>
        </w:rPr>
      </w:pPr>
      <w:r w:rsidRPr="00794794">
        <w:rPr>
          <w:color w:val="000000" w:themeColor="text1"/>
        </w:rPr>
        <w:tab/>
      </w:r>
      <w:r w:rsidRPr="00794794">
        <w:rPr>
          <w:color w:val="000000" w:themeColor="text1"/>
        </w:rPr>
        <w:tab/>
      </w:r>
      <w:r w:rsidR="009B2458" w:rsidRPr="00794794">
        <w:rPr>
          <w:color w:val="000000" w:themeColor="text1"/>
        </w:rPr>
        <w:t xml:space="preserve">The Complainant contends that PECO should accept </w:t>
      </w:r>
      <w:r w:rsidR="00490EE8" w:rsidRPr="00794794">
        <w:rPr>
          <w:color w:val="000000" w:themeColor="text1"/>
        </w:rPr>
        <w:t xml:space="preserve">his proffered promissory note </w:t>
      </w:r>
      <w:r w:rsidR="009B2458" w:rsidRPr="00794794">
        <w:rPr>
          <w:color w:val="000000" w:themeColor="text1"/>
        </w:rPr>
        <w:t xml:space="preserve">as payment for electricity service.  He claims that this mode of payment is an acceptable “negotiable instrument” as defined by the </w:t>
      </w:r>
      <w:r w:rsidR="00427215" w:rsidRPr="00794794">
        <w:rPr>
          <w:color w:val="000000" w:themeColor="text1"/>
        </w:rPr>
        <w:t>UCC</w:t>
      </w:r>
      <w:r w:rsidR="009B2458" w:rsidRPr="00794794">
        <w:rPr>
          <w:color w:val="000000" w:themeColor="text1"/>
        </w:rPr>
        <w:t>.  In his view, PECO is unlawfully demanding a specific form of payment.</w:t>
      </w:r>
    </w:p>
    <w:p w:rsidR="009B2458" w:rsidRPr="00794794" w:rsidRDefault="00FF2000" w:rsidP="009B2458">
      <w:pPr>
        <w:jc w:val="left"/>
        <w:rPr>
          <w:color w:val="000000" w:themeColor="text1"/>
        </w:rPr>
      </w:pPr>
      <w:r w:rsidRPr="00794794">
        <w:rPr>
          <w:color w:val="000000" w:themeColor="text1"/>
        </w:rPr>
        <w:tab/>
      </w:r>
      <w:r w:rsidRPr="00794794">
        <w:rPr>
          <w:color w:val="000000" w:themeColor="text1"/>
        </w:rPr>
        <w:tab/>
      </w:r>
      <w:r w:rsidR="009B2458" w:rsidRPr="00794794">
        <w:rPr>
          <w:color w:val="000000" w:themeColor="text1"/>
        </w:rPr>
        <w:t xml:space="preserve">The Commission must act within and cannot exceed its jurisdiction.  </w:t>
      </w:r>
      <w:r w:rsidR="009B2458" w:rsidRPr="00794794">
        <w:rPr>
          <w:i/>
          <w:color w:val="000000" w:themeColor="text1"/>
        </w:rPr>
        <w:t>Behrend v. Bell Telephone Co.,</w:t>
      </w:r>
      <w:r w:rsidR="009B2458" w:rsidRPr="00794794">
        <w:rPr>
          <w:color w:val="000000" w:themeColor="text1"/>
        </w:rPr>
        <w:t xml:space="preserve"> 363 A.2d 1152 (Pa. Super 1976).  Jurisdiction may not be conferred by the parties where none exists.  </w:t>
      </w:r>
      <w:r w:rsidR="009B2458" w:rsidRPr="00794794">
        <w:rPr>
          <w:i/>
          <w:color w:val="000000" w:themeColor="text1"/>
        </w:rPr>
        <w:t>Roberts v. Martorano</w:t>
      </w:r>
      <w:r w:rsidR="009B2458" w:rsidRPr="00794794">
        <w:rPr>
          <w:color w:val="000000" w:themeColor="text1"/>
        </w:rPr>
        <w:t xml:space="preserve">, 427 Pa. 581, 235 A.2d 602 (1967).  </w:t>
      </w:r>
    </w:p>
    <w:p w:rsidR="009B2458" w:rsidRPr="00794794" w:rsidRDefault="009B2458" w:rsidP="009B2458">
      <w:pPr>
        <w:jc w:val="left"/>
        <w:rPr>
          <w:color w:val="000000" w:themeColor="text1"/>
        </w:rPr>
      </w:pPr>
    </w:p>
    <w:p w:rsidR="00507305" w:rsidRDefault="009B2458" w:rsidP="009B2458">
      <w:pPr>
        <w:jc w:val="left"/>
        <w:rPr>
          <w:color w:val="000000" w:themeColor="text1"/>
        </w:rPr>
      </w:pPr>
      <w:r w:rsidRPr="00794794">
        <w:rPr>
          <w:color w:val="000000" w:themeColor="text1"/>
        </w:rPr>
        <w:tab/>
      </w:r>
      <w:r w:rsidR="00FF2000" w:rsidRPr="00794794">
        <w:rPr>
          <w:color w:val="000000" w:themeColor="text1"/>
        </w:rPr>
        <w:tab/>
      </w:r>
      <w:r w:rsidRPr="00794794">
        <w:rPr>
          <w:color w:val="000000" w:themeColor="text1"/>
        </w:rPr>
        <w:t xml:space="preserve">The Commission has held that </w:t>
      </w:r>
      <w:r w:rsidR="006A686A">
        <w:rPr>
          <w:color w:val="000000" w:themeColor="text1"/>
        </w:rPr>
        <w:t>it</w:t>
      </w:r>
      <w:r w:rsidRPr="00794794">
        <w:rPr>
          <w:color w:val="000000" w:themeColor="text1"/>
        </w:rPr>
        <w:t xml:space="preserve"> does not have jurisdiction to interpret the Uniform Commercial Code to determine the negotiability of instruments. </w:t>
      </w:r>
      <w:r w:rsidR="00FF2000" w:rsidRPr="00794794">
        <w:rPr>
          <w:color w:val="000000" w:themeColor="text1"/>
        </w:rPr>
        <w:t xml:space="preserve"> </w:t>
      </w:r>
      <w:r w:rsidRPr="00794794">
        <w:rPr>
          <w:i/>
          <w:color w:val="000000" w:themeColor="text1"/>
        </w:rPr>
        <w:t xml:space="preserve">Alkhatib v. PECO Energy Company, </w:t>
      </w:r>
      <w:r w:rsidRPr="00794794">
        <w:rPr>
          <w:color w:val="000000" w:themeColor="text1"/>
        </w:rPr>
        <w:t xml:space="preserve">PUC Docket No.  C-2011-2242125 (Opinion and Order entered January 12, 2012); </w:t>
      </w:r>
      <w:r w:rsidRPr="00794794">
        <w:rPr>
          <w:i/>
          <w:color w:val="000000" w:themeColor="text1"/>
        </w:rPr>
        <w:t>Coppedge v. PECO Energy Company,</w:t>
      </w:r>
      <w:r w:rsidRPr="00794794">
        <w:rPr>
          <w:color w:val="000000" w:themeColor="text1"/>
        </w:rPr>
        <w:t xml:space="preserve"> PUC Docket No. F-2009-2135893 (Opinion and Order entered August 3, 2010). </w:t>
      </w:r>
      <w:r w:rsidR="00507305">
        <w:rPr>
          <w:color w:val="000000" w:themeColor="text1"/>
        </w:rPr>
        <w:t xml:space="preserve"> </w:t>
      </w:r>
    </w:p>
    <w:p w:rsidR="00C2161C" w:rsidRPr="00794794" w:rsidRDefault="00C2161C" w:rsidP="009B2458">
      <w:pPr>
        <w:jc w:val="left"/>
        <w:rPr>
          <w:color w:val="000000" w:themeColor="text1"/>
        </w:rPr>
      </w:pPr>
    </w:p>
    <w:p w:rsidR="001C2101" w:rsidRDefault="00C2161C" w:rsidP="008E785D">
      <w:pPr>
        <w:jc w:val="left"/>
        <w:rPr>
          <w:color w:val="000000" w:themeColor="text1"/>
        </w:rPr>
      </w:pPr>
      <w:r w:rsidRPr="00794794">
        <w:rPr>
          <w:color w:val="000000" w:themeColor="text1"/>
        </w:rPr>
        <w:tab/>
      </w:r>
      <w:r w:rsidRPr="00794794">
        <w:rPr>
          <w:color w:val="000000" w:themeColor="text1"/>
        </w:rPr>
        <w:tab/>
      </w:r>
      <w:r w:rsidR="0077637D">
        <w:rPr>
          <w:color w:val="000000" w:themeColor="text1"/>
        </w:rPr>
        <w:t xml:space="preserve">Furthermore, </w:t>
      </w:r>
      <w:r w:rsidR="00E3205A">
        <w:rPr>
          <w:color w:val="000000" w:themeColor="text1"/>
        </w:rPr>
        <w:t xml:space="preserve">the </w:t>
      </w:r>
      <w:r w:rsidR="003839CF">
        <w:rPr>
          <w:color w:val="000000" w:themeColor="text1"/>
        </w:rPr>
        <w:t>Commission has held that PECO’s policy regarding acceptable methods of payment is not unreasonable:</w:t>
      </w:r>
    </w:p>
    <w:p w:rsidR="001C2101" w:rsidRDefault="001C2101" w:rsidP="008E785D">
      <w:pPr>
        <w:jc w:val="left"/>
        <w:rPr>
          <w:color w:val="000000" w:themeColor="text1"/>
        </w:rPr>
      </w:pPr>
    </w:p>
    <w:p w:rsidR="00213336" w:rsidRDefault="001C2101" w:rsidP="006A686A">
      <w:pPr>
        <w:spacing w:line="240" w:lineRule="auto"/>
        <w:ind w:left="1440" w:right="1440"/>
        <w:jc w:val="left"/>
        <w:rPr>
          <w:color w:val="000000" w:themeColor="text1"/>
        </w:rPr>
      </w:pPr>
      <w:r>
        <w:rPr>
          <w:color w:val="000000" w:themeColor="text1"/>
        </w:rPr>
        <w:t xml:space="preserve">PECO has in the past advised Mr. Coppedge that it will </w:t>
      </w:r>
      <w:r w:rsidR="009D7C96">
        <w:rPr>
          <w:color w:val="000000" w:themeColor="text1"/>
        </w:rPr>
        <w:t>not accept</w:t>
      </w:r>
      <w:r>
        <w:rPr>
          <w:color w:val="000000" w:themeColor="text1"/>
        </w:rPr>
        <w:t xml:space="preserve"> his proposed methods of payment and that it will only accept cash, certified checks, commercial money orders, validated checks, credit cards, and debit cards.  Tr. At 29, 40-41.  </w:t>
      </w:r>
      <w:r w:rsidRPr="004A2610">
        <w:rPr>
          <w:i/>
          <w:color w:val="000000" w:themeColor="text1"/>
        </w:rPr>
        <w:t>We do not find that PECO’s limitation to the foregoing means to satisfy his debts for the Company’s provision of utility service is unreasonable.</w:t>
      </w:r>
      <w:r w:rsidRPr="002120B2">
        <w:rPr>
          <w:b/>
          <w:color w:val="FF0000"/>
        </w:rPr>
        <w:t xml:space="preserve">  </w:t>
      </w:r>
      <w:r w:rsidR="00241245">
        <w:rPr>
          <w:color w:val="000000" w:themeColor="text1"/>
        </w:rPr>
        <w:t>Mr. </w:t>
      </w:r>
      <w:r w:rsidRPr="001C2101">
        <w:rPr>
          <w:color w:val="000000" w:themeColor="text1"/>
        </w:rPr>
        <w:t>Coppedge’s Complaint, therefore, must be dismissed.</w:t>
      </w:r>
      <w:r w:rsidR="00213336" w:rsidRPr="001C2101">
        <w:rPr>
          <w:color w:val="000000" w:themeColor="text1"/>
        </w:rPr>
        <w:tab/>
      </w:r>
    </w:p>
    <w:p w:rsidR="00241245" w:rsidRDefault="00241245" w:rsidP="006A686A">
      <w:pPr>
        <w:spacing w:line="240" w:lineRule="auto"/>
        <w:ind w:left="1440" w:right="1440"/>
        <w:jc w:val="left"/>
        <w:rPr>
          <w:color w:val="000000" w:themeColor="text1"/>
        </w:rPr>
      </w:pPr>
    </w:p>
    <w:p w:rsidR="001C2101" w:rsidRPr="008E785D" w:rsidRDefault="001C2101" w:rsidP="008E785D">
      <w:pPr>
        <w:jc w:val="left"/>
        <w:rPr>
          <w:color w:val="FF0000"/>
        </w:rPr>
      </w:pPr>
      <w:r w:rsidRPr="003D7707">
        <w:rPr>
          <w:i/>
          <w:color w:val="000000" w:themeColor="text1"/>
        </w:rPr>
        <w:t>James Coppedge v. PECO Energy Company</w:t>
      </w:r>
      <w:r>
        <w:rPr>
          <w:color w:val="000000" w:themeColor="text1"/>
        </w:rPr>
        <w:t>, Docket No. F-2014-2405180 (</w:t>
      </w:r>
      <w:r w:rsidR="003D7707">
        <w:rPr>
          <w:color w:val="000000" w:themeColor="text1"/>
        </w:rPr>
        <w:t xml:space="preserve">Page 12, </w:t>
      </w:r>
      <w:r>
        <w:rPr>
          <w:color w:val="000000" w:themeColor="text1"/>
        </w:rPr>
        <w:t>Opinion and Order</w:t>
      </w:r>
      <w:r w:rsidR="00EF07BE">
        <w:rPr>
          <w:color w:val="000000" w:themeColor="text1"/>
        </w:rPr>
        <w:t>, entered January 29, 2015</w:t>
      </w:r>
      <w:r>
        <w:rPr>
          <w:color w:val="000000" w:themeColor="text1"/>
        </w:rPr>
        <w:t xml:space="preserve">) </w:t>
      </w:r>
      <w:r w:rsidR="002120B2">
        <w:rPr>
          <w:color w:val="000000" w:themeColor="text1"/>
        </w:rPr>
        <w:t>(Emphasis added)</w:t>
      </w:r>
      <w:r w:rsidR="00224C6E">
        <w:rPr>
          <w:color w:val="000000" w:themeColor="text1"/>
        </w:rPr>
        <w:t>.</w:t>
      </w:r>
    </w:p>
    <w:p w:rsidR="0040308F" w:rsidRDefault="0040308F" w:rsidP="00232397">
      <w:pPr>
        <w:jc w:val="left"/>
        <w:rPr>
          <w:color w:val="7F7F7F" w:themeColor="text1" w:themeTint="80"/>
        </w:rPr>
      </w:pPr>
    </w:p>
    <w:p w:rsidR="001C2101" w:rsidRPr="003D7707" w:rsidRDefault="001C2101" w:rsidP="00232397">
      <w:pPr>
        <w:jc w:val="left"/>
        <w:rPr>
          <w:color w:val="000000" w:themeColor="text1"/>
        </w:rPr>
      </w:pPr>
      <w:r>
        <w:rPr>
          <w:color w:val="7F7F7F" w:themeColor="text1" w:themeTint="80"/>
        </w:rPr>
        <w:tab/>
      </w:r>
      <w:r>
        <w:rPr>
          <w:color w:val="7F7F7F" w:themeColor="text1" w:themeTint="80"/>
        </w:rPr>
        <w:tab/>
      </w:r>
      <w:r w:rsidR="003839CF">
        <w:rPr>
          <w:color w:val="000000" w:themeColor="text1"/>
        </w:rPr>
        <w:t xml:space="preserve">Therefore, </w:t>
      </w:r>
      <w:r w:rsidRPr="003D7707">
        <w:rPr>
          <w:color w:val="000000" w:themeColor="text1"/>
        </w:rPr>
        <w:t>PECO</w:t>
      </w:r>
      <w:r w:rsidR="004F709C">
        <w:rPr>
          <w:color w:val="000000" w:themeColor="text1"/>
        </w:rPr>
        <w:t xml:space="preserve">'s action in </w:t>
      </w:r>
      <w:r w:rsidR="003D7707" w:rsidRPr="003D7707">
        <w:rPr>
          <w:color w:val="000000" w:themeColor="text1"/>
        </w:rPr>
        <w:t>refusing to accept Complainant’s promisso</w:t>
      </w:r>
      <w:r w:rsidR="00293EB9">
        <w:rPr>
          <w:color w:val="000000" w:themeColor="text1"/>
        </w:rPr>
        <w:t>ry note as payment for his bill</w:t>
      </w:r>
      <w:r w:rsidR="004F709C">
        <w:rPr>
          <w:color w:val="000000" w:themeColor="text1"/>
        </w:rPr>
        <w:t xml:space="preserve"> does not violate a statute, regulation, or order of the Commission necessary for the adjudication of this matter</w:t>
      </w:r>
      <w:r w:rsidR="00293EB9">
        <w:rPr>
          <w:color w:val="000000" w:themeColor="text1"/>
        </w:rPr>
        <w:t>.</w:t>
      </w:r>
    </w:p>
    <w:p w:rsidR="001C2101" w:rsidRPr="0014145C" w:rsidRDefault="001C2101" w:rsidP="00232397">
      <w:pPr>
        <w:jc w:val="left"/>
        <w:rPr>
          <w:color w:val="7F7F7F" w:themeColor="text1" w:themeTint="80"/>
        </w:rPr>
      </w:pPr>
    </w:p>
    <w:p w:rsidR="0065415A" w:rsidRDefault="00292CA5" w:rsidP="00EC2126">
      <w:pPr>
        <w:ind w:firstLine="1440"/>
        <w:jc w:val="left"/>
      </w:pPr>
      <w:r>
        <w:t xml:space="preserve">Since the Commission lacks jurisdiction to </w:t>
      </w:r>
      <w:r w:rsidR="006A686A">
        <w:t>g</w:t>
      </w:r>
      <w:r w:rsidR="004F709C">
        <w:t xml:space="preserve">rant the remedy sought, and </w:t>
      </w:r>
      <w:r>
        <w:t xml:space="preserve">because there is no issue of material fact, </w:t>
      </w:r>
      <w:r w:rsidR="00EC2126">
        <w:t xml:space="preserve">Respondent's </w:t>
      </w:r>
      <w:r w:rsidR="00A50950">
        <w:t>POs are</w:t>
      </w:r>
      <w:r w:rsidR="00EC2126">
        <w:t xml:space="preserve"> granted</w:t>
      </w:r>
      <w:r w:rsidR="004F709C">
        <w:t>.</w:t>
      </w:r>
    </w:p>
    <w:p w:rsidR="004F709C" w:rsidRDefault="004F709C" w:rsidP="00EC2126">
      <w:pPr>
        <w:ind w:firstLine="1440"/>
        <w:jc w:val="left"/>
      </w:pPr>
    </w:p>
    <w:p w:rsidR="004F709C" w:rsidRPr="005C23BB" w:rsidRDefault="004F709C" w:rsidP="00EC2126">
      <w:pPr>
        <w:ind w:firstLine="1440"/>
        <w:jc w:val="left"/>
      </w:pPr>
      <w:r w:rsidRPr="005C23BB">
        <w:t xml:space="preserve">Section 703 of the Public Utility Code, </w:t>
      </w:r>
      <w:hyperlink r:id="rId9" w:history="1">
        <w:r w:rsidRPr="005C23BB">
          <w:rPr>
            <w:rStyle w:val="Hyperlink"/>
            <w:color w:val="auto"/>
          </w:rPr>
          <w:t>66 Pa. C.S. § 703(b)</w:t>
        </w:r>
      </w:hyperlink>
      <w:r w:rsidRPr="005C23BB">
        <w:t xml:space="preserve">, provides that the Commission may dismiss any complaint without a hearing if, in its opinion, a hearing is not necessary in the public interest. </w:t>
      </w:r>
      <w:r w:rsidRPr="005C23BB">
        <w:rPr>
          <w:i/>
          <w:iCs/>
        </w:rPr>
        <w:t>See also</w:t>
      </w:r>
      <w:r w:rsidRPr="005C23BB">
        <w:t xml:space="preserve">, </w:t>
      </w:r>
      <w:hyperlink r:id="rId10" w:history="1">
        <w:r w:rsidRPr="005C23BB">
          <w:rPr>
            <w:rStyle w:val="Hyperlink"/>
            <w:color w:val="auto"/>
          </w:rPr>
          <w:t>52 Pa. Code § 5.21(d)</w:t>
        </w:r>
      </w:hyperlink>
      <w:r w:rsidRPr="005C23BB">
        <w:t>. The public interest does not require a hearing in this case. The Commission does not have the requisite subject matter jurisdiction to determine the negotiability of Complainant's alleged tender of payments. A hearing in this case would be a fruitless exercise and therefore is not necessary or in the public interest.</w:t>
      </w:r>
    </w:p>
    <w:p w:rsidR="00802AF2" w:rsidRPr="005C23BB" w:rsidRDefault="00802AF2" w:rsidP="00EC2126">
      <w:pPr>
        <w:ind w:firstLine="1440"/>
        <w:jc w:val="left"/>
      </w:pPr>
    </w:p>
    <w:p w:rsidR="00802AF2" w:rsidRPr="00273679" w:rsidRDefault="00802AF2" w:rsidP="00802AF2">
      <w:pPr>
        <w:rPr>
          <w:color w:val="000000" w:themeColor="text1"/>
          <w:u w:val="single"/>
        </w:rPr>
      </w:pPr>
      <w:r w:rsidRPr="00273679">
        <w:rPr>
          <w:color w:val="000000" w:themeColor="text1"/>
          <w:u w:val="single"/>
        </w:rPr>
        <w:t>CONCLUSIONS OF LAW</w:t>
      </w:r>
    </w:p>
    <w:p w:rsidR="00802AF2" w:rsidRPr="00273679" w:rsidRDefault="00802AF2" w:rsidP="00802AF2">
      <w:pPr>
        <w:jc w:val="left"/>
        <w:rPr>
          <w:color w:val="000000" w:themeColor="text1"/>
        </w:rPr>
      </w:pPr>
    </w:p>
    <w:p w:rsidR="00802AF2" w:rsidRPr="00273679" w:rsidRDefault="00802AF2" w:rsidP="00802AF2">
      <w:pPr>
        <w:jc w:val="left"/>
        <w:rPr>
          <w:color w:val="000000" w:themeColor="text1"/>
        </w:rPr>
      </w:pPr>
      <w:r w:rsidRPr="00273679">
        <w:rPr>
          <w:color w:val="000000" w:themeColor="text1"/>
        </w:rPr>
        <w:tab/>
      </w:r>
      <w:r w:rsidRPr="00273679">
        <w:rPr>
          <w:color w:val="000000" w:themeColor="text1"/>
        </w:rPr>
        <w:tab/>
        <w:t xml:space="preserve"> 1.</w:t>
      </w:r>
      <w:r w:rsidRPr="00273679">
        <w:rPr>
          <w:color w:val="000000" w:themeColor="text1"/>
        </w:rPr>
        <w:tab/>
        <w:t xml:space="preserve">The Complaint must set forth anything done or omitted to be done by the utility company in violation of any law which the Commission has jurisdiction to administer.  66 Pa.C.S. § 701; 52 Pa.Code § 5.21(a).  </w:t>
      </w:r>
    </w:p>
    <w:p w:rsidR="00802AF2" w:rsidRPr="00273679" w:rsidRDefault="00802AF2" w:rsidP="00802AF2">
      <w:pPr>
        <w:jc w:val="left"/>
        <w:rPr>
          <w:color w:val="000000" w:themeColor="text1"/>
        </w:rPr>
      </w:pPr>
      <w:r w:rsidRPr="00273679">
        <w:rPr>
          <w:color w:val="000000" w:themeColor="text1"/>
        </w:rPr>
        <w:tab/>
      </w:r>
      <w:r w:rsidRPr="00273679">
        <w:rPr>
          <w:color w:val="000000" w:themeColor="text1"/>
        </w:rPr>
        <w:tab/>
      </w:r>
    </w:p>
    <w:p w:rsidR="00D02693" w:rsidRPr="00EF07BE" w:rsidRDefault="00802AF2" w:rsidP="00D02693">
      <w:pPr>
        <w:jc w:val="left"/>
        <w:rPr>
          <w:b/>
          <w:color w:val="000000" w:themeColor="text1"/>
        </w:rPr>
      </w:pPr>
      <w:r w:rsidRPr="00273679">
        <w:rPr>
          <w:color w:val="000000" w:themeColor="text1"/>
        </w:rPr>
        <w:tab/>
      </w:r>
      <w:r w:rsidRPr="00273679">
        <w:rPr>
          <w:color w:val="000000" w:themeColor="text1"/>
        </w:rPr>
        <w:tab/>
        <w:t>2.</w:t>
      </w:r>
      <w:r w:rsidRPr="00273679">
        <w:rPr>
          <w:color w:val="000000" w:themeColor="text1"/>
        </w:rPr>
        <w:tab/>
      </w:r>
      <w:r w:rsidR="00CF41EA" w:rsidRPr="00EA6D2E">
        <w:rPr>
          <w:color w:val="000000" w:themeColor="text1"/>
        </w:rPr>
        <w:t xml:space="preserve"> </w:t>
      </w:r>
      <w:r w:rsidR="00D02693" w:rsidRPr="00794794">
        <w:rPr>
          <w:rFonts w:eastAsia="Times New Roman"/>
          <w:color w:val="000000" w:themeColor="text1"/>
        </w:rPr>
        <w:t>All Commiss</w:t>
      </w:r>
      <w:r w:rsidR="00D02693">
        <w:rPr>
          <w:rFonts w:eastAsia="Times New Roman"/>
          <w:color w:val="000000" w:themeColor="text1"/>
        </w:rPr>
        <w:t xml:space="preserve">ion-regulated public utilities </w:t>
      </w:r>
      <w:r w:rsidR="00D02693" w:rsidRPr="00794794">
        <w:rPr>
          <w:rFonts w:eastAsia="Times New Roman"/>
          <w:color w:val="000000" w:themeColor="text1"/>
        </w:rPr>
        <w:t>are statutorily required to provide reasonable customer service</w:t>
      </w:r>
      <w:r w:rsidR="00D02693">
        <w:rPr>
          <w:rFonts w:eastAsia="Times New Roman"/>
          <w:color w:val="000000" w:themeColor="text1"/>
        </w:rPr>
        <w:t xml:space="preserve">.  </w:t>
      </w:r>
      <w:r w:rsidR="00D02693" w:rsidRPr="00794794">
        <w:rPr>
          <w:color w:val="000000" w:themeColor="text1"/>
        </w:rPr>
        <w:t>66 Pa.C.S. § 1501.</w:t>
      </w:r>
    </w:p>
    <w:p w:rsidR="00802AF2" w:rsidRPr="00273679" w:rsidRDefault="00802AF2" w:rsidP="00802AF2">
      <w:pPr>
        <w:contextualSpacing/>
        <w:jc w:val="left"/>
        <w:rPr>
          <w:color w:val="000000" w:themeColor="text1"/>
        </w:rPr>
      </w:pPr>
    </w:p>
    <w:p w:rsidR="00802AF2" w:rsidRPr="00273679" w:rsidRDefault="00802AF2" w:rsidP="00802AF2">
      <w:pPr>
        <w:jc w:val="left"/>
        <w:rPr>
          <w:color w:val="000000" w:themeColor="text1"/>
        </w:rPr>
      </w:pPr>
      <w:r w:rsidRPr="00273679">
        <w:rPr>
          <w:color w:val="000000" w:themeColor="text1"/>
        </w:rPr>
        <w:tab/>
      </w:r>
      <w:r w:rsidRPr="00273679">
        <w:rPr>
          <w:color w:val="000000" w:themeColor="text1"/>
        </w:rPr>
        <w:tab/>
      </w:r>
      <w:r w:rsidR="00D02693">
        <w:rPr>
          <w:color w:val="000000" w:themeColor="text1"/>
        </w:rPr>
        <w:t>3</w:t>
      </w:r>
      <w:r w:rsidRPr="00273679">
        <w:rPr>
          <w:color w:val="000000" w:themeColor="text1"/>
        </w:rPr>
        <w:t>.</w:t>
      </w:r>
      <w:r w:rsidRPr="00273679">
        <w:rPr>
          <w:color w:val="000000" w:themeColor="text1"/>
        </w:rPr>
        <w:tab/>
        <w:t xml:space="preserve">The test to determine the adequacy of a utility’s service and facilities is that of reasonableness.  </w:t>
      </w:r>
      <w:r w:rsidRPr="00273679">
        <w:rPr>
          <w:i/>
          <w:color w:val="000000" w:themeColor="text1"/>
        </w:rPr>
        <w:t>Scherich v. Verizon Pennsylvania Inc.</w:t>
      </w:r>
      <w:r w:rsidRPr="00273679">
        <w:rPr>
          <w:color w:val="000000" w:themeColor="text1"/>
        </w:rPr>
        <w:t xml:space="preserve">, PUC Docket Nos. C-2008-2061244, C-2008-2068818 (Final Order January 28, 2010).  </w:t>
      </w:r>
    </w:p>
    <w:p w:rsidR="00802AF2" w:rsidRPr="00273679" w:rsidRDefault="00802AF2" w:rsidP="00802AF2">
      <w:pPr>
        <w:jc w:val="left"/>
        <w:rPr>
          <w:color w:val="000000" w:themeColor="text1"/>
        </w:rPr>
      </w:pPr>
    </w:p>
    <w:p w:rsidR="00802AF2" w:rsidRPr="00273679" w:rsidRDefault="00802AF2" w:rsidP="00802AF2">
      <w:pPr>
        <w:contextualSpacing/>
        <w:jc w:val="left"/>
        <w:rPr>
          <w:color w:val="000000" w:themeColor="text1"/>
        </w:rPr>
      </w:pPr>
      <w:r w:rsidRPr="00273679">
        <w:rPr>
          <w:color w:val="000000" w:themeColor="text1"/>
        </w:rPr>
        <w:tab/>
      </w:r>
      <w:r w:rsidRPr="00273679">
        <w:rPr>
          <w:color w:val="000000" w:themeColor="text1"/>
        </w:rPr>
        <w:tab/>
      </w:r>
      <w:r w:rsidR="00D02693">
        <w:rPr>
          <w:color w:val="000000" w:themeColor="text1"/>
        </w:rPr>
        <w:t>4</w:t>
      </w:r>
      <w:r w:rsidRPr="00273679">
        <w:rPr>
          <w:color w:val="000000" w:themeColor="text1"/>
        </w:rPr>
        <w:t>.</w:t>
      </w:r>
      <w:r w:rsidRPr="00273679">
        <w:rPr>
          <w:color w:val="000000" w:themeColor="text1"/>
        </w:rPr>
        <w:tab/>
        <w:t xml:space="preserve">The Commission must act within and cannot exceed its jurisdiction.  </w:t>
      </w:r>
      <w:r w:rsidRPr="00273679">
        <w:rPr>
          <w:i/>
          <w:color w:val="000000" w:themeColor="text1"/>
        </w:rPr>
        <w:t>Behrend v. Bell Telephone Co.,</w:t>
      </w:r>
      <w:r w:rsidRPr="00273679">
        <w:rPr>
          <w:color w:val="000000" w:themeColor="text1"/>
        </w:rPr>
        <w:t xml:space="preserve"> 363 A.2d 1152 (Pa. Super 1976).  Jurisdiction may not be conferred by the parties where none exists.  </w:t>
      </w:r>
      <w:r w:rsidRPr="00273679">
        <w:rPr>
          <w:i/>
          <w:color w:val="000000" w:themeColor="text1"/>
        </w:rPr>
        <w:t>Roberts v. Martorano</w:t>
      </w:r>
      <w:r w:rsidRPr="00273679">
        <w:rPr>
          <w:color w:val="000000" w:themeColor="text1"/>
        </w:rPr>
        <w:t xml:space="preserve">, 427 Pa. 581, 235 A.2d 602 (1967).  </w:t>
      </w:r>
    </w:p>
    <w:p w:rsidR="00802AF2" w:rsidRPr="00273679" w:rsidRDefault="00802AF2" w:rsidP="00802AF2">
      <w:pPr>
        <w:contextualSpacing/>
        <w:jc w:val="left"/>
        <w:rPr>
          <w:color w:val="000000" w:themeColor="text1"/>
        </w:rPr>
      </w:pPr>
    </w:p>
    <w:p w:rsidR="00802AF2" w:rsidRPr="00273679" w:rsidRDefault="00802AF2" w:rsidP="00802AF2">
      <w:pPr>
        <w:contextualSpacing/>
        <w:jc w:val="left"/>
        <w:rPr>
          <w:color w:val="000000" w:themeColor="text1"/>
        </w:rPr>
      </w:pPr>
      <w:r w:rsidRPr="00273679">
        <w:rPr>
          <w:color w:val="000000" w:themeColor="text1"/>
        </w:rPr>
        <w:tab/>
      </w:r>
      <w:r w:rsidRPr="00273679">
        <w:rPr>
          <w:color w:val="000000" w:themeColor="text1"/>
        </w:rPr>
        <w:tab/>
      </w:r>
      <w:r w:rsidR="00D02693">
        <w:rPr>
          <w:color w:val="000000" w:themeColor="text1"/>
        </w:rPr>
        <w:t>5</w:t>
      </w:r>
      <w:r w:rsidRPr="00273679">
        <w:rPr>
          <w:color w:val="000000" w:themeColor="text1"/>
        </w:rPr>
        <w:t>.</w:t>
      </w:r>
      <w:r w:rsidRPr="00273679">
        <w:rPr>
          <w:color w:val="000000" w:themeColor="text1"/>
        </w:rPr>
        <w:tab/>
        <w:t xml:space="preserve">The Commission does not have jurisdiction to interpret the Uniform Commercial Code to determine the negotiability of instruments.  </w:t>
      </w:r>
      <w:r w:rsidRPr="00273679">
        <w:rPr>
          <w:i/>
          <w:color w:val="000000" w:themeColor="text1"/>
        </w:rPr>
        <w:t xml:space="preserve">Alkhatib v. PECO Energy Company, </w:t>
      </w:r>
      <w:r w:rsidRPr="00273679">
        <w:rPr>
          <w:color w:val="000000" w:themeColor="text1"/>
        </w:rPr>
        <w:t xml:space="preserve">PUC Docket No.  C-2011-2242125 (Opinion and Order entered January 12, 2012); </w:t>
      </w:r>
      <w:r w:rsidRPr="00273679">
        <w:rPr>
          <w:i/>
          <w:color w:val="000000" w:themeColor="text1"/>
        </w:rPr>
        <w:t>Coppedge v. PECO Energy Company,</w:t>
      </w:r>
      <w:r w:rsidRPr="00273679">
        <w:rPr>
          <w:color w:val="000000" w:themeColor="text1"/>
        </w:rPr>
        <w:t xml:space="preserve"> PUC Docket No. F-2009-2135893 (Opinion and Order entered August 3, 2010).  </w:t>
      </w:r>
    </w:p>
    <w:p w:rsidR="00802AF2" w:rsidRPr="00273679" w:rsidRDefault="00802AF2" w:rsidP="00802AF2">
      <w:pPr>
        <w:contextualSpacing/>
        <w:jc w:val="left"/>
        <w:rPr>
          <w:color w:val="000000" w:themeColor="text1"/>
        </w:rPr>
      </w:pPr>
    </w:p>
    <w:p w:rsidR="00802AF2" w:rsidRDefault="00802AF2" w:rsidP="00802AF2">
      <w:pPr>
        <w:contextualSpacing/>
        <w:jc w:val="left"/>
        <w:rPr>
          <w:color w:val="000000" w:themeColor="text1"/>
        </w:rPr>
      </w:pPr>
      <w:r w:rsidRPr="00273679">
        <w:rPr>
          <w:color w:val="000000" w:themeColor="text1"/>
        </w:rPr>
        <w:tab/>
      </w:r>
      <w:r w:rsidRPr="00273679">
        <w:rPr>
          <w:color w:val="000000" w:themeColor="text1"/>
        </w:rPr>
        <w:tab/>
      </w:r>
      <w:r w:rsidR="00D02693">
        <w:rPr>
          <w:color w:val="000000" w:themeColor="text1"/>
        </w:rPr>
        <w:t>6</w:t>
      </w:r>
      <w:r w:rsidRPr="00273679">
        <w:rPr>
          <w:color w:val="000000" w:themeColor="text1"/>
        </w:rPr>
        <w:t>.</w:t>
      </w:r>
      <w:r w:rsidRPr="00273679">
        <w:rPr>
          <w:color w:val="000000" w:themeColor="text1"/>
        </w:rPr>
        <w:tab/>
        <w:t xml:space="preserve">The Commission has held that PECO Energy Company’s acceptable methods of payment policy is not unreasonable.  </w:t>
      </w:r>
      <w:r w:rsidRPr="00273679">
        <w:rPr>
          <w:i/>
          <w:color w:val="000000" w:themeColor="text1"/>
        </w:rPr>
        <w:t>James Coppedge v. PECO Energy Company</w:t>
      </w:r>
      <w:r w:rsidRPr="00273679">
        <w:rPr>
          <w:color w:val="000000" w:themeColor="text1"/>
        </w:rPr>
        <w:t>, Docket No. F-2014-2405</w:t>
      </w:r>
      <w:r w:rsidR="004F709C">
        <w:rPr>
          <w:color w:val="000000" w:themeColor="text1"/>
        </w:rPr>
        <w:t>180 (Page 12, Opinion and Order</w:t>
      </w:r>
      <w:r w:rsidRPr="00273679">
        <w:rPr>
          <w:color w:val="000000" w:themeColor="text1"/>
        </w:rPr>
        <w:t xml:space="preserve"> entered January 29, 2015).</w:t>
      </w:r>
    </w:p>
    <w:p w:rsidR="00A50950" w:rsidRDefault="00A50950" w:rsidP="00802AF2">
      <w:pPr>
        <w:contextualSpacing/>
        <w:jc w:val="left"/>
        <w:rPr>
          <w:color w:val="000000" w:themeColor="text1"/>
        </w:rPr>
      </w:pPr>
    </w:p>
    <w:p w:rsidR="0030182F" w:rsidRDefault="00A50950" w:rsidP="00802AF2">
      <w:pPr>
        <w:contextualSpacing/>
        <w:jc w:val="left"/>
        <w:rPr>
          <w:color w:val="000000" w:themeColor="text1"/>
        </w:rPr>
      </w:pPr>
      <w:r>
        <w:rPr>
          <w:color w:val="000000" w:themeColor="text1"/>
        </w:rPr>
        <w:tab/>
      </w:r>
      <w:r>
        <w:rPr>
          <w:color w:val="000000" w:themeColor="text1"/>
        </w:rPr>
        <w:tab/>
      </w:r>
      <w:r w:rsidR="00D02693">
        <w:rPr>
          <w:color w:val="000000" w:themeColor="text1"/>
        </w:rPr>
        <w:t>7</w:t>
      </w:r>
      <w:r>
        <w:rPr>
          <w:color w:val="000000" w:themeColor="text1"/>
        </w:rPr>
        <w:t>.</w:t>
      </w:r>
      <w:r>
        <w:rPr>
          <w:color w:val="000000" w:themeColor="text1"/>
        </w:rPr>
        <w:tab/>
      </w:r>
      <w:r w:rsidR="0030182F" w:rsidRPr="003D7707">
        <w:rPr>
          <w:color w:val="000000" w:themeColor="text1"/>
        </w:rPr>
        <w:t>PECO</w:t>
      </w:r>
      <w:r w:rsidR="004F709C">
        <w:rPr>
          <w:color w:val="000000" w:themeColor="text1"/>
        </w:rPr>
        <w:t xml:space="preserve">'s </w:t>
      </w:r>
      <w:r w:rsidR="0030182F" w:rsidRPr="003D7707">
        <w:rPr>
          <w:color w:val="000000" w:themeColor="text1"/>
        </w:rPr>
        <w:t>refus</w:t>
      </w:r>
      <w:r w:rsidR="004F709C">
        <w:rPr>
          <w:color w:val="000000" w:themeColor="text1"/>
        </w:rPr>
        <w:t xml:space="preserve">al </w:t>
      </w:r>
      <w:r w:rsidR="0030182F" w:rsidRPr="003D7707">
        <w:rPr>
          <w:color w:val="000000" w:themeColor="text1"/>
        </w:rPr>
        <w:t>to accept Complainant’s promisso</w:t>
      </w:r>
      <w:r w:rsidR="0030182F">
        <w:rPr>
          <w:color w:val="000000" w:themeColor="text1"/>
        </w:rPr>
        <w:t>ry note as payment for his bill</w:t>
      </w:r>
      <w:r w:rsidR="004F709C">
        <w:rPr>
          <w:color w:val="000000" w:themeColor="text1"/>
        </w:rPr>
        <w:t xml:space="preserve"> does not violate the Public Utility Code</w:t>
      </w:r>
      <w:r w:rsidR="0030182F">
        <w:rPr>
          <w:color w:val="000000" w:themeColor="text1"/>
        </w:rPr>
        <w:t>.</w:t>
      </w:r>
      <w:r w:rsidR="004F709C">
        <w:rPr>
          <w:color w:val="000000" w:themeColor="text1"/>
        </w:rPr>
        <w:t xml:space="preserve">  66 Pa.C.S. § 1501.  </w:t>
      </w:r>
    </w:p>
    <w:p w:rsidR="0030182F" w:rsidRDefault="0030182F" w:rsidP="00802AF2">
      <w:pPr>
        <w:contextualSpacing/>
        <w:jc w:val="left"/>
        <w:rPr>
          <w:color w:val="000000" w:themeColor="text1"/>
        </w:rPr>
      </w:pPr>
    </w:p>
    <w:p w:rsidR="004F709C" w:rsidRPr="0014145C" w:rsidRDefault="004F709C" w:rsidP="004F709C">
      <w:pPr>
        <w:contextualSpacing/>
        <w:jc w:val="left"/>
        <w:rPr>
          <w:color w:val="000000" w:themeColor="text1"/>
        </w:rPr>
      </w:pPr>
      <w:r>
        <w:rPr>
          <w:color w:val="000000" w:themeColor="text1"/>
        </w:rPr>
        <w:tab/>
      </w:r>
      <w:r>
        <w:rPr>
          <w:color w:val="000000" w:themeColor="text1"/>
        </w:rPr>
        <w:tab/>
      </w:r>
      <w:r w:rsidR="0030182F">
        <w:rPr>
          <w:color w:val="000000" w:themeColor="text1"/>
        </w:rPr>
        <w:t>8.</w:t>
      </w:r>
      <w:r w:rsidR="0030182F">
        <w:rPr>
          <w:color w:val="000000" w:themeColor="text1"/>
        </w:rPr>
        <w:tab/>
      </w:r>
      <w:r w:rsidRPr="0014145C">
        <w:rPr>
          <w:color w:val="000000" w:themeColor="text1"/>
        </w:rPr>
        <w:t xml:space="preserve">Preliminary objections are available to parties and may be filed in response to a </w:t>
      </w:r>
      <w:r>
        <w:rPr>
          <w:color w:val="000000" w:themeColor="text1"/>
        </w:rPr>
        <w:t>complaint citing l</w:t>
      </w:r>
      <w:r w:rsidRPr="0014145C">
        <w:rPr>
          <w:color w:val="000000" w:themeColor="text1"/>
        </w:rPr>
        <w:t>ack of Commission jurisdiction or improper service of the pleading initiating the proceeding</w:t>
      </w:r>
      <w:r>
        <w:rPr>
          <w:color w:val="000000" w:themeColor="text1"/>
        </w:rPr>
        <w:t xml:space="preserve"> and l</w:t>
      </w:r>
      <w:r w:rsidRPr="0014145C">
        <w:rPr>
          <w:color w:val="000000" w:themeColor="text1"/>
        </w:rPr>
        <w:t>egal insufficiency of a pleading.</w:t>
      </w:r>
      <w:r>
        <w:rPr>
          <w:color w:val="000000" w:themeColor="text1"/>
        </w:rPr>
        <w:t xml:space="preserve">  52 Pa.Code  5.101(a)(1),(4).</w:t>
      </w:r>
    </w:p>
    <w:p w:rsidR="004F709C" w:rsidRPr="0014145C" w:rsidRDefault="004F709C" w:rsidP="004F709C">
      <w:pPr>
        <w:ind w:left="1440" w:right="1440"/>
        <w:jc w:val="left"/>
        <w:rPr>
          <w:color w:val="000000" w:themeColor="text1"/>
        </w:rPr>
      </w:pPr>
    </w:p>
    <w:p w:rsidR="004F709C" w:rsidRPr="0014145C" w:rsidRDefault="004F709C" w:rsidP="004F709C">
      <w:pPr>
        <w:jc w:val="left"/>
        <w:rPr>
          <w:color w:val="000000" w:themeColor="text1"/>
        </w:rPr>
      </w:pPr>
      <w:r w:rsidRPr="0014145C">
        <w:rPr>
          <w:color w:val="000000" w:themeColor="text1"/>
        </w:rPr>
        <w:tab/>
      </w:r>
      <w:r w:rsidRPr="0014145C">
        <w:rPr>
          <w:color w:val="000000" w:themeColor="text1"/>
        </w:rPr>
        <w:tab/>
      </w:r>
      <w:r>
        <w:rPr>
          <w:color w:val="000000" w:themeColor="text1"/>
        </w:rPr>
        <w:t>9.</w:t>
      </w:r>
      <w:r>
        <w:rPr>
          <w:color w:val="000000" w:themeColor="text1"/>
        </w:rPr>
        <w:tab/>
      </w:r>
      <w:r w:rsidRPr="0014145C">
        <w:rPr>
          <w:color w:val="000000" w:themeColor="text1"/>
        </w:rPr>
        <w:t xml:space="preserve"> In reviewing preliminary objections, only the facts in the Complaint can be presumed to be true in order to determine whether recovery is possible.  In order for Complainant to prevail ultimately, there must be a statute, regulation or order which the Commission is authorized to enforce.  The Complaint must set forth anything done or omitted to be done by the utility company in violation of any law which the Commission has jurisdiction to administer.  66 Pa.C.S. § 701; 52 Pa.Code § 5.21(a).  </w:t>
      </w:r>
    </w:p>
    <w:p w:rsidR="004F709C" w:rsidRDefault="004F709C" w:rsidP="00802AF2">
      <w:pPr>
        <w:contextualSpacing/>
        <w:jc w:val="left"/>
        <w:rPr>
          <w:color w:val="000000" w:themeColor="text1"/>
        </w:rPr>
      </w:pPr>
    </w:p>
    <w:p w:rsidR="00A50950" w:rsidRPr="00273679" w:rsidRDefault="004F709C" w:rsidP="00802AF2">
      <w:pPr>
        <w:contextualSpacing/>
        <w:jc w:val="left"/>
        <w:rPr>
          <w:color w:val="000000" w:themeColor="text1"/>
        </w:rPr>
      </w:pPr>
      <w:r>
        <w:rPr>
          <w:color w:val="000000" w:themeColor="text1"/>
        </w:rPr>
        <w:tab/>
      </w:r>
      <w:r>
        <w:rPr>
          <w:color w:val="000000" w:themeColor="text1"/>
        </w:rPr>
        <w:tab/>
        <w:t>10.</w:t>
      </w:r>
      <w:r>
        <w:rPr>
          <w:color w:val="000000" w:themeColor="text1"/>
        </w:rPr>
        <w:tab/>
        <w:t>PECO has met the standard for dismissal of the Complaint without a hearing based on lack of Commission jurisdiction and insufficiency of the pleading</w:t>
      </w:r>
      <w:r w:rsidR="00A50950">
        <w:rPr>
          <w:color w:val="000000" w:themeColor="text1"/>
        </w:rPr>
        <w:t>.</w:t>
      </w:r>
    </w:p>
    <w:p w:rsidR="00802AF2" w:rsidRDefault="00802AF2" w:rsidP="00EC2126">
      <w:pPr>
        <w:ind w:firstLine="1440"/>
        <w:jc w:val="left"/>
      </w:pPr>
    </w:p>
    <w:p w:rsidR="005C23BB" w:rsidRDefault="005C23BB" w:rsidP="009943BE">
      <w:pPr>
        <w:jc w:val="left"/>
      </w:pPr>
      <w:r>
        <w:rPr>
          <w:color w:val="7F7F7F" w:themeColor="text1" w:themeTint="80"/>
        </w:rPr>
        <w:tab/>
      </w:r>
      <w:r>
        <w:rPr>
          <w:color w:val="7F7F7F" w:themeColor="text1" w:themeTint="80"/>
        </w:rPr>
        <w:tab/>
      </w:r>
      <w:r w:rsidRPr="005C23BB">
        <w:t>11.</w:t>
      </w:r>
      <w:r w:rsidRPr="005C23BB">
        <w:tab/>
        <w:t xml:space="preserve">Section 703 of the Public Utility Code, </w:t>
      </w:r>
      <w:hyperlink r:id="rId11" w:history="1">
        <w:r w:rsidRPr="005C23BB">
          <w:rPr>
            <w:rStyle w:val="Hyperlink"/>
            <w:color w:val="auto"/>
          </w:rPr>
          <w:t>66 Pa.C.S. § 703(b)</w:t>
        </w:r>
      </w:hyperlink>
      <w:r w:rsidRPr="005C23BB">
        <w:t xml:space="preserve">, provides that the Commission may dismiss any complaint without a hearing if, in its opinion, a hearing is not necessary in the public interest. </w:t>
      </w:r>
      <w:r w:rsidRPr="005C23BB">
        <w:rPr>
          <w:i/>
          <w:iCs/>
        </w:rPr>
        <w:t>See also</w:t>
      </w:r>
      <w:r w:rsidRPr="005C23BB">
        <w:t xml:space="preserve">, </w:t>
      </w:r>
      <w:hyperlink r:id="rId12" w:history="1">
        <w:r w:rsidRPr="005C23BB">
          <w:rPr>
            <w:rStyle w:val="Hyperlink"/>
            <w:color w:val="auto"/>
          </w:rPr>
          <w:t>52 Pa.Code § 5.21(d)</w:t>
        </w:r>
      </w:hyperlink>
      <w:r w:rsidRPr="005C23BB">
        <w:t xml:space="preserve">. </w:t>
      </w:r>
    </w:p>
    <w:p w:rsidR="005C23BB" w:rsidRDefault="005C23BB" w:rsidP="009943BE">
      <w:pPr>
        <w:jc w:val="left"/>
      </w:pPr>
    </w:p>
    <w:p w:rsidR="009943BE" w:rsidRDefault="005C23BB" w:rsidP="009943BE">
      <w:pPr>
        <w:jc w:val="left"/>
      </w:pPr>
      <w:r>
        <w:tab/>
      </w:r>
      <w:r>
        <w:tab/>
        <w:t>12.</w:t>
      </w:r>
      <w:r>
        <w:tab/>
      </w:r>
      <w:r w:rsidRPr="005C23BB">
        <w:t>The public interest does not require a hearing in this case. The Commission does not have the requisite subject matter jurisdiction to determine the negotiability of Complainant's alleged tender of payments. A hearing in this case would be a fruitless exercise and therefore is not necessary or in the public interest.</w:t>
      </w:r>
    </w:p>
    <w:p w:rsidR="005C23BB" w:rsidRPr="005C23BB" w:rsidRDefault="005C23BB" w:rsidP="009943BE">
      <w:pPr>
        <w:jc w:val="left"/>
      </w:pPr>
    </w:p>
    <w:p w:rsidR="009943BE" w:rsidRPr="00A64D9F" w:rsidRDefault="009943BE" w:rsidP="009943BE">
      <w:pPr>
        <w:rPr>
          <w:color w:val="000000" w:themeColor="text1"/>
          <w:u w:val="single"/>
        </w:rPr>
      </w:pPr>
      <w:r w:rsidRPr="00A64D9F">
        <w:rPr>
          <w:color w:val="000000" w:themeColor="text1"/>
          <w:u w:val="single"/>
        </w:rPr>
        <w:t>ORDER</w:t>
      </w:r>
    </w:p>
    <w:p w:rsidR="009943BE" w:rsidRPr="00A64D9F" w:rsidRDefault="009943BE" w:rsidP="009943BE">
      <w:pPr>
        <w:rPr>
          <w:b/>
          <w:color w:val="000000" w:themeColor="text1"/>
        </w:rPr>
      </w:pPr>
    </w:p>
    <w:p w:rsidR="009943BE" w:rsidRPr="00A64D9F" w:rsidRDefault="009943BE" w:rsidP="009943BE">
      <w:pPr>
        <w:jc w:val="left"/>
        <w:rPr>
          <w:color w:val="000000" w:themeColor="text1"/>
        </w:rPr>
      </w:pPr>
      <w:r w:rsidRPr="00A64D9F">
        <w:rPr>
          <w:color w:val="000000" w:themeColor="text1"/>
        </w:rPr>
        <w:tab/>
      </w:r>
      <w:r w:rsidRPr="00A64D9F">
        <w:rPr>
          <w:color w:val="000000" w:themeColor="text1"/>
        </w:rPr>
        <w:tab/>
        <w:t>THEREFORE,</w:t>
      </w:r>
    </w:p>
    <w:p w:rsidR="009943BE" w:rsidRPr="00A64D9F" w:rsidRDefault="009943BE" w:rsidP="009943BE">
      <w:pPr>
        <w:jc w:val="left"/>
        <w:rPr>
          <w:color w:val="000000" w:themeColor="text1"/>
        </w:rPr>
      </w:pPr>
    </w:p>
    <w:p w:rsidR="009943BE" w:rsidRPr="00A64D9F" w:rsidRDefault="009943BE" w:rsidP="009943BE">
      <w:pPr>
        <w:jc w:val="left"/>
        <w:rPr>
          <w:color w:val="000000" w:themeColor="text1"/>
        </w:rPr>
      </w:pPr>
      <w:r w:rsidRPr="00A64D9F">
        <w:rPr>
          <w:color w:val="000000" w:themeColor="text1"/>
        </w:rPr>
        <w:tab/>
      </w:r>
      <w:r w:rsidRPr="00A64D9F">
        <w:rPr>
          <w:color w:val="000000" w:themeColor="text1"/>
        </w:rPr>
        <w:tab/>
        <w:t>IT IS ORDERED:</w:t>
      </w:r>
    </w:p>
    <w:p w:rsidR="009943BE" w:rsidRPr="00A64D9F" w:rsidRDefault="009943BE" w:rsidP="009943BE">
      <w:pPr>
        <w:jc w:val="left"/>
        <w:rPr>
          <w:color w:val="000000" w:themeColor="text1"/>
        </w:rPr>
      </w:pPr>
    </w:p>
    <w:p w:rsidR="009943BE" w:rsidRDefault="00387215" w:rsidP="009943BE">
      <w:pPr>
        <w:jc w:val="left"/>
        <w:rPr>
          <w:color w:val="000000" w:themeColor="text1"/>
        </w:rPr>
      </w:pPr>
      <w:r w:rsidRPr="00A64D9F">
        <w:rPr>
          <w:color w:val="000000" w:themeColor="text1"/>
        </w:rPr>
        <w:tab/>
      </w:r>
      <w:r w:rsidRPr="00A64D9F">
        <w:rPr>
          <w:color w:val="000000" w:themeColor="text1"/>
        </w:rPr>
        <w:tab/>
      </w:r>
      <w:r w:rsidRPr="00613B7A">
        <w:rPr>
          <w:color w:val="000000" w:themeColor="text1"/>
        </w:rPr>
        <w:t>1.</w:t>
      </w:r>
      <w:r w:rsidRPr="00613B7A">
        <w:rPr>
          <w:color w:val="000000" w:themeColor="text1"/>
        </w:rPr>
        <w:tab/>
        <w:t xml:space="preserve">That the </w:t>
      </w:r>
      <w:r w:rsidR="003C041D">
        <w:rPr>
          <w:color w:val="000000" w:themeColor="text1"/>
        </w:rPr>
        <w:t xml:space="preserve">Preliminary Objections </w:t>
      </w:r>
      <w:r w:rsidR="009943BE" w:rsidRPr="00613B7A">
        <w:rPr>
          <w:color w:val="000000" w:themeColor="text1"/>
        </w:rPr>
        <w:t>filed in the case captioned</w:t>
      </w:r>
      <w:r w:rsidR="00354FC3" w:rsidRPr="00613B7A">
        <w:rPr>
          <w:i/>
          <w:color w:val="000000" w:themeColor="text1"/>
        </w:rPr>
        <w:t xml:space="preserve"> Gregory Kennedy v. PECO Energy Company</w:t>
      </w:r>
      <w:r w:rsidR="00BA1A63" w:rsidRPr="00613B7A">
        <w:rPr>
          <w:i/>
          <w:color w:val="000000" w:themeColor="text1"/>
        </w:rPr>
        <w:t xml:space="preserve"> </w:t>
      </w:r>
      <w:r w:rsidR="009943BE" w:rsidRPr="00613B7A">
        <w:rPr>
          <w:color w:val="000000" w:themeColor="text1"/>
        </w:rPr>
        <w:t xml:space="preserve">at Docket No. </w:t>
      </w:r>
      <w:r w:rsidR="00354FC3" w:rsidRPr="00613B7A">
        <w:rPr>
          <w:color w:val="000000" w:themeColor="text1"/>
        </w:rPr>
        <w:t>C-2015-2471718</w:t>
      </w:r>
      <w:r w:rsidR="00E21E2B" w:rsidRPr="00613B7A">
        <w:rPr>
          <w:color w:val="000000" w:themeColor="text1"/>
        </w:rPr>
        <w:t xml:space="preserve"> </w:t>
      </w:r>
      <w:r w:rsidR="003C041D">
        <w:rPr>
          <w:color w:val="000000" w:themeColor="text1"/>
        </w:rPr>
        <w:t>are</w:t>
      </w:r>
      <w:r w:rsidR="008E785D">
        <w:rPr>
          <w:color w:val="000000" w:themeColor="text1"/>
        </w:rPr>
        <w:t xml:space="preserve"> granted.</w:t>
      </w:r>
    </w:p>
    <w:p w:rsidR="00224C6E" w:rsidRDefault="00224C6E" w:rsidP="009943BE">
      <w:pPr>
        <w:jc w:val="left"/>
        <w:rPr>
          <w:color w:val="000000" w:themeColor="text1"/>
        </w:rPr>
      </w:pPr>
    </w:p>
    <w:p w:rsidR="00224C6E" w:rsidRPr="00613B7A" w:rsidRDefault="00224C6E" w:rsidP="009943BE">
      <w:pPr>
        <w:jc w:val="left"/>
        <w:rPr>
          <w:color w:val="000000" w:themeColor="text1"/>
        </w:rPr>
      </w:pPr>
      <w:r>
        <w:rPr>
          <w:color w:val="000000" w:themeColor="text1"/>
        </w:rPr>
        <w:tab/>
      </w:r>
      <w:r>
        <w:rPr>
          <w:color w:val="000000" w:themeColor="text1"/>
        </w:rPr>
        <w:tab/>
        <w:t>2.</w:t>
      </w:r>
      <w:r>
        <w:rPr>
          <w:color w:val="000000" w:themeColor="text1"/>
        </w:rPr>
        <w:tab/>
        <w:t xml:space="preserve">That the Complaint filed by Gregory Kennedy against PECO Energy Company at Docket No. </w:t>
      </w:r>
      <w:r w:rsidRPr="00613B7A">
        <w:rPr>
          <w:color w:val="000000" w:themeColor="text1"/>
        </w:rPr>
        <w:t>C-2015-2471718</w:t>
      </w:r>
      <w:r>
        <w:rPr>
          <w:color w:val="000000" w:themeColor="text1"/>
        </w:rPr>
        <w:t xml:space="preserve"> is dismissed.</w:t>
      </w:r>
    </w:p>
    <w:p w:rsidR="009943BE" w:rsidRPr="00613B7A" w:rsidRDefault="009943BE" w:rsidP="009943BE">
      <w:pPr>
        <w:jc w:val="left"/>
        <w:rPr>
          <w:color w:val="000000" w:themeColor="text1"/>
        </w:rPr>
      </w:pPr>
    </w:p>
    <w:p w:rsidR="009943BE" w:rsidRPr="00613B7A" w:rsidRDefault="008E785D" w:rsidP="009943BE">
      <w:pPr>
        <w:jc w:val="left"/>
        <w:rPr>
          <w:color w:val="000000" w:themeColor="text1"/>
        </w:rPr>
      </w:pPr>
      <w:r>
        <w:rPr>
          <w:color w:val="000000" w:themeColor="text1"/>
        </w:rPr>
        <w:tab/>
      </w:r>
      <w:r>
        <w:rPr>
          <w:color w:val="000000" w:themeColor="text1"/>
        </w:rPr>
        <w:tab/>
        <w:t>2</w:t>
      </w:r>
      <w:r w:rsidR="009943BE" w:rsidRPr="00613B7A">
        <w:rPr>
          <w:color w:val="000000" w:themeColor="text1"/>
        </w:rPr>
        <w:t>.</w:t>
      </w:r>
      <w:r w:rsidR="009943BE" w:rsidRPr="00613B7A">
        <w:rPr>
          <w:color w:val="000000" w:themeColor="text1"/>
        </w:rPr>
        <w:tab/>
      </w:r>
      <w:r w:rsidR="009A7481" w:rsidRPr="00613B7A">
        <w:rPr>
          <w:color w:val="000000" w:themeColor="text1"/>
        </w:rPr>
        <w:t xml:space="preserve">That </w:t>
      </w:r>
      <w:r w:rsidR="00224C6E">
        <w:rPr>
          <w:color w:val="000000" w:themeColor="text1"/>
        </w:rPr>
        <w:t>the S</w:t>
      </w:r>
      <w:r>
        <w:rPr>
          <w:color w:val="000000" w:themeColor="text1"/>
        </w:rPr>
        <w:t>ecretary mark this docket closed.</w:t>
      </w:r>
    </w:p>
    <w:p w:rsidR="009943BE" w:rsidRPr="00A64D9F" w:rsidRDefault="009943BE" w:rsidP="009943BE">
      <w:pPr>
        <w:jc w:val="left"/>
        <w:rPr>
          <w:color w:val="000000" w:themeColor="text1"/>
        </w:rPr>
      </w:pPr>
    </w:p>
    <w:p w:rsidR="009943BE" w:rsidRPr="00A64D9F" w:rsidRDefault="009943BE" w:rsidP="009943BE">
      <w:pPr>
        <w:jc w:val="left"/>
        <w:rPr>
          <w:color w:val="000000" w:themeColor="text1"/>
        </w:rPr>
      </w:pPr>
    </w:p>
    <w:p w:rsidR="009943BE" w:rsidRPr="00D671FD" w:rsidRDefault="009943BE" w:rsidP="009943BE">
      <w:pPr>
        <w:spacing w:line="240" w:lineRule="auto"/>
        <w:contextualSpacing/>
        <w:jc w:val="left"/>
        <w:rPr>
          <w:color w:val="000000" w:themeColor="text1"/>
          <w:u w:val="single"/>
        </w:rPr>
      </w:pPr>
      <w:r w:rsidRPr="00A64D9F">
        <w:rPr>
          <w:color w:val="000000" w:themeColor="text1"/>
        </w:rPr>
        <w:t>Dated:</w:t>
      </w:r>
      <w:r w:rsidRPr="00A64D9F">
        <w:rPr>
          <w:color w:val="000000" w:themeColor="text1"/>
        </w:rPr>
        <w:tab/>
      </w:r>
      <w:r w:rsidR="001C2101">
        <w:rPr>
          <w:color w:val="000000" w:themeColor="text1"/>
          <w:u w:val="single"/>
        </w:rPr>
        <w:t xml:space="preserve">April </w:t>
      </w:r>
      <w:r w:rsidR="005C23BB">
        <w:rPr>
          <w:color w:val="000000" w:themeColor="text1"/>
          <w:u w:val="single"/>
        </w:rPr>
        <w:t>9</w:t>
      </w:r>
      <w:r w:rsidR="008B155B" w:rsidRPr="00A64D9F">
        <w:rPr>
          <w:color w:val="000000" w:themeColor="text1"/>
          <w:u w:val="single"/>
        </w:rPr>
        <w:t>, 2015</w:t>
      </w:r>
      <w:r w:rsidRPr="00A64D9F">
        <w:rPr>
          <w:color w:val="000000" w:themeColor="text1"/>
        </w:rPr>
        <w:tab/>
      </w:r>
      <w:r w:rsidRPr="00A64D9F">
        <w:rPr>
          <w:color w:val="000000" w:themeColor="text1"/>
        </w:rPr>
        <w:tab/>
      </w:r>
      <w:r w:rsidRPr="00A64D9F">
        <w:rPr>
          <w:color w:val="000000" w:themeColor="text1"/>
        </w:rPr>
        <w:tab/>
      </w:r>
      <w:r w:rsidRPr="00A64D9F">
        <w:rPr>
          <w:color w:val="000000" w:themeColor="text1"/>
        </w:rPr>
        <w:tab/>
      </w:r>
      <w:r w:rsidRPr="00A64D9F">
        <w:rPr>
          <w:color w:val="000000" w:themeColor="text1"/>
        </w:rPr>
        <w:tab/>
      </w:r>
      <w:r w:rsidR="000C6D5C">
        <w:rPr>
          <w:color w:val="000000" w:themeColor="text1"/>
        </w:rPr>
        <w:tab/>
      </w:r>
      <w:r w:rsidR="00D671FD">
        <w:rPr>
          <w:color w:val="000000" w:themeColor="text1"/>
          <w:u w:val="single"/>
        </w:rPr>
        <w:tab/>
      </w:r>
      <w:r w:rsidR="00D671FD">
        <w:rPr>
          <w:color w:val="000000" w:themeColor="text1"/>
          <w:u w:val="single"/>
        </w:rPr>
        <w:tab/>
        <w:t>/s/</w:t>
      </w:r>
      <w:r w:rsidR="00D671FD">
        <w:rPr>
          <w:color w:val="000000" w:themeColor="text1"/>
          <w:u w:val="single"/>
        </w:rPr>
        <w:tab/>
      </w:r>
      <w:r w:rsidR="00D671FD">
        <w:rPr>
          <w:color w:val="000000" w:themeColor="text1"/>
          <w:u w:val="single"/>
        </w:rPr>
        <w:tab/>
      </w:r>
      <w:r w:rsidR="00D671FD">
        <w:rPr>
          <w:color w:val="000000" w:themeColor="text1"/>
          <w:u w:val="single"/>
        </w:rPr>
        <w:tab/>
      </w:r>
    </w:p>
    <w:p w:rsidR="009943BE" w:rsidRPr="00A64D9F" w:rsidRDefault="009943BE" w:rsidP="009943BE">
      <w:pPr>
        <w:spacing w:line="240" w:lineRule="auto"/>
        <w:contextualSpacing/>
        <w:jc w:val="left"/>
        <w:rPr>
          <w:color w:val="000000" w:themeColor="text1"/>
        </w:rPr>
      </w:pPr>
      <w:r w:rsidRPr="00A64D9F">
        <w:rPr>
          <w:color w:val="000000" w:themeColor="text1"/>
        </w:rPr>
        <w:tab/>
      </w:r>
      <w:r w:rsidRPr="00A64D9F">
        <w:rPr>
          <w:color w:val="000000" w:themeColor="text1"/>
        </w:rPr>
        <w:tab/>
      </w:r>
      <w:r w:rsidRPr="00A64D9F">
        <w:rPr>
          <w:color w:val="000000" w:themeColor="text1"/>
        </w:rPr>
        <w:tab/>
      </w:r>
      <w:r w:rsidRPr="00A64D9F">
        <w:rPr>
          <w:color w:val="000000" w:themeColor="text1"/>
        </w:rPr>
        <w:tab/>
      </w:r>
      <w:r w:rsidRPr="00A64D9F">
        <w:rPr>
          <w:color w:val="000000" w:themeColor="text1"/>
        </w:rPr>
        <w:tab/>
      </w:r>
      <w:r w:rsidRPr="00A64D9F">
        <w:rPr>
          <w:color w:val="000000" w:themeColor="text1"/>
        </w:rPr>
        <w:tab/>
      </w:r>
      <w:r w:rsidRPr="00A64D9F">
        <w:rPr>
          <w:color w:val="000000" w:themeColor="text1"/>
        </w:rPr>
        <w:tab/>
      </w:r>
      <w:r w:rsidRPr="00A64D9F">
        <w:rPr>
          <w:color w:val="000000" w:themeColor="text1"/>
        </w:rPr>
        <w:tab/>
        <w:t>Susan D. Colwell</w:t>
      </w:r>
    </w:p>
    <w:p w:rsidR="009943BE" w:rsidRPr="00A64D9F" w:rsidRDefault="009943BE" w:rsidP="002F4DA2">
      <w:pPr>
        <w:spacing w:line="240" w:lineRule="auto"/>
        <w:contextualSpacing/>
        <w:jc w:val="left"/>
        <w:rPr>
          <w:color w:val="000000" w:themeColor="text1"/>
        </w:rPr>
      </w:pPr>
      <w:r w:rsidRPr="00A64D9F">
        <w:rPr>
          <w:color w:val="000000" w:themeColor="text1"/>
        </w:rPr>
        <w:tab/>
      </w:r>
      <w:r w:rsidRPr="00A64D9F">
        <w:rPr>
          <w:color w:val="000000" w:themeColor="text1"/>
        </w:rPr>
        <w:tab/>
      </w:r>
      <w:r w:rsidRPr="00A64D9F">
        <w:rPr>
          <w:color w:val="000000" w:themeColor="text1"/>
        </w:rPr>
        <w:tab/>
      </w:r>
      <w:r w:rsidRPr="00A64D9F">
        <w:rPr>
          <w:color w:val="000000" w:themeColor="text1"/>
        </w:rPr>
        <w:tab/>
      </w:r>
      <w:r w:rsidRPr="00A64D9F">
        <w:rPr>
          <w:color w:val="000000" w:themeColor="text1"/>
        </w:rPr>
        <w:tab/>
      </w:r>
      <w:r w:rsidRPr="00A64D9F">
        <w:rPr>
          <w:color w:val="000000" w:themeColor="text1"/>
        </w:rPr>
        <w:tab/>
      </w:r>
      <w:r w:rsidRPr="00A64D9F">
        <w:rPr>
          <w:color w:val="000000" w:themeColor="text1"/>
        </w:rPr>
        <w:tab/>
      </w:r>
      <w:r w:rsidRPr="00A64D9F">
        <w:rPr>
          <w:color w:val="000000" w:themeColor="text1"/>
        </w:rPr>
        <w:tab/>
        <w:t>Administrative Law Judge</w:t>
      </w:r>
    </w:p>
    <w:sectPr w:rsidR="009943BE" w:rsidRPr="00A64D9F" w:rsidSect="00986649">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C7C" w:rsidRDefault="00BA7C7C" w:rsidP="009943BE">
      <w:pPr>
        <w:spacing w:line="240" w:lineRule="auto"/>
      </w:pPr>
      <w:r>
        <w:separator/>
      </w:r>
    </w:p>
  </w:endnote>
  <w:endnote w:type="continuationSeparator" w:id="0">
    <w:p w:rsidR="00BA7C7C" w:rsidRDefault="00BA7C7C" w:rsidP="00994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85522"/>
      <w:docPartObj>
        <w:docPartGallery w:val="Page Numbers (Bottom of Page)"/>
        <w:docPartUnique/>
      </w:docPartObj>
    </w:sdtPr>
    <w:sdtEndPr>
      <w:rPr>
        <w:noProof/>
        <w:sz w:val="20"/>
        <w:szCs w:val="20"/>
      </w:rPr>
    </w:sdtEndPr>
    <w:sdtContent>
      <w:p w:rsidR="00986649" w:rsidRPr="002F527B" w:rsidRDefault="00986649">
        <w:pPr>
          <w:pStyle w:val="Footer"/>
          <w:rPr>
            <w:sz w:val="20"/>
            <w:szCs w:val="20"/>
          </w:rPr>
        </w:pPr>
        <w:r w:rsidRPr="002F527B">
          <w:rPr>
            <w:sz w:val="20"/>
            <w:szCs w:val="20"/>
          </w:rPr>
          <w:fldChar w:fldCharType="begin"/>
        </w:r>
        <w:r w:rsidRPr="002F527B">
          <w:rPr>
            <w:sz w:val="20"/>
            <w:szCs w:val="20"/>
          </w:rPr>
          <w:instrText xml:space="preserve"> PAGE   \* MERGEFORMAT </w:instrText>
        </w:r>
        <w:r w:rsidRPr="002F527B">
          <w:rPr>
            <w:sz w:val="20"/>
            <w:szCs w:val="20"/>
          </w:rPr>
          <w:fldChar w:fldCharType="separate"/>
        </w:r>
        <w:r w:rsidR="00D671FD">
          <w:rPr>
            <w:noProof/>
            <w:sz w:val="20"/>
            <w:szCs w:val="20"/>
          </w:rPr>
          <w:t>2</w:t>
        </w:r>
        <w:r w:rsidRPr="002F527B">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C7C" w:rsidRDefault="00BA7C7C" w:rsidP="002F527B">
      <w:pPr>
        <w:spacing w:line="240" w:lineRule="auto"/>
        <w:jc w:val="left"/>
      </w:pPr>
      <w:r>
        <w:separator/>
      </w:r>
    </w:p>
  </w:footnote>
  <w:footnote w:type="continuationSeparator" w:id="0">
    <w:p w:rsidR="00BA7C7C" w:rsidRDefault="00BA7C7C" w:rsidP="009943BE">
      <w:pPr>
        <w:spacing w:line="240" w:lineRule="auto"/>
      </w:pPr>
      <w:r>
        <w:continuationSeparator/>
      </w:r>
    </w:p>
  </w:footnote>
  <w:footnote w:id="1">
    <w:p w:rsidR="008058A3" w:rsidRDefault="002F527B" w:rsidP="008058A3">
      <w:pPr>
        <w:pStyle w:val="FootnoteText"/>
        <w:jc w:val="left"/>
      </w:pPr>
      <w:r>
        <w:tab/>
      </w:r>
      <w:r w:rsidR="008058A3">
        <w:rPr>
          <w:rStyle w:val="FootnoteReference"/>
        </w:rPr>
        <w:footnoteRef/>
      </w:r>
      <w:r w:rsidR="008058A3">
        <w:t xml:space="preserve"> </w:t>
      </w:r>
      <w:r>
        <w:tab/>
      </w:r>
      <w:r w:rsidR="008058A3" w:rsidRPr="008058A3">
        <w:t xml:space="preserve">Complainant’s </w:t>
      </w:r>
      <w:r w:rsidR="000C5DC7">
        <w:t>account</w:t>
      </w:r>
      <w:r w:rsidR="008058A3" w:rsidRPr="008058A3">
        <w:t xml:space="preserve"> of the Municipal Court proceeding can be found in Paragraph 7 of the Complaint.</w:t>
      </w:r>
    </w:p>
    <w:p w:rsidR="002F527B" w:rsidRDefault="002F527B" w:rsidP="008058A3">
      <w:pPr>
        <w:pStyle w:val="FootnoteText"/>
        <w:jc w:val="left"/>
      </w:pPr>
    </w:p>
  </w:footnote>
  <w:footnote w:id="2">
    <w:p w:rsidR="003522AE" w:rsidRDefault="002F527B" w:rsidP="003522AE">
      <w:pPr>
        <w:pStyle w:val="FootnoteText"/>
        <w:jc w:val="left"/>
        <w:rPr>
          <w:color w:val="000000" w:themeColor="text1"/>
        </w:rPr>
      </w:pPr>
      <w:r>
        <w:tab/>
      </w:r>
      <w:r w:rsidR="003522AE">
        <w:rPr>
          <w:rStyle w:val="FootnoteReference"/>
        </w:rPr>
        <w:footnoteRef/>
      </w:r>
      <w:r w:rsidR="003522AE">
        <w:t xml:space="preserve"> </w:t>
      </w:r>
      <w:r>
        <w:tab/>
      </w:r>
      <w:r w:rsidR="003522AE">
        <w:t xml:space="preserve">$3,581.19 for account number 47126-26012, $1,009.61 for account number 12751-08510. </w:t>
      </w:r>
      <w:r w:rsidR="00762EEA" w:rsidRPr="00762EEA">
        <w:rPr>
          <w:color w:val="000000" w:themeColor="text1"/>
        </w:rPr>
        <w:t xml:space="preserve"> Paragraph 4,</w:t>
      </w:r>
      <w:r w:rsidR="003522AE" w:rsidRPr="00762EEA">
        <w:rPr>
          <w:color w:val="000000" w:themeColor="text1"/>
        </w:rPr>
        <w:t xml:space="preserve"> PECO Answer</w:t>
      </w:r>
      <w:r w:rsidR="00762EEA" w:rsidRPr="00762EEA">
        <w:rPr>
          <w:color w:val="000000" w:themeColor="text1"/>
        </w:rPr>
        <w:t>.</w:t>
      </w:r>
    </w:p>
    <w:p w:rsidR="002F527B" w:rsidRDefault="002F527B" w:rsidP="003522AE">
      <w:pPr>
        <w:pStyle w:val="FootnoteText"/>
        <w:jc w:val="left"/>
      </w:pPr>
    </w:p>
  </w:footnote>
  <w:footnote w:id="3">
    <w:p w:rsidR="00BC6EEE" w:rsidRDefault="002F527B" w:rsidP="00BC6EEE">
      <w:pPr>
        <w:pStyle w:val="FootnoteText"/>
        <w:jc w:val="left"/>
      </w:pPr>
      <w:r>
        <w:tab/>
      </w:r>
      <w:r w:rsidR="00BC6EEE">
        <w:rPr>
          <w:rStyle w:val="FootnoteReference"/>
        </w:rPr>
        <w:footnoteRef/>
      </w:r>
      <w:r w:rsidR="00BC6EEE">
        <w:t xml:space="preserve"> </w:t>
      </w:r>
      <w:r>
        <w:tab/>
      </w:r>
      <w:r w:rsidR="00BC6EEE" w:rsidRPr="00BC6EEE">
        <w:rPr>
          <w:i/>
        </w:rPr>
        <w:t>James Coppedge v. PECO</w:t>
      </w:r>
      <w:r w:rsidR="00F655E1">
        <w:rPr>
          <w:i/>
        </w:rPr>
        <w:t xml:space="preserve"> Energy Company</w:t>
      </w:r>
      <w:r w:rsidR="00BC6EEE" w:rsidRPr="00BC6EEE">
        <w:t>, Docket No. F-2014-2406180 (Order entered July 29, 2014)</w:t>
      </w:r>
      <w:r w:rsidR="00F655E1">
        <w:t>.</w:t>
      </w:r>
    </w:p>
  </w:footnote>
  <w:footnote w:id="4">
    <w:p w:rsidR="00F655E1" w:rsidRDefault="002F527B" w:rsidP="00F655E1">
      <w:pPr>
        <w:pStyle w:val="FootnoteText"/>
        <w:jc w:val="left"/>
      </w:pPr>
      <w:r>
        <w:tab/>
      </w:r>
      <w:r w:rsidR="00F655E1">
        <w:rPr>
          <w:rStyle w:val="FootnoteReference"/>
        </w:rPr>
        <w:footnoteRef/>
      </w:r>
      <w:r w:rsidR="00F655E1">
        <w:t xml:space="preserve"> </w:t>
      </w:r>
      <w:r>
        <w:tab/>
      </w:r>
      <w:r w:rsidR="00F655E1" w:rsidRPr="00F655E1">
        <w:rPr>
          <w:i/>
        </w:rPr>
        <w:t>Alkhatib v. PECO Energy Company</w:t>
      </w:r>
      <w:r w:rsidR="00F655E1">
        <w:t>, PUC Docket No. C-2011-2242125 (Opinion and Order entered January 12,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0417C"/>
    <w:multiLevelType w:val="hybridMultilevel"/>
    <w:tmpl w:val="E4DC87CC"/>
    <w:lvl w:ilvl="0" w:tplc="DF9C1E6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67087CEC"/>
    <w:multiLevelType w:val="hybridMultilevel"/>
    <w:tmpl w:val="3FF2ACB0"/>
    <w:lvl w:ilvl="0" w:tplc="C60417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1CE"/>
    <w:rsid w:val="000018A7"/>
    <w:rsid w:val="00001E3A"/>
    <w:rsid w:val="00001EF6"/>
    <w:rsid w:val="000028EA"/>
    <w:rsid w:val="00003D11"/>
    <w:rsid w:val="000049D4"/>
    <w:rsid w:val="00004AA3"/>
    <w:rsid w:val="00005558"/>
    <w:rsid w:val="00006BD3"/>
    <w:rsid w:val="000079FE"/>
    <w:rsid w:val="0001073D"/>
    <w:rsid w:val="00012104"/>
    <w:rsid w:val="00012268"/>
    <w:rsid w:val="00012655"/>
    <w:rsid w:val="0001305A"/>
    <w:rsid w:val="00016E55"/>
    <w:rsid w:val="0002023D"/>
    <w:rsid w:val="00020760"/>
    <w:rsid w:val="0002105C"/>
    <w:rsid w:val="0002110E"/>
    <w:rsid w:val="0002235C"/>
    <w:rsid w:val="00022B3F"/>
    <w:rsid w:val="00025D7A"/>
    <w:rsid w:val="000304BF"/>
    <w:rsid w:val="00030BC9"/>
    <w:rsid w:val="00032379"/>
    <w:rsid w:val="0003306B"/>
    <w:rsid w:val="00033303"/>
    <w:rsid w:val="000338CD"/>
    <w:rsid w:val="00035BB8"/>
    <w:rsid w:val="000372C5"/>
    <w:rsid w:val="00037484"/>
    <w:rsid w:val="000377F5"/>
    <w:rsid w:val="00037E0F"/>
    <w:rsid w:val="00040EB6"/>
    <w:rsid w:val="000425D6"/>
    <w:rsid w:val="00044B8B"/>
    <w:rsid w:val="00044DA7"/>
    <w:rsid w:val="00044FC0"/>
    <w:rsid w:val="0004643F"/>
    <w:rsid w:val="000466BF"/>
    <w:rsid w:val="00046714"/>
    <w:rsid w:val="00046940"/>
    <w:rsid w:val="000478E2"/>
    <w:rsid w:val="00052359"/>
    <w:rsid w:val="00053B9A"/>
    <w:rsid w:val="000541C0"/>
    <w:rsid w:val="0005423F"/>
    <w:rsid w:val="00055078"/>
    <w:rsid w:val="00055CC5"/>
    <w:rsid w:val="000576ED"/>
    <w:rsid w:val="000605B6"/>
    <w:rsid w:val="00061278"/>
    <w:rsid w:val="00061AFB"/>
    <w:rsid w:val="000634EB"/>
    <w:rsid w:val="00063801"/>
    <w:rsid w:val="0006752D"/>
    <w:rsid w:val="000676B2"/>
    <w:rsid w:val="00067CBC"/>
    <w:rsid w:val="00070AA1"/>
    <w:rsid w:val="00071A36"/>
    <w:rsid w:val="00072595"/>
    <w:rsid w:val="00072D46"/>
    <w:rsid w:val="00072E45"/>
    <w:rsid w:val="0007397C"/>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80D"/>
    <w:rsid w:val="00097D77"/>
    <w:rsid w:val="000A0123"/>
    <w:rsid w:val="000A2192"/>
    <w:rsid w:val="000A4551"/>
    <w:rsid w:val="000A4E7A"/>
    <w:rsid w:val="000A5DEA"/>
    <w:rsid w:val="000A6171"/>
    <w:rsid w:val="000A652E"/>
    <w:rsid w:val="000A770B"/>
    <w:rsid w:val="000B1BFC"/>
    <w:rsid w:val="000B1D64"/>
    <w:rsid w:val="000B2D0C"/>
    <w:rsid w:val="000B339A"/>
    <w:rsid w:val="000B7111"/>
    <w:rsid w:val="000B7866"/>
    <w:rsid w:val="000C0311"/>
    <w:rsid w:val="000C2696"/>
    <w:rsid w:val="000C27AC"/>
    <w:rsid w:val="000C2A2B"/>
    <w:rsid w:val="000C34F3"/>
    <w:rsid w:val="000C4163"/>
    <w:rsid w:val="000C56DC"/>
    <w:rsid w:val="000C5976"/>
    <w:rsid w:val="000C5DC7"/>
    <w:rsid w:val="000C683B"/>
    <w:rsid w:val="000C6B6E"/>
    <w:rsid w:val="000C6D5C"/>
    <w:rsid w:val="000C6EF0"/>
    <w:rsid w:val="000C6FAA"/>
    <w:rsid w:val="000C7A4F"/>
    <w:rsid w:val="000D29BA"/>
    <w:rsid w:val="000D3E49"/>
    <w:rsid w:val="000D5763"/>
    <w:rsid w:val="000D67F6"/>
    <w:rsid w:val="000E2F36"/>
    <w:rsid w:val="000E44C4"/>
    <w:rsid w:val="000E49E6"/>
    <w:rsid w:val="000E4A42"/>
    <w:rsid w:val="000E503F"/>
    <w:rsid w:val="000E6655"/>
    <w:rsid w:val="000E6827"/>
    <w:rsid w:val="000E71B3"/>
    <w:rsid w:val="000E7515"/>
    <w:rsid w:val="000E7EF5"/>
    <w:rsid w:val="000F1890"/>
    <w:rsid w:val="000F2E5F"/>
    <w:rsid w:val="000F3819"/>
    <w:rsid w:val="000F3B32"/>
    <w:rsid w:val="000F47F1"/>
    <w:rsid w:val="000F51F1"/>
    <w:rsid w:val="000F5D78"/>
    <w:rsid w:val="000F678B"/>
    <w:rsid w:val="000F680A"/>
    <w:rsid w:val="000F78BE"/>
    <w:rsid w:val="0010080E"/>
    <w:rsid w:val="001021FB"/>
    <w:rsid w:val="00102A77"/>
    <w:rsid w:val="0010420D"/>
    <w:rsid w:val="00104518"/>
    <w:rsid w:val="00106EE8"/>
    <w:rsid w:val="001077F1"/>
    <w:rsid w:val="00113655"/>
    <w:rsid w:val="00113B1B"/>
    <w:rsid w:val="001155EF"/>
    <w:rsid w:val="00115BB6"/>
    <w:rsid w:val="00116578"/>
    <w:rsid w:val="001170B8"/>
    <w:rsid w:val="0012035F"/>
    <w:rsid w:val="00120D02"/>
    <w:rsid w:val="00120DE8"/>
    <w:rsid w:val="00121291"/>
    <w:rsid w:val="00121792"/>
    <w:rsid w:val="001219A5"/>
    <w:rsid w:val="0012343C"/>
    <w:rsid w:val="00124101"/>
    <w:rsid w:val="00124D49"/>
    <w:rsid w:val="00126739"/>
    <w:rsid w:val="0012770C"/>
    <w:rsid w:val="0013068D"/>
    <w:rsid w:val="00130A2C"/>
    <w:rsid w:val="0013273A"/>
    <w:rsid w:val="00135526"/>
    <w:rsid w:val="00135C30"/>
    <w:rsid w:val="00137C91"/>
    <w:rsid w:val="00140273"/>
    <w:rsid w:val="0014105E"/>
    <w:rsid w:val="0014145C"/>
    <w:rsid w:val="0014208B"/>
    <w:rsid w:val="00143142"/>
    <w:rsid w:val="00143C25"/>
    <w:rsid w:val="00144D2D"/>
    <w:rsid w:val="00145327"/>
    <w:rsid w:val="0014747C"/>
    <w:rsid w:val="00150084"/>
    <w:rsid w:val="00150BAA"/>
    <w:rsid w:val="00152794"/>
    <w:rsid w:val="00152FD8"/>
    <w:rsid w:val="001537E3"/>
    <w:rsid w:val="00153C39"/>
    <w:rsid w:val="00154F0C"/>
    <w:rsid w:val="0015569F"/>
    <w:rsid w:val="00155E87"/>
    <w:rsid w:val="0015737B"/>
    <w:rsid w:val="00157490"/>
    <w:rsid w:val="00157E46"/>
    <w:rsid w:val="001612DE"/>
    <w:rsid w:val="001627EF"/>
    <w:rsid w:val="00162A12"/>
    <w:rsid w:val="00162D2F"/>
    <w:rsid w:val="001632AC"/>
    <w:rsid w:val="0016332A"/>
    <w:rsid w:val="0016435F"/>
    <w:rsid w:val="0016521D"/>
    <w:rsid w:val="001658B2"/>
    <w:rsid w:val="00170FE6"/>
    <w:rsid w:val="00171416"/>
    <w:rsid w:val="001717BC"/>
    <w:rsid w:val="00172857"/>
    <w:rsid w:val="00172B0B"/>
    <w:rsid w:val="00172E8C"/>
    <w:rsid w:val="00173570"/>
    <w:rsid w:val="00173C70"/>
    <w:rsid w:val="00174F7E"/>
    <w:rsid w:val="0017580D"/>
    <w:rsid w:val="00175F76"/>
    <w:rsid w:val="001764BA"/>
    <w:rsid w:val="00176C44"/>
    <w:rsid w:val="00181AB1"/>
    <w:rsid w:val="001857EA"/>
    <w:rsid w:val="00186328"/>
    <w:rsid w:val="001868F5"/>
    <w:rsid w:val="00190B2C"/>
    <w:rsid w:val="00191522"/>
    <w:rsid w:val="00192D00"/>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41D4"/>
    <w:rsid w:val="001A5421"/>
    <w:rsid w:val="001A6541"/>
    <w:rsid w:val="001A7F95"/>
    <w:rsid w:val="001B06B8"/>
    <w:rsid w:val="001B1B1D"/>
    <w:rsid w:val="001B3572"/>
    <w:rsid w:val="001B3D6F"/>
    <w:rsid w:val="001B477B"/>
    <w:rsid w:val="001B4B2B"/>
    <w:rsid w:val="001B4EC8"/>
    <w:rsid w:val="001B6470"/>
    <w:rsid w:val="001B68A0"/>
    <w:rsid w:val="001B760E"/>
    <w:rsid w:val="001C0410"/>
    <w:rsid w:val="001C054D"/>
    <w:rsid w:val="001C2101"/>
    <w:rsid w:val="001C2234"/>
    <w:rsid w:val="001C537D"/>
    <w:rsid w:val="001C64B4"/>
    <w:rsid w:val="001C65CD"/>
    <w:rsid w:val="001C6AC3"/>
    <w:rsid w:val="001D05DB"/>
    <w:rsid w:val="001D0876"/>
    <w:rsid w:val="001D0F91"/>
    <w:rsid w:val="001D1F1B"/>
    <w:rsid w:val="001D30CE"/>
    <w:rsid w:val="001D4223"/>
    <w:rsid w:val="001D556B"/>
    <w:rsid w:val="001E2642"/>
    <w:rsid w:val="001E3C9A"/>
    <w:rsid w:val="001E5411"/>
    <w:rsid w:val="001E5447"/>
    <w:rsid w:val="001E5DF5"/>
    <w:rsid w:val="001E604F"/>
    <w:rsid w:val="001E76FD"/>
    <w:rsid w:val="001E79A7"/>
    <w:rsid w:val="001F0835"/>
    <w:rsid w:val="001F09A7"/>
    <w:rsid w:val="001F1049"/>
    <w:rsid w:val="001F1139"/>
    <w:rsid w:val="001F1F3C"/>
    <w:rsid w:val="001F2815"/>
    <w:rsid w:val="001F33A3"/>
    <w:rsid w:val="001F4882"/>
    <w:rsid w:val="001F49C0"/>
    <w:rsid w:val="001F4DA0"/>
    <w:rsid w:val="001F6A1A"/>
    <w:rsid w:val="001F6E43"/>
    <w:rsid w:val="001F6F77"/>
    <w:rsid w:val="001F74FC"/>
    <w:rsid w:val="001F77B2"/>
    <w:rsid w:val="002004A8"/>
    <w:rsid w:val="002019B1"/>
    <w:rsid w:val="00201E65"/>
    <w:rsid w:val="00205C33"/>
    <w:rsid w:val="00211216"/>
    <w:rsid w:val="0021162B"/>
    <w:rsid w:val="002120B2"/>
    <w:rsid w:val="002125E4"/>
    <w:rsid w:val="002131B7"/>
    <w:rsid w:val="00213336"/>
    <w:rsid w:val="00213BF6"/>
    <w:rsid w:val="00214E49"/>
    <w:rsid w:val="00215381"/>
    <w:rsid w:val="00215BA6"/>
    <w:rsid w:val="002163B7"/>
    <w:rsid w:val="00216C32"/>
    <w:rsid w:val="00216F76"/>
    <w:rsid w:val="0021750E"/>
    <w:rsid w:val="002178EA"/>
    <w:rsid w:val="0022017F"/>
    <w:rsid w:val="002205EC"/>
    <w:rsid w:val="00220D97"/>
    <w:rsid w:val="00221A88"/>
    <w:rsid w:val="00222D81"/>
    <w:rsid w:val="002241D0"/>
    <w:rsid w:val="00224756"/>
    <w:rsid w:val="0022478F"/>
    <w:rsid w:val="00224C6E"/>
    <w:rsid w:val="00227A4A"/>
    <w:rsid w:val="00230CC6"/>
    <w:rsid w:val="00231F41"/>
    <w:rsid w:val="00232397"/>
    <w:rsid w:val="002337D7"/>
    <w:rsid w:val="00233A70"/>
    <w:rsid w:val="00234712"/>
    <w:rsid w:val="00234DEB"/>
    <w:rsid w:val="0023584A"/>
    <w:rsid w:val="00236C44"/>
    <w:rsid w:val="00240343"/>
    <w:rsid w:val="0024037F"/>
    <w:rsid w:val="002403E6"/>
    <w:rsid w:val="00241245"/>
    <w:rsid w:val="002422D0"/>
    <w:rsid w:val="00245181"/>
    <w:rsid w:val="002451F7"/>
    <w:rsid w:val="002455CC"/>
    <w:rsid w:val="00246523"/>
    <w:rsid w:val="0024777B"/>
    <w:rsid w:val="00247CE0"/>
    <w:rsid w:val="002502F2"/>
    <w:rsid w:val="00250571"/>
    <w:rsid w:val="00251E5A"/>
    <w:rsid w:val="00252DB6"/>
    <w:rsid w:val="00252DFD"/>
    <w:rsid w:val="00252F2A"/>
    <w:rsid w:val="0025351B"/>
    <w:rsid w:val="002546D8"/>
    <w:rsid w:val="002557C7"/>
    <w:rsid w:val="002558A3"/>
    <w:rsid w:val="00255930"/>
    <w:rsid w:val="00255ABE"/>
    <w:rsid w:val="00256505"/>
    <w:rsid w:val="00260459"/>
    <w:rsid w:val="00260814"/>
    <w:rsid w:val="00262A17"/>
    <w:rsid w:val="00262AF8"/>
    <w:rsid w:val="00263AD5"/>
    <w:rsid w:val="00263FD9"/>
    <w:rsid w:val="00266E24"/>
    <w:rsid w:val="0026705F"/>
    <w:rsid w:val="002704DD"/>
    <w:rsid w:val="00270AF3"/>
    <w:rsid w:val="00270FE4"/>
    <w:rsid w:val="0027182F"/>
    <w:rsid w:val="0027207B"/>
    <w:rsid w:val="0027210A"/>
    <w:rsid w:val="00273679"/>
    <w:rsid w:val="0027475D"/>
    <w:rsid w:val="002748C2"/>
    <w:rsid w:val="002752C3"/>
    <w:rsid w:val="00275659"/>
    <w:rsid w:val="002757B6"/>
    <w:rsid w:val="002761E2"/>
    <w:rsid w:val="00277591"/>
    <w:rsid w:val="002809C9"/>
    <w:rsid w:val="00283282"/>
    <w:rsid w:val="00284760"/>
    <w:rsid w:val="00285C9A"/>
    <w:rsid w:val="00286A34"/>
    <w:rsid w:val="002871C2"/>
    <w:rsid w:val="00287CB1"/>
    <w:rsid w:val="0029096F"/>
    <w:rsid w:val="00290AD2"/>
    <w:rsid w:val="00292CA5"/>
    <w:rsid w:val="0029353E"/>
    <w:rsid w:val="00293EB9"/>
    <w:rsid w:val="00293F4E"/>
    <w:rsid w:val="00296B74"/>
    <w:rsid w:val="00297286"/>
    <w:rsid w:val="002A0037"/>
    <w:rsid w:val="002A05C6"/>
    <w:rsid w:val="002A1522"/>
    <w:rsid w:val="002A17F4"/>
    <w:rsid w:val="002A2A71"/>
    <w:rsid w:val="002A4E7E"/>
    <w:rsid w:val="002A5F4D"/>
    <w:rsid w:val="002A68C1"/>
    <w:rsid w:val="002A7068"/>
    <w:rsid w:val="002A70E9"/>
    <w:rsid w:val="002A7119"/>
    <w:rsid w:val="002A7A0A"/>
    <w:rsid w:val="002B0D61"/>
    <w:rsid w:val="002B2AF4"/>
    <w:rsid w:val="002B3E20"/>
    <w:rsid w:val="002B541A"/>
    <w:rsid w:val="002B754D"/>
    <w:rsid w:val="002C0694"/>
    <w:rsid w:val="002C1023"/>
    <w:rsid w:val="002C4241"/>
    <w:rsid w:val="002C4F02"/>
    <w:rsid w:val="002C69AD"/>
    <w:rsid w:val="002D0E4D"/>
    <w:rsid w:val="002D11F2"/>
    <w:rsid w:val="002D1E71"/>
    <w:rsid w:val="002D29B0"/>
    <w:rsid w:val="002D400B"/>
    <w:rsid w:val="002D40F8"/>
    <w:rsid w:val="002D56A9"/>
    <w:rsid w:val="002D5798"/>
    <w:rsid w:val="002D5B2A"/>
    <w:rsid w:val="002D6B36"/>
    <w:rsid w:val="002D7136"/>
    <w:rsid w:val="002D7978"/>
    <w:rsid w:val="002E2283"/>
    <w:rsid w:val="002E2CAD"/>
    <w:rsid w:val="002E32C2"/>
    <w:rsid w:val="002E5790"/>
    <w:rsid w:val="002E6CB4"/>
    <w:rsid w:val="002E7DDB"/>
    <w:rsid w:val="002F21B6"/>
    <w:rsid w:val="002F222D"/>
    <w:rsid w:val="002F2A4A"/>
    <w:rsid w:val="002F42FC"/>
    <w:rsid w:val="002F4ADD"/>
    <w:rsid w:val="002F4DA2"/>
    <w:rsid w:val="002F527B"/>
    <w:rsid w:val="002F5C03"/>
    <w:rsid w:val="002F6F4F"/>
    <w:rsid w:val="002F6F57"/>
    <w:rsid w:val="002F75DA"/>
    <w:rsid w:val="0030182F"/>
    <w:rsid w:val="00303526"/>
    <w:rsid w:val="00303761"/>
    <w:rsid w:val="00304AA1"/>
    <w:rsid w:val="0030682B"/>
    <w:rsid w:val="00306C33"/>
    <w:rsid w:val="00311531"/>
    <w:rsid w:val="003115D2"/>
    <w:rsid w:val="00312CA3"/>
    <w:rsid w:val="00312F06"/>
    <w:rsid w:val="00313595"/>
    <w:rsid w:val="0031425A"/>
    <w:rsid w:val="00314713"/>
    <w:rsid w:val="003149F5"/>
    <w:rsid w:val="003151E4"/>
    <w:rsid w:val="003156B2"/>
    <w:rsid w:val="003156D7"/>
    <w:rsid w:val="003169C1"/>
    <w:rsid w:val="00317261"/>
    <w:rsid w:val="0032130D"/>
    <w:rsid w:val="00321B3A"/>
    <w:rsid w:val="00321DB1"/>
    <w:rsid w:val="00323726"/>
    <w:rsid w:val="00326EEE"/>
    <w:rsid w:val="00326F3E"/>
    <w:rsid w:val="00330A67"/>
    <w:rsid w:val="00332673"/>
    <w:rsid w:val="00332A51"/>
    <w:rsid w:val="00333ADD"/>
    <w:rsid w:val="00334F62"/>
    <w:rsid w:val="00336496"/>
    <w:rsid w:val="003364EB"/>
    <w:rsid w:val="00336CE8"/>
    <w:rsid w:val="003371FC"/>
    <w:rsid w:val="003415B9"/>
    <w:rsid w:val="003425CF"/>
    <w:rsid w:val="0034272B"/>
    <w:rsid w:val="00342BFE"/>
    <w:rsid w:val="00344C34"/>
    <w:rsid w:val="00345C65"/>
    <w:rsid w:val="00346679"/>
    <w:rsid w:val="003470E8"/>
    <w:rsid w:val="00347634"/>
    <w:rsid w:val="0035100D"/>
    <w:rsid w:val="003522AE"/>
    <w:rsid w:val="003534EB"/>
    <w:rsid w:val="00353F10"/>
    <w:rsid w:val="00354574"/>
    <w:rsid w:val="00354BD0"/>
    <w:rsid w:val="00354FC3"/>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087F"/>
    <w:rsid w:val="00375889"/>
    <w:rsid w:val="003760EB"/>
    <w:rsid w:val="00376671"/>
    <w:rsid w:val="00380892"/>
    <w:rsid w:val="00381B05"/>
    <w:rsid w:val="00383321"/>
    <w:rsid w:val="003839CF"/>
    <w:rsid w:val="00385BF0"/>
    <w:rsid w:val="00385DAD"/>
    <w:rsid w:val="003864D5"/>
    <w:rsid w:val="00386626"/>
    <w:rsid w:val="00387215"/>
    <w:rsid w:val="003908D7"/>
    <w:rsid w:val="00390929"/>
    <w:rsid w:val="00390DBB"/>
    <w:rsid w:val="00391CFF"/>
    <w:rsid w:val="003924CC"/>
    <w:rsid w:val="00396333"/>
    <w:rsid w:val="00396ADD"/>
    <w:rsid w:val="0039716B"/>
    <w:rsid w:val="003A0B9C"/>
    <w:rsid w:val="003A0E5A"/>
    <w:rsid w:val="003A0F8D"/>
    <w:rsid w:val="003A34DB"/>
    <w:rsid w:val="003A3A3A"/>
    <w:rsid w:val="003A43C3"/>
    <w:rsid w:val="003A5E83"/>
    <w:rsid w:val="003A645E"/>
    <w:rsid w:val="003A6A5F"/>
    <w:rsid w:val="003A7581"/>
    <w:rsid w:val="003A7600"/>
    <w:rsid w:val="003B2E77"/>
    <w:rsid w:val="003B2FAC"/>
    <w:rsid w:val="003B3FDD"/>
    <w:rsid w:val="003B4D40"/>
    <w:rsid w:val="003B4DD9"/>
    <w:rsid w:val="003B5D19"/>
    <w:rsid w:val="003B610B"/>
    <w:rsid w:val="003C041D"/>
    <w:rsid w:val="003C34F1"/>
    <w:rsid w:val="003C3DEA"/>
    <w:rsid w:val="003C421E"/>
    <w:rsid w:val="003C47E8"/>
    <w:rsid w:val="003C5102"/>
    <w:rsid w:val="003C5586"/>
    <w:rsid w:val="003C610C"/>
    <w:rsid w:val="003C6962"/>
    <w:rsid w:val="003C6F65"/>
    <w:rsid w:val="003C7514"/>
    <w:rsid w:val="003D0C76"/>
    <w:rsid w:val="003D1F46"/>
    <w:rsid w:val="003D3B64"/>
    <w:rsid w:val="003D41CF"/>
    <w:rsid w:val="003D5045"/>
    <w:rsid w:val="003D7707"/>
    <w:rsid w:val="003E13E3"/>
    <w:rsid w:val="003E1442"/>
    <w:rsid w:val="003E2B14"/>
    <w:rsid w:val="003E2FDE"/>
    <w:rsid w:val="003E31DD"/>
    <w:rsid w:val="003E447A"/>
    <w:rsid w:val="003E5240"/>
    <w:rsid w:val="003E54B5"/>
    <w:rsid w:val="003E7E85"/>
    <w:rsid w:val="003F01A7"/>
    <w:rsid w:val="003F2E62"/>
    <w:rsid w:val="003F3925"/>
    <w:rsid w:val="003F425B"/>
    <w:rsid w:val="004002AF"/>
    <w:rsid w:val="00401386"/>
    <w:rsid w:val="004017C5"/>
    <w:rsid w:val="0040308F"/>
    <w:rsid w:val="004047B1"/>
    <w:rsid w:val="00404E55"/>
    <w:rsid w:val="0040584C"/>
    <w:rsid w:val="00406753"/>
    <w:rsid w:val="00406807"/>
    <w:rsid w:val="004078EF"/>
    <w:rsid w:val="00407C2F"/>
    <w:rsid w:val="0041082C"/>
    <w:rsid w:val="004109FE"/>
    <w:rsid w:val="00411425"/>
    <w:rsid w:val="00413B28"/>
    <w:rsid w:val="00413BA5"/>
    <w:rsid w:val="00413DAC"/>
    <w:rsid w:val="00414D68"/>
    <w:rsid w:val="0041623E"/>
    <w:rsid w:val="00416A3B"/>
    <w:rsid w:val="00416AB2"/>
    <w:rsid w:val="00421203"/>
    <w:rsid w:val="004212AA"/>
    <w:rsid w:val="0042227A"/>
    <w:rsid w:val="004222CB"/>
    <w:rsid w:val="00423359"/>
    <w:rsid w:val="00425C94"/>
    <w:rsid w:val="00426277"/>
    <w:rsid w:val="004262B3"/>
    <w:rsid w:val="00426605"/>
    <w:rsid w:val="00427215"/>
    <w:rsid w:val="00431130"/>
    <w:rsid w:val="00433AE5"/>
    <w:rsid w:val="0043485A"/>
    <w:rsid w:val="00434FD6"/>
    <w:rsid w:val="00436035"/>
    <w:rsid w:val="0044010C"/>
    <w:rsid w:val="00440521"/>
    <w:rsid w:val="004407EE"/>
    <w:rsid w:val="00440960"/>
    <w:rsid w:val="00441078"/>
    <w:rsid w:val="00442254"/>
    <w:rsid w:val="00443307"/>
    <w:rsid w:val="0044490C"/>
    <w:rsid w:val="00444DBF"/>
    <w:rsid w:val="00444E41"/>
    <w:rsid w:val="00445003"/>
    <w:rsid w:val="00445B46"/>
    <w:rsid w:val="00446B02"/>
    <w:rsid w:val="00446C81"/>
    <w:rsid w:val="00446CF6"/>
    <w:rsid w:val="0044708D"/>
    <w:rsid w:val="00447133"/>
    <w:rsid w:val="00447A63"/>
    <w:rsid w:val="00447DB3"/>
    <w:rsid w:val="0045034E"/>
    <w:rsid w:val="00451446"/>
    <w:rsid w:val="0045199A"/>
    <w:rsid w:val="004521D4"/>
    <w:rsid w:val="00452EEE"/>
    <w:rsid w:val="0045300F"/>
    <w:rsid w:val="00453A6E"/>
    <w:rsid w:val="00454158"/>
    <w:rsid w:val="00454723"/>
    <w:rsid w:val="00455691"/>
    <w:rsid w:val="004565C0"/>
    <w:rsid w:val="00456D4A"/>
    <w:rsid w:val="00457320"/>
    <w:rsid w:val="00457571"/>
    <w:rsid w:val="00460024"/>
    <w:rsid w:val="00460031"/>
    <w:rsid w:val="00460140"/>
    <w:rsid w:val="0046238B"/>
    <w:rsid w:val="004625E8"/>
    <w:rsid w:val="00464B18"/>
    <w:rsid w:val="00465D71"/>
    <w:rsid w:val="00466D15"/>
    <w:rsid w:val="0047070D"/>
    <w:rsid w:val="00477A71"/>
    <w:rsid w:val="00481269"/>
    <w:rsid w:val="00483704"/>
    <w:rsid w:val="004839FC"/>
    <w:rsid w:val="00483C70"/>
    <w:rsid w:val="00484589"/>
    <w:rsid w:val="00484654"/>
    <w:rsid w:val="00484BCE"/>
    <w:rsid w:val="00487E8F"/>
    <w:rsid w:val="00490EE8"/>
    <w:rsid w:val="00491F39"/>
    <w:rsid w:val="004938B5"/>
    <w:rsid w:val="00493AC3"/>
    <w:rsid w:val="0049422F"/>
    <w:rsid w:val="0049475D"/>
    <w:rsid w:val="004953C8"/>
    <w:rsid w:val="0049575D"/>
    <w:rsid w:val="00496D95"/>
    <w:rsid w:val="00496DB8"/>
    <w:rsid w:val="004A11A6"/>
    <w:rsid w:val="004A1729"/>
    <w:rsid w:val="004A21F4"/>
    <w:rsid w:val="004A2610"/>
    <w:rsid w:val="004A3363"/>
    <w:rsid w:val="004A4B6C"/>
    <w:rsid w:val="004A5318"/>
    <w:rsid w:val="004A5D57"/>
    <w:rsid w:val="004A741E"/>
    <w:rsid w:val="004B0194"/>
    <w:rsid w:val="004B0321"/>
    <w:rsid w:val="004B1ADE"/>
    <w:rsid w:val="004B2625"/>
    <w:rsid w:val="004B50E1"/>
    <w:rsid w:val="004B570B"/>
    <w:rsid w:val="004B5BBD"/>
    <w:rsid w:val="004B652A"/>
    <w:rsid w:val="004B7DB2"/>
    <w:rsid w:val="004C015B"/>
    <w:rsid w:val="004C125D"/>
    <w:rsid w:val="004C1845"/>
    <w:rsid w:val="004C1ABF"/>
    <w:rsid w:val="004C30D2"/>
    <w:rsid w:val="004C3AE2"/>
    <w:rsid w:val="004C4C1E"/>
    <w:rsid w:val="004C583B"/>
    <w:rsid w:val="004C657C"/>
    <w:rsid w:val="004D0BE0"/>
    <w:rsid w:val="004D14F0"/>
    <w:rsid w:val="004D1505"/>
    <w:rsid w:val="004D17DF"/>
    <w:rsid w:val="004D38F8"/>
    <w:rsid w:val="004D4A68"/>
    <w:rsid w:val="004D4E7A"/>
    <w:rsid w:val="004D5646"/>
    <w:rsid w:val="004D6D13"/>
    <w:rsid w:val="004D6DCE"/>
    <w:rsid w:val="004E1B61"/>
    <w:rsid w:val="004E1FD5"/>
    <w:rsid w:val="004E23ED"/>
    <w:rsid w:val="004E4216"/>
    <w:rsid w:val="004E429F"/>
    <w:rsid w:val="004E5152"/>
    <w:rsid w:val="004E60E4"/>
    <w:rsid w:val="004E76CD"/>
    <w:rsid w:val="004F160A"/>
    <w:rsid w:val="004F2F62"/>
    <w:rsid w:val="004F37CB"/>
    <w:rsid w:val="004F3BAD"/>
    <w:rsid w:val="004F45CA"/>
    <w:rsid w:val="004F5216"/>
    <w:rsid w:val="004F616B"/>
    <w:rsid w:val="004F64E4"/>
    <w:rsid w:val="004F709C"/>
    <w:rsid w:val="00500A53"/>
    <w:rsid w:val="00503634"/>
    <w:rsid w:val="00504F92"/>
    <w:rsid w:val="00505518"/>
    <w:rsid w:val="00505551"/>
    <w:rsid w:val="00507305"/>
    <w:rsid w:val="005078B3"/>
    <w:rsid w:val="00510A28"/>
    <w:rsid w:val="005114A5"/>
    <w:rsid w:val="00511663"/>
    <w:rsid w:val="00511C54"/>
    <w:rsid w:val="0051292E"/>
    <w:rsid w:val="00515785"/>
    <w:rsid w:val="005160AC"/>
    <w:rsid w:val="00516207"/>
    <w:rsid w:val="00517995"/>
    <w:rsid w:val="00520C27"/>
    <w:rsid w:val="005216F6"/>
    <w:rsid w:val="00521B57"/>
    <w:rsid w:val="00522DE9"/>
    <w:rsid w:val="00522EF8"/>
    <w:rsid w:val="0052399F"/>
    <w:rsid w:val="00523F60"/>
    <w:rsid w:val="00523FBA"/>
    <w:rsid w:val="00524079"/>
    <w:rsid w:val="00524699"/>
    <w:rsid w:val="005255C0"/>
    <w:rsid w:val="005258BD"/>
    <w:rsid w:val="00526890"/>
    <w:rsid w:val="0052764F"/>
    <w:rsid w:val="00527AFE"/>
    <w:rsid w:val="00532156"/>
    <w:rsid w:val="00532319"/>
    <w:rsid w:val="005328F4"/>
    <w:rsid w:val="005335CF"/>
    <w:rsid w:val="00535220"/>
    <w:rsid w:val="00536ABE"/>
    <w:rsid w:val="00536B5A"/>
    <w:rsid w:val="00540B74"/>
    <w:rsid w:val="00540B8B"/>
    <w:rsid w:val="00540ED6"/>
    <w:rsid w:val="00541C1D"/>
    <w:rsid w:val="005449AC"/>
    <w:rsid w:val="00544A16"/>
    <w:rsid w:val="005472EC"/>
    <w:rsid w:val="00547C82"/>
    <w:rsid w:val="00547DC4"/>
    <w:rsid w:val="00550845"/>
    <w:rsid w:val="0055122B"/>
    <w:rsid w:val="00552915"/>
    <w:rsid w:val="005534BD"/>
    <w:rsid w:val="005623DE"/>
    <w:rsid w:val="00562A9A"/>
    <w:rsid w:val="00564A3A"/>
    <w:rsid w:val="005650FF"/>
    <w:rsid w:val="005659E3"/>
    <w:rsid w:val="00566DDB"/>
    <w:rsid w:val="005674B3"/>
    <w:rsid w:val="005674EF"/>
    <w:rsid w:val="00570742"/>
    <w:rsid w:val="00570C2E"/>
    <w:rsid w:val="00571577"/>
    <w:rsid w:val="00571C60"/>
    <w:rsid w:val="0057213D"/>
    <w:rsid w:val="005729E9"/>
    <w:rsid w:val="005731E7"/>
    <w:rsid w:val="005732E9"/>
    <w:rsid w:val="0057454E"/>
    <w:rsid w:val="0057492B"/>
    <w:rsid w:val="00575D4F"/>
    <w:rsid w:val="00575F27"/>
    <w:rsid w:val="00576BB2"/>
    <w:rsid w:val="0058036C"/>
    <w:rsid w:val="0058073B"/>
    <w:rsid w:val="00580815"/>
    <w:rsid w:val="00582289"/>
    <w:rsid w:val="0058363F"/>
    <w:rsid w:val="00584CB9"/>
    <w:rsid w:val="00585BD9"/>
    <w:rsid w:val="005861CE"/>
    <w:rsid w:val="00587B74"/>
    <w:rsid w:val="00591696"/>
    <w:rsid w:val="00593FF1"/>
    <w:rsid w:val="00594648"/>
    <w:rsid w:val="00594E77"/>
    <w:rsid w:val="0059623B"/>
    <w:rsid w:val="00596D1D"/>
    <w:rsid w:val="00597A54"/>
    <w:rsid w:val="005A1839"/>
    <w:rsid w:val="005A2923"/>
    <w:rsid w:val="005A3759"/>
    <w:rsid w:val="005A44D9"/>
    <w:rsid w:val="005A4E8C"/>
    <w:rsid w:val="005A5826"/>
    <w:rsid w:val="005A6ADE"/>
    <w:rsid w:val="005B15DD"/>
    <w:rsid w:val="005B3D45"/>
    <w:rsid w:val="005B78C4"/>
    <w:rsid w:val="005C23BB"/>
    <w:rsid w:val="005C2527"/>
    <w:rsid w:val="005C2BD8"/>
    <w:rsid w:val="005C373B"/>
    <w:rsid w:val="005C3DD2"/>
    <w:rsid w:val="005C4AAA"/>
    <w:rsid w:val="005C610A"/>
    <w:rsid w:val="005D1442"/>
    <w:rsid w:val="005D1922"/>
    <w:rsid w:val="005D22EB"/>
    <w:rsid w:val="005D2788"/>
    <w:rsid w:val="005D4281"/>
    <w:rsid w:val="005D6E32"/>
    <w:rsid w:val="005E06D4"/>
    <w:rsid w:val="005E0726"/>
    <w:rsid w:val="005E1521"/>
    <w:rsid w:val="005E29DB"/>
    <w:rsid w:val="005E3768"/>
    <w:rsid w:val="005E448D"/>
    <w:rsid w:val="005F064D"/>
    <w:rsid w:val="005F1229"/>
    <w:rsid w:val="005F512E"/>
    <w:rsid w:val="005F5A21"/>
    <w:rsid w:val="005F5CA8"/>
    <w:rsid w:val="005F6A04"/>
    <w:rsid w:val="00600458"/>
    <w:rsid w:val="0060118D"/>
    <w:rsid w:val="0060281B"/>
    <w:rsid w:val="0060369E"/>
    <w:rsid w:val="00603824"/>
    <w:rsid w:val="0060530E"/>
    <w:rsid w:val="00605D75"/>
    <w:rsid w:val="006073B5"/>
    <w:rsid w:val="0060794A"/>
    <w:rsid w:val="00610CE1"/>
    <w:rsid w:val="006113D8"/>
    <w:rsid w:val="006114BA"/>
    <w:rsid w:val="00612C6B"/>
    <w:rsid w:val="00613B7A"/>
    <w:rsid w:val="006151E3"/>
    <w:rsid w:val="00616232"/>
    <w:rsid w:val="00620850"/>
    <w:rsid w:val="00620DB5"/>
    <w:rsid w:val="00621A59"/>
    <w:rsid w:val="0062201A"/>
    <w:rsid w:val="006225AC"/>
    <w:rsid w:val="006230A9"/>
    <w:rsid w:val="00623799"/>
    <w:rsid w:val="00624D32"/>
    <w:rsid w:val="006273ED"/>
    <w:rsid w:val="00627DA2"/>
    <w:rsid w:val="00630C84"/>
    <w:rsid w:val="0063256A"/>
    <w:rsid w:val="006326D0"/>
    <w:rsid w:val="00634EB5"/>
    <w:rsid w:val="0063516D"/>
    <w:rsid w:val="00635AE1"/>
    <w:rsid w:val="00635DA6"/>
    <w:rsid w:val="006416B8"/>
    <w:rsid w:val="006428D4"/>
    <w:rsid w:val="0064349A"/>
    <w:rsid w:val="00643E46"/>
    <w:rsid w:val="006466B3"/>
    <w:rsid w:val="0064692D"/>
    <w:rsid w:val="00646FCC"/>
    <w:rsid w:val="0064750C"/>
    <w:rsid w:val="00651F0A"/>
    <w:rsid w:val="006538FE"/>
    <w:rsid w:val="006540C5"/>
    <w:rsid w:val="0065415A"/>
    <w:rsid w:val="006543FB"/>
    <w:rsid w:val="006549F5"/>
    <w:rsid w:val="00655505"/>
    <w:rsid w:val="00655AA7"/>
    <w:rsid w:val="00655F80"/>
    <w:rsid w:val="00656541"/>
    <w:rsid w:val="00657F05"/>
    <w:rsid w:val="00660216"/>
    <w:rsid w:val="006609B7"/>
    <w:rsid w:val="00661A3F"/>
    <w:rsid w:val="006621E9"/>
    <w:rsid w:val="00662904"/>
    <w:rsid w:val="00664A57"/>
    <w:rsid w:val="00664C73"/>
    <w:rsid w:val="00665CED"/>
    <w:rsid w:val="00665F1F"/>
    <w:rsid w:val="00671405"/>
    <w:rsid w:val="00671999"/>
    <w:rsid w:val="006764EA"/>
    <w:rsid w:val="00677DDE"/>
    <w:rsid w:val="00680B65"/>
    <w:rsid w:val="00681287"/>
    <w:rsid w:val="006815A6"/>
    <w:rsid w:val="00681FD9"/>
    <w:rsid w:val="0068285E"/>
    <w:rsid w:val="00684EF6"/>
    <w:rsid w:val="006856E2"/>
    <w:rsid w:val="00685D49"/>
    <w:rsid w:val="00690E46"/>
    <w:rsid w:val="00692736"/>
    <w:rsid w:val="00693743"/>
    <w:rsid w:val="00693995"/>
    <w:rsid w:val="00693C61"/>
    <w:rsid w:val="00695397"/>
    <w:rsid w:val="0069562F"/>
    <w:rsid w:val="00695D4A"/>
    <w:rsid w:val="006A177A"/>
    <w:rsid w:val="006A1A5D"/>
    <w:rsid w:val="006A1EFE"/>
    <w:rsid w:val="006A3267"/>
    <w:rsid w:val="006A4533"/>
    <w:rsid w:val="006A5968"/>
    <w:rsid w:val="006A5F8B"/>
    <w:rsid w:val="006A600F"/>
    <w:rsid w:val="006A686A"/>
    <w:rsid w:val="006A6AC6"/>
    <w:rsid w:val="006B1A6D"/>
    <w:rsid w:val="006B2411"/>
    <w:rsid w:val="006B2B00"/>
    <w:rsid w:val="006B2FA8"/>
    <w:rsid w:val="006B3210"/>
    <w:rsid w:val="006B3E08"/>
    <w:rsid w:val="006B49AE"/>
    <w:rsid w:val="006B529B"/>
    <w:rsid w:val="006C1901"/>
    <w:rsid w:val="006C34BE"/>
    <w:rsid w:val="006C3BAF"/>
    <w:rsid w:val="006C4536"/>
    <w:rsid w:val="006C46F3"/>
    <w:rsid w:val="006C47D6"/>
    <w:rsid w:val="006C4D4E"/>
    <w:rsid w:val="006C51E2"/>
    <w:rsid w:val="006C5247"/>
    <w:rsid w:val="006C588E"/>
    <w:rsid w:val="006C5BBC"/>
    <w:rsid w:val="006C62F8"/>
    <w:rsid w:val="006C6723"/>
    <w:rsid w:val="006C71BB"/>
    <w:rsid w:val="006D071F"/>
    <w:rsid w:val="006D09D1"/>
    <w:rsid w:val="006D1276"/>
    <w:rsid w:val="006D13C4"/>
    <w:rsid w:val="006D1E5C"/>
    <w:rsid w:val="006D2C14"/>
    <w:rsid w:val="006D3945"/>
    <w:rsid w:val="006D4C15"/>
    <w:rsid w:val="006D7692"/>
    <w:rsid w:val="006D7E62"/>
    <w:rsid w:val="006E168F"/>
    <w:rsid w:val="006E1753"/>
    <w:rsid w:val="006E3BF0"/>
    <w:rsid w:val="006E4E29"/>
    <w:rsid w:val="006E5D2E"/>
    <w:rsid w:val="006E670A"/>
    <w:rsid w:val="006E6D76"/>
    <w:rsid w:val="006E7C63"/>
    <w:rsid w:val="006F04B0"/>
    <w:rsid w:val="006F15E9"/>
    <w:rsid w:val="006F252A"/>
    <w:rsid w:val="006F27FC"/>
    <w:rsid w:val="006F3153"/>
    <w:rsid w:val="006F4B6F"/>
    <w:rsid w:val="006F4F6D"/>
    <w:rsid w:val="006F6668"/>
    <w:rsid w:val="0070008A"/>
    <w:rsid w:val="007021FA"/>
    <w:rsid w:val="00702F04"/>
    <w:rsid w:val="0070357F"/>
    <w:rsid w:val="00703DA7"/>
    <w:rsid w:val="00703E05"/>
    <w:rsid w:val="00704A16"/>
    <w:rsid w:val="00704DCD"/>
    <w:rsid w:val="00705178"/>
    <w:rsid w:val="00705262"/>
    <w:rsid w:val="00705CA5"/>
    <w:rsid w:val="0070653C"/>
    <w:rsid w:val="00706ED7"/>
    <w:rsid w:val="00710289"/>
    <w:rsid w:val="00712396"/>
    <w:rsid w:val="00712901"/>
    <w:rsid w:val="00713444"/>
    <w:rsid w:val="0071374E"/>
    <w:rsid w:val="007138BC"/>
    <w:rsid w:val="00714B6A"/>
    <w:rsid w:val="00716D0A"/>
    <w:rsid w:val="00717AF6"/>
    <w:rsid w:val="00717C76"/>
    <w:rsid w:val="00720157"/>
    <w:rsid w:val="00720579"/>
    <w:rsid w:val="00720848"/>
    <w:rsid w:val="00720E55"/>
    <w:rsid w:val="00721ECF"/>
    <w:rsid w:val="00722D13"/>
    <w:rsid w:val="007230FE"/>
    <w:rsid w:val="00725BEA"/>
    <w:rsid w:val="00726409"/>
    <w:rsid w:val="007306D1"/>
    <w:rsid w:val="007308C0"/>
    <w:rsid w:val="00730BE2"/>
    <w:rsid w:val="00732046"/>
    <w:rsid w:val="007335EB"/>
    <w:rsid w:val="007337E0"/>
    <w:rsid w:val="007344C3"/>
    <w:rsid w:val="00734F8A"/>
    <w:rsid w:val="00736C31"/>
    <w:rsid w:val="007377A9"/>
    <w:rsid w:val="0074239D"/>
    <w:rsid w:val="00742CE1"/>
    <w:rsid w:val="0074372C"/>
    <w:rsid w:val="00744C7C"/>
    <w:rsid w:val="00745862"/>
    <w:rsid w:val="00745CB6"/>
    <w:rsid w:val="0074623E"/>
    <w:rsid w:val="00746657"/>
    <w:rsid w:val="0074687F"/>
    <w:rsid w:val="00746973"/>
    <w:rsid w:val="00747C4D"/>
    <w:rsid w:val="00751055"/>
    <w:rsid w:val="007517A4"/>
    <w:rsid w:val="007552DD"/>
    <w:rsid w:val="0075585E"/>
    <w:rsid w:val="00755A77"/>
    <w:rsid w:val="00757985"/>
    <w:rsid w:val="00762EEA"/>
    <w:rsid w:val="007631D1"/>
    <w:rsid w:val="007635AC"/>
    <w:rsid w:val="007673DE"/>
    <w:rsid w:val="00772458"/>
    <w:rsid w:val="0077258E"/>
    <w:rsid w:val="007733DB"/>
    <w:rsid w:val="00775812"/>
    <w:rsid w:val="0077637D"/>
    <w:rsid w:val="00781AFB"/>
    <w:rsid w:val="00782461"/>
    <w:rsid w:val="0078261F"/>
    <w:rsid w:val="007833DA"/>
    <w:rsid w:val="00783492"/>
    <w:rsid w:val="00784522"/>
    <w:rsid w:val="0078470A"/>
    <w:rsid w:val="007848A5"/>
    <w:rsid w:val="00784C15"/>
    <w:rsid w:val="0078583D"/>
    <w:rsid w:val="00785939"/>
    <w:rsid w:val="00785D73"/>
    <w:rsid w:val="00786FA8"/>
    <w:rsid w:val="00787AF1"/>
    <w:rsid w:val="0079132B"/>
    <w:rsid w:val="0079360E"/>
    <w:rsid w:val="00794794"/>
    <w:rsid w:val="00795245"/>
    <w:rsid w:val="00795AF3"/>
    <w:rsid w:val="007969E6"/>
    <w:rsid w:val="00796DA1"/>
    <w:rsid w:val="007A2C57"/>
    <w:rsid w:val="007A3440"/>
    <w:rsid w:val="007A34B3"/>
    <w:rsid w:val="007B1039"/>
    <w:rsid w:val="007B1644"/>
    <w:rsid w:val="007B2D1D"/>
    <w:rsid w:val="007B33F8"/>
    <w:rsid w:val="007B3B6F"/>
    <w:rsid w:val="007B3F3D"/>
    <w:rsid w:val="007B413B"/>
    <w:rsid w:val="007B4FD7"/>
    <w:rsid w:val="007B5461"/>
    <w:rsid w:val="007B6474"/>
    <w:rsid w:val="007B7E27"/>
    <w:rsid w:val="007B7F0F"/>
    <w:rsid w:val="007C12D9"/>
    <w:rsid w:val="007C19EC"/>
    <w:rsid w:val="007C342D"/>
    <w:rsid w:val="007C3C7F"/>
    <w:rsid w:val="007C51EB"/>
    <w:rsid w:val="007C60E2"/>
    <w:rsid w:val="007C7435"/>
    <w:rsid w:val="007D158A"/>
    <w:rsid w:val="007D5B1C"/>
    <w:rsid w:val="007D6D87"/>
    <w:rsid w:val="007D6FD6"/>
    <w:rsid w:val="007D79A7"/>
    <w:rsid w:val="007E0ADA"/>
    <w:rsid w:val="007E15CF"/>
    <w:rsid w:val="007E1DB4"/>
    <w:rsid w:val="007E42FE"/>
    <w:rsid w:val="007E44BD"/>
    <w:rsid w:val="007E5866"/>
    <w:rsid w:val="007F07AF"/>
    <w:rsid w:val="007F2A44"/>
    <w:rsid w:val="007F6E2B"/>
    <w:rsid w:val="007F6FA4"/>
    <w:rsid w:val="007F7699"/>
    <w:rsid w:val="007F773D"/>
    <w:rsid w:val="008003C8"/>
    <w:rsid w:val="00802118"/>
    <w:rsid w:val="00802AF2"/>
    <w:rsid w:val="00804065"/>
    <w:rsid w:val="008047DD"/>
    <w:rsid w:val="008058A3"/>
    <w:rsid w:val="0080611B"/>
    <w:rsid w:val="00806213"/>
    <w:rsid w:val="0081164C"/>
    <w:rsid w:val="008120D0"/>
    <w:rsid w:val="008121D7"/>
    <w:rsid w:val="00812B80"/>
    <w:rsid w:val="008130D4"/>
    <w:rsid w:val="008159D4"/>
    <w:rsid w:val="00815C12"/>
    <w:rsid w:val="008168A2"/>
    <w:rsid w:val="00820421"/>
    <w:rsid w:val="008213E7"/>
    <w:rsid w:val="00821687"/>
    <w:rsid w:val="0082217D"/>
    <w:rsid w:val="00822A40"/>
    <w:rsid w:val="008236C7"/>
    <w:rsid w:val="00823E67"/>
    <w:rsid w:val="00826045"/>
    <w:rsid w:val="008300D1"/>
    <w:rsid w:val="008307DB"/>
    <w:rsid w:val="00830A48"/>
    <w:rsid w:val="00833331"/>
    <w:rsid w:val="00833C36"/>
    <w:rsid w:val="00834B96"/>
    <w:rsid w:val="00836409"/>
    <w:rsid w:val="00836415"/>
    <w:rsid w:val="00836B47"/>
    <w:rsid w:val="00840A53"/>
    <w:rsid w:val="008427B3"/>
    <w:rsid w:val="008428A1"/>
    <w:rsid w:val="008450E0"/>
    <w:rsid w:val="0085047D"/>
    <w:rsid w:val="00851019"/>
    <w:rsid w:val="008524EA"/>
    <w:rsid w:val="0085263B"/>
    <w:rsid w:val="008530B9"/>
    <w:rsid w:val="008537C0"/>
    <w:rsid w:val="00855167"/>
    <w:rsid w:val="0085577C"/>
    <w:rsid w:val="00857642"/>
    <w:rsid w:val="00857872"/>
    <w:rsid w:val="00857F8E"/>
    <w:rsid w:val="00860759"/>
    <w:rsid w:val="008608F5"/>
    <w:rsid w:val="0086230F"/>
    <w:rsid w:val="0086268A"/>
    <w:rsid w:val="008644EC"/>
    <w:rsid w:val="00864B15"/>
    <w:rsid w:val="00864D3B"/>
    <w:rsid w:val="00865C18"/>
    <w:rsid w:val="0086621E"/>
    <w:rsid w:val="0086688E"/>
    <w:rsid w:val="0086717D"/>
    <w:rsid w:val="0087121E"/>
    <w:rsid w:val="00874E9F"/>
    <w:rsid w:val="00876B32"/>
    <w:rsid w:val="00882CB8"/>
    <w:rsid w:val="00884366"/>
    <w:rsid w:val="00884650"/>
    <w:rsid w:val="008851B9"/>
    <w:rsid w:val="00885239"/>
    <w:rsid w:val="00885F50"/>
    <w:rsid w:val="00887314"/>
    <w:rsid w:val="00890EB4"/>
    <w:rsid w:val="00891D35"/>
    <w:rsid w:val="0089232B"/>
    <w:rsid w:val="00893901"/>
    <w:rsid w:val="00894A8B"/>
    <w:rsid w:val="00894D00"/>
    <w:rsid w:val="0089667B"/>
    <w:rsid w:val="0089728F"/>
    <w:rsid w:val="008A0874"/>
    <w:rsid w:val="008A0FF6"/>
    <w:rsid w:val="008A28F5"/>
    <w:rsid w:val="008A344C"/>
    <w:rsid w:val="008A4069"/>
    <w:rsid w:val="008A51AD"/>
    <w:rsid w:val="008A70AE"/>
    <w:rsid w:val="008A75B6"/>
    <w:rsid w:val="008B155B"/>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4D41"/>
    <w:rsid w:val="008C668F"/>
    <w:rsid w:val="008D1761"/>
    <w:rsid w:val="008D1C71"/>
    <w:rsid w:val="008D2DBA"/>
    <w:rsid w:val="008D530C"/>
    <w:rsid w:val="008D56D1"/>
    <w:rsid w:val="008D638B"/>
    <w:rsid w:val="008D7ECE"/>
    <w:rsid w:val="008E01A0"/>
    <w:rsid w:val="008E1BF6"/>
    <w:rsid w:val="008E44FF"/>
    <w:rsid w:val="008E5A58"/>
    <w:rsid w:val="008E5F96"/>
    <w:rsid w:val="008E6FB7"/>
    <w:rsid w:val="008E7557"/>
    <w:rsid w:val="008E785D"/>
    <w:rsid w:val="008E7FE5"/>
    <w:rsid w:val="008F03D3"/>
    <w:rsid w:val="008F1874"/>
    <w:rsid w:val="008F25DF"/>
    <w:rsid w:val="008F29E0"/>
    <w:rsid w:val="008F4FCE"/>
    <w:rsid w:val="008F59B3"/>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6F9"/>
    <w:rsid w:val="00923CE8"/>
    <w:rsid w:val="009252D3"/>
    <w:rsid w:val="00926002"/>
    <w:rsid w:val="009273C9"/>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4B5F"/>
    <w:rsid w:val="0095579C"/>
    <w:rsid w:val="00955D81"/>
    <w:rsid w:val="00956929"/>
    <w:rsid w:val="00956E7E"/>
    <w:rsid w:val="00957D53"/>
    <w:rsid w:val="00961E49"/>
    <w:rsid w:val="0096539B"/>
    <w:rsid w:val="00965AF9"/>
    <w:rsid w:val="00966487"/>
    <w:rsid w:val="009669E3"/>
    <w:rsid w:val="009671DB"/>
    <w:rsid w:val="0096755D"/>
    <w:rsid w:val="00972738"/>
    <w:rsid w:val="009727FE"/>
    <w:rsid w:val="00974C35"/>
    <w:rsid w:val="00976E81"/>
    <w:rsid w:val="00977159"/>
    <w:rsid w:val="009808B0"/>
    <w:rsid w:val="00980958"/>
    <w:rsid w:val="00983488"/>
    <w:rsid w:val="00983EDB"/>
    <w:rsid w:val="009849EF"/>
    <w:rsid w:val="00984E36"/>
    <w:rsid w:val="0098553B"/>
    <w:rsid w:val="0098586D"/>
    <w:rsid w:val="00986649"/>
    <w:rsid w:val="00987014"/>
    <w:rsid w:val="009871AC"/>
    <w:rsid w:val="00990892"/>
    <w:rsid w:val="00991AA6"/>
    <w:rsid w:val="009943BE"/>
    <w:rsid w:val="009960C5"/>
    <w:rsid w:val="00997443"/>
    <w:rsid w:val="009A0A90"/>
    <w:rsid w:val="009A1BA1"/>
    <w:rsid w:val="009A2A81"/>
    <w:rsid w:val="009A2AFB"/>
    <w:rsid w:val="009A2DE2"/>
    <w:rsid w:val="009A3B62"/>
    <w:rsid w:val="009A3BCF"/>
    <w:rsid w:val="009A3ED4"/>
    <w:rsid w:val="009A4DCC"/>
    <w:rsid w:val="009A56EE"/>
    <w:rsid w:val="009A5C47"/>
    <w:rsid w:val="009A68E7"/>
    <w:rsid w:val="009A6BC5"/>
    <w:rsid w:val="009A7481"/>
    <w:rsid w:val="009A7F29"/>
    <w:rsid w:val="009B0164"/>
    <w:rsid w:val="009B2458"/>
    <w:rsid w:val="009B2B90"/>
    <w:rsid w:val="009B4A92"/>
    <w:rsid w:val="009B4B7B"/>
    <w:rsid w:val="009B4CB6"/>
    <w:rsid w:val="009B52F8"/>
    <w:rsid w:val="009B66C0"/>
    <w:rsid w:val="009B72A1"/>
    <w:rsid w:val="009B74A5"/>
    <w:rsid w:val="009C0E90"/>
    <w:rsid w:val="009C24F9"/>
    <w:rsid w:val="009C4EC7"/>
    <w:rsid w:val="009C638A"/>
    <w:rsid w:val="009C6931"/>
    <w:rsid w:val="009D3AAC"/>
    <w:rsid w:val="009D5B63"/>
    <w:rsid w:val="009D6B67"/>
    <w:rsid w:val="009D6C48"/>
    <w:rsid w:val="009D7C96"/>
    <w:rsid w:val="009E1679"/>
    <w:rsid w:val="009E1BE9"/>
    <w:rsid w:val="009E2348"/>
    <w:rsid w:val="009E239E"/>
    <w:rsid w:val="009E271D"/>
    <w:rsid w:val="009E362F"/>
    <w:rsid w:val="009E3779"/>
    <w:rsid w:val="009E40DF"/>
    <w:rsid w:val="009E59CA"/>
    <w:rsid w:val="009F0442"/>
    <w:rsid w:val="009F1AEE"/>
    <w:rsid w:val="009F1DB1"/>
    <w:rsid w:val="009F1EA5"/>
    <w:rsid w:val="009F231B"/>
    <w:rsid w:val="009F5E68"/>
    <w:rsid w:val="009F69E5"/>
    <w:rsid w:val="009F7476"/>
    <w:rsid w:val="009F768D"/>
    <w:rsid w:val="00A00F26"/>
    <w:rsid w:val="00A01488"/>
    <w:rsid w:val="00A018F7"/>
    <w:rsid w:val="00A02ABC"/>
    <w:rsid w:val="00A039B4"/>
    <w:rsid w:val="00A03F1A"/>
    <w:rsid w:val="00A049F6"/>
    <w:rsid w:val="00A0555A"/>
    <w:rsid w:val="00A063F2"/>
    <w:rsid w:val="00A0799C"/>
    <w:rsid w:val="00A07D8F"/>
    <w:rsid w:val="00A12531"/>
    <w:rsid w:val="00A1274B"/>
    <w:rsid w:val="00A13C95"/>
    <w:rsid w:val="00A15615"/>
    <w:rsid w:val="00A16076"/>
    <w:rsid w:val="00A1707A"/>
    <w:rsid w:val="00A215E2"/>
    <w:rsid w:val="00A2164F"/>
    <w:rsid w:val="00A22710"/>
    <w:rsid w:val="00A23803"/>
    <w:rsid w:val="00A249F6"/>
    <w:rsid w:val="00A24BC5"/>
    <w:rsid w:val="00A2509D"/>
    <w:rsid w:val="00A250AD"/>
    <w:rsid w:val="00A26704"/>
    <w:rsid w:val="00A27248"/>
    <w:rsid w:val="00A27289"/>
    <w:rsid w:val="00A321F9"/>
    <w:rsid w:val="00A32786"/>
    <w:rsid w:val="00A34AEC"/>
    <w:rsid w:val="00A35487"/>
    <w:rsid w:val="00A35AFD"/>
    <w:rsid w:val="00A3659B"/>
    <w:rsid w:val="00A40295"/>
    <w:rsid w:val="00A40731"/>
    <w:rsid w:val="00A40A39"/>
    <w:rsid w:val="00A41FAD"/>
    <w:rsid w:val="00A429D5"/>
    <w:rsid w:val="00A42E39"/>
    <w:rsid w:val="00A433E2"/>
    <w:rsid w:val="00A4470F"/>
    <w:rsid w:val="00A448EF"/>
    <w:rsid w:val="00A4598C"/>
    <w:rsid w:val="00A46087"/>
    <w:rsid w:val="00A4617C"/>
    <w:rsid w:val="00A50950"/>
    <w:rsid w:val="00A510EE"/>
    <w:rsid w:val="00A51638"/>
    <w:rsid w:val="00A52A4E"/>
    <w:rsid w:val="00A5343C"/>
    <w:rsid w:val="00A55081"/>
    <w:rsid w:val="00A5538B"/>
    <w:rsid w:val="00A56E00"/>
    <w:rsid w:val="00A57359"/>
    <w:rsid w:val="00A57796"/>
    <w:rsid w:val="00A57AB1"/>
    <w:rsid w:val="00A62901"/>
    <w:rsid w:val="00A634FE"/>
    <w:rsid w:val="00A635D9"/>
    <w:rsid w:val="00A64C8D"/>
    <w:rsid w:val="00A64D9F"/>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813"/>
    <w:rsid w:val="00A77C4C"/>
    <w:rsid w:val="00A8008F"/>
    <w:rsid w:val="00A8092D"/>
    <w:rsid w:val="00A80D3B"/>
    <w:rsid w:val="00A80E74"/>
    <w:rsid w:val="00A851A4"/>
    <w:rsid w:val="00A86BD8"/>
    <w:rsid w:val="00A8787E"/>
    <w:rsid w:val="00A87EDF"/>
    <w:rsid w:val="00A90897"/>
    <w:rsid w:val="00A909E1"/>
    <w:rsid w:val="00A90C67"/>
    <w:rsid w:val="00A90D37"/>
    <w:rsid w:val="00A92B4B"/>
    <w:rsid w:val="00A93509"/>
    <w:rsid w:val="00A935BC"/>
    <w:rsid w:val="00A93B2F"/>
    <w:rsid w:val="00A940DD"/>
    <w:rsid w:val="00A9585F"/>
    <w:rsid w:val="00AA013D"/>
    <w:rsid w:val="00AA0422"/>
    <w:rsid w:val="00AA1496"/>
    <w:rsid w:val="00AA155D"/>
    <w:rsid w:val="00AA1706"/>
    <w:rsid w:val="00AA3354"/>
    <w:rsid w:val="00AA3D06"/>
    <w:rsid w:val="00AA4899"/>
    <w:rsid w:val="00AA4D37"/>
    <w:rsid w:val="00AA4D66"/>
    <w:rsid w:val="00AA59F2"/>
    <w:rsid w:val="00AA639F"/>
    <w:rsid w:val="00AA6461"/>
    <w:rsid w:val="00AA753E"/>
    <w:rsid w:val="00AB10AE"/>
    <w:rsid w:val="00AB16AD"/>
    <w:rsid w:val="00AB24CE"/>
    <w:rsid w:val="00AB3CE6"/>
    <w:rsid w:val="00AB3E2B"/>
    <w:rsid w:val="00AB56D4"/>
    <w:rsid w:val="00AB65C7"/>
    <w:rsid w:val="00AB671D"/>
    <w:rsid w:val="00AB6BFE"/>
    <w:rsid w:val="00AB7130"/>
    <w:rsid w:val="00AB7181"/>
    <w:rsid w:val="00AB7311"/>
    <w:rsid w:val="00AB78D0"/>
    <w:rsid w:val="00AC0D42"/>
    <w:rsid w:val="00AC17D2"/>
    <w:rsid w:val="00AC2C30"/>
    <w:rsid w:val="00AC350C"/>
    <w:rsid w:val="00AC3558"/>
    <w:rsid w:val="00AC3A1B"/>
    <w:rsid w:val="00AC46EE"/>
    <w:rsid w:val="00AC5254"/>
    <w:rsid w:val="00AC701A"/>
    <w:rsid w:val="00AC74A3"/>
    <w:rsid w:val="00AC7DAD"/>
    <w:rsid w:val="00AD02BB"/>
    <w:rsid w:val="00AD0393"/>
    <w:rsid w:val="00AD11DB"/>
    <w:rsid w:val="00AD2E2E"/>
    <w:rsid w:val="00AD344D"/>
    <w:rsid w:val="00AD3F55"/>
    <w:rsid w:val="00AD49BE"/>
    <w:rsid w:val="00AD4CFD"/>
    <w:rsid w:val="00AD53F5"/>
    <w:rsid w:val="00AD5E7B"/>
    <w:rsid w:val="00AD7989"/>
    <w:rsid w:val="00AD7FC0"/>
    <w:rsid w:val="00AE00E2"/>
    <w:rsid w:val="00AE0945"/>
    <w:rsid w:val="00AE0BFC"/>
    <w:rsid w:val="00AE134F"/>
    <w:rsid w:val="00AE1A08"/>
    <w:rsid w:val="00AE1BBA"/>
    <w:rsid w:val="00AE3B57"/>
    <w:rsid w:val="00AE4BA3"/>
    <w:rsid w:val="00AE6BE0"/>
    <w:rsid w:val="00AE722F"/>
    <w:rsid w:val="00AE7422"/>
    <w:rsid w:val="00AE7CD5"/>
    <w:rsid w:val="00AE7E8A"/>
    <w:rsid w:val="00AF32D8"/>
    <w:rsid w:val="00AF3F64"/>
    <w:rsid w:val="00AF40CA"/>
    <w:rsid w:val="00AF4C64"/>
    <w:rsid w:val="00AF5133"/>
    <w:rsid w:val="00AF70FF"/>
    <w:rsid w:val="00B00A76"/>
    <w:rsid w:val="00B01BE5"/>
    <w:rsid w:val="00B02385"/>
    <w:rsid w:val="00B0355A"/>
    <w:rsid w:val="00B03878"/>
    <w:rsid w:val="00B05D4A"/>
    <w:rsid w:val="00B06DDF"/>
    <w:rsid w:val="00B07809"/>
    <w:rsid w:val="00B079A5"/>
    <w:rsid w:val="00B11C89"/>
    <w:rsid w:val="00B134C7"/>
    <w:rsid w:val="00B136CC"/>
    <w:rsid w:val="00B13A3E"/>
    <w:rsid w:val="00B143BA"/>
    <w:rsid w:val="00B14661"/>
    <w:rsid w:val="00B17521"/>
    <w:rsid w:val="00B17683"/>
    <w:rsid w:val="00B20FAA"/>
    <w:rsid w:val="00B21806"/>
    <w:rsid w:val="00B21CD8"/>
    <w:rsid w:val="00B21FBA"/>
    <w:rsid w:val="00B23036"/>
    <w:rsid w:val="00B23264"/>
    <w:rsid w:val="00B242F6"/>
    <w:rsid w:val="00B2793E"/>
    <w:rsid w:val="00B3022C"/>
    <w:rsid w:val="00B30D3F"/>
    <w:rsid w:val="00B31D9A"/>
    <w:rsid w:val="00B32ABD"/>
    <w:rsid w:val="00B32E35"/>
    <w:rsid w:val="00B33B37"/>
    <w:rsid w:val="00B34CBA"/>
    <w:rsid w:val="00B35017"/>
    <w:rsid w:val="00B374E5"/>
    <w:rsid w:val="00B3764A"/>
    <w:rsid w:val="00B37AA5"/>
    <w:rsid w:val="00B41FA0"/>
    <w:rsid w:val="00B42826"/>
    <w:rsid w:val="00B430FA"/>
    <w:rsid w:val="00B43982"/>
    <w:rsid w:val="00B44A0E"/>
    <w:rsid w:val="00B459AF"/>
    <w:rsid w:val="00B459CF"/>
    <w:rsid w:val="00B475B6"/>
    <w:rsid w:val="00B54BB5"/>
    <w:rsid w:val="00B55869"/>
    <w:rsid w:val="00B567F1"/>
    <w:rsid w:val="00B569FA"/>
    <w:rsid w:val="00B571D3"/>
    <w:rsid w:val="00B60D49"/>
    <w:rsid w:val="00B60E2D"/>
    <w:rsid w:val="00B635A5"/>
    <w:rsid w:val="00B63B78"/>
    <w:rsid w:val="00B63BE5"/>
    <w:rsid w:val="00B644BE"/>
    <w:rsid w:val="00B644C6"/>
    <w:rsid w:val="00B64CAA"/>
    <w:rsid w:val="00B66D36"/>
    <w:rsid w:val="00B7272B"/>
    <w:rsid w:val="00B732FB"/>
    <w:rsid w:val="00B7342D"/>
    <w:rsid w:val="00B73BCE"/>
    <w:rsid w:val="00B7490A"/>
    <w:rsid w:val="00B74F73"/>
    <w:rsid w:val="00B75734"/>
    <w:rsid w:val="00B759EC"/>
    <w:rsid w:val="00B75D6F"/>
    <w:rsid w:val="00B75F96"/>
    <w:rsid w:val="00B773AD"/>
    <w:rsid w:val="00B774F6"/>
    <w:rsid w:val="00B778CB"/>
    <w:rsid w:val="00B809D9"/>
    <w:rsid w:val="00B8168B"/>
    <w:rsid w:val="00B824F8"/>
    <w:rsid w:val="00B83072"/>
    <w:rsid w:val="00B8362D"/>
    <w:rsid w:val="00B8368B"/>
    <w:rsid w:val="00B83A9E"/>
    <w:rsid w:val="00B86F52"/>
    <w:rsid w:val="00B878F5"/>
    <w:rsid w:val="00B90E37"/>
    <w:rsid w:val="00B91893"/>
    <w:rsid w:val="00B926BD"/>
    <w:rsid w:val="00B92DE8"/>
    <w:rsid w:val="00B93540"/>
    <w:rsid w:val="00B93D8F"/>
    <w:rsid w:val="00B96A32"/>
    <w:rsid w:val="00B9799D"/>
    <w:rsid w:val="00BA1322"/>
    <w:rsid w:val="00BA1A63"/>
    <w:rsid w:val="00BA25FD"/>
    <w:rsid w:val="00BA2D85"/>
    <w:rsid w:val="00BA3AA7"/>
    <w:rsid w:val="00BA3C3F"/>
    <w:rsid w:val="00BA5CEA"/>
    <w:rsid w:val="00BA5F88"/>
    <w:rsid w:val="00BA690D"/>
    <w:rsid w:val="00BA74D2"/>
    <w:rsid w:val="00BA7612"/>
    <w:rsid w:val="00BA7773"/>
    <w:rsid w:val="00BA7C7C"/>
    <w:rsid w:val="00BB1D36"/>
    <w:rsid w:val="00BB2E03"/>
    <w:rsid w:val="00BB3631"/>
    <w:rsid w:val="00BB3FF6"/>
    <w:rsid w:val="00BB5630"/>
    <w:rsid w:val="00BB6BE1"/>
    <w:rsid w:val="00BC3134"/>
    <w:rsid w:val="00BC392E"/>
    <w:rsid w:val="00BC3F30"/>
    <w:rsid w:val="00BC542C"/>
    <w:rsid w:val="00BC60A6"/>
    <w:rsid w:val="00BC62E0"/>
    <w:rsid w:val="00BC6EEE"/>
    <w:rsid w:val="00BC6FBF"/>
    <w:rsid w:val="00BD00D9"/>
    <w:rsid w:val="00BD065C"/>
    <w:rsid w:val="00BD08F8"/>
    <w:rsid w:val="00BD1886"/>
    <w:rsid w:val="00BD23E3"/>
    <w:rsid w:val="00BD40BC"/>
    <w:rsid w:val="00BD6234"/>
    <w:rsid w:val="00BE0437"/>
    <w:rsid w:val="00BE04F6"/>
    <w:rsid w:val="00BE107D"/>
    <w:rsid w:val="00BE2D6C"/>
    <w:rsid w:val="00BE34D0"/>
    <w:rsid w:val="00BE4C2B"/>
    <w:rsid w:val="00BE52CA"/>
    <w:rsid w:val="00BE5D1C"/>
    <w:rsid w:val="00BE701E"/>
    <w:rsid w:val="00BE7640"/>
    <w:rsid w:val="00BF0242"/>
    <w:rsid w:val="00BF0AE5"/>
    <w:rsid w:val="00BF144D"/>
    <w:rsid w:val="00BF214A"/>
    <w:rsid w:val="00BF2D44"/>
    <w:rsid w:val="00BF35B4"/>
    <w:rsid w:val="00BF377B"/>
    <w:rsid w:val="00BF3E1B"/>
    <w:rsid w:val="00BF635B"/>
    <w:rsid w:val="00BF7D51"/>
    <w:rsid w:val="00C00699"/>
    <w:rsid w:val="00C01975"/>
    <w:rsid w:val="00C02723"/>
    <w:rsid w:val="00C02A91"/>
    <w:rsid w:val="00C04960"/>
    <w:rsid w:val="00C05ABD"/>
    <w:rsid w:val="00C06163"/>
    <w:rsid w:val="00C10713"/>
    <w:rsid w:val="00C10E6A"/>
    <w:rsid w:val="00C11061"/>
    <w:rsid w:val="00C1120E"/>
    <w:rsid w:val="00C11391"/>
    <w:rsid w:val="00C114A8"/>
    <w:rsid w:val="00C12744"/>
    <w:rsid w:val="00C12EC0"/>
    <w:rsid w:val="00C1324E"/>
    <w:rsid w:val="00C138A5"/>
    <w:rsid w:val="00C14B96"/>
    <w:rsid w:val="00C158D4"/>
    <w:rsid w:val="00C16854"/>
    <w:rsid w:val="00C17BBA"/>
    <w:rsid w:val="00C211F9"/>
    <w:rsid w:val="00C2161C"/>
    <w:rsid w:val="00C22F92"/>
    <w:rsid w:val="00C238EE"/>
    <w:rsid w:val="00C25927"/>
    <w:rsid w:val="00C27126"/>
    <w:rsid w:val="00C273D7"/>
    <w:rsid w:val="00C2755A"/>
    <w:rsid w:val="00C3028D"/>
    <w:rsid w:val="00C30436"/>
    <w:rsid w:val="00C30FD6"/>
    <w:rsid w:val="00C310B8"/>
    <w:rsid w:val="00C31DBD"/>
    <w:rsid w:val="00C32633"/>
    <w:rsid w:val="00C3305D"/>
    <w:rsid w:val="00C3343C"/>
    <w:rsid w:val="00C3343E"/>
    <w:rsid w:val="00C3643C"/>
    <w:rsid w:val="00C36C29"/>
    <w:rsid w:val="00C41646"/>
    <w:rsid w:val="00C4383B"/>
    <w:rsid w:val="00C45EF9"/>
    <w:rsid w:val="00C4601A"/>
    <w:rsid w:val="00C46E7A"/>
    <w:rsid w:val="00C478FE"/>
    <w:rsid w:val="00C47DC9"/>
    <w:rsid w:val="00C502DD"/>
    <w:rsid w:val="00C54380"/>
    <w:rsid w:val="00C571BC"/>
    <w:rsid w:val="00C57E9A"/>
    <w:rsid w:val="00C6076A"/>
    <w:rsid w:val="00C613E2"/>
    <w:rsid w:val="00C621E3"/>
    <w:rsid w:val="00C6430C"/>
    <w:rsid w:val="00C64E24"/>
    <w:rsid w:val="00C65047"/>
    <w:rsid w:val="00C653CC"/>
    <w:rsid w:val="00C65B4D"/>
    <w:rsid w:val="00C665D4"/>
    <w:rsid w:val="00C67E56"/>
    <w:rsid w:val="00C7308A"/>
    <w:rsid w:val="00C73CE1"/>
    <w:rsid w:val="00C74775"/>
    <w:rsid w:val="00C76F9B"/>
    <w:rsid w:val="00C77064"/>
    <w:rsid w:val="00C77955"/>
    <w:rsid w:val="00C80AB6"/>
    <w:rsid w:val="00C824FE"/>
    <w:rsid w:val="00C833D6"/>
    <w:rsid w:val="00C84CDE"/>
    <w:rsid w:val="00C85A51"/>
    <w:rsid w:val="00C871AE"/>
    <w:rsid w:val="00C8762A"/>
    <w:rsid w:val="00C9050E"/>
    <w:rsid w:val="00C91E82"/>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506C"/>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5645"/>
    <w:rsid w:val="00CC74BD"/>
    <w:rsid w:val="00CD0768"/>
    <w:rsid w:val="00CD3CC4"/>
    <w:rsid w:val="00CD788F"/>
    <w:rsid w:val="00CE047D"/>
    <w:rsid w:val="00CE1017"/>
    <w:rsid w:val="00CE358A"/>
    <w:rsid w:val="00CE373E"/>
    <w:rsid w:val="00CE43AF"/>
    <w:rsid w:val="00CE577D"/>
    <w:rsid w:val="00CE60AF"/>
    <w:rsid w:val="00CE665D"/>
    <w:rsid w:val="00CE6758"/>
    <w:rsid w:val="00CE7731"/>
    <w:rsid w:val="00CF096F"/>
    <w:rsid w:val="00CF1226"/>
    <w:rsid w:val="00CF25F0"/>
    <w:rsid w:val="00CF329F"/>
    <w:rsid w:val="00CF41EA"/>
    <w:rsid w:val="00CF6106"/>
    <w:rsid w:val="00CF6159"/>
    <w:rsid w:val="00CF6A79"/>
    <w:rsid w:val="00CF73D7"/>
    <w:rsid w:val="00D00625"/>
    <w:rsid w:val="00D00AAE"/>
    <w:rsid w:val="00D00F4A"/>
    <w:rsid w:val="00D019F2"/>
    <w:rsid w:val="00D02693"/>
    <w:rsid w:val="00D02D5A"/>
    <w:rsid w:val="00D033B1"/>
    <w:rsid w:val="00D03B9D"/>
    <w:rsid w:val="00D0498A"/>
    <w:rsid w:val="00D065E6"/>
    <w:rsid w:val="00D06F2D"/>
    <w:rsid w:val="00D07B74"/>
    <w:rsid w:val="00D10843"/>
    <w:rsid w:val="00D11601"/>
    <w:rsid w:val="00D11B6A"/>
    <w:rsid w:val="00D13661"/>
    <w:rsid w:val="00D13B2D"/>
    <w:rsid w:val="00D1514D"/>
    <w:rsid w:val="00D154A5"/>
    <w:rsid w:val="00D15660"/>
    <w:rsid w:val="00D156D0"/>
    <w:rsid w:val="00D16E7D"/>
    <w:rsid w:val="00D176A2"/>
    <w:rsid w:val="00D17731"/>
    <w:rsid w:val="00D20E86"/>
    <w:rsid w:val="00D20FB3"/>
    <w:rsid w:val="00D21DFB"/>
    <w:rsid w:val="00D227C4"/>
    <w:rsid w:val="00D23048"/>
    <w:rsid w:val="00D2352A"/>
    <w:rsid w:val="00D23DD0"/>
    <w:rsid w:val="00D2402B"/>
    <w:rsid w:val="00D24DA7"/>
    <w:rsid w:val="00D251C3"/>
    <w:rsid w:val="00D266D5"/>
    <w:rsid w:val="00D26CB5"/>
    <w:rsid w:val="00D27EA0"/>
    <w:rsid w:val="00D313BB"/>
    <w:rsid w:val="00D31593"/>
    <w:rsid w:val="00D33231"/>
    <w:rsid w:val="00D36240"/>
    <w:rsid w:val="00D36D3E"/>
    <w:rsid w:val="00D36DB7"/>
    <w:rsid w:val="00D3778A"/>
    <w:rsid w:val="00D40AF9"/>
    <w:rsid w:val="00D40E5E"/>
    <w:rsid w:val="00D41165"/>
    <w:rsid w:val="00D4138D"/>
    <w:rsid w:val="00D41493"/>
    <w:rsid w:val="00D4152F"/>
    <w:rsid w:val="00D42516"/>
    <w:rsid w:val="00D438DC"/>
    <w:rsid w:val="00D43EF1"/>
    <w:rsid w:val="00D43F6F"/>
    <w:rsid w:val="00D44015"/>
    <w:rsid w:val="00D443EF"/>
    <w:rsid w:val="00D46755"/>
    <w:rsid w:val="00D46CFF"/>
    <w:rsid w:val="00D46FBF"/>
    <w:rsid w:val="00D47A7B"/>
    <w:rsid w:val="00D47BB6"/>
    <w:rsid w:val="00D54C37"/>
    <w:rsid w:val="00D5779A"/>
    <w:rsid w:val="00D62214"/>
    <w:rsid w:val="00D62ADB"/>
    <w:rsid w:val="00D632D1"/>
    <w:rsid w:val="00D64B7A"/>
    <w:rsid w:val="00D65AB8"/>
    <w:rsid w:val="00D65E10"/>
    <w:rsid w:val="00D671FD"/>
    <w:rsid w:val="00D67ADC"/>
    <w:rsid w:val="00D67D44"/>
    <w:rsid w:val="00D706BA"/>
    <w:rsid w:val="00D709A0"/>
    <w:rsid w:val="00D70A78"/>
    <w:rsid w:val="00D71394"/>
    <w:rsid w:val="00D7252A"/>
    <w:rsid w:val="00D72CF1"/>
    <w:rsid w:val="00D73BC0"/>
    <w:rsid w:val="00D73C1D"/>
    <w:rsid w:val="00D76C93"/>
    <w:rsid w:val="00D771CC"/>
    <w:rsid w:val="00D80799"/>
    <w:rsid w:val="00D81512"/>
    <w:rsid w:val="00D84747"/>
    <w:rsid w:val="00D84BD3"/>
    <w:rsid w:val="00D85346"/>
    <w:rsid w:val="00D90B52"/>
    <w:rsid w:val="00D90E7B"/>
    <w:rsid w:val="00D91EDC"/>
    <w:rsid w:val="00D92D94"/>
    <w:rsid w:val="00D961DB"/>
    <w:rsid w:val="00DA0625"/>
    <w:rsid w:val="00DA0964"/>
    <w:rsid w:val="00DA2C03"/>
    <w:rsid w:val="00DA3748"/>
    <w:rsid w:val="00DA3AA1"/>
    <w:rsid w:val="00DA4C82"/>
    <w:rsid w:val="00DA533F"/>
    <w:rsid w:val="00DA671A"/>
    <w:rsid w:val="00DA756A"/>
    <w:rsid w:val="00DA7819"/>
    <w:rsid w:val="00DA78D9"/>
    <w:rsid w:val="00DA7E64"/>
    <w:rsid w:val="00DA7E6E"/>
    <w:rsid w:val="00DB07B8"/>
    <w:rsid w:val="00DB2D76"/>
    <w:rsid w:val="00DB345B"/>
    <w:rsid w:val="00DB3871"/>
    <w:rsid w:val="00DB38BB"/>
    <w:rsid w:val="00DB45E2"/>
    <w:rsid w:val="00DB4790"/>
    <w:rsid w:val="00DB4F49"/>
    <w:rsid w:val="00DB6D5A"/>
    <w:rsid w:val="00DC1ACA"/>
    <w:rsid w:val="00DC441C"/>
    <w:rsid w:val="00DC4772"/>
    <w:rsid w:val="00DC48CF"/>
    <w:rsid w:val="00DC5BB0"/>
    <w:rsid w:val="00DC6711"/>
    <w:rsid w:val="00DC6826"/>
    <w:rsid w:val="00DD0260"/>
    <w:rsid w:val="00DD20E3"/>
    <w:rsid w:val="00DD2605"/>
    <w:rsid w:val="00DD2AAA"/>
    <w:rsid w:val="00DD4C66"/>
    <w:rsid w:val="00DD50B5"/>
    <w:rsid w:val="00DD5275"/>
    <w:rsid w:val="00DD58A8"/>
    <w:rsid w:val="00DD5F86"/>
    <w:rsid w:val="00DD6047"/>
    <w:rsid w:val="00DD6EA2"/>
    <w:rsid w:val="00DD7205"/>
    <w:rsid w:val="00DD771A"/>
    <w:rsid w:val="00DD7F78"/>
    <w:rsid w:val="00DE262A"/>
    <w:rsid w:val="00DE2759"/>
    <w:rsid w:val="00DE2977"/>
    <w:rsid w:val="00DE3748"/>
    <w:rsid w:val="00DE4037"/>
    <w:rsid w:val="00DE43F4"/>
    <w:rsid w:val="00DE466B"/>
    <w:rsid w:val="00DE4A72"/>
    <w:rsid w:val="00DE5D8B"/>
    <w:rsid w:val="00DE6535"/>
    <w:rsid w:val="00DE7607"/>
    <w:rsid w:val="00DE761A"/>
    <w:rsid w:val="00DE780F"/>
    <w:rsid w:val="00DF21AE"/>
    <w:rsid w:val="00DF2338"/>
    <w:rsid w:val="00DF27DA"/>
    <w:rsid w:val="00DF37CE"/>
    <w:rsid w:val="00DF4C70"/>
    <w:rsid w:val="00DF4D56"/>
    <w:rsid w:val="00DF63EB"/>
    <w:rsid w:val="00DF78BC"/>
    <w:rsid w:val="00E0212C"/>
    <w:rsid w:val="00E02A20"/>
    <w:rsid w:val="00E030AE"/>
    <w:rsid w:val="00E030E4"/>
    <w:rsid w:val="00E04587"/>
    <w:rsid w:val="00E04EFF"/>
    <w:rsid w:val="00E05212"/>
    <w:rsid w:val="00E05D02"/>
    <w:rsid w:val="00E0690D"/>
    <w:rsid w:val="00E101A9"/>
    <w:rsid w:val="00E12954"/>
    <w:rsid w:val="00E12A2F"/>
    <w:rsid w:val="00E12D9F"/>
    <w:rsid w:val="00E12FAE"/>
    <w:rsid w:val="00E13468"/>
    <w:rsid w:val="00E1638A"/>
    <w:rsid w:val="00E21E2B"/>
    <w:rsid w:val="00E24203"/>
    <w:rsid w:val="00E24543"/>
    <w:rsid w:val="00E2457B"/>
    <w:rsid w:val="00E247DE"/>
    <w:rsid w:val="00E257AB"/>
    <w:rsid w:val="00E31BE8"/>
    <w:rsid w:val="00E3205A"/>
    <w:rsid w:val="00E3212A"/>
    <w:rsid w:val="00E32221"/>
    <w:rsid w:val="00E32512"/>
    <w:rsid w:val="00E333C7"/>
    <w:rsid w:val="00E3374E"/>
    <w:rsid w:val="00E33A7F"/>
    <w:rsid w:val="00E34A79"/>
    <w:rsid w:val="00E3743F"/>
    <w:rsid w:val="00E376F7"/>
    <w:rsid w:val="00E4104D"/>
    <w:rsid w:val="00E41293"/>
    <w:rsid w:val="00E41C3F"/>
    <w:rsid w:val="00E41CE3"/>
    <w:rsid w:val="00E41D18"/>
    <w:rsid w:val="00E44479"/>
    <w:rsid w:val="00E45108"/>
    <w:rsid w:val="00E4622A"/>
    <w:rsid w:val="00E475F0"/>
    <w:rsid w:val="00E5099A"/>
    <w:rsid w:val="00E50CA8"/>
    <w:rsid w:val="00E519D9"/>
    <w:rsid w:val="00E536DE"/>
    <w:rsid w:val="00E538E6"/>
    <w:rsid w:val="00E5535A"/>
    <w:rsid w:val="00E553E9"/>
    <w:rsid w:val="00E557B3"/>
    <w:rsid w:val="00E563DF"/>
    <w:rsid w:val="00E569B2"/>
    <w:rsid w:val="00E569BD"/>
    <w:rsid w:val="00E577FD"/>
    <w:rsid w:val="00E61098"/>
    <w:rsid w:val="00E619A4"/>
    <w:rsid w:val="00E62177"/>
    <w:rsid w:val="00E622AF"/>
    <w:rsid w:val="00E62A45"/>
    <w:rsid w:val="00E638EF"/>
    <w:rsid w:val="00E643ED"/>
    <w:rsid w:val="00E645FC"/>
    <w:rsid w:val="00E6494D"/>
    <w:rsid w:val="00E6634F"/>
    <w:rsid w:val="00E6716A"/>
    <w:rsid w:val="00E67F40"/>
    <w:rsid w:val="00E70167"/>
    <w:rsid w:val="00E703C3"/>
    <w:rsid w:val="00E73F29"/>
    <w:rsid w:val="00E74899"/>
    <w:rsid w:val="00E759B1"/>
    <w:rsid w:val="00E779AA"/>
    <w:rsid w:val="00E80333"/>
    <w:rsid w:val="00E8107B"/>
    <w:rsid w:val="00E82A13"/>
    <w:rsid w:val="00E83629"/>
    <w:rsid w:val="00E838DB"/>
    <w:rsid w:val="00E83F7E"/>
    <w:rsid w:val="00E865F0"/>
    <w:rsid w:val="00E868E7"/>
    <w:rsid w:val="00E9310C"/>
    <w:rsid w:val="00E93979"/>
    <w:rsid w:val="00E93CD3"/>
    <w:rsid w:val="00E93F61"/>
    <w:rsid w:val="00E9501F"/>
    <w:rsid w:val="00E957F6"/>
    <w:rsid w:val="00E962BC"/>
    <w:rsid w:val="00E9676A"/>
    <w:rsid w:val="00EA379C"/>
    <w:rsid w:val="00EA4CB5"/>
    <w:rsid w:val="00EA67B2"/>
    <w:rsid w:val="00EA6D2E"/>
    <w:rsid w:val="00EB0757"/>
    <w:rsid w:val="00EB3610"/>
    <w:rsid w:val="00EB3C74"/>
    <w:rsid w:val="00EB5926"/>
    <w:rsid w:val="00EB5D98"/>
    <w:rsid w:val="00EB7A35"/>
    <w:rsid w:val="00EC027A"/>
    <w:rsid w:val="00EC05B4"/>
    <w:rsid w:val="00EC074E"/>
    <w:rsid w:val="00EC0B10"/>
    <w:rsid w:val="00EC0BD7"/>
    <w:rsid w:val="00EC0C56"/>
    <w:rsid w:val="00EC2126"/>
    <w:rsid w:val="00EC33EA"/>
    <w:rsid w:val="00EC41C2"/>
    <w:rsid w:val="00EC4E71"/>
    <w:rsid w:val="00EC62F1"/>
    <w:rsid w:val="00EC6D41"/>
    <w:rsid w:val="00EC79CA"/>
    <w:rsid w:val="00ED03A3"/>
    <w:rsid w:val="00ED0AA7"/>
    <w:rsid w:val="00ED2F8A"/>
    <w:rsid w:val="00ED56E8"/>
    <w:rsid w:val="00ED58AF"/>
    <w:rsid w:val="00ED7658"/>
    <w:rsid w:val="00EE13F4"/>
    <w:rsid w:val="00EE171F"/>
    <w:rsid w:val="00EE1EE5"/>
    <w:rsid w:val="00EE2928"/>
    <w:rsid w:val="00EE2E23"/>
    <w:rsid w:val="00EE359A"/>
    <w:rsid w:val="00EE46A5"/>
    <w:rsid w:val="00EE4BD0"/>
    <w:rsid w:val="00EE5BA1"/>
    <w:rsid w:val="00EF07BE"/>
    <w:rsid w:val="00EF0DFF"/>
    <w:rsid w:val="00EF2966"/>
    <w:rsid w:val="00EF5346"/>
    <w:rsid w:val="00EF7235"/>
    <w:rsid w:val="00F004A9"/>
    <w:rsid w:val="00F00A4D"/>
    <w:rsid w:val="00F014D5"/>
    <w:rsid w:val="00F01EA8"/>
    <w:rsid w:val="00F023A3"/>
    <w:rsid w:val="00F02A6F"/>
    <w:rsid w:val="00F030F9"/>
    <w:rsid w:val="00F04308"/>
    <w:rsid w:val="00F04C8C"/>
    <w:rsid w:val="00F054DA"/>
    <w:rsid w:val="00F06144"/>
    <w:rsid w:val="00F06530"/>
    <w:rsid w:val="00F07B2D"/>
    <w:rsid w:val="00F07BCF"/>
    <w:rsid w:val="00F127D3"/>
    <w:rsid w:val="00F14929"/>
    <w:rsid w:val="00F1597D"/>
    <w:rsid w:val="00F16EF8"/>
    <w:rsid w:val="00F16FAB"/>
    <w:rsid w:val="00F170B7"/>
    <w:rsid w:val="00F21CA5"/>
    <w:rsid w:val="00F2343B"/>
    <w:rsid w:val="00F24632"/>
    <w:rsid w:val="00F24A20"/>
    <w:rsid w:val="00F255B6"/>
    <w:rsid w:val="00F26ED7"/>
    <w:rsid w:val="00F31625"/>
    <w:rsid w:val="00F31BDC"/>
    <w:rsid w:val="00F321C2"/>
    <w:rsid w:val="00F32232"/>
    <w:rsid w:val="00F32242"/>
    <w:rsid w:val="00F361A3"/>
    <w:rsid w:val="00F36B70"/>
    <w:rsid w:val="00F36CDE"/>
    <w:rsid w:val="00F36E39"/>
    <w:rsid w:val="00F4003B"/>
    <w:rsid w:val="00F40A8F"/>
    <w:rsid w:val="00F40FF5"/>
    <w:rsid w:val="00F41E1E"/>
    <w:rsid w:val="00F4277F"/>
    <w:rsid w:val="00F43ED1"/>
    <w:rsid w:val="00F44759"/>
    <w:rsid w:val="00F45144"/>
    <w:rsid w:val="00F46284"/>
    <w:rsid w:val="00F4680B"/>
    <w:rsid w:val="00F4734D"/>
    <w:rsid w:val="00F473D4"/>
    <w:rsid w:val="00F47445"/>
    <w:rsid w:val="00F47CD8"/>
    <w:rsid w:val="00F5046F"/>
    <w:rsid w:val="00F5088C"/>
    <w:rsid w:val="00F510AC"/>
    <w:rsid w:val="00F5374F"/>
    <w:rsid w:val="00F53DEA"/>
    <w:rsid w:val="00F545DD"/>
    <w:rsid w:val="00F55E69"/>
    <w:rsid w:val="00F579BE"/>
    <w:rsid w:val="00F606F4"/>
    <w:rsid w:val="00F60DF6"/>
    <w:rsid w:val="00F61E12"/>
    <w:rsid w:val="00F626E7"/>
    <w:rsid w:val="00F62D04"/>
    <w:rsid w:val="00F6434A"/>
    <w:rsid w:val="00F655E1"/>
    <w:rsid w:val="00F70887"/>
    <w:rsid w:val="00F70A7D"/>
    <w:rsid w:val="00F748DD"/>
    <w:rsid w:val="00F76633"/>
    <w:rsid w:val="00F7666A"/>
    <w:rsid w:val="00F77EEC"/>
    <w:rsid w:val="00F81710"/>
    <w:rsid w:val="00F819C4"/>
    <w:rsid w:val="00F81BF6"/>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3A0"/>
    <w:rsid w:val="00FA3DD7"/>
    <w:rsid w:val="00FA4D12"/>
    <w:rsid w:val="00FA5031"/>
    <w:rsid w:val="00FA56FF"/>
    <w:rsid w:val="00FB05E3"/>
    <w:rsid w:val="00FB106B"/>
    <w:rsid w:val="00FB4326"/>
    <w:rsid w:val="00FB45EB"/>
    <w:rsid w:val="00FB4C6F"/>
    <w:rsid w:val="00FB64A1"/>
    <w:rsid w:val="00FB6506"/>
    <w:rsid w:val="00FB6732"/>
    <w:rsid w:val="00FB7D16"/>
    <w:rsid w:val="00FC0858"/>
    <w:rsid w:val="00FC110D"/>
    <w:rsid w:val="00FC3800"/>
    <w:rsid w:val="00FC4527"/>
    <w:rsid w:val="00FC5DCE"/>
    <w:rsid w:val="00FC65BE"/>
    <w:rsid w:val="00FC70C0"/>
    <w:rsid w:val="00FC71AE"/>
    <w:rsid w:val="00FC7307"/>
    <w:rsid w:val="00FD0B64"/>
    <w:rsid w:val="00FD1EEA"/>
    <w:rsid w:val="00FD219D"/>
    <w:rsid w:val="00FD30C0"/>
    <w:rsid w:val="00FD33CF"/>
    <w:rsid w:val="00FD36CA"/>
    <w:rsid w:val="00FD3B41"/>
    <w:rsid w:val="00FD4E22"/>
    <w:rsid w:val="00FD6C73"/>
    <w:rsid w:val="00FE263F"/>
    <w:rsid w:val="00FE486C"/>
    <w:rsid w:val="00FE4BFD"/>
    <w:rsid w:val="00FE53E5"/>
    <w:rsid w:val="00FE578A"/>
    <w:rsid w:val="00FE6A0F"/>
    <w:rsid w:val="00FE7C48"/>
    <w:rsid w:val="00FF0BE2"/>
    <w:rsid w:val="00FF14A5"/>
    <w:rsid w:val="00FF2000"/>
    <w:rsid w:val="00FF621F"/>
    <w:rsid w:val="00FF67DA"/>
    <w:rsid w:val="00FF74BD"/>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43BE"/>
    <w:pPr>
      <w:spacing w:line="240" w:lineRule="auto"/>
    </w:pPr>
    <w:rPr>
      <w:rFonts w:eastAsia="Calibri"/>
      <w:sz w:val="20"/>
      <w:szCs w:val="20"/>
    </w:rPr>
  </w:style>
  <w:style w:type="character" w:customStyle="1" w:styleId="FootnoteTextChar">
    <w:name w:val="Footnote Text Char"/>
    <w:basedOn w:val="DefaultParagraphFont"/>
    <w:link w:val="FootnoteText"/>
    <w:uiPriority w:val="99"/>
    <w:semiHidden/>
    <w:rsid w:val="009943BE"/>
    <w:rPr>
      <w:rFonts w:eastAsia="Calibri"/>
      <w:sz w:val="20"/>
      <w:szCs w:val="20"/>
    </w:rPr>
  </w:style>
  <w:style w:type="character" w:styleId="FootnoteReference">
    <w:name w:val="footnote reference"/>
    <w:basedOn w:val="DefaultParagraphFont"/>
    <w:uiPriority w:val="99"/>
    <w:semiHidden/>
    <w:unhideWhenUsed/>
    <w:rsid w:val="009943BE"/>
    <w:rPr>
      <w:vertAlign w:val="superscript"/>
    </w:rPr>
  </w:style>
  <w:style w:type="paragraph" w:styleId="Header">
    <w:name w:val="header"/>
    <w:basedOn w:val="Normal"/>
    <w:link w:val="HeaderChar"/>
    <w:uiPriority w:val="99"/>
    <w:unhideWhenUsed/>
    <w:rsid w:val="00986649"/>
    <w:pPr>
      <w:tabs>
        <w:tab w:val="center" w:pos="4680"/>
        <w:tab w:val="right" w:pos="9360"/>
      </w:tabs>
      <w:spacing w:line="240" w:lineRule="auto"/>
    </w:pPr>
  </w:style>
  <w:style w:type="character" w:customStyle="1" w:styleId="HeaderChar">
    <w:name w:val="Header Char"/>
    <w:basedOn w:val="DefaultParagraphFont"/>
    <w:link w:val="Header"/>
    <w:uiPriority w:val="99"/>
    <w:rsid w:val="00986649"/>
  </w:style>
  <w:style w:type="paragraph" w:styleId="Footer">
    <w:name w:val="footer"/>
    <w:basedOn w:val="Normal"/>
    <w:link w:val="FooterChar"/>
    <w:uiPriority w:val="99"/>
    <w:unhideWhenUsed/>
    <w:rsid w:val="00986649"/>
    <w:pPr>
      <w:tabs>
        <w:tab w:val="center" w:pos="4680"/>
        <w:tab w:val="right" w:pos="9360"/>
      </w:tabs>
      <w:spacing w:line="240" w:lineRule="auto"/>
    </w:pPr>
  </w:style>
  <w:style w:type="character" w:customStyle="1" w:styleId="FooterChar">
    <w:name w:val="Footer Char"/>
    <w:basedOn w:val="DefaultParagraphFont"/>
    <w:link w:val="Footer"/>
    <w:uiPriority w:val="99"/>
    <w:rsid w:val="00986649"/>
  </w:style>
  <w:style w:type="paragraph" w:styleId="BalloonText">
    <w:name w:val="Balloon Text"/>
    <w:basedOn w:val="Normal"/>
    <w:link w:val="BalloonTextChar"/>
    <w:uiPriority w:val="99"/>
    <w:semiHidden/>
    <w:unhideWhenUsed/>
    <w:rsid w:val="009866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649"/>
    <w:rPr>
      <w:rFonts w:ascii="Tahoma" w:hAnsi="Tahoma" w:cs="Tahoma"/>
      <w:sz w:val="16"/>
      <w:szCs w:val="16"/>
    </w:rPr>
  </w:style>
  <w:style w:type="paragraph" w:styleId="ListParagraph">
    <w:name w:val="List Paragraph"/>
    <w:basedOn w:val="Normal"/>
    <w:uiPriority w:val="34"/>
    <w:qFormat/>
    <w:rsid w:val="002D5B2A"/>
    <w:pPr>
      <w:ind w:left="720"/>
      <w:contextualSpacing/>
    </w:pPr>
  </w:style>
  <w:style w:type="paragraph" w:styleId="EndnoteText">
    <w:name w:val="endnote text"/>
    <w:basedOn w:val="Normal"/>
    <w:link w:val="EndnoteTextChar"/>
    <w:uiPriority w:val="99"/>
    <w:semiHidden/>
    <w:unhideWhenUsed/>
    <w:rsid w:val="00BC6EEE"/>
    <w:pPr>
      <w:spacing w:line="240" w:lineRule="auto"/>
    </w:pPr>
    <w:rPr>
      <w:sz w:val="20"/>
      <w:szCs w:val="20"/>
    </w:rPr>
  </w:style>
  <w:style w:type="character" w:customStyle="1" w:styleId="EndnoteTextChar">
    <w:name w:val="Endnote Text Char"/>
    <w:basedOn w:val="DefaultParagraphFont"/>
    <w:link w:val="EndnoteText"/>
    <w:uiPriority w:val="99"/>
    <w:semiHidden/>
    <w:rsid w:val="00BC6EEE"/>
    <w:rPr>
      <w:sz w:val="20"/>
      <w:szCs w:val="20"/>
    </w:rPr>
  </w:style>
  <w:style w:type="character" w:styleId="EndnoteReference">
    <w:name w:val="endnote reference"/>
    <w:basedOn w:val="DefaultParagraphFont"/>
    <w:uiPriority w:val="99"/>
    <w:semiHidden/>
    <w:unhideWhenUsed/>
    <w:rsid w:val="00BC6EEE"/>
    <w:rPr>
      <w:vertAlign w:val="superscript"/>
    </w:rPr>
  </w:style>
  <w:style w:type="character" w:styleId="Hyperlink">
    <w:name w:val="Hyperlink"/>
    <w:basedOn w:val="DefaultParagraphFont"/>
    <w:uiPriority w:val="99"/>
    <w:semiHidden/>
    <w:unhideWhenUsed/>
    <w:rsid w:val="004F709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43BE"/>
    <w:pPr>
      <w:spacing w:line="240" w:lineRule="auto"/>
    </w:pPr>
    <w:rPr>
      <w:rFonts w:eastAsia="Calibri"/>
      <w:sz w:val="20"/>
      <w:szCs w:val="20"/>
    </w:rPr>
  </w:style>
  <w:style w:type="character" w:customStyle="1" w:styleId="FootnoteTextChar">
    <w:name w:val="Footnote Text Char"/>
    <w:basedOn w:val="DefaultParagraphFont"/>
    <w:link w:val="FootnoteText"/>
    <w:uiPriority w:val="99"/>
    <w:semiHidden/>
    <w:rsid w:val="009943BE"/>
    <w:rPr>
      <w:rFonts w:eastAsia="Calibri"/>
      <w:sz w:val="20"/>
      <w:szCs w:val="20"/>
    </w:rPr>
  </w:style>
  <w:style w:type="character" w:styleId="FootnoteReference">
    <w:name w:val="footnote reference"/>
    <w:basedOn w:val="DefaultParagraphFont"/>
    <w:uiPriority w:val="99"/>
    <w:semiHidden/>
    <w:unhideWhenUsed/>
    <w:rsid w:val="009943BE"/>
    <w:rPr>
      <w:vertAlign w:val="superscript"/>
    </w:rPr>
  </w:style>
  <w:style w:type="paragraph" w:styleId="Header">
    <w:name w:val="header"/>
    <w:basedOn w:val="Normal"/>
    <w:link w:val="HeaderChar"/>
    <w:uiPriority w:val="99"/>
    <w:unhideWhenUsed/>
    <w:rsid w:val="00986649"/>
    <w:pPr>
      <w:tabs>
        <w:tab w:val="center" w:pos="4680"/>
        <w:tab w:val="right" w:pos="9360"/>
      </w:tabs>
      <w:spacing w:line="240" w:lineRule="auto"/>
    </w:pPr>
  </w:style>
  <w:style w:type="character" w:customStyle="1" w:styleId="HeaderChar">
    <w:name w:val="Header Char"/>
    <w:basedOn w:val="DefaultParagraphFont"/>
    <w:link w:val="Header"/>
    <w:uiPriority w:val="99"/>
    <w:rsid w:val="00986649"/>
  </w:style>
  <w:style w:type="paragraph" w:styleId="Footer">
    <w:name w:val="footer"/>
    <w:basedOn w:val="Normal"/>
    <w:link w:val="FooterChar"/>
    <w:uiPriority w:val="99"/>
    <w:unhideWhenUsed/>
    <w:rsid w:val="00986649"/>
    <w:pPr>
      <w:tabs>
        <w:tab w:val="center" w:pos="4680"/>
        <w:tab w:val="right" w:pos="9360"/>
      </w:tabs>
      <w:spacing w:line="240" w:lineRule="auto"/>
    </w:pPr>
  </w:style>
  <w:style w:type="character" w:customStyle="1" w:styleId="FooterChar">
    <w:name w:val="Footer Char"/>
    <w:basedOn w:val="DefaultParagraphFont"/>
    <w:link w:val="Footer"/>
    <w:uiPriority w:val="99"/>
    <w:rsid w:val="00986649"/>
  </w:style>
  <w:style w:type="paragraph" w:styleId="BalloonText">
    <w:name w:val="Balloon Text"/>
    <w:basedOn w:val="Normal"/>
    <w:link w:val="BalloonTextChar"/>
    <w:uiPriority w:val="99"/>
    <w:semiHidden/>
    <w:unhideWhenUsed/>
    <w:rsid w:val="009866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649"/>
    <w:rPr>
      <w:rFonts w:ascii="Tahoma" w:hAnsi="Tahoma" w:cs="Tahoma"/>
      <w:sz w:val="16"/>
      <w:szCs w:val="16"/>
    </w:rPr>
  </w:style>
  <w:style w:type="paragraph" w:styleId="ListParagraph">
    <w:name w:val="List Paragraph"/>
    <w:basedOn w:val="Normal"/>
    <w:uiPriority w:val="34"/>
    <w:qFormat/>
    <w:rsid w:val="002D5B2A"/>
    <w:pPr>
      <w:ind w:left="720"/>
      <w:contextualSpacing/>
    </w:pPr>
  </w:style>
  <w:style w:type="paragraph" w:styleId="EndnoteText">
    <w:name w:val="endnote text"/>
    <w:basedOn w:val="Normal"/>
    <w:link w:val="EndnoteTextChar"/>
    <w:uiPriority w:val="99"/>
    <w:semiHidden/>
    <w:unhideWhenUsed/>
    <w:rsid w:val="00BC6EEE"/>
    <w:pPr>
      <w:spacing w:line="240" w:lineRule="auto"/>
    </w:pPr>
    <w:rPr>
      <w:sz w:val="20"/>
      <w:szCs w:val="20"/>
    </w:rPr>
  </w:style>
  <w:style w:type="character" w:customStyle="1" w:styleId="EndnoteTextChar">
    <w:name w:val="Endnote Text Char"/>
    <w:basedOn w:val="DefaultParagraphFont"/>
    <w:link w:val="EndnoteText"/>
    <w:uiPriority w:val="99"/>
    <w:semiHidden/>
    <w:rsid w:val="00BC6EEE"/>
    <w:rPr>
      <w:sz w:val="20"/>
      <w:szCs w:val="20"/>
    </w:rPr>
  </w:style>
  <w:style w:type="character" w:styleId="EndnoteReference">
    <w:name w:val="endnote reference"/>
    <w:basedOn w:val="DefaultParagraphFont"/>
    <w:uiPriority w:val="99"/>
    <w:semiHidden/>
    <w:unhideWhenUsed/>
    <w:rsid w:val="00BC6EEE"/>
    <w:rPr>
      <w:vertAlign w:val="superscript"/>
    </w:rPr>
  </w:style>
  <w:style w:type="character" w:styleId="Hyperlink">
    <w:name w:val="Hyperlink"/>
    <w:basedOn w:val="DefaultParagraphFont"/>
    <w:uiPriority w:val="99"/>
    <w:semiHidden/>
    <w:unhideWhenUsed/>
    <w:rsid w:val="004F709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exis.com/research/buttonTFLink?_m=5c1f6c91e3fbd90883be71e98c39e5d2&amp;_xfercite=%3ccite%20cc%3d%22USA%22%3e%3c%21%5bCDATA%5b2011%20Pa.%20PUC%20LEXIS%2086%5d%5d%3e%3c%2fcite%3e&amp;_butType=4&amp;_butStat=0&amp;_butNum=33&amp;_butInline=1&amp;_butinfo=52%20PA%20CODE%205.21&amp;_fmtstr=FULL&amp;docnum=2&amp;_startdoc=1&amp;wchp=dGLbVzk-zSkAb&amp;_md5=773e91d3bde6ffde7bb028cdfb7875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xis.com/research/buttonTFLink?_m=5c1f6c91e3fbd90883be71e98c39e5d2&amp;_xfercite=%3ccite%20cc%3d%22USA%22%3e%3c%21%5bCDATA%5b2011%20Pa.%20PUC%20LEXIS%2086%5d%5d%3e%3c%2fcite%3e&amp;_butType=4&amp;_butStat=0&amp;_butNum=32&amp;_butInline=1&amp;_butinfo=66%20PACS%20703&amp;_fmtstr=FULL&amp;docnum=2&amp;_startdoc=1&amp;wchp=dGLbVzk-zSkAb&amp;_md5=eab35ee1fef0692d0813c9282223830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lexis.com/research/buttonTFLink?_m=5c1f6c91e3fbd90883be71e98c39e5d2&amp;_xfercite=%3ccite%20cc%3d%22USA%22%3e%3c%21%5bCDATA%5b2011%20Pa.%20PUC%20LEXIS%2086%5d%5d%3e%3c%2fcite%3e&amp;_butType=4&amp;_butStat=0&amp;_butNum=33&amp;_butInline=1&amp;_butinfo=52%20PA%20CODE%205.21&amp;_fmtstr=FULL&amp;docnum=2&amp;_startdoc=1&amp;wchp=dGLbVzk-zSkAb&amp;_md5=773e91d3bde6ffde7bb028cdfb787527" TargetMode="External"/><Relationship Id="rId4" Type="http://schemas.microsoft.com/office/2007/relationships/stylesWithEffects" Target="stylesWithEffects.xml"/><Relationship Id="rId9" Type="http://schemas.openxmlformats.org/officeDocument/2006/relationships/hyperlink" Target="https://www.lexis.com/research/buttonTFLink?_m=5c1f6c91e3fbd90883be71e98c39e5d2&amp;_xfercite=%3ccite%20cc%3d%22USA%22%3e%3c%21%5bCDATA%5b2011%20Pa.%20PUC%20LEXIS%2086%5d%5d%3e%3c%2fcite%3e&amp;_butType=4&amp;_butStat=0&amp;_butNum=32&amp;_butInline=1&amp;_butinfo=66%20PACS%20703&amp;_fmtstr=FULL&amp;docnum=2&amp;_startdoc=1&amp;wchp=dGLbVzk-zSkAb&amp;_md5=eab35ee1fef0692d0813c9282223830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AB6C2-77DC-4F37-8265-19756140C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2707</Words>
  <Characters>15431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2015-04-10T18:13:00Z</cp:lastPrinted>
  <dcterms:created xsi:type="dcterms:W3CDTF">2015-04-10T18:13:00Z</dcterms:created>
  <dcterms:modified xsi:type="dcterms:W3CDTF">2015-04-10T18:13:00Z</dcterms:modified>
</cp:coreProperties>
</file>