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7769FA">
              <w:rPr>
                <w:sz w:val="26"/>
                <w:szCs w:val="26"/>
              </w:rPr>
              <w:t>April 23</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587173" w:rsidP="00762F72">
            <w:pPr>
              <w:widowControl/>
              <w:tabs>
                <w:tab w:val="left" w:pos="705"/>
              </w:tabs>
              <w:ind w:firstLine="720"/>
              <w:rPr>
                <w:sz w:val="26"/>
                <w:szCs w:val="26"/>
              </w:rPr>
            </w:pPr>
            <w:r w:rsidRPr="00472F90">
              <w:rPr>
                <w:sz w:val="26"/>
                <w:szCs w:val="26"/>
              </w:rPr>
              <w:t>Robert F. Powelson,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Pr="00472F90" w:rsidRDefault="009210A5" w:rsidP="00762F72">
            <w:pPr>
              <w:widowControl/>
              <w:ind w:left="720"/>
              <w:rPr>
                <w:sz w:val="26"/>
                <w:szCs w:val="26"/>
              </w:rPr>
            </w:pPr>
            <w:r>
              <w:rPr>
                <w:sz w:val="26"/>
                <w:szCs w:val="26"/>
              </w:rPr>
              <w:t>Gladys M. Brown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4B486A" w:rsidP="00762F72">
            <w:pPr>
              <w:widowControl/>
              <w:tabs>
                <w:tab w:val="left" w:pos="1640"/>
              </w:tabs>
              <w:rPr>
                <w:sz w:val="26"/>
                <w:szCs w:val="26"/>
              </w:rPr>
            </w:pPr>
            <w:r>
              <w:rPr>
                <w:sz w:val="26"/>
                <w:szCs w:val="26"/>
              </w:rPr>
              <w:t>Robinson Trucking, LLC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305E3C">
              <w:rPr>
                <w:sz w:val="26"/>
                <w:szCs w:val="26"/>
              </w:rPr>
              <w:t>3</w:t>
            </w:r>
            <w:r w:rsidR="004B486A">
              <w:rPr>
                <w:sz w:val="26"/>
                <w:szCs w:val="26"/>
              </w:rPr>
              <w:t>1921</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583090">
        <w:rPr>
          <w:sz w:val="26"/>
        </w:rPr>
        <w:t>October 2</w:t>
      </w:r>
      <w:r w:rsidR="00830FD2">
        <w:rPr>
          <w:sz w:val="26"/>
        </w:rPr>
        <w:t>9</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415C4F">
        <w:rPr>
          <w:sz w:val="26"/>
          <w:szCs w:val="26"/>
        </w:rPr>
        <w:t>Robinson Trucking, LLC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415C4F">
        <w:rPr>
          <w:sz w:val="26"/>
          <w:szCs w:val="26"/>
        </w:rPr>
        <w:t>July 14, 1999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70F24">
        <w:rPr>
          <w:sz w:val="26"/>
          <w:szCs w:val="26"/>
        </w:rPr>
        <w:t>00</w:t>
      </w:r>
      <w:r w:rsidR="00583090">
        <w:rPr>
          <w:sz w:val="26"/>
          <w:szCs w:val="26"/>
        </w:rPr>
        <w:t>1</w:t>
      </w:r>
      <w:r w:rsidR="00415C4F">
        <w:rPr>
          <w:sz w:val="26"/>
          <w:szCs w:val="26"/>
        </w:rPr>
        <w:t>15907</w:t>
      </w:r>
      <w:r w:rsidR="00D5547C">
        <w:rPr>
          <w:sz w:val="26"/>
          <w:szCs w:val="26"/>
        </w:rPr>
        <w:t xml:space="preserve">, </w:t>
      </w:r>
      <w:r w:rsidR="00170F24">
        <w:rPr>
          <w:sz w:val="26"/>
          <w:szCs w:val="26"/>
        </w:rPr>
        <w:t xml:space="preserve">for </w:t>
      </w:r>
      <w:r w:rsidR="00415C4F">
        <w:rPr>
          <w:sz w:val="26"/>
          <w:szCs w:val="26"/>
        </w:rPr>
        <w:t xml:space="preserve">truck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830FD2">
        <w:rPr>
          <w:sz w:val="26"/>
          <w:szCs w:val="26"/>
        </w:rPr>
        <w:t>July 1</w:t>
      </w:r>
      <w:r w:rsidR="00415C4F">
        <w:rPr>
          <w:sz w:val="26"/>
          <w:szCs w:val="26"/>
        </w:rPr>
        <w:t>5</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830FD2">
        <w:rPr>
          <w:sz w:val="26"/>
          <w:szCs w:val="26"/>
        </w:rPr>
        <w:t>July</w:t>
      </w:r>
      <w:r w:rsidR="0059612F">
        <w:rPr>
          <w:sz w:val="26"/>
          <w:szCs w:val="26"/>
        </w:rPr>
        <w:t> </w:t>
      </w:r>
      <w:r w:rsidR="00830FD2">
        <w:rPr>
          <w:sz w:val="26"/>
          <w:szCs w:val="26"/>
        </w:rPr>
        <w:t>1</w:t>
      </w:r>
      <w:r w:rsidR="00415C4F">
        <w:rPr>
          <w:sz w:val="26"/>
          <w:szCs w:val="26"/>
        </w:rPr>
        <w:t>5</w:t>
      </w:r>
      <w:r w:rsidR="009207AD">
        <w:rPr>
          <w:sz w:val="26"/>
          <w:szCs w:val="26"/>
        </w:rPr>
        <w:t>,</w:t>
      </w:r>
      <w:r w:rsidR="0059612F">
        <w:rPr>
          <w:sz w:val="26"/>
          <w:szCs w:val="26"/>
        </w:rPr>
        <w:t> </w:t>
      </w:r>
      <w:r w:rsidR="009207AD">
        <w:rPr>
          <w:sz w:val="26"/>
          <w:szCs w:val="26"/>
        </w:rPr>
        <w:t xml:space="preserve">2014, </w:t>
      </w:r>
      <w:r w:rsidR="00D30A21">
        <w:rPr>
          <w:sz w:val="26"/>
          <w:szCs w:val="26"/>
        </w:rPr>
        <w:t>the Secretary’s Bureau served the Complaint on the Respondent by certified mail.</w:t>
      </w:r>
      <w:r w:rsidR="00DD0AC0">
        <w:rPr>
          <w:sz w:val="26"/>
          <w:szCs w:val="26"/>
        </w:rPr>
        <w:t xml:space="preserve">  On </w:t>
      </w:r>
      <w:r w:rsidR="00415C4F">
        <w:rPr>
          <w:sz w:val="26"/>
          <w:szCs w:val="26"/>
        </w:rPr>
        <w:t>July 17</w:t>
      </w:r>
      <w:r w:rsidR="00DD0AC0">
        <w:rPr>
          <w:sz w:val="26"/>
          <w:szCs w:val="26"/>
        </w:rPr>
        <w:t>, 2014, the Respondent signed a receipt, confirming that it received the Complaint.</w:t>
      </w:r>
      <w:r w:rsidR="001D746E">
        <w:rPr>
          <w:sz w:val="26"/>
          <w:szCs w:val="26"/>
        </w:rPr>
        <w:t xml:space="preserve">  Motion at 1.</w:t>
      </w:r>
      <w:r w:rsidR="00D30A21">
        <w:rPr>
          <w:sz w:val="26"/>
          <w:szCs w:val="26"/>
        </w:rPr>
        <w:t xml:space="preserve">  </w:t>
      </w:r>
      <w:r w:rsidR="00B713D0">
        <w:rPr>
          <w:sz w:val="26"/>
          <w:szCs w:val="26"/>
        </w:rPr>
        <w:t xml:space="preserve">A copy of proof of delivery of the Complaint is attached to the Motion.     </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415C4F">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w:t>
      </w:r>
      <w:r w:rsidR="00415C4F">
        <w:rPr>
          <w:sz w:val="26"/>
          <w:szCs w:val="26"/>
        </w:rPr>
        <w:t xml:space="preserve">2011 and </w:t>
      </w:r>
      <w:r w:rsidR="000620D6">
        <w:rPr>
          <w:sz w:val="26"/>
          <w:szCs w:val="26"/>
        </w:rPr>
        <w:t>2012</w:t>
      </w:r>
      <w:r w:rsidR="000F2935">
        <w:rPr>
          <w:sz w:val="26"/>
          <w:szCs w:val="26"/>
        </w:rPr>
        <w:t xml:space="preserve"> calendar year</w:t>
      </w:r>
      <w:r w:rsidR="00415C4F">
        <w:rPr>
          <w:sz w:val="26"/>
          <w:szCs w:val="26"/>
        </w:rPr>
        <w:t>s</w:t>
      </w:r>
      <w:r w:rsidR="000F2935">
        <w:rPr>
          <w:sz w:val="26"/>
          <w:szCs w:val="26"/>
        </w:rPr>
        <w:t xml:space="preserve">.  </w:t>
      </w:r>
      <w:r w:rsidR="0035299F">
        <w:rPr>
          <w:sz w:val="26"/>
          <w:szCs w:val="26"/>
        </w:rPr>
        <w:t>I&amp;E recommended a civil penalty of $</w:t>
      </w:r>
      <w:r w:rsidR="00415C4F">
        <w:rPr>
          <w:sz w:val="26"/>
          <w:szCs w:val="26"/>
        </w:rPr>
        <w:t>2</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830FD2">
        <w:rPr>
          <w:sz w:val="26"/>
          <w:szCs w:val="26"/>
        </w:rPr>
        <w:t>8</w:t>
      </w:r>
      <w:r w:rsidR="00415C4F">
        <w:rPr>
          <w:sz w:val="26"/>
          <w:szCs w:val="26"/>
        </w:rPr>
        <w:t>27</w:t>
      </w:r>
      <w:r w:rsidR="003C0BFD">
        <w:rPr>
          <w:sz w:val="26"/>
          <w:szCs w:val="26"/>
        </w:rPr>
        <w:t xml:space="preserve"> for the July 1, 201</w:t>
      </w:r>
      <w:r w:rsidR="00415C4F">
        <w:rPr>
          <w:sz w:val="26"/>
          <w:szCs w:val="26"/>
        </w:rPr>
        <w:t>2</w:t>
      </w:r>
      <w:r w:rsidR="003C0BFD">
        <w:rPr>
          <w:sz w:val="26"/>
          <w:szCs w:val="26"/>
        </w:rPr>
        <w:t xml:space="preserve"> to June 30, 201</w:t>
      </w:r>
      <w:r w:rsidR="00415C4F">
        <w:rPr>
          <w:sz w:val="26"/>
          <w:szCs w:val="26"/>
        </w:rPr>
        <w:t>3</w:t>
      </w:r>
      <w:r w:rsidR="003C0BFD">
        <w:rPr>
          <w:sz w:val="26"/>
          <w:szCs w:val="26"/>
        </w:rPr>
        <w:t xml:space="preserve"> Fiscal</w:t>
      </w:r>
      <w:r w:rsidR="00266A1E">
        <w:rPr>
          <w:sz w:val="26"/>
          <w:szCs w:val="26"/>
        </w:rPr>
        <w:t xml:space="preserve"> Year</w:t>
      </w:r>
      <w:r w:rsidR="00830FD2">
        <w:rPr>
          <w:sz w:val="26"/>
          <w:szCs w:val="26"/>
        </w:rPr>
        <w:t xml:space="preserve">.  </w:t>
      </w:r>
      <w:r w:rsidR="00266A1E">
        <w:rPr>
          <w:sz w:val="26"/>
          <w:szCs w:val="26"/>
        </w:rPr>
        <w:t>I&amp;E r</w:t>
      </w:r>
      <w:r w:rsidR="00830FD2">
        <w:rPr>
          <w:sz w:val="26"/>
          <w:szCs w:val="26"/>
        </w:rPr>
        <w:t>ecommended a civil penalty of $</w:t>
      </w:r>
      <w:r w:rsidR="00415C4F">
        <w:rPr>
          <w:sz w:val="26"/>
          <w:szCs w:val="26"/>
        </w:rPr>
        <w:t>124</w:t>
      </w:r>
      <w:r w:rsidR="00266A1E">
        <w:rPr>
          <w:sz w:val="26"/>
          <w:szCs w:val="26"/>
        </w:rPr>
        <w:t xml:space="preserve"> for this violation.</w:t>
      </w:r>
      <w:r w:rsidR="00266A1E">
        <w:rPr>
          <w:rStyle w:val="FootnoteReference"/>
          <w:sz w:val="26"/>
          <w:szCs w:val="26"/>
        </w:rPr>
        <w:footnoteReference w:id="1"/>
      </w:r>
      <w:r w:rsidR="00266A1E">
        <w:rPr>
          <w:sz w:val="26"/>
          <w:szCs w:val="26"/>
        </w:rPr>
        <w:t xml:space="preserve">  Complaint at 4-</w:t>
      </w:r>
      <w:r w:rsidR="00830FD2">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DA27CE">
        <w:rPr>
          <w:sz w:val="26"/>
          <w:szCs w:val="26"/>
        </w:rPr>
        <w:t>2</w:t>
      </w:r>
      <w:r w:rsidR="00830FD2">
        <w:rPr>
          <w:sz w:val="26"/>
          <w:szCs w:val="26"/>
        </w:rPr>
        <w:t>,</w:t>
      </w:r>
      <w:r w:rsidR="00DA27CE">
        <w:rPr>
          <w:sz w:val="26"/>
          <w:szCs w:val="26"/>
        </w:rPr>
        <w:t>951</w:t>
      </w:r>
      <w:r>
        <w:rPr>
          <w:sz w:val="26"/>
          <w:szCs w:val="26"/>
        </w:rPr>
        <w:t>, consisting of the outstanding assessment balance of $</w:t>
      </w:r>
      <w:r w:rsidR="00DA27CE">
        <w:rPr>
          <w:sz w:val="26"/>
          <w:szCs w:val="26"/>
        </w:rPr>
        <w:t>827</w:t>
      </w:r>
      <w:r>
        <w:rPr>
          <w:sz w:val="26"/>
          <w:szCs w:val="26"/>
        </w:rPr>
        <w:t xml:space="preserve"> and a civil penalty of $</w:t>
      </w:r>
      <w:r w:rsidR="00DA27CE">
        <w:rPr>
          <w:sz w:val="26"/>
          <w:szCs w:val="26"/>
        </w:rPr>
        <w:t>2</w:t>
      </w:r>
      <w:r>
        <w:rPr>
          <w:sz w:val="26"/>
          <w:szCs w:val="26"/>
        </w:rPr>
        <w:t>,</w:t>
      </w:r>
      <w:r w:rsidR="00DA27CE">
        <w:rPr>
          <w:sz w:val="26"/>
          <w:szCs w:val="26"/>
        </w:rPr>
        <w:t>124</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830FD2">
        <w:rPr>
          <w:sz w:val="26"/>
          <w:szCs w:val="26"/>
        </w:rPr>
        <w:t>6</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0579BA" w:rsidRDefault="000579BA" w:rsidP="00762F72">
      <w:pPr>
        <w:widowControl/>
        <w:spacing w:line="360" w:lineRule="auto"/>
        <w:rPr>
          <w:sz w:val="26"/>
          <w:szCs w:val="26"/>
        </w:rPr>
      </w:pPr>
      <w:r>
        <w:rPr>
          <w:sz w:val="26"/>
          <w:szCs w:val="26"/>
        </w:rPr>
        <w:tab/>
      </w:r>
      <w:r>
        <w:rPr>
          <w:sz w:val="26"/>
          <w:szCs w:val="26"/>
        </w:rPr>
        <w:tab/>
        <w:t xml:space="preserve">On </w:t>
      </w:r>
      <w:r w:rsidR="00815680">
        <w:rPr>
          <w:sz w:val="26"/>
          <w:szCs w:val="26"/>
        </w:rPr>
        <w:t>July 17</w:t>
      </w:r>
      <w:r>
        <w:rPr>
          <w:sz w:val="26"/>
          <w:szCs w:val="26"/>
        </w:rPr>
        <w:t xml:space="preserve">, 2014, the Respondent signed a receipt confirming that it received the Complaint.  The twenty days to file an Answer to the Complaint expired on </w:t>
      </w:r>
      <w:r w:rsidR="00815680">
        <w:rPr>
          <w:sz w:val="26"/>
          <w:szCs w:val="26"/>
        </w:rPr>
        <w:t>August 6</w:t>
      </w:r>
      <w:r>
        <w:rPr>
          <w:sz w:val="26"/>
          <w:szCs w:val="26"/>
        </w:rPr>
        <w:t>, 2014.  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F0960">
        <w:rPr>
          <w:sz w:val="26"/>
          <w:szCs w:val="26"/>
        </w:rPr>
        <w:t>October 29</w:t>
      </w:r>
      <w:r w:rsidR="008D6613">
        <w:rPr>
          <w:sz w:val="26"/>
          <w:szCs w:val="26"/>
        </w:rPr>
        <w:t>, 201</w:t>
      </w:r>
      <w:r w:rsidR="008F0960">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1D5A75">
        <w:rPr>
          <w:sz w:val="26"/>
          <w:szCs w:val="26"/>
        </w:rPr>
        <w:t>827</w:t>
      </w:r>
      <w:r w:rsidR="00324197">
        <w:rPr>
          <w:sz w:val="26"/>
          <w:szCs w:val="26"/>
        </w:rPr>
        <w:t>, and the civil penalty of</w:t>
      </w:r>
      <w:r w:rsidR="00C50450">
        <w:rPr>
          <w:sz w:val="26"/>
          <w:szCs w:val="26"/>
        </w:rPr>
        <w:t xml:space="preserve"> $</w:t>
      </w:r>
      <w:r w:rsidR="001D5A75">
        <w:rPr>
          <w:sz w:val="26"/>
          <w:szCs w:val="26"/>
        </w:rPr>
        <w:t>2</w:t>
      </w:r>
      <w:r w:rsidR="00C50450">
        <w:rPr>
          <w:sz w:val="26"/>
          <w:szCs w:val="26"/>
        </w:rPr>
        <w:t>,</w:t>
      </w:r>
      <w:r w:rsidR="001D5A75">
        <w:rPr>
          <w:sz w:val="26"/>
          <w:szCs w:val="26"/>
        </w:rPr>
        <w:t>124</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w:t>
      </w:r>
      <w:r w:rsidR="00EC6384">
        <w:rPr>
          <w:sz w:val="26"/>
          <w:szCs w:val="26"/>
        </w:rPr>
        <w:lastRenderedPageBreak/>
        <w:t xml:space="preserve">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675393">
        <w:rPr>
          <w:sz w:val="26"/>
        </w:rPr>
        <w:t>October 29, 2014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1836EC" w:rsidRPr="001836EC">
        <w:rPr>
          <w:sz w:val="26"/>
          <w:szCs w:val="26"/>
        </w:rPr>
        <w:t xml:space="preserve"> </w:t>
      </w:r>
      <w:r w:rsidR="003A5839">
        <w:rPr>
          <w:sz w:val="26"/>
          <w:szCs w:val="26"/>
        </w:rPr>
        <w:t>Robinson Trucking, LLC</w:t>
      </w:r>
      <w:r w:rsidR="00BB7A47">
        <w:rPr>
          <w:sz w:val="26"/>
          <w:szCs w:val="26"/>
        </w:rPr>
        <w:t xml:space="preserve"> </w:t>
      </w:r>
      <w:r w:rsidR="00AF570B" w:rsidRPr="004C2E32">
        <w:rPr>
          <w:sz w:val="26"/>
          <w:szCs w:val="24"/>
        </w:rPr>
        <w:t xml:space="preserve">shall remit </w:t>
      </w:r>
      <w:r w:rsidR="005135AB">
        <w:rPr>
          <w:sz w:val="26"/>
          <w:szCs w:val="24"/>
        </w:rPr>
        <w:t>$</w:t>
      </w:r>
      <w:r w:rsidR="003A5839">
        <w:rPr>
          <w:sz w:val="26"/>
          <w:szCs w:val="24"/>
        </w:rPr>
        <w:t>2</w:t>
      </w:r>
      <w:r w:rsidR="00092E0B">
        <w:rPr>
          <w:sz w:val="26"/>
          <w:szCs w:val="24"/>
        </w:rPr>
        <w:t>,</w:t>
      </w:r>
      <w:r w:rsidR="003A5839">
        <w:rPr>
          <w:sz w:val="26"/>
          <w:szCs w:val="24"/>
        </w:rPr>
        <w:t>951</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3A5839">
        <w:rPr>
          <w:sz w:val="26"/>
          <w:szCs w:val="26"/>
        </w:rPr>
        <w:t>Robinson Trucking, LLC</w:t>
      </w:r>
      <w:r w:rsidR="00AD3629">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3A5839">
        <w:rPr>
          <w:sz w:val="26"/>
          <w:szCs w:val="26"/>
        </w:rPr>
        <w:t xml:space="preserve"> Robinson Trucking, LLC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FF24BC">
        <w:rPr>
          <w:sz w:val="26"/>
          <w:szCs w:val="26"/>
        </w:rPr>
        <w:t>1</w:t>
      </w:r>
      <w:r w:rsidR="003A5839">
        <w:rPr>
          <w:sz w:val="26"/>
          <w:szCs w:val="26"/>
        </w:rPr>
        <w:t>15907</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lastRenderedPageBreak/>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AF2516" w:rsidRDefault="003A5839" w:rsidP="00AD3629">
      <w:pPr>
        <w:widowControl/>
        <w:spacing w:line="360" w:lineRule="auto"/>
        <w:ind w:left="2880"/>
        <w:rPr>
          <w:sz w:val="26"/>
        </w:rPr>
      </w:pPr>
      <w:r>
        <w:rPr>
          <w:sz w:val="26"/>
          <w:szCs w:val="26"/>
        </w:rPr>
        <w:t>Robinson Trucking, LLC</w:t>
      </w:r>
      <w:r w:rsidR="00FF24BC">
        <w:rPr>
          <w:sz w:val="26"/>
          <w:szCs w:val="26"/>
        </w:rPr>
        <w:t>’s</w:t>
      </w:r>
      <w:r w:rsidR="00DA020B">
        <w:rPr>
          <w:sz w:val="26"/>
          <w:szCs w:val="26"/>
        </w:rPr>
        <w:t xml:space="preserve"> </w:t>
      </w:r>
      <w:r w:rsidR="00854C98">
        <w:rPr>
          <w:sz w:val="26"/>
        </w:rPr>
        <w:t xml:space="preserve">vehicle registrations.  </w:t>
      </w:r>
      <w:r>
        <w:rPr>
          <w:sz w:val="26"/>
          <w:szCs w:val="26"/>
        </w:rPr>
        <w:t>Robinson Trucking, LLC</w:t>
      </w:r>
      <w:r w:rsidR="00AD3629">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AD3629" w:rsidRDefault="00AD3629"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t>7.</w:t>
      </w:r>
      <w:r>
        <w:rPr>
          <w:sz w:val="26"/>
        </w:rPr>
        <w:tab/>
      </w:r>
      <w:r w:rsidRPr="0090056F">
        <w:rPr>
          <w:sz w:val="26"/>
        </w:rPr>
        <w:t>That</w:t>
      </w:r>
      <w:r>
        <w:rPr>
          <w:sz w:val="26"/>
        </w:rPr>
        <w:t>, after</w:t>
      </w:r>
      <w:r w:rsidR="003A5839">
        <w:rPr>
          <w:sz w:val="26"/>
        </w:rPr>
        <w:t xml:space="preserve"> Robinson Trucking, LLC</w:t>
      </w:r>
      <w:r w:rsidR="00AD3629">
        <w:rPr>
          <w:sz w:val="26"/>
          <w:szCs w:val="26"/>
        </w:rPr>
        <w:t xml:space="preserve"> </w:t>
      </w:r>
      <w:r>
        <w:rPr>
          <w:sz w:val="26"/>
          <w:szCs w:val="26"/>
        </w:rPr>
        <w:t>remits $</w:t>
      </w:r>
      <w:r w:rsidR="003A5839">
        <w:rPr>
          <w:sz w:val="26"/>
          <w:szCs w:val="26"/>
        </w:rPr>
        <w:t>2</w:t>
      </w:r>
      <w:r w:rsidR="00FF24BC">
        <w:rPr>
          <w:sz w:val="26"/>
          <w:szCs w:val="26"/>
        </w:rPr>
        <w:t>,</w:t>
      </w:r>
      <w:r w:rsidR="003A5839">
        <w:rPr>
          <w:sz w:val="26"/>
          <w:szCs w:val="26"/>
        </w:rPr>
        <w:t>951</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AA7AE0" w:rsidP="00762F72">
      <w:pPr>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6523E92F" wp14:editId="2DB59621">
            <wp:simplePos x="0" y="0"/>
            <wp:positionH relativeFrom="column">
              <wp:posOffset>3591560</wp:posOffset>
            </wp:positionH>
            <wp:positionV relativeFrom="paragraph">
              <wp:posOffset>128905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7769FA">
        <w:rPr>
          <w:sz w:val="26"/>
          <w:szCs w:val="26"/>
        </w:rPr>
        <w:t>April 23</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AA7AE0">
        <w:rPr>
          <w:sz w:val="26"/>
          <w:szCs w:val="26"/>
        </w:rPr>
        <w:t>April 23,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B8" w:rsidRDefault="008C07B8">
      <w:r>
        <w:separator/>
      </w:r>
    </w:p>
  </w:endnote>
  <w:endnote w:type="continuationSeparator" w:id="0">
    <w:p w:rsidR="008C07B8" w:rsidRDefault="008C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AA7AE0">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B8" w:rsidRDefault="008C07B8">
      <w:r>
        <w:separator/>
      </w:r>
    </w:p>
  </w:footnote>
  <w:footnote w:type="continuationSeparator" w:id="0">
    <w:p w:rsidR="008C07B8" w:rsidRDefault="008C07B8">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I&amp;E’s recommended $</w:t>
      </w:r>
      <w:r w:rsidR="00415C4F">
        <w:rPr>
          <w:sz w:val="26"/>
        </w:rPr>
        <w:t>124</w:t>
      </w:r>
      <w:r>
        <w:rPr>
          <w:sz w:val="26"/>
        </w:rPr>
        <w:t xml:space="preserve"> civil penalty is approximately </w:t>
      </w:r>
      <w:r w:rsidR="00830FD2">
        <w:rPr>
          <w:sz w:val="26"/>
        </w:rPr>
        <w:t>1</w:t>
      </w:r>
      <w:r>
        <w:rPr>
          <w:sz w:val="26"/>
        </w:rPr>
        <w:t>5% of the $</w:t>
      </w:r>
      <w:r w:rsidR="00415C4F">
        <w:rPr>
          <w:sz w:val="26"/>
        </w:rPr>
        <w:t>827</w:t>
      </w:r>
      <w:r>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C1B6-1AB9-4673-9A3E-93C3073C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8546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12</cp:revision>
  <cp:lastPrinted>2015-04-23T11:18:00Z</cp:lastPrinted>
  <dcterms:created xsi:type="dcterms:W3CDTF">2015-04-08T15:15:00Z</dcterms:created>
  <dcterms:modified xsi:type="dcterms:W3CDTF">2015-04-23T11:18:00Z</dcterms:modified>
</cp:coreProperties>
</file>