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E22869" w:rsidRDefault="00124E02" w:rsidP="00E22869">
      <w:pPr>
        <w:pStyle w:val="TxBrc2"/>
        <w:widowControl/>
        <w:spacing w:line="240" w:lineRule="auto"/>
        <w:ind w:firstLine="0"/>
        <w:rPr>
          <w:b/>
          <w:szCs w:val="26"/>
        </w:rPr>
      </w:pPr>
      <w:r w:rsidRPr="00E22869">
        <w:rPr>
          <w:b/>
          <w:szCs w:val="26"/>
        </w:rPr>
        <w:t>PENNSYLVANIA</w:t>
      </w:r>
    </w:p>
    <w:p w:rsidR="007C4D87" w:rsidRPr="00E22869" w:rsidRDefault="007C4D87" w:rsidP="00E22869">
      <w:pPr>
        <w:pStyle w:val="TxBrc2"/>
        <w:widowControl/>
        <w:spacing w:line="240" w:lineRule="auto"/>
        <w:ind w:firstLine="0"/>
        <w:rPr>
          <w:b/>
          <w:szCs w:val="26"/>
        </w:rPr>
      </w:pPr>
      <w:r w:rsidRPr="00E22869">
        <w:rPr>
          <w:b/>
          <w:szCs w:val="26"/>
        </w:rPr>
        <w:t>PUBLIC UTILITY COMMISSION</w:t>
      </w:r>
    </w:p>
    <w:p w:rsidR="007C4D87" w:rsidRPr="00E22869" w:rsidRDefault="00C26423" w:rsidP="00E22869">
      <w:pPr>
        <w:pStyle w:val="TxBrc2"/>
        <w:widowControl/>
        <w:spacing w:line="240" w:lineRule="auto"/>
        <w:ind w:firstLine="0"/>
        <w:rPr>
          <w:b/>
          <w:szCs w:val="26"/>
        </w:rPr>
      </w:pPr>
      <w:r w:rsidRPr="00E22869">
        <w:rPr>
          <w:b/>
          <w:szCs w:val="26"/>
        </w:rPr>
        <w:t>Harrisburg, P</w:t>
      </w:r>
      <w:r w:rsidR="00817015" w:rsidRPr="00E22869">
        <w:rPr>
          <w:b/>
          <w:szCs w:val="26"/>
        </w:rPr>
        <w:t>A</w:t>
      </w:r>
      <w:r w:rsidR="00124E02" w:rsidRPr="00E22869">
        <w:rPr>
          <w:b/>
          <w:szCs w:val="26"/>
        </w:rPr>
        <w:t xml:space="preserve"> 17105</w:t>
      </w:r>
    </w:p>
    <w:p w:rsidR="007C4D87" w:rsidRPr="00E22869" w:rsidRDefault="007C4D87" w:rsidP="00E22869">
      <w:pPr>
        <w:pStyle w:val="TxBrc2"/>
        <w:widowControl/>
        <w:spacing w:line="240" w:lineRule="auto"/>
        <w:ind w:firstLine="0"/>
        <w:jc w:val="left"/>
        <w:rPr>
          <w:szCs w:val="26"/>
        </w:rPr>
      </w:pPr>
    </w:p>
    <w:p w:rsidR="007C4D87" w:rsidRPr="00E22869" w:rsidRDefault="007D5D09" w:rsidP="00E22869">
      <w:pPr>
        <w:pStyle w:val="TxBrc2"/>
        <w:widowControl/>
        <w:spacing w:line="240" w:lineRule="auto"/>
        <w:ind w:firstLine="0"/>
        <w:jc w:val="right"/>
        <w:rPr>
          <w:szCs w:val="26"/>
        </w:rPr>
      </w:pPr>
      <w:r w:rsidRPr="00E22869">
        <w:rPr>
          <w:szCs w:val="26"/>
        </w:rPr>
        <w:t xml:space="preserve">Public Meeting held </w:t>
      </w:r>
      <w:r w:rsidR="00CB7790" w:rsidRPr="00E22869">
        <w:rPr>
          <w:szCs w:val="26"/>
        </w:rPr>
        <w:t>April</w:t>
      </w:r>
      <w:r w:rsidR="00B729C9" w:rsidRPr="00E22869">
        <w:rPr>
          <w:szCs w:val="26"/>
        </w:rPr>
        <w:t xml:space="preserve"> </w:t>
      </w:r>
      <w:r w:rsidR="00F52732" w:rsidRPr="00E22869">
        <w:rPr>
          <w:szCs w:val="26"/>
        </w:rPr>
        <w:t>23</w:t>
      </w:r>
      <w:r w:rsidR="004F2DB6" w:rsidRPr="00E22869">
        <w:rPr>
          <w:szCs w:val="26"/>
        </w:rPr>
        <w:t xml:space="preserve">, </w:t>
      </w:r>
      <w:r w:rsidR="00AA2CB7" w:rsidRPr="00E22869">
        <w:rPr>
          <w:szCs w:val="26"/>
        </w:rPr>
        <w:t>20</w:t>
      </w:r>
      <w:r w:rsidR="009F0675" w:rsidRPr="00E22869">
        <w:rPr>
          <w:szCs w:val="26"/>
        </w:rPr>
        <w:t>1</w:t>
      </w:r>
      <w:r w:rsidR="00334DC7" w:rsidRPr="00E22869">
        <w:rPr>
          <w:szCs w:val="26"/>
        </w:rPr>
        <w:t>5</w:t>
      </w:r>
    </w:p>
    <w:p w:rsidR="007C4D87" w:rsidRPr="00E22869" w:rsidRDefault="007C4D87" w:rsidP="00E22869">
      <w:pPr>
        <w:spacing w:line="240" w:lineRule="auto"/>
        <w:ind w:firstLine="0"/>
        <w:rPr>
          <w:szCs w:val="26"/>
        </w:rPr>
      </w:pPr>
    </w:p>
    <w:p w:rsidR="007C4D87" w:rsidRPr="00E22869" w:rsidRDefault="007C4D87" w:rsidP="00E22869">
      <w:pPr>
        <w:spacing w:line="240" w:lineRule="auto"/>
        <w:ind w:firstLine="0"/>
        <w:rPr>
          <w:szCs w:val="26"/>
        </w:rPr>
      </w:pPr>
      <w:r w:rsidRPr="00E22869">
        <w:rPr>
          <w:szCs w:val="26"/>
        </w:rPr>
        <w:t>Commissioners Present:</w:t>
      </w:r>
    </w:p>
    <w:p w:rsidR="007C4D87" w:rsidRPr="00E22869" w:rsidRDefault="007C4D87" w:rsidP="00E22869">
      <w:pPr>
        <w:spacing w:line="240" w:lineRule="auto"/>
        <w:ind w:firstLine="0"/>
        <w:rPr>
          <w:szCs w:val="26"/>
        </w:rPr>
      </w:pPr>
    </w:p>
    <w:p w:rsidR="00334DC7" w:rsidRPr="00E22869" w:rsidRDefault="00334DC7" w:rsidP="00E22869">
      <w:pPr>
        <w:tabs>
          <w:tab w:val="left" w:pos="705"/>
        </w:tabs>
        <w:spacing w:line="240" w:lineRule="auto"/>
        <w:ind w:left="432" w:firstLine="0"/>
        <w:rPr>
          <w:szCs w:val="26"/>
        </w:rPr>
      </w:pPr>
      <w:r w:rsidRPr="00E22869">
        <w:rPr>
          <w:szCs w:val="26"/>
        </w:rPr>
        <w:t>Robert F. Powelson, Chairman</w:t>
      </w:r>
    </w:p>
    <w:p w:rsidR="00334DC7" w:rsidRPr="00E22869" w:rsidRDefault="00334DC7" w:rsidP="00E22869">
      <w:pPr>
        <w:tabs>
          <w:tab w:val="left" w:pos="705"/>
        </w:tabs>
        <w:spacing w:line="240" w:lineRule="auto"/>
        <w:ind w:left="432" w:firstLine="0"/>
        <w:rPr>
          <w:szCs w:val="26"/>
        </w:rPr>
      </w:pPr>
      <w:r w:rsidRPr="00E22869">
        <w:rPr>
          <w:szCs w:val="26"/>
        </w:rPr>
        <w:t>John F. Coleman, Jr., Vice Chairman</w:t>
      </w:r>
    </w:p>
    <w:p w:rsidR="00334DC7" w:rsidRPr="00E22869" w:rsidRDefault="00334DC7" w:rsidP="00E22869">
      <w:pPr>
        <w:tabs>
          <w:tab w:val="left" w:pos="705"/>
        </w:tabs>
        <w:spacing w:line="240" w:lineRule="auto"/>
        <w:ind w:left="432" w:firstLine="0"/>
        <w:rPr>
          <w:szCs w:val="26"/>
        </w:rPr>
      </w:pPr>
      <w:r w:rsidRPr="00E22869">
        <w:rPr>
          <w:szCs w:val="26"/>
        </w:rPr>
        <w:t>James H. Cawley</w:t>
      </w:r>
    </w:p>
    <w:p w:rsidR="00334DC7" w:rsidRPr="00E22869" w:rsidRDefault="00334DC7" w:rsidP="00E22869">
      <w:pPr>
        <w:tabs>
          <w:tab w:val="left" w:pos="705"/>
        </w:tabs>
        <w:spacing w:line="240" w:lineRule="auto"/>
        <w:ind w:left="432" w:firstLine="0"/>
        <w:rPr>
          <w:szCs w:val="26"/>
        </w:rPr>
      </w:pPr>
      <w:r w:rsidRPr="00E22869">
        <w:rPr>
          <w:szCs w:val="26"/>
        </w:rPr>
        <w:t>Pamela A. Witmer</w:t>
      </w:r>
    </w:p>
    <w:p w:rsidR="00334DC7" w:rsidRPr="00E22869" w:rsidRDefault="00334DC7" w:rsidP="00E22869">
      <w:pPr>
        <w:tabs>
          <w:tab w:val="left" w:pos="705"/>
        </w:tabs>
        <w:spacing w:line="240" w:lineRule="auto"/>
        <w:ind w:left="432" w:firstLine="0"/>
        <w:rPr>
          <w:szCs w:val="26"/>
        </w:rPr>
      </w:pPr>
      <w:r w:rsidRPr="00E22869">
        <w:rPr>
          <w:szCs w:val="26"/>
        </w:rPr>
        <w:t>Gladys M. Brown</w:t>
      </w:r>
    </w:p>
    <w:p w:rsidR="006B6E19" w:rsidRPr="00E22869" w:rsidRDefault="006B6E19" w:rsidP="00E22869">
      <w:pPr>
        <w:spacing w:line="240" w:lineRule="auto"/>
        <w:ind w:firstLine="0"/>
        <w:rPr>
          <w:szCs w:val="26"/>
        </w:rPr>
      </w:pPr>
    </w:p>
    <w:tbl>
      <w:tblPr>
        <w:tblW w:w="0" w:type="auto"/>
        <w:tblLook w:val="04A0" w:firstRow="1" w:lastRow="0" w:firstColumn="1" w:lastColumn="0" w:noHBand="0" w:noVBand="1"/>
      </w:tblPr>
      <w:tblGrid>
        <w:gridCol w:w="5778"/>
        <w:gridCol w:w="3798"/>
      </w:tblGrid>
      <w:tr w:rsidR="004F2DB6" w:rsidRPr="00E22869" w:rsidTr="00D05423">
        <w:tc>
          <w:tcPr>
            <w:tcW w:w="5778" w:type="dxa"/>
          </w:tcPr>
          <w:p w:rsidR="004F2DB6" w:rsidRPr="00E22869" w:rsidRDefault="00334DC7" w:rsidP="00E22869">
            <w:pPr>
              <w:pStyle w:val="TxBrc4"/>
              <w:widowControl/>
              <w:spacing w:line="240" w:lineRule="auto"/>
              <w:ind w:firstLine="0"/>
              <w:jc w:val="left"/>
              <w:rPr>
                <w:bCs/>
                <w:szCs w:val="26"/>
              </w:rPr>
            </w:pPr>
            <w:r w:rsidRPr="00E22869">
              <w:rPr>
                <w:bCs/>
                <w:szCs w:val="26"/>
              </w:rPr>
              <w:t>George Gadsden</w:t>
            </w:r>
          </w:p>
          <w:p w:rsidR="00715673" w:rsidRPr="00E22869" w:rsidRDefault="00715673" w:rsidP="00E22869">
            <w:pPr>
              <w:pStyle w:val="TxBrc4"/>
              <w:widowControl/>
              <w:tabs>
                <w:tab w:val="left" w:pos="204"/>
              </w:tabs>
              <w:spacing w:line="240" w:lineRule="auto"/>
              <w:ind w:firstLine="0"/>
              <w:jc w:val="left"/>
              <w:rPr>
                <w:bCs/>
                <w:szCs w:val="26"/>
              </w:rPr>
            </w:pPr>
          </w:p>
          <w:p w:rsidR="004F2DB6" w:rsidRPr="00E22869" w:rsidRDefault="004F2DB6" w:rsidP="00E22869">
            <w:pPr>
              <w:pStyle w:val="TxBrc4"/>
              <w:widowControl/>
              <w:tabs>
                <w:tab w:val="left" w:pos="204"/>
                <w:tab w:val="left" w:pos="540"/>
              </w:tabs>
              <w:spacing w:line="240" w:lineRule="auto"/>
              <w:ind w:firstLine="0"/>
              <w:jc w:val="left"/>
              <w:rPr>
                <w:bCs/>
                <w:szCs w:val="26"/>
              </w:rPr>
            </w:pPr>
            <w:r w:rsidRPr="00E22869">
              <w:rPr>
                <w:bCs/>
                <w:szCs w:val="26"/>
              </w:rPr>
              <w:t xml:space="preserve">       </w:t>
            </w:r>
            <w:r w:rsidR="00E902A1" w:rsidRPr="00E22869">
              <w:rPr>
                <w:bCs/>
                <w:szCs w:val="26"/>
              </w:rPr>
              <w:t xml:space="preserve">    </w:t>
            </w:r>
            <w:r w:rsidRPr="00E22869">
              <w:rPr>
                <w:bCs/>
                <w:szCs w:val="26"/>
              </w:rPr>
              <w:t xml:space="preserve"> v.</w:t>
            </w:r>
          </w:p>
          <w:p w:rsidR="00715673" w:rsidRPr="00E22869" w:rsidRDefault="00715673" w:rsidP="00E22869">
            <w:pPr>
              <w:pStyle w:val="TxBrc4"/>
              <w:widowControl/>
              <w:tabs>
                <w:tab w:val="left" w:pos="204"/>
              </w:tabs>
              <w:spacing w:line="240" w:lineRule="auto"/>
              <w:ind w:firstLine="0"/>
              <w:jc w:val="left"/>
              <w:rPr>
                <w:bCs/>
                <w:szCs w:val="26"/>
              </w:rPr>
            </w:pPr>
          </w:p>
          <w:p w:rsidR="004F2DB6" w:rsidRPr="00E22869" w:rsidRDefault="003146AB" w:rsidP="00E22869">
            <w:pPr>
              <w:pStyle w:val="TxBrc4"/>
              <w:widowControl/>
              <w:tabs>
                <w:tab w:val="left" w:pos="204"/>
              </w:tabs>
              <w:spacing w:line="240" w:lineRule="auto"/>
              <w:ind w:firstLine="0"/>
              <w:jc w:val="left"/>
              <w:rPr>
                <w:b/>
                <w:bCs/>
                <w:szCs w:val="26"/>
              </w:rPr>
            </w:pPr>
            <w:r w:rsidRPr="00E22869">
              <w:rPr>
                <w:bCs/>
                <w:szCs w:val="26"/>
              </w:rPr>
              <w:t>P</w:t>
            </w:r>
            <w:r w:rsidR="00817015" w:rsidRPr="00E22869">
              <w:rPr>
                <w:bCs/>
                <w:szCs w:val="26"/>
              </w:rPr>
              <w:t>ECO</w:t>
            </w:r>
            <w:r w:rsidRPr="00E22869">
              <w:rPr>
                <w:bCs/>
                <w:szCs w:val="26"/>
              </w:rPr>
              <w:t xml:space="preserve"> </w:t>
            </w:r>
            <w:r w:rsidR="00817015" w:rsidRPr="00E22869">
              <w:rPr>
                <w:bCs/>
                <w:szCs w:val="26"/>
              </w:rPr>
              <w:t>Energy Company</w:t>
            </w:r>
          </w:p>
        </w:tc>
        <w:tc>
          <w:tcPr>
            <w:tcW w:w="3798" w:type="dxa"/>
          </w:tcPr>
          <w:p w:rsidR="004F2DB6" w:rsidRPr="00E22869" w:rsidRDefault="003146AB" w:rsidP="00E22869">
            <w:pPr>
              <w:pStyle w:val="TxBrc4"/>
              <w:widowControl/>
              <w:tabs>
                <w:tab w:val="left" w:pos="204"/>
              </w:tabs>
              <w:spacing w:line="240" w:lineRule="auto"/>
              <w:ind w:firstLine="0"/>
              <w:jc w:val="right"/>
              <w:rPr>
                <w:bCs/>
                <w:szCs w:val="26"/>
              </w:rPr>
            </w:pPr>
            <w:r w:rsidRPr="00E22869">
              <w:rPr>
                <w:bCs/>
                <w:szCs w:val="26"/>
              </w:rPr>
              <w:t>C-201</w:t>
            </w:r>
            <w:r w:rsidR="00334DC7" w:rsidRPr="00E22869">
              <w:rPr>
                <w:bCs/>
                <w:szCs w:val="26"/>
              </w:rPr>
              <w:t>3</w:t>
            </w:r>
            <w:r w:rsidRPr="00E22869">
              <w:rPr>
                <w:bCs/>
                <w:szCs w:val="26"/>
              </w:rPr>
              <w:t>-2</w:t>
            </w:r>
            <w:r w:rsidR="00334DC7" w:rsidRPr="00E22869">
              <w:rPr>
                <w:bCs/>
                <w:szCs w:val="26"/>
              </w:rPr>
              <w:t>381</w:t>
            </w:r>
            <w:r w:rsidR="00817015" w:rsidRPr="00E22869">
              <w:rPr>
                <w:bCs/>
                <w:szCs w:val="26"/>
              </w:rPr>
              <w:t>1</w:t>
            </w:r>
            <w:r w:rsidR="00334DC7" w:rsidRPr="00E22869">
              <w:rPr>
                <w:bCs/>
                <w:szCs w:val="26"/>
              </w:rPr>
              <w:t>3</w:t>
            </w:r>
            <w:r w:rsidR="00817015" w:rsidRPr="00E22869">
              <w:rPr>
                <w:bCs/>
                <w:szCs w:val="26"/>
              </w:rPr>
              <w:t>0</w:t>
            </w:r>
          </w:p>
        </w:tc>
      </w:tr>
    </w:tbl>
    <w:p w:rsidR="00A070AB" w:rsidRPr="00E22869" w:rsidRDefault="00A070AB" w:rsidP="00E22869">
      <w:pPr>
        <w:pStyle w:val="TxBrc4"/>
        <w:widowControl/>
        <w:tabs>
          <w:tab w:val="left" w:pos="204"/>
        </w:tabs>
        <w:spacing w:line="240" w:lineRule="auto"/>
        <w:ind w:firstLine="0"/>
        <w:jc w:val="left"/>
        <w:rPr>
          <w:bCs/>
          <w:szCs w:val="26"/>
        </w:rPr>
      </w:pPr>
    </w:p>
    <w:p w:rsidR="007C4D87" w:rsidRPr="00E22869" w:rsidRDefault="007C4D87" w:rsidP="00E22869">
      <w:pPr>
        <w:pStyle w:val="TxBrc4"/>
        <w:widowControl/>
        <w:spacing w:line="240" w:lineRule="auto"/>
        <w:ind w:firstLine="0"/>
        <w:rPr>
          <w:b/>
          <w:bCs/>
          <w:szCs w:val="26"/>
          <w:u w:val="single" w:color="000000"/>
        </w:rPr>
      </w:pPr>
      <w:r w:rsidRPr="00E22869">
        <w:rPr>
          <w:b/>
          <w:bCs/>
          <w:szCs w:val="26"/>
        </w:rPr>
        <w:t>OPINION AND ORDER</w:t>
      </w:r>
    </w:p>
    <w:p w:rsidR="00F15A2D" w:rsidRPr="00E22869" w:rsidRDefault="00F15A2D" w:rsidP="00E22869">
      <w:pPr>
        <w:spacing w:line="240" w:lineRule="auto"/>
        <w:ind w:firstLine="0"/>
        <w:rPr>
          <w:szCs w:val="26"/>
        </w:rPr>
      </w:pPr>
    </w:p>
    <w:p w:rsidR="000F118B" w:rsidRPr="00E22869" w:rsidRDefault="000F118B" w:rsidP="00E22869">
      <w:pPr>
        <w:spacing w:line="240" w:lineRule="auto"/>
        <w:ind w:firstLine="0"/>
        <w:rPr>
          <w:szCs w:val="26"/>
        </w:rPr>
      </w:pPr>
      <w:r w:rsidRPr="00E22869">
        <w:rPr>
          <w:b/>
          <w:szCs w:val="26"/>
        </w:rPr>
        <w:t>BY THE COMMISSION:</w:t>
      </w:r>
    </w:p>
    <w:p w:rsidR="000F118B" w:rsidRPr="00E22869" w:rsidRDefault="000F118B" w:rsidP="00E22869">
      <w:pPr>
        <w:rPr>
          <w:szCs w:val="26"/>
        </w:rPr>
      </w:pPr>
    </w:p>
    <w:p w:rsidR="00640EAE" w:rsidRPr="00E22869" w:rsidRDefault="003C5AF0" w:rsidP="00E22869">
      <w:pPr>
        <w:pStyle w:val="Header"/>
        <w:tabs>
          <w:tab w:val="clear" w:pos="4320"/>
          <w:tab w:val="clear" w:pos="8640"/>
        </w:tabs>
        <w:suppressAutoHyphens/>
        <w:rPr>
          <w:szCs w:val="26"/>
        </w:rPr>
      </w:pPr>
      <w:r w:rsidRPr="00E22869">
        <w:rPr>
          <w:szCs w:val="26"/>
        </w:rPr>
        <w:t xml:space="preserve">Before the Pennsylvania Public Utility Commission (Commission) for consideration and disposition </w:t>
      </w:r>
      <w:r w:rsidR="00F74F12" w:rsidRPr="00E22869">
        <w:rPr>
          <w:szCs w:val="26"/>
        </w:rPr>
        <w:t>are the Exceptions</w:t>
      </w:r>
      <w:r w:rsidR="00DA2B09" w:rsidRPr="00E22869">
        <w:rPr>
          <w:rStyle w:val="FootnoteReference"/>
          <w:szCs w:val="26"/>
        </w:rPr>
        <w:footnoteReference w:id="1"/>
      </w:r>
      <w:r w:rsidR="00F74F12" w:rsidRPr="00E22869">
        <w:rPr>
          <w:szCs w:val="26"/>
        </w:rPr>
        <w:t xml:space="preserve"> of </w:t>
      </w:r>
      <w:r w:rsidR="00334DC7" w:rsidRPr="00E22869">
        <w:rPr>
          <w:bCs/>
          <w:szCs w:val="26"/>
        </w:rPr>
        <w:t>George Gadsden</w:t>
      </w:r>
      <w:r w:rsidR="0099270F" w:rsidRPr="00E22869">
        <w:rPr>
          <w:szCs w:val="26"/>
        </w:rPr>
        <w:t xml:space="preserve"> (Complainant)</w:t>
      </w:r>
      <w:r w:rsidR="00F15A2D" w:rsidRPr="00E22869">
        <w:rPr>
          <w:szCs w:val="26"/>
        </w:rPr>
        <w:t>,</w:t>
      </w:r>
      <w:r w:rsidR="00F14EA4" w:rsidRPr="00E22869">
        <w:rPr>
          <w:szCs w:val="26"/>
        </w:rPr>
        <w:t xml:space="preserve"> filed</w:t>
      </w:r>
      <w:r w:rsidR="0019304B" w:rsidRPr="00E22869">
        <w:rPr>
          <w:szCs w:val="26"/>
        </w:rPr>
        <w:t xml:space="preserve"> on </w:t>
      </w:r>
      <w:r w:rsidR="00D75E5F" w:rsidRPr="00E22869">
        <w:rPr>
          <w:szCs w:val="26"/>
        </w:rPr>
        <w:t>January</w:t>
      </w:r>
      <w:r w:rsidR="00817015" w:rsidRPr="00E22869">
        <w:rPr>
          <w:szCs w:val="26"/>
        </w:rPr>
        <w:t xml:space="preserve"> </w:t>
      </w:r>
      <w:r w:rsidR="00675072" w:rsidRPr="00E22869">
        <w:rPr>
          <w:szCs w:val="26"/>
        </w:rPr>
        <w:t>22</w:t>
      </w:r>
      <w:r w:rsidR="0019304B" w:rsidRPr="00E22869">
        <w:rPr>
          <w:szCs w:val="26"/>
        </w:rPr>
        <w:t>, 201</w:t>
      </w:r>
      <w:r w:rsidR="00D75E5F" w:rsidRPr="00E22869">
        <w:rPr>
          <w:szCs w:val="26"/>
        </w:rPr>
        <w:t>5</w:t>
      </w:r>
      <w:r w:rsidR="0019304B" w:rsidRPr="00E22869">
        <w:rPr>
          <w:szCs w:val="26"/>
        </w:rPr>
        <w:t>,</w:t>
      </w:r>
      <w:r w:rsidR="0099270F" w:rsidRPr="00E22869">
        <w:rPr>
          <w:szCs w:val="26"/>
        </w:rPr>
        <w:t xml:space="preserve"> </w:t>
      </w:r>
      <w:r w:rsidR="00CB048A" w:rsidRPr="00E22869">
        <w:rPr>
          <w:szCs w:val="26"/>
        </w:rPr>
        <w:t xml:space="preserve">to the </w:t>
      </w:r>
      <w:r w:rsidR="00F74F12" w:rsidRPr="00E22869">
        <w:rPr>
          <w:szCs w:val="26"/>
        </w:rPr>
        <w:t xml:space="preserve">Initial </w:t>
      </w:r>
      <w:r w:rsidRPr="00E22869">
        <w:rPr>
          <w:szCs w:val="26"/>
        </w:rPr>
        <w:t>Decision (</w:t>
      </w:r>
      <w:r w:rsidR="00F74F12" w:rsidRPr="00E22869">
        <w:rPr>
          <w:szCs w:val="26"/>
        </w:rPr>
        <w:t>I.</w:t>
      </w:r>
      <w:r w:rsidR="0079100F" w:rsidRPr="00E22869">
        <w:rPr>
          <w:szCs w:val="26"/>
        </w:rPr>
        <w:t>D</w:t>
      </w:r>
      <w:r w:rsidR="00F74F12" w:rsidRPr="00E22869">
        <w:rPr>
          <w:szCs w:val="26"/>
        </w:rPr>
        <w:t>.</w:t>
      </w:r>
      <w:r w:rsidR="0079100F" w:rsidRPr="00E22869">
        <w:rPr>
          <w:szCs w:val="26"/>
        </w:rPr>
        <w:t>) of Administrative Law Judge</w:t>
      </w:r>
      <w:r w:rsidR="00735FF1" w:rsidRPr="00E22869">
        <w:rPr>
          <w:szCs w:val="26"/>
        </w:rPr>
        <w:t xml:space="preserve"> (ALJ)</w:t>
      </w:r>
      <w:r w:rsidR="00D50A73" w:rsidRPr="00E22869">
        <w:rPr>
          <w:szCs w:val="26"/>
        </w:rPr>
        <w:t xml:space="preserve"> </w:t>
      </w:r>
      <w:r w:rsidR="00817015" w:rsidRPr="00E22869">
        <w:rPr>
          <w:szCs w:val="26"/>
        </w:rPr>
        <w:t>Angela</w:t>
      </w:r>
      <w:r w:rsidR="00F15A2D" w:rsidRPr="00E22869">
        <w:rPr>
          <w:szCs w:val="26"/>
        </w:rPr>
        <w:t> </w:t>
      </w:r>
      <w:r w:rsidR="00817015" w:rsidRPr="00E22869">
        <w:rPr>
          <w:szCs w:val="26"/>
        </w:rPr>
        <w:t>T.</w:t>
      </w:r>
      <w:r w:rsidR="00F15A2D" w:rsidRPr="00E22869">
        <w:rPr>
          <w:szCs w:val="26"/>
        </w:rPr>
        <w:t> </w:t>
      </w:r>
      <w:r w:rsidR="00817015" w:rsidRPr="00E22869">
        <w:rPr>
          <w:szCs w:val="26"/>
        </w:rPr>
        <w:t>Jones</w:t>
      </w:r>
      <w:r w:rsidR="00854FDD" w:rsidRPr="00E22869">
        <w:rPr>
          <w:szCs w:val="26"/>
        </w:rPr>
        <w:t>,</w:t>
      </w:r>
      <w:r w:rsidR="00F23609" w:rsidRPr="00E22869">
        <w:rPr>
          <w:szCs w:val="26"/>
        </w:rPr>
        <w:t xml:space="preserve"> </w:t>
      </w:r>
      <w:r w:rsidR="00CC6EF4" w:rsidRPr="00E22869">
        <w:rPr>
          <w:szCs w:val="26"/>
        </w:rPr>
        <w:t xml:space="preserve">issued </w:t>
      </w:r>
      <w:r w:rsidR="00735FF1" w:rsidRPr="00E22869">
        <w:rPr>
          <w:szCs w:val="26"/>
        </w:rPr>
        <w:t xml:space="preserve">on </w:t>
      </w:r>
      <w:r w:rsidR="002A33FD" w:rsidRPr="00E22869">
        <w:rPr>
          <w:szCs w:val="26"/>
        </w:rPr>
        <w:t>December</w:t>
      </w:r>
      <w:r w:rsidR="003146AB" w:rsidRPr="00E22869">
        <w:rPr>
          <w:szCs w:val="26"/>
        </w:rPr>
        <w:t xml:space="preserve"> </w:t>
      </w:r>
      <w:r w:rsidR="00334DC7" w:rsidRPr="00E22869">
        <w:rPr>
          <w:szCs w:val="26"/>
        </w:rPr>
        <w:t>2</w:t>
      </w:r>
      <w:r w:rsidR="002A33FD" w:rsidRPr="00E22869">
        <w:rPr>
          <w:szCs w:val="26"/>
        </w:rPr>
        <w:t>4</w:t>
      </w:r>
      <w:r w:rsidR="00854FDD" w:rsidRPr="00E22869">
        <w:rPr>
          <w:szCs w:val="26"/>
        </w:rPr>
        <w:t xml:space="preserve">, </w:t>
      </w:r>
      <w:r w:rsidR="00CC6EF4" w:rsidRPr="00E22869">
        <w:rPr>
          <w:szCs w:val="26"/>
        </w:rPr>
        <w:t>201</w:t>
      </w:r>
      <w:r w:rsidR="00334DC7" w:rsidRPr="00E22869">
        <w:rPr>
          <w:szCs w:val="26"/>
        </w:rPr>
        <w:t>4</w:t>
      </w:r>
      <w:r w:rsidR="00CC6EF4" w:rsidRPr="00E22869">
        <w:rPr>
          <w:szCs w:val="26"/>
        </w:rPr>
        <w:t xml:space="preserve">. </w:t>
      </w:r>
      <w:r w:rsidR="0012663E" w:rsidRPr="00E22869">
        <w:rPr>
          <w:szCs w:val="26"/>
        </w:rPr>
        <w:t xml:space="preserve"> </w:t>
      </w:r>
      <w:r w:rsidR="00640EAE" w:rsidRPr="00E22869">
        <w:rPr>
          <w:szCs w:val="26"/>
        </w:rPr>
        <w:t xml:space="preserve">The Complainant, who appeared </w:t>
      </w:r>
      <w:r w:rsidR="00640EAE" w:rsidRPr="00E22869">
        <w:rPr>
          <w:i/>
          <w:szCs w:val="26"/>
        </w:rPr>
        <w:t>pro se</w:t>
      </w:r>
      <w:r w:rsidR="00640EAE" w:rsidRPr="00E22869">
        <w:rPr>
          <w:szCs w:val="26"/>
        </w:rPr>
        <w:t xml:space="preserve">, did not serve a copy of the Exceptions on counsel representing </w:t>
      </w:r>
      <w:r w:rsidR="002F2AF6" w:rsidRPr="00E22869">
        <w:rPr>
          <w:szCs w:val="26"/>
        </w:rPr>
        <w:t xml:space="preserve">PECO Energy </w:t>
      </w:r>
      <w:r w:rsidR="002F2AF6" w:rsidRPr="00E22869">
        <w:rPr>
          <w:szCs w:val="26"/>
        </w:rPr>
        <w:lastRenderedPageBreak/>
        <w:t>Company</w:t>
      </w:r>
      <w:r w:rsidR="00640EAE" w:rsidRPr="00E22869">
        <w:rPr>
          <w:szCs w:val="26"/>
        </w:rPr>
        <w:t xml:space="preserve"> (</w:t>
      </w:r>
      <w:r w:rsidR="002F2AF6" w:rsidRPr="00E22869">
        <w:rPr>
          <w:szCs w:val="26"/>
        </w:rPr>
        <w:t>PECO</w:t>
      </w:r>
      <w:r w:rsidR="00640EAE" w:rsidRPr="00E22869">
        <w:rPr>
          <w:szCs w:val="26"/>
        </w:rPr>
        <w:t xml:space="preserve">).  As such, the Commission, by Secretarial Letter dated </w:t>
      </w:r>
      <w:r w:rsidR="002F2AF6" w:rsidRPr="00E22869">
        <w:rPr>
          <w:szCs w:val="26"/>
        </w:rPr>
        <w:t>January</w:t>
      </w:r>
      <w:r w:rsidR="00640EAE" w:rsidRPr="00E22869">
        <w:rPr>
          <w:szCs w:val="26"/>
        </w:rPr>
        <w:t xml:space="preserve"> </w:t>
      </w:r>
      <w:r w:rsidR="002F2AF6" w:rsidRPr="00E22869">
        <w:rPr>
          <w:szCs w:val="26"/>
        </w:rPr>
        <w:t>27</w:t>
      </w:r>
      <w:r w:rsidR="00640EAE" w:rsidRPr="00E22869">
        <w:rPr>
          <w:szCs w:val="26"/>
        </w:rPr>
        <w:t>, 20</w:t>
      </w:r>
      <w:r w:rsidR="002F2AF6" w:rsidRPr="00E22869">
        <w:rPr>
          <w:szCs w:val="26"/>
        </w:rPr>
        <w:t>1</w:t>
      </w:r>
      <w:r w:rsidR="00640EAE" w:rsidRPr="00E22869">
        <w:rPr>
          <w:szCs w:val="26"/>
        </w:rPr>
        <w:t xml:space="preserve">5, served a copy of the Complainant’s Exceptions on </w:t>
      </w:r>
      <w:r w:rsidR="002F2AF6" w:rsidRPr="00E22869">
        <w:rPr>
          <w:szCs w:val="26"/>
        </w:rPr>
        <w:t>PECO</w:t>
      </w:r>
      <w:r w:rsidR="00640EAE" w:rsidRPr="00E22869">
        <w:rPr>
          <w:szCs w:val="26"/>
        </w:rPr>
        <w:t xml:space="preserve">.  The Secretarial Letter further directed that Reply Exceptions shall be due by </w:t>
      </w:r>
      <w:r w:rsidR="002F2AF6" w:rsidRPr="00E22869">
        <w:rPr>
          <w:szCs w:val="26"/>
        </w:rPr>
        <w:t>February</w:t>
      </w:r>
      <w:r w:rsidR="00640EAE" w:rsidRPr="00E22869">
        <w:rPr>
          <w:szCs w:val="26"/>
        </w:rPr>
        <w:t xml:space="preserve"> </w:t>
      </w:r>
      <w:r w:rsidR="002F2AF6" w:rsidRPr="00E22869">
        <w:rPr>
          <w:szCs w:val="26"/>
        </w:rPr>
        <w:t>6</w:t>
      </w:r>
      <w:r w:rsidR="00640EAE" w:rsidRPr="00E22869">
        <w:rPr>
          <w:szCs w:val="26"/>
        </w:rPr>
        <w:t>, 20</w:t>
      </w:r>
      <w:r w:rsidR="002F2AF6" w:rsidRPr="00E22869">
        <w:rPr>
          <w:szCs w:val="26"/>
        </w:rPr>
        <w:t>1</w:t>
      </w:r>
      <w:r w:rsidR="00340DCD" w:rsidRPr="00E22869">
        <w:rPr>
          <w:szCs w:val="26"/>
        </w:rPr>
        <w:t>5.</w:t>
      </w:r>
    </w:p>
    <w:p w:rsidR="00DA2B09" w:rsidRPr="00E22869" w:rsidRDefault="00DA2B09" w:rsidP="00E22869">
      <w:pPr>
        <w:pStyle w:val="Header"/>
        <w:tabs>
          <w:tab w:val="clear" w:pos="4320"/>
          <w:tab w:val="clear" w:pos="8640"/>
        </w:tabs>
        <w:suppressAutoHyphens/>
        <w:rPr>
          <w:szCs w:val="26"/>
        </w:rPr>
      </w:pPr>
    </w:p>
    <w:p w:rsidR="003C5AF0" w:rsidRPr="00E22869" w:rsidRDefault="002F2AF6" w:rsidP="00E22869">
      <w:pPr>
        <w:rPr>
          <w:szCs w:val="26"/>
        </w:rPr>
      </w:pPr>
      <w:r w:rsidRPr="00E22869">
        <w:rPr>
          <w:szCs w:val="26"/>
        </w:rPr>
        <w:t>On February 5, 2015, PECO filed its R</w:t>
      </w:r>
      <w:r w:rsidR="0012663E" w:rsidRPr="00E22869">
        <w:rPr>
          <w:szCs w:val="26"/>
        </w:rPr>
        <w:t>epl</w:t>
      </w:r>
      <w:r w:rsidR="00C43087" w:rsidRPr="00E22869">
        <w:rPr>
          <w:szCs w:val="26"/>
        </w:rPr>
        <w:t>ies to</w:t>
      </w:r>
      <w:r w:rsidR="0012663E" w:rsidRPr="00E22869">
        <w:rPr>
          <w:szCs w:val="26"/>
        </w:rPr>
        <w:t xml:space="preserve"> Exceptions</w:t>
      </w:r>
      <w:r w:rsidR="00E33CD5" w:rsidRPr="00E22869">
        <w:rPr>
          <w:szCs w:val="26"/>
        </w:rPr>
        <w:t>.</w:t>
      </w:r>
      <w:r w:rsidR="0019304B" w:rsidRPr="00E22869">
        <w:rPr>
          <w:szCs w:val="26"/>
        </w:rPr>
        <w:t xml:space="preserve">  For the reasons stated below we shall </w:t>
      </w:r>
      <w:r w:rsidR="007B323A" w:rsidRPr="00E22869">
        <w:rPr>
          <w:szCs w:val="26"/>
        </w:rPr>
        <w:t xml:space="preserve">deny </w:t>
      </w:r>
      <w:r w:rsidR="0019304B" w:rsidRPr="00E22869">
        <w:rPr>
          <w:szCs w:val="26"/>
        </w:rPr>
        <w:t>the Exceptions of the Complainant</w:t>
      </w:r>
      <w:r w:rsidR="00817015" w:rsidRPr="00E22869">
        <w:rPr>
          <w:szCs w:val="26"/>
        </w:rPr>
        <w:t xml:space="preserve"> </w:t>
      </w:r>
      <w:r w:rsidR="00C419BC" w:rsidRPr="00E22869">
        <w:rPr>
          <w:szCs w:val="26"/>
        </w:rPr>
        <w:t>and</w:t>
      </w:r>
      <w:r w:rsidR="00817015" w:rsidRPr="00E22869">
        <w:rPr>
          <w:szCs w:val="26"/>
        </w:rPr>
        <w:t xml:space="preserve"> dismiss the Complaint</w:t>
      </w:r>
      <w:r w:rsidR="0019304B" w:rsidRPr="00E22869">
        <w:rPr>
          <w:szCs w:val="26"/>
        </w:rPr>
        <w:t>.</w:t>
      </w:r>
      <w:r w:rsidR="0012663E" w:rsidRPr="00E22869">
        <w:rPr>
          <w:szCs w:val="26"/>
        </w:rPr>
        <w:t xml:space="preserve"> </w:t>
      </w:r>
    </w:p>
    <w:p w:rsidR="003C5AF0" w:rsidRPr="00E22869" w:rsidRDefault="003C5AF0" w:rsidP="00E22869">
      <w:pPr>
        <w:rPr>
          <w:szCs w:val="26"/>
        </w:rPr>
      </w:pPr>
    </w:p>
    <w:p w:rsidR="00CC0B14" w:rsidRPr="00E22869" w:rsidRDefault="00897524" w:rsidP="00E22869">
      <w:pPr>
        <w:keepNext/>
        <w:ind w:firstLine="0"/>
        <w:jc w:val="center"/>
        <w:rPr>
          <w:b/>
          <w:szCs w:val="26"/>
        </w:rPr>
      </w:pPr>
      <w:r w:rsidRPr="00E22869">
        <w:rPr>
          <w:b/>
          <w:szCs w:val="26"/>
        </w:rPr>
        <w:t>History of the Proceeding</w:t>
      </w:r>
    </w:p>
    <w:p w:rsidR="00BC3A44" w:rsidRPr="00E22869" w:rsidRDefault="00BC3A44" w:rsidP="00E22869">
      <w:pPr>
        <w:keepNext/>
        <w:ind w:firstLine="90"/>
        <w:rPr>
          <w:szCs w:val="26"/>
        </w:rPr>
      </w:pPr>
    </w:p>
    <w:p w:rsidR="00334DC7" w:rsidRPr="00E22869" w:rsidRDefault="00FF5833" w:rsidP="00E22869">
      <w:pPr>
        <w:tabs>
          <w:tab w:val="left" w:pos="-720"/>
        </w:tabs>
        <w:suppressAutoHyphens/>
        <w:rPr>
          <w:kern w:val="24"/>
          <w:szCs w:val="26"/>
        </w:rPr>
      </w:pPr>
      <w:r w:rsidRPr="00E22869">
        <w:rPr>
          <w:szCs w:val="26"/>
        </w:rPr>
        <w:t xml:space="preserve">On or about </w:t>
      </w:r>
      <w:r w:rsidR="00334DC7" w:rsidRPr="00E22869">
        <w:rPr>
          <w:szCs w:val="26"/>
        </w:rPr>
        <w:t>August</w:t>
      </w:r>
      <w:r w:rsidRPr="00E22869">
        <w:rPr>
          <w:szCs w:val="26"/>
        </w:rPr>
        <w:t xml:space="preserve"> </w:t>
      </w:r>
      <w:r w:rsidR="00334DC7" w:rsidRPr="00E22869">
        <w:rPr>
          <w:szCs w:val="26"/>
        </w:rPr>
        <w:t>27</w:t>
      </w:r>
      <w:r w:rsidRPr="00E22869">
        <w:rPr>
          <w:szCs w:val="26"/>
        </w:rPr>
        <w:t>, 201</w:t>
      </w:r>
      <w:r w:rsidR="00334DC7" w:rsidRPr="00E22869">
        <w:rPr>
          <w:szCs w:val="26"/>
        </w:rPr>
        <w:t>3</w:t>
      </w:r>
      <w:r w:rsidRPr="00E22869">
        <w:rPr>
          <w:szCs w:val="26"/>
        </w:rPr>
        <w:t xml:space="preserve">, </w:t>
      </w:r>
      <w:r w:rsidR="00FE3A34" w:rsidRPr="00E22869">
        <w:rPr>
          <w:szCs w:val="26"/>
        </w:rPr>
        <w:t xml:space="preserve">the </w:t>
      </w:r>
      <w:r w:rsidR="00334DC7" w:rsidRPr="00E22869">
        <w:rPr>
          <w:szCs w:val="26"/>
        </w:rPr>
        <w:t>Complainant filed</w:t>
      </w:r>
      <w:r w:rsidRPr="00E22869">
        <w:rPr>
          <w:szCs w:val="26"/>
        </w:rPr>
        <w:t xml:space="preserve"> a </w:t>
      </w:r>
      <w:r w:rsidR="00FE3A34" w:rsidRPr="00E22869">
        <w:rPr>
          <w:szCs w:val="26"/>
        </w:rPr>
        <w:t>F</w:t>
      </w:r>
      <w:r w:rsidRPr="00E22869">
        <w:rPr>
          <w:szCs w:val="26"/>
        </w:rPr>
        <w:t>ormal Complaint (Complaint)</w:t>
      </w:r>
      <w:r w:rsidR="00A344CF" w:rsidRPr="00E22869">
        <w:rPr>
          <w:szCs w:val="26"/>
        </w:rPr>
        <w:t xml:space="preserve"> </w:t>
      </w:r>
      <w:r w:rsidR="0067709B" w:rsidRPr="00E22869">
        <w:rPr>
          <w:szCs w:val="26"/>
        </w:rPr>
        <w:t>with the Commission</w:t>
      </w:r>
      <w:r w:rsidRPr="00E22869">
        <w:rPr>
          <w:szCs w:val="26"/>
        </w:rPr>
        <w:t xml:space="preserve"> against PECO</w:t>
      </w:r>
      <w:r w:rsidR="00340DCD" w:rsidRPr="00E22869">
        <w:rPr>
          <w:szCs w:val="26"/>
        </w:rPr>
        <w:t xml:space="preserve">.  In his Formal Complaint, the Complainant alleged that </w:t>
      </w:r>
      <w:r w:rsidR="0038440B" w:rsidRPr="00E22869">
        <w:rPr>
          <w:szCs w:val="26"/>
        </w:rPr>
        <w:t xml:space="preserve">there are </w:t>
      </w:r>
      <w:r w:rsidR="00DA0FF1" w:rsidRPr="00E22869">
        <w:rPr>
          <w:szCs w:val="26"/>
        </w:rPr>
        <w:t>incorrect charg</w:t>
      </w:r>
      <w:r w:rsidR="00DA2B09" w:rsidRPr="00E22869">
        <w:rPr>
          <w:szCs w:val="26"/>
        </w:rPr>
        <w:t xml:space="preserve">es on his </w:t>
      </w:r>
      <w:r w:rsidR="00F15A2D" w:rsidRPr="00E22869">
        <w:rPr>
          <w:szCs w:val="26"/>
        </w:rPr>
        <w:t>g</w:t>
      </w:r>
      <w:r w:rsidR="00DA2B09" w:rsidRPr="00E22869">
        <w:rPr>
          <w:szCs w:val="26"/>
        </w:rPr>
        <w:t>as and electric bill</w:t>
      </w:r>
      <w:r w:rsidR="0038440B" w:rsidRPr="00E22869">
        <w:rPr>
          <w:szCs w:val="26"/>
        </w:rPr>
        <w:t xml:space="preserve"> </w:t>
      </w:r>
      <w:r w:rsidR="00340DCD" w:rsidRPr="00E22869">
        <w:rPr>
          <w:szCs w:val="26"/>
        </w:rPr>
        <w:t xml:space="preserve">from November 2012 to September 2013.  The Complainant also requested </w:t>
      </w:r>
      <w:r w:rsidR="008D28E5" w:rsidRPr="00E22869">
        <w:rPr>
          <w:kern w:val="24"/>
          <w:szCs w:val="26"/>
        </w:rPr>
        <w:t xml:space="preserve">a favorable </w:t>
      </w:r>
      <w:r w:rsidR="0050383E" w:rsidRPr="00E22869">
        <w:rPr>
          <w:kern w:val="24"/>
          <w:szCs w:val="26"/>
        </w:rPr>
        <w:t>p</w:t>
      </w:r>
      <w:r w:rsidR="00334DC7" w:rsidRPr="00E22869">
        <w:rPr>
          <w:kern w:val="24"/>
          <w:szCs w:val="26"/>
        </w:rPr>
        <w:t>ayment arrangement.</w:t>
      </w:r>
    </w:p>
    <w:p w:rsidR="008D28E5" w:rsidRPr="00E22869" w:rsidRDefault="008D28E5" w:rsidP="00E22869">
      <w:pPr>
        <w:tabs>
          <w:tab w:val="left" w:pos="-720"/>
        </w:tabs>
        <w:suppressAutoHyphens/>
        <w:rPr>
          <w:szCs w:val="26"/>
        </w:rPr>
      </w:pPr>
    </w:p>
    <w:p w:rsidR="00246DF7" w:rsidRPr="00E22869" w:rsidRDefault="00122EFB" w:rsidP="00E22869">
      <w:pPr>
        <w:rPr>
          <w:szCs w:val="26"/>
        </w:rPr>
      </w:pPr>
      <w:r w:rsidRPr="00E22869">
        <w:rPr>
          <w:szCs w:val="26"/>
        </w:rPr>
        <w:t>O</w:t>
      </w:r>
      <w:r w:rsidR="000F3A24" w:rsidRPr="00E22869">
        <w:rPr>
          <w:szCs w:val="26"/>
        </w:rPr>
        <w:t xml:space="preserve">n </w:t>
      </w:r>
      <w:r w:rsidR="0030220E" w:rsidRPr="00E22869">
        <w:rPr>
          <w:szCs w:val="26"/>
        </w:rPr>
        <w:t>September</w:t>
      </w:r>
      <w:r w:rsidR="000F3A24" w:rsidRPr="00E22869">
        <w:rPr>
          <w:szCs w:val="26"/>
        </w:rPr>
        <w:t xml:space="preserve"> </w:t>
      </w:r>
      <w:r w:rsidR="0030220E" w:rsidRPr="00E22869">
        <w:rPr>
          <w:szCs w:val="26"/>
        </w:rPr>
        <w:t>5</w:t>
      </w:r>
      <w:r w:rsidR="000F3A24" w:rsidRPr="00E22869">
        <w:rPr>
          <w:szCs w:val="26"/>
        </w:rPr>
        <w:t>, 201</w:t>
      </w:r>
      <w:r w:rsidR="0030220E" w:rsidRPr="00E22869">
        <w:rPr>
          <w:szCs w:val="26"/>
        </w:rPr>
        <w:t>3</w:t>
      </w:r>
      <w:r w:rsidR="000F3A24" w:rsidRPr="00E22869">
        <w:rPr>
          <w:szCs w:val="26"/>
        </w:rPr>
        <w:t xml:space="preserve">, </w:t>
      </w:r>
      <w:r w:rsidRPr="00E22869">
        <w:rPr>
          <w:szCs w:val="26"/>
        </w:rPr>
        <w:t>PECO filed an Answer denying the material allegation</w:t>
      </w:r>
      <w:r w:rsidR="004425F8" w:rsidRPr="00E22869">
        <w:rPr>
          <w:szCs w:val="26"/>
        </w:rPr>
        <w:t>s</w:t>
      </w:r>
      <w:r w:rsidRPr="00E22869">
        <w:rPr>
          <w:szCs w:val="26"/>
        </w:rPr>
        <w:t xml:space="preserve"> in the </w:t>
      </w:r>
      <w:r w:rsidR="0030220E" w:rsidRPr="00E22869">
        <w:rPr>
          <w:szCs w:val="26"/>
        </w:rPr>
        <w:t>Complain</w:t>
      </w:r>
      <w:r w:rsidR="0038440B" w:rsidRPr="00E22869">
        <w:rPr>
          <w:szCs w:val="26"/>
        </w:rPr>
        <w:t>t</w:t>
      </w:r>
      <w:r w:rsidRPr="00E22869">
        <w:rPr>
          <w:szCs w:val="26"/>
        </w:rPr>
        <w:t>.</w:t>
      </w:r>
      <w:r w:rsidR="0030220E" w:rsidRPr="00E22869">
        <w:rPr>
          <w:szCs w:val="26"/>
        </w:rPr>
        <w:t xml:space="preserve"> </w:t>
      </w:r>
      <w:r w:rsidRPr="00E22869">
        <w:rPr>
          <w:szCs w:val="26"/>
        </w:rPr>
        <w:t xml:space="preserve"> </w:t>
      </w:r>
      <w:r w:rsidR="00DB5484" w:rsidRPr="00E22869">
        <w:rPr>
          <w:szCs w:val="26"/>
        </w:rPr>
        <w:t xml:space="preserve">In its Answer, </w:t>
      </w:r>
      <w:r w:rsidR="006E32F5" w:rsidRPr="00E22869">
        <w:rPr>
          <w:szCs w:val="26"/>
        </w:rPr>
        <w:t xml:space="preserve">PECO </w:t>
      </w:r>
      <w:r w:rsidR="00340DCD" w:rsidRPr="00E22869">
        <w:rPr>
          <w:szCs w:val="26"/>
        </w:rPr>
        <w:t xml:space="preserve">averred that </w:t>
      </w:r>
      <w:r w:rsidR="00205D87" w:rsidRPr="00E22869">
        <w:rPr>
          <w:szCs w:val="26"/>
        </w:rPr>
        <w:t xml:space="preserve">the Complainant contacted PECO on May 25, 2012, to dispute his </w:t>
      </w:r>
      <w:r w:rsidR="001D1737" w:rsidRPr="00E22869">
        <w:rPr>
          <w:szCs w:val="26"/>
        </w:rPr>
        <w:t xml:space="preserve">high bills for </w:t>
      </w:r>
      <w:r w:rsidR="00340DCD" w:rsidRPr="00E22869">
        <w:rPr>
          <w:szCs w:val="26"/>
        </w:rPr>
        <w:t>g</w:t>
      </w:r>
      <w:r w:rsidR="00A95239" w:rsidRPr="00E22869">
        <w:rPr>
          <w:szCs w:val="26"/>
        </w:rPr>
        <w:t xml:space="preserve">as and </w:t>
      </w:r>
      <w:r w:rsidR="00176098" w:rsidRPr="00E22869">
        <w:rPr>
          <w:szCs w:val="26"/>
        </w:rPr>
        <w:t>e</w:t>
      </w:r>
      <w:r w:rsidR="0030220E" w:rsidRPr="00E22869">
        <w:rPr>
          <w:szCs w:val="26"/>
        </w:rPr>
        <w:t>lectric</w:t>
      </w:r>
      <w:r w:rsidR="00205D87" w:rsidRPr="00E22869">
        <w:rPr>
          <w:szCs w:val="26"/>
        </w:rPr>
        <w:t xml:space="preserve"> service</w:t>
      </w:r>
      <w:r w:rsidR="001D1737" w:rsidRPr="00E22869">
        <w:rPr>
          <w:szCs w:val="26"/>
        </w:rPr>
        <w:t>,</w:t>
      </w:r>
      <w:r w:rsidR="00CA1796" w:rsidRPr="00E22869">
        <w:rPr>
          <w:szCs w:val="26"/>
        </w:rPr>
        <w:t xml:space="preserve"> </w:t>
      </w:r>
      <w:r w:rsidR="001D1737" w:rsidRPr="00E22869">
        <w:rPr>
          <w:szCs w:val="26"/>
        </w:rPr>
        <w:t xml:space="preserve">which he alleged was </w:t>
      </w:r>
      <w:r w:rsidR="00CA1796" w:rsidRPr="00E22869">
        <w:rPr>
          <w:szCs w:val="26"/>
        </w:rPr>
        <w:t xml:space="preserve">due </w:t>
      </w:r>
      <w:r w:rsidR="00205D87" w:rsidRPr="00E22869">
        <w:rPr>
          <w:szCs w:val="26"/>
        </w:rPr>
        <w:t xml:space="preserve">to </w:t>
      </w:r>
      <w:r w:rsidR="00CA1796" w:rsidRPr="00E22869">
        <w:rPr>
          <w:szCs w:val="26"/>
        </w:rPr>
        <w:t>foreign wiring</w:t>
      </w:r>
      <w:r w:rsidR="001D1737" w:rsidRPr="00E22869">
        <w:rPr>
          <w:szCs w:val="26"/>
        </w:rPr>
        <w:t>.</w:t>
      </w:r>
      <w:r w:rsidR="00CA1796" w:rsidRPr="00E22869">
        <w:rPr>
          <w:szCs w:val="26"/>
        </w:rPr>
        <w:t xml:space="preserve"> </w:t>
      </w:r>
      <w:r w:rsidR="001D1737" w:rsidRPr="00E22869">
        <w:rPr>
          <w:szCs w:val="26"/>
        </w:rPr>
        <w:t xml:space="preserve"> PECO </w:t>
      </w:r>
      <w:r w:rsidR="00205D87" w:rsidRPr="00E22869">
        <w:rPr>
          <w:szCs w:val="26"/>
        </w:rPr>
        <w:t xml:space="preserve">noted </w:t>
      </w:r>
      <w:r w:rsidR="001D1737" w:rsidRPr="00E22869">
        <w:rPr>
          <w:szCs w:val="26"/>
        </w:rPr>
        <w:t xml:space="preserve">that it </w:t>
      </w:r>
      <w:r w:rsidR="00CA1796" w:rsidRPr="00E22869">
        <w:rPr>
          <w:szCs w:val="26"/>
        </w:rPr>
        <w:t xml:space="preserve">conducted two field investigations </w:t>
      </w:r>
      <w:r w:rsidR="00205D87" w:rsidRPr="00E22869">
        <w:rPr>
          <w:szCs w:val="26"/>
        </w:rPr>
        <w:t xml:space="preserve">on June 6, 2012, and on March 25, 2013, </w:t>
      </w:r>
      <w:r w:rsidR="00CA1796" w:rsidRPr="00E22869">
        <w:rPr>
          <w:szCs w:val="26"/>
        </w:rPr>
        <w:t>at the Complainant’s home for</w:t>
      </w:r>
      <w:r w:rsidR="0050383E" w:rsidRPr="00E22869">
        <w:rPr>
          <w:szCs w:val="26"/>
        </w:rPr>
        <w:t xml:space="preserve"> </w:t>
      </w:r>
      <w:r w:rsidR="00205D87" w:rsidRPr="00E22869">
        <w:rPr>
          <w:szCs w:val="26"/>
        </w:rPr>
        <w:t>g</w:t>
      </w:r>
      <w:r w:rsidR="006202F7" w:rsidRPr="00E22869">
        <w:rPr>
          <w:szCs w:val="26"/>
        </w:rPr>
        <w:t xml:space="preserve">as </w:t>
      </w:r>
      <w:r w:rsidR="00A95239" w:rsidRPr="00E22869">
        <w:rPr>
          <w:szCs w:val="26"/>
        </w:rPr>
        <w:t xml:space="preserve">and </w:t>
      </w:r>
      <w:r w:rsidR="00205D87" w:rsidRPr="00E22869">
        <w:rPr>
          <w:szCs w:val="26"/>
        </w:rPr>
        <w:t>e</w:t>
      </w:r>
      <w:r w:rsidR="006202F7" w:rsidRPr="00E22869">
        <w:rPr>
          <w:szCs w:val="26"/>
        </w:rPr>
        <w:t xml:space="preserve">lectric </w:t>
      </w:r>
      <w:r w:rsidR="00CB7790" w:rsidRPr="00E22869">
        <w:rPr>
          <w:szCs w:val="26"/>
        </w:rPr>
        <w:t>service</w:t>
      </w:r>
      <w:r w:rsidR="001D1737" w:rsidRPr="00E22869">
        <w:rPr>
          <w:szCs w:val="26"/>
        </w:rPr>
        <w:t>s, but did</w:t>
      </w:r>
      <w:r w:rsidR="00456B59" w:rsidRPr="00E22869">
        <w:rPr>
          <w:szCs w:val="26"/>
        </w:rPr>
        <w:t xml:space="preserve"> not find any </w:t>
      </w:r>
      <w:r w:rsidR="006E32F5" w:rsidRPr="00E22869">
        <w:rPr>
          <w:szCs w:val="26"/>
        </w:rPr>
        <w:t xml:space="preserve">foreign wiring or foreign piping </w:t>
      </w:r>
      <w:r w:rsidR="00CB7790" w:rsidRPr="00E22869">
        <w:rPr>
          <w:szCs w:val="26"/>
        </w:rPr>
        <w:t>for</w:t>
      </w:r>
      <w:r w:rsidR="006E32F5" w:rsidRPr="00E22869">
        <w:rPr>
          <w:szCs w:val="26"/>
        </w:rPr>
        <w:t xml:space="preserve"> electric </w:t>
      </w:r>
      <w:r w:rsidR="00CA1796" w:rsidRPr="00E22869">
        <w:rPr>
          <w:szCs w:val="26"/>
        </w:rPr>
        <w:t xml:space="preserve">or gas </w:t>
      </w:r>
      <w:r w:rsidR="006E32F5" w:rsidRPr="00E22869">
        <w:rPr>
          <w:szCs w:val="26"/>
        </w:rPr>
        <w:t>service</w:t>
      </w:r>
      <w:r w:rsidR="00CA1796" w:rsidRPr="00E22869">
        <w:rPr>
          <w:szCs w:val="26"/>
        </w:rPr>
        <w:t>s</w:t>
      </w:r>
      <w:r w:rsidR="006E32F5" w:rsidRPr="00E22869">
        <w:rPr>
          <w:szCs w:val="26"/>
        </w:rPr>
        <w:t xml:space="preserve">.  </w:t>
      </w:r>
      <w:r w:rsidR="00AA30D1" w:rsidRPr="00E22869">
        <w:rPr>
          <w:szCs w:val="26"/>
        </w:rPr>
        <w:t xml:space="preserve">During the March 25, 2013 field investigation, </w:t>
      </w:r>
      <w:r w:rsidR="00CA1796" w:rsidRPr="00E22869">
        <w:rPr>
          <w:szCs w:val="26"/>
        </w:rPr>
        <w:t xml:space="preserve">PECO </w:t>
      </w:r>
      <w:r w:rsidR="00AA30D1" w:rsidRPr="00E22869">
        <w:rPr>
          <w:szCs w:val="26"/>
        </w:rPr>
        <w:t xml:space="preserve">noted that </w:t>
      </w:r>
      <w:r w:rsidR="00CA1796" w:rsidRPr="00E22869">
        <w:rPr>
          <w:szCs w:val="26"/>
        </w:rPr>
        <w:t>its te</w:t>
      </w:r>
      <w:r w:rsidR="00246DF7" w:rsidRPr="00E22869">
        <w:rPr>
          <w:szCs w:val="26"/>
        </w:rPr>
        <w:t xml:space="preserve">chnician </w:t>
      </w:r>
      <w:r w:rsidR="00CA1796" w:rsidRPr="00E22869">
        <w:rPr>
          <w:szCs w:val="26"/>
        </w:rPr>
        <w:t xml:space="preserve">also </w:t>
      </w:r>
      <w:r w:rsidR="00246DF7" w:rsidRPr="00E22869">
        <w:rPr>
          <w:szCs w:val="26"/>
        </w:rPr>
        <w:t xml:space="preserve">performed </w:t>
      </w:r>
      <w:r w:rsidR="001D1737" w:rsidRPr="00E22869">
        <w:rPr>
          <w:szCs w:val="26"/>
        </w:rPr>
        <w:t>an appliance analysis at the Complainant’s home</w:t>
      </w:r>
      <w:r w:rsidR="00484015" w:rsidRPr="00E22869">
        <w:rPr>
          <w:szCs w:val="26"/>
        </w:rPr>
        <w:t xml:space="preserve"> and that </w:t>
      </w:r>
      <w:r w:rsidR="001D1737" w:rsidRPr="00E22869">
        <w:rPr>
          <w:szCs w:val="26"/>
        </w:rPr>
        <w:t xml:space="preserve">its </w:t>
      </w:r>
      <w:r w:rsidR="00301CC7" w:rsidRPr="00E22869">
        <w:rPr>
          <w:szCs w:val="26"/>
        </w:rPr>
        <w:t>technician found that the C</w:t>
      </w:r>
      <w:r w:rsidR="00484015" w:rsidRPr="00E22869">
        <w:rPr>
          <w:szCs w:val="26"/>
        </w:rPr>
        <w:t xml:space="preserve">omplainant’s usages were within the justifiable </w:t>
      </w:r>
      <w:r w:rsidR="00A43BA9" w:rsidRPr="00E22869">
        <w:rPr>
          <w:szCs w:val="26"/>
        </w:rPr>
        <w:t>range.</w:t>
      </w:r>
    </w:p>
    <w:p w:rsidR="008D28E5" w:rsidRPr="00E22869" w:rsidRDefault="008D28E5" w:rsidP="00E22869">
      <w:pPr>
        <w:rPr>
          <w:szCs w:val="26"/>
        </w:rPr>
      </w:pPr>
    </w:p>
    <w:p w:rsidR="00C44AD8" w:rsidRPr="00E22869" w:rsidRDefault="00701365" w:rsidP="00E22869">
      <w:pPr>
        <w:rPr>
          <w:szCs w:val="26"/>
        </w:rPr>
      </w:pPr>
      <w:r w:rsidRPr="00E22869">
        <w:rPr>
          <w:szCs w:val="26"/>
        </w:rPr>
        <w:t xml:space="preserve">The ALJ conducted a hearing on </w:t>
      </w:r>
      <w:r w:rsidR="00751418" w:rsidRPr="00E22869">
        <w:rPr>
          <w:szCs w:val="26"/>
        </w:rPr>
        <w:t>December</w:t>
      </w:r>
      <w:r w:rsidRPr="00E22869">
        <w:rPr>
          <w:szCs w:val="26"/>
        </w:rPr>
        <w:t xml:space="preserve"> </w:t>
      </w:r>
      <w:r w:rsidR="00751418" w:rsidRPr="00E22869">
        <w:rPr>
          <w:szCs w:val="26"/>
        </w:rPr>
        <w:t>2</w:t>
      </w:r>
      <w:r w:rsidRPr="00E22869">
        <w:rPr>
          <w:szCs w:val="26"/>
        </w:rPr>
        <w:t xml:space="preserve">3, 2013, </w:t>
      </w:r>
      <w:r w:rsidR="00B1528A" w:rsidRPr="00E22869">
        <w:rPr>
          <w:szCs w:val="26"/>
        </w:rPr>
        <w:t xml:space="preserve">(December 2013 </w:t>
      </w:r>
      <w:r w:rsidR="00827DC9" w:rsidRPr="00E22869">
        <w:rPr>
          <w:szCs w:val="26"/>
        </w:rPr>
        <w:t>H</w:t>
      </w:r>
      <w:r w:rsidR="00B1528A" w:rsidRPr="00E22869">
        <w:rPr>
          <w:szCs w:val="26"/>
        </w:rPr>
        <w:t>earing</w:t>
      </w:r>
      <w:r w:rsidR="00DB5484" w:rsidRPr="00E22869">
        <w:rPr>
          <w:szCs w:val="26"/>
        </w:rPr>
        <w:t xml:space="preserve">).  The </w:t>
      </w:r>
      <w:r w:rsidR="00751418" w:rsidRPr="00E22869">
        <w:rPr>
          <w:szCs w:val="26"/>
        </w:rPr>
        <w:t>Complainant</w:t>
      </w:r>
      <w:r w:rsidRPr="00E22869">
        <w:rPr>
          <w:szCs w:val="26"/>
        </w:rPr>
        <w:t xml:space="preserve"> appeared </w:t>
      </w:r>
      <w:r w:rsidRPr="00E22869">
        <w:rPr>
          <w:i/>
          <w:szCs w:val="26"/>
        </w:rPr>
        <w:t>pro se</w:t>
      </w:r>
      <w:r w:rsidRPr="00E22869">
        <w:rPr>
          <w:szCs w:val="26"/>
        </w:rPr>
        <w:t xml:space="preserve"> and testified </w:t>
      </w:r>
      <w:r w:rsidR="00A43BA9" w:rsidRPr="00E22869">
        <w:rPr>
          <w:szCs w:val="26"/>
        </w:rPr>
        <w:t>in support of the Complaint</w:t>
      </w:r>
      <w:r w:rsidRPr="00E22869">
        <w:rPr>
          <w:szCs w:val="26"/>
        </w:rPr>
        <w:t>.</w:t>
      </w:r>
      <w:r w:rsidR="00DB5484" w:rsidRPr="00E22869">
        <w:rPr>
          <w:szCs w:val="26"/>
        </w:rPr>
        <w:t xml:space="preserve">  The Complainant did not present any exhibits</w:t>
      </w:r>
      <w:r w:rsidRPr="00E22869">
        <w:rPr>
          <w:szCs w:val="26"/>
        </w:rPr>
        <w:t xml:space="preserve"> </w:t>
      </w:r>
      <w:r w:rsidR="00751418" w:rsidRPr="00E22869">
        <w:rPr>
          <w:szCs w:val="26"/>
        </w:rPr>
        <w:t xml:space="preserve"> </w:t>
      </w:r>
      <w:r w:rsidR="00A95239" w:rsidRPr="00E22869">
        <w:rPr>
          <w:szCs w:val="26"/>
        </w:rPr>
        <w:t>PECO was represented by c</w:t>
      </w:r>
      <w:r w:rsidRPr="00E22869">
        <w:rPr>
          <w:szCs w:val="26"/>
        </w:rPr>
        <w:t>ounsel</w:t>
      </w:r>
      <w:r w:rsidR="00CC11BE" w:rsidRPr="00E22869">
        <w:rPr>
          <w:szCs w:val="26"/>
        </w:rPr>
        <w:t xml:space="preserve"> and </w:t>
      </w:r>
      <w:r w:rsidR="00CC11BE" w:rsidRPr="00E22869">
        <w:rPr>
          <w:szCs w:val="26"/>
        </w:rPr>
        <w:lastRenderedPageBreak/>
        <w:t>presented two witnesses</w:t>
      </w:r>
      <w:r w:rsidRPr="00E22869">
        <w:rPr>
          <w:szCs w:val="26"/>
        </w:rPr>
        <w:t xml:space="preserve">.  </w:t>
      </w:r>
      <w:r w:rsidR="007B5CD3" w:rsidRPr="00E22869">
        <w:rPr>
          <w:szCs w:val="26"/>
        </w:rPr>
        <w:t>However, w</w:t>
      </w:r>
      <w:r w:rsidR="00751418" w:rsidRPr="00E22869">
        <w:rPr>
          <w:szCs w:val="26"/>
        </w:rPr>
        <w:t xml:space="preserve">hen it was clear that </w:t>
      </w:r>
      <w:r w:rsidR="00A43BA9" w:rsidRPr="00E22869">
        <w:rPr>
          <w:szCs w:val="26"/>
        </w:rPr>
        <w:t xml:space="preserve">PECO’s </w:t>
      </w:r>
      <w:r w:rsidR="00CC11BE" w:rsidRPr="00E22869">
        <w:rPr>
          <w:szCs w:val="26"/>
        </w:rPr>
        <w:t>second</w:t>
      </w:r>
      <w:r w:rsidR="00751418" w:rsidRPr="00E22869">
        <w:rPr>
          <w:szCs w:val="26"/>
        </w:rPr>
        <w:t xml:space="preserve"> witness did not have </w:t>
      </w:r>
      <w:r w:rsidR="00CC11BE" w:rsidRPr="00E22869">
        <w:rPr>
          <w:szCs w:val="26"/>
        </w:rPr>
        <w:t xml:space="preserve">any </w:t>
      </w:r>
      <w:r w:rsidR="00751418" w:rsidRPr="00E22869">
        <w:rPr>
          <w:szCs w:val="26"/>
        </w:rPr>
        <w:t>personal knowledge of the case</w:t>
      </w:r>
      <w:r w:rsidR="00AE750E" w:rsidRPr="00E22869">
        <w:rPr>
          <w:szCs w:val="26"/>
        </w:rPr>
        <w:t xml:space="preserve"> or </w:t>
      </w:r>
      <w:r w:rsidR="00CC11BE" w:rsidRPr="00E22869">
        <w:rPr>
          <w:szCs w:val="26"/>
        </w:rPr>
        <w:t xml:space="preserve">was </w:t>
      </w:r>
      <w:r w:rsidR="00DB5484" w:rsidRPr="00E22869">
        <w:rPr>
          <w:szCs w:val="26"/>
        </w:rPr>
        <w:t xml:space="preserve">not </w:t>
      </w:r>
      <w:r w:rsidR="00AE750E" w:rsidRPr="00E22869">
        <w:rPr>
          <w:szCs w:val="26"/>
        </w:rPr>
        <w:t>directly involved in the case, the</w:t>
      </w:r>
      <w:r w:rsidR="00751418" w:rsidRPr="00E22869">
        <w:rPr>
          <w:szCs w:val="26"/>
        </w:rPr>
        <w:t xml:space="preserve"> ALJ </w:t>
      </w:r>
      <w:r w:rsidR="00A43BA9" w:rsidRPr="00E22869">
        <w:rPr>
          <w:szCs w:val="26"/>
        </w:rPr>
        <w:t>granted a continuance of the hearing so that PECO c</w:t>
      </w:r>
      <w:r w:rsidR="00A95239" w:rsidRPr="00E22869">
        <w:rPr>
          <w:szCs w:val="26"/>
        </w:rPr>
        <w:t>ould</w:t>
      </w:r>
      <w:r w:rsidR="00A43BA9" w:rsidRPr="00E22869">
        <w:rPr>
          <w:szCs w:val="26"/>
        </w:rPr>
        <w:t xml:space="preserve"> present </w:t>
      </w:r>
      <w:r w:rsidR="00DB5484" w:rsidRPr="00E22869">
        <w:rPr>
          <w:szCs w:val="26"/>
        </w:rPr>
        <w:t>a</w:t>
      </w:r>
      <w:r w:rsidR="00E63525" w:rsidRPr="00E22869">
        <w:rPr>
          <w:szCs w:val="26"/>
        </w:rPr>
        <w:t xml:space="preserve"> witness who has</w:t>
      </w:r>
      <w:r w:rsidR="00C61E98" w:rsidRPr="00E22869">
        <w:rPr>
          <w:szCs w:val="26"/>
        </w:rPr>
        <w:t xml:space="preserve"> direct knowledge of the case.</w:t>
      </w:r>
    </w:p>
    <w:p w:rsidR="00C44AD8" w:rsidRPr="00E22869" w:rsidRDefault="00C44AD8" w:rsidP="00E22869">
      <w:pPr>
        <w:rPr>
          <w:szCs w:val="26"/>
        </w:rPr>
      </w:pPr>
    </w:p>
    <w:p w:rsidR="00C61E98" w:rsidRPr="00E22869" w:rsidRDefault="00C61E98" w:rsidP="00E22869">
      <w:pPr>
        <w:rPr>
          <w:szCs w:val="26"/>
        </w:rPr>
      </w:pPr>
      <w:r w:rsidRPr="00E22869">
        <w:rPr>
          <w:szCs w:val="26"/>
        </w:rPr>
        <w:t>By Order dated December 24, 2013, the ALJ provided direction to the Parties to reschedule the proceeding for further hearing.  The Parties complied with the Order and the proceeding was scheduled for further hearing on Friday, March 28, 2014, by notice dated January 28, 2014.  However, in an e-mail dated March 28, 2014, Ms. Lee filed a motion requesting a continuance of this matter because the PECO witness could not attend due to an emergency that morning.</w:t>
      </w:r>
    </w:p>
    <w:p w:rsidR="00C61E98" w:rsidRPr="00E22869" w:rsidRDefault="00C61E98" w:rsidP="00E22869">
      <w:pPr>
        <w:rPr>
          <w:szCs w:val="26"/>
        </w:rPr>
      </w:pPr>
    </w:p>
    <w:p w:rsidR="00C61E98" w:rsidRPr="00E22869" w:rsidRDefault="00C61E98" w:rsidP="00E22869">
      <w:pPr>
        <w:rPr>
          <w:szCs w:val="26"/>
        </w:rPr>
      </w:pPr>
      <w:r w:rsidRPr="00E22869">
        <w:rPr>
          <w:szCs w:val="26"/>
        </w:rPr>
        <w:t xml:space="preserve">By Order dated March 31, 2014, the Motion was granted.  Since this was the second time that the Complainant was inconvenienced by PECO, the ALJ gave the Complainant the discretion to choose the rescheduled hearing date.  By Hearing Notice dated April 9, 2014, a further hearing was scheduled for Wednesday, July 30, 2014.  </w:t>
      </w:r>
    </w:p>
    <w:p w:rsidR="00C61E98" w:rsidRPr="00E22869" w:rsidRDefault="00C61E98" w:rsidP="00E22869">
      <w:pPr>
        <w:rPr>
          <w:szCs w:val="26"/>
        </w:rPr>
      </w:pPr>
    </w:p>
    <w:p w:rsidR="00701365" w:rsidRPr="00E22869" w:rsidRDefault="00C61E98" w:rsidP="00E22869">
      <w:pPr>
        <w:rPr>
          <w:szCs w:val="26"/>
        </w:rPr>
      </w:pPr>
      <w:r w:rsidRPr="00E22869">
        <w:rPr>
          <w:szCs w:val="26"/>
        </w:rPr>
        <w:t xml:space="preserve">At the </w:t>
      </w:r>
      <w:r w:rsidR="00701365" w:rsidRPr="00E22869">
        <w:rPr>
          <w:szCs w:val="26"/>
        </w:rPr>
        <w:t xml:space="preserve">further hearing conducted on </w:t>
      </w:r>
      <w:r w:rsidR="009B163B" w:rsidRPr="00E22869">
        <w:rPr>
          <w:szCs w:val="26"/>
        </w:rPr>
        <w:t>July</w:t>
      </w:r>
      <w:r w:rsidR="00776DF6" w:rsidRPr="00E22869">
        <w:rPr>
          <w:szCs w:val="26"/>
        </w:rPr>
        <w:t xml:space="preserve"> </w:t>
      </w:r>
      <w:r w:rsidR="009B163B" w:rsidRPr="00E22869">
        <w:rPr>
          <w:szCs w:val="26"/>
        </w:rPr>
        <w:t>30</w:t>
      </w:r>
      <w:r w:rsidR="00701365" w:rsidRPr="00E22869">
        <w:rPr>
          <w:szCs w:val="26"/>
        </w:rPr>
        <w:t>, 201</w:t>
      </w:r>
      <w:r w:rsidR="009B163B" w:rsidRPr="00E22869">
        <w:rPr>
          <w:szCs w:val="26"/>
        </w:rPr>
        <w:t>4</w:t>
      </w:r>
      <w:r w:rsidR="00B1528A" w:rsidRPr="00E22869">
        <w:rPr>
          <w:szCs w:val="26"/>
        </w:rPr>
        <w:t xml:space="preserve"> (July 2014 </w:t>
      </w:r>
      <w:r w:rsidR="00251507" w:rsidRPr="00E22869">
        <w:rPr>
          <w:szCs w:val="26"/>
        </w:rPr>
        <w:t>H</w:t>
      </w:r>
      <w:r w:rsidR="00B1528A" w:rsidRPr="00E22869">
        <w:rPr>
          <w:szCs w:val="26"/>
        </w:rPr>
        <w:t>earing)</w:t>
      </w:r>
      <w:r w:rsidR="00701365" w:rsidRPr="00E22869">
        <w:rPr>
          <w:szCs w:val="26"/>
        </w:rPr>
        <w:t xml:space="preserve">, PECO presented </w:t>
      </w:r>
      <w:r w:rsidR="00CC11BE" w:rsidRPr="00E22869">
        <w:rPr>
          <w:szCs w:val="26"/>
        </w:rPr>
        <w:t>its wit</w:t>
      </w:r>
      <w:r w:rsidR="00701365" w:rsidRPr="00E22869">
        <w:rPr>
          <w:szCs w:val="26"/>
        </w:rPr>
        <w:t>ness</w:t>
      </w:r>
      <w:r w:rsidR="009B163B" w:rsidRPr="00E22869">
        <w:rPr>
          <w:szCs w:val="26"/>
        </w:rPr>
        <w:t xml:space="preserve"> and </w:t>
      </w:r>
      <w:r w:rsidR="00822DD5" w:rsidRPr="00E22869">
        <w:rPr>
          <w:szCs w:val="26"/>
        </w:rPr>
        <w:t>a</w:t>
      </w:r>
      <w:r w:rsidR="00E63525" w:rsidRPr="00E22869">
        <w:rPr>
          <w:szCs w:val="26"/>
        </w:rPr>
        <w:t xml:space="preserve"> total of </w:t>
      </w:r>
      <w:r w:rsidRPr="00E22869">
        <w:rPr>
          <w:szCs w:val="26"/>
        </w:rPr>
        <w:t>sixteen</w:t>
      </w:r>
      <w:r w:rsidR="009B163B" w:rsidRPr="00E22869">
        <w:rPr>
          <w:szCs w:val="26"/>
        </w:rPr>
        <w:t xml:space="preserve"> exhibits</w:t>
      </w:r>
      <w:r w:rsidR="00822DD5" w:rsidRPr="00E22869">
        <w:rPr>
          <w:szCs w:val="26"/>
        </w:rPr>
        <w:t xml:space="preserve"> that were numbered PECO Exhibit 1 to 16.</w:t>
      </w:r>
      <w:r w:rsidR="00E63525" w:rsidRPr="00E22869">
        <w:rPr>
          <w:szCs w:val="26"/>
        </w:rPr>
        <w:t xml:space="preserve"> </w:t>
      </w:r>
      <w:r w:rsidR="00822DD5" w:rsidRPr="00E22869">
        <w:rPr>
          <w:szCs w:val="26"/>
        </w:rPr>
        <w:t xml:space="preserve"> </w:t>
      </w:r>
      <w:r w:rsidR="002521F1" w:rsidRPr="00E22869">
        <w:rPr>
          <w:szCs w:val="26"/>
        </w:rPr>
        <w:t>At the request of PECO, t</w:t>
      </w:r>
      <w:r w:rsidR="00822DD5" w:rsidRPr="00E22869">
        <w:rPr>
          <w:szCs w:val="26"/>
        </w:rPr>
        <w:t xml:space="preserve">he ALJ admitted into record </w:t>
      </w:r>
      <w:r w:rsidR="00590614" w:rsidRPr="00E22869">
        <w:rPr>
          <w:szCs w:val="26"/>
        </w:rPr>
        <w:t>PECO’s Exhibits 1-5, 7-9, 11-</w:t>
      </w:r>
      <w:r w:rsidR="00301CC7" w:rsidRPr="00E22869">
        <w:rPr>
          <w:szCs w:val="26"/>
        </w:rPr>
        <w:t xml:space="preserve">13 and </w:t>
      </w:r>
      <w:r w:rsidR="00590614" w:rsidRPr="00E22869">
        <w:rPr>
          <w:szCs w:val="26"/>
        </w:rPr>
        <w:t>15</w:t>
      </w:r>
      <w:r w:rsidR="002521F1" w:rsidRPr="00E22869">
        <w:rPr>
          <w:szCs w:val="26"/>
        </w:rPr>
        <w:t>.</w:t>
      </w:r>
      <w:r w:rsidR="00822DD5" w:rsidRPr="00E22869">
        <w:rPr>
          <w:szCs w:val="26"/>
        </w:rPr>
        <w:t xml:space="preserve"> </w:t>
      </w:r>
      <w:r w:rsidR="002521F1" w:rsidRPr="00E22869">
        <w:rPr>
          <w:szCs w:val="26"/>
        </w:rPr>
        <w:t xml:space="preserve"> At</w:t>
      </w:r>
      <w:r w:rsidR="009B163B" w:rsidRPr="00E22869">
        <w:rPr>
          <w:szCs w:val="26"/>
        </w:rPr>
        <w:t xml:space="preserve"> the request of the Complainant</w:t>
      </w:r>
      <w:r w:rsidR="004E79BF" w:rsidRPr="00E22869">
        <w:rPr>
          <w:szCs w:val="26"/>
        </w:rPr>
        <w:t>,</w:t>
      </w:r>
      <w:r w:rsidR="009B163B" w:rsidRPr="00E22869">
        <w:rPr>
          <w:szCs w:val="26"/>
        </w:rPr>
        <w:t xml:space="preserve"> PECO Exhibit 14</w:t>
      </w:r>
      <w:r w:rsidR="004E79BF" w:rsidRPr="00E22869">
        <w:rPr>
          <w:szCs w:val="26"/>
        </w:rPr>
        <w:t xml:space="preserve"> </w:t>
      </w:r>
      <w:r w:rsidR="00822DD5" w:rsidRPr="00E22869">
        <w:rPr>
          <w:szCs w:val="26"/>
        </w:rPr>
        <w:t>was</w:t>
      </w:r>
      <w:r w:rsidR="004E79BF" w:rsidRPr="00E22869">
        <w:rPr>
          <w:szCs w:val="26"/>
        </w:rPr>
        <w:t xml:space="preserve"> </w:t>
      </w:r>
      <w:r w:rsidR="00301CC7" w:rsidRPr="00E22869">
        <w:rPr>
          <w:szCs w:val="26"/>
        </w:rPr>
        <w:t xml:space="preserve">also </w:t>
      </w:r>
      <w:r w:rsidR="004E79BF" w:rsidRPr="00E22869">
        <w:rPr>
          <w:szCs w:val="26"/>
        </w:rPr>
        <w:t>admitted</w:t>
      </w:r>
      <w:r w:rsidR="00822DD5" w:rsidRPr="00E22869">
        <w:rPr>
          <w:szCs w:val="26"/>
        </w:rPr>
        <w:t xml:space="preserve"> into </w:t>
      </w:r>
      <w:r w:rsidR="004E79BF" w:rsidRPr="00E22869">
        <w:rPr>
          <w:szCs w:val="26"/>
        </w:rPr>
        <w:t xml:space="preserve">the record. </w:t>
      </w:r>
      <w:r w:rsidR="00701365" w:rsidRPr="00E22869">
        <w:rPr>
          <w:szCs w:val="26"/>
        </w:rPr>
        <w:t xml:space="preserve"> </w:t>
      </w:r>
    </w:p>
    <w:p w:rsidR="00701365" w:rsidRPr="00E22869" w:rsidRDefault="00701365" w:rsidP="00E22869">
      <w:pPr>
        <w:rPr>
          <w:szCs w:val="26"/>
        </w:rPr>
      </w:pPr>
    </w:p>
    <w:p w:rsidR="00701365" w:rsidRPr="00E22869" w:rsidRDefault="00701365" w:rsidP="00E22869">
      <w:pPr>
        <w:tabs>
          <w:tab w:val="left" w:pos="-1440"/>
          <w:tab w:val="left" w:pos="-720"/>
        </w:tabs>
        <w:suppressAutoHyphens/>
        <w:rPr>
          <w:szCs w:val="26"/>
        </w:rPr>
      </w:pPr>
      <w:r w:rsidRPr="00E22869">
        <w:rPr>
          <w:szCs w:val="26"/>
        </w:rPr>
        <w:t>The record consists of PECO’s Exhibits 1-</w:t>
      </w:r>
      <w:r w:rsidR="007B5CD3" w:rsidRPr="00E22869">
        <w:rPr>
          <w:szCs w:val="26"/>
        </w:rPr>
        <w:t>5</w:t>
      </w:r>
      <w:r w:rsidRPr="00E22869">
        <w:rPr>
          <w:szCs w:val="26"/>
        </w:rPr>
        <w:t xml:space="preserve">, </w:t>
      </w:r>
      <w:r w:rsidR="007B5CD3" w:rsidRPr="00E22869">
        <w:rPr>
          <w:szCs w:val="26"/>
        </w:rPr>
        <w:t xml:space="preserve">7-9, 11-15, </w:t>
      </w:r>
      <w:r w:rsidRPr="00E22869">
        <w:rPr>
          <w:szCs w:val="26"/>
        </w:rPr>
        <w:t xml:space="preserve">a </w:t>
      </w:r>
      <w:r w:rsidR="009B163B" w:rsidRPr="00E22869">
        <w:rPr>
          <w:szCs w:val="26"/>
        </w:rPr>
        <w:t>sixty</w:t>
      </w:r>
      <w:r w:rsidRPr="00E22869">
        <w:rPr>
          <w:szCs w:val="26"/>
        </w:rPr>
        <w:t>-</w:t>
      </w:r>
      <w:r w:rsidR="009B163B" w:rsidRPr="00E22869">
        <w:rPr>
          <w:szCs w:val="26"/>
        </w:rPr>
        <w:t>six</w:t>
      </w:r>
      <w:r w:rsidRPr="00E22869">
        <w:rPr>
          <w:szCs w:val="26"/>
        </w:rPr>
        <w:t xml:space="preserve"> page transcript from the </w:t>
      </w:r>
      <w:r w:rsidR="00635917" w:rsidRPr="00E22869">
        <w:rPr>
          <w:szCs w:val="26"/>
        </w:rPr>
        <w:t>I</w:t>
      </w:r>
      <w:r w:rsidRPr="00E22869">
        <w:rPr>
          <w:szCs w:val="26"/>
        </w:rPr>
        <w:t xml:space="preserve">nitial </w:t>
      </w:r>
      <w:r w:rsidR="00635917" w:rsidRPr="00E22869">
        <w:rPr>
          <w:szCs w:val="26"/>
        </w:rPr>
        <w:t>H</w:t>
      </w:r>
      <w:r w:rsidRPr="00E22869">
        <w:rPr>
          <w:szCs w:val="26"/>
        </w:rPr>
        <w:t xml:space="preserve">earing on </w:t>
      </w:r>
      <w:r w:rsidR="009B163B" w:rsidRPr="00E22869">
        <w:rPr>
          <w:szCs w:val="26"/>
        </w:rPr>
        <w:t>December 2</w:t>
      </w:r>
      <w:r w:rsidRPr="00E22869">
        <w:rPr>
          <w:szCs w:val="26"/>
        </w:rPr>
        <w:t>3, 2013</w:t>
      </w:r>
      <w:r w:rsidR="004E79BF" w:rsidRPr="00E22869">
        <w:rPr>
          <w:szCs w:val="26"/>
        </w:rPr>
        <w:t xml:space="preserve"> and</w:t>
      </w:r>
      <w:r w:rsidRPr="00E22869">
        <w:rPr>
          <w:szCs w:val="26"/>
        </w:rPr>
        <w:t xml:space="preserve"> </w:t>
      </w:r>
      <w:r w:rsidR="00C44AD8" w:rsidRPr="00E22869">
        <w:rPr>
          <w:szCs w:val="26"/>
        </w:rPr>
        <w:t>an</w:t>
      </w:r>
      <w:r w:rsidR="003C2F8F" w:rsidRPr="00E22869">
        <w:rPr>
          <w:szCs w:val="26"/>
        </w:rPr>
        <w:t xml:space="preserve"> </w:t>
      </w:r>
      <w:r w:rsidR="009B163B" w:rsidRPr="00E22869">
        <w:rPr>
          <w:szCs w:val="26"/>
        </w:rPr>
        <w:t>eighty</w:t>
      </w:r>
      <w:r w:rsidRPr="00E22869">
        <w:rPr>
          <w:szCs w:val="26"/>
        </w:rPr>
        <w:t>-</w:t>
      </w:r>
      <w:r w:rsidR="009B163B" w:rsidRPr="00E22869">
        <w:rPr>
          <w:szCs w:val="26"/>
        </w:rPr>
        <w:t>eight</w:t>
      </w:r>
      <w:r w:rsidRPr="00E22869">
        <w:rPr>
          <w:szCs w:val="26"/>
        </w:rPr>
        <w:t xml:space="preserve"> page transcript from the </w:t>
      </w:r>
      <w:r w:rsidR="00301CC7" w:rsidRPr="00E22869">
        <w:rPr>
          <w:szCs w:val="26"/>
        </w:rPr>
        <w:t>Fu</w:t>
      </w:r>
      <w:r w:rsidRPr="00E22869">
        <w:rPr>
          <w:szCs w:val="26"/>
        </w:rPr>
        <w:t xml:space="preserve">rther </w:t>
      </w:r>
      <w:r w:rsidR="00301CC7" w:rsidRPr="00E22869">
        <w:rPr>
          <w:szCs w:val="26"/>
        </w:rPr>
        <w:t>H</w:t>
      </w:r>
      <w:r w:rsidRPr="00E22869">
        <w:rPr>
          <w:szCs w:val="26"/>
        </w:rPr>
        <w:t>earing held on Ju</w:t>
      </w:r>
      <w:r w:rsidR="009B163B" w:rsidRPr="00E22869">
        <w:rPr>
          <w:szCs w:val="26"/>
        </w:rPr>
        <w:t>ly</w:t>
      </w:r>
      <w:r w:rsidRPr="00E22869">
        <w:rPr>
          <w:szCs w:val="26"/>
        </w:rPr>
        <w:t xml:space="preserve"> </w:t>
      </w:r>
      <w:r w:rsidR="009B163B" w:rsidRPr="00E22869">
        <w:rPr>
          <w:szCs w:val="26"/>
        </w:rPr>
        <w:t>30</w:t>
      </w:r>
      <w:r w:rsidRPr="00E22869">
        <w:rPr>
          <w:szCs w:val="26"/>
        </w:rPr>
        <w:t>, 201</w:t>
      </w:r>
      <w:r w:rsidR="009B163B" w:rsidRPr="00E22869">
        <w:rPr>
          <w:szCs w:val="26"/>
        </w:rPr>
        <w:t>4</w:t>
      </w:r>
      <w:r w:rsidRPr="00E22869">
        <w:rPr>
          <w:szCs w:val="26"/>
        </w:rPr>
        <w:t xml:space="preserve">.  The record was closed on </w:t>
      </w:r>
      <w:r w:rsidR="007B5CD3" w:rsidRPr="00E22869">
        <w:rPr>
          <w:szCs w:val="26"/>
        </w:rPr>
        <w:t>September</w:t>
      </w:r>
      <w:r w:rsidRPr="00E22869">
        <w:rPr>
          <w:szCs w:val="26"/>
        </w:rPr>
        <w:t xml:space="preserve"> </w:t>
      </w:r>
      <w:r w:rsidR="007B5CD3" w:rsidRPr="00E22869">
        <w:rPr>
          <w:szCs w:val="26"/>
        </w:rPr>
        <w:t>2</w:t>
      </w:r>
      <w:r w:rsidRPr="00E22869">
        <w:rPr>
          <w:szCs w:val="26"/>
        </w:rPr>
        <w:t xml:space="preserve">, 2014.  </w:t>
      </w:r>
    </w:p>
    <w:p w:rsidR="00701365" w:rsidRPr="00E22869" w:rsidRDefault="00701365" w:rsidP="00E22869">
      <w:pPr>
        <w:tabs>
          <w:tab w:val="left" w:pos="-1440"/>
          <w:tab w:val="left" w:pos="-720"/>
        </w:tabs>
        <w:suppressAutoHyphens/>
        <w:rPr>
          <w:szCs w:val="26"/>
        </w:rPr>
      </w:pPr>
    </w:p>
    <w:p w:rsidR="00701365" w:rsidRPr="00E22869" w:rsidRDefault="00701365" w:rsidP="00E22869">
      <w:pPr>
        <w:rPr>
          <w:color w:val="000000"/>
          <w:szCs w:val="26"/>
        </w:rPr>
      </w:pPr>
      <w:r w:rsidRPr="00E22869">
        <w:rPr>
          <w:szCs w:val="26"/>
        </w:rPr>
        <w:lastRenderedPageBreak/>
        <w:t xml:space="preserve">On </w:t>
      </w:r>
      <w:r w:rsidR="007B5CD3" w:rsidRPr="00E22869">
        <w:rPr>
          <w:szCs w:val="26"/>
        </w:rPr>
        <w:t>December</w:t>
      </w:r>
      <w:r w:rsidRPr="00E22869">
        <w:rPr>
          <w:color w:val="000000"/>
          <w:szCs w:val="26"/>
        </w:rPr>
        <w:t xml:space="preserve"> </w:t>
      </w:r>
      <w:r w:rsidR="007B5CD3" w:rsidRPr="00E22869">
        <w:rPr>
          <w:color w:val="000000"/>
          <w:szCs w:val="26"/>
        </w:rPr>
        <w:t>24</w:t>
      </w:r>
      <w:r w:rsidRPr="00E22869">
        <w:rPr>
          <w:color w:val="000000"/>
          <w:szCs w:val="26"/>
        </w:rPr>
        <w:t xml:space="preserve">, 2014, the Commission issued the Initial Decision of ALJ </w:t>
      </w:r>
      <w:r w:rsidR="007B5CD3" w:rsidRPr="00E22869">
        <w:rPr>
          <w:color w:val="000000"/>
          <w:szCs w:val="26"/>
        </w:rPr>
        <w:t>Jones</w:t>
      </w:r>
      <w:r w:rsidR="000F30B4" w:rsidRPr="00E22869">
        <w:rPr>
          <w:color w:val="000000"/>
          <w:szCs w:val="26"/>
        </w:rPr>
        <w:t xml:space="preserve"> that</w:t>
      </w:r>
      <w:r w:rsidRPr="00E22869">
        <w:rPr>
          <w:color w:val="000000"/>
          <w:szCs w:val="26"/>
        </w:rPr>
        <w:t xml:space="preserve"> dismissed the Complaint.  I.D. at </w:t>
      </w:r>
      <w:r w:rsidR="007B5CD3" w:rsidRPr="00E22869">
        <w:rPr>
          <w:color w:val="000000"/>
          <w:szCs w:val="26"/>
        </w:rPr>
        <w:t>2</w:t>
      </w:r>
      <w:r w:rsidRPr="00E22869">
        <w:rPr>
          <w:color w:val="000000"/>
          <w:szCs w:val="26"/>
        </w:rPr>
        <w:t xml:space="preserve">1.  As previously noted, the Complainant filed Exceptions to the Initial Decision on </w:t>
      </w:r>
      <w:r w:rsidR="007B5CD3" w:rsidRPr="00E22869">
        <w:rPr>
          <w:color w:val="000000"/>
          <w:szCs w:val="26"/>
        </w:rPr>
        <w:t>January</w:t>
      </w:r>
      <w:r w:rsidRPr="00E22869">
        <w:rPr>
          <w:color w:val="000000"/>
          <w:szCs w:val="26"/>
        </w:rPr>
        <w:t xml:space="preserve"> </w:t>
      </w:r>
      <w:r w:rsidR="007B5CD3" w:rsidRPr="00E22869">
        <w:rPr>
          <w:color w:val="000000"/>
          <w:szCs w:val="26"/>
        </w:rPr>
        <w:t>22, 2015</w:t>
      </w:r>
      <w:r w:rsidRPr="00E22869">
        <w:rPr>
          <w:color w:val="000000"/>
          <w:szCs w:val="26"/>
        </w:rPr>
        <w:t xml:space="preserve">, and PECO filed Replies to Exceptions on </w:t>
      </w:r>
      <w:r w:rsidR="00675072" w:rsidRPr="00E22869">
        <w:rPr>
          <w:color w:val="000000"/>
          <w:szCs w:val="26"/>
        </w:rPr>
        <w:t>February 5</w:t>
      </w:r>
      <w:r w:rsidRPr="00E22869">
        <w:rPr>
          <w:color w:val="000000"/>
          <w:szCs w:val="26"/>
        </w:rPr>
        <w:t>, 201</w:t>
      </w:r>
      <w:r w:rsidR="007B5CD3" w:rsidRPr="00E22869">
        <w:rPr>
          <w:color w:val="000000"/>
          <w:szCs w:val="26"/>
        </w:rPr>
        <w:t>5</w:t>
      </w:r>
      <w:r w:rsidR="000F30B4" w:rsidRPr="00E22869">
        <w:rPr>
          <w:color w:val="000000"/>
          <w:szCs w:val="26"/>
        </w:rPr>
        <w:t>.</w:t>
      </w:r>
    </w:p>
    <w:p w:rsidR="00A43BA9" w:rsidRPr="00E22869" w:rsidRDefault="00A43BA9" w:rsidP="00E22869">
      <w:pPr>
        <w:rPr>
          <w:color w:val="000000"/>
          <w:szCs w:val="26"/>
        </w:rPr>
      </w:pPr>
    </w:p>
    <w:p w:rsidR="000A6712" w:rsidRPr="00E22869" w:rsidRDefault="000A6712" w:rsidP="00E22869">
      <w:pPr>
        <w:keepNext/>
        <w:ind w:firstLine="0"/>
        <w:jc w:val="center"/>
        <w:rPr>
          <w:b/>
          <w:szCs w:val="26"/>
        </w:rPr>
      </w:pPr>
      <w:r w:rsidRPr="00E22869">
        <w:rPr>
          <w:b/>
          <w:szCs w:val="26"/>
        </w:rPr>
        <w:t>Discussion</w:t>
      </w:r>
    </w:p>
    <w:p w:rsidR="00244754" w:rsidRPr="00E22869" w:rsidRDefault="00244754" w:rsidP="00E22869">
      <w:pPr>
        <w:keepNext/>
        <w:ind w:firstLine="0"/>
        <w:jc w:val="center"/>
        <w:rPr>
          <w:b/>
          <w:szCs w:val="26"/>
        </w:rPr>
      </w:pPr>
    </w:p>
    <w:p w:rsidR="00244754" w:rsidRPr="00E22869" w:rsidRDefault="00F52732" w:rsidP="00E22869">
      <w:pPr>
        <w:keepNext/>
        <w:ind w:firstLine="0"/>
        <w:rPr>
          <w:b/>
          <w:szCs w:val="26"/>
        </w:rPr>
      </w:pPr>
      <w:r w:rsidRPr="00E22869">
        <w:rPr>
          <w:b/>
          <w:szCs w:val="26"/>
        </w:rPr>
        <w:t>Legal Standards</w:t>
      </w:r>
    </w:p>
    <w:p w:rsidR="00487B2C" w:rsidRPr="00E22869" w:rsidRDefault="00487B2C" w:rsidP="00E22869">
      <w:pPr>
        <w:keepNext/>
        <w:spacing w:line="240" w:lineRule="auto"/>
        <w:rPr>
          <w:szCs w:val="26"/>
        </w:rPr>
      </w:pPr>
    </w:p>
    <w:p w:rsidR="008C5B1C" w:rsidRPr="00E22869" w:rsidRDefault="008C5B1C" w:rsidP="00E22869">
      <w:pPr>
        <w:rPr>
          <w:szCs w:val="26"/>
        </w:rPr>
      </w:pPr>
      <w:r w:rsidRPr="00E22869">
        <w:rPr>
          <w:szCs w:val="26"/>
        </w:rPr>
        <w:t xml:space="preserve">As the proponent of a rule or order, the Complainant in this proceeding bears the burden of proof pursuant to Section 332(a) of the Code.  66 Pa. C.S. § 332(a).  To establish a sufficient case and satisfy the burden of proof, the Complainant must show that the Respondent is responsible or accountable for the problem described in the Complaint.  </w:t>
      </w:r>
      <w:r w:rsidRPr="00E22869">
        <w:rPr>
          <w:i/>
          <w:szCs w:val="26"/>
        </w:rPr>
        <w:t>Patterson v. The Bell Telephone Company of Pennsylvania</w:t>
      </w:r>
      <w:r w:rsidRPr="00E22869">
        <w:rPr>
          <w:szCs w:val="26"/>
        </w:rPr>
        <w:t>,</w:t>
      </w:r>
      <w:r w:rsidR="00D84177" w:rsidRPr="00E22869">
        <w:rPr>
          <w:szCs w:val="26"/>
        </w:rPr>
        <w:t xml:space="preserve"> </w:t>
      </w:r>
      <w:r w:rsidRPr="00E22869">
        <w:rPr>
          <w:szCs w:val="26"/>
        </w:rPr>
        <w:t xml:space="preserve">72 Pa. P.U.C. 196 (1990).  Such a showing must be by a preponderance of the evidence.  </w:t>
      </w:r>
      <w:r w:rsidRPr="00E22869">
        <w:rPr>
          <w:i/>
          <w:iCs/>
          <w:szCs w:val="26"/>
        </w:rPr>
        <w:t>Samuel J. Lansberry, Inc. v. Pa. PUC</w:t>
      </w:r>
      <w:r w:rsidRPr="00E22869">
        <w:rPr>
          <w:szCs w:val="26"/>
        </w:rPr>
        <w:t xml:space="preserve">, 578 A.2d 600 (Pa. Cmwlth. 1990), </w:t>
      </w:r>
      <w:r w:rsidRPr="00E22869">
        <w:rPr>
          <w:i/>
          <w:szCs w:val="26"/>
        </w:rPr>
        <w:t>alloc. denied,</w:t>
      </w:r>
      <w:r w:rsidRPr="00E22869">
        <w:rPr>
          <w:szCs w:val="26"/>
        </w:rPr>
        <w:t xml:space="preserve"> 529 Pa. 654, 602 A.2d 863 (1992).  That is, the Complainant’s evidence must be more convincing, by even the smallest amount, than that presented by the Respondent.  </w:t>
      </w:r>
      <w:r w:rsidRPr="00E22869">
        <w:rPr>
          <w:i/>
          <w:szCs w:val="26"/>
        </w:rPr>
        <w:t>Se-Ling Hosiery, Inc. v. Margulies</w:t>
      </w:r>
      <w:r w:rsidRPr="00E22869">
        <w:rPr>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E22869">
        <w:rPr>
          <w:i/>
          <w:szCs w:val="26"/>
        </w:rPr>
        <w:t xml:space="preserve">Norfolk &amp; Western Ry. Co. v. Pa. PUC, </w:t>
      </w:r>
      <w:r w:rsidRPr="00E22869">
        <w:rPr>
          <w:szCs w:val="26"/>
        </w:rPr>
        <w:t>489 Pa. 109, 413 A.2d 1037 (1980).</w:t>
      </w:r>
    </w:p>
    <w:p w:rsidR="0041791F" w:rsidRPr="00E22869" w:rsidRDefault="0041791F" w:rsidP="00E22869">
      <w:pPr>
        <w:rPr>
          <w:szCs w:val="26"/>
        </w:rPr>
      </w:pPr>
    </w:p>
    <w:p w:rsidR="0041791F" w:rsidRPr="00E22869" w:rsidRDefault="0041791F" w:rsidP="00E22869">
      <w:pPr>
        <w:rPr>
          <w:szCs w:val="26"/>
        </w:rPr>
      </w:pPr>
      <w:r w:rsidRPr="00E22869">
        <w:rPr>
          <w:szCs w:val="26"/>
        </w:rPr>
        <w:t xml:space="preserve">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w:t>
      </w:r>
      <w:r w:rsidRPr="00E22869">
        <w:rPr>
          <w:szCs w:val="26"/>
        </w:rPr>
        <w:lastRenderedPageBreak/>
        <w:t xml:space="preserve">of the Respondent.  </w:t>
      </w:r>
      <w:r w:rsidRPr="00E22869">
        <w:rPr>
          <w:i/>
          <w:iCs/>
          <w:szCs w:val="26"/>
        </w:rPr>
        <w:t>Burleson v. Pa. Pub. Util. Comm’n</w:t>
      </w:r>
      <w:r w:rsidRPr="00E22869">
        <w:rPr>
          <w:szCs w:val="26"/>
        </w:rPr>
        <w:t xml:space="preserve">, 443 A.2d 1373 (Pa. Cmwlth. 1982), </w:t>
      </w:r>
      <w:r w:rsidRPr="00E22869">
        <w:rPr>
          <w:i/>
          <w:iCs/>
          <w:szCs w:val="26"/>
        </w:rPr>
        <w:t>aff'd</w:t>
      </w:r>
      <w:r w:rsidRPr="00E22869">
        <w:rPr>
          <w:szCs w:val="26"/>
        </w:rPr>
        <w:t>, 501 Pa. 433, 461 A.2d 1234 (1983).</w:t>
      </w:r>
    </w:p>
    <w:p w:rsidR="0041791F" w:rsidRPr="00E22869" w:rsidRDefault="0041791F" w:rsidP="00E22869">
      <w:pPr>
        <w:rPr>
          <w:szCs w:val="26"/>
        </w:rPr>
      </w:pPr>
    </w:p>
    <w:p w:rsidR="0041791F" w:rsidRPr="00E22869" w:rsidRDefault="0041791F" w:rsidP="00E22869">
      <w:pPr>
        <w:rPr>
          <w:szCs w:val="26"/>
        </w:rPr>
      </w:pPr>
      <w:r w:rsidRPr="00E22869">
        <w:rPr>
          <w:szCs w:val="26"/>
        </w:rPr>
        <w:t xml:space="preserve">While the </w:t>
      </w:r>
      <w:r w:rsidRPr="00E22869">
        <w:rPr>
          <w:bCs/>
          <w:szCs w:val="26"/>
        </w:rPr>
        <w:t>burden of persuasion</w:t>
      </w:r>
      <w:r w:rsidRPr="00E22869">
        <w:rPr>
          <w:szCs w:val="26"/>
        </w:rPr>
        <w:t xml:space="preserve"> may shift back and forth during a proceeding, the burden of proof never shifts.  The burden of proof always remains on the party seeking affirmative relief from the Commission.  </w:t>
      </w:r>
      <w:r w:rsidRPr="00E22869">
        <w:rPr>
          <w:i/>
          <w:iCs/>
          <w:szCs w:val="26"/>
        </w:rPr>
        <w:t>Milkie v. Pa. Pub. Util. Comm’n</w:t>
      </w:r>
      <w:r w:rsidRPr="00E22869">
        <w:rPr>
          <w:szCs w:val="26"/>
        </w:rPr>
        <w:t>, 768 A.2d 1217 (Pa. Cmwlth. 2001).</w:t>
      </w:r>
    </w:p>
    <w:p w:rsidR="0041791F" w:rsidRPr="00E22869" w:rsidRDefault="0041791F" w:rsidP="00E22869">
      <w:pPr>
        <w:rPr>
          <w:szCs w:val="26"/>
        </w:rPr>
      </w:pPr>
    </w:p>
    <w:p w:rsidR="0041791F" w:rsidRPr="00E22869" w:rsidRDefault="0041791F" w:rsidP="00E22869">
      <w:pPr>
        <w:rPr>
          <w:szCs w:val="26"/>
        </w:rPr>
      </w:pPr>
      <w:r w:rsidRPr="00E22869">
        <w:rPr>
          <w:szCs w:val="26"/>
        </w:rPr>
        <w:t xml:space="preserve">The burden of proof for “high bill” complaints has been explained in </w:t>
      </w:r>
      <w:r w:rsidRPr="00E22869">
        <w:rPr>
          <w:i/>
          <w:szCs w:val="26"/>
        </w:rPr>
        <w:t>Waldron v. Philadelphia Electric Company</w:t>
      </w:r>
      <w:r w:rsidRPr="00E22869">
        <w:rPr>
          <w:szCs w:val="26"/>
        </w:rPr>
        <w:t xml:space="preserve">, 54 Pa. P.U.C. 98 (1980), and its progeny.  In </w:t>
      </w:r>
      <w:r w:rsidRPr="00E22869">
        <w:rPr>
          <w:i/>
          <w:szCs w:val="26"/>
        </w:rPr>
        <w:t>Waldron</w:t>
      </w:r>
      <w:r w:rsidRPr="00E22869">
        <w:rPr>
          <w:szCs w:val="26"/>
        </w:rPr>
        <w:t xml:space="preserve">, the Commission adopted the Michigan Public Service Commission’s (PSC’s) policy annunciated in </w:t>
      </w:r>
      <w:r w:rsidRPr="00E22869">
        <w:rPr>
          <w:i/>
          <w:szCs w:val="26"/>
        </w:rPr>
        <w:t>Hallifax v. O &amp; A Electric Co-Op</w:t>
      </w:r>
      <w:r w:rsidRPr="00E22869">
        <w:rPr>
          <w:szCs w:val="26"/>
        </w:rPr>
        <w:t>, Case No. U-5825 (May 7, 1979), which stated that, while the accuracy of the meter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E22869" w:rsidDel="000555B3">
        <w:rPr>
          <w:rFonts w:eastAsiaTheme="minorEastAsia"/>
          <w:szCs w:val="26"/>
          <w:vertAlign w:val="superscript"/>
        </w:rPr>
        <w:t xml:space="preserve"> </w:t>
      </w:r>
      <w:r w:rsidRPr="00E22869">
        <w:rPr>
          <w:szCs w:val="26"/>
        </w:rPr>
        <w:t xml:space="preserve">  </w:t>
      </w:r>
      <w:r w:rsidRPr="00E22869">
        <w:rPr>
          <w:i/>
          <w:szCs w:val="26"/>
        </w:rPr>
        <w:t>Waldron</w:t>
      </w:r>
      <w:r w:rsidRPr="00E22869">
        <w:rPr>
          <w:szCs w:val="26"/>
        </w:rPr>
        <w:t xml:space="preserve"> </w:t>
      </w:r>
      <w:r w:rsidR="007C49B3" w:rsidRPr="00E22869">
        <w:rPr>
          <w:szCs w:val="26"/>
        </w:rPr>
        <w:t xml:space="preserve">54 Pa. P.U.C. </w:t>
      </w:r>
      <w:r w:rsidRPr="00E22869">
        <w:rPr>
          <w:szCs w:val="26"/>
        </w:rPr>
        <w:t>at 100.</w:t>
      </w:r>
    </w:p>
    <w:p w:rsidR="0041791F" w:rsidRPr="00E22869" w:rsidRDefault="0041791F" w:rsidP="00E22869">
      <w:pPr>
        <w:spacing w:after="200" w:line="276" w:lineRule="auto"/>
        <w:rPr>
          <w:szCs w:val="26"/>
        </w:rPr>
      </w:pPr>
    </w:p>
    <w:p w:rsidR="0041791F" w:rsidRPr="00E22869" w:rsidRDefault="0041791F" w:rsidP="00E22869">
      <w:pPr>
        <w:keepNext/>
        <w:rPr>
          <w:szCs w:val="26"/>
        </w:rPr>
      </w:pPr>
      <w:r w:rsidRPr="00E22869">
        <w:rPr>
          <w:szCs w:val="26"/>
        </w:rPr>
        <w:t xml:space="preserve">The Commission explained the burden of proof set forth in </w:t>
      </w:r>
      <w:r w:rsidRPr="00E22869">
        <w:rPr>
          <w:i/>
          <w:szCs w:val="26"/>
        </w:rPr>
        <w:t>Waldron</w:t>
      </w:r>
      <w:r w:rsidRPr="00E22869">
        <w:rPr>
          <w:szCs w:val="26"/>
        </w:rPr>
        <w:t xml:space="preserve"> as follows:  </w:t>
      </w:r>
    </w:p>
    <w:p w:rsidR="0041791F" w:rsidRPr="00E22869" w:rsidRDefault="0041791F" w:rsidP="00E22869">
      <w:pPr>
        <w:keepNext/>
        <w:rPr>
          <w:szCs w:val="26"/>
        </w:rPr>
      </w:pPr>
    </w:p>
    <w:p w:rsidR="0041791F" w:rsidRPr="00E22869" w:rsidRDefault="0041791F" w:rsidP="00E22869">
      <w:pPr>
        <w:keepNext/>
        <w:spacing w:line="240" w:lineRule="auto"/>
        <w:ind w:left="1440" w:right="1440" w:firstLine="0"/>
        <w:rPr>
          <w:szCs w:val="26"/>
        </w:rPr>
      </w:pPr>
      <w:r w:rsidRPr="00E22869">
        <w:rPr>
          <w:szCs w:val="26"/>
        </w:rPr>
        <w:t xml:space="preserve">[T]he </w:t>
      </w:r>
      <w:r w:rsidRPr="00E22869">
        <w:rPr>
          <w:i/>
          <w:szCs w:val="26"/>
        </w:rPr>
        <w:t xml:space="preserve">Waldron </w:t>
      </w:r>
      <w:r w:rsidRPr="00E22869">
        <w:rPr>
          <w:szCs w:val="26"/>
        </w:rPr>
        <w:t xml:space="preserve">Rule allows a complainant to establish a </w:t>
      </w:r>
      <w:r w:rsidRPr="00E22869">
        <w:rPr>
          <w:i/>
          <w:szCs w:val="26"/>
        </w:rPr>
        <w:t xml:space="preserve">prima facie </w:t>
      </w:r>
      <w:r w:rsidRPr="00E22869">
        <w:rPr>
          <w:szCs w:val="26"/>
        </w:rPr>
        <w:t xml:space="preserve">case in a “high bill” complaint by showing that the disputed bill is abnormally high when compared to prior usage patterns and his or her pattern of usage has not changed </w:t>
      </w:r>
      <w:r w:rsidRPr="00E22869">
        <w:rPr>
          <w:i/>
          <w:szCs w:val="26"/>
        </w:rPr>
        <w:t>or</w:t>
      </w:r>
      <w:r w:rsidRPr="00E22869">
        <w:rPr>
          <w:szCs w:val="26"/>
        </w:rPr>
        <w:t> </w:t>
      </w:r>
      <w:r w:rsidRPr="00E22869">
        <w:rPr>
          <w:i/>
          <w:szCs w:val="26"/>
        </w:rPr>
        <w:t>by providing other relevant evidence showing that the disputed bill is unreasonably high</w:t>
      </w:r>
      <w:r w:rsidRPr="00E22869">
        <w:rPr>
          <w:szCs w:val="26"/>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Pr="00E22869">
        <w:rPr>
          <w:i/>
          <w:szCs w:val="26"/>
        </w:rPr>
        <w:t>and</w:t>
      </w:r>
      <w:r w:rsidRPr="00E22869">
        <w:rPr>
          <w:b/>
          <w:i/>
          <w:szCs w:val="26"/>
        </w:rPr>
        <w:t xml:space="preserve"> </w:t>
      </w:r>
      <w:r w:rsidRPr="00E22869">
        <w:rPr>
          <w:i/>
          <w:szCs w:val="26"/>
        </w:rPr>
        <w:lastRenderedPageBreak/>
        <w:t>any other relevant facts or circumstances that come to light during the proceeding</w:t>
      </w:r>
      <w:r w:rsidRPr="00E22869">
        <w:rPr>
          <w:szCs w:val="26"/>
        </w:rPr>
        <w:t>.”</w:t>
      </w:r>
    </w:p>
    <w:p w:rsidR="0041791F" w:rsidRPr="00E22869" w:rsidRDefault="0041791F" w:rsidP="00E22869">
      <w:pPr>
        <w:ind w:left="1440" w:right="1440"/>
        <w:rPr>
          <w:szCs w:val="26"/>
        </w:rPr>
      </w:pPr>
    </w:p>
    <w:p w:rsidR="0041791F" w:rsidRPr="00E22869" w:rsidRDefault="00635917" w:rsidP="00E22869">
      <w:pPr>
        <w:ind w:firstLine="0"/>
        <w:rPr>
          <w:szCs w:val="26"/>
        </w:rPr>
      </w:pPr>
      <w:r w:rsidRPr="00E22869">
        <w:rPr>
          <w:i/>
          <w:szCs w:val="26"/>
        </w:rPr>
        <w:t>See</w:t>
      </w:r>
      <w:r w:rsidR="00A4530B" w:rsidRPr="00E22869">
        <w:rPr>
          <w:szCs w:val="26"/>
        </w:rPr>
        <w:t>,</w:t>
      </w:r>
      <w:r w:rsidRPr="00E22869">
        <w:rPr>
          <w:i/>
          <w:szCs w:val="26"/>
        </w:rPr>
        <w:t xml:space="preserve"> </w:t>
      </w:r>
      <w:r w:rsidR="0041791F" w:rsidRPr="00E22869">
        <w:rPr>
          <w:i/>
          <w:szCs w:val="26"/>
        </w:rPr>
        <w:t>Thomas v. PECO Energy Company</w:t>
      </w:r>
      <w:r w:rsidR="0041791F" w:rsidRPr="00E22869">
        <w:rPr>
          <w:szCs w:val="26"/>
        </w:rPr>
        <w:t xml:space="preserve">, Docket No. C-2010-2187197 (Order entered November 15, 2011) at 5, quoting </w:t>
      </w:r>
      <w:r w:rsidR="0041791F" w:rsidRPr="00E22869">
        <w:rPr>
          <w:i/>
          <w:szCs w:val="26"/>
        </w:rPr>
        <w:t>Bennett v. The Peoples Natural Gas Company</w:t>
      </w:r>
      <w:r w:rsidR="0041791F" w:rsidRPr="00E22869">
        <w:rPr>
          <w:szCs w:val="26"/>
        </w:rPr>
        <w:t>, Docket No. C-2009-2122979 (Order entered October 13, 2010).</w:t>
      </w:r>
    </w:p>
    <w:p w:rsidR="00DC38A6" w:rsidRPr="00E22869" w:rsidRDefault="00DC38A6" w:rsidP="00E22869">
      <w:pPr>
        <w:ind w:firstLine="0"/>
        <w:rPr>
          <w:szCs w:val="26"/>
        </w:rPr>
      </w:pPr>
    </w:p>
    <w:p w:rsidR="0041791F" w:rsidRPr="00E22869" w:rsidRDefault="0041791F" w:rsidP="00E22869">
      <w:pPr>
        <w:rPr>
          <w:szCs w:val="26"/>
        </w:rPr>
      </w:pPr>
      <w:r w:rsidRPr="00E22869">
        <w:rPr>
          <w:szCs w:val="26"/>
        </w:rPr>
        <w:t xml:space="preserve">With regard to Complainant’s request for a payment arrangement, Section 1405 of the Code, 66 Pa. C.S. § 1405, authorizes the Commission to investigate payment disputes and to establish payment </w:t>
      </w:r>
      <w:r w:rsidRPr="00E22869">
        <w:rPr>
          <w:bCs/>
          <w:szCs w:val="26"/>
        </w:rPr>
        <w:t>arrangements</w:t>
      </w:r>
      <w:r w:rsidRPr="00E22869">
        <w:rPr>
          <w:szCs w:val="26"/>
        </w:rPr>
        <w:t xml:space="preserve"> between a public utility and its customers and applicants.</w:t>
      </w:r>
    </w:p>
    <w:p w:rsidR="0041791F" w:rsidRPr="00E22869" w:rsidRDefault="0041791F" w:rsidP="00E22869">
      <w:pPr>
        <w:rPr>
          <w:szCs w:val="26"/>
        </w:rPr>
      </w:pPr>
    </w:p>
    <w:p w:rsidR="004A3D5D" w:rsidRPr="00E22869" w:rsidRDefault="004A3D5D" w:rsidP="00E22869">
      <w:pPr>
        <w:rPr>
          <w:rFonts w:ascii="Times New (W1)" w:hAnsi="Times New (W1)"/>
          <w:szCs w:val="26"/>
        </w:rPr>
      </w:pPr>
      <w:r w:rsidRPr="00E22869">
        <w:rPr>
          <w:rFonts w:ascii="Times New (W1)" w:hAnsi="Times New (W1)"/>
          <w:szCs w:val="26"/>
        </w:rPr>
        <w:t>The ALJ made fifty-five Findings of Fact and reached five Conclusions of Law.  The Findings of Fact and Conclusions of Law are incorporate</w:t>
      </w:r>
      <w:r w:rsidR="00827DC9" w:rsidRPr="00E22869">
        <w:rPr>
          <w:rFonts w:ascii="Times New (W1)" w:hAnsi="Times New (W1)"/>
          <w:szCs w:val="26"/>
        </w:rPr>
        <w:t>d</w:t>
      </w:r>
      <w:r w:rsidRPr="00E22869">
        <w:rPr>
          <w:rFonts w:ascii="Times New (W1)" w:hAnsi="Times New (W1)"/>
          <w:szCs w:val="26"/>
        </w:rPr>
        <w:t xml:space="preserve"> herein by reference and are adopted without comment unless they are either expressly or by necessary implication rejected or modified by this Opinion and Order.</w:t>
      </w:r>
    </w:p>
    <w:p w:rsidR="004A3D5D" w:rsidRPr="00E22869" w:rsidRDefault="004A3D5D" w:rsidP="00E22869">
      <w:pPr>
        <w:rPr>
          <w:rFonts w:ascii="Times New (W1)" w:hAnsi="Times New (W1)"/>
          <w:szCs w:val="26"/>
        </w:rPr>
      </w:pPr>
    </w:p>
    <w:p w:rsidR="0041791F" w:rsidRPr="00E22869" w:rsidRDefault="0041791F" w:rsidP="00E22869">
      <w:pPr>
        <w:rPr>
          <w:szCs w:val="26"/>
        </w:rPr>
      </w:pPr>
      <w:r w:rsidRPr="00E22869">
        <w:rPr>
          <w:szCs w:val="26"/>
        </w:rPr>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r w:rsidRPr="00E22869">
        <w:rPr>
          <w:rStyle w:val="Emphasis"/>
          <w:szCs w:val="26"/>
        </w:rPr>
        <w:t>Consolidated Ra</w:t>
      </w:r>
      <w:r w:rsidRPr="00E22869">
        <w:rPr>
          <w:rStyle w:val="Emphasis"/>
          <w:color w:val="000000"/>
          <w:szCs w:val="26"/>
        </w:rPr>
        <w:t xml:space="preserve">il Corp. v. Pa. PUC, </w:t>
      </w:r>
      <w:r w:rsidRPr="00E22869">
        <w:rPr>
          <w:szCs w:val="26"/>
        </w:rPr>
        <w:t>625 A.2d 741 (Pa. Cmwlth. 1993);</w:t>
      </w:r>
      <w:r w:rsidRPr="00E22869">
        <w:rPr>
          <w:color w:val="000000"/>
          <w:szCs w:val="26"/>
        </w:rPr>
        <w:t xml:space="preserve"> </w:t>
      </w:r>
      <w:r w:rsidRPr="00E22869">
        <w:rPr>
          <w:i/>
          <w:color w:val="000000"/>
          <w:szCs w:val="26"/>
        </w:rPr>
        <w:t xml:space="preserve">also </w:t>
      </w:r>
      <w:r w:rsidRPr="00E22869">
        <w:rPr>
          <w:rStyle w:val="Emphasis"/>
          <w:color w:val="000000"/>
          <w:szCs w:val="26"/>
        </w:rPr>
        <w:t>see, generally, University of Pennsylvania v. Pa. PUC</w:t>
      </w:r>
      <w:r w:rsidRPr="00E22869">
        <w:rPr>
          <w:szCs w:val="26"/>
        </w:rPr>
        <w:t xml:space="preserve">, 485 A.2d 1217 (Pa. Cmwlth. 1984). </w:t>
      </w:r>
    </w:p>
    <w:p w:rsidR="008D38D4" w:rsidRPr="00E22869" w:rsidRDefault="008D38D4" w:rsidP="00E22869">
      <w:pPr>
        <w:ind w:firstLine="0"/>
        <w:rPr>
          <w:szCs w:val="26"/>
        </w:rPr>
      </w:pPr>
    </w:p>
    <w:p w:rsidR="000D7D6C" w:rsidRPr="00E22869" w:rsidRDefault="000D7D6C" w:rsidP="00E22869">
      <w:pPr>
        <w:keepNext/>
        <w:ind w:firstLine="0"/>
        <w:rPr>
          <w:b/>
          <w:szCs w:val="26"/>
        </w:rPr>
      </w:pPr>
      <w:r w:rsidRPr="00E22869">
        <w:rPr>
          <w:b/>
          <w:szCs w:val="26"/>
        </w:rPr>
        <w:t xml:space="preserve">ALJ’s </w:t>
      </w:r>
      <w:r w:rsidR="00F52732" w:rsidRPr="00E22869">
        <w:rPr>
          <w:b/>
          <w:szCs w:val="26"/>
        </w:rPr>
        <w:t>Initial Decision</w:t>
      </w:r>
      <w:r w:rsidRPr="00E22869">
        <w:rPr>
          <w:b/>
          <w:szCs w:val="26"/>
        </w:rPr>
        <w:t xml:space="preserve"> </w:t>
      </w:r>
    </w:p>
    <w:p w:rsidR="00244754" w:rsidRPr="00E22869" w:rsidRDefault="00244754" w:rsidP="00E22869">
      <w:pPr>
        <w:keepNext/>
        <w:rPr>
          <w:rFonts w:ascii="Times New (W1)" w:hAnsi="Times New (W1)"/>
          <w:szCs w:val="26"/>
        </w:rPr>
      </w:pPr>
    </w:p>
    <w:p w:rsidR="004A3D5D" w:rsidRPr="00E22869" w:rsidRDefault="00997F32" w:rsidP="00E22869">
      <w:pPr>
        <w:rPr>
          <w:szCs w:val="26"/>
        </w:rPr>
      </w:pPr>
      <w:r w:rsidRPr="00E22869">
        <w:rPr>
          <w:szCs w:val="26"/>
        </w:rPr>
        <w:t xml:space="preserve">ALJ Jones </w:t>
      </w:r>
      <w:r w:rsidR="004A3D5D" w:rsidRPr="00E22869">
        <w:rPr>
          <w:szCs w:val="26"/>
        </w:rPr>
        <w:t xml:space="preserve">dismissed the Complainant for failure of Mr. Gadsden to carry his burden of proving that there are incorrect charges on his bill.  The ALJ also found that </w:t>
      </w:r>
      <w:r w:rsidR="004A3D5D" w:rsidRPr="00E22869">
        <w:rPr>
          <w:szCs w:val="26"/>
        </w:rPr>
        <w:lastRenderedPageBreak/>
        <w:t>the Complainant failed to sustain his bur</w:t>
      </w:r>
      <w:r w:rsidR="00A4530B" w:rsidRPr="00E22869">
        <w:rPr>
          <w:szCs w:val="26"/>
        </w:rPr>
        <w:t>den</w:t>
      </w:r>
      <w:r w:rsidR="004A3D5D" w:rsidRPr="00E22869">
        <w:rPr>
          <w:szCs w:val="26"/>
        </w:rPr>
        <w:t xml:space="preserve"> regarding his request for a payment agreement.  I.D. at 20-21.</w:t>
      </w:r>
    </w:p>
    <w:p w:rsidR="004A3D5D" w:rsidRPr="00E22869" w:rsidRDefault="004A3D5D" w:rsidP="00E22869">
      <w:pPr>
        <w:rPr>
          <w:szCs w:val="26"/>
        </w:rPr>
      </w:pPr>
    </w:p>
    <w:p w:rsidR="00997F32" w:rsidRPr="00E22869" w:rsidRDefault="004A3D5D" w:rsidP="00E22869">
      <w:pPr>
        <w:rPr>
          <w:szCs w:val="26"/>
        </w:rPr>
      </w:pPr>
      <w:r w:rsidRPr="00E22869">
        <w:rPr>
          <w:szCs w:val="26"/>
        </w:rPr>
        <w:t>I</w:t>
      </w:r>
      <w:r w:rsidR="00330918" w:rsidRPr="00E22869">
        <w:rPr>
          <w:szCs w:val="26"/>
        </w:rPr>
        <w:t>n</w:t>
      </w:r>
      <w:r w:rsidRPr="00E22869">
        <w:rPr>
          <w:szCs w:val="26"/>
        </w:rPr>
        <w:t xml:space="preserve"> her Initial Decision, the ALJ </w:t>
      </w:r>
      <w:r w:rsidR="00997F32" w:rsidRPr="00E22869">
        <w:rPr>
          <w:szCs w:val="26"/>
        </w:rPr>
        <w:t>first addressed the Complainant’</w:t>
      </w:r>
      <w:r w:rsidR="00635917" w:rsidRPr="00E22869">
        <w:rPr>
          <w:szCs w:val="26"/>
        </w:rPr>
        <w:t>s</w:t>
      </w:r>
      <w:r w:rsidR="00997F32" w:rsidRPr="00E22869">
        <w:rPr>
          <w:szCs w:val="26"/>
        </w:rPr>
        <w:t xml:space="preserve"> contention that </w:t>
      </w:r>
      <w:r w:rsidR="00C23791" w:rsidRPr="00E22869">
        <w:rPr>
          <w:szCs w:val="26"/>
        </w:rPr>
        <w:t>his</w:t>
      </w:r>
      <w:r w:rsidR="00AF6ECB" w:rsidRPr="00E22869">
        <w:rPr>
          <w:szCs w:val="26"/>
        </w:rPr>
        <w:t xml:space="preserve"> </w:t>
      </w:r>
      <w:r w:rsidR="00DA628C" w:rsidRPr="00E22869">
        <w:rPr>
          <w:szCs w:val="26"/>
        </w:rPr>
        <w:t>G</w:t>
      </w:r>
      <w:r w:rsidR="00AF6ECB" w:rsidRPr="00E22869">
        <w:rPr>
          <w:szCs w:val="26"/>
        </w:rPr>
        <w:t xml:space="preserve">as and electric bills </w:t>
      </w:r>
      <w:r w:rsidR="00C23791" w:rsidRPr="00E22869">
        <w:rPr>
          <w:szCs w:val="26"/>
        </w:rPr>
        <w:t xml:space="preserve">were high during the period from November 2012 through March 2013. </w:t>
      </w:r>
      <w:r w:rsidR="00997F32" w:rsidRPr="00E22869">
        <w:rPr>
          <w:szCs w:val="26"/>
        </w:rPr>
        <w:t xml:space="preserve"> </w:t>
      </w:r>
      <w:r w:rsidR="00EB4427" w:rsidRPr="00E22869">
        <w:rPr>
          <w:szCs w:val="26"/>
        </w:rPr>
        <w:t>The ALJ ex</w:t>
      </w:r>
      <w:r w:rsidR="00253C9E" w:rsidRPr="00E22869">
        <w:rPr>
          <w:szCs w:val="26"/>
        </w:rPr>
        <w:t xml:space="preserve">amined </w:t>
      </w:r>
      <w:r w:rsidR="00330918" w:rsidRPr="00E22869">
        <w:rPr>
          <w:szCs w:val="26"/>
        </w:rPr>
        <w:t xml:space="preserve">evidence in the case in accordance with the standards of </w:t>
      </w:r>
      <w:r w:rsidR="00330918" w:rsidRPr="00E22869">
        <w:rPr>
          <w:i/>
          <w:szCs w:val="26"/>
        </w:rPr>
        <w:t>Waldron</w:t>
      </w:r>
      <w:r w:rsidR="00330918" w:rsidRPr="00E22869">
        <w:rPr>
          <w:szCs w:val="26"/>
        </w:rPr>
        <w:t xml:space="preserve"> </w:t>
      </w:r>
      <w:r w:rsidR="00C23791" w:rsidRPr="00E22869">
        <w:rPr>
          <w:szCs w:val="26"/>
        </w:rPr>
        <w:t>where</w:t>
      </w:r>
      <w:r w:rsidR="002E6301" w:rsidRPr="00E22869">
        <w:rPr>
          <w:szCs w:val="26"/>
        </w:rPr>
        <w:t xml:space="preserve"> </w:t>
      </w:r>
      <w:r w:rsidR="00C23791" w:rsidRPr="00E22869">
        <w:rPr>
          <w:szCs w:val="26"/>
        </w:rPr>
        <w:t xml:space="preserve">the Complainant may establish a </w:t>
      </w:r>
      <w:r w:rsidR="00C23791" w:rsidRPr="00E22869">
        <w:rPr>
          <w:i/>
          <w:szCs w:val="26"/>
        </w:rPr>
        <w:t>prima facie</w:t>
      </w:r>
      <w:r w:rsidR="00C23791" w:rsidRPr="00E22869">
        <w:rPr>
          <w:szCs w:val="26"/>
        </w:rPr>
        <w:t xml:space="preserve"> case by showing that</w:t>
      </w:r>
      <w:r w:rsidR="00D17B56" w:rsidRPr="00E22869">
        <w:rPr>
          <w:szCs w:val="26"/>
        </w:rPr>
        <w:t>:</w:t>
      </w:r>
      <w:r w:rsidR="00B23C6D" w:rsidRPr="00E22869">
        <w:rPr>
          <w:szCs w:val="26"/>
        </w:rPr>
        <w:t xml:space="preserve"> </w:t>
      </w:r>
      <w:r w:rsidR="00997F32" w:rsidRPr="00E22869">
        <w:rPr>
          <w:szCs w:val="26"/>
        </w:rPr>
        <w:t>(1) the number of occupants of the household has not changed;</w:t>
      </w:r>
      <w:r w:rsidR="00B23C6D" w:rsidRPr="00E22869">
        <w:rPr>
          <w:szCs w:val="26"/>
        </w:rPr>
        <w:t xml:space="preserve"> </w:t>
      </w:r>
      <w:r w:rsidR="00997F32" w:rsidRPr="00E22869">
        <w:rPr>
          <w:szCs w:val="26"/>
        </w:rPr>
        <w:t>(2) the potential for energy utilization is low; and</w:t>
      </w:r>
      <w:r w:rsidR="00B23C6D" w:rsidRPr="00E22869">
        <w:rPr>
          <w:szCs w:val="26"/>
        </w:rPr>
        <w:t xml:space="preserve"> </w:t>
      </w:r>
      <w:r w:rsidR="00997F32" w:rsidRPr="00E22869">
        <w:rPr>
          <w:szCs w:val="26"/>
        </w:rPr>
        <w:t>(3) the prior billing history shows no previous abnormalities.</w:t>
      </w:r>
    </w:p>
    <w:p w:rsidR="00997F32" w:rsidRPr="00E22869" w:rsidRDefault="00997F32" w:rsidP="00E22869">
      <w:pPr>
        <w:rPr>
          <w:szCs w:val="26"/>
        </w:rPr>
      </w:pPr>
    </w:p>
    <w:p w:rsidR="00C41BC8" w:rsidRPr="00E22869" w:rsidRDefault="00D17B56" w:rsidP="00E22869">
      <w:pPr>
        <w:rPr>
          <w:szCs w:val="26"/>
        </w:rPr>
      </w:pPr>
      <w:r w:rsidRPr="00E22869">
        <w:rPr>
          <w:szCs w:val="26"/>
        </w:rPr>
        <w:t>In regard to the</w:t>
      </w:r>
      <w:r w:rsidR="00253C9E" w:rsidRPr="00E22869">
        <w:rPr>
          <w:szCs w:val="26"/>
        </w:rPr>
        <w:t xml:space="preserve"> number of </w:t>
      </w:r>
      <w:r w:rsidR="00997F32" w:rsidRPr="00E22869">
        <w:rPr>
          <w:szCs w:val="26"/>
        </w:rPr>
        <w:t>occupants</w:t>
      </w:r>
      <w:r w:rsidR="007C49B3" w:rsidRPr="00E22869">
        <w:rPr>
          <w:szCs w:val="26"/>
        </w:rPr>
        <w:t xml:space="preserve"> who</w:t>
      </w:r>
      <w:r w:rsidR="00997F32" w:rsidRPr="00E22869">
        <w:rPr>
          <w:szCs w:val="26"/>
        </w:rPr>
        <w:t xml:space="preserve"> </w:t>
      </w:r>
      <w:r w:rsidR="00253C9E" w:rsidRPr="00E22869">
        <w:rPr>
          <w:szCs w:val="26"/>
        </w:rPr>
        <w:t xml:space="preserve">lived </w:t>
      </w:r>
      <w:r w:rsidR="0016302B" w:rsidRPr="00E22869">
        <w:rPr>
          <w:szCs w:val="26"/>
        </w:rPr>
        <w:t xml:space="preserve">at </w:t>
      </w:r>
      <w:r w:rsidR="00997F32" w:rsidRPr="00E22869">
        <w:rPr>
          <w:szCs w:val="26"/>
        </w:rPr>
        <w:t>the service address</w:t>
      </w:r>
      <w:r w:rsidR="0016302B" w:rsidRPr="00E22869">
        <w:rPr>
          <w:szCs w:val="26"/>
        </w:rPr>
        <w:t xml:space="preserve"> over the disputed period</w:t>
      </w:r>
      <w:r w:rsidRPr="00E22869">
        <w:rPr>
          <w:szCs w:val="26"/>
        </w:rPr>
        <w:t>,</w:t>
      </w:r>
      <w:r w:rsidR="00253C9E" w:rsidRPr="00E22869">
        <w:rPr>
          <w:szCs w:val="26"/>
        </w:rPr>
        <w:t xml:space="preserve"> </w:t>
      </w:r>
      <w:r w:rsidRPr="00E22869">
        <w:rPr>
          <w:szCs w:val="26"/>
        </w:rPr>
        <w:t>th</w:t>
      </w:r>
      <w:r w:rsidR="007179D6" w:rsidRPr="00E22869">
        <w:rPr>
          <w:szCs w:val="26"/>
        </w:rPr>
        <w:t xml:space="preserve">e ALJ </w:t>
      </w:r>
      <w:r w:rsidRPr="00E22869">
        <w:rPr>
          <w:szCs w:val="26"/>
        </w:rPr>
        <w:t xml:space="preserve">found </w:t>
      </w:r>
      <w:r w:rsidR="007179D6" w:rsidRPr="00E22869">
        <w:rPr>
          <w:szCs w:val="26"/>
        </w:rPr>
        <w:t xml:space="preserve">that </w:t>
      </w:r>
      <w:r w:rsidR="00253C9E" w:rsidRPr="00E22869">
        <w:rPr>
          <w:szCs w:val="26"/>
        </w:rPr>
        <w:t xml:space="preserve">the </w:t>
      </w:r>
      <w:r w:rsidR="007179D6" w:rsidRPr="00E22869">
        <w:rPr>
          <w:szCs w:val="26"/>
        </w:rPr>
        <w:t xml:space="preserve">occupants at the service address </w:t>
      </w:r>
      <w:r w:rsidR="00DC38A6" w:rsidRPr="00E22869">
        <w:rPr>
          <w:szCs w:val="26"/>
        </w:rPr>
        <w:t xml:space="preserve">included </w:t>
      </w:r>
      <w:r w:rsidR="007179D6" w:rsidRPr="00E22869">
        <w:rPr>
          <w:szCs w:val="26"/>
        </w:rPr>
        <w:t xml:space="preserve">the </w:t>
      </w:r>
      <w:r w:rsidR="00997F32" w:rsidRPr="00E22869">
        <w:rPr>
          <w:szCs w:val="26"/>
        </w:rPr>
        <w:t xml:space="preserve">Complainant, his girlfriend and her daughter, and </w:t>
      </w:r>
      <w:r w:rsidR="00DA66EE" w:rsidRPr="00E22869">
        <w:rPr>
          <w:szCs w:val="26"/>
        </w:rPr>
        <w:t>Complainant’s</w:t>
      </w:r>
      <w:r w:rsidR="00997F32" w:rsidRPr="00E22869">
        <w:rPr>
          <w:szCs w:val="26"/>
        </w:rPr>
        <w:t xml:space="preserve"> son</w:t>
      </w:r>
      <w:r w:rsidR="007C49B3" w:rsidRPr="00E22869">
        <w:rPr>
          <w:szCs w:val="26"/>
        </w:rPr>
        <w:t>,</w:t>
      </w:r>
      <w:r w:rsidR="00997F32" w:rsidRPr="00E22869">
        <w:rPr>
          <w:szCs w:val="26"/>
        </w:rPr>
        <w:t xml:space="preserve"> </w:t>
      </w:r>
      <w:r w:rsidR="00253C9E" w:rsidRPr="00E22869">
        <w:rPr>
          <w:szCs w:val="26"/>
        </w:rPr>
        <w:t>on alternate weeks</w:t>
      </w:r>
      <w:r w:rsidR="00997F32" w:rsidRPr="00E22869">
        <w:rPr>
          <w:szCs w:val="26"/>
        </w:rPr>
        <w:t xml:space="preserve">.  </w:t>
      </w:r>
      <w:r w:rsidR="0016302B" w:rsidRPr="00E22869">
        <w:rPr>
          <w:szCs w:val="26"/>
        </w:rPr>
        <w:t>The ALJ found no evidence of a change in the occupants over the dispute</w:t>
      </w:r>
      <w:r w:rsidR="00827DC9" w:rsidRPr="00E22869">
        <w:rPr>
          <w:szCs w:val="26"/>
        </w:rPr>
        <w:t>d</w:t>
      </w:r>
      <w:r w:rsidR="0016302B" w:rsidRPr="00E22869">
        <w:rPr>
          <w:szCs w:val="26"/>
        </w:rPr>
        <w:t xml:space="preserve"> period.  </w:t>
      </w:r>
      <w:r w:rsidRPr="00E22869">
        <w:rPr>
          <w:szCs w:val="26"/>
        </w:rPr>
        <w:t>I.D. at</w:t>
      </w:r>
      <w:r w:rsidR="005D7A08" w:rsidRPr="00E22869">
        <w:rPr>
          <w:szCs w:val="26"/>
        </w:rPr>
        <w:t> </w:t>
      </w:r>
      <w:r w:rsidRPr="00E22869">
        <w:rPr>
          <w:szCs w:val="26"/>
        </w:rPr>
        <w:t>15.</w:t>
      </w:r>
    </w:p>
    <w:p w:rsidR="00D17B56" w:rsidRPr="00E22869" w:rsidRDefault="00D17B56" w:rsidP="00E22869">
      <w:pPr>
        <w:rPr>
          <w:szCs w:val="26"/>
        </w:rPr>
      </w:pPr>
    </w:p>
    <w:p w:rsidR="00D06874" w:rsidRPr="00E22869" w:rsidRDefault="00FE719D" w:rsidP="00E22869">
      <w:pPr>
        <w:ind w:firstLine="720"/>
        <w:rPr>
          <w:szCs w:val="26"/>
        </w:rPr>
      </w:pPr>
      <w:r w:rsidRPr="00E22869">
        <w:rPr>
          <w:szCs w:val="26"/>
        </w:rPr>
        <w:tab/>
      </w:r>
      <w:r w:rsidR="00997F32" w:rsidRPr="00E22869">
        <w:rPr>
          <w:szCs w:val="26"/>
        </w:rPr>
        <w:t>The ALJ examined the data provided by PECO regarding the Complainant</w:t>
      </w:r>
      <w:r w:rsidR="00635917" w:rsidRPr="00E22869">
        <w:rPr>
          <w:szCs w:val="26"/>
        </w:rPr>
        <w:t>’</w:t>
      </w:r>
      <w:r w:rsidR="00997F32" w:rsidRPr="00E22869">
        <w:rPr>
          <w:szCs w:val="26"/>
        </w:rPr>
        <w:t xml:space="preserve">s </w:t>
      </w:r>
      <w:r w:rsidR="00D17B56" w:rsidRPr="00E22869">
        <w:rPr>
          <w:szCs w:val="26"/>
        </w:rPr>
        <w:t>historical energy usage at the s</w:t>
      </w:r>
      <w:r w:rsidR="00997F32" w:rsidRPr="00E22869">
        <w:rPr>
          <w:szCs w:val="26"/>
        </w:rPr>
        <w:t xml:space="preserve">ervice </w:t>
      </w:r>
      <w:r w:rsidR="00D17B56" w:rsidRPr="00E22869">
        <w:rPr>
          <w:szCs w:val="26"/>
        </w:rPr>
        <w:t>address</w:t>
      </w:r>
      <w:r w:rsidR="006202F7" w:rsidRPr="00E22869">
        <w:rPr>
          <w:szCs w:val="26"/>
        </w:rPr>
        <w:t>.</w:t>
      </w:r>
      <w:r w:rsidR="00997F32" w:rsidRPr="00E22869">
        <w:rPr>
          <w:szCs w:val="26"/>
        </w:rPr>
        <w:t xml:space="preserve"> </w:t>
      </w:r>
      <w:r w:rsidR="006202F7" w:rsidRPr="00E22869">
        <w:rPr>
          <w:szCs w:val="26"/>
        </w:rPr>
        <w:t xml:space="preserve"> </w:t>
      </w:r>
      <w:r w:rsidR="007C49B3" w:rsidRPr="00E22869">
        <w:rPr>
          <w:szCs w:val="26"/>
        </w:rPr>
        <w:t>T</w:t>
      </w:r>
      <w:r w:rsidR="00D06874" w:rsidRPr="00E22869">
        <w:rPr>
          <w:szCs w:val="26"/>
        </w:rPr>
        <w:t xml:space="preserve">he ALJ </w:t>
      </w:r>
      <w:r w:rsidR="00C2634B" w:rsidRPr="00E22869">
        <w:rPr>
          <w:szCs w:val="26"/>
        </w:rPr>
        <w:t xml:space="preserve">found that </w:t>
      </w:r>
      <w:r w:rsidR="0016302B" w:rsidRPr="00E22869">
        <w:rPr>
          <w:szCs w:val="26"/>
        </w:rPr>
        <w:t>a</w:t>
      </w:r>
      <w:r w:rsidR="006539CB" w:rsidRPr="00E22869">
        <w:rPr>
          <w:szCs w:val="26"/>
        </w:rPr>
        <w:t xml:space="preserve"> </w:t>
      </w:r>
      <w:r w:rsidR="00D06874" w:rsidRPr="00E22869">
        <w:rPr>
          <w:szCs w:val="26"/>
        </w:rPr>
        <w:t xml:space="preserve">gas house heater </w:t>
      </w:r>
      <w:r w:rsidR="00C2634B" w:rsidRPr="00E22869">
        <w:rPr>
          <w:szCs w:val="26"/>
        </w:rPr>
        <w:t xml:space="preserve">was the only gas appliance at the service address.  </w:t>
      </w:r>
      <w:r w:rsidR="00D06874" w:rsidRPr="00E22869">
        <w:rPr>
          <w:szCs w:val="26"/>
        </w:rPr>
        <w:t>The ALJ</w:t>
      </w:r>
      <w:r w:rsidR="00C2634B" w:rsidRPr="00E22869">
        <w:rPr>
          <w:szCs w:val="26"/>
        </w:rPr>
        <w:t xml:space="preserve"> noted that the gas heater had a capacity of 125,000 BTU with </w:t>
      </w:r>
      <w:r w:rsidR="006539CB" w:rsidRPr="00E22869">
        <w:rPr>
          <w:szCs w:val="26"/>
        </w:rPr>
        <w:t>a</w:t>
      </w:r>
      <w:r w:rsidR="00D06874" w:rsidRPr="00E22869">
        <w:rPr>
          <w:szCs w:val="26"/>
        </w:rPr>
        <w:t xml:space="preserve"> gas utilization </w:t>
      </w:r>
      <w:r w:rsidR="006539CB" w:rsidRPr="00E22869">
        <w:rPr>
          <w:szCs w:val="26"/>
        </w:rPr>
        <w:t>capacity of a</w:t>
      </w:r>
      <w:r w:rsidR="00D06874" w:rsidRPr="00E22869">
        <w:rPr>
          <w:szCs w:val="26"/>
        </w:rPr>
        <w:t xml:space="preserve">bout 871 cubic feet per month.  Tr. 93.  </w:t>
      </w:r>
      <w:r w:rsidR="0016302B" w:rsidRPr="00E22869">
        <w:rPr>
          <w:szCs w:val="26"/>
        </w:rPr>
        <w:t>The ALJ found that the gas usage</w:t>
      </w:r>
      <w:r w:rsidR="00C2634B" w:rsidRPr="00E22869">
        <w:rPr>
          <w:szCs w:val="26"/>
        </w:rPr>
        <w:t xml:space="preserve"> during the heating season at the Complainant’s house </w:t>
      </w:r>
      <w:r w:rsidR="0016302B" w:rsidRPr="00E22869">
        <w:rPr>
          <w:szCs w:val="26"/>
        </w:rPr>
        <w:t>varied between 294 </w:t>
      </w:r>
      <w:r w:rsidR="00F0174B" w:rsidRPr="00E22869">
        <w:rPr>
          <w:szCs w:val="26"/>
        </w:rPr>
        <w:t>CCF</w:t>
      </w:r>
      <w:r w:rsidR="0016302B" w:rsidRPr="00E22869">
        <w:rPr>
          <w:szCs w:val="26"/>
        </w:rPr>
        <w:t xml:space="preserve"> and 686 </w:t>
      </w:r>
      <w:r w:rsidR="00F0174B" w:rsidRPr="00E22869">
        <w:rPr>
          <w:szCs w:val="26"/>
        </w:rPr>
        <w:t>CCF</w:t>
      </w:r>
      <w:r w:rsidR="00C2634B" w:rsidRPr="00E22869">
        <w:rPr>
          <w:szCs w:val="26"/>
        </w:rPr>
        <w:t>, which was lower than the utilization capacity of</w:t>
      </w:r>
      <w:r w:rsidR="0016302B" w:rsidRPr="00E22869">
        <w:rPr>
          <w:szCs w:val="26"/>
        </w:rPr>
        <w:t xml:space="preserve"> 871 cubic feet per month</w:t>
      </w:r>
      <w:r w:rsidR="00C2634B" w:rsidRPr="00E22869">
        <w:rPr>
          <w:szCs w:val="26"/>
        </w:rPr>
        <w:t>.</w:t>
      </w:r>
      <w:r w:rsidR="0016302B" w:rsidRPr="00E22869">
        <w:rPr>
          <w:szCs w:val="26"/>
        </w:rPr>
        <w:t xml:space="preserve">  </w:t>
      </w:r>
      <w:r w:rsidR="00D17B56" w:rsidRPr="00E22869">
        <w:rPr>
          <w:szCs w:val="26"/>
        </w:rPr>
        <w:t>I.D. at 15.</w:t>
      </w:r>
    </w:p>
    <w:p w:rsidR="00D06874" w:rsidRPr="00E22869" w:rsidRDefault="00D06874" w:rsidP="00E22869">
      <w:pPr>
        <w:rPr>
          <w:szCs w:val="26"/>
        </w:rPr>
      </w:pPr>
    </w:p>
    <w:p w:rsidR="00C2634B" w:rsidRPr="00E22869" w:rsidRDefault="00DA66EE" w:rsidP="00E22869">
      <w:pPr>
        <w:rPr>
          <w:szCs w:val="26"/>
        </w:rPr>
      </w:pPr>
      <w:r w:rsidRPr="00E22869">
        <w:rPr>
          <w:szCs w:val="26"/>
        </w:rPr>
        <w:t>T</w:t>
      </w:r>
      <w:r w:rsidR="00C2634B" w:rsidRPr="00E22869">
        <w:rPr>
          <w:szCs w:val="26"/>
        </w:rPr>
        <w:t xml:space="preserve">he ALJ </w:t>
      </w:r>
      <w:r w:rsidRPr="00E22869">
        <w:rPr>
          <w:szCs w:val="26"/>
        </w:rPr>
        <w:t>also f</w:t>
      </w:r>
      <w:r w:rsidR="00C2634B" w:rsidRPr="00E22869">
        <w:rPr>
          <w:szCs w:val="26"/>
        </w:rPr>
        <w:t xml:space="preserve">ound that </w:t>
      </w:r>
      <w:r w:rsidRPr="00E22869">
        <w:rPr>
          <w:szCs w:val="26"/>
        </w:rPr>
        <w:t xml:space="preserve">electric </w:t>
      </w:r>
      <w:r w:rsidR="007A4062" w:rsidRPr="00E22869">
        <w:rPr>
          <w:szCs w:val="26"/>
        </w:rPr>
        <w:t xml:space="preserve">usage at the </w:t>
      </w:r>
      <w:r w:rsidR="00C2634B" w:rsidRPr="00E22869">
        <w:rPr>
          <w:szCs w:val="26"/>
        </w:rPr>
        <w:t>Complainant’s house</w:t>
      </w:r>
      <w:r w:rsidR="007A4062" w:rsidRPr="00E22869">
        <w:rPr>
          <w:szCs w:val="26"/>
        </w:rPr>
        <w:t>hold</w:t>
      </w:r>
      <w:r w:rsidR="00C2634B" w:rsidRPr="00E22869">
        <w:rPr>
          <w:szCs w:val="26"/>
        </w:rPr>
        <w:t xml:space="preserve"> </w:t>
      </w:r>
      <w:r w:rsidR="007A4062" w:rsidRPr="00E22869">
        <w:rPr>
          <w:szCs w:val="26"/>
        </w:rPr>
        <w:t>varied between 539 kWh and 625 kWh per month, and</w:t>
      </w:r>
      <w:r w:rsidR="00C2634B" w:rsidRPr="00E22869">
        <w:rPr>
          <w:szCs w:val="26"/>
        </w:rPr>
        <w:t xml:space="preserve"> </w:t>
      </w:r>
      <w:r w:rsidR="00D17B56" w:rsidRPr="00E22869">
        <w:rPr>
          <w:szCs w:val="26"/>
        </w:rPr>
        <w:t xml:space="preserve">never reached </w:t>
      </w:r>
      <w:r w:rsidR="00C2634B" w:rsidRPr="00E22869">
        <w:rPr>
          <w:szCs w:val="26"/>
        </w:rPr>
        <w:t xml:space="preserve">the </w:t>
      </w:r>
      <w:r w:rsidR="007A4062" w:rsidRPr="00E22869">
        <w:rPr>
          <w:szCs w:val="26"/>
        </w:rPr>
        <w:t xml:space="preserve">maximum </w:t>
      </w:r>
      <w:r w:rsidR="00C2634B" w:rsidRPr="00E22869">
        <w:rPr>
          <w:szCs w:val="26"/>
        </w:rPr>
        <w:t>potential for electric usage of 1</w:t>
      </w:r>
      <w:r w:rsidR="00E84EC9" w:rsidRPr="00E22869">
        <w:rPr>
          <w:szCs w:val="26"/>
        </w:rPr>
        <w:t>,</w:t>
      </w:r>
      <w:r w:rsidR="00C2634B" w:rsidRPr="00E22869">
        <w:rPr>
          <w:szCs w:val="26"/>
        </w:rPr>
        <w:t>140 kWh</w:t>
      </w:r>
      <w:r w:rsidR="007A4062" w:rsidRPr="00E22869">
        <w:rPr>
          <w:szCs w:val="26"/>
        </w:rPr>
        <w:t>.</w:t>
      </w:r>
      <w:r w:rsidR="00F16C21" w:rsidRPr="00E22869">
        <w:rPr>
          <w:szCs w:val="26"/>
        </w:rPr>
        <w:t xml:space="preserve"> </w:t>
      </w:r>
      <w:r w:rsidR="00D17B56" w:rsidRPr="00E22869">
        <w:rPr>
          <w:szCs w:val="26"/>
        </w:rPr>
        <w:t xml:space="preserve"> </w:t>
      </w:r>
      <w:r w:rsidRPr="00E22869">
        <w:rPr>
          <w:szCs w:val="26"/>
        </w:rPr>
        <w:t>I.D. at 16.</w:t>
      </w:r>
    </w:p>
    <w:p w:rsidR="00C2634B" w:rsidRPr="00E22869" w:rsidRDefault="00C2634B" w:rsidP="00E22869">
      <w:pPr>
        <w:rPr>
          <w:szCs w:val="26"/>
        </w:rPr>
      </w:pPr>
    </w:p>
    <w:p w:rsidR="00F16C21" w:rsidRPr="00E22869" w:rsidRDefault="007A4062" w:rsidP="00E22869">
      <w:pPr>
        <w:rPr>
          <w:szCs w:val="26"/>
        </w:rPr>
      </w:pPr>
      <w:r w:rsidRPr="00E22869">
        <w:rPr>
          <w:szCs w:val="26"/>
        </w:rPr>
        <w:lastRenderedPageBreak/>
        <w:t xml:space="preserve">Regarding the Complainant’s assertion of </w:t>
      </w:r>
      <w:r w:rsidR="00DD7EE6" w:rsidRPr="00E22869">
        <w:rPr>
          <w:szCs w:val="26"/>
        </w:rPr>
        <w:t xml:space="preserve">a </w:t>
      </w:r>
      <w:r w:rsidRPr="00E22869">
        <w:rPr>
          <w:szCs w:val="26"/>
        </w:rPr>
        <w:t>foreign load, the ALJ</w:t>
      </w:r>
      <w:r w:rsidR="00C22FE7" w:rsidRPr="00E22869">
        <w:rPr>
          <w:szCs w:val="26"/>
        </w:rPr>
        <w:t xml:space="preserve"> noted that </w:t>
      </w:r>
      <w:r w:rsidR="00DA66EE" w:rsidRPr="00E22869">
        <w:rPr>
          <w:szCs w:val="26"/>
        </w:rPr>
        <w:t xml:space="preserve">on March 15, 2013, </w:t>
      </w:r>
      <w:r w:rsidRPr="00E22869">
        <w:rPr>
          <w:szCs w:val="26"/>
        </w:rPr>
        <w:t>PECO performed a passing</w:t>
      </w:r>
      <w:r w:rsidR="00F16C21" w:rsidRPr="00E22869">
        <w:rPr>
          <w:szCs w:val="26"/>
        </w:rPr>
        <w:t xml:space="preserve"> load test</w:t>
      </w:r>
      <w:r w:rsidR="00DD7EE6" w:rsidRPr="00E22869">
        <w:rPr>
          <w:szCs w:val="26"/>
        </w:rPr>
        <w:t xml:space="preserve"> </w:t>
      </w:r>
      <w:r w:rsidRPr="00E22869">
        <w:rPr>
          <w:szCs w:val="26"/>
        </w:rPr>
        <w:t>for gas at the service address</w:t>
      </w:r>
      <w:r w:rsidR="00DD7EE6" w:rsidRPr="00E22869">
        <w:rPr>
          <w:szCs w:val="26"/>
        </w:rPr>
        <w:t xml:space="preserve"> and found </w:t>
      </w:r>
      <w:r w:rsidR="00DA66EE" w:rsidRPr="00E22869">
        <w:rPr>
          <w:szCs w:val="26"/>
        </w:rPr>
        <w:t>the result to be</w:t>
      </w:r>
      <w:r w:rsidR="00DD7EE6" w:rsidRPr="00E22869">
        <w:rPr>
          <w:szCs w:val="26"/>
        </w:rPr>
        <w:t xml:space="preserve"> within the Commission’s guidelines.  The ALJ also noted that a passing load test conducted at</w:t>
      </w:r>
      <w:r w:rsidR="00C22FE7" w:rsidRPr="00E22869">
        <w:rPr>
          <w:szCs w:val="26"/>
        </w:rPr>
        <w:t xml:space="preserve"> </w:t>
      </w:r>
      <w:r w:rsidR="00976AA3" w:rsidRPr="00E22869">
        <w:rPr>
          <w:szCs w:val="26"/>
        </w:rPr>
        <w:t xml:space="preserve">a </w:t>
      </w:r>
      <w:r w:rsidR="00C22FE7" w:rsidRPr="00E22869">
        <w:rPr>
          <w:szCs w:val="26"/>
        </w:rPr>
        <w:t>pizza sh</w:t>
      </w:r>
      <w:r w:rsidR="00DD7EE6" w:rsidRPr="00E22869">
        <w:rPr>
          <w:szCs w:val="26"/>
        </w:rPr>
        <w:t>o</w:t>
      </w:r>
      <w:r w:rsidR="00C22FE7" w:rsidRPr="00E22869">
        <w:rPr>
          <w:szCs w:val="26"/>
        </w:rPr>
        <w:t xml:space="preserve">p located on the first floor above the </w:t>
      </w:r>
      <w:r w:rsidR="00337AD6" w:rsidRPr="00E22869">
        <w:rPr>
          <w:szCs w:val="26"/>
        </w:rPr>
        <w:t>Complainant’s</w:t>
      </w:r>
      <w:r w:rsidR="00C22FE7" w:rsidRPr="00E22869">
        <w:rPr>
          <w:szCs w:val="26"/>
        </w:rPr>
        <w:t xml:space="preserve"> home</w:t>
      </w:r>
      <w:r w:rsidR="00DD7EE6" w:rsidRPr="00E22869">
        <w:rPr>
          <w:szCs w:val="26"/>
        </w:rPr>
        <w:t xml:space="preserve"> was accurate and </w:t>
      </w:r>
      <w:r w:rsidR="00B0028A" w:rsidRPr="00E22869">
        <w:rPr>
          <w:szCs w:val="26"/>
        </w:rPr>
        <w:t xml:space="preserve">found </w:t>
      </w:r>
      <w:r w:rsidR="00DD7EE6" w:rsidRPr="00E22869">
        <w:rPr>
          <w:szCs w:val="26"/>
        </w:rPr>
        <w:t>no</w:t>
      </w:r>
      <w:r w:rsidR="00337AD6" w:rsidRPr="00E22869">
        <w:rPr>
          <w:szCs w:val="26"/>
        </w:rPr>
        <w:t xml:space="preserve"> foreign piping</w:t>
      </w:r>
      <w:r w:rsidRPr="00E22869">
        <w:rPr>
          <w:szCs w:val="26"/>
        </w:rPr>
        <w:t>.</w:t>
      </w:r>
      <w:r w:rsidR="00337AD6" w:rsidRPr="00E22869">
        <w:rPr>
          <w:szCs w:val="26"/>
        </w:rPr>
        <w:t xml:space="preserve">  The ALJ also noted that </w:t>
      </w:r>
      <w:r w:rsidR="00DA66EE" w:rsidRPr="00E22869">
        <w:rPr>
          <w:szCs w:val="26"/>
        </w:rPr>
        <w:t>a</w:t>
      </w:r>
      <w:r w:rsidR="00337AD6" w:rsidRPr="00E22869">
        <w:rPr>
          <w:szCs w:val="26"/>
        </w:rPr>
        <w:t xml:space="preserve"> test conducted by PECO’s technician on December 11, 2013, found that both off-peak electric meter and the regular electric meter were operating within the Commission’s guidelines.</w:t>
      </w:r>
      <w:r w:rsidR="00F16C21" w:rsidRPr="00E22869">
        <w:rPr>
          <w:szCs w:val="26"/>
        </w:rPr>
        <w:t xml:space="preserve">  </w:t>
      </w:r>
      <w:r w:rsidR="00337AD6" w:rsidRPr="00E22869">
        <w:rPr>
          <w:szCs w:val="26"/>
        </w:rPr>
        <w:t xml:space="preserve">I.D. at 16, </w:t>
      </w:r>
      <w:r w:rsidR="00F16C21" w:rsidRPr="00E22869">
        <w:rPr>
          <w:szCs w:val="26"/>
        </w:rPr>
        <w:t>PECO Exhibits 12, 13.</w:t>
      </w:r>
    </w:p>
    <w:p w:rsidR="00B0028A" w:rsidRPr="00E22869" w:rsidRDefault="00B0028A" w:rsidP="00E22869">
      <w:pPr>
        <w:rPr>
          <w:szCs w:val="26"/>
        </w:rPr>
      </w:pPr>
    </w:p>
    <w:p w:rsidR="00F16C21" w:rsidRPr="00E22869" w:rsidRDefault="00337AD6" w:rsidP="00E22869">
      <w:pPr>
        <w:rPr>
          <w:szCs w:val="26"/>
        </w:rPr>
      </w:pPr>
      <w:r w:rsidRPr="00E22869">
        <w:rPr>
          <w:szCs w:val="26"/>
        </w:rPr>
        <w:t xml:space="preserve">The ALJ noted that </w:t>
      </w:r>
      <w:r w:rsidR="00DD7EE6" w:rsidRPr="00E22869">
        <w:rPr>
          <w:szCs w:val="26"/>
        </w:rPr>
        <w:t xml:space="preserve">the Complainant </w:t>
      </w:r>
      <w:r w:rsidR="003B3B58" w:rsidRPr="00E22869">
        <w:rPr>
          <w:szCs w:val="26"/>
        </w:rPr>
        <w:t xml:space="preserve">only </w:t>
      </w:r>
      <w:r w:rsidR="00DD7EE6" w:rsidRPr="00E22869">
        <w:rPr>
          <w:szCs w:val="26"/>
        </w:rPr>
        <w:t xml:space="preserve">questioned higher gas usage </w:t>
      </w:r>
      <w:r w:rsidR="003440E4" w:rsidRPr="00E22869">
        <w:rPr>
          <w:szCs w:val="26"/>
        </w:rPr>
        <w:t>during</w:t>
      </w:r>
      <w:r w:rsidR="00DD7EE6" w:rsidRPr="00E22869">
        <w:rPr>
          <w:szCs w:val="26"/>
        </w:rPr>
        <w:t xml:space="preserve"> winter months</w:t>
      </w:r>
      <w:r w:rsidR="003B3B58" w:rsidRPr="00E22869">
        <w:rPr>
          <w:szCs w:val="26"/>
        </w:rPr>
        <w:t xml:space="preserve"> but</w:t>
      </w:r>
      <w:r w:rsidR="003440E4" w:rsidRPr="00E22869">
        <w:rPr>
          <w:szCs w:val="26"/>
        </w:rPr>
        <w:t xml:space="preserve"> </w:t>
      </w:r>
      <w:r w:rsidR="003B3B58" w:rsidRPr="00E22869">
        <w:rPr>
          <w:szCs w:val="26"/>
        </w:rPr>
        <w:t>the pizza shop operated all year round.  T</w:t>
      </w:r>
      <w:r w:rsidR="00DF064E" w:rsidRPr="00E22869">
        <w:rPr>
          <w:szCs w:val="26"/>
        </w:rPr>
        <w:t>h</w:t>
      </w:r>
      <w:r w:rsidR="003B3B58" w:rsidRPr="00E22869">
        <w:rPr>
          <w:szCs w:val="26"/>
        </w:rPr>
        <w:t>e</w:t>
      </w:r>
      <w:r w:rsidR="00DF064E" w:rsidRPr="00E22869">
        <w:rPr>
          <w:szCs w:val="26"/>
        </w:rPr>
        <w:t xml:space="preserve"> </w:t>
      </w:r>
      <w:r w:rsidR="003B3B58" w:rsidRPr="00E22869">
        <w:rPr>
          <w:szCs w:val="26"/>
        </w:rPr>
        <w:t xml:space="preserve">ALJ found that the Complainant’s </w:t>
      </w:r>
      <w:r w:rsidR="00DF064E" w:rsidRPr="00E22869">
        <w:rPr>
          <w:szCs w:val="26"/>
        </w:rPr>
        <w:t xml:space="preserve">gas bills in the summer months </w:t>
      </w:r>
      <w:r w:rsidR="00654052" w:rsidRPr="00E22869">
        <w:rPr>
          <w:szCs w:val="26"/>
        </w:rPr>
        <w:t>we</w:t>
      </w:r>
      <w:r w:rsidR="00DF064E" w:rsidRPr="00E22869">
        <w:rPr>
          <w:szCs w:val="26"/>
        </w:rPr>
        <w:t>re reduced to a total of 3 cubic feet (</w:t>
      </w:r>
      <w:r w:rsidR="00976AA3" w:rsidRPr="00E22869">
        <w:rPr>
          <w:szCs w:val="26"/>
        </w:rPr>
        <w:t>t</w:t>
      </w:r>
      <w:r w:rsidR="008666A2" w:rsidRPr="00E22869">
        <w:rPr>
          <w:szCs w:val="26"/>
        </w:rPr>
        <w:t xml:space="preserve">he usage data reviewed were during the period from </w:t>
      </w:r>
      <w:r w:rsidR="00DF064E" w:rsidRPr="00E22869">
        <w:rPr>
          <w:szCs w:val="26"/>
        </w:rPr>
        <w:t>June to September</w:t>
      </w:r>
      <w:r w:rsidR="00E84EC9" w:rsidRPr="00E22869">
        <w:rPr>
          <w:szCs w:val="26"/>
        </w:rPr>
        <w:t xml:space="preserve"> for the years 2012 and 2013,</w:t>
      </w:r>
      <w:r w:rsidR="00DF064E" w:rsidRPr="00E22869">
        <w:rPr>
          <w:szCs w:val="26"/>
        </w:rPr>
        <w:t xml:space="preserve">).  </w:t>
      </w:r>
      <w:r w:rsidR="003B3B58" w:rsidRPr="00E22869">
        <w:rPr>
          <w:szCs w:val="26"/>
        </w:rPr>
        <w:t xml:space="preserve">As </w:t>
      </w:r>
      <w:r w:rsidR="008666A2" w:rsidRPr="00E22869">
        <w:rPr>
          <w:szCs w:val="26"/>
        </w:rPr>
        <w:t>a result</w:t>
      </w:r>
      <w:r w:rsidR="003B3B58" w:rsidRPr="00E22869">
        <w:rPr>
          <w:szCs w:val="26"/>
        </w:rPr>
        <w:t>, t</w:t>
      </w:r>
      <w:r w:rsidR="00DF064E" w:rsidRPr="00E22869">
        <w:rPr>
          <w:szCs w:val="26"/>
        </w:rPr>
        <w:t>he ALJ opined that i</w:t>
      </w:r>
      <w:r w:rsidR="00F16C21" w:rsidRPr="00E22869">
        <w:rPr>
          <w:szCs w:val="26"/>
        </w:rPr>
        <w:t xml:space="preserve">f the pizza shop was </w:t>
      </w:r>
      <w:r w:rsidR="00B0028A" w:rsidRPr="00E22869">
        <w:rPr>
          <w:szCs w:val="26"/>
        </w:rPr>
        <w:t xml:space="preserve">the </w:t>
      </w:r>
      <w:r w:rsidR="00F16C21" w:rsidRPr="00E22869">
        <w:rPr>
          <w:szCs w:val="26"/>
        </w:rPr>
        <w:t>foreign load on the Complainant’s gas service</w:t>
      </w:r>
      <w:r w:rsidR="00B0028A" w:rsidRPr="00E22869">
        <w:rPr>
          <w:szCs w:val="26"/>
        </w:rPr>
        <w:t>,</w:t>
      </w:r>
      <w:r w:rsidR="00F16C21" w:rsidRPr="00E22869">
        <w:rPr>
          <w:szCs w:val="26"/>
        </w:rPr>
        <w:t xml:space="preserve"> then the gas usage would not be at zero or near zero from June to September</w:t>
      </w:r>
      <w:r w:rsidR="003440E4" w:rsidRPr="00E22869">
        <w:rPr>
          <w:szCs w:val="26"/>
        </w:rPr>
        <w:t xml:space="preserve"> in 2012 an</w:t>
      </w:r>
      <w:r w:rsidR="00DF064E" w:rsidRPr="00E22869">
        <w:rPr>
          <w:szCs w:val="26"/>
        </w:rPr>
        <w:t xml:space="preserve">d </w:t>
      </w:r>
      <w:r w:rsidR="003440E4" w:rsidRPr="00E22869">
        <w:rPr>
          <w:szCs w:val="26"/>
        </w:rPr>
        <w:t>2013</w:t>
      </w:r>
      <w:r w:rsidR="00DF064E" w:rsidRPr="00E22869">
        <w:rPr>
          <w:szCs w:val="26"/>
        </w:rPr>
        <w:t>.</w:t>
      </w:r>
      <w:r w:rsidR="000C7709" w:rsidRPr="00E22869">
        <w:rPr>
          <w:szCs w:val="26"/>
        </w:rPr>
        <w:t xml:space="preserve">  I.D. at</w:t>
      </w:r>
      <w:r w:rsidR="00E84EC9" w:rsidRPr="00E22869">
        <w:rPr>
          <w:szCs w:val="26"/>
        </w:rPr>
        <w:t> </w:t>
      </w:r>
      <w:r w:rsidR="000C7709" w:rsidRPr="00E22869">
        <w:rPr>
          <w:szCs w:val="26"/>
        </w:rPr>
        <w:t>16.</w:t>
      </w:r>
    </w:p>
    <w:p w:rsidR="003440E4" w:rsidRPr="00E22869" w:rsidRDefault="003440E4" w:rsidP="00E22869">
      <w:pPr>
        <w:rPr>
          <w:szCs w:val="26"/>
        </w:rPr>
      </w:pPr>
    </w:p>
    <w:p w:rsidR="000C7709" w:rsidRPr="00E22869" w:rsidRDefault="00CA637F" w:rsidP="00E22869">
      <w:pPr>
        <w:rPr>
          <w:szCs w:val="26"/>
        </w:rPr>
      </w:pPr>
      <w:r w:rsidRPr="00E22869">
        <w:rPr>
          <w:szCs w:val="26"/>
        </w:rPr>
        <w:t xml:space="preserve">The ALJ </w:t>
      </w:r>
      <w:r w:rsidR="00473B21" w:rsidRPr="00E22869">
        <w:rPr>
          <w:szCs w:val="26"/>
        </w:rPr>
        <w:t xml:space="preserve">found </w:t>
      </w:r>
      <w:r w:rsidR="00E84EC9" w:rsidRPr="00E22869">
        <w:rPr>
          <w:szCs w:val="26"/>
        </w:rPr>
        <w:t xml:space="preserve">that </w:t>
      </w:r>
      <w:r w:rsidRPr="00E22869">
        <w:rPr>
          <w:szCs w:val="26"/>
        </w:rPr>
        <w:t>the</w:t>
      </w:r>
      <w:r w:rsidR="003B3B58" w:rsidRPr="00E22869">
        <w:rPr>
          <w:szCs w:val="26"/>
        </w:rPr>
        <w:t xml:space="preserve"> </w:t>
      </w:r>
      <w:r w:rsidR="00473B21" w:rsidRPr="00E22869">
        <w:rPr>
          <w:szCs w:val="26"/>
        </w:rPr>
        <w:t xml:space="preserve">reason for the </w:t>
      </w:r>
      <w:r w:rsidR="003475A0" w:rsidRPr="00E22869">
        <w:rPr>
          <w:szCs w:val="26"/>
        </w:rPr>
        <w:t xml:space="preserve">abnormal </w:t>
      </w:r>
      <w:r w:rsidR="0036347A" w:rsidRPr="00E22869">
        <w:rPr>
          <w:szCs w:val="26"/>
        </w:rPr>
        <w:t xml:space="preserve">high </w:t>
      </w:r>
      <w:r w:rsidRPr="00E22869">
        <w:rPr>
          <w:szCs w:val="26"/>
        </w:rPr>
        <w:t xml:space="preserve">gas </w:t>
      </w:r>
      <w:r w:rsidR="0036347A" w:rsidRPr="00E22869">
        <w:rPr>
          <w:szCs w:val="26"/>
        </w:rPr>
        <w:t xml:space="preserve">usage </w:t>
      </w:r>
      <w:r w:rsidR="008666A2" w:rsidRPr="00E22869">
        <w:rPr>
          <w:szCs w:val="26"/>
        </w:rPr>
        <w:t xml:space="preserve">during </w:t>
      </w:r>
      <w:r w:rsidR="003B3B58" w:rsidRPr="00E22869">
        <w:rPr>
          <w:szCs w:val="26"/>
        </w:rPr>
        <w:t xml:space="preserve">heating season </w:t>
      </w:r>
      <w:r w:rsidR="008666A2" w:rsidRPr="00E22869">
        <w:rPr>
          <w:szCs w:val="26"/>
        </w:rPr>
        <w:t>of</w:t>
      </w:r>
      <w:r w:rsidR="003B3B58" w:rsidRPr="00E22869">
        <w:rPr>
          <w:szCs w:val="26"/>
        </w:rPr>
        <w:t xml:space="preserve"> 2012-13 </w:t>
      </w:r>
      <w:r w:rsidRPr="00E22869">
        <w:rPr>
          <w:szCs w:val="26"/>
        </w:rPr>
        <w:t xml:space="preserve">when </w:t>
      </w:r>
      <w:r w:rsidR="008666A2" w:rsidRPr="00E22869">
        <w:rPr>
          <w:szCs w:val="26"/>
        </w:rPr>
        <w:t xml:space="preserve">compared with </w:t>
      </w:r>
      <w:r w:rsidRPr="00E22869">
        <w:rPr>
          <w:szCs w:val="26"/>
        </w:rPr>
        <w:t xml:space="preserve">heating season of </w:t>
      </w:r>
      <w:r w:rsidR="003B3B58" w:rsidRPr="00E22869">
        <w:rPr>
          <w:szCs w:val="26"/>
        </w:rPr>
        <w:t>2013-14</w:t>
      </w:r>
      <w:r w:rsidR="003475A0" w:rsidRPr="00E22869">
        <w:rPr>
          <w:szCs w:val="26"/>
        </w:rPr>
        <w:t>,</w:t>
      </w:r>
      <w:r w:rsidR="003B3B58" w:rsidRPr="00E22869">
        <w:rPr>
          <w:szCs w:val="26"/>
        </w:rPr>
        <w:t xml:space="preserve"> </w:t>
      </w:r>
      <w:r w:rsidRPr="00E22869">
        <w:rPr>
          <w:szCs w:val="26"/>
        </w:rPr>
        <w:t xml:space="preserve">was due to </w:t>
      </w:r>
      <w:r w:rsidR="00473B21" w:rsidRPr="00E22869">
        <w:rPr>
          <w:szCs w:val="26"/>
        </w:rPr>
        <w:t>t</w:t>
      </w:r>
      <w:r w:rsidRPr="00E22869">
        <w:rPr>
          <w:szCs w:val="26"/>
        </w:rPr>
        <w:t>he</w:t>
      </w:r>
      <w:r w:rsidR="00C41BC8" w:rsidRPr="00E22869">
        <w:rPr>
          <w:szCs w:val="26"/>
        </w:rPr>
        <w:t xml:space="preserve"> Complainant supplement</w:t>
      </w:r>
      <w:r w:rsidR="00473B21" w:rsidRPr="00E22869">
        <w:rPr>
          <w:szCs w:val="26"/>
        </w:rPr>
        <w:t>ing</w:t>
      </w:r>
      <w:r w:rsidR="00C41BC8" w:rsidRPr="00E22869">
        <w:rPr>
          <w:szCs w:val="26"/>
        </w:rPr>
        <w:t xml:space="preserve"> gas heating with electric space heaters</w:t>
      </w:r>
      <w:r w:rsidR="003475A0" w:rsidRPr="00E22869">
        <w:rPr>
          <w:szCs w:val="26"/>
        </w:rPr>
        <w:t xml:space="preserve"> </w:t>
      </w:r>
      <w:r w:rsidR="008666A2" w:rsidRPr="00E22869">
        <w:rPr>
          <w:szCs w:val="26"/>
        </w:rPr>
        <w:t>during 2013-2014</w:t>
      </w:r>
      <w:r w:rsidR="00473B21" w:rsidRPr="00E22869">
        <w:rPr>
          <w:szCs w:val="26"/>
        </w:rPr>
        <w:t>.</w:t>
      </w:r>
      <w:r w:rsidR="008666A2" w:rsidRPr="00E22869">
        <w:rPr>
          <w:szCs w:val="26"/>
        </w:rPr>
        <w:t xml:space="preserve"> </w:t>
      </w:r>
      <w:r w:rsidR="00473B21" w:rsidRPr="00E22869">
        <w:rPr>
          <w:szCs w:val="26"/>
        </w:rPr>
        <w:t xml:space="preserve"> </w:t>
      </w:r>
      <w:r w:rsidR="0016430B" w:rsidRPr="00E22869">
        <w:rPr>
          <w:szCs w:val="26"/>
        </w:rPr>
        <w:t>The ALJ also noted that b</w:t>
      </w:r>
      <w:r w:rsidR="00473B21" w:rsidRPr="00E22869">
        <w:rPr>
          <w:szCs w:val="26"/>
        </w:rPr>
        <w:t xml:space="preserve">ecause of </w:t>
      </w:r>
      <w:r w:rsidR="0016430B" w:rsidRPr="00E22869">
        <w:rPr>
          <w:szCs w:val="26"/>
        </w:rPr>
        <w:t>the Complainant’s supplemental usage of electric heaters, she looked at the combined usage of gas and electric during the heating season of 2012-13 and 2013-2014, and</w:t>
      </w:r>
      <w:r w:rsidR="000C7709" w:rsidRPr="00E22869">
        <w:rPr>
          <w:szCs w:val="26"/>
        </w:rPr>
        <w:t xml:space="preserve"> fo</w:t>
      </w:r>
      <w:r w:rsidR="003C2F8F" w:rsidRPr="00E22869">
        <w:rPr>
          <w:szCs w:val="26"/>
        </w:rPr>
        <w:t>u</w:t>
      </w:r>
      <w:r w:rsidR="000C7709" w:rsidRPr="00E22869">
        <w:rPr>
          <w:szCs w:val="26"/>
        </w:rPr>
        <w:t xml:space="preserve">nd </w:t>
      </w:r>
      <w:r w:rsidR="0016430B" w:rsidRPr="00E22869">
        <w:rPr>
          <w:szCs w:val="26"/>
        </w:rPr>
        <w:t xml:space="preserve">that </w:t>
      </w:r>
      <w:r w:rsidR="000C7709" w:rsidRPr="00E22869">
        <w:rPr>
          <w:szCs w:val="26"/>
        </w:rPr>
        <w:t xml:space="preserve">the usage </w:t>
      </w:r>
      <w:r w:rsidR="00976AA3" w:rsidRPr="00E22869">
        <w:rPr>
          <w:szCs w:val="26"/>
        </w:rPr>
        <w:t xml:space="preserve">was </w:t>
      </w:r>
      <w:r w:rsidR="000C7709" w:rsidRPr="00E22869">
        <w:rPr>
          <w:szCs w:val="26"/>
        </w:rPr>
        <w:t>comparable.  I.D. at</w:t>
      </w:r>
      <w:r w:rsidR="003C2F8F" w:rsidRPr="00E22869">
        <w:rPr>
          <w:szCs w:val="26"/>
        </w:rPr>
        <w:t xml:space="preserve"> </w:t>
      </w:r>
      <w:r w:rsidR="000C7709" w:rsidRPr="00E22869">
        <w:rPr>
          <w:szCs w:val="26"/>
        </w:rPr>
        <w:t>18.</w:t>
      </w:r>
    </w:p>
    <w:p w:rsidR="003475A0" w:rsidRPr="00E22869" w:rsidRDefault="003475A0" w:rsidP="00E22869">
      <w:pPr>
        <w:rPr>
          <w:szCs w:val="26"/>
        </w:rPr>
      </w:pPr>
    </w:p>
    <w:p w:rsidR="00C41BC8" w:rsidRPr="00E22869" w:rsidRDefault="00C41BC8" w:rsidP="00E22869">
      <w:pPr>
        <w:rPr>
          <w:szCs w:val="26"/>
        </w:rPr>
      </w:pPr>
      <w:r w:rsidRPr="00E22869">
        <w:rPr>
          <w:szCs w:val="26"/>
        </w:rPr>
        <w:t>Accordingly, the ALJ concluded that the Complainant failed to sustain hi</w:t>
      </w:r>
      <w:r w:rsidR="003475A0" w:rsidRPr="00E22869">
        <w:rPr>
          <w:szCs w:val="26"/>
        </w:rPr>
        <w:t>s</w:t>
      </w:r>
      <w:r w:rsidRPr="00E22869">
        <w:rPr>
          <w:szCs w:val="26"/>
        </w:rPr>
        <w:t xml:space="preserve"> burden of proof regarding his high bill allegation.  </w:t>
      </w:r>
      <w:r w:rsidR="003475A0" w:rsidRPr="00E22869">
        <w:rPr>
          <w:szCs w:val="26"/>
        </w:rPr>
        <w:t>I.D.</w:t>
      </w:r>
      <w:r w:rsidRPr="00E22869">
        <w:rPr>
          <w:szCs w:val="26"/>
        </w:rPr>
        <w:t xml:space="preserve"> at 18. </w:t>
      </w:r>
    </w:p>
    <w:p w:rsidR="00C41BC8" w:rsidRPr="00E22869" w:rsidRDefault="00C41BC8" w:rsidP="00E22869">
      <w:pPr>
        <w:rPr>
          <w:szCs w:val="26"/>
        </w:rPr>
      </w:pPr>
    </w:p>
    <w:p w:rsidR="00B11303" w:rsidRPr="00E22869" w:rsidRDefault="00B11303" w:rsidP="00E22869">
      <w:pPr>
        <w:rPr>
          <w:szCs w:val="26"/>
        </w:rPr>
      </w:pPr>
      <w:r w:rsidRPr="00E22869">
        <w:rPr>
          <w:szCs w:val="26"/>
        </w:rPr>
        <w:t>With regard to the Complainant</w:t>
      </w:r>
      <w:r w:rsidR="00635917" w:rsidRPr="00E22869">
        <w:rPr>
          <w:szCs w:val="26"/>
        </w:rPr>
        <w:t>’</w:t>
      </w:r>
      <w:r w:rsidRPr="00E22869">
        <w:rPr>
          <w:szCs w:val="26"/>
        </w:rPr>
        <w:t xml:space="preserve">s request for a payment agreement for outstanding balance, the ALJ noted that </w:t>
      </w:r>
      <w:r w:rsidR="003475A0" w:rsidRPr="00E22869">
        <w:rPr>
          <w:szCs w:val="26"/>
        </w:rPr>
        <w:t>t</w:t>
      </w:r>
      <w:r w:rsidRPr="00E22869">
        <w:rPr>
          <w:szCs w:val="26"/>
        </w:rPr>
        <w:t xml:space="preserve">he </w:t>
      </w:r>
      <w:r w:rsidR="003475A0" w:rsidRPr="00E22869">
        <w:rPr>
          <w:szCs w:val="26"/>
        </w:rPr>
        <w:t>Complainant had a Commission</w:t>
      </w:r>
      <w:r w:rsidR="00976AA3" w:rsidRPr="00E22869">
        <w:rPr>
          <w:szCs w:val="26"/>
        </w:rPr>
        <w:t>-</w:t>
      </w:r>
      <w:r w:rsidR="003475A0" w:rsidRPr="00E22869">
        <w:rPr>
          <w:szCs w:val="26"/>
        </w:rPr>
        <w:t xml:space="preserve">issued </w:t>
      </w:r>
      <w:r w:rsidR="003475A0" w:rsidRPr="00E22869">
        <w:rPr>
          <w:szCs w:val="26"/>
        </w:rPr>
        <w:lastRenderedPageBreak/>
        <w:t>payment agreement on an outstanding balance as of</w:t>
      </w:r>
      <w:r w:rsidRPr="00E22869">
        <w:rPr>
          <w:szCs w:val="26"/>
        </w:rPr>
        <w:t xml:space="preserve"> Ju</w:t>
      </w:r>
      <w:r w:rsidR="003475A0" w:rsidRPr="00E22869">
        <w:rPr>
          <w:szCs w:val="26"/>
        </w:rPr>
        <w:t>ne</w:t>
      </w:r>
      <w:r w:rsidRPr="00E22869">
        <w:rPr>
          <w:szCs w:val="26"/>
        </w:rPr>
        <w:t xml:space="preserve"> </w:t>
      </w:r>
      <w:r w:rsidR="003475A0" w:rsidRPr="00E22869">
        <w:rPr>
          <w:szCs w:val="26"/>
        </w:rPr>
        <w:t xml:space="preserve">14, </w:t>
      </w:r>
      <w:r w:rsidRPr="00E22869">
        <w:rPr>
          <w:szCs w:val="26"/>
        </w:rPr>
        <w:t>20</w:t>
      </w:r>
      <w:r w:rsidR="003475A0" w:rsidRPr="00E22869">
        <w:rPr>
          <w:szCs w:val="26"/>
        </w:rPr>
        <w:t>13</w:t>
      </w:r>
      <w:r w:rsidRPr="00E22869">
        <w:rPr>
          <w:szCs w:val="26"/>
        </w:rPr>
        <w:t xml:space="preserve">, </w:t>
      </w:r>
      <w:r w:rsidR="00760685" w:rsidRPr="00E22869">
        <w:rPr>
          <w:szCs w:val="26"/>
        </w:rPr>
        <w:t xml:space="preserve">in the amount of $3,978.82, </w:t>
      </w:r>
      <w:r w:rsidR="00976AA3" w:rsidRPr="00E22869">
        <w:rPr>
          <w:szCs w:val="26"/>
        </w:rPr>
        <w:t xml:space="preserve">on </w:t>
      </w:r>
      <w:r w:rsidR="00760685" w:rsidRPr="00E22869">
        <w:rPr>
          <w:szCs w:val="26"/>
        </w:rPr>
        <w:t xml:space="preserve">which </w:t>
      </w:r>
      <w:r w:rsidR="00E84EC9" w:rsidRPr="00E22869">
        <w:rPr>
          <w:szCs w:val="26"/>
        </w:rPr>
        <w:t>he</w:t>
      </w:r>
      <w:r w:rsidRPr="00E22869">
        <w:rPr>
          <w:szCs w:val="26"/>
        </w:rPr>
        <w:t xml:space="preserve"> defaulted </w:t>
      </w:r>
      <w:r w:rsidR="00027D60" w:rsidRPr="00E22869">
        <w:rPr>
          <w:szCs w:val="26"/>
        </w:rPr>
        <w:t>as of</w:t>
      </w:r>
      <w:r w:rsidR="00760685" w:rsidRPr="00E22869">
        <w:rPr>
          <w:szCs w:val="26"/>
        </w:rPr>
        <w:t xml:space="preserve"> September 16, 2013.</w:t>
      </w:r>
      <w:r w:rsidRPr="00E22869">
        <w:rPr>
          <w:rStyle w:val="FootnoteReference"/>
          <w:szCs w:val="26"/>
        </w:rPr>
        <w:footnoteReference w:id="2"/>
      </w:r>
      <w:r w:rsidRPr="00E22869">
        <w:rPr>
          <w:szCs w:val="26"/>
        </w:rPr>
        <w:t xml:space="preserve">  </w:t>
      </w:r>
      <w:r w:rsidR="00760685" w:rsidRPr="00E22869">
        <w:rPr>
          <w:szCs w:val="26"/>
        </w:rPr>
        <w:t>I.D. at 19.</w:t>
      </w:r>
      <w:r w:rsidRPr="00E22869">
        <w:rPr>
          <w:szCs w:val="26"/>
        </w:rPr>
        <w:t xml:space="preserve"> </w:t>
      </w:r>
    </w:p>
    <w:p w:rsidR="00DA628C" w:rsidRPr="00E22869" w:rsidRDefault="00DA628C" w:rsidP="00E22869">
      <w:pPr>
        <w:rPr>
          <w:szCs w:val="26"/>
        </w:rPr>
      </w:pPr>
    </w:p>
    <w:p w:rsidR="00B11303" w:rsidRPr="00E22869" w:rsidRDefault="00B11303" w:rsidP="00E22869">
      <w:pPr>
        <w:ind w:firstLine="720"/>
        <w:rPr>
          <w:szCs w:val="26"/>
        </w:rPr>
      </w:pPr>
      <w:r w:rsidRPr="00E22869">
        <w:rPr>
          <w:szCs w:val="26"/>
        </w:rPr>
        <w:tab/>
        <w:t>The ALJ noted that, in accordance with 66 Pa. C.S. § 1405(d), the Commission</w:t>
      </w:r>
      <w:r w:rsidR="00546F3E" w:rsidRPr="00E22869">
        <w:rPr>
          <w:szCs w:val="26"/>
        </w:rPr>
        <w:t>’s authority in</w:t>
      </w:r>
      <w:r w:rsidRPr="00E22869">
        <w:rPr>
          <w:szCs w:val="26"/>
        </w:rPr>
        <w:t xml:space="preserve"> establishing a second payment agreement </w:t>
      </w:r>
      <w:r w:rsidR="00546F3E" w:rsidRPr="00E22869">
        <w:rPr>
          <w:szCs w:val="26"/>
        </w:rPr>
        <w:t xml:space="preserve">is limited </w:t>
      </w:r>
      <w:r w:rsidRPr="00E22869">
        <w:rPr>
          <w:szCs w:val="26"/>
        </w:rPr>
        <w:t>if the Complainant defaulted on a previous agreement, unless the Complainant has experienced a change in income, as defined in Section 140</w:t>
      </w:r>
      <w:r w:rsidR="00546F3E" w:rsidRPr="00E22869">
        <w:rPr>
          <w:szCs w:val="26"/>
        </w:rPr>
        <w:t>3</w:t>
      </w:r>
      <w:r w:rsidRPr="00E22869">
        <w:rPr>
          <w:szCs w:val="26"/>
        </w:rPr>
        <w:t xml:space="preserve"> of the Code as follows:</w:t>
      </w:r>
    </w:p>
    <w:p w:rsidR="00E84EC9" w:rsidRPr="00E22869" w:rsidRDefault="00E84EC9" w:rsidP="00E22869">
      <w:pPr>
        <w:ind w:firstLine="720"/>
        <w:rPr>
          <w:szCs w:val="26"/>
        </w:rPr>
      </w:pPr>
    </w:p>
    <w:p w:rsidR="00B11303" w:rsidRPr="00E22869" w:rsidRDefault="00B11303" w:rsidP="00E22869">
      <w:pPr>
        <w:spacing w:line="240" w:lineRule="auto"/>
        <w:ind w:left="1440" w:right="1440" w:firstLine="0"/>
        <w:rPr>
          <w:szCs w:val="26"/>
        </w:rPr>
      </w:pPr>
      <w:r w:rsidRPr="00E22869">
        <w:rPr>
          <w:b/>
          <w:szCs w:val="26"/>
        </w:rPr>
        <w:t>“Change in income.”</w:t>
      </w:r>
      <w:r w:rsidRPr="00E22869">
        <w:rPr>
          <w:szCs w:val="26"/>
        </w:rPr>
        <w:t xml:space="preserve">  A decrease in household income of 20% or more if the customer’s household income level exceeds 200% of the Federal poverty level or a decrease in household income of 10% or more if the customer’s household income level is 200% or less of the Federal poverty level.  </w:t>
      </w:r>
    </w:p>
    <w:p w:rsidR="00E84EC9" w:rsidRPr="00E22869" w:rsidRDefault="00E84EC9" w:rsidP="00E22869">
      <w:pPr>
        <w:ind w:left="1440" w:right="1440" w:firstLine="0"/>
        <w:rPr>
          <w:szCs w:val="26"/>
        </w:rPr>
      </w:pPr>
    </w:p>
    <w:p w:rsidR="00B11303" w:rsidRPr="00E22869" w:rsidRDefault="00B11303" w:rsidP="00E22869">
      <w:pPr>
        <w:ind w:firstLine="0"/>
        <w:rPr>
          <w:szCs w:val="26"/>
        </w:rPr>
      </w:pPr>
      <w:r w:rsidRPr="00E22869">
        <w:rPr>
          <w:szCs w:val="26"/>
        </w:rPr>
        <w:t>I.D. at 19</w:t>
      </w:r>
      <w:r w:rsidR="00546F3E" w:rsidRPr="00E22869">
        <w:rPr>
          <w:szCs w:val="26"/>
        </w:rPr>
        <w:t>-20</w:t>
      </w:r>
      <w:r w:rsidRPr="00E22869">
        <w:rPr>
          <w:szCs w:val="26"/>
        </w:rPr>
        <w:t xml:space="preserve"> (quoting 66 Pa. C.S. § 1403).  The ALJ concluded that since the Complainant </w:t>
      </w:r>
      <w:r w:rsidR="00E84EC9" w:rsidRPr="00E22869">
        <w:rPr>
          <w:szCs w:val="26"/>
        </w:rPr>
        <w:t>did not assert that he had a change in income and also failed to provide any evidence of a change in income,</w:t>
      </w:r>
      <w:r w:rsidRPr="00E22869">
        <w:rPr>
          <w:szCs w:val="26"/>
        </w:rPr>
        <w:t xml:space="preserve"> the Commission </w:t>
      </w:r>
      <w:r w:rsidR="00927008" w:rsidRPr="00E22869">
        <w:rPr>
          <w:szCs w:val="26"/>
        </w:rPr>
        <w:t xml:space="preserve">is prohibited by statue </w:t>
      </w:r>
      <w:r w:rsidRPr="00E22869">
        <w:rPr>
          <w:szCs w:val="26"/>
        </w:rPr>
        <w:t xml:space="preserve">to issue a payment agreement </w:t>
      </w:r>
      <w:r w:rsidR="00927008" w:rsidRPr="00E22869">
        <w:rPr>
          <w:szCs w:val="26"/>
        </w:rPr>
        <w:t xml:space="preserve">when the Complainant had defaulted on a previous Commission –issued payment agreement. </w:t>
      </w:r>
      <w:r w:rsidRPr="00E22869">
        <w:rPr>
          <w:szCs w:val="26"/>
        </w:rPr>
        <w:t xml:space="preserve"> I.D. at </w:t>
      </w:r>
      <w:r w:rsidR="00927008" w:rsidRPr="00E22869">
        <w:rPr>
          <w:szCs w:val="26"/>
        </w:rPr>
        <w:t>20</w:t>
      </w:r>
      <w:r w:rsidRPr="00E22869">
        <w:rPr>
          <w:szCs w:val="26"/>
        </w:rPr>
        <w:t>.</w:t>
      </w:r>
    </w:p>
    <w:p w:rsidR="00997F32" w:rsidRPr="00E22869" w:rsidRDefault="00997F32" w:rsidP="00E22869">
      <w:pPr>
        <w:ind w:firstLine="720"/>
        <w:rPr>
          <w:szCs w:val="26"/>
        </w:rPr>
      </w:pPr>
    </w:p>
    <w:p w:rsidR="00765ED9" w:rsidRPr="00E22869" w:rsidRDefault="00244754" w:rsidP="00E22869">
      <w:pPr>
        <w:keepNext/>
        <w:ind w:firstLine="0"/>
        <w:rPr>
          <w:b/>
          <w:szCs w:val="26"/>
        </w:rPr>
      </w:pPr>
      <w:r w:rsidRPr="00E22869">
        <w:rPr>
          <w:b/>
          <w:szCs w:val="26"/>
        </w:rPr>
        <w:t>Exceptions</w:t>
      </w:r>
      <w:r w:rsidR="00F52732" w:rsidRPr="00E22869">
        <w:rPr>
          <w:b/>
          <w:szCs w:val="26"/>
        </w:rPr>
        <w:t xml:space="preserve"> and Replies</w:t>
      </w:r>
    </w:p>
    <w:p w:rsidR="00765ED9" w:rsidRPr="00E22869" w:rsidRDefault="00765ED9" w:rsidP="00E22869">
      <w:pPr>
        <w:keepNext/>
        <w:ind w:firstLine="0"/>
        <w:rPr>
          <w:rFonts w:ascii="Times New (W1)" w:hAnsi="Times New (W1)"/>
          <w:szCs w:val="26"/>
        </w:rPr>
      </w:pPr>
    </w:p>
    <w:p w:rsidR="00104BC2" w:rsidRPr="00E22869" w:rsidRDefault="00765ED9" w:rsidP="00E22869">
      <w:pPr>
        <w:ind w:firstLine="0"/>
        <w:rPr>
          <w:szCs w:val="26"/>
        </w:rPr>
      </w:pPr>
      <w:r w:rsidRPr="00E22869">
        <w:rPr>
          <w:rFonts w:ascii="Times New (W1)" w:hAnsi="Times New (W1)"/>
          <w:szCs w:val="26"/>
        </w:rPr>
        <w:tab/>
      </w:r>
      <w:r w:rsidRPr="00E22869">
        <w:rPr>
          <w:rFonts w:ascii="Times New (W1)" w:hAnsi="Times New (W1)"/>
          <w:szCs w:val="26"/>
        </w:rPr>
        <w:tab/>
      </w:r>
      <w:r w:rsidR="00104BC2" w:rsidRPr="00E22869">
        <w:rPr>
          <w:szCs w:val="26"/>
        </w:rPr>
        <w:t xml:space="preserve">In his self-styled Exception, the Complainant states that he does not agree with the </w:t>
      </w:r>
      <w:r w:rsidR="00DA628C" w:rsidRPr="00E22869">
        <w:rPr>
          <w:szCs w:val="26"/>
        </w:rPr>
        <w:t xml:space="preserve">ALJ’s </w:t>
      </w:r>
      <w:r w:rsidR="00104BC2" w:rsidRPr="00E22869">
        <w:rPr>
          <w:szCs w:val="26"/>
        </w:rPr>
        <w:t>Initial Decision</w:t>
      </w:r>
      <w:r w:rsidR="00921011" w:rsidRPr="00E22869">
        <w:rPr>
          <w:szCs w:val="26"/>
        </w:rPr>
        <w:t xml:space="preserve">.  He submits that </w:t>
      </w:r>
      <w:r w:rsidR="00104BC2" w:rsidRPr="00E22869">
        <w:rPr>
          <w:szCs w:val="26"/>
        </w:rPr>
        <w:t>when he showed up at multiple hearing</w:t>
      </w:r>
      <w:r w:rsidR="00976AA3" w:rsidRPr="00E22869">
        <w:rPr>
          <w:szCs w:val="26"/>
        </w:rPr>
        <w:t>s</w:t>
      </w:r>
      <w:r w:rsidR="00104BC2" w:rsidRPr="00E22869">
        <w:rPr>
          <w:szCs w:val="26"/>
        </w:rPr>
        <w:t xml:space="preserve"> </w:t>
      </w:r>
      <w:r w:rsidR="00104BC2" w:rsidRPr="00E22869">
        <w:rPr>
          <w:szCs w:val="26"/>
        </w:rPr>
        <w:lastRenderedPageBreak/>
        <w:t>he was not permitted to testify completely.</w:t>
      </w:r>
      <w:r w:rsidR="00C413C3" w:rsidRPr="00E22869">
        <w:rPr>
          <w:rStyle w:val="FootnoteReference"/>
          <w:szCs w:val="26"/>
        </w:rPr>
        <w:footnoteReference w:id="3"/>
      </w:r>
      <w:r w:rsidR="00104BC2" w:rsidRPr="00E22869">
        <w:rPr>
          <w:szCs w:val="26"/>
        </w:rPr>
        <w:t xml:space="preserve">  The Complainant’s Exceptions are stated entirely in one paragraph as quoted below:</w:t>
      </w:r>
    </w:p>
    <w:p w:rsidR="00104BC2" w:rsidRPr="00E22869" w:rsidRDefault="00104BC2" w:rsidP="00E22869">
      <w:pPr>
        <w:rPr>
          <w:szCs w:val="26"/>
        </w:rPr>
      </w:pPr>
    </w:p>
    <w:p w:rsidR="00DC210E" w:rsidRPr="00E22869" w:rsidRDefault="00104BC2" w:rsidP="00E22869">
      <w:pPr>
        <w:spacing w:line="240" w:lineRule="auto"/>
        <w:ind w:left="1440" w:right="1440" w:firstLine="0"/>
        <w:rPr>
          <w:szCs w:val="26"/>
        </w:rPr>
      </w:pPr>
      <w:r w:rsidRPr="00E22869">
        <w:rPr>
          <w:szCs w:val="26"/>
        </w:rPr>
        <w:t xml:space="preserve">I showed to the hearings on multiples dates (four hearings) and </w:t>
      </w:r>
      <w:r w:rsidR="00921011" w:rsidRPr="00E22869">
        <w:rPr>
          <w:szCs w:val="26"/>
        </w:rPr>
        <w:t xml:space="preserve">[was] </w:t>
      </w:r>
      <w:r w:rsidRPr="00E22869">
        <w:rPr>
          <w:szCs w:val="26"/>
        </w:rPr>
        <w:t xml:space="preserve">not permitted to testify completely or at all </w:t>
      </w:r>
      <w:r w:rsidR="000E4536" w:rsidRPr="00E22869">
        <w:rPr>
          <w:szCs w:val="26"/>
        </w:rPr>
        <w:t>[</w:t>
      </w:r>
      <w:r w:rsidR="000E4536" w:rsidRPr="00E22869">
        <w:rPr>
          <w:i/>
          <w:szCs w:val="26"/>
        </w:rPr>
        <w:t>sic</w:t>
      </w:r>
      <w:r w:rsidR="000E4536" w:rsidRPr="00E22869">
        <w:rPr>
          <w:szCs w:val="26"/>
        </w:rPr>
        <w:t xml:space="preserve">] </w:t>
      </w:r>
      <w:r w:rsidRPr="00E22869">
        <w:rPr>
          <w:szCs w:val="26"/>
        </w:rPr>
        <w:t>also, not able to ask questions of PECO.  PECO never showed with the proper witness who had direct knowledge of the case as a result, the judge was furious at times with PECO and stop the hearings abruptly each time.  Finally, I would also add that I am planning to file for CAP</w:t>
      </w:r>
      <w:r w:rsidR="003D28A8" w:rsidRPr="00E22869">
        <w:rPr>
          <w:szCs w:val="26"/>
        </w:rPr>
        <w:t xml:space="preserve"> [Customer Assistance Program]</w:t>
      </w:r>
      <w:r w:rsidRPr="00E22869">
        <w:rPr>
          <w:szCs w:val="26"/>
        </w:rPr>
        <w:t xml:space="preserve">.  </w:t>
      </w:r>
    </w:p>
    <w:p w:rsidR="00921011" w:rsidRPr="00E22869" w:rsidRDefault="00921011" w:rsidP="00E22869">
      <w:pPr>
        <w:ind w:left="1440" w:right="1440" w:firstLine="0"/>
        <w:rPr>
          <w:szCs w:val="26"/>
        </w:rPr>
      </w:pPr>
    </w:p>
    <w:p w:rsidR="009C0BFA" w:rsidRPr="00E22869" w:rsidRDefault="005F7B80" w:rsidP="00E22869">
      <w:pPr>
        <w:rPr>
          <w:szCs w:val="26"/>
        </w:rPr>
      </w:pPr>
      <w:r w:rsidRPr="00E22869">
        <w:rPr>
          <w:szCs w:val="26"/>
        </w:rPr>
        <w:t xml:space="preserve">In reply, </w:t>
      </w:r>
      <w:r w:rsidR="009F5672" w:rsidRPr="00E22869">
        <w:rPr>
          <w:szCs w:val="26"/>
        </w:rPr>
        <w:t>PECO</w:t>
      </w:r>
      <w:r w:rsidR="003D1749" w:rsidRPr="00E22869">
        <w:rPr>
          <w:szCs w:val="26"/>
        </w:rPr>
        <w:t xml:space="preserve"> </w:t>
      </w:r>
      <w:r w:rsidR="0052699E" w:rsidRPr="00E22869">
        <w:rPr>
          <w:szCs w:val="26"/>
        </w:rPr>
        <w:t>submits</w:t>
      </w:r>
      <w:r w:rsidR="00FF145D" w:rsidRPr="00E22869">
        <w:rPr>
          <w:szCs w:val="26"/>
        </w:rPr>
        <w:t xml:space="preserve"> that</w:t>
      </w:r>
      <w:r w:rsidR="003D1749" w:rsidRPr="00E22869">
        <w:rPr>
          <w:szCs w:val="26"/>
        </w:rPr>
        <w:t xml:space="preserve"> </w:t>
      </w:r>
      <w:r w:rsidR="004A649B" w:rsidRPr="00E22869">
        <w:rPr>
          <w:szCs w:val="26"/>
        </w:rPr>
        <w:t xml:space="preserve">there is no truth to the </w:t>
      </w:r>
      <w:r w:rsidR="003D1749" w:rsidRPr="00E22869">
        <w:rPr>
          <w:szCs w:val="26"/>
        </w:rPr>
        <w:t>Co</w:t>
      </w:r>
      <w:r w:rsidR="0053283A" w:rsidRPr="00E22869">
        <w:rPr>
          <w:szCs w:val="26"/>
        </w:rPr>
        <w:t>mplainant</w:t>
      </w:r>
      <w:r w:rsidR="004A649B" w:rsidRPr="00E22869">
        <w:rPr>
          <w:szCs w:val="26"/>
        </w:rPr>
        <w:t xml:space="preserve">’s assertion that he had </w:t>
      </w:r>
      <w:r w:rsidR="008454E5" w:rsidRPr="00E22869">
        <w:rPr>
          <w:szCs w:val="26"/>
        </w:rPr>
        <w:t>no</w:t>
      </w:r>
      <w:r w:rsidR="004A649B" w:rsidRPr="00E22869">
        <w:rPr>
          <w:szCs w:val="26"/>
        </w:rPr>
        <w:t xml:space="preserve"> opportunity to testify or to cross-examine PECO’s witnesses. </w:t>
      </w:r>
      <w:r w:rsidR="0053283A" w:rsidRPr="00E22869">
        <w:rPr>
          <w:szCs w:val="26"/>
        </w:rPr>
        <w:t xml:space="preserve"> </w:t>
      </w:r>
      <w:r w:rsidR="009C0BFA" w:rsidRPr="00E22869">
        <w:rPr>
          <w:szCs w:val="26"/>
        </w:rPr>
        <w:t xml:space="preserve">PECO also notes that the transcript </w:t>
      </w:r>
      <w:r w:rsidR="008454E5" w:rsidRPr="00E22869">
        <w:rPr>
          <w:szCs w:val="26"/>
        </w:rPr>
        <w:t xml:space="preserve">for the hearing </w:t>
      </w:r>
      <w:r w:rsidR="009C0BFA" w:rsidRPr="00E22869">
        <w:rPr>
          <w:szCs w:val="26"/>
        </w:rPr>
        <w:t xml:space="preserve">clearly shows that the Complainant </w:t>
      </w:r>
      <w:r w:rsidR="008454E5" w:rsidRPr="00E22869">
        <w:rPr>
          <w:szCs w:val="26"/>
        </w:rPr>
        <w:t xml:space="preserve">had </w:t>
      </w:r>
      <w:r w:rsidR="009C0BFA" w:rsidRPr="00E22869">
        <w:rPr>
          <w:szCs w:val="26"/>
        </w:rPr>
        <w:t>provided abundant direct testimony a</w:t>
      </w:r>
      <w:r w:rsidR="001653C4" w:rsidRPr="00E22869">
        <w:rPr>
          <w:szCs w:val="26"/>
        </w:rPr>
        <w:t>n</w:t>
      </w:r>
      <w:r w:rsidR="009C0BFA" w:rsidRPr="00E22869">
        <w:rPr>
          <w:szCs w:val="26"/>
        </w:rPr>
        <w:t xml:space="preserve">d elicited testimony on cross-examinations </w:t>
      </w:r>
      <w:r w:rsidR="00027D60" w:rsidRPr="00E22869">
        <w:rPr>
          <w:szCs w:val="26"/>
        </w:rPr>
        <w:t xml:space="preserve">of </w:t>
      </w:r>
      <w:r w:rsidR="009C0BFA" w:rsidRPr="00E22869">
        <w:rPr>
          <w:szCs w:val="26"/>
        </w:rPr>
        <w:t xml:space="preserve">PECO’s witnesses </w:t>
      </w:r>
      <w:r w:rsidR="00DE1EC2" w:rsidRPr="00E22869">
        <w:rPr>
          <w:szCs w:val="26"/>
        </w:rPr>
        <w:t>at</w:t>
      </w:r>
      <w:r w:rsidR="009C0BFA" w:rsidRPr="00E22869">
        <w:rPr>
          <w:szCs w:val="26"/>
        </w:rPr>
        <w:t xml:space="preserve"> both</w:t>
      </w:r>
      <w:r w:rsidR="001653C4" w:rsidRPr="00E22869">
        <w:rPr>
          <w:szCs w:val="26"/>
        </w:rPr>
        <w:t xml:space="preserve"> </w:t>
      </w:r>
      <w:r w:rsidR="00B857F1" w:rsidRPr="00E22869">
        <w:rPr>
          <w:szCs w:val="26"/>
        </w:rPr>
        <w:t>December 2013 hearing and July 2014 hearing</w:t>
      </w:r>
      <w:r w:rsidR="009C0BFA" w:rsidRPr="00E22869">
        <w:rPr>
          <w:szCs w:val="26"/>
        </w:rPr>
        <w:t xml:space="preserve">. </w:t>
      </w:r>
      <w:r w:rsidR="000F5B23" w:rsidRPr="00E22869">
        <w:rPr>
          <w:szCs w:val="26"/>
        </w:rPr>
        <w:t xml:space="preserve"> PECO also notes that the ALJ </w:t>
      </w:r>
      <w:r w:rsidR="008454E5" w:rsidRPr="00E22869">
        <w:rPr>
          <w:szCs w:val="26"/>
        </w:rPr>
        <w:t xml:space="preserve">had </w:t>
      </w:r>
      <w:r w:rsidR="000F5B23" w:rsidRPr="00E22869">
        <w:rPr>
          <w:szCs w:val="26"/>
        </w:rPr>
        <w:t>scheduled three hearing</w:t>
      </w:r>
      <w:r w:rsidR="00027D60" w:rsidRPr="00E22869">
        <w:rPr>
          <w:szCs w:val="26"/>
        </w:rPr>
        <w:t>s</w:t>
      </w:r>
      <w:r w:rsidR="000F5B23" w:rsidRPr="00E22869">
        <w:rPr>
          <w:szCs w:val="26"/>
        </w:rPr>
        <w:t xml:space="preserve"> and conducted two hearings, and not four</w:t>
      </w:r>
      <w:r w:rsidR="00027D60" w:rsidRPr="00E22869">
        <w:rPr>
          <w:szCs w:val="26"/>
        </w:rPr>
        <w:t xml:space="preserve"> hearings</w:t>
      </w:r>
      <w:r w:rsidR="000F5B23" w:rsidRPr="00E22869">
        <w:rPr>
          <w:szCs w:val="26"/>
        </w:rPr>
        <w:t xml:space="preserve">, </w:t>
      </w:r>
      <w:r w:rsidR="00027D60" w:rsidRPr="00E22869">
        <w:rPr>
          <w:szCs w:val="26"/>
        </w:rPr>
        <w:t>as claimed by the Complainant.</w:t>
      </w:r>
    </w:p>
    <w:p w:rsidR="009C0BFA" w:rsidRPr="00E22869" w:rsidRDefault="009C0BFA" w:rsidP="00E22869">
      <w:pPr>
        <w:rPr>
          <w:szCs w:val="26"/>
        </w:rPr>
      </w:pPr>
    </w:p>
    <w:p w:rsidR="001653C4" w:rsidRPr="00E22869" w:rsidRDefault="002E3D27" w:rsidP="00E22869">
      <w:pPr>
        <w:rPr>
          <w:szCs w:val="26"/>
        </w:rPr>
      </w:pPr>
      <w:r w:rsidRPr="00E22869">
        <w:rPr>
          <w:szCs w:val="26"/>
        </w:rPr>
        <w:t xml:space="preserve">In support of its argument that the Complainant provided abundant testimony, </w:t>
      </w:r>
      <w:r w:rsidR="00CE28BB" w:rsidRPr="00E22869">
        <w:rPr>
          <w:szCs w:val="26"/>
        </w:rPr>
        <w:t xml:space="preserve">PECO </w:t>
      </w:r>
      <w:r w:rsidRPr="00E22869">
        <w:rPr>
          <w:szCs w:val="26"/>
        </w:rPr>
        <w:t xml:space="preserve">first </w:t>
      </w:r>
      <w:r w:rsidR="00CE28BB" w:rsidRPr="00E22869">
        <w:rPr>
          <w:szCs w:val="26"/>
        </w:rPr>
        <w:t>submits that at the December 201</w:t>
      </w:r>
      <w:r w:rsidR="00B1528A" w:rsidRPr="00E22869">
        <w:rPr>
          <w:szCs w:val="26"/>
        </w:rPr>
        <w:t>3 hearing</w:t>
      </w:r>
      <w:r w:rsidR="00CE28BB" w:rsidRPr="00E22869">
        <w:rPr>
          <w:szCs w:val="26"/>
        </w:rPr>
        <w:t>, the Complainant provided extensive direct testimony o</w:t>
      </w:r>
      <w:r w:rsidR="003D25B1" w:rsidRPr="00E22869">
        <w:rPr>
          <w:szCs w:val="26"/>
        </w:rPr>
        <w:t>n</w:t>
      </w:r>
      <w:r w:rsidR="00CE28BB" w:rsidRPr="00E22869">
        <w:rPr>
          <w:szCs w:val="26"/>
        </w:rPr>
        <w:t xml:space="preserve"> the number of people residing at his home and </w:t>
      </w:r>
      <w:r w:rsidR="003D25B1" w:rsidRPr="00E22869">
        <w:rPr>
          <w:szCs w:val="26"/>
        </w:rPr>
        <w:t xml:space="preserve">about the </w:t>
      </w:r>
      <w:r w:rsidR="00CE28BB" w:rsidRPr="00E22869">
        <w:rPr>
          <w:szCs w:val="26"/>
        </w:rPr>
        <w:t xml:space="preserve">appliances </w:t>
      </w:r>
      <w:r w:rsidR="003D25B1" w:rsidRPr="00E22869">
        <w:rPr>
          <w:szCs w:val="26"/>
        </w:rPr>
        <w:t>in use at</w:t>
      </w:r>
      <w:r w:rsidR="00CE28BB" w:rsidRPr="00E22869">
        <w:rPr>
          <w:szCs w:val="26"/>
        </w:rPr>
        <w:t xml:space="preserve"> the property</w:t>
      </w:r>
      <w:r w:rsidR="003D25B1" w:rsidRPr="00E22869">
        <w:rPr>
          <w:szCs w:val="26"/>
        </w:rPr>
        <w:t>, including</w:t>
      </w:r>
      <w:r w:rsidR="00CE28BB" w:rsidRPr="00E22869">
        <w:rPr>
          <w:szCs w:val="26"/>
        </w:rPr>
        <w:t xml:space="preserve"> the work and living habits of the occupants</w:t>
      </w:r>
      <w:r w:rsidR="003D25B1" w:rsidRPr="00E22869">
        <w:rPr>
          <w:szCs w:val="26"/>
        </w:rPr>
        <w:t xml:space="preserve"> in his house</w:t>
      </w:r>
      <w:r w:rsidR="00CE28BB" w:rsidRPr="00E22869">
        <w:rPr>
          <w:szCs w:val="26"/>
        </w:rPr>
        <w:t xml:space="preserve">.  </w:t>
      </w:r>
      <w:r w:rsidRPr="00E22869">
        <w:rPr>
          <w:szCs w:val="26"/>
        </w:rPr>
        <w:t>At this time, the Complainant</w:t>
      </w:r>
      <w:r w:rsidR="00CE28BB" w:rsidRPr="00E22869">
        <w:rPr>
          <w:szCs w:val="26"/>
        </w:rPr>
        <w:t xml:space="preserve"> also testified about his specific high bill dispute </w:t>
      </w:r>
      <w:r w:rsidR="003D25B1" w:rsidRPr="00E22869">
        <w:rPr>
          <w:szCs w:val="26"/>
        </w:rPr>
        <w:t xml:space="preserve">he has </w:t>
      </w:r>
      <w:r w:rsidR="00CE28BB" w:rsidRPr="00E22869">
        <w:rPr>
          <w:szCs w:val="26"/>
        </w:rPr>
        <w:t xml:space="preserve">with PECO and the conversations he </w:t>
      </w:r>
      <w:r w:rsidR="0052699E" w:rsidRPr="00E22869">
        <w:rPr>
          <w:szCs w:val="26"/>
        </w:rPr>
        <w:t xml:space="preserve">has </w:t>
      </w:r>
      <w:r w:rsidR="00CE28BB" w:rsidRPr="00E22869">
        <w:rPr>
          <w:szCs w:val="26"/>
        </w:rPr>
        <w:t xml:space="preserve">had with PECO </w:t>
      </w:r>
      <w:r w:rsidR="00CE28BB" w:rsidRPr="00E22869">
        <w:rPr>
          <w:szCs w:val="26"/>
        </w:rPr>
        <w:lastRenderedPageBreak/>
        <w:t xml:space="preserve">employees.  </w:t>
      </w:r>
      <w:r w:rsidR="003C2F8F" w:rsidRPr="00E22869">
        <w:rPr>
          <w:szCs w:val="26"/>
        </w:rPr>
        <w:t>R. Exc</w:t>
      </w:r>
      <w:r w:rsidR="001653C4" w:rsidRPr="00E22869">
        <w:rPr>
          <w:szCs w:val="26"/>
        </w:rPr>
        <w:t>. at 2.</w:t>
      </w:r>
      <w:r w:rsidRPr="00E22869">
        <w:rPr>
          <w:szCs w:val="26"/>
        </w:rPr>
        <w:t xml:space="preserve">  Additionally, </w:t>
      </w:r>
      <w:r w:rsidR="00000691" w:rsidRPr="00E22869">
        <w:rPr>
          <w:szCs w:val="26"/>
        </w:rPr>
        <w:t xml:space="preserve">PECO avers that </w:t>
      </w:r>
      <w:r w:rsidR="006C7E3B" w:rsidRPr="00E22869">
        <w:rPr>
          <w:szCs w:val="26"/>
        </w:rPr>
        <w:t xml:space="preserve">the Complainant </w:t>
      </w:r>
      <w:r w:rsidR="00000691" w:rsidRPr="00E22869">
        <w:rPr>
          <w:szCs w:val="26"/>
        </w:rPr>
        <w:t xml:space="preserve">then </w:t>
      </w:r>
      <w:r w:rsidR="006C7E3B" w:rsidRPr="00E22869">
        <w:rPr>
          <w:szCs w:val="26"/>
        </w:rPr>
        <w:t xml:space="preserve">cross examined </w:t>
      </w:r>
      <w:r w:rsidR="003D25B1" w:rsidRPr="00E22869">
        <w:rPr>
          <w:szCs w:val="26"/>
        </w:rPr>
        <w:t>PECO</w:t>
      </w:r>
      <w:r w:rsidR="006C7E3B" w:rsidRPr="00E22869">
        <w:rPr>
          <w:szCs w:val="26"/>
        </w:rPr>
        <w:t xml:space="preserve"> witness Mr. Michael Begley</w:t>
      </w:r>
      <w:r w:rsidR="001653C4" w:rsidRPr="00E22869">
        <w:rPr>
          <w:szCs w:val="26"/>
        </w:rPr>
        <w:t xml:space="preserve"> </w:t>
      </w:r>
      <w:r w:rsidR="009C0BFA" w:rsidRPr="00E22869">
        <w:rPr>
          <w:szCs w:val="26"/>
        </w:rPr>
        <w:t xml:space="preserve">after </w:t>
      </w:r>
      <w:r w:rsidR="003D25B1" w:rsidRPr="00E22869">
        <w:rPr>
          <w:szCs w:val="26"/>
        </w:rPr>
        <w:t>his</w:t>
      </w:r>
      <w:r w:rsidR="009C0BFA" w:rsidRPr="00E22869">
        <w:rPr>
          <w:szCs w:val="26"/>
        </w:rPr>
        <w:t xml:space="preserve"> </w:t>
      </w:r>
      <w:r w:rsidR="006C7E3B" w:rsidRPr="00E22869">
        <w:rPr>
          <w:szCs w:val="26"/>
        </w:rPr>
        <w:t>testi</w:t>
      </w:r>
      <w:r w:rsidR="009C0BFA" w:rsidRPr="00E22869">
        <w:rPr>
          <w:szCs w:val="26"/>
        </w:rPr>
        <w:t>mony</w:t>
      </w:r>
      <w:r w:rsidR="006C7E3B" w:rsidRPr="00E22869">
        <w:rPr>
          <w:szCs w:val="26"/>
        </w:rPr>
        <w:t xml:space="preserve"> regarding the Complainant’s account status, balance, budget billing, high bill investigation, and payment agreements.  </w:t>
      </w:r>
      <w:r w:rsidR="009C0BFA" w:rsidRPr="00E22869">
        <w:rPr>
          <w:szCs w:val="26"/>
        </w:rPr>
        <w:t>PECO notes that t</w:t>
      </w:r>
      <w:r w:rsidR="006C7E3B" w:rsidRPr="00E22869">
        <w:rPr>
          <w:szCs w:val="26"/>
        </w:rPr>
        <w:t xml:space="preserve">he Complainant </w:t>
      </w:r>
      <w:r w:rsidR="009C0BFA" w:rsidRPr="00E22869">
        <w:rPr>
          <w:szCs w:val="26"/>
        </w:rPr>
        <w:t xml:space="preserve">specifically </w:t>
      </w:r>
      <w:r w:rsidR="006C7E3B" w:rsidRPr="00E22869">
        <w:rPr>
          <w:szCs w:val="26"/>
        </w:rPr>
        <w:t>asked Mr. Begley</w:t>
      </w:r>
      <w:r w:rsidR="003D25B1" w:rsidRPr="00E22869">
        <w:rPr>
          <w:szCs w:val="26"/>
        </w:rPr>
        <w:t>,</w:t>
      </w:r>
      <w:r w:rsidR="006C7E3B" w:rsidRPr="00E22869">
        <w:rPr>
          <w:szCs w:val="26"/>
        </w:rPr>
        <w:t xml:space="preserve"> whether PECO has any mechanism in place to alert </w:t>
      </w:r>
      <w:r w:rsidR="001E3DAC" w:rsidRPr="00E22869">
        <w:rPr>
          <w:szCs w:val="26"/>
        </w:rPr>
        <w:t>c</w:t>
      </w:r>
      <w:r w:rsidR="006C7E3B" w:rsidRPr="00E22869">
        <w:rPr>
          <w:szCs w:val="26"/>
        </w:rPr>
        <w:t xml:space="preserve">ustomers </w:t>
      </w:r>
      <w:r w:rsidR="003D25B1" w:rsidRPr="00E22869">
        <w:rPr>
          <w:szCs w:val="26"/>
        </w:rPr>
        <w:t>of</w:t>
      </w:r>
      <w:r w:rsidR="006C7E3B" w:rsidRPr="00E22869">
        <w:rPr>
          <w:szCs w:val="26"/>
        </w:rPr>
        <w:t xml:space="preserve"> </w:t>
      </w:r>
      <w:r w:rsidR="003D25B1" w:rsidRPr="00E22869">
        <w:rPr>
          <w:szCs w:val="26"/>
        </w:rPr>
        <w:t xml:space="preserve">previous </w:t>
      </w:r>
      <w:r w:rsidR="006C7E3B" w:rsidRPr="00E22869">
        <w:rPr>
          <w:szCs w:val="26"/>
        </w:rPr>
        <w:t xml:space="preserve">high bills at </w:t>
      </w:r>
      <w:r w:rsidR="00134A95" w:rsidRPr="00E22869">
        <w:rPr>
          <w:szCs w:val="26"/>
        </w:rPr>
        <w:t>a</w:t>
      </w:r>
      <w:r w:rsidR="006C7E3B" w:rsidRPr="00E22869">
        <w:rPr>
          <w:szCs w:val="26"/>
        </w:rPr>
        <w:t xml:space="preserve"> property prior to the customer renting of a </w:t>
      </w:r>
      <w:r w:rsidR="00134A95" w:rsidRPr="00E22869">
        <w:rPr>
          <w:szCs w:val="26"/>
        </w:rPr>
        <w:t>property</w:t>
      </w:r>
      <w:r w:rsidR="003D25B1" w:rsidRPr="00E22869">
        <w:rPr>
          <w:szCs w:val="26"/>
        </w:rPr>
        <w:t xml:space="preserve"> like his</w:t>
      </w:r>
      <w:r w:rsidR="006C7E3B" w:rsidRPr="00E22869">
        <w:rPr>
          <w:szCs w:val="26"/>
        </w:rPr>
        <w:t>.</w:t>
      </w:r>
      <w:r w:rsidR="00CE28BB" w:rsidRPr="00E22869">
        <w:rPr>
          <w:szCs w:val="26"/>
        </w:rPr>
        <w:t xml:space="preserve"> </w:t>
      </w:r>
      <w:r w:rsidR="001653C4" w:rsidRPr="00E22869">
        <w:rPr>
          <w:szCs w:val="26"/>
        </w:rPr>
        <w:t xml:space="preserve"> </w:t>
      </w:r>
      <w:r w:rsidR="001653C4" w:rsidRPr="00E22869">
        <w:rPr>
          <w:i/>
          <w:szCs w:val="26"/>
        </w:rPr>
        <w:t>Id.</w:t>
      </w:r>
      <w:r w:rsidR="00000691" w:rsidRPr="00E22869">
        <w:rPr>
          <w:i/>
          <w:szCs w:val="26"/>
        </w:rPr>
        <w:t xml:space="preserve">  </w:t>
      </w:r>
      <w:r w:rsidR="00000691" w:rsidRPr="00E22869">
        <w:rPr>
          <w:szCs w:val="26"/>
        </w:rPr>
        <w:t>PECO also notes that a</w:t>
      </w:r>
      <w:r w:rsidRPr="00E22869">
        <w:rPr>
          <w:szCs w:val="26"/>
        </w:rPr>
        <w:t xml:space="preserve">t the July 2014 hearing, </w:t>
      </w:r>
      <w:r w:rsidR="001653C4" w:rsidRPr="00E22869">
        <w:rPr>
          <w:szCs w:val="26"/>
        </w:rPr>
        <w:t xml:space="preserve">the Complainant cross examined its witness, </w:t>
      </w:r>
      <w:r w:rsidR="008454E5" w:rsidRPr="00E22869">
        <w:rPr>
          <w:szCs w:val="26"/>
        </w:rPr>
        <w:t xml:space="preserve">Mr. </w:t>
      </w:r>
      <w:r w:rsidR="001653C4" w:rsidRPr="00E22869">
        <w:rPr>
          <w:szCs w:val="26"/>
        </w:rPr>
        <w:t xml:space="preserve">Thomas Lerro, who testified on the high bill field investigation and meter tests performed at the Complainant’s residence.  </w:t>
      </w:r>
      <w:r w:rsidR="00000691" w:rsidRPr="00E22869">
        <w:rPr>
          <w:szCs w:val="26"/>
        </w:rPr>
        <w:t xml:space="preserve">For these reasons, </w:t>
      </w:r>
      <w:r w:rsidR="0000391A" w:rsidRPr="00E22869">
        <w:rPr>
          <w:szCs w:val="26"/>
        </w:rPr>
        <w:t xml:space="preserve">PECO </w:t>
      </w:r>
      <w:r w:rsidR="00000691" w:rsidRPr="00E22869">
        <w:rPr>
          <w:szCs w:val="26"/>
        </w:rPr>
        <w:t>asserts</w:t>
      </w:r>
      <w:r w:rsidR="0000391A" w:rsidRPr="00E22869">
        <w:rPr>
          <w:szCs w:val="26"/>
        </w:rPr>
        <w:t xml:space="preserve"> that the Complainant’s </w:t>
      </w:r>
      <w:r w:rsidR="00000691" w:rsidRPr="00E22869">
        <w:rPr>
          <w:szCs w:val="26"/>
        </w:rPr>
        <w:t xml:space="preserve">statement in his </w:t>
      </w:r>
      <w:r w:rsidR="0000391A" w:rsidRPr="00E22869">
        <w:rPr>
          <w:szCs w:val="26"/>
        </w:rPr>
        <w:t xml:space="preserve">Exception that he had no opportunity to testify or question PECO’s witnesses is unfounded.  </w:t>
      </w:r>
      <w:r w:rsidR="003C2F8F" w:rsidRPr="00E22869">
        <w:rPr>
          <w:szCs w:val="26"/>
        </w:rPr>
        <w:t>R. Exc</w:t>
      </w:r>
      <w:r w:rsidR="0000391A" w:rsidRPr="00E22869">
        <w:rPr>
          <w:szCs w:val="26"/>
        </w:rPr>
        <w:t>. at 3.</w:t>
      </w:r>
    </w:p>
    <w:p w:rsidR="001653C4" w:rsidRPr="00E22869" w:rsidRDefault="001653C4" w:rsidP="00E22869">
      <w:pPr>
        <w:rPr>
          <w:szCs w:val="26"/>
        </w:rPr>
      </w:pPr>
    </w:p>
    <w:p w:rsidR="0000391A" w:rsidRPr="00E22869" w:rsidRDefault="0000391A" w:rsidP="00E22869">
      <w:pPr>
        <w:rPr>
          <w:szCs w:val="26"/>
        </w:rPr>
      </w:pPr>
      <w:r w:rsidRPr="00E22869">
        <w:rPr>
          <w:szCs w:val="26"/>
        </w:rPr>
        <w:t>With regard to the Complainant’s Exception that PECO</w:t>
      </w:r>
      <w:r w:rsidR="000F3F65" w:rsidRPr="00E22869">
        <w:rPr>
          <w:szCs w:val="26"/>
        </w:rPr>
        <w:t xml:space="preserve"> did not provide </w:t>
      </w:r>
      <w:r w:rsidR="00000691" w:rsidRPr="00E22869">
        <w:rPr>
          <w:szCs w:val="26"/>
        </w:rPr>
        <w:t xml:space="preserve">a </w:t>
      </w:r>
      <w:r w:rsidR="000F3F65" w:rsidRPr="00E22869">
        <w:rPr>
          <w:szCs w:val="26"/>
        </w:rPr>
        <w:t>proper witness</w:t>
      </w:r>
      <w:r w:rsidRPr="00E22869">
        <w:rPr>
          <w:szCs w:val="26"/>
        </w:rPr>
        <w:t>, PECO</w:t>
      </w:r>
      <w:r w:rsidR="00626F4C" w:rsidRPr="00E22869">
        <w:rPr>
          <w:szCs w:val="26"/>
        </w:rPr>
        <w:t xml:space="preserve"> notes that at the </w:t>
      </w:r>
      <w:r w:rsidR="00B1528A" w:rsidRPr="00E22869">
        <w:rPr>
          <w:szCs w:val="26"/>
        </w:rPr>
        <w:t xml:space="preserve">December 2013 hearing, </w:t>
      </w:r>
      <w:r w:rsidR="00626F4C" w:rsidRPr="00E22869">
        <w:rPr>
          <w:szCs w:val="26"/>
        </w:rPr>
        <w:t xml:space="preserve">its high bill field technician who </w:t>
      </w:r>
      <w:r w:rsidR="000F3F65" w:rsidRPr="00E22869">
        <w:rPr>
          <w:szCs w:val="26"/>
        </w:rPr>
        <w:t xml:space="preserve">had </w:t>
      </w:r>
      <w:r w:rsidR="00626F4C" w:rsidRPr="00E22869">
        <w:rPr>
          <w:szCs w:val="26"/>
        </w:rPr>
        <w:t xml:space="preserve">performed the field visits </w:t>
      </w:r>
      <w:r w:rsidR="00000691" w:rsidRPr="00E22869">
        <w:rPr>
          <w:szCs w:val="26"/>
        </w:rPr>
        <w:t xml:space="preserve">and investigations </w:t>
      </w:r>
      <w:r w:rsidR="00626F4C" w:rsidRPr="00E22869">
        <w:rPr>
          <w:szCs w:val="26"/>
        </w:rPr>
        <w:t xml:space="preserve">was out on short-term disability and the field technician supervisor, </w:t>
      </w:r>
      <w:r w:rsidR="008454E5" w:rsidRPr="00E22869">
        <w:rPr>
          <w:szCs w:val="26"/>
        </w:rPr>
        <w:t xml:space="preserve">Mr. </w:t>
      </w:r>
      <w:r w:rsidR="00626F4C" w:rsidRPr="00E22869">
        <w:rPr>
          <w:szCs w:val="26"/>
        </w:rPr>
        <w:t xml:space="preserve">Thomas Lerro was </w:t>
      </w:r>
      <w:r w:rsidR="000F3F65" w:rsidRPr="00E22869">
        <w:rPr>
          <w:szCs w:val="26"/>
        </w:rPr>
        <w:t>un</w:t>
      </w:r>
      <w:r w:rsidR="00000691" w:rsidRPr="00E22869">
        <w:rPr>
          <w:szCs w:val="26"/>
        </w:rPr>
        <w:t xml:space="preserve">available.  As a result, PECO avers that </w:t>
      </w:r>
      <w:r w:rsidR="000F3F65" w:rsidRPr="00E22869">
        <w:rPr>
          <w:szCs w:val="26"/>
        </w:rPr>
        <w:t>it</w:t>
      </w:r>
      <w:r w:rsidR="00DA16C7" w:rsidRPr="00E22869">
        <w:rPr>
          <w:szCs w:val="26"/>
        </w:rPr>
        <w:t xml:space="preserve"> presented acting field supervisor, Mary McQuilkin </w:t>
      </w:r>
      <w:r w:rsidR="000F3F65" w:rsidRPr="00E22869">
        <w:rPr>
          <w:szCs w:val="26"/>
        </w:rPr>
        <w:t xml:space="preserve">as witness.  </w:t>
      </w:r>
      <w:r w:rsidR="00000691" w:rsidRPr="00E22869">
        <w:rPr>
          <w:szCs w:val="26"/>
        </w:rPr>
        <w:t>However, s</w:t>
      </w:r>
      <w:r w:rsidR="000F3F65" w:rsidRPr="00E22869">
        <w:rPr>
          <w:szCs w:val="26"/>
        </w:rPr>
        <w:t xml:space="preserve">ince </w:t>
      </w:r>
      <w:r w:rsidR="00305F5F" w:rsidRPr="00E22869">
        <w:rPr>
          <w:szCs w:val="26"/>
        </w:rPr>
        <w:t>Ms. McQuilkin</w:t>
      </w:r>
      <w:r w:rsidR="000F3F65" w:rsidRPr="00E22869">
        <w:rPr>
          <w:szCs w:val="26"/>
        </w:rPr>
        <w:t xml:space="preserve"> </w:t>
      </w:r>
      <w:r w:rsidR="000C2C30" w:rsidRPr="00E22869">
        <w:rPr>
          <w:szCs w:val="26"/>
        </w:rPr>
        <w:t xml:space="preserve">did not perform </w:t>
      </w:r>
      <w:r w:rsidR="000F3F65" w:rsidRPr="00E22869">
        <w:rPr>
          <w:szCs w:val="26"/>
        </w:rPr>
        <w:t xml:space="preserve">the field visit </w:t>
      </w:r>
      <w:r w:rsidR="000C2C30" w:rsidRPr="00E22869">
        <w:rPr>
          <w:szCs w:val="26"/>
        </w:rPr>
        <w:t>or was t</w:t>
      </w:r>
      <w:r w:rsidR="000F3F65" w:rsidRPr="00E22869">
        <w:rPr>
          <w:szCs w:val="26"/>
        </w:rPr>
        <w:t>he immediate supervisor</w:t>
      </w:r>
      <w:r w:rsidR="00305F5F" w:rsidRPr="00E22869">
        <w:rPr>
          <w:szCs w:val="26"/>
        </w:rPr>
        <w:t xml:space="preserve"> of the field technician</w:t>
      </w:r>
      <w:r w:rsidR="000C2C30" w:rsidRPr="00E22869">
        <w:rPr>
          <w:szCs w:val="26"/>
        </w:rPr>
        <w:t xml:space="preserve"> who conducted the field visit</w:t>
      </w:r>
      <w:r w:rsidR="00000691" w:rsidRPr="00E22869">
        <w:rPr>
          <w:szCs w:val="26"/>
        </w:rPr>
        <w:t xml:space="preserve">, </w:t>
      </w:r>
      <w:r w:rsidR="000F3F65" w:rsidRPr="00E22869">
        <w:rPr>
          <w:szCs w:val="26"/>
        </w:rPr>
        <w:t xml:space="preserve">the ALJ </w:t>
      </w:r>
      <w:r w:rsidR="00305F5F" w:rsidRPr="00E22869">
        <w:rPr>
          <w:szCs w:val="26"/>
        </w:rPr>
        <w:t>rescheduled the hearing for a later date</w:t>
      </w:r>
      <w:r w:rsidR="000F3F65" w:rsidRPr="00E22869">
        <w:rPr>
          <w:szCs w:val="26"/>
        </w:rPr>
        <w:t>.</w:t>
      </w:r>
      <w:r w:rsidR="00305F5F" w:rsidRPr="00E22869">
        <w:rPr>
          <w:szCs w:val="26"/>
        </w:rPr>
        <w:t xml:space="preserve">  </w:t>
      </w:r>
      <w:r w:rsidR="00000691" w:rsidRPr="00E22869">
        <w:rPr>
          <w:szCs w:val="26"/>
        </w:rPr>
        <w:t>But</w:t>
      </w:r>
      <w:r w:rsidR="00305F5F" w:rsidRPr="00E22869">
        <w:rPr>
          <w:szCs w:val="26"/>
        </w:rPr>
        <w:t xml:space="preserve"> on the morning of the hearing</w:t>
      </w:r>
      <w:r w:rsidR="00000691" w:rsidRPr="00E22869">
        <w:rPr>
          <w:szCs w:val="26"/>
        </w:rPr>
        <w:t>,</w:t>
      </w:r>
      <w:r w:rsidR="00305F5F" w:rsidRPr="00E22869">
        <w:rPr>
          <w:szCs w:val="26"/>
        </w:rPr>
        <w:t xml:space="preserve"> </w:t>
      </w:r>
      <w:r w:rsidR="00000691" w:rsidRPr="00E22869">
        <w:rPr>
          <w:szCs w:val="26"/>
        </w:rPr>
        <w:t xml:space="preserve">PECO explains that </w:t>
      </w:r>
      <w:r w:rsidR="00305F5F" w:rsidRPr="00E22869">
        <w:rPr>
          <w:szCs w:val="26"/>
        </w:rPr>
        <w:t xml:space="preserve">Mr. Lerro </w:t>
      </w:r>
      <w:r w:rsidR="000C2C30" w:rsidRPr="00E22869">
        <w:rPr>
          <w:szCs w:val="26"/>
        </w:rPr>
        <w:t xml:space="preserve">was </w:t>
      </w:r>
      <w:r w:rsidR="00000691" w:rsidRPr="00E22869">
        <w:rPr>
          <w:szCs w:val="26"/>
        </w:rPr>
        <w:t xml:space="preserve">not </w:t>
      </w:r>
      <w:r w:rsidR="000C2C30" w:rsidRPr="00E22869">
        <w:rPr>
          <w:szCs w:val="26"/>
        </w:rPr>
        <w:t xml:space="preserve">available to testify because his </w:t>
      </w:r>
      <w:r w:rsidR="00305F5F" w:rsidRPr="00E22869">
        <w:rPr>
          <w:szCs w:val="26"/>
        </w:rPr>
        <w:t xml:space="preserve">wife </w:t>
      </w:r>
      <w:r w:rsidR="000C2C30" w:rsidRPr="00E22869">
        <w:rPr>
          <w:szCs w:val="26"/>
        </w:rPr>
        <w:t xml:space="preserve">had </w:t>
      </w:r>
      <w:r w:rsidR="008454E5" w:rsidRPr="00E22869">
        <w:rPr>
          <w:szCs w:val="26"/>
        </w:rPr>
        <w:t xml:space="preserve">an emergency </w:t>
      </w:r>
      <w:r w:rsidR="00305F5F" w:rsidRPr="00E22869">
        <w:rPr>
          <w:szCs w:val="26"/>
        </w:rPr>
        <w:t>life-threatening heart condition</w:t>
      </w:r>
      <w:r w:rsidR="008454E5" w:rsidRPr="00E22869">
        <w:rPr>
          <w:szCs w:val="26"/>
        </w:rPr>
        <w:t xml:space="preserve"> and had to be taken to the hospital</w:t>
      </w:r>
      <w:r w:rsidR="00027D60" w:rsidRPr="00E22869">
        <w:rPr>
          <w:szCs w:val="26"/>
        </w:rPr>
        <w:t xml:space="preserve">. </w:t>
      </w:r>
      <w:r w:rsidR="00305F5F" w:rsidRPr="00E22869">
        <w:rPr>
          <w:szCs w:val="26"/>
        </w:rPr>
        <w:t xml:space="preserve"> </w:t>
      </w:r>
      <w:r w:rsidR="00027D60" w:rsidRPr="00E22869">
        <w:rPr>
          <w:szCs w:val="26"/>
        </w:rPr>
        <w:t xml:space="preserve">Because of the foregoing circumstances, </w:t>
      </w:r>
      <w:r w:rsidR="00305F5F" w:rsidRPr="00E22869">
        <w:rPr>
          <w:szCs w:val="26"/>
        </w:rPr>
        <w:t>PECO requested an emergency continuance</w:t>
      </w:r>
      <w:r w:rsidR="00000691" w:rsidRPr="00E22869">
        <w:rPr>
          <w:szCs w:val="26"/>
        </w:rPr>
        <w:t xml:space="preserve"> of the hearing.  Nevertheless, contrary to the Complainant’s Exception, PECO states that </w:t>
      </w:r>
      <w:r w:rsidR="001E6970" w:rsidRPr="00E22869">
        <w:rPr>
          <w:szCs w:val="26"/>
        </w:rPr>
        <w:t xml:space="preserve">Mr. Lerro </w:t>
      </w:r>
      <w:r w:rsidR="008454E5" w:rsidRPr="00E22869">
        <w:rPr>
          <w:szCs w:val="26"/>
        </w:rPr>
        <w:t xml:space="preserve">later </w:t>
      </w:r>
      <w:r w:rsidR="001E6970" w:rsidRPr="00E22869">
        <w:rPr>
          <w:szCs w:val="26"/>
        </w:rPr>
        <w:t>testified at</w:t>
      </w:r>
      <w:r w:rsidR="00305F5F" w:rsidRPr="00E22869">
        <w:rPr>
          <w:szCs w:val="26"/>
        </w:rPr>
        <w:t xml:space="preserve"> </w:t>
      </w:r>
      <w:r w:rsidR="001E6970" w:rsidRPr="00E22869">
        <w:rPr>
          <w:szCs w:val="26"/>
        </w:rPr>
        <w:t xml:space="preserve">the </w:t>
      </w:r>
      <w:r w:rsidR="00305F5F" w:rsidRPr="00E22869">
        <w:rPr>
          <w:szCs w:val="26"/>
        </w:rPr>
        <w:t>July 2014 hearing</w:t>
      </w:r>
      <w:r w:rsidR="008454E5" w:rsidRPr="00E22869">
        <w:rPr>
          <w:szCs w:val="26"/>
        </w:rPr>
        <w:t xml:space="preserve">.  </w:t>
      </w:r>
      <w:r w:rsidR="001E6970" w:rsidRPr="00E22869">
        <w:rPr>
          <w:szCs w:val="26"/>
        </w:rPr>
        <w:t>R. Exc. at 4</w:t>
      </w:r>
      <w:r w:rsidR="002B55A1" w:rsidRPr="00E22869">
        <w:rPr>
          <w:szCs w:val="26"/>
        </w:rPr>
        <w:t>-6</w:t>
      </w:r>
      <w:r w:rsidR="001E6970" w:rsidRPr="00E22869">
        <w:rPr>
          <w:szCs w:val="26"/>
        </w:rPr>
        <w:t>.</w:t>
      </w:r>
    </w:p>
    <w:p w:rsidR="002A4D7C" w:rsidRPr="00E22869" w:rsidRDefault="002A4D7C" w:rsidP="00E22869">
      <w:pPr>
        <w:rPr>
          <w:szCs w:val="26"/>
        </w:rPr>
      </w:pPr>
    </w:p>
    <w:p w:rsidR="000F5B23" w:rsidRPr="00E22869" w:rsidRDefault="003D28A8" w:rsidP="00E22869">
      <w:pPr>
        <w:rPr>
          <w:szCs w:val="26"/>
        </w:rPr>
      </w:pPr>
      <w:r w:rsidRPr="00E22869">
        <w:rPr>
          <w:szCs w:val="26"/>
        </w:rPr>
        <w:t xml:space="preserve">With regard to the Complainant’s statement in it Exception that he intends to file for a CAP.  </w:t>
      </w:r>
      <w:r w:rsidR="000F5B23" w:rsidRPr="00E22869">
        <w:rPr>
          <w:szCs w:val="26"/>
        </w:rPr>
        <w:t xml:space="preserve">PECO </w:t>
      </w:r>
      <w:r w:rsidRPr="00E22869">
        <w:rPr>
          <w:szCs w:val="26"/>
        </w:rPr>
        <w:t xml:space="preserve">explains </w:t>
      </w:r>
      <w:r w:rsidR="000F5B23" w:rsidRPr="00E22869">
        <w:rPr>
          <w:szCs w:val="26"/>
        </w:rPr>
        <w:t xml:space="preserve">that </w:t>
      </w:r>
      <w:r w:rsidR="002B55A1" w:rsidRPr="00E22869">
        <w:rPr>
          <w:szCs w:val="26"/>
        </w:rPr>
        <w:t xml:space="preserve">although PECO </w:t>
      </w:r>
      <w:r w:rsidRPr="00E22869">
        <w:rPr>
          <w:szCs w:val="26"/>
        </w:rPr>
        <w:t>s</w:t>
      </w:r>
      <w:r w:rsidR="002B55A1" w:rsidRPr="00E22869">
        <w:rPr>
          <w:szCs w:val="26"/>
        </w:rPr>
        <w:t>ent the Complainant a</w:t>
      </w:r>
      <w:r w:rsidRPr="00E22869">
        <w:rPr>
          <w:szCs w:val="26"/>
        </w:rPr>
        <w:t xml:space="preserve"> CAP</w:t>
      </w:r>
      <w:r w:rsidR="002B55A1" w:rsidRPr="00E22869">
        <w:rPr>
          <w:szCs w:val="26"/>
        </w:rPr>
        <w:t xml:space="preserve"> application on May 31, 2013, </w:t>
      </w:r>
      <w:r w:rsidR="000F5B23" w:rsidRPr="00E22869">
        <w:rPr>
          <w:szCs w:val="26"/>
        </w:rPr>
        <w:t xml:space="preserve">the </w:t>
      </w:r>
      <w:r w:rsidR="002B55A1" w:rsidRPr="00E22869">
        <w:rPr>
          <w:szCs w:val="26"/>
        </w:rPr>
        <w:t>C</w:t>
      </w:r>
      <w:r w:rsidR="000F5B23" w:rsidRPr="00E22869">
        <w:rPr>
          <w:szCs w:val="26"/>
        </w:rPr>
        <w:t xml:space="preserve">omplainant </w:t>
      </w:r>
      <w:r w:rsidR="002B55A1" w:rsidRPr="00E22869">
        <w:rPr>
          <w:szCs w:val="26"/>
        </w:rPr>
        <w:t xml:space="preserve">never completed the application and </w:t>
      </w:r>
      <w:r w:rsidRPr="00E22869">
        <w:rPr>
          <w:szCs w:val="26"/>
        </w:rPr>
        <w:lastRenderedPageBreak/>
        <w:t xml:space="preserve">consequently </w:t>
      </w:r>
      <w:r w:rsidR="002B55A1" w:rsidRPr="00E22869">
        <w:rPr>
          <w:szCs w:val="26"/>
        </w:rPr>
        <w:t xml:space="preserve">was not enrolled in </w:t>
      </w:r>
      <w:r w:rsidRPr="00E22869">
        <w:rPr>
          <w:szCs w:val="26"/>
        </w:rPr>
        <w:t xml:space="preserve">its </w:t>
      </w:r>
      <w:r w:rsidR="002B55A1" w:rsidRPr="00E22869">
        <w:rPr>
          <w:szCs w:val="26"/>
        </w:rPr>
        <w:t xml:space="preserve">CAP.  Finally, PECO avers that the Complainant </w:t>
      </w:r>
      <w:r w:rsidR="000F5B23" w:rsidRPr="00E22869">
        <w:rPr>
          <w:szCs w:val="26"/>
        </w:rPr>
        <w:t xml:space="preserve">failed </w:t>
      </w:r>
      <w:r w:rsidRPr="00E22869">
        <w:rPr>
          <w:szCs w:val="26"/>
        </w:rPr>
        <w:t xml:space="preserve">to meet </w:t>
      </w:r>
      <w:r w:rsidR="000F5B23" w:rsidRPr="00E22869">
        <w:rPr>
          <w:szCs w:val="26"/>
        </w:rPr>
        <w:t xml:space="preserve">his burden of </w:t>
      </w:r>
      <w:r w:rsidRPr="00E22869">
        <w:rPr>
          <w:szCs w:val="26"/>
        </w:rPr>
        <w:t xml:space="preserve">proof with regard to </w:t>
      </w:r>
      <w:r w:rsidR="000F5B23" w:rsidRPr="00E22869">
        <w:rPr>
          <w:szCs w:val="26"/>
        </w:rPr>
        <w:t xml:space="preserve">high </w:t>
      </w:r>
      <w:r w:rsidRPr="00E22869">
        <w:rPr>
          <w:szCs w:val="26"/>
        </w:rPr>
        <w:t xml:space="preserve">gas and electric </w:t>
      </w:r>
      <w:r w:rsidR="000F5B23" w:rsidRPr="00E22869">
        <w:rPr>
          <w:szCs w:val="26"/>
        </w:rPr>
        <w:t xml:space="preserve">bills. </w:t>
      </w:r>
      <w:r w:rsidR="00027D60" w:rsidRPr="00E22869">
        <w:rPr>
          <w:szCs w:val="26"/>
        </w:rPr>
        <w:t xml:space="preserve"> PECO </w:t>
      </w:r>
      <w:r w:rsidRPr="00E22869">
        <w:rPr>
          <w:szCs w:val="26"/>
        </w:rPr>
        <w:t xml:space="preserve">contends </w:t>
      </w:r>
      <w:r w:rsidR="000F5B23" w:rsidRPr="00E22869">
        <w:rPr>
          <w:szCs w:val="26"/>
        </w:rPr>
        <w:t xml:space="preserve">that </w:t>
      </w:r>
      <w:r w:rsidR="00027D60" w:rsidRPr="00E22869">
        <w:rPr>
          <w:szCs w:val="26"/>
        </w:rPr>
        <w:t xml:space="preserve">the </w:t>
      </w:r>
      <w:r w:rsidRPr="00E22869">
        <w:rPr>
          <w:szCs w:val="26"/>
        </w:rPr>
        <w:t xml:space="preserve">record </w:t>
      </w:r>
      <w:r w:rsidR="000F5B23" w:rsidRPr="00E22869">
        <w:rPr>
          <w:szCs w:val="26"/>
        </w:rPr>
        <w:t>evidence demonstrates that the Complainant’s high bill and meter concerns were properly investigated and addressed</w:t>
      </w:r>
      <w:r w:rsidRPr="00E22869">
        <w:rPr>
          <w:szCs w:val="26"/>
        </w:rPr>
        <w:t xml:space="preserve">.  </w:t>
      </w:r>
      <w:r w:rsidR="00D81FDB" w:rsidRPr="00E22869">
        <w:rPr>
          <w:szCs w:val="26"/>
        </w:rPr>
        <w:t xml:space="preserve">For all of the above reasons, PECO is of the opinion that the Complainant’s Exceptions should be denied and </w:t>
      </w:r>
      <w:r w:rsidR="000F5B23" w:rsidRPr="00E22869">
        <w:rPr>
          <w:szCs w:val="26"/>
        </w:rPr>
        <w:t xml:space="preserve">requests that the Commission uphold the ALJ’s </w:t>
      </w:r>
      <w:r w:rsidR="001E3DAC" w:rsidRPr="00E22869">
        <w:rPr>
          <w:szCs w:val="26"/>
        </w:rPr>
        <w:t>Initial D</w:t>
      </w:r>
      <w:r w:rsidR="000F5B23" w:rsidRPr="00E22869">
        <w:rPr>
          <w:szCs w:val="26"/>
        </w:rPr>
        <w:t xml:space="preserve">ecision </w:t>
      </w:r>
      <w:r w:rsidR="00D81FDB" w:rsidRPr="00E22869">
        <w:rPr>
          <w:szCs w:val="26"/>
        </w:rPr>
        <w:t xml:space="preserve">and </w:t>
      </w:r>
      <w:r w:rsidR="000F5B23" w:rsidRPr="00E22869">
        <w:rPr>
          <w:szCs w:val="26"/>
        </w:rPr>
        <w:t>dismiss</w:t>
      </w:r>
      <w:r w:rsidR="00D81FDB" w:rsidRPr="00E22869">
        <w:rPr>
          <w:szCs w:val="26"/>
        </w:rPr>
        <w:t xml:space="preserve"> </w:t>
      </w:r>
      <w:r w:rsidR="000F5B23" w:rsidRPr="00E22869">
        <w:rPr>
          <w:szCs w:val="26"/>
        </w:rPr>
        <w:t xml:space="preserve">the </w:t>
      </w:r>
      <w:r w:rsidR="001E3DAC" w:rsidRPr="00E22869">
        <w:rPr>
          <w:szCs w:val="26"/>
        </w:rPr>
        <w:t>C</w:t>
      </w:r>
      <w:r w:rsidR="00695D26" w:rsidRPr="00E22869">
        <w:rPr>
          <w:szCs w:val="26"/>
        </w:rPr>
        <w:t>omplaint</w:t>
      </w:r>
      <w:r w:rsidR="000F5B23" w:rsidRPr="00E22869">
        <w:rPr>
          <w:szCs w:val="26"/>
        </w:rPr>
        <w:t xml:space="preserve">.  </w:t>
      </w:r>
      <w:r w:rsidR="003C2F8F" w:rsidRPr="00E22869">
        <w:rPr>
          <w:szCs w:val="26"/>
        </w:rPr>
        <w:t>R. Exc</w:t>
      </w:r>
      <w:r w:rsidR="009F3F6B" w:rsidRPr="00E22869">
        <w:rPr>
          <w:szCs w:val="26"/>
        </w:rPr>
        <w:t>.</w:t>
      </w:r>
      <w:r w:rsidR="000F5B23" w:rsidRPr="00E22869">
        <w:rPr>
          <w:szCs w:val="26"/>
        </w:rPr>
        <w:t xml:space="preserve"> at </w:t>
      </w:r>
      <w:r w:rsidR="002B55A1" w:rsidRPr="00E22869">
        <w:rPr>
          <w:szCs w:val="26"/>
        </w:rPr>
        <w:t>6-7</w:t>
      </w:r>
      <w:r w:rsidR="000F5B23" w:rsidRPr="00E22869">
        <w:rPr>
          <w:szCs w:val="26"/>
        </w:rPr>
        <w:t xml:space="preserve">. </w:t>
      </w:r>
    </w:p>
    <w:p w:rsidR="00305F5F" w:rsidRPr="00E22869" w:rsidRDefault="00305F5F" w:rsidP="00E22869">
      <w:pPr>
        <w:rPr>
          <w:szCs w:val="26"/>
        </w:rPr>
      </w:pPr>
    </w:p>
    <w:p w:rsidR="00D5391B" w:rsidRPr="00E22869" w:rsidRDefault="009E2AAE" w:rsidP="00E22869">
      <w:pPr>
        <w:keepNext/>
        <w:ind w:firstLine="0"/>
        <w:rPr>
          <w:b/>
          <w:szCs w:val="26"/>
        </w:rPr>
      </w:pPr>
      <w:r w:rsidRPr="00E22869">
        <w:rPr>
          <w:b/>
          <w:szCs w:val="26"/>
        </w:rPr>
        <w:t>Disposition</w:t>
      </w:r>
    </w:p>
    <w:p w:rsidR="009E2AAE" w:rsidRPr="00E22869" w:rsidRDefault="009E2AAE" w:rsidP="00E22869">
      <w:pPr>
        <w:keepNext/>
        <w:rPr>
          <w:szCs w:val="26"/>
        </w:rPr>
      </w:pPr>
    </w:p>
    <w:p w:rsidR="0088626E" w:rsidRPr="00E22869" w:rsidRDefault="0014052C" w:rsidP="00E22869">
      <w:pPr>
        <w:rPr>
          <w:szCs w:val="26"/>
        </w:rPr>
      </w:pPr>
      <w:r w:rsidRPr="00E22869">
        <w:rPr>
          <w:szCs w:val="26"/>
        </w:rPr>
        <w:t>Based upon our review of the record in this proceeding, we will deny the Complainant</w:t>
      </w:r>
      <w:r w:rsidR="00635917" w:rsidRPr="00E22869">
        <w:rPr>
          <w:szCs w:val="26"/>
        </w:rPr>
        <w:t>’s</w:t>
      </w:r>
      <w:r w:rsidRPr="00E22869">
        <w:rPr>
          <w:szCs w:val="26"/>
        </w:rPr>
        <w:t xml:space="preserve"> Exceptions and dismiss the Complaint.  First, with regard to the </w:t>
      </w:r>
      <w:r w:rsidR="0088626E" w:rsidRPr="00E22869">
        <w:rPr>
          <w:szCs w:val="26"/>
        </w:rPr>
        <w:t>Complainant</w:t>
      </w:r>
      <w:r w:rsidR="00635917" w:rsidRPr="00E22869">
        <w:rPr>
          <w:szCs w:val="26"/>
        </w:rPr>
        <w:t>’</w:t>
      </w:r>
      <w:r w:rsidR="0088626E" w:rsidRPr="00E22869">
        <w:rPr>
          <w:szCs w:val="26"/>
        </w:rPr>
        <w:t xml:space="preserve">s historical usage information submitted by PECO indicates that the electricity usage recorded by PECO </w:t>
      </w:r>
      <w:r w:rsidR="006A43EB" w:rsidRPr="00E22869">
        <w:rPr>
          <w:szCs w:val="26"/>
        </w:rPr>
        <w:t xml:space="preserve">never reached the maximum potential for gas as well as electric </w:t>
      </w:r>
      <w:r w:rsidR="0088626E" w:rsidRPr="00E22869">
        <w:rPr>
          <w:szCs w:val="26"/>
        </w:rPr>
        <w:t xml:space="preserve">during the period from </w:t>
      </w:r>
      <w:r w:rsidR="006A43EB" w:rsidRPr="00E22869">
        <w:rPr>
          <w:szCs w:val="26"/>
        </w:rPr>
        <w:t>November 2012 through September 2013.</w:t>
      </w:r>
      <w:r w:rsidR="0088626E" w:rsidRPr="00E22869">
        <w:rPr>
          <w:szCs w:val="26"/>
        </w:rPr>
        <w:t xml:space="preserve">  </w:t>
      </w:r>
      <w:r w:rsidR="0016430B" w:rsidRPr="00E22869">
        <w:rPr>
          <w:szCs w:val="26"/>
        </w:rPr>
        <w:t xml:space="preserve">The ALJ noted that </w:t>
      </w:r>
      <w:r w:rsidR="00D81FDB" w:rsidRPr="00E22869">
        <w:rPr>
          <w:szCs w:val="26"/>
        </w:rPr>
        <w:t>t</w:t>
      </w:r>
      <w:r w:rsidR="0016430B" w:rsidRPr="00E22869">
        <w:rPr>
          <w:szCs w:val="26"/>
        </w:rPr>
        <w:t xml:space="preserve">he Complainant </w:t>
      </w:r>
      <w:r w:rsidR="00D81FDB" w:rsidRPr="00E22869">
        <w:rPr>
          <w:szCs w:val="26"/>
        </w:rPr>
        <w:t>a</w:t>
      </w:r>
      <w:r w:rsidR="0016430B" w:rsidRPr="00E22869">
        <w:rPr>
          <w:szCs w:val="26"/>
        </w:rPr>
        <w:t xml:space="preserve">dmitted that during 2013-2014, </w:t>
      </w:r>
      <w:r w:rsidR="00D81FDB" w:rsidRPr="00E22869">
        <w:rPr>
          <w:szCs w:val="26"/>
        </w:rPr>
        <w:t xml:space="preserve">that </w:t>
      </w:r>
      <w:r w:rsidR="0016430B" w:rsidRPr="00E22869">
        <w:rPr>
          <w:szCs w:val="26"/>
        </w:rPr>
        <w:t xml:space="preserve">he supplemented his gas heating with electric space heaters since his gas heater were unreliable.  Because of this supplemental usage, the ALJ looked at the combined usage of gas and electric during the heating season of 2012-13 and 2013-2014 and found that the usage were comparable.  </w:t>
      </w:r>
      <w:r w:rsidR="00D81FDB" w:rsidRPr="00E22869">
        <w:rPr>
          <w:szCs w:val="26"/>
        </w:rPr>
        <w:t>In this regard, we</w:t>
      </w:r>
      <w:r w:rsidR="0088626E" w:rsidRPr="00E22869">
        <w:rPr>
          <w:szCs w:val="26"/>
        </w:rPr>
        <w:t xml:space="preserve"> agree with the ALJ that the Complainant did not meet </w:t>
      </w:r>
      <w:r w:rsidR="00A15061" w:rsidRPr="00E22869">
        <w:rPr>
          <w:szCs w:val="26"/>
        </w:rPr>
        <w:t xml:space="preserve">his </w:t>
      </w:r>
      <w:r w:rsidR="0088626E" w:rsidRPr="00E22869">
        <w:rPr>
          <w:szCs w:val="26"/>
        </w:rPr>
        <w:t xml:space="preserve">burden of proof regarding </w:t>
      </w:r>
      <w:r w:rsidR="006A43EB" w:rsidRPr="00E22869">
        <w:rPr>
          <w:szCs w:val="26"/>
        </w:rPr>
        <w:t>his</w:t>
      </w:r>
      <w:r w:rsidR="0088626E" w:rsidRPr="00E22869">
        <w:rPr>
          <w:szCs w:val="26"/>
        </w:rPr>
        <w:t xml:space="preserve"> high bill allegations.</w:t>
      </w:r>
    </w:p>
    <w:p w:rsidR="00414CF6" w:rsidRPr="00E22869" w:rsidRDefault="00414CF6" w:rsidP="00E22869">
      <w:pPr>
        <w:ind w:firstLine="0"/>
        <w:rPr>
          <w:szCs w:val="26"/>
        </w:rPr>
      </w:pPr>
    </w:p>
    <w:p w:rsidR="0014052C" w:rsidRPr="00E22869" w:rsidRDefault="00414CF6" w:rsidP="00E22869">
      <w:pPr>
        <w:ind w:firstLine="720"/>
        <w:rPr>
          <w:szCs w:val="26"/>
        </w:rPr>
      </w:pPr>
      <w:r w:rsidRPr="00E22869">
        <w:rPr>
          <w:szCs w:val="26"/>
        </w:rPr>
        <w:tab/>
        <w:t>W</w:t>
      </w:r>
      <w:r w:rsidR="0088626E" w:rsidRPr="00E22869">
        <w:rPr>
          <w:szCs w:val="26"/>
        </w:rPr>
        <w:t xml:space="preserve">ith regard to the </w:t>
      </w:r>
      <w:r w:rsidR="0014052C" w:rsidRPr="00E22869">
        <w:rPr>
          <w:szCs w:val="26"/>
        </w:rPr>
        <w:t>Complainant</w:t>
      </w:r>
      <w:r w:rsidR="00635917" w:rsidRPr="00E22869">
        <w:rPr>
          <w:szCs w:val="26"/>
        </w:rPr>
        <w:t>’</w:t>
      </w:r>
      <w:r w:rsidR="00D81FDB" w:rsidRPr="00E22869">
        <w:rPr>
          <w:szCs w:val="26"/>
        </w:rPr>
        <w:t xml:space="preserve">s request for a more favorable </w:t>
      </w:r>
      <w:r w:rsidR="0014052C" w:rsidRPr="00E22869">
        <w:rPr>
          <w:szCs w:val="26"/>
        </w:rPr>
        <w:t xml:space="preserve">payment agreement, the record clearly reflects that the Complainant defaulted on </w:t>
      </w:r>
      <w:r w:rsidR="00D81FDB" w:rsidRPr="00E22869">
        <w:rPr>
          <w:szCs w:val="26"/>
        </w:rPr>
        <w:t xml:space="preserve">the </w:t>
      </w:r>
      <w:r w:rsidR="0014052C" w:rsidRPr="00E22869">
        <w:rPr>
          <w:szCs w:val="26"/>
        </w:rPr>
        <w:t xml:space="preserve">Commission-issued payment arrangement </w:t>
      </w:r>
      <w:r w:rsidR="00D81FDB" w:rsidRPr="00E22869">
        <w:rPr>
          <w:szCs w:val="26"/>
        </w:rPr>
        <w:t xml:space="preserve">that was established </w:t>
      </w:r>
      <w:r w:rsidR="0014052C" w:rsidRPr="00E22869">
        <w:rPr>
          <w:szCs w:val="26"/>
        </w:rPr>
        <w:t>on July 18, 2013</w:t>
      </w:r>
      <w:r w:rsidR="002E6301" w:rsidRPr="00E22869">
        <w:rPr>
          <w:szCs w:val="26"/>
        </w:rPr>
        <w:t>, at BCS Case No. </w:t>
      </w:r>
      <w:r w:rsidR="0014052C" w:rsidRPr="00E22869">
        <w:rPr>
          <w:szCs w:val="26"/>
        </w:rPr>
        <w:t xml:space="preserve">3100030.  In addition, the Complainant failed to </w:t>
      </w:r>
      <w:r w:rsidR="0088626E" w:rsidRPr="00E22869">
        <w:rPr>
          <w:szCs w:val="26"/>
        </w:rPr>
        <w:t>provide any evidence of a change in income</w:t>
      </w:r>
      <w:r w:rsidR="00D81FDB" w:rsidRPr="00E22869">
        <w:rPr>
          <w:szCs w:val="26"/>
        </w:rPr>
        <w:t xml:space="preserve"> that may have qualified him for another payment arrangement</w:t>
      </w:r>
      <w:r w:rsidR="0088626E" w:rsidRPr="00E22869">
        <w:rPr>
          <w:szCs w:val="26"/>
        </w:rPr>
        <w:t>.</w:t>
      </w:r>
      <w:r w:rsidR="0014052C" w:rsidRPr="00E22869">
        <w:rPr>
          <w:szCs w:val="26"/>
        </w:rPr>
        <w:t xml:space="preserve">  </w:t>
      </w:r>
      <w:r w:rsidR="00D81FDB" w:rsidRPr="00E22869">
        <w:rPr>
          <w:szCs w:val="26"/>
        </w:rPr>
        <w:t>In this regard, we agree with the ALJ that</w:t>
      </w:r>
      <w:r w:rsidR="00E22869" w:rsidRPr="00E22869">
        <w:rPr>
          <w:rFonts w:eastAsia="Calibri"/>
          <w:szCs w:val="26"/>
        </w:rPr>
        <w:t xml:space="preserve"> p</w:t>
      </w:r>
      <w:r w:rsidR="00E22869" w:rsidRPr="00E22869">
        <w:rPr>
          <w:szCs w:val="26"/>
        </w:rPr>
        <w:t xml:space="preserve">ursuant to Section 1405(d) of the Code, 66 Pa.C.S. § 1405(d), we are prohibited by statute to issue a payment agreement in this case because there is no </w:t>
      </w:r>
      <w:r w:rsidR="00E22869" w:rsidRPr="00E22869">
        <w:rPr>
          <w:szCs w:val="26"/>
        </w:rPr>
        <w:lastRenderedPageBreak/>
        <w:t xml:space="preserve">change in income and the Complainant has defaulted on a previous Commission-issued payment agreement.  Accordingly, we shall deny the Exceptions and adopt the ALJ’s Initial Decision which dismissed the Complaint.  </w:t>
      </w:r>
    </w:p>
    <w:p w:rsidR="00C2256F" w:rsidRPr="00E22869" w:rsidRDefault="00C2256F" w:rsidP="00E22869">
      <w:pPr>
        <w:ind w:firstLine="720"/>
        <w:rPr>
          <w:szCs w:val="26"/>
        </w:rPr>
      </w:pPr>
    </w:p>
    <w:p w:rsidR="00370349" w:rsidRPr="00E22869" w:rsidRDefault="00370349" w:rsidP="00E22869">
      <w:pPr>
        <w:ind w:firstLine="0"/>
        <w:jc w:val="center"/>
        <w:rPr>
          <w:b/>
          <w:szCs w:val="26"/>
        </w:rPr>
      </w:pPr>
      <w:r w:rsidRPr="00E22869">
        <w:rPr>
          <w:b/>
          <w:szCs w:val="26"/>
        </w:rPr>
        <w:t>Conclusion</w:t>
      </w:r>
    </w:p>
    <w:p w:rsidR="00EE6249" w:rsidRPr="00E22869" w:rsidRDefault="00EE6249" w:rsidP="00E22869">
      <w:pPr>
        <w:ind w:firstLine="0"/>
        <w:jc w:val="center"/>
        <w:rPr>
          <w:szCs w:val="26"/>
        </w:rPr>
      </w:pPr>
    </w:p>
    <w:p w:rsidR="00E919F9" w:rsidRPr="00E22869" w:rsidRDefault="00370349" w:rsidP="00E22869">
      <w:pPr>
        <w:rPr>
          <w:b/>
          <w:szCs w:val="26"/>
        </w:rPr>
      </w:pPr>
      <w:r w:rsidRPr="00E22869">
        <w:rPr>
          <w:spacing w:val="-3"/>
          <w:szCs w:val="26"/>
        </w:rPr>
        <w:t xml:space="preserve">Upon </w:t>
      </w:r>
      <w:r w:rsidR="00B8689D" w:rsidRPr="00E22869">
        <w:rPr>
          <w:spacing w:val="-3"/>
          <w:szCs w:val="26"/>
        </w:rPr>
        <w:t xml:space="preserve">our </w:t>
      </w:r>
      <w:r w:rsidRPr="00E22869">
        <w:rPr>
          <w:spacing w:val="-3"/>
          <w:szCs w:val="26"/>
        </w:rPr>
        <w:t>review and consideration of the record evidence</w:t>
      </w:r>
      <w:r w:rsidR="00D85745" w:rsidRPr="00E22869">
        <w:rPr>
          <w:spacing w:val="-3"/>
          <w:szCs w:val="26"/>
        </w:rPr>
        <w:t>,</w:t>
      </w:r>
      <w:r w:rsidRPr="00E22869">
        <w:rPr>
          <w:spacing w:val="-3"/>
          <w:szCs w:val="26"/>
        </w:rPr>
        <w:t xml:space="preserve"> </w:t>
      </w:r>
      <w:r w:rsidR="002710D4" w:rsidRPr="00E22869">
        <w:rPr>
          <w:szCs w:val="26"/>
        </w:rPr>
        <w:t xml:space="preserve">we </w:t>
      </w:r>
      <w:r w:rsidR="00EA4D85" w:rsidRPr="00E22869">
        <w:rPr>
          <w:szCs w:val="26"/>
        </w:rPr>
        <w:t xml:space="preserve">shall </w:t>
      </w:r>
      <w:r w:rsidR="001260D9" w:rsidRPr="00E22869">
        <w:rPr>
          <w:szCs w:val="26"/>
        </w:rPr>
        <w:t>deny</w:t>
      </w:r>
      <w:r w:rsidR="004F21E9" w:rsidRPr="00E22869">
        <w:rPr>
          <w:szCs w:val="26"/>
        </w:rPr>
        <w:t xml:space="preserve"> </w:t>
      </w:r>
      <w:r w:rsidR="00D85745" w:rsidRPr="00E22869">
        <w:rPr>
          <w:szCs w:val="26"/>
        </w:rPr>
        <w:t xml:space="preserve">the </w:t>
      </w:r>
      <w:r w:rsidR="004F21E9" w:rsidRPr="00E22869">
        <w:rPr>
          <w:szCs w:val="26"/>
        </w:rPr>
        <w:t>Complainant’s Exception</w:t>
      </w:r>
      <w:r w:rsidR="006735B6" w:rsidRPr="00E22869">
        <w:rPr>
          <w:szCs w:val="26"/>
        </w:rPr>
        <w:t xml:space="preserve">s </w:t>
      </w:r>
      <w:r w:rsidR="00E22869" w:rsidRPr="00E22869">
        <w:rPr>
          <w:szCs w:val="26"/>
        </w:rPr>
        <w:t xml:space="preserve">and uphold the ALJ’s Initial Decision </w:t>
      </w:r>
      <w:r w:rsidR="006735B6" w:rsidRPr="00E22869">
        <w:rPr>
          <w:szCs w:val="26"/>
        </w:rPr>
        <w:t xml:space="preserve">consistent with </w:t>
      </w:r>
      <w:r w:rsidR="00B8689D" w:rsidRPr="00E22869">
        <w:rPr>
          <w:szCs w:val="26"/>
        </w:rPr>
        <w:t>the foregoing discussion</w:t>
      </w:r>
      <w:r w:rsidR="009228C4" w:rsidRPr="00E22869">
        <w:rPr>
          <w:szCs w:val="26"/>
        </w:rPr>
        <w:t xml:space="preserve">; </w:t>
      </w:r>
      <w:r w:rsidR="00045D50" w:rsidRPr="00E22869">
        <w:rPr>
          <w:b/>
          <w:szCs w:val="26"/>
        </w:rPr>
        <w:t>THEREFORE;</w:t>
      </w:r>
    </w:p>
    <w:p w:rsidR="009228C4" w:rsidRPr="00E22869" w:rsidRDefault="009228C4" w:rsidP="00E22869">
      <w:pPr>
        <w:ind w:firstLine="0"/>
        <w:rPr>
          <w:szCs w:val="26"/>
        </w:rPr>
      </w:pPr>
    </w:p>
    <w:p w:rsidR="00F930D7" w:rsidRPr="00E22869" w:rsidRDefault="00F930D7" w:rsidP="00E22869">
      <w:pPr>
        <w:rPr>
          <w:szCs w:val="26"/>
        </w:rPr>
      </w:pPr>
      <w:r w:rsidRPr="00E22869">
        <w:rPr>
          <w:b/>
          <w:szCs w:val="26"/>
        </w:rPr>
        <w:t>IT IS ORDERED:</w:t>
      </w:r>
    </w:p>
    <w:p w:rsidR="00F930D7" w:rsidRPr="00E22869" w:rsidRDefault="00F930D7" w:rsidP="00E22869">
      <w:pPr>
        <w:tabs>
          <w:tab w:val="left" w:pos="-720"/>
        </w:tabs>
        <w:spacing w:line="240" w:lineRule="auto"/>
        <w:rPr>
          <w:szCs w:val="26"/>
        </w:rPr>
      </w:pPr>
    </w:p>
    <w:p w:rsidR="0071426C" w:rsidRPr="00E22869" w:rsidRDefault="00E87F92" w:rsidP="00E22869">
      <w:pPr>
        <w:numPr>
          <w:ilvl w:val="0"/>
          <w:numId w:val="47"/>
        </w:numPr>
        <w:tabs>
          <w:tab w:val="left" w:pos="-720"/>
        </w:tabs>
        <w:ind w:left="0" w:firstLine="1440"/>
        <w:rPr>
          <w:szCs w:val="26"/>
        </w:rPr>
      </w:pPr>
      <w:r w:rsidRPr="00E22869">
        <w:rPr>
          <w:szCs w:val="26"/>
        </w:rPr>
        <w:t xml:space="preserve">That the Exceptions </w:t>
      </w:r>
      <w:r w:rsidR="009B2B7B" w:rsidRPr="00E22869">
        <w:rPr>
          <w:szCs w:val="26"/>
        </w:rPr>
        <w:t xml:space="preserve">of </w:t>
      </w:r>
      <w:r w:rsidR="001260D9" w:rsidRPr="00E22869">
        <w:rPr>
          <w:szCs w:val="26"/>
        </w:rPr>
        <w:t>George Gadsden</w:t>
      </w:r>
      <w:r w:rsidR="00174B74" w:rsidRPr="00E22869">
        <w:rPr>
          <w:szCs w:val="26"/>
        </w:rPr>
        <w:t xml:space="preserve"> </w:t>
      </w:r>
      <w:r w:rsidR="00056736" w:rsidRPr="00E22869">
        <w:rPr>
          <w:szCs w:val="26"/>
        </w:rPr>
        <w:t xml:space="preserve">filed on </w:t>
      </w:r>
      <w:r w:rsidR="001260D9" w:rsidRPr="00E22869">
        <w:rPr>
          <w:szCs w:val="26"/>
        </w:rPr>
        <w:t>January</w:t>
      </w:r>
      <w:r w:rsidR="00056736" w:rsidRPr="00E22869">
        <w:rPr>
          <w:szCs w:val="26"/>
        </w:rPr>
        <w:t xml:space="preserve"> </w:t>
      </w:r>
      <w:r w:rsidR="004F21E9" w:rsidRPr="00E22869">
        <w:rPr>
          <w:szCs w:val="26"/>
        </w:rPr>
        <w:t>2</w:t>
      </w:r>
      <w:r w:rsidR="001260D9" w:rsidRPr="00E22869">
        <w:rPr>
          <w:szCs w:val="26"/>
        </w:rPr>
        <w:t>2</w:t>
      </w:r>
      <w:r w:rsidR="00056736" w:rsidRPr="00E22869">
        <w:rPr>
          <w:szCs w:val="26"/>
        </w:rPr>
        <w:t>, 201</w:t>
      </w:r>
      <w:r w:rsidR="001260D9" w:rsidRPr="00E22869">
        <w:rPr>
          <w:szCs w:val="26"/>
        </w:rPr>
        <w:t>5</w:t>
      </w:r>
      <w:r w:rsidR="00056736" w:rsidRPr="00E22869">
        <w:rPr>
          <w:szCs w:val="26"/>
        </w:rPr>
        <w:t xml:space="preserve">, </w:t>
      </w:r>
      <w:r w:rsidR="00174B74" w:rsidRPr="00E22869">
        <w:rPr>
          <w:szCs w:val="26"/>
        </w:rPr>
        <w:t>t</w:t>
      </w:r>
      <w:r w:rsidRPr="00E22869">
        <w:rPr>
          <w:szCs w:val="26"/>
        </w:rPr>
        <w:t xml:space="preserve">o the </w:t>
      </w:r>
      <w:r w:rsidR="005D327E" w:rsidRPr="00E22869">
        <w:rPr>
          <w:szCs w:val="26"/>
        </w:rPr>
        <w:t xml:space="preserve">Initial </w:t>
      </w:r>
      <w:r w:rsidRPr="00E22869">
        <w:rPr>
          <w:szCs w:val="26"/>
        </w:rPr>
        <w:t xml:space="preserve">Decision of Administrative Law </w:t>
      </w:r>
      <w:r w:rsidR="00347EB2" w:rsidRPr="00E22869">
        <w:rPr>
          <w:szCs w:val="26"/>
        </w:rPr>
        <w:t xml:space="preserve">Judge </w:t>
      </w:r>
      <w:r w:rsidR="004F21E9" w:rsidRPr="00E22869">
        <w:rPr>
          <w:szCs w:val="26"/>
        </w:rPr>
        <w:t>Angela T. Jones</w:t>
      </w:r>
      <w:r w:rsidR="0071426C" w:rsidRPr="00E22869">
        <w:rPr>
          <w:szCs w:val="26"/>
        </w:rPr>
        <w:t xml:space="preserve"> </w:t>
      </w:r>
      <w:r w:rsidR="00D85745" w:rsidRPr="00E22869">
        <w:rPr>
          <w:szCs w:val="26"/>
        </w:rPr>
        <w:t>are</w:t>
      </w:r>
      <w:r w:rsidR="00DC55F3" w:rsidRPr="00E22869">
        <w:rPr>
          <w:szCs w:val="26"/>
        </w:rPr>
        <w:t xml:space="preserve"> </w:t>
      </w:r>
      <w:r w:rsidR="00A46B68" w:rsidRPr="00E22869">
        <w:rPr>
          <w:szCs w:val="26"/>
        </w:rPr>
        <w:t>denied</w:t>
      </w:r>
      <w:r w:rsidR="00B8689D" w:rsidRPr="00E22869">
        <w:rPr>
          <w:szCs w:val="26"/>
        </w:rPr>
        <w:t xml:space="preserve"> consistent with this Opinion and Order</w:t>
      </w:r>
      <w:r w:rsidR="00274573" w:rsidRPr="00E22869">
        <w:rPr>
          <w:szCs w:val="26"/>
        </w:rPr>
        <w:t xml:space="preserve">. </w:t>
      </w:r>
    </w:p>
    <w:p w:rsidR="00996C41" w:rsidRPr="00E22869" w:rsidRDefault="00996C41" w:rsidP="00E22869">
      <w:pPr>
        <w:tabs>
          <w:tab w:val="left" w:pos="-720"/>
        </w:tabs>
        <w:suppressAutoHyphens/>
        <w:ind w:left="1440" w:firstLine="0"/>
        <w:rPr>
          <w:szCs w:val="26"/>
        </w:rPr>
      </w:pPr>
    </w:p>
    <w:p w:rsidR="00205931" w:rsidRPr="00E22869" w:rsidRDefault="0071426C" w:rsidP="00E22869">
      <w:pPr>
        <w:numPr>
          <w:ilvl w:val="0"/>
          <w:numId w:val="47"/>
        </w:numPr>
        <w:tabs>
          <w:tab w:val="left" w:pos="-720"/>
        </w:tabs>
        <w:suppressAutoHyphens/>
        <w:ind w:left="0" w:firstLine="1440"/>
        <w:rPr>
          <w:szCs w:val="26"/>
        </w:rPr>
      </w:pPr>
      <w:r w:rsidRPr="00E22869">
        <w:rPr>
          <w:szCs w:val="26"/>
        </w:rPr>
        <w:t xml:space="preserve">That the </w:t>
      </w:r>
      <w:r w:rsidR="005D327E" w:rsidRPr="00E22869">
        <w:rPr>
          <w:szCs w:val="26"/>
        </w:rPr>
        <w:t>Initial</w:t>
      </w:r>
      <w:r w:rsidRPr="00E22869">
        <w:rPr>
          <w:szCs w:val="26"/>
        </w:rPr>
        <w:t xml:space="preserve"> Decision of </w:t>
      </w:r>
      <w:r w:rsidR="00274573" w:rsidRPr="00E22869">
        <w:rPr>
          <w:szCs w:val="26"/>
        </w:rPr>
        <w:t>Administrative Law Judge</w:t>
      </w:r>
      <w:r w:rsidR="00623BCF" w:rsidRPr="00E22869">
        <w:rPr>
          <w:szCs w:val="26"/>
        </w:rPr>
        <w:t xml:space="preserve"> </w:t>
      </w:r>
      <w:r w:rsidR="004F21E9" w:rsidRPr="00E22869">
        <w:rPr>
          <w:szCs w:val="26"/>
        </w:rPr>
        <w:t>Angela</w:t>
      </w:r>
      <w:r w:rsidR="00E22869" w:rsidRPr="00E22869">
        <w:rPr>
          <w:szCs w:val="26"/>
        </w:rPr>
        <w:t> </w:t>
      </w:r>
      <w:r w:rsidR="004F21E9" w:rsidRPr="00E22869">
        <w:rPr>
          <w:szCs w:val="26"/>
        </w:rPr>
        <w:t>T.</w:t>
      </w:r>
      <w:r w:rsidR="00E22869" w:rsidRPr="00E22869">
        <w:rPr>
          <w:szCs w:val="26"/>
        </w:rPr>
        <w:t> </w:t>
      </w:r>
      <w:r w:rsidR="004F21E9" w:rsidRPr="00E22869">
        <w:rPr>
          <w:szCs w:val="26"/>
        </w:rPr>
        <w:t>Jones</w:t>
      </w:r>
      <w:r w:rsidR="00274573" w:rsidRPr="00E22869">
        <w:rPr>
          <w:szCs w:val="26"/>
        </w:rPr>
        <w:t xml:space="preserve">, issued </w:t>
      </w:r>
      <w:r w:rsidR="0006108E" w:rsidRPr="00E22869">
        <w:rPr>
          <w:szCs w:val="26"/>
        </w:rPr>
        <w:t xml:space="preserve">December </w:t>
      </w:r>
      <w:r w:rsidR="00FF14FA" w:rsidRPr="00E22869">
        <w:rPr>
          <w:szCs w:val="26"/>
        </w:rPr>
        <w:t>2</w:t>
      </w:r>
      <w:r w:rsidR="0006108E" w:rsidRPr="00E22869">
        <w:rPr>
          <w:szCs w:val="26"/>
        </w:rPr>
        <w:t>4</w:t>
      </w:r>
      <w:r w:rsidR="00274573" w:rsidRPr="00E22869">
        <w:rPr>
          <w:szCs w:val="26"/>
        </w:rPr>
        <w:t>, 201</w:t>
      </w:r>
      <w:r w:rsidR="00FF14FA" w:rsidRPr="00E22869">
        <w:rPr>
          <w:szCs w:val="26"/>
        </w:rPr>
        <w:t>4</w:t>
      </w:r>
      <w:r w:rsidR="00274573" w:rsidRPr="00E22869">
        <w:rPr>
          <w:szCs w:val="26"/>
        </w:rPr>
        <w:t xml:space="preserve">, is </w:t>
      </w:r>
      <w:r w:rsidR="004F21E9" w:rsidRPr="00E22869">
        <w:rPr>
          <w:szCs w:val="26"/>
        </w:rPr>
        <w:t>adopted</w:t>
      </w:r>
      <w:r w:rsidR="007941C2" w:rsidRPr="00E22869">
        <w:rPr>
          <w:szCs w:val="26"/>
        </w:rPr>
        <w:t>.</w:t>
      </w:r>
    </w:p>
    <w:p w:rsidR="007941C2" w:rsidRPr="00E22869" w:rsidRDefault="007941C2" w:rsidP="00E22869">
      <w:pPr>
        <w:tabs>
          <w:tab w:val="left" w:pos="-720"/>
        </w:tabs>
        <w:suppressAutoHyphens/>
        <w:ind w:left="1440" w:firstLine="0"/>
        <w:rPr>
          <w:szCs w:val="26"/>
        </w:rPr>
      </w:pPr>
    </w:p>
    <w:p w:rsidR="00B35B68" w:rsidRPr="00E22869" w:rsidRDefault="00B35B68" w:rsidP="00E22869">
      <w:pPr>
        <w:numPr>
          <w:ilvl w:val="0"/>
          <w:numId w:val="47"/>
        </w:numPr>
        <w:tabs>
          <w:tab w:val="left" w:pos="-720"/>
        </w:tabs>
        <w:suppressAutoHyphens/>
        <w:ind w:left="0" w:firstLine="1440"/>
        <w:rPr>
          <w:szCs w:val="26"/>
        </w:rPr>
      </w:pPr>
      <w:r w:rsidRPr="00E22869">
        <w:rPr>
          <w:szCs w:val="26"/>
        </w:rPr>
        <w:t xml:space="preserve">That the </w:t>
      </w:r>
      <w:r w:rsidR="00E22869" w:rsidRPr="00E22869">
        <w:rPr>
          <w:szCs w:val="26"/>
        </w:rPr>
        <w:t xml:space="preserve">Formal </w:t>
      </w:r>
      <w:r w:rsidR="00E07226" w:rsidRPr="00E22869">
        <w:rPr>
          <w:szCs w:val="26"/>
        </w:rPr>
        <w:t xml:space="preserve">Complaint </w:t>
      </w:r>
      <w:r w:rsidR="00621848" w:rsidRPr="00E22869">
        <w:rPr>
          <w:szCs w:val="26"/>
        </w:rPr>
        <w:t xml:space="preserve">filed by </w:t>
      </w:r>
      <w:r w:rsidR="00FF14FA" w:rsidRPr="00E22869">
        <w:rPr>
          <w:szCs w:val="26"/>
        </w:rPr>
        <w:t>George Gadsden</w:t>
      </w:r>
      <w:r w:rsidR="00483EE9" w:rsidRPr="00E22869">
        <w:rPr>
          <w:szCs w:val="26"/>
        </w:rPr>
        <w:t xml:space="preserve"> </w:t>
      </w:r>
      <w:r w:rsidR="00597DAA" w:rsidRPr="00E22869">
        <w:rPr>
          <w:szCs w:val="26"/>
        </w:rPr>
        <w:t xml:space="preserve">against PECO Energy Company </w:t>
      </w:r>
      <w:r w:rsidR="00483EE9" w:rsidRPr="00E22869">
        <w:rPr>
          <w:szCs w:val="26"/>
        </w:rPr>
        <w:t xml:space="preserve">on </w:t>
      </w:r>
      <w:r w:rsidR="001260D9" w:rsidRPr="00E22869">
        <w:rPr>
          <w:szCs w:val="26"/>
        </w:rPr>
        <w:t>August</w:t>
      </w:r>
      <w:r w:rsidR="00597DAA" w:rsidRPr="00E22869">
        <w:rPr>
          <w:szCs w:val="26"/>
        </w:rPr>
        <w:t xml:space="preserve"> </w:t>
      </w:r>
      <w:r w:rsidR="001260D9" w:rsidRPr="00E22869">
        <w:rPr>
          <w:szCs w:val="26"/>
        </w:rPr>
        <w:t>27</w:t>
      </w:r>
      <w:r w:rsidR="00597DAA" w:rsidRPr="00E22869">
        <w:rPr>
          <w:szCs w:val="26"/>
        </w:rPr>
        <w:t>, 201</w:t>
      </w:r>
      <w:r w:rsidR="001260D9" w:rsidRPr="00E22869">
        <w:rPr>
          <w:szCs w:val="26"/>
        </w:rPr>
        <w:t>3</w:t>
      </w:r>
      <w:r w:rsidR="00483EE9" w:rsidRPr="00E22869">
        <w:rPr>
          <w:szCs w:val="26"/>
        </w:rPr>
        <w:t xml:space="preserve">, </w:t>
      </w:r>
      <w:r w:rsidR="00C77B04" w:rsidRPr="00E22869">
        <w:rPr>
          <w:szCs w:val="26"/>
        </w:rPr>
        <w:t xml:space="preserve">at Docket </w:t>
      </w:r>
      <w:r w:rsidR="00597DAA" w:rsidRPr="00E22869">
        <w:rPr>
          <w:szCs w:val="26"/>
        </w:rPr>
        <w:t>No. C-201</w:t>
      </w:r>
      <w:r w:rsidR="001260D9" w:rsidRPr="00E22869">
        <w:rPr>
          <w:szCs w:val="26"/>
        </w:rPr>
        <w:t>3</w:t>
      </w:r>
      <w:r w:rsidR="00597DAA" w:rsidRPr="00E22869">
        <w:rPr>
          <w:szCs w:val="26"/>
        </w:rPr>
        <w:t>-2</w:t>
      </w:r>
      <w:r w:rsidR="001260D9" w:rsidRPr="00E22869">
        <w:rPr>
          <w:szCs w:val="26"/>
        </w:rPr>
        <w:t>38</w:t>
      </w:r>
      <w:r w:rsidR="00597DAA" w:rsidRPr="00E22869">
        <w:rPr>
          <w:szCs w:val="26"/>
        </w:rPr>
        <w:t>11</w:t>
      </w:r>
      <w:r w:rsidR="001260D9" w:rsidRPr="00E22869">
        <w:rPr>
          <w:szCs w:val="26"/>
        </w:rPr>
        <w:t>30</w:t>
      </w:r>
      <w:r w:rsidR="00C77B04" w:rsidRPr="00E22869">
        <w:rPr>
          <w:szCs w:val="26"/>
        </w:rPr>
        <w:t xml:space="preserve"> </w:t>
      </w:r>
      <w:r w:rsidR="00483EE9" w:rsidRPr="00E22869">
        <w:rPr>
          <w:szCs w:val="26"/>
        </w:rPr>
        <w:t>is</w:t>
      </w:r>
      <w:r w:rsidR="00205931" w:rsidRPr="00E22869">
        <w:rPr>
          <w:szCs w:val="26"/>
        </w:rPr>
        <w:t xml:space="preserve"> dismissed</w:t>
      </w:r>
      <w:r w:rsidR="002B2C7A" w:rsidRPr="00E22869">
        <w:rPr>
          <w:szCs w:val="26"/>
        </w:rPr>
        <w:t xml:space="preserve">. </w:t>
      </w:r>
      <w:r w:rsidR="00146048" w:rsidRPr="00E22869">
        <w:rPr>
          <w:szCs w:val="26"/>
        </w:rPr>
        <w:t xml:space="preserve"> </w:t>
      </w:r>
    </w:p>
    <w:p w:rsidR="00146048" w:rsidRPr="00E22869" w:rsidRDefault="00146048" w:rsidP="00E22869">
      <w:pPr>
        <w:tabs>
          <w:tab w:val="left" w:pos="-720"/>
        </w:tabs>
        <w:suppressAutoHyphens/>
        <w:ind w:left="1440" w:firstLine="0"/>
        <w:rPr>
          <w:szCs w:val="26"/>
        </w:rPr>
      </w:pPr>
    </w:p>
    <w:p w:rsidR="00291449" w:rsidRPr="00E22869" w:rsidRDefault="001260D9" w:rsidP="00E22869">
      <w:pPr>
        <w:keepNext/>
        <w:keepLines/>
        <w:tabs>
          <w:tab w:val="left" w:pos="-720"/>
        </w:tabs>
        <w:suppressAutoHyphens/>
        <w:rPr>
          <w:szCs w:val="26"/>
        </w:rPr>
      </w:pPr>
      <w:r w:rsidRPr="00E22869">
        <w:rPr>
          <w:szCs w:val="26"/>
        </w:rPr>
        <w:lastRenderedPageBreak/>
        <w:t>4</w:t>
      </w:r>
      <w:r w:rsidR="004F21E9" w:rsidRPr="00E22869">
        <w:rPr>
          <w:szCs w:val="26"/>
        </w:rPr>
        <w:t>.</w:t>
      </w:r>
      <w:r w:rsidR="004F21E9" w:rsidRPr="00E22869">
        <w:rPr>
          <w:szCs w:val="26"/>
        </w:rPr>
        <w:tab/>
        <w:t xml:space="preserve">That </w:t>
      </w:r>
      <w:r w:rsidR="00C251FE" w:rsidRPr="00E22869">
        <w:rPr>
          <w:szCs w:val="26"/>
        </w:rPr>
        <w:t xml:space="preserve">this case shall be </w:t>
      </w:r>
      <w:r w:rsidR="004F21E9" w:rsidRPr="00E22869">
        <w:rPr>
          <w:szCs w:val="26"/>
        </w:rPr>
        <w:t>mark</w:t>
      </w:r>
      <w:r w:rsidR="00C251FE" w:rsidRPr="00E22869">
        <w:rPr>
          <w:szCs w:val="26"/>
        </w:rPr>
        <w:t>ed</w:t>
      </w:r>
      <w:r w:rsidR="004F21E9" w:rsidRPr="00E22869">
        <w:rPr>
          <w:szCs w:val="26"/>
        </w:rPr>
        <w:t xml:space="preserve"> closed. </w:t>
      </w:r>
    </w:p>
    <w:p w:rsidR="00291449" w:rsidRPr="00E22869" w:rsidRDefault="000A4DAF" w:rsidP="00E22869">
      <w:pPr>
        <w:keepNext/>
        <w:keepLines/>
        <w:tabs>
          <w:tab w:val="left" w:pos="-720"/>
        </w:tabs>
        <w:suppressAutoHyphens/>
        <w:rPr>
          <w:szCs w:val="26"/>
        </w:rPr>
      </w:pPr>
      <w:r>
        <w:rPr>
          <w:noProof/>
        </w:rPr>
        <w:drawing>
          <wp:anchor distT="0" distB="0" distL="114300" distR="114300" simplePos="0" relativeHeight="251658240" behindDoc="1" locked="0" layoutInCell="1" allowOverlap="1" wp14:anchorId="61D6E404" wp14:editId="0BF65096">
            <wp:simplePos x="0" y="0"/>
            <wp:positionH relativeFrom="column">
              <wp:posOffset>3057525</wp:posOffset>
            </wp:positionH>
            <wp:positionV relativeFrom="paragraph">
              <wp:posOffset>258445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930D7" w:rsidRPr="00E22869" w:rsidRDefault="00F930D7" w:rsidP="00E22869">
      <w:pPr>
        <w:keepNext/>
        <w:keepLines/>
        <w:tabs>
          <w:tab w:val="left" w:pos="-720"/>
        </w:tabs>
        <w:suppressAutoHyphens/>
        <w:ind w:left="5040" w:firstLine="0"/>
        <w:rPr>
          <w:szCs w:val="26"/>
        </w:rPr>
      </w:pPr>
      <w:r w:rsidRPr="00E22869">
        <w:rPr>
          <w:b/>
          <w:szCs w:val="26"/>
        </w:rPr>
        <w:t>BY THE COMMISSION,</w:t>
      </w:r>
    </w:p>
    <w:p w:rsidR="00F930D7" w:rsidRPr="00E22869" w:rsidRDefault="00F930D7" w:rsidP="00E22869">
      <w:pPr>
        <w:keepNext/>
        <w:keepLines/>
        <w:tabs>
          <w:tab w:val="left" w:pos="-720"/>
        </w:tabs>
        <w:suppressAutoHyphens/>
        <w:ind w:left="5040" w:firstLine="0"/>
        <w:rPr>
          <w:szCs w:val="26"/>
        </w:rPr>
      </w:pPr>
    </w:p>
    <w:p w:rsidR="00F930D7" w:rsidRPr="00E22869" w:rsidRDefault="00F930D7" w:rsidP="00E22869">
      <w:pPr>
        <w:keepNext/>
        <w:keepLines/>
        <w:tabs>
          <w:tab w:val="left" w:pos="-720"/>
        </w:tabs>
        <w:suppressAutoHyphens/>
        <w:ind w:left="5040" w:firstLine="0"/>
        <w:rPr>
          <w:szCs w:val="26"/>
        </w:rPr>
      </w:pPr>
    </w:p>
    <w:p w:rsidR="00F930D7" w:rsidRPr="00E22869" w:rsidRDefault="009B2B7B" w:rsidP="00E22869">
      <w:pPr>
        <w:keepNext/>
        <w:keepLines/>
        <w:tabs>
          <w:tab w:val="left" w:pos="-720"/>
        </w:tabs>
        <w:suppressAutoHyphens/>
        <w:spacing w:line="240" w:lineRule="auto"/>
        <w:ind w:left="5040" w:firstLine="0"/>
        <w:rPr>
          <w:szCs w:val="26"/>
        </w:rPr>
      </w:pPr>
      <w:r w:rsidRPr="00E22869">
        <w:rPr>
          <w:szCs w:val="26"/>
        </w:rPr>
        <w:t>Rosemary Chiavetta</w:t>
      </w:r>
    </w:p>
    <w:p w:rsidR="00F930D7" w:rsidRPr="00E22869" w:rsidRDefault="00F930D7" w:rsidP="00E22869">
      <w:pPr>
        <w:keepNext/>
        <w:keepLines/>
        <w:tabs>
          <w:tab w:val="left" w:pos="-720"/>
        </w:tabs>
        <w:suppressAutoHyphens/>
        <w:spacing w:line="240" w:lineRule="auto"/>
        <w:ind w:left="5040" w:firstLine="0"/>
        <w:rPr>
          <w:szCs w:val="26"/>
        </w:rPr>
      </w:pPr>
      <w:r w:rsidRPr="00E22869">
        <w:rPr>
          <w:szCs w:val="26"/>
        </w:rPr>
        <w:t>Secretary</w:t>
      </w:r>
    </w:p>
    <w:p w:rsidR="00F930D7" w:rsidRPr="00E22869" w:rsidRDefault="00F930D7" w:rsidP="00E22869">
      <w:pPr>
        <w:keepNext/>
        <w:keepLines/>
        <w:tabs>
          <w:tab w:val="left" w:pos="-720"/>
        </w:tabs>
        <w:suppressAutoHyphens/>
        <w:rPr>
          <w:szCs w:val="26"/>
        </w:rPr>
      </w:pPr>
    </w:p>
    <w:p w:rsidR="00F930D7" w:rsidRPr="00E22869" w:rsidRDefault="00F930D7" w:rsidP="00E22869">
      <w:pPr>
        <w:keepNext/>
        <w:keepLines/>
        <w:tabs>
          <w:tab w:val="left" w:pos="-720"/>
        </w:tabs>
        <w:suppressAutoHyphens/>
        <w:ind w:firstLine="0"/>
        <w:rPr>
          <w:szCs w:val="26"/>
        </w:rPr>
      </w:pPr>
      <w:r w:rsidRPr="00E22869">
        <w:rPr>
          <w:szCs w:val="26"/>
        </w:rPr>
        <w:t>(SEAL)</w:t>
      </w:r>
    </w:p>
    <w:p w:rsidR="00F930D7" w:rsidRPr="00E22869" w:rsidRDefault="00574EAD" w:rsidP="00E22869">
      <w:pPr>
        <w:keepNext/>
        <w:keepLines/>
        <w:tabs>
          <w:tab w:val="left" w:pos="-720"/>
        </w:tabs>
        <w:suppressAutoHyphens/>
        <w:ind w:firstLine="0"/>
        <w:rPr>
          <w:szCs w:val="26"/>
        </w:rPr>
      </w:pPr>
      <w:r w:rsidRPr="00E22869">
        <w:rPr>
          <w:szCs w:val="26"/>
        </w:rPr>
        <w:t xml:space="preserve">ORDER ADOPTED:  </w:t>
      </w:r>
      <w:r w:rsidR="00CB7790" w:rsidRPr="00E22869">
        <w:rPr>
          <w:szCs w:val="26"/>
        </w:rPr>
        <w:t>April</w:t>
      </w:r>
      <w:r w:rsidR="0093639B" w:rsidRPr="00E22869">
        <w:rPr>
          <w:szCs w:val="26"/>
        </w:rPr>
        <w:t xml:space="preserve"> </w:t>
      </w:r>
      <w:r w:rsidR="00F52732" w:rsidRPr="00E22869">
        <w:rPr>
          <w:szCs w:val="26"/>
        </w:rPr>
        <w:t>23,</w:t>
      </w:r>
      <w:r w:rsidR="00F930D7" w:rsidRPr="00E22869">
        <w:rPr>
          <w:szCs w:val="26"/>
        </w:rPr>
        <w:t xml:space="preserve"> 20</w:t>
      </w:r>
      <w:r w:rsidR="00E67CC4" w:rsidRPr="00E22869">
        <w:rPr>
          <w:szCs w:val="26"/>
        </w:rPr>
        <w:t>1</w:t>
      </w:r>
      <w:r w:rsidR="00334DC7" w:rsidRPr="00E22869">
        <w:rPr>
          <w:szCs w:val="26"/>
        </w:rPr>
        <w:t>5</w:t>
      </w:r>
    </w:p>
    <w:p w:rsidR="00F930D7" w:rsidRPr="00E22869" w:rsidRDefault="00B677FB" w:rsidP="00E22869">
      <w:pPr>
        <w:keepNext/>
        <w:keepLines/>
        <w:tabs>
          <w:tab w:val="left" w:pos="-720"/>
        </w:tabs>
        <w:suppressAutoHyphens/>
        <w:ind w:firstLine="0"/>
        <w:rPr>
          <w:szCs w:val="26"/>
        </w:rPr>
      </w:pPr>
      <w:r w:rsidRPr="00E22869">
        <w:rPr>
          <w:szCs w:val="26"/>
        </w:rPr>
        <w:t>ORDER ENTERED:</w:t>
      </w:r>
      <w:r w:rsidR="00360541" w:rsidRPr="00E22869">
        <w:rPr>
          <w:szCs w:val="26"/>
        </w:rPr>
        <w:t xml:space="preserve">  </w:t>
      </w:r>
      <w:r w:rsidR="000A4DAF">
        <w:rPr>
          <w:szCs w:val="26"/>
        </w:rPr>
        <w:t>April 23, 2015</w:t>
      </w:r>
      <w:bookmarkStart w:id="0" w:name="_GoBack"/>
      <w:bookmarkEnd w:id="0"/>
    </w:p>
    <w:sectPr w:rsidR="00F930D7" w:rsidRPr="00E22869" w:rsidSect="00FB6E05">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B26" w:rsidRDefault="003B6B26">
      <w:r>
        <w:separator/>
      </w:r>
    </w:p>
  </w:endnote>
  <w:endnote w:type="continuationSeparator" w:id="0">
    <w:p w:rsidR="003B6B26" w:rsidRDefault="003B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20E" w:rsidRDefault="0030220E"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220E" w:rsidRDefault="00302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20E" w:rsidRDefault="0030220E"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0A4DAF">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B26" w:rsidRDefault="003B6B26">
      <w:r>
        <w:separator/>
      </w:r>
    </w:p>
  </w:footnote>
  <w:footnote w:type="continuationSeparator" w:id="0">
    <w:p w:rsidR="003B6B26" w:rsidRDefault="003B6B26">
      <w:r>
        <w:continuationSeparator/>
      </w:r>
    </w:p>
  </w:footnote>
  <w:footnote w:id="1">
    <w:p w:rsidR="00DA2B09" w:rsidRPr="00DA2B09" w:rsidRDefault="00DA2B09" w:rsidP="00340DCD">
      <w:pPr>
        <w:pStyle w:val="FootnoteText"/>
        <w:keepLines/>
        <w:tabs>
          <w:tab w:val="left" w:pos="720"/>
          <w:tab w:val="left" w:pos="1440"/>
        </w:tabs>
        <w:spacing w:line="240" w:lineRule="auto"/>
        <w:ind w:firstLine="0"/>
        <w:rPr>
          <w:sz w:val="26"/>
          <w:szCs w:val="26"/>
        </w:rPr>
      </w:pPr>
      <w:r>
        <w:tab/>
      </w:r>
      <w:r w:rsidRPr="00DA2B09">
        <w:rPr>
          <w:rStyle w:val="FootnoteReference"/>
          <w:sz w:val="26"/>
          <w:szCs w:val="26"/>
        </w:rPr>
        <w:footnoteRef/>
      </w:r>
      <w:r w:rsidRPr="00DA2B09">
        <w:rPr>
          <w:rStyle w:val="FootnoteReference"/>
        </w:rPr>
        <w:tab/>
      </w:r>
      <w:r w:rsidRPr="00DA2B09">
        <w:rPr>
          <w:sz w:val="26"/>
        </w:rPr>
        <w:t>We note that the Exceptions were not filed within the</w:t>
      </w:r>
      <w:r>
        <w:rPr>
          <w:sz w:val="26"/>
        </w:rPr>
        <w:t xml:space="preserve"> required twenty-day period after the issuance of the Initial Decision; nor does the </w:t>
      </w:r>
      <w:r w:rsidRPr="009D5A47">
        <w:rPr>
          <w:sz w:val="26"/>
        </w:rPr>
        <w:t>format of the Exceptions comply strictly with Section 5.533(b) of our Regulations, which requires that each exception be numbered</w:t>
      </w:r>
      <w:r w:rsidR="00F15A2D">
        <w:rPr>
          <w:sz w:val="26"/>
        </w:rPr>
        <w:t xml:space="preserve">, each </w:t>
      </w:r>
      <w:r w:rsidRPr="009D5A47">
        <w:rPr>
          <w:sz w:val="26"/>
        </w:rPr>
        <w:t>finding of fact and conclusion of law to which exception is taken</w:t>
      </w:r>
      <w:r w:rsidR="00F15A2D">
        <w:rPr>
          <w:sz w:val="26"/>
        </w:rPr>
        <w:t xml:space="preserve"> be identified and </w:t>
      </w:r>
      <w:r w:rsidRPr="009D5A47">
        <w:rPr>
          <w:sz w:val="26"/>
        </w:rPr>
        <w:t>cite</w:t>
      </w:r>
      <w:r w:rsidR="00F15A2D">
        <w:rPr>
          <w:sz w:val="26"/>
        </w:rPr>
        <w:t>d</w:t>
      </w:r>
      <w:r w:rsidRPr="009D5A47">
        <w:rPr>
          <w:sz w:val="26"/>
        </w:rPr>
        <w:t xml:space="preserve"> </w:t>
      </w:r>
      <w:r w:rsidR="00F15A2D">
        <w:rPr>
          <w:sz w:val="26"/>
        </w:rPr>
        <w:t>with t</w:t>
      </w:r>
      <w:r w:rsidRPr="009D5A47">
        <w:rPr>
          <w:sz w:val="26"/>
        </w:rPr>
        <w:t xml:space="preserve">he relevant pages </w:t>
      </w:r>
      <w:r w:rsidR="00F15A2D">
        <w:rPr>
          <w:sz w:val="26"/>
        </w:rPr>
        <w:t xml:space="preserve">in </w:t>
      </w:r>
      <w:r w:rsidRPr="009D5A47">
        <w:rPr>
          <w:sz w:val="26"/>
        </w:rPr>
        <w:t>the Initial Decision.  52 Pa. Code §5.533(b).  Nevert</w:t>
      </w:r>
      <w:r>
        <w:rPr>
          <w:sz w:val="26"/>
        </w:rPr>
        <w:t>heless, because the Complainant is</w:t>
      </w:r>
      <w:r w:rsidRPr="009D5A47">
        <w:rPr>
          <w:sz w:val="26"/>
        </w:rPr>
        <w:t xml:space="preserve"> not represented by legal counsel in this proceeding, we will accept the Exceptions as filed, pursuant to Section 1.2(a) of our Regulations, which mandates that our Regulations be liberally construed to secure the just, speedy, and inexpensive determination of every action or proceeding to which they are applicable.  52 Pa. Code § 1.2(a).</w:t>
      </w:r>
    </w:p>
  </w:footnote>
  <w:footnote w:id="2">
    <w:p w:rsidR="00B11303" w:rsidRDefault="00B11303" w:rsidP="003D645C">
      <w:pPr>
        <w:pStyle w:val="FootnoteText"/>
        <w:autoSpaceDE/>
        <w:autoSpaceDN/>
        <w:adjustRightInd/>
        <w:spacing w:line="240" w:lineRule="auto"/>
        <w:ind w:firstLine="720"/>
      </w:pPr>
      <w:r w:rsidRPr="00B52E06">
        <w:rPr>
          <w:rStyle w:val="FootnoteReference"/>
          <w:sz w:val="26"/>
          <w:szCs w:val="26"/>
        </w:rPr>
        <w:footnoteRef/>
      </w:r>
      <w:r>
        <w:tab/>
      </w:r>
      <w:r w:rsidRPr="00A73CA3">
        <w:rPr>
          <w:sz w:val="26"/>
          <w:szCs w:val="26"/>
        </w:rPr>
        <w:t xml:space="preserve">The </w:t>
      </w:r>
      <w:r>
        <w:rPr>
          <w:sz w:val="26"/>
          <w:szCs w:val="26"/>
        </w:rPr>
        <w:t xml:space="preserve">record reflects </w:t>
      </w:r>
      <w:r w:rsidRPr="00A73CA3">
        <w:rPr>
          <w:sz w:val="26"/>
          <w:szCs w:val="26"/>
        </w:rPr>
        <w:t xml:space="preserve">that </w:t>
      </w:r>
      <w:r w:rsidR="00C43238" w:rsidRPr="00A73CA3">
        <w:rPr>
          <w:sz w:val="26"/>
          <w:szCs w:val="26"/>
        </w:rPr>
        <w:t xml:space="preserve">on </w:t>
      </w:r>
      <w:r w:rsidR="00C43238">
        <w:rPr>
          <w:sz w:val="26"/>
          <w:szCs w:val="26"/>
        </w:rPr>
        <w:t>July</w:t>
      </w:r>
      <w:r w:rsidR="00C43238" w:rsidRPr="00A73CA3">
        <w:rPr>
          <w:sz w:val="26"/>
          <w:szCs w:val="26"/>
        </w:rPr>
        <w:t xml:space="preserve"> </w:t>
      </w:r>
      <w:r w:rsidR="00C43238">
        <w:rPr>
          <w:sz w:val="26"/>
          <w:szCs w:val="26"/>
        </w:rPr>
        <w:t>18</w:t>
      </w:r>
      <w:r w:rsidR="00C43238" w:rsidRPr="00A73CA3">
        <w:rPr>
          <w:sz w:val="26"/>
          <w:szCs w:val="26"/>
        </w:rPr>
        <w:t>, 201</w:t>
      </w:r>
      <w:r w:rsidR="00C43238">
        <w:rPr>
          <w:sz w:val="26"/>
          <w:szCs w:val="26"/>
        </w:rPr>
        <w:t xml:space="preserve">3, </w:t>
      </w:r>
      <w:r w:rsidRPr="00A73CA3">
        <w:rPr>
          <w:sz w:val="26"/>
          <w:szCs w:val="26"/>
        </w:rPr>
        <w:t>the Commission</w:t>
      </w:r>
      <w:r w:rsidR="005546A0">
        <w:rPr>
          <w:sz w:val="26"/>
          <w:szCs w:val="26"/>
        </w:rPr>
        <w:t xml:space="preserve">’s Bureau of Consumer Services </w:t>
      </w:r>
      <w:r w:rsidRPr="00A73CA3">
        <w:rPr>
          <w:sz w:val="26"/>
          <w:szCs w:val="26"/>
        </w:rPr>
        <w:t xml:space="preserve">issued </w:t>
      </w:r>
      <w:r w:rsidR="00C43238">
        <w:rPr>
          <w:sz w:val="26"/>
          <w:szCs w:val="26"/>
        </w:rPr>
        <w:t xml:space="preserve">a </w:t>
      </w:r>
      <w:r w:rsidRPr="00A73CA3">
        <w:rPr>
          <w:sz w:val="26"/>
          <w:szCs w:val="26"/>
        </w:rPr>
        <w:t>payment arrangement</w:t>
      </w:r>
      <w:r w:rsidR="00C43238">
        <w:rPr>
          <w:sz w:val="26"/>
          <w:szCs w:val="26"/>
        </w:rPr>
        <w:t>,</w:t>
      </w:r>
      <w:r w:rsidRPr="00A73CA3">
        <w:rPr>
          <w:sz w:val="26"/>
          <w:szCs w:val="26"/>
        </w:rPr>
        <w:t xml:space="preserve"> at BCS Case No. </w:t>
      </w:r>
      <w:r w:rsidR="00586B88">
        <w:rPr>
          <w:sz w:val="26"/>
          <w:szCs w:val="26"/>
        </w:rPr>
        <w:t>3100030</w:t>
      </w:r>
      <w:r w:rsidR="005546A0">
        <w:rPr>
          <w:sz w:val="26"/>
          <w:szCs w:val="26"/>
        </w:rPr>
        <w:t xml:space="preserve">, </w:t>
      </w:r>
      <w:r w:rsidR="00C43238">
        <w:rPr>
          <w:sz w:val="26"/>
          <w:szCs w:val="26"/>
        </w:rPr>
        <w:t xml:space="preserve">that </w:t>
      </w:r>
      <w:r w:rsidR="005546A0">
        <w:rPr>
          <w:sz w:val="26"/>
          <w:szCs w:val="26"/>
        </w:rPr>
        <w:t xml:space="preserve">required </w:t>
      </w:r>
      <w:r w:rsidR="00C43238">
        <w:rPr>
          <w:sz w:val="26"/>
          <w:szCs w:val="26"/>
        </w:rPr>
        <w:t xml:space="preserve">the Complainant to make </w:t>
      </w:r>
      <w:r w:rsidR="005546A0">
        <w:rPr>
          <w:sz w:val="26"/>
          <w:szCs w:val="26"/>
        </w:rPr>
        <w:t>monthly payment</w:t>
      </w:r>
      <w:r w:rsidR="00C43238">
        <w:rPr>
          <w:sz w:val="26"/>
          <w:szCs w:val="26"/>
        </w:rPr>
        <w:t>s</w:t>
      </w:r>
      <w:r w:rsidR="005546A0">
        <w:rPr>
          <w:sz w:val="26"/>
          <w:szCs w:val="26"/>
        </w:rPr>
        <w:t xml:space="preserve"> of</w:t>
      </w:r>
      <w:r w:rsidRPr="00A73CA3">
        <w:rPr>
          <w:sz w:val="26"/>
          <w:szCs w:val="26"/>
        </w:rPr>
        <w:t xml:space="preserve"> $</w:t>
      </w:r>
      <w:r w:rsidR="00BD41F4">
        <w:rPr>
          <w:sz w:val="26"/>
          <w:szCs w:val="26"/>
        </w:rPr>
        <w:t>476</w:t>
      </w:r>
      <w:r w:rsidR="005546A0">
        <w:rPr>
          <w:sz w:val="26"/>
          <w:szCs w:val="26"/>
        </w:rPr>
        <w:t>.00</w:t>
      </w:r>
      <w:r w:rsidRPr="00A73CA3">
        <w:rPr>
          <w:sz w:val="26"/>
          <w:szCs w:val="26"/>
        </w:rPr>
        <w:t>, consist</w:t>
      </w:r>
      <w:r w:rsidR="005546A0">
        <w:rPr>
          <w:sz w:val="26"/>
          <w:szCs w:val="26"/>
        </w:rPr>
        <w:t>ing</w:t>
      </w:r>
      <w:r w:rsidRPr="00A73CA3">
        <w:rPr>
          <w:sz w:val="26"/>
          <w:szCs w:val="26"/>
        </w:rPr>
        <w:t xml:space="preserve"> of </w:t>
      </w:r>
      <w:r w:rsidR="005546A0">
        <w:rPr>
          <w:sz w:val="26"/>
          <w:szCs w:val="26"/>
        </w:rPr>
        <w:t>a</w:t>
      </w:r>
      <w:r w:rsidRPr="00A73CA3">
        <w:rPr>
          <w:sz w:val="26"/>
          <w:szCs w:val="26"/>
        </w:rPr>
        <w:t xml:space="preserve"> regular budget amount of $</w:t>
      </w:r>
      <w:r w:rsidR="00586B88">
        <w:rPr>
          <w:sz w:val="26"/>
          <w:szCs w:val="26"/>
        </w:rPr>
        <w:t>4</w:t>
      </w:r>
      <w:r w:rsidR="005546A0">
        <w:rPr>
          <w:sz w:val="26"/>
          <w:szCs w:val="26"/>
        </w:rPr>
        <w:t>09.00</w:t>
      </w:r>
      <w:r w:rsidRPr="00A73CA3">
        <w:rPr>
          <w:sz w:val="26"/>
          <w:szCs w:val="26"/>
        </w:rPr>
        <w:t>, plus $</w:t>
      </w:r>
      <w:r w:rsidR="00586B88">
        <w:rPr>
          <w:sz w:val="26"/>
          <w:szCs w:val="26"/>
        </w:rPr>
        <w:t>67</w:t>
      </w:r>
      <w:r w:rsidRPr="00A73CA3">
        <w:rPr>
          <w:sz w:val="26"/>
          <w:szCs w:val="26"/>
        </w:rPr>
        <w:t xml:space="preserve">.00 </w:t>
      </w:r>
      <w:r w:rsidR="005546A0">
        <w:rPr>
          <w:sz w:val="26"/>
          <w:szCs w:val="26"/>
        </w:rPr>
        <w:t>to</w:t>
      </w:r>
      <w:r w:rsidRPr="00A73CA3">
        <w:rPr>
          <w:sz w:val="26"/>
          <w:szCs w:val="26"/>
        </w:rPr>
        <w:t xml:space="preserve">wards arrearages.  </w:t>
      </w:r>
      <w:r w:rsidR="00586B88">
        <w:rPr>
          <w:sz w:val="26"/>
          <w:szCs w:val="26"/>
        </w:rPr>
        <w:t>PECO Exhibit 3.</w:t>
      </w:r>
    </w:p>
  </w:footnote>
  <w:footnote w:id="3">
    <w:p w:rsidR="00C413C3" w:rsidRPr="00C413C3" w:rsidRDefault="00C413C3" w:rsidP="003C2F8F">
      <w:pPr>
        <w:pStyle w:val="FootnoteText"/>
        <w:spacing w:line="240" w:lineRule="auto"/>
        <w:ind w:firstLine="720"/>
        <w:rPr>
          <w:sz w:val="26"/>
          <w:szCs w:val="26"/>
        </w:rPr>
      </w:pPr>
      <w:r w:rsidRPr="00C413C3">
        <w:rPr>
          <w:rStyle w:val="FootnoteReference"/>
          <w:sz w:val="26"/>
          <w:szCs w:val="26"/>
        </w:rPr>
        <w:footnoteRef/>
      </w:r>
      <w:r w:rsidRPr="00C413C3">
        <w:rPr>
          <w:sz w:val="26"/>
          <w:szCs w:val="26"/>
        </w:rPr>
        <w:tab/>
      </w:r>
      <w:r w:rsidR="003C2F8F">
        <w:rPr>
          <w:sz w:val="26"/>
          <w:szCs w:val="26"/>
        </w:rPr>
        <w:t xml:space="preserve">In </w:t>
      </w:r>
      <w:r w:rsidR="00DE1EC2">
        <w:rPr>
          <w:sz w:val="26"/>
          <w:szCs w:val="26"/>
        </w:rPr>
        <w:t>an accompanying</w:t>
      </w:r>
      <w:r w:rsidR="003C2F8F">
        <w:rPr>
          <w:sz w:val="26"/>
          <w:szCs w:val="26"/>
        </w:rPr>
        <w:t xml:space="preserve"> </w:t>
      </w:r>
      <w:r w:rsidR="00DE1EC2">
        <w:rPr>
          <w:sz w:val="26"/>
          <w:szCs w:val="26"/>
        </w:rPr>
        <w:t xml:space="preserve">cover letter </w:t>
      </w:r>
      <w:r w:rsidR="003C2F8F">
        <w:rPr>
          <w:sz w:val="26"/>
          <w:szCs w:val="26"/>
        </w:rPr>
        <w:t xml:space="preserve">the </w:t>
      </w:r>
      <w:r w:rsidR="003D25B1">
        <w:rPr>
          <w:sz w:val="26"/>
          <w:szCs w:val="26"/>
        </w:rPr>
        <w:t>C</w:t>
      </w:r>
      <w:r w:rsidR="00DE1EC2">
        <w:rPr>
          <w:sz w:val="26"/>
          <w:szCs w:val="26"/>
        </w:rPr>
        <w:t>omplainant</w:t>
      </w:r>
      <w:r w:rsidR="003D25B1">
        <w:rPr>
          <w:sz w:val="26"/>
          <w:szCs w:val="26"/>
        </w:rPr>
        <w:t xml:space="preserve"> </w:t>
      </w:r>
      <w:r w:rsidR="003C2F8F">
        <w:rPr>
          <w:sz w:val="26"/>
          <w:szCs w:val="26"/>
        </w:rPr>
        <w:t>requests that his late filed Exceptions be accepted</w:t>
      </w:r>
      <w:r w:rsidR="003D25B1">
        <w:rPr>
          <w:sz w:val="26"/>
          <w:szCs w:val="26"/>
        </w:rPr>
        <w:t xml:space="preserve"> even though </w:t>
      </w:r>
      <w:r w:rsidR="00DA628C">
        <w:rPr>
          <w:sz w:val="26"/>
          <w:szCs w:val="26"/>
        </w:rPr>
        <w:t xml:space="preserve">it was </w:t>
      </w:r>
      <w:r w:rsidR="003D25B1">
        <w:rPr>
          <w:sz w:val="26"/>
          <w:szCs w:val="26"/>
        </w:rPr>
        <w:t>filed late</w:t>
      </w:r>
      <w:r w:rsidR="003C2F8F">
        <w:rPr>
          <w:sz w:val="26"/>
          <w:szCs w:val="26"/>
        </w:rPr>
        <w:t>.</w:t>
      </w:r>
      <w:r w:rsidR="00921011">
        <w:rPr>
          <w:sz w:val="26"/>
          <w:szCs w:val="26"/>
        </w:rPr>
        <w:t xml:space="preserve">  As noted, in light of the fact that the Complainant is a </w:t>
      </w:r>
      <w:r w:rsidR="00921011" w:rsidRPr="00921011">
        <w:rPr>
          <w:i/>
          <w:sz w:val="26"/>
          <w:szCs w:val="26"/>
        </w:rPr>
        <w:t>pro se</w:t>
      </w:r>
      <w:r w:rsidR="00921011">
        <w:rPr>
          <w:sz w:val="26"/>
          <w:szCs w:val="26"/>
        </w:rPr>
        <w:t xml:space="preserve"> Complainant, </w:t>
      </w:r>
      <w:r w:rsidR="00921011" w:rsidRPr="00921011">
        <w:rPr>
          <w:sz w:val="26"/>
          <w:szCs w:val="26"/>
        </w:rPr>
        <w:t xml:space="preserve">we will </w:t>
      </w:r>
      <w:r w:rsidR="00921011">
        <w:rPr>
          <w:sz w:val="26"/>
          <w:szCs w:val="26"/>
        </w:rPr>
        <w:t xml:space="preserve">consider </w:t>
      </w:r>
      <w:r w:rsidR="00921011" w:rsidRPr="00921011">
        <w:rPr>
          <w:sz w:val="26"/>
          <w:szCs w:val="26"/>
        </w:rPr>
        <w:t>the Exceptions, pursuant to Section 1.2(a) of our Regulations, which mandates that our Regulations be liberally construed to secure the just, speedy, and inexpensive determination of every action or proceeding to which they are applicable.  52 Pa. Code § 1.2(a).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062198"/>
    <w:lvl w:ilvl="0">
      <w:start w:val="1"/>
      <w:numFmt w:val="decimal"/>
      <w:lvlText w:val="%1."/>
      <w:lvlJc w:val="left"/>
      <w:pPr>
        <w:tabs>
          <w:tab w:val="num" w:pos="1800"/>
        </w:tabs>
        <w:ind w:left="1800" w:hanging="360"/>
      </w:pPr>
    </w:lvl>
  </w:abstractNum>
  <w:abstractNum w:abstractNumId="1">
    <w:nsid w:val="FFFFFF7D"/>
    <w:multiLevelType w:val="singleLevel"/>
    <w:tmpl w:val="19E6FF58"/>
    <w:lvl w:ilvl="0">
      <w:start w:val="1"/>
      <w:numFmt w:val="decimal"/>
      <w:lvlText w:val="%1."/>
      <w:lvlJc w:val="left"/>
      <w:pPr>
        <w:tabs>
          <w:tab w:val="num" w:pos="1440"/>
        </w:tabs>
        <w:ind w:left="1440" w:hanging="360"/>
      </w:pPr>
    </w:lvl>
  </w:abstractNum>
  <w:abstractNum w:abstractNumId="2">
    <w:nsid w:val="FFFFFF7E"/>
    <w:multiLevelType w:val="singleLevel"/>
    <w:tmpl w:val="751C37DA"/>
    <w:lvl w:ilvl="0">
      <w:start w:val="1"/>
      <w:numFmt w:val="decimal"/>
      <w:lvlText w:val="%1."/>
      <w:lvlJc w:val="left"/>
      <w:pPr>
        <w:tabs>
          <w:tab w:val="num" w:pos="1080"/>
        </w:tabs>
        <w:ind w:left="1080" w:hanging="360"/>
      </w:pPr>
    </w:lvl>
  </w:abstractNum>
  <w:abstractNum w:abstractNumId="3">
    <w:nsid w:val="FFFFFF7F"/>
    <w:multiLevelType w:val="singleLevel"/>
    <w:tmpl w:val="9FC85656"/>
    <w:lvl w:ilvl="0">
      <w:start w:val="1"/>
      <w:numFmt w:val="decimal"/>
      <w:lvlText w:val="%1."/>
      <w:lvlJc w:val="left"/>
      <w:pPr>
        <w:tabs>
          <w:tab w:val="num" w:pos="720"/>
        </w:tabs>
        <w:ind w:left="720" w:hanging="360"/>
      </w:pPr>
    </w:lvl>
  </w:abstractNum>
  <w:abstractNum w:abstractNumId="4">
    <w:nsid w:val="FFFFFF80"/>
    <w:multiLevelType w:val="singleLevel"/>
    <w:tmpl w:val="5532E9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64C4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E022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0E39B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F700170"/>
    <w:lvl w:ilvl="0">
      <w:start w:val="1"/>
      <w:numFmt w:val="decimal"/>
      <w:lvlText w:val="%1."/>
      <w:lvlJc w:val="left"/>
      <w:pPr>
        <w:tabs>
          <w:tab w:val="num" w:pos="360"/>
        </w:tabs>
        <w:ind w:left="360" w:hanging="360"/>
      </w:pPr>
    </w:lvl>
  </w:abstractNum>
  <w:abstractNum w:abstractNumId="9">
    <w:nsid w:val="FFFFFF89"/>
    <w:multiLevelType w:val="singleLevel"/>
    <w:tmpl w:val="D47C2062"/>
    <w:lvl w:ilvl="0">
      <w:start w:val="1"/>
      <w:numFmt w:val="bullet"/>
      <w:lvlText w:val=""/>
      <w:lvlJc w:val="left"/>
      <w:pPr>
        <w:tabs>
          <w:tab w:val="num" w:pos="360"/>
        </w:tabs>
        <w:ind w:left="360" w:hanging="360"/>
      </w:pPr>
      <w:rPr>
        <w:rFonts w:ascii="Symbol" w:hAnsi="Symbol" w:hint="default"/>
      </w:rPr>
    </w:lvl>
  </w:abstractNum>
  <w:abstractNum w:abstractNumId="10">
    <w:nsid w:val="03201B08"/>
    <w:multiLevelType w:val="hybridMultilevel"/>
    <w:tmpl w:val="516C0A4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54F632B"/>
    <w:multiLevelType w:val="hybridMultilevel"/>
    <w:tmpl w:val="69E2A19C"/>
    <w:lvl w:ilvl="0" w:tplc="957EA8D6">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9094C39"/>
    <w:multiLevelType w:val="hybridMultilevel"/>
    <w:tmpl w:val="AD9A8A24"/>
    <w:lvl w:ilvl="0" w:tplc="DCB6DA8C">
      <w:start w:val="2"/>
      <w:numFmt w:val="decimal"/>
      <w:lvlText w:val="(%1)"/>
      <w:lvlJc w:val="left"/>
      <w:pPr>
        <w:tabs>
          <w:tab w:val="num" w:pos="3315"/>
        </w:tabs>
        <w:ind w:left="3315" w:hanging="18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0BD815D2"/>
    <w:multiLevelType w:val="hybridMultilevel"/>
    <w:tmpl w:val="D5A4AB26"/>
    <w:lvl w:ilvl="0" w:tplc="4EAEDDD6">
      <w:start w:val="4"/>
      <w:numFmt w:val="low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CBA7875"/>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0D7276F9"/>
    <w:multiLevelType w:val="hybridMultilevel"/>
    <w:tmpl w:val="B9A8ED98"/>
    <w:lvl w:ilvl="0" w:tplc="88E4FBF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0F310B50"/>
    <w:multiLevelType w:val="hybridMultilevel"/>
    <w:tmpl w:val="B70A7852"/>
    <w:lvl w:ilvl="0" w:tplc="DAE04FFA">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11B3321E"/>
    <w:multiLevelType w:val="hybridMultilevel"/>
    <w:tmpl w:val="B70CC11A"/>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8">
    <w:nsid w:val="1271307E"/>
    <w:multiLevelType w:val="hybridMultilevel"/>
    <w:tmpl w:val="BD561E4E"/>
    <w:lvl w:ilvl="0" w:tplc="CAF8463C">
      <w:start w:val="17"/>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13B36B82"/>
    <w:multiLevelType w:val="hybridMultilevel"/>
    <w:tmpl w:val="5B5C54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14A52EC2"/>
    <w:multiLevelType w:val="hybridMultilevel"/>
    <w:tmpl w:val="EB64FEB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62E206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16946117"/>
    <w:multiLevelType w:val="hybridMultilevel"/>
    <w:tmpl w:val="FB72E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69760BC"/>
    <w:multiLevelType w:val="hybridMultilevel"/>
    <w:tmpl w:val="13562636"/>
    <w:lvl w:ilvl="0" w:tplc="65D2A532">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1A0C6E4A"/>
    <w:multiLevelType w:val="hybridMultilevel"/>
    <w:tmpl w:val="E3A82B50"/>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C9E04A4"/>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221E0DEA"/>
    <w:multiLevelType w:val="hybridMultilevel"/>
    <w:tmpl w:val="7A4AE60A"/>
    <w:lvl w:ilvl="0" w:tplc="1B1430B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24DC4F75"/>
    <w:multiLevelType w:val="hybridMultilevel"/>
    <w:tmpl w:val="F4308F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81D1703"/>
    <w:multiLevelType w:val="multilevel"/>
    <w:tmpl w:val="E8DC07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32BA3E52"/>
    <w:multiLevelType w:val="hybridMultilevel"/>
    <w:tmpl w:val="ED264D74"/>
    <w:lvl w:ilvl="0" w:tplc="EDCAFF9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B1009EE"/>
    <w:multiLevelType w:val="hybridMultilevel"/>
    <w:tmpl w:val="EEB63F04"/>
    <w:lvl w:ilvl="0" w:tplc="9EB27E4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402B6C5D"/>
    <w:multiLevelType w:val="hybridMultilevel"/>
    <w:tmpl w:val="35EE3810"/>
    <w:lvl w:ilvl="0" w:tplc="23C6E4CA">
      <w:start w:val="1"/>
      <w:numFmt w:val="decimal"/>
      <w:lvlText w:val="(%1)"/>
      <w:lvlJc w:val="left"/>
      <w:pPr>
        <w:tabs>
          <w:tab w:val="num" w:pos="2535"/>
        </w:tabs>
        <w:ind w:left="2535" w:hanging="375"/>
      </w:pPr>
      <w:rPr>
        <w:rFonts w:hint="default"/>
      </w:rPr>
    </w:lvl>
    <w:lvl w:ilvl="1" w:tplc="1B56171A">
      <w:start w:val="3"/>
      <w:numFmt w:val="decimal"/>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nsid w:val="42AA23C0"/>
    <w:multiLevelType w:val="hybridMultilevel"/>
    <w:tmpl w:val="587E5D22"/>
    <w:lvl w:ilvl="0" w:tplc="D444C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42FC0130"/>
    <w:multiLevelType w:val="hybridMultilevel"/>
    <w:tmpl w:val="7DBC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5B0DB1"/>
    <w:multiLevelType w:val="hybridMultilevel"/>
    <w:tmpl w:val="350C62D4"/>
    <w:lvl w:ilvl="0" w:tplc="C8F87822">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4A80470F"/>
    <w:multiLevelType w:val="hybridMultilevel"/>
    <w:tmpl w:val="58121ADA"/>
    <w:lvl w:ilvl="0" w:tplc="78E6718A">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0F50891"/>
    <w:multiLevelType w:val="hybridMultilevel"/>
    <w:tmpl w:val="D44E37F4"/>
    <w:lvl w:ilvl="0" w:tplc="223469D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51E923F5"/>
    <w:multiLevelType w:val="hybridMultilevel"/>
    <w:tmpl w:val="08502DB0"/>
    <w:lvl w:ilvl="0" w:tplc="0A02431E">
      <w:start w:val="2"/>
      <w:numFmt w:val="lowerLetter"/>
      <w:lvlText w:val="%1."/>
      <w:lvlJc w:val="left"/>
      <w:pPr>
        <w:tabs>
          <w:tab w:val="num" w:pos="2160"/>
        </w:tabs>
        <w:ind w:left="2160" w:hanging="720"/>
      </w:pPr>
      <w:rPr>
        <w:rFonts w:hint="default"/>
      </w:rPr>
    </w:lvl>
    <w:lvl w:ilvl="1" w:tplc="FDD09CCA">
      <w:start w:val="1"/>
      <w:numFmt w:val="decimal"/>
      <w:lvlText w:val="(%2)"/>
      <w:lvlJc w:val="left"/>
      <w:pPr>
        <w:tabs>
          <w:tab w:val="num" w:pos="2535"/>
        </w:tabs>
        <w:ind w:left="2535" w:hanging="37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nsid w:val="5A2A5632"/>
    <w:multiLevelType w:val="multilevel"/>
    <w:tmpl w:val="540E341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nsid w:val="5C3B0DB2"/>
    <w:multiLevelType w:val="hybridMultilevel"/>
    <w:tmpl w:val="A30A2E12"/>
    <w:lvl w:ilvl="0" w:tplc="945AD1DC">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nsid w:val="5EC16E4E"/>
    <w:multiLevelType w:val="hybridMultilevel"/>
    <w:tmpl w:val="08A88236"/>
    <w:lvl w:ilvl="0" w:tplc="8C32CC9C">
      <w:start w:val="1"/>
      <w:numFmt w:val="decimal"/>
      <w:lvlText w:val="(%1)"/>
      <w:lvlJc w:val="left"/>
      <w:pPr>
        <w:ind w:left="2535" w:hanging="37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63046494"/>
    <w:multiLevelType w:val="hybridMultilevel"/>
    <w:tmpl w:val="B5609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D1B6895"/>
    <w:multiLevelType w:val="hybridMultilevel"/>
    <w:tmpl w:val="5F28EA4A"/>
    <w:lvl w:ilvl="0" w:tplc="2806CDB0">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EFF69A7"/>
    <w:multiLevelType w:val="hybridMultilevel"/>
    <w:tmpl w:val="E8DC0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F090C84"/>
    <w:multiLevelType w:val="hybridMultilevel"/>
    <w:tmpl w:val="CF9070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nsid w:val="73D043B0"/>
    <w:multiLevelType w:val="hybridMultilevel"/>
    <w:tmpl w:val="C89A5696"/>
    <w:lvl w:ilvl="0" w:tplc="5114FC2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58023A"/>
    <w:multiLevelType w:val="hybridMultilevel"/>
    <w:tmpl w:val="540E341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4"/>
  </w:num>
  <w:num w:numId="13">
    <w:abstractNumId w:val="26"/>
  </w:num>
  <w:num w:numId="14">
    <w:abstractNumId w:val="16"/>
  </w:num>
  <w:num w:numId="15">
    <w:abstractNumId w:val="39"/>
  </w:num>
  <w:num w:numId="16">
    <w:abstractNumId w:val="23"/>
  </w:num>
  <w:num w:numId="17">
    <w:abstractNumId w:val="13"/>
  </w:num>
  <w:num w:numId="18">
    <w:abstractNumId w:val="17"/>
  </w:num>
  <w:num w:numId="19">
    <w:abstractNumId w:val="44"/>
  </w:num>
  <w:num w:numId="20">
    <w:abstractNumId w:val="41"/>
  </w:num>
  <w:num w:numId="21">
    <w:abstractNumId w:val="22"/>
  </w:num>
  <w:num w:numId="22">
    <w:abstractNumId w:val="15"/>
  </w:num>
  <w:num w:numId="23">
    <w:abstractNumId w:val="19"/>
  </w:num>
  <w:num w:numId="24">
    <w:abstractNumId w:val="12"/>
  </w:num>
  <w:num w:numId="25">
    <w:abstractNumId w:val="43"/>
  </w:num>
  <w:num w:numId="26">
    <w:abstractNumId w:val="37"/>
  </w:num>
  <w:num w:numId="27">
    <w:abstractNumId w:val="31"/>
  </w:num>
  <w:num w:numId="28">
    <w:abstractNumId w:val="14"/>
  </w:num>
  <w:num w:numId="29">
    <w:abstractNumId w:val="47"/>
  </w:num>
  <w:num w:numId="30">
    <w:abstractNumId w:val="21"/>
  </w:num>
  <w:num w:numId="31">
    <w:abstractNumId w:val="10"/>
  </w:num>
  <w:num w:numId="32">
    <w:abstractNumId w:val="25"/>
  </w:num>
  <w:num w:numId="33">
    <w:abstractNumId w:val="32"/>
  </w:num>
  <w:num w:numId="34">
    <w:abstractNumId w:val="38"/>
  </w:num>
  <w:num w:numId="35">
    <w:abstractNumId w:val="11"/>
  </w:num>
  <w:num w:numId="36">
    <w:abstractNumId w:val="28"/>
  </w:num>
  <w:num w:numId="37">
    <w:abstractNumId w:val="20"/>
  </w:num>
  <w:num w:numId="38">
    <w:abstractNumId w:val="45"/>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3"/>
  </w:num>
  <w:num w:numId="42">
    <w:abstractNumId w:val="35"/>
  </w:num>
  <w:num w:numId="43">
    <w:abstractNumId w:val="18"/>
  </w:num>
  <w:num w:numId="44">
    <w:abstractNumId w:val="36"/>
  </w:num>
  <w:num w:numId="45">
    <w:abstractNumId w:val="27"/>
  </w:num>
  <w:num w:numId="46">
    <w:abstractNumId w:val="24"/>
  </w:num>
  <w:num w:numId="47">
    <w:abstractNumId w:val="46"/>
  </w:num>
  <w:num w:numId="48">
    <w:abstractNumId w:val="30"/>
  </w:num>
  <w:num w:numId="49">
    <w:abstractNumId w:val="42"/>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691"/>
    <w:rsid w:val="00000784"/>
    <w:rsid w:val="00000D52"/>
    <w:rsid w:val="000014E2"/>
    <w:rsid w:val="000021A7"/>
    <w:rsid w:val="0000391A"/>
    <w:rsid w:val="00003B9D"/>
    <w:rsid w:val="00003CE8"/>
    <w:rsid w:val="00003DA7"/>
    <w:rsid w:val="0000428F"/>
    <w:rsid w:val="00004A9E"/>
    <w:rsid w:val="00004F6D"/>
    <w:rsid w:val="00005A34"/>
    <w:rsid w:val="00005A5F"/>
    <w:rsid w:val="00006183"/>
    <w:rsid w:val="00006BA5"/>
    <w:rsid w:val="00007103"/>
    <w:rsid w:val="00007669"/>
    <w:rsid w:val="000076FF"/>
    <w:rsid w:val="00007CB1"/>
    <w:rsid w:val="00007DAC"/>
    <w:rsid w:val="00007ECA"/>
    <w:rsid w:val="00013C41"/>
    <w:rsid w:val="000140A5"/>
    <w:rsid w:val="000142D3"/>
    <w:rsid w:val="00015184"/>
    <w:rsid w:val="000156E2"/>
    <w:rsid w:val="00015D57"/>
    <w:rsid w:val="00015FB2"/>
    <w:rsid w:val="000164E6"/>
    <w:rsid w:val="000167DB"/>
    <w:rsid w:val="00017510"/>
    <w:rsid w:val="00017B36"/>
    <w:rsid w:val="00017D39"/>
    <w:rsid w:val="00020113"/>
    <w:rsid w:val="0002095D"/>
    <w:rsid w:val="00020C31"/>
    <w:rsid w:val="00021278"/>
    <w:rsid w:val="0002192E"/>
    <w:rsid w:val="0002251A"/>
    <w:rsid w:val="00022C7D"/>
    <w:rsid w:val="00023324"/>
    <w:rsid w:val="00023680"/>
    <w:rsid w:val="000236BD"/>
    <w:rsid w:val="000236DF"/>
    <w:rsid w:val="00024846"/>
    <w:rsid w:val="00024A2F"/>
    <w:rsid w:val="000254F8"/>
    <w:rsid w:val="00026292"/>
    <w:rsid w:val="000265D0"/>
    <w:rsid w:val="00026B92"/>
    <w:rsid w:val="0002736E"/>
    <w:rsid w:val="00027B63"/>
    <w:rsid w:val="00027D60"/>
    <w:rsid w:val="00027E6F"/>
    <w:rsid w:val="00030A5E"/>
    <w:rsid w:val="00031BBE"/>
    <w:rsid w:val="00032D16"/>
    <w:rsid w:val="00033140"/>
    <w:rsid w:val="0003373D"/>
    <w:rsid w:val="00033814"/>
    <w:rsid w:val="00033DB2"/>
    <w:rsid w:val="0003455A"/>
    <w:rsid w:val="00034ED0"/>
    <w:rsid w:val="000376D9"/>
    <w:rsid w:val="00037894"/>
    <w:rsid w:val="00037CF5"/>
    <w:rsid w:val="000404BD"/>
    <w:rsid w:val="00040F84"/>
    <w:rsid w:val="00040FDC"/>
    <w:rsid w:val="00041D7C"/>
    <w:rsid w:val="00042223"/>
    <w:rsid w:val="00042498"/>
    <w:rsid w:val="0004250B"/>
    <w:rsid w:val="00042541"/>
    <w:rsid w:val="00042A39"/>
    <w:rsid w:val="00042A8A"/>
    <w:rsid w:val="00043595"/>
    <w:rsid w:val="00045231"/>
    <w:rsid w:val="00045B3E"/>
    <w:rsid w:val="00045D0F"/>
    <w:rsid w:val="00045D50"/>
    <w:rsid w:val="00046544"/>
    <w:rsid w:val="00046B1E"/>
    <w:rsid w:val="00046D3B"/>
    <w:rsid w:val="00051036"/>
    <w:rsid w:val="00051E02"/>
    <w:rsid w:val="00051E32"/>
    <w:rsid w:val="00052237"/>
    <w:rsid w:val="000522E4"/>
    <w:rsid w:val="000527AB"/>
    <w:rsid w:val="0005412F"/>
    <w:rsid w:val="00054389"/>
    <w:rsid w:val="000545BD"/>
    <w:rsid w:val="000552F8"/>
    <w:rsid w:val="000559F8"/>
    <w:rsid w:val="00055DFA"/>
    <w:rsid w:val="000564F3"/>
    <w:rsid w:val="00056678"/>
    <w:rsid w:val="00056736"/>
    <w:rsid w:val="00057957"/>
    <w:rsid w:val="0006066A"/>
    <w:rsid w:val="0006108E"/>
    <w:rsid w:val="000613F0"/>
    <w:rsid w:val="000618BD"/>
    <w:rsid w:val="000619A9"/>
    <w:rsid w:val="00061B1F"/>
    <w:rsid w:val="000621E4"/>
    <w:rsid w:val="000625BB"/>
    <w:rsid w:val="00062B01"/>
    <w:rsid w:val="00062B99"/>
    <w:rsid w:val="0006357E"/>
    <w:rsid w:val="000636D5"/>
    <w:rsid w:val="000655C9"/>
    <w:rsid w:val="00066742"/>
    <w:rsid w:val="00067A73"/>
    <w:rsid w:val="00070122"/>
    <w:rsid w:val="0007013B"/>
    <w:rsid w:val="00070983"/>
    <w:rsid w:val="00070AFC"/>
    <w:rsid w:val="00071006"/>
    <w:rsid w:val="0007288A"/>
    <w:rsid w:val="000733E6"/>
    <w:rsid w:val="00073F0A"/>
    <w:rsid w:val="00074C59"/>
    <w:rsid w:val="00076333"/>
    <w:rsid w:val="0007691C"/>
    <w:rsid w:val="000774E1"/>
    <w:rsid w:val="00077BD9"/>
    <w:rsid w:val="000805D8"/>
    <w:rsid w:val="0008068C"/>
    <w:rsid w:val="0008080B"/>
    <w:rsid w:val="000808E4"/>
    <w:rsid w:val="00080BB7"/>
    <w:rsid w:val="00080F10"/>
    <w:rsid w:val="00081C61"/>
    <w:rsid w:val="00081DF8"/>
    <w:rsid w:val="0008240E"/>
    <w:rsid w:val="00083739"/>
    <w:rsid w:val="0008405F"/>
    <w:rsid w:val="000848D8"/>
    <w:rsid w:val="00084CFD"/>
    <w:rsid w:val="00084FCF"/>
    <w:rsid w:val="000857F9"/>
    <w:rsid w:val="00085923"/>
    <w:rsid w:val="00085C33"/>
    <w:rsid w:val="00086B0F"/>
    <w:rsid w:val="00087BB0"/>
    <w:rsid w:val="000902DC"/>
    <w:rsid w:val="00090436"/>
    <w:rsid w:val="000905E2"/>
    <w:rsid w:val="000906FA"/>
    <w:rsid w:val="00090A90"/>
    <w:rsid w:val="000912A6"/>
    <w:rsid w:val="00091863"/>
    <w:rsid w:val="00091BDB"/>
    <w:rsid w:val="00091ECC"/>
    <w:rsid w:val="000920FF"/>
    <w:rsid w:val="00092EA9"/>
    <w:rsid w:val="0009364A"/>
    <w:rsid w:val="000937CC"/>
    <w:rsid w:val="00093887"/>
    <w:rsid w:val="00093A9A"/>
    <w:rsid w:val="00094014"/>
    <w:rsid w:val="00094F2A"/>
    <w:rsid w:val="000951AD"/>
    <w:rsid w:val="0009555D"/>
    <w:rsid w:val="00096304"/>
    <w:rsid w:val="0009789B"/>
    <w:rsid w:val="000A0A00"/>
    <w:rsid w:val="000A0C13"/>
    <w:rsid w:val="000A0EF6"/>
    <w:rsid w:val="000A0FA1"/>
    <w:rsid w:val="000A1647"/>
    <w:rsid w:val="000A17DF"/>
    <w:rsid w:val="000A1AA2"/>
    <w:rsid w:val="000A2723"/>
    <w:rsid w:val="000A2D4A"/>
    <w:rsid w:val="000A3531"/>
    <w:rsid w:val="000A3AB9"/>
    <w:rsid w:val="000A3D6D"/>
    <w:rsid w:val="000A3DC2"/>
    <w:rsid w:val="000A455F"/>
    <w:rsid w:val="000A47B1"/>
    <w:rsid w:val="000A4D27"/>
    <w:rsid w:val="000A4DAF"/>
    <w:rsid w:val="000A5D9B"/>
    <w:rsid w:val="000A6712"/>
    <w:rsid w:val="000A690F"/>
    <w:rsid w:val="000A6B22"/>
    <w:rsid w:val="000A6C54"/>
    <w:rsid w:val="000A71D0"/>
    <w:rsid w:val="000B1568"/>
    <w:rsid w:val="000B1A16"/>
    <w:rsid w:val="000B2425"/>
    <w:rsid w:val="000B2C23"/>
    <w:rsid w:val="000B32CF"/>
    <w:rsid w:val="000B41D4"/>
    <w:rsid w:val="000B47FF"/>
    <w:rsid w:val="000B4A79"/>
    <w:rsid w:val="000B4F08"/>
    <w:rsid w:val="000B56E6"/>
    <w:rsid w:val="000B5D83"/>
    <w:rsid w:val="000B6CBE"/>
    <w:rsid w:val="000C05F0"/>
    <w:rsid w:val="000C0BFE"/>
    <w:rsid w:val="000C19C7"/>
    <w:rsid w:val="000C1E13"/>
    <w:rsid w:val="000C210B"/>
    <w:rsid w:val="000C26A1"/>
    <w:rsid w:val="000C2C30"/>
    <w:rsid w:val="000C3756"/>
    <w:rsid w:val="000C4276"/>
    <w:rsid w:val="000C48E5"/>
    <w:rsid w:val="000C4A82"/>
    <w:rsid w:val="000C5194"/>
    <w:rsid w:val="000C5A9A"/>
    <w:rsid w:val="000C5D76"/>
    <w:rsid w:val="000C7709"/>
    <w:rsid w:val="000D0442"/>
    <w:rsid w:val="000D1801"/>
    <w:rsid w:val="000D2C72"/>
    <w:rsid w:val="000D38E6"/>
    <w:rsid w:val="000D4977"/>
    <w:rsid w:val="000D4D17"/>
    <w:rsid w:val="000D53C1"/>
    <w:rsid w:val="000D6779"/>
    <w:rsid w:val="000D6A7B"/>
    <w:rsid w:val="000D7A9C"/>
    <w:rsid w:val="000D7C0E"/>
    <w:rsid w:val="000D7D6C"/>
    <w:rsid w:val="000E1A39"/>
    <w:rsid w:val="000E1E26"/>
    <w:rsid w:val="000E2310"/>
    <w:rsid w:val="000E2C94"/>
    <w:rsid w:val="000E316C"/>
    <w:rsid w:val="000E3685"/>
    <w:rsid w:val="000E3AE6"/>
    <w:rsid w:val="000E3DC8"/>
    <w:rsid w:val="000E3DF0"/>
    <w:rsid w:val="000E434B"/>
    <w:rsid w:val="000E4536"/>
    <w:rsid w:val="000E4C69"/>
    <w:rsid w:val="000E59C6"/>
    <w:rsid w:val="000E5C54"/>
    <w:rsid w:val="000E6295"/>
    <w:rsid w:val="000E64A4"/>
    <w:rsid w:val="000E68DB"/>
    <w:rsid w:val="000E6CB9"/>
    <w:rsid w:val="000E7072"/>
    <w:rsid w:val="000E7BE9"/>
    <w:rsid w:val="000F0160"/>
    <w:rsid w:val="000F118B"/>
    <w:rsid w:val="000F18F1"/>
    <w:rsid w:val="000F1E50"/>
    <w:rsid w:val="000F2E80"/>
    <w:rsid w:val="000F30B4"/>
    <w:rsid w:val="000F398D"/>
    <w:rsid w:val="000F3A24"/>
    <w:rsid w:val="000F3CC9"/>
    <w:rsid w:val="000F3E98"/>
    <w:rsid w:val="000F3F36"/>
    <w:rsid w:val="000F3F65"/>
    <w:rsid w:val="000F48AA"/>
    <w:rsid w:val="000F5B23"/>
    <w:rsid w:val="000F6F6F"/>
    <w:rsid w:val="000F78CD"/>
    <w:rsid w:val="0010001A"/>
    <w:rsid w:val="0010015A"/>
    <w:rsid w:val="0010041F"/>
    <w:rsid w:val="00100760"/>
    <w:rsid w:val="00100847"/>
    <w:rsid w:val="0010170A"/>
    <w:rsid w:val="00101A3B"/>
    <w:rsid w:val="00101DDC"/>
    <w:rsid w:val="001037B3"/>
    <w:rsid w:val="00103F99"/>
    <w:rsid w:val="0010404F"/>
    <w:rsid w:val="00104BC2"/>
    <w:rsid w:val="00104EC3"/>
    <w:rsid w:val="0010564E"/>
    <w:rsid w:val="00106794"/>
    <w:rsid w:val="00107935"/>
    <w:rsid w:val="00107A4E"/>
    <w:rsid w:val="0011009D"/>
    <w:rsid w:val="00110368"/>
    <w:rsid w:val="001112A6"/>
    <w:rsid w:val="00112765"/>
    <w:rsid w:val="00113015"/>
    <w:rsid w:val="00113081"/>
    <w:rsid w:val="00113127"/>
    <w:rsid w:val="001134B3"/>
    <w:rsid w:val="001136A6"/>
    <w:rsid w:val="00113854"/>
    <w:rsid w:val="001141CB"/>
    <w:rsid w:val="00114270"/>
    <w:rsid w:val="001148C4"/>
    <w:rsid w:val="00114B79"/>
    <w:rsid w:val="001155B1"/>
    <w:rsid w:val="00115B43"/>
    <w:rsid w:val="00115D11"/>
    <w:rsid w:val="00115DB1"/>
    <w:rsid w:val="00116184"/>
    <w:rsid w:val="0011624C"/>
    <w:rsid w:val="0011648F"/>
    <w:rsid w:val="00116837"/>
    <w:rsid w:val="0011689A"/>
    <w:rsid w:val="0011739B"/>
    <w:rsid w:val="0012014C"/>
    <w:rsid w:val="00121141"/>
    <w:rsid w:val="00121D33"/>
    <w:rsid w:val="00122AA3"/>
    <w:rsid w:val="00122BA5"/>
    <w:rsid w:val="00122EFB"/>
    <w:rsid w:val="001231CF"/>
    <w:rsid w:val="001239B8"/>
    <w:rsid w:val="00123BE1"/>
    <w:rsid w:val="00124E02"/>
    <w:rsid w:val="00125B05"/>
    <w:rsid w:val="00125EDF"/>
    <w:rsid w:val="00125F85"/>
    <w:rsid w:val="001260D9"/>
    <w:rsid w:val="00126428"/>
    <w:rsid w:val="0012663E"/>
    <w:rsid w:val="001266A8"/>
    <w:rsid w:val="001266BA"/>
    <w:rsid w:val="00126800"/>
    <w:rsid w:val="00126ED9"/>
    <w:rsid w:val="001273C0"/>
    <w:rsid w:val="001300EA"/>
    <w:rsid w:val="001302ED"/>
    <w:rsid w:val="001304B2"/>
    <w:rsid w:val="001308B8"/>
    <w:rsid w:val="00130F91"/>
    <w:rsid w:val="001316C4"/>
    <w:rsid w:val="00133834"/>
    <w:rsid w:val="00133DEF"/>
    <w:rsid w:val="00134829"/>
    <w:rsid w:val="00134A95"/>
    <w:rsid w:val="00134EE0"/>
    <w:rsid w:val="00135645"/>
    <w:rsid w:val="0013571D"/>
    <w:rsid w:val="00135DC2"/>
    <w:rsid w:val="001362A2"/>
    <w:rsid w:val="001368F3"/>
    <w:rsid w:val="0013798A"/>
    <w:rsid w:val="00140109"/>
    <w:rsid w:val="0014052C"/>
    <w:rsid w:val="001424E2"/>
    <w:rsid w:val="00143E0C"/>
    <w:rsid w:val="00144B9D"/>
    <w:rsid w:val="001451DF"/>
    <w:rsid w:val="00145A3F"/>
    <w:rsid w:val="00146048"/>
    <w:rsid w:val="00146076"/>
    <w:rsid w:val="00146274"/>
    <w:rsid w:val="001468B6"/>
    <w:rsid w:val="00146E34"/>
    <w:rsid w:val="001479D1"/>
    <w:rsid w:val="00147CB0"/>
    <w:rsid w:val="00147DCE"/>
    <w:rsid w:val="001519E3"/>
    <w:rsid w:val="00152990"/>
    <w:rsid w:val="00152F14"/>
    <w:rsid w:val="00153A7F"/>
    <w:rsid w:val="00153F36"/>
    <w:rsid w:val="00154301"/>
    <w:rsid w:val="00154C9F"/>
    <w:rsid w:val="00155DCF"/>
    <w:rsid w:val="00155E8A"/>
    <w:rsid w:val="001566C2"/>
    <w:rsid w:val="00157002"/>
    <w:rsid w:val="0015752E"/>
    <w:rsid w:val="0015757E"/>
    <w:rsid w:val="00157DCB"/>
    <w:rsid w:val="00157F28"/>
    <w:rsid w:val="0016019C"/>
    <w:rsid w:val="001601B5"/>
    <w:rsid w:val="0016061C"/>
    <w:rsid w:val="00160DA3"/>
    <w:rsid w:val="00161DAB"/>
    <w:rsid w:val="00161EBB"/>
    <w:rsid w:val="0016211D"/>
    <w:rsid w:val="00162FF8"/>
    <w:rsid w:val="0016302B"/>
    <w:rsid w:val="00163187"/>
    <w:rsid w:val="00163190"/>
    <w:rsid w:val="001635F3"/>
    <w:rsid w:val="0016378F"/>
    <w:rsid w:val="00163B2C"/>
    <w:rsid w:val="001640C3"/>
    <w:rsid w:val="00164229"/>
    <w:rsid w:val="0016430B"/>
    <w:rsid w:val="001645EB"/>
    <w:rsid w:val="00164CCE"/>
    <w:rsid w:val="001653C4"/>
    <w:rsid w:val="001658A5"/>
    <w:rsid w:val="0016648D"/>
    <w:rsid w:val="001665CE"/>
    <w:rsid w:val="00170063"/>
    <w:rsid w:val="0017108B"/>
    <w:rsid w:val="00171AFE"/>
    <w:rsid w:val="00171C16"/>
    <w:rsid w:val="00171C1E"/>
    <w:rsid w:val="0017214B"/>
    <w:rsid w:val="001727EC"/>
    <w:rsid w:val="00172A67"/>
    <w:rsid w:val="00173174"/>
    <w:rsid w:val="00174B74"/>
    <w:rsid w:val="00175800"/>
    <w:rsid w:val="00176098"/>
    <w:rsid w:val="001763B4"/>
    <w:rsid w:val="00176F74"/>
    <w:rsid w:val="00180528"/>
    <w:rsid w:val="0018058F"/>
    <w:rsid w:val="00180EDF"/>
    <w:rsid w:val="001814DF"/>
    <w:rsid w:val="001815BF"/>
    <w:rsid w:val="00181CAD"/>
    <w:rsid w:val="00181D19"/>
    <w:rsid w:val="0018222D"/>
    <w:rsid w:val="00182D35"/>
    <w:rsid w:val="00183895"/>
    <w:rsid w:val="00184493"/>
    <w:rsid w:val="00184535"/>
    <w:rsid w:val="00185194"/>
    <w:rsid w:val="001861CE"/>
    <w:rsid w:val="00186FE2"/>
    <w:rsid w:val="0019063F"/>
    <w:rsid w:val="00190D46"/>
    <w:rsid w:val="00190E30"/>
    <w:rsid w:val="00191183"/>
    <w:rsid w:val="00191399"/>
    <w:rsid w:val="0019152A"/>
    <w:rsid w:val="0019161B"/>
    <w:rsid w:val="00191A1E"/>
    <w:rsid w:val="00192686"/>
    <w:rsid w:val="00192A46"/>
    <w:rsid w:val="0019304B"/>
    <w:rsid w:val="00193171"/>
    <w:rsid w:val="0019320B"/>
    <w:rsid w:val="001964E3"/>
    <w:rsid w:val="0019650F"/>
    <w:rsid w:val="00196519"/>
    <w:rsid w:val="00197330"/>
    <w:rsid w:val="001A2552"/>
    <w:rsid w:val="001A2A86"/>
    <w:rsid w:val="001A2E2F"/>
    <w:rsid w:val="001A431C"/>
    <w:rsid w:val="001A485D"/>
    <w:rsid w:val="001A4C10"/>
    <w:rsid w:val="001A4FF7"/>
    <w:rsid w:val="001A504D"/>
    <w:rsid w:val="001A5399"/>
    <w:rsid w:val="001A5F47"/>
    <w:rsid w:val="001A69AA"/>
    <w:rsid w:val="001A71D7"/>
    <w:rsid w:val="001A72E9"/>
    <w:rsid w:val="001A74D5"/>
    <w:rsid w:val="001B0363"/>
    <w:rsid w:val="001B048D"/>
    <w:rsid w:val="001B0588"/>
    <w:rsid w:val="001B0A2D"/>
    <w:rsid w:val="001B1B7C"/>
    <w:rsid w:val="001B1DA2"/>
    <w:rsid w:val="001B217A"/>
    <w:rsid w:val="001B2F7D"/>
    <w:rsid w:val="001B335E"/>
    <w:rsid w:val="001B3746"/>
    <w:rsid w:val="001B37A8"/>
    <w:rsid w:val="001B3DD4"/>
    <w:rsid w:val="001B3E73"/>
    <w:rsid w:val="001B4547"/>
    <w:rsid w:val="001B54FA"/>
    <w:rsid w:val="001B591B"/>
    <w:rsid w:val="001B66DB"/>
    <w:rsid w:val="001B6BA0"/>
    <w:rsid w:val="001B6D58"/>
    <w:rsid w:val="001C00B7"/>
    <w:rsid w:val="001C01F6"/>
    <w:rsid w:val="001C0ADE"/>
    <w:rsid w:val="001C136B"/>
    <w:rsid w:val="001C15FB"/>
    <w:rsid w:val="001C1C5C"/>
    <w:rsid w:val="001C3784"/>
    <w:rsid w:val="001C466E"/>
    <w:rsid w:val="001C46D4"/>
    <w:rsid w:val="001C4ECE"/>
    <w:rsid w:val="001C5AFD"/>
    <w:rsid w:val="001C615E"/>
    <w:rsid w:val="001C6679"/>
    <w:rsid w:val="001C6E68"/>
    <w:rsid w:val="001C6E9A"/>
    <w:rsid w:val="001C780F"/>
    <w:rsid w:val="001C7ABB"/>
    <w:rsid w:val="001C7B4B"/>
    <w:rsid w:val="001D06A8"/>
    <w:rsid w:val="001D16D0"/>
    <w:rsid w:val="001D1737"/>
    <w:rsid w:val="001D1F2F"/>
    <w:rsid w:val="001D2656"/>
    <w:rsid w:val="001D3013"/>
    <w:rsid w:val="001D323A"/>
    <w:rsid w:val="001D3376"/>
    <w:rsid w:val="001D33A8"/>
    <w:rsid w:val="001D3ACD"/>
    <w:rsid w:val="001D414C"/>
    <w:rsid w:val="001D4845"/>
    <w:rsid w:val="001D57D4"/>
    <w:rsid w:val="001D59C3"/>
    <w:rsid w:val="001D6265"/>
    <w:rsid w:val="001D65AC"/>
    <w:rsid w:val="001D66EB"/>
    <w:rsid w:val="001D67E5"/>
    <w:rsid w:val="001D6FDD"/>
    <w:rsid w:val="001D7182"/>
    <w:rsid w:val="001D7453"/>
    <w:rsid w:val="001E0702"/>
    <w:rsid w:val="001E0C89"/>
    <w:rsid w:val="001E10DA"/>
    <w:rsid w:val="001E115D"/>
    <w:rsid w:val="001E1A4E"/>
    <w:rsid w:val="001E1D19"/>
    <w:rsid w:val="001E1EE7"/>
    <w:rsid w:val="001E254C"/>
    <w:rsid w:val="001E319D"/>
    <w:rsid w:val="001E3C03"/>
    <w:rsid w:val="001E3DAC"/>
    <w:rsid w:val="001E3E18"/>
    <w:rsid w:val="001E3F4F"/>
    <w:rsid w:val="001E48DF"/>
    <w:rsid w:val="001E48E2"/>
    <w:rsid w:val="001E55C3"/>
    <w:rsid w:val="001E5728"/>
    <w:rsid w:val="001E6236"/>
    <w:rsid w:val="001E6970"/>
    <w:rsid w:val="001E779B"/>
    <w:rsid w:val="001E7A60"/>
    <w:rsid w:val="001E7B70"/>
    <w:rsid w:val="001E7CBC"/>
    <w:rsid w:val="001F003F"/>
    <w:rsid w:val="001F01C9"/>
    <w:rsid w:val="001F073B"/>
    <w:rsid w:val="001F143A"/>
    <w:rsid w:val="001F18F5"/>
    <w:rsid w:val="001F22ED"/>
    <w:rsid w:val="001F2F6E"/>
    <w:rsid w:val="001F3552"/>
    <w:rsid w:val="001F378A"/>
    <w:rsid w:val="001F379B"/>
    <w:rsid w:val="001F3F38"/>
    <w:rsid w:val="001F5A5F"/>
    <w:rsid w:val="001F5C67"/>
    <w:rsid w:val="001F5FAB"/>
    <w:rsid w:val="001F60E7"/>
    <w:rsid w:val="001F641B"/>
    <w:rsid w:val="001F6AE2"/>
    <w:rsid w:val="001F6B71"/>
    <w:rsid w:val="001F71E5"/>
    <w:rsid w:val="001F7629"/>
    <w:rsid w:val="001F7B45"/>
    <w:rsid w:val="001F7CE5"/>
    <w:rsid w:val="00200400"/>
    <w:rsid w:val="00200D2A"/>
    <w:rsid w:val="00201C29"/>
    <w:rsid w:val="00201E5D"/>
    <w:rsid w:val="002025BE"/>
    <w:rsid w:val="0020331B"/>
    <w:rsid w:val="002033DD"/>
    <w:rsid w:val="002036B0"/>
    <w:rsid w:val="00205931"/>
    <w:rsid w:val="00205D87"/>
    <w:rsid w:val="002067FD"/>
    <w:rsid w:val="00206C5F"/>
    <w:rsid w:val="002105F6"/>
    <w:rsid w:val="00210D44"/>
    <w:rsid w:val="002121E9"/>
    <w:rsid w:val="002123A3"/>
    <w:rsid w:val="002123BE"/>
    <w:rsid w:val="00213AAA"/>
    <w:rsid w:val="00213F9D"/>
    <w:rsid w:val="002143FF"/>
    <w:rsid w:val="0021464A"/>
    <w:rsid w:val="00214C50"/>
    <w:rsid w:val="0021558E"/>
    <w:rsid w:val="00216F09"/>
    <w:rsid w:val="002170B3"/>
    <w:rsid w:val="00217390"/>
    <w:rsid w:val="0022007B"/>
    <w:rsid w:val="00220A34"/>
    <w:rsid w:val="00220C61"/>
    <w:rsid w:val="0022142D"/>
    <w:rsid w:val="00221F5B"/>
    <w:rsid w:val="00222FF4"/>
    <w:rsid w:val="00224928"/>
    <w:rsid w:val="00224966"/>
    <w:rsid w:val="00224988"/>
    <w:rsid w:val="002252E9"/>
    <w:rsid w:val="00225401"/>
    <w:rsid w:val="002254CF"/>
    <w:rsid w:val="00226331"/>
    <w:rsid w:val="002273FE"/>
    <w:rsid w:val="002277FC"/>
    <w:rsid w:val="00227D70"/>
    <w:rsid w:val="00230B43"/>
    <w:rsid w:val="00230F09"/>
    <w:rsid w:val="0023105C"/>
    <w:rsid w:val="00231592"/>
    <w:rsid w:val="00231CD2"/>
    <w:rsid w:val="00231D80"/>
    <w:rsid w:val="002326EA"/>
    <w:rsid w:val="00233468"/>
    <w:rsid w:val="0023446E"/>
    <w:rsid w:val="00234E6E"/>
    <w:rsid w:val="0023513F"/>
    <w:rsid w:val="00235529"/>
    <w:rsid w:val="00235CCB"/>
    <w:rsid w:val="002364FF"/>
    <w:rsid w:val="00236CBF"/>
    <w:rsid w:val="002379A2"/>
    <w:rsid w:val="00240CB9"/>
    <w:rsid w:val="00240E69"/>
    <w:rsid w:val="00241C08"/>
    <w:rsid w:val="00241D3F"/>
    <w:rsid w:val="00241F6D"/>
    <w:rsid w:val="00241FBF"/>
    <w:rsid w:val="002420A3"/>
    <w:rsid w:val="00242C87"/>
    <w:rsid w:val="00244025"/>
    <w:rsid w:val="002445A6"/>
    <w:rsid w:val="00244754"/>
    <w:rsid w:val="00244806"/>
    <w:rsid w:val="0024515D"/>
    <w:rsid w:val="002451D9"/>
    <w:rsid w:val="00245B72"/>
    <w:rsid w:val="00245D23"/>
    <w:rsid w:val="00245D95"/>
    <w:rsid w:val="002464E9"/>
    <w:rsid w:val="00246DF7"/>
    <w:rsid w:val="00246FA9"/>
    <w:rsid w:val="002476A6"/>
    <w:rsid w:val="00250064"/>
    <w:rsid w:val="002505A3"/>
    <w:rsid w:val="0025105B"/>
    <w:rsid w:val="00251507"/>
    <w:rsid w:val="00251AAD"/>
    <w:rsid w:val="00251B6F"/>
    <w:rsid w:val="002521F1"/>
    <w:rsid w:val="002527D6"/>
    <w:rsid w:val="00253C9E"/>
    <w:rsid w:val="00253F82"/>
    <w:rsid w:val="00253FA0"/>
    <w:rsid w:val="00254DEB"/>
    <w:rsid w:val="002558AC"/>
    <w:rsid w:val="00255FB1"/>
    <w:rsid w:val="00256403"/>
    <w:rsid w:val="0025694E"/>
    <w:rsid w:val="00257060"/>
    <w:rsid w:val="00257DC2"/>
    <w:rsid w:val="00260AFC"/>
    <w:rsid w:val="00260D58"/>
    <w:rsid w:val="0026203F"/>
    <w:rsid w:val="002623B1"/>
    <w:rsid w:val="002626B2"/>
    <w:rsid w:val="00266A6E"/>
    <w:rsid w:val="002677BF"/>
    <w:rsid w:val="00270428"/>
    <w:rsid w:val="002710D4"/>
    <w:rsid w:val="002712E6"/>
    <w:rsid w:val="002726B2"/>
    <w:rsid w:val="002727AD"/>
    <w:rsid w:val="00273184"/>
    <w:rsid w:val="0027333B"/>
    <w:rsid w:val="0027373C"/>
    <w:rsid w:val="00273CCC"/>
    <w:rsid w:val="00274117"/>
    <w:rsid w:val="0027416E"/>
    <w:rsid w:val="00274337"/>
    <w:rsid w:val="00274573"/>
    <w:rsid w:val="00274C15"/>
    <w:rsid w:val="00275204"/>
    <w:rsid w:val="00275B4F"/>
    <w:rsid w:val="00276092"/>
    <w:rsid w:val="00276DC8"/>
    <w:rsid w:val="00276DCF"/>
    <w:rsid w:val="00276FEB"/>
    <w:rsid w:val="00277345"/>
    <w:rsid w:val="00277DF4"/>
    <w:rsid w:val="00277FC0"/>
    <w:rsid w:val="00280CAD"/>
    <w:rsid w:val="00280CBA"/>
    <w:rsid w:val="00280E26"/>
    <w:rsid w:val="0028189B"/>
    <w:rsid w:val="00281BB3"/>
    <w:rsid w:val="00281BC5"/>
    <w:rsid w:val="002827D0"/>
    <w:rsid w:val="002829CC"/>
    <w:rsid w:val="00283511"/>
    <w:rsid w:val="00283853"/>
    <w:rsid w:val="00284019"/>
    <w:rsid w:val="002843A9"/>
    <w:rsid w:val="00284D62"/>
    <w:rsid w:val="00284FF5"/>
    <w:rsid w:val="00285349"/>
    <w:rsid w:val="00286511"/>
    <w:rsid w:val="00286AF5"/>
    <w:rsid w:val="00287481"/>
    <w:rsid w:val="0028772B"/>
    <w:rsid w:val="00291449"/>
    <w:rsid w:val="00291B87"/>
    <w:rsid w:val="00291C4F"/>
    <w:rsid w:val="0029221D"/>
    <w:rsid w:val="002924E5"/>
    <w:rsid w:val="00292D2B"/>
    <w:rsid w:val="0029325F"/>
    <w:rsid w:val="00293557"/>
    <w:rsid w:val="00293877"/>
    <w:rsid w:val="00293BC4"/>
    <w:rsid w:val="00293D30"/>
    <w:rsid w:val="00293F23"/>
    <w:rsid w:val="00294481"/>
    <w:rsid w:val="00294F86"/>
    <w:rsid w:val="0029503D"/>
    <w:rsid w:val="002957B8"/>
    <w:rsid w:val="00295A5E"/>
    <w:rsid w:val="00296017"/>
    <w:rsid w:val="00296685"/>
    <w:rsid w:val="00296A7C"/>
    <w:rsid w:val="00296A9B"/>
    <w:rsid w:val="002A08C8"/>
    <w:rsid w:val="002A0BF0"/>
    <w:rsid w:val="002A15A4"/>
    <w:rsid w:val="002A1A8E"/>
    <w:rsid w:val="002A1C0A"/>
    <w:rsid w:val="002A24E2"/>
    <w:rsid w:val="002A285B"/>
    <w:rsid w:val="002A3367"/>
    <w:rsid w:val="002A3372"/>
    <w:rsid w:val="002A33F1"/>
    <w:rsid w:val="002A33FD"/>
    <w:rsid w:val="002A3705"/>
    <w:rsid w:val="002A418C"/>
    <w:rsid w:val="002A42AC"/>
    <w:rsid w:val="002A4D7C"/>
    <w:rsid w:val="002A5123"/>
    <w:rsid w:val="002A512A"/>
    <w:rsid w:val="002A5345"/>
    <w:rsid w:val="002A575C"/>
    <w:rsid w:val="002A5845"/>
    <w:rsid w:val="002A5C6C"/>
    <w:rsid w:val="002A61B4"/>
    <w:rsid w:val="002A63AD"/>
    <w:rsid w:val="002A6D70"/>
    <w:rsid w:val="002A7463"/>
    <w:rsid w:val="002A7BDD"/>
    <w:rsid w:val="002A7ED9"/>
    <w:rsid w:val="002B0665"/>
    <w:rsid w:val="002B0A3F"/>
    <w:rsid w:val="002B0E51"/>
    <w:rsid w:val="002B0EED"/>
    <w:rsid w:val="002B1624"/>
    <w:rsid w:val="002B21ED"/>
    <w:rsid w:val="002B2C7A"/>
    <w:rsid w:val="002B3332"/>
    <w:rsid w:val="002B3D3A"/>
    <w:rsid w:val="002B416C"/>
    <w:rsid w:val="002B44CF"/>
    <w:rsid w:val="002B4C7F"/>
    <w:rsid w:val="002B4D16"/>
    <w:rsid w:val="002B4F49"/>
    <w:rsid w:val="002B55A1"/>
    <w:rsid w:val="002B566A"/>
    <w:rsid w:val="002B591E"/>
    <w:rsid w:val="002B6227"/>
    <w:rsid w:val="002B6DF9"/>
    <w:rsid w:val="002B71F0"/>
    <w:rsid w:val="002B7D6F"/>
    <w:rsid w:val="002C183D"/>
    <w:rsid w:val="002C1E3A"/>
    <w:rsid w:val="002C2A83"/>
    <w:rsid w:val="002C4606"/>
    <w:rsid w:val="002C468D"/>
    <w:rsid w:val="002C4D16"/>
    <w:rsid w:val="002C4E8E"/>
    <w:rsid w:val="002C5D38"/>
    <w:rsid w:val="002C6095"/>
    <w:rsid w:val="002C6300"/>
    <w:rsid w:val="002C7EDE"/>
    <w:rsid w:val="002D0014"/>
    <w:rsid w:val="002D0610"/>
    <w:rsid w:val="002D0C06"/>
    <w:rsid w:val="002D0FF5"/>
    <w:rsid w:val="002D16BF"/>
    <w:rsid w:val="002D1B88"/>
    <w:rsid w:val="002D221C"/>
    <w:rsid w:val="002D3D02"/>
    <w:rsid w:val="002D4126"/>
    <w:rsid w:val="002D446C"/>
    <w:rsid w:val="002D460D"/>
    <w:rsid w:val="002D46D8"/>
    <w:rsid w:val="002D5084"/>
    <w:rsid w:val="002D5909"/>
    <w:rsid w:val="002D5AF0"/>
    <w:rsid w:val="002D6727"/>
    <w:rsid w:val="002D67DB"/>
    <w:rsid w:val="002D7A66"/>
    <w:rsid w:val="002D7CE0"/>
    <w:rsid w:val="002D7D22"/>
    <w:rsid w:val="002D7F24"/>
    <w:rsid w:val="002E023D"/>
    <w:rsid w:val="002E0A13"/>
    <w:rsid w:val="002E0CBC"/>
    <w:rsid w:val="002E1822"/>
    <w:rsid w:val="002E1FB3"/>
    <w:rsid w:val="002E28C4"/>
    <w:rsid w:val="002E2C9D"/>
    <w:rsid w:val="002E34E5"/>
    <w:rsid w:val="002E3661"/>
    <w:rsid w:val="002E3B5C"/>
    <w:rsid w:val="002E3D27"/>
    <w:rsid w:val="002E4BB6"/>
    <w:rsid w:val="002E5E5F"/>
    <w:rsid w:val="002E6301"/>
    <w:rsid w:val="002E6CCE"/>
    <w:rsid w:val="002E7446"/>
    <w:rsid w:val="002E78A3"/>
    <w:rsid w:val="002E7E94"/>
    <w:rsid w:val="002F010B"/>
    <w:rsid w:val="002F032B"/>
    <w:rsid w:val="002F0ABE"/>
    <w:rsid w:val="002F1595"/>
    <w:rsid w:val="002F1698"/>
    <w:rsid w:val="002F206F"/>
    <w:rsid w:val="002F25F1"/>
    <w:rsid w:val="002F2695"/>
    <w:rsid w:val="002F2817"/>
    <w:rsid w:val="002F29F2"/>
    <w:rsid w:val="002F2AF6"/>
    <w:rsid w:val="002F2B8F"/>
    <w:rsid w:val="002F323D"/>
    <w:rsid w:val="002F35D9"/>
    <w:rsid w:val="002F3B9A"/>
    <w:rsid w:val="002F3CE6"/>
    <w:rsid w:val="002F4731"/>
    <w:rsid w:val="002F47B2"/>
    <w:rsid w:val="002F4C13"/>
    <w:rsid w:val="002F56D8"/>
    <w:rsid w:val="002F5732"/>
    <w:rsid w:val="002F5F19"/>
    <w:rsid w:val="002F5FC8"/>
    <w:rsid w:val="002F68EB"/>
    <w:rsid w:val="0030050E"/>
    <w:rsid w:val="00300643"/>
    <w:rsid w:val="00300923"/>
    <w:rsid w:val="00300DC7"/>
    <w:rsid w:val="00301CC7"/>
    <w:rsid w:val="0030220E"/>
    <w:rsid w:val="003024B6"/>
    <w:rsid w:val="00302D46"/>
    <w:rsid w:val="0030357E"/>
    <w:rsid w:val="00304320"/>
    <w:rsid w:val="003046EF"/>
    <w:rsid w:val="003056FC"/>
    <w:rsid w:val="00305F5F"/>
    <w:rsid w:val="00306870"/>
    <w:rsid w:val="00306940"/>
    <w:rsid w:val="003070DA"/>
    <w:rsid w:val="003071E9"/>
    <w:rsid w:val="003072C2"/>
    <w:rsid w:val="00307E7A"/>
    <w:rsid w:val="00310886"/>
    <w:rsid w:val="00311C03"/>
    <w:rsid w:val="00311DBC"/>
    <w:rsid w:val="00312751"/>
    <w:rsid w:val="00312C66"/>
    <w:rsid w:val="003131D1"/>
    <w:rsid w:val="003133FB"/>
    <w:rsid w:val="0031360A"/>
    <w:rsid w:val="00313FB1"/>
    <w:rsid w:val="003146AB"/>
    <w:rsid w:val="00314ACE"/>
    <w:rsid w:val="00314F20"/>
    <w:rsid w:val="00314F96"/>
    <w:rsid w:val="00314FAC"/>
    <w:rsid w:val="0031509E"/>
    <w:rsid w:val="003157C1"/>
    <w:rsid w:val="003167BE"/>
    <w:rsid w:val="00317137"/>
    <w:rsid w:val="003174B5"/>
    <w:rsid w:val="0031751D"/>
    <w:rsid w:val="00317D9B"/>
    <w:rsid w:val="00317F81"/>
    <w:rsid w:val="00321E0A"/>
    <w:rsid w:val="00322113"/>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513"/>
    <w:rsid w:val="003307CA"/>
    <w:rsid w:val="00330918"/>
    <w:rsid w:val="00330DE0"/>
    <w:rsid w:val="00330F1C"/>
    <w:rsid w:val="00330F95"/>
    <w:rsid w:val="003310EB"/>
    <w:rsid w:val="00331B1D"/>
    <w:rsid w:val="003327C2"/>
    <w:rsid w:val="0033376B"/>
    <w:rsid w:val="00333AA5"/>
    <w:rsid w:val="00334377"/>
    <w:rsid w:val="00334936"/>
    <w:rsid w:val="00334DC7"/>
    <w:rsid w:val="00335073"/>
    <w:rsid w:val="00335087"/>
    <w:rsid w:val="003357FA"/>
    <w:rsid w:val="00335820"/>
    <w:rsid w:val="00336227"/>
    <w:rsid w:val="0033687F"/>
    <w:rsid w:val="003374F2"/>
    <w:rsid w:val="00337AD6"/>
    <w:rsid w:val="00340944"/>
    <w:rsid w:val="00340BA4"/>
    <w:rsid w:val="00340C90"/>
    <w:rsid w:val="00340DCD"/>
    <w:rsid w:val="0034161B"/>
    <w:rsid w:val="003422EF"/>
    <w:rsid w:val="00343B75"/>
    <w:rsid w:val="00343C89"/>
    <w:rsid w:val="00343D8B"/>
    <w:rsid w:val="003440E4"/>
    <w:rsid w:val="0034490E"/>
    <w:rsid w:val="00345818"/>
    <w:rsid w:val="003465A2"/>
    <w:rsid w:val="0034688C"/>
    <w:rsid w:val="00346DDC"/>
    <w:rsid w:val="00346FF2"/>
    <w:rsid w:val="003470E7"/>
    <w:rsid w:val="00347501"/>
    <w:rsid w:val="003475A0"/>
    <w:rsid w:val="00347B77"/>
    <w:rsid w:val="00347EB2"/>
    <w:rsid w:val="003503F4"/>
    <w:rsid w:val="00350A39"/>
    <w:rsid w:val="00351738"/>
    <w:rsid w:val="00352215"/>
    <w:rsid w:val="00352379"/>
    <w:rsid w:val="00352A36"/>
    <w:rsid w:val="00352C36"/>
    <w:rsid w:val="003530D6"/>
    <w:rsid w:val="00353A8E"/>
    <w:rsid w:val="00353D4E"/>
    <w:rsid w:val="003544E6"/>
    <w:rsid w:val="0035456C"/>
    <w:rsid w:val="0035460C"/>
    <w:rsid w:val="00354EAD"/>
    <w:rsid w:val="0035516F"/>
    <w:rsid w:val="003560D3"/>
    <w:rsid w:val="003565EC"/>
    <w:rsid w:val="0035663C"/>
    <w:rsid w:val="00356ED4"/>
    <w:rsid w:val="00360541"/>
    <w:rsid w:val="00362120"/>
    <w:rsid w:val="003621F7"/>
    <w:rsid w:val="00362BAF"/>
    <w:rsid w:val="0036347A"/>
    <w:rsid w:val="0036464E"/>
    <w:rsid w:val="0036497D"/>
    <w:rsid w:val="00364B05"/>
    <w:rsid w:val="00364B79"/>
    <w:rsid w:val="00364DFD"/>
    <w:rsid w:val="00365CA4"/>
    <w:rsid w:val="00365D4E"/>
    <w:rsid w:val="00366684"/>
    <w:rsid w:val="0036786C"/>
    <w:rsid w:val="00367C77"/>
    <w:rsid w:val="00370349"/>
    <w:rsid w:val="003708B4"/>
    <w:rsid w:val="00371B31"/>
    <w:rsid w:val="0037220C"/>
    <w:rsid w:val="003731A2"/>
    <w:rsid w:val="00373248"/>
    <w:rsid w:val="003734E2"/>
    <w:rsid w:val="00373BB5"/>
    <w:rsid w:val="00373D9C"/>
    <w:rsid w:val="00375428"/>
    <w:rsid w:val="0037563E"/>
    <w:rsid w:val="003760BF"/>
    <w:rsid w:val="003761C9"/>
    <w:rsid w:val="00376BCB"/>
    <w:rsid w:val="00376DC7"/>
    <w:rsid w:val="0037769E"/>
    <w:rsid w:val="003779E0"/>
    <w:rsid w:val="003802F9"/>
    <w:rsid w:val="0038048A"/>
    <w:rsid w:val="003808DA"/>
    <w:rsid w:val="00380E3F"/>
    <w:rsid w:val="00381684"/>
    <w:rsid w:val="00381BEE"/>
    <w:rsid w:val="0038245B"/>
    <w:rsid w:val="00382905"/>
    <w:rsid w:val="00384105"/>
    <w:rsid w:val="00384150"/>
    <w:rsid w:val="003841AC"/>
    <w:rsid w:val="0038440B"/>
    <w:rsid w:val="00385253"/>
    <w:rsid w:val="00385425"/>
    <w:rsid w:val="00385BFF"/>
    <w:rsid w:val="00385CED"/>
    <w:rsid w:val="00386DED"/>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F2D"/>
    <w:rsid w:val="00395F64"/>
    <w:rsid w:val="00396E5E"/>
    <w:rsid w:val="00397DA0"/>
    <w:rsid w:val="003A0091"/>
    <w:rsid w:val="003A0BB9"/>
    <w:rsid w:val="003A1124"/>
    <w:rsid w:val="003A1469"/>
    <w:rsid w:val="003A26EA"/>
    <w:rsid w:val="003A2C92"/>
    <w:rsid w:val="003A2E4B"/>
    <w:rsid w:val="003A33EC"/>
    <w:rsid w:val="003A342A"/>
    <w:rsid w:val="003A3ECF"/>
    <w:rsid w:val="003A462A"/>
    <w:rsid w:val="003A4C63"/>
    <w:rsid w:val="003A4FD1"/>
    <w:rsid w:val="003A7154"/>
    <w:rsid w:val="003A7726"/>
    <w:rsid w:val="003A7970"/>
    <w:rsid w:val="003B0680"/>
    <w:rsid w:val="003B1FA6"/>
    <w:rsid w:val="003B2243"/>
    <w:rsid w:val="003B2F3A"/>
    <w:rsid w:val="003B3B58"/>
    <w:rsid w:val="003B4653"/>
    <w:rsid w:val="003B490A"/>
    <w:rsid w:val="003B4B39"/>
    <w:rsid w:val="003B4EAE"/>
    <w:rsid w:val="003B500D"/>
    <w:rsid w:val="003B5323"/>
    <w:rsid w:val="003B54B1"/>
    <w:rsid w:val="003B563F"/>
    <w:rsid w:val="003B5F65"/>
    <w:rsid w:val="003B6B26"/>
    <w:rsid w:val="003B7596"/>
    <w:rsid w:val="003B7FD3"/>
    <w:rsid w:val="003C0667"/>
    <w:rsid w:val="003C2CFA"/>
    <w:rsid w:val="003C2F8F"/>
    <w:rsid w:val="003C3074"/>
    <w:rsid w:val="003C3331"/>
    <w:rsid w:val="003C50B2"/>
    <w:rsid w:val="003C50BE"/>
    <w:rsid w:val="003C520C"/>
    <w:rsid w:val="003C534F"/>
    <w:rsid w:val="003C5AF0"/>
    <w:rsid w:val="003C5B19"/>
    <w:rsid w:val="003C5CA5"/>
    <w:rsid w:val="003C62AA"/>
    <w:rsid w:val="003C63B1"/>
    <w:rsid w:val="003C6BB4"/>
    <w:rsid w:val="003C714B"/>
    <w:rsid w:val="003C792E"/>
    <w:rsid w:val="003D1348"/>
    <w:rsid w:val="003D1749"/>
    <w:rsid w:val="003D1981"/>
    <w:rsid w:val="003D1B0A"/>
    <w:rsid w:val="003D1E32"/>
    <w:rsid w:val="003D20BE"/>
    <w:rsid w:val="003D2219"/>
    <w:rsid w:val="003D23CB"/>
    <w:rsid w:val="003D25B1"/>
    <w:rsid w:val="003D28A8"/>
    <w:rsid w:val="003D30F3"/>
    <w:rsid w:val="003D32A9"/>
    <w:rsid w:val="003D34C1"/>
    <w:rsid w:val="003D378F"/>
    <w:rsid w:val="003D418F"/>
    <w:rsid w:val="003D4822"/>
    <w:rsid w:val="003D4CA2"/>
    <w:rsid w:val="003D4EDA"/>
    <w:rsid w:val="003D4F14"/>
    <w:rsid w:val="003D542A"/>
    <w:rsid w:val="003D5FCF"/>
    <w:rsid w:val="003D645C"/>
    <w:rsid w:val="003D65E7"/>
    <w:rsid w:val="003D71D5"/>
    <w:rsid w:val="003D77D8"/>
    <w:rsid w:val="003E0CB6"/>
    <w:rsid w:val="003E1ABD"/>
    <w:rsid w:val="003E2EC8"/>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61F"/>
    <w:rsid w:val="003F472D"/>
    <w:rsid w:val="003F4826"/>
    <w:rsid w:val="003F4E43"/>
    <w:rsid w:val="003F5806"/>
    <w:rsid w:val="003F60F2"/>
    <w:rsid w:val="003F62C7"/>
    <w:rsid w:val="003F70DD"/>
    <w:rsid w:val="003F72E7"/>
    <w:rsid w:val="003F78D0"/>
    <w:rsid w:val="003F7B3F"/>
    <w:rsid w:val="003F7C41"/>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10525"/>
    <w:rsid w:val="0041057E"/>
    <w:rsid w:val="004116E8"/>
    <w:rsid w:val="0041313B"/>
    <w:rsid w:val="00414CF6"/>
    <w:rsid w:val="00414E86"/>
    <w:rsid w:val="00414FE7"/>
    <w:rsid w:val="00415452"/>
    <w:rsid w:val="00415668"/>
    <w:rsid w:val="00415863"/>
    <w:rsid w:val="004162B0"/>
    <w:rsid w:val="00416F3D"/>
    <w:rsid w:val="0041791F"/>
    <w:rsid w:val="00417C9A"/>
    <w:rsid w:val="0042010D"/>
    <w:rsid w:val="004202EB"/>
    <w:rsid w:val="004207C4"/>
    <w:rsid w:val="00420B60"/>
    <w:rsid w:val="00420F7C"/>
    <w:rsid w:val="0042274C"/>
    <w:rsid w:val="0042346E"/>
    <w:rsid w:val="004236D8"/>
    <w:rsid w:val="00424134"/>
    <w:rsid w:val="00425846"/>
    <w:rsid w:val="0042684D"/>
    <w:rsid w:val="00426B2A"/>
    <w:rsid w:val="00426D82"/>
    <w:rsid w:val="004277F7"/>
    <w:rsid w:val="00427DDE"/>
    <w:rsid w:val="004306E0"/>
    <w:rsid w:val="004310DF"/>
    <w:rsid w:val="00431D20"/>
    <w:rsid w:val="0043201E"/>
    <w:rsid w:val="00432734"/>
    <w:rsid w:val="00432C5A"/>
    <w:rsid w:val="00433E10"/>
    <w:rsid w:val="00433EBF"/>
    <w:rsid w:val="00434CCE"/>
    <w:rsid w:val="00434F82"/>
    <w:rsid w:val="004352FF"/>
    <w:rsid w:val="004359DB"/>
    <w:rsid w:val="00435D69"/>
    <w:rsid w:val="00435F34"/>
    <w:rsid w:val="004367E5"/>
    <w:rsid w:val="0044010B"/>
    <w:rsid w:val="00440343"/>
    <w:rsid w:val="004411BD"/>
    <w:rsid w:val="0044188D"/>
    <w:rsid w:val="004419BA"/>
    <w:rsid w:val="00441B98"/>
    <w:rsid w:val="00441D93"/>
    <w:rsid w:val="00441FD3"/>
    <w:rsid w:val="004425F8"/>
    <w:rsid w:val="00443457"/>
    <w:rsid w:val="004435C0"/>
    <w:rsid w:val="00443BAE"/>
    <w:rsid w:val="00443C44"/>
    <w:rsid w:val="00444365"/>
    <w:rsid w:val="00444581"/>
    <w:rsid w:val="00444EF2"/>
    <w:rsid w:val="004457C4"/>
    <w:rsid w:val="004464A7"/>
    <w:rsid w:val="00446546"/>
    <w:rsid w:val="0044688F"/>
    <w:rsid w:val="00446B66"/>
    <w:rsid w:val="00450755"/>
    <w:rsid w:val="00450859"/>
    <w:rsid w:val="004519DF"/>
    <w:rsid w:val="00451ED3"/>
    <w:rsid w:val="00452444"/>
    <w:rsid w:val="004536E4"/>
    <w:rsid w:val="00453BB1"/>
    <w:rsid w:val="00453F80"/>
    <w:rsid w:val="00454BBC"/>
    <w:rsid w:val="00454F41"/>
    <w:rsid w:val="0045567B"/>
    <w:rsid w:val="00455A14"/>
    <w:rsid w:val="004560D6"/>
    <w:rsid w:val="004566CD"/>
    <w:rsid w:val="00456B59"/>
    <w:rsid w:val="00457165"/>
    <w:rsid w:val="0045759F"/>
    <w:rsid w:val="0045766A"/>
    <w:rsid w:val="004609C1"/>
    <w:rsid w:val="00460B2E"/>
    <w:rsid w:val="00460CFE"/>
    <w:rsid w:val="00460D82"/>
    <w:rsid w:val="00461AFA"/>
    <w:rsid w:val="00461E29"/>
    <w:rsid w:val="00462DA2"/>
    <w:rsid w:val="00462DEA"/>
    <w:rsid w:val="004631AC"/>
    <w:rsid w:val="004631F4"/>
    <w:rsid w:val="004639F6"/>
    <w:rsid w:val="00463D0C"/>
    <w:rsid w:val="00463EDB"/>
    <w:rsid w:val="00464120"/>
    <w:rsid w:val="0046506B"/>
    <w:rsid w:val="00465881"/>
    <w:rsid w:val="00465AA2"/>
    <w:rsid w:val="00466E99"/>
    <w:rsid w:val="00467522"/>
    <w:rsid w:val="0046756B"/>
    <w:rsid w:val="00467602"/>
    <w:rsid w:val="00470D63"/>
    <w:rsid w:val="00471BD3"/>
    <w:rsid w:val="00471C0F"/>
    <w:rsid w:val="00472614"/>
    <w:rsid w:val="004726E5"/>
    <w:rsid w:val="004732FF"/>
    <w:rsid w:val="0047366A"/>
    <w:rsid w:val="00473B21"/>
    <w:rsid w:val="004752AD"/>
    <w:rsid w:val="0047538B"/>
    <w:rsid w:val="00475D98"/>
    <w:rsid w:val="0047615C"/>
    <w:rsid w:val="004764C9"/>
    <w:rsid w:val="00476AF8"/>
    <w:rsid w:val="00476F53"/>
    <w:rsid w:val="004770F5"/>
    <w:rsid w:val="004773A3"/>
    <w:rsid w:val="0047746E"/>
    <w:rsid w:val="004777B2"/>
    <w:rsid w:val="00477B25"/>
    <w:rsid w:val="004805DC"/>
    <w:rsid w:val="004806CF"/>
    <w:rsid w:val="00480DC1"/>
    <w:rsid w:val="004817EE"/>
    <w:rsid w:val="004820A9"/>
    <w:rsid w:val="00483036"/>
    <w:rsid w:val="0048341C"/>
    <w:rsid w:val="00483883"/>
    <w:rsid w:val="00483908"/>
    <w:rsid w:val="00483EE9"/>
    <w:rsid w:val="00484015"/>
    <w:rsid w:val="00484115"/>
    <w:rsid w:val="004846DB"/>
    <w:rsid w:val="00484B23"/>
    <w:rsid w:val="00485169"/>
    <w:rsid w:val="00486729"/>
    <w:rsid w:val="00486CE2"/>
    <w:rsid w:val="00487B2C"/>
    <w:rsid w:val="00487C79"/>
    <w:rsid w:val="004904AF"/>
    <w:rsid w:val="004916A8"/>
    <w:rsid w:val="00492836"/>
    <w:rsid w:val="00492DC3"/>
    <w:rsid w:val="00492DFD"/>
    <w:rsid w:val="00493560"/>
    <w:rsid w:val="0049381B"/>
    <w:rsid w:val="004939CF"/>
    <w:rsid w:val="004946E8"/>
    <w:rsid w:val="00494E27"/>
    <w:rsid w:val="00495DF3"/>
    <w:rsid w:val="004962C1"/>
    <w:rsid w:val="00496A32"/>
    <w:rsid w:val="00496AE4"/>
    <w:rsid w:val="00497224"/>
    <w:rsid w:val="0049740A"/>
    <w:rsid w:val="00497E01"/>
    <w:rsid w:val="00497E16"/>
    <w:rsid w:val="004A03A9"/>
    <w:rsid w:val="004A041A"/>
    <w:rsid w:val="004A0908"/>
    <w:rsid w:val="004A10E4"/>
    <w:rsid w:val="004A1125"/>
    <w:rsid w:val="004A1B8A"/>
    <w:rsid w:val="004A2BAB"/>
    <w:rsid w:val="004A2F81"/>
    <w:rsid w:val="004A2F8E"/>
    <w:rsid w:val="004A3548"/>
    <w:rsid w:val="004A35A0"/>
    <w:rsid w:val="004A3D5D"/>
    <w:rsid w:val="004A4498"/>
    <w:rsid w:val="004A48DD"/>
    <w:rsid w:val="004A493E"/>
    <w:rsid w:val="004A4A43"/>
    <w:rsid w:val="004A5163"/>
    <w:rsid w:val="004A5582"/>
    <w:rsid w:val="004A5A39"/>
    <w:rsid w:val="004A5E07"/>
    <w:rsid w:val="004A5F53"/>
    <w:rsid w:val="004A649B"/>
    <w:rsid w:val="004A66AB"/>
    <w:rsid w:val="004A692C"/>
    <w:rsid w:val="004A6CD9"/>
    <w:rsid w:val="004A6FA0"/>
    <w:rsid w:val="004A6FE6"/>
    <w:rsid w:val="004A79FE"/>
    <w:rsid w:val="004B0097"/>
    <w:rsid w:val="004B08BF"/>
    <w:rsid w:val="004B1366"/>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9A0"/>
    <w:rsid w:val="004B69CE"/>
    <w:rsid w:val="004B6D18"/>
    <w:rsid w:val="004B78ED"/>
    <w:rsid w:val="004C1A16"/>
    <w:rsid w:val="004C212E"/>
    <w:rsid w:val="004C21AA"/>
    <w:rsid w:val="004C2721"/>
    <w:rsid w:val="004C316E"/>
    <w:rsid w:val="004C3423"/>
    <w:rsid w:val="004C388B"/>
    <w:rsid w:val="004C4196"/>
    <w:rsid w:val="004C4785"/>
    <w:rsid w:val="004C49FD"/>
    <w:rsid w:val="004C4F76"/>
    <w:rsid w:val="004C5C8D"/>
    <w:rsid w:val="004C602A"/>
    <w:rsid w:val="004C6118"/>
    <w:rsid w:val="004C7C16"/>
    <w:rsid w:val="004D0AF9"/>
    <w:rsid w:val="004D10A5"/>
    <w:rsid w:val="004D165A"/>
    <w:rsid w:val="004D1790"/>
    <w:rsid w:val="004D1F2D"/>
    <w:rsid w:val="004D2222"/>
    <w:rsid w:val="004D2A68"/>
    <w:rsid w:val="004D2A8B"/>
    <w:rsid w:val="004D2B49"/>
    <w:rsid w:val="004D32C2"/>
    <w:rsid w:val="004D4689"/>
    <w:rsid w:val="004D48C8"/>
    <w:rsid w:val="004D4C65"/>
    <w:rsid w:val="004D4C7D"/>
    <w:rsid w:val="004D52B3"/>
    <w:rsid w:val="004D54A3"/>
    <w:rsid w:val="004D5985"/>
    <w:rsid w:val="004D6093"/>
    <w:rsid w:val="004D60E7"/>
    <w:rsid w:val="004D6B97"/>
    <w:rsid w:val="004D6F50"/>
    <w:rsid w:val="004D7205"/>
    <w:rsid w:val="004D72A9"/>
    <w:rsid w:val="004D770D"/>
    <w:rsid w:val="004D77E9"/>
    <w:rsid w:val="004E004A"/>
    <w:rsid w:val="004E0A80"/>
    <w:rsid w:val="004E0D29"/>
    <w:rsid w:val="004E16DB"/>
    <w:rsid w:val="004E1CE9"/>
    <w:rsid w:val="004E2FBB"/>
    <w:rsid w:val="004E3774"/>
    <w:rsid w:val="004E419D"/>
    <w:rsid w:val="004E4EFD"/>
    <w:rsid w:val="004E51A2"/>
    <w:rsid w:val="004E5495"/>
    <w:rsid w:val="004E5C74"/>
    <w:rsid w:val="004E6C97"/>
    <w:rsid w:val="004E79BF"/>
    <w:rsid w:val="004E7DA5"/>
    <w:rsid w:val="004F189C"/>
    <w:rsid w:val="004F18CB"/>
    <w:rsid w:val="004F21E9"/>
    <w:rsid w:val="004F2658"/>
    <w:rsid w:val="004F2DB6"/>
    <w:rsid w:val="004F30C2"/>
    <w:rsid w:val="004F3213"/>
    <w:rsid w:val="004F43E2"/>
    <w:rsid w:val="004F4616"/>
    <w:rsid w:val="004F4871"/>
    <w:rsid w:val="004F4B8E"/>
    <w:rsid w:val="004F5A2F"/>
    <w:rsid w:val="004F5D35"/>
    <w:rsid w:val="004F5EF2"/>
    <w:rsid w:val="004F679A"/>
    <w:rsid w:val="004F6EC0"/>
    <w:rsid w:val="004F733E"/>
    <w:rsid w:val="004F7F9E"/>
    <w:rsid w:val="005004C2"/>
    <w:rsid w:val="00500AB5"/>
    <w:rsid w:val="00500B7C"/>
    <w:rsid w:val="0050178D"/>
    <w:rsid w:val="00503165"/>
    <w:rsid w:val="005035AE"/>
    <w:rsid w:val="005037C3"/>
    <w:rsid w:val="0050383E"/>
    <w:rsid w:val="00503A01"/>
    <w:rsid w:val="00503B82"/>
    <w:rsid w:val="00504117"/>
    <w:rsid w:val="00504A71"/>
    <w:rsid w:val="00504F63"/>
    <w:rsid w:val="0050542C"/>
    <w:rsid w:val="00506BEE"/>
    <w:rsid w:val="00507A2D"/>
    <w:rsid w:val="00507C12"/>
    <w:rsid w:val="00511C75"/>
    <w:rsid w:val="00511EF5"/>
    <w:rsid w:val="005120DB"/>
    <w:rsid w:val="005132A8"/>
    <w:rsid w:val="00513565"/>
    <w:rsid w:val="005137D4"/>
    <w:rsid w:val="00513B6D"/>
    <w:rsid w:val="00513D53"/>
    <w:rsid w:val="00514971"/>
    <w:rsid w:val="00514E62"/>
    <w:rsid w:val="0051567B"/>
    <w:rsid w:val="00515C68"/>
    <w:rsid w:val="00517062"/>
    <w:rsid w:val="005170BC"/>
    <w:rsid w:val="005170F7"/>
    <w:rsid w:val="0051776F"/>
    <w:rsid w:val="00517C0A"/>
    <w:rsid w:val="00517DD4"/>
    <w:rsid w:val="005207EF"/>
    <w:rsid w:val="00520D24"/>
    <w:rsid w:val="00521A59"/>
    <w:rsid w:val="00521BB9"/>
    <w:rsid w:val="00521DCD"/>
    <w:rsid w:val="00521ED2"/>
    <w:rsid w:val="00522688"/>
    <w:rsid w:val="00523775"/>
    <w:rsid w:val="005237B8"/>
    <w:rsid w:val="00523EB6"/>
    <w:rsid w:val="00523EB7"/>
    <w:rsid w:val="00523F61"/>
    <w:rsid w:val="00524689"/>
    <w:rsid w:val="00525448"/>
    <w:rsid w:val="0052575A"/>
    <w:rsid w:val="00525B42"/>
    <w:rsid w:val="00525D4F"/>
    <w:rsid w:val="00526605"/>
    <w:rsid w:val="0052699E"/>
    <w:rsid w:val="00526D4E"/>
    <w:rsid w:val="00527D95"/>
    <w:rsid w:val="0053020D"/>
    <w:rsid w:val="0053089F"/>
    <w:rsid w:val="00530D6B"/>
    <w:rsid w:val="0053132A"/>
    <w:rsid w:val="00531782"/>
    <w:rsid w:val="005317AA"/>
    <w:rsid w:val="00531EFD"/>
    <w:rsid w:val="005320A1"/>
    <w:rsid w:val="0053283A"/>
    <w:rsid w:val="00532E1F"/>
    <w:rsid w:val="00532EE5"/>
    <w:rsid w:val="005334AC"/>
    <w:rsid w:val="005336A8"/>
    <w:rsid w:val="00533977"/>
    <w:rsid w:val="005339E3"/>
    <w:rsid w:val="00533FF2"/>
    <w:rsid w:val="0053456C"/>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3F5"/>
    <w:rsid w:val="00540472"/>
    <w:rsid w:val="00540565"/>
    <w:rsid w:val="005407B5"/>
    <w:rsid w:val="00540EF0"/>
    <w:rsid w:val="00541915"/>
    <w:rsid w:val="00542CF1"/>
    <w:rsid w:val="00542F87"/>
    <w:rsid w:val="00543594"/>
    <w:rsid w:val="00543EAC"/>
    <w:rsid w:val="005440CC"/>
    <w:rsid w:val="00544903"/>
    <w:rsid w:val="00544AAC"/>
    <w:rsid w:val="00544F81"/>
    <w:rsid w:val="00545710"/>
    <w:rsid w:val="00545B91"/>
    <w:rsid w:val="0054694F"/>
    <w:rsid w:val="005469A0"/>
    <w:rsid w:val="00546F3E"/>
    <w:rsid w:val="0054710A"/>
    <w:rsid w:val="005475EC"/>
    <w:rsid w:val="0055012E"/>
    <w:rsid w:val="005514C1"/>
    <w:rsid w:val="00551A51"/>
    <w:rsid w:val="005520F0"/>
    <w:rsid w:val="00552E19"/>
    <w:rsid w:val="00552F06"/>
    <w:rsid w:val="005536CD"/>
    <w:rsid w:val="00553E47"/>
    <w:rsid w:val="00554072"/>
    <w:rsid w:val="0055442B"/>
    <w:rsid w:val="005545A4"/>
    <w:rsid w:val="005546A0"/>
    <w:rsid w:val="00554CE3"/>
    <w:rsid w:val="00554F2A"/>
    <w:rsid w:val="00554FF2"/>
    <w:rsid w:val="0055661D"/>
    <w:rsid w:val="00556FFD"/>
    <w:rsid w:val="00557BB5"/>
    <w:rsid w:val="0056017E"/>
    <w:rsid w:val="005602A6"/>
    <w:rsid w:val="00560866"/>
    <w:rsid w:val="00560DB2"/>
    <w:rsid w:val="00561291"/>
    <w:rsid w:val="00562672"/>
    <w:rsid w:val="00562F97"/>
    <w:rsid w:val="005638F2"/>
    <w:rsid w:val="005640BB"/>
    <w:rsid w:val="005641A9"/>
    <w:rsid w:val="005654B7"/>
    <w:rsid w:val="00567059"/>
    <w:rsid w:val="00567368"/>
    <w:rsid w:val="005673A1"/>
    <w:rsid w:val="005675A5"/>
    <w:rsid w:val="005675BE"/>
    <w:rsid w:val="005700B1"/>
    <w:rsid w:val="00570D0D"/>
    <w:rsid w:val="0057148B"/>
    <w:rsid w:val="00571D87"/>
    <w:rsid w:val="00572496"/>
    <w:rsid w:val="00572520"/>
    <w:rsid w:val="00572705"/>
    <w:rsid w:val="00573518"/>
    <w:rsid w:val="005737B3"/>
    <w:rsid w:val="00573EDF"/>
    <w:rsid w:val="00574381"/>
    <w:rsid w:val="00574EAD"/>
    <w:rsid w:val="005755D9"/>
    <w:rsid w:val="00576CAF"/>
    <w:rsid w:val="00576E6C"/>
    <w:rsid w:val="005771D7"/>
    <w:rsid w:val="005774E5"/>
    <w:rsid w:val="0057765F"/>
    <w:rsid w:val="00580B8E"/>
    <w:rsid w:val="005811D0"/>
    <w:rsid w:val="00582C9B"/>
    <w:rsid w:val="00583AB7"/>
    <w:rsid w:val="0058403A"/>
    <w:rsid w:val="005847A0"/>
    <w:rsid w:val="005847E7"/>
    <w:rsid w:val="005848AB"/>
    <w:rsid w:val="00584950"/>
    <w:rsid w:val="00584DC5"/>
    <w:rsid w:val="005866C8"/>
    <w:rsid w:val="00586AF2"/>
    <w:rsid w:val="00586B88"/>
    <w:rsid w:val="00586FBC"/>
    <w:rsid w:val="00587B4D"/>
    <w:rsid w:val="0059025F"/>
    <w:rsid w:val="00590455"/>
    <w:rsid w:val="00590614"/>
    <w:rsid w:val="00590938"/>
    <w:rsid w:val="00590BCF"/>
    <w:rsid w:val="00590FA8"/>
    <w:rsid w:val="005913E0"/>
    <w:rsid w:val="00591B1B"/>
    <w:rsid w:val="00591B83"/>
    <w:rsid w:val="00592DCD"/>
    <w:rsid w:val="00592FBC"/>
    <w:rsid w:val="00592FE0"/>
    <w:rsid w:val="00593910"/>
    <w:rsid w:val="00593B1E"/>
    <w:rsid w:val="00593BEE"/>
    <w:rsid w:val="005946C3"/>
    <w:rsid w:val="00594EA9"/>
    <w:rsid w:val="0059598A"/>
    <w:rsid w:val="00596095"/>
    <w:rsid w:val="0059780D"/>
    <w:rsid w:val="00597DAA"/>
    <w:rsid w:val="005A053B"/>
    <w:rsid w:val="005A05C9"/>
    <w:rsid w:val="005A0B9C"/>
    <w:rsid w:val="005A0F4D"/>
    <w:rsid w:val="005A24C8"/>
    <w:rsid w:val="005A294C"/>
    <w:rsid w:val="005A361F"/>
    <w:rsid w:val="005A44C6"/>
    <w:rsid w:val="005A4737"/>
    <w:rsid w:val="005A4914"/>
    <w:rsid w:val="005A4DDF"/>
    <w:rsid w:val="005A55B1"/>
    <w:rsid w:val="005A6A93"/>
    <w:rsid w:val="005A7CE7"/>
    <w:rsid w:val="005B0CF1"/>
    <w:rsid w:val="005B0F78"/>
    <w:rsid w:val="005B1963"/>
    <w:rsid w:val="005B19E2"/>
    <w:rsid w:val="005B2426"/>
    <w:rsid w:val="005B2882"/>
    <w:rsid w:val="005B36F9"/>
    <w:rsid w:val="005B3795"/>
    <w:rsid w:val="005B39E0"/>
    <w:rsid w:val="005B44A5"/>
    <w:rsid w:val="005B4C0C"/>
    <w:rsid w:val="005B521B"/>
    <w:rsid w:val="005B578C"/>
    <w:rsid w:val="005B5F04"/>
    <w:rsid w:val="005B6ADD"/>
    <w:rsid w:val="005B6DCD"/>
    <w:rsid w:val="005B77D5"/>
    <w:rsid w:val="005C00AA"/>
    <w:rsid w:val="005C04F3"/>
    <w:rsid w:val="005C1829"/>
    <w:rsid w:val="005C1DF2"/>
    <w:rsid w:val="005C22A0"/>
    <w:rsid w:val="005C24AF"/>
    <w:rsid w:val="005C3BEC"/>
    <w:rsid w:val="005C3F87"/>
    <w:rsid w:val="005C53C6"/>
    <w:rsid w:val="005C57C3"/>
    <w:rsid w:val="005C5A90"/>
    <w:rsid w:val="005C5DCF"/>
    <w:rsid w:val="005C62CB"/>
    <w:rsid w:val="005C728F"/>
    <w:rsid w:val="005D00D8"/>
    <w:rsid w:val="005D0700"/>
    <w:rsid w:val="005D154E"/>
    <w:rsid w:val="005D1AA6"/>
    <w:rsid w:val="005D1E75"/>
    <w:rsid w:val="005D2A9E"/>
    <w:rsid w:val="005D327E"/>
    <w:rsid w:val="005D3491"/>
    <w:rsid w:val="005D35F2"/>
    <w:rsid w:val="005D3818"/>
    <w:rsid w:val="005D3C87"/>
    <w:rsid w:val="005D46EA"/>
    <w:rsid w:val="005D479C"/>
    <w:rsid w:val="005D4F52"/>
    <w:rsid w:val="005D5818"/>
    <w:rsid w:val="005D6604"/>
    <w:rsid w:val="005D66F5"/>
    <w:rsid w:val="005D6987"/>
    <w:rsid w:val="005D6E11"/>
    <w:rsid w:val="005D76ED"/>
    <w:rsid w:val="005D7A08"/>
    <w:rsid w:val="005D7DA7"/>
    <w:rsid w:val="005D7E71"/>
    <w:rsid w:val="005E038F"/>
    <w:rsid w:val="005E0A7E"/>
    <w:rsid w:val="005E0EB2"/>
    <w:rsid w:val="005E1138"/>
    <w:rsid w:val="005E1E06"/>
    <w:rsid w:val="005E2843"/>
    <w:rsid w:val="005E434C"/>
    <w:rsid w:val="005E44D8"/>
    <w:rsid w:val="005E4500"/>
    <w:rsid w:val="005E5287"/>
    <w:rsid w:val="005E586C"/>
    <w:rsid w:val="005E663C"/>
    <w:rsid w:val="005E725B"/>
    <w:rsid w:val="005E782A"/>
    <w:rsid w:val="005E7CCD"/>
    <w:rsid w:val="005F0301"/>
    <w:rsid w:val="005F0A43"/>
    <w:rsid w:val="005F1B8E"/>
    <w:rsid w:val="005F22C5"/>
    <w:rsid w:val="005F254E"/>
    <w:rsid w:val="005F2634"/>
    <w:rsid w:val="005F2AF0"/>
    <w:rsid w:val="005F2F36"/>
    <w:rsid w:val="005F3138"/>
    <w:rsid w:val="005F3D59"/>
    <w:rsid w:val="005F431C"/>
    <w:rsid w:val="005F4BD9"/>
    <w:rsid w:val="005F58AA"/>
    <w:rsid w:val="005F65B2"/>
    <w:rsid w:val="005F707C"/>
    <w:rsid w:val="005F7393"/>
    <w:rsid w:val="005F75A4"/>
    <w:rsid w:val="005F7B80"/>
    <w:rsid w:val="00600448"/>
    <w:rsid w:val="00601295"/>
    <w:rsid w:val="0060201E"/>
    <w:rsid w:val="006020F3"/>
    <w:rsid w:val="00602D23"/>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463"/>
    <w:rsid w:val="0061375E"/>
    <w:rsid w:val="006138D1"/>
    <w:rsid w:val="00614195"/>
    <w:rsid w:val="00614446"/>
    <w:rsid w:val="006144AA"/>
    <w:rsid w:val="006148DB"/>
    <w:rsid w:val="006149B6"/>
    <w:rsid w:val="00614BD6"/>
    <w:rsid w:val="00614F19"/>
    <w:rsid w:val="006150F6"/>
    <w:rsid w:val="00615F26"/>
    <w:rsid w:val="00615FD9"/>
    <w:rsid w:val="00616618"/>
    <w:rsid w:val="00616CE3"/>
    <w:rsid w:val="00617102"/>
    <w:rsid w:val="00617242"/>
    <w:rsid w:val="0061779F"/>
    <w:rsid w:val="00617CC6"/>
    <w:rsid w:val="006200F6"/>
    <w:rsid w:val="006202F7"/>
    <w:rsid w:val="0062066F"/>
    <w:rsid w:val="00620BC0"/>
    <w:rsid w:val="00620E4A"/>
    <w:rsid w:val="00621848"/>
    <w:rsid w:val="0062375E"/>
    <w:rsid w:val="006238A4"/>
    <w:rsid w:val="00623BCF"/>
    <w:rsid w:val="00624805"/>
    <w:rsid w:val="00625042"/>
    <w:rsid w:val="00626675"/>
    <w:rsid w:val="00626F4C"/>
    <w:rsid w:val="006278C3"/>
    <w:rsid w:val="006306D0"/>
    <w:rsid w:val="00630B0B"/>
    <w:rsid w:val="0063123D"/>
    <w:rsid w:val="006316A8"/>
    <w:rsid w:val="00632006"/>
    <w:rsid w:val="00632B71"/>
    <w:rsid w:val="00633B22"/>
    <w:rsid w:val="00633D07"/>
    <w:rsid w:val="00633EF3"/>
    <w:rsid w:val="006346C3"/>
    <w:rsid w:val="006348CC"/>
    <w:rsid w:val="0063539F"/>
    <w:rsid w:val="006354E1"/>
    <w:rsid w:val="006358AA"/>
    <w:rsid w:val="00635917"/>
    <w:rsid w:val="00635E6A"/>
    <w:rsid w:val="006360D1"/>
    <w:rsid w:val="00636590"/>
    <w:rsid w:val="0063694A"/>
    <w:rsid w:val="00636B42"/>
    <w:rsid w:val="006370BC"/>
    <w:rsid w:val="00640EAE"/>
    <w:rsid w:val="006412C8"/>
    <w:rsid w:val="006419C8"/>
    <w:rsid w:val="00642734"/>
    <w:rsid w:val="006428C9"/>
    <w:rsid w:val="00642BC3"/>
    <w:rsid w:val="006431F8"/>
    <w:rsid w:val="0064328D"/>
    <w:rsid w:val="00643333"/>
    <w:rsid w:val="00643FBF"/>
    <w:rsid w:val="00644038"/>
    <w:rsid w:val="006448CB"/>
    <w:rsid w:val="00644F90"/>
    <w:rsid w:val="0064583A"/>
    <w:rsid w:val="006458D7"/>
    <w:rsid w:val="0064644D"/>
    <w:rsid w:val="00646F9D"/>
    <w:rsid w:val="00647000"/>
    <w:rsid w:val="006474CF"/>
    <w:rsid w:val="00647753"/>
    <w:rsid w:val="00647981"/>
    <w:rsid w:val="00647DDB"/>
    <w:rsid w:val="00650B60"/>
    <w:rsid w:val="00650EE0"/>
    <w:rsid w:val="006511C6"/>
    <w:rsid w:val="00651282"/>
    <w:rsid w:val="00651D5A"/>
    <w:rsid w:val="00652EAD"/>
    <w:rsid w:val="006539CB"/>
    <w:rsid w:val="00654052"/>
    <w:rsid w:val="0065464F"/>
    <w:rsid w:val="00654884"/>
    <w:rsid w:val="006549C3"/>
    <w:rsid w:val="00655A5D"/>
    <w:rsid w:val="00655BFE"/>
    <w:rsid w:val="00656183"/>
    <w:rsid w:val="0065626C"/>
    <w:rsid w:val="00656388"/>
    <w:rsid w:val="006564B2"/>
    <w:rsid w:val="00657487"/>
    <w:rsid w:val="00657B8B"/>
    <w:rsid w:val="00660340"/>
    <w:rsid w:val="006617AA"/>
    <w:rsid w:val="00662A12"/>
    <w:rsid w:val="00663C3A"/>
    <w:rsid w:val="00663C4F"/>
    <w:rsid w:val="0066490B"/>
    <w:rsid w:val="00664D72"/>
    <w:rsid w:val="00665B17"/>
    <w:rsid w:val="00665CB4"/>
    <w:rsid w:val="006664B9"/>
    <w:rsid w:val="00666C7E"/>
    <w:rsid w:val="0066726B"/>
    <w:rsid w:val="006675CA"/>
    <w:rsid w:val="006710AA"/>
    <w:rsid w:val="00672554"/>
    <w:rsid w:val="00672788"/>
    <w:rsid w:val="0067321B"/>
    <w:rsid w:val="006735B5"/>
    <w:rsid w:val="006735B6"/>
    <w:rsid w:val="006736DA"/>
    <w:rsid w:val="0067396E"/>
    <w:rsid w:val="006744D8"/>
    <w:rsid w:val="00674BA0"/>
    <w:rsid w:val="00675072"/>
    <w:rsid w:val="00675345"/>
    <w:rsid w:val="006759EC"/>
    <w:rsid w:val="00675CF5"/>
    <w:rsid w:val="00676083"/>
    <w:rsid w:val="006766EF"/>
    <w:rsid w:val="0067709B"/>
    <w:rsid w:val="00677DE2"/>
    <w:rsid w:val="006805A3"/>
    <w:rsid w:val="00680FAC"/>
    <w:rsid w:val="006810CC"/>
    <w:rsid w:val="006819E9"/>
    <w:rsid w:val="00681EC4"/>
    <w:rsid w:val="006822A4"/>
    <w:rsid w:val="00683D8E"/>
    <w:rsid w:val="00683DA5"/>
    <w:rsid w:val="00684439"/>
    <w:rsid w:val="00684C70"/>
    <w:rsid w:val="00685135"/>
    <w:rsid w:val="006852C7"/>
    <w:rsid w:val="00686544"/>
    <w:rsid w:val="0068663A"/>
    <w:rsid w:val="00686C0A"/>
    <w:rsid w:val="00686E76"/>
    <w:rsid w:val="00687656"/>
    <w:rsid w:val="006906A6"/>
    <w:rsid w:val="00690FC7"/>
    <w:rsid w:val="00691798"/>
    <w:rsid w:val="00692428"/>
    <w:rsid w:val="00692818"/>
    <w:rsid w:val="00692C61"/>
    <w:rsid w:val="0069380D"/>
    <w:rsid w:val="00695D26"/>
    <w:rsid w:val="00695F5C"/>
    <w:rsid w:val="006962CA"/>
    <w:rsid w:val="006968F4"/>
    <w:rsid w:val="00696975"/>
    <w:rsid w:val="00696F48"/>
    <w:rsid w:val="00697688"/>
    <w:rsid w:val="00697F5C"/>
    <w:rsid w:val="006A00D6"/>
    <w:rsid w:val="006A0821"/>
    <w:rsid w:val="006A10E7"/>
    <w:rsid w:val="006A1D11"/>
    <w:rsid w:val="006A21DD"/>
    <w:rsid w:val="006A3697"/>
    <w:rsid w:val="006A43EB"/>
    <w:rsid w:val="006A553A"/>
    <w:rsid w:val="006A63D4"/>
    <w:rsid w:val="006A66FF"/>
    <w:rsid w:val="006A70CF"/>
    <w:rsid w:val="006A70FE"/>
    <w:rsid w:val="006A7361"/>
    <w:rsid w:val="006A76C8"/>
    <w:rsid w:val="006A79FE"/>
    <w:rsid w:val="006A7A3E"/>
    <w:rsid w:val="006A7B36"/>
    <w:rsid w:val="006B0674"/>
    <w:rsid w:val="006B068F"/>
    <w:rsid w:val="006B07D3"/>
    <w:rsid w:val="006B09AF"/>
    <w:rsid w:val="006B3A54"/>
    <w:rsid w:val="006B3A97"/>
    <w:rsid w:val="006B40E1"/>
    <w:rsid w:val="006B4128"/>
    <w:rsid w:val="006B4503"/>
    <w:rsid w:val="006B4651"/>
    <w:rsid w:val="006B46A7"/>
    <w:rsid w:val="006B4AF7"/>
    <w:rsid w:val="006B4C53"/>
    <w:rsid w:val="006B4E30"/>
    <w:rsid w:val="006B4EFC"/>
    <w:rsid w:val="006B6B17"/>
    <w:rsid w:val="006B6B34"/>
    <w:rsid w:val="006B6E19"/>
    <w:rsid w:val="006B78EB"/>
    <w:rsid w:val="006C149D"/>
    <w:rsid w:val="006C27BD"/>
    <w:rsid w:val="006C3684"/>
    <w:rsid w:val="006C4246"/>
    <w:rsid w:val="006C4752"/>
    <w:rsid w:val="006C4B7B"/>
    <w:rsid w:val="006C4C89"/>
    <w:rsid w:val="006C4F6A"/>
    <w:rsid w:val="006C50AA"/>
    <w:rsid w:val="006C5539"/>
    <w:rsid w:val="006C63CF"/>
    <w:rsid w:val="006C663B"/>
    <w:rsid w:val="006C697E"/>
    <w:rsid w:val="006C768A"/>
    <w:rsid w:val="006C7E3B"/>
    <w:rsid w:val="006C7FD0"/>
    <w:rsid w:val="006D0D18"/>
    <w:rsid w:val="006D0E86"/>
    <w:rsid w:val="006D10EB"/>
    <w:rsid w:val="006D22AB"/>
    <w:rsid w:val="006D2982"/>
    <w:rsid w:val="006D2AC7"/>
    <w:rsid w:val="006D2CFF"/>
    <w:rsid w:val="006D3131"/>
    <w:rsid w:val="006D318F"/>
    <w:rsid w:val="006D324C"/>
    <w:rsid w:val="006D390B"/>
    <w:rsid w:val="006D4742"/>
    <w:rsid w:val="006D4DF3"/>
    <w:rsid w:val="006D5699"/>
    <w:rsid w:val="006D61DF"/>
    <w:rsid w:val="006D689A"/>
    <w:rsid w:val="006D6909"/>
    <w:rsid w:val="006D6CAF"/>
    <w:rsid w:val="006E0191"/>
    <w:rsid w:val="006E04A6"/>
    <w:rsid w:val="006E0506"/>
    <w:rsid w:val="006E06C1"/>
    <w:rsid w:val="006E0C0F"/>
    <w:rsid w:val="006E1279"/>
    <w:rsid w:val="006E1384"/>
    <w:rsid w:val="006E175B"/>
    <w:rsid w:val="006E21D0"/>
    <w:rsid w:val="006E2364"/>
    <w:rsid w:val="006E251D"/>
    <w:rsid w:val="006E2FC9"/>
    <w:rsid w:val="006E3194"/>
    <w:rsid w:val="006E32F5"/>
    <w:rsid w:val="006E3A8B"/>
    <w:rsid w:val="006E422D"/>
    <w:rsid w:val="006E5209"/>
    <w:rsid w:val="006E540C"/>
    <w:rsid w:val="006E5856"/>
    <w:rsid w:val="006E59DD"/>
    <w:rsid w:val="006E5F60"/>
    <w:rsid w:val="006E6415"/>
    <w:rsid w:val="006E64A5"/>
    <w:rsid w:val="006E64C3"/>
    <w:rsid w:val="006E6C9C"/>
    <w:rsid w:val="006E6D13"/>
    <w:rsid w:val="006E79D5"/>
    <w:rsid w:val="006E7DAE"/>
    <w:rsid w:val="006E7DB5"/>
    <w:rsid w:val="006E7E75"/>
    <w:rsid w:val="006E7E92"/>
    <w:rsid w:val="006F0037"/>
    <w:rsid w:val="006F0A4B"/>
    <w:rsid w:val="006F161A"/>
    <w:rsid w:val="006F2908"/>
    <w:rsid w:val="006F3626"/>
    <w:rsid w:val="006F3C9D"/>
    <w:rsid w:val="006F4284"/>
    <w:rsid w:val="006F55BA"/>
    <w:rsid w:val="006F5A07"/>
    <w:rsid w:val="006F63D8"/>
    <w:rsid w:val="006F69D2"/>
    <w:rsid w:val="006F72A9"/>
    <w:rsid w:val="006F755D"/>
    <w:rsid w:val="006F7830"/>
    <w:rsid w:val="00700C5B"/>
    <w:rsid w:val="00701026"/>
    <w:rsid w:val="00701365"/>
    <w:rsid w:val="007014A9"/>
    <w:rsid w:val="0070181C"/>
    <w:rsid w:val="007018C4"/>
    <w:rsid w:val="00701E1B"/>
    <w:rsid w:val="00702121"/>
    <w:rsid w:val="00702544"/>
    <w:rsid w:val="007031B6"/>
    <w:rsid w:val="00703336"/>
    <w:rsid w:val="007036FB"/>
    <w:rsid w:val="00703B53"/>
    <w:rsid w:val="00704252"/>
    <w:rsid w:val="0070447F"/>
    <w:rsid w:val="007052D2"/>
    <w:rsid w:val="00705BD9"/>
    <w:rsid w:val="00706021"/>
    <w:rsid w:val="00706471"/>
    <w:rsid w:val="00710303"/>
    <w:rsid w:val="0071042E"/>
    <w:rsid w:val="00710560"/>
    <w:rsid w:val="007116A6"/>
    <w:rsid w:val="0071426C"/>
    <w:rsid w:val="00714B2F"/>
    <w:rsid w:val="00714B78"/>
    <w:rsid w:val="007151EE"/>
    <w:rsid w:val="00715439"/>
    <w:rsid w:val="00715556"/>
    <w:rsid w:val="007155BD"/>
    <w:rsid w:val="00715673"/>
    <w:rsid w:val="00716A6B"/>
    <w:rsid w:val="0071714A"/>
    <w:rsid w:val="00717452"/>
    <w:rsid w:val="007179D6"/>
    <w:rsid w:val="00717B23"/>
    <w:rsid w:val="00720018"/>
    <w:rsid w:val="007218F4"/>
    <w:rsid w:val="0072304E"/>
    <w:rsid w:val="007232CD"/>
    <w:rsid w:val="00723B0A"/>
    <w:rsid w:val="00724916"/>
    <w:rsid w:val="007255AD"/>
    <w:rsid w:val="00726C22"/>
    <w:rsid w:val="0072731A"/>
    <w:rsid w:val="00730AC8"/>
    <w:rsid w:val="00732045"/>
    <w:rsid w:val="00732288"/>
    <w:rsid w:val="007325DF"/>
    <w:rsid w:val="00733046"/>
    <w:rsid w:val="0073325E"/>
    <w:rsid w:val="007333C4"/>
    <w:rsid w:val="00734FD4"/>
    <w:rsid w:val="00735CB7"/>
    <w:rsid w:val="00735FF1"/>
    <w:rsid w:val="007367C2"/>
    <w:rsid w:val="0073743E"/>
    <w:rsid w:val="00737A9D"/>
    <w:rsid w:val="00737AAD"/>
    <w:rsid w:val="00740072"/>
    <w:rsid w:val="0074068B"/>
    <w:rsid w:val="007407DE"/>
    <w:rsid w:val="00742676"/>
    <w:rsid w:val="00742835"/>
    <w:rsid w:val="0074293C"/>
    <w:rsid w:val="007430D6"/>
    <w:rsid w:val="0074330C"/>
    <w:rsid w:val="007434DA"/>
    <w:rsid w:val="0074350F"/>
    <w:rsid w:val="00743860"/>
    <w:rsid w:val="00743ABD"/>
    <w:rsid w:val="0074461E"/>
    <w:rsid w:val="00744E83"/>
    <w:rsid w:val="00745376"/>
    <w:rsid w:val="00745CBB"/>
    <w:rsid w:val="00746092"/>
    <w:rsid w:val="00746244"/>
    <w:rsid w:val="007466EF"/>
    <w:rsid w:val="00746B0F"/>
    <w:rsid w:val="00747CE5"/>
    <w:rsid w:val="00751418"/>
    <w:rsid w:val="00751EFB"/>
    <w:rsid w:val="007521C2"/>
    <w:rsid w:val="00752F7A"/>
    <w:rsid w:val="00754070"/>
    <w:rsid w:val="007542EA"/>
    <w:rsid w:val="00754478"/>
    <w:rsid w:val="00754529"/>
    <w:rsid w:val="00754E51"/>
    <w:rsid w:val="00755DA3"/>
    <w:rsid w:val="0075631F"/>
    <w:rsid w:val="00757D8C"/>
    <w:rsid w:val="007604A1"/>
    <w:rsid w:val="007604B6"/>
    <w:rsid w:val="00760660"/>
    <w:rsid w:val="00760682"/>
    <w:rsid w:val="00760685"/>
    <w:rsid w:val="00760F67"/>
    <w:rsid w:val="00761938"/>
    <w:rsid w:val="00762C2A"/>
    <w:rsid w:val="00763EC3"/>
    <w:rsid w:val="00764025"/>
    <w:rsid w:val="00764148"/>
    <w:rsid w:val="00764FF0"/>
    <w:rsid w:val="00765317"/>
    <w:rsid w:val="00765716"/>
    <w:rsid w:val="00765A30"/>
    <w:rsid w:val="00765ED9"/>
    <w:rsid w:val="00765F5B"/>
    <w:rsid w:val="0076602D"/>
    <w:rsid w:val="00766E7C"/>
    <w:rsid w:val="0077080B"/>
    <w:rsid w:val="00771267"/>
    <w:rsid w:val="007712A8"/>
    <w:rsid w:val="00773F0C"/>
    <w:rsid w:val="007746F0"/>
    <w:rsid w:val="007748FE"/>
    <w:rsid w:val="00774B13"/>
    <w:rsid w:val="00774BDF"/>
    <w:rsid w:val="007751A0"/>
    <w:rsid w:val="007753E0"/>
    <w:rsid w:val="00775594"/>
    <w:rsid w:val="00775F4E"/>
    <w:rsid w:val="00776BAD"/>
    <w:rsid w:val="00776D16"/>
    <w:rsid w:val="00776DF6"/>
    <w:rsid w:val="00777526"/>
    <w:rsid w:val="0077758C"/>
    <w:rsid w:val="0078055D"/>
    <w:rsid w:val="00780D60"/>
    <w:rsid w:val="007819F4"/>
    <w:rsid w:val="00781EC3"/>
    <w:rsid w:val="00782A42"/>
    <w:rsid w:val="0078434D"/>
    <w:rsid w:val="00784C85"/>
    <w:rsid w:val="00784FC9"/>
    <w:rsid w:val="007850BA"/>
    <w:rsid w:val="007869B5"/>
    <w:rsid w:val="0078762A"/>
    <w:rsid w:val="0078769A"/>
    <w:rsid w:val="00787AF0"/>
    <w:rsid w:val="00787C76"/>
    <w:rsid w:val="00790996"/>
    <w:rsid w:val="00790AFF"/>
    <w:rsid w:val="0079100F"/>
    <w:rsid w:val="00791EA6"/>
    <w:rsid w:val="00792805"/>
    <w:rsid w:val="007930D4"/>
    <w:rsid w:val="007941C2"/>
    <w:rsid w:val="007943CC"/>
    <w:rsid w:val="00794BBF"/>
    <w:rsid w:val="00794D62"/>
    <w:rsid w:val="007956AB"/>
    <w:rsid w:val="00795D4E"/>
    <w:rsid w:val="007969EE"/>
    <w:rsid w:val="00796CB8"/>
    <w:rsid w:val="007971A5"/>
    <w:rsid w:val="007A0ACB"/>
    <w:rsid w:val="007A1744"/>
    <w:rsid w:val="007A1CCD"/>
    <w:rsid w:val="007A210B"/>
    <w:rsid w:val="007A24D5"/>
    <w:rsid w:val="007A26A6"/>
    <w:rsid w:val="007A296A"/>
    <w:rsid w:val="007A3348"/>
    <w:rsid w:val="007A4062"/>
    <w:rsid w:val="007A4136"/>
    <w:rsid w:val="007A4C70"/>
    <w:rsid w:val="007A4E21"/>
    <w:rsid w:val="007A512C"/>
    <w:rsid w:val="007A5761"/>
    <w:rsid w:val="007A5BAC"/>
    <w:rsid w:val="007A664E"/>
    <w:rsid w:val="007A7A88"/>
    <w:rsid w:val="007B05EE"/>
    <w:rsid w:val="007B14C0"/>
    <w:rsid w:val="007B1821"/>
    <w:rsid w:val="007B18DE"/>
    <w:rsid w:val="007B260E"/>
    <w:rsid w:val="007B323A"/>
    <w:rsid w:val="007B3290"/>
    <w:rsid w:val="007B3A8D"/>
    <w:rsid w:val="007B5CD3"/>
    <w:rsid w:val="007B5DD8"/>
    <w:rsid w:val="007B5EA7"/>
    <w:rsid w:val="007B62D7"/>
    <w:rsid w:val="007B6AE3"/>
    <w:rsid w:val="007C03AB"/>
    <w:rsid w:val="007C1D31"/>
    <w:rsid w:val="007C2070"/>
    <w:rsid w:val="007C23F7"/>
    <w:rsid w:val="007C2458"/>
    <w:rsid w:val="007C258E"/>
    <w:rsid w:val="007C2D30"/>
    <w:rsid w:val="007C31FA"/>
    <w:rsid w:val="007C32AB"/>
    <w:rsid w:val="007C3E55"/>
    <w:rsid w:val="007C3EA3"/>
    <w:rsid w:val="007C4485"/>
    <w:rsid w:val="007C48A1"/>
    <w:rsid w:val="007C48C7"/>
    <w:rsid w:val="007C49B3"/>
    <w:rsid w:val="007C4D87"/>
    <w:rsid w:val="007C5153"/>
    <w:rsid w:val="007C56B5"/>
    <w:rsid w:val="007C6B3A"/>
    <w:rsid w:val="007C764B"/>
    <w:rsid w:val="007C7EF2"/>
    <w:rsid w:val="007D0932"/>
    <w:rsid w:val="007D0BD4"/>
    <w:rsid w:val="007D0D31"/>
    <w:rsid w:val="007D0E83"/>
    <w:rsid w:val="007D19DA"/>
    <w:rsid w:val="007D1CC1"/>
    <w:rsid w:val="007D28A3"/>
    <w:rsid w:val="007D381A"/>
    <w:rsid w:val="007D3DCA"/>
    <w:rsid w:val="007D412F"/>
    <w:rsid w:val="007D4765"/>
    <w:rsid w:val="007D4ED1"/>
    <w:rsid w:val="007D5D09"/>
    <w:rsid w:val="007D5FF9"/>
    <w:rsid w:val="007D6215"/>
    <w:rsid w:val="007D6718"/>
    <w:rsid w:val="007E15EA"/>
    <w:rsid w:val="007E16DA"/>
    <w:rsid w:val="007E3B6C"/>
    <w:rsid w:val="007E4526"/>
    <w:rsid w:val="007E493A"/>
    <w:rsid w:val="007E5BF1"/>
    <w:rsid w:val="007E6285"/>
    <w:rsid w:val="007E69A5"/>
    <w:rsid w:val="007E7085"/>
    <w:rsid w:val="007E71FD"/>
    <w:rsid w:val="007E761E"/>
    <w:rsid w:val="007F0576"/>
    <w:rsid w:val="007F14A3"/>
    <w:rsid w:val="007F262D"/>
    <w:rsid w:val="007F2A26"/>
    <w:rsid w:val="007F2D4A"/>
    <w:rsid w:val="007F35AB"/>
    <w:rsid w:val="007F4375"/>
    <w:rsid w:val="007F4713"/>
    <w:rsid w:val="007F4A6D"/>
    <w:rsid w:val="007F5B6F"/>
    <w:rsid w:val="007F5E7B"/>
    <w:rsid w:val="007F6971"/>
    <w:rsid w:val="007F6C93"/>
    <w:rsid w:val="007F7AAC"/>
    <w:rsid w:val="007F7CBF"/>
    <w:rsid w:val="00800100"/>
    <w:rsid w:val="00801560"/>
    <w:rsid w:val="00801726"/>
    <w:rsid w:val="008018D8"/>
    <w:rsid w:val="00801FAF"/>
    <w:rsid w:val="00802783"/>
    <w:rsid w:val="008035CE"/>
    <w:rsid w:val="00803D67"/>
    <w:rsid w:val="00803FD5"/>
    <w:rsid w:val="00804238"/>
    <w:rsid w:val="0080450F"/>
    <w:rsid w:val="00804C91"/>
    <w:rsid w:val="008060B6"/>
    <w:rsid w:val="00806556"/>
    <w:rsid w:val="0080695B"/>
    <w:rsid w:val="00806AAC"/>
    <w:rsid w:val="00807497"/>
    <w:rsid w:val="00807A12"/>
    <w:rsid w:val="00807DB4"/>
    <w:rsid w:val="0081052C"/>
    <w:rsid w:val="00810E9F"/>
    <w:rsid w:val="00811102"/>
    <w:rsid w:val="00811572"/>
    <w:rsid w:val="00812074"/>
    <w:rsid w:val="008122E7"/>
    <w:rsid w:val="008127EF"/>
    <w:rsid w:val="00813CEE"/>
    <w:rsid w:val="00815AEA"/>
    <w:rsid w:val="008161BA"/>
    <w:rsid w:val="008163DE"/>
    <w:rsid w:val="0081669A"/>
    <w:rsid w:val="008169FC"/>
    <w:rsid w:val="00816A09"/>
    <w:rsid w:val="00816E95"/>
    <w:rsid w:val="00816EF0"/>
    <w:rsid w:val="00817015"/>
    <w:rsid w:val="008174FA"/>
    <w:rsid w:val="008179D4"/>
    <w:rsid w:val="00817D34"/>
    <w:rsid w:val="0082139A"/>
    <w:rsid w:val="008216EB"/>
    <w:rsid w:val="00822DCE"/>
    <w:rsid w:val="00822DD5"/>
    <w:rsid w:val="00822E56"/>
    <w:rsid w:val="00824567"/>
    <w:rsid w:val="00824A80"/>
    <w:rsid w:val="008251ED"/>
    <w:rsid w:val="00825218"/>
    <w:rsid w:val="00825F96"/>
    <w:rsid w:val="00827290"/>
    <w:rsid w:val="00827DC9"/>
    <w:rsid w:val="008302EC"/>
    <w:rsid w:val="00830380"/>
    <w:rsid w:val="00830993"/>
    <w:rsid w:val="008315B7"/>
    <w:rsid w:val="008315FF"/>
    <w:rsid w:val="00831A74"/>
    <w:rsid w:val="0083206D"/>
    <w:rsid w:val="00832F1B"/>
    <w:rsid w:val="008338A4"/>
    <w:rsid w:val="00833AA3"/>
    <w:rsid w:val="00834097"/>
    <w:rsid w:val="0083450A"/>
    <w:rsid w:val="008345EF"/>
    <w:rsid w:val="008348DA"/>
    <w:rsid w:val="00834F62"/>
    <w:rsid w:val="0083537C"/>
    <w:rsid w:val="0083595B"/>
    <w:rsid w:val="00835A62"/>
    <w:rsid w:val="008379BF"/>
    <w:rsid w:val="008407C8"/>
    <w:rsid w:val="00840A2E"/>
    <w:rsid w:val="008422A8"/>
    <w:rsid w:val="00842CF1"/>
    <w:rsid w:val="00842F53"/>
    <w:rsid w:val="00842F8E"/>
    <w:rsid w:val="00843799"/>
    <w:rsid w:val="008447C0"/>
    <w:rsid w:val="00844C26"/>
    <w:rsid w:val="008454E5"/>
    <w:rsid w:val="00845CFB"/>
    <w:rsid w:val="00845F4C"/>
    <w:rsid w:val="008460F9"/>
    <w:rsid w:val="0084671D"/>
    <w:rsid w:val="008468B5"/>
    <w:rsid w:val="00846FF2"/>
    <w:rsid w:val="00847191"/>
    <w:rsid w:val="00847E9C"/>
    <w:rsid w:val="0085032C"/>
    <w:rsid w:val="008513ED"/>
    <w:rsid w:val="008533FD"/>
    <w:rsid w:val="00853849"/>
    <w:rsid w:val="00853AC8"/>
    <w:rsid w:val="00854FDD"/>
    <w:rsid w:val="00855730"/>
    <w:rsid w:val="008559A8"/>
    <w:rsid w:val="00855FE1"/>
    <w:rsid w:val="00856396"/>
    <w:rsid w:val="008563C9"/>
    <w:rsid w:val="00856CC9"/>
    <w:rsid w:val="00857689"/>
    <w:rsid w:val="00857ECC"/>
    <w:rsid w:val="00857FFC"/>
    <w:rsid w:val="00860570"/>
    <w:rsid w:val="00861742"/>
    <w:rsid w:val="00862FDD"/>
    <w:rsid w:val="008633F1"/>
    <w:rsid w:val="00864A40"/>
    <w:rsid w:val="00864F26"/>
    <w:rsid w:val="00865992"/>
    <w:rsid w:val="00865EFA"/>
    <w:rsid w:val="0086636B"/>
    <w:rsid w:val="00866461"/>
    <w:rsid w:val="008666A2"/>
    <w:rsid w:val="00866ADD"/>
    <w:rsid w:val="00867575"/>
    <w:rsid w:val="00870576"/>
    <w:rsid w:val="00870DB5"/>
    <w:rsid w:val="00870F89"/>
    <w:rsid w:val="00872826"/>
    <w:rsid w:val="00872DF4"/>
    <w:rsid w:val="00873481"/>
    <w:rsid w:val="00875363"/>
    <w:rsid w:val="008754F3"/>
    <w:rsid w:val="00875C59"/>
    <w:rsid w:val="0087608C"/>
    <w:rsid w:val="00876C5B"/>
    <w:rsid w:val="00877084"/>
    <w:rsid w:val="00877100"/>
    <w:rsid w:val="008771DD"/>
    <w:rsid w:val="00877344"/>
    <w:rsid w:val="00877763"/>
    <w:rsid w:val="0087781D"/>
    <w:rsid w:val="00877A7E"/>
    <w:rsid w:val="008809DD"/>
    <w:rsid w:val="00881147"/>
    <w:rsid w:val="0088182E"/>
    <w:rsid w:val="008818AA"/>
    <w:rsid w:val="0088281B"/>
    <w:rsid w:val="008828F7"/>
    <w:rsid w:val="008830A6"/>
    <w:rsid w:val="008836D0"/>
    <w:rsid w:val="00883A9D"/>
    <w:rsid w:val="00883ECC"/>
    <w:rsid w:val="008847E4"/>
    <w:rsid w:val="00884A08"/>
    <w:rsid w:val="00884F5F"/>
    <w:rsid w:val="00885ACB"/>
    <w:rsid w:val="00885BB1"/>
    <w:rsid w:val="00885DDF"/>
    <w:rsid w:val="0088626E"/>
    <w:rsid w:val="00886E73"/>
    <w:rsid w:val="00890FD9"/>
    <w:rsid w:val="00891228"/>
    <w:rsid w:val="008914DA"/>
    <w:rsid w:val="00892289"/>
    <w:rsid w:val="00892DC1"/>
    <w:rsid w:val="008931A4"/>
    <w:rsid w:val="008932A5"/>
    <w:rsid w:val="00894FE8"/>
    <w:rsid w:val="00895CBF"/>
    <w:rsid w:val="0089718B"/>
    <w:rsid w:val="00897199"/>
    <w:rsid w:val="00897524"/>
    <w:rsid w:val="00897AB8"/>
    <w:rsid w:val="00897B39"/>
    <w:rsid w:val="00897D29"/>
    <w:rsid w:val="008A0549"/>
    <w:rsid w:val="008A09C1"/>
    <w:rsid w:val="008A0D7B"/>
    <w:rsid w:val="008A1035"/>
    <w:rsid w:val="008A12C0"/>
    <w:rsid w:val="008A1A5E"/>
    <w:rsid w:val="008A1CEF"/>
    <w:rsid w:val="008A221F"/>
    <w:rsid w:val="008A2377"/>
    <w:rsid w:val="008A3133"/>
    <w:rsid w:val="008A48EB"/>
    <w:rsid w:val="008A4906"/>
    <w:rsid w:val="008A490F"/>
    <w:rsid w:val="008A4DD7"/>
    <w:rsid w:val="008A510C"/>
    <w:rsid w:val="008A5955"/>
    <w:rsid w:val="008A5E34"/>
    <w:rsid w:val="008A607F"/>
    <w:rsid w:val="008A6683"/>
    <w:rsid w:val="008A66CA"/>
    <w:rsid w:val="008A6B55"/>
    <w:rsid w:val="008A7A60"/>
    <w:rsid w:val="008A7B0F"/>
    <w:rsid w:val="008B02C7"/>
    <w:rsid w:val="008B033D"/>
    <w:rsid w:val="008B1255"/>
    <w:rsid w:val="008B1AA5"/>
    <w:rsid w:val="008B2E52"/>
    <w:rsid w:val="008B2EDE"/>
    <w:rsid w:val="008B32AB"/>
    <w:rsid w:val="008B32AD"/>
    <w:rsid w:val="008B398E"/>
    <w:rsid w:val="008B410E"/>
    <w:rsid w:val="008B41CA"/>
    <w:rsid w:val="008B4629"/>
    <w:rsid w:val="008B4635"/>
    <w:rsid w:val="008B50E2"/>
    <w:rsid w:val="008B5CA1"/>
    <w:rsid w:val="008B5FA4"/>
    <w:rsid w:val="008B77D4"/>
    <w:rsid w:val="008B7CCD"/>
    <w:rsid w:val="008C0543"/>
    <w:rsid w:val="008C113B"/>
    <w:rsid w:val="008C1241"/>
    <w:rsid w:val="008C2905"/>
    <w:rsid w:val="008C29BC"/>
    <w:rsid w:val="008C2B31"/>
    <w:rsid w:val="008C2BFB"/>
    <w:rsid w:val="008C3751"/>
    <w:rsid w:val="008C3A5C"/>
    <w:rsid w:val="008C3A60"/>
    <w:rsid w:val="008C3E5C"/>
    <w:rsid w:val="008C40AA"/>
    <w:rsid w:val="008C4BCD"/>
    <w:rsid w:val="008C53B8"/>
    <w:rsid w:val="008C569E"/>
    <w:rsid w:val="008C56F9"/>
    <w:rsid w:val="008C5AE3"/>
    <w:rsid w:val="008C5B1C"/>
    <w:rsid w:val="008C5C81"/>
    <w:rsid w:val="008C6173"/>
    <w:rsid w:val="008C6658"/>
    <w:rsid w:val="008C68E5"/>
    <w:rsid w:val="008C6F5D"/>
    <w:rsid w:val="008C74AE"/>
    <w:rsid w:val="008C78DB"/>
    <w:rsid w:val="008C7AFD"/>
    <w:rsid w:val="008D1841"/>
    <w:rsid w:val="008D18FF"/>
    <w:rsid w:val="008D1CF7"/>
    <w:rsid w:val="008D1F06"/>
    <w:rsid w:val="008D28E5"/>
    <w:rsid w:val="008D3313"/>
    <w:rsid w:val="008D38D4"/>
    <w:rsid w:val="008D3A69"/>
    <w:rsid w:val="008D4069"/>
    <w:rsid w:val="008D44CA"/>
    <w:rsid w:val="008D4764"/>
    <w:rsid w:val="008D548C"/>
    <w:rsid w:val="008D6043"/>
    <w:rsid w:val="008D6DD8"/>
    <w:rsid w:val="008D6E0A"/>
    <w:rsid w:val="008D6EFF"/>
    <w:rsid w:val="008D728B"/>
    <w:rsid w:val="008D72B5"/>
    <w:rsid w:val="008D72D8"/>
    <w:rsid w:val="008E00E2"/>
    <w:rsid w:val="008E05AC"/>
    <w:rsid w:val="008E18CE"/>
    <w:rsid w:val="008E19D3"/>
    <w:rsid w:val="008E25A4"/>
    <w:rsid w:val="008E3200"/>
    <w:rsid w:val="008E38CE"/>
    <w:rsid w:val="008E3E4D"/>
    <w:rsid w:val="008E6638"/>
    <w:rsid w:val="008E6FC9"/>
    <w:rsid w:val="008E75C4"/>
    <w:rsid w:val="008E7848"/>
    <w:rsid w:val="008E78F0"/>
    <w:rsid w:val="008E78F6"/>
    <w:rsid w:val="008E7C80"/>
    <w:rsid w:val="008F0CB0"/>
    <w:rsid w:val="008F0E5D"/>
    <w:rsid w:val="008F3058"/>
    <w:rsid w:val="008F3381"/>
    <w:rsid w:val="008F5750"/>
    <w:rsid w:val="008F57E1"/>
    <w:rsid w:val="008F5948"/>
    <w:rsid w:val="008F78BD"/>
    <w:rsid w:val="008F7CBD"/>
    <w:rsid w:val="009001ED"/>
    <w:rsid w:val="0090062F"/>
    <w:rsid w:val="00900CCD"/>
    <w:rsid w:val="00902B72"/>
    <w:rsid w:val="00903BB1"/>
    <w:rsid w:val="0090490B"/>
    <w:rsid w:val="0090541C"/>
    <w:rsid w:val="009057B0"/>
    <w:rsid w:val="00906CB5"/>
    <w:rsid w:val="00907370"/>
    <w:rsid w:val="00907AEF"/>
    <w:rsid w:val="009105A8"/>
    <w:rsid w:val="00911074"/>
    <w:rsid w:val="00911ADE"/>
    <w:rsid w:val="00911DAA"/>
    <w:rsid w:val="00913506"/>
    <w:rsid w:val="0091380E"/>
    <w:rsid w:val="0091392B"/>
    <w:rsid w:val="00913C7D"/>
    <w:rsid w:val="009155DA"/>
    <w:rsid w:val="00915BA2"/>
    <w:rsid w:val="0091637B"/>
    <w:rsid w:val="0091658E"/>
    <w:rsid w:val="00916FC4"/>
    <w:rsid w:val="00917639"/>
    <w:rsid w:val="00917CA8"/>
    <w:rsid w:val="00917E64"/>
    <w:rsid w:val="00920D02"/>
    <w:rsid w:val="00921011"/>
    <w:rsid w:val="00921309"/>
    <w:rsid w:val="0092170E"/>
    <w:rsid w:val="00922186"/>
    <w:rsid w:val="009223B1"/>
    <w:rsid w:val="009228C4"/>
    <w:rsid w:val="009231DE"/>
    <w:rsid w:val="00923862"/>
    <w:rsid w:val="00924350"/>
    <w:rsid w:val="009243CD"/>
    <w:rsid w:val="00924AD9"/>
    <w:rsid w:val="009250D9"/>
    <w:rsid w:val="009255C0"/>
    <w:rsid w:val="00925BDE"/>
    <w:rsid w:val="00926A98"/>
    <w:rsid w:val="00926E19"/>
    <w:rsid w:val="00926F8E"/>
    <w:rsid w:val="00927008"/>
    <w:rsid w:val="00927D29"/>
    <w:rsid w:val="00927E24"/>
    <w:rsid w:val="00927F50"/>
    <w:rsid w:val="00930CCA"/>
    <w:rsid w:val="00930E9F"/>
    <w:rsid w:val="0093117C"/>
    <w:rsid w:val="00931303"/>
    <w:rsid w:val="00933C39"/>
    <w:rsid w:val="00933C3C"/>
    <w:rsid w:val="00933C53"/>
    <w:rsid w:val="00934217"/>
    <w:rsid w:val="009347F0"/>
    <w:rsid w:val="00934F56"/>
    <w:rsid w:val="009351E9"/>
    <w:rsid w:val="009354D0"/>
    <w:rsid w:val="00935F8F"/>
    <w:rsid w:val="0093639B"/>
    <w:rsid w:val="00936BF0"/>
    <w:rsid w:val="0094071F"/>
    <w:rsid w:val="00940B1B"/>
    <w:rsid w:val="00940C59"/>
    <w:rsid w:val="00941829"/>
    <w:rsid w:val="00941928"/>
    <w:rsid w:val="00941CDE"/>
    <w:rsid w:val="00941D5C"/>
    <w:rsid w:val="009426D8"/>
    <w:rsid w:val="0094305F"/>
    <w:rsid w:val="00943FB4"/>
    <w:rsid w:val="009441EB"/>
    <w:rsid w:val="00946473"/>
    <w:rsid w:val="009466A2"/>
    <w:rsid w:val="00947046"/>
    <w:rsid w:val="009473C0"/>
    <w:rsid w:val="00947782"/>
    <w:rsid w:val="00947B6A"/>
    <w:rsid w:val="00951B6F"/>
    <w:rsid w:val="00952321"/>
    <w:rsid w:val="00954C7D"/>
    <w:rsid w:val="00954F2A"/>
    <w:rsid w:val="00955356"/>
    <w:rsid w:val="009553AB"/>
    <w:rsid w:val="009556C8"/>
    <w:rsid w:val="00956774"/>
    <w:rsid w:val="00956D75"/>
    <w:rsid w:val="00957024"/>
    <w:rsid w:val="009573DB"/>
    <w:rsid w:val="00957A0D"/>
    <w:rsid w:val="00957EE5"/>
    <w:rsid w:val="0096047A"/>
    <w:rsid w:val="00960C8F"/>
    <w:rsid w:val="00961449"/>
    <w:rsid w:val="00961F42"/>
    <w:rsid w:val="00963DF9"/>
    <w:rsid w:val="009641CE"/>
    <w:rsid w:val="00965AAE"/>
    <w:rsid w:val="009666B8"/>
    <w:rsid w:val="009672ED"/>
    <w:rsid w:val="009677A6"/>
    <w:rsid w:val="009700E2"/>
    <w:rsid w:val="00971627"/>
    <w:rsid w:val="00972AF0"/>
    <w:rsid w:val="00972CC3"/>
    <w:rsid w:val="009733F4"/>
    <w:rsid w:val="009747E4"/>
    <w:rsid w:val="00974D41"/>
    <w:rsid w:val="00974F8B"/>
    <w:rsid w:val="00975231"/>
    <w:rsid w:val="009757AD"/>
    <w:rsid w:val="00976AA3"/>
    <w:rsid w:val="00976CB1"/>
    <w:rsid w:val="00976CF9"/>
    <w:rsid w:val="0097733F"/>
    <w:rsid w:val="0097761C"/>
    <w:rsid w:val="009777BA"/>
    <w:rsid w:val="0097786D"/>
    <w:rsid w:val="00977D60"/>
    <w:rsid w:val="0098021F"/>
    <w:rsid w:val="00980254"/>
    <w:rsid w:val="009804BC"/>
    <w:rsid w:val="00980C14"/>
    <w:rsid w:val="00981087"/>
    <w:rsid w:val="009817B3"/>
    <w:rsid w:val="00981CD8"/>
    <w:rsid w:val="00981D4F"/>
    <w:rsid w:val="009828E6"/>
    <w:rsid w:val="00982B5C"/>
    <w:rsid w:val="00982FEE"/>
    <w:rsid w:val="0098346D"/>
    <w:rsid w:val="00983E69"/>
    <w:rsid w:val="00985B95"/>
    <w:rsid w:val="00986065"/>
    <w:rsid w:val="009873A8"/>
    <w:rsid w:val="00987731"/>
    <w:rsid w:val="009903C3"/>
    <w:rsid w:val="00991240"/>
    <w:rsid w:val="00991D0D"/>
    <w:rsid w:val="0099270F"/>
    <w:rsid w:val="009944D3"/>
    <w:rsid w:val="009945AF"/>
    <w:rsid w:val="009956C6"/>
    <w:rsid w:val="00995810"/>
    <w:rsid w:val="00995AF9"/>
    <w:rsid w:val="00996107"/>
    <w:rsid w:val="00996161"/>
    <w:rsid w:val="009966EB"/>
    <w:rsid w:val="00996B37"/>
    <w:rsid w:val="00996C41"/>
    <w:rsid w:val="00996F4A"/>
    <w:rsid w:val="00997E60"/>
    <w:rsid w:val="00997F32"/>
    <w:rsid w:val="009A01CF"/>
    <w:rsid w:val="009A03F9"/>
    <w:rsid w:val="009A07F1"/>
    <w:rsid w:val="009A1E3E"/>
    <w:rsid w:val="009A2B34"/>
    <w:rsid w:val="009A4393"/>
    <w:rsid w:val="009A4587"/>
    <w:rsid w:val="009A473B"/>
    <w:rsid w:val="009A4E46"/>
    <w:rsid w:val="009A5412"/>
    <w:rsid w:val="009A5C2E"/>
    <w:rsid w:val="009A62BD"/>
    <w:rsid w:val="009A68C4"/>
    <w:rsid w:val="009B0140"/>
    <w:rsid w:val="009B067A"/>
    <w:rsid w:val="009B0827"/>
    <w:rsid w:val="009B151E"/>
    <w:rsid w:val="009B1531"/>
    <w:rsid w:val="009B163B"/>
    <w:rsid w:val="009B25EE"/>
    <w:rsid w:val="009B260E"/>
    <w:rsid w:val="009B2B7B"/>
    <w:rsid w:val="009B2EAB"/>
    <w:rsid w:val="009B2F32"/>
    <w:rsid w:val="009B4949"/>
    <w:rsid w:val="009B5202"/>
    <w:rsid w:val="009B5248"/>
    <w:rsid w:val="009B5AE6"/>
    <w:rsid w:val="009B614D"/>
    <w:rsid w:val="009B7FF8"/>
    <w:rsid w:val="009C0BFA"/>
    <w:rsid w:val="009C1549"/>
    <w:rsid w:val="009C2B57"/>
    <w:rsid w:val="009C3292"/>
    <w:rsid w:val="009C34B7"/>
    <w:rsid w:val="009C4216"/>
    <w:rsid w:val="009C4931"/>
    <w:rsid w:val="009C560E"/>
    <w:rsid w:val="009C5CCE"/>
    <w:rsid w:val="009D0053"/>
    <w:rsid w:val="009D06DC"/>
    <w:rsid w:val="009D14A4"/>
    <w:rsid w:val="009D2548"/>
    <w:rsid w:val="009D27C5"/>
    <w:rsid w:val="009D2DE4"/>
    <w:rsid w:val="009D422D"/>
    <w:rsid w:val="009D4FAF"/>
    <w:rsid w:val="009D56DF"/>
    <w:rsid w:val="009D56E7"/>
    <w:rsid w:val="009D5929"/>
    <w:rsid w:val="009D62CA"/>
    <w:rsid w:val="009D657F"/>
    <w:rsid w:val="009D6F47"/>
    <w:rsid w:val="009D709A"/>
    <w:rsid w:val="009E0841"/>
    <w:rsid w:val="009E0A63"/>
    <w:rsid w:val="009E0CA6"/>
    <w:rsid w:val="009E0F06"/>
    <w:rsid w:val="009E1841"/>
    <w:rsid w:val="009E19EC"/>
    <w:rsid w:val="009E2AAE"/>
    <w:rsid w:val="009E3542"/>
    <w:rsid w:val="009E3600"/>
    <w:rsid w:val="009E3C4D"/>
    <w:rsid w:val="009E4C4A"/>
    <w:rsid w:val="009E6437"/>
    <w:rsid w:val="009E75FD"/>
    <w:rsid w:val="009E7A26"/>
    <w:rsid w:val="009E7BE5"/>
    <w:rsid w:val="009F002D"/>
    <w:rsid w:val="009F008B"/>
    <w:rsid w:val="009F032C"/>
    <w:rsid w:val="009F0675"/>
    <w:rsid w:val="009F083B"/>
    <w:rsid w:val="009F0BAD"/>
    <w:rsid w:val="009F0EBF"/>
    <w:rsid w:val="009F15E4"/>
    <w:rsid w:val="009F15FC"/>
    <w:rsid w:val="009F228E"/>
    <w:rsid w:val="009F26DF"/>
    <w:rsid w:val="009F3A49"/>
    <w:rsid w:val="009F3C57"/>
    <w:rsid w:val="009F3E7B"/>
    <w:rsid w:val="009F3F6B"/>
    <w:rsid w:val="009F52E1"/>
    <w:rsid w:val="009F545E"/>
    <w:rsid w:val="009F5672"/>
    <w:rsid w:val="009F56C1"/>
    <w:rsid w:val="009F5744"/>
    <w:rsid w:val="009F69C1"/>
    <w:rsid w:val="009F713E"/>
    <w:rsid w:val="009F75F3"/>
    <w:rsid w:val="009F7AA7"/>
    <w:rsid w:val="00A00C96"/>
    <w:rsid w:val="00A00E69"/>
    <w:rsid w:val="00A013C3"/>
    <w:rsid w:val="00A01486"/>
    <w:rsid w:val="00A01882"/>
    <w:rsid w:val="00A01964"/>
    <w:rsid w:val="00A02AD4"/>
    <w:rsid w:val="00A03886"/>
    <w:rsid w:val="00A038DC"/>
    <w:rsid w:val="00A03D35"/>
    <w:rsid w:val="00A03DB8"/>
    <w:rsid w:val="00A04AE7"/>
    <w:rsid w:val="00A04C1F"/>
    <w:rsid w:val="00A05000"/>
    <w:rsid w:val="00A05297"/>
    <w:rsid w:val="00A06F56"/>
    <w:rsid w:val="00A070AB"/>
    <w:rsid w:val="00A0745F"/>
    <w:rsid w:val="00A07925"/>
    <w:rsid w:val="00A07DFC"/>
    <w:rsid w:val="00A11298"/>
    <w:rsid w:val="00A11A18"/>
    <w:rsid w:val="00A11AE6"/>
    <w:rsid w:val="00A11D33"/>
    <w:rsid w:val="00A122AE"/>
    <w:rsid w:val="00A133F1"/>
    <w:rsid w:val="00A135C3"/>
    <w:rsid w:val="00A1491F"/>
    <w:rsid w:val="00A15061"/>
    <w:rsid w:val="00A151AF"/>
    <w:rsid w:val="00A15769"/>
    <w:rsid w:val="00A163E3"/>
    <w:rsid w:val="00A16F97"/>
    <w:rsid w:val="00A173D3"/>
    <w:rsid w:val="00A179C5"/>
    <w:rsid w:val="00A179F4"/>
    <w:rsid w:val="00A17A67"/>
    <w:rsid w:val="00A20628"/>
    <w:rsid w:val="00A2063C"/>
    <w:rsid w:val="00A20789"/>
    <w:rsid w:val="00A21501"/>
    <w:rsid w:val="00A2289C"/>
    <w:rsid w:val="00A2333B"/>
    <w:rsid w:val="00A24C57"/>
    <w:rsid w:val="00A24E6B"/>
    <w:rsid w:val="00A24F05"/>
    <w:rsid w:val="00A258C1"/>
    <w:rsid w:val="00A2596F"/>
    <w:rsid w:val="00A25A7F"/>
    <w:rsid w:val="00A25BAF"/>
    <w:rsid w:val="00A25F82"/>
    <w:rsid w:val="00A27B94"/>
    <w:rsid w:val="00A30141"/>
    <w:rsid w:val="00A302AC"/>
    <w:rsid w:val="00A3127F"/>
    <w:rsid w:val="00A31901"/>
    <w:rsid w:val="00A31F4C"/>
    <w:rsid w:val="00A31F58"/>
    <w:rsid w:val="00A3264C"/>
    <w:rsid w:val="00A341E0"/>
    <w:rsid w:val="00A344CF"/>
    <w:rsid w:val="00A34513"/>
    <w:rsid w:val="00A346C3"/>
    <w:rsid w:val="00A347DB"/>
    <w:rsid w:val="00A35A8D"/>
    <w:rsid w:val="00A35BC2"/>
    <w:rsid w:val="00A35DEE"/>
    <w:rsid w:val="00A3639B"/>
    <w:rsid w:val="00A363DD"/>
    <w:rsid w:val="00A367EF"/>
    <w:rsid w:val="00A36AB3"/>
    <w:rsid w:val="00A36FE7"/>
    <w:rsid w:val="00A374DE"/>
    <w:rsid w:val="00A413E7"/>
    <w:rsid w:val="00A4181A"/>
    <w:rsid w:val="00A41D4E"/>
    <w:rsid w:val="00A4270F"/>
    <w:rsid w:val="00A42C1B"/>
    <w:rsid w:val="00A42D3A"/>
    <w:rsid w:val="00A435B9"/>
    <w:rsid w:val="00A43BA9"/>
    <w:rsid w:val="00A44239"/>
    <w:rsid w:val="00A44506"/>
    <w:rsid w:val="00A44BA0"/>
    <w:rsid w:val="00A4530B"/>
    <w:rsid w:val="00A45CFA"/>
    <w:rsid w:val="00A45E20"/>
    <w:rsid w:val="00A46B68"/>
    <w:rsid w:val="00A47E71"/>
    <w:rsid w:val="00A47F3E"/>
    <w:rsid w:val="00A505E9"/>
    <w:rsid w:val="00A505F9"/>
    <w:rsid w:val="00A50660"/>
    <w:rsid w:val="00A511CA"/>
    <w:rsid w:val="00A512F3"/>
    <w:rsid w:val="00A52009"/>
    <w:rsid w:val="00A52036"/>
    <w:rsid w:val="00A52E4C"/>
    <w:rsid w:val="00A5400A"/>
    <w:rsid w:val="00A54078"/>
    <w:rsid w:val="00A54B3D"/>
    <w:rsid w:val="00A54CBB"/>
    <w:rsid w:val="00A54D3D"/>
    <w:rsid w:val="00A54DB5"/>
    <w:rsid w:val="00A553F7"/>
    <w:rsid w:val="00A55A82"/>
    <w:rsid w:val="00A560C4"/>
    <w:rsid w:val="00A560E2"/>
    <w:rsid w:val="00A5631B"/>
    <w:rsid w:val="00A56CBE"/>
    <w:rsid w:val="00A56EEB"/>
    <w:rsid w:val="00A575CF"/>
    <w:rsid w:val="00A57CDC"/>
    <w:rsid w:val="00A6028F"/>
    <w:rsid w:val="00A60DD8"/>
    <w:rsid w:val="00A60F16"/>
    <w:rsid w:val="00A6163A"/>
    <w:rsid w:val="00A619B1"/>
    <w:rsid w:val="00A61D2F"/>
    <w:rsid w:val="00A61D6F"/>
    <w:rsid w:val="00A61D72"/>
    <w:rsid w:val="00A61DF8"/>
    <w:rsid w:val="00A61E1E"/>
    <w:rsid w:val="00A63097"/>
    <w:rsid w:val="00A63122"/>
    <w:rsid w:val="00A63FDD"/>
    <w:rsid w:val="00A640A5"/>
    <w:rsid w:val="00A64F41"/>
    <w:rsid w:val="00A64FA2"/>
    <w:rsid w:val="00A64FC0"/>
    <w:rsid w:val="00A65DE1"/>
    <w:rsid w:val="00A669C1"/>
    <w:rsid w:val="00A67190"/>
    <w:rsid w:val="00A7013E"/>
    <w:rsid w:val="00A707DA"/>
    <w:rsid w:val="00A70E23"/>
    <w:rsid w:val="00A70ED3"/>
    <w:rsid w:val="00A710C9"/>
    <w:rsid w:val="00A7123C"/>
    <w:rsid w:val="00A71380"/>
    <w:rsid w:val="00A71F6B"/>
    <w:rsid w:val="00A720D0"/>
    <w:rsid w:val="00A72869"/>
    <w:rsid w:val="00A72B36"/>
    <w:rsid w:val="00A72E45"/>
    <w:rsid w:val="00A7364A"/>
    <w:rsid w:val="00A73C39"/>
    <w:rsid w:val="00A743EF"/>
    <w:rsid w:val="00A74F97"/>
    <w:rsid w:val="00A75196"/>
    <w:rsid w:val="00A75B3B"/>
    <w:rsid w:val="00A761A3"/>
    <w:rsid w:val="00A76DD2"/>
    <w:rsid w:val="00A8050A"/>
    <w:rsid w:val="00A80661"/>
    <w:rsid w:val="00A807DC"/>
    <w:rsid w:val="00A80B34"/>
    <w:rsid w:val="00A8233C"/>
    <w:rsid w:val="00A8238F"/>
    <w:rsid w:val="00A823FD"/>
    <w:rsid w:val="00A832F9"/>
    <w:rsid w:val="00A8362C"/>
    <w:rsid w:val="00A83657"/>
    <w:rsid w:val="00A83FB0"/>
    <w:rsid w:val="00A85B57"/>
    <w:rsid w:val="00A85F4D"/>
    <w:rsid w:val="00A861E3"/>
    <w:rsid w:val="00A8697D"/>
    <w:rsid w:val="00A879D8"/>
    <w:rsid w:val="00A87F56"/>
    <w:rsid w:val="00A91524"/>
    <w:rsid w:val="00A919F9"/>
    <w:rsid w:val="00A91F22"/>
    <w:rsid w:val="00A925A6"/>
    <w:rsid w:val="00A927AB"/>
    <w:rsid w:val="00A92A0D"/>
    <w:rsid w:val="00A93469"/>
    <w:rsid w:val="00A93552"/>
    <w:rsid w:val="00A93713"/>
    <w:rsid w:val="00A937C9"/>
    <w:rsid w:val="00A93BFE"/>
    <w:rsid w:val="00A94114"/>
    <w:rsid w:val="00A94A2E"/>
    <w:rsid w:val="00A95239"/>
    <w:rsid w:val="00A95298"/>
    <w:rsid w:val="00A96E6F"/>
    <w:rsid w:val="00A97438"/>
    <w:rsid w:val="00AA0153"/>
    <w:rsid w:val="00AA0FA8"/>
    <w:rsid w:val="00AA1056"/>
    <w:rsid w:val="00AA1709"/>
    <w:rsid w:val="00AA18F9"/>
    <w:rsid w:val="00AA1DA0"/>
    <w:rsid w:val="00AA1ED4"/>
    <w:rsid w:val="00AA22F5"/>
    <w:rsid w:val="00AA2954"/>
    <w:rsid w:val="00AA2990"/>
    <w:rsid w:val="00AA2CB7"/>
    <w:rsid w:val="00AA30D1"/>
    <w:rsid w:val="00AA3573"/>
    <w:rsid w:val="00AA3E2B"/>
    <w:rsid w:val="00AA401A"/>
    <w:rsid w:val="00AA4C83"/>
    <w:rsid w:val="00AA54DA"/>
    <w:rsid w:val="00AA5C63"/>
    <w:rsid w:val="00AA5FC1"/>
    <w:rsid w:val="00AA682E"/>
    <w:rsid w:val="00AA6D84"/>
    <w:rsid w:val="00AA6ECD"/>
    <w:rsid w:val="00AA71EF"/>
    <w:rsid w:val="00AB04BA"/>
    <w:rsid w:val="00AB15D7"/>
    <w:rsid w:val="00AB1756"/>
    <w:rsid w:val="00AB1FBA"/>
    <w:rsid w:val="00AB3124"/>
    <w:rsid w:val="00AB3552"/>
    <w:rsid w:val="00AB3CB9"/>
    <w:rsid w:val="00AB4741"/>
    <w:rsid w:val="00AB4C5D"/>
    <w:rsid w:val="00AB5F23"/>
    <w:rsid w:val="00AB60B4"/>
    <w:rsid w:val="00AB798E"/>
    <w:rsid w:val="00AB7B58"/>
    <w:rsid w:val="00AC0994"/>
    <w:rsid w:val="00AC0D41"/>
    <w:rsid w:val="00AC0E9E"/>
    <w:rsid w:val="00AC13CE"/>
    <w:rsid w:val="00AC15B4"/>
    <w:rsid w:val="00AC2056"/>
    <w:rsid w:val="00AC363E"/>
    <w:rsid w:val="00AC3A6D"/>
    <w:rsid w:val="00AC44F1"/>
    <w:rsid w:val="00AC5EA1"/>
    <w:rsid w:val="00AC6654"/>
    <w:rsid w:val="00AC6A13"/>
    <w:rsid w:val="00AD04B4"/>
    <w:rsid w:val="00AD068E"/>
    <w:rsid w:val="00AD1670"/>
    <w:rsid w:val="00AD24F5"/>
    <w:rsid w:val="00AD30A8"/>
    <w:rsid w:val="00AD333E"/>
    <w:rsid w:val="00AD36FA"/>
    <w:rsid w:val="00AD3930"/>
    <w:rsid w:val="00AD3BA4"/>
    <w:rsid w:val="00AD3E2B"/>
    <w:rsid w:val="00AD4444"/>
    <w:rsid w:val="00AD48CA"/>
    <w:rsid w:val="00AD4E8A"/>
    <w:rsid w:val="00AD54D8"/>
    <w:rsid w:val="00AD571E"/>
    <w:rsid w:val="00AD618C"/>
    <w:rsid w:val="00AD62D1"/>
    <w:rsid w:val="00AD63AE"/>
    <w:rsid w:val="00AD659F"/>
    <w:rsid w:val="00AD6DB0"/>
    <w:rsid w:val="00AD6F7B"/>
    <w:rsid w:val="00AE1283"/>
    <w:rsid w:val="00AE13E4"/>
    <w:rsid w:val="00AE1B96"/>
    <w:rsid w:val="00AE2422"/>
    <w:rsid w:val="00AE24DE"/>
    <w:rsid w:val="00AE337E"/>
    <w:rsid w:val="00AE43CB"/>
    <w:rsid w:val="00AE4C3A"/>
    <w:rsid w:val="00AE4E94"/>
    <w:rsid w:val="00AE52C4"/>
    <w:rsid w:val="00AE579D"/>
    <w:rsid w:val="00AE5911"/>
    <w:rsid w:val="00AE6105"/>
    <w:rsid w:val="00AE750E"/>
    <w:rsid w:val="00AE7557"/>
    <w:rsid w:val="00AE7DCA"/>
    <w:rsid w:val="00AF01C9"/>
    <w:rsid w:val="00AF0615"/>
    <w:rsid w:val="00AF0F58"/>
    <w:rsid w:val="00AF127B"/>
    <w:rsid w:val="00AF14DD"/>
    <w:rsid w:val="00AF1912"/>
    <w:rsid w:val="00AF1B37"/>
    <w:rsid w:val="00AF1D5B"/>
    <w:rsid w:val="00AF2131"/>
    <w:rsid w:val="00AF2758"/>
    <w:rsid w:val="00AF3830"/>
    <w:rsid w:val="00AF3C59"/>
    <w:rsid w:val="00AF3E10"/>
    <w:rsid w:val="00AF3E16"/>
    <w:rsid w:val="00AF4392"/>
    <w:rsid w:val="00AF460D"/>
    <w:rsid w:val="00AF49BA"/>
    <w:rsid w:val="00AF4F12"/>
    <w:rsid w:val="00AF4FE6"/>
    <w:rsid w:val="00AF5D12"/>
    <w:rsid w:val="00AF5D81"/>
    <w:rsid w:val="00AF6ECB"/>
    <w:rsid w:val="00AF6FE4"/>
    <w:rsid w:val="00AF713F"/>
    <w:rsid w:val="00B0028A"/>
    <w:rsid w:val="00B007F4"/>
    <w:rsid w:val="00B02EE7"/>
    <w:rsid w:val="00B02F7F"/>
    <w:rsid w:val="00B03CE4"/>
    <w:rsid w:val="00B0439C"/>
    <w:rsid w:val="00B04CE3"/>
    <w:rsid w:val="00B05B76"/>
    <w:rsid w:val="00B06406"/>
    <w:rsid w:val="00B0667D"/>
    <w:rsid w:val="00B06C90"/>
    <w:rsid w:val="00B07227"/>
    <w:rsid w:val="00B0739C"/>
    <w:rsid w:val="00B0776B"/>
    <w:rsid w:val="00B078E3"/>
    <w:rsid w:val="00B07C15"/>
    <w:rsid w:val="00B111C2"/>
    <w:rsid w:val="00B11303"/>
    <w:rsid w:val="00B11EC8"/>
    <w:rsid w:val="00B13569"/>
    <w:rsid w:val="00B1368A"/>
    <w:rsid w:val="00B14445"/>
    <w:rsid w:val="00B14AA3"/>
    <w:rsid w:val="00B14B30"/>
    <w:rsid w:val="00B14CE0"/>
    <w:rsid w:val="00B14D85"/>
    <w:rsid w:val="00B150D2"/>
    <w:rsid w:val="00B1526B"/>
    <w:rsid w:val="00B1528A"/>
    <w:rsid w:val="00B1602B"/>
    <w:rsid w:val="00B1678B"/>
    <w:rsid w:val="00B16A1D"/>
    <w:rsid w:val="00B17058"/>
    <w:rsid w:val="00B20153"/>
    <w:rsid w:val="00B20172"/>
    <w:rsid w:val="00B20254"/>
    <w:rsid w:val="00B2045F"/>
    <w:rsid w:val="00B2074F"/>
    <w:rsid w:val="00B21471"/>
    <w:rsid w:val="00B21DE1"/>
    <w:rsid w:val="00B227AE"/>
    <w:rsid w:val="00B22B2C"/>
    <w:rsid w:val="00B22DCA"/>
    <w:rsid w:val="00B23621"/>
    <w:rsid w:val="00B23C6D"/>
    <w:rsid w:val="00B23D15"/>
    <w:rsid w:val="00B23F04"/>
    <w:rsid w:val="00B244D9"/>
    <w:rsid w:val="00B24FB2"/>
    <w:rsid w:val="00B256FC"/>
    <w:rsid w:val="00B26113"/>
    <w:rsid w:val="00B277B4"/>
    <w:rsid w:val="00B30397"/>
    <w:rsid w:val="00B305A6"/>
    <w:rsid w:val="00B30918"/>
    <w:rsid w:val="00B31EE0"/>
    <w:rsid w:val="00B32BEE"/>
    <w:rsid w:val="00B3319D"/>
    <w:rsid w:val="00B332CA"/>
    <w:rsid w:val="00B34374"/>
    <w:rsid w:val="00B34A3F"/>
    <w:rsid w:val="00B35B68"/>
    <w:rsid w:val="00B36E9C"/>
    <w:rsid w:val="00B4115D"/>
    <w:rsid w:val="00B412BF"/>
    <w:rsid w:val="00B417DC"/>
    <w:rsid w:val="00B42AE9"/>
    <w:rsid w:val="00B4359F"/>
    <w:rsid w:val="00B435EF"/>
    <w:rsid w:val="00B4381B"/>
    <w:rsid w:val="00B43DE1"/>
    <w:rsid w:val="00B441E2"/>
    <w:rsid w:val="00B446F0"/>
    <w:rsid w:val="00B45134"/>
    <w:rsid w:val="00B46D35"/>
    <w:rsid w:val="00B46F02"/>
    <w:rsid w:val="00B46F20"/>
    <w:rsid w:val="00B50973"/>
    <w:rsid w:val="00B50F40"/>
    <w:rsid w:val="00B50F47"/>
    <w:rsid w:val="00B51114"/>
    <w:rsid w:val="00B513BA"/>
    <w:rsid w:val="00B51592"/>
    <w:rsid w:val="00B51F22"/>
    <w:rsid w:val="00B533FB"/>
    <w:rsid w:val="00B535BF"/>
    <w:rsid w:val="00B53A77"/>
    <w:rsid w:val="00B53F2D"/>
    <w:rsid w:val="00B53F7B"/>
    <w:rsid w:val="00B547B2"/>
    <w:rsid w:val="00B549A2"/>
    <w:rsid w:val="00B550AB"/>
    <w:rsid w:val="00B55483"/>
    <w:rsid w:val="00B558E2"/>
    <w:rsid w:val="00B55DDD"/>
    <w:rsid w:val="00B570DD"/>
    <w:rsid w:val="00B570E2"/>
    <w:rsid w:val="00B57965"/>
    <w:rsid w:val="00B579A0"/>
    <w:rsid w:val="00B57CE5"/>
    <w:rsid w:val="00B60248"/>
    <w:rsid w:val="00B6141C"/>
    <w:rsid w:val="00B61716"/>
    <w:rsid w:val="00B61D31"/>
    <w:rsid w:val="00B62C56"/>
    <w:rsid w:val="00B63330"/>
    <w:rsid w:val="00B63E7B"/>
    <w:rsid w:val="00B6402E"/>
    <w:rsid w:val="00B64145"/>
    <w:rsid w:val="00B64CEA"/>
    <w:rsid w:val="00B65666"/>
    <w:rsid w:val="00B657A5"/>
    <w:rsid w:val="00B66621"/>
    <w:rsid w:val="00B66DC3"/>
    <w:rsid w:val="00B67088"/>
    <w:rsid w:val="00B677FB"/>
    <w:rsid w:val="00B67FDB"/>
    <w:rsid w:val="00B70842"/>
    <w:rsid w:val="00B713BD"/>
    <w:rsid w:val="00B715B0"/>
    <w:rsid w:val="00B71995"/>
    <w:rsid w:val="00B71BF3"/>
    <w:rsid w:val="00B729C9"/>
    <w:rsid w:val="00B7379E"/>
    <w:rsid w:val="00B73FB2"/>
    <w:rsid w:val="00B73FF0"/>
    <w:rsid w:val="00B75111"/>
    <w:rsid w:val="00B75C0A"/>
    <w:rsid w:val="00B763AA"/>
    <w:rsid w:val="00B7656A"/>
    <w:rsid w:val="00B76AAE"/>
    <w:rsid w:val="00B770D8"/>
    <w:rsid w:val="00B77946"/>
    <w:rsid w:val="00B77951"/>
    <w:rsid w:val="00B801B8"/>
    <w:rsid w:val="00B80332"/>
    <w:rsid w:val="00B8033C"/>
    <w:rsid w:val="00B811EF"/>
    <w:rsid w:val="00B816C1"/>
    <w:rsid w:val="00B8176D"/>
    <w:rsid w:val="00B818CB"/>
    <w:rsid w:val="00B8280B"/>
    <w:rsid w:val="00B8344A"/>
    <w:rsid w:val="00B83605"/>
    <w:rsid w:val="00B83AED"/>
    <w:rsid w:val="00B83F0A"/>
    <w:rsid w:val="00B857F1"/>
    <w:rsid w:val="00B858BA"/>
    <w:rsid w:val="00B85B26"/>
    <w:rsid w:val="00B85E95"/>
    <w:rsid w:val="00B8689D"/>
    <w:rsid w:val="00B869CB"/>
    <w:rsid w:val="00B90F74"/>
    <w:rsid w:val="00B9116D"/>
    <w:rsid w:val="00B9442A"/>
    <w:rsid w:val="00B94FF4"/>
    <w:rsid w:val="00B95361"/>
    <w:rsid w:val="00B95877"/>
    <w:rsid w:val="00B960A1"/>
    <w:rsid w:val="00B96642"/>
    <w:rsid w:val="00B974AD"/>
    <w:rsid w:val="00B97543"/>
    <w:rsid w:val="00B97B99"/>
    <w:rsid w:val="00B97E22"/>
    <w:rsid w:val="00BA0717"/>
    <w:rsid w:val="00BA0930"/>
    <w:rsid w:val="00BA105D"/>
    <w:rsid w:val="00BA1D26"/>
    <w:rsid w:val="00BA1EF9"/>
    <w:rsid w:val="00BA35F4"/>
    <w:rsid w:val="00BA3DE4"/>
    <w:rsid w:val="00BA41C3"/>
    <w:rsid w:val="00BA42AB"/>
    <w:rsid w:val="00BA51E3"/>
    <w:rsid w:val="00BA59E4"/>
    <w:rsid w:val="00BA5BAB"/>
    <w:rsid w:val="00BA6EF3"/>
    <w:rsid w:val="00BA7390"/>
    <w:rsid w:val="00BA7DCD"/>
    <w:rsid w:val="00BB07F8"/>
    <w:rsid w:val="00BB095C"/>
    <w:rsid w:val="00BB1A80"/>
    <w:rsid w:val="00BB1BD5"/>
    <w:rsid w:val="00BB1D5F"/>
    <w:rsid w:val="00BB1E57"/>
    <w:rsid w:val="00BB2864"/>
    <w:rsid w:val="00BB28D0"/>
    <w:rsid w:val="00BB3251"/>
    <w:rsid w:val="00BB59A8"/>
    <w:rsid w:val="00BB611D"/>
    <w:rsid w:val="00BB6B83"/>
    <w:rsid w:val="00BC0426"/>
    <w:rsid w:val="00BC07E1"/>
    <w:rsid w:val="00BC0BD7"/>
    <w:rsid w:val="00BC0F8A"/>
    <w:rsid w:val="00BC175D"/>
    <w:rsid w:val="00BC1F40"/>
    <w:rsid w:val="00BC2864"/>
    <w:rsid w:val="00BC2878"/>
    <w:rsid w:val="00BC394A"/>
    <w:rsid w:val="00BC3A44"/>
    <w:rsid w:val="00BC3E36"/>
    <w:rsid w:val="00BC4DA9"/>
    <w:rsid w:val="00BC50A9"/>
    <w:rsid w:val="00BC5868"/>
    <w:rsid w:val="00BC6146"/>
    <w:rsid w:val="00BC7CDA"/>
    <w:rsid w:val="00BD007A"/>
    <w:rsid w:val="00BD03F8"/>
    <w:rsid w:val="00BD0BAC"/>
    <w:rsid w:val="00BD137B"/>
    <w:rsid w:val="00BD144F"/>
    <w:rsid w:val="00BD18E1"/>
    <w:rsid w:val="00BD1A8A"/>
    <w:rsid w:val="00BD20B7"/>
    <w:rsid w:val="00BD2154"/>
    <w:rsid w:val="00BD2495"/>
    <w:rsid w:val="00BD3054"/>
    <w:rsid w:val="00BD3D26"/>
    <w:rsid w:val="00BD41F4"/>
    <w:rsid w:val="00BD4394"/>
    <w:rsid w:val="00BD48ED"/>
    <w:rsid w:val="00BD4B18"/>
    <w:rsid w:val="00BD5373"/>
    <w:rsid w:val="00BD54B4"/>
    <w:rsid w:val="00BD553D"/>
    <w:rsid w:val="00BD57C6"/>
    <w:rsid w:val="00BD5BDB"/>
    <w:rsid w:val="00BD6851"/>
    <w:rsid w:val="00BD6D9F"/>
    <w:rsid w:val="00BD6FA3"/>
    <w:rsid w:val="00BD7F4A"/>
    <w:rsid w:val="00BE0D5E"/>
    <w:rsid w:val="00BE14C0"/>
    <w:rsid w:val="00BE14C1"/>
    <w:rsid w:val="00BE1E64"/>
    <w:rsid w:val="00BE263B"/>
    <w:rsid w:val="00BE26A4"/>
    <w:rsid w:val="00BE33CC"/>
    <w:rsid w:val="00BE34F8"/>
    <w:rsid w:val="00BE35A8"/>
    <w:rsid w:val="00BE4062"/>
    <w:rsid w:val="00BE4185"/>
    <w:rsid w:val="00BE474C"/>
    <w:rsid w:val="00BE52C1"/>
    <w:rsid w:val="00BE564C"/>
    <w:rsid w:val="00BE5DB6"/>
    <w:rsid w:val="00BE5ED1"/>
    <w:rsid w:val="00BE6324"/>
    <w:rsid w:val="00BE6A42"/>
    <w:rsid w:val="00BE6FD6"/>
    <w:rsid w:val="00BE74EF"/>
    <w:rsid w:val="00BE7727"/>
    <w:rsid w:val="00BE7770"/>
    <w:rsid w:val="00BE78E7"/>
    <w:rsid w:val="00BF0A10"/>
    <w:rsid w:val="00BF185C"/>
    <w:rsid w:val="00BF1B01"/>
    <w:rsid w:val="00BF1D90"/>
    <w:rsid w:val="00BF2B24"/>
    <w:rsid w:val="00BF2EDE"/>
    <w:rsid w:val="00BF31F5"/>
    <w:rsid w:val="00BF3224"/>
    <w:rsid w:val="00BF34C0"/>
    <w:rsid w:val="00BF3664"/>
    <w:rsid w:val="00BF3701"/>
    <w:rsid w:val="00BF4B45"/>
    <w:rsid w:val="00BF4DDC"/>
    <w:rsid w:val="00BF4F59"/>
    <w:rsid w:val="00BF5359"/>
    <w:rsid w:val="00BF6926"/>
    <w:rsid w:val="00BF6945"/>
    <w:rsid w:val="00BF74E1"/>
    <w:rsid w:val="00BF759C"/>
    <w:rsid w:val="00C00E05"/>
    <w:rsid w:val="00C012E0"/>
    <w:rsid w:val="00C0162A"/>
    <w:rsid w:val="00C0199D"/>
    <w:rsid w:val="00C01C6B"/>
    <w:rsid w:val="00C01F36"/>
    <w:rsid w:val="00C02A33"/>
    <w:rsid w:val="00C0325A"/>
    <w:rsid w:val="00C03E20"/>
    <w:rsid w:val="00C03E73"/>
    <w:rsid w:val="00C040BE"/>
    <w:rsid w:val="00C04840"/>
    <w:rsid w:val="00C04950"/>
    <w:rsid w:val="00C04A94"/>
    <w:rsid w:val="00C0548A"/>
    <w:rsid w:val="00C059E2"/>
    <w:rsid w:val="00C06633"/>
    <w:rsid w:val="00C06B2C"/>
    <w:rsid w:val="00C074D7"/>
    <w:rsid w:val="00C104B5"/>
    <w:rsid w:val="00C10EA9"/>
    <w:rsid w:val="00C1122F"/>
    <w:rsid w:val="00C11569"/>
    <w:rsid w:val="00C12FFE"/>
    <w:rsid w:val="00C13820"/>
    <w:rsid w:val="00C13838"/>
    <w:rsid w:val="00C146EA"/>
    <w:rsid w:val="00C1548B"/>
    <w:rsid w:val="00C157D2"/>
    <w:rsid w:val="00C15BE1"/>
    <w:rsid w:val="00C15D8E"/>
    <w:rsid w:val="00C169BF"/>
    <w:rsid w:val="00C17098"/>
    <w:rsid w:val="00C17406"/>
    <w:rsid w:val="00C17DF8"/>
    <w:rsid w:val="00C204C6"/>
    <w:rsid w:val="00C20C41"/>
    <w:rsid w:val="00C20C6A"/>
    <w:rsid w:val="00C20CC7"/>
    <w:rsid w:val="00C210A5"/>
    <w:rsid w:val="00C2256F"/>
    <w:rsid w:val="00C22FE7"/>
    <w:rsid w:val="00C23791"/>
    <w:rsid w:val="00C24390"/>
    <w:rsid w:val="00C24B98"/>
    <w:rsid w:val="00C25109"/>
    <w:rsid w:val="00C251FE"/>
    <w:rsid w:val="00C25ED3"/>
    <w:rsid w:val="00C2634B"/>
    <w:rsid w:val="00C263EA"/>
    <w:rsid w:val="00C26423"/>
    <w:rsid w:val="00C26457"/>
    <w:rsid w:val="00C26912"/>
    <w:rsid w:val="00C274A2"/>
    <w:rsid w:val="00C275B6"/>
    <w:rsid w:val="00C275F2"/>
    <w:rsid w:val="00C27818"/>
    <w:rsid w:val="00C27A7E"/>
    <w:rsid w:val="00C320C2"/>
    <w:rsid w:val="00C32BA7"/>
    <w:rsid w:val="00C32CD2"/>
    <w:rsid w:val="00C3324A"/>
    <w:rsid w:val="00C343A4"/>
    <w:rsid w:val="00C35408"/>
    <w:rsid w:val="00C3589C"/>
    <w:rsid w:val="00C35C94"/>
    <w:rsid w:val="00C35F6C"/>
    <w:rsid w:val="00C36118"/>
    <w:rsid w:val="00C36892"/>
    <w:rsid w:val="00C378DD"/>
    <w:rsid w:val="00C4004F"/>
    <w:rsid w:val="00C403AB"/>
    <w:rsid w:val="00C40704"/>
    <w:rsid w:val="00C413C3"/>
    <w:rsid w:val="00C41901"/>
    <w:rsid w:val="00C419BC"/>
    <w:rsid w:val="00C41BC8"/>
    <w:rsid w:val="00C4213A"/>
    <w:rsid w:val="00C42F34"/>
    <w:rsid w:val="00C43087"/>
    <w:rsid w:val="00C43238"/>
    <w:rsid w:val="00C4366E"/>
    <w:rsid w:val="00C43D83"/>
    <w:rsid w:val="00C44780"/>
    <w:rsid w:val="00C4479B"/>
    <w:rsid w:val="00C448BD"/>
    <w:rsid w:val="00C44AD8"/>
    <w:rsid w:val="00C458DA"/>
    <w:rsid w:val="00C45DA0"/>
    <w:rsid w:val="00C47F72"/>
    <w:rsid w:val="00C50111"/>
    <w:rsid w:val="00C502B2"/>
    <w:rsid w:val="00C5043A"/>
    <w:rsid w:val="00C5073D"/>
    <w:rsid w:val="00C50789"/>
    <w:rsid w:val="00C51CBD"/>
    <w:rsid w:val="00C51EA1"/>
    <w:rsid w:val="00C52C32"/>
    <w:rsid w:val="00C53012"/>
    <w:rsid w:val="00C5306E"/>
    <w:rsid w:val="00C53156"/>
    <w:rsid w:val="00C533E7"/>
    <w:rsid w:val="00C5361C"/>
    <w:rsid w:val="00C5461B"/>
    <w:rsid w:val="00C54859"/>
    <w:rsid w:val="00C5552C"/>
    <w:rsid w:val="00C5567F"/>
    <w:rsid w:val="00C55681"/>
    <w:rsid w:val="00C557F3"/>
    <w:rsid w:val="00C55BCA"/>
    <w:rsid w:val="00C569A0"/>
    <w:rsid w:val="00C57CF5"/>
    <w:rsid w:val="00C57F10"/>
    <w:rsid w:val="00C60079"/>
    <w:rsid w:val="00C60B82"/>
    <w:rsid w:val="00C613F8"/>
    <w:rsid w:val="00C61DD6"/>
    <w:rsid w:val="00C61E98"/>
    <w:rsid w:val="00C61F2A"/>
    <w:rsid w:val="00C6202E"/>
    <w:rsid w:val="00C62DAD"/>
    <w:rsid w:val="00C63810"/>
    <w:rsid w:val="00C64245"/>
    <w:rsid w:val="00C644CA"/>
    <w:rsid w:val="00C64702"/>
    <w:rsid w:val="00C64CC8"/>
    <w:rsid w:val="00C65090"/>
    <w:rsid w:val="00C65198"/>
    <w:rsid w:val="00C654EF"/>
    <w:rsid w:val="00C662E3"/>
    <w:rsid w:val="00C663D3"/>
    <w:rsid w:val="00C66E9B"/>
    <w:rsid w:val="00C67F68"/>
    <w:rsid w:val="00C708FE"/>
    <w:rsid w:val="00C70FA1"/>
    <w:rsid w:val="00C717CE"/>
    <w:rsid w:val="00C719D3"/>
    <w:rsid w:val="00C71E46"/>
    <w:rsid w:val="00C7209D"/>
    <w:rsid w:val="00C72723"/>
    <w:rsid w:val="00C7381E"/>
    <w:rsid w:val="00C74A90"/>
    <w:rsid w:val="00C7541A"/>
    <w:rsid w:val="00C756A7"/>
    <w:rsid w:val="00C76111"/>
    <w:rsid w:val="00C76A20"/>
    <w:rsid w:val="00C77B04"/>
    <w:rsid w:val="00C77FA8"/>
    <w:rsid w:val="00C80704"/>
    <w:rsid w:val="00C80AF2"/>
    <w:rsid w:val="00C813EF"/>
    <w:rsid w:val="00C8178C"/>
    <w:rsid w:val="00C81837"/>
    <w:rsid w:val="00C823AA"/>
    <w:rsid w:val="00C82805"/>
    <w:rsid w:val="00C84138"/>
    <w:rsid w:val="00C846F4"/>
    <w:rsid w:val="00C84B2B"/>
    <w:rsid w:val="00C85142"/>
    <w:rsid w:val="00C8514D"/>
    <w:rsid w:val="00C8595E"/>
    <w:rsid w:val="00C85FC1"/>
    <w:rsid w:val="00C870D1"/>
    <w:rsid w:val="00C9110B"/>
    <w:rsid w:val="00C9113B"/>
    <w:rsid w:val="00C91864"/>
    <w:rsid w:val="00C91D89"/>
    <w:rsid w:val="00C9223E"/>
    <w:rsid w:val="00C922F6"/>
    <w:rsid w:val="00C93287"/>
    <w:rsid w:val="00C94392"/>
    <w:rsid w:val="00C948D3"/>
    <w:rsid w:val="00C9516E"/>
    <w:rsid w:val="00C95607"/>
    <w:rsid w:val="00C9562C"/>
    <w:rsid w:val="00C9641C"/>
    <w:rsid w:val="00C96C09"/>
    <w:rsid w:val="00C96E0C"/>
    <w:rsid w:val="00C971FA"/>
    <w:rsid w:val="00CA10E0"/>
    <w:rsid w:val="00CA10F3"/>
    <w:rsid w:val="00CA1796"/>
    <w:rsid w:val="00CA1A91"/>
    <w:rsid w:val="00CA26BA"/>
    <w:rsid w:val="00CA2DA2"/>
    <w:rsid w:val="00CA3165"/>
    <w:rsid w:val="00CA326E"/>
    <w:rsid w:val="00CA3ABF"/>
    <w:rsid w:val="00CA5F04"/>
    <w:rsid w:val="00CA610F"/>
    <w:rsid w:val="00CA627E"/>
    <w:rsid w:val="00CA637F"/>
    <w:rsid w:val="00CA67CC"/>
    <w:rsid w:val="00CA6BEF"/>
    <w:rsid w:val="00CA6DE5"/>
    <w:rsid w:val="00CA7ACE"/>
    <w:rsid w:val="00CB048A"/>
    <w:rsid w:val="00CB0A56"/>
    <w:rsid w:val="00CB0AF9"/>
    <w:rsid w:val="00CB10D8"/>
    <w:rsid w:val="00CB1227"/>
    <w:rsid w:val="00CB1C71"/>
    <w:rsid w:val="00CB25A8"/>
    <w:rsid w:val="00CB26D3"/>
    <w:rsid w:val="00CB306A"/>
    <w:rsid w:val="00CB3BC7"/>
    <w:rsid w:val="00CB466E"/>
    <w:rsid w:val="00CB4961"/>
    <w:rsid w:val="00CB5997"/>
    <w:rsid w:val="00CB59E5"/>
    <w:rsid w:val="00CB6226"/>
    <w:rsid w:val="00CB6439"/>
    <w:rsid w:val="00CB658B"/>
    <w:rsid w:val="00CB7790"/>
    <w:rsid w:val="00CB7F26"/>
    <w:rsid w:val="00CC08E7"/>
    <w:rsid w:val="00CC0AE3"/>
    <w:rsid w:val="00CC0B14"/>
    <w:rsid w:val="00CC0D70"/>
    <w:rsid w:val="00CC11BE"/>
    <w:rsid w:val="00CC12EB"/>
    <w:rsid w:val="00CC1A5C"/>
    <w:rsid w:val="00CC1C1E"/>
    <w:rsid w:val="00CC1FB6"/>
    <w:rsid w:val="00CC24F4"/>
    <w:rsid w:val="00CC298D"/>
    <w:rsid w:val="00CC30E2"/>
    <w:rsid w:val="00CC3442"/>
    <w:rsid w:val="00CC3BA6"/>
    <w:rsid w:val="00CC3CED"/>
    <w:rsid w:val="00CC530F"/>
    <w:rsid w:val="00CC5DBC"/>
    <w:rsid w:val="00CC5FA4"/>
    <w:rsid w:val="00CC5FCE"/>
    <w:rsid w:val="00CC69D3"/>
    <w:rsid w:val="00CC6EF4"/>
    <w:rsid w:val="00CC7A58"/>
    <w:rsid w:val="00CC7C0B"/>
    <w:rsid w:val="00CD0DF1"/>
    <w:rsid w:val="00CD225B"/>
    <w:rsid w:val="00CD292A"/>
    <w:rsid w:val="00CD2CED"/>
    <w:rsid w:val="00CD3B27"/>
    <w:rsid w:val="00CD435D"/>
    <w:rsid w:val="00CD4D58"/>
    <w:rsid w:val="00CD4E04"/>
    <w:rsid w:val="00CD4ED8"/>
    <w:rsid w:val="00CD5266"/>
    <w:rsid w:val="00CD5819"/>
    <w:rsid w:val="00CD5900"/>
    <w:rsid w:val="00CD5978"/>
    <w:rsid w:val="00CD5D68"/>
    <w:rsid w:val="00CD5E3C"/>
    <w:rsid w:val="00CD5F21"/>
    <w:rsid w:val="00CD71B7"/>
    <w:rsid w:val="00CD7EF7"/>
    <w:rsid w:val="00CE17C7"/>
    <w:rsid w:val="00CE186B"/>
    <w:rsid w:val="00CE23F4"/>
    <w:rsid w:val="00CE28BB"/>
    <w:rsid w:val="00CE2961"/>
    <w:rsid w:val="00CE31A4"/>
    <w:rsid w:val="00CE3343"/>
    <w:rsid w:val="00CE3377"/>
    <w:rsid w:val="00CE3653"/>
    <w:rsid w:val="00CE44BB"/>
    <w:rsid w:val="00CE48CA"/>
    <w:rsid w:val="00CE4B02"/>
    <w:rsid w:val="00CE4C69"/>
    <w:rsid w:val="00CE5440"/>
    <w:rsid w:val="00CE5591"/>
    <w:rsid w:val="00CE5E9A"/>
    <w:rsid w:val="00CE6350"/>
    <w:rsid w:val="00CE68BD"/>
    <w:rsid w:val="00CE6B97"/>
    <w:rsid w:val="00CE6E11"/>
    <w:rsid w:val="00CE6EB9"/>
    <w:rsid w:val="00CE7291"/>
    <w:rsid w:val="00CE7922"/>
    <w:rsid w:val="00CE7C98"/>
    <w:rsid w:val="00CF0917"/>
    <w:rsid w:val="00CF2421"/>
    <w:rsid w:val="00CF260E"/>
    <w:rsid w:val="00CF276C"/>
    <w:rsid w:val="00CF347E"/>
    <w:rsid w:val="00CF4190"/>
    <w:rsid w:val="00CF473E"/>
    <w:rsid w:val="00CF47CA"/>
    <w:rsid w:val="00CF490D"/>
    <w:rsid w:val="00CF4DD2"/>
    <w:rsid w:val="00CF5143"/>
    <w:rsid w:val="00CF526C"/>
    <w:rsid w:val="00CF54F9"/>
    <w:rsid w:val="00CF5650"/>
    <w:rsid w:val="00CF633A"/>
    <w:rsid w:val="00CF66E3"/>
    <w:rsid w:val="00CF68A1"/>
    <w:rsid w:val="00CF6CA1"/>
    <w:rsid w:val="00CF7591"/>
    <w:rsid w:val="00CF7E65"/>
    <w:rsid w:val="00CF7FAA"/>
    <w:rsid w:val="00D000D7"/>
    <w:rsid w:val="00D005A3"/>
    <w:rsid w:val="00D00FCF"/>
    <w:rsid w:val="00D018D3"/>
    <w:rsid w:val="00D01A8D"/>
    <w:rsid w:val="00D01CB0"/>
    <w:rsid w:val="00D02D2F"/>
    <w:rsid w:val="00D02F20"/>
    <w:rsid w:val="00D03014"/>
    <w:rsid w:val="00D03C98"/>
    <w:rsid w:val="00D04B25"/>
    <w:rsid w:val="00D04EC2"/>
    <w:rsid w:val="00D04F22"/>
    <w:rsid w:val="00D05423"/>
    <w:rsid w:val="00D05458"/>
    <w:rsid w:val="00D05836"/>
    <w:rsid w:val="00D06874"/>
    <w:rsid w:val="00D071B5"/>
    <w:rsid w:val="00D072E3"/>
    <w:rsid w:val="00D073F2"/>
    <w:rsid w:val="00D11306"/>
    <w:rsid w:val="00D11D74"/>
    <w:rsid w:val="00D124FF"/>
    <w:rsid w:val="00D133A7"/>
    <w:rsid w:val="00D14913"/>
    <w:rsid w:val="00D15B7D"/>
    <w:rsid w:val="00D15C26"/>
    <w:rsid w:val="00D17639"/>
    <w:rsid w:val="00D17708"/>
    <w:rsid w:val="00D17B56"/>
    <w:rsid w:val="00D17DF2"/>
    <w:rsid w:val="00D20C21"/>
    <w:rsid w:val="00D218EE"/>
    <w:rsid w:val="00D22B45"/>
    <w:rsid w:val="00D2329A"/>
    <w:rsid w:val="00D24333"/>
    <w:rsid w:val="00D245D1"/>
    <w:rsid w:val="00D24B75"/>
    <w:rsid w:val="00D24E57"/>
    <w:rsid w:val="00D252EB"/>
    <w:rsid w:val="00D26084"/>
    <w:rsid w:val="00D2693C"/>
    <w:rsid w:val="00D3015D"/>
    <w:rsid w:val="00D30D94"/>
    <w:rsid w:val="00D31735"/>
    <w:rsid w:val="00D317AF"/>
    <w:rsid w:val="00D32523"/>
    <w:rsid w:val="00D32789"/>
    <w:rsid w:val="00D33C78"/>
    <w:rsid w:val="00D34B94"/>
    <w:rsid w:val="00D35014"/>
    <w:rsid w:val="00D3534E"/>
    <w:rsid w:val="00D3581B"/>
    <w:rsid w:val="00D358D1"/>
    <w:rsid w:val="00D35CC1"/>
    <w:rsid w:val="00D37F3D"/>
    <w:rsid w:val="00D4049F"/>
    <w:rsid w:val="00D40776"/>
    <w:rsid w:val="00D407E4"/>
    <w:rsid w:val="00D40D55"/>
    <w:rsid w:val="00D413A1"/>
    <w:rsid w:val="00D41D89"/>
    <w:rsid w:val="00D43493"/>
    <w:rsid w:val="00D4436D"/>
    <w:rsid w:val="00D44913"/>
    <w:rsid w:val="00D44BED"/>
    <w:rsid w:val="00D44C51"/>
    <w:rsid w:val="00D44E2E"/>
    <w:rsid w:val="00D46129"/>
    <w:rsid w:val="00D4650D"/>
    <w:rsid w:val="00D47320"/>
    <w:rsid w:val="00D477F2"/>
    <w:rsid w:val="00D509BE"/>
    <w:rsid w:val="00D50A5C"/>
    <w:rsid w:val="00D50A73"/>
    <w:rsid w:val="00D51596"/>
    <w:rsid w:val="00D51C60"/>
    <w:rsid w:val="00D51DA5"/>
    <w:rsid w:val="00D52868"/>
    <w:rsid w:val="00D532B4"/>
    <w:rsid w:val="00D533F1"/>
    <w:rsid w:val="00D5391B"/>
    <w:rsid w:val="00D53CE9"/>
    <w:rsid w:val="00D543C3"/>
    <w:rsid w:val="00D544AC"/>
    <w:rsid w:val="00D54C4E"/>
    <w:rsid w:val="00D54CFA"/>
    <w:rsid w:val="00D54E54"/>
    <w:rsid w:val="00D5555C"/>
    <w:rsid w:val="00D558DF"/>
    <w:rsid w:val="00D55CE7"/>
    <w:rsid w:val="00D56560"/>
    <w:rsid w:val="00D56B63"/>
    <w:rsid w:val="00D56E9B"/>
    <w:rsid w:val="00D56F85"/>
    <w:rsid w:val="00D5706D"/>
    <w:rsid w:val="00D575E2"/>
    <w:rsid w:val="00D6023F"/>
    <w:rsid w:val="00D609AE"/>
    <w:rsid w:val="00D60D4E"/>
    <w:rsid w:val="00D61A6D"/>
    <w:rsid w:val="00D62E4D"/>
    <w:rsid w:val="00D635D4"/>
    <w:rsid w:val="00D63CD6"/>
    <w:rsid w:val="00D63EAD"/>
    <w:rsid w:val="00D6422B"/>
    <w:rsid w:val="00D6444C"/>
    <w:rsid w:val="00D64D96"/>
    <w:rsid w:val="00D66A71"/>
    <w:rsid w:val="00D66E3E"/>
    <w:rsid w:val="00D7091A"/>
    <w:rsid w:val="00D71A49"/>
    <w:rsid w:val="00D71A94"/>
    <w:rsid w:val="00D71FA6"/>
    <w:rsid w:val="00D7245F"/>
    <w:rsid w:val="00D7385B"/>
    <w:rsid w:val="00D73F1D"/>
    <w:rsid w:val="00D750B6"/>
    <w:rsid w:val="00D75266"/>
    <w:rsid w:val="00D75303"/>
    <w:rsid w:val="00D75505"/>
    <w:rsid w:val="00D75A5F"/>
    <w:rsid w:val="00D75E5F"/>
    <w:rsid w:val="00D75F5F"/>
    <w:rsid w:val="00D76BAA"/>
    <w:rsid w:val="00D776EC"/>
    <w:rsid w:val="00D77B9B"/>
    <w:rsid w:val="00D80949"/>
    <w:rsid w:val="00D809EC"/>
    <w:rsid w:val="00D81206"/>
    <w:rsid w:val="00D8181F"/>
    <w:rsid w:val="00D81FDB"/>
    <w:rsid w:val="00D820AD"/>
    <w:rsid w:val="00D827DA"/>
    <w:rsid w:val="00D82B9E"/>
    <w:rsid w:val="00D82BB2"/>
    <w:rsid w:val="00D83A19"/>
    <w:rsid w:val="00D84177"/>
    <w:rsid w:val="00D84218"/>
    <w:rsid w:val="00D85716"/>
    <w:rsid w:val="00D85745"/>
    <w:rsid w:val="00D86215"/>
    <w:rsid w:val="00D86CCE"/>
    <w:rsid w:val="00D86DF0"/>
    <w:rsid w:val="00D87F22"/>
    <w:rsid w:val="00D9146B"/>
    <w:rsid w:val="00D91678"/>
    <w:rsid w:val="00D919D0"/>
    <w:rsid w:val="00D91E17"/>
    <w:rsid w:val="00D93C86"/>
    <w:rsid w:val="00D945E6"/>
    <w:rsid w:val="00D94669"/>
    <w:rsid w:val="00D946D4"/>
    <w:rsid w:val="00D9587A"/>
    <w:rsid w:val="00D95A96"/>
    <w:rsid w:val="00D95D35"/>
    <w:rsid w:val="00D96150"/>
    <w:rsid w:val="00D9635B"/>
    <w:rsid w:val="00D96F21"/>
    <w:rsid w:val="00D97B3A"/>
    <w:rsid w:val="00DA0B20"/>
    <w:rsid w:val="00DA0B86"/>
    <w:rsid w:val="00DA0FF1"/>
    <w:rsid w:val="00DA16C7"/>
    <w:rsid w:val="00DA1A41"/>
    <w:rsid w:val="00DA1E05"/>
    <w:rsid w:val="00DA239D"/>
    <w:rsid w:val="00DA23F1"/>
    <w:rsid w:val="00DA2712"/>
    <w:rsid w:val="00DA2B09"/>
    <w:rsid w:val="00DA2E7F"/>
    <w:rsid w:val="00DA42C4"/>
    <w:rsid w:val="00DA4B7A"/>
    <w:rsid w:val="00DA5117"/>
    <w:rsid w:val="00DA55EE"/>
    <w:rsid w:val="00DA5ECA"/>
    <w:rsid w:val="00DA628C"/>
    <w:rsid w:val="00DA6298"/>
    <w:rsid w:val="00DA6384"/>
    <w:rsid w:val="00DA65EC"/>
    <w:rsid w:val="00DA66EE"/>
    <w:rsid w:val="00DA6B03"/>
    <w:rsid w:val="00DA6B25"/>
    <w:rsid w:val="00DA737C"/>
    <w:rsid w:val="00DA7385"/>
    <w:rsid w:val="00DA761D"/>
    <w:rsid w:val="00DA76CC"/>
    <w:rsid w:val="00DB003F"/>
    <w:rsid w:val="00DB041C"/>
    <w:rsid w:val="00DB04BD"/>
    <w:rsid w:val="00DB0738"/>
    <w:rsid w:val="00DB0F76"/>
    <w:rsid w:val="00DB1B64"/>
    <w:rsid w:val="00DB2AF2"/>
    <w:rsid w:val="00DB2FE0"/>
    <w:rsid w:val="00DB4215"/>
    <w:rsid w:val="00DB490C"/>
    <w:rsid w:val="00DB4CEE"/>
    <w:rsid w:val="00DB5342"/>
    <w:rsid w:val="00DB5484"/>
    <w:rsid w:val="00DB5810"/>
    <w:rsid w:val="00DB5D19"/>
    <w:rsid w:val="00DB65AF"/>
    <w:rsid w:val="00DB6EB8"/>
    <w:rsid w:val="00DB71D7"/>
    <w:rsid w:val="00DB77EF"/>
    <w:rsid w:val="00DB79FA"/>
    <w:rsid w:val="00DC0A87"/>
    <w:rsid w:val="00DC11F3"/>
    <w:rsid w:val="00DC15F6"/>
    <w:rsid w:val="00DC20F5"/>
    <w:rsid w:val="00DC210E"/>
    <w:rsid w:val="00DC2303"/>
    <w:rsid w:val="00DC2FD8"/>
    <w:rsid w:val="00DC38A6"/>
    <w:rsid w:val="00DC38D9"/>
    <w:rsid w:val="00DC4139"/>
    <w:rsid w:val="00DC49CD"/>
    <w:rsid w:val="00DC4C4C"/>
    <w:rsid w:val="00DC4C5F"/>
    <w:rsid w:val="00DC55F3"/>
    <w:rsid w:val="00DC5A49"/>
    <w:rsid w:val="00DC5C4D"/>
    <w:rsid w:val="00DC60FE"/>
    <w:rsid w:val="00DC7384"/>
    <w:rsid w:val="00DC7484"/>
    <w:rsid w:val="00DC76EA"/>
    <w:rsid w:val="00DD1934"/>
    <w:rsid w:val="00DD1D6D"/>
    <w:rsid w:val="00DD2227"/>
    <w:rsid w:val="00DD239C"/>
    <w:rsid w:val="00DD2755"/>
    <w:rsid w:val="00DD2E86"/>
    <w:rsid w:val="00DD311F"/>
    <w:rsid w:val="00DD3D21"/>
    <w:rsid w:val="00DD47F3"/>
    <w:rsid w:val="00DD48CF"/>
    <w:rsid w:val="00DD4AC8"/>
    <w:rsid w:val="00DD5087"/>
    <w:rsid w:val="00DD5398"/>
    <w:rsid w:val="00DD60FF"/>
    <w:rsid w:val="00DD6E2E"/>
    <w:rsid w:val="00DD6F1A"/>
    <w:rsid w:val="00DD752C"/>
    <w:rsid w:val="00DD7577"/>
    <w:rsid w:val="00DD76AC"/>
    <w:rsid w:val="00DD7706"/>
    <w:rsid w:val="00DD7EE6"/>
    <w:rsid w:val="00DE0EB3"/>
    <w:rsid w:val="00DE1505"/>
    <w:rsid w:val="00DE1EC2"/>
    <w:rsid w:val="00DE27C8"/>
    <w:rsid w:val="00DE30B6"/>
    <w:rsid w:val="00DE35FA"/>
    <w:rsid w:val="00DE3B45"/>
    <w:rsid w:val="00DE5829"/>
    <w:rsid w:val="00DE5F57"/>
    <w:rsid w:val="00DE6480"/>
    <w:rsid w:val="00DE67F9"/>
    <w:rsid w:val="00DE7068"/>
    <w:rsid w:val="00DE7171"/>
    <w:rsid w:val="00DE7C45"/>
    <w:rsid w:val="00DF03C6"/>
    <w:rsid w:val="00DF064E"/>
    <w:rsid w:val="00DF0A26"/>
    <w:rsid w:val="00DF1185"/>
    <w:rsid w:val="00DF12CF"/>
    <w:rsid w:val="00DF134E"/>
    <w:rsid w:val="00DF142A"/>
    <w:rsid w:val="00DF1CCE"/>
    <w:rsid w:val="00DF1EA7"/>
    <w:rsid w:val="00DF24B5"/>
    <w:rsid w:val="00DF2B72"/>
    <w:rsid w:val="00DF2C7A"/>
    <w:rsid w:val="00DF3138"/>
    <w:rsid w:val="00DF35F2"/>
    <w:rsid w:val="00DF3918"/>
    <w:rsid w:val="00DF46AC"/>
    <w:rsid w:val="00DF58D3"/>
    <w:rsid w:val="00DF5A80"/>
    <w:rsid w:val="00DF5BAB"/>
    <w:rsid w:val="00DF6103"/>
    <w:rsid w:val="00DF6E53"/>
    <w:rsid w:val="00DF6EBA"/>
    <w:rsid w:val="00E000A0"/>
    <w:rsid w:val="00E00442"/>
    <w:rsid w:val="00E0060A"/>
    <w:rsid w:val="00E00BB9"/>
    <w:rsid w:val="00E00C92"/>
    <w:rsid w:val="00E00F7C"/>
    <w:rsid w:val="00E01CF8"/>
    <w:rsid w:val="00E02790"/>
    <w:rsid w:val="00E02890"/>
    <w:rsid w:val="00E03B0A"/>
    <w:rsid w:val="00E03B41"/>
    <w:rsid w:val="00E03CC4"/>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100AB"/>
    <w:rsid w:val="00E103CC"/>
    <w:rsid w:val="00E10B04"/>
    <w:rsid w:val="00E10B51"/>
    <w:rsid w:val="00E1193F"/>
    <w:rsid w:val="00E12A74"/>
    <w:rsid w:val="00E13925"/>
    <w:rsid w:val="00E13949"/>
    <w:rsid w:val="00E13B3D"/>
    <w:rsid w:val="00E1526D"/>
    <w:rsid w:val="00E15AAC"/>
    <w:rsid w:val="00E16BA5"/>
    <w:rsid w:val="00E177DB"/>
    <w:rsid w:val="00E17982"/>
    <w:rsid w:val="00E17A7A"/>
    <w:rsid w:val="00E202F5"/>
    <w:rsid w:val="00E22282"/>
    <w:rsid w:val="00E22869"/>
    <w:rsid w:val="00E22B0C"/>
    <w:rsid w:val="00E22F8F"/>
    <w:rsid w:val="00E242BF"/>
    <w:rsid w:val="00E24751"/>
    <w:rsid w:val="00E259EB"/>
    <w:rsid w:val="00E26293"/>
    <w:rsid w:val="00E26501"/>
    <w:rsid w:val="00E272EE"/>
    <w:rsid w:val="00E27F2F"/>
    <w:rsid w:val="00E27FF5"/>
    <w:rsid w:val="00E30353"/>
    <w:rsid w:val="00E30772"/>
    <w:rsid w:val="00E30B0F"/>
    <w:rsid w:val="00E30FE6"/>
    <w:rsid w:val="00E31606"/>
    <w:rsid w:val="00E323B4"/>
    <w:rsid w:val="00E32490"/>
    <w:rsid w:val="00E3336A"/>
    <w:rsid w:val="00E33CD5"/>
    <w:rsid w:val="00E33CE9"/>
    <w:rsid w:val="00E33FE0"/>
    <w:rsid w:val="00E34743"/>
    <w:rsid w:val="00E35672"/>
    <w:rsid w:val="00E36AAB"/>
    <w:rsid w:val="00E37757"/>
    <w:rsid w:val="00E40796"/>
    <w:rsid w:val="00E40D45"/>
    <w:rsid w:val="00E411A6"/>
    <w:rsid w:val="00E41715"/>
    <w:rsid w:val="00E41864"/>
    <w:rsid w:val="00E41B94"/>
    <w:rsid w:val="00E41C7C"/>
    <w:rsid w:val="00E4202E"/>
    <w:rsid w:val="00E424A9"/>
    <w:rsid w:val="00E425B4"/>
    <w:rsid w:val="00E438EC"/>
    <w:rsid w:val="00E43D3D"/>
    <w:rsid w:val="00E43DCD"/>
    <w:rsid w:val="00E46545"/>
    <w:rsid w:val="00E473C1"/>
    <w:rsid w:val="00E47876"/>
    <w:rsid w:val="00E50626"/>
    <w:rsid w:val="00E50ECA"/>
    <w:rsid w:val="00E51489"/>
    <w:rsid w:val="00E517ED"/>
    <w:rsid w:val="00E51CAF"/>
    <w:rsid w:val="00E534D9"/>
    <w:rsid w:val="00E5358F"/>
    <w:rsid w:val="00E5392E"/>
    <w:rsid w:val="00E54A44"/>
    <w:rsid w:val="00E552B8"/>
    <w:rsid w:val="00E55E35"/>
    <w:rsid w:val="00E5674F"/>
    <w:rsid w:val="00E56FAC"/>
    <w:rsid w:val="00E577D3"/>
    <w:rsid w:val="00E57E40"/>
    <w:rsid w:val="00E60020"/>
    <w:rsid w:val="00E60746"/>
    <w:rsid w:val="00E60B7A"/>
    <w:rsid w:val="00E61DD1"/>
    <w:rsid w:val="00E61EE2"/>
    <w:rsid w:val="00E62228"/>
    <w:rsid w:val="00E62348"/>
    <w:rsid w:val="00E63525"/>
    <w:rsid w:val="00E6384B"/>
    <w:rsid w:val="00E638DD"/>
    <w:rsid w:val="00E63A6E"/>
    <w:rsid w:val="00E63D03"/>
    <w:rsid w:val="00E6404A"/>
    <w:rsid w:val="00E64079"/>
    <w:rsid w:val="00E646DA"/>
    <w:rsid w:val="00E65F6D"/>
    <w:rsid w:val="00E66AEB"/>
    <w:rsid w:val="00E66C8D"/>
    <w:rsid w:val="00E6789C"/>
    <w:rsid w:val="00E67CC4"/>
    <w:rsid w:val="00E701A8"/>
    <w:rsid w:val="00E70A92"/>
    <w:rsid w:val="00E70AF2"/>
    <w:rsid w:val="00E70AFE"/>
    <w:rsid w:val="00E70D47"/>
    <w:rsid w:val="00E7169A"/>
    <w:rsid w:val="00E716B1"/>
    <w:rsid w:val="00E72780"/>
    <w:rsid w:val="00E7335F"/>
    <w:rsid w:val="00E735D3"/>
    <w:rsid w:val="00E74258"/>
    <w:rsid w:val="00E743FE"/>
    <w:rsid w:val="00E7477E"/>
    <w:rsid w:val="00E75D1E"/>
    <w:rsid w:val="00E761A3"/>
    <w:rsid w:val="00E76516"/>
    <w:rsid w:val="00E767C7"/>
    <w:rsid w:val="00E76911"/>
    <w:rsid w:val="00E776CE"/>
    <w:rsid w:val="00E77F52"/>
    <w:rsid w:val="00E8040F"/>
    <w:rsid w:val="00E81024"/>
    <w:rsid w:val="00E81220"/>
    <w:rsid w:val="00E81700"/>
    <w:rsid w:val="00E817A9"/>
    <w:rsid w:val="00E824CA"/>
    <w:rsid w:val="00E82EDC"/>
    <w:rsid w:val="00E841A2"/>
    <w:rsid w:val="00E845E3"/>
    <w:rsid w:val="00E84678"/>
    <w:rsid w:val="00E84A0F"/>
    <w:rsid w:val="00E84EC9"/>
    <w:rsid w:val="00E86648"/>
    <w:rsid w:val="00E86E2B"/>
    <w:rsid w:val="00E86F6E"/>
    <w:rsid w:val="00E8749C"/>
    <w:rsid w:val="00E876FB"/>
    <w:rsid w:val="00E87F92"/>
    <w:rsid w:val="00E90182"/>
    <w:rsid w:val="00E902A1"/>
    <w:rsid w:val="00E90400"/>
    <w:rsid w:val="00E9107C"/>
    <w:rsid w:val="00E91659"/>
    <w:rsid w:val="00E919F9"/>
    <w:rsid w:val="00E91F24"/>
    <w:rsid w:val="00E9213F"/>
    <w:rsid w:val="00E92EF9"/>
    <w:rsid w:val="00E931CF"/>
    <w:rsid w:val="00E931E9"/>
    <w:rsid w:val="00E93A22"/>
    <w:rsid w:val="00E93F94"/>
    <w:rsid w:val="00E9510C"/>
    <w:rsid w:val="00E95665"/>
    <w:rsid w:val="00E96976"/>
    <w:rsid w:val="00E969ED"/>
    <w:rsid w:val="00E96E70"/>
    <w:rsid w:val="00EA003C"/>
    <w:rsid w:val="00EA0AD8"/>
    <w:rsid w:val="00EA120A"/>
    <w:rsid w:val="00EA138C"/>
    <w:rsid w:val="00EA18D9"/>
    <w:rsid w:val="00EA1D3A"/>
    <w:rsid w:val="00EA2210"/>
    <w:rsid w:val="00EA2C4B"/>
    <w:rsid w:val="00EA3129"/>
    <w:rsid w:val="00EA34C7"/>
    <w:rsid w:val="00EA3AE7"/>
    <w:rsid w:val="00EA3F6D"/>
    <w:rsid w:val="00EA44D5"/>
    <w:rsid w:val="00EA4962"/>
    <w:rsid w:val="00EA4D85"/>
    <w:rsid w:val="00EA5F0C"/>
    <w:rsid w:val="00EA6861"/>
    <w:rsid w:val="00EA6941"/>
    <w:rsid w:val="00EA7963"/>
    <w:rsid w:val="00EA7B96"/>
    <w:rsid w:val="00EB0A28"/>
    <w:rsid w:val="00EB0F17"/>
    <w:rsid w:val="00EB2579"/>
    <w:rsid w:val="00EB279B"/>
    <w:rsid w:val="00EB2B84"/>
    <w:rsid w:val="00EB3110"/>
    <w:rsid w:val="00EB3278"/>
    <w:rsid w:val="00EB4427"/>
    <w:rsid w:val="00EB4A2A"/>
    <w:rsid w:val="00EB5692"/>
    <w:rsid w:val="00EB5F20"/>
    <w:rsid w:val="00EB60C6"/>
    <w:rsid w:val="00EB63A7"/>
    <w:rsid w:val="00EC0CC3"/>
    <w:rsid w:val="00EC1138"/>
    <w:rsid w:val="00EC146F"/>
    <w:rsid w:val="00EC1806"/>
    <w:rsid w:val="00EC1B95"/>
    <w:rsid w:val="00EC20FB"/>
    <w:rsid w:val="00EC2C8B"/>
    <w:rsid w:val="00EC35C2"/>
    <w:rsid w:val="00EC3B3F"/>
    <w:rsid w:val="00EC3D05"/>
    <w:rsid w:val="00EC420B"/>
    <w:rsid w:val="00EC477E"/>
    <w:rsid w:val="00EC497B"/>
    <w:rsid w:val="00EC4E9B"/>
    <w:rsid w:val="00EC58B0"/>
    <w:rsid w:val="00EC5F9B"/>
    <w:rsid w:val="00EC77B2"/>
    <w:rsid w:val="00EC7CF1"/>
    <w:rsid w:val="00ED0831"/>
    <w:rsid w:val="00ED1D3F"/>
    <w:rsid w:val="00ED2530"/>
    <w:rsid w:val="00ED2562"/>
    <w:rsid w:val="00ED2633"/>
    <w:rsid w:val="00ED2A57"/>
    <w:rsid w:val="00ED3913"/>
    <w:rsid w:val="00ED3D75"/>
    <w:rsid w:val="00ED543E"/>
    <w:rsid w:val="00ED5DB3"/>
    <w:rsid w:val="00ED5DCA"/>
    <w:rsid w:val="00ED664E"/>
    <w:rsid w:val="00ED707A"/>
    <w:rsid w:val="00ED748A"/>
    <w:rsid w:val="00ED7799"/>
    <w:rsid w:val="00ED7BCF"/>
    <w:rsid w:val="00EE05C0"/>
    <w:rsid w:val="00EE092C"/>
    <w:rsid w:val="00EE0AD5"/>
    <w:rsid w:val="00EE0DE7"/>
    <w:rsid w:val="00EE1E4A"/>
    <w:rsid w:val="00EE1F8C"/>
    <w:rsid w:val="00EE2141"/>
    <w:rsid w:val="00EE2717"/>
    <w:rsid w:val="00EE2E42"/>
    <w:rsid w:val="00EE2E91"/>
    <w:rsid w:val="00EE3115"/>
    <w:rsid w:val="00EE3443"/>
    <w:rsid w:val="00EE43E1"/>
    <w:rsid w:val="00EE480F"/>
    <w:rsid w:val="00EE4965"/>
    <w:rsid w:val="00EE5303"/>
    <w:rsid w:val="00EE5528"/>
    <w:rsid w:val="00EE55C2"/>
    <w:rsid w:val="00EE5C7B"/>
    <w:rsid w:val="00EE5DB5"/>
    <w:rsid w:val="00EE5F02"/>
    <w:rsid w:val="00EE6249"/>
    <w:rsid w:val="00EE7BFF"/>
    <w:rsid w:val="00EF0165"/>
    <w:rsid w:val="00EF06E2"/>
    <w:rsid w:val="00EF0E7C"/>
    <w:rsid w:val="00EF166B"/>
    <w:rsid w:val="00EF1F7C"/>
    <w:rsid w:val="00EF2762"/>
    <w:rsid w:val="00EF31F4"/>
    <w:rsid w:val="00EF3357"/>
    <w:rsid w:val="00EF3477"/>
    <w:rsid w:val="00EF4228"/>
    <w:rsid w:val="00EF47EC"/>
    <w:rsid w:val="00EF5093"/>
    <w:rsid w:val="00EF5102"/>
    <w:rsid w:val="00EF67A9"/>
    <w:rsid w:val="00F00023"/>
    <w:rsid w:val="00F004CF"/>
    <w:rsid w:val="00F008AC"/>
    <w:rsid w:val="00F00965"/>
    <w:rsid w:val="00F0174B"/>
    <w:rsid w:val="00F039A9"/>
    <w:rsid w:val="00F039EE"/>
    <w:rsid w:val="00F03A45"/>
    <w:rsid w:val="00F03AF3"/>
    <w:rsid w:val="00F040C4"/>
    <w:rsid w:val="00F042EB"/>
    <w:rsid w:val="00F0431E"/>
    <w:rsid w:val="00F04CAC"/>
    <w:rsid w:val="00F05866"/>
    <w:rsid w:val="00F05B4F"/>
    <w:rsid w:val="00F05F1C"/>
    <w:rsid w:val="00F0653E"/>
    <w:rsid w:val="00F06CFB"/>
    <w:rsid w:val="00F06E46"/>
    <w:rsid w:val="00F072D4"/>
    <w:rsid w:val="00F078BC"/>
    <w:rsid w:val="00F10807"/>
    <w:rsid w:val="00F10B5B"/>
    <w:rsid w:val="00F11D12"/>
    <w:rsid w:val="00F12B34"/>
    <w:rsid w:val="00F12E89"/>
    <w:rsid w:val="00F13940"/>
    <w:rsid w:val="00F13C39"/>
    <w:rsid w:val="00F13F17"/>
    <w:rsid w:val="00F14EA4"/>
    <w:rsid w:val="00F1515F"/>
    <w:rsid w:val="00F155E1"/>
    <w:rsid w:val="00F159EA"/>
    <w:rsid w:val="00F15A2D"/>
    <w:rsid w:val="00F16C21"/>
    <w:rsid w:val="00F1793C"/>
    <w:rsid w:val="00F2021B"/>
    <w:rsid w:val="00F203C8"/>
    <w:rsid w:val="00F20675"/>
    <w:rsid w:val="00F20851"/>
    <w:rsid w:val="00F20FDA"/>
    <w:rsid w:val="00F217DC"/>
    <w:rsid w:val="00F223AB"/>
    <w:rsid w:val="00F2268F"/>
    <w:rsid w:val="00F2293A"/>
    <w:rsid w:val="00F22F6F"/>
    <w:rsid w:val="00F23609"/>
    <w:rsid w:val="00F2523E"/>
    <w:rsid w:val="00F26C41"/>
    <w:rsid w:val="00F2734C"/>
    <w:rsid w:val="00F30459"/>
    <w:rsid w:val="00F30522"/>
    <w:rsid w:val="00F30A7C"/>
    <w:rsid w:val="00F30E47"/>
    <w:rsid w:val="00F31D7D"/>
    <w:rsid w:val="00F328B5"/>
    <w:rsid w:val="00F32AF4"/>
    <w:rsid w:val="00F32B32"/>
    <w:rsid w:val="00F3427E"/>
    <w:rsid w:val="00F342C3"/>
    <w:rsid w:val="00F3555F"/>
    <w:rsid w:val="00F35FBC"/>
    <w:rsid w:val="00F3626E"/>
    <w:rsid w:val="00F377B9"/>
    <w:rsid w:val="00F3780E"/>
    <w:rsid w:val="00F37B77"/>
    <w:rsid w:val="00F37CA7"/>
    <w:rsid w:val="00F405EB"/>
    <w:rsid w:val="00F40ECD"/>
    <w:rsid w:val="00F4178E"/>
    <w:rsid w:val="00F42E56"/>
    <w:rsid w:val="00F437E6"/>
    <w:rsid w:val="00F439BE"/>
    <w:rsid w:val="00F43BC4"/>
    <w:rsid w:val="00F4415F"/>
    <w:rsid w:val="00F441D2"/>
    <w:rsid w:val="00F44311"/>
    <w:rsid w:val="00F443A8"/>
    <w:rsid w:val="00F44952"/>
    <w:rsid w:val="00F44D01"/>
    <w:rsid w:val="00F44D47"/>
    <w:rsid w:val="00F45987"/>
    <w:rsid w:val="00F45AF7"/>
    <w:rsid w:val="00F45E99"/>
    <w:rsid w:val="00F46235"/>
    <w:rsid w:val="00F466B2"/>
    <w:rsid w:val="00F46E93"/>
    <w:rsid w:val="00F478A5"/>
    <w:rsid w:val="00F50792"/>
    <w:rsid w:val="00F509D1"/>
    <w:rsid w:val="00F52732"/>
    <w:rsid w:val="00F538C9"/>
    <w:rsid w:val="00F53AAA"/>
    <w:rsid w:val="00F54505"/>
    <w:rsid w:val="00F54786"/>
    <w:rsid w:val="00F549A5"/>
    <w:rsid w:val="00F54EE3"/>
    <w:rsid w:val="00F56700"/>
    <w:rsid w:val="00F57B08"/>
    <w:rsid w:val="00F621B8"/>
    <w:rsid w:val="00F62539"/>
    <w:rsid w:val="00F62A19"/>
    <w:rsid w:val="00F634CC"/>
    <w:rsid w:val="00F63AC6"/>
    <w:rsid w:val="00F63B4E"/>
    <w:rsid w:val="00F63E0F"/>
    <w:rsid w:val="00F63F44"/>
    <w:rsid w:val="00F64304"/>
    <w:rsid w:val="00F643A5"/>
    <w:rsid w:val="00F646A0"/>
    <w:rsid w:val="00F64714"/>
    <w:rsid w:val="00F6471D"/>
    <w:rsid w:val="00F64849"/>
    <w:rsid w:val="00F64A9E"/>
    <w:rsid w:val="00F65910"/>
    <w:rsid w:val="00F659CF"/>
    <w:rsid w:val="00F662A5"/>
    <w:rsid w:val="00F6665C"/>
    <w:rsid w:val="00F6698F"/>
    <w:rsid w:val="00F66C5F"/>
    <w:rsid w:val="00F671FB"/>
    <w:rsid w:val="00F67C25"/>
    <w:rsid w:val="00F715C6"/>
    <w:rsid w:val="00F7174E"/>
    <w:rsid w:val="00F71BBF"/>
    <w:rsid w:val="00F72208"/>
    <w:rsid w:val="00F73333"/>
    <w:rsid w:val="00F7348B"/>
    <w:rsid w:val="00F74CF8"/>
    <w:rsid w:val="00F74F12"/>
    <w:rsid w:val="00F75233"/>
    <w:rsid w:val="00F75472"/>
    <w:rsid w:val="00F754B1"/>
    <w:rsid w:val="00F7576C"/>
    <w:rsid w:val="00F77054"/>
    <w:rsid w:val="00F77766"/>
    <w:rsid w:val="00F77A2F"/>
    <w:rsid w:val="00F77A6E"/>
    <w:rsid w:val="00F77DF9"/>
    <w:rsid w:val="00F80BFC"/>
    <w:rsid w:val="00F80E0A"/>
    <w:rsid w:val="00F8174F"/>
    <w:rsid w:val="00F81F42"/>
    <w:rsid w:val="00F8211D"/>
    <w:rsid w:val="00F82EC2"/>
    <w:rsid w:val="00F83969"/>
    <w:rsid w:val="00F845C9"/>
    <w:rsid w:val="00F8463B"/>
    <w:rsid w:val="00F850C1"/>
    <w:rsid w:val="00F85BEB"/>
    <w:rsid w:val="00F86512"/>
    <w:rsid w:val="00F865A1"/>
    <w:rsid w:val="00F868D6"/>
    <w:rsid w:val="00F86937"/>
    <w:rsid w:val="00F8737E"/>
    <w:rsid w:val="00F87833"/>
    <w:rsid w:val="00F919D8"/>
    <w:rsid w:val="00F91CD5"/>
    <w:rsid w:val="00F92387"/>
    <w:rsid w:val="00F92C22"/>
    <w:rsid w:val="00F930D7"/>
    <w:rsid w:val="00F93455"/>
    <w:rsid w:val="00F944B6"/>
    <w:rsid w:val="00F9587C"/>
    <w:rsid w:val="00F95902"/>
    <w:rsid w:val="00F96261"/>
    <w:rsid w:val="00F972BE"/>
    <w:rsid w:val="00FA02FB"/>
    <w:rsid w:val="00FA0A09"/>
    <w:rsid w:val="00FA1D6F"/>
    <w:rsid w:val="00FA1EAB"/>
    <w:rsid w:val="00FA24BB"/>
    <w:rsid w:val="00FA29EC"/>
    <w:rsid w:val="00FA2B50"/>
    <w:rsid w:val="00FA36B7"/>
    <w:rsid w:val="00FA42E7"/>
    <w:rsid w:val="00FA4FE5"/>
    <w:rsid w:val="00FA5805"/>
    <w:rsid w:val="00FA5EB0"/>
    <w:rsid w:val="00FA696C"/>
    <w:rsid w:val="00FA7D99"/>
    <w:rsid w:val="00FA7DED"/>
    <w:rsid w:val="00FA7F16"/>
    <w:rsid w:val="00FB0B74"/>
    <w:rsid w:val="00FB17C6"/>
    <w:rsid w:val="00FB1A4B"/>
    <w:rsid w:val="00FB1F1E"/>
    <w:rsid w:val="00FB2421"/>
    <w:rsid w:val="00FB24F5"/>
    <w:rsid w:val="00FB31E2"/>
    <w:rsid w:val="00FB3B8A"/>
    <w:rsid w:val="00FB4F67"/>
    <w:rsid w:val="00FB648B"/>
    <w:rsid w:val="00FB6E05"/>
    <w:rsid w:val="00FB6FCB"/>
    <w:rsid w:val="00FB7563"/>
    <w:rsid w:val="00FB7B7F"/>
    <w:rsid w:val="00FC02AB"/>
    <w:rsid w:val="00FC12B7"/>
    <w:rsid w:val="00FC1AB4"/>
    <w:rsid w:val="00FC3B6A"/>
    <w:rsid w:val="00FC3E6F"/>
    <w:rsid w:val="00FC411C"/>
    <w:rsid w:val="00FC47A0"/>
    <w:rsid w:val="00FC4D9F"/>
    <w:rsid w:val="00FC4F1A"/>
    <w:rsid w:val="00FC572F"/>
    <w:rsid w:val="00FC5B9E"/>
    <w:rsid w:val="00FC5F71"/>
    <w:rsid w:val="00FC6727"/>
    <w:rsid w:val="00FC6961"/>
    <w:rsid w:val="00FC6BF2"/>
    <w:rsid w:val="00FC78C4"/>
    <w:rsid w:val="00FD1D62"/>
    <w:rsid w:val="00FD21AC"/>
    <w:rsid w:val="00FD22DA"/>
    <w:rsid w:val="00FD4573"/>
    <w:rsid w:val="00FD50A9"/>
    <w:rsid w:val="00FD587D"/>
    <w:rsid w:val="00FD5F73"/>
    <w:rsid w:val="00FD63B1"/>
    <w:rsid w:val="00FD682C"/>
    <w:rsid w:val="00FD7771"/>
    <w:rsid w:val="00FE066B"/>
    <w:rsid w:val="00FE1220"/>
    <w:rsid w:val="00FE2752"/>
    <w:rsid w:val="00FE292D"/>
    <w:rsid w:val="00FE2CD1"/>
    <w:rsid w:val="00FE2D43"/>
    <w:rsid w:val="00FE2D67"/>
    <w:rsid w:val="00FE3252"/>
    <w:rsid w:val="00FE32CB"/>
    <w:rsid w:val="00FE39E9"/>
    <w:rsid w:val="00FE3A34"/>
    <w:rsid w:val="00FE43CB"/>
    <w:rsid w:val="00FE5137"/>
    <w:rsid w:val="00FE553F"/>
    <w:rsid w:val="00FE5563"/>
    <w:rsid w:val="00FE5763"/>
    <w:rsid w:val="00FE6E33"/>
    <w:rsid w:val="00FE719D"/>
    <w:rsid w:val="00FF0413"/>
    <w:rsid w:val="00FF0809"/>
    <w:rsid w:val="00FF0C24"/>
    <w:rsid w:val="00FF1449"/>
    <w:rsid w:val="00FF145D"/>
    <w:rsid w:val="00FF14FA"/>
    <w:rsid w:val="00FF181A"/>
    <w:rsid w:val="00FF2930"/>
    <w:rsid w:val="00FF2AD3"/>
    <w:rsid w:val="00FF3586"/>
    <w:rsid w:val="00FF3737"/>
    <w:rsid w:val="00FF4357"/>
    <w:rsid w:val="00FF45E5"/>
    <w:rsid w:val="00FF4912"/>
    <w:rsid w:val="00FF4B7B"/>
    <w:rsid w:val="00FF4E92"/>
    <w:rsid w:val="00FF5833"/>
    <w:rsid w:val="00FF6191"/>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uiPriority w:val="99"/>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character" w:styleId="Emphasis">
    <w:name w:val="Emphasis"/>
    <w:basedOn w:val="DefaultParagraphFont"/>
    <w:qFormat/>
    <w:rsid w:val="0041791F"/>
    <w:rPr>
      <w:i/>
      <w:iCs/>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1,Footnote Text Char1 Char"/>
    <w:basedOn w:val="DefaultParagraphFont"/>
    <w:rsid w:val="003D645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fn,ALTS FOOTNOTE,FOOTNOTE"/>
    <w:basedOn w:val="Normal"/>
    <w:link w:val="FootnoteTextChar2"/>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fn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aliases w:val="fr,o,Style 6,Style 20,Style 9"/>
    <w:basedOn w:val="DefaultParagraphFont"/>
    <w:uiPriority w:val="99"/>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uiPriority w:val="99"/>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4F21E9"/>
    <w:pPr>
      <w:ind w:left="720"/>
      <w:contextualSpacing/>
    </w:pPr>
  </w:style>
  <w:style w:type="character" w:styleId="CommentReference">
    <w:name w:val="annotation reference"/>
    <w:basedOn w:val="DefaultParagraphFont"/>
    <w:rsid w:val="00C00E05"/>
    <w:rPr>
      <w:sz w:val="16"/>
      <w:szCs w:val="16"/>
    </w:rPr>
  </w:style>
  <w:style w:type="paragraph" w:styleId="CommentText">
    <w:name w:val="annotation text"/>
    <w:basedOn w:val="Normal"/>
    <w:link w:val="CommentTextChar"/>
    <w:rsid w:val="00C00E05"/>
    <w:pPr>
      <w:spacing w:line="240" w:lineRule="auto"/>
    </w:pPr>
    <w:rPr>
      <w:sz w:val="20"/>
      <w:szCs w:val="20"/>
    </w:rPr>
  </w:style>
  <w:style w:type="character" w:customStyle="1" w:styleId="CommentTextChar">
    <w:name w:val="Comment Text Char"/>
    <w:basedOn w:val="DefaultParagraphFont"/>
    <w:link w:val="CommentText"/>
    <w:rsid w:val="00C00E05"/>
  </w:style>
  <w:style w:type="paragraph" w:styleId="CommentSubject">
    <w:name w:val="annotation subject"/>
    <w:basedOn w:val="CommentText"/>
    <w:next w:val="CommentText"/>
    <w:link w:val="CommentSubjectChar"/>
    <w:rsid w:val="00C00E05"/>
    <w:rPr>
      <w:b/>
      <w:bCs/>
    </w:rPr>
  </w:style>
  <w:style w:type="character" w:customStyle="1" w:styleId="CommentSubjectChar">
    <w:name w:val="Comment Subject Char"/>
    <w:basedOn w:val="CommentTextChar"/>
    <w:link w:val="CommentSubject"/>
    <w:rsid w:val="00C00E05"/>
    <w:rPr>
      <w:b/>
      <w:bCs/>
    </w:rPr>
  </w:style>
  <w:style w:type="character" w:styleId="Emphasis">
    <w:name w:val="Emphasis"/>
    <w:basedOn w:val="DefaultParagraphFont"/>
    <w:qFormat/>
    <w:rsid w:val="0041791F"/>
    <w:rPr>
      <w:i/>
      <w:iCs/>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1,Footnote Text Char1 Char"/>
    <w:basedOn w:val="DefaultParagraphFont"/>
    <w:rsid w:val="003D645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C55D301-CBB8-439B-ABC7-959024BE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3184</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21291</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Hinds, Margaret</cp:lastModifiedBy>
  <cp:revision>5</cp:revision>
  <cp:lastPrinted>2015-04-23T11:32:00Z</cp:lastPrinted>
  <dcterms:created xsi:type="dcterms:W3CDTF">2015-04-10T16:41:00Z</dcterms:created>
  <dcterms:modified xsi:type="dcterms:W3CDTF">2015-04-23T11:32:00Z</dcterms:modified>
</cp:coreProperties>
</file>