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DD5D3F" w:rsidP="004D1313">
            <w:pPr>
              <w:widowControl/>
              <w:jc w:val="right"/>
              <w:rPr>
                <w:sz w:val="26"/>
                <w:szCs w:val="26"/>
              </w:rPr>
            </w:pPr>
            <w:r w:rsidRPr="00F1625F">
              <w:rPr>
                <w:sz w:val="26"/>
                <w:szCs w:val="26"/>
              </w:rPr>
              <w:t xml:space="preserve">Public Meeting held </w:t>
            </w:r>
            <w:r w:rsidR="006C7956">
              <w:rPr>
                <w:sz w:val="26"/>
                <w:szCs w:val="26"/>
              </w:rPr>
              <w:t>April 23</w:t>
            </w:r>
            <w:r w:rsidR="00F1625F" w:rsidRPr="00F1625F">
              <w:rPr>
                <w:sz w:val="26"/>
                <w:szCs w:val="26"/>
              </w:rPr>
              <w:t>, 2015</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F514FB" w:rsidP="004D1313">
            <w:pPr>
              <w:widowControl/>
              <w:tabs>
                <w:tab w:val="left" w:pos="705"/>
              </w:tabs>
              <w:ind w:firstLine="720"/>
              <w:rPr>
                <w:sz w:val="26"/>
                <w:szCs w:val="26"/>
              </w:rPr>
            </w:pPr>
            <w:r w:rsidRPr="00F1625F">
              <w:rPr>
                <w:sz w:val="26"/>
                <w:szCs w:val="26"/>
              </w:rPr>
              <w:t>Robert F. Powelson, Chairman</w:t>
            </w:r>
          </w:p>
          <w:p w:rsidR="00F514FB" w:rsidRPr="00F1625F" w:rsidRDefault="00F514FB" w:rsidP="004D1313">
            <w:pPr>
              <w:widowControl/>
              <w:tabs>
                <w:tab w:val="left" w:pos="705"/>
              </w:tabs>
              <w:ind w:firstLine="720"/>
              <w:rPr>
                <w:sz w:val="26"/>
                <w:szCs w:val="26"/>
              </w:rPr>
            </w:pPr>
            <w:r w:rsidRPr="00F1625F">
              <w:rPr>
                <w:sz w:val="26"/>
                <w:szCs w:val="26"/>
              </w:rPr>
              <w:t>John F. Coleman, Jr., Vice Chairman</w:t>
            </w:r>
          </w:p>
          <w:p w:rsidR="00F514FB" w:rsidRPr="00F1625F" w:rsidRDefault="00F514FB" w:rsidP="004D1313">
            <w:pPr>
              <w:widowControl/>
              <w:tabs>
                <w:tab w:val="left" w:pos="705"/>
              </w:tabs>
              <w:ind w:firstLine="720"/>
              <w:rPr>
                <w:sz w:val="26"/>
                <w:szCs w:val="26"/>
              </w:rPr>
            </w:pPr>
            <w:r w:rsidRPr="00F1625F">
              <w:rPr>
                <w:sz w:val="26"/>
                <w:szCs w:val="26"/>
              </w:rPr>
              <w:t>James H. Cawley</w:t>
            </w:r>
          </w:p>
          <w:p w:rsidR="00F514FB" w:rsidRPr="00F1625F" w:rsidRDefault="00F514FB" w:rsidP="004D1313">
            <w:pPr>
              <w:widowControl/>
              <w:tabs>
                <w:tab w:val="left" w:pos="705"/>
              </w:tabs>
              <w:ind w:firstLine="720"/>
              <w:rPr>
                <w:sz w:val="26"/>
                <w:szCs w:val="26"/>
              </w:rPr>
            </w:pPr>
            <w:r w:rsidRPr="00F1625F">
              <w:rPr>
                <w:sz w:val="26"/>
                <w:szCs w:val="26"/>
              </w:rPr>
              <w:t>Pamela A. Witmer</w:t>
            </w:r>
          </w:p>
          <w:p w:rsidR="0028500A" w:rsidRPr="00F1625F" w:rsidRDefault="0028500A" w:rsidP="004D1313">
            <w:pPr>
              <w:widowControl/>
              <w:tabs>
                <w:tab w:val="left" w:pos="705"/>
              </w:tabs>
              <w:ind w:firstLine="720"/>
              <w:rPr>
                <w:sz w:val="26"/>
                <w:szCs w:val="26"/>
              </w:rPr>
            </w:pPr>
            <w:r w:rsidRPr="00F1625F">
              <w:rPr>
                <w:sz w:val="26"/>
                <w:szCs w:val="26"/>
              </w:rPr>
              <w:t>Gladys M. Brown</w:t>
            </w:r>
          </w:p>
          <w:p w:rsidR="00F514FB" w:rsidRPr="00F1625F" w:rsidRDefault="00F514FB" w:rsidP="004D1313">
            <w:pPr>
              <w:widowControl/>
              <w:rPr>
                <w:sz w:val="26"/>
                <w:szCs w:val="26"/>
              </w:rPr>
            </w:pPr>
          </w:p>
          <w:p w:rsidR="00F514FB" w:rsidRPr="00F1625F" w:rsidRDefault="00F514FB" w:rsidP="004D1313">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1625F" w:rsidP="004D1313">
            <w:pPr>
              <w:widowControl/>
              <w:rPr>
                <w:sz w:val="26"/>
                <w:szCs w:val="26"/>
              </w:rPr>
            </w:pPr>
            <w:r w:rsidRPr="00F1625F">
              <w:rPr>
                <w:sz w:val="26"/>
                <w:szCs w:val="26"/>
              </w:rPr>
              <w:t>Gerald H. Smith</w:t>
            </w:r>
          </w:p>
          <w:p w:rsidR="00F514FB" w:rsidRPr="00F1625F" w:rsidRDefault="00F514FB" w:rsidP="004D1313">
            <w:pPr>
              <w:widowControl/>
              <w:rPr>
                <w:sz w:val="26"/>
                <w:szCs w:val="26"/>
              </w:rPr>
            </w:pPr>
          </w:p>
        </w:tc>
        <w:tc>
          <w:tcPr>
            <w:tcW w:w="4608" w:type="dxa"/>
          </w:tcPr>
          <w:p w:rsidR="00F514FB" w:rsidRPr="00F1625F" w:rsidRDefault="00F1625F" w:rsidP="004D1313">
            <w:pPr>
              <w:widowControl/>
              <w:jc w:val="right"/>
              <w:rPr>
                <w:sz w:val="26"/>
                <w:szCs w:val="26"/>
              </w:rPr>
            </w:pPr>
            <w:r w:rsidRPr="00F1625F">
              <w:rPr>
                <w:sz w:val="26"/>
                <w:szCs w:val="26"/>
              </w:rPr>
              <w:t>C-2014-2443198</w:t>
            </w:r>
          </w:p>
        </w:tc>
      </w:tr>
      <w:tr w:rsidR="00F514FB" w:rsidRPr="00F1625F" w:rsidTr="00D353B7">
        <w:tc>
          <w:tcPr>
            <w:tcW w:w="487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F1625F" w:rsidP="004D1313">
            <w:pPr>
              <w:widowControl/>
              <w:rPr>
                <w:sz w:val="26"/>
                <w:szCs w:val="26"/>
              </w:rPr>
            </w:pPr>
            <w:r w:rsidRPr="00F1625F">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Exceptions filed by Gerald H. Smith</w:t>
      </w:r>
      <w:r w:rsidRPr="00DB44D9">
        <w:rPr>
          <w:sz w:val="26"/>
        </w:rPr>
        <w:t xml:space="preserve"> (Complainant) on </w:t>
      </w:r>
      <w:r w:rsidR="0069670F" w:rsidRPr="0069670F">
        <w:rPr>
          <w:sz w:val="26"/>
        </w:rPr>
        <w:t>November 18, 2014</w:t>
      </w:r>
      <w:r w:rsidRPr="00DB44D9">
        <w:rPr>
          <w:sz w:val="26"/>
        </w:rPr>
        <w:t>, in response to the Initial Decision (I.D.) of Adminis</w:t>
      </w:r>
      <w:r w:rsidR="0069670F" w:rsidRPr="0069670F">
        <w:rPr>
          <w:sz w:val="26"/>
        </w:rPr>
        <w:t>trative Law Judge (ALJ) David A. Salapa</w:t>
      </w:r>
      <w:r w:rsidRPr="00DB44D9">
        <w:rPr>
          <w:sz w:val="26"/>
        </w:rPr>
        <w:t xml:space="preserve">, issued on </w:t>
      </w:r>
      <w:r w:rsidR="0069670F" w:rsidRPr="0069670F">
        <w:rPr>
          <w:sz w:val="26"/>
        </w:rPr>
        <w:t>November 4, 2014</w:t>
      </w:r>
      <w:r w:rsidRPr="00DB44D9">
        <w:rPr>
          <w:sz w:val="26"/>
        </w:rPr>
        <w:t xml:space="preserve">.  </w:t>
      </w:r>
      <w:r w:rsidR="0069670F" w:rsidRPr="0069670F">
        <w:rPr>
          <w:sz w:val="26"/>
        </w:rPr>
        <w:t>Replies to</w:t>
      </w:r>
      <w:r w:rsidRPr="00DB44D9">
        <w:rPr>
          <w:sz w:val="26"/>
        </w:rPr>
        <w:t xml:space="preserve"> Exceptions</w:t>
      </w:r>
      <w:r w:rsidR="0069670F" w:rsidRPr="0069670F">
        <w:rPr>
          <w:sz w:val="26"/>
        </w:rPr>
        <w:t xml:space="preserve"> were</w:t>
      </w:r>
      <w:r w:rsidRPr="00DB44D9">
        <w:rPr>
          <w:sz w:val="26"/>
        </w:rPr>
        <w:t xml:space="preserve"> filed </w:t>
      </w:r>
      <w:r w:rsidR="0069670F" w:rsidRPr="0069670F">
        <w:rPr>
          <w:sz w:val="26"/>
        </w:rPr>
        <w:t>by PECO Energy Company (PECO</w:t>
      </w:r>
      <w:r w:rsidRPr="00DB44D9">
        <w:rPr>
          <w:sz w:val="26"/>
        </w:rPr>
        <w:t xml:space="preserve"> or the </w:t>
      </w:r>
      <w:r w:rsidR="0069670F" w:rsidRPr="0069670F">
        <w:rPr>
          <w:sz w:val="26"/>
        </w:rPr>
        <w:t>Company) on November 20, 2014.  For the reasons stated below</w:t>
      </w:r>
      <w:r w:rsidRPr="00DB44D9">
        <w:rPr>
          <w:sz w:val="26"/>
        </w:rPr>
        <w:t>, we will de</w:t>
      </w:r>
      <w:r w:rsidR="0069670F" w:rsidRPr="0069670F">
        <w:rPr>
          <w:sz w:val="26"/>
        </w:rPr>
        <w:t>ny the Complainant’s Exceptions and</w:t>
      </w:r>
      <w:r w:rsidRPr="00DB44D9">
        <w:rPr>
          <w:sz w:val="26"/>
        </w:rPr>
        <w:t xml:space="preserve"> adopt the ALJ’s Initial Decision.</w:t>
      </w:r>
    </w:p>
    <w:p w:rsidR="00DB44D9" w:rsidRPr="00DB44D9" w:rsidRDefault="00DB44D9"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lastRenderedPageBreak/>
        <w:t>History of the Proceedings</w:t>
      </w:r>
    </w:p>
    <w:p w:rsidR="00DB44D9" w:rsidRPr="00B144AB" w:rsidRDefault="00DB44D9" w:rsidP="00DB44D9">
      <w:pPr>
        <w:keepNext/>
        <w:widowControl/>
        <w:tabs>
          <w:tab w:val="left" w:pos="-720"/>
        </w:tabs>
        <w:suppressAutoHyphens/>
        <w:spacing w:line="360" w:lineRule="auto"/>
        <w:jc w:val="center"/>
        <w:rPr>
          <w:b/>
          <w:sz w:val="26"/>
        </w:rPr>
      </w:pPr>
    </w:p>
    <w:p w:rsidR="00DB44D9" w:rsidRPr="0024441D" w:rsidRDefault="00B144AB" w:rsidP="00DB44D9">
      <w:pPr>
        <w:widowControl/>
        <w:tabs>
          <w:tab w:val="left" w:pos="-720"/>
          <w:tab w:val="left" w:pos="1440"/>
        </w:tabs>
        <w:suppressAutoHyphens/>
        <w:autoSpaceDE w:val="0"/>
        <w:autoSpaceDN w:val="0"/>
        <w:spacing w:line="360" w:lineRule="auto"/>
        <w:rPr>
          <w:sz w:val="26"/>
          <w:szCs w:val="26"/>
        </w:rPr>
      </w:pPr>
      <w:r w:rsidRPr="00B144AB">
        <w:rPr>
          <w:sz w:val="26"/>
          <w:szCs w:val="26"/>
        </w:rPr>
        <w:tab/>
        <w:t xml:space="preserve">On September </w:t>
      </w:r>
      <w:r w:rsidRPr="00050F7D">
        <w:rPr>
          <w:sz w:val="26"/>
          <w:szCs w:val="26"/>
        </w:rPr>
        <w:t>3, 2014</w:t>
      </w:r>
      <w:r w:rsidR="00DB44D9" w:rsidRPr="00050F7D">
        <w:rPr>
          <w:sz w:val="26"/>
          <w:szCs w:val="26"/>
        </w:rPr>
        <w:t>, the Complainant filed a Formal Complaint</w:t>
      </w:r>
      <w:r w:rsidR="00D017A0">
        <w:rPr>
          <w:sz w:val="26"/>
          <w:szCs w:val="26"/>
        </w:rPr>
        <w:t xml:space="preserve"> (Complaint)</w:t>
      </w:r>
      <w:r w:rsidR="00DB44D9" w:rsidRPr="00050F7D">
        <w:rPr>
          <w:sz w:val="26"/>
          <w:szCs w:val="26"/>
        </w:rPr>
        <w:t xml:space="preserve"> with </w:t>
      </w:r>
      <w:r w:rsidRPr="00050F7D">
        <w:rPr>
          <w:sz w:val="26"/>
          <w:szCs w:val="26"/>
        </w:rPr>
        <w:t>the Commission against PECO,</w:t>
      </w:r>
      <w:r w:rsidR="00DB44D9" w:rsidRPr="00050F7D">
        <w:rPr>
          <w:sz w:val="26"/>
          <w:szCs w:val="26"/>
        </w:rPr>
        <w:t xml:space="preserve"> in which he </w:t>
      </w:r>
      <w:r w:rsidR="006A330A" w:rsidRPr="00050F7D">
        <w:rPr>
          <w:sz w:val="26"/>
          <w:szCs w:val="26"/>
        </w:rPr>
        <w:t>objected to the Company’s installation of a smart meter</w:t>
      </w:r>
      <w:r w:rsidR="00050F7D" w:rsidRPr="00050F7D">
        <w:rPr>
          <w:sz w:val="26"/>
          <w:szCs w:val="26"/>
          <w:vertAlign w:val="superscript"/>
        </w:rPr>
        <w:footnoteReference w:id="1"/>
      </w:r>
      <w:r w:rsidR="006A330A" w:rsidRPr="00050F7D">
        <w:rPr>
          <w:sz w:val="26"/>
          <w:szCs w:val="26"/>
        </w:rPr>
        <w:t xml:space="preserve"> on his property.</w:t>
      </w:r>
      <w:r w:rsidR="009243ED">
        <w:rPr>
          <w:sz w:val="26"/>
          <w:szCs w:val="26"/>
        </w:rPr>
        <w:t xml:space="preserve">  The Complainant contended</w:t>
      </w:r>
      <w:r w:rsidR="00050F7D" w:rsidRPr="00050F7D">
        <w:rPr>
          <w:sz w:val="26"/>
          <w:szCs w:val="26"/>
        </w:rPr>
        <w:t xml:space="preserve"> that the installation of a smart meter was illegal</w:t>
      </w:r>
      <w:r w:rsidR="00050F7D">
        <w:rPr>
          <w:sz w:val="26"/>
          <w:szCs w:val="26"/>
        </w:rPr>
        <w:t xml:space="preserve"> because it violated the United States and Pennsylvania </w:t>
      </w:r>
      <w:r w:rsidR="00ED4A08">
        <w:rPr>
          <w:sz w:val="26"/>
          <w:szCs w:val="26"/>
        </w:rPr>
        <w:t>Constitutions, as well as the Complainant’s</w:t>
      </w:r>
      <w:r w:rsidR="00050F7D">
        <w:rPr>
          <w:sz w:val="26"/>
          <w:szCs w:val="26"/>
        </w:rPr>
        <w:t xml:space="preserve"> easement rights.  The Complainant also alleged health and safety issues relating to smart meter devices, and averred that</w:t>
      </w:r>
      <w:r w:rsidR="009243ED">
        <w:rPr>
          <w:sz w:val="26"/>
          <w:szCs w:val="26"/>
        </w:rPr>
        <w:t xml:space="preserve"> he had</w:t>
      </w:r>
      <w:r w:rsidR="00050F7D">
        <w:rPr>
          <w:sz w:val="26"/>
          <w:szCs w:val="26"/>
        </w:rPr>
        <w:t xml:space="preserve"> experienced various adverse</w:t>
      </w:r>
      <w:r w:rsidR="009243ED">
        <w:rPr>
          <w:sz w:val="26"/>
          <w:szCs w:val="26"/>
        </w:rPr>
        <w:t xml:space="preserve"> health</w:t>
      </w:r>
      <w:r w:rsidR="00050F7D">
        <w:rPr>
          <w:sz w:val="26"/>
          <w:szCs w:val="26"/>
        </w:rPr>
        <w:t xml:space="preserve"> symptoms due to the presence of the smart meter on his property.  </w:t>
      </w:r>
      <w:r w:rsidR="009243ED">
        <w:rPr>
          <w:sz w:val="26"/>
          <w:szCs w:val="26"/>
        </w:rPr>
        <w:t xml:space="preserve">In addition, the Complainant alleged that he had experienced a “sparking problem” with the smart meter that PECO had installed on his property.  </w:t>
      </w:r>
      <w:r w:rsidR="00E95FCD">
        <w:rPr>
          <w:sz w:val="26"/>
          <w:szCs w:val="26"/>
        </w:rPr>
        <w:t>Attached R</w:t>
      </w:r>
      <w:r w:rsidR="00025C4D">
        <w:rPr>
          <w:sz w:val="26"/>
          <w:szCs w:val="26"/>
        </w:rPr>
        <w:t>esponse to</w:t>
      </w:r>
      <w:r w:rsidR="00050F7D">
        <w:rPr>
          <w:sz w:val="26"/>
          <w:szCs w:val="26"/>
        </w:rPr>
        <w:t xml:space="preserve"> </w:t>
      </w:r>
      <w:r w:rsidR="00E95FCD">
        <w:rPr>
          <w:sz w:val="26"/>
          <w:szCs w:val="26"/>
        </w:rPr>
        <w:t>Complaint</w:t>
      </w:r>
      <w:r w:rsidR="00050F7D">
        <w:rPr>
          <w:sz w:val="26"/>
          <w:szCs w:val="26"/>
        </w:rPr>
        <w:t xml:space="preserve"> ¶ 4.  As relief, the Complainant requested that the Commission order PECO to remove the smart meter and replace it with the original analog unit.  The Complainant also requested removal of “any other EMF emitting device on my property placed by a utility company</w:t>
      </w:r>
      <w:r w:rsidR="00025C4D">
        <w:rPr>
          <w:sz w:val="26"/>
          <w:szCs w:val="26"/>
        </w:rPr>
        <w:t>.”  Complaint at 3</w:t>
      </w:r>
      <w:r w:rsidR="00050F7D" w:rsidRPr="0024441D">
        <w:rPr>
          <w:sz w:val="26"/>
          <w:szCs w:val="26"/>
        </w:rPr>
        <w:t>.</w:t>
      </w:r>
    </w:p>
    <w:p w:rsidR="00DB44D9" w:rsidRPr="0024441D" w:rsidRDefault="00DB44D9" w:rsidP="00DB44D9">
      <w:pPr>
        <w:widowControl/>
        <w:tabs>
          <w:tab w:val="left" w:pos="-720"/>
          <w:tab w:val="left" w:pos="1440"/>
        </w:tabs>
        <w:suppressAutoHyphens/>
        <w:autoSpaceDE w:val="0"/>
        <w:autoSpaceDN w:val="0"/>
        <w:spacing w:line="360" w:lineRule="auto"/>
        <w:rPr>
          <w:sz w:val="26"/>
          <w:szCs w:val="26"/>
        </w:rPr>
      </w:pPr>
    </w:p>
    <w:p w:rsidR="003D7BF3" w:rsidRDefault="0024441D" w:rsidP="00DB44D9">
      <w:pPr>
        <w:widowControl/>
        <w:tabs>
          <w:tab w:val="left" w:pos="-720"/>
          <w:tab w:val="left" w:pos="1440"/>
        </w:tabs>
        <w:suppressAutoHyphens/>
        <w:autoSpaceDE w:val="0"/>
        <w:autoSpaceDN w:val="0"/>
        <w:spacing w:line="360" w:lineRule="auto"/>
        <w:rPr>
          <w:sz w:val="26"/>
          <w:szCs w:val="26"/>
        </w:rPr>
      </w:pPr>
      <w:r w:rsidRPr="0024441D">
        <w:rPr>
          <w:sz w:val="26"/>
          <w:szCs w:val="26"/>
        </w:rPr>
        <w:tab/>
        <w:t>On October 3, 2014, PECO</w:t>
      </w:r>
      <w:r w:rsidR="00DB44D9" w:rsidRPr="0024441D">
        <w:rPr>
          <w:sz w:val="26"/>
          <w:szCs w:val="26"/>
        </w:rPr>
        <w:t xml:space="preserve"> filed an Answer and New Matter</w:t>
      </w:r>
      <w:r w:rsidR="00DD04C2">
        <w:rPr>
          <w:sz w:val="26"/>
          <w:szCs w:val="26"/>
        </w:rPr>
        <w:t xml:space="preserve"> (Answer)</w:t>
      </w:r>
      <w:r w:rsidR="00DB44D9" w:rsidRPr="0024441D">
        <w:rPr>
          <w:sz w:val="26"/>
          <w:szCs w:val="26"/>
        </w:rPr>
        <w:t xml:space="preserve"> to the Complaint</w:t>
      </w:r>
      <w:r w:rsidR="00D017A0">
        <w:rPr>
          <w:sz w:val="26"/>
          <w:szCs w:val="26"/>
        </w:rPr>
        <w:t>, accompanied by a Notice to Plead</w:t>
      </w:r>
      <w:r w:rsidR="00DB44D9" w:rsidRPr="0024441D">
        <w:rPr>
          <w:sz w:val="26"/>
          <w:szCs w:val="26"/>
        </w:rPr>
        <w:t xml:space="preserve">.  In its Answer, </w:t>
      </w:r>
      <w:r>
        <w:rPr>
          <w:sz w:val="26"/>
          <w:szCs w:val="26"/>
        </w:rPr>
        <w:t>PECO averred that</w:t>
      </w:r>
      <w:r w:rsidR="005732F8">
        <w:rPr>
          <w:sz w:val="26"/>
          <w:szCs w:val="26"/>
        </w:rPr>
        <w:t xml:space="preserve"> in accordance with Act 129</w:t>
      </w:r>
      <w:r w:rsidR="0053584B">
        <w:rPr>
          <w:sz w:val="26"/>
          <w:szCs w:val="26"/>
        </w:rPr>
        <w:t xml:space="preserve"> of 2008 (Act 129)</w:t>
      </w:r>
      <w:r w:rsidR="005732F8">
        <w:rPr>
          <w:sz w:val="26"/>
          <w:szCs w:val="26"/>
        </w:rPr>
        <w:t>, it was</w:t>
      </w:r>
      <w:r>
        <w:rPr>
          <w:sz w:val="26"/>
          <w:szCs w:val="26"/>
        </w:rPr>
        <w:t xml:space="preserve"> </w:t>
      </w:r>
      <w:r w:rsidR="005732F8">
        <w:rPr>
          <w:sz w:val="26"/>
          <w:szCs w:val="26"/>
        </w:rPr>
        <w:t>required</w:t>
      </w:r>
      <w:r>
        <w:rPr>
          <w:sz w:val="26"/>
          <w:szCs w:val="26"/>
        </w:rPr>
        <w:t xml:space="preserve"> to install Advanced Metering Infrastructure (AMI) meters </w:t>
      </w:r>
      <w:r w:rsidR="005732F8">
        <w:rPr>
          <w:sz w:val="26"/>
          <w:szCs w:val="26"/>
        </w:rPr>
        <w:t>for all of its current Automated Meter Reading (AMR) customers by the end of 2014.</w:t>
      </w:r>
      <w:r w:rsidR="00DD04C2">
        <w:rPr>
          <w:sz w:val="26"/>
          <w:szCs w:val="26"/>
        </w:rPr>
        <w:t xml:space="preserve">  PECO asserted that the Complaint should be dismissed as a matter of law.  Answer at 3.</w:t>
      </w:r>
    </w:p>
    <w:p w:rsidR="003D7BF3" w:rsidRDefault="003D7BF3" w:rsidP="00DB44D9">
      <w:pPr>
        <w:widowControl/>
        <w:tabs>
          <w:tab w:val="left" w:pos="-720"/>
          <w:tab w:val="left" w:pos="1440"/>
        </w:tabs>
        <w:suppressAutoHyphens/>
        <w:autoSpaceDE w:val="0"/>
        <w:autoSpaceDN w:val="0"/>
        <w:spacing w:line="360" w:lineRule="auto"/>
        <w:rPr>
          <w:sz w:val="26"/>
          <w:szCs w:val="26"/>
        </w:rPr>
      </w:pPr>
    </w:p>
    <w:p w:rsidR="006F5261" w:rsidRDefault="003D7BF3" w:rsidP="00DB44D9">
      <w:pPr>
        <w:widowControl/>
        <w:tabs>
          <w:tab w:val="left" w:pos="-720"/>
          <w:tab w:val="left" w:pos="1440"/>
        </w:tabs>
        <w:suppressAutoHyphens/>
        <w:autoSpaceDE w:val="0"/>
        <w:autoSpaceDN w:val="0"/>
        <w:spacing w:line="360" w:lineRule="auto"/>
        <w:rPr>
          <w:sz w:val="26"/>
          <w:szCs w:val="26"/>
        </w:rPr>
      </w:pPr>
      <w:r>
        <w:rPr>
          <w:sz w:val="26"/>
          <w:szCs w:val="26"/>
        </w:rPr>
        <w:lastRenderedPageBreak/>
        <w:tab/>
      </w:r>
      <w:r w:rsidR="00DD04C2">
        <w:rPr>
          <w:sz w:val="26"/>
          <w:szCs w:val="26"/>
        </w:rPr>
        <w:t>In its New Matter, PECO</w:t>
      </w:r>
      <w:r w:rsidR="002B5832">
        <w:rPr>
          <w:sz w:val="26"/>
          <w:szCs w:val="26"/>
        </w:rPr>
        <w:t xml:space="preserve"> averred</w:t>
      </w:r>
      <w:r w:rsidR="006F5261">
        <w:rPr>
          <w:sz w:val="26"/>
          <w:szCs w:val="26"/>
        </w:rPr>
        <w:t xml:space="preserve"> that the Commission approved its Smart Meter/Smart Grid Plan on May 6, </w:t>
      </w:r>
      <w:r w:rsidR="006F5261" w:rsidRPr="00C03C99">
        <w:rPr>
          <w:sz w:val="26"/>
          <w:szCs w:val="26"/>
        </w:rPr>
        <w:t>201</w:t>
      </w:r>
      <w:r w:rsidR="006E6C72" w:rsidRPr="00C03C99">
        <w:rPr>
          <w:sz w:val="26"/>
          <w:szCs w:val="26"/>
        </w:rPr>
        <w:t>0</w:t>
      </w:r>
      <w:r w:rsidR="006F5261" w:rsidRPr="00C03C99">
        <w:rPr>
          <w:sz w:val="26"/>
          <w:szCs w:val="26"/>
        </w:rPr>
        <w:t>,</w:t>
      </w:r>
      <w:r w:rsidR="001B461D" w:rsidRPr="00C03C99">
        <w:rPr>
          <w:rStyle w:val="FootnoteReference"/>
          <w:sz w:val="26"/>
          <w:szCs w:val="26"/>
        </w:rPr>
        <w:footnoteReference w:id="2"/>
      </w:r>
      <w:r w:rsidR="006F5261" w:rsidRPr="00C03C99">
        <w:rPr>
          <w:sz w:val="26"/>
          <w:szCs w:val="26"/>
        </w:rPr>
        <w:t xml:space="preserve"> pursuant to Act 129</w:t>
      </w:r>
      <w:r w:rsidR="00C832EF" w:rsidRPr="00C03C99">
        <w:rPr>
          <w:rStyle w:val="FootnoteReference"/>
          <w:sz w:val="26"/>
          <w:szCs w:val="26"/>
        </w:rPr>
        <w:footnoteReference w:id="3"/>
      </w:r>
      <w:r w:rsidR="006F5261" w:rsidRPr="00C03C99">
        <w:rPr>
          <w:sz w:val="26"/>
          <w:szCs w:val="26"/>
        </w:rPr>
        <w:t xml:space="preserve"> and the Commission’s </w:t>
      </w:r>
      <w:r w:rsidR="00DA1B4F" w:rsidRPr="00C03C99">
        <w:rPr>
          <w:sz w:val="26"/>
          <w:szCs w:val="26"/>
        </w:rPr>
        <w:t>June 29, 2009</w:t>
      </w:r>
      <w:r w:rsidR="006E6C72" w:rsidRPr="00C03C99">
        <w:rPr>
          <w:sz w:val="26"/>
          <w:szCs w:val="26"/>
        </w:rPr>
        <w:t xml:space="preserve"> </w:t>
      </w:r>
      <w:r w:rsidR="006F5261" w:rsidRPr="00C03C99">
        <w:rPr>
          <w:sz w:val="26"/>
          <w:szCs w:val="26"/>
        </w:rPr>
        <w:t>Implementation Order</w:t>
      </w:r>
      <w:r w:rsidR="006E6C72" w:rsidRPr="00C03C99">
        <w:rPr>
          <w:sz w:val="26"/>
          <w:szCs w:val="26"/>
        </w:rPr>
        <w:t>.</w:t>
      </w:r>
      <w:r w:rsidR="00C03C99" w:rsidRPr="00C03C99">
        <w:rPr>
          <w:sz w:val="26"/>
          <w:szCs w:val="26"/>
          <w:vertAlign w:val="superscript"/>
        </w:rPr>
        <w:footnoteReference w:id="4"/>
      </w:r>
      <w:r w:rsidR="002B5832">
        <w:rPr>
          <w:sz w:val="26"/>
          <w:szCs w:val="26"/>
        </w:rPr>
        <w:t xml:space="preserve">  PECO asserted that there is nothing in Act 129, the Commission’s Implementation Order, </w:t>
      </w:r>
      <w:r w:rsidR="001168C4">
        <w:rPr>
          <w:sz w:val="26"/>
          <w:szCs w:val="26"/>
        </w:rPr>
        <w:t>or the Company’s</w:t>
      </w:r>
      <w:r w:rsidR="002B5832">
        <w:rPr>
          <w:sz w:val="26"/>
          <w:szCs w:val="26"/>
        </w:rPr>
        <w:t xml:space="preserve"> approved Smart Meter/Smart Grid Plan that provides customers</w:t>
      </w:r>
      <w:r w:rsidR="00E0465E">
        <w:rPr>
          <w:sz w:val="26"/>
          <w:szCs w:val="26"/>
        </w:rPr>
        <w:t xml:space="preserve"> </w:t>
      </w:r>
      <w:r w:rsidR="002B5832">
        <w:rPr>
          <w:sz w:val="26"/>
          <w:szCs w:val="26"/>
        </w:rPr>
        <w:t>the ability to opt out of having a smart meter installed in their homes or businesses.</w:t>
      </w:r>
      <w:r w:rsidR="00B921D5">
        <w:rPr>
          <w:sz w:val="26"/>
          <w:szCs w:val="26"/>
        </w:rPr>
        <w:t xml:space="preserve">  </w:t>
      </w:r>
      <w:r w:rsidR="00B921D5" w:rsidRPr="00B921D5">
        <w:rPr>
          <w:i/>
          <w:sz w:val="26"/>
          <w:szCs w:val="26"/>
        </w:rPr>
        <w:t>Id</w:t>
      </w:r>
      <w:r w:rsidR="00B921D5">
        <w:rPr>
          <w:sz w:val="26"/>
          <w:szCs w:val="26"/>
        </w:rPr>
        <w:t>. at 4-5.</w:t>
      </w:r>
      <w:r w:rsidR="007715FC">
        <w:rPr>
          <w:sz w:val="26"/>
          <w:szCs w:val="26"/>
        </w:rPr>
        <w:t xml:space="preserve">  Therefore, PECO </w:t>
      </w:r>
      <w:r w:rsidR="001168C4">
        <w:rPr>
          <w:sz w:val="26"/>
          <w:szCs w:val="26"/>
        </w:rPr>
        <w:t>concluded</w:t>
      </w:r>
      <w:r w:rsidR="007715FC">
        <w:rPr>
          <w:sz w:val="26"/>
          <w:szCs w:val="26"/>
        </w:rPr>
        <w:t xml:space="preserve"> that the Complaint should be dismissed as a matter of law.  </w:t>
      </w:r>
      <w:r w:rsidR="007715FC" w:rsidRPr="007715FC">
        <w:rPr>
          <w:i/>
          <w:sz w:val="26"/>
          <w:szCs w:val="26"/>
        </w:rPr>
        <w:t>Id</w:t>
      </w:r>
      <w:r w:rsidR="007715FC">
        <w:rPr>
          <w:sz w:val="26"/>
          <w:szCs w:val="26"/>
        </w:rPr>
        <w:t>. at 6-7.</w:t>
      </w:r>
    </w:p>
    <w:p w:rsidR="00DB44D9" w:rsidRDefault="00DB44D9" w:rsidP="00DB44D9">
      <w:pPr>
        <w:widowControl/>
        <w:tabs>
          <w:tab w:val="left" w:pos="-720"/>
          <w:tab w:val="left" w:pos="1440"/>
        </w:tabs>
        <w:suppressAutoHyphens/>
        <w:autoSpaceDE w:val="0"/>
        <w:autoSpaceDN w:val="0"/>
        <w:spacing w:line="360" w:lineRule="auto"/>
        <w:rPr>
          <w:sz w:val="26"/>
          <w:szCs w:val="26"/>
        </w:rPr>
      </w:pPr>
    </w:p>
    <w:p w:rsidR="00BB662C" w:rsidRDefault="00E2746D" w:rsidP="001168C4">
      <w:pPr>
        <w:widowControl/>
        <w:tabs>
          <w:tab w:val="left" w:pos="-720"/>
          <w:tab w:val="left" w:pos="1440"/>
        </w:tabs>
        <w:suppressAutoHyphens/>
        <w:autoSpaceDE w:val="0"/>
        <w:autoSpaceDN w:val="0"/>
        <w:spacing w:line="360" w:lineRule="auto"/>
        <w:rPr>
          <w:sz w:val="26"/>
          <w:szCs w:val="26"/>
        </w:rPr>
      </w:pPr>
      <w:r>
        <w:rPr>
          <w:sz w:val="26"/>
          <w:szCs w:val="26"/>
        </w:rPr>
        <w:tab/>
        <w:t xml:space="preserve">Also on October 3, </w:t>
      </w:r>
      <w:r w:rsidRPr="001168C4">
        <w:rPr>
          <w:sz w:val="26"/>
          <w:szCs w:val="26"/>
        </w:rPr>
        <w:t>2014, PECO filed Preliminary Objections with</w:t>
      </w:r>
      <w:r w:rsidR="00D017A0" w:rsidRPr="001168C4">
        <w:rPr>
          <w:sz w:val="26"/>
          <w:szCs w:val="26"/>
        </w:rPr>
        <w:t xml:space="preserve"> regard to the Complaint, accompanied by a Notice to Plead.  In its Preliminary Objections, </w:t>
      </w:r>
      <w:r w:rsidR="001168C4" w:rsidRPr="001168C4">
        <w:rPr>
          <w:sz w:val="26"/>
          <w:szCs w:val="26"/>
        </w:rPr>
        <w:t>PECO argued that the Complaint should be dismissed because it is legally insufficient.</w:t>
      </w:r>
      <w:r w:rsidR="001168C4">
        <w:rPr>
          <w:sz w:val="26"/>
          <w:szCs w:val="26"/>
        </w:rPr>
        <w:t xml:space="preserve">  Specifically, PECO reiterated its position that because nothing in Act 129, the Commission’s </w:t>
      </w:r>
      <w:r w:rsidR="00353F40">
        <w:rPr>
          <w:i/>
          <w:sz w:val="26"/>
          <w:szCs w:val="26"/>
        </w:rPr>
        <w:t xml:space="preserve">Smart Meter </w:t>
      </w:r>
      <w:r w:rsidR="001168C4" w:rsidRPr="0053584B">
        <w:rPr>
          <w:i/>
          <w:sz w:val="26"/>
          <w:szCs w:val="26"/>
        </w:rPr>
        <w:t>Implementation Order</w:t>
      </w:r>
      <w:r w:rsidR="001168C4">
        <w:rPr>
          <w:sz w:val="26"/>
          <w:szCs w:val="26"/>
        </w:rPr>
        <w:t>, or the Company’s approved Smart Meter/Smart Grid Plan provides customers the ability to opt out of having a smart meter installed in their homes or businesses, the Complaint should be dismissed as a matter of law.  Preliminary Objections at 7-8.</w:t>
      </w:r>
      <w:r w:rsidR="00F036B1">
        <w:rPr>
          <w:sz w:val="26"/>
          <w:szCs w:val="26"/>
        </w:rPr>
        <w:t xml:space="preserve"> </w:t>
      </w:r>
      <w:r w:rsidR="00D47335">
        <w:rPr>
          <w:sz w:val="26"/>
          <w:szCs w:val="26"/>
        </w:rPr>
        <w:t xml:space="preserve"> </w:t>
      </w:r>
      <w:r w:rsidR="00F036B1">
        <w:rPr>
          <w:sz w:val="26"/>
          <w:szCs w:val="26"/>
        </w:rPr>
        <w:t xml:space="preserve">PECO </w:t>
      </w:r>
      <w:r w:rsidR="00D47335">
        <w:rPr>
          <w:sz w:val="26"/>
          <w:szCs w:val="26"/>
        </w:rPr>
        <w:t xml:space="preserve">also </w:t>
      </w:r>
      <w:r w:rsidR="00F036B1">
        <w:rPr>
          <w:sz w:val="26"/>
          <w:szCs w:val="26"/>
        </w:rPr>
        <w:t>cited n</w:t>
      </w:r>
      <w:r w:rsidR="00E0465E">
        <w:rPr>
          <w:sz w:val="26"/>
          <w:szCs w:val="26"/>
        </w:rPr>
        <w:t>umerous prior cases in which the</w:t>
      </w:r>
      <w:r w:rsidR="00F036B1">
        <w:rPr>
          <w:sz w:val="26"/>
          <w:szCs w:val="26"/>
        </w:rPr>
        <w:t xml:space="preserve"> Commission dismissed, on preliminary objection, formal complaints by customers of PECO requesting the ability </w:t>
      </w:r>
      <w:r w:rsidR="00F036B1" w:rsidRPr="00D47335">
        <w:rPr>
          <w:sz w:val="26"/>
          <w:szCs w:val="26"/>
        </w:rPr>
        <w:t xml:space="preserve">to opt out of having smart meters installed on their premises.  </w:t>
      </w:r>
      <w:r w:rsidR="00F036B1" w:rsidRPr="00D47335">
        <w:rPr>
          <w:i/>
          <w:sz w:val="26"/>
          <w:szCs w:val="26"/>
        </w:rPr>
        <w:t>Id</w:t>
      </w:r>
      <w:r w:rsidR="00F036B1" w:rsidRPr="00D47335">
        <w:rPr>
          <w:sz w:val="26"/>
          <w:szCs w:val="26"/>
        </w:rPr>
        <w:t xml:space="preserve">. at 9-10.  </w:t>
      </w:r>
      <w:r w:rsidR="00D47335" w:rsidRPr="00D47335">
        <w:rPr>
          <w:sz w:val="26"/>
          <w:szCs w:val="26"/>
        </w:rPr>
        <w:t xml:space="preserve">In addition, PECO argued </w:t>
      </w:r>
      <w:r w:rsidR="00D47335">
        <w:rPr>
          <w:sz w:val="26"/>
          <w:szCs w:val="26"/>
        </w:rPr>
        <w:t>that the absence of an opt-out</w:t>
      </w:r>
      <w:r w:rsidR="00D47335" w:rsidRPr="00D47335">
        <w:rPr>
          <w:sz w:val="26"/>
          <w:szCs w:val="26"/>
        </w:rPr>
        <w:t xml:space="preserve"> provision in the existing statute was underscored by t</w:t>
      </w:r>
      <w:r w:rsidR="00D47335">
        <w:rPr>
          <w:sz w:val="26"/>
          <w:szCs w:val="26"/>
        </w:rPr>
        <w:t xml:space="preserve">he recent introduction of </w:t>
      </w:r>
      <w:r w:rsidR="00D47335" w:rsidRPr="00D47335">
        <w:rPr>
          <w:sz w:val="26"/>
          <w:szCs w:val="26"/>
        </w:rPr>
        <w:t>House Bill</w:t>
      </w:r>
      <w:r w:rsidR="00D47335">
        <w:rPr>
          <w:sz w:val="26"/>
          <w:szCs w:val="26"/>
        </w:rPr>
        <w:t xml:space="preserve"> 2188, which</w:t>
      </w:r>
      <w:r w:rsidR="00353F40">
        <w:rPr>
          <w:sz w:val="26"/>
          <w:szCs w:val="26"/>
        </w:rPr>
        <w:t>, if enacted,</w:t>
      </w:r>
      <w:r w:rsidR="00D47335">
        <w:rPr>
          <w:sz w:val="26"/>
          <w:szCs w:val="26"/>
        </w:rPr>
        <w:t xml:space="preserve"> would add an opt-out</w:t>
      </w:r>
      <w:r w:rsidR="00D47335" w:rsidRPr="00D47335">
        <w:rPr>
          <w:sz w:val="26"/>
          <w:szCs w:val="26"/>
        </w:rPr>
        <w:t xml:space="preserve"> provision to the law.  </w:t>
      </w:r>
      <w:r w:rsidR="00D47335">
        <w:rPr>
          <w:sz w:val="26"/>
          <w:szCs w:val="26"/>
        </w:rPr>
        <w:t>PECO noted t</w:t>
      </w:r>
      <w:r w:rsidR="00D47335" w:rsidRPr="00D47335">
        <w:rPr>
          <w:sz w:val="26"/>
          <w:szCs w:val="26"/>
        </w:rPr>
        <w:t xml:space="preserve">hat </w:t>
      </w:r>
      <w:r w:rsidR="00D47335">
        <w:rPr>
          <w:sz w:val="26"/>
          <w:szCs w:val="26"/>
        </w:rPr>
        <w:t xml:space="preserve">the </w:t>
      </w:r>
      <w:r w:rsidR="00D47335" w:rsidRPr="00D47335">
        <w:rPr>
          <w:sz w:val="26"/>
          <w:szCs w:val="26"/>
        </w:rPr>
        <w:t xml:space="preserve">proposed bill had not been scheduled for a vote by the General Assembly, and the ability to opt out of </w:t>
      </w:r>
      <w:r w:rsidR="00D47335" w:rsidRPr="00D47335">
        <w:rPr>
          <w:sz w:val="26"/>
          <w:szCs w:val="26"/>
        </w:rPr>
        <w:lastRenderedPageBreak/>
        <w:t>smart meter installation was not currently permissible under the law.</w:t>
      </w:r>
      <w:r w:rsidR="00D47335">
        <w:rPr>
          <w:sz w:val="26"/>
          <w:szCs w:val="26"/>
        </w:rPr>
        <w:t xml:space="preserve">  </w:t>
      </w:r>
      <w:r w:rsidR="00D47335" w:rsidRPr="00D47335">
        <w:rPr>
          <w:i/>
          <w:sz w:val="26"/>
          <w:szCs w:val="26"/>
        </w:rPr>
        <w:t>Id</w:t>
      </w:r>
      <w:r w:rsidR="00D47335">
        <w:rPr>
          <w:sz w:val="26"/>
          <w:szCs w:val="26"/>
        </w:rPr>
        <w:t xml:space="preserve">. at 8.  PECO concluded that because </w:t>
      </w:r>
      <w:r w:rsidR="00691AB3">
        <w:rPr>
          <w:sz w:val="26"/>
          <w:szCs w:val="26"/>
        </w:rPr>
        <w:t>the Complaint does not allege a violation of any law, Comm</w:t>
      </w:r>
      <w:r w:rsidR="00D47335">
        <w:rPr>
          <w:sz w:val="26"/>
          <w:szCs w:val="26"/>
        </w:rPr>
        <w:t>ission Order, or tariff that could</w:t>
      </w:r>
      <w:r w:rsidR="00691AB3">
        <w:rPr>
          <w:sz w:val="26"/>
          <w:szCs w:val="26"/>
        </w:rPr>
        <w:t xml:space="preserve"> be the basi</w:t>
      </w:r>
      <w:r w:rsidR="00D47335">
        <w:rPr>
          <w:sz w:val="26"/>
          <w:szCs w:val="26"/>
        </w:rPr>
        <w:t>s of any finding against the Company</w:t>
      </w:r>
      <w:r w:rsidR="00691AB3">
        <w:rPr>
          <w:sz w:val="26"/>
          <w:szCs w:val="26"/>
        </w:rPr>
        <w:t xml:space="preserve">, it should be dismissed as a matter of law.  </w:t>
      </w:r>
      <w:r w:rsidR="00691AB3" w:rsidRPr="00691AB3">
        <w:rPr>
          <w:i/>
          <w:sz w:val="26"/>
          <w:szCs w:val="26"/>
        </w:rPr>
        <w:t>Id</w:t>
      </w:r>
      <w:r w:rsidR="00691AB3">
        <w:rPr>
          <w:sz w:val="26"/>
          <w:szCs w:val="26"/>
        </w:rPr>
        <w:t>. at 10-11.</w:t>
      </w:r>
    </w:p>
    <w:p w:rsidR="003F664A" w:rsidRDefault="003F664A" w:rsidP="001168C4">
      <w:pPr>
        <w:widowControl/>
        <w:tabs>
          <w:tab w:val="left" w:pos="-720"/>
          <w:tab w:val="left" w:pos="1440"/>
        </w:tabs>
        <w:suppressAutoHyphens/>
        <w:autoSpaceDE w:val="0"/>
        <w:autoSpaceDN w:val="0"/>
        <w:spacing w:line="360" w:lineRule="auto"/>
        <w:rPr>
          <w:sz w:val="26"/>
          <w:szCs w:val="26"/>
        </w:rPr>
      </w:pPr>
    </w:p>
    <w:p w:rsidR="00C72872" w:rsidRDefault="00BB662C" w:rsidP="001168C4">
      <w:pPr>
        <w:widowControl/>
        <w:tabs>
          <w:tab w:val="left" w:pos="-720"/>
          <w:tab w:val="left" w:pos="1440"/>
        </w:tabs>
        <w:suppressAutoHyphens/>
        <w:autoSpaceDE w:val="0"/>
        <w:autoSpaceDN w:val="0"/>
        <w:spacing w:line="360" w:lineRule="auto"/>
        <w:rPr>
          <w:sz w:val="26"/>
          <w:szCs w:val="26"/>
        </w:rPr>
      </w:pPr>
      <w:r>
        <w:rPr>
          <w:sz w:val="26"/>
          <w:szCs w:val="26"/>
        </w:rPr>
        <w:tab/>
      </w:r>
      <w:r w:rsidR="00A6407A">
        <w:rPr>
          <w:sz w:val="26"/>
          <w:szCs w:val="26"/>
        </w:rPr>
        <w:t xml:space="preserve">On October 20, 2014, the Complainant filed </w:t>
      </w:r>
      <w:r w:rsidR="006D03C2">
        <w:rPr>
          <w:sz w:val="26"/>
          <w:szCs w:val="26"/>
        </w:rPr>
        <w:t xml:space="preserve">a </w:t>
      </w:r>
      <w:r w:rsidR="00CB1E63">
        <w:rPr>
          <w:sz w:val="26"/>
          <w:szCs w:val="26"/>
        </w:rPr>
        <w:t>Reply</w:t>
      </w:r>
      <w:r w:rsidR="006404E5">
        <w:rPr>
          <w:sz w:val="26"/>
          <w:szCs w:val="26"/>
        </w:rPr>
        <w:t xml:space="preserve"> to </w:t>
      </w:r>
      <w:r w:rsidR="00CB1E63">
        <w:rPr>
          <w:sz w:val="26"/>
          <w:szCs w:val="26"/>
        </w:rPr>
        <w:t xml:space="preserve">PECO’s New </w:t>
      </w:r>
      <w:r w:rsidR="006D03C2">
        <w:rPr>
          <w:sz w:val="26"/>
          <w:szCs w:val="26"/>
        </w:rPr>
        <w:t>Matter</w:t>
      </w:r>
      <w:r w:rsidR="00CB1E63">
        <w:rPr>
          <w:sz w:val="26"/>
          <w:szCs w:val="26"/>
        </w:rPr>
        <w:t>.</w:t>
      </w:r>
      <w:r w:rsidR="00CB1E63">
        <w:rPr>
          <w:rStyle w:val="FootnoteReference"/>
          <w:sz w:val="26"/>
          <w:szCs w:val="26"/>
        </w:rPr>
        <w:footnoteReference w:id="5"/>
      </w:r>
      <w:r w:rsidR="00CB1E63">
        <w:rPr>
          <w:sz w:val="26"/>
          <w:szCs w:val="26"/>
        </w:rPr>
        <w:t xml:space="preserve">  In his</w:t>
      </w:r>
      <w:r w:rsidR="005B14E7">
        <w:rPr>
          <w:sz w:val="26"/>
          <w:szCs w:val="26"/>
        </w:rPr>
        <w:t xml:space="preserve"> Reply, the Complainant contended</w:t>
      </w:r>
      <w:r w:rsidR="00CB1E63">
        <w:rPr>
          <w:sz w:val="26"/>
          <w:szCs w:val="26"/>
        </w:rPr>
        <w:t xml:space="preserve"> that PECO’s statement regarding customers’ inability to opt out of smart meter installations is inconsistent with the Commission’s Mission Statement.</w:t>
      </w:r>
      <w:r w:rsidR="005B14E7">
        <w:rPr>
          <w:sz w:val="26"/>
          <w:szCs w:val="26"/>
        </w:rPr>
        <w:t xml:space="preserve">  Reply at 1.  The Complainant also averred that the smart meter installed by PECO caused damage to the meter mounting board due to a “sparking problem,”</w:t>
      </w:r>
      <w:r w:rsidR="0042799F">
        <w:rPr>
          <w:sz w:val="26"/>
          <w:szCs w:val="26"/>
        </w:rPr>
        <w:t xml:space="preserve"> and contended that PECO is responsible for damages under the easement contract.  </w:t>
      </w:r>
      <w:r w:rsidR="0042799F" w:rsidRPr="0042799F">
        <w:rPr>
          <w:i/>
          <w:sz w:val="26"/>
          <w:szCs w:val="26"/>
        </w:rPr>
        <w:t>Id</w:t>
      </w:r>
      <w:r w:rsidR="0042799F">
        <w:rPr>
          <w:sz w:val="26"/>
          <w:szCs w:val="26"/>
        </w:rPr>
        <w:t>. at 1, 4.</w:t>
      </w:r>
      <w:r w:rsidR="006C16A8">
        <w:rPr>
          <w:sz w:val="26"/>
          <w:szCs w:val="26"/>
        </w:rPr>
        <w:t xml:space="preserve">  In addition, the Complainant </w:t>
      </w:r>
      <w:r w:rsidR="0042799F">
        <w:rPr>
          <w:sz w:val="26"/>
          <w:szCs w:val="26"/>
        </w:rPr>
        <w:t>alleged</w:t>
      </w:r>
      <w:r w:rsidR="005B14E7">
        <w:rPr>
          <w:sz w:val="26"/>
          <w:szCs w:val="26"/>
        </w:rPr>
        <w:t xml:space="preserve"> numerous health and safety concerns relating to smart meter devices.  </w:t>
      </w:r>
      <w:r w:rsidR="005B14E7" w:rsidRPr="005B14E7">
        <w:rPr>
          <w:i/>
          <w:sz w:val="26"/>
          <w:szCs w:val="26"/>
        </w:rPr>
        <w:t>Id</w:t>
      </w:r>
      <w:r w:rsidR="005B14E7">
        <w:rPr>
          <w:sz w:val="26"/>
          <w:szCs w:val="26"/>
        </w:rPr>
        <w:t>. at 1-4.</w:t>
      </w:r>
      <w:r w:rsidR="00085330">
        <w:rPr>
          <w:sz w:val="26"/>
          <w:szCs w:val="26"/>
        </w:rPr>
        <w:t xml:space="preserve">  The Complainant requested that PECO be directed to provide studies documenting the safety of smart meters, as well as a copy of the Company’s accident insurance policy for the easement area.  </w:t>
      </w:r>
      <w:r w:rsidR="00085330" w:rsidRPr="00085330">
        <w:rPr>
          <w:i/>
          <w:sz w:val="26"/>
          <w:szCs w:val="26"/>
        </w:rPr>
        <w:t>Id</w:t>
      </w:r>
      <w:r w:rsidR="00085330">
        <w:rPr>
          <w:sz w:val="26"/>
          <w:szCs w:val="26"/>
        </w:rPr>
        <w:t>. at 4.</w:t>
      </w:r>
      <w:r w:rsidR="00B15023">
        <w:rPr>
          <w:rStyle w:val="FootnoteReference"/>
          <w:sz w:val="26"/>
          <w:szCs w:val="26"/>
        </w:rPr>
        <w:footnoteReference w:id="6"/>
      </w:r>
    </w:p>
    <w:p w:rsidR="008C66B1" w:rsidRDefault="008C66B1" w:rsidP="001168C4">
      <w:pPr>
        <w:widowControl/>
        <w:tabs>
          <w:tab w:val="left" w:pos="-720"/>
          <w:tab w:val="left" w:pos="1440"/>
        </w:tabs>
        <w:suppressAutoHyphens/>
        <w:autoSpaceDE w:val="0"/>
        <w:autoSpaceDN w:val="0"/>
        <w:spacing w:line="360" w:lineRule="auto"/>
        <w:rPr>
          <w:sz w:val="26"/>
          <w:szCs w:val="26"/>
        </w:rPr>
      </w:pPr>
    </w:p>
    <w:p w:rsidR="008C66B1" w:rsidRDefault="008C66B1" w:rsidP="001168C4">
      <w:pPr>
        <w:widowControl/>
        <w:tabs>
          <w:tab w:val="left" w:pos="-720"/>
          <w:tab w:val="left" w:pos="1440"/>
        </w:tabs>
        <w:suppressAutoHyphens/>
        <w:autoSpaceDE w:val="0"/>
        <w:autoSpaceDN w:val="0"/>
        <w:spacing w:line="360" w:lineRule="auto"/>
        <w:rPr>
          <w:sz w:val="26"/>
          <w:szCs w:val="26"/>
        </w:rPr>
      </w:pPr>
      <w:r>
        <w:rPr>
          <w:sz w:val="26"/>
          <w:szCs w:val="26"/>
        </w:rPr>
        <w:tab/>
        <w:t xml:space="preserve">On November 4, 2014, the Commission issued the Initial Decision of ALJ Salapa, which sustained PECO’s Preliminary Objections and dismissed the Complaint </w:t>
      </w:r>
      <w:r>
        <w:rPr>
          <w:sz w:val="26"/>
          <w:szCs w:val="26"/>
        </w:rPr>
        <w:lastRenderedPageBreak/>
        <w:t>with prejudice.  I.D. at 8.  As previously noted, the Complainant filed Exceptions</w:t>
      </w:r>
      <w:r w:rsidR="00F41836" w:rsidRPr="00F41836">
        <w:rPr>
          <w:sz w:val="26"/>
          <w:szCs w:val="26"/>
          <w:vertAlign w:val="superscript"/>
        </w:rPr>
        <w:footnoteReference w:id="7"/>
      </w:r>
      <w:r>
        <w:rPr>
          <w:sz w:val="26"/>
          <w:szCs w:val="26"/>
        </w:rPr>
        <w:t xml:space="preserve"> to the Initial Decision on November 18, 2014, and PECO filed Replies to Exceptions on November 20, 2014.</w:t>
      </w:r>
    </w:p>
    <w:p w:rsidR="00DB44D9" w:rsidRPr="008E5758" w:rsidRDefault="00DB44D9" w:rsidP="00DB44D9">
      <w:pPr>
        <w:widowControl/>
        <w:spacing w:line="360" w:lineRule="auto"/>
        <w:ind w:firstLine="720"/>
        <w:rPr>
          <w:sz w:val="26"/>
          <w:szCs w:val="26"/>
        </w:rPr>
      </w:pPr>
    </w:p>
    <w:p w:rsidR="008E5758" w:rsidRPr="008E5758" w:rsidRDefault="00DB44D9" w:rsidP="008E5758">
      <w:pPr>
        <w:widowControl/>
        <w:tabs>
          <w:tab w:val="left" w:pos="900"/>
        </w:tabs>
        <w:spacing w:line="360" w:lineRule="auto"/>
        <w:jc w:val="center"/>
        <w:rPr>
          <w:sz w:val="26"/>
        </w:rPr>
      </w:pPr>
      <w:r w:rsidRPr="008E5758">
        <w:rPr>
          <w:b/>
          <w:sz w:val="26"/>
        </w:rPr>
        <w:t xml:space="preserve">Discussion </w:t>
      </w:r>
    </w:p>
    <w:p w:rsidR="008E5758" w:rsidRPr="008E5758" w:rsidRDefault="008E5758" w:rsidP="008E5758">
      <w:pPr>
        <w:widowControl/>
        <w:tabs>
          <w:tab w:val="left" w:pos="900"/>
        </w:tabs>
        <w:spacing w:line="360" w:lineRule="auto"/>
        <w:rPr>
          <w:sz w:val="26"/>
        </w:rPr>
      </w:pPr>
    </w:p>
    <w:p w:rsidR="00DB44D9" w:rsidRPr="000522FC" w:rsidRDefault="008E5758" w:rsidP="00DB44D9">
      <w:pPr>
        <w:widowControl/>
        <w:spacing w:line="360" w:lineRule="auto"/>
        <w:ind w:firstLine="1440"/>
        <w:rPr>
          <w:sz w:val="26"/>
          <w:szCs w:val="26"/>
        </w:rPr>
      </w:pPr>
      <w:r>
        <w:rPr>
          <w:sz w:val="26"/>
          <w:szCs w:val="26"/>
        </w:rPr>
        <w:t>Initially</w:t>
      </w:r>
      <w:r w:rsidRPr="00A031AA">
        <w:rPr>
          <w:sz w:val="26"/>
          <w:szCs w:val="26"/>
        </w:rPr>
        <w:t xml:space="preserve">,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9" w:history="1">
        <w:r w:rsidRPr="00A031AA">
          <w:rPr>
            <w:rStyle w:val="Emphasis"/>
            <w:sz w:val="26"/>
            <w:szCs w:val="26"/>
          </w:rPr>
          <w:t>Consolidated Ra</w:t>
        </w:r>
        <w:r w:rsidRPr="00A031AA">
          <w:rPr>
            <w:rStyle w:val="Emphasis"/>
            <w:color w:val="000000"/>
            <w:sz w:val="26"/>
            <w:szCs w:val="26"/>
          </w:rPr>
          <w:t xml:space="preserve">il Corp. v. Pa. PUC, </w:t>
        </w:r>
        <w:r w:rsidRPr="00A031AA">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10" w:history="1">
        <w:r w:rsidRPr="000522FC">
          <w:rPr>
            <w:rStyle w:val="Emphasis"/>
            <w:color w:val="000000"/>
            <w:sz w:val="26"/>
            <w:szCs w:val="26"/>
          </w:rPr>
          <w:t>University of Pennsylvania v. Pa. PUC</w:t>
        </w:r>
        <w:r w:rsidRPr="000522FC">
          <w:rPr>
            <w:rStyle w:val="Hyperlink"/>
            <w:color w:val="000000"/>
            <w:sz w:val="26"/>
            <w:szCs w:val="26"/>
            <w:u w:val="none"/>
          </w:rPr>
          <w:t>, 485 A.2d 1217 (Pa. Cmwlth. 1984).</w:t>
        </w:r>
      </w:hyperlink>
      <w:r w:rsidRPr="000522FC">
        <w:rPr>
          <w:sz w:val="26"/>
          <w:szCs w:val="26"/>
        </w:rPr>
        <w:t xml:space="preserve"> </w:t>
      </w:r>
    </w:p>
    <w:p w:rsidR="00DB44D9" w:rsidRPr="000522FC" w:rsidRDefault="00DB44D9" w:rsidP="00DB44D9">
      <w:pPr>
        <w:widowControl/>
        <w:tabs>
          <w:tab w:val="left" w:pos="-720"/>
        </w:tabs>
        <w:suppressAutoHyphens/>
        <w:spacing w:line="360" w:lineRule="auto"/>
        <w:rPr>
          <w:b/>
          <w:sz w:val="26"/>
        </w:rPr>
      </w:pPr>
    </w:p>
    <w:p w:rsidR="000522FC" w:rsidRPr="000522FC" w:rsidRDefault="000522FC" w:rsidP="000522FC">
      <w:pPr>
        <w:widowControl/>
        <w:spacing w:line="360" w:lineRule="auto"/>
        <w:rPr>
          <w:sz w:val="26"/>
          <w:szCs w:val="26"/>
        </w:rPr>
      </w:pPr>
      <w:r w:rsidRPr="000522FC">
        <w:rPr>
          <w:sz w:val="26"/>
          <w:szCs w:val="26"/>
        </w:rPr>
        <w:tab/>
      </w:r>
      <w:r w:rsidRPr="000522FC">
        <w:rPr>
          <w:sz w:val="26"/>
          <w:szCs w:val="26"/>
        </w:rPr>
        <w:tab/>
        <w:t>In his Initial Decision, ALJ Salapa made six Findings of Fact and reached three Conclusions of Law.  I.D. at 3-4, 8.  The Findings of Fact and Conclusions of Law are incorporated herein by reference and are adopted without comment unless they are either expressly or by necessary implication rejected or modified by this Opinion and Order.</w:t>
      </w:r>
    </w:p>
    <w:p w:rsidR="000522FC" w:rsidRPr="00910FEF" w:rsidRDefault="000522FC" w:rsidP="00DB44D9">
      <w:pPr>
        <w:widowControl/>
        <w:tabs>
          <w:tab w:val="left" w:pos="-720"/>
        </w:tabs>
        <w:suppressAutoHyphens/>
        <w:spacing w:line="360" w:lineRule="auto"/>
        <w:rPr>
          <w:b/>
          <w:sz w:val="26"/>
        </w:rPr>
      </w:pPr>
    </w:p>
    <w:p w:rsidR="00DB44D9" w:rsidRPr="00910FEF" w:rsidRDefault="00DB44D9" w:rsidP="00506975">
      <w:pPr>
        <w:keepNext/>
        <w:widowControl/>
        <w:tabs>
          <w:tab w:val="left" w:pos="-720"/>
        </w:tabs>
        <w:suppressAutoHyphens/>
        <w:spacing w:line="360" w:lineRule="auto"/>
        <w:rPr>
          <w:sz w:val="26"/>
        </w:rPr>
      </w:pPr>
      <w:r w:rsidRPr="00910FEF">
        <w:rPr>
          <w:b/>
          <w:sz w:val="26"/>
        </w:rPr>
        <w:lastRenderedPageBreak/>
        <w:t>Legal Standards</w:t>
      </w:r>
    </w:p>
    <w:p w:rsidR="00DB44D9" w:rsidRPr="00910FEF" w:rsidRDefault="00DB44D9" w:rsidP="00506975">
      <w:pPr>
        <w:keepNext/>
        <w:widowControl/>
        <w:spacing w:line="360" w:lineRule="auto"/>
        <w:ind w:firstLine="1440"/>
        <w:rPr>
          <w:sz w:val="26"/>
          <w:szCs w:val="26"/>
        </w:rPr>
      </w:pPr>
    </w:p>
    <w:p w:rsidR="00DB44D9" w:rsidRPr="00910FEF" w:rsidRDefault="00DB44D9" w:rsidP="00506975">
      <w:pPr>
        <w:keepNext/>
        <w:widowControl/>
        <w:tabs>
          <w:tab w:val="left" w:pos="0"/>
        </w:tabs>
        <w:spacing w:line="360" w:lineRule="auto"/>
        <w:ind w:firstLine="1440"/>
        <w:rPr>
          <w:sz w:val="26"/>
          <w:szCs w:val="24"/>
        </w:rPr>
      </w:pPr>
      <w:r w:rsidRPr="00910FEF">
        <w:rPr>
          <w:sz w:val="26"/>
          <w:szCs w:val="24"/>
        </w:rPr>
        <w:t xml:space="preserve">Section 5.101 of our Regulations, 52 Pa. Code § 5.101, sets forth the grounds for granting preliminary objections.  That section provides as follows: </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rPr>
          <w:b/>
          <w:sz w:val="26"/>
          <w:szCs w:val="24"/>
        </w:rPr>
      </w:pPr>
      <w:r w:rsidRPr="00910FEF">
        <w:rPr>
          <w:b/>
          <w:sz w:val="26"/>
          <w:szCs w:val="24"/>
        </w:rPr>
        <w:t>§ 5.101.  Preliminary objections.</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B44D9" w:rsidRPr="00910FEF" w:rsidRDefault="00DB44D9" w:rsidP="00DB44D9">
      <w:pPr>
        <w:widowControl/>
        <w:spacing w:before="100" w:beforeAutospacing="1" w:after="100" w:afterAutospacing="1"/>
        <w:ind w:left="1440" w:right="1440"/>
        <w:rPr>
          <w:sz w:val="26"/>
          <w:szCs w:val="24"/>
        </w:rPr>
      </w:pPr>
      <w:bookmarkStart w:id="0" w:name="5.101."/>
      <w:r w:rsidRPr="00910FEF">
        <w:rPr>
          <w:sz w:val="26"/>
          <w:szCs w:val="24"/>
        </w:rPr>
        <w:t> </w:t>
      </w:r>
      <w:r w:rsidRPr="00910FEF">
        <w:rPr>
          <w:sz w:val="26"/>
          <w:szCs w:val="24"/>
        </w:rPr>
        <w:tab/>
        <w:t>(1)</w:t>
      </w:r>
      <w:r w:rsidRPr="00910FEF">
        <w:rPr>
          <w:sz w:val="26"/>
          <w:szCs w:val="24"/>
        </w:rPr>
        <w:tab/>
        <w:t xml:space="preserve">Lack of Commission jurisdiction or improper service of the pleading initiating the proceeding.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(2)</w:t>
      </w:r>
      <w:r w:rsidRPr="00910FEF">
        <w:rPr>
          <w:sz w:val="26"/>
          <w:szCs w:val="24"/>
        </w:rPr>
        <w:tab/>
        <w:t xml:space="preserve">Failure of a pleading to conform to this chapter or the inclusion of scandalous or impertinent matter.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(3)</w:t>
      </w:r>
      <w:r w:rsidRPr="00910FEF">
        <w:rPr>
          <w:sz w:val="26"/>
          <w:szCs w:val="24"/>
        </w:rPr>
        <w:tab/>
        <w:t xml:space="preserve">Insufficient specificity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(4)</w:t>
      </w:r>
      <w:r w:rsidRPr="00910FEF">
        <w:rPr>
          <w:sz w:val="26"/>
          <w:szCs w:val="24"/>
        </w:rPr>
        <w:tab/>
        <w:t xml:space="preserve">Legal insufficiency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(5)</w:t>
      </w:r>
      <w:r w:rsidRPr="00910FEF">
        <w:rPr>
          <w:sz w:val="26"/>
          <w:szCs w:val="24"/>
        </w:rPr>
        <w:tab/>
        <w:t xml:space="preserve">Lack of capacity to sue, nonjoinder of a necessary party or misjoinder of a cause of action. </w:t>
      </w:r>
    </w:p>
    <w:bookmarkEnd w:id="0"/>
    <w:p w:rsidR="00DB44D9" w:rsidRPr="00910FEF" w:rsidRDefault="00DB44D9" w:rsidP="00DB44D9">
      <w:pPr>
        <w:widowControl/>
        <w:ind w:left="1440" w:right="1440"/>
        <w:contextualSpacing/>
        <w:rPr>
          <w:sz w:val="26"/>
          <w:szCs w:val="24"/>
        </w:rPr>
      </w:pPr>
      <w:r w:rsidRPr="00910FEF">
        <w:rPr>
          <w:sz w:val="26"/>
          <w:szCs w:val="24"/>
        </w:rPr>
        <w:tab/>
        <w:t>(6)</w:t>
      </w:r>
      <w:r w:rsidRPr="00910FEF">
        <w:rPr>
          <w:sz w:val="26"/>
          <w:szCs w:val="24"/>
        </w:rPr>
        <w:tab/>
        <w:t>Pendency of a prior proceeding or agreement for alternative dispute resolution.</w:t>
      </w:r>
    </w:p>
    <w:p w:rsidR="00DB44D9" w:rsidRPr="00910FEF" w:rsidRDefault="00DB44D9" w:rsidP="00DB44D9">
      <w:pPr>
        <w:widowControl/>
        <w:spacing w:line="360" w:lineRule="auto"/>
        <w:ind w:left="1440" w:right="1440" w:hanging="1440"/>
        <w:contextualSpacing/>
        <w:rPr>
          <w:sz w:val="26"/>
          <w:szCs w:val="24"/>
        </w:rPr>
      </w:pPr>
    </w:p>
    <w:p w:rsidR="00DB44D9" w:rsidRPr="00910FEF" w:rsidRDefault="00DB44D9" w:rsidP="00DB44D9">
      <w:pPr>
        <w:widowControl/>
        <w:spacing w:line="360" w:lineRule="auto"/>
        <w:ind w:left="1440" w:right="1440" w:hanging="1440"/>
        <w:contextualSpacing/>
        <w:rPr>
          <w:sz w:val="26"/>
          <w:szCs w:val="24"/>
        </w:rPr>
      </w:pPr>
      <w:r w:rsidRPr="00910FEF">
        <w:rPr>
          <w:sz w:val="26"/>
          <w:szCs w:val="24"/>
        </w:rPr>
        <w:t>52 Pa. Code § 5.101(a).</w:t>
      </w:r>
    </w:p>
    <w:p w:rsidR="00DB44D9" w:rsidRPr="00910FEF" w:rsidRDefault="00DB44D9" w:rsidP="00DB44D9">
      <w:pPr>
        <w:widowControl/>
        <w:spacing w:line="360" w:lineRule="auto"/>
        <w:ind w:left="1440" w:right="1440" w:hanging="1440"/>
        <w:contextualSpacing/>
        <w:rPr>
          <w:sz w:val="26"/>
          <w:szCs w:val="24"/>
        </w:rPr>
      </w:pPr>
    </w:p>
    <w:p w:rsidR="00DB44D9" w:rsidRPr="001B6C10" w:rsidRDefault="00DB44D9" w:rsidP="00DB44D9">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910FEF">
        <w:rPr>
          <w:rFonts w:cs="CG Times"/>
          <w:i/>
          <w:sz w:val="26"/>
          <w:szCs w:val="26"/>
        </w:rPr>
        <w:t>Interstate Traveller Services, Inc. v. Pa. Dep’t of Environmental Resources</w:t>
      </w:r>
      <w:r w:rsidRPr="00910FEF">
        <w:rPr>
          <w:rFonts w:cs="CG Times"/>
          <w:sz w:val="26"/>
          <w:szCs w:val="26"/>
        </w:rPr>
        <w:t xml:space="preserve">, 486 Pa. 536, 406 A.2d 1020 (1979).  The moving </w:t>
      </w:r>
      <w:r w:rsidRPr="00910FEF">
        <w:rPr>
          <w:rFonts w:cs="CG Times"/>
          <w:sz w:val="26"/>
          <w:szCs w:val="26"/>
        </w:rPr>
        <w:lastRenderedPageBreak/>
        <w:t xml:space="preserve">party may not rely on its own factual assertions, but must accept for the purposes of disposition of the preliminary objection all well-pleaded, material facts of the other party, as well as every inference fairly deducible from those facts.  </w:t>
      </w:r>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xml:space="preserve">, 507 Pa. 360, 490 A.2d 402 (1985).  The preliminary objection may be granted only if the moving party prevails as a matter of law.  </w:t>
      </w:r>
      <w:r w:rsidRPr="00910FEF">
        <w:rPr>
          <w:rFonts w:cs="CG Times"/>
          <w:i/>
          <w:sz w:val="26"/>
          <w:szCs w:val="26"/>
        </w:rPr>
        <w:t>Rok v. Flaherty</w:t>
      </w:r>
      <w:r w:rsidRPr="00910FEF">
        <w:rPr>
          <w:rFonts w:cs="CG Times"/>
          <w:sz w:val="26"/>
          <w:szCs w:val="26"/>
        </w:rPr>
        <w:t xml:space="preserve">, 527 A.2d 211 (Pa. Cmwlth. 1987).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836 A.2d 1053, 1064 (Pa. Cmwlth. 2003) (</w:t>
      </w:r>
      <w:r w:rsidRPr="0053584B">
        <w:rPr>
          <w:rFonts w:cs="CG Times"/>
          <w:i/>
          <w:sz w:val="26"/>
          <w:szCs w:val="26"/>
        </w:rPr>
        <w:t>citing</w:t>
      </w:r>
      <w:r w:rsidRPr="001B6C10">
        <w:rPr>
          <w:rFonts w:cs="CG Times"/>
          <w:i/>
          <w:sz w:val="26"/>
          <w:szCs w:val="26"/>
        </w:rPr>
        <w:t xml:space="preserve"> Boyd v. Ward</w:t>
      </w:r>
      <w:r w:rsidRPr="001B6C10">
        <w:rPr>
          <w:rFonts w:cs="CG Times"/>
          <w:sz w:val="26"/>
          <w:szCs w:val="26"/>
        </w:rPr>
        <w:t>, 802 A.2d 705 (Pa. Cmwlth. 2002)).</w:t>
      </w:r>
    </w:p>
    <w:p w:rsidR="00DB44D9" w:rsidRPr="001B6C10" w:rsidRDefault="00DB44D9" w:rsidP="00DB44D9">
      <w:pPr>
        <w:widowControl/>
        <w:tabs>
          <w:tab w:val="left" w:pos="-720"/>
        </w:tabs>
        <w:suppressAutoHyphens/>
        <w:autoSpaceDE w:val="0"/>
        <w:autoSpaceDN w:val="0"/>
        <w:spacing w:line="360" w:lineRule="auto"/>
        <w:ind w:firstLine="1440"/>
        <w:rPr>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E34602" w:rsidRDefault="001B6C10" w:rsidP="00E34602">
      <w:pPr>
        <w:widowControl/>
        <w:spacing w:line="360" w:lineRule="auto"/>
        <w:rPr>
          <w:sz w:val="26"/>
          <w:szCs w:val="26"/>
        </w:rPr>
      </w:pPr>
      <w:r>
        <w:rPr>
          <w:sz w:val="26"/>
          <w:szCs w:val="26"/>
        </w:rPr>
        <w:tab/>
      </w:r>
      <w:r>
        <w:rPr>
          <w:sz w:val="26"/>
          <w:szCs w:val="26"/>
        </w:rPr>
        <w:tab/>
        <w:t>The ALJ began his</w:t>
      </w:r>
      <w:r w:rsidR="00DB44D9" w:rsidRPr="001B6C10">
        <w:rPr>
          <w:sz w:val="26"/>
          <w:szCs w:val="26"/>
        </w:rPr>
        <w:t xml:space="preserve"> analysis by </w:t>
      </w:r>
      <w:r>
        <w:rPr>
          <w:sz w:val="26"/>
          <w:szCs w:val="26"/>
        </w:rPr>
        <w:t>discussing</w:t>
      </w:r>
      <w:r w:rsidRPr="001B6C10">
        <w:rPr>
          <w:sz w:val="26"/>
          <w:szCs w:val="26"/>
        </w:rPr>
        <w:t xml:space="preserve"> the Co</w:t>
      </w:r>
      <w:r>
        <w:rPr>
          <w:sz w:val="26"/>
          <w:szCs w:val="26"/>
        </w:rPr>
        <w:t xml:space="preserve">mmission’s rules pertaining to preliminary objections, and correctly set forth the procedure to be followed by the Commission </w:t>
      </w:r>
      <w:r w:rsidR="00E34602">
        <w:rPr>
          <w:sz w:val="26"/>
          <w:szCs w:val="26"/>
        </w:rPr>
        <w:t xml:space="preserve">regarding the disposition of preliminary objections as delineated above.  I.D. at 4-5.  The ALJ also noted that the Commission’s Regulation at </w:t>
      </w:r>
      <w:r w:rsidR="00E34602" w:rsidRPr="00E34602">
        <w:rPr>
          <w:sz w:val="26"/>
          <w:szCs w:val="26"/>
        </w:rPr>
        <w:t>52 Pa.</w:t>
      </w:r>
      <w:r w:rsidR="007A186C">
        <w:rPr>
          <w:sz w:val="26"/>
          <w:szCs w:val="26"/>
        </w:rPr>
        <w:t xml:space="preserve"> </w:t>
      </w:r>
      <w:r w:rsidR="00E34602" w:rsidRPr="00E34602">
        <w:rPr>
          <w:sz w:val="26"/>
          <w:szCs w:val="26"/>
        </w:rPr>
        <w:t>Code § 5.21(d) authorizes the Commission to dismiss a complaint if a hearing is not necessary</w:t>
      </w:r>
      <w:r w:rsidR="007A186C">
        <w:rPr>
          <w:sz w:val="26"/>
          <w:szCs w:val="26"/>
        </w:rPr>
        <w:t>,</w:t>
      </w:r>
      <w:r w:rsidR="00E34602" w:rsidRPr="00E34602">
        <w:rPr>
          <w:sz w:val="26"/>
          <w:szCs w:val="26"/>
        </w:rPr>
        <w:t xml:space="preserve"> and authorizes preliminary objections to be filed in response to a complaint.</w:t>
      </w:r>
      <w:r w:rsidR="007A186C">
        <w:rPr>
          <w:sz w:val="26"/>
          <w:szCs w:val="26"/>
        </w:rPr>
        <w:t xml:space="preserve">  </w:t>
      </w:r>
      <w:r w:rsidR="007A186C" w:rsidRPr="007A186C">
        <w:rPr>
          <w:i/>
          <w:sz w:val="26"/>
          <w:szCs w:val="26"/>
        </w:rPr>
        <w:t>Id</w:t>
      </w:r>
      <w:r w:rsidR="007A186C">
        <w:rPr>
          <w:sz w:val="26"/>
          <w:szCs w:val="26"/>
        </w:rPr>
        <w:t>. at 5.</w:t>
      </w:r>
    </w:p>
    <w:p w:rsidR="00853365" w:rsidRDefault="00853365" w:rsidP="00E34602">
      <w:pPr>
        <w:widowControl/>
        <w:spacing w:line="360" w:lineRule="auto"/>
        <w:rPr>
          <w:sz w:val="26"/>
          <w:szCs w:val="26"/>
        </w:rPr>
      </w:pPr>
    </w:p>
    <w:p w:rsidR="00853365" w:rsidRDefault="00A23FC4" w:rsidP="00853365">
      <w:pPr>
        <w:widowControl/>
        <w:spacing w:line="360" w:lineRule="auto"/>
        <w:rPr>
          <w:sz w:val="26"/>
          <w:szCs w:val="26"/>
        </w:rPr>
      </w:pPr>
      <w:r>
        <w:rPr>
          <w:sz w:val="26"/>
          <w:szCs w:val="26"/>
        </w:rPr>
        <w:tab/>
      </w:r>
      <w:r>
        <w:rPr>
          <w:sz w:val="26"/>
          <w:szCs w:val="26"/>
        </w:rPr>
        <w:tab/>
        <w:t>The ALJ then noted</w:t>
      </w:r>
      <w:r w:rsidR="00853365">
        <w:rPr>
          <w:sz w:val="26"/>
          <w:szCs w:val="26"/>
        </w:rPr>
        <w:t xml:space="preserve"> that, “[i]n </w:t>
      </w:r>
      <w:r w:rsidR="00853365" w:rsidRPr="00853365">
        <w:rPr>
          <w:sz w:val="26"/>
          <w:szCs w:val="26"/>
        </w:rPr>
        <w:t>order to be legally sufficient, a complaint must set forth</w:t>
      </w:r>
      <w:r w:rsidR="00853365">
        <w:rPr>
          <w:sz w:val="26"/>
          <w:szCs w:val="26"/>
        </w:rPr>
        <w:t xml:space="preserve"> ‘</w:t>
      </w:r>
      <w:r w:rsidR="00853365" w:rsidRPr="00853365">
        <w:rPr>
          <w:sz w:val="26"/>
          <w:szCs w:val="26"/>
        </w:rPr>
        <w:t>A clear and concise statement of the act or omission being complained of</w:t>
      </w:r>
      <w:r w:rsidR="00C018B6">
        <w:rPr>
          <w:sz w:val="26"/>
          <w:szCs w:val="26"/>
        </w:rPr>
        <w:t> . . .  .</w:t>
      </w:r>
      <w:r w:rsidR="00853365" w:rsidRPr="00853365">
        <w:rPr>
          <w:sz w:val="26"/>
          <w:szCs w:val="26"/>
        </w:rPr>
        <w:t xml:space="preserve">” </w:t>
      </w:r>
      <w:r w:rsidR="00853365" w:rsidRPr="00853365">
        <w:rPr>
          <w:i/>
          <w:sz w:val="26"/>
          <w:szCs w:val="26"/>
        </w:rPr>
        <w:t>Id</w:t>
      </w:r>
      <w:r w:rsidR="00853365">
        <w:rPr>
          <w:sz w:val="26"/>
          <w:szCs w:val="26"/>
        </w:rPr>
        <w:t xml:space="preserve">. at 6 (quoting from </w:t>
      </w:r>
      <w:r w:rsidR="00853365" w:rsidRPr="00853365">
        <w:rPr>
          <w:sz w:val="26"/>
          <w:szCs w:val="26"/>
        </w:rPr>
        <w:t>52 Pa.</w:t>
      </w:r>
      <w:r w:rsidR="00853365">
        <w:rPr>
          <w:sz w:val="26"/>
          <w:szCs w:val="26"/>
        </w:rPr>
        <w:t xml:space="preserve"> </w:t>
      </w:r>
      <w:r w:rsidR="00853365" w:rsidRPr="00853365">
        <w:rPr>
          <w:sz w:val="26"/>
          <w:szCs w:val="26"/>
        </w:rPr>
        <w:t>Code § 5.22(a)(5)</w:t>
      </w:r>
      <w:r w:rsidR="00853365">
        <w:rPr>
          <w:sz w:val="26"/>
          <w:szCs w:val="26"/>
        </w:rPr>
        <w:t>)</w:t>
      </w:r>
      <w:r w:rsidR="00853365" w:rsidRPr="00853365">
        <w:rPr>
          <w:sz w:val="26"/>
          <w:szCs w:val="26"/>
        </w:rPr>
        <w:t xml:space="preserve">.  </w:t>
      </w:r>
      <w:r w:rsidR="00853365">
        <w:rPr>
          <w:sz w:val="26"/>
          <w:szCs w:val="26"/>
        </w:rPr>
        <w:t xml:space="preserve">The ALJ found that PECO did not violate any Statute, Regulation or Commission Order </w:t>
      </w:r>
      <w:r w:rsidR="00853365" w:rsidRPr="00853365">
        <w:rPr>
          <w:sz w:val="26"/>
          <w:szCs w:val="26"/>
        </w:rPr>
        <w:t xml:space="preserve">by installing the smart meter at the Complainant’s residence.  Rather, the </w:t>
      </w:r>
      <w:r w:rsidR="00853365">
        <w:rPr>
          <w:sz w:val="26"/>
          <w:szCs w:val="26"/>
        </w:rPr>
        <w:t>ALJ found that PECO complied with relevant Statutes, R</w:t>
      </w:r>
      <w:r w:rsidR="00853365" w:rsidRPr="00853365">
        <w:rPr>
          <w:sz w:val="26"/>
          <w:szCs w:val="26"/>
        </w:rPr>
        <w:t xml:space="preserve">egulations and </w:t>
      </w:r>
      <w:r w:rsidR="00853365">
        <w:rPr>
          <w:sz w:val="26"/>
          <w:szCs w:val="26"/>
        </w:rPr>
        <w:t>O</w:t>
      </w:r>
      <w:r w:rsidR="00853365" w:rsidRPr="00853365">
        <w:rPr>
          <w:sz w:val="26"/>
          <w:szCs w:val="26"/>
        </w:rPr>
        <w:t>rders.</w:t>
      </w:r>
      <w:r w:rsidR="00853365">
        <w:rPr>
          <w:sz w:val="26"/>
          <w:szCs w:val="26"/>
        </w:rPr>
        <w:t xml:space="preserve">  I.D. at 6.</w:t>
      </w:r>
    </w:p>
    <w:p w:rsidR="00616F2B" w:rsidRDefault="00616F2B" w:rsidP="00853365">
      <w:pPr>
        <w:widowControl/>
        <w:spacing w:line="360" w:lineRule="auto"/>
        <w:rPr>
          <w:sz w:val="26"/>
          <w:szCs w:val="26"/>
        </w:rPr>
      </w:pPr>
    </w:p>
    <w:p w:rsidR="00064F6E" w:rsidRDefault="00616F2B" w:rsidP="000771BB">
      <w:pPr>
        <w:widowControl/>
        <w:spacing w:line="360" w:lineRule="auto"/>
        <w:rPr>
          <w:sz w:val="26"/>
          <w:szCs w:val="26"/>
        </w:rPr>
      </w:pPr>
      <w:r>
        <w:rPr>
          <w:sz w:val="26"/>
          <w:szCs w:val="26"/>
        </w:rPr>
        <w:tab/>
      </w:r>
      <w:r>
        <w:rPr>
          <w:sz w:val="26"/>
          <w:szCs w:val="26"/>
        </w:rPr>
        <w:tab/>
      </w:r>
      <w:r w:rsidR="005F48EE">
        <w:rPr>
          <w:sz w:val="26"/>
          <w:szCs w:val="26"/>
        </w:rPr>
        <w:t xml:space="preserve">As will be discussed, </w:t>
      </w:r>
      <w:r w:rsidR="005F48EE">
        <w:rPr>
          <w:i/>
          <w:sz w:val="26"/>
          <w:szCs w:val="26"/>
        </w:rPr>
        <w:t>infra</w:t>
      </w:r>
      <w:r w:rsidR="005F48EE">
        <w:rPr>
          <w:sz w:val="26"/>
          <w:szCs w:val="26"/>
        </w:rPr>
        <w:t>, t</w:t>
      </w:r>
      <w:r>
        <w:rPr>
          <w:sz w:val="26"/>
          <w:szCs w:val="26"/>
        </w:rPr>
        <w:t xml:space="preserve">he ALJ cited a number of prior cases in which the Commission dismissed complaints opposing the installation of smart meters and the imposition of smart meter charges on the basis of legal insufficiency.  </w:t>
      </w:r>
      <w:r w:rsidR="00265B6D">
        <w:rPr>
          <w:sz w:val="26"/>
          <w:szCs w:val="26"/>
        </w:rPr>
        <w:t xml:space="preserve">The ALJ found that </w:t>
      </w:r>
      <w:r w:rsidR="00265B6D">
        <w:rPr>
          <w:sz w:val="26"/>
          <w:szCs w:val="26"/>
        </w:rPr>
        <w:lastRenderedPageBreak/>
        <w:t xml:space="preserve">these prior Commission decisions are controlling on the outcome of the instant proceeding.  </w:t>
      </w:r>
      <w:r w:rsidR="00064F6E" w:rsidRPr="00616F2B">
        <w:rPr>
          <w:i/>
          <w:sz w:val="26"/>
          <w:szCs w:val="26"/>
        </w:rPr>
        <w:t>Id</w:t>
      </w:r>
      <w:r w:rsidR="00064F6E">
        <w:rPr>
          <w:sz w:val="26"/>
          <w:szCs w:val="26"/>
        </w:rPr>
        <w:t>. at 6</w:t>
      </w:r>
      <w:r w:rsidR="008C06B9">
        <w:rPr>
          <w:sz w:val="26"/>
          <w:szCs w:val="26"/>
        </w:rPr>
        <w:noBreakHyphen/>
      </w:r>
      <w:r w:rsidR="00064F6E">
        <w:rPr>
          <w:sz w:val="26"/>
          <w:szCs w:val="26"/>
        </w:rPr>
        <w:t xml:space="preserve">7.  </w:t>
      </w:r>
    </w:p>
    <w:p w:rsidR="00064F6E" w:rsidRDefault="00064F6E" w:rsidP="000771BB">
      <w:pPr>
        <w:widowControl/>
        <w:spacing w:line="360" w:lineRule="auto"/>
        <w:rPr>
          <w:sz w:val="26"/>
          <w:szCs w:val="26"/>
        </w:rPr>
      </w:pPr>
    </w:p>
    <w:p w:rsidR="000771BB" w:rsidRPr="00A23FC4" w:rsidRDefault="00064F6E" w:rsidP="000771BB">
      <w:pPr>
        <w:widowControl/>
        <w:spacing w:line="360" w:lineRule="auto"/>
        <w:rPr>
          <w:sz w:val="26"/>
          <w:szCs w:val="26"/>
        </w:rPr>
      </w:pPr>
      <w:r>
        <w:rPr>
          <w:sz w:val="26"/>
          <w:szCs w:val="26"/>
        </w:rPr>
        <w:tab/>
      </w:r>
      <w:r>
        <w:rPr>
          <w:sz w:val="26"/>
          <w:szCs w:val="26"/>
        </w:rPr>
        <w:tab/>
      </w:r>
      <w:r w:rsidR="0061753E">
        <w:rPr>
          <w:sz w:val="26"/>
          <w:szCs w:val="26"/>
        </w:rPr>
        <w:t>The ALJ concluded</w:t>
      </w:r>
      <w:r w:rsidR="00265B6D">
        <w:rPr>
          <w:sz w:val="26"/>
          <w:szCs w:val="26"/>
        </w:rPr>
        <w:t xml:space="preserve"> that because Act 129 and related Commission Orders </w:t>
      </w:r>
      <w:r w:rsidR="000771BB">
        <w:rPr>
          <w:sz w:val="26"/>
          <w:szCs w:val="26"/>
        </w:rPr>
        <w:t xml:space="preserve">authorize </w:t>
      </w:r>
      <w:r w:rsidR="00895E83">
        <w:rPr>
          <w:sz w:val="26"/>
          <w:szCs w:val="26"/>
        </w:rPr>
        <w:t xml:space="preserve">smart meter installation and the imposition of a smart meter charge, and do not </w:t>
      </w:r>
      <w:r w:rsidR="000771BB" w:rsidRPr="000771BB">
        <w:rPr>
          <w:sz w:val="26"/>
          <w:szCs w:val="26"/>
        </w:rPr>
        <w:t>allow a customer to opt out of having a smart meter installed,</w:t>
      </w:r>
      <w:r w:rsidR="00895E83">
        <w:rPr>
          <w:sz w:val="26"/>
          <w:szCs w:val="26"/>
        </w:rPr>
        <w:t xml:space="preserve"> the Complainant did</w:t>
      </w:r>
      <w:r w:rsidR="00210E25">
        <w:rPr>
          <w:sz w:val="26"/>
          <w:szCs w:val="26"/>
        </w:rPr>
        <w:t xml:space="preserve"> not identify any act done by PECO that violated</w:t>
      </w:r>
      <w:r w:rsidR="000771BB" w:rsidRPr="000771BB">
        <w:rPr>
          <w:sz w:val="26"/>
          <w:szCs w:val="26"/>
        </w:rPr>
        <w:t xml:space="preserve"> a </w:t>
      </w:r>
      <w:r w:rsidR="00210E25">
        <w:rPr>
          <w:sz w:val="26"/>
          <w:szCs w:val="26"/>
        </w:rPr>
        <w:t xml:space="preserve">Statute, </w:t>
      </w:r>
      <w:r w:rsidR="000771BB" w:rsidRPr="000771BB">
        <w:rPr>
          <w:sz w:val="26"/>
          <w:szCs w:val="26"/>
        </w:rPr>
        <w:t>Commission</w:t>
      </w:r>
      <w:r w:rsidR="00210E25">
        <w:rPr>
          <w:sz w:val="26"/>
          <w:szCs w:val="26"/>
        </w:rPr>
        <w:t xml:space="preserve"> Regulation, or O</w:t>
      </w:r>
      <w:r w:rsidR="0061753E">
        <w:rPr>
          <w:sz w:val="26"/>
          <w:szCs w:val="26"/>
        </w:rPr>
        <w:t xml:space="preserve">rder.  </w:t>
      </w:r>
      <w:r w:rsidR="0061753E" w:rsidRPr="00A23FC4">
        <w:rPr>
          <w:sz w:val="26"/>
          <w:szCs w:val="26"/>
        </w:rPr>
        <w:t>Therefore, the ALJ found the Complaint to be legally insufficient</w:t>
      </w:r>
      <w:r w:rsidRPr="00A23FC4">
        <w:rPr>
          <w:sz w:val="26"/>
          <w:szCs w:val="26"/>
        </w:rPr>
        <w:t xml:space="preserve">.  Accordingly, the ALJ sustained PECO’s Preliminary Objections and dismissed the Complaint with prejudice.  </w:t>
      </w:r>
      <w:r w:rsidRPr="00A23FC4">
        <w:rPr>
          <w:i/>
          <w:sz w:val="26"/>
          <w:szCs w:val="26"/>
        </w:rPr>
        <w:t>Id</w:t>
      </w:r>
      <w:r w:rsidRPr="00A23FC4">
        <w:rPr>
          <w:sz w:val="26"/>
          <w:szCs w:val="26"/>
        </w:rPr>
        <w:t>. at 7-8.</w:t>
      </w:r>
    </w:p>
    <w:p w:rsidR="00DB44D9" w:rsidRPr="00A23FC4" w:rsidRDefault="00DB44D9" w:rsidP="00064F6E">
      <w:pPr>
        <w:widowControl/>
        <w:ind w:right="1440"/>
        <w:rPr>
          <w:sz w:val="26"/>
          <w:szCs w:val="26"/>
        </w:rPr>
      </w:pPr>
    </w:p>
    <w:p w:rsidR="00DB44D9" w:rsidRPr="00A23FC4" w:rsidRDefault="00DB44D9" w:rsidP="0071167F">
      <w:pPr>
        <w:keepNext/>
        <w:widowControl/>
        <w:spacing w:line="360" w:lineRule="auto"/>
        <w:rPr>
          <w:b/>
          <w:sz w:val="26"/>
          <w:szCs w:val="26"/>
        </w:rPr>
      </w:pPr>
      <w:r w:rsidRPr="00A23FC4">
        <w:rPr>
          <w:b/>
          <w:sz w:val="26"/>
          <w:szCs w:val="26"/>
        </w:rPr>
        <w:t>Exceptions and Replies</w:t>
      </w:r>
    </w:p>
    <w:p w:rsidR="00DB44D9" w:rsidRPr="00A23FC4" w:rsidRDefault="00DB44D9" w:rsidP="0071167F">
      <w:pPr>
        <w:keepNext/>
        <w:widowControl/>
        <w:spacing w:line="360" w:lineRule="auto"/>
        <w:rPr>
          <w:sz w:val="26"/>
          <w:szCs w:val="26"/>
        </w:rPr>
      </w:pPr>
    </w:p>
    <w:p w:rsidR="00A23FC4" w:rsidRDefault="00A23FC4" w:rsidP="0071167F">
      <w:pPr>
        <w:keepNext/>
        <w:widowControl/>
        <w:spacing w:line="360" w:lineRule="auto"/>
        <w:rPr>
          <w:sz w:val="26"/>
          <w:szCs w:val="26"/>
        </w:rPr>
      </w:pPr>
      <w:r w:rsidRPr="00A23FC4">
        <w:rPr>
          <w:sz w:val="26"/>
          <w:szCs w:val="26"/>
        </w:rPr>
        <w:tab/>
      </w:r>
      <w:r w:rsidRPr="00A23FC4">
        <w:rPr>
          <w:sz w:val="26"/>
          <w:szCs w:val="26"/>
        </w:rPr>
        <w:tab/>
      </w:r>
      <w:r w:rsidR="0071167F">
        <w:rPr>
          <w:sz w:val="26"/>
          <w:szCs w:val="26"/>
        </w:rPr>
        <w:t>In his Exceptions, the Complainant asserts that he previously requested that PECO pay damages resulting from the sparking of PECO’s faulty AMI meter.  The Complainant also sets forth a list of purported facts that he</w:t>
      </w:r>
      <w:r w:rsidR="00626021">
        <w:rPr>
          <w:sz w:val="26"/>
          <w:szCs w:val="26"/>
        </w:rPr>
        <w:t xml:space="preserve"> contends support his assertion</w:t>
      </w:r>
      <w:r w:rsidR="0071167F">
        <w:rPr>
          <w:sz w:val="26"/>
          <w:szCs w:val="26"/>
        </w:rPr>
        <w:t xml:space="preserve"> that PECO’</w:t>
      </w:r>
      <w:r w:rsidR="00E15860">
        <w:rPr>
          <w:sz w:val="26"/>
          <w:szCs w:val="26"/>
        </w:rPr>
        <w:t>s AMI meter had been installed at the time his meter board was damaged, and therefore, was</w:t>
      </w:r>
      <w:r w:rsidR="0071167F">
        <w:rPr>
          <w:sz w:val="26"/>
          <w:szCs w:val="26"/>
        </w:rPr>
        <w:t xml:space="preserve"> the ca</w:t>
      </w:r>
      <w:r w:rsidR="00E15860">
        <w:rPr>
          <w:sz w:val="26"/>
          <w:szCs w:val="26"/>
        </w:rPr>
        <w:t>use of the damage</w:t>
      </w:r>
      <w:r w:rsidR="0071167F">
        <w:rPr>
          <w:sz w:val="26"/>
          <w:szCs w:val="26"/>
        </w:rPr>
        <w:t xml:space="preserve">.  </w:t>
      </w:r>
      <w:r w:rsidR="00895EED">
        <w:rPr>
          <w:sz w:val="26"/>
          <w:szCs w:val="26"/>
        </w:rPr>
        <w:t xml:space="preserve">Exc. at 1-2.  </w:t>
      </w:r>
      <w:r w:rsidR="0071167F">
        <w:rPr>
          <w:sz w:val="26"/>
          <w:szCs w:val="26"/>
        </w:rPr>
        <w:t xml:space="preserve">The Complainant </w:t>
      </w:r>
      <w:r w:rsidR="00626021">
        <w:rPr>
          <w:sz w:val="26"/>
          <w:szCs w:val="26"/>
        </w:rPr>
        <w:t xml:space="preserve">also </w:t>
      </w:r>
      <w:r w:rsidR="00561065">
        <w:rPr>
          <w:sz w:val="26"/>
          <w:szCs w:val="26"/>
        </w:rPr>
        <w:t>asserts that prior statements by PECO’s legal counsel contradicting the Complainant’s allegation of damage caused by the smart meter were false and unlawful</w:t>
      </w:r>
      <w:r w:rsidR="00895EED">
        <w:rPr>
          <w:sz w:val="26"/>
          <w:szCs w:val="26"/>
        </w:rPr>
        <w:t>, and were made in an attempt by PECO to avoid paying the Complainant for the damaged meter board</w:t>
      </w:r>
      <w:r w:rsidR="00561065">
        <w:rPr>
          <w:sz w:val="26"/>
          <w:szCs w:val="26"/>
        </w:rPr>
        <w:t>.</w:t>
      </w:r>
      <w:r w:rsidR="00895EED">
        <w:rPr>
          <w:sz w:val="26"/>
          <w:szCs w:val="26"/>
        </w:rPr>
        <w:t xml:space="preserve">  </w:t>
      </w:r>
      <w:r w:rsidR="00895EED" w:rsidRPr="00895EED">
        <w:rPr>
          <w:i/>
          <w:sz w:val="26"/>
          <w:szCs w:val="26"/>
        </w:rPr>
        <w:t>Id</w:t>
      </w:r>
      <w:r w:rsidR="00895EED">
        <w:rPr>
          <w:sz w:val="26"/>
          <w:szCs w:val="26"/>
        </w:rPr>
        <w:t>. at 2</w:t>
      </w:r>
      <w:r w:rsidR="00561065">
        <w:rPr>
          <w:sz w:val="26"/>
          <w:szCs w:val="26"/>
        </w:rPr>
        <w:t xml:space="preserve">.  </w:t>
      </w:r>
      <w:r w:rsidR="00343544">
        <w:rPr>
          <w:sz w:val="26"/>
          <w:szCs w:val="26"/>
        </w:rPr>
        <w:t xml:space="preserve">The Complainant requests that the Commission investigate the alleged false statements made by PECO’s counsel, or refer the matter to the Pennsylvania Attorney General.  </w:t>
      </w:r>
      <w:r w:rsidR="00343544" w:rsidRPr="00343544">
        <w:rPr>
          <w:i/>
          <w:sz w:val="26"/>
          <w:szCs w:val="26"/>
        </w:rPr>
        <w:t>Id</w:t>
      </w:r>
      <w:r w:rsidR="00343544">
        <w:rPr>
          <w:sz w:val="26"/>
          <w:szCs w:val="26"/>
        </w:rPr>
        <w:t>. at 2-3.</w:t>
      </w:r>
    </w:p>
    <w:p w:rsidR="00343544" w:rsidRDefault="00343544" w:rsidP="0071167F">
      <w:pPr>
        <w:keepNext/>
        <w:widowControl/>
        <w:spacing w:line="360" w:lineRule="auto"/>
        <w:rPr>
          <w:sz w:val="26"/>
          <w:szCs w:val="26"/>
        </w:rPr>
      </w:pPr>
    </w:p>
    <w:p w:rsidR="00343544" w:rsidRDefault="00343544" w:rsidP="0071167F">
      <w:pPr>
        <w:keepNext/>
        <w:widowControl/>
        <w:spacing w:line="360" w:lineRule="auto"/>
        <w:rPr>
          <w:sz w:val="26"/>
          <w:szCs w:val="26"/>
        </w:rPr>
      </w:pPr>
      <w:r>
        <w:rPr>
          <w:sz w:val="26"/>
          <w:szCs w:val="26"/>
        </w:rPr>
        <w:tab/>
      </w:r>
      <w:r>
        <w:rPr>
          <w:sz w:val="26"/>
          <w:szCs w:val="26"/>
        </w:rPr>
        <w:tab/>
        <w:t xml:space="preserve">In its Replies to the Complainant’s Exceptions, PECO </w:t>
      </w:r>
      <w:r w:rsidR="00E15860">
        <w:rPr>
          <w:sz w:val="26"/>
          <w:szCs w:val="26"/>
        </w:rPr>
        <w:t>contends that the Exceptions should be denied because the Complainant never complained of any damage caused by PECO’s smart meter in his original Complaint, but waited until after PECO filed its Answer to the Complaint to make this allegation.</w:t>
      </w:r>
      <w:r w:rsidR="005418B2">
        <w:rPr>
          <w:sz w:val="26"/>
          <w:szCs w:val="26"/>
        </w:rPr>
        <w:t xml:space="preserve">  PECO further argues that the installation date of the smart meter is of no import to the allegations set forth in the </w:t>
      </w:r>
      <w:r w:rsidR="005418B2">
        <w:rPr>
          <w:sz w:val="26"/>
          <w:szCs w:val="26"/>
        </w:rPr>
        <w:lastRenderedPageBreak/>
        <w:t>Complaint, and that the Complainant has no right under the law to opt out of smart meter installation, regardless of when the smart meter was installed.  R. Exc. at 2.</w:t>
      </w:r>
    </w:p>
    <w:p w:rsidR="002E611B" w:rsidRDefault="002E611B" w:rsidP="0071167F">
      <w:pPr>
        <w:keepNext/>
        <w:widowControl/>
        <w:spacing w:line="360" w:lineRule="auto"/>
        <w:rPr>
          <w:sz w:val="26"/>
          <w:szCs w:val="26"/>
        </w:rPr>
      </w:pPr>
    </w:p>
    <w:p w:rsidR="002E611B" w:rsidRDefault="002E611B" w:rsidP="0071167F">
      <w:pPr>
        <w:keepNext/>
        <w:widowControl/>
        <w:spacing w:line="360" w:lineRule="auto"/>
        <w:rPr>
          <w:sz w:val="26"/>
          <w:szCs w:val="26"/>
        </w:rPr>
      </w:pPr>
      <w:r>
        <w:rPr>
          <w:sz w:val="26"/>
          <w:szCs w:val="26"/>
        </w:rPr>
        <w:tab/>
      </w:r>
      <w:r>
        <w:rPr>
          <w:sz w:val="26"/>
          <w:szCs w:val="26"/>
        </w:rPr>
        <w:tab/>
        <w:t>PECO asserts that the original Complaint clearly and concisely expressed the Complainant’s object</w:t>
      </w:r>
      <w:r w:rsidR="00BA28FA">
        <w:rPr>
          <w:sz w:val="26"/>
          <w:szCs w:val="26"/>
        </w:rPr>
        <w:t>ion</w:t>
      </w:r>
      <w:r>
        <w:rPr>
          <w:sz w:val="26"/>
          <w:szCs w:val="26"/>
        </w:rPr>
        <w:t xml:space="preserve"> to the installation of a smart meter at his home, and the reasons for that objection, but “never once stated that PECO should reimburse him for any alleged damage to a meter board.”  </w:t>
      </w:r>
      <w:r w:rsidRPr="002E611B">
        <w:rPr>
          <w:i/>
          <w:sz w:val="26"/>
          <w:szCs w:val="26"/>
        </w:rPr>
        <w:t>Id</w:t>
      </w:r>
      <w:r>
        <w:rPr>
          <w:sz w:val="26"/>
          <w:szCs w:val="26"/>
        </w:rPr>
        <w:t>. at 3.</w:t>
      </w:r>
      <w:r w:rsidR="00337A1F">
        <w:rPr>
          <w:sz w:val="26"/>
          <w:szCs w:val="26"/>
        </w:rPr>
        <w:t xml:space="preserve">  PECO contends that the Complainant</w:t>
      </w:r>
      <w:r w:rsidR="00B54430">
        <w:rPr>
          <w:sz w:val="26"/>
          <w:szCs w:val="26"/>
        </w:rPr>
        <w:t>’</w:t>
      </w:r>
      <w:r w:rsidR="00337A1F">
        <w:rPr>
          <w:sz w:val="26"/>
          <w:szCs w:val="26"/>
        </w:rPr>
        <w:t>s Exceptions provide no legal justification to support the position presented in his original Complaint that he be permitted to opt out of smart meter installation.  Rather, PECO argues that the basis of the Complainant’s argument set forth in his Exceptions relate</w:t>
      </w:r>
      <w:r w:rsidR="00B54430">
        <w:rPr>
          <w:sz w:val="26"/>
          <w:szCs w:val="26"/>
        </w:rPr>
        <w:t>s</w:t>
      </w:r>
      <w:r w:rsidR="00337A1F">
        <w:rPr>
          <w:sz w:val="26"/>
          <w:szCs w:val="26"/>
        </w:rPr>
        <w:t xml:space="preserve"> to an issue that was never raised in his Complaint.</w:t>
      </w:r>
      <w:r w:rsidR="00DD3482">
        <w:rPr>
          <w:sz w:val="26"/>
          <w:szCs w:val="26"/>
        </w:rPr>
        <w:t xml:space="preserve">  PECO asserts that the Exceptions allege no misstatement of fact or misapplication of the law by the ALJ, and provide no argument whatsoever why the Initial Decisio</w:t>
      </w:r>
      <w:r w:rsidR="00B54430">
        <w:rPr>
          <w:sz w:val="26"/>
          <w:szCs w:val="26"/>
        </w:rPr>
        <w:t>n was incorrect</w:t>
      </w:r>
      <w:r w:rsidR="008C06B9">
        <w:rPr>
          <w:sz w:val="26"/>
          <w:szCs w:val="26"/>
        </w:rPr>
        <w:t>,</w:t>
      </w:r>
      <w:r w:rsidR="00B54430">
        <w:rPr>
          <w:sz w:val="26"/>
          <w:szCs w:val="26"/>
        </w:rPr>
        <w:t xml:space="preserve"> improper, or </w:t>
      </w:r>
      <w:r w:rsidR="00DD3482">
        <w:rPr>
          <w:sz w:val="26"/>
          <w:szCs w:val="26"/>
        </w:rPr>
        <w:t xml:space="preserve">should be overturned.  </w:t>
      </w:r>
      <w:r w:rsidR="00DD3482" w:rsidRPr="00DD3482">
        <w:rPr>
          <w:i/>
          <w:sz w:val="26"/>
          <w:szCs w:val="26"/>
        </w:rPr>
        <w:t>Id</w:t>
      </w:r>
      <w:r w:rsidR="00DD3482">
        <w:rPr>
          <w:sz w:val="26"/>
          <w:szCs w:val="26"/>
        </w:rPr>
        <w:t>. at 4.</w:t>
      </w:r>
    </w:p>
    <w:p w:rsidR="00BA28FA" w:rsidRDefault="00BA28FA" w:rsidP="0071167F">
      <w:pPr>
        <w:keepNext/>
        <w:widowControl/>
        <w:spacing w:line="360" w:lineRule="auto"/>
        <w:rPr>
          <w:sz w:val="26"/>
          <w:szCs w:val="26"/>
        </w:rPr>
      </w:pPr>
    </w:p>
    <w:p w:rsidR="00BA28FA" w:rsidRPr="00A23FC4" w:rsidRDefault="00BA28FA" w:rsidP="0071167F">
      <w:pPr>
        <w:keepNext/>
        <w:widowControl/>
        <w:spacing w:line="360" w:lineRule="auto"/>
        <w:rPr>
          <w:sz w:val="26"/>
          <w:szCs w:val="26"/>
        </w:rPr>
      </w:pPr>
      <w:r>
        <w:rPr>
          <w:sz w:val="26"/>
          <w:szCs w:val="26"/>
        </w:rPr>
        <w:tab/>
      </w:r>
      <w:r>
        <w:rPr>
          <w:sz w:val="26"/>
          <w:szCs w:val="26"/>
        </w:rPr>
        <w:tab/>
        <w:t>PECO submits that the ALJ correctly found that the Company violated no Statute, Regulation or Commission Order by installing a smart meter at the Complainant’s residence, and that the Complainant has no legal right to opt out of smart meter installation.  According to PECO, the ALJ correctly applied the standard for resolving its Preliminary Objections, and properly di</w:t>
      </w:r>
      <w:r w:rsidR="00EC761C">
        <w:rPr>
          <w:sz w:val="26"/>
          <w:szCs w:val="26"/>
        </w:rPr>
        <w:t xml:space="preserve">smissed the Complaint without </w:t>
      </w:r>
      <w:r>
        <w:rPr>
          <w:sz w:val="26"/>
          <w:szCs w:val="26"/>
        </w:rPr>
        <w:t xml:space="preserve">holding a hearing.  PECO concludes that the Complainant’s Exceptions should be dismissed and the Initial Decision should be upheld in its entirety.  </w:t>
      </w:r>
      <w:r w:rsidRPr="00BA28FA">
        <w:rPr>
          <w:i/>
          <w:sz w:val="26"/>
          <w:szCs w:val="26"/>
        </w:rPr>
        <w:t>Id</w:t>
      </w:r>
      <w:r>
        <w:rPr>
          <w:sz w:val="26"/>
          <w:szCs w:val="26"/>
        </w:rPr>
        <w:t>. at 5.</w:t>
      </w:r>
    </w:p>
    <w:p w:rsidR="00DB44D9" w:rsidRPr="00A23FC4" w:rsidRDefault="00DB44D9" w:rsidP="00DB44D9">
      <w:pPr>
        <w:widowControl/>
        <w:spacing w:line="360" w:lineRule="auto"/>
        <w:ind w:firstLine="720"/>
        <w:rPr>
          <w:sz w:val="26"/>
          <w:szCs w:val="26"/>
        </w:rPr>
      </w:pPr>
    </w:p>
    <w:p w:rsidR="00DB44D9" w:rsidRPr="00C53C04" w:rsidRDefault="00DB44D9" w:rsidP="00DB44D9">
      <w:pPr>
        <w:keepNext/>
        <w:widowControl/>
        <w:spacing w:line="360" w:lineRule="auto"/>
        <w:ind w:firstLine="720"/>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1D5249" w:rsidRDefault="00DB44D9" w:rsidP="00A072CB">
      <w:pPr>
        <w:widowControl/>
        <w:spacing w:line="360" w:lineRule="auto"/>
        <w:ind w:firstLine="1440"/>
        <w:rPr>
          <w:sz w:val="26"/>
          <w:szCs w:val="26"/>
        </w:rPr>
      </w:pPr>
      <w:r w:rsidRPr="00C53C04">
        <w:rPr>
          <w:sz w:val="26"/>
          <w:szCs w:val="26"/>
        </w:rPr>
        <w:t>Based upon ou</w:t>
      </w:r>
      <w:r w:rsidR="00C53C04" w:rsidRPr="00C53C04">
        <w:rPr>
          <w:sz w:val="26"/>
          <w:szCs w:val="26"/>
        </w:rPr>
        <w:t xml:space="preserve">r review of the Complainant’s Exceptions, </w:t>
      </w:r>
      <w:r w:rsidR="00A072CB">
        <w:rPr>
          <w:sz w:val="26"/>
          <w:szCs w:val="26"/>
        </w:rPr>
        <w:t>we find that they lack merit</w:t>
      </w:r>
      <w:r w:rsidR="00C53C04" w:rsidRPr="00A072CB">
        <w:rPr>
          <w:sz w:val="26"/>
          <w:szCs w:val="26"/>
        </w:rPr>
        <w:t xml:space="preserve"> and we will deny them.</w:t>
      </w:r>
      <w:r w:rsidRPr="00A072CB">
        <w:rPr>
          <w:sz w:val="26"/>
          <w:szCs w:val="26"/>
        </w:rPr>
        <w:t xml:space="preserve"> </w:t>
      </w:r>
      <w:r w:rsidR="00C53C04" w:rsidRPr="00A072CB">
        <w:rPr>
          <w:sz w:val="26"/>
          <w:szCs w:val="26"/>
        </w:rPr>
        <w:t xml:space="preserve"> </w:t>
      </w:r>
      <w:r w:rsidR="00D76DEC">
        <w:rPr>
          <w:sz w:val="26"/>
          <w:szCs w:val="26"/>
        </w:rPr>
        <w:t>The Exceptions do</w:t>
      </w:r>
      <w:r w:rsidR="00C53C04" w:rsidRPr="00A072CB">
        <w:rPr>
          <w:sz w:val="26"/>
          <w:szCs w:val="26"/>
        </w:rPr>
        <w:t xml:space="preserve"> not allege that the ALJ committed</w:t>
      </w:r>
      <w:r w:rsidRPr="00A072CB">
        <w:rPr>
          <w:sz w:val="26"/>
          <w:szCs w:val="26"/>
        </w:rPr>
        <w:t xml:space="preserve"> an</w:t>
      </w:r>
      <w:r w:rsidR="00C53C04" w:rsidRPr="00A072CB">
        <w:rPr>
          <w:sz w:val="26"/>
          <w:szCs w:val="26"/>
        </w:rPr>
        <w:t>y</w:t>
      </w:r>
      <w:r w:rsidRPr="00A072CB">
        <w:rPr>
          <w:sz w:val="26"/>
          <w:szCs w:val="26"/>
        </w:rPr>
        <w:t xml:space="preserve"> error of law or abused his discretion in any manner</w:t>
      </w:r>
      <w:r w:rsidR="00D76DEC">
        <w:rPr>
          <w:sz w:val="26"/>
          <w:szCs w:val="26"/>
        </w:rPr>
        <w:t>, and do not appear to take issue with any of the ALJ’s Findings of Fact or</w:t>
      </w:r>
      <w:r w:rsidR="005C1E9B">
        <w:rPr>
          <w:sz w:val="26"/>
          <w:szCs w:val="26"/>
        </w:rPr>
        <w:t xml:space="preserve"> Conclusions of Law.  Moreover,</w:t>
      </w:r>
      <w:r w:rsidR="00D76DEC">
        <w:rPr>
          <w:sz w:val="26"/>
          <w:szCs w:val="26"/>
        </w:rPr>
        <w:t xml:space="preserve"> the </w:t>
      </w:r>
      <w:r w:rsidR="00D76DEC">
        <w:rPr>
          <w:sz w:val="26"/>
          <w:szCs w:val="26"/>
        </w:rPr>
        <w:lastRenderedPageBreak/>
        <w:t>Exceptions</w:t>
      </w:r>
      <w:r w:rsidR="005C1E9B">
        <w:rPr>
          <w:sz w:val="26"/>
          <w:szCs w:val="26"/>
        </w:rPr>
        <w:t xml:space="preserve"> offer no opposition to the ALJ’s analysis of</w:t>
      </w:r>
      <w:r w:rsidR="001D5249">
        <w:rPr>
          <w:sz w:val="26"/>
          <w:szCs w:val="26"/>
        </w:rPr>
        <w:t xml:space="preserve"> PECO’s Preliminary Objections, and </w:t>
      </w:r>
      <w:r w:rsidR="00D76DEC">
        <w:rPr>
          <w:sz w:val="26"/>
          <w:szCs w:val="26"/>
        </w:rPr>
        <w:t>provide no argument whatsoever in support of the allegations</w:t>
      </w:r>
      <w:r w:rsidR="001D5249">
        <w:rPr>
          <w:sz w:val="26"/>
          <w:szCs w:val="26"/>
        </w:rPr>
        <w:t xml:space="preserve"> originally</w:t>
      </w:r>
      <w:r w:rsidR="00D76DEC">
        <w:rPr>
          <w:sz w:val="26"/>
          <w:szCs w:val="26"/>
        </w:rPr>
        <w:t xml:space="preserve"> set forth in the Complaint</w:t>
      </w:r>
      <w:r w:rsidR="001D5249">
        <w:rPr>
          <w:sz w:val="26"/>
          <w:szCs w:val="26"/>
        </w:rPr>
        <w:t xml:space="preserve">.  Rather, the Exceptions focus solely on the matter of damage to the Complainant’s meter </w:t>
      </w:r>
      <w:r w:rsidR="00AC5275">
        <w:rPr>
          <w:sz w:val="26"/>
          <w:szCs w:val="26"/>
        </w:rPr>
        <w:t xml:space="preserve">mounting </w:t>
      </w:r>
      <w:r w:rsidR="001D5249">
        <w:rPr>
          <w:sz w:val="26"/>
          <w:szCs w:val="26"/>
        </w:rPr>
        <w:t>board allegedly caused by the smart meter installed by PECO at the Complainant’s residence, a</w:t>
      </w:r>
      <w:r w:rsidR="00067F23">
        <w:rPr>
          <w:sz w:val="26"/>
          <w:szCs w:val="26"/>
        </w:rPr>
        <w:t xml:space="preserve">n allegation that was not </w:t>
      </w:r>
      <w:r w:rsidR="00421331">
        <w:rPr>
          <w:sz w:val="26"/>
          <w:szCs w:val="26"/>
        </w:rPr>
        <w:t>raised</w:t>
      </w:r>
      <w:r w:rsidR="001D5249">
        <w:rPr>
          <w:sz w:val="26"/>
          <w:szCs w:val="26"/>
        </w:rPr>
        <w:t xml:space="preserve"> in the original Complaint</w:t>
      </w:r>
      <w:r w:rsidR="00421331">
        <w:rPr>
          <w:sz w:val="26"/>
          <w:szCs w:val="26"/>
        </w:rPr>
        <w:t xml:space="preserve">.  </w:t>
      </w:r>
      <w:r w:rsidR="00F1361C">
        <w:rPr>
          <w:sz w:val="26"/>
          <w:szCs w:val="26"/>
        </w:rPr>
        <w:t xml:space="preserve">Thus, we find nothing in the Complainant’s Exceptions that would persuade us </w:t>
      </w:r>
      <w:r w:rsidR="00067F23">
        <w:rPr>
          <w:sz w:val="26"/>
          <w:szCs w:val="26"/>
        </w:rPr>
        <w:t>to reverse the I</w:t>
      </w:r>
      <w:r w:rsidR="00B3527D">
        <w:rPr>
          <w:sz w:val="26"/>
          <w:szCs w:val="26"/>
        </w:rPr>
        <w:t>nitial Decision</w:t>
      </w:r>
      <w:r w:rsidR="00067F23">
        <w:rPr>
          <w:sz w:val="26"/>
          <w:szCs w:val="26"/>
        </w:rPr>
        <w:t>.</w:t>
      </w:r>
    </w:p>
    <w:p w:rsidR="001D5249" w:rsidRDefault="001D5249" w:rsidP="00F1361C">
      <w:pPr>
        <w:widowControl/>
        <w:spacing w:line="360" w:lineRule="auto"/>
        <w:rPr>
          <w:sz w:val="26"/>
          <w:szCs w:val="26"/>
        </w:rPr>
      </w:pPr>
    </w:p>
    <w:p w:rsidR="004778D4" w:rsidRDefault="00F1361C" w:rsidP="004778D4">
      <w:pPr>
        <w:widowControl/>
        <w:spacing w:line="360" w:lineRule="auto"/>
        <w:rPr>
          <w:sz w:val="26"/>
          <w:szCs w:val="26"/>
        </w:rPr>
      </w:pPr>
      <w:r>
        <w:rPr>
          <w:sz w:val="26"/>
          <w:szCs w:val="26"/>
        </w:rPr>
        <w:tab/>
      </w:r>
      <w:r>
        <w:rPr>
          <w:sz w:val="26"/>
          <w:szCs w:val="26"/>
        </w:rPr>
        <w:tab/>
        <w:t xml:space="preserve">We agree with the ALJ that PECO did not violate any Statute, Regulation or </w:t>
      </w:r>
      <w:r w:rsidRPr="00AB6DCF">
        <w:rPr>
          <w:sz w:val="26"/>
          <w:szCs w:val="26"/>
        </w:rPr>
        <w:t>Commission Order by installing the smart meter at the Complainant’s residence.  Rather, as the ALJ found, PECO</w:t>
      </w:r>
      <w:r w:rsidR="00BA6FF8" w:rsidRPr="00AB6DCF">
        <w:rPr>
          <w:sz w:val="26"/>
          <w:szCs w:val="26"/>
        </w:rPr>
        <w:t>’s installation of a smart meter</w:t>
      </w:r>
      <w:r w:rsidRPr="00AB6DCF">
        <w:rPr>
          <w:sz w:val="26"/>
          <w:szCs w:val="26"/>
        </w:rPr>
        <w:t xml:space="preserve"> complied with the relevant provisions of Act 129 and </w:t>
      </w:r>
      <w:r w:rsidR="0079128C" w:rsidRPr="00AB6DCF">
        <w:rPr>
          <w:sz w:val="26"/>
          <w:szCs w:val="26"/>
        </w:rPr>
        <w:t>related Commission Orders</w:t>
      </w:r>
      <w:r w:rsidR="00AB6DCF" w:rsidRPr="00AB6DCF">
        <w:rPr>
          <w:sz w:val="26"/>
          <w:szCs w:val="26"/>
        </w:rPr>
        <w:t xml:space="preserve"> that authorize the electric utilities to develop and implement a smart meter procurement and installation plan, and impose a smart meter charge on its customers to pay for that development, implementation, </w:t>
      </w:r>
      <w:r w:rsidR="00AB6DCF">
        <w:rPr>
          <w:sz w:val="26"/>
          <w:szCs w:val="26"/>
        </w:rPr>
        <w:t>p</w:t>
      </w:r>
      <w:r w:rsidR="00AB6DCF" w:rsidRPr="00AB6DCF">
        <w:rPr>
          <w:sz w:val="26"/>
          <w:szCs w:val="26"/>
        </w:rPr>
        <w:t>rocurement and installation</w:t>
      </w:r>
      <w:r w:rsidR="0079128C" w:rsidRPr="00AB6DCF">
        <w:rPr>
          <w:sz w:val="26"/>
          <w:szCs w:val="26"/>
        </w:rPr>
        <w:t xml:space="preserve">.  </w:t>
      </w:r>
      <w:r w:rsidR="00AB6DCF">
        <w:rPr>
          <w:sz w:val="26"/>
          <w:szCs w:val="26"/>
        </w:rPr>
        <w:t xml:space="preserve">I.D. at 7.  </w:t>
      </w:r>
      <w:r w:rsidR="00AB6DCF" w:rsidRPr="00AB6DCF">
        <w:rPr>
          <w:sz w:val="26"/>
          <w:szCs w:val="26"/>
        </w:rPr>
        <w:t xml:space="preserve">Additionally, </w:t>
      </w:r>
      <w:r w:rsidR="00AB6DCF">
        <w:rPr>
          <w:sz w:val="26"/>
          <w:szCs w:val="26"/>
        </w:rPr>
        <w:t xml:space="preserve">the ALJ concluded that </w:t>
      </w:r>
      <w:r w:rsidR="00314072" w:rsidRPr="00AB6DCF">
        <w:rPr>
          <w:sz w:val="26"/>
          <w:szCs w:val="26"/>
        </w:rPr>
        <w:t>there is no provision</w:t>
      </w:r>
      <w:r w:rsidR="0079128C" w:rsidRPr="00AB6DCF">
        <w:rPr>
          <w:sz w:val="26"/>
          <w:szCs w:val="26"/>
        </w:rPr>
        <w:t xml:space="preserve"> in the Code, the Commission’s Regulations or Commission Orders that permit</w:t>
      </w:r>
      <w:r w:rsidR="00AB6DCF">
        <w:rPr>
          <w:sz w:val="26"/>
          <w:szCs w:val="26"/>
        </w:rPr>
        <w:t>s</w:t>
      </w:r>
      <w:r w:rsidR="0079128C" w:rsidRPr="00AB6DCF">
        <w:rPr>
          <w:sz w:val="26"/>
          <w:szCs w:val="26"/>
        </w:rPr>
        <w:t xml:space="preserve"> a customer to opt out of having</w:t>
      </w:r>
      <w:r w:rsidR="00CC7D8C" w:rsidRPr="00AB6DCF">
        <w:rPr>
          <w:sz w:val="26"/>
          <w:szCs w:val="26"/>
        </w:rPr>
        <w:t xml:space="preserve"> a smart meter installed on his or her</w:t>
      </w:r>
      <w:r w:rsidR="0079128C" w:rsidRPr="00AB6DCF">
        <w:rPr>
          <w:sz w:val="26"/>
          <w:szCs w:val="26"/>
        </w:rPr>
        <w:t xml:space="preserve"> premises.</w:t>
      </w:r>
      <w:r w:rsidR="00AB6DCF">
        <w:rPr>
          <w:sz w:val="26"/>
          <w:szCs w:val="26"/>
        </w:rPr>
        <w:t xml:space="preserve">  </w:t>
      </w:r>
      <w:r w:rsidR="00AB6DCF">
        <w:rPr>
          <w:i/>
          <w:sz w:val="26"/>
          <w:szCs w:val="26"/>
        </w:rPr>
        <w:t>Id.</w:t>
      </w:r>
      <w:r w:rsidR="00AB6DCF">
        <w:rPr>
          <w:sz w:val="26"/>
          <w:szCs w:val="26"/>
        </w:rPr>
        <w:t xml:space="preserve"> </w:t>
      </w:r>
      <w:r w:rsidR="00067F23" w:rsidRPr="00AB6DCF">
        <w:rPr>
          <w:sz w:val="26"/>
          <w:szCs w:val="26"/>
        </w:rPr>
        <w:t xml:space="preserve"> </w:t>
      </w:r>
      <w:r w:rsidR="00AB6DCF">
        <w:rPr>
          <w:sz w:val="26"/>
          <w:szCs w:val="26"/>
        </w:rPr>
        <w:t xml:space="preserve">In this regard, the </w:t>
      </w:r>
      <w:r w:rsidR="005F48EE" w:rsidRPr="00AB6DCF">
        <w:rPr>
          <w:sz w:val="26"/>
          <w:szCs w:val="26"/>
        </w:rPr>
        <w:t xml:space="preserve">ALJ </w:t>
      </w:r>
      <w:r w:rsidR="004778D4" w:rsidRPr="00AB6DCF">
        <w:rPr>
          <w:sz w:val="26"/>
          <w:szCs w:val="26"/>
        </w:rPr>
        <w:t xml:space="preserve">appropriately </w:t>
      </w:r>
      <w:r w:rsidR="005F48EE" w:rsidRPr="00AB6DCF">
        <w:rPr>
          <w:sz w:val="26"/>
          <w:szCs w:val="26"/>
        </w:rPr>
        <w:t xml:space="preserve">cited </w:t>
      </w:r>
      <w:r w:rsidR="00AB6DCF">
        <w:rPr>
          <w:sz w:val="26"/>
          <w:szCs w:val="26"/>
        </w:rPr>
        <w:t xml:space="preserve">to </w:t>
      </w:r>
      <w:r w:rsidR="005F48EE" w:rsidRPr="00AB6DCF">
        <w:rPr>
          <w:sz w:val="26"/>
          <w:szCs w:val="26"/>
        </w:rPr>
        <w:t>the following relevant cases for the</w:t>
      </w:r>
      <w:r w:rsidR="005F48EE">
        <w:rPr>
          <w:sz w:val="26"/>
          <w:szCs w:val="26"/>
        </w:rPr>
        <w:t xml:space="preserve"> proposition that </w:t>
      </w:r>
      <w:r w:rsidR="004778D4">
        <w:rPr>
          <w:sz w:val="26"/>
          <w:szCs w:val="26"/>
        </w:rPr>
        <w:t>Act 129 of 2008</w:t>
      </w:r>
      <w:r w:rsidR="004778D4" w:rsidRPr="004778D4">
        <w:rPr>
          <w:sz w:val="26"/>
          <w:szCs w:val="26"/>
        </w:rPr>
        <w:t xml:space="preserve"> </w:t>
      </w:r>
      <w:r w:rsidR="004778D4">
        <w:rPr>
          <w:sz w:val="26"/>
          <w:szCs w:val="26"/>
        </w:rPr>
        <w:t>and the Commission’s Order</w:t>
      </w:r>
      <w:r w:rsidR="002E0910">
        <w:rPr>
          <w:sz w:val="26"/>
          <w:szCs w:val="26"/>
        </w:rPr>
        <w:t>s</w:t>
      </w:r>
      <w:r w:rsidR="004778D4">
        <w:rPr>
          <w:sz w:val="26"/>
          <w:szCs w:val="26"/>
        </w:rPr>
        <w:t xml:space="preserve"> </w:t>
      </w:r>
      <w:r w:rsidR="002E0910">
        <w:rPr>
          <w:sz w:val="26"/>
          <w:szCs w:val="26"/>
        </w:rPr>
        <w:t xml:space="preserve">permit electric companies to install and charge customers for smart meters and </w:t>
      </w:r>
      <w:r w:rsidR="004778D4" w:rsidRPr="004778D4">
        <w:rPr>
          <w:sz w:val="26"/>
          <w:szCs w:val="26"/>
        </w:rPr>
        <w:t>do not allow a customer to opt out of having a smart meter installed</w:t>
      </w:r>
      <w:r w:rsidR="004778D4">
        <w:rPr>
          <w:sz w:val="26"/>
          <w:szCs w:val="26"/>
        </w:rPr>
        <w:t>:</w:t>
      </w:r>
    </w:p>
    <w:p w:rsidR="004778D4" w:rsidRDefault="004778D4" w:rsidP="004778D4">
      <w:pPr>
        <w:widowControl/>
        <w:spacing w:line="360" w:lineRule="auto"/>
        <w:rPr>
          <w:sz w:val="26"/>
          <w:szCs w:val="26"/>
        </w:rPr>
      </w:pPr>
    </w:p>
    <w:p w:rsidR="004778D4" w:rsidRPr="004778D4" w:rsidRDefault="004778D4" w:rsidP="004778D4">
      <w:pPr>
        <w:widowControl/>
        <w:tabs>
          <w:tab w:val="left" w:pos="-720"/>
        </w:tabs>
        <w:suppressAutoHyphens/>
        <w:autoSpaceDE w:val="0"/>
        <w:autoSpaceDN w:val="0"/>
        <w:ind w:left="1440" w:right="1440" w:firstLine="720"/>
        <w:rPr>
          <w:sz w:val="26"/>
          <w:szCs w:val="26"/>
        </w:rPr>
      </w:pPr>
      <w:r w:rsidRPr="004778D4">
        <w:rPr>
          <w:sz w:val="26"/>
          <w:szCs w:val="26"/>
        </w:rPr>
        <w:t xml:space="preserve">In her Initial Decision in </w:t>
      </w:r>
      <w:r w:rsidRPr="004778D4">
        <w:rPr>
          <w:sz w:val="26"/>
          <w:szCs w:val="26"/>
          <w:u w:val="single"/>
        </w:rPr>
        <w:t>Negley v. Metropolitan Edison Company</w:t>
      </w:r>
      <w:r w:rsidRPr="004778D4">
        <w:rPr>
          <w:sz w:val="26"/>
          <w:szCs w:val="26"/>
        </w:rPr>
        <w:t>, Docket No. C</w:t>
      </w:r>
      <w:r w:rsidRPr="004778D4">
        <w:rPr>
          <w:sz w:val="26"/>
          <w:szCs w:val="26"/>
        </w:rPr>
        <w:noBreakHyphen/>
        <w:t xml:space="preserve">2010-2205305 (Initial Decision issued January 3, 2011), Administrative Law Judge (ALJ) Susan D. Colwell dismissed a complaint opposing installation of smart meters for legal insufficiency.  ALJ Colwell concluded that Act 129 of 2008 authorized the installation of smart meters by EDCs.  ALJ Colwell held that the Commission’s orders approving the EDC’s smart meter plans did not exempt any customers from the smart meter plans or from paying the charges associated with the smart </w:t>
      </w:r>
      <w:r w:rsidRPr="004778D4">
        <w:rPr>
          <w:sz w:val="26"/>
          <w:szCs w:val="26"/>
        </w:rPr>
        <w:lastRenderedPageBreak/>
        <w:t>meter plans.  In addition, she held that Act 129 of 2008 did not empower the Commission to allow customers to opt out of having smart meters installed at their residences.  By Commission final order entered March 3, 2011, ALJ Colwell’s Initial Decision became final without further Commission action.</w:t>
      </w:r>
    </w:p>
    <w:p w:rsidR="004778D4" w:rsidRPr="004778D4" w:rsidRDefault="004778D4" w:rsidP="004778D4">
      <w:pPr>
        <w:widowControl/>
        <w:tabs>
          <w:tab w:val="left" w:pos="-720"/>
        </w:tabs>
        <w:suppressAutoHyphens/>
        <w:autoSpaceDE w:val="0"/>
        <w:autoSpaceDN w:val="0"/>
        <w:ind w:left="1440" w:right="1440"/>
        <w:rPr>
          <w:sz w:val="26"/>
          <w:szCs w:val="26"/>
        </w:rPr>
      </w:pPr>
    </w:p>
    <w:p w:rsidR="004778D4" w:rsidRPr="004778D4" w:rsidRDefault="004778D4" w:rsidP="004778D4">
      <w:pPr>
        <w:widowControl/>
        <w:tabs>
          <w:tab w:val="left" w:pos="-720"/>
        </w:tabs>
        <w:suppressAutoHyphens/>
        <w:autoSpaceDE w:val="0"/>
        <w:autoSpaceDN w:val="0"/>
        <w:ind w:left="1440" w:right="1440" w:firstLine="720"/>
        <w:rPr>
          <w:sz w:val="26"/>
          <w:szCs w:val="26"/>
        </w:rPr>
      </w:pPr>
      <w:r w:rsidRPr="004778D4">
        <w:rPr>
          <w:sz w:val="26"/>
          <w:szCs w:val="26"/>
        </w:rPr>
        <w:t xml:space="preserve">In </w:t>
      </w:r>
      <w:r w:rsidRPr="004778D4">
        <w:rPr>
          <w:sz w:val="26"/>
          <w:szCs w:val="26"/>
          <w:u w:val="single"/>
        </w:rPr>
        <w:t>Lutherschmidt v. Metropolitan Edison Company</w:t>
      </w:r>
      <w:r w:rsidRPr="004778D4">
        <w:rPr>
          <w:sz w:val="26"/>
          <w:szCs w:val="26"/>
        </w:rPr>
        <w:t>, Docket No. C</w:t>
      </w:r>
      <w:r w:rsidRPr="004778D4">
        <w:rPr>
          <w:sz w:val="26"/>
          <w:szCs w:val="26"/>
        </w:rPr>
        <w:noBreakHyphen/>
        <w:t>2010</w:t>
      </w:r>
      <w:r w:rsidRPr="004778D4">
        <w:rPr>
          <w:sz w:val="26"/>
          <w:szCs w:val="26"/>
        </w:rPr>
        <w:noBreakHyphen/>
        <w:t>2200353 (Initial Decision issued January 31, 2011), ALJ Wayne L. Weismandel dismissed a complaint opposing installation of smart meters for legal insufficiency, adopting ALJ Colwell’s reasoning.  By Commission final order entered March</w:t>
      </w:r>
      <w:r w:rsidRPr="007F038D">
        <w:rPr>
          <w:sz w:val="26"/>
          <w:szCs w:val="26"/>
        </w:rPr>
        <w:t> </w:t>
      </w:r>
      <w:r w:rsidRPr="004778D4">
        <w:rPr>
          <w:sz w:val="26"/>
          <w:szCs w:val="26"/>
        </w:rPr>
        <w:t xml:space="preserve">25, 2011, ALJ Weismandel’s Initial Decision became final without further Commission action.  The Commission has continued to uphold installation of smart meters and imposition of smart meter charges on customers’ bills by dismissing complaints opposing installation of smart meters and imposition of smart meter charges on the basis of legal insufficiency.  </w:t>
      </w:r>
      <w:r w:rsidRPr="004778D4">
        <w:rPr>
          <w:sz w:val="26"/>
          <w:szCs w:val="26"/>
          <w:u w:val="single"/>
        </w:rPr>
        <w:t>Corbett v. Pennsylvania Power Company</w:t>
      </w:r>
      <w:r w:rsidRPr="004778D4">
        <w:rPr>
          <w:sz w:val="26"/>
          <w:szCs w:val="26"/>
        </w:rPr>
        <w:t xml:space="preserve">, Docket No. C-2011-2219898 (Order entered May 27, 2011); </w:t>
      </w:r>
      <w:r w:rsidRPr="004778D4">
        <w:rPr>
          <w:sz w:val="26"/>
          <w:szCs w:val="26"/>
          <w:u w:val="single"/>
        </w:rPr>
        <w:t>Jones v. Metropolitan Edison Company</w:t>
      </w:r>
      <w:r w:rsidRPr="004778D4">
        <w:rPr>
          <w:sz w:val="26"/>
          <w:szCs w:val="26"/>
        </w:rPr>
        <w:t>, Docket No. C</w:t>
      </w:r>
      <w:r w:rsidRPr="004778D4">
        <w:rPr>
          <w:sz w:val="26"/>
          <w:szCs w:val="26"/>
        </w:rPr>
        <w:noBreakHyphen/>
        <w:t xml:space="preserve">2011-2224380 (Order entered June 28, 2011); </w:t>
      </w:r>
      <w:r w:rsidRPr="004778D4">
        <w:rPr>
          <w:sz w:val="26"/>
          <w:szCs w:val="26"/>
          <w:u w:val="single"/>
        </w:rPr>
        <w:t>Griffin v. Metropolitan Edison Company</w:t>
      </w:r>
      <w:r w:rsidRPr="004778D4">
        <w:rPr>
          <w:sz w:val="26"/>
          <w:szCs w:val="26"/>
        </w:rPr>
        <w:t xml:space="preserve">, Docket No. C-2012-2300172 (Order entered July 31, 2012); </w:t>
      </w:r>
      <w:r w:rsidRPr="004778D4">
        <w:rPr>
          <w:sz w:val="26"/>
          <w:szCs w:val="26"/>
          <w:u w:val="single"/>
        </w:rPr>
        <w:t>Brake v. West Penn Power Company</w:t>
      </w:r>
      <w:r w:rsidRPr="004778D4">
        <w:rPr>
          <w:sz w:val="26"/>
          <w:szCs w:val="26"/>
        </w:rPr>
        <w:t xml:space="preserve">, Docket No. C-2013-2367308 (Order entered November 14, 2013); </w:t>
      </w:r>
      <w:r w:rsidRPr="004778D4">
        <w:rPr>
          <w:sz w:val="26"/>
          <w:szCs w:val="26"/>
          <w:u w:val="single"/>
        </w:rPr>
        <w:t>Drake v. Pennsylvania Electric Company</w:t>
      </w:r>
      <w:r w:rsidRPr="004778D4">
        <w:rPr>
          <w:sz w:val="26"/>
          <w:szCs w:val="26"/>
        </w:rPr>
        <w:t xml:space="preserve">, Docket No. C-2014-2413771 (Order entered June 12, 2014); </w:t>
      </w:r>
      <w:r w:rsidRPr="004778D4">
        <w:rPr>
          <w:sz w:val="26"/>
          <w:szCs w:val="26"/>
          <w:u w:val="single"/>
        </w:rPr>
        <w:t>Efaw v West Penn Power Company</w:t>
      </w:r>
      <w:r w:rsidRPr="004778D4">
        <w:rPr>
          <w:sz w:val="26"/>
          <w:szCs w:val="26"/>
        </w:rPr>
        <w:t>, Docket No. C-2014-2413744 (Order entered June 12, 2014).</w:t>
      </w:r>
    </w:p>
    <w:p w:rsidR="004778D4" w:rsidRDefault="004778D4" w:rsidP="004778D4">
      <w:pPr>
        <w:widowControl/>
        <w:spacing w:line="360" w:lineRule="auto"/>
        <w:rPr>
          <w:sz w:val="26"/>
          <w:szCs w:val="26"/>
        </w:rPr>
      </w:pPr>
    </w:p>
    <w:p w:rsidR="00F1361C" w:rsidRDefault="007F038D" w:rsidP="00F1361C">
      <w:pPr>
        <w:widowControl/>
        <w:spacing w:line="360" w:lineRule="auto"/>
        <w:rPr>
          <w:sz w:val="26"/>
          <w:szCs w:val="26"/>
        </w:rPr>
      </w:pPr>
      <w:r>
        <w:rPr>
          <w:i/>
          <w:sz w:val="26"/>
          <w:szCs w:val="26"/>
        </w:rPr>
        <w:t>Id.</w:t>
      </w:r>
      <w:r w:rsidR="004778D4">
        <w:rPr>
          <w:sz w:val="26"/>
          <w:szCs w:val="26"/>
        </w:rPr>
        <w:t xml:space="preserve"> at </w:t>
      </w:r>
      <w:r w:rsidR="00AB6DCF">
        <w:rPr>
          <w:sz w:val="26"/>
          <w:szCs w:val="26"/>
        </w:rPr>
        <w:t xml:space="preserve">6-7.  In light of the above, </w:t>
      </w:r>
      <w:r w:rsidR="00067F23">
        <w:rPr>
          <w:sz w:val="26"/>
          <w:szCs w:val="26"/>
        </w:rPr>
        <w:t>we agree with the ALJ’s conclusion that the Complaint was legally insufficient</w:t>
      </w:r>
      <w:r>
        <w:rPr>
          <w:sz w:val="26"/>
          <w:szCs w:val="26"/>
        </w:rPr>
        <w:t xml:space="preserve"> and was properly dismissed based on </w:t>
      </w:r>
      <w:r w:rsidR="00067F23">
        <w:rPr>
          <w:sz w:val="26"/>
          <w:szCs w:val="26"/>
        </w:rPr>
        <w:t>PECO’s Preliminary Objections</w:t>
      </w:r>
      <w:r>
        <w:rPr>
          <w:sz w:val="26"/>
          <w:szCs w:val="26"/>
        </w:rPr>
        <w:t>.</w:t>
      </w:r>
    </w:p>
    <w:p w:rsidR="0061766D" w:rsidRDefault="0061766D" w:rsidP="00F1361C">
      <w:pPr>
        <w:widowControl/>
        <w:spacing w:line="360" w:lineRule="auto"/>
        <w:rPr>
          <w:sz w:val="26"/>
          <w:szCs w:val="26"/>
        </w:rPr>
      </w:pPr>
    </w:p>
    <w:p w:rsidR="0061766D" w:rsidRPr="00825C77" w:rsidRDefault="0061766D" w:rsidP="0061766D">
      <w:pPr>
        <w:widowControl/>
        <w:spacing w:line="360" w:lineRule="auto"/>
        <w:ind w:firstLine="1440"/>
        <w:rPr>
          <w:color w:val="252525"/>
          <w:sz w:val="26"/>
          <w:szCs w:val="26"/>
        </w:rPr>
      </w:pPr>
      <w:r w:rsidRPr="00825C77">
        <w:rPr>
          <w:sz w:val="26"/>
          <w:szCs w:val="26"/>
        </w:rPr>
        <w:t>We make th</w:t>
      </w:r>
      <w:r w:rsidR="007F038D">
        <w:rPr>
          <w:sz w:val="26"/>
          <w:szCs w:val="26"/>
        </w:rPr>
        <w:t xml:space="preserve">ese </w:t>
      </w:r>
      <w:r w:rsidRPr="00825C77">
        <w:rPr>
          <w:sz w:val="26"/>
          <w:szCs w:val="26"/>
        </w:rPr>
        <w:t>finding</w:t>
      </w:r>
      <w:r w:rsidR="007F038D">
        <w:rPr>
          <w:sz w:val="26"/>
          <w:szCs w:val="26"/>
        </w:rPr>
        <w:t>s</w:t>
      </w:r>
      <w:r w:rsidRPr="00825C77">
        <w:rPr>
          <w:sz w:val="26"/>
          <w:szCs w:val="26"/>
        </w:rPr>
        <w:t xml:space="preserve"> even though the </w:t>
      </w:r>
      <w:r w:rsidR="00825C77" w:rsidRPr="00825C77">
        <w:rPr>
          <w:sz w:val="26"/>
          <w:szCs w:val="26"/>
        </w:rPr>
        <w:t>Complainant is appearing</w:t>
      </w:r>
      <w:r w:rsidRPr="00825C77">
        <w:rPr>
          <w:sz w:val="26"/>
          <w:szCs w:val="26"/>
        </w:rPr>
        <w:t xml:space="preserve"> </w:t>
      </w:r>
      <w:r w:rsidRPr="00825C77">
        <w:rPr>
          <w:i/>
          <w:sz w:val="26"/>
          <w:szCs w:val="26"/>
        </w:rPr>
        <w:t>pro se</w:t>
      </w:r>
      <w:r w:rsidRPr="00825C77">
        <w:rPr>
          <w:sz w:val="26"/>
          <w:szCs w:val="26"/>
        </w:rPr>
        <w:t xml:space="preserve">.  In </w:t>
      </w:r>
      <w:r w:rsidRPr="00825C77">
        <w:rPr>
          <w:i/>
          <w:sz w:val="26"/>
          <w:szCs w:val="26"/>
        </w:rPr>
        <w:t>Carlock v. The United Telephone Company of Pennsylvania</w:t>
      </w:r>
      <w:r w:rsidRPr="00825C77">
        <w:rPr>
          <w:sz w:val="26"/>
          <w:szCs w:val="26"/>
        </w:rPr>
        <w:t xml:space="preserve">, Docket No. F-00163617 (Order entered July 14, 1993), we held that, in the normal course, we would not dismiss a </w:t>
      </w:r>
      <w:r w:rsidRPr="00825C77">
        <w:rPr>
          <w:i/>
          <w:sz w:val="26"/>
          <w:szCs w:val="26"/>
        </w:rPr>
        <w:t>pro se</w:t>
      </w:r>
      <w:r w:rsidRPr="00825C77">
        <w:rPr>
          <w:sz w:val="26"/>
          <w:szCs w:val="26"/>
        </w:rPr>
        <w:t xml:space="preserve"> complaint without first providing a hearing during which the </w:t>
      </w:r>
      <w:r w:rsidRPr="00825C77">
        <w:rPr>
          <w:i/>
          <w:sz w:val="26"/>
          <w:szCs w:val="26"/>
        </w:rPr>
        <w:t>pro se</w:t>
      </w:r>
      <w:r w:rsidRPr="00825C77">
        <w:rPr>
          <w:sz w:val="26"/>
          <w:szCs w:val="26"/>
        </w:rPr>
        <w:t xml:space="preserve"> complainant </w:t>
      </w:r>
      <w:r w:rsidRPr="00825C77">
        <w:rPr>
          <w:sz w:val="26"/>
          <w:szCs w:val="26"/>
        </w:rPr>
        <w:lastRenderedPageBreak/>
        <w:t xml:space="preserve">could further explain his or her position and the factual basis for the complaint.  The concern was expressed that, in general, </w:t>
      </w:r>
      <w:r w:rsidRPr="00825C77">
        <w:rPr>
          <w:i/>
          <w:sz w:val="26"/>
          <w:szCs w:val="26"/>
        </w:rPr>
        <w:t>pro se</w:t>
      </w:r>
      <w:r w:rsidRPr="00825C77">
        <w:rPr>
          <w:sz w:val="26"/>
          <w:szCs w:val="26"/>
        </w:rPr>
        <w:t xml:space="preserve"> complainants may find it difficult to navigate through pre-hearing motions and should be given the chance to orally describe their basic issue and supporting facts.  </w:t>
      </w:r>
      <w:r w:rsidR="00CC7D8C">
        <w:rPr>
          <w:sz w:val="26"/>
          <w:szCs w:val="26"/>
        </w:rPr>
        <w:t xml:space="preserve">However, </w:t>
      </w:r>
      <w:r w:rsidR="00CC7D8C">
        <w:rPr>
          <w:color w:val="252525"/>
          <w:sz w:val="26"/>
          <w:szCs w:val="26"/>
        </w:rPr>
        <w:t>t</w:t>
      </w:r>
      <w:r w:rsidRPr="00825C77">
        <w:rPr>
          <w:color w:val="252525"/>
          <w:sz w:val="26"/>
          <w:szCs w:val="26"/>
        </w:rPr>
        <w:t xml:space="preserve">here are some cases, such as this proceeding, where a hearing would not alter the inevitable conclusion that this Commission cannot provide the Complainant with the requested relief.  </w:t>
      </w:r>
      <w:r w:rsidRPr="00825C77">
        <w:rPr>
          <w:i/>
          <w:iCs/>
          <w:color w:val="252525"/>
          <w:sz w:val="26"/>
          <w:szCs w:val="26"/>
        </w:rPr>
        <w:t>See Floyd v. Verizon Pennsylvania LLC,</w:t>
      </w:r>
      <w:r w:rsidRPr="00825C77">
        <w:rPr>
          <w:color w:val="252525"/>
          <w:sz w:val="26"/>
          <w:szCs w:val="26"/>
        </w:rPr>
        <w:t xml:space="preserve"> Docket No. C-2012-2333157 (Order entered April 4, 2013).  On this basis, we distinguish </w:t>
      </w:r>
      <w:r w:rsidRPr="00CC7D8C">
        <w:rPr>
          <w:i/>
          <w:color w:val="252525"/>
          <w:sz w:val="26"/>
          <w:szCs w:val="26"/>
        </w:rPr>
        <w:t>Carlock</w:t>
      </w:r>
      <w:r w:rsidRPr="00825C77">
        <w:rPr>
          <w:color w:val="252525"/>
          <w:sz w:val="26"/>
          <w:szCs w:val="26"/>
        </w:rPr>
        <w:t xml:space="preserve"> from the case now before us.</w:t>
      </w:r>
    </w:p>
    <w:p w:rsidR="00067F23" w:rsidRDefault="00067F23" w:rsidP="00F1361C">
      <w:pPr>
        <w:widowControl/>
        <w:spacing w:line="360" w:lineRule="auto"/>
        <w:rPr>
          <w:sz w:val="26"/>
          <w:szCs w:val="26"/>
        </w:rPr>
      </w:pPr>
    </w:p>
    <w:p w:rsidR="004E0DC3" w:rsidRPr="00B3527D" w:rsidRDefault="00067F23" w:rsidP="004E0DC3">
      <w:pPr>
        <w:widowControl/>
        <w:spacing w:line="360" w:lineRule="auto"/>
        <w:rPr>
          <w:sz w:val="26"/>
          <w:szCs w:val="26"/>
        </w:rPr>
      </w:pPr>
      <w:r>
        <w:rPr>
          <w:sz w:val="26"/>
          <w:szCs w:val="26"/>
        </w:rPr>
        <w:tab/>
      </w:r>
      <w:r>
        <w:rPr>
          <w:sz w:val="26"/>
          <w:szCs w:val="26"/>
        </w:rPr>
        <w:tab/>
      </w:r>
      <w:r w:rsidR="00AC5275">
        <w:rPr>
          <w:sz w:val="26"/>
          <w:szCs w:val="26"/>
        </w:rPr>
        <w:t>Finally, we will address the</w:t>
      </w:r>
      <w:r>
        <w:rPr>
          <w:sz w:val="26"/>
          <w:szCs w:val="26"/>
        </w:rPr>
        <w:t xml:space="preserve"> Complainant’</w:t>
      </w:r>
      <w:r w:rsidR="00421331">
        <w:rPr>
          <w:sz w:val="26"/>
          <w:szCs w:val="26"/>
        </w:rPr>
        <w:t>s contention that PECO should be held responsible for damage to his meter</w:t>
      </w:r>
      <w:r w:rsidR="00AC5275">
        <w:rPr>
          <w:sz w:val="26"/>
          <w:szCs w:val="26"/>
        </w:rPr>
        <w:t xml:space="preserve"> mounting</w:t>
      </w:r>
      <w:r w:rsidR="00421331">
        <w:rPr>
          <w:sz w:val="26"/>
          <w:szCs w:val="26"/>
        </w:rPr>
        <w:t xml:space="preserve"> board caused by a “sparking problem” relating to the smart meter installed on his prop</w:t>
      </w:r>
      <w:r w:rsidR="00AC5275">
        <w:rPr>
          <w:sz w:val="26"/>
          <w:szCs w:val="26"/>
        </w:rPr>
        <w:t>erty.</w:t>
      </w:r>
      <w:r w:rsidR="00421331">
        <w:rPr>
          <w:sz w:val="26"/>
          <w:szCs w:val="26"/>
        </w:rPr>
        <w:t xml:space="preserve"> </w:t>
      </w:r>
      <w:r w:rsidR="00AC5275">
        <w:rPr>
          <w:sz w:val="26"/>
          <w:szCs w:val="26"/>
        </w:rPr>
        <w:t xml:space="preserve"> W</w:t>
      </w:r>
      <w:r w:rsidR="00421331">
        <w:rPr>
          <w:sz w:val="26"/>
          <w:szCs w:val="26"/>
        </w:rPr>
        <w:t xml:space="preserve">e note again that the Complainant did not </w:t>
      </w:r>
      <w:r w:rsidR="00B3527D">
        <w:rPr>
          <w:sz w:val="26"/>
          <w:szCs w:val="26"/>
        </w:rPr>
        <w:t>make this allegation in his C</w:t>
      </w:r>
      <w:r w:rsidR="00AC5275">
        <w:rPr>
          <w:sz w:val="26"/>
          <w:szCs w:val="26"/>
        </w:rPr>
        <w:t>omplaint, but</w:t>
      </w:r>
      <w:r w:rsidR="00921D58">
        <w:rPr>
          <w:sz w:val="26"/>
          <w:szCs w:val="26"/>
        </w:rPr>
        <w:t xml:space="preserve"> first</w:t>
      </w:r>
      <w:r w:rsidR="00AC5275">
        <w:rPr>
          <w:sz w:val="26"/>
          <w:szCs w:val="26"/>
        </w:rPr>
        <w:t xml:space="preserve"> raised it in</w:t>
      </w:r>
      <w:r w:rsidR="00421331">
        <w:rPr>
          <w:sz w:val="26"/>
          <w:szCs w:val="26"/>
        </w:rPr>
        <w:t xml:space="preserve"> his Reply to PECO’s New Matter</w:t>
      </w:r>
      <w:r w:rsidR="00710DD9">
        <w:rPr>
          <w:sz w:val="26"/>
          <w:szCs w:val="26"/>
        </w:rPr>
        <w:t xml:space="preserve">, wherein he contended </w:t>
      </w:r>
      <w:r w:rsidR="00AC5275">
        <w:rPr>
          <w:sz w:val="26"/>
          <w:szCs w:val="26"/>
        </w:rPr>
        <w:t>that</w:t>
      </w:r>
      <w:r w:rsidR="00421331">
        <w:rPr>
          <w:sz w:val="26"/>
          <w:szCs w:val="26"/>
        </w:rPr>
        <w:t xml:space="preserve"> PECO was responsible for all damages related to </w:t>
      </w:r>
      <w:r w:rsidR="00421331" w:rsidRPr="00B3527D">
        <w:rPr>
          <w:sz w:val="26"/>
          <w:szCs w:val="26"/>
        </w:rPr>
        <w:t xml:space="preserve">the replacement of the </w:t>
      </w:r>
      <w:r w:rsidR="00AC5275" w:rsidRPr="00B3527D">
        <w:rPr>
          <w:sz w:val="26"/>
          <w:szCs w:val="26"/>
        </w:rPr>
        <w:t>mounting board under the easement contract.</w:t>
      </w:r>
      <w:r w:rsidR="004E0DC3" w:rsidRPr="00B3527D">
        <w:rPr>
          <w:sz w:val="26"/>
          <w:szCs w:val="26"/>
        </w:rPr>
        <w:t xml:space="preserve">  </w:t>
      </w:r>
      <w:r w:rsidR="00921D58">
        <w:rPr>
          <w:sz w:val="26"/>
          <w:szCs w:val="26"/>
        </w:rPr>
        <w:t xml:space="preserve">The Complainant then raised the matter again in his Exceptions, as noted above.  </w:t>
      </w:r>
      <w:r w:rsidR="004E0DC3" w:rsidRPr="00B3527D">
        <w:rPr>
          <w:sz w:val="26"/>
          <w:szCs w:val="26"/>
        </w:rPr>
        <w:t xml:space="preserve">However, the Code </w:t>
      </w:r>
      <w:r w:rsidR="00B3527D" w:rsidRPr="00B3527D">
        <w:rPr>
          <w:sz w:val="26"/>
          <w:szCs w:val="26"/>
        </w:rPr>
        <w:t>does not grant this</w:t>
      </w:r>
      <w:r w:rsidR="004E0DC3" w:rsidRPr="00B3527D">
        <w:rPr>
          <w:sz w:val="26"/>
          <w:szCs w:val="26"/>
        </w:rPr>
        <w:t xml:space="preserve"> Commission the authority to award monetary damages.  </w:t>
      </w:r>
      <w:r w:rsidR="004E0DC3" w:rsidRPr="00B3527D">
        <w:rPr>
          <w:i/>
          <w:sz w:val="26"/>
          <w:szCs w:val="26"/>
        </w:rPr>
        <w:t>Elkin v. Bell Telephone Co.,</w:t>
      </w:r>
      <w:r w:rsidR="004E0DC3" w:rsidRPr="00B3527D">
        <w:rPr>
          <w:sz w:val="26"/>
          <w:szCs w:val="26"/>
        </w:rPr>
        <w:t xml:space="preserve"> 491 Pa. 123, 420 A.2d 371 (1980); </w:t>
      </w:r>
      <w:r w:rsidR="004E0DC3" w:rsidRPr="00B3527D">
        <w:rPr>
          <w:i/>
          <w:sz w:val="26"/>
          <w:szCs w:val="26"/>
        </w:rPr>
        <w:t>Feingold v. Bell Tel. Co. of Pa.,</w:t>
      </w:r>
      <w:r w:rsidR="004E0DC3" w:rsidRPr="00B3527D">
        <w:rPr>
          <w:sz w:val="26"/>
          <w:szCs w:val="26"/>
        </w:rPr>
        <w:t xml:space="preserve"> 477 Pa. 1, 383 A.2d 791 (1977).  Instead, actions for damages are properly claimed in a court of common pleas, which has proper jurisdiction over negligence and other tort claims.  The courts also retain jurisdiction over suits for damages based on breach of contract wherein a utility’s performance of its legally imposed and contractually adopted obligations are examined and applied to a given set of facts.  </w:t>
      </w:r>
      <w:r w:rsidR="00E21CFC">
        <w:rPr>
          <w:sz w:val="26"/>
          <w:szCs w:val="26"/>
        </w:rPr>
        <w:t xml:space="preserve">Thus, regardless of the veracity of the Complainant’s allegations in this regard, we are </w:t>
      </w:r>
      <w:r w:rsidR="00B3527D">
        <w:rPr>
          <w:sz w:val="26"/>
          <w:szCs w:val="26"/>
        </w:rPr>
        <w:t>unable to grant the Complainant the relief he seeks.</w:t>
      </w:r>
      <w:r w:rsidR="00BB4ECA">
        <w:rPr>
          <w:sz w:val="26"/>
          <w:szCs w:val="26"/>
        </w:rPr>
        <w:t xml:space="preserve">  However, because the Complainant has expressed concern regarding the safe functioning of the smart meter currently installed at his residence, we encourage PECO to further investigate this matter to determine whether or not a safety issue exists, and to take appropriate measures to ensure that the Complainant’s smart meter is functioning properly.</w:t>
      </w:r>
    </w:p>
    <w:p w:rsidR="00DB44D9" w:rsidRPr="00D32C49" w:rsidRDefault="00DB44D9" w:rsidP="009243ED">
      <w:pPr>
        <w:widowControl/>
        <w:spacing w:line="360" w:lineRule="auto"/>
        <w:rPr>
          <w:color w:val="252525"/>
          <w:sz w:val="26"/>
          <w:szCs w:val="26"/>
        </w:rPr>
      </w:pPr>
    </w:p>
    <w:p w:rsidR="00DB44D9" w:rsidRPr="00D32C49" w:rsidRDefault="00DB44D9" w:rsidP="00DB44D9">
      <w:pPr>
        <w:keepNext/>
        <w:widowControl/>
        <w:tabs>
          <w:tab w:val="left" w:pos="-720"/>
        </w:tabs>
        <w:suppressAutoHyphens/>
        <w:spacing w:line="360" w:lineRule="auto"/>
        <w:jc w:val="center"/>
        <w:outlineLvl w:val="1"/>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DB44D9">
      <w:pPr>
        <w:widowControl/>
        <w:tabs>
          <w:tab w:val="left" w:pos="-720"/>
        </w:tabs>
        <w:suppressAutoHyphens/>
        <w:spacing w:line="360" w:lineRule="auto"/>
        <w:ind w:firstLine="1440"/>
        <w:rPr>
          <w:sz w:val="26"/>
        </w:rPr>
      </w:pPr>
      <w:r w:rsidRPr="00D32C49">
        <w:rPr>
          <w:sz w:val="26"/>
        </w:rPr>
        <w:t xml:space="preserve">In light of the </w:t>
      </w:r>
      <w:r w:rsidR="00AB6DCF">
        <w:rPr>
          <w:sz w:val="26"/>
        </w:rPr>
        <w:t xml:space="preserve">foregoing </w:t>
      </w:r>
      <w:r w:rsidRPr="00D32C49">
        <w:rPr>
          <w:sz w:val="26"/>
        </w:rPr>
        <w:t>discussion</w:t>
      </w:r>
      <w:r w:rsidR="00DB44D9" w:rsidRPr="00D32C49">
        <w:rPr>
          <w:sz w:val="26"/>
        </w:rPr>
        <w:t>, we shall:  (1) deny the Complainant’s Exceptions; (2) adopt the ALJ’s Initial Decision</w:t>
      </w:r>
      <w:r>
        <w:rPr>
          <w:sz w:val="26"/>
        </w:rPr>
        <w:t>, consistent with this Opinion and Order</w:t>
      </w:r>
      <w:r w:rsidR="00DB44D9" w:rsidRPr="00D32C49">
        <w:rPr>
          <w:sz w:val="26"/>
        </w:rPr>
        <w:t xml:space="preserve">; and (3) dismiss the Complaint with prejudice, consistent with this Opinion and Order;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AB6DCF">
      <w:pPr>
        <w:keepNext/>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AB6DCF">
      <w:pPr>
        <w:keepNext/>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Exceptions filed by Gerald H. Smith on November 18, 2014</w:t>
      </w:r>
      <w:r w:rsidRPr="00D32C49">
        <w:rPr>
          <w:sz w:val="26"/>
        </w:rPr>
        <w:t>, to the Initial Decis</w:t>
      </w:r>
      <w:r w:rsidR="00D32C49" w:rsidRPr="00D32C49">
        <w:rPr>
          <w:sz w:val="26"/>
        </w:rPr>
        <w:t>ion of Administrative Law David A. Salapa, issued on November 4, 2014</w:t>
      </w:r>
      <w:r w:rsidRPr="00D32C49">
        <w:rPr>
          <w:sz w:val="26"/>
        </w:rPr>
        <w:t>, are denied.</w:t>
      </w:r>
    </w:p>
    <w:p w:rsidR="00DB44D9" w:rsidRPr="00D32C49" w:rsidRDefault="00DB44D9" w:rsidP="00DB44D9">
      <w:pPr>
        <w:widowControl/>
        <w:tabs>
          <w:tab w:val="left" w:pos="-720"/>
        </w:tabs>
        <w:suppressAutoHyphens/>
        <w:spacing w:line="360" w:lineRule="auto"/>
        <w:ind w:firstLine="1440"/>
        <w:rPr>
          <w:sz w:val="26"/>
        </w:rPr>
      </w:pPr>
    </w:p>
    <w:p w:rsidR="00DB44D9" w:rsidRPr="00D32C49" w:rsidRDefault="00D32C49" w:rsidP="00DB44D9">
      <w:pPr>
        <w:widowControl/>
        <w:tabs>
          <w:tab w:val="left" w:pos="-720"/>
        </w:tabs>
        <w:suppressAutoHyphens/>
        <w:spacing w:line="360" w:lineRule="auto"/>
        <w:ind w:firstLine="1440"/>
        <w:rPr>
          <w:b/>
          <w:sz w:val="26"/>
        </w:rPr>
      </w:pPr>
      <w:r w:rsidRPr="00D32C49">
        <w:rPr>
          <w:sz w:val="26"/>
        </w:rPr>
        <w:t>2.</w:t>
      </w:r>
      <w:r w:rsidRPr="00D32C49">
        <w:rPr>
          <w:sz w:val="26"/>
        </w:rPr>
        <w:tab/>
        <w:t>That the Initial Decision of Administrative Law David A. Salapa, issued on November 4, 2014</w:t>
      </w:r>
      <w:r w:rsidR="00DB44D9" w:rsidRPr="00D32C49">
        <w:rPr>
          <w:sz w:val="26"/>
        </w:rPr>
        <w:t>, is adopted</w:t>
      </w:r>
      <w:r>
        <w:rPr>
          <w:sz w:val="26"/>
        </w:rPr>
        <w:t>, consistent with this Opinion and Order</w:t>
      </w:r>
      <w:r w:rsidR="00DB44D9" w:rsidRPr="00D32C49">
        <w:rPr>
          <w:sz w:val="26"/>
        </w:rPr>
        <w:t>.</w:t>
      </w:r>
    </w:p>
    <w:p w:rsidR="00DB44D9" w:rsidRPr="00D32C49" w:rsidRDefault="00DB44D9" w:rsidP="00DB44D9">
      <w:pPr>
        <w:widowControl/>
        <w:tabs>
          <w:tab w:val="left" w:pos="0"/>
        </w:tabs>
        <w:suppressAutoHyphens/>
        <w:spacing w:line="360" w:lineRule="auto"/>
        <w:ind w:firstLine="1440"/>
        <w:rPr>
          <w:spacing w:val="-3"/>
          <w:sz w:val="26"/>
        </w:rPr>
      </w:pPr>
    </w:p>
    <w:p w:rsidR="00DB44D9" w:rsidRPr="00D32C49" w:rsidRDefault="00DB44D9" w:rsidP="00DB44D9">
      <w:pPr>
        <w:widowControl/>
        <w:spacing w:line="360" w:lineRule="auto"/>
        <w:ind w:firstLine="1440"/>
        <w:rPr>
          <w:sz w:val="26"/>
          <w:szCs w:val="26"/>
        </w:rPr>
      </w:pPr>
      <w:r w:rsidRPr="00D32C49">
        <w:rPr>
          <w:spacing w:val="-3"/>
          <w:sz w:val="26"/>
          <w:szCs w:val="24"/>
        </w:rPr>
        <w:t>3.</w:t>
      </w:r>
      <w:r w:rsidRPr="00D32C49">
        <w:rPr>
          <w:spacing w:val="-3"/>
          <w:sz w:val="26"/>
          <w:szCs w:val="24"/>
        </w:rPr>
        <w:tab/>
      </w:r>
      <w:r w:rsidRPr="00D32C49">
        <w:rPr>
          <w:sz w:val="26"/>
          <w:szCs w:val="26"/>
        </w:rPr>
        <w:t xml:space="preserve">That the Preliminary Objections filed by </w:t>
      </w:r>
      <w:r w:rsidR="00D32C49" w:rsidRPr="00D32C49">
        <w:rPr>
          <w:spacing w:val="-3"/>
          <w:sz w:val="26"/>
          <w:szCs w:val="26"/>
        </w:rPr>
        <w:t>PECO Energy Company on October 3, 2014</w:t>
      </w:r>
      <w:r w:rsidR="00D32C49" w:rsidRPr="00D32C49">
        <w:rPr>
          <w:sz w:val="26"/>
          <w:szCs w:val="26"/>
        </w:rPr>
        <w:t xml:space="preserve">, </w:t>
      </w:r>
      <w:r w:rsidRPr="00D32C49">
        <w:rPr>
          <w:sz w:val="26"/>
          <w:szCs w:val="26"/>
        </w:rPr>
        <w:t>are granted.</w:t>
      </w:r>
    </w:p>
    <w:p w:rsidR="00DB44D9" w:rsidRPr="00D32C49" w:rsidRDefault="00DB44D9" w:rsidP="00DB44D9">
      <w:pPr>
        <w:widowControl/>
        <w:spacing w:line="360" w:lineRule="auto"/>
        <w:rPr>
          <w:sz w:val="26"/>
          <w:szCs w:val="26"/>
        </w:rPr>
      </w:pPr>
    </w:p>
    <w:p w:rsidR="00DB44D9" w:rsidRDefault="00DB44D9" w:rsidP="00DB44D9">
      <w:pPr>
        <w:widowControl/>
        <w:spacing w:line="360" w:lineRule="auto"/>
        <w:rPr>
          <w:sz w:val="26"/>
          <w:szCs w:val="26"/>
        </w:rPr>
      </w:pPr>
      <w:r w:rsidRPr="00AB0977">
        <w:rPr>
          <w:sz w:val="26"/>
          <w:szCs w:val="26"/>
        </w:rPr>
        <w:tab/>
      </w:r>
      <w:r w:rsidRPr="00AB0977">
        <w:rPr>
          <w:sz w:val="26"/>
          <w:szCs w:val="26"/>
        </w:rPr>
        <w:tab/>
        <w:t>4.</w:t>
      </w:r>
      <w:r w:rsidRPr="00AB0977">
        <w:rPr>
          <w:sz w:val="26"/>
          <w:szCs w:val="26"/>
        </w:rPr>
        <w:tab/>
        <w:t>That the Formal</w:t>
      </w:r>
      <w:r w:rsidR="00D32C49" w:rsidRPr="00AB0977">
        <w:rPr>
          <w:sz w:val="26"/>
          <w:szCs w:val="26"/>
        </w:rPr>
        <w:t xml:space="preserve"> Complaint filed on September 3, 2013 by Gerald H. Smith against </w:t>
      </w:r>
      <w:r w:rsidR="00D32C49" w:rsidRPr="005E1D9A">
        <w:rPr>
          <w:sz w:val="26"/>
          <w:szCs w:val="26"/>
        </w:rPr>
        <w:t>PECO Energy</w:t>
      </w:r>
      <w:r w:rsidR="00AB0977" w:rsidRPr="005E1D9A">
        <w:rPr>
          <w:sz w:val="26"/>
          <w:szCs w:val="26"/>
        </w:rPr>
        <w:t xml:space="preserve"> Company,</w:t>
      </w:r>
      <w:r w:rsidRPr="005E1D9A">
        <w:rPr>
          <w:sz w:val="26"/>
          <w:szCs w:val="26"/>
        </w:rPr>
        <w:t xml:space="preserve"> is dismissed with prejudice.</w:t>
      </w:r>
    </w:p>
    <w:p w:rsidR="00AB6DCF" w:rsidRPr="005E1D9A" w:rsidRDefault="00AB6DCF" w:rsidP="007F038D">
      <w:pPr>
        <w:keepNext/>
        <w:keepLines/>
        <w:widowControl/>
        <w:spacing w:line="360" w:lineRule="auto"/>
        <w:rPr>
          <w:sz w:val="26"/>
          <w:szCs w:val="26"/>
        </w:rPr>
      </w:pPr>
    </w:p>
    <w:p w:rsidR="00DB44D9" w:rsidRPr="005E1D9A" w:rsidRDefault="00DB44D9" w:rsidP="007F038D">
      <w:pPr>
        <w:keepNext/>
        <w:keepLines/>
        <w:widowControl/>
        <w:spacing w:line="360" w:lineRule="auto"/>
        <w:ind w:firstLine="1440"/>
        <w:rPr>
          <w:spacing w:val="-3"/>
          <w:sz w:val="26"/>
          <w:szCs w:val="24"/>
        </w:rPr>
      </w:pPr>
      <w:r w:rsidRPr="005E1D9A">
        <w:rPr>
          <w:spacing w:val="-3"/>
          <w:sz w:val="26"/>
          <w:szCs w:val="24"/>
        </w:rPr>
        <w:t>5.</w:t>
      </w:r>
      <w:r w:rsidRPr="005E1D9A">
        <w:rPr>
          <w:spacing w:val="-3"/>
          <w:sz w:val="26"/>
          <w:szCs w:val="24"/>
        </w:rPr>
        <w:tab/>
        <w:t xml:space="preserve">That the proceeding at </w:t>
      </w:r>
      <w:r w:rsidR="00AB0977" w:rsidRPr="005E1D9A">
        <w:rPr>
          <w:sz w:val="26"/>
          <w:szCs w:val="26"/>
        </w:rPr>
        <w:t>Docket No. C-2014-2443198</w:t>
      </w:r>
      <w:r w:rsidRPr="005E1D9A">
        <w:rPr>
          <w:sz w:val="26"/>
          <w:szCs w:val="26"/>
        </w:rPr>
        <w:t xml:space="preserve"> is marked closed.</w:t>
      </w:r>
    </w:p>
    <w:p w:rsidR="00DB44D9" w:rsidRPr="005E1D9A" w:rsidRDefault="00DB44D9" w:rsidP="007F038D">
      <w:pPr>
        <w:keepNext/>
        <w:keepLines/>
        <w:widowControl/>
        <w:tabs>
          <w:tab w:val="left" w:pos="-720"/>
        </w:tabs>
        <w:suppressAutoHyphens/>
        <w:rPr>
          <w:b/>
          <w:sz w:val="26"/>
        </w:rPr>
      </w:pPr>
    </w:p>
    <w:p w:rsidR="00DB44D9" w:rsidRPr="005E1D9A" w:rsidRDefault="003C6841" w:rsidP="007F038D">
      <w:pPr>
        <w:keepNext/>
        <w:keepLines/>
        <w:widowControl/>
        <w:tabs>
          <w:tab w:val="left" w:pos="-720"/>
        </w:tabs>
        <w:suppressAutoHyphens/>
        <w:rPr>
          <w:b/>
          <w:sz w:val="26"/>
        </w:rPr>
      </w:pPr>
      <w:r>
        <w:rPr>
          <w:noProof/>
        </w:rPr>
        <w:drawing>
          <wp:anchor distT="0" distB="0" distL="114300" distR="114300" simplePos="0" relativeHeight="251658240" behindDoc="1" locked="0" layoutInCell="1" allowOverlap="1" wp14:anchorId="304F47DD" wp14:editId="6C84AF0A">
            <wp:simplePos x="0" y="0"/>
            <wp:positionH relativeFrom="column">
              <wp:posOffset>3267075</wp:posOffset>
            </wp:positionH>
            <wp:positionV relativeFrom="paragraph">
              <wp:posOffset>146685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7F038D">
      <w:pPr>
        <w:keepNext/>
        <w:keepLines/>
        <w:widowControl/>
        <w:tabs>
          <w:tab w:val="left" w:pos="-720"/>
        </w:tabs>
        <w:suppressAutoHyphens/>
        <w:rPr>
          <w:sz w:val="26"/>
        </w:rPr>
      </w:pPr>
    </w:p>
    <w:p w:rsidR="00DB44D9" w:rsidRDefault="00DB44D9" w:rsidP="007F038D">
      <w:pPr>
        <w:keepNext/>
        <w:keepLines/>
        <w:widowControl/>
        <w:tabs>
          <w:tab w:val="left" w:pos="-720"/>
        </w:tabs>
        <w:suppressAutoHyphens/>
        <w:rPr>
          <w:sz w:val="26"/>
        </w:rPr>
      </w:pPr>
    </w:p>
    <w:p w:rsidR="00AB6DCF" w:rsidRPr="005E1D9A" w:rsidRDefault="00AB6DCF"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7F038D">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r w:rsidRPr="005E1D9A">
        <w:rPr>
          <w:sz w:val="26"/>
        </w:rPr>
        <w:t>(SEAL)</w:t>
      </w:r>
    </w:p>
    <w:p w:rsidR="00DB44D9" w:rsidRPr="005E1D9A" w:rsidRDefault="00DB44D9" w:rsidP="007F038D">
      <w:pPr>
        <w:keepNext/>
        <w:keepLines/>
        <w:widowControl/>
        <w:tabs>
          <w:tab w:val="left" w:pos="-720"/>
        </w:tabs>
        <w:suppressAutoHyphens/>
        <w:rPr>
          <w:sz w:val="26"/>
        </w:rPr>
      </w:pPr>
    </w:p>
    <w:p w:rsidR="00DB44D9" w:rsidRPr="005E1D9A" w:rsidRDefault="006C7956" w:rsidP="007F038D">
      <w:pPr>
        <w:keepNext/>
        <w:keepLines/>
        <w:widowControl/>
        <w:tabs>
          <w:tab w:val="left" w:pos="-720"/>
        </w:tabs>
        <w:suppressAutoHyphens/>
        <w:rPr>
          <w:sz w:val="26"/>
        </w:rPr>
      </w:pPr>
      <w:r w:rsidRPr="005E1D9A">
        <w:rPr>
          <w:sz w:val="26"/>
        </w:rPr>
        <w:t>ORDER ADOPTED:  April 23</w:t>
      </w:r>
      <w:r w:rsidR="00DB44D9" w:rsidRPr="005E1D9A">
        <w:rPr>
          <w:sz w:val="26"/>
        </w:rPr>
        <w:t>, 2015</w:t>
      </w:r>
    </w:p>
    <w:p w:rsidR="00DB44D9" w:rsidRPr="005E1D9A" w:rsidRDefault="00DB44D9" w:rsidP="007F038D">
      <w:pPr>
        <w:keepNext/>
        <w:keepLines/>
        <w:widowControl/>
        <w:tabs>
          <w:tab w:val="left" w:pos="-720"/>
        </w:tabs>
        <w:suppressAutoHyphens/>
        <w:rPr>
          <w:sz w:val="26"/>
        </w:rPr>
      </w:pPr>
    </w:p>
    <w:p w:rsidR="00DB44D9" w:rsidRPr="00DB44D9" w:rsidRDefault="00DB44D9" w:rsidP="007F038D">
      <w:pPr>
        <w:keepNext/>
        <w:keepLines/>
        <w:widowControl/>
        <w:tabs>
          <w:tab w:val="left" w:pos="-720"/>
        </w:tabs>
        <w:suppressAutoHyphens/>
        <w:rPr>
          <w:sz w:val="26"/>
        </w:rPr>
      </w:pPr>
      <w:r w:rsidRPr="005E1D9A">
        <w:rPr>
          <w:sz w:val="26"/>
        </w:rPr>
        <w:t>ORDER ENTERED:</w:t>
      </w:r>
      <w:r w:rsidRPr="00DB44D9">
        <w:rPr>
          <w:sz w:val="26"/>
        </w:rPr>
        <w:t xml:space="preserve">  </w:t>
      </w:r>
      <w:r w:rsidR="003C6841">
        <w:rPr>
          <w:sz w:val="26"/>
        </w:rPr>
        <w:t>April 23, 2015</w:t>
      </w:r>
      <w:bookmarkStart w:id="1" w:name="_GoBack"/>
      <w:bookmarkEnd w:id="1"/>
    </w:p>
    <w:sectPr w:rsidR="00DB44D9" w:rsidRPr="00DB44D9"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D34" w:rsidRDefault="006D5D34" w:rsidP="00F7174B">
      <w:r>
        <w:separator/>
      </w:r>
    </w:p>
  </w:endnote>
  <w:endnote w:type="continuationSeparator" w:id="0">
    <w:p w:rsidR="006D5D34" w:rsidRDefault="006D5D3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3C6841">
          <w:rPr>
            <w:noProof/>
            <w:sz w:val="26"/>
            <w:szCs w:val="26"/>
          </w:rPr>
          <w:t>14</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D34" w:rsidRDefault="006D5D34" w:rsidP="00F7174B">
      <w:r>
        <w:separator/>
      </w:r>
    </w:p>
  </w:footnote>
  <w:footnote w:type="continuationSeparator" w:id="0">
    <w:p w:rsidR="006D5D34" w:rsidRDefault="006D5D34" w:rsidP="00F7174B">
      <w:r>
        <w:continuationSeparator/>
      </w:r>
    </w:p>
  </w:footnote>
  <w:footnote w:id="1">
    <w:p w:rsidR="00050F7D" w:rsidRDefault="00050F7D" w:rsidP="00F102F6">
      <w:pPr>
        <w:pStyle w:val="FootnoteText"/>
        <w:keepLines/>
        <w:widowControl/>
        <w:ind w:firstLine="720"/>
        <w:rPr>
          <w:sz w:val="26"/>
          <w:szCs w:val="26"/>
        </w:rPr>
      </w:pPr>
      <w:r w:rsidRPr="00797118">
        <w:rPr>
          <w:rStyle w:val="FootnoteReference"/>
          <w:sz w:val="26"/>
          <w:szCs w:val="26"/>
        </w:rPr>
        <w:footnoteRef/>
      </w:r>
      <w:r>
        <w:tab/>
      </w:r>
      <w:r>
        <w:rPr>
          <w:sz w:val="26"/>
          <w:szCs w:val="26"/>
        </w:rPr>
        <w:t>A smart meter</w:t>
      </w:r>
      <w:r w:rsidRPr="00483568">
        <w:rPr>
          <w:sz w:val="26"/>
          <w:szCs w:val="26"/>
        </w:rPr>
        <w:t xml:space="preserve"> is an electric meter that records consumption of electric energy in increments of an hour or less and </w:t>
      </w:r>
      <w:r>
        <w:rPr>
          <w:sz w:val="26"/>
          <w:szCs w:val="26"/>
        </w:rPr>
        <w:t>communicates that information at least daily back to the utility for monitoring and billing purposes.</w:t>
      </w:r>
    </w:p>
    <w:p w:rsidR="00C03C99" w:rsidRPr="00483568" w:rsidRDefault="00C03C99" w:rsidP="00C03C99">
      <w:pPr>
        <w:pStyle w:val="FootnoteText"/>
        <w:keepLines/>
        <w:widowControl/>
        <w:spacing w:line="48" w:lineRule="auto"/>
        <w:ind w:firstLine="720"/>
        <w:rPr>
          <w:sz w:val="26"/>
          <w:szCs w:val="26"/>
        </w:rPr>
      </w:pPr>
    </w:p>
  </w:footnote>
  <w:footnote w:id="2">
    <w:p w:rsidR="001B461D" w:rsidRPr="001B461D" w:rsidRDefault="001B461D" w:rsidP="00F102F6">
      <w:pPr>
        <w:pStyle w:val="FootnoteText"/>
        <w:keepLines/>
        <w:widowControl/>
        <w:rPr>
          <w:sz w:val="26"/>
          <w:szCs w:val="26"/>
        </w:rPr>
      </w:pPr>
      <w:r>
        <w:rPr>
          <w:sz w:val="26"/>
          <w:szCs w:val="26"/>
        </w:rPr>
        <w:tab/>
      </w:r>
      <w:r w:rsidRPr="001B461D">
        <w:rPr>
          <w:rStyle w:val="FootnoteReference"/>
          <w:sz w:val="26"/>
          <w:szCs w:val="26"/>
        </w:rPr>
        <w:footnoteRef/>
      </w:r>
      <w:r>
        <w:rPr>
          <w:sz w:val="26"/>
          <w:szCs w:val="26"/>
        </w:rPr>
        <w:tab/>
      </w:r>
      <w:r w:rsidRPr="001B461D">
        <w:rPr>
          <w:i/>
          <w:sz w:val="26"/>
          <w:szCs w:val="26"/>
        </w:rPr>
        <w:t>Petition of PECO Energy Company for Approval of Smart Meter Technology Procurement and Installation Plan</w:t>
      </w:r>
      <w:r>
        <w:rPr>
          <w:sz w:val="26"/>
          <w:szCs w:val="26"/>
        </w:rPr>
        <w:t>, Docket No. M-2009-2123944 (Order entered May 6, 2010).</w:t>
      </w:r>
    </w:p>
  </w:footnote>
  <w:footnote w:id="3">
    <w:p w:rsidR="00C832EF" w:rsidRDefault="00F102F6" w:rsidP="00C03C99">
      <w:pPr>
        <w:pStyle w:val="FootnoteText"/>
        <w:keepLines/>
        <w:widowControl/>
        <w:rPr>
          <w:sz w:val="26"/>
          <w:szCs w:val="26"/>
        </w:rPr>
      </w:pPr>
      <w:r>
        <w:rPr>
          <w:sz w:val="26"/>
          <w:szCs w:val="26"/>
        </w:rPr>
        <w:tab/>
      </w:r>
      <w:r w:rsidR="00C832EF" w:rsidRPr="00C832EF">
        <w:rPr>
          <w:rStyle w:val="FootnoteReference"/>
          <w:sz w:val="26"/>
          <w:szCs w:val="26"/>
        </w:rPr>
        <w:footnoteRef/>
      </w:r>
      <w:r w:rsidR="00C832EF">
        <w:rPr>
          <w:sz w:val="26"/>
          <w:szCs w:val="26"/>
        </w:rPr>
        <w:tab/>
      </w:r>
      <w:r w:rsidR="00353F40">
        <w:rPr>
          <w:sz w:val="26"/>
          <w:szCs w:val="26"/>
        </w:rPr>
        <w:t>A</w:t>
      </w:r>
      <w:r w:rsidR="00C03C99" w:rsidRPr="00C03C99">
        <w:rPr>
          <w:sz w:val="26"/>
          <w:szCs w:val="26"/>
        </w:rPr>
        <w:t>mong other things</w:t>
      </w:r>
      <w:r w:rsidRPr="00F102F6">
        <w:rPr>
          <w:sz w:val="26"/>
          <w:szCs w:val="26"/>
        </w:rPr>
        <w:t xml:space="preserve">, </w:t>
      </w:r>
      <w:r w:rsidR="00353F40">
        <w:rPr>
          <w:sz w:val="26"/>
          <w:szCs w:val="26"/>
        </w:rPr>
        <w:t xml:space="preserve">Act 129 </w:t>
      </w:r>
      <w:r w:rsidRPr="00F102F6">
        <w:rPr>
          <w:sz w:val="26"/>
          <w:szCs w:val="26"/>
        </w:rPr>
        <w:t>directed that e</w:t>
      </w:r>
      <w:r w:rsidR="00E0465E">
        <w:rPr>
          <w:sz w:val="26"/>
          <w:szCs w:val="26"/>
        </w:rPr>
        <w:t xml:space="preserve">lectric distribution companies </w:t>
      </w:r>
      <w:r w:rsidRPr="00F102F6">
        <w:rPr>
          <w:sz w:val="26"/>
          <w:szCs w:val="26"/>
        </w:rPr>
        <w:t>with more than 100,000 customers file smart meter technology procurement and installation plans with the Commission for approva</w:t>
      </w:r>
      <w:r>
        <w:rPr>
          <w:sz w:val="26"/>
          <w:szCs w:val="26"/>
        </w:rPr>
        <w:t xml:space="preserve">l.  </w:t>
      </w:r>
      <w:r w:rsidRPr="00F102F6">
        <w:rPr>
          <w:sz w:val="26"/>
          <w:szCs w:val="26"/>
        </w:rPr>
        <w:t>66 Pa. C.S. §</w:t>
      </w:r>
      <w:r w:rsidR="00353F40">
        <w:rPr>
          <w:sz w:val="26"/>
          <w:szCs w:val="26"/>
        </w:rPr>
        <w:t> </w:t>
      </w:r>
      <w:r w:rsidRPr="00F102F6">
        <w:rPr>
          <w:sz w:val="26"/>
          <w:szCs w:val="26"/>
        </w:rPr>
        <w:t>2807(f).</w:t>
      </w:r>
    </w:p>
    <w:p w:rsidR="00C03C99" w:rsidRPr="00C832EF" w:rsidRDefault="00C03C99" w:rsidP="00C03C99">
      <w:pPr>
        <w:pStyle w:val="FootnoteText"/>
        <w:keepLines/>
        <w:widowControl/>
        <w:spacing w:line="48" w:lineRule="auto"/>
        <w:rPr>
          <w:sz w:val="26"/>
          <w:szCs w:val="26"/>
        </w:rPr>
      </w:pPr>
    </w:p>
  </w:footnote>
  <w:footnote w:id="4">
    <w:p w:rsidR="00C03C99" w:rsidRDefault="00C03C99" w:rsidP="00C03C99">
      <w:pPr>
        <w:pStyle w:val="FootnoteText"/>
        <w:keepLines/>
        <w:widowControl/>
        <w:ind w:firstLine="720"/>
        <w:rPr>
          <w:sz w:val="26"/>
          <w:szCs w:val="26"/>
        </w:rPr>
      </w:pPr>
      <w:r w:rsidRPr="00797118">
        <w:rPr>
          <w:rStyle w:val="FootnoteReference"/>
          <w:sz w:val="26"/>
          <w:szCs w:val="26"/>
        </w:rPr>
        <w:footnoteRef/>
      </w:r>
      <w:r>
        <w:tab/>
      </w:r>
      <w:r w:rsidRPr="00BD4C51">
        <w:rPr>
          <w:i/>
          <w:sz w:val="26"/>
          <w:szCs w:val="26"/>
        </w:rPr>
        <w:t>Smart Meter Procurement and Installation Implementation Order</w:t>
      </w:r>
      <w:r w:rsidRPr="00BD4C51">
        <w:rPr>
          <w:sz w:val="26"/>
          <w:szCs w:val="26"/>
        </w:rPr>
        <w:t>,</w:t>
      </w:r>
      <w:r>
        <w:rPr>
          <w:sz w:val="26"/>
          <w:szCs w:val="26"/>
        </w:rPr>
        <w:t xml:space="preserve"> Docket No. M-2009-2092655 (Order entered June 24, 2009) (</w:t>
      </w:r>
      <w:r w:rsidRPr="00550BE8">
        <w:rPr>
          <w:i/>
          <w:sz w:val="26"/>
          <w:szCs w:val="26"/>
        </w:rPr>
        <w:t xml:space="preserve">Smart Meter </w:t>
      </w:r>
      <w:r>
        <w:rPr>
          <w:i/>
          <w:sz w:val="26"/>
          <w:szCs w:val="26"/>
        </w:rPr>
        <w:t xml:space="preserve">Implementation </w:t>
      </w:r>
      <w:r w:rsidRPr="00550BE8">
        <w:rPr>
          <w:i/>
          <w:sz w:val="26"/>
          <w:szCs w:val="26"/>
        </w:rPr>
        <w:t>Order</w:t>
      </w:r>
      <w:r>
        <w:rPr>
          <w:sz w:val="26"/>
          <w:szCs w:val="26"/>
        </w:rPr>
        <w:t>).</w:t>
      </w:r>
      <w:r w:rsidRPr="00BD4C51">
        <w:rPr>
          <w:sz w:val="26"/>
          <w:szCs w:val="26"/>
        </w:rPr>
        <w:t xml:space="preserve">  </w:t>
      </w:r>
    </w:p>
    <w:p w:rsidR="00CB1E63" w:rsidRPr="00BD4C51" w:rsidRDefault="00CB1E63" w:rsidP="00CB1E63">
      <w:pPr>
        <w:pStyle w:val="FootnoteText"/>
        <w:keepLines/>
        <w:widowControl/>
        <w:spacing w:line="48" w:lineRule="auto"/>
        <w:ind w:firstLine="720"/>
        <w:rPr>
          <w:sz w:val="26"/>
          <w:szCs w:val="26"/>
        </w:rPr>
      </w:pPr>
    </w:p>
  </w:footnote>
  <w:footnote w:id="5">
    <w:p w:rsidR="00CB1E63" w:rsidRDefault="00CB1E63" w:rsidP="00CB1E63">
      <w:pPr>
        <w:pStyle w:val="FootnoteText"/>
        <w:keepLines/>
        <w:widowControl/>
        <w:rPr>
          <w:sz w:val="26"/>
          <w:szCs w:val="26"/>
        </w:rPr>
      </w:pPr>
      <w:r>
        <w:rPr>
          <w:sz w:val="26"/>
          <w:szCs w:val="26"/>
        </w:rPr>
        <w:tab/>
      </w:r>
      <w:r w:rsidRPr="00CB1E63">
        <w:rPr>
          <w:rStyle w:val="FootnoteReference"/>
          <w:sz w:val="26"/>
          <w:szCs w:val="26"/>
        </w:rPr>
        <w:footnoteRef/>
      </w:r>
      <w:r>
        <w:rPr>
          <w:sz w:val="26"/>
          <w:szCs w:val="26"/>
        </w:rPr>
        <w:tab/>
        <w:t>The Complai</w:t>
      </w:r>
      <w:r w:rsidR="006D03C2">
        <w:rPr>
          <w:sz w:val="26"/>
          <w:szCs w:val="26"/>
        </w:rPr>
        <w:t>nant’s Reply</w:t>
      </w:r>
      <w:r>
        <w:rPr>
          <w:sz w:val="26"/>
          <w:szCs w:val="26"/>
        </w:rPr>
        <w:t xml:space="preserve"> was titled “New Matter of Compla</w:t>
      </w:r>
      <w:r w:rsidR="00133529">
        <w:rPr>
          <w:sz w:val="26"/>
          <w:szCs w:val="26"/>
        </w:rPr>
        <w:t>inant, Gerald</w:t>
      </w:r>
      <w:r w:rsidR="00C018B6">
        <w:rPr>
          <w:sz w:val="26"/>
          <w:szCs w:val="26"/>
        </w:rPr>
        <w:t> </w:t>
      </w:r>
      <w:r w:rsidR="00133529">
        <w:rPr>
          <w:sz w:val="26"/>
          <w:szCs w:val="26"/>
        </w:rPr>
        <w:t>H. Smith, DDS.”  However, i</w:t>
      </w:r>
      <w:r>
        <w:rPr>
          <w:sz w:val="26"/>
          <w:szCs w:val="26"/>
        </w:rPr>
        <w:t>t is clear that this document was meant to be a Reply to PECO’s New M</w:t>
      </w:r>
      <w:r w:rsidR="006D03C2">
        <w:rPr>
          <w:sz w:val="26"/>
          <w:szCs w:val="26"/>
        </w:rPr>
        <w:t>atter</w:t>
      </w:r>
      <w:r>
        <w:rPr>
          <w:sz w:val="26"/>
          <w:szCs w:val="26"/>
        </w:rPr>
        <w:t>, and we will treat it as such.</w:t>
      </w:r>
      <w:r w:rsidR="008475B2">
        <w:rPr>
          <w:sz w:val="26"/>
          <w:szCs w:val="26"/>
        </w:rPr>
        <w:t xml:space="preserve">  Although the document could also be viewed as an answer to PECO’s Preliminary Objections, its October 20, 2014 filing date renders it untimely in that regard, since a timely answer to the Preliminary Objections would have been due on October 13, 2014.  </w:t>
      </w:r>
      <w:r w:rsidR="008475B2" w:rsidRPr="008475B2">
        <w:rPr>
          <w:i/>
          <w:sz w:val="26"/>
          <w:szCs w:val="26"/>
        </w:rPr>
        <w:t>See</w:t>
      </w:r>
      <w:r w:rsidR="008475B2">
        <w:rPr>
          <w:sz w:val="26"/>
          <w:szCs w:val="26"/>
        </w:rPr>
        <w:t xml:space="preserve"> 52 Pa. Code § 5.101(f)(1).</w:t>
      </w:r>
    </w:p>
    <w:p w:rsidR="00B15023" w:rsidRPr="00CB1E63" w:rsidRDefault="00B15023" w:rsidP="00B15023">
      <w:pPr>
        <w:pStyle w:val="FootnoteText"/>
        <w:keepLines/>
        <w:widowControl/>
        <w:spacing w:line="48" w:lineRule="auto"/>
        <w:rPr>
          <w:sz w:val="26"/>
          <w:szCs w:val="26"/>
        </w:rPr>
      </w:pPr>
    </w:p>
  </w:footnote>
  <w:footnote w:id="6">
    <w:p w:rsidR="00B15023" w:rsidRDefault="00B15023">
      <w:pPr>
        <w:pStyle w:val="FootnoteText"/>
        <w:rPr>
          <w:sz w:val="26"/>
          <w:szCs w:val="26"/>
        </w:rPr>
      </w:pPr>
      <w:r>
        <w:rPr>
          <w:sz w:val="26"/>
          <w:szCs w:val="26"/>
        </w:rPr>
        <w:tab/>
      </w:r>
      <w:r w:rsidRPr="00B15023">
        <w:rPr>
          <w:rStyle w:val="FootnoteReference"/>
          <w:sz w:val="26"/>
          <w:szCs w:val="26"/>
        </w:rPr>
        <w:footnoteRef/>
      </w:r>
      <w:r w:rsidR="00840F10">
        <w:rPr>
          <w:sz w:val="26"/>
          <w:szCs w:val="26"/>
        </w:rPr>
        <w:tab/>
      </w:r>
      <w:r w:rsidR="00790A49">
        <w:rPr>
          <w:sz w:val="26"/>
          <w:szCs w:val="26"/>
        </w:rPr>
        <w:t xml:space="preserve">On October 24, 2014, </w:t>
      </w:r>
      <w:r>
        <w:rPr>
          <w:sz w:val="26"/>
          <w:szCs w:val="26"/>
        </w:rPr>
        <w:t>PECO filed a response to the Complainant’s</w:t>
      </w:r>
      <w:r w:rsidR="00790A49">
        <w:rPr>
          <w:sz w:val="26"/>
          <w:szCs w:val="26"/>
        </w:rPr>
        <w:t xml:space="preserve"> </w:t>
      </w:r>
      <w:r w:rsidR="00840F10">
        <w:rPr>
          <w:sz w:val="26"/>
          <w:szCs w:val="26"/>
        </w:rPr>
        <w:t>Reply</w:t>
      </w:r>
      <w:r w:rsidR="00790A49">
        <w:rPr>
          <w:sz w:val="26"/>
          <w:szCs w:val="26"/>
        </w:rPr>
        <w:t>, which it styled “Answer of Respondent PECO Energy Company to Complainant’s New Matter.</w:t>
      </w:r>
      <w:r w:rsidR="000522FC">
        <w:rPr>
          <w:sz w:val="26"/>
          <w:szCs w:val="26"/>
        </w:rPr>
        <w:t>”</w:t>
      </w:r>
      <w:r w:rsidR="00790A49">
        <w:rPr>
          <w:sz w:val="26"/>
          <w:szCs w:val="26"/>
        </w:rPr>
        <w:t xml:space="preserve">  </w:t>
      </w:r>
      <w:r w:rsidR="000522FC">
        <w:rPr>
          <w:sz w:val="26"/>
          <w:szCs w:val="26"/>
        </w:rPr>
        <w:t>On November 4, 2014, the Complainant filed a response to PECO’s response.  B</w:t>
      </w:r>
      <w:r w:rsidR="00790A49">
        <w:rPr>
          <w:sz w:val="26"/>
          <w:szCs w:val="26"/>
        </w:rPr>
        <w:t>ecause our</w:t>
      </w:r>
      <w:r w:rsidR="008E5758">
        <w:rPr>
          <w:sz w:val="26"/>
          <w:szCs w:val="26"/>
        </w:rPr>
        <w:t xml:space="preserve"> Regulations do not provide for the filing of these</w:t>
      </w:r>
      <w:r w:rsidR="00133529">
        <w:rPr>
          <w:sz w:val="26"/>
          <w:szCs w:val="26"/>
        </w:rPr>
        <w:t xml:space="preserve"> additional</w:t>
      </w:r>
      <w:r w:rsidR="00790A49">
        <w:rPr>
          <w:sz w:val="26"/>
          <w:szCs w:val="26"/>
        </w:rPr>
        <w:t xml:space="preserve"> pleadings, </w:t>
      </w:r>
      <w:r w:rsidR="008E5758">
        <w:rPr>
          <w:sz w:val="26"/>
          <w:szCs w:val="26"/>
        </w:rPr>
        <w:t>we will not address them here.</w:t>
      </w:r>
      <w:r w:rsidR="00790A49">
        <w:rPr>
          <w:sz w:val="26"/>
          <w:szCs w:val="26"/>
        </w:rPr>
        <w:t xml:space="preserve">  </w:t>
      </w:r>
      <w:r w:rsidR="00790A49" w:rsidRPr="00790A49">
        <w:rPr>
          <w:i/>
          <w:sz w:val="26"/>
          <w:szCs w:val="26"/>
        </w:rPr>
        <w:t>See</w:t>
      </w:r>
      <w:r w:rsidR="00790A49">
        <w:rPr>
          <w:sz w:val="26"/>
          <w:szCs w:val="26"/>
        </w:rPr>
        <w:t xml:space="preserve"> 52 Pa. Code § 5.1, relating to Pleadings Allowed.</w:t>
      </w:r>
    </w:p>
    <w:p w:rsidR="00F41836" w:rsidRPr="00B15023" w:rsidRDefault="00F41836" w:rsidP="00F41836">
      <w:pPr>
        <w:pStyle w:val="FootnoteText"/>
        <w:spacing w:line="48" w:lineRule="auto"/>
        <w:rPr>
          <w:sz w:val="26"/>
          <w:szCs w:val="26"/>
        </w:rPr>
      </w:pPr>
    </w:p>
  </w:footnote>
  <w:footnote w:id="7">
    <w:p w:rsidR="00F41836" w:rsidRPr="00947BFD" w:rsidRDefault="00F41836" w:rsidP="00F41836">
      <w:pPr>
        <w:pStyle w:val="FootnoteText"/>
        <w:keepLines/>
        <w:tabs>
          <w:tab w:val="left" w:pos="720"/>
          <w:tab w:val="left" w:pos="1440"/>
        </w:tabs>
      </w:pPr>
      <w:r w:rsidRPr="009D5A47">
        <w:tab/>
      </w:r>
      <w:r w:rsidRPr="009D5A47">
        <w:rPr>
          <w:rStyle w:val="FootnoteReference"/>
          <w:sz w:val="26"/>
          <w:szCs w:val="26"/>
        </w:rPr>
        <w:footnoteRef/>
      </w:r>
      <w:r w:rsidRPr="009D5A47">
        <w:rPr>
          <w:sz w:val="26"/>
          <w:szCs w:val="26"/>
        </w:rPr>
        <w:tab/>
        <w:t>We note</w:t>
      </w:r>
      <w:r w:rsidRPr="009D5A47">
        <w:rPr>
          <w:sz w:val="26"/>
        </w:rPr>
        <w:t xml:space="preserve"> that the format of the Exceptions does not strictly comply with Section 5.533(b) of our Regulations, which requires that each exception be numbered</w:t>
      </w:r>
      <w:r w:rsidR="00353F40">
        <w:rPr>
          <w:sz w:val="26"/>
        </w:rPr>
        <w:t>,</w:t>
      </w:r>
      <w:r w:rsidRPr="009D5A47">
        <w:rPr>
          <w:sz w:val="26"/>
        </w:rPr>
        <w:t xml:space="preserve"> identify the finding of fact and conclusion of law to which exception is taken, and cite to the relevant pages of the Initial Decision.  52 Pa. Code § 5.533(b).  Nevert</w:t>
      </w:r>
      <w:r>
        <w:rPr>
          <w:sz w:val="26"/>
        </w:rPr>
        <w:t>heless, because the Complainant is</w:t>
      </w:r>
      <w:r w:rsidRPr="009D5A47">
        <w:rPr>
          <w:sz w:val="26"/>
        </w:rPr>
        <w:t xml:space="preserve">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65FB"/>
    <w:rsid w:val="00006685"/>
    <w:rsid w:val="00006A65"/>
    <w:rsid w:val="00006F35"/>
    <w:rsid w:val="00006FEE"/>
    <w:rsid w:val="0000721A"/>
    <w:rsid w:val="000075A6"/>
    <w:rsid w:val="00007AF7"/>
    <w:rsid w:val="00007E34"/>
    <w:rsid w:val="00007ECA"/>
    <w:rsid w:val="0001221F"/>
    <w:rsid w:val="000124ED"/>
    <w:rsid w:val="00013358"/>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4D"/>
    <w:rsid w:val="00025CEC"/>
    <w:rsid w:val="00025E34"/>
    <w:rsid w:val="00025F3F"/>
    <w:rsid w:val="00025FF6"/>
    <w:rsid w:val="0002606A"/>
    <w:rsid w:val="000260C6"/>
    <w:rsid w:val="000267E5"/>
    <w:rsid w:val="00026CD2"/>
    <w:rsid w:val="0003055F"/>
    <w:rsid w:val="0003093F"/>
    <w:rsid w:val="00030A62"/>
    <w:rsid w:val="00030F6D"/>
    <w:rsid w:val="000314B7"/>
    <w:rsid w:val="00032635"/>
    <w:rsid w:val="0003325E"/>
    <w:rsid w:val="00033512"/>
    <w:rsid w:val="000338FE"/>
    <w:rsid w:val="0003393B"/>
    <w:rsid w:val="00033D2F"/>
    <w:rsid w:val="00033EFA"/>
    <w:rsid w:val="0003417F"/>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AB8"/>
    <w:rsid w:val="00101F51"/>
    <w:rsid w:val="001026CA"/>
    <w:rsid w:val="00102FEB"/>
    <w:rsid w:val="0010341F"/>
    <w:rsid w:val="001034E9"/>
    <w:rsid w:val="001035AF"/>
    <w:rsid w:val="00104041"/>
    <w:rsid w:val="0010406E"/>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3C7"/>
    <w:rsid w:val="00130BA7"/>
    <w:rsid w:val="00130EA9"/>
    <w:rsid w:val="00131482"/>
    <w:rsid w:val="00131919"/>
    <w:rsid w:val="0013266A"/>
    <w:rsid w:val="0013269E"/>
    <w:rsid w:val="00133529"/>
    <w:rsid w:val="00134395"/>
    <w:rsid w:val="00135157"/>
    <w:rsid w:val="00135480"/>
    <w:rsid w:val="00135670"/>
    <w:rsid w:val="001358B2"/>
    <w:rsid w:val="00135972"/>
    <w:rsid w:val="001360F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682B"/>
    <w:rsid w:val="001770B0"/>
    <w:rsid w:val="00177F78"/>
    <w:rsid w:val="00180601"/>
    <w:rsid w:val="00181152"/>
    <w:rsid w:val="00181222"/>
    <w:rsid w:val="00182478"/>
    <w:rsid w:val="00182607"/>
    <w:rsid w:val="0018274A"/>
    <w:rsid w:val="00182AF3"/>
    <w:rsid w:val="001831AC"/>
    <w:rsid w:val="001839F1"/>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763"/>
    <w:rsid w:val="00191A20"/>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F37"/>
    <w:rsid w:val="001E5807"/>
    <w:rsid w:val="001E60EE"/>
    <w:rsid w:val="001E621D"/>
    <w:rsid w:val="001E6313"/>
    <w:rsid w:val="001E662B"/>
    <w:rsid w:val="001E6ACA"/>
    <w:rsid w:val="001E7091"/>
    <w:rsid w:val="001E7299"/>
    <w:rsid w:val="001F0025"/>
    <w:rsid w:val="001F0509"/>
    <w:rsid w:val="001F0B96"/>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4B16"/>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D32"/>
    <w:rsid w:val="00260044"/>
    <w:rsid w:val="00260613"/>
    <w:rsid w:val="00260957"/>
    <w:rsid w:val="00261032"/>
    <w:rsid w:val="002629EF"/>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60A"/>
    <w:rsid w:val="002A0783"/>
    <w:rsid w:val="002A0915"/>
    <w:rsid w:val="002A0D42"/>
    <w:rsid w:val="002A1164"/>
    <w:rsid w:val="002A2BEB"/>
    <w:rsid w:val="002A32CC"/>
    <w:rsid w:val="002A4450"/>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910"/>
    <w:rsid w:val="002E0A68"/>
    <w:rsid w:val="002E0FA9"/>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885"/>
    <w:rsid w:val="00303B99"/>
    <w:rsid w:val="00303D6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C0"/>
    <w:rsid w:val="00344804"/>
    <w:rsid w:val="00344D49"/>
    <w:rsid w:val="00345372"/>
    <w:rsid w:val="00346162"/>
    <w:rsid w:val="003468E7"/>
    <w:rsid w:val="00346C47"/>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093"/>
    <w:rsid w:val="003702A2"/>
    <w:rsid w:val="00370512"/>
    <w:rsid w:val="0037077D"/>
    <w:rsid w:val="0037081A"/>
    <w:rsid w:val="00370A42"/>
    <w:rsid w:val="00371750"/>
    <w:rsid w:val="00371A4B"/>
    <w:rsid w:val="0037262C"/>
    <w:rsid w:val="00372CFB"/>
    <w:rsid w:val="00372D90"/>
    <w:rsid w:val="003732C1"/>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00C7"/>
    <w:rsid w:val="003810DD"/>
    <w:rsid w:val="00381421"/>
    <w:rsid w:val="0038188D"/>
    <w:rsid w:val="00381FEF"/>
    <w:rsid w:val="00382B40"/>
    <w:rsid w:val="003840E0"/>
    <w:rsid w:val="003841E8"/>
    <w:rsid w:val="00384AEA"/>
    <w:rsid w:val="00384F64"/>
    <w:rsid w:val="00385502"/>
    <w:rsid w:val="00385526"/>
    <w:rsid w:val="003857E9"/>
    <w:rsid w:val="00385FAC"/>
    <w:rsid w:val="003862CD"/>
    <w:rsid w:val="003863E7"/>
    <w:rsid w:val="003866CA"/>
    <w:rsid w:val="00386D03"/>
    <w:rsid w:val="003878C9"/>
    <w:rsid w:val="003904F7"/>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783"/>
    <w:rsid w:val="003C6841"/>
    <w:rsid w:val="003C6A69"/>
    <w:rsid w:val="003C73F9"/>
    <w:rsid w:val="003C768D"/>
    <w:rsid w:val="003C77B2"/>
    <w:rsid w:val="003C7EC4"/>
    <w:rsid w:val="003D1F70"/>
    <w:rsid w:val="003D2152"/>
    <w:rsid w:val="003D234E"/>
    <w:rsid w:val="003D2AC7"/>
    <w:rsid w:val="003D2DE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7D8"/>
    <w:rsid w:val="00407AC0"/>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331"/>
    <w:rsid w:val="0042186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62F7"/>
    <w:rsid w:val="0044636A"/>
    <w:rsid w:val="00451116"/>
    <w:rsid w:val="00451656"/>
    <w:rsid w:val="00453C7E"/>
    <w:rsid w:val="00454835"/>
    <w:rsid w:val="00454F06"/>
    <w:rsid w:val="004550AC"/>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778D4"/>
    <w:rsid w:val="004813D4"/>
    <w:rsid w:val="004818B4"/>
    <w:rsid w:val="004821A1"/>
    <w:rsid w:val="004824CF"/>
    <w:rsid w:val="00482A39"/>
    <w:rsid w:val="00482B78"/>
    <w:rsid w:val="00482DB7"/>
    <w:rsid w:val="0048493F"/>
    <w:rsid w:val="00484D63"/>
    <w:rsid w:val="00485132"/>
    <w:rsid w:val="004864B3"/>
    <w:rsid w:val="004875B9"/>
    <w:rsid w:val="004875D5"/>
    <w:rsid w:val="004912CE"/>
    <w:rsid w:val="0049166E"/>
    <w:rsid w:val="00491A3E"/>
    <w:rsid w:val="00491D91"/>
    <w:rsid w:val="00492244"/>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FC8"/>
    <w:rsid w:val="004C1048"/>
    <w:rsid w:val="004C3390"/>
    <w:rsid w:val="004C44E9"/>
    <w:rsid w:val="004C4E4F"/>
    <w:rsid w:val="004C516F"/>
    <w:rsid w:val="004C6198"/>
    <w:rsid w:val="004C650A"/>
    <w:rsid w:val="004C68A0"/>
    <w:rsid w:val="004C692A"/>
    <w:rsid w:val="004C748A"/>
    <w:rsid w:val="004C7B23"/>
    <w:rsid w:val="004D1201"/>
    <w:rsid w:val="004D1313"/>
    <w:rsid w:val="004D16E8"/>
    <w:rsid w:val="004D1D85"/>
    <w:rsid w:val="004D2D46"/>
    <w:rsid w:val="004D2E4E"/>
    <w:rsid w:val="004D2E50"/>
    <w:rsid w:val="004D3590"/>
    <w:rsid w:val="004D35BD"/>
    <w:rsid w:val="004D38D2"/>
    <w:rsid w:val="004D3A9D"/>
    <w:rsid w:val="004D4277"/>
    <w:rsid w:val="004D4C2B"/>
    <w:rsid w:val="004D4CB2"/>
    <w:rsid w:val="004D54CF"/>
    <w:rsid w:val="004D5EDC"/>
    <w:rsid w:val="004D60F8"/>
    <w:rsid w:val="004D6AC4"/>
    <w:rsid w:val="004D7316"/>
    <w:rsid w:val="004E02AB"/>
    <w:rsid w:val="004E0DC3"/>
    <w:rsid w:val="004E1843"/>
    <w:rsid w:val="004E20B2"/>
    <w:rsid w:val="004E248A"/>
    <w:rsid w:val="004E2F87"/>
    <w:rsid w:val="004E3279"/>
    <w:rsid w:val="004E3C56"/>
    <w:rsid w:val="004E42DA"/>
    <w:rsid w:val="004E4662"/>
    <w:rsid w:val="004E47EC"/>
    <w:rsid w:val="004E4B84"/>
    <w:rsid w:val="004E514F"/>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432"/>
    <w:rsid w:val="005031DD"/>
    <w:rsid w:val="00504834"/>
    <w:rsid w:val="00504B4E"/>
    <w:rsid w:val="00504C7A"/>
    <w:rsid w:val="0050520C"/>
    <w:rsid w:val="00505489"/>
    <w:rsid w:val="00505AEE"/>
    <w:rsid w:val="00505C40"/>
    <w:rsid w:val="00505C62"/>
    <w:rsid w:val="005060D7"/>
    <w:rsid w:val="0050632E"/>
    <w:rsid w:val="00506975"/>
    <w:rsid w:val="00506D07"/>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84B"/>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BD7"/>
    <w:rsid w:val="00561065"/>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7127D"/>
    <w:rsid w:val="00571B4B"/>
    <w:rsid w:val="005722F6"/>
    <w:rsid w:val="005725F6"/>
    <w:rsid w:val="005732F8"/>
    <w:rsid w:val="00574453"/>
    <w:rsid w:val="005746E9"/>
    <w:rsid w:val="005749CC"/>
    <w:rsid w:val="00574A6D"/>
    <w:rsid w:val="00574DB8"/>
    <w:rsid w:val="005802AF"/>
    <w:rsid w:val="00580CF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41E2"/>
    <w:rsid w:val="005B4219"/>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48EE"/>
    <w:rsid w:val="005F50DF"/>
    <w:rsid w:val="005F5324"/>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7A9E"/>
    <w:rsid w:val="00630852"/>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587"/>
    <w:rsid w:val="006837CF"/>
    <w:rsid w:val="00683D97"/>
    <w:rsid w:val="00684C3A"/>
    <w:rsid w:val="00684FCA"/>
    <w:rsid w:val="0068524B"/>
    <w:rsid w:val="0068582B"/>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D9B"/>
    <w:rsid w:val="006C4FEE"/>
    <w:rsid w:val="006C65E9"/>
    <w:rsid w:val="006C6666"/>
    <w:rsid w:val="006C69E7"/>
    <w:rsid w:val="006C7956"/>
    <w:rsid w:val="006D03C2"/>
    <w:rsid w:val="006D10AE"/>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D34"/>
    <w:rsid w:val="006D5E20"/>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345F"/>
    <w:rsid w:val="00793CC0"/>
    <w:rsid w:val="00794177"/>
    <w:rsid w:val="0079508F"/>
    <w:rsid w:val="007955F3"/>
    <w:rsid w:val="007958ED"/>
    <w:rsid w:val="007960DD"/>
    <w:rsid w:val="007963BD"/>
    <w:rsid w:val="007966E6"/>
    <w:rsid w:val="00797A64"/>
    <w:rsid w:val="007A0505"/>
    <w:rsid w:val="007A0A90"/>
    <w:rsid w:val="007A1190"/>
    <w:rsid w:val="007A186C"/>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B30"/>
    <w:rsid w:val="007C20B1"/>
    <w:rsid w:val="007C2DB5"/>
    <w:rsid w:val="007C2E2A"/>
    <w:rsid w:val="007C3003"/>
    <w:rsid w:val="007C385F"/>
    <w:rsid w:val="007C3C80"/>
    <w:rsid w:val="007C3F53"/>
    <w:rsid w:val="007C4DB0"/>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F3E"/>
    <w:rsid w:val="007E4641"/>
    <w:rsid w:val="007E4778"/>
    <w:rsid w:val="007E4D75"/>
    <w:rsid w:val="007E5504"/>
    <w:rsid w:val="007E5D6C"/>
    <w:rsid w:val="007E6838"/>
    <w:rsid w:val="007E7FA7"/>
    <w:rsid w:val="007F02B9"/>
    <w:rsid w:val="007F038D"/>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1F9"/>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67A"/>
    <w:rsid w:val="009A6DB2"/>
    <w:rsid w:val="009A7553"/>
    <w:rsid w:val="009A759F"/>
    <w:rsid w:val="009A79BB"/>
    <w:rsid w:val="009A7C0F"/>
    <w:rsid w:val="009A7E31"/>
    <w:rsid w:val="009B03DF"/>
    <w:rsid w:val="009B0675"/>
    <w:rsid w:val="009B069F"/>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363D"/>
    <w:rsid w:val="009D38C0"/>
    <w:rsid w:val="009D41CC"/>
    <w:rsid w:val="009D4D46"/>
    <w:rsid w:val="009D575B"/>
    <w:rsid w:val="009D6193"/>
    <w:rsid w:val="009D6BC5"/>
    <w:rsid w:val="009D6DA4"/>
    <w:rsid w:val="009D7470"/>
    <w:rsid w:val="009D7861"/>
    <w:rsid w:val="009D7D33"/>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F9C"/>
    <w:rsid w:val="00A3748C"/>
    <w:rsid w:val="00A375EF"/>
    <w:rsid w:val="00A377CD"/>
    <w:rsid w:val="00A37896"/>
    <w:rsid w:val="00A40643"/>
    <w:rsid w:val="00A40981"/>
    <w:rsid w:val="00A41757"/>
    <w:rsid w:val="00A423C4"/>
    <w:rsid w:val="00A4294B"/>
    <w:rsid w:val="00A43195"/>
    <w:rsid w:val="00A4342E"/>
    <w:rsid w:val="00A444BE"/>
    <w:rsid w:val="00A457C2"/>
    <w:rsid w:val="00A45DBE"/>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633"/>
    <w:rsid w:val="00A9443C"/>
    <w:rsid w:val="00A9546A"/>
    <w:rsid w:val="00A95B0F"/>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6DCF"/>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746"/>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685D"/>
    <w:rsid w:val="00AF7DB4"/>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421"/>
    <w:rsid w:val="00B54430"/>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B6D"/>
    <w:rsid w:val="00B87E7C"/>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EA7"/>
    <w:rsid w:val="00BC10E6"/>
    <w:rsid w:val="00BC1220"/>
    <w:rsid w:val="00BC1250"/>
    <w:rsid w:val="00BC3211"/>
    <w:rsid w:val="00BC3516"/>
    <w:rsid w:val="00BC39E9"/>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18B6"/>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CA5"/>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43A5"/>
    <w:rsid w:val="00CA4EFA"/>
    <w:rsid w:val="00CA515E"/>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45B6"/>
    <w:rsid w:val="00CB45F4"/>
    <w:rsid w:val="00CB4616"/>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57A1"/>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22DF"/>
    <w:rsid w:val="00D72A2E"/>
    <w:rsid w:val="00D72F01"/>
    <w:rsid w:val="00D7314B"/>
    <w:rsid w:val="00D733D6"/>
    <w:rsid w:val="00D741FF"/>
    <w:rsid w:val="00D7587C"/>
    <w:rsid w:val="00D769B9"/>
    <w:rsid w:val="00D76DEC"/>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60A"/>
    <w:rsid w:val="00D93D91"/>
    <w:rsid w:val="00D94136"/>
    <w:rsid w:val="00D95091"/>
    <w:rsid w:val="00D95CB0"/>
    <w:rsid w:val="00D966F5"/>
    <w:rsid w:val="00D96D38"/>
    <w:rsid w:val="00D96E1A"/>
    <w:rsid w:val="00D973B2"/>
    <w:rsid w:val="00D9779A"/>
    <w:rsid w:val="00D97968"/>
    <w:rsid w:val="00D97BAA"/>
    <w:rsid w:val="00DA0435"/>
    <w:rsid w:val="00DA0AA0"/>
    <w:rsid w:val="00DA149D"/>
    <w:rsid w:val="00DA1902"/>
    <w:rsid w:val="00DA1B4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12D7"/>
    <w:rsid w:val="00DB1369"/>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4BD"/>
    <w:rsid w:val="00DD2711"/>
    <w:rsid w:val="00DD2CC2"/>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67D2"/>
    <w:rsid w:val="00E0055D"/>
    <w:rsid w:val="00E008B9"/>
    <w:rsid w:val="00E00C1D"/>
    <w:rsid w:val="00E00CCB"/>
    <w:rsid w:val="00E00EC5"/>
    <w:rsid w:val="00E0145C"/>
    <w:rsid w:val="00E0147F"/>
    <w:rsid w:val="00E01653"/>
    <w:rsid w:val="00E016AB"/>
    <w:rsid w:val="00E01C97"/>
    <w:rsid w:val="00E02519"/>
    <w:rsid w:val="00E0315C"/>
    <w:rsid w:val="00E03206"/>
    <w:rsid w:val="00E0368B"/>
    <w:rsid w:val="00E03E2C"/>
    <w:rsid w:val="00E03EB3"/>
    <w:rsid w:val="00E042C7"/>
    <w:rsid w:val="00E04421"/>
    <w:rsid w:val="00E0465E"/>
    <w:rsid w:val="00E04C73"/>
    <w:rsid w:val="00E055E3"/>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75A7"/>
    <w:rsid w:val="00E20168"/>
    <w:rsid w:val="00E20695"/>
    <w:rsid w:val="00E20740"/>
    <w:rsid w:val="00E20E92"/>
    <w:rsid w:val="00E21106"/>
    <w:rsid w:val="00E21CFC"/>
    <w:rsid w:val="00E21FA5"/>
    <w:rsid w:val="00E22C01"/>
    <w:rsid w:val="00E23622"/>
    <w:rsid w:val="00E23B80"/>
    <w:rsid w:val="00E2448F"/>
    <w:rsid w:val="00E245DA"/>
    <w:rsid w:val="00E24645"/>
    <w:rsid w:val="00E24817"/>
    <w:rsid w:val="00E24A2B"/>
    <w:rsid w:val="00E24CD6"/>
    <w:rsid w:val="00E26BB0"/>
    <w:rsid w:val="00E27177"/>
    <w:rsid w:val="00E2746D"/>
    <w:rsid w:val="00E274B5"/>
    <w:rsid w:val="00E27CB4"/>
    <w:rsid w:val="00E27DF6"/>
    <w:rsid w:val="00E30C01"/>
    <w:rsid w:val="00E31B92"/>
    <w:rsid w:val="00E31BCB"/>
    <w:rsid w:val="00E3286C"/>
    <w:rsid w:val="00E32963"/>
    <w:rsid w:val="00E32D9B"/>
    <w:rsid w:val="00E32DF1"/>
    <w:rsid w:val="00E332A7"/>
    <w:rsid w:val="00E33359"/>
    <w:rsid w:val="00E337BC"/>
    <w:rsid w:val="00E34160"/>
    <w:rsid w:val="00E34602"/>
    <w:rsid w:val="00E34E11"/>
    <w:rsid w:val="00E350CD"/>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F5C"/>
    <w:rsid w:val="00E84FB3"/>
    <w:rsid w:val="00E856FD"/>
    <w:rsid w:val="00E86A3E"/>
    <w:rsid w:val="00E86E52"/>
    <w:rsid w:val="00E86F68"/>
    <w:rsid w:val="00E87037"/>
    <w:rsid w:val="00E87819"/>
    <w:rsid w:val="00E90092"/>
    <w:rsid w:val="00E90ED5"/>
    <w:rsid w:val="00E921F3"/>
    <w:rsid w:val="00E92854"/>
    <w:rsid w:val="00E940E0"/>
    <w:rsid w:val="00E945C3"/>
    <w:rsid w:val="00E95E22"/>
    <w:rsid w:val="00E95FCD"/>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E8A"/>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5536"/>
    <w:rsid w:val="00ED56CF"/>
    <w:rsid w:val="00ED5B5C"/>
    <w:rsid w:val="00ED6B5A"/>
    <w:rsid w:val="00ED6D18"/>
    <w:rsid w:val="00ED70BD"/>
    <w:rsid w:val="00ED7934"/>
    <w:rsid w:val="00ED7D28"/>
    <w:rsid w:val="00ED7EE8"/>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B4B"/>
    <w:rsid w:val="00F514FB"/>
    <w:rsid w:val="00F52B73"/>
    <w:rsid w:val="00F52B7B"/>
    <w:rsid w:val="00F53C92"/>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9AF"/>
    <w:rsid w:val="00F74D3B"/>
    <w:rsid w:val="00F75686"/>
    <w:rsid w:val="00F76A4E"/>
    <w:rsid w:val="00F76E6E"/>
    <w:rsid w:val="00F77765"/>
    <w:rsid w:val="00F77907"/>
    <w:rsid w:val="00F77EC3"/>
    <w:rsid w:val="00F8049C"/>
    <w:rsid w:val="00F816B4"/>
    <w:rsid w:val="00F8182B"/>
    <w:rsid w:val="00F823C6"/>
    <w:rsid w:val="00F82EB4"/>
    <w:rsid w:val="00F842C0"/>
    <w:rsid w:val="00F84E26"/>
    <w:rsid w:val="00F84E2D"/>
    <w:rsid w:val="00F84FB1"/>
    <w:rsid w:val="00F85141"/>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5ED"/>
    <w:rsid w:val="00F94824"/>
    <w:rsid w:val="00F94C4E"/>
    <w:rsid w:val="00F94D42"/>
    <w:rsid w:val="00F951A5"/>
    <w:rsid w:val="00F9596E"/>
    <w:rsid w:val="00F95989"/>
    <w:rsid w:val="00F96798"/>
    <w:rsid w:val="00F96907"/>
    <w:rsid w:val="00F96919"/>
    <w:rsid w:val="00F97B87"/>
    <w:rsid w:val="00FA09F5"/>
    <w:rsid w:val="00FA0A7C"/>
    <w:rsid w:val="00FA10F4"/>
    <w:rsid w:val="00FA18D9"/>
    <w:rsid w:val="00FA1E4A"/>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5D37-7C17-4DB8-83AD-6713D5BB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5</cp:revision>
  <cp:lastPrinted>2015-04-23T11:37:00Z</cp:lastPrinted>
  <dcterms:created xsi:type="dcterms:W3CDTF">2015-04-09T20:01:00Z</dcterms:created>
  <dcterms:modified xsi:type="dcterms:W3CDTF">2015-04-23T11:40:00Z</dcterms:modified>
</cp:coreProperties>
</file>