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707F74">
        <w:rPr>
          <w:rFonts w:ascii="Arial" w:hAnsi="Arial" w:cs="Arial"/>
          <w:b/>
          <w:spacing w:val="-3"/>
          <w:szCs w:val="24"/>
        </w:rPr>
        <w:t>RE-</w:t>
      </w:r>
      <w:r w:rsidRPr="000B1B7B">
        <w:rPr>
          <w:rFonts w:ascii="Arial" w:hAnsi="Arial" w:cs="Arial"/>
          <w:b/>
          <w:spacing w:val="-3"/>
          <w:szCs w:val="24"/>
        </w:rPr>
        <w:t xml:space="preserve">SERVED: </w:t>
      </w:r>
      <w:r w:rsidR="00FA1B26">
        <w:rPr>
          <w:rFonts w:ascii="Arial" w:hAnsi="Arial" w:cs="Arial"/>
          <w:b/>
          <w:spacing w:val="-3"/>
          <w:szCs w:val="24"/>
        </w:rPr>
        <w:t>April 24,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546F0">
        <w:rPr>
          <w:rFonts w:ascii="Arial" w:hAnsi="Arial" w:cs="Arial"/>
          <w:spacing w:val="-3"/>
          <w:szCs w:val="24"/>
        </w:rPr>
        <w:t>C-2015-24</w:t>
      </w:r>
      <w:r w:rsidR="00FA1B26">
        <w:rPr>
          <w:rFonts w:ascii="Arial" w:hAnsi="Arial" w:cs="Arial"/>
          <w:spacing w:val="-3"/>
          <w:szCs w:val="24"/>
        </w:rPr>
        <w:t>76806</w:t>
      </w:r>
    </w:p>
    <w:p w:rsidR="00E76648" w:rsidRDefault="00FA1B26"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FA1B26" w:rsidRDefault="00C72E50"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C72E50" w:rsidRDefault="00C72E50"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C72E50">
        <w:rPr>
          <w:rFonts w:ascii="Arial" w:hAnsi="Arial" w:cs="Arial"/>
          <w:spacing w:val="-3"/>
          <w:szCs w:val="24"/>
          <w:vertAlign w:val="superscript"/>
        </w:rPr>
        <w:t>TH</w:t>
      </w:r>
      <w:r>
        <w:rPr>
          <w:rFonts w:ascii="Arial" w:hAnsi="Arial" w:cs="Arial"/>
          <w:spacing w:val="-3"/>
          <w:szCs w:val="24"/>
        </w:rPr>
        <w:t xml:space="preserve"> STREET</w:t>
      </w:r>
    </w:p>
    <w:p w:rsidR="00C72E50" w:rsidRPr="000B1B7B" w:rsidRDefault="00C72E50"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76648">
        <w:rPr>
          <w:rFonts w:ascii="Arial" w:hAnsi="Arial" w:cs="Arial"/>
          <w:spacing w:val="-3"/>
          <w:szCs w:val="24"/>
        </w:rPr>
        <w:t xml:space="preserve">Mary Collins in Care of </w:t>
      </w:r>
      <w:r w:rsidR="00C72E50">
        <w:rPr>
          <w:rFonts w:ascii="Arial" w:hAnsi="Arial" w:cs="Arial"/>
          <w:spacing w:val="-3"/>
          <w:szCs w:val="24"/>
        </w:rPr>
        <w:t xml:space="preserve">David </w:t>
      </w:r>
      <w:proofErr w:type="spellStart"/>
      <w:r w:rsidR="00C72E50">
        <w:rPr>
          <w:rFonts w:ascii="Arial" w:hAnsi="Arial" w:cs="Arial"/>
          <w:spacing w:val="-3"/>
          <w:szCs w:val="24"/>
        </w:rPr>
        <w:t>Wapensky</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707F74">
        <w:rPr>
          <w:rFonts w:ascii="Arial" w:hAnsi="Arial" w:cs="Arial"/>
          <w:b/>
          <w:spacing w:val="-3"/>
          <w:szCs w:val="24"/>
        </w:rPr>
        <w:t>RE-</w:t>
      </w:r>
      <w:r w:rsidRPr="000B1B7B">
        <w:rPr>
          <w:rFonts w:ascii="Arial" w:hAnsi="Arial" w:cs="Arial"/>
          <w:b/>
          <w:spacing w:val="-3"/>
          <w:szCs w:val="24"/>
        </w:rPr>
        <w:t xml:space="preserve">SERVED: </w:t>
      </w:r>
      <w:r w:rsidR="00C72E50">
        <w:rPr>
          <w:rFonts w:ascii="Arial" w:hAnsi="Arial" w:cs="Arial"/>
          <w:b/>
          <w:spacing w:val="-3"/>
          <w:szCs w:val="24"/>
        </w:rPr>
        <w:t>April 23,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72E50"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David </w:t>
            </w:r>
            <w:proofErr w:type="spellStart"/>
            <w:r>
              <w:rPr>
                <w:rFonts w:ascii="Arial" w:hAnsi="Arial" w:cs="Arial"/>
                <w:b/>
                <w:spacing w:val="-3"/>
                <w:szCs w:val="24"/>
              </w:rPr>
              <w:t>Wapensky</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72E50"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72E5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76648">
              <w:rPr>
                <w:rFonts w:ascii="Arial" w:hAnsi="Arial" w:cs="Arial"/>
                <w:b/>
                <w:spacing w:val="-3"/>
                <w:szCs w:val="24"/>
              </w:rPr>
              <w:t>C-2015-24</w:t>
            </w:r>
            <w:r w:rsidR="00C72E50">
              <w:rPr>
                <w:rFonts w:ascii="Arial" w:hAnsi="Arial" w:cs="Arial"/>
                <w:b/>
                <w:spacing w:val="-3"/>
                <w:szCs w:val="24"/>
              </w:rPr>
              <w:t>76806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C72E5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72E50">
        <w:rPr>
          <w:rFonts w:ascii="Arial" w:hAnsi="Arial" w:cs="Arial"/>
          <w:b/>
          <w:spacing w:val="-3"/>
          <w:szCs w:val="24"/>
        </w:rPr>
        <w:t>PPL Electric Utilities Corporation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DC" w:rsidRDefault="005271DC">
      <w:pPr>
        <w:spacing w:line="20" w:lineRule="exact"/>
      </w:pPr>
    </w:p>
  </w:endnote>
  <w:endnote w:type="continuationSeparator" w:id="0">
    <w:p w:rsidR="005271DC" w:rsidRDefault="005271DC">
      <w:r>
        <w:t xml:space="preserve"> </w:t>
      </w:r>
    </w:p>
  </w:endnote>
  <w:endnote w:type="continuationNotice" w:id="1">
    <w:p w:rsidR="005271DC" w:rsidRDefault="005271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DC" w:rsidRDefault="005271DC">
      <w:r>
        <w:separator/>
      </w:r>
    </w:p>
  </w:footnote>
  <w:footnote w:type="continuationSeparator" w:id="0">
    <w:p w:rsidR="005271DC" w:rsidRDefault="00527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0F3B"/>
    <w:rsid w:val="00033A38"/>
    <w:rsid w:val="00070F5C"/>
    <w:rsid w:val="0007160D"/>
    <w:rsid w:val="00094E8B"/>
    <w:rsid w:val="0009542E"/>
    <w:rsid w:val="000A72B2"/>
    <w:rsid w:val="000B6770"/>
    <w:rsid w:val="000D287A"/>
    <w:rsid w:val="00107CFE"/>
    <w:rsid w:val="001277D7"/>
    <w:rsid w:val="001546F0"/>
    <w:rsid w:val="001A3E43"/>
    <w:rsid w:val="001A7505"/>
    <w:rsid w:val="0024416B"/>
    <w:rsid w:val="002B7842"/>
    <w:rsid w:val="003178E3"/>
    <w:rsid w:val="00384A14"/>
    <w:rsid w:val="003C0312"/>
    <w:rsid w:val="003C5FFF"/>
    <w:rsid w:val="00407743"/>
    <w:rsid w:val="00416EF1"/>
    <w:rsid w:val="00457D95"/>
    <w:rsid w:val="004A3E7E"/>
    <w:rsid w:val="004B627A"/>
    <w:rsid w:val="004B77D4"/>
    <w:rsid w:val="004C5028"/>
    <w:rsid w:val="00510633"/>
    <w:rsid w:val="00512F9A"/>
    <w:rsid w:val="005271DC"/>
    <w:rsid w:val="005855AC"/>
    <w:rsid w:val="005870A8"/>
    <w:rsid w:val="00595AD0"/>
    <w:rsid w:val="005F2BB6"/>
    <w:rsid w:val="0064308B"/>
    <w:rsid w:val="00676166"/>
    <w:rsid w:val="00696F04"/>
    <w:rsid w:val="00697846"/>
    <w:rsid w:val="006C3B6E"/>
    <w:rsid w:val="00707F74"/>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9D73CA"/>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72E50"/>
    <w:rsid w:val="00CA1B8C"/>
    <w:rsid w:val="00CE191E"/>
    <w:rsid w:val="00CE252C"/>
    <w:rsid w:val="00D0063C"/>
    <w:rsid w:val="00D46F45"/>
    <w:rsid w:val="00D62047"/>
    <w:rsid w:val="00D656F8"/>
    <w:rsid w:val="00DE5C22"/>
    <w:rsid w:val="00E16979"/>
    <w:rsid w:val="00E34A4B"/>
    <w:rsid w:val="00E76648"/>
    <w:rsid w:val="00E97CDB"/>
    <w:rsid w:val="00ED4C40"/>
    <w:rsid w:val="00EE101A"/>
    <w:rsid w:val="00EF2D7E"/>
    <w:rsid w:val="00F40E01"/>
    <w:rsid w:val="00F45A00"/>
    <w:rsid w:val="00F90DD2"/>
    <w:rsid w:val="00FA1B26"/>
    <w:rsid w:val="00FC21E3"/>
    <w:rsid w:val="00FF22B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2015-04-23T17:28:00Z</dcterms:created>
  <dcterms:modified xsi:type="dcterms:W3CDTF">2015-04-23T17:31:00Z</dcterms:modified>
</cp:coreProperties>
</file>