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Default="006B486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6B486D" w:rsidRPr="008B1B0D" w:rsidRDefault="006B486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6B486D">
        <w:rPr>
          <w:rFonts w:ascii="Times New Roman" w:hAnsi="Times New Roman" w:cs="Times New Roman"/>
          <w:spacing w:val="-3"/>
        </w:rPr>
        <w:t>C-2014-2437291</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6B486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Dollar Taxi, LLC</w:t>
      </w:r>
      <w:r>
        <w:rPr>
          <w:rFonts w:ascii="Times New Roman" w:hAnsi="Times New Roman" w:cs="Times New Roman"/>
          <w:spacing w:val="-3"/>
        </w:rPr>
        <w:tab/>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rPr>
        <w:t xml:space="preserve">By Telephonic Hearing Notice dated </w:t>
      </w:r>
      <w:r w:rsidR="003C6521">
        <w:rPr>
          <w:rFonts w:ascii="Times New Roman" w:hAnsi="Times New Roman"/>
        </w:rPr>
        <w:t xml:space="preserve">April </w:t>
      </w:r>
      <w:r w:rsidR="00F32B1F">
        <w:rPr>
          <w:rFonts w:ascii="Times New Roman" w:hAnsi="Times New Roman"/>
        </w:rPr>
        <w:t>20</w:t>
      </w:r>
      <w:r w:rsidR="00D50E27">
        <w:rPr>
          <w:rFonts w:ascii="Times New Roman" w:hAnsi="Times New Roman"/>
        </w:rPr>
        <w:t>, 2015</w:t>
      </w:r>
      <w:r>
        <w:rPr>
          <w:rFonts w:ascii="Times New Roman" w:hAnsi="Times New Roman"/>
        </w:rPr>
        <w:t xml:space="preserve">, the Pennsylvania Public Utility Commission (Commission) scheduled an Initial Hearing for this matter for </w:t>
      </w:r>
      <w:r w:rsidR="00F32B1F">
        <w:rPr>
          <w:rFonts w:ascii="Times New Roman" w:hAnsi="Times New Roman"/>
        </w:rPr>
        <w:t xml:space="preserve">Tuesday, June 9, </w:t>
      </w:r>
      <w:r w:rsidR="00D50E27">
        <w:rPr>
          <w:rFonts w:ascii="Times New Roman" w:hAnsi="Times New Roman"/>
        </w:rPr>
        <w:t>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w:t>
      </w:r>
      <w:r w:rsidR="00F32B1F">
        <w:rPr>
          <w:rFonts w:ascii="Times New Roman" w:hAnsi="Times New Roman"/>
        </w:rPr>
        <w:t xml:space="preserve">in Hearing Room 4 of the Commonwealth Keystone Building in Harrisburg </w:t>
      </w:r>
      <w:r>
        <w:rPr>
          <w:rFonts w:ascii="Times New Roman" w:hAnsi="Times New Roman"/>
        </w:rPr>
        <w:t xml:space="preserve">and assigned me as the Presiding Officer.  </w:t>
      </w:r>
      <w:r w:rsidR="00F32B1F" w:rsidRPr="00F32B1F">
        <w:rPr>
          <w:rFonts w:ascii="Times New Roman" w:hAnsi="Times New Roman"/>
          <w:b/>
          <w:u w:val="single"/>
        </w:rPr>
        <w:t xml:space="preserve">You must be present in the Hearing Room at that time </w:t>
      </w:r>
      <w:r w:rsidRPr="00F32B1F">
        <w:rPr>
          <w:rFonts w:ascii="Times New Roman" w:hAnsi="Times New Roman" w:cs="Times New Roman"/>
          <w:b/>
          <w:u w:val="single"/>
        </w:rPr>
        <w:t>or</w:t>
      </w:r>
      <w:r w:rsidR="00F32B1F">
        <w:rPr>
          <w:rFonts w:ascii="Times New Roman" w:hAnsi="Times New Roman" w:cs="Times New Roman"/>
          <w:b/>
          <w:u w:val="single"/>
        </w:rPr>
        <w:t xml:space="preserve"> you may lose this case</w:t>
      </w:r>
      <w:r w:rsidR="00F32B1F">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8439C">
      <w:pPr>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F32B1F">
        <w:rPr>
          <w:rFonts w:ascii="Times New Roman" w:hAnsi="Times New Roman" w:cs="Times New Roman"/>
          <w:b/>
          <w:u w:val="single"/>
        </w:rPr>
        <w:t xml:space="preserve">parties are </w:t>
      </w:r>
      <w:r w:rsidRPr="006F325B">
        <w:rPr>
          <w:rFonts w:ascii="Times New Roman" w:hAnsi="Times New Roman" w:cs="Times New Roman"/>
          <w:b/>
          <w:u w:val="single"/>
        </w:rPr>
        <w:t xml:space="preserve">directed to </w:t>
      </w:r>
      <w:r w:rsidR="00F32B1F">
        <w:rPr>
          <w:rFonts w:ascii="Times New Roman" w:hAnsi="Times New Roman" w:cs="Times New Roman"/>
          <w:b/>
          <w:u w:val="single"/>
        </w:rPr>
        <w:t xml:space="preserve">hold settlement discussions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8439C">
      <w:pPr>
        <w:tabs>
          <w:tab w:val="left" w:pos="-720"/>
          <w:tab w:val="left" w:pos="2160"/>
        </w:tabs>
        <w:suppressAutoHyphens/>
        <w:spacing w:line="360" w:lineRule="auto"/>
        <w:ind w:left="1440"/>
        <w:rPr>
          <w:rFonts w:ascii="Times New Roman" w:hAnsi="Times New Roman" w:cs="Times New Roman"/>
        </w:rPr>
      </w:pPr>
    </w:p>
    <w:p w:rsidR="009E6606" w:rsidRDefault="009E6606" w:rsidP="0098439C">
      <w:pPr>
        <w:pStyle w:val="ParaTab1"/>
        <w:numPr>
          <w:ilvl w:val="0"/>
          <w:numId w:val="1"/>
        </w:numPr>
        <w:tabs>
          <w:tab w:val="clear" w:pos="1800"/>
          <w:tab w:val="num" w:pos="0"/>
          <w:tab w:val="left" w:pos="216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w:t>
      </w:r>
      <w:r w:rsidR="00F32B1F">
        <w:rPr>
          <w:rFonts w:ascii="Times New Roman" w:hAnsi="Times New Roman" w:cs="Times New Roman"/>
          <w:spacing w:val="-3"/>
        </w:rPr>
        <w:t>, or have the hearing held telephonically,</w:t>
      </w:r>
      <w:r w:rsidRPr="00FA6AC0">
        <w:rPr>
          <w:rFonts w:ascii="Times New Roman" w:hAnsi="Times New Roman" w:cs="Times New Roman"/>
          <w:spacing w:val="-3"/>
        </w:rPr>
        <w:t xml:space="preserv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Pa.Code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8439C" w:rsidRDefault="0098439C" w:rsidP="009E6606">
      <w:pPr>
        <w:pStyle w:val="ParaTab1"/>
        <w:ind w:left="2160" w:firstLine="0"/>
        <w:rPr>
          <w:rFonts w:ascii="Times New Roman" w:hAnsi="Times New Roman" w:cs="Times New Roman"/>
          <w:spacing w:val="-3"/>
        </w:rPr>
        <w:sectPr w:rsidR="0098439C" w:rsidSect="008E29A2">
          <w:footerReference w:type="default" r:id="rId9"/>
          <w:footerReference w:type="first" r:id="rId10"/>
          <w:pgSz w:w="12240" w:h="15840"/>
          <w:pgMar w:top="1440" w:right="1440" w:bottom="1440" w:left="1440" w:header="720" w:footer="720" w:gutter="0"/>
          <w:cols w:space="720"/>
          <w:docGrid w:linePitch="360"/>
        </w:sect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11"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F32B1F">
      <w:pPr>
        <w:pStyle w:val="ListParagraph"/>
        <w:ind w:left="0" w:firstLine="720"/>
        <w:rPr>
          <w:rFonts w:ascii="Times New Roman" w:hAnsi="Times New Roman" w:cs="Times New Roman"/>
        </w:rPr>
      </w:pPr>
    </w:p>
    <w:p w:rsidR="009E6606" w:rsidRPr="00F32B1F" w:rsidRDefault="009E6606" w:rsidP="007B6E01">
      <w:pPr>
        <w:pStyle w:val="ListParagraph"/>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F32B1F">
        <w:rPr>
          <w:rFonts w:ascii="Times New Roman" w:hAnsi="Times New Roman" w:cs="Times New Roman"/>
        </w:rPr>
        <w:t xml:space="preserve">If a party intends to present any documents or exhibits for consideration, it must provide one copy to the other parties and three (3) copies to me at least five days prior to the hearing.  A party should properly pre-mark exhibits for identification purposes.  </w:t>
      </w:r>
    </w:p>
    <w:p w:rsidR="009E6606" w:rsidRPr="003176BE" w:rsidRDefault="009E6606" w:rsidP="007B6E01">
      <w:pPr>
        <w:tabs>
          <w:tab w:val="left" w:pos="-720"/>
          <w:tab w:val="left" w:pos="2160"/>
        </w:tabs>
        <w:suppressAutoHyphens/>
        <w:spacing w:line="360" w:lineRule="auto"/>
        <w:rPr>
          <w:rFonts w:ascii="Times New Roman" w:hAnsi="Times New Roman" w:cs="Times New Roman"/>
        </w:rPr>
      </w:pPr>
    </w:p>
    <w:p w:rsidR="009E6606" w:rsidRDefault="00F32B1F" w:rsidP="007B6E01">
      <w:pPr>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Pr>
          <w:rFonts w:ascii="Times New Roman" w:hAnsi="Times New Roman" w:cs="Times New Roman"/>
        </w:rPr>
        <w:t>T</w:t>
      </w:r>
      <w:r w:rsidR="009E6606">
        <w:rPr>
          <w:rFonts w:ascii="Times New Roman" w:hAnsi="Times New Roman" w:cs="Times New Roman"/>
        </w:rPr>
        <w:t xml:space="preserve">he hearing is </w:t>
      </w:r>
      <w:r w:rsidR="009E6606" w:rsidRPr="003176BE">
        <w:rPr>
          <w:rFonts w:ascii="Times New Roman" w:hAnsi="Times New Roman" w:cs="Times New Roman"/>
        </w:rPr>
        <w:t xml:space="preserve">a formal proceeding and will </w:t>
      </w:r>
      <w:r w:rsidR="009E6606">
        <w:rPr>
          <w:rFonts w:ascii="Times New Roman" w:hAnsi="Times New Roman" w:cs="Times New Roman"/>
        </w:rPr>
        <w:t>be conducted</w:t>
      </w:r>
      <w:r w:rsidR="009E6606" w:rsidRPr="003176BE">
        <w:rPr>
          <w:rFonts w:ascii="Times New Roman" w:hAnsi="Times New Roman" w:cs="Times New Roman"/>
        </w:rPr>
        <w:t xml:space="preserve"> in accordance with the Commission’s Rules of Practice and Procedure.</w:t>
      </w:r>
    </w:p>
    <w:p w:rsidR="009E6606" w:rsidRDefault="009E6606" w:rsidP="007B6E01">
      <w:pPr>
        <w:pStyle w:val="ListParagraph"/>
        <w:tabs>
          <w:tab w:val="left" w:pos="2160"/>
        </w:tabs>
        <w:rPr>
          <w:rFonts w:ascii="Times New Roman" w:eastAsia="Calibri" w:hAnsi="Times New Roman" w:cs="Times New Roman"/>
          <w:spacing w:val="-3"/>
          <w:sz w:val="22"/>
          <w:szCs w:val="21"/>
        </w:rPr>
      </w:pPr>
    </w:p>
    <w:p w:rsidR="009E6606" w:rsidRPr="00FD4E81" w:rsidRDefault="009E6606"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7B6E01">
      <w:pPr>
        <w:tabs>
          <w:tab w:val="left" w:pos="2160"/>
        </w:tabs>
        <w:autoSpaceDE/>
        <w:autoSpaceDN/>
        <w:spacing w:line="360" w:lineRule="auto"/>
        <w:ind w:left="1440"/>
        <w:rPr>
          <w:rFonts w:ascii="Times New Roman" w:eastAsia="Calibri" w:hAnsi="Times New Roman" w:cs="Times New Roman"/>
        </w:rPr>
      </w:pPr>
    </w:p>
    <w:p w:rsidR="009E6606" w:rsidRPr="009055BF" w:rsidRDefault="009E6606"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7B6E01">
      <w:pPr>
        <w:tabs>
          <w:tab w:val="left" w:pos="2160"/>
        </w:tabs>
        <w:autoSpaceDE/>
        <w:autoSpaceDN/>
        <w:spacing w:line="360" w:lineRule="auto"/>
        <w:ind w:firstLine="1440"/>
        <w:rPr>
          <w:rFonts w:ascii="Times New Roman" w:eastAsia="Calibri" w:hAnsi="Times New Roman" w:cs="Times New Roman"/>
        </w:rPr>
      </w:pPr>
    </w:p>
    <w:p w:rsidR="009E6606" w:rsidRPr="009055BF" w:rsidRDefault="009E6606"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7B6E01">
      <w:pPr>
        <w:pStyle w:val="ListParagraph"/>
        <w:tabs>
          <w:tab w:val="left" w:pos="2160"/>
        </w:tabs>
        <w:ind w:left="0" w:firstLine="1440"/>
        <w:rPr>
          <w:rFonts w:ascii="Times New Roman" w:hAnsi="Times New Roman" w:cs="Times New Roman"/>
          <w:b/>
          <w:spacing w:val="-3"/>
          <w:u w:val="single"/>
        </w:rPr>
      </w:pPr>
    </w:p>
    <w:p w:rsidR="009E6606" w:rsidRPr="009055BF" w:rsidRDefault="009E6606"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7B6E01">
      <w:pPr>
        <w:pStyle w:val="ListParagraph"/>
        <w:tabs>
          <w:tab w:val="left" w:pos="2160"/>
        </w:tabs>
        <w:ind w:left="0" w:firstLine="1440"/>
        <w:rPr>
          <w:rFonts w:ascii="Times New Roman" w:hAnsi="Times New Roman" w:cs="Times New Roman"/>
          <w:spacing w:val="-3"/>
        </w:rPr>
      </w:pPr>
    </w:p>
    <w:p w:rsidR="009E6606" w:rsidRPr="009055BF" w:rsidRDefault="009E6606"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8439C" w:rsidRDefault="0098439C" w:rsidP="00F32B1F">
      <w:pPr>
        <w:numPr>
          <w:ilvl w:val="0"/>
          <w:numId w:val="1"/>
        </w:numPr>
        <w:tabs>
          <w:tab w:val="left" w:pos="2070"/>
        </w:tabs>
        <w:autoSpaceDE/>
        <w:autoSpaceDN/>
        <w:spacing w:line="360" w:lineRule="auto"/>
        <w:ind w:left="0" w:firstLine="1440"/>
        <w:rPr>
          <w:rFonts w:ascii="Times New Roman" w:hAnsi="Times New Roman"/>
        </w:rPr>
        <w:sectPr w:rsidR="0098439C" w:rsidSect="008E29A2">
          <w:footerReference w:type="default" r:id="rId12"/>
          <w:pgSz w:w="12240" w:h="15840"/>
          <w:pgMar w:top="1440" w:right="1440" w:bottom="1440" w:left="1440" w:header="720" w:footer="720" w:gutter="0"/>
          <w:cols w:space="720"/>
          <w:docGrid w:linePitch="360"/>
        </w:sectPr>
      </w:pPr>
    </w:p>
    <w:p w:rsidR="009E6606" w:rsidRDefault="009E6606"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7B6E01">
      <w:pPr>
        <w:pStyle w:val="ListParagraph"/>
        <w:tabs>
          <w:tab w:val="left" w:pos="2160"/>
        </w:tabs>
        <w:ind w:left="0" w:firstLine="1440"/>
        <w:rPr>
          <w:rFonts w:ascii="Times New Roman" w:hAnsi="Times New Roman"/>
        </w:rPr>
      </w:pPr>
    </w:p>
    <w:p w:rsidR="009E6606" w:rsidRPr="00AD3534" w:rsidRDefault="00F32B1F" w:rsidP="007B6E01">
      <w:pPr>
        <w:numPr>
          <w:ilvl w:val="0"/>
          <w:numId w:val="1"/>
        </w:numPr>
        <w:tabs>
          <w:tab w:val="clear" w:pos="1800"/>
          <w:tab w:val="left" w:pos="2160"/>
        </w:tabs>
        <w:autoSpaceDE/>
        <w:autoSpaceDN/>
        <w:spacing w:line="360" w:lineRule="auto"/>
        <w:ind w:left="0" w:firstLine="1440"/>
        <w:rPr>
          <w:rFonts w:ascii="Times New Roman" w:eastAsia="Calibri" w:hAnsi="Times New Roman" w:cs="Times New Roman"/>
        </w:rPr>
      </w:pPr>
      <w:r>
        <w:t xml:space="preserve">A </w:t>
      </w:r>
      <w:r w:rsidR="009E6606" w:rsidRPr="00412CE9">
        <w:t>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C6521">
        <w:rPr>
          <w:rFonts w:ascii="Times New Roman" w:hAnsi="Times New Roman" w:cs="Times New Roman"/>
          <w:spacing w:val="-3"/>
          <w:u w:val="single"/>
        </w:rPr>
        <w:t xml:space="preserve">April </w:t>
      </w:r>
      <w:r w:rsidR="00F32B1F">
        <w:rPr>
          <w:rFonts w:ascii="Times New Roman" w:hAnsi="Times New Roman" w:cs="Times New Roman"/>
          <w:spacing w:val="-3"/>
          <w:u w:val="single"/>
        </w:rPr>
        <w:t>23</w:t>
      </w:r>
      <w:r w:rsidR="001A41E7" w:rsidRPr="006C1F07">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98439C" w:rsidRDefault="0098439C" w:rsidP="00AD3534">
      <w:pPr>
        <w:pStyle w:val="ParaTab1"/>
        <w:tabs>
          <w:tab w:val="clear" w:pos="-720"/>
          <w:tab w:val="left" w:pos="720"/>
          <w:tab w:val="left" w:pos="5040"/>
        </w:tabs>
        <w:ind w:firstLine="0"/>
        <w:rPr>
          <w:rFonts w:ascii="Times New Roman" w:hAnsi="Times New Roman"/>
        </w:rPr>
      </w:pPr>
    </w:p>
    <w:p w:rsidR="0098439C" w:rsidRDefault="0098439C" w:rsidP="00AD3534">
      <w:pPr>
        <w:pStyle w:val="ParaTab1"/>
        <w:tabs>
          <w:tab w:val="clear" w:pos="-720"/>
          <w:tab w:val="left" w:pos="720"/>
          <w:tab w:val="left" w:pos="5040"/>
        </w:tabs>
        <w:ind w:firstLine="0"/>
        <w:sectPr w:rsidR="0098439C" w:rsidSect="008E29A2">
          <w:pgSz w:w="12240" w:h="15840"/>
          <w:pgMar w:top="1440" w:right="1440" w:bottom="1440" w:left="1440" w:header="720" w:footer="720" w:gutter="0"/>
          <w:cols w:space="720"/>
          <w:docGrid w:linePitch="360"/>
        </w:sectPr>
      </w:pPr>
    </w:p>
    <w:p w:rsidR="007B6E01" w:rsidRPr="007B6E01" w:rsidRDefault="007B6E01" w:rsidP="007B6E01">
      <w:pPr>
        <w:autoSpaceDE/>
        <w:autoSpaceDN/>
        <w:rPr>
          <w:rFonts w:ascii="Microsoft Sans Serif" w:hAnsi="Calibri" w:cs="Times New Roman"/>
          <w:b/>
          <w:szCs w:val="22"/>
          <w:u w:val="single"/>
        </w:rPr>
      </w:pPr>
      <w:bookmarkStart w:id="0" w:name="_GoBack"/>
      <w:r w:rsidRPr="007B6E01">
        <w:rPr>
          <w:rFonts w:ascii="Microsoft Sans Serif" w:hAnsi="Calibri" w:cs="Times New Roman"/>
          <w:b/>
          <w:szCs w:val="22"/>
          <w:u w:val="single"/>
        </w:rPr>
        <w:t xml:space="preserve">C-2014-2437291 </w:t>
      </w:r>
      <w:bookmarkEnd w:id="0"/>
      <w:r w:rsidRPr="007B6E01">
        <w:rPr>
          <w:rFonts w:ascii="Microsoft Sans Serif" w:hAnsi="Calibri" w:cs="Times New Roman"/>
          <w:b/>
          <w:szCs w:val="22"/>
          <w:u w:val="single"/>
        </w:rPr>
        <w:t>–</w:t>
      </w:r>
      <w:r w:rsidRPr="007B6E01">
        <w:rPr>
          <w:rFonts w:ascii="Microsoft Sans Serif" w:hAnsi="Calibri" w:cs="Times New Roman"/>
          <w:b/>
          <w:szCs w:val="22"/>
          <w:u w:val="single"/>
        </w:rPr>
        <w:t xml:space="preserve"> PENNSYLVANIA PUBLIC UTILITY COMMISSION, BUREAU INVESTIGATION AND ENFORCEMENT V. DOLLAR TAXI LLC</w:t>
      </w:r>
      <w:r w:rsidRPr="007B6E01">
        <w:rPr>
          <w:rFonts w:ascii="Microsoft Sans Serif" w:hAnsi="Calibri" w:cs="Times New Roman"/>
          <w:b/>
          <w:szCs w:val="22"/>
          <w:u w:val="single"/>
        </w:rPr>
        <w:cr/>
      </w:r>
      <w:r w:rsidRPr="007B6E01">
        <w:rPr>
          <w:rFonts w:ascii="Microsoft Sans Serif" w:hAnsi="Calibri" w:cs="Times New Roman"/>
          <w:b/>
          <w:szCs w:val="22"/>
          <w:u w:val="single"/>
        </w:rPr>
        <w:cr/>
      </w:r>
    </w:p>
    <w:p w:rsidR="007B6E01" w:rsidRPr="007B6E01" w:rsidRDefault="007B6E01" w:rsidP="007B6E01">
      <w:pPr>
        <w:autoSpaceDE/>
        <w:autoSpaceDN/>
        <w:rPr>
          <w:rFonts w:ascii="Microsoft Sans Serif" w:hAnsi="Calibri" w:cs="Times New Roman"/>
          <w:szCs w:val="22"/>
        </w:rPr>
      </w:pPr>
      <w:r w:rsidRPr="007B6E01">
        <w:rPr>
          <w:rFonts w:ascii="Microsoft Sans Serif" w:hAnsi="Calibri" w:cs="Times New Roman"/>
          <w:szCs w:val="22"/>
        </w:rPr>
        <w:t>KOURTNEY L MYERS ESQUIRE</w:t>
      </w:r>
    </w:p>
    <w:p w:rsidR="007B6E01" w:rsidRPr="007B6E01" w:rsidRDefault="007B6E01" w:rsidP="007B6E01">
      <w:pPr>
        <w:autoSpaceDE/>
        <w:autoSpaceDN/>
        <w:rPr>
          <w:rFonts w:ascii="Microsoft Sans Serif" w:hAnsi="Microsoft Sans Serif" w:cs="Microsoft Sans Serif"/>
        </w:rPr>
      </w:pPr>
      <w:r w:rsidRPr="007B6E01">
        <w:rPr>
          <w:rFonts w:ascii="Microsoft Sans Serif" w:hAnsi="Calibri" w:cs="Times New Roman"/>
          <w:szCs w:val="22"/>
        </w:rPr>
        <w:t>PUC-INVESTIGATION AND ENFORCEMENT</w:t>
      </w:r>
      <w:r w:rsidRPr="007B6E01">
        <w:rPr>
          <w:rFonts w:ascii="Microsoft Sans Serif" w:hAnsi="Calibri" w:cs="Times New Roman"/>
          <w:szCs w:val="22"/>
        </w:rPr>
        <w:cr/>
        <w:t>PO BOX 3265</w:t>
      </w:r>
      <w:r w:rsidRPr="007B6E01">
        <w:rPr>
          <w:rFonts w:ascii="Microsoft Sans Serif" w:hAnsi="Calibri" w:cs="Times New Roman"/>
          <w:szCs w:val="22"/>
        </w:rPr>
        <w:cr/>
        <w:t>HARRISBURG PA  17105-3265</w:t>
      </w:r>
      <w:r w:rsidRPr="007B6E01">
        <w:rPr>
          <w:rFonts w:ascii="Microsoft Sans Serif" w:hAnsi="Calibri" w:cs="Times New Roman"/>
          <w:szCs w:val="22"/>
        </w:rPr>
        <w:cr/>
      </w:r>
      <w:r w:rsidRPr="007B6E01">
        <w:rPr>
          <w:rFonts w:ascii="Microsoft Sans Serif" w:hAnsi="Calibri" w:cs="Times New Roman"/>
          <w:b/>
          <w:szCs w:val="22"/>
        </w:rPr>
        <w:t>717-705-4366</w:t>
      </w:r>
      <w:r w:rsidRPr="007B6E01">
        <w:rPr>
          <w:rFonts w:ascii="Microsoft Sans Serif" w:hAnsi="Calibri" w:cs="Times New Roman"/>
          <w:b/>
          <w:szCs w:val="22"/>
        </w:rPr>
        <w:cr/>
      </w:r>
      <w:r w:rsidRPr="007B6E01">
        <w:rPr>
          <w:rFonts w:ascii="Microsoft Sans Serif" w:hAnsi="Calibri" w:cs="Times New Roman"/>
          <w:szCs w:val="22"/>
        </w:rPr>
        <w:cr/>
        <w:t>JUSTINE PATE ESQUIRE</w:t>
      </w:r>
      <w:r w:rsidRPr="007B6E01">
        <w:rPr>
          <w:rFonts w:ascii="Microsoft Sans Serif" w:hAnsi="Calibri" w:cs="Times New Roman"/>
          <w:szCs w:val="22"/>
        </w:rPr>
        <w:cr/>
        <w:t>620 S 13</w:t>
      </w:r>
      <w:r w:rsidRPr="007B6E01">
        <w:rPr>
          <w:rFonts w:ascii="Microsoft Sans Serif" w:hAnsi="Calibri" w:cs="Times New Roman"/>
          <w:szCs w:val="22"/>
          <w:vertAlign w:val="superscript"/>
        </w:rPr>
        <w:t>TH</w:t>
      </w:r>
      <w:r w:rsidRPr="007B6E01">
        <w:rPr>
          <w:rFonts w:ascii="Microsoft Sans Serif" w:hAnsi="Calibri" w:cs="Times New Roman"/>
          <w:szCs w:val="22"/>
        </w:rPr>
        <w:t xml:space="preserve"> STREET</w:t>
      </w:r>
      <w:r w:rsidRPr="007B6E01">
        <w:rPr>
          <w:rFonts w:ascii="Microsoft Sans Serif" w:hAnsi="Calibri" w:cs="Times New Roman"/>
          <w:szCs w:val="22"/>
        </w:rPr>
        <w:cr/>
        <w:t>HARRISBURG PA  17104</w:t>
      </w:r>
      <w:r w:rsidRPr="007B6E01">
        <w:rPr>
          <w:rFonts w:ascii="Microsoft Sans Serif" w:hAnsi="Calibri" w:cs="Times New Roman"/>
          <w:szCs w:val="22"/>
        </w:rPr>
        <w:cr/>
      </w:r>
      <w:r w:rsidRPr="007B6E01">
        <w:rPr>
          <w:rFonts w:ascii="Microsoft Sans Serif" w:hAnsi="Calibri" w:cs="Times New Roman"/>
          <w:b/>
          <w:szCs w:val="22"/>
        </w:rPr>
        <w:t>347-351-2631</w:t>
      </w:r>
      <w:r w:rsidRPr="007B6E01">
        <w:rPr>
          <w:rFonts w:ascii="Microsoft Sans Serif" w:hAnsi="Calibri" w:cs="Times New Roman"/>
          <w:b/>
          <w:szCs w:val="22"/>
        </w:rPr>
        <w:cr/>
      </w:r>
      <w:r w:rsidRPr="007B6E01">
        <w:rPr>
          <w:rFonts w:ascii="Microsoft Sans Serif" w:hAnsi="Calibri" w:cs="Times New Roman"/>
          <w:b/>
          <w:i/>
          <w:u w:val="single"/>
        </w:rPr>
        <w:t>Accepts e-Service</w:t>
      </w:r>
    </w:p>
    <w:p w:rsidR="0098439C" w:rsidRDefault="0098439C" w:rsidP="00AD3534">
      <w:pPr>
        <w:pStyle w:val="ParaTab1"/>
        <w:tabs>
          <w:tab w:val="clear" w:pos="-720"/>
          <w:tab w:val="left" w:pos="720"/>
          <w:tab w:val="left" w:pos="5040"/>
        </w:tabs>
        <w:ind w:firstLine="0"/>
      </w:pPr>
    </w:p>
    <w:sectPr w:rsidR="009843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C8" w:rsidRDefault="00DA77C8">
      <w:r>
        <w:separator/>
      </w:r>
    </w:p>
  </w:endnote>
  <w:endnote w:type="continuationSeparator" w:id="0">
    <w:p w:rsidR="00DA77C8" w:rsidRDefault="00DA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DA77C8"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DA77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9C" w:rsidRDefault="0098439C">
    <w:pPr>
      <w:pStyle w:val="Footer"/>
      <w:jc w:val="center"/>
    </w:pPr>
    <w:r>
      <w:fldChar w:fldCharType="begin"/>
    </w:r>
    <w:r>
      <w:instrText xml:space="preserve"> PAGE   \* MERGEFORMAT </w:instrText>
    </w:r>
    <w:r>
      <w:fldChar w:fldCharType="separate"/>
    </w:r>
    <w:r w:rsidR="007B6E01">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C8" w:rsidRDefault="00DA77C8">
      <w:r>
        <w:separator/>
      </w:r>
    </w:p>
  </w:footnote>
  <w:footnote w:type="continuationSeparator" w:id="0">
    <w:p w:rsidR="00DA77C8" w:rsidRDefault="00DA7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A55C9"/>
    <w:rsid w:val="001152AF"/>
    <w:rsid w:val="001A41E7"/>
    <w:rsid w:val="001A7BA3"/>
    <w:rsid w:val="002428F7"/>
    <w:rsid w:val="00330BBB"/>
    <w:rsid w:val="003556DE"/>
    <w:rsid w:val="003838AC"/>
    <w:rsid w:val="00394324"/>
    <w:rsid w:val="003C6521"/>
    <w:rsid w:val="003E06D1"/>
    <w:rsid w:val="00401429"/>
    <w:rsid w:val="004E53C3"/>
    <w:rsid w:val="00604D39"/>
    <w:rsid w:val="00667D22"/>
    <w:rsid w:val="006A488A"/>
    <w:rsid w:val="006B486D"/>
    <w:rsid w:val="006C1F07"/>
    <w:rsid w:val="006C7456"/>
    <w:rsid w:val="00722DB0"/>
    <w:rsid w:val="00731CFE"/>
    <w:rsid w:val="00765206"/>
    <w:rsid w:val="00775EA1"/>
    <w:rsid w:val="00797272"/>
    <w:rsid w:val="007B6E01"/>
    <w:rsid w:val="007D372B"/>
    <w:rsid w:val="0083250A"/>
    <w:rsid w:val="00871B80"/>
    <w:rsid w:val="008D5417"/>
    <w:rsid w:val="008E29A2"/>
    <w:rsid w:val="008E71F1"/>
    <w:rsid w:val="00964B71"/>
    <w:rsid w:val="0098439C"/>
    <w:rsid w:val="009E6606"/>
    <w:rsid w:val="00AA753A"/>
    <w:rsid w:val="00AB009E"/>
    <w:rsid w:val="00AD3534"/>
    <w:rsid w:val="00BE3D2B"/>
    <w:rsid w:val="00CB1779"/>
    <w:rsid w:val="00CD2334"/>
    <w:rsid w:val="00CF4665"/>
    <w:rsid w:val="00D50E27"/>
    <w:rsid w:val="00DA77C8"/>
    <w:rsid w:val="00E54D17"/>
    <w:rsid w:val="00E8011E"/>
    <w:rsid w:val="00EA4CCC"/>
    <w:rsid w:val="00EA6874"/>
    <w:rsid w:val="00EF66ED"/>
    <w:rsid w:val="00F3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heskis@pa.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E6FA4-2F92-496B-8825-C686A126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2015-04-24T13:06:00Z</cp:lastPrinted>
  <dcterms:created xsi:type="dcterms:W3CDTF">2015-04-24T13:07:00Z</dcterms:created>
  <dcterms:modified xsi:type="dcterms:W3CDTF">2015-04-24T13:07:00Z</dcterms:modified>
</cp:coreProperties>
</file>