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C87835" w:rsidRPr="00D65D31" w:rsidRDefault="00C87835" w:rsidP="00C87835">
      <w:pPr>
        <w:widowControl w:val="0"/>
        <w:adjustRightInd w:val="0"/>
        <w:rPr>
          <w:bCs/>
          <w:color w:val="000000"/>
        </w:rPr>
      </w:pPr>
      <w:r>
        <w:rPr>
          <w:bCs/>
          <w:color w:val="000000"/>
        </w:rPr>
        <w:t xml:space="preserve">Commonwealth of Pennsylvania, </w:t>
      </w:r>
      <w:r>
        <w:rPr>
          <w:bCs/>
          <w:i/>
          <w:color w:val="000000"/>
        </w:rPr>
        <w:t>et al.</w:t>
      </w:r>
      <w:r w:rsidRPr="00D65D31">
        <w:rPr>
          <w:bCs/>
          <w:color w:val="000000"/>
        </w:rPr>
        <w:tab/>
      </w:r>
      <w:r w:rsidRPr="00D65D31">
        <w:rPr>
          <w:bCs/>
          <w:color w:val="000000"/>
        </w:rPr>
        <w:tab/>
        <w:t>:</w:t>
      </w:r>
    </w:p>
    <w:p w:rsidR="00C87835" w:rsidRPr="00D65D31" w:rsidRDefault="00C87835" w:rsidP="00C87835">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C87835" w:rsidRPr="00D65D31" w:rsidRDefault="00C87835" w:rsidP="00C87835">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bookmarkStart w:id="0" w:name="_GoBack"/>
      <w:r w:rsidRPr="00D65D31">
        <w:rPr>
          <w:bCs/>
          <w:color w:val="000000"/>
        </w:rPr>
        <w:t>C-201</w:t>
      </w:r>
      <w:r>
        <w:rPr>
          <w:bCs/>
          <w:color w:val="000000"/>
        </w:rPr>
        <w:t>4-2427656</w:t>
      </w:r>
      <w:bookmarkEnd w:id="0"/>
    </w:p>
    <w:p w:rsidR="00C87835" w:rsidRPr="00D65D31" w:rsidRDefault="00C87835" w:rsidP="00C87835">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C87835" w:rsidRDefault="00C87835" w:rsidP="00C87835">
      <w:pPr>
        <w:widowControl w:val="0"/>
        <w:adjustRightInd w:val="0"/>
        <w:rPr>
          <w:bCs/>
          <w:color w:val="000000"/>
        </w:rPr>
      </w:pPr>
      <w:r>
        <w:rPr>
          <w:bCs/>
          <w:color w:val="000000"/>
        </w:rPr>
        <w:t>Energy Services Providers, Inc. d/b/a</w:t>
      </w:r>
      <w:r w:rsidRPr="00D65D31">
        <w:rPr>
          <w:bCs/>
          <w:color w:val="000000"/>
        </w:rPr>
        <w:tab/>
      </w:r>
      <w:r w:rsidRPr="00D65D31">
        <w:rPr>
          <w:bCs/>
          <w:color w:val="000000"/>
        </w:rPr>
        <w:tab/>
      </w:r>
      <w:r w:rsidRPr="00D65D31">
        <w:rPr>
          <w:bCs/>
          <w:color w:val="000000"/>
        </w:rPr>
        <w:tab/>
        <w:t>:</w:t>
      </w:r>
    </w:p>
    <w:p w:rsidR="00C87835" w:rsidRPr="00D65D31" w:rsidRDefault="00C87835" w:rsidP="00C87835">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6D7008" w:rsidRDefault="006D7008" w:rsidP="0062545F">
      <w:pPr>
        <w:tabs>
          <w:tab w:val="center" w:pos="4680"/>
        </w:tabs>
        <w:suppressAutoHyphens/>
        <w:jc w:val="center"/>
        <w:rPr>
          <w:b/>
          <w:bCs/>
          <w:spacing w:val="-3"/>
          <w:u w:val="single"/>
        </w:rPr>
      </w:pPr>
      <w:r>
        <w:rPr>
          <w:b/>
          <w:bCs/>
          <w:spacing w:val="-3"/>
          <w:u w:val="single"/>
        </w:rPr>
        <w:t>GRANTING PETITION TO INTERVENE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063BFF" w:rsidRPr="00C7317B" w:rsidRDefault="00063BFF" w:rsidP="00063BFF">
      <w:pPr>
        <w:widowControl w:val="0"/>
        <w:adjustRightInd w:val="0"/>
        <w:spacing w:line="360" w:lineRule="auto"/>
        <w:ind w:firstLine="1440"/>
        <w:rPr>
          <w:bCs/>
          <w:color w:val="000000"/>
        </w:rPr>
      </w:pPr>
      <w:r w:rsidRPr="00C7317B">
        <w:rPr>
          <w:bCs/>
          <w:color w:val="000000"/>
        </w:rPr>
        <w:t>On June 20, 2014, the Commonwealth of Pennsylvania, by Attorney General Kathleen G. Kane, through the Bureau of Consumer Protection (OAG)</w:t>
      </w:r>
      <w:r>
        <w:rPr>
          <w:bCs/>
          <w:color w:val="000000"/>
        </w:rPr>
        <w:t>,</w:t>
      </w:r>
      <w:r w:rsidRPr="00C7317B">
        <w:rPr>
          <w:bCs/>
          <w:color w:val="000000"/>
        </w:rPr>
        <w:t xml:space="preserve"> and Tanya J. McCloskey, Acting Consumer Advocate (OCA) (collectively referred to as “the Joint Complainants”) filed with the Pennsylvania Public Utility Commission (Commission) a formal Complaint against Energy Services Providers, Inc. d/b/a Pennsylvania Gas &amp; Electric (</w:t>
      </w:r>
      <w:r w:rsidR="00EA0B9E">
        <w:rPr>
          <w:bCs/>
          <w:color w:val="000000"/>
        </w:rPr>
        <w:t>PaG&amp;E</w:t>
      </w:r>
      <w:r w:rsidRPr="00C7317B">
        <w:rPr>
          <w:bCs/>
          <w:color w:val="000000"/>
        </w:rPr>
        <w:t xml:space="preserve"> or “the Company”), at Docket Number C-2014-2427656.  The Joint Complainants averred that they had received numerous contacts and complaints from consumers related to variable rates charged by </w:t>
      </w:r>
      <w:r w:rsidR="00EA0B9E">
        <w:rPr>
          <w:bCs/>
          <w:color w:val="000000"/>
        </w:rPr>
        <w:t>PaG&amp;E</w:t>
      </w:r>
      <w:r w:rsidRPr="00C7317B">
        <w:rPr>
          <w:bCs/>
          <w:color w:val="000000"/>
        </w:rPr>
        <w:t xml:space="preserve">, including approximately 23 formal complaints filed by consumers at the Commission.  As a result, the Joint Complainants averred seven separate counts against </w:t>
      </w:r>
      <w:r w:rsidR="00EA0B9E">
        <w:rPr>
          <w:bCs/>
          <w:color w:val="000000"/>
        </w:rPr>
        <w:t>PaG&amp;E</w:t>
      </w:r>
      <w:r w:rsidRPr="00C7317B">
        <w:rPr>
          <w:bCs/>
          <w:color w:val="000000"/>
        </w:rPr>
        <w:t>, including, but not limited to, making misleading and deceptive promises of savings, slamming and failing to provide accurate pricing information.  The Joint Complainants made several requests for relief, including providing restitution and prohibiting dece</w:t>
      </w:r>
      <w:r>
        <w:rPr>
          <w:bCs/>
          <w:color w:val="000000"/>
        </w:rPr>
        <w:t>ptive practices in the future</w:t>
      </w:r>
      <w:r w:rsidRPr="00C7317B">
        <w:rPr>
          <w:bCs/>
          <w:color w:val="000000"/>
        </w:rPr>
        <w:t>.</w:t>
      </w:r>
    </w:p>
    <w:p w:rsidR="00063BFF" w:rsidRDefault="00063BFF" w:rsidP="0094648D">
      <w:pPr>
        <w:widowControl w:val="0"/>
        <w:adjustRightInd w:val="0"/>
        <w:spacing w:line="360" w:lineRule="auto"/>
        <w:ind w:firstLine="1440"/>
        <w:rPr>
          <w:bCs/>
          <w:color w:val="000000"/>
        </w:rPr>
      </w:pPr>
    </w:p>
    <w:p w:rsidR="00063BFF" w:rsidRDefault="00063BFF" w:rsidP="00063BFF">
      <w:pPr>
        <w:widowControl w:val="0"/>
        <w:adjustRightInd w:val="0"/>
        <w:spacing w:line="360" w:lineRule="auto"/>
        <w:ind w:firstLine="1440"/>
        <w:rPr>
          <w:bCs/>
          <w:color w:val="000000"/>
        </w:rPr>
      </w:pPr>
      <w:r w:rsidRPr="00C7317B">
        <w:rPr>
          <w:bCs/>
          <w:color w:val="000000"/>
        </w:rPr>
        <w:t xml:space="preserve">On July 10, 2014, </w:t>
      </w:r>
      <w:r w:rsidR="00EA0B9E">
        <w:rPr>
          <w:bCs/>
          <w:color w:val="000000"/>
        </w:rPr>
        <w:t xml:space="preserve">PaG&amp;E </w:t>
      </w:r>
      <w:r w:rsidRPr="00C7317B">
        <w:rPr>
          <w:bCs/>
          <w:color w:val="000000"/>
        </w:rPr>
        <w:t xml:space="preserve">filed an Answer and New Matter in response to the Complaint.  In its Answer, </w:t>
      </w:r>
      <w:r w:rsidR="00EA0B9E">
        <w:rPr>
          <w:bCs/>
          <w:color w:val="000000"/>
        </w:rPr>
        <w:t xml:space="preserve">PaG&amp;E </w:t>
      </w:r>
      <w:r w:rsidRPr="00C7317B">
        <w:rPr>
          <w:bCs/>
          <w:color w:val="000000"/>
        </w:rPr>
        <w:t xml:space="preserve">admitted or denied the various averments made by the Joint Complainants.  In particular, </w:t>
      </w:r>
      <w:r w:rsidR="00EA0B9E">
        <w:rPr>
          <w:bCs/>
          <w:color w:val="000000"/>
        </w:rPr>
        <w:t xml:space="preserve">PaG&amp;E </w:t>
      </w:r>
      <w:r w:rsidRPr="00C7317B">
        <w:rPr>
          <w:bCs/>
          <w:color w:val="000000"/>
        </w:rPr>
        <w:t xml:space="preserve">specifically denied that </w:t>
      </w:r>
      <w:r>
        <w:rPr>
          <w:bCs/>
          <w:color w:val="000000"/>
        </w:rPr>
        <w:t xml:space="preserve">any of its actions violated Pennsylvania law or the orders and regulations of the Commission.  </w:t>
      </w:r>
      <w:r w:rsidR="00EA0B9E">
        <w:rPr>
          <w:bCs/>
          <w:color w:val="000000"/>
        </w:rPr>
        <w:t xml:space="preserve">PaG&amp;E </w:t>
      </w:r>
      <w:r>
        <w:rPr>
          <w:bCs/>
          <w:color w:val="000000"/>
        </w:rPr>
        <w:t xml:space="preserve">also denied that it misled or deceived any of its customers regarding the price customers </w:t>
      </w:r>
      <w:r>
        <w:rPr>
          <w:bCs/>
          <w:color w:val="000000"/>
        </w:rPr>
        <w:lastRenderedPageBreak/>
        <w:t xml:space="preserve">would pay for their electricity to their harm or detriment.   In its New Matter, </w:t>
      </w:r>
      <w:r w:rsidR="00EA0B9E">
        <w:rPr>
          <w:bCs/>
          <w:color w:val="000000"/>
        </w:rPr>
        <w:t xml:space="preserve">PaG&amp;E </w:t>
      </w:r>
      <w:r>
        <w:rPr>
          <w:bCs/>
          <w:color w:val="000000"/>
        </w:rPr>
        <w:t xml:space="preserve"> averred, among other things, that the Commission previously reviewed and approved </w:t>
      </w:r>
      <w:r w:rsidR="00EA0B9E">
        <w:rPr>
          <w:bCs/>
          <w:color w:val="000000"/>
        </w:rPr>
        <w:t xml:space="preserve">PaG&amp;E’s </w:t>
      </w:r>
      <w:r>
        <w:rPr>
          <w:bCs/>
          <w:color w:val="000000"/>
        </w:rPr>
        <w:t xml:space="preserve">Disclosure Statement and that at all times during the period covered by the allegations in the Complaint, </w:t>
      </w:r>
      <w:r w:rsidR="00EA0B9E">
        <w:rPr>
          <w:bCs/>
          <w:color w:val="000000"/>
        </w:rPr>
        <w:t xml:space="preserve">PaG&amp;E’s </w:t>
      </w:r>
      <w:r>
        <w:rPr>
          <w:bCs/>
          <w:color w:val="000000"/>
        </w:rPr>
        <w:t xml:space="preserve">pricing was consistent with the Disclosure Statement, except to the extent that </w:t>
      </w:r>
      <w:r w:rsidR="00EA0B9E">
        <w:rPr>
          <w:bCs/>
          <w:color w:val="000000"/>
        </w:rPr>
        <w:t>PaG&amp;E</w:t>
      </w:r>
      <w:r>
        <w:rPr>
          <w:bCs/>
          <w:color w:val="000000"/>
        </w:rPr>
        <w:t xml:space="preserve"> voluntarily absorbed extremely high wholesale electricity prices.  </w:t>
      </w:r>
      <w:r w:rsidR="00EA0B9E">
        <w:rPr>
          <w:bCs/>
          <w:color w:val="000000"/>
        </w:rPr>
        <w:t xml:space="preserve">PaG&amp;E </w:t>
      </w:r>
      <w:r>
        <w:rPr>
          <w:bCs/>
          <w:color w:val="000000"/>
        </w:rPr>
        <w:t>averred thirteen affirmative defenses and concluded by requesting that the Commission dismiss the Complaint with prejudice.</w:t>
      </w:r>
    </w:p>
    <w:p w:rsidR="00063BFF" w:rsidRDefault="00063BFF" w:rsidP="00063BFF">
      <w:pPr>
        <w:widowControl w:val="0"/>
        <w:adjustRightInd w:val="0"/>
        <w:spacing w:line="360" w:lineRule="auto"/>
        <w:ind w:firstLine="1440"/>
        <w:rPr>
          <w:bCs/>
          <w:color w:val="000000"/>
        </w:rPr>
      </w:pPr>
    </w:p>
    <w:p w:rsidR="009761D7" w:rsidRPr="00E17942" w:rsidRDefault="009761D7" w:rsidP="009761D7">
      <w:pPr>
        <w:widowControl w:val="0"/>
        <w:adjustRightInd w:val="0"/>
        <w:spacing w:line="360" w:lineRule="auto"/>
        <w:ind w:firstLine="1440"/>
        <w:rPr>
          <w:bCs/>
          <w:strike/>
          <w:color w:val="000000"/>
        </w:rPr>
      </w:pPr>
      <w:r>
        <w:rPr>
          <w:bCs/>
          <w:color w:val="000000"/>
        </w:rPr>
        <w:t xml:space="preserve">Subsequently, the procedural history of this Complaint has been quite extensive.  Various pleadings have been filed, including Preliminary Objections and Answers to Preliminary Objections.  On August 20, 2014, an Order Granting in Part and Denying in Part Preliminary Objections </w:t>
      </w:r>
      <w:r w:rsidR="00EB6D11">
        <w:rPr>
          <w:bCs/>
          <w:color w:val="000000"/>
        </w:rPr>
        <w:t>was issued striking portions of the Complaint</w:t>
      </w:r>
      <w:r>
        <w:rPr>
          <w:bCs/>
          <w:color w:val="000000"/>
        </w:rPr>
        <w:t xml:space="preserve">.  </w:t>
      </w:r>
      <w:r w:rsidR="00EB6D11">
        <w:rPr>
          <w:bCs/>
          <w:color w:val="000000"/>
        </w:rPr>
        <w:t xml:space="preserve">A Motion </w:t>
      </w:r>
      <w:r w:rsidR="00EB6D11">
        <w:rPr>
          <w:bCs/>
          <w:i/>
          <w:color w:val="000000"/>
        </w:rPr>
        <w:t>in Limine</w:t>
      </w:r>
      <w:r w:rsidR="00EB6D11">
        <w:rPr>
          <w:bCs/>
          <w:color w:val="000000"/>
        </w:rPr>
        <w:t xml:space="preserve"> was also filed seeking to restrict the introduction of certain evidence. </w:t>
      </w:r>
      <w:r>
        <w:rPr>
          <w:bCs/>
          <w:color w:val="000000"/>
        </w:rPr>
        <w:t xml:space="preserve">Additionally, </w:t>
      </w:r>
      <w:r w:rsidR="00307DFB">
        <w:rPr>
          <w:bCs/>
          <w:color w:val="000000"/>
        </w:rPr>
        <w:t>two</w:t>
      </w:r>
      <w:r>
        <w:rPr>
          <w:bCs/>
          <w:color w:val="000000"/>
        </w:rPr>
        <w:t xml:space="preserve"> Petition</w:t>
      </w:r>
      <w:r w:rsidR="00307DFB">
        <w:rPr>
          <w:bCs/>
          <w:color w:val="000000"/>
        </w:rPr>
        <w:t>s</w:t>
      </w:r>
      <w:r>
        <w:rPr>
          <w:bCs/>
          <w:color w:val="000000"/>
        </w:rPr>
        <w:t xml:space="preserve"> for Interlocutory Review of Material Question </w:t>
      </w:r>
      <w:r w:rsidR="00307DFB">
        <w:rPr>
          <w:bCs/>
          <w:color w:val="000000"/>
        </w:rPr>
        <w:t>were</w:t>
      </w:r>
      <w:r>
        <w:rPr>
          <w:bCs/>
          <w:color w:val="000000"/>
        </w:rPr>
        <w:t xml:space="preserve"> filed with the Commis</w:t>
      </w:r>
      <w:r w:rsidR="00307DFB">
        <w:rPr>
          <w:bCs/>
          <w:color w:val="000000"/>
        </w:rPr>
        <w:t>sion</w:t>
      </w:r>
      <w:r>
        <w:rPr>
          <w:bCs/>
          <w:color w:val="000000"/>
        </w:rPr>
        <w:t>.</w:t>
      </w:r>
      <w:r w:rsidR="00EA0B9E">
        <w:rPr>
          <w:bCs/>
          <w:color w:val="000000"/>
        </w:rPr>
        <w:t xml:space="preserve">  A Motion for Continuance was requested and granted.</w:t>
      </w:r>
    </w:p>
    <w:p w:rsidR="009761D7" w:rsidRPr="004C6C4E" w:rsidRDefault="009761D7" w:rsidP="009761D7">
      <w:pPr>
        <w:widowControl w:val="0"/>
        <w:adjustRightInd w:val="0"/>
        <w:spacing w:line="360" w:lineRule="auto"/>
        <w:ind w:firstLine="1440"/>
        <w:rPr>
          <w:bCs/>
          <w:color w:val="000000"/>
        </w:rPr>
      </w:pPr>
    </w:p>
    <w:p w:rsidR="00144B9B" w:rsidRDefault="009761D7" w:rsidP="009761D7">
      <w:pPr>
        <w:widowControl w:val="0"/>
        <w:adjustRightInd w:val="0"/>
        <w:spacing w:line="360" w:lineRule="auto"/>
        <w:ind w:firstLine="1440"/>
        <w:rPr>
          <w:bCs/>
          <w:color w:val="000000"/>
        </w:rPr>
      </w:pPr>
      <w:r w:rsidRPr="00801BEC">
        <w:rPr>
          <w:bCs/>
          <w:color w:val="000000"/>
        </w:rPr>
        <w:t xml:space="preserve">Of note, on </w:t>
      </w:r>
      <w:r w:rsidR="006D7008">
        <w:rPr>
          <w:bCs/>
          <w:color w:val="000000"/>
        </w:rPr>
        <w:t xml:space="preserve">March 24, 2015, </w:t>
      </w:r>
      <w:r w:rsidR="00EA0B9E">
        <w:rPr>
          <w:bCs/>
          <w:color w:val="000000"/>
        </w:rPr>
        <w:t xml:space="preserve">the Joint Complainants, PaG&amp;E and the Commission’s Bureau of Investigation and Enforcement (I&amp;E), an intervenor in this case, filed a Joint Petition for Approval of Settlement seeking to resolve the matters presently before the Commission.  Attached to the </w:t>
      </w:r>
      <w:r w:rsidR="007E13BB">
        <w:rPr>
          <w:bCs/>
          <w:color w:val="000000"/>
        </w:rPr>
        <w:t>s</w:t>
      </w:r>
      <w:r w:rsidR="00EA0B9E">
        <w:rPr>
          <w:bCs/>
          <w:color w:val="000000"/>
        </w:rPr>
        <w:t xml:space="preserve">ettlement were Statements in Support of the Settlement and a Stipulation of Facts between the </w:t>
      </w:r>
      <w:r w:rsidR="007E13BB">
        <w:rPr>
          <w:bCs/>
          <w:color w:val="000000"/>
        </w:rPr>
        <w:t>settling parties</w:t>
      </w:r>
      <w:r w:rsidR="00EA0B9E">
        <w:rPr>
          <w:bCs/>
          <w:color w:val="000000"/>
        </w:rPr>
        <w:t xml:space="preserve">.  </w:t>
      </w:r>
    </w:p>
    <w:p w:rsidR="00144B9B" w:rsidRDefault="00144B9B" w:rsidP="009761D7">
      <w:pPr>
        <w:widowControl w:val="0"/>
        <w:adjustRightInd w:val="0"/>
        <w:spacing w:line="360" w:lineRule="auto"/>
        <w:ind w:firstLine="1440"/>
        <w:rPr>
          <w:bCs/>
          <w:color w:val="000000"/>
        </w:rPr>
      </w:pPr>
    </w:p>
    <w:p w:rsidR="00144B9B" w:rsidRDefault="00EA0B9E" w:rsidP="009761D7">
      <w:pPr>
        <w:widowControl w:val="0"/>
        <w:adjustRightInd w:val="0"/>
        <w:spacing w:line="360" w:lineRule="auto"/>
        <w:ind w:firstLine="1440"/>
        <w:rPr>
          <w:bCs/>
          <w:color w:val="000000"/>
        </w:rPr>
      </w:pPr>
      <w:r>
        <w:rPr>
          <w:bCs/>
          <w:color w:val="000000"/>
        </w:rPr>
        <w:t xml:space="preserve">On March 26, 2015, Thomas Sobiech filed a Notice </w:t>
      </w:r>
      <w:r w:rsidR="00144B9B">
        <w:rPr>
          <w:bCs/>
          <w:color w:val="000000"/>
        </w:rPr>
        <w:t>of Intervention</w:t>
      </w:r>
      <w:r>
        <w:rPr>
          <w:bCs/>
          <w:color w:val="000000"/>
        </w:rPr>
        <w:t xml:space="preserve"> and a Public Statement seeking intervention in this proceeding. </w:t>
      </w:r>
      <w:r w:rsidR="00144B9B">
        <w:rPr>
          <w:bCs/>
          <w:color w:val="000000"/>
        </w:rPr>
        <w:t xml:space="preserve"> In his Notice of Intervention, Mr. Sobiech stated that he is intervening into this proceeding to protect his rights and </w:t>
      </w:r>
      <w:r w:rsidR="00F5026D">
        <w:rPr>
          <w:bCs/>
          <w:color w:val="000000"/>
        </w:rPr>
        <w:t xml:space="preserve">the rights of </w:t>
      </w:r>
      <w:r w:rsidR="00144B9B">
        <w:rPr>
          <w:bCs/>
          <w:color w:val="000000"/>
        </w:rPr>
        <w:t>all other customers who have contracted with PaG&amp;E, noting that he is a plaintiff in a lawsuit seeking damages for himself</w:t>
      </w:r>
      <w:r w:rsidR="007E13BB">
        <w:rPr>
          <w:bCs/>
          <w:color w:val="000000"/>
        </w:rPr>
        <w:t>,</w:t>
      </w:r>
      <w:r w:rsidR="00144B9B">
        <w:rPr>
          <w:bCs/>
          <w:color w:val="000000"/>
        </w:rPr>
        <w:t xml:space="preserve"> and all others similarly situated</w:t>
      </w:r>
      <w:r w:rsidR="007E13BB">
        <w:rPr>
          <w:bCs/>
          <w:color w:val="000000"/>
        </w:rPr>
        <w:t>,</w:t>
      </w:r>
      <w:r w:rsidR="00144B9B">
        <w:rPr>
          <w:bCs/>
          <w:color w:val="000000"/>
        </w:rPr>
        <w:t xml:space="preserve"> in the United States District Court for the Eastern District of Pennsylvania.  Mr. Sobiech provided additional detail in his Public Statement regarding his intervention and why </w:t>
      </w:r>
      <w:r w:rsidR="00036A19">
        <w:rPr>
          <w:bCs/>
          <w:color w:val="000000"/>
        </w:rPr>
        <w:t xml:space="preserve">he believes </w:t>
      </w:r>
      <w:r w:rsidR="00144B9B">
        <w:rPr>
          <w:bCs/>
          <w:color w:val="000000"/>
        </w:rPr>
        <w:t>the settlement filed on March 24, 2015 is not in the public interest.  Mr. Sobiech attached to his Public Statement</w:t>
      </w:r>
      <w:r w:rsidR="007E13BB" w:rsidRPr="007E13BB">
        <w:rPr>
          <w:bCs/>
          <w:color w:val="000000"/>
        </w:rPr>
        <w:t xml:space="preserve"> </w:t>
      </w:r>
      <w:r w:rsidR="007E13BB">
        <w:rPr>
          <w:bCs/>
          <w:color w:val="000000"/>
        </w:rPr>
        <w:t>a copy of his Complaint filed in District Court</w:t>
      </w:r>
      <w:r w:rsidR="00144B9B">
        <w:rPr>
          <w:bCs/>
          <w:color w:val="000000"/>
        </w:rPr>
        <w:t>.</w:t>
      </w:r>
    </w:p>
    <w:p w:rsidR="00144B9B" w:rsidRDefault="00144B9B" w:rsidP="009761D7">
      <w:pPr>
        <w:widowControl w:val="0"/>
        <w:adjustRightInd w:val="0"/>
        <w:spacing w:line="360" w:lineRule="auto"/>
        <w:ind w:firstLine="1440"/>
        <w:rPr>
          <w:bCs/>
          <w:color w:val="000000"/>
        </w:rPr>
      </w:pPr>
      <w:r>
        <w:rPr>
          <w:bCs/>
          <w:color w:val="000000"/>
        </w:rPr>
        <w:t>By email dated March 31, 2015, counsel for the Joint Complaina</w:t>
      </w:r>
      <w:r w:rsidR="00036A19">
        <w:rPr>
          <w:bCs/>
          <w:color w:val="000000"/>
        </w:rPr>
        <w:t xml:space="preserve">nts, PaG&amp;E, I&amp;E and Mr. Sobiech, as well as the Office of Small Business Advocate, another intervenor in this proceeding, </w:t>
      </w:r>
      <w:r>
        <w:rPr>
          <w:bCs/>
          <w:color w:val="000000"/>
        </w:rPr>
        <w:t xml:space="preserve">were informed that Mr. Sobiech’s Notice of Intervention and Public Statement would be treated as a Petition to Intervene.  </w:t>
      </w:r>
      <w:r w:rsidR="00F85EC2">
        <w:rPr>
          <w:bCs/>
          <w:color w:val="000000"/>
        </w:rPr>
        <w:t>Although Mr. Sobiech did not include a Notice to Plead with his filing, p</w:t>
      </w:r>
      <w:r>
        <w:rPr>
          <w:bCs/>
          <w:color w:val="000000"/>
        </w:rPr>
        <w:t>arties were given 20 days to file a response</w:t>
      </w:r>
      <w:r w:rsidR="00D53667">
        <w:rPr>
          <w:bCs/>
          <w:color w:val="000000"/>
        </w:rPr>
        <w:t xml:space="preserve"> to the Petition</w:t>
      </w:r>
      <w:r>
        <w:rPr>
          <w:bCs/>
          <w:color w:val="000000"/>
        </w:rPr>
        <w:t xml:space="preserve">.  On April 16, 2015, both PaG&amp;E and the Joint Complainants filed an Answer to Mr. Sobiech’s Petition generally opposing </w:t>
      </w:r>
      <w:r w:rsidR="00D53667">
        <w:rPr>
          <w:bCs/>
          <w:color w:val="000000"/>
        </w:rPr>
        <w:t>his intervention</w:t>
      </w:r>
      <w:r>
        <w:rPr>
          <w:bCs/>
          <w:color w:val="000000"/>
        </w:rPr>
        <w:t>.  I&amp;E filed a letter indicating that it did not intend to file a formal response to the Petition.  In their Answers, and as discussed further below, both PaG&amp;E and the Joint Complainants provided several reasons why they believed that the Petition should be denied, the record of this proceeding should not be reopened and the settlement filed on March 24, 2015 should be approved.</w:t>
      </w:r>
    </w:p>
    <w:p w:rsidR="00144B9B" w:rsidRDefault="00144B9B" w:rsidP="009761D7">
      <w:pPr>
        <w:widowControl w:val="0"/>
        <w:adjustRightInd w:val="0"/>
        <w:spacing w:line="360" w:lineRule="auto"/>
        <w:ind w:firstLine="1440"/>
        <w:rPr>
          <w:bCs/>
          <w:color w:val="000000"/>
        </w:rPr>
      </w:pPr>
    </w:p>
    <w:p w:rsidR="00AF6538" w:rsidRDefault="00144B9B" w:rsidP="009761D7">
      <w:pPr>
        <w:widowControl w:val="0"/>
        <w:adjustRightInd w:val="0"/>
        <w:spacing w:line="360" w:lineRule="auto"/>
        <w:ind w:firstLine="1440"/>
        <w:rPr>
          <w:bCs/>
          <w:color w:val="000000"/>
        </w:rPr>
      </w:pPr>
      <w:r>
        <w:rPr>
          <w:bCs/>
          <w:color w:val="000000"/>
        </w:rPr>
        <w:t xml:space="preserve">Mr. Sobiech’s Petition to Intervene is ready for disposition.  </w:t>
      </w:r>
      <w:r w:rsidR="00AF6538">
        <w:rPr>
          <w:bCs/>
          <w:color w:val="000000"/>
        </w:rPr>
        <w:t xml:space="preserve">The Petition will be granted.  </w:t>
      </w:r>
      <w:r w:rsidR="004D0669">
        <w:rPr>
          <w:bCs/>
          <w:color w:val="000000"/>
        </w:rPr>
        <w:t xml:space="preserve">In light of the procedural juncture Mr. Sobiech filed his Petition, however, </w:t>
      </w:r>
      <w:r w:rsidR="00AF6538">
        <w:rPr>
          <w:bCs/>
          <w:color w:val="000000"/>
        </w:rPr>
        <w:t>Mr. Sobiech</w:t>
      </w:r>
      <w:r w:rsidR="004D0669">
        <w:rPr>
          <w:bCs/>
          <w:color w:val="000000"/>
        </w:rPr>
        <w:t>’s intervention</w:t>
      </w:r>
      <w:r w:rsidR="00AF6538">
        <w:rPr>
          <w:bCs/>
          <w:color w:val="000000"/>
        </w:rPr>
        <w:t xml:space="preserve"> will be </w:t>
      </w:r>
      <w:r w:rsidR="004D0669">
        <w:rPr>
          <w:bCs/>
          <w:color w:val="000000"/>
        </w:rPr>
        <w:t xml:space="preserve">limited to filing </w:t>
      </w:r>
      <w:r w:rsidR="00F70814">
        <w:rPr>
          <w:bCs/>
          <w:color w:val="000000"/>
        </w:rPr>
        <w:t xml:space="preserve">an </w:t>
      </w:r>
      <w:r w:rsidR="00F70814">
        <w:rPr>
          <w:bCs/>
          <w:i/>
          <w:color w:val="000000"/>
        </w:rPr>
        <w:t xml:space="preserve">Amicus Curiae </w:t>
      </w:r>
      <w:r w:rsidR="00F70814">
        <w:rPr>
          <w:bCs/>
          <w:color w:val="000000"/>
        </w:rPr>
        <w:t xml:space="preserve">brief </w:t>
      </w:r>
      <w:r w:rsidR="00AF6538">
        <w:rPr>
          <w:bCs/>
          <w:color w:val="000000"/>
        </w:rPr>
        <w:t>regarding the March 24</w:t>
      </w:r>
      <w:r w:rsidR="00AF6538" w:rsidRPr="00AF6538">
        <w:rPr>
          <w:bCs/>
          <w:color w:val="000000"/>
          <w:vertAlign w:val="superscript"/>
        </w:rPr>
        <w:t>th</w:t>
      </w:r>
      <w:r w:rsidR="00AF6538">
        <w:rPr>
          <w:bCs/>
          <w:color w:val="000000"/>
        </w:rPr>
        <w:t xml:space="preserve"> settlement within 20 days of the date of this Order.  All parties will be permitted to file Reply </w:t>
      </w:r>
      <w:r w:rsidR="00F70814">
        <w:rPr>
          <w:bCs/>
          <w:color w:val="000000"/>
        </w:rPr>
        <w:t xml:space="preserve">Briefs </w:t>
      </w:r>
      <w:r w:rsidR="00AF6538">
        <w:rPr>
          <w:bCs/>
          <w:color w:val="000000"/>
        </w:rPr>
        <w:t xml:space="preserve">in response to any </w:t>
      </w:r>
      <w:r w:rsidR="00F70814">
        <w:rPr>
          <w:bCs/>
          <w:i/>
          <w:color w:val="000000"/>
        </w:rPr>
        <w:t xml:space="preserve">Amicus Curiae </w:t>
      </w:r>
      <w:r w:rsidR="00F70814">
        <w:rPr>
          <w:bCs/>
          <w:color w:val="000000"/>
        </w:rPr>
        <w:t xml:space="preserve">brief </w:t>
      </w:r>
      <w:r w:rsidR="00036A19">
        <w:rPr>
          <w:bCs/>
          <w:color w:val="000000"/>
        </w:rPr>
        <w:t xml:space="preserve">filed by Mr. Sobiech </w:t>
      </w:r>
      <w:r w:rsidR="00AF6538">
        <w:rPr>
          <w:bCs/>
          <w:color w:val="000000"/>
        </w:rPr>
        <w:t>regarding the March 24</w:t>
      </w:r>
      <w:r w:rsidR="00AF6538" w:rsidRPr="00AF6538">
        <w:rPr>
          <w:bCs/>
          <w:color w:val="000000"/>
          <w:vertAlign w:val="superscript"/>
        </w:rPr>
        <w:t>th</w:t>
      </w:r>
      <w:r w:rsidR="00AF6538">
        <w:rPr>
          <w:bCs/>
          <w:color w:val="000000"/>
        </w:rPr>
        <w:t xml:space="preserve"> settlement within 10 days of Mr. Sobiech’s </w:t>
      </w:r>
      <w:r w:rsidR="00F70814">
        <w:rPr>
          <w:bCs/>
          <w:color w:val="000000"/>
        </w:rPr>
        <w:t>brief</w:t>
      </w:r>
      <w:r w:rsidR="00AF6538">
        <w:rPr>
          <w:bCs/>
          <w:color w:val="000000"/>
        </w:rPr>
        <w:t>.</w:t>
      </w:r>
      <w:r w:rsidR="000D71EB">
        <w:rPr>
          <w:bCs/>
          <w:color w:val="000000"/>
        </w:rPr>
        <w:t xml:space="preserve">  PaG&amp;E and the Joint Complainants will be directed to provide Mr. Sobiech a copy of the Joint Petition for Approval of Settlement for purposes of filing the </w:t>
      </w:r>
      <w:r w:rsidR="000D71EB">
        <w:rPr>
          <w:bCs/>
          <w:i/>
          <w:color w:val="000000"/>
        </w:rPr>
        <w:t xml:space="preserve">Amicus Curiae </w:t>
      </w:r>
      <w:r w:rsidR="000D71EB">
        <w:rPr>
          <w:bCs/>
          <w:color w:val="000000"/>
        </w:rPr>
        <w:t>brief.</w:t>
      </w:r>
    </w:p>
    <w:p w:rsidR="00AF6538" w:rsidRDefault="00AF6538" w:rsidP="009761D7">
      <w:pPr>
        <w:widowControl w:val="0"/>
        <w:adjustRightInd w:val="0"/>
        <w:spacing w:line="360" w:lineRule="auto"/>
        <w:ind w:firstLine="1440"/>
        <w:rPr>
          <w:bCs/>
          <w:color w:val="000000"/>
        </w:rPr>
      </w:pPr>
    </w:p>
    <w:p w:rsidR="00261D6A" w:rsidRDefault="00D96DBC" w:rsidP="009761D7">
      <w:pPr>
        <w:widowControl w:val="0"/>
        <w:adjustRightInd w:val="0"/>
        <w:spacing w:line="360" w:lineRule="auto"/>
        <w:ind w:firstLine="1440"/>
        <w:rPr>
          <w:bCs/>
          <w:color w:val="000000"/>
        </w:rPr>
      </w:pPr>
      <w:r>
        <w:rPr>
          <w:bCs/>
          <w:color w:val="000000"/>
        </w:rPr>
        <w:t xml:space="preserve">Section 5.72 of </w:t>
      </w:r>
      <w:r w:rsidR="00AF6538">
        <w:rPr>
          <w:bCs/>
          <w:color w:val="000000"/>
        </w:rPr>
        <w:t>the Commission</w:t>
      </w:r>
      <w:r>
        <w:rPr>
          <w:bCs/>
          <w:color w:val="000000"/>
        </w:rPr>
        <w:t xml:space="preserve">’s regulations governs </w:t>
      </w:r>
      <w:r w:rsidR="00AF6538">
        <w:rPr>
          <w:bCs/>
          <w:color w:val="000000"/>
        </w:rPr>
        <w:t>intervention</w:t>
      </w:r>
      <w:r>
        <w:rPr>
          <w:bCs/>
          <w:color w:val="000000"/>
        </w:rPr>
        <w:t>.  This Section</w:t>
      </w:r>
      <w:r w:rsidR="00AF6538">
        <w:rPr>
          <w:bCs/>
          <w:color w:val="000000"/>
        </w:rPr>
        <w:t xml:space="preserve"> provide</w:t>
      </w:r>
      <w:r>
        <w:rPr>
          <w:bCs/>
          <w:color w:val="000000"/>
        </w:rPr>
        <w:t>s</w:t>
      </w:r>
      <w:r w:rsidR="00AF6538">
        <w:rPr>
          <w:bCs/>
          <w:color w:val="000000"/>
        </w:rPr>
        <w:t xml:space="preserve"> that </w:t>
      </w:r>
      <w:r>
        <w:rPr>
          <w:bCs/>
          <w:color w:val="000000"/>
        </w:rPr>
        <w:t xml:space="preserve">“a petition to intervene may be filed by a person claiming a right to intervene or an interest of such nature that intervention is necessary or appropriate to the administration of the statute under which the proceeding is brought.”  52 Pa.Code </w:t>
      </w:r>
    </w:p>
    <w:p w:rsidR="009154DF" w:rsidRDefault="00D96DBC" w:rsidP="00261D6A">
      <w:pPr>
        <w:widowControl w:val="0"/>
        <w:adjustRightInd w:val="0"/>
        <w:spacing w:line="360" w:lineRule="auto"/>
        <w:rPr>
          <w:bCs/>
          <w:color w:val="000000"/>
        </w:rPr>
      </w:pPr>
      <w:r>
        <w:rPr>
          <w:bCs/>
          <w:color w:val="000000"/>
        </w:rPr>
        <w:t xml:space="preserve">§ 5.72(a).  Section 5.72 also provides that </w:t>
      </w:r>
      <w:r w:rsidR="009154DF">
        <w:rPr>
          <w:bCs/>
          <w:color w:val="000000"/>
        </w:rPr>
        <w:t>the right or interest supporting intervention may be one of the following:</w:t>
      </w:r>
    </w:p>
    <w:p w:rsidR="009154DF" w:rsidRDefault="009154DF" w:rsidP="009154DF">
      <w:pPr>
        <w:widowControl w:val="0"/>
        <w:adjustRightInd w:val="0"/>
        <w:ind w:left="1440" w:right="1440"/>
        <w:rPr>
          <w:bCs/>
          <w:color w:val="000000"/>
        </w:rPr>
      </w:pPr>
    </w:p>
    <w:p w:rsidR="009154DF" w:rsidRDefault="009154DF" w:rsidP="009154DF">
      <w:pPr>
        <w:pStyle w:val="ListParagraph"/>
        <w:widowControl w:val="0"/>
        <w:numPr>
          <w:ilvl w:val="0"/>
          <w:numId w:val="24"/>
        </w:numPr>
        <w:adjustRightInd w:val="0"/>
        <w:ind w:left="1440" w:right="1440"/>
        <w:rPr>
          <w:bCs/>
          <w:color w:val="000000"/>
        </w:rPr>
      </w:pPr>
      <w:r>
        <w:rPr>
          <w:bCs/>
          <w:color w:val="000000"/>
        </w:rPr>
        <w:t>A right conferred by statute of the United States or of the Commonwealth.</w:t>
      </w:r>
    </w:p>
    <w:p w:rsidR="009154DF" w:rsidRDefault="009154DF" w:rsidP="009154DF">
      <w:pPr>
        <w:pStyle w:val="ListParagraph"/>
        <w:widowControl w:val="0"/>
        <w:adjustRightInd w:val="0"/>
        <w:ind w:left="1440" w:right="1440"/>
        <w:rPr>
          <w:bCs/>
          <w:color w:val="000000"/>
        </w:rPr>
      </w:pPr>
    </w:p>
    <w:p w:rsidR="009154DF" w:rsidRDefault="009154DF" w:rsidP="009154DF">
      <w:pPr>
        <w:pStyle w:val="ListParagraph"/>
        <w:widowControl w:val="0"/>
        <w:numPr>
          <w:ilvl w:val="0"/>
          <w:numId w:val="24"/>
        </w:numPr>
        <w:adjustRightInd w:val="0"/>
        <w:ind w:left="1440" w:right="1440"/>
        <w:rPr>
          <w:bCs/>
          <w:color w:val="000000"/>
        </w:rPr>
      </w:pPr>
      <w:r>
        <w:rPr>
          <w:bCs/>
          <w:color w:val="000000"/>
        </w:rPr>
        <w:t xml:space="preserve">An interest which may </w:t>
      </w:r>
      <w:r w:rsidR="007E13BB">
        <w:rPr>
          <w:bCs/>
          <w:color w:val="000000"/>
        </w:rPr>
        <w:t>be directly affected and which i</w:t>
      </w:r>
      <w:r>
        <w:rPr>
          <w:bCs/>
          <w:color w:val="000000"/>
        </w:rPr>
        <w:t>s not adequately represented by existing participants, and as to which the petitioner may be bound by the action of the Commission in the proceeding.</w:t>
      </w:r>
    </w:p>
    <w:p w:rsidR="009154DF" w:rsidRPr="009154DF" w:rsidRDefault="009154DF" w:rsidP="009154DF">
      <w:pPr>
        <w:pStyle w:val="ListParagraph"/>
        <w:rPr>
          <w:bCs/>
          <w:color w:val="000000"/>
        </w:rPr>
      </w:pPr>
    </w:p>
    <w:p w:rsidR="009154DF" w:rsidRDefault="009154DF" w:rsidP="009154DF">
      <w:pPr>
        <w:pStyle w:val="ListParagraph"/>
        <w:widowControl w:val="0"/>
        <w:adjustRightInd w:val="0"/>
        <w:ind w:left="1440" w:right="1440"/>
        <w:rPr>
          <w:bCs/>
          <w:color w:val="000000"/>
        </w:rPr>
      </w:pPr>
    </w:p>
    <w:p w:rsidR="009154DF" w:rsidRDefault="009154DF" w:rsidP="009154DF">
      <w:pPr>
        <w:pStyle w:val="ListParagraph"/>
        <w:widowControl w:val="0"/>
        <w:numPr>
          <w:ilvl w:val="0"/>
          <w:numId w:val="24"/>
        </w:numPr>
        <w:adjustRightInd w:val="0"/>
        <w:ind w:left="1440" w:right="1440"/>
        <w:rPr>
          <w:bCs/>
          <w:color w:val="000000"/>
        </w:rPr>
      </w:pPr>
      <w:r>
        <w:rPr>
          <w:bCs/>
          <w:color w:val="000000"/>
        </w:rPr>
        <w:t>Another interest of such nature that participation of the petitioner may be in the public interest.</w:t>
      </w:r>
    </w:p>
    <w:p w:rsidR="009154DF" w:rsidRPr="009154DF" w:rsidRDefault="009154DF" w:rsidP="009154DF">
      <w:pPr>
        <w:pStyle w:val="ListParagraph"/>
        <w:widowControl w:val="0"/>
        <w:adjustRightInd w:val="0"/>
        <w:ind w:left="1440" w:right="1440"/>
        <w:rPr>
          <w:bCs/>
          <w:color w:val="000000"/>
        </w:rPr>
      </w:pPr>
    </w:p>
    <w:p w:rsidR="002F6A91" w:rsidRDefault="009154DF" w:rsidP="00803A1F">
      <w:pPr>
        <w:widowControl w:val="0"/>
        <w:adjustRightInd w:val="0"/>
        <w:spacing w:line="360" w:lineRule="auto"/>
        <w:rPr>
          <w:bCs/>
          <w:color w:val="000000"/>
        </w:rPr>
      </w:pPr>
      <w:r>
        <w:rPr>
          <w:bCs/>
          <w:color w:val="000000"/>
        </w:rPr>
        <w:t xml:space="preserve">52 Pa.Code § 5.72(a)(1)-(3).  Commission regulations also govern the form, content and timing of Petitions to Intervene.  </w:t>
      </w:r>
    </w:p>
    <w:p w:rsidR="002F6A91" w:rsidRDefault="002F6A91" w:rsidP="00803A1F">
      <w:pPr>
        <w:widowControl w:val="0"/>
        <w:adjustRightInd w:val="0"/>
        <w:spacing w:line="360" w:lineRule="auto"/>
        <w:rPr>
          <w:bCs/>
          <w:color w:val="000000"/>
        </w:rPr>
      </w:pPr>
    </w:p>
    <w:p w:rsidR="005669BE" w:rsidRDefault="009154DF" w:rsidP="00803A1F">
      <w:pPr>
        <w:widowControl w:val="0"/>
        <w:adjustRightInd w:val="0"/>
        <w:spacing w:line="360" w:lineRule="auto"/>
        <w:ind w:firstLine="1440"/>
        <w:rPr>
          <w:bCs/>
          <w:color w:val="000000"/>
        </w:rPr>
      </w:pPr>
      <w:r>
        <w:rPr>
          <w:bCs/>
          <w:color w:val="000000"/>
        </w:rPr>
        <w:t xml:space="preserve">In particular, Section 5.74 provides deadlines by which Petitions to </w:t>
      </w:r>
      <w:r w:rsidR="00D53667">
        <w:rPr>
          <w:bCs/>
          <w:color w:val="000000"/>
        </w:rPr>
        <w:t>I</w:t>
      </w:r>
      <w:r>
        <w:rPr>
          <w:bCs/>
          <w:color w:val="000000"/>
        </w:rPr>
        <w:t>ntervene shall be filed</w:t>
      </w:r>
      <w:r w:rsidR="005669BE">
        <w:rPr>
          <w:bCs/>
          <w:color w:val="000000"/>
        </w:rPr>
        <w:t xml:space="preserve">.  This includes </w:t>
      </w:r>
      <w:r w:rsidR="00D53667">
        <w:rPr>
          <w:bCs/>
          <w:color w:val="000000"/>
        </w:rPr>
        <w:t xml:space="preserve">filing the Petition </w:t>
      </w:r>
      <w:r w:rsidR="005669BE">
        <w:rPr>
          <w:bCs/>
          <w:color w:val="000000"/>
        </w:rPr>
        <w:t xml:space="preserve">no </w:t>
      </w:r>
      <w:r w:rsidRPr="005669BE">
        <w:rPr>
          <w:bCs/>
          <w:color w:val="000000"/>
        </w:rPr>
        <w:t>later than the date fixed for the filing of responsive ple</w:t>
      </w:r>
      <w:r w:rsidR="005669BE" w:rsidRPr="005669BE">
        <w:rPr>
          <w:bCs/>
          <w:color w:val="000000"/>
        </w:rPr>
        <w:t xml:space="preserve">adings in an order or </w:t>
      </w:r>
      <w:r w:rsidR="005669BE">
        <w:rPr>
          <w:bCs/>
          <w:color w:val="000000"/>
        </w:rPr>
        <w:t xml:space="preserve">notice with respect to the proceedings and no later than the date fixed for filing protests as published in the </w:t>
      </w:r>
      <w:r w:rsidR="005669BE" w:rsidRPr="005669BE">
        <w:rPr>
          <w:bCs/>
          <w:color w:val="000000"/>
          <w:u w:val="single"/>
        </w:rPr>
        <w:t>Pennsylvania Bulletin</w:t>
      </w:r>
      <w:r w:rsidR="005669BE">
        <w:rPr>
          <w:bCs/>
          <w:color w:val="000000"/>
        </w:rPr>
        <w:t xml:space="preserve">.  </w:t>
      </w:r>
      <w:r w:rsidR="005669BE" w:rsidRPr="005669BE">
        <w:rPr>
          <w:bCs/>
          <w:color w:val="000000"/>
        </w:rPr>
        <w:t>52 Pa.Code §</w:t>
      </w:r>
      <w:r w:rsidR="00036A19">
        <w:rPr>
          <w:bCs/>
          <w:color w:val="000000"/>
        </w:rPr>
        <w:t xml:space="preserve"> </w:t>
      </w:r>
      <w:r w:rsidR="005669BE" w:rsidRPr="005669BE">
        <w:rPr>
          <w:bCs/>
          <w:color w:val="000000"/>
        </w:rPr>
        <w:t xml:space="preserve">5.74(b)(1)-(2).  </w:t>
      </w:r>
      <w:r w:rsidR="005669BE">
        <w:rPr>
          <w:bCs/>
          <w:color w:val="000000"/>
        </w:rPr>
        <w:t xml:space="preserve">Both of these provisions, however, include “absent good cause shown” provisions that allow for exceptions to the regulations under certain circumstances.  </w:t>
      </w:r>
      <w:r w:rsidR="005669BE">
        <w:rPr>
          <w:bCs/>
          <w:color w:val="000000"/>
          <w:u w:val="single"/>
        </w:rPr>
        <w:t>Id.</w:t>
      </w:r>
      <w:r w:rsidR="005669BE">
        <w:rPr>
          <w:bCs/>
          <w:color w:val="000000"/>
        </w:rPr>
        <w:t xml:space="preserve">; </w:t>
      </w:r>
      <w:r w:rsidR="005669BE">
        <w:rPr>
          <w:bCs/>
          <w:i/>
          <w:color w:val="000000"/>
        </w:rPr>
        <w:t>see also</w:t>
      </w:r>
      <w:r w:rsidR="005669BE">
        <w:rPr>
          <w:bCs/>
          <w:color w:val="000000"/>
        </w:rPr>
        <w:t xml:space="preserve">, 52 Pa.Code § 5.74(c) (“intervention will not be permitted once an evidentiary hearing has concluded </w:t>
      </w:r>
      <w:r w:rsidR="005669BE" w:rsidRPr="007E13BB">
        <w:rPr>
          <w:b/>
          <w:bCs/>
          <w:i/>
          <w:color w:val="000000"/>
        </w:rPr>
        <w:t>absent</w:t>
      </w:r>
      <w:r w:rsidR="002F6A91" w:rsidRPr="007E13BB">
        <w:rPr>
          <w:b/>
          <w:bCs/>
          <w:i/>
          <w:color w:val="000000"/>
        </w:rPr>
        <w:t xml:space="preserve"> extraordinary circumstances</w:t>
      </w:r>
      <w:r w:rsidR="002F6A91">
        <w:rPr>
          <w:bCs/>
          <w:color w:val="000000"/>
        </w:rPr>
        <w:t>.”</w:t>
      </w:r>
      <w:r w:rsidR="007E13BB">
        <w:rPr>
          <w:bCs/>
          <w:color w:val="000000"/>
        </w:rPr>
        <w:t>) (emphasis added</w:t>
      </w:r>
      <w:r w:rsidR="002F6A91">
        <w:rPr>
          <w:bCs/>
          <w:color w:val="000000"/>
        </w:rPr>
        <w:t xml:space="preserve">);  </w:t>
      </w:r>
      <w:r w:rsidR="002F6A91">
        <w:rPr>
          <w:bCs/>
          <w:color w:val="000000"/>
          <w:u w:val="single"/>
        </w:rPr>
        <w:t>Pennsylvania Public Utility Comm’n, Bureau of Investigation and Enforcement v. West Penn Power Co.</w:t>
      </w:r>
      <w:r w:rsidR="002F6A91">
        <w:rPr>
          <w:bCs/>
          <w:color w:val="000000"/>
        </w:rPr>
        <w:t>, Docket No. C-2012-2307244, Opinion and Order (entered Aug. 29, 2013) (</w:t>
      </w:r>
      <w:r w:rsidR="002F6A91">
        <w:rPr>
          <w:bCs/>
          <w:color w:val="000000"/>
          <w:u w:val="single"/>
        </w:rPr>
        <w:t>West Penn</w:t>
      </w:r>
      <w:r w:rsidR="002F6A91">
        <w:rPr>
          <w:bCs/>
          <w:color w:val="000000"/>
        </w:rPr>
        <w:t>) (“The Commission has been liberal in interpreting this ‘good cause’ requirement, particularly where the grant of intervention will not delay the orderly progress of the case, significantly broaden the issues or shift the burden of proof.”).</w:t>
      </w:r>
    </w:p>
    <w:p w:rsidR="003F3BFD" w:rsidRDefault="003F3BFD" w:rsidP="002F6A91">
      <w:pPr>
        <w:widowControl w:val="0"/>
        <w:adjustRightInd w:val="0"/>
        <w:spacing w:line="360" w:lineRule="auto"/>
        <w:ind w:firstLine="1440"/>
        <w:rPr>
          <w:bCs/>
          <w:color w:val="000000"/>
        </w:rPr>
      </w:pPr>
    </w:p>
    <w:p w:rsidR="000E2FD4" w:rsidRDefault="00036A19" w:rsidP="000E2FD4">
      <w:pPr>
        <w:spacing w:line="360" w:lineRule="auto"/>
        <w:ind w:firstLine="1440"/>
        <w:rPr>
          <w:rFonts w:eastAsiaTheme="minorHAnsi"/>
          <w:bCs/>
          <w:color w:val="000000"/>
        </w:rPr>
      </w:pPr>
      <w:r>
        <w:rPr>
          <w:bCs/>
          <w:color w:val="000000"/>
        </w:rPr>
        <w:t>In this case</w:t>
      </w:r>
      <w:r w:rsidR="00506AA6">
        <w:rPr>
          <w:bCs/>
          <w:color w:val="000000"/>
        </w:rPr>
        <w:t>, w</w:t>
      </w:r>
      <w:r w:rsidR="000E2FD4">
        <w:rPr>
          <w:bCs/>
          <w:color w:val="000000"/>
        </w:rPr>
        <w:t xml:space="preserve">e find that there is good cause </w:t>
      </w:r>
      <w:r w:rsidR="002623E6">
        <w:rPr>
          <w:bCs/>
          <w:color w:val="000000"/>
        </w:rPr>
        <w:t>that warrant</w:t>
      </w:r>
      <w:r w:rsidR="000E2FD4">
        <w:rPr>
          <w:bCs/>
          <w:color w:val="000000"/>
        </w:rPr>
        <w:t>s</w:t>
      </w:r>
      <w:r w:rsidR="002623E6">
        <w:rPr>
          <w:bCs/>
          <w:color w:val="000000"/>
        </w:rPr>
        <w:t xml:space="preserve"> granting the Petition to Intervene and allow</w:t>
      </w:r>
      <w:r w:rsidR="007E13BB">
        <w:rPr>
          <w:bCs/>
          <w:color w:val="000000"/>
        </w:rPr>
        <w:t>ing</w:t>
      </w:r>
      <w:r w:rsidR="002623E6">
        <w:rPr>
          <w:bCs/>
          <w:color w:val="000000"/>
        </w:rPr>
        <w:t xml:space="preserve"> Mr. Sobiech’s participation in this proceeding </w:t>
      </w:r>
      <w:r w:rsidR="007E13BB">
        <w:rPr>
          <w:bCs/>
          <w:color w:val="000000"/>
        </w:rPr>
        <w:t>at this juncture</w:t>
      </w:r>
      <w:r w:rsidR="002623E6">
        <w:rPr>
          <w:bCs/>
          <w:color w:val="000000"/>
        </w:rPr>
        <w:t xml:space="preserve">.  </w:t>
      </w:r>
      <w:r w:rsidR="000E2FD4">
        <w:rPr>
          <w:rFonts w:eastAsiaTheme="minorHAnsi"/>
          <w:bCs/>
          <w:color w:val="000000"/>
        </w:rPr>
        <w:t>T</w:t>
      </w:r>
      <w:r w:rsidR="000E2FD4" w:rsidRPr="000E2FD4">
        <w:rPr>
          <w:rFonts w:eastAsiaTheme="minorHAnsi"/>
          <w:bCs/>
          <w:color w:val="000000"/>
        </w:rPr>
        <w:t xml:space="preserve">he impact of variable rate services on consumers throughout Pennsylvania has been extensively examined by the Commission, the Pennsylvania General Assembly, the Pennsylvania Attorney General and the Pennsylvania Office of Consumer Advocate, among others, especially in light of the dramatic spikes in energy bills caused by the extreme cold temperatures experienced </w:t>
      </w:r>
      <w:r>
        <w:rPr>
          <w:rFonts w:eastAsiaTheme="minorHAnsi"/>
          <w:bCs/>
          <w:color w:val="000000"/>
        </w:rPr>
        <w:t>during the winter of 2014</w:t>
      </w:r>
      <w:r w:rsidR="000E2FD4" w:rsidRPr="000E2FD4">
        <w:rPr>
          <w:rFonts w:eastAsiaTheme="minorHAnsi"/>
          <w:bCs/>
          <w:color w:val="000000"/>
        </w:rPr>
        <w:t>.  As a result of the dramatic spikes in energy bills, the Commission received approximately 10,000 contacts from consumers, the vast majority of whom enrolled in variable rate service, with concerns about energy supply prices, including approximately 6,000 consumers who filed an informal complaint with the Commission’s Bureau of Consumer Services.</w:t>
      </w:r>
      <w:r w:rsidR="000E2FD4" w:rsidRPr="000E2FD4">
        <w:rPr>
          <w:rFonts w:eastAsiaTheme="minorHAnsi"/>
          <w:bCs/>
          <w:color w:val="000000"/>
          <w:vertAlign w:val="superscript"/>
        </w:rPr>
        <w:footnoteReference w:id="1"/>
      </w:r>
      <w:r w:rsidR="000E2FD4" w:rsidRPr="000E2FD4">
        <w:rPr>
          <w:rFonts w:eastAsiaTheme="minorHAnsi"/>
          <w:bCs/>
          <w:color w:val="000000"/>
        </w:rPr>
        <w:t xml:space="preserve">  As a result of this flood of Complaints, the Commission conducted an investigation on variable rate contracts for energy services that resulted in the implementation of rule changes regarding, among other things, reducing the time it takes to change alternative suppliers and adopting new requirements for s</w:t>
      </w:r>
      <w:r w:rsidR="000E2FD4">
        <w:rPr>
          <w:rFonts w:eastAsiaTheme="minorHAnsi"/>
          <w:bCs/>
          <w:color w:val="000000"/>
        </w:rPr>
        <w:t>upplier disclosure statements.</w:t>
      </w:r>
      <w:r>
        <w:rPr>
          <w:rFonts w:eastAsiaTheme="minorHAnsi"/>
          <w:bCs/>
          <w:color w:val="000000"/>
        </w:rPr>
        <w:t xml:space="preserve">  Mr. Sobiech’s Petition is consistent with this history and supports finding that there is good cause to grant intervention.</w:t>
      </w:r>
    </w:p>
    <w:p w:rsidR="002F6A91" w:rsidRDefault="002F6A91" w:rsidP="000E2FD4">
      <w:pPr>
        <w:spacing w:line="360" w:lineRule="auto"/>
        <w:ind w:firstLine="1440"/>
        <w:rPr>
          <w:rFonts w:eastAsiaTheme="minorHAnsi"/>
          <w:bCs/>
          <w:color w:val="000000"/>
        </w:rPr>
      </w:pPr>
    </w:p>
    <w:p w:rsidR="00036A19" w:rsidRDefault="00036A19" w:rsidP="00036A19">
      <w:pPr>
        <w:spacing w:line="360" w:lineRule="auto"/>
        <w:ind w:firstLine="1440"/>
        <w:rPr>
          <w:rFonts w:eastAsiaTheme="minorHAnsi"/>
          <w:bCs/>
          <w:color w:val="000000"/>
        </w:rPr>
      </w:pPr>
      <w:r>
        <w:rPr>
          <w:rFonts w:eastAsiaTheme="minorHAnsi"/>
          <w:bCs/>
          <w:color w:val="000000"/>
        </w:rPr>
        <w:t xml:space="preserve">The Joint Complainants have argued that, in order to be granted intervention, Mr. Sobiech must show that he has an “interest” in this proceeding that is “substantial, immediate and direct.”  We find that Mr. Sobiech has satisfied these requirements under these circumstances.  Mr. Sobiech averred in his Petition that he contracted with PaG&amp;E to purchase electricity for his home in October, 2013.  In the attachment accompanying his Petition, Mr. Sobiech added that he enrolled for an initial “competitive electric supply program” with a rate of $0.07899 per kilowatt hour for the first month of service and was timely in making his payments.  Mr. Sobiech added that, after the first month, his rate effectively tripled such that by February, 2014, PaG&amp;E charged him $0.2729 per kilowatt hour.  Mr. Sobiech averred that PaG&amp;E was unwilling to provide the competitive rate he was promised and incurred significant overcharges for his electricity.  These allegations are similar to the allegations </w:t>
      </w:r>
      <w:r w:rsidR="00F5026D">
        <w:rPr>
          <w:rFonts w:eastAsiaTheme="minorHAnsi"/>
          <w:bCs/>
          <w:color w:val="000000"/>
        </w:rPr>
        <w:t xml:space="preserve">in </w:t>
      </w:r>
      <w:r>
        <w:rPr>
          <w:rFonts w:eastAsiaTheme="minorHAnsi"/>
          <w:bCs/>
          <w:color w:val="000000"/>
        </w:rPr>
        <w:t xml:space="preserve">the Complaint brought by the Joint Complainants in this proceeding.  Therefore, Mr. Sobiech has an “interest” in this proceeding that is “substantial, immediate and direct” sufficient to warrant granting his intervention at this time.  </w:t>
      </w:r>
    </w:p>
    <w:p w:rsidR="000F13A8" w:rsidRDefault="000F13A8" w:rsidP="000F13A8">
      <w:pPr>
        <w:spacing w:line="360" w:lineRule="auto"/>
        <w:ind w:firstLine="1440"/>
        <w:rPr>
          <w:bCs/>
          <w:color w:val="000000"/>
        </w:rPr>
      </w:pPr>
    </w:p>
    <w:p w:rsidR="00261D6A" w:rsidRPr="00036A19" w:rsidRDefault="00261D6A" w:rsidP="00261D6A">
      <w:pPr>
        <w:spacing w:line="360" w:lineRule="auto"/>
        <w:ind w:firstLine="1440"/>
        <w:rPr>
          <w:bCs/>
          <w:color w:val="000000"/>
        </w:rPr>
      </w:pPr>
      <w:r>
        <w:rPr>
          <w:bCs/>
          <w:color w:val="000000"/>
        </w:rPr>
        <w:t xml:space="preserve">In granting intervention, however, Mr. Sobiech will be required to take the case as it currently stands.  PaG&amp;E is correct that intervenors generally take the record as they find it at the time of intervention.  </w:t>
      </w:r>
      <w:r>
        <w:rPr>
          <w:bCs/>
          <w:color w:val="000000"/>
          <w:u w:val="single"/>
        </w:rPr>
        <w:t>West Penn</w:t>
      </w:r>
      <w:r>
        <w:rPr>
          <w:bCs/>
          <w:color w:val="000000"/>
        </w:rPr>
        <w:t xml:space="preserve">, at 11, </w:t>
      </w:r>
      <w:r>
        <w:rPr>
          <w:bCs/>
          <w:i/>
          <w:color w:val="000000"/>
        </w:rPr>
        <w:t>citing</w:t>
      </w:r>
      <w:r>
        <w:rPr>
          <w:bCs/>
          <w:color w:val="000000"/>
        </w:rPr>
        <w:t xml:space="preserve">, </w:t>
      </w:r>
      <w:r>
        <w:rPr>
          <w:bCs/>
          <w:color w:val="000000"/>
          <w:u w:val="single"/>
        </w:rPr>
        <w:t>Final Rulemaking for the Revision of Chapters 1, 3 and 5 of Title 52 of the Pennsylvania Code Pertaining to Practice and Procedure Before the Commission</w:t>
      </w:r>
      <w:r>
        <w:rPr>
          <w:bCs/>
          <w:color w:val="000000"/>
        </w:rPr>
        <w:t xml:space="preserve">, Docket No. L-00020156, Order (entered Jan. 4, 2006).  As a result, we will not allow Mr. Sobiech to introduce additional evidence at this juncture – nine months after the filing of the Complaint commencing this proceeding and following the </w:t>
      </w:r>
      <w:r w:rsidR="00F5026D">
        <w:rPr>
          <w:bCs/>
          <w:color w:val="000000"/>
        </w:rPr>
        <w:t xml:space="preserve">submission of </w:t>
      </w:r>
      <w:r>
        <w:rPr>
          <w:bCs/>
          <w:color w:val="000000"/>
        </w:rPr>
        <w:t>a comprehensive settlement.  Therefore, the orderly progress of the case will be maintained, the issues will not be significantly broadened and the burden of</w:t>
      </w:r>
      <w:r w:rsidR="004D0669">
        <w:rPr>
          <w:bCs/>
          <w:color w:val="000000"/>
        </w:rPr>
        <w:t xml:space="preserve"> proof will not be shifted.  </w:t>
      </w:r>
      <w:r w:rsidR="004D0669" w:rsidRPr="004D0669">
        <w:rPr>
          <w:bCs/>
          <w:i/>
          <w:color w:val="000000"/>
        </w:rPr>
        <w:t>See</w:t>
      </w:r>
      <w:r w:rsidR="004D0669">
        <w:rPr>
          <w:bCs/>
          <w:color w:val="000000"/>
        </w:rPr>
        <w:t xml:space="preserve">, </w:t>
      </w:r>
      <w:r>
        <w:rPr>
          <w:bCs/>
          <w:color w:val="000000"/>
          <w:u w:val="single"/>
        </w:rPr>
        <w:t>West Penn</w:t>
      </w:r>
      <w:r w:rsidR="004D0669">
        <w:rPr>
          <w:bCs/>
          <w:color w:val="000000"/>
        </w:rPr>
        <w:t xml:space="preserve">, </w:t>
      </w:r>
      <w:r w:rsidR="004D0669">
        <w:rPr>
          <w:bCs/>
          <w:i/>
          <w:color w:val="000000"/>
        </w:rPr>
        <w:t>supra</w:t>
      </w:r>
      <w:r>
        <w:rPr>
          <w:bCs/>
          <w:color w:val="000000"/>
        </w:rPr>
        <w:t>.</w:t>
      </w:r>
    </w:p>
    <w:p w:rsidR="00261D6A" w:rsidRDefault="00261D6A" w:rsidP="00261D6A">
      <w:pPr>
        <w:spacing w:line="360" w:lineRule="auto"/>
        <w:ind w:firstLine="1440"/>
        <w:rPr>
          <w:rFonts w:eastAsiaTheme="minorHAnsi"/>
          <w:bCs/>
          <w:color w:val="000000"/>
        </w:rPr>
      </w:pPr>
    </w:p>
    <w:p w:rsidR="000D71EB" w:rsidRDefault="004D0669" w:rsidP="00696B6C">
      <w:pPr>
        <w:spacing w:line="360" w:lineRule="auto"/>
        <w:ind w:firstLine="1440"/>
        <w:rPr>
          <w:bCs/>
          <w:color w:val="000000"/>
        </w:rPr>
      </w:pPr>
      <w:r>
        <w:rPr>
          <w:bCs/>
          <w:color w:val="000000"/>
        </w:rPr>
        <w:t xml:space="preserve">As noted above, in light of the procedural juncture Mr. Sobiech filed his Petition, Mr. Sobiech’s intervention will be limited to filing an </w:t>
      </w:r>
      <w:r>
        <w:rPr>
          <w:bCs/>
          <w:i/>
          <w:color w:val="000000"/>
        </w:rPr>
        <w:t>Amicus Curiae</w:t>
      </w:r>
      <w:r>
        <w:rPr>
          <w:bCs/>
          <w:color w:val="000000"/>
        </w:rPr>
        <w:t xml:space="preserve"> brief.  </w:t>
      </w:r>
      <w:r w:rsidR="000D71EB">
        <w:rPr>
          <w:bCs/>
          <w:color w:val="000000"/>
        </w:rPr>
        <w:t xml:space="preserve">Commission regulations allow a person interested in issues involved in a Commission proceeding, although not a party, to file an amicus curiae brief without applying for leave to do so.  52 Pa.Code § 5.502(d).  </w:t>
      </w:r>
      <w:r w:rsidR="00696B6C">
        <w:rPr>
          <w:bCs/>
          <w:color w:val="000000"/>
        </w:rPr>
        <w:t xml:space="preserve">In response, parties will then be permitted to file a Reply Brief within 10 days of Mr. Sobiech’s </w:t>
      </w:r>
      <w:r w:rsidR="00696B6C">
        <w:rPr>
          <w:bCs/>
          <w:i/>
          <w:color w:val="000000"/>
        </w:rPr>
        <w:t xml:space="preserve">Amicus Curiae </w:t>
      </w:r>
      <w:r w:rsidR="00696B6C">
        <w:rPr>
          <w:bCs/>
          <w:color w:val="000000"/>
        </w:rPr>
        <w:t xml:space="preserve">brief.  </w:t>
      </w:r>
      <w:r>
        <w:rPr>
          <w:bCs/>
          <w:color w:val="000000"/>
        </w:rPr>
        <w:t>A</w:t>
      </w:r>
      <w:r w:rsidR="000D71EB" w:rsidRPr="00261D6A">
        <w:rPr>
          <w:bCs/>
          <w:color w:val="000000"/>
        </w:rPr>
        <w:t>llowing</w:t>
      </w:r>
      <w:r w:rsidR="000D71EB">
        <w:rPr>
          <w:bCs/>
          <w:color w:val="000000"/>
        </w:rPr>
        <w:t xml:space="preserve"> Mr. Sobiech to intervene in this proceeding at this juncture </w:t>
      </w:r>
      <w:r w:rsidR="00696B6C">
        <w:rPr>
          <w:bCs/>
          <w:color w:val="000000"/>
        </w:rPr>
        <w:t xml:space="preserve">to file an </w:t>
      </w:r>
      <w:r w:rsidR="00696B6C">
        <w:rPr>
          <w:bCs/>
          <w:i/>
          <w:color w:val="000000"/>
        </w:rPr>
        <w:t>Amicus Curiae</w:t>
      </w:r>
      <w:r w:rsidR="00696B6C">
        <w:rPr>
          <w:bCs/>
          <w:color w:val="000000"/>
        </w:rPr>
        <w:t xml:space="preserve"> brief and allow other parties to file a Reply Brief in response, </w:t>
      </w:r>
      <w:r w:rsidR="000D71EB">
        <w:rPr>
          <w:bCs/>
          <w:color w:val="000000"/>
        </w:rPr>
        <w:t>would</w:t>
      </w:r>
      <w:r>
        <w:rPr>
          <w:bCs/>
          <w:color w:val="000000"/>
        </w:rPr>
        <w:t xml:space="preserve"> secure the just, speedy and inexpensive determination of every action while not adversely affecting parties’ substantive rights.  </w:t>
      </w:r>
      <w:r>
        <w:rPr>
          <w:bCs/>
          <w:i/>
          <w:color w:val="000000"/>
        </w:rPr>
        <w:t>See</w:t>
      </w:r>
      <w:r>
        <w:rPr>
          <w:bCs/>
          <w:color w:val="000000"/>
        </w:rPr>
        <w:t>, 52 Pa.Code § 1.2(a) and (c)</w:t>
      </w:r>
      <w:r w:rsidR="000D71EB">
        <w:rPr>
          <w:bCs/>
          <w:color w:val="000000"/>
        </w:rPr>
        <w:t>.</w:t>
      </w:r>
      <w:r w:rsidR="00696B6C">
        <w:rPr>
          <w:bCs/>
          <w:color w:val="000000"/>
        </w:rPr>
        <w:t xml:space="preserve">  We further note that granting intervention at this juncture also permits Mr. Sobiech the opportunity to submit Exceptions and/or Reply Exceptions in response to the Initial Decision as necessary.</w:t>
      </w:r>
    </w:p>
    <w:p w:rsidR="000D71EB" w:rsidRDefault="000D71EB" w:rsidP="000D71EB">
      <w:pPr>
        <w:spacing w:line="360" w:lineRule="auto"/>
        <w:ind w:firstLine="1440"/>
        <w:rPr>
          <w:bCs/>
          <w:color w:val="000000"/>
        </w:rPr>
      </w:pPr>
    </w:p>
    <w:p w:rsidR="000E2FD4" w:rsidRPr="00F75114" w:rsidRDefault="00A12BC2" w:rsidP="002623E6">
      <w:pPr>
        <w:widowControl w:val="0"/>
        <w:adjustRightInd w:val="0"/>
        <w:spacing w:line="360" w:lineRule="auto"/>
        <w:ind w:firstLine="1440"/>
        <w:rPr>
          <w:bCs/>
          <w:color w:val="000000"/>
        </w:rPr>
      </w:pPr>
      <w:r>
        <w:rPr>
          <w:bCs/>
          <w:color w:val="000000"/>
        </w:rPr>
        <w:t>With regard to Mr. Sobiech’s ability to represent consumers other than himself</w:t>
      </w:r>
      <w:r w:rsidR="00F75114">
        <w:rPr>
          <w:bCs/>
          <w:color w:val="000000"/>
        </w:rPr>
        <w:t xml:space="preserve">, the Joint Complainants and PaG&amp;E are correct that Mr. Sobiech is not permitted to represent the interests of other customers.  Mr. Sobiech’s involvement </w:t>
      </w:r>
      <w:r w:rsidR="008806DE" w:rsidRPr="00085EE1">
        <w:rPr>
          <w:bCs/>
          <w:color w:val="000000"/>
        </w:rPr>
        <w:t>cannot be on behalf of “all others similarly situated,” as is possible in proceedings brought before a Court of Common Pleas.  Section 701 of the Public Utility Code provides that any person may complain in writing to the Commission regarding the acts or omissions of a public utility.  66 Pa.C.S. § 701.  Nothing in Section 701 or any other section of the Public Utility Code, however, allows for the filing of class action complaints.  In the absence of statutory authority, the Commission cannot entertain class action complaints.  Furthermore, Commission regulations allow individuals to represent themselves but they cannot be represented by people who are not attorneys.  52 Pa.Code §§ 1.21(a) and 1.22(a)</w:t>
      </w:r>
      <w:r w:rsidR="00F75114">
        <w:rPr>
          <w:bCs/>
          <w:color w:val="000000"/>
        </w:rPr>
        <w:t xml:space="preserve">; </w:t>
      </w:r>
      <w:r w:rsidR="00F75114">
        <w:rPr>
          <w:bCs/>
          <w:i/>
          <w:color w:val="000000"/>
        </w:rPr>
        <w:t xml:space="preserve"> see also</w:t>
      </w:r>
      <w:r w:rsidR="00F75114">
        <w:rPr>
          <w:bCs/>
          <w:color w:val="000000"/>
        </w:rPr>
        <w:t xml:space="preserve">, </w:t>
      </w:r>
      <w:r w:rsidR="00F75114">
        <w:rPr>
          <w:bCs/>
          <w:color w:val="000000"/>
          <w:u w:val="single"/>
        </w:rPr>
        <w:t>William MacLuckie v. Palmco Energy PA, LLC</w:t>
      </w:r>
      <w:r w:rsidR="001A2DE2">
        <w:rPr>
          <w:bCs/>
          <w:color w:val="000000"/>
        </w:rPr>
        <w:t>, Docket Number C</w:t>
      </w:r>
      <w:r w:rsidR="001A2DE2">
        <w:rPr>
          <w:bCs/>
          <w:color w:val="000000"/>
        </w:rPr>
        <w:noBreakHyphen/>
      </w:r>
      <w:r w:rsidR="00F75114">
        <w:rPr>
          <w:bCs/>
          <w:color w:val="000000"/>
        </w:rPr>
        <w:t>2014-2402558, Opinion and Order (entered December 4, 2014).</w:t>
      </w:r>
      <w:r w:rsidR="001A2DE2">
        <w:rPr>
          <w:bCs/>
          <w:color w:val="000000"/>
        </w:rPr>
        <w:t xml:space="preserve">  To the extent that Mr. </w:t>
      </w:r>
      <w:r w:rsidR="00C245CE">
        <w:rPr>
          <w:bCs/>
          <w:color w:val="000000"/>
        </w:rPr>
        <w:t>Sobiech seeks to pursue additional issues on behalf of others he believes are similarly situated, that matter is beyo</w:t>
      </w:r>
      <w:r w:rsidR="00264CFF">
        <w:rPr>
          <w:bCs/>
          <w:color w:val="000000"/>
        </w:rPr>
        <w:t>nd the scope of this proceeding and will be left for the District Court to address.</w:t>
      </w:r>
    </w:p>
    <w:p w:rsidR="000E2FD4" w:rsidRDefault="000E2FD4" w:rsidP="002623E6">
      <w:pPr>
        <w:widowControl w:val="0"/>
        <w:adjustRightInd w:val="0"/>
        <w:spacing w:line="360" w:lineRule="auto"/>
        <w:ind w:firstLine="1440"/>
        <w:rPr>
          <w:bCs/>
          <w:color w:val="000000"/>
        </w:rPr>
      </w:pPr>
    </w:p>
    <w:p w:rsidR="00036A19" w:rsidRDefault="000D01AF" w:rsidP="00F07D3B">
      <w:pPr>
        <w:widowControl w:val="0"/>
        <w:adjustRightInd w:val="0"/>
        <w:spacing w:line="360" w:lineRule="auto"/>
        <w:ind w:firstLine="1440"/>
        <w:rPr>
          <w:bCs/>
          <w:color w:val="000000"/>
        </w:rPr>
      </w:pPr>
      <w:r>
        <w:rPr>
          <w:bCs/>
          <w:color w:val="000000"/>
        </w:rPr>
        <w:t xml:space="preserve">As such, </w:t>
      </w:r>
      <w:r w:rsidR="00F75114">
        <w:rPr>
          <w:bCs/>
          <w:color w:val="000000"/>
        </w:rPr>
        <w:t xml:space="preserve">Mr. Sobiech’s Petition to Intervene will be granted. </w:t>
      </w:r>
      <w:r w:rsidR="00506AA6">
        <w:rPr>
          <w:bCs/>
          <w:color w:val="000000"/>
        </w:rPr>
        <w:t xml:space="preserve"> Good cause exists to grant intervention and </w:t>
      </w:r>
      <w:r w:rsidR="00506AA6">
        <w:rPr>
          <w:rFonts w:eastAsiaTheme="minorHAnsi"/>
          <w:bCs/>
          <w:color w:val="000000"/>
        </w:rPr>
        <w:t xml:space="preserve">granting intervention will not delay the orderly progress of the case, significantly broaden the issues or shift the burden of proof. </w:t>
      </w:r>
      <w:r w:rsidR="00F75114">
        <w:rPr>
          <w:bCs/>
          <w:color w:val="000000"/>
        </w:rPr>
        <w:t xml:space="preserve"> </w:t>
      </w:r>
      <w:r w:rsidR="009E0FA6">
        <w:rPr>
          <w:bCs/>
          <w:color w:val="000000"/>
        </w:rPr>
        <w:t xml:space="preserve">Mr. Sobiech will be permitted to file </w:t>
      </w:r>
      <w:r w:rsidR="000D71EB">
        <w:rPr>
          <w:bCs/>
          <w:color w:val="000000"/>
        </w:rPr>
        <w:t xml:space="preserve">an </w:t>
      </w:r>
      <w:r w:rsidR="000D71EB">
        <w:rPr>
          <w:bCs/>
          <w:i/>
          <w:color w:val="000000"/>
        </w:rPr>
        <w:t xml:space="preserve">Amicus Curiae </w:t>
      </w:r>
      <w:r w:rsidR="000D71EB">
        <w:rPr>
          <w:bCs/>
          <w:color w:val="000000"/>
        </w:rPr>
        <w:t xml:space="preserve">brief </w:t>
      </w:r>
      <w:r w:rsidR="009E0FA6">
        <w:rPr>
          <w:bCs/>
          <w:color w:val="000000"/>
        </w:rPr>
        <w:t>regarding the March 24</w:t>
      </w:r>
      <w:r w:rsidR="009E0FA6" w:rsidRPr="00AF6538">
        <w:rPr>
          <w:bCs/>
          <w:color w:val="000000"/>
          <w:vertAlign w:val="superscript"/>
        </w:rPr>
        <w:t>th</w:t>
      </w:r>
      <w:r w:rsidR="009E0FA6">
        <w:rPr>
          <w:bCs/>
          <w:color w:val="000000"/>
        </w:rPr>
        <w:t xml:space="preserve"> settlement within 20 days of the date of this Order.  All parties will be permitted to file </w:t>
      </w:r>
      <w:r w:rsidR="000D71EB">
        <w:rPr>
          <w:bCs/>
          <w:color w:val="000000"/>
        </w:rPr>
        <w:t xml:space="preserve">a Reply Brief </w:t>
      </w:r>
      <w:r w:rsidR="009E0FA6">
        <w:rPr>
          <w:bCs/>
          <w:color w:val="000000"/>
        </w:rPr>
        <w:t xml:space="preserve">in response to any </w:t>
      </w:r>
      <w:r w:rsidR="000D71EB">
        <w:rPr>
          <w:bCs/>
          <w:i/>
          <w:color w:val="000000"/>
        </w:rPr>
        <w:t xml:space="preserve">Amicus Curiae </w:t>
      </w:r>
      <w:r w:rsidR="000D71EB">
        <w:rPr>
          <w:bCs/>
          <w:color w:val="000000"/>
        </w:rPr>
        <w:t xml:space="preserve">brief submitted </w:t>
      </w:r>
      <w:r w:rsidR="00036A19">
        <w:rPr>
          <w:bCs/>
          <w:color w:val="000000"/>
        </w:rPr>
        <w:t>by Mr. Sobiech</w:t>
      </w:r>
      <w:r w:rsidR="009E0FA6">
        <w:rPr>
          <w:bCs/>
          <w:color w:val="000000"/>
        </w:rPr>
        <w:t xml:space="preserve"> regarding the March 24</w:t>
      </w:r>
      <w:r w:rsidR="009E0FA6" w:rsidRPr="00AF6538">
        <w:rPr>
          <w:bCs/>
          <w:color w:val="000000"/>
          <w:vertAlign w:val="superscript"/>
        </w:rPr>
        <w:t>th</w:t>
      </w:r>
      <w:r w:rsidR="009E0FA6">
        <w:rPr>
          <w:bCs/>
          <w:color w:val="000000"/>
        </w:rPr>
        <w:t xml:space="preserve"> settlement within 10 days of Mr. Sobiech’s </w:t>
      </w:r>
      <w:r w:rsidR="000D71EB">
        <w:rPr>
          <w:bCs/>
          <w:i/>
          <w:color w:val="000000"/>
        </w:rPr>
        <w:t xml:space="preserve">Amicus Curiae </w:t>
      </w:r>
      <w:r w:rsidR="000D71EB">
        <w:rPr>
          <w:bCs/>
          <w:color w:val="000000"/>
        </w:rPr>
        <w:t>brief</w:t>
      </w:r>
      <w:r w:rsidR="009E0FA6">
        <w:rPr>
          <w:bCs/>
          <w:color w:val="000000"/>
        </w:rPr>
        <w:t>.  Given the late date of intervention, however, Mr. Sobiech will not be permitted to introduce additional evidence.</w:t>
      </w:r>
      <w:r w:rsidR="00264CFF">
        <w:rPr>
          <w:bCs/>
          <w:color w:val="000000"/>
        </w:rPr>
        <w:t xml:space="preserve">  All substantive matters raised in Mr. Sobiech’s Petition to Intervene and accompanying Public Statement, as well as the responses thereto from the Joint Complainants and PaG&amp;E, that are not addressed in this Order can be raised in </w:t>
      </w:r>
      <w:r w:rsidR="000D71EB">
        <w:rPr>
          <w:bCs/>
          <w:color w:val="000000"/>
        </w:rPr>
        <w:t xml:space="preserve">the </w:t>
      </w:r>
      <w:r w:rsidR="000D71EB">
        <w:rPr>
          <w:bCs/>
          <w:i/>
          <w:color w:val="000000"/>
        </w:rPr>
        <w:t xml:space="preserve">Amicus Curiae </w:t>
      </w:r>
      <w:r w:rsidR="000D71EB">
        <w:rPr>
          <w:bCs/>
          <w:color w:val="000000"/>
        </w:rPr>
        <w:t xml:space="preserve">brief </w:t>
      </w:r>
      <w:r w:rsidR="00264CFF">
        <w:rPr>
          <w:bCs/>
          <w:color w:val="000000"/>
        </w:rPr>
        <w:t xml:space="preserve">and Reply </w:t>
      </w:r>
      <w:r w:rsidR="000D71EB">
        <w:rPr>
          <w:bCs/>
          <w:color w:val="000000"/>
        </w:rPr>
        <w:t xml:space="preserve">Briefs </w:t>
      </w:r>
      <w:r w:rsidR="00264CFF">
        <w:rPr>
          <w:bCs/>
          <w:color w:val="000000"/>
        </w:rPr>
        <w:t>and disposed of in the Initial Decision.</w:t>
      </w:r>
    </w:p>
    <w:p w:rsidR="00F07D3B" w:rsidRDefault="00F07D3B" w:rsidP="00F07D3B">
      <w:pPr>
        <w:widowControl w:val="0"/>
        <w:adjustRightInd w:val="0"/>
        <w:spacing w:line="360" w:lineRule="auto"/>
        <w:ind w:firstLine="1440"/>
        <w:rPr>
          <w:u w:val="single"/>
        </w:rPr>
      </w:pPr>
    </w:p>
    <w:p w:rsidR="0038246D" w:rsidRPr="0038246D" w:rsidRDefault="0038246D" w:rsidP="0038246D">
      <w:pPr>
        <w:spacing w:line="360" w:lineRule="auto"/>
        <w:jc w:val="center"/>
      </w:pPr>
      <w:r w:rsidRPr="0038246D">
        <w:rPr>
          <w:u w:val="single"/>
        </w:rPr>
        <w:t>ORDER</w:t>
      </w:r>
    </w:p>
    <w:p w:rsidR="0038246D" w:rsidRPr="0038246D" w:rsidRDefault="0038246D" w:rsidP="0038246D">
      <w:pPr>
        <w:spacing w:line="360" w:lineRule="auto"/>
      </w:pPr>
    </w:p>
    <w:p w:rsidR="0038246D" w:rsidRPr="0038246D" w:rsidRDefault="0038246D" w:rsidP="0038246D">
      <w:pPr>
        <w:spacing w:line="360" w:lineRule="auto"/>
        <w:ind w:firstLine="1440"/>
        <w:rPr>
          <w:bCs/>
        </w:rPr>
      </w:pPr>
      <w:r w:rsidRPr="0038246D">
        <w:rPr>
          <w:bCs/>
        </w:rPr>
        <w:t>THEREFORE,</w:t>
      </w:r>
    </w:p>
    <w:p w:rsidR="0038246D" w:rsidRPr="0038246D" w:rsidRDefault="0038246D" w:rsidP="0038246D">
      <w:pPr>
        <w:spacing w:line="360" w:lineRule="auto"/>
        <w:ind w:firstLine="1440"/>
      </w:pPr>
    </w:p>
    <w:p w:rsidR="0038246D" w:rsidRPr="0038246D" w:rsidRDefault="0038246D" w:rsidP="0038246D">
      <w:pPr>
        <w:spacing w:line="360" w:lineRule="auto"/>
        <w:ind w:firstLine="1440"/>
        <w:rPr>
          <w:bCs/>
        </w:rPr>
      </w:pPr>
      <w:r w:rsidRPr="0038246D">
        <w:rPr>
          <w:bCs/>
        </w:rPr>
        <w:t>IT IS ORDERED:</w:t>
      </w:r>
    </w:p>
    <w:p w:rsidR="0038246D" w:rsidRPr="0038246D" w:rsidRDefault="0038246D" w:rsidP="0038246D">
      <w:pPr>
        <w:spacing w:line="360" w:lineRule="auto"/>
        <w:ind w:firstLine="1440"/>
        <w:rPr>
          <w:bCs/>
        </w:rPr>
      </w:pPr>
    </w:p>
    <w:p w:rsidR="006D7008" w:rsidRDefault="0038246D" w:rsidP="0038246D">
      <w:pPr>
        <w:numPr>
          <w:ilvl w:val="0"/>
          <w:numId w:val="11"/>
        </w:numPr>
        <w:spacing w:line="360" w:lineRule="auto"/>
        <w:ind w:left="0" w:firstLine="1440"/>
      </w:pPr>
      <w:r w:rsidRPr="0038246D">
        <w:t xml:space="preserve">That the </w:t>
      </w:r>
      <w:r w:rsidR="00D13DA1">
        <w:t>Petition to Intervene file</w:t>
      </w:r>
      <w:r w:rsidR="006D7008">
        <w:t>d</w:t>
      </w:r>
      <w:r w:rsidR="00D13DA1">
        <w:t xml:space="preserve"> </w:t>
      </w:r>
      <w:r w:rsidR="006D7008">
        <w:t>by</w:t>
      </w:r>
      <w:r w:rsidR="00803A1F">
        <w:t xml:space="preserve"> Thomas Sobiech on March </w:t>
      </w:r>
      <w:r w:rsidR="00D13DA1">
        <w:t xml:space="preserve">27, 2015 </w:t>
      </w:r>
      <w:r w:rsidR="006D7008">
        <w:t>is hereby granted.</w:t>
      </w:r>
    </w:p>
    <w:p w:rsidR="006D7008" w:rsidRDefault="006D7008" w:rsidP="006D7008">
      <w:pPr>
        <w:spacing w:line="360" w:lineRule="auto"/>
        <w:ind w:left="1440"/>
      </w:pPr>
    </w:p>
    <w:p w:rsidR="009E0FA6" w:rsidRPr="009E0FA6" w:rsidRDefault="009E0FA6" w:rsidP="009E0FA6">
      <w:pPr>
        <w:numPr>
          <w:ilvl w:val="0"/>
          <w:numId w:val="11"/>
        </w:numPr>
        <w:spacing w:line="360" w:lineRule="auto"/>
        <w:ind w:left="0" w:firstLine="1440"/>
      </w:pPr>
      <w:r>
        <w:rPr>
          <w:bCs/>
          <w:color w:val="000000"/>
        </w:rPr>
        <w:t xml:space="preserve">That Thomas Sobiech will be permitted to file </w:t>
      </w:r>
      <w:r w:rsidR="000D71EB">
        <w:rPr>
          <w:bCs/>
          <w:color w:val="000000"/>
        </w:rPr>
        <w:t xml:space="preserve">an </w:t>
      </w:r>
      <w:r w:rsidR="000D71EB">
        <w:rPr>
          <w:bCs/>
          <w:i/>
          <w:color w:val="000000"/>
        </w:rPr>
        <w:t xml:space="preserve">Amicus Curiae </w:t>
      </w:r>
      <w:r w:rsidR="000D71EB">
        <w:rPr>
          <w:bCs/>
          <w:color w:val="000000"/>
        </w:rPr>
        <w:t xml:space="preserve">brief </w:t>
      </w:r>
      <w:r>
        <w:rPr>
          <w:bCs/>
          <w:color w:val="000000"/>
        </w:rPr>
        <w:t>regarding the Joint Petition for Approval of Settlement filed in this proceeding on March 24, 2015 within 20 days of the date of this Order.</w:t>
      </w:r>
    </w:p>
    <w:p w:rsidR="009E0FA6" w:rsidRDefault="009E0FA6" w:rsidP="009E0FA6">
      <w:pPr>
        <w:pStyle w:val="ListParagraph"/>
        <w:rPr>
          <w:bCs/>
          <w:color w:val="000000"/>
        </w:rPr>
      </w:pPr>
    </w:p>
    <w:p w:rsidR="0038246D" w:rsidRPr="000D71EB" w:rsidRDefault="009E0FA6" w:rsidP="00447C0E">
      <w:pPr>
        <w:numPr>
          <w:ilvl w:val="0"/>
          <w:numId w:val="11"/>
        </w:numPr>
        <w:autoSpaceDE/>
        <w:autoSpaceDN/>
        <w:spacing w:line="360" w:lineRule="auto"/>
        <w:ind w:left="0" w:firstLine="1440"/>
      </w:pPr>
      <w:r w:rsidRPr="000D71EB">
        <w:rPr>
          <w:bCs/>
          <w:color w:val="000000"/>
        </w:rPr>
        <w:t xml:space="preserve">That all parties will be permitted to file Reply </w:t>
      </w:r>
      <w:r w:rsidR="000D71EB" w:rsidRPr="000D71EB">
        <w:rPr>
          <w:bCs/>
          <w:color w:val="000000"/>
        </w:rPr>
        <w:t xml:space="preserve">Briefs </w:t>
      </w:r>
      <w:r w:rsidRPr="000D71EB">
        <w:rPr>
          <w:bCs/>
          <w:color w:val="000000"/>
        </w:rPr>
        <w:t xml:space="preserve">in response to </w:t>
      </w:r>
      <w:r w:rsidR="000D71EB" w:rsidRPr="000D71EB">
        <w:rPr>
          <w:bCs/>
          <w:color w:val="000000"/>
        </w:rPr>
        <w:t xml:space="preserve">the </w:t>
      </w:r>
      <w:r w:rsidR="000D71EB" w:rsidRPr="000D71EB">
        <w:rPr>
          <w:bCs/>
          <w:i/>
          <w:color w:val="000000"/>
        </w:rPr>
        <w:t xml:space="preserve">Amicus Curiae </w:t>
      </w:r>
      <w:r w:rsidR="000D71EB" w:rsidRPr="000D71EB">
        <w:rPr>
          <w:bCs/>
          <w:color w:val="000000"/>
        </w:rPr>
        <w:t xml:space="preserve">brief </w:t>
      </w:r>
      <w:r w:rsidRPr="000D71EB">
        <w:rPr>
          <w:bCs/>
          <w:color w:val="000000"/>
        </w:rPr>
        <w:t>filed by Thomas Sobiech regarding the Joint Petition for Approval of Settlement filed in this proceeding on March</w:t>
      </w:r>
      <w:r w:rsidR="001A2DE2">
        <w:rPr>
          <w:bCs/>
          <w:color w:val="000000"/>
        </w:rPr>
        <w:t xml:space="preserve"> 24, 2015 within 10 days of Mr. </w:t>
      </w:r>
      <w:r w:rsidRPr="000D71EB">
        <w:rPr>
          <w:bCs/>
          <w:color w:val="000000"/>
        </w:rPr>
        <w:t xml:space="preserve">Sobiech’s </w:t>
      </w:r>
      <w:r w:rsidR="000D71EB">
        <w:rPr>
          <w:bCs/>
          <w:i/>
          <w:color w:val="000000"/>
        </w:rPr>
        <w:t xml:space="preserve">Amicus Curiae </w:t>
      </w:r>
      <w:r w:rsidR="000D71EB">
        <w:rPr>
          <w:bCs/>
          <w:color w:val="000000"/>
        </w:rPr>
        <w:t>brief</w:t>
      </w:r>
      <w:r w:rsidRPr="000D71EB">
        <w:rPr>
          <w:bCs/>
          <w:color w:val="000000"/>
        </w:rPr>
        <w:t>.</w:t>
      </w:r>
    </w:p>
    <w:p w:rsidR="000D71EB" w:rsidRDefault="000D71EB" w:rsidP="000D71EB">
      <w:pPr>
        <w:pStyle w:val="ListParagraph"/>
      </w:pPr>
    </w:p>
    <w:p w:rsidR="000D71EB" w:rsidRDefault="000D71EB" w:rsidP="00447C0E">
      <w:pPr>
        <w:numPr>
          <w:ilvl w:val="0"/>
          <w:numId w:val="11"/>
        </w:numPr>
        <w:autoSpaceDE/>
        <w:autoSpaceDN/>
        <w:spacing w:line="360" w:lineRule="auto"/>
        <w:ind w:left="0" w:firstLine="1440"/>
      </w:pPr>
      <w:r>
        <w:t xml:space="preserve">That </w:t>
      </w:r>
      <w:r w:rsidRPr="00C7317B">
        <w:rPr>
          <w:bCs/>
          <w:color w:val="000000"/>
        </w:rPr>
        <w:t>Pennsylvania Gas &amp; Electric</w:t>
      </w:r>
      <w:r>
        <w:rPr>
          <w:bCs/>
          <w:color w:val="000000"/>
        </w:rPr>
        <w:t>, the Office of Attorney General and the</w:t>
      </w:r>
      <w:r w:rsidRPr="00C7317B">
        <w:rPr>
          <w:bCs/>
          <w:color w:val="000000"/>
        </w:rPr>
        <w:t xml:space="preserve"> </w:t>
      </w:r>
      <w:r>
        <w:t>Office of Consumer Advocate are directed to provide Mr. Sobiech a copy of the Joint Petition for Approval of Settlement submitted in this proceeding on March 24, 2015.</w:t>
      </w:r>
    </w:p>
    <w:p w:rsidR="000D71EB" w:rsidRDefault="000D71EB" w:rsidP="000D71EB">
      <w:pPr>
        <w:pStyle w:val="ListParagraph"/>
      </w:pPr>
    </w:p>
    <w:p w:rsidR="000D71EB" w:rsidRPr="0038246D" w:rsidRDefault="000D71EB" w:rsidP="000D71EB">
      <w:pPr>
        <w:autoSpaceDE/>
        <w:autoSpaceDN/>
        <w:spacing w:line="360" w:lineRule="auto"/>
      </w:pPr>
    </w:p>
    <w:p w:rsidR="0038246D" w:rsidRPr="0038246D" w:rsidRDefault="0038246D" w:rsidP="0038246D"/>
    <w:p w:rsidR="0038246D" w:rsidRPr="0038246D" w:rsidRDefault="0038246D" w:rsidP="0038246D"/>
    <w:p w:rsidR="0038246D" w:rsidRPr="0038246D" w:rsidRDefault="0038246D" w:rsidP="0038246D"/>
    <w:p w:rsidR="0038246D" w:rsidRPr="0038246D" w:rsidRDefault="0038246D" w:rsidP="0038246D">
      <w:pPr>
        <w:rPr>
          <w:u w:val="single"/>
        </w:rPr>
      </w:pPr>
      <w:r w:rsidRPr="0038246D">
        <w:t xml:space="preserve">Date: </w:t>
      </w:r>
      <w:r w:rsidR="006D7008">
        <w:rPr>
          <w:u w:val="single"/>
        </w:rPr>
        <w:t xml:space="preserve">April </w:t>
      </w:r>
      <w:r w:rsidR="00D13DA1">
        <w:rPr>
          <w:u w:val="single"/>
        </w:rPr>
        <w:t>2</w:t>
      </w:r>
      <w:r w:rsidR="00036A19">
        <w:rPr>
          <w:u w:val="single"/>
        </w:rPr>
        <w:t>3</w:t>
      </w:r>
      <w:r w:rsidRPr="0038246D">
        <w:rPr>
          <w:u w:val="single"/>
        </w:rPr>
        <w:t>, 2015</w:t>
      </w:r>
      <w:r w:rsidRPr="0038246D">
        <w:tab/>
      </w:r>
      <w:r w:rsidR="006D7008">
        <w:tab/>
      </w:r>
      <w:r w:rsidRPr="0038246D">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p>
    <w:p w:rsidR="0038246D" w:rsidRPr="0038246D" w:rsidRDefault="0038246D" w:rsidP="0038246D">
      <w:r w:rsidRPr="0038246D">
        <w:tab/>
      </w:r>
      <w:r w:rsidRPr="0038246D">
        <w:tab/>
      </w:r>
      <w:r w:rsidRPr="0038246D">
        <w:tab/>
      </w:r>
      <w:r w:rsidRPr="0038246D">
        <w:tab/>
      </w:r>
      <w:r w:rsidRPr="0038246D">
        <w:tab/>
        <w:t>Elizabeth Barnes</w:t>
      </w:r>
    </w:p>
    <w:p w:rsidR="0038246D" w:rsidRPr="0038246D" w:rsidRDefault="0038246D" w:rsidP="0038246D">
      <w:r w:rsidRPr="0038246D">
        <w:tab/>
      </w:r>
      <w:r w:rsidRPr="0038246D">
        <w:tab/>
      </w:r>
      <w:r w:rsidRPr="0038246D">
        <w:tab/>
      </w:r>
      <w:r w:rsidRPr="0038246D">
        <w:tab/>
      </w:r>
      <w:r w:rsidRPr="0038246D">
        <w:tab/>
        <w:t>Administrative Law Judge</w:t>
      </w:r>
    </w:p>
    <w:p w:rsidR="0038246D" w:rsidRPr="0038246D" w:rsidRDefault="0038246D" w:rsidP="0038246D">
      <w:pPr>
        <w:rPr>
          <w:u w:val="single"/>
        </w:rPr>
      </w:pPr>
    </w:p>
    <w:p w:rsidR="0038246D" w:rsidRPr="0038246D" w:rsidRDefault="0038246D" w:rsidP="0038246D">
      <w:pPr>
        <w:rPr>
          <w:u w:val="single"/>
        </w:rPr>
      </w:pPr>
    </w:p>
    <w:p w:rsidR="0038246D" w:rsidRPr="0038246D" w:rsidRDefault="0038246D" w:rsidP="0038246D">
      <w:pPr>
        <w:rPr>
          <w:u w:val="single"/>
        </w:rPr>
      </w:pPr>
    </w:p>
    <w:p w:rsidR="0038246D" w:rsidRPr="0038246D" w:rsidRDefault="0038246D" w:rsidP="0038246D">
      <w:pPr>
        <w:rPr>
          <w:u w:val="single"/>
        </w:rPr>
      </w:pPr>
      <w:r w:rsidRPr="0038246D">
        <w:tab/>
      </w:r>
      <w:r w:rsidRPr="0038246D">
        <w:tab/>
      </w:r>
      <w:r w:rsidRPr="0038246D">
        <w:tab/>
      </w:r>
      <w:r w:rsidRPr="0038246D">
        <w:tab/>
      </w:r>
      <w:r w:rsidRPr="0038246D">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p>
    <w:p w:rsidR="0038246D" w:rsidRPr="0038246D" w:rsidRDefault="0038246D" w:rsidP="0038246D">
      <w:r w:rsidRPr="0038246D">
        <w:tab/>
      </w:r>
      <w:r w:rsidRPr="0038246D">
        <w:tab/>
      </w:r>
      <w:r w:rsidRPr="0038246D">
        <w:tab/>
      </w:r>
      <w:r w:rsidRPr="0038246D">
        <w:tab/>
      </w:r>
      <w:r w:rsidRPr="0038246D">
        <w:tab/>
        <w:t xml:space="preserve">Joel H. Cheskis </w:t>
      </w:r>
    </w:p>
    <w:p w:rsidR="00444E27" w:rsidRDefault="0038246D" w:rsidP="0038246D">
      <w:r w:rsidRPr="0038246D">
        <w:tab/>
      </w:r>
      <w:r w:rsidRPr="0038246D">
        <w:tab/>
      </w:r>
      <w:r w:rsidRPr="0038246D">
        <w:tab/>
      </w:r>
      <w:r w:rsidRPr="0038246D">
        <w:tab/>
      </w:r>
      <w:r w:rsidRPr="0038246D">
        <w:tab/>
        <w:t>Administrative Law Judge</w:t>
      </w:r>
    </w:p>
    <w:p w:rsidR="00803A1F" w:rsidRDefault="00803A1F" w:rsidP="0038246D">
      <w:pPr>
        <w:sectPr w:rsidR="00803A1F" w:rsidSect="00713D64">
          <w:footerReference w:type="default" r:id="rId9"/>
          <w:pgSz w:w="12240" w:h="15840"/>
          <w:pgMar w:top="1440" w:right="1800" w:bottom="1440" w:left="1800" w:header="720" w:footer="720" w:gutter="0"/>
          <w:cols w:space="720"/>
          <w:titlePg/>
        </w:sectPr>
      </w:pPr>
    </w:p>
    <w:p w:rsidR="00803A1F" w:rsidRDefault="00803A1F" w:rsidP="00803A1F">
      <w:pPr>
        <w:rPr>
          <w:rFonts w:ascii="Microsoft Sans Serif" w:hAnsi="Microsoft Sans Serif" w:cs="Microsoft Sans Serif"/>
          <w:b/>
          <w:u w:val="single"/>
        </w:rPr>
      </w:pPr>
      <w:r>
        <w:rPr>
          <w:rFonts w:ascii="Microsoft Sans Serif" w:hAnsi="Microsoft Sans Serif" w:cs="Microsoft Sans Serif"/>
          <w:b/>
          <w:u w:val="single"/>
        </w:rPr>
        <w:t>C-2014-2427656 - ATTORNEY GENERAL PA &amp; OFFICE OF CONSUMER ADVOCATE v. ENERGY SERVICE PROVIDERS, INC D/B/A PENNSYLVANIA GAS &amp; ELECTRIC</w:t>
      </w:r>
    </w:p>
    <w:p w:rsidR="00803A1F" w:rsidRDefault="00803A1F" w:rsidP="00803A1F">
      <w:pPr>
        <w:rPr>
          <w:rFonts w:ascii="Microsoft Sans Serif" w:hAnsi="Microsoft Sans Serif" w:cs="Microsoft Sans Serif"/>
          <w:b/>
          <w:i/>
          <w:u w:val="single"/>
        </w:rPr>
      </w:pPr>
    </w:p>
    <w:p w:rsidR="00803A1F" w:rsidRDefault="00803A1F" w:rsidP="00803A1F">
      <w:pPr>
        <w:rPr>
          <w:rFonts w:ascii="Microsoft Sans Serif" w:hAnsi="Microsoft Sans Serif" w:cs="Microsoft Sans Serif"/>
          <w:b/>
          <w:i/>
          <w:u w:val="single"/>
        </w:rPr>
      </w:pPr>
    </w:p>
    <w:p w:rsidR="00803A1F" w:rsidRPr="00803A1F" w:rsidRDefault="00803A1F" w:rsidP="00803A1F">
      <w:pPr>
        <w:rPr>
          <w:rFonts w:ascii="Microsoft Sans Serif" w:hAnsi="Microsoft Sans Serif" w:cs="Microsoft Sans Serif"/>
          <w:u w:val="single"/>
        </w:rPr>
      </w:pPr>
      <w:r w:rsidRPr="00803A1F">
        <w:rPr>
          <w:rFonts w:ascii="Microsoft Sans Serif" w:hAnsi="Microsoft Sans Serif" w:cs="Microsoft Sans Serif"/>
          <w:i/>
          <w:u w:val="single"/>
        </w:rPr>
        <w:t xml:space="preserve">REVISED </w:t>
      </w:r>
      <w:r w:rsidRPr="00803A1F">
        <w:rPr>
          <w:rFonts w:ascii="Microsoft Sans Serif" w:hAnsi="Microsoft Sans Serif" w:cs="Microsoft Sans Serif"/>
          <w:i/>
          <w:u w:val="single"/>
        </w:rPr>
        <w:t>4/24/15</w:t>
      </w:r>
    </w:p>
    <w:p w:rsidR="00803A1F" w:rsidRDefault="00803A1F" w:rsidP="00803A1F">
      <w:pPr>
        <w:rPr>
          <w:rFonts w:ascii="Microsoft Sans Serif" w:hAnsi="Microsoft Sans Serif" w:cs="Microsoft Sans Serif"/>
          <w:b/>
          <w:i/>
        </w:rPr>
      </w:pPr>
    </w:p>
    <w:p w:rsidR="00803A1F" w:rsidRDefault="00803A1F" w:rsidP="00803A1F">
      <w:pPr>
        <w:rPr>
          <w:rFonts w:ascii="Microsoft Sans Serif" w:hAnsi="Microsoft Sans Serif" w:cs="Microsoft Sans Serif"/>
        </w:rPr>
      </w:pPr>
      <w:r>
        <w:rPr>
          <w:rFonts w:ascii="Microsoft Sans Serif" w:hAnsi="Microsoft Sans Serif" w:cs="Microsoft Sans Serif"/>
        </w:rPr>
        <w:t>JOHN M ABEL ESQUIRE</w:t>
      </w:r>
    </w:p>
    <w:p w:rsidR="00803A1F" w:rsidRDefault="00803A1F" w:rsidP="00803A1F">
      <w:pPr>
        <w:rPr>
          <w:rFonts w:ascii="Microsoft Sans Serif" w:hAnsi="Microsoft Sans Serif" w:cs="Microsoft Sans Serif"/>
        </w:rPr>
      </w:pPr>
      <w:r>
        <w:rPr>
          <w:rFonts w:ascii="Microsoft Sans Serif" w:hAnsi="Microsoft Sans Serif" w:cs="Microsoft Sans Serif"/>
        </w:rPr>
        <w:t>NICOLE R BECK ESQUIRE</w:t>
      </w:r>
    </w:p>
    <w:p w:rsidR="00803A1F" w:rsidRDefault="00803A1F" w:rsidP="00803A1F">
      <w:pPr>
        <w:rPr>
          <w:rFonts w:ascii="Microsoft Sans Serif" w:hAnsi="Microsoft Sans Serif" w:cs="Microsoft Sans Serif"/>
        </w:rPr>
      </w:pPr>
      <w:r>
        <w:rPr>
          <w:rFonts w:ascii="Microsoft Sans Serif" w:hAnsi="Microsoft Sans Serif" w:cs="Microsoft Sans Serif"/>
        </w:rPr>
        <w:t>PA OFFICE OF ATTORNEY GENERAL</w:t>
      </w:r>
    </w:p>
    <w:p w:rsidR="00803A1F" w:rsidRDefault="00803A1F" w:rsidP="00803A1F">
      <w:pPr>
        <w:rPr>
          <w:rFonts w:ascii="Microsoft Sans Serif" w:hAnsi="Microsoft Sans Serif" w:cs="Microsoft Sans Serif"/>
        </w:rPr>
      </w:pPr>
      <w:r>
        <w:rPr>
          <w:rFonts w:ascii="Microsoft Sans Serif" w:hAnsi="Microsoft Sans Serif" w:cs="Microsoft Sans Serif"/>
        </w:rPr>
        <w:t>BUREAU OF CONSUMER PROTECTION</w:t>
      </w:r>
    </w:p>
    <w:p w:rsidR="00803A1F" w:rsidRDefault="00803A1F" w:rsidP="00803A1F">
      <w:pPr>
        <w:rPr>
          <w:rFonts w:ascii="Microsoft Sans Serif" w:hAnsi="Microsoft Sans Serif" w:cs="Microsoft Sans Serif"/>
        </w:rPr>
      </w:pPr>
      <w:r>
        <w:rPr>
          <w:rFonts w:ascii="Microsoft Sans Serif" w:hAnsi="Microsoft Sans Serif" w:cs="Microsoft Sans Serif"/>
        </w:rPr>
        <w:t>15</w:t>
      </w:r>
      <w:r>
        <w:rPr>
          <w:rFonts w:ascii="Microsoft Sans Serif" w:hAnsi="Microsoft Sans Serif" w:cs="Microsoft Sans Serif"/>
          <w:vertAlign w:val="superscript"/>
        </w:rPr>
        <w:t>TH</w:t>
      </w:r>
      <w:r>
        <w:rPr>
          <w:rFonts w:ascii="Microsoft Sans Serif" w:hAnsi="Microsoft Sans Serif" w:cs="Microsoft Sans Serif"/>
        </w:rPr>
        <w:t xml:space="preserve"> FL STRAWBERRY SQUARE</w:t>
      </w:r>
    </w:p>
    <w:p w:rsidR="00803A1F" w:rsidRDefault="00803A1F" w:rsidP="00803A1F">
      <w:pPr>
        <w:rPr>
          <w:rFonts w:ascii="Microsoft Sans Serif" w:hAnsi="Microsoft Sans Serif" w:cs="Microsoft Sans Serif"/>
        </w:rPr>
      </w:pPr>
      <w:r>
        <w:rPr>
          <w:rFonts w:ascii="Microsoft Sans Serif" w:hAnsi="Microsoft Sans Serif" w:cs="Microsoft Sans Serif"/>
        </w:rPr>
        <w:t>HARRISBURG PA  17120</w:t>
      </w:r>
    </w:p>
    <w:p w:rsidR="00803A1F" w:rsidRDefault="00803A1F" w:rsidP="00803A1F">
      <w:pPr>
        <w:rPr>
          <w:rFonts w:ascii="Microsoft Sans Serif" w:hAnsi="Microsoft Sans Serif" w:cs="Microsoft Sans Serif"/>
        </w:rPr>
      </w:pPr>
    </w:p>
    <w:p w:rsidR="00803A1F" w:rsidRDefault="00803A1F" w:rsidP="00803A1F">
      <w:pPr>
        <w:rPr>
          <w:rFonts w:ascii="Microsoft Sans Serif" w:hAnsi="Microsoft Sans Serif" w:cs="Microsoft Sans Serif"/>
        </w:rPr>
      </w:pPr>
      <w:r>
        <w:rPr>
          <w:rFonts w:ascii="Microsoft Sans Serif" w:hAnsi="Microsoft Sans Serif" w:cs="Microsoft Sans Serif"/>
        </w:rPr>
        <w:t>CANDIS A TUNILO ESQUIRE</w:t>
      </w:r>
    </w:p>
    <w:p w:rsidR="00803A1F" w:rsidRDefault="00803A1F" w:rsidP="00803A1F">
      <w:pPr>
        <w:rPr>
          <w:rFonts w:ascii="Microsoft Sans Serif" w:hAnsi="Microsoft Sans Serif" w:cs="Microsoft Sans Serif"/>
        </w:rPr>
      </w:pPr>
      <w:r>
        <w:rPr>
          <w:rFonts w:ascii="Microsoft Sans Serif" w:hAnsi="Microsoft Sans Serif" w:cs="Microsoft Sans Serif"/>
        </w:rPr>
        <w:t>*BRANDON J PIERCE ESQUIRE</w:t>
      </w:r>
    </w:p>
    <w:p w:rsidR="00803A1F" w:rsidRDefault="00803A1F" w:rsidP="00803A1F">
      <w:pPr>
        <w:rPr>
          <w:rFonts w:ascii="Microsoft Sans Serif" w:hAnsi="Microsoft Sans Serif" w:cs="Microsoft Sans Serif"/>
        </w:rPr>
      </w:pPr>
      <w:r>
        <w:rPr>
          <w:rFonts w:ascii="Microsoft Sans Serif" w:hAnsi="Microsoft Sans Serif" w:cs="Microsoft Sans Serif"/>
        </w:rPr>
        <w:t>KRISTINE E ROBINSON ESQUIRE</w:t>
      </w:r>
    </w:p>
    <w:p w:rsidR="00803A1F" w:rsidRDefault="00803A1F" w:rsidP="00803A1F">
      <w:pPr>
        <w:rPr>
          <w:rFonts w:ascii="Microsoft Sans Serif" w:hAnsi="Microsoft Sans Serif" w:cs="Microsoft Sans Serif"/>
        </w:rPr>
      </w:pPr>
      <w:r>
        <w:rPr>
          <w:rFonts w:ascii="Microsoft Sans Serif" w:hAnsi="Microsoft Sans Serif" w:cs="Microsoft Sans Serif"/>
        </w:rPr>
        <w:t>OFFICE OF CONSUMER ADVOCATE</w:t>
      </w:r>
    </w:p>
    <w:p w:rsidR="00803A1F" w:rsidRDefault="00803A1F" w:rsidP="00803A1F">
      <w:pPr>
        <w:rPr>
          <w:rFonts w:ascii="Microsoft Sans Serif" w:hAnsi="Microsoft Sans Serif" w:cs="Microsoft Sans Serif"/>
        </w:rPr>
      </w:pPr>
      <w:r>
        <w:rPr>
          <w:rFonts w:ascii="Microsoft Sans Serif" w:hAnsi="Microsoft Sans Serif" w:cs="Microsoft Sans Serif"/>
        </w:rPr>
        <w:t>5</w:t>
      </w:r>
      <w:r>
        <w:rPr>
          <w:rFonts w:ascii="Microsoft Sans Serif" w:hAnsi="Microsoft Sans Serif" w:cs="Microsoft Sans Serif"/>
          <w:vertAlign w:val="superscript"/>
        </w:rPr>
        <w:t>TH</w:t>
      </w:r>
      <w:r>
        <w:rPr>
          <w:rFonts w:ascii="Microsoft Sans Serif" w:hAnsi="Microsoft Sans Serif" w:cs="Microsoft Sans Serif"/>
        </w:rPr>
        <w:t xml:space="preserve"> FLOOR FORUM PLACE</w:t>
      </w:r>
    </w:p>
    <w:p w:rsidR="00803A1F" w:rsidRDefault="00803A1F" w:rsidP="00803A1F">
      <w:pPr>
        <w:rPr>
          <w:rFonts w:ascii="Microsoft Sans Serif" w:hAnsi="Microsoft Sans Serif" w:cs="Microsoft Sans Serif"/>
        </w:rPr>
      </w:pPr>
      <w:r>
        <w:rPr>
          <w:rFonts w:ascii="Microsoft Sans Serif" w:hAnsi="Microsoft Sans Serif" w:cs="Microsoft Sans Serif"/>
        </w:rPr>
        <w:t>555 WALNUT STREET</w:t>
      </w:r>
    </w:p>
    <w:p w:rsidR="00803A1F" w:rsidRDefault="00803A1F" w:rsidP="00803A1F">
      <w:pPr>
        <w:rPr>
          <w:rFonts w:ascii="Microsoft Sans Serif" w:hAnsi="Microsoft Sans Serif" w:cs="Microsoft Sans Serif"/>
        </w:rPr>
      </w:pPr>
      <w:r>
        <w:rPr>
          <w:rFonts w:ascii="Microsoft Sans Serif" w:hAnsi="Microsoft Sans Serif" w:cs="Microsoft Sans Serif"/>
        </w:rPr>
        <w:t>HARRISBURG PA  17101-1923</w:t>
      </w:r>
    </w:p>
    <w:p w:rsidR="00803A1F" w:rsidRDefault="00803A1F" w:rsidP="00803A1F">
      <w:pPr>
        <w:rPr>
          <w:rFonts w:ascii="Microsoft Sans Serif" w:hAnsi="Microsoft Sans Serif" w:cs="Microsoft Sans Serif"/>
          <w:b/>
          <w:i/>
          <w:u w:val="single"/>
        </w:rPr>
      </w:pPr>
      <w:r>
        <w:rPr>
          <w:rFonts w:ascii="Microsoft Sans Serif" w:hAnsi="Microsoft Sans Serif" w:cs="Microsoft Sans Serif"/>
        </w:rPr>
        <w:t>*</w:t>
      </w:r>
      <w:r>
        <w:rPr>
          <w:rFonts w:ascii="Microsoft Sans Serif" w:hAnsi="Microsoft Sans Serif" w:cs="Microsoft Sans Serif"/>
          <w:b/>
          <w:i/>
          <w:u w:val="single"/>
        </w:rPr>
        <w:t xml:space="preserve"> Accepts eService</w:t>
      </w:r>
    </w:p>
    <w:p w:rsidR="00803A1F" w:rsidRDefault="00803A1F" w:rsidP="00803A1F">
      <w:pPr>
        <w:rPr>
          <w:rFonts w:ascii="Microsoft Sans Serif" w:hAnsi="Microsoft Sans Serif" w:cs="Microsoft Sans Serif"/>
        </w:rPr>
      </w:pPr>
    </w:p>
    <w:p w:rsidR="00803A1F" w:rsidRDefault="00803A1F" w:rsidP="00803A1F">
      <w:pPr>
        <w:rPr>
          <w:rFonts w:ascii="Microsoft Sans Serif" w:hAnsi="Microsoft Sans Serif" w:cs="Microsoft Sans Serif"/>
        </w:rPr>
      </w:pPr>
      <w:r>
        <w:rPr>
          <w:rFonts w:ascii="Microsoft Sans Serif" w:hAnsi="Microsoft Sans Serif" w:cs="Microsoft Sans Serif"/>
        </w:rPr>
        <w:t>SHARON WEBB ESQUIRE</w:t>
      </w:r>
    </w:p>
    <w:p w:rsidR="00803A1F" w:rsidRDefault="00803A1F" w:rsidP="00803A1F">
      <w:pPr>
        <w:rPr>
          <w:rFonts w:ascii="Microsoft Sans Serif" w:hAnsi="Microsoft Sans Serif" w:cs="Microsoft Sans Serif"/>
        </w:rPr>
      </w:pPr>
      <w:r>
        <w:rPr>
          <w:rFonts w:ascii="Microsoft Sans Serif" w:hAnsi="Microsoft Sans Serif" w:cs="Microsoft Sans Serif"/>
        </w:rPr>
        <w:t>OFFICE OF SMALL BUSINESS ADVOCATE</w:t>
      </w:r>
    </w:p>
    <w:p w:rsidR="00803A1F" w:rsidRDefault="00803A1F" w:rsidP="00803A1F">
      <w:pPr>
        <w:rPr>
          <w:rFonts w:ascii="Microsoft Sans Serif" w:hAnsi="Microsoft Sans Serif" w:cs="Microsoft Sans Serif"/>
        </w:rPr>
      </w:pPr>
      <w:r>
        <w:rPr>
          <w:rFonts w:ascii="Microsoft Sans Serif" w:hAnsi="Microsoft Sans Serif" w:cs="Microsoft Sans Serif"/>
        </w:rPr>
        <w:t>300 N SECOND STREET SUITE 202</w:t>
      </w:r>
    </w:p>
    <w:p w:rsidR="00803A1F" w:rsidRDefault="00803A1F" w:rsidP="00803A1F">
      <w:pPr>
        <w:rPr>
          <w:rFonts w:ascii="Microsoft Sans Serif" w:hAnsi="Microsoft Sans Serif" w:cs="Microsoft Sans Serif"/>
        </w:rPr>
      </w:pPr>
      <w:r>
        <w:rPr>
          <w:rFonts w:ascii="Microsoft Sans Serif" w:hAnsi="Microsoft Sans Serif" w:cs="Microsoft Sans Serif"/>
        </w:rPr>
        <w:t>HARRISBURG PA  17101</w:t>
      </w:r>
    </w:p>
    <w:p w:rsidR="00803A1F" w:rsidRDefault="00803A1F" w:rsidP="00803A1F">
      <w:pPr>
        <w:rPr>
          <w:rFonts w:ascii="Microsoft Sans Serif" w:hAnsi="Microsoft Sans Serif" w:cs="Microsoft Sans Serif"/>
        </w:rPr>
      </w:pPr>
      <w:r>
        <w:rPr>
          <w:rFonts w:ascii="Microsoft Sans Serif" w:hAnsi="Microsoft Sans Serif" w:cs="Microsoft Sans Serif"/>
        </w:rPr>
        <w:t>717-783-2525</w:t>
      </w:r>
    </w:p>
    <w:p w:rsidR="00803A1F" w:rsidRDefault="00803A1F" w:rsidP="00803A1F">
      <w:pPr>
        <w:rPr>
          <w:rFonts w:ascii="Microsoft Sans Serif" w:hAnsi="Microsoft Sans Serif" w:cs="Microsoft Sans Serif"/>
        </w:rPr>
      </w:pPr>
    </w:p>
    <w:p w:rsidR="00803A1F" w:rsidRDefault="00803A1F" w:rsidP="00803A1F">
      <w:pPr>
        <w:rPr>
          <w:rFonts w:ascii="Microsoft Sans Serif" w:hAnsi="Microsoft Sans Serif" w:cs="Microsoft Sans Serif"/>
        </w:rPr>
      </w:pPr>
      <w:r>
        <w:rPr>
          <w:rFonts w:ascii="Microsoft Sans Serif" w:hAnsi="Microsoft Sans Serif" w:cs="Microsoft Sans Serif"/>
        </w:rPr>
        <w:t>STEPHANIE WIMER ESQUIRE</w:t>
      </w:r>
    </w:p>
    <w:p w:rsidR="00803A1F" w:rsidRDefault="00803A1F" w:rsidP="00803A1F">
      <w:pPr>
        <w:rPr>
          <w:rFonts w:ascii="Microsoft Sans Serif" w:hAnsi="Microsoft Sans Serif" w:cs="Microsoft Sans Serif"/>
        </w:rPr>
      </w:pPr>
      <w:r>
        <w:rPr>
          <w:rFonts w:ascii="Microsoft Sans Serif" w:hAnsi="Microsoft Sans Serif" w:cs="Microsoft Sans Serif"/>
        </w:rPr>
        <w:t>PA PUC LAW BUREAU</w:t>
      </w:r>
    </w:p>
    <w:p w:rsidR="00803A1F" w:rsidRDefault="00803A1F" w:rsidP="00803A1F">
      <w:pPr>
        <w:rPr>
          <w:rFonts w:ascii="Microsoft Sans Serif" w:hAnsi="Microsoft Sans Serif" w:cs="Microsoft Sans Serif"/>
        </w:rPr>
      </w:pPr>
      <w:r>
        <w:rPr>
          <w:rFonts w:ascii="Microsoft Sans Serif" w:hAnsi="Microsoft Sans Serif" w:cs="Microsoft Sans Serif"/>
        </w:rPr>
        <w:t>PO BOX 3265</w:t>
      </w:r>
    </w:p>
    <w:p w:rsidR="00803A1F" w:rsidRDefault="00803A1F" w:rsidP="00803A1F">
      <w:pPr>
        <w:rPr>
          <w:rFonts w:ascii="Microsoft Sans Serif" w:hAnsi="Microsoft Sans Serif" w:cs="Microsoft Sans Serif"/>
        </w:rPr>
      </w:pPr>
      <w:r>
        <w:rPr>
          <w:rFonts w:ascii="Microsoft Sans Serif" w:hAnsi="Microsoft Sans Serif" w:cs="Microsoft Sans Serif"/>
        </w:rPr>
        <w:t>HARRISBURG PA  17105-3265</w:t>
      </w:r>
    </w:p>
    <w:p w:rsidR="00803A1F" w:rsidRDefault="00803A1F" w:rsidP="00803A1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03A1F" w:rsidRDefault="00803A1F" w:rsidP="00803A1F">
      <w:pPr>
        <w:rPr>
          <w:rFonts w:ascii="Microsoft Sans Serif" w:hAnsi="Microsoft Sans Serif" w:cs="Microsoft Sans Serif"/>
        </w:rPr>
      </w:pPr>
    </w:p>
    <w:p w:rsidR="00803A1F" w:rsidRDefault="00803A1F" w:rsidP="00803A1F">
      <w:pPr>
        <w:rPr>
          <w:rFonts w:ascii="Microsoft Sans Serif" w:hAnsi="Microsoft Sans Serif" w:cs="Microsoft Sans Serif"/>
        </w:rPr>
      </w:pPr>
      <w:r>
        <w:rPr>
          <w:rFonts w:ascii="Microsoft Sans Serif" w:hAnsi="Microsoft Sans Serif" w:cs="Microsoft Sans Serif"/>
        </w:rPr>
        <w:t>TODD S STEWART ESQUIRE</w:t>
      </w:r>
    </w:p>
    <w:p w:rsidR="00803A1F" w:rsidRDefault="00803A1F" w:rsidP="00803A1F">
      <w:pPr>
        <w:rPr>
          <w:rFonts w:ascii="Microsoft Sans Serif" w:hAnsi="Microsoft Sans Serif" w:cs="Microsoft Sans Serif"/>
        </w:rPr>
      </w:pPr>
      <w:r>
        <w:rPr>
          <w:rFonts w:ascii="Microsoft Sans Serif" w:hAnsi="Microsoft Sans Serif" w:cs="Microsoft Sans Serif"/>
        </w:rPr>
        <w:t>CHRISTOPHER M ARFAA ESQUIRE</w:t>
      </w:r>
    </w:p>
    <w:p w:rsidR="00803A1F" w:rsidRDefault="00803A1F" w:rsidP="00803A1F">
      <w:pPr>
        <w:rPr>
          <w:rFonts w:ascii="Microsoft Sans Serif" w:hAnsi="Microsoft Sans Serif" w:cs="Microsoft Sans Serif"/>
        </w:rPr>
      </w:pPr>
      <w:r>
        <w:rPr>
          <w:rFonts w:ascii="Microsoft Sans Serif" w:hAnsi="Microsoft Sans Serif" w:cs="Microsoft Sans Serif"/>
        </w:rPr>
        <w:t>HAWKE MCKEON &amp; SNISCAK LLP</w:t>
      </w:r>
    </w:p>
    <w:p w:rsidR="00803A1F" w:rsidRDefault="00803A1F" w:rsidP="00803A1F">
      <w:pPr>
        <w:rPr>
          <w:rFonts w:ascii="Microsoft Sans Serif" w:hAnsi="Microsoft Sans Serif" w:cs="Microsoft Sans Serif"/>
        </w:rPr>
      </w:pPr>
      <w:r>
        <w:rPr>
          <w:rFonts w:ascii="Microsoft Sans Serif" w:hAnsi="Microsoft Sans Serif" w:cs="Microsoft Sans Serif"/>
        </w:rPr>
        <w:t>100 NORTH TENTH STREET</w:t>
      </w:r>
    </w:p>
    <w:p w:rsidR="00803A1F" w:rsidRDefault="00803A1F" w:rsidP="00803A1F">
      <w:pPr>
        <w:rPr>
          <w:rFonts w:ascii="Microsoft Sans Serif" w:hAnsi="Microsoft Sans Serif" w:cs="Microsoft Sans Serif"/>
        </w:rPr>
      </w:pPr>
      <w:r>
        <w:rPr>
          <w:rFonts w:ascii="Microsoft Sans Serif" w:hAnsi="Microsoft Sans Serif" w:cs="Microsoft Sans Serif"/>
        </w:rPr>
        <w:t>PO BOX 1778</w:t>
      </w:r>
    </w:p>
    <w:p w:rsidR="00803A1F" w:rsidRDefault="00803A1F" w:rsidP="00803A1F">
      <w:pPr>
        <w:rPr>
          <w:rFonts w:ascii="Microsoft Sans Serif" w:hAnsi="Microsoft Sans Serif" w:cs="Microsoft Sans Serif"/>
        </w:rPr>
      </w:pPr>
      <w:r>
        <w:rPr>
          <w:rFonts w:ascii="Microsoft Sans Serif" w:hAnsi="Microsoft Sans Serif" w:cs="Microsoft Sans Serif"/>
        </w:rPr>
        <w:t>HARRISBURG PA  17105-1778</w:t>
      </w:r>
    </w:p>
    <w:p w:rsidR="00803A1F" w:rsidRDefault="00803A1F" w:rsidP="00803A1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03A1F" w:rsidRDefault="00803A1F" w:rsidP="00803A1F">
      <w:pPr>
        <w:rPr>
          <w:rFonts w:ascii="Microsoft Sans Serif" w:hAnsi="Microsoft Sans Serif" w:cs="Microsoft Sans Serif"/>
          <w:b/>
          <w:i/>
          <w:u w:val="single"/>
        </w:rPr>
      </w:pPr>
    </w:p>
    <w:p w:rsidR="00803A1F" w:rsidRDefault="00803A1F" w:rsidP="00803A1F">
      <w:pPr>
        <w:rPr>
          <w:rFonts w:ascii="Microsoft Sans Serif" w:hAnsi="Microsoft Sans Serif" w:cs="Microsoft Sans Serif"/>
        </w:rPr>
      </w:pPr>
      <w:r>
        <w:rPr>
          <w:rFonts w:ascii="Microsoft Sans Serif" w:hAnsi="Microsoft Sans Serif" w:cs="Microsoft Sans Serif"/>
        </w:rPr>
        <w:t>CHRISTOPHER A LEWIS ESQUIRE</w:t>
      </w:r>
    </w:p>
    <w:p w:rsidR="00803A1F" w:rsidRDefault="00803A1F" w:rsidP="00803A1F">
      <w:pPr>
        <w:rPr>
          <w:rFonts w:ascii="Microsoft Sans Serif" w:hAnsi="Microsoft Sans Serif" w:cs="Microsoft Sans Serif"/>
        </w:rPr>
      </w:pPr>
      <w:r>
        <w:rPr>
          <w:rFonts w:ascii="Microsoft Sans Serif" w:hAnsi="Microsoft Sans Serif" w:cs="Microsoft Sans Serif"/>
        </w:rPr>
        <w:t>CHARLES A FITZPATRICK IV ESQUIRE</w:t>
      </w:r>
    </w:p>
    <w:p w:rsidR="00803A1F" w:rsidRDefault="00803A1F" w:rsidP="00803A1F">
      <w:pPr>
        <w:rPr>
          <w:rFonts w:ascii="Microsoft Sans Serif" w:hAnsi="Microsoft Sans Serif" w:cs="Microsoft Sans Serif"/>
        </w:rPr>
      </w:pPr>
      <w:r>
        <w:rPr>
          <w:rFonts w:ascii="Microsoft Sans Serif" w:hAnsi="Microsoft Sans Serif" w:cs="Microsoft Sans Serif"/>
        </w:rPr>
        <w:t>BLANK ROME LLP</w:t>
      </w:r>
    </w:p>
    <w:p w:rsidR="00803A1F" w:rsidRDefault="00803A1F" w:rsidP="00803A1F">
      <w:pPr>
        <w:rPr>
          <w:rFonts w:ascii="Microsoft Sans Serif" w:hAnsi="Microsoft Sans Serif" w:cs="Microsoft Sans Serif"/>
        </w:rPr>
      </w:pPr>
      <w:r>
        <w:rPr>
          <w:rFonts w:ascii="Microsoft Sans Serif" w:hAnsi="Microsoft Sans Serif" w:cs="Microsoft Sans Serif"/>
        </w:rPr>
        <w:t>ONE LOGAN SQUARE</w:t>
      </w:r>
    </w:p>
    <w:p w:rsidR="00803A1F" w:rsidRDefault="00803A1F" w:rsidP="00803A1F">
      <w:pPr>
        <w:rPr>
          <w:rFonts w:ascii="Microsoft Sans Serif" w:hAnsi="Microsoft Sans Serif" w:cs="Microsoft Sans Serif"/>
        </w:rPr>
      </w:pPr>
      <w:r>
        <w:rPr>
          <w:rFonts w:ascii="Microsoft Sans Serif" w:hAnsi="Microsoft Sans Serif" w:cs="Microsoft Sans Serif"/>
        </w:rPr>
        <w:t>130 NORTH 18</w:t>
      </w:r>
      <w:r>
        <w:rPr>
          <w:rFonts w:ascii="Microsoft Sans Serif" w:hAnsi="Microsoft Sans Serif" w:cs="Microsoft Sans Serif"/>
          <w:vertAlign w:val="superscript"/>
        </w:rPr>
        <w:t>TH</w:t>
      </w:r>
      <w:r>
        <w:rPr>
          <w:rFonts w:ascii="Microsoft Sans Serif" w:hAnsi="Microsoft Sans Serif" w:cs="Microsoft Sans Serif"/>
        </w:rPr>
        <w:t xml:space="preserve"> STREET</w:t>
      </w:r>
    </w:p>
    <w:p w:rsidR="00803A1F" w:rsidRDefault="00803A1F" w:rsidP="00803A1F">
      <w:pPr>
        <w:rPr>
          <w:rFonts w:ascii="Microsoft Sans Serif" w:hAnsi="Microsoft Sans Serif" w:cs="Microsoft Sans Serif"/>
        </w:rPr>
      </w:pPr>
      <w:r>
        <w:rPr>
          <w:rFonts w:ascii="Microsoft Sans Serif" w:hAnsi="Microsoft Sans Serif" w:cs="Microsoft Sans Serif"/>
        </w:rPr>
        <w:t>PHILADELPHIA PA  19130</w:t>
      </w:r>
    </w:p>
    <w:p w:rsidR="00803A1F" w:rsidRDefault="00803A1F" w:rsidP="00803A1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03A1F" w:rsidRDefault="00803A1F" w:rsidP="00803A1F">
      <w:pPr>
        <w:rPr>
          <w:rFonts w:ascii="Microsoft Sans Serif" w:hAnsi="Microsoft Sans Serif" w:cs="Microsoft Sans Serif"/>
        </w:rPr>
      </w:pPr>
    </w:p>
    <w:p w:rsidR="00803A1F" w:rsidRDefault="00803A1F" w:rsidP="00803A1F">
      <w:pPr>
        <w:rPr>
          <w:rFonts w:ascii="Microsoft Sans Serif" w:hAnsi="Microsoft Sans Serif" w:cs="Microsoft Sans Serif"/>
        </w:rPr>
      </w:pPr>
      <w:r>
        <w:rPr>
          <w:rFonts w:ascii="Microsoft Sans Serif" w:hAnsi="Microsoft Sans Serif" w:cs="Microsoft Sans Serif"/>
        </w:rPr>
        <w:t>KOURTNEY L MYERS ESQUIRE</w:t>
      </w:r>
    </w:p>
    <w:p w:rsidR="00803A1F" w:rsidRDefault="00803A1F" w:rsidP="00803A1F">
      <w:pPr>
        <w:rPr>
          <w:rFonts w:ascii="Microsoft Sans Serif" w:hAnsi="Microsoft Sans Serif" w:cs="Microsoft Sans Serif"/>
        </w:rPr>
      </w:pPr>
      <w:r>
        <w:rPr>
          <w:rFonts w:ascii="Microsoft Sans Serif" w:hAnsi="Microsoft Sans Serif" w:cs="Microsoft Sans Serif"/>
        </w:rPr>
        <w:t>PA PUC INVESTIGATION &amp; ENFORCEMENT</w:t>
      </w:r>
    </w:p>
    <w:p w:rsidR="00803A1F" w:rsidRDefault="00803A1F" w:rsidP="00803A1F">
      <w:pPr>
        <w:rPr>
          <w:rFonts w:ascii="Microsoft Sans Serif" w:hAnsi="Microsoft Sans Serif" w:cs="Microsoft Sans Serif"/>
        </w:rPr>
      </w:pPr>
      <w:r>
        <w:rPr>
          <w:rFonts w:ascii="Microsoft Sans Serif" w:hAnsi="Microsoft Sans Serif" w:cs="Microsoft Sans Serif"/>
        </w:rPr>
        <w:t>PO BOX 3265</w:t>
      </w:r>
    </w:p>
    <w:p w:rsidR="00803A1F" w:rsidRDefault="00803A1F" w:rsidP="00803A1F">
      <w:pPr>
        <w:rPr>
          <w:rFonts w:ascii="Microsoft Sans Serif" w:hAnsi="Microsoft Sans Serif" w:cs="Microsoft Sans Serif"/>
        </w:rPr>
      </w:pPr>
      <w:r>
        <w:rPr>
          <w:rFonts w:ascii="Microsoft Sans Serif" w:hAnsi="Microsoft Sans Serif" w:cs="Microsoft Sans Serif"/>
        </w:rPr>
        <w:t>HARRISBURG PA  17105</w:t>
      </w:r>
    </w:p>
    <w:p w:rsidR="00803A1F" w:rsidRDefault="00803A1F" w:rsidP="00803A1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03A1F" w:rsidRDefault="00803A1F" w:rsidP="00803A1F">
      <w:pPr>
        <w:rPr>
          <w:rFonts w:ascii="Microsoft Sans Serif" w:hAnsi="Microsoft Sans Serif" w:cs="Microsoft Sans Serif"/>
          <w:b/>
          <w:i/>
          <w:u w:val="single"/>
        </w:rPr>
      </w:pPr>
    </w:p>
    <w:p w:rsidR="00803A1F" w:rsidRDefault="00803A1F" w:rsidP="00803A1F">
      <w:pPr>
        <w:rPr>
          <w:rFonts w:ascii="Microsoft Sans Serif" w:hAnsi="Microsoft Sans Serif" w:cs="Microsoft Sans Serif"/>
        </w:rPr>
      </w:pPr>
      <w:r>
        <w:rPr>
          <w:rFonts w:ascii="Microsoft Sans Serif" w:hAnsi="Microsoft Sans Serif" w:cs="Microsoft Sans Serif"/>
        </w:rPr>
        <w:t>SCOTT ALAN GEORGE ESQUIRE</w:t>
      </w:r>
    </w:p>
    <w:p w:rsidR="00803A1F" w:rsidRDefault="00803A1F" w:rsidP="00803A1F">
      <w:pPr>
        <w:rPr>
          <w:rFonts w:ascii="Microsoft Sans Serif" w:hAnsi="Microsoft Sans Serif" w:cs="Microsoft Sans Serif"/>
        </w:rPr>
      </w:pPr>
      <w:r>
        <w:rPr>
          <w:rFonts w:ascii="Microsoft Sans Serif" w:hAnsi="Microsoft Sans Serif" w:cs="Microsoft Sans Serif"/>
        </w:rPr>
        <w:t>JONATHAN SHUB ESQUIRE</w:t>
      </w:r>
    </w:p>
    <w:p w:rsidR="00803A1F" w:rsidRDefault="00803A1F" w:rsidP="00803A1F">
      <w:pPr>
        <w:rPr>
          <w:rFonts w:ascii="Microsoft Sans Serif" w:hAnsi="Microsoft Sans Serif" w:cs="Microsoft Sans Serif"/>
        </w:rPr>
      </w:pPr>
      <w:r>
        <w:rPr>
          <w:rFonts w:ascii="Microsoft Sans Serif" w:hAnsi="Microsoft Sans Serif" w:cs="Microsoft Sans Serif"/>
        </w:rPr>
        <w:t>SEEGER WEISS LLP</w:t>
      </w:r>
    </w:p>
    <w:p w:rsidR="00803A1F" w:rsidRDefault="00803A1F" w:rsidP="00803A1F">
      <w:pPr>
        <w:rPr>
          <w:rFonts w:ascii="Microsoft Sans Serif" w:hAnsi="Microsoft Sans Serif" w:cs="Microsoft Sans Serif"/>
        </w:rPr>
      </w:pPr>
      <w:r>
        <w:rPr>
          <w:rFonts w:ascii="Microsoft Sans Serif" w:hAnsi="Microsoft Sans Serif" w:cs="Microsoft Sans Serif"/>
        </w:rPr>
        <w:t>1515 MARKET STREET SUITE 1380</w:t>
      </w:r>
    </w:p>
    <w:p w:rsidR="00803A1F" w:rsidRDefault="00803A1F" w:rsidP="00803A1F">
      <w:pPr>
        <w:rPr>
          <w:rFonts w:ascii="Microsoft Sans Serif" w:hAnsi="Microsoft Sans Serif" w:cs="Microsoft Sans Serif"/>
        </w:rPr>
      </w:pPr>
      <w:r>
        <w:rPr>
          <w:rFonts w:ascii="Microsoft Sans Serif" w:hAnsi="Microsoft Sans Serif" w:cs="Microsoft Sans Serif"/>
        </w:rPr>
        <w:t>PHILADELPHIA PA  19102</w:t>
      </w:r>
    </w:p>
    <w:p w:rsidR="00803A1F" w:rsidRDefault="00803A1F" w:rsidP="00803A1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803A1F" w:rsidRDefault="00803A1F" w:rsidP="00803A1F">
      <w:pPr>
        <w:rPr>
          <w:rFonts w:ascii="Microsoft Sans Serif" w:hAnsi="Microsoft Sans Serif" w:cs="Microsoft Sans Serif"/>
        </w:rPr>
      </w:pPr>
    </w:p>
    <w:p w:rsidR="00803A1F" w:rsidRDefault="00803A1F" w:rsidP="00803A1F">
      <w:pPr>
        <w:rPr>
          <w:rFonts w:ascii="Microsoft Sans Serif" w:hAnsi="Microsoft Sans Serif" w:cs="Microsoft Sans Serif"/>
        </w:rPr>
      </w:pPr>
      <w:r>
        <w:rPr>
          <w:rFonts w:ascii="Microsoft Sans Serif" w:hAnsi="Microsoft Sans Serif" w:cs="Microsoft Sans Serif"/>
        </w:rPr>
        <w:t>TROY M FREDERICK ESQUIRE</w:t>
      </w:r>
    </w:p>
    <w:p w:rsidR="00803A1F" w:rsidRDefault="00803A1F" w:rsidP="00803A1F">
      <w:pPr>
        <w:rPr>
          <w:rFonts w:ascii="Microsoft Sans Serif" w:hAnsi="Microsoft Sans Serif" w:cs="Microsoft Sans Serif"/>
        </w:rPr>
      </w:pPr>
      <w:r>
        <w:rPr>
          <w:rFonts w:ascii="Microsoft Sans Serif" w:hAnsi="Microsoft Sans Serif" w:cs="Microsoft Sans Serif"/>
        </w:rPr>
        <w:t>MARCUS &amp; MACK PC</w:t>
      </w:r>
    </w:p>
    <w:p w:rsidR="00803A1F" w:rsidRDefault="00803A1F" w:rsidP="00803A1F">
      <w:pPr>
        <w:rPr>
          <w:rFonts w:ascii="Microsoft Sans Serif" w:hAnsi="Microsoft Sans Serif" w:cs="Microsoft Sans Serif"/>
        </w:rPr>
      </w:pPr>
      <w:r>
        <w:rPr>
          <w:rFonts w:ascii="Microsoft Sans Serif" w:hAnsi="Microsoft Sans Serif" w:cs="Microsoft Sans Serif"/>
        </w:rPr>
        <w:t>57 SOUTH SIXTH STREET</w:t>
      </w:r>
    </w:p>
    <w:p w:rsidR="00803A1F" w:rsidRDefault="00803A1F" w:rsidP="00803A1F">
      <w:pPr>
        <w:rPr>
          <w:rFonts w:ascii="Microsoft Sans Serif" w:hAnsi="Microsoft Sans Serif" w:cs="Microsoft Sans Serif"/>
        </w:rPr>
      </w:pPr>
      <w:r>
        <w:rPr>
          <w:rFonts w:ascii="Microsoft Sans Serif" w:hAnsi="Microsoft Sans Serif" w:cs="Microsoft Sans Serif"/>
        </w:rPr>
        <w:t>INDIANA PA  15701</w:t>
      </w:r>
    </w:p>
    <w:p w:rsidR="00803A1F" w:rsidRPr="00550B34" w:rsidRDefault="00803A1F" w:rsidP="0038246D"/>
    <w:sectPr w:rsidR="00803A1F" w:rsidRPr="00550B34" w:rsidSect="00803A1F">
      <w:pgSz w:w="12240" w:h="15840"/>
      <w:pgMar w:top="1296" w:right="1440" w:bottom="1152"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93" w:rsidRDefault="002F6D93">
      <w:r>
        <w:separator/>
      </w:r>
    </w:p>
  </w:endnote>
  <w:endnote w:type="continuationSeparator" w:id="0">
    <w:p w:rsidR="002F6D93" w:rsidRDefault="002F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C7C05">
      <w:rPr>
        <w:rStyle w:val="PageNumber"/>
        <w:noProof/>
        <w:sz w:val="23"/>
        <w:szCs w:val="23"/>
      </w:rPr>
      <w:t>10</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93" w:rsidRDefault="002F6D93">
      <w:r>
        <w:separator/>
      </w:r>
    </w:p>
  </w:footnote>
  <w:footnote w:type="continuationSeparator" w:id="0">
    <w:p w:rsidR="002F6D93" w:rsidRDefault="002F6D93">
      <w:r>
        <w:continuationSeparator/>
      </w:r>
    </w:p>
  </w:footnote>
  <w:footnote w:id="1">
    <w:p w:rsidR="000E2FD4" w:rsidRPr="005634E9" w:rsidRDefault="000E2FD4" w:rsidP="000E2FD4">
      <w:pPr>
        <w:pStyle w:val="FootnoteText"/>
      </w:pPr>
      <w:r w:rsidRPr="005634E9">
        <w:rPr>
          <w:rStyle w:val="FootnoteReference"/>
        </w:rPr>
        <w:footnoteRef/>
      </w:r>
      <w:r w:rsidRPr="005634E9">
        <w:t xml:space="preserve"> </w:t>
      </w:r>
      <w:r w:rsidRPr="005634E9">
        <w:tab/>
      </w:r>
      <w:r w:rsidRPr="005634E9">
        <w:rPr>
          <w:i/>
        </w:rPr>
        <w:t>See</w:t>
      </w:r>
      <w:r w:rsidRPr="005634E9">
        <w:t xml:space="preserve">, </w:t>
      </w:r>
      <w:r w:rsidRPr="005634E9">
        <w:rPr>
          <w:u w:val="single"/>
        </w:rPr>
        <w:t>PUC Accelerates Switching Times for Electricity Supply</w:t>
      </w:r>
      <w:r w:rsidRPr="005634E9">
        <w:t>, Press Release (dated April 3, 2014), available at: http://www.puc.state.pa.us/about_puc/press_releases.aspx?ShowPR=3332.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8F6792E"/>
    <w:multiLevelType w:val="hybridMultilevel"/>
    <w:tmpl w:val="53A09E50"/>
    <w:lvl w:ilvl="0" w:tplc="8C32DA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42850B4"/>
    <w:multiLevelType w:val="hybridMultilevel"/>
    <w:tmpl w:val="87C6507A"/>
    <w:lvl w:ilvl="0" w:tplc="95102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DFB3B8A"/>
    <w:multiLevelType w:val="hybridMultilevel"/>
    <w:tmpl w:val="E2C8A8B0"/>
    <w:lvl w:ilvl="0" w:tplc="83A4C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8"/>
  </w:num>
  <w:num w:numId="3">
    <w:abstractNumId w:val="2"/>
  </w:num>
  <w:num w:numId="4">
    <w:abstractNumId w:val="20"/>
  </w:num>
  <w:num w:numId="5">
    <w:abstractNumId w:val="4"/>
  </w:num>
  <w:num w:numId="6">
    <w:abstractNumId w:val="24"/>
  </w:num>
  <w:num w:numId="7">
    <w:abstractNumId w:val="1"/>
  </w:num>
  <w:num w:numId="8">
    <w:abstractNumId w:val="13"/>
  </w:num>
  <w:num w:numId="9">
    <w:abstractNumId w:val="7"/>
  </w:num>
  <w:num w:numId="10">
    <w:abstractNumId w:val="23"/>
  </w:num>
  <w:num w:numId="11">
    <w:abstractNumId w:val="17"/>
  </w:num>
  <w:num w:numId="12">
    <w:abstractNumId w:val="6"/>
  </w:num>
  <w:num w:numId="13">
    <w:abstractNumId w:val="16"/>
  </w:num>
  <w:num w:numId="14">
    <w:abstractNumId w:val="0"/>
  </w:num>
  <w:num w:numId="15">
    <w:abstractNumId w:val="19"/>
  </w:num>
  <w:num w:numId="16">
    <w:abstractNumId w:val="11"/>
  </w:num>
  <w:num w:numId="17">
    <w:abstractNumId w:val="12"/>
  </w:num>
  <w:num w:numId="18">
    <w:abstractNumId w:val="5"/>
  </w:num>
  <w:num w:numId="19">
    <w:abstractNumId w:val="15"/>
  </w:num>
  <w:num w:numId="20">
    <w:abstractNumId w:val="3"/>
  </w:num>
  <w:num w:numId="21">
    <w:abstractNumId w:val="22"/>
  </w:num>
  <w:num w:numId="22">
    <w:abstractNumId w:val="21"/>
  </w:num>
  <w:num w:numId="23">
    <w:abstractNumId w:val="9"/>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6A19"/>
    <w:rsid w:val="00037E8B"/>
    <w:rsid w:val="00040542"/>
    <w:rsid w:val="000447F9"/>
    <w:rsid w:val="00046A20"/>
    <w:rsid w:val="00050489"/>
    <w:rsid w:val="00050AF1"/>
    <w:rsid w:val="00054540"/>
    <w:rsid w:val="00054A10"/>
    <w:rsid w:val="00055FCB"/>
    <w:rsid w:val="00060BB1"/>
    <w:rsid w:val="00063BFF"/>
    <w:rsid w:val="00063F87"/>
    <w:rsid w:val="00073240"/>
    <w:rsid w:val="00080E54"/>
    <w:rsid w:val="00081A6A"/>
    <w:rsid w:val="000851FC"/>
    <w:rsid w:val="000878EC"/>
    <w:rsid w:val="00094150"/>
    <w:rsid w:val="000A1610"/>
    <w:rsid w:val="000A248E"/>
    <w:rsid w:val="000B2BD1"/>
    <w:rsid w:val="000B3915"/>
    <w:rsid w:val="000B6D6C"/>
    <w:rsid w:val="000C3A73"/>
    <w:rsid w:val="000C5271"/>
    <w:rsid w:val="000C541F"/>
    <w:rsid w:val="000C5888"/>
    <w:rsid w:val="000D01AF"/>
    <w:rsid w:val="000D2CCA"/>
    <w:rsid w:val="000D4032"/>
    <w:rsid w:val="000D4575"/>
    <w:rsid w:val="000D5C6A"/>
    <w:rsid w:val="000D67B4"/>
    <w:rsid w:val="000D6D75"/>
    <w:rsid w:val="000D71EB"/>
    <w:rsid w:val="000E2FD4"/>
    <w:rsid w:val="000E6B3B"/>
    <w:rsid w:val="000F0A49"/>
    <w:rsid w:val="000F13A8"/>
    <w:rsid w:val="000F53C0"/>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41F9"/>
    <w:rsid w:val="00144B9B"/>
    <w:rsid w:val="00144EB5"/>
    <w:rsid w:val="00144FB3"/>
    <w:rsid w:val="00153529"/>
    <w:rsid w:val="001547B2"/>
    <w:rsid w:val="001611E5"/>
    <w:rsid w:val="00161B02"/>
    <w:rsid w:val="001714A2"/>
    <w:rsid w:val="001767DF"/>
    <w:rsid w:val="00181BAB"/>
    <w:rsid w:val="00182ECA"/>
    <w:rsid w:val="00187495"/>
    <w:rsid w:val="00187940"/>
    <w:rsid w:val="0019006F"/>
    <w:rsid w:val="001900E6"/>
    <w:rsid w:val="00190843"/>
    <w:rsid w:val="0019243B"/>
    <w:rsid w:val="00193F4C"/>
    <w:rsid w:val="0019509B"/>
    <w:rsid w:val="00197B84"/>
    <w:rsid w:val="001A1495"/>
    <w:rsid w:val="001A2DE2"/>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453CC"/>
    <w:rsid w:val="002508B3"/>
    <w:rsid w:val="00252F51"/>
    <w:rsid w:val="0025436A"/>
    <w:rsid w:val="0025764E"/>
    <w:rsid w:val="00261D6A"/>
    <w:rsid w:val="002623E6"/>
    <w:rsid w:val="0026329B"/>
    <w:rsid w:val="002636A2"/>
    <w:rsid w:val="00264CFF"/>
    <w:rsid w:val="00266583"/>
    <w:rsid w:val="0027269F"/>
    <w:rsid w:val="00276158"/>
    <w:rsid w:val="002825EF"/>
    <w:rsid w:val="002860B7"/>
    <w:rsid w:val="002872AD"/>
    <w:rsid w:val="00291D9A"/>
    <w:rsid w:val="002967E5"/>
    <w:rsid w:val="002A0B43"/>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3ED"/>
    <w:rsid w:val="002E64EF"/>
    <w:rsid w:val="002E76DB"/>
    <w:rsid w:val="002F05AF"/>
    <w:rsid w:val="002F61D3"/>
    <w:rsid w:val="002F6A91"/>
    <w:rsid w:val="002F6D93"/>
    <w:rsid w:val="002F73E4"/>
    <w:rsid w:val="00302908"/>
    <w:rsid w:val="003038D5"/>
    <w:rsid w:val="00304A73"/>
    <w:rsid w:val="00307DFB"/>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2AF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46D"/>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50EB"/>
    <w:rsid w:val="003C5E8A"/>
    <w:rsid w:val="003C66F8"/>
    <w:rsid w:val="003D419D"/>
    <w:rsid w:val="003E04E8"/>
    <w:rsid w:val="003E3839"/>
    <w:rsid w:val="003E44F8"/>
    <w:rsid w:val="003F0F78"/>
    <w:rsid w:val="003F21D9"/>
    <w:rsid w:val="003F3BFD"/>
    <w:rsid w:val="003F49DD"/>
    <w:rsid w:val="003F68D9"/>
    <w:rsid w:val="003F6945"/>
    <w:rsid w:val="00402EB0"/>
    <w:rsid w:val="00407622"/>
    <w:rsid w:val="004105C9"/>
    <w:rsid w:val="00413065"/>
    <w:rsid w:val="00415EAE"/>
    <w:rsid w:val="00420AC1"/>
    <w:rsid w:val="00421C2E"/>
    <w:rsid w:val="00423069"/>
    <w:rsid w:val="00427BB1"/>
    <w:rsid w:val="004327EC"/>
    <w:rsid w:val="0043651B"/>
    <w:rsid w:val="00436D29"/>
    <w:rsid w:val="0044078D"/>
    <w:rsid w:val="004417F1"/>
    <w:rsid w:val="00444026"/>
    <w:rsid w:val="004441EB"/>
    <w:rsid w:val="00444E27"/>
    <w:rsid w:val="004464B4"/>
    <w:rsid w:val="00446AEA"/>
    <w:rsid w:val="00447C0E"/>
    <w:rsid w:val="004509B5"/>
    <w:rsid w:val="00451DD1"/>
    <w:rsid w:val="0046363A"/>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24E"/>
    <w:rsid w:val="004C0C8D"/>
    <w:rsid w:val="004C19EA"/>
    <w:rsid w:val="004C54A1"/>
    <w:rsid w:val="004C5959"/>
    <w:rsid w:val="004D0669"/>
    <w:rsid w:val="004D1B9A"/>
    <w:rsid w:val="004D5EDA"/>
    <w:rsid w:val="004D6775"/>
    <w:rsid w:val="004E3BB5"/>
    <w:rsid w:val="004E5B21"/>
    <w:rsid w:val="004E665A"/>
    <w:rsid w:val="004E6F0A"/>
    <w:rsid w:val="004F0FF9"/>
    <w:rsid w:val="004F664A"/>
    <w:rsid w:val="005040DC"/>
    <w:rsid w:val="0050525A"/>
    <w:rsid w:val="00506AA6"/>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9BE"/>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3FF5"/>
    <w:rsid w:val="005B49D8"/>
    <w:rsid w:val="005B5069"/>
    <w:rsid w:val="005B6C33"/>
    <w:rsid w:val="005C038C"/>
    <w:rsid w:val="005C1B4B"/>
    <w:rsid w:val="005C4171"/>
    <w:rsid w:val="005C7120"/>
    <w:rsid w:val="005D0602"/>
    <w:rsid w:val="005D092D"/>
    <w:rsid w:val="005D470C"/>
    <w:rsid w:val="005E4A7E"/>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7A8"/>
    <w:rsid w:val="00682F21"/>
    <w:rsid w:val="00684075"/>
    <w:rsid w:val="006849B4"/>
    <w:rsid w:val="006871DC"/>
    <w:rsid w:val="00694651"/>
    <w:rsid w:val="0069608E"/>
    <w:rsid w:val="0069608F"/>
    <w:rsid w:val="00696B6C"/>
    <w:rsid w:val="006A2304"/>
    <w:rsid w:val="006A3278"/>
    <w:rsid w:val="006A5824"/>
    <w:rsid w:val="006A7A0E"/>
    <w:rsid w:val="006B0982"/>
    <w:rsid w:val="006C2C4C"/>
    <w:rsid w:val="006C393A"/>
    <w:rsid w:val="006C5A4D"/>
    <w:rsid w:val="006C63D0"/>
    <w:rsid w:val="006D0F1E"/>
    <w:rsid w:val="006D1934"/>
    <w:rsid w:val="006D33B5"/>
    <w:rsid w:val="006D48B8"/>
    <w:rsid w:val="006D528C"/>
    <w:rsid w:val="006D5523"/>
    <w:rsid w:val="006D7008"/>
    <w:rsid w:val="006E3B8A"/>
    <w:rsid w:val="006E6FAE"/>
    <w:rsid w:val="006F0FF6"/>
    <w:rsid w:val="006F1BFA"/>
    <w:rsid w:val="006F3A0C"/>
    <w:rsid w:val="006F74A6"/>
    <w:rsid w:val="006F77FC"/>
    <w:rsid w:val="006F7FCB"/>
    <w:rsid w:val="00700291"/>
    <w:rsid w:val="00700B9E"/>
    <w:rsid w:val="00702513"/>
    <w:rsid w:val="00702A13"/>
    <w:rsid w:val="00702C0B"/>
    <w:rsid w:val="007041DB"/>
    <w:rsid w:val="00705C2B"/>
    <w:rsid w:val="00712487"/>
    <w:rsid w:val="007138CC"/>
    <w:rsid w:val="00713D64"/>
    <w:rsid w:val="00714476"/>
    <w:rsid w:val="00716BBA"/>
    <w:rsid w:val="007203E5"/>
    <w:rsid w:val="00723CC9"/>
    <w:rsid w:val="00724ABE"/>
    <w:rsid w:val="00725BFC"/>
    <w:rsid w:val="00726EC8"/>
    <w:rsid w:val="00735291"/>
    <w:rsid w:val="007353BB"/>
    <w:rsid w:val="0074212A"/>
    <w:rsid w:val="00746EC7"/>
    <w:rsid w:val="00752614"/>
    <w:rsid w:val="0075751F"/>
    <w:rsid w:val="0076088E"/>
    <w:rsid w:val="00761AAA"/>
    <w:rsid w:val="00763DA0"/>
    <w:rsid w:val="007653FA"/>
    <w:rsid w:val="00771201"/>
    <w:rsid w:val="00771A87"/>
    <w:rsid w:val="00771ABF"/>
    <w:rsid w:val="00774975"/>
    <w:rsid w:val="0077624A"/>
    <w:rsid w:val="00780958"/>
    <w:rsid w:val="00783F05"/>
    <w:rsid w:val="00784AE9"/>
    <w:rsid w:val="00784CC6"/>
    <w:rsid w:val="00785D07"/>
    <w:rsid w:val="007876C7"/>
    <w:rsid w:val="00787F5D"/>
    <w:rsid w:val="007945B3"/>
    <w:rsid w:val="007B135C"/>
    <w:rsid w:val="007B19DA"/>
    <w:rsid w:val="007B2C93"/>
    <w:rsid w:val="007B5F06"/>
    <w:rsid w:val="007B76C4"/>
    <w:rsid w:val="007C4FD4"/>
    <w:rsid w:val="007C6559"/>
    <w:rsid w:val="007D0AF7"/>
    <w:rsid w:val="007E13BB"/>
    <w:rsid w:val="007F19A5"/>
    <w:rsid w:val="007F24B0"/>
    <w:rsid w:val="007F2A67"/>
    <w:rsid w:val="007F2D04"/>
    <w:rsid w:val="007F6BDD"/>
    <w:rsid w:val="007F6F2B"/>
    <w:rsid w:val="007F7EA4"/>
    <w:rsid w:val="00801014"/>
    <w:rsid w:val="00801BEC"/>
    <w:rsid w:val="008027C4"/>
    <w:rsid w:val="00802923"/>
    <w:rsid w:val="00803A1F"/>
    <w:rsid w:val="008116AF"/>
    <w:rsid w:val="00817C41"/>
    <w:rsid w:val="0082084D"/>
    <w:rsid w:val="00820EA8"/>
    <w:rsid w:val="008253A9"/>
    <w:rsid w:val="00830CF6"/>
    <w:rsid w:val="008413F8"/>
    <w:rsid w:val="008438CF"/>
    <w:rsid w:val="00843D58"/>
    <w:rsid w:val="00845486"/>
    <w:rsid w:val="008454B9"/>
    <w:rsid w:val="00845A5B"/>
    <w:rsid w:val="0084613F"/>
    <w:rsid w:val="00846C8B"/>
    <w:rsid w:val="008540FD"/>
    <w:rsid w:val="00854EC8"/>
    <w:rsid w:val="00861C19"/>
    <w:rsid w:val="0086399C"/>
    <w:rsid w:val="008733C7"/>
    <w:rsid w:val="00874F41"/>
    <w:rsid w:val="008773BF"/>
    <w:rsid w:val="008806DE"/>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3B99"/>
    <w:rsid w:val="008C53F0"/>
    <w:rsid w:val="008C6629"/>
    <w:rsid w:val="008C6C08"/>
    <w:rsid w:val="008C6E19"/>
    <w:rsid w:val="008C7929"/>
    <w:rsid w:val="008D2A90"/>
    <w:rsid w:val="008D34B8"/>
    <w:rsid w:val="008D59A2"/>
    <w:rsid w:val="008E6D84"/>
    <w:rsid w:val="008E74FB"/>
    <w:rsid w:val="008E79BF"/>
    <w:rsid w:val="008F755E"/>
    <w:rsid w:val="009022FC"/>
    <w:rsid w:val="009059EE"/>
    <w:rsid w:val="009065DB"/>
    <w:rsid w:val="00907551"/>
    <w:rsid w:val="00907E93"/>
    <w:rsid w:val="0091132C"/>
    <w:rsid w:val="00914D2A"/>
    <w:rsid w:val="009154DF"/>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761D7"/>
    <w:rsid w:val="0098199E"/>
    <w:rsid w:val="00985B9C"/>
    <w:rsid w:val="00986603"/>
    <w:rsid w:val="00990006"/>
    <w:rsid w:val="0099051F"/>
    <w:rsid w:val="00990945"/>
    <w:rsid w:val="00991840"/>
    <w:rsid w:val="00994060"/>
    <w:rsid w:val="009971D9"/>
    <w:rsid w:val="009A241C"/>
    <w:rsid w:val="009A2760"/>
    <w:rsid w:val="009B0651"/>
    <w:rsid w:val="009B3671"/>
    <w:rsid w:val="009C228F"/>
    <w:rsid w:val="009C25F1"/>
    <w:rsid w:val="009C2A10"/>
    <w:rsid w:val="009C416F"/>
    <w:rsid w:val="009C44F8"/>
    <w:rsid w:val="009C45FB"/>
    <w:rsid w:val="009C5580"/>
    <w:rsid w:val="009D16D6"/>
    <w:rsid w:val="009D17D2"/>
    <w:rsid w:val="009D2069"/>
    <w:rsid w:val="009D37EA"/>
    <w:rsid w:val="009D7DAC"/>
    <w:rsid w:val="009E0FA6"/>
    <w:rsid w:val="009E1824"/>
    <w:rsid w:val="009E2517"/>
    <w:rsid w:val="009E69D3"/>
    <w:rsid w:val="009F01F6"/>
    <w:rsid w:val="009F3DEF"/>
    <w:rsid w:val="009F421F"/>
    <w:rsid w:val="009F57DD"/>
    <w:rsid w:val="009F6BF1"/>
    <w:rsid w:val="00A004FE"/>
    <w:rsid w:val="00A02870"/>
    <w:rsid w:val="00A050EC"/>
    <w:rsid w:val="00A06973"/>
    <w:rsid w:val="00A07A16"/>
    <w:rsid w:val="00A12BC2"/>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1C1"/>
    <w:rsid w:val="00A76336"/>
    <w:rsid w:val="00A76480"/>
    <w:rsid w:val="00A77426"/>
    <w:rsid w:val="00A80EB1"/>
    <w:rsid w:val="00A82135"/>
    <w:rsid w:val="00A8749E"/>
    <w:rsid w:val="00A92373"/>
    <w:rsid w:val="00A93FB7"/>
    <w:rsid w:val="00AA23BA"/>
    <w:rsid w:val="00AA3B44"/>
    <w:rsid w:val="00AA4669"/>
    <w:rsid w:val="00AA5A3B"/>
    <w:rsid w:val="00AB2FF3"/>
    <w:rsid w:val="00AB35A6"/>
    <w:rsid w:val="00AB56B8"/>
    <w:rsid w:val="00AC425C"/>
    <w:rsid w:val="00AC54DB"/>
    <w:rsid w:val="00AC56B3"/>
    <w:rsid w:val="00AC6D5D"/>
    <w:rsid w:val="00AD2E4C"/>
    <w:rsid w:val="00AD6AC6"/>
    <w:rsid w:val="00AE307C"/>
    <w:rsid w:val="00AE7700"/>
    <w:rsid w:val="00AE7C1B"/>
    <w:rsid w:val="00AF43A3"/>
    <w:rsid w:val="00AF4DD8"/>
    <w:rsid w:val="00AF5EBD"/>
    <w:rsid w:val="00AF6538"/>
    <w:rsid w:val="00AF6655"/>
    <w:rsid w:val="00AF754F"/>
    <w:rsid w:val="00B01228"/>
    <w:rsid w:val="00B01460"/>
    <w:rsid w:val="00B016B8"/>
    <w:rsid w:val="00B02D2A"/>
    <w:rsid w:val="00B04A94"/>
    <w:rsid w:val="00B067D4"/>
    <w:rsid w:val="00B104BF"/>
    <w:rsid w:val="00B105BD"/>
    <w:rsid w:val="00B10BE1"/>
    <w:rsid w:val="00B12632"/>
    <w:rsid w:val="00B13E2F"/>
    <w:rsid w:val="00B150EE"/>
    <w:rsid w:val="00B16B10"/>
    <w:rsid w:val="00B17D2D"/>
    <w:rsid w:val="00B17E29"/>
    <w:rsid w:val="00B22385"/>
    <w:rsid w:val="00B2251B"/>
    <w:rsid w:val="00B22579"/>
    <w:rsid w:val="00B22843"/>
    <w:rsid w:val="00B25A1A"/>
    <w:rsid w:val="00B34D40"/>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70E1E"/>
    <w:rsid w:val="00B715DC"/>
    <w:rsid w:val="00B71848"/>
    <w:rsid w:val="00B73F8B"/>
    <w:rsid w:val="00B74492"/>
    <w:rsid w:val="00B7459D"/>
    <w:rsid w:val="00B76E4E"/>
    <w:rsid w:val="00B806F4"/>
    <w:rsid w:val="00B8216A"/>
    <w:rsid w:val="00B83324"/>
    <w:rsid w:val="00B8363B"/>
    <w:rsid w:val="00B852ED"/>
    <w:rsid w:val="00B85A59"/>
    <w:rsid w:val="00B87D27"/>
    <w:rsid w:val="00B87F4C"/>
    <w:rsid w:val="00B905A3"/>
    <w:rsid w:val="00B93852"/>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4038"/>
    <w:rsid w:val="00BE0854"/>
    <w:rsid w:val="00BE1ED2"/>
    <w:rsid w:val="00BE5D8A"/>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45CE"/>
    <w:rsid w:val="00C27500"/>
    <w:rsid w:val="00C27ADF"/>
    <w:rsid w:val="00C306E8"/>
    <w:rsid w:val="00C313ED"/>
    <w:rsid w:val="00C33F0C"/>
    <w:rsid w:val="00C3576E"/>
    <w:rsid w:val="00C35956"/>
    <w:rsid w:val="00C401DB"/>
    <w:rsid w:val="00C407D6"/>
    <w:rsid w:val="00C477A6"/>
    <w:rsid w:val="00C5657B"/>
    <w:rsid w:val="00C56AEC"/>
    <w:rsid w:val="00C57C68"/>
    <w:rsid w:val="00C60A73"/>
    <w:rsid w:val="00C610DB"/>
    <w:rsid w:val="00C6203D"/>
    <w:rsid w:val="00C67551"/>
    <w:rsid w:val="00C72120"/>
    <w:rsid w:val="00C75DCE"/>
    <w:rsid w:val="00C773A3"/>
    <w:rsid w:val="00C77DA0"/>
    <w:rsid w:val="00C83E66"/>
    <w:rsid w:val="00C843D7"/>
    <w:rsid w:val="00C87835"/>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A1"/>
    <w:rsid w:val="00D13DB2"/>
    <w:rsid w:val="00D20868"/>
    <w:rsid w:val="00D209B6"/>
    <w:rsid w:val="00D22294"/>
    <w:rsid w:val="00D22442"/>
    <w:rsid w:val="00D2255F"/>
    <w:rsid w:val="00D22EBC"/>
    <w:rsid w:val="00D235CF"/>
    <w:rsid w:val="00D2429D"/>
    <w:rsid w:val="00D24374"/>
    <w:rsid w:val="00D24620"/>
    <w:rsid w:val="00D3123C"/>
    <w:rsid w:val="00D3584A"/>
    <w:rsid w:val="00D44B05"/>
    <w:rsid w:val="00D51B5E"/>
    <w:rsid w:val="00D5252A"/>
    <w:rsid w:val="00D53667"/>
    <w:rsid w:val="00D55377"/>
    <w:rsid w:val="00D557D5"/>
    <w:rsid w:val="00D57E4B"/>
    <w:rsid w:val="00D601F0"/>
    <w:rsid w:val="00D626EC"/>
    <w:rsid w:val="00D636EB"/>
    <w:rsid w:val="00D64F50"/>
    <w:rsid w:val="00D65D31"/>
    <w:rsid w:val="00D7167B"/>
    <w:rsid w:val="00D73519"/>
    <w:rsid w:val="00D73AE8"/>
    <w:rsid w:val="00D73E83"/>
    <w:rsid w:val="00D80A3E"/>
    <w:rsid w:val="00D84B3D"/>
    <w:rsid w:val="00D92151"/>
    <w:rsid w:val="00D94D3A"/>
    <w:rsid w:val="00D95385"/>
    <w:rsid w:val="00D96DBC"/>
    <w:rsid w:val="00DA0323"/>
    <w:rsid w:val="00DA0C66"/>
    <w:rsid w:val="00DA3FF9"/>
    <w:rsid w:val="00DA51BC"/>
    <w:rsid w:val="00DB112D"/>
    <w:rsid w:val="00DB13BD"/>
    <w:rsid w:val="00DB1971"/>
    <w:rsid w:val="00DC451E"/>
    <w:rsid w:val="00DC5FA1"/>
    <w:rsid w:val="00DC7C05"/>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4869"/>
    <w:rsid w:val="00E77251"/>
    <w:rsid w:val="00E817EE"/>
    <w:rsid w:val="00E818B6"/>
    <w:rsid w:val="00E82102"/>
    <w:rsid w:val="00E83487"/>
    <w:rsid w:val="00E85543"/>
    <w:rsid w:val="00E87CF0"/>
    <w:rsid w:val="00E9187B"/>
    <w:rsid w:val="00E91EAA"/>
    <w:rsid w:val="00E92FD0"/>
    <w:rsid w:val="00E93B0A"/>
    <w:rsid w:val="00E93D93"/>
    <w:rsid w:val="00EA0B9E"/>
    <w:rsid w:val="00EA5C78"/>
    <w:rsid w:val="00EB045D"/>
    <w:rsid w:val="00EB41C4"/>
    <w:rsid w:val="00EB6D11"/>
    <w:rsid w:val="00EC1909"/>
    <w:rsid w:val="00EC1DDA"/>
    <w:rsid w:val="00EC2835"/>
    <w:rsid w:val="00EC4455"/>
    <w:rsid w:val="00EC77BB"/>
    <w:rsid w:val="00EC7E13"/>
    <w:rsid w:val="00ED1828"/>
    <w:rsid w:val="00ED4EEA"/>
    <w:rsid w:val="00EE1389"/>
    <w:rsid w:val="00EE19FF"/>
    <w:rsid w:val="00EF1723"/>
    <w:rsid w:val="00EF26AE"/>
    <w:rsid w:val="00F00D62"/>
    <w:rsid w:val="00F0305C"/>
    <w:rsid w:val="00F03989"/>
    <w:rsid w:val="00F07D3B"/>
    <w:rsid w:val="00F12B16"/>
    <w:rsid w:val="00F139D5"/>
    <w:rsid w:val="00F1692D"/>
    <w:rsid w:val="00F23018"/>
    <w:rsid w:val="00F25BF4"/>
    <w:rsid w:val="00F27B16"/>
    <w:rsid w:val="00F32383"/>
    <w:rsid w:val="00F3272B"/>
    <w:rsid w:val="00F33096"/>
    <w:rsid w:val="00F336A1"/>
    <w:rsid w:val="00F40A39"/>
    <w:rsid w:val="00F40D25"/>
    <w:rsid w:val="00F41BB8"/>
    <w:rsid w:val="00F441B2"/>
    <w:rsid w:val="00F45DEB"/>
    <w:rsid w:val="00F46A84"/>
    <w:rsid w:val="00F476E8"/>
    <w:rsid w:val="00F5026D"/>
    <w:rsid w:val="00F5660C"/>
    <w:rsid w:val="00F63836"/>
    <w:rsid w:val="00F70814"/>
    <w:rsid w:val="00F75114"/>
    <w:rsid w:val="00F75AE8"/>
    <w:rsid w:val="00F76819"/>
    <w:rsid w:val="00F808F8"/>
    <w:rsid w:val="00F85EC2"/>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2029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CF60-27B4-465E-9B51-4B9243B3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2015-04-24T14:43:00Z</cp:lastPrinted>
  <dcterms:created xsi:type="dcterms:W3CDTF">2015-04-24T14:45:00Z</dcterms:created>
  <dcterms:modified xsi:type="dcterms:W3CDTF">2015-04-24T14:45:00Z</dcterms:modified>
</cp:coreProperties>
</file>