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71A09" w14:textId="77777777" w:rsidR="009304FE" w:rsidRPr="007A3463" w:rsidRDefault="009304FE" w:rsidP="009304FE">
      <w:pPr>
        <w:jc w:val="center"/>
        <w:rPr>
          <w:b/>
          <w:sz w:val="26"/>
          <w:szCs w:val="26"/>
        </w:rPr>
      </w:pPr>
      <w:r w:rsidRPr="007A3463">
        <w:rPr>
          <w:b/>
          <w:sz w:val="26"/>
          <w:szCs w:val="26"/>
        </w:rPr>
        <w:t>PENNSYLVANIA</w:t>
      </w:r>
    </w:p>
    <w:p w14:paraId="165EA0C4" w14:textId="77777777" w:rsidR="009304FE" w:rsidRPr="007A3463" w:rsidRDefault="009304FE" w:rsidP="009304FE">
      <w:pPr>
        <w:jc w:val="center"/>
        <w:rPr>
          <w:b/>
          <w:sz w:val="26"/>
          <w:szCs w:val="26"/>
        </w:rPr>
      </w:pPr>
      <w:r w:rsidRPr="007A3463">
        <w:rPr>
          <w:b/>
          <w:sz w:val="26"/>
          <w:szCs w:val="26"/>
        </w:rPr>
        <w:t>PUBLIC UTILITY COMMISSION</w:t>
      </w:r>
    </w:p>
    <w:p w14:paraId="474A3C58" w14:textId="77777777" w:rsidR="009304FE" w:rsidRPr="007A3463" w:rsidRDefault="009304FE" w:rsidP="009304FE">
      <w:pPr>
        <w:jc w:val="center"/>
        <w:rPr>
          <w:b/>
          <w:sz w:val="26"/>
          <w:szCs w:val="26"/>
        </w:rPr>
      </w:pPr>
      <w:r w:rsidRPr="007A3463">
        <w:rPr>
          <w:b/>
          <w:sz w:val="26"/>
          <w:szCs w:val="26"/>
        </w:rPr>
        <w:t>Harrisburg, PA 17105-3265</w:t>
      </w:r>
    </w:p>
    <w:p w14:paraId="05F9DE34" w14:textId="77777777" w:rsidR="009304FE" w:rsidRPr="007A3463" w:rsidRDefault="009304FE" w:rsidP="009304FE">
      <w:pPr>
        <w:rPr>
          <w:sz w:val="26"/>
          <w:szCs w:val="26"/>
        </w:rPr>
      </w:pPr>
    </w:p>
    <w:p w14:paraId="5DCE2963" w14:textId="77777777" w:rsidR="00B01F47" w:rsidRPr="007A3463" w:rsidRDefault="00B01F47" w:rsidP="009304FE">
      <w:pPr>
        <w:rPr>
          <w:sz w:val="26"/>
          <w:szCs w:val="26"/>
        </w:rPr>
      </w:pPr>
    </w:p>
    <w:p w14:paraId="49169328" w14:textId="5B24EDBE" w:rsidR="009304FE" w:rsidRPr="007A3463" w:rsidRDefault="009304FE" w:rsidP="00CB7C08">
      <w:pPr>
        <w:jc w:val="right"/>
        <w:rPr>
          <w:sz w:val="26"/>
          <w:szCs w:val="26"/>
        </w:rPr>
      </w:pPr>
      <w:r w:rsidRPr="007A3463">
        <w:rPr>
          <w:sz w:val="26"/>
          <w:szCs w:val="26"/>
        </w:rPr>
        <w:t xml:space="preserve">Public Meeting held </w:t>
      </w:r>
      <w:r w:rsidR="00A00004">
        <w:rPr>
          <w:sz w:val="26"/>
          <w:szCs w:val="26"/>
        </w:rPr>
        <w:t>March 26, 2015</w:t>
      </w:r>
      <w:r w:rsidR="00B01F47" w:rsidRPr="007A3463">
        <w:rPr>
          <w:sz w:val="26"/>
          <w:szCs w:val="26"/>
        </w:rPr>
        <w:t xml:space="preserve"> </w:t>
      </w:r>
    </w:p>
    <w:p w14:paraId="0218375B" w14:textId="77777777" w:rsidR="009304FE" w:rsidRPr="007A3463" w:rsidRDefault="009304FE" w:rsidP="009304FE">
      <w:pPr>
        <w:rPr>
          <w:sz w:val="26"/>
          <w:szCs w:val="26"/>
        </w:rPr>
      </w:pPr>
    </w:p>
    <w:p w14:paraId="76105F05" w14:textId="77777777" w:rsidR="00B01F47" w:rsidRPr="007A3463" w:rsidRDefault="00B01F47" w:rsidP="009304FE">
      <w:pPr>
        <w:rPr>
          <w:sz w:val="26"/>
          <w:szCs w:val="26"/>
        </w:rPr>
      </w:pPr>
    </w:p>
    <w:p w14:paraId="6D1A2F2A" w14:textId="77777777" w:rsidR="009304FE" w:rsidRPr="007A3463" w:rsidRDefault="009304FE" w:rsidP="009304FE">
      <w:pPr>
        <w:rPr>
          <w:sz w:val="26"/>
          <w:szCs w:val="26"/>
        </w:rPr>
      </w:pPr>
      <w:r w:rsidRPr="007A3463">
        <w:rPr>
          <w:sz w:val="26"/>
          <w:szCs w:val="26"/>
        </w:rPr>
        <w:t>Commissioners Present:</w:t>
      </w:r>
    </w:p>
    <w:p w14:paraId="209041B1" w14:textId="77777777" w:rsidR="009304FE" w:rsidRPr="007A3463" w:rsidRDefault="009304FE" w:rsidP="009304FE">
      <w:pPr>
        <w:rPr>
          <w:sz w:val="26"/>
          <w:szCs w:val="26"/>
        </w:rPr>
      </w:pPr>
    </w:p>
    <w:p w14:paraId="5934D846" w14:textId="77777777" w:rsidR="009304FE" w:rsidRPr="007A3463" w:rsidRDefault="009304FE" w:rsidP="009304FE">
      <w:pPr>
        <w:rPr>
          <w:sz w:val="26"/>
          <w:szCs w:val="26"/>
        </w:rPr>
      </w:pPr>
      <w:r w:rsidRPr="007A3463">
        <w:rPr>
          <w:sz w:val="26"/>
          <w:szCs w:val="26"/>
        </w:rPr>
        <w:tab/>
      </w:r>
      <w:r w:rsidR="00847CD0" w:rsidRPr="007A3463">
        <w:rPr>
          <w:sz w:val="26"/>
          <w:szCs w:val="26"/>
        </w:rPr>
        <w:t>Robert F. Powelson</w:t>
      </w:r>
      <w:r w:rsidRPr="007A3463">
        <w:rPr>
          <w:sz w:val="26"/>
          <w:szCs w:val="26"/>
        </w:rPr>
        <w:t>, Chairman</w:t>
      </w:r>
    </w:p>
    <w:p w14:paraId="5B59DF60" w14:textId="77777777" w:rsidR="009304FE" w:rsidRPr="007A3463" w:rsidRDefault="009304FE" w:rsidP="009304FE">
      <w:pPr>
        <w:rPr>
          <w:sz w:val="26"/>
          <w:szCs w:val="26"/>
        </w:rPr>
      </w:pPr>
      <w:r w:rsidRPr="007A3463">
        <w:rPr>
          <w:sz w:val="26"/>
          <w:szCs w:val="26"/>
        </w:rPr>
        <w:tab/>
      </w:r>
      <w:r w:rsidR="00847CD0" w:rsidRPr="007A3463">
        <w:rPr>
          <w:sz w:val="26"/>
          <w:szCs w:val="26"/>
        </w:rPr>
        <w:t>John F. Coleman, Jr.</w:t>
      </w:r>
      <w:r w:rsidRPr="007A3463">
        <w:rPr>
          <w:sz w:val="26"/>
          <w:szCs w:val="26"/>
        </w:rPr>
        <w:t>, Vice Chairman</w:t>
      </w:r>
    </w:p>
    <w:p w14:paraId="21DB5FEF" w14:textId="34594AC0" w:rsidR="009304FE" w:rsidRPr="007A3463" w:rsidRDefault="001C7F88" w:rsidP="009304FE">
      <w:pPr>
        <w:rPr>
          <w:sz w:val="26"/>
          <w:szCs w:val="26"/>
        </w:rPr>
      </w:pPr>
      <w:r w:rsidRPr="007A3463">
        <w:rPr>
          <w:sz w:val="26"/>
          <w:szCs w:val="26"/>
        </w:rPr>
        <w:tab/>
      </w:r>
      <w:r w:rsidR="00013EBC" w:rsidRPr="007A3463">
        <w:rPr>
          <w:sz w:val="26"/>
        </w:rPr>
        <w:t>Pamela A. Witmer</w:t>
      </w:r>
    </w:p>
    <w:p w14:paraId="77FC298A" w14:textId="62361C47" w:rsidR="009304FE" w:rsidRPr="007A3463" w:rsidRDefault="009304FE" w:rsidP="009304FE">
      <w:pPr>
        <w:rPr>
          <w:sz w:val="26"/>
          <w:szCs w:val="26"/>
        </w:rPr>
      </w:pPr>
      <w:r w:rsidRPr="007A3463">
        <w:rPr>
          <w:sz w:val="26"/>
          <w:szCs w:val="26"/>
        </w:rPr>
        <w:tab/>
      </w:r>
      <w:r w:rsidR="007A3463" w:rsidRPr="007A3463">
        <w:rPr>
          <w:sz w:val="26"/>
          <w:szCs w:val="26"/>
        </w:rPr>
        <w:t>James H. Cawley</w:t>
      </w:r>
      <w:r w:rsidR="009C2357">
        <w:rPr>
          <w:sz w:val="26"/>
          <w:szCs w:val="26"/>
        </w:rPr>
        <w:t>, Statement</w:t>
      </w:r>
    </w:p>
    <w:p w14:paraId="1FD28B8B" w14:textId="60957CDE" w:rsidR="009304FE" w:rsidRPr="004A782C" w:rsidRDefault="00AB0F2F" w:rsidP="009304FE">
      <w:pPr>
        <w:rPr>
          <w:sz w:val="26"/>
          <w:szCs w:val="26"/>
        </w:rPr>
      </w:pPr>
      <w:r w:rsidRPr="007A3463">
        <w:tab/>
      </w:r>
      <w:r w:rsidR="00013EBC" w:rsidRPr="004A782C">
        <w:rPr>
          <w:sz w:val="26"/>
          <w:szCs w:val="26"/>
        </w:rPr>
        <w:t>Gladys M. Brown</w:t>
      </w:r>
    </w:p>
    <w:p w14:paraId="6B402970" w14:textId="77777777" w:rsidR="00AB0F2F" w:rsidRPr="007A3463" w:rsidRDefault="00AB0F2F" w:rsidP="009304FE"/>
    <w:p w14:paraId="178294A4" w14:textId="77777777" w:rsidR="009304FE" w:rsidRPr="007A3463" w:rsidRDefault="009304FE" w:rsidP="009304FE"/>
    <w:p w14:paraId="078D2116" w14:textId="6C118A45" w:rsidR="00E050C0" w:rsidRPr="007A3463" w:rsidRDefault="00A00004" w:rsidP="00E050C0">
      <w:pPr>
        <w:tabs>
          <w:tab w:val="left" w:pos="-720"/>
          <w:tab w:val="left" w:pos="0"/>
        </w:tabs>
        <w:suppressAutoHyphens/>
        <w:rPr>
          <w:sz w:val="26"/>
          <w:szCs w:val="26"/>
        </w:rPr>
      </w:pPr>
      <w:r>
        <w:rPr>
          <w:sz w:val="26"/>
          <w:szCs w:val="26"/>
        </w:rPr>
        <w:t>Darnell Fassett</w:t>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7A3463" w:rsidRPr="007A3463">
        <w:rPr>
          <w:sz w:val="26"/>
          <w:szCs w:val="26"/>
        </w:rPr>
        <w:tab/>
        <w:t xml:space="preserve">  </w:t>
      </w:r>
      <w:r w:rsidR="00550A92">
        <w:rPr>
          <w:sz w:val="26"/>
          <w:szCs w:val="26"/>
        </w:rPr>
        <w:t xml:space="preserve">   </w:t>
      </w:r>
      <w:r>
        <w:rPr>
          <w:sz w:val="26"/>
          <w:szCs w:val="26"/>
        </w:rPr>
        <w:t>F-2014-2408541</w:t>
      </w:r>
    </w:p>
    <w:p w14:paraId="4C3B03BC" w14:textId="77777777" w:rsidR="00E050C0" w:rsidRPr="007A3463" w:rsidRDefault="00E050C0" w:rsidP="00E050C0">
      <w:pPr>
        <w:tabs>
          <w:tab w:val="left" w:pos="-720"/>
          <w:tab w:val="left" w:pos="0"/>
        </w:tabs>
        <w:suppressAutoHyphens/>
        <w:rPr>
          <w:sz w:val="26"/>
          <w:szCs w:val="26"/>
        </w:rPr>
      </w:pPr>
    </w:p>
    <w:p w14:paraId="0F0B2CB9" w14:textId="77777777" w:rsidR="00E050C0" w:rsidRPr="007A3463" w:rsidRDefault="00E050C0" w:rsidP="00E050C0">
      <w:pPr>
        <w:tabs>
          <w:tab w:val="left" w:pos="-720"/>
          <w:tab w:val="left" w:pos="0"/>
        </w:tabs>
        <w:suppressAutoHyphens/>
        <w:rPr>
          <w:sz w:val="26"/>
          <w:szCs w:val="26"/>
        </w:rPr>
      </w:pPr>
      <w:r w:rsidRPr="007A3463">
        <w:rPr>
          <w:sz w:val="26"/>
          <w:szCs w:val="26"/>
        </w:rPr>
        <w:tab/>
        <w:t>v.</w:t>
      </w:r>
    </w:p>
    <w:p w14:paraId="3ABF7E7D" w14:textId="77777777" w:rsidR="00E050C0" w:rsidRPr="007A3463" w:rsidRDefault="00E050C0" w:rsidP="00E050C0">
      <w:pPr>
        <w:tabs>
          <w:tab w:val="left" w:pos="-720"/>
          <w:tab w:val="left" w:pos="0"/>
        </w:tabs>
        <w:suppressAutoHyphens/>
        <w:rPr>
          <w:sz w:val="26"/>
          <w:szCs w:val="26"/>
        </w:rPr>
      </w:pPr>
    </w:p>
    <w:p w14:paraId="5F644D9C" w14:textId="2937BF71" w:rsidR="009304FE" w:rsidRPr="007A3463" w:rsidRDefault="00A00004" w:rsidP="00E050C0">
      <w:pPr>
        <w:tabs>
          <w:tab w:val="left" w:pos="-720"/>
          <w:tab w:val="left" w:pos="0"/>
        </w:tabs>
        <w:suppressAutoHyphens/>
        <w:rPr>
          <w:sz w:val="26"/>
          <w:szCs w:val="26"/>
        </w:rPr>
      </w:pPr>
      <w:r>
        <w:rPr>
          <w:sz w:val="26"/>
          <w:szCs w:val="26"/>
        </w:rPr>
        <w:t>Philadelphia Gas Works</w:t>
      </w:r>
    </w:p>
    <w:p w14:paraId="26024F76" w14:textId="77777777" w:rsidR="009304FE" w:rsidRPr="007A3463" w:rsidRDefault="009304FE" w:rsidP="009304FE">
      <w:pPr>
        <w:rPr>
          <w:sz w:val="26"/>
          <w:szCs w:val="26"/>
        </w:rPr>
      </w:pPr>
    </w:p>
    <w:p w14:paraId="41AF2A06" w14:textId="77777777" w:rsidR="009304FE" w:rsidRPr="007A3463" w:rsidRDefault="009304FE" w:rsidP="009304FE">
      <w:pPr>
        <w:tabs>
          <w:tab w:val="left" w:pos="-720"/>
        </w:tabs>
        <w:suppressAutoHyphens/>
        <w:rPr>
          <w:sz w:val="26"/>
        </w:rPr>
      </w:pPr>
    </w:p>
    <w:p w14:paraId="77EBFEF2" w14:textId="77777777" w:rsidR="009304FE" w:rsidRPr="007A3463" w:rsidRDefault="009304FE" w:rsidP="009304FE">
      <w:pPr>
        <w:tabs>
          <w:tab w:val="center" w:pos="4680"/>
        </w:tabs>
        <w:suppressAutoHyphens/>
        <w:jc w:val="center"/>
        <w:rPr>
          <w:b/>
          <w:sz w:val="26"/>
        </w:rPr>
      </w:pPr>
      <w:r w:rsidRPr="007A3463">
        <w:rPr>
          <w:b/>
          <w:sz w:val="26"/>
        </w:rPr>
        <w:t>OPINION AND ORDER</w:t>
      </w:r>
    </w:p>
    <w:p w14:paraId="33A070CB" w14:textId="77777777" w:rsidR="00CA6BAF" w:rsidRPr="0045502C" w:rsidRDefault="00CA6BAF" w:rsidP="009304FE">
      <w:pPr>
        <w:tabs>
          <w:tab w:val="left" w:pos="-720"/>
        </w:tabs>
        <w:suppressAutoHyphens/>
        <w:spacing w:line="360" w:lineRule="auto"/>
        <w:rPr>
          <w:b/>
          <w:sz w:val="26"/>
          <w:szCs w:val="26"/>
        </w:rPr>
      </w:pPr>
    </w:p>
    <w:p w14:paraId="2D13DE5C" w14:textId="77777777" w:rsidR="009304FE" w:rsidRPr="0045502C" w:rsidRDefault="009304FE" w:rsidP="009304FE">
      <w:pPr>
        <w:tabs>
          <w:tab w:val="left" w:pos="-720"/>
        </w:tabs>
        <w:suppressAutoHyphens/>
        <w:spacing w:line="360" w:lineRule="auto"/>
        <w:rPr>
          <w:sz w:val="26"/>
          <w:szCs w:val="26"/>
        </w:rPr>
      </w:pPr>
      <w:r w:rsidRPr="0045502C">
        <w:rPr>
          <w:b/>
          <w:sz w:val="26"/>
          <w:szCs w:val="26"/>
        </w:rPr>
        <w:t>BY THE COMMISSION:</w:t>
      </w:r>
    </w:p>
    <w:p w14:paraId="6E463541" w14:textId="77777777" w:rsidR="009304FE" w:rsidRPr="0045502C" w:rsidRDefault="009304FE" w:rsidP="009304FE">
      <w:pPr>
        <w:rPr>
          <w:sz w:val="26"/>
          <w:szCs w:val="26"/>
        </w:rPr>
      </w:pPr>
    </w:p>
    <w:p w14:paraId="7C6D3BA3" w14:textId="7FA62A54" w:rsidR="00B10F6A" w:rsidRDefault="00AE655A" w:rsidP="00DE0B22">
      <w:pPr>
        <w:spacing w:line="360" w:lineRule="auto"/>
        <w:rPr>
          <w:sz w:val="26"/>
          <w:szCs w:val="26"/>
        </w:rPr>
      </w:pPr>
      <w:r w:rsidRPr="0045502C">
        <w:rPr>
          <w:sz w:val="26"/>
          <w:szCs w:val="26"/>
        </w:rPr>
        <w:tab/>
      </w:r>
      <w:r w:rsidRPr="0045502C">
        <w:rPr>
          <w:sz w:val="26"/>
          <w:szCs w:val="26"/>
        </w:rPr>
        <w:tab/>
      </w:r>
      <w:r w:rsidR="009304FE" w:rsidRPr="0045502C">
        <w:rPr>
          <w:sz w:val="26"/>
          <w:szCs w:val="26"/>
        </w:rPr>
        <w:t xml:space="preserve">Before the Pennsylvania Public Utility Commission (Commission) for consideration and disposition </w:t>
      </w:r>
      <w:r w:rsidR="00AA3F68" w:rsidRPr="0045502C">
        <w:rPr>
          <w:sz w:val="26"/>
          <w:szCs w:val="26"/>
        </w:rPr>
        <w:t xml:space="preserve">is the Initial Decision (I.D.) of Administrative Law Judge (ALJ) </w:t>
      </w:r>
      <w:r w:rsidR="00A00004">
        <w:rPr>
          <w:sz w:val="26"/>
          <w:szCs w:val="26"/>
        </w:rPr>
        <w:t>Angela T. Jones</w:t>
      </w:r>
      <w:r w:rsidR="00AA3F68" w:rsidRPr="0045502C">
        <w:rPr>
          <w:sz w:val="26"/>
          <w:szCs w:val="26"/>
        </w:rPr>
        <w:t xml:space="preserve">, issued on </w:t>
      </w:r>
      <w:r w:rsidR="003B6FE6">
        <w:rPr>
          <w:sz w:val="26"/>
          <w:szCs w:val="26"/>
        </w:rPr>
        <w:t xml:space="preserve">February </w:t>
      </w:r>
      <w:r w:rsidR="00A00004">
        <w:rPr>
          <w:sz w:val="26"/>
          <w:szCs w:val="26"/>
        </w:rPr>
        <w:t>6, 2015</w:t>
      </w:r>
      <w:r w:rsidR="00A50430" w:rsidRPr="0045502C">
        <w:rPr>
          <w:sz w:val="26"/>
          <w:szCs w:val="26"/>
        </w:rPr>
        <w:t>,</w:t>
      </w:r>
      <w:r w:rsidR="00B206E5" w:rsidRPr="0045502C">
        <w:rPr>
          <w:sz w:val="26"/>
          <w:szCs w:val="26"/>
        </w:rPr>
        <w:t xml:space="preserve"> in the above-captioned </w:t>
      </w:r>
      <w:r w:rsidR="00DE0B22">
        <w:rPr>
          <w:sz w:val="26"/>
          <w:szCs w:val="26"/>
        </w:rPr>
        <w:t xml:space="preserve">Formal Complaint (Complaint) </w:t>
      </w:r>
      <w:r w:rsidR="00B206E5" w:rsidRPr="0045502C">
        <w:rPr>
          <w:sz w:val="26"/>
          <w:szCs w:val="26"/>
        </w:rPr>
        <w:t xml:space="preserve">proceeding.  </w:t>
      </w:r>
      <w:r w:rsidR="00700E59" w:rsidRPr="0045502C">
        <w:rPr>
          <w:sz w:val="26"/>
          <w:szCs w:val="26"/>
        </w:rPr>
        <w:t xml:space="preserve">Exceptions have not been filed.  </w:t>
      </w:r>
      <w:r w:rsidR="00BE7433" w:rsidRPr="0045502C">
        <w:rPr>
          <w:sz w:val="26"/>
          <w:szCs w:val="26"/>
        </w:rPr>
        <w:t xml:space="preserve">However, we exercised our right to review </w:t>
      </w:r>
      <w:r w:rsidR="008B24E5" w:rsidRPr="0045502C">
        <w:rPr>
          <w:sz w:val="26"/>
          <w:szCs w:val="26"/>
        </w:rPr>
        <w:t>the Initial Decision pursuant to Section 332(h) of the Public Utility Code (Code), 66 Pa. C.S. §</w:t>
      </w:r>
      <w:r w:rsidR="007A3463" w:rsidRPr="0045502C">
        <w:rPr>
          <w:sz w:val="26"/>
          <w:szCs w:val="26"/>
        </w:rPr>
        <w:t> </w:t>
      </w:r>
      <w:r w:rsidR="008B24E5" w:rsidRPr="0045502C">
        <w:rPr>
          <w:sz w:val="26"/>
          <w:szCs w:val="26"/>
        </w:rPr>
        <w:t xml:space="preserve">332(h).  For the reasons stated below, we </w:t>
      </w:r>
      <w:r w:rsidR="009C1908" w:rsidRPr="0045502C">
        <w:rPr>
          <w:sz w:val="26"/>
          <w:szCs w:val="26"/>
        </w:rPr>
        <w:t xml:space="preserve">shall </w:t>
      </w:r>
      <w:r w:rsidR="00306310" w:rsidRPr="0045502C">
        <w:rPr>
          <w:sz w:val="26"/>
          <w:szCs w:val="26"/>
        </w:rPr>
        <w:t>modify the ALJ’s Initial Decision</w:t>
      </w:r>
      <w:r w:rsidR="008D4E6C">
        <w:rPr>
          <w:sz w:val="26"/>
          <w:szCs w:val="26"/>
        </w:rPr>
        <w:t xml:space="preserve">.  </w:t>
      </w:r>
    </w:p>
    <w:p w14:paraId="30F85ED9" w14:textId="77777777" w:rsidR="00C00DDC" w:rsidRDefault="00C00DDC" w:rsidP="00B10F6A">
      <w:pPr>
        <w:spacing w:line="360" w:lineRule="auto"/>
        <w:jc w:val="center"/>
        <w:rPr>
          <w:b/>
          <w:sz w:val="26"/>
          <w:szCs w:val="26"/>
        </w:rPr>
      </w:pPr>
    </w:p>
    <w:p w14:paraId="335C79A2" w14:textId="77777777" w:rsidR="006D4E3D" w:rsidRDefault="006D4E3D" w:rsidP="00B10F6A">
      <w:pPr>
        <w:spacing w:line="360" w:lineRule="auto"/>
        <w:jc w:val="center"/>
        <w:rPr>
          <w:b/>
          <w:sz w:val="26"/>
          <w:szCs w:val="26"/>
        </w:rPr>
      </w:pPr>
    </w:p>
    <w:p w14:paraId="7DB30C52" w14:textId="77777777" w:rsidR="006D4E3D" w:rsidRDefault="006D4E3D" w:rsidP="00B10F6A">
      <w:pPr>
        <w:spacing w:line="360" w:lineRule="auto"/>
        <w:jc w:val="center"/>
        <w:rPr>
          <w:b/>
          <w:sz w:val="26"/>
          <w:szCs w:val="26"/>
        </w:rPr>
      </w:pPr>
    </w:p>
    <w:p w14:paraId="6169844A" w14:textId="77777777" w:rsidR="009304FE" w:rsidRPr="0045502C" w:rsidRDefault="00F55BED" w:rsidP="00B10F6A">
      <w:pPr>
        <w:spacing w:line="360" w:lineRule="auto"/>
        <w:jc w:val="center"/>
        <w:rPr>
          <w:b/>
          <w:sz w:val="26"/>
          <w:szCs w:val="26"/>
        </w:rPr>
      </w:pPr>
      <w:r w:rsidRPr="0045502C">
        <w:rPr>
          <w:b/>
          <w:sz w:val="26"/>
          <w:szCs w:val="26"/>
        </w:rPr>
        <w:lastRenderedPageBreak/>
        <w:t>History of the Proceeding</w:t>
      </w:r>
    </w:p>
    <w:p w14:paraId="2804EDCA" w14:textId="77777777" w:rsidR="00D64655" w:rsidRPr="00E25E67" w:rsidRDefault="00D64655" w:rsidP="00E25E67">
      <w:pPr>
        <w:spacing w:line="360" w:lineRule="auto"/>
        <w:ind w:firstLine="1440"/>
        <w:rPr>
          <w:sz w:val="26"/>
        </w:rPr>
      </w:pPr>
    </w:p>
    <w:p w14:paraId="67264DEF" w14:textId="35F3202E" w:rsidR="008841A6" w:rsidRDefault="00550A92" w:rsidP="007F19ED">
      <w:pPr>
        <w:spacing w:line="360" w:lineRule="auto"/>
        <w:ind w:firstLine="1440"/>
        <w:rPr>
          <w:sz w:val="26"/>
          <w:szCs w:val="26"/>
        </w:rPr>
      </w:pPr>
      <w:r w:rsidRPr="0045502C">
        <w:rPr>
          <w:sz w:val="26"/>
          <w:szCs w:val="26"/>
        </w:rPr>
        <w:t xml:space="preserve">On </w:t>
      </w:r>
      <w:r w:rsidR="00C7441C">
        <w:rPr>
          <w:sz w:val="26"/>
          <w:szCs w:val="26"/>
        </w:rPr>
        <w:t xml:space="preserve">March </w:t>
      </w:r>
      <w:r w:rsidR="00A00004">
        <w:rPr>
          <w:sz w:val="26"/>
          <w:szCs w:val="26"/>
        </w:rPr>
        <w:t>3, 2014</w:t>
      </w:r>
      <w:r w:rsidRPr="0045502C">
        <w:rPr>
          <w:sz w:val="26"/>
          <w:szCs w:val="26"/>
        </w:rPr>
        <w:t xml:space="preserve">, </w:t>
      </w:r>
      <w:r w:rsidR="008A1D9A">
        <w:rPr>
          <w:sz w:val="26"/>
          <w:szCs w:val="26"/>
        </w:rPr>
        <w:t>Darnell Fassett</w:t>
      </w:r>
      <w:r w:rsidRPr="0045502C">
        <w:rPr>
          <w:sz w:val="26"/>
          <w:szCs w:val="26"/>
        </w:rPr>
        <w:t xml:space="preserve"> (Complainant</w:t>
      </w:r>
      <w:r w:rsidR="00CC1E36">
        <w:rPr>
          <w:sz w:val="26"/>
          <w:szCs w:val="26"/>
        </w:rPr>
        <w:t xml:space="preserve"> or Mr. </w:t>
      </w:r>
      <w:r w:rsidR="00A00004">
        <w:rPr>
          <w:sz w:val="26"/>
          <w:szCs w:val="26"/>
        </w:rPr>
        <w:t>Fassett</w:t>
      </w:r>
      <w:r w:rsidR="00C7441C">
        <w:rPr>
          <w:sz w:val="26"/>
          <w:szCs w:val="26"/>
        </w:rPr>
        <w:t>)</w:t>
      </w:r>
      <w:r w:rsidRPr="0045502C">
        <w:rPr>
          <w:sz w:val="26"/>
          <w:szCs w:val="26"/>
        </w:rPr>
        <w:t xml:space="preserve"> filed a Complaint against </w:t>
      </w:r>
      <w:r w:rsidR="00A00004">
        <w:rPr>
          <w:sz w:val="26"/>
          <w:szCs w:val="26"/>
        </w:rPr>
        <w:t>Philadelphia Gas Works (Respondent or PGW)</w:t>
      </w:r>
      <w:r w:rsidR="00C7441C">
        <w:rPr>
          <w:sz w:val="26"/>
          <w:szCs w:val="26"/>
        </w:rPr>
        <w:t xml:space="preserve"> alleging that </w:t>
      </w:r>
      <w:r w:rsidR="007F19ED">
        <w:rPr>
          <w:sz w:val="26"/>
          <w:szCs w:val="26"/>
        </w:rPr>
        <w:t>PGW threatened to shut off his service or has already shut off the service.</w:t>
      </w:r>
      <w:r w:rsidR="00D35161">
        <w:rPr>
          <w:rStyle w:val="FootnoteReference"/>
        </w:rPr>
        <w:footnoteReference w:id="2"/>
      </w:r>
      <w:r w:rsidR="007F19ED">
        <w:rPr>
          <w:sz w:val="26"/>
          <w:szCs w:val="26"/>
        </w:rPr>
        <w:t xml:space="preserve">  Mr. Fassett averred that </w:t>
      </w:r>
      <w:r w:rsidR="008A1D9A">
        <w:rPr>
          <w:sz w:val="26"/>
          <w:szCs w:val="26"/>
        </w:rPr>
        <w:t>he is unable to pay</w:t>
      </w:r>
      <w:r w:rsidR="007F19ED">
        <w:rPr>
          <w:sz w:val="26"/>
          <w:szCs w:val="26"/>
        </w:rPr>
        <w:t xml:space="preserve"> PGW’s</w:t>
      </w:r>
      <w:r w:rsidR="0066238B">
        <w:rPr>
          <w:sz w:val="26"/>
          <w:szCs w:val="26"/>
        </w:rPr>
        <w:t xml:space="preserve"> </w:t>
      </w:r>
      <w:r w:rsidR="00877619">
        <w:rPr>
          <w:sz w:val="26"/>
          <w:szCs w:val="26"/>
        </w:rPr>
        <w:t xml:space="preserve">back </w:t>
      </w:r>
      <w:r w:rsidR="008A1D9A">
        <w:rPr>
          <w:sz w:val="26"/>
          <w:szCs w:val="26"/>
        </w:rPr>
        <w:t>bill</w:t>
      </w:r>
      <w:r w:rsidR="00877619">
        <w:rPr>
          <w:sz w:val="26"/>
          <w:szCs w:val="26"/>
        </w:rPr>
        <w:t>,</w:t>
      </w:r>
      <w:r w:rsidR="008A1D9A">
        <w:rPr>
          <w:sz w:val="26"/>
          <w:szCs w:val="26"/>
        </w:rPr>
        <w:t xml:space="preserve"> </w:t>
      </w:r>
      <w:r w:rsidR="00877619">
        <w:rPr>
          <w:sz w:val="26"/>
          <w:szCs w:val="26"/>
        </w:rPr>
        <w:t>which exceeds</w:t>
      </w:r>
      <w:r w:rsidR="007F19ED">
        <w:rPr>
          <w:sz w:val="26"/>
          <w:szCs w:val="26"/>
        </w:rPr>
        <w:t xml:space="preserve"> </w:t>
      </w:r>
      <w:r w:rsidR="008A1D9A">
        <w:rPr>
          <w:sz w:val="26"/>
          <w:szCs w:val="26"/>
        </w:rPr>
        <w:t>$5,000</w:t>
      </w:r>
      <w:r w:rsidR="00877619">
        <w:rPr>
          <w:sz w:val="26"/>
          <w:szCs w:val="26"/>
        </w:rPr>
        <w:t>,</w:t>
      </w:r>
      <w:r w:rsidR="008A1D9A">
        <w:rPr>
          <w:sz w:val="26"/>
          <w:szCs w:val="26"/>
        </w:rPr>
        <w:t xml:space="preserve"> for service used at his service address.  </w:t>
      </w:r>
      <w:r w:rsidR="007F19ED">
        <w:rPr>
          <w:sz w:val="26"/>
          <w:szCs w:val="26"/>
        </w:rPr>
        <w:t>He further alleged</w:t>
      </w:r>
      <w:r w:rsidR="008A1D9A">
        <w:rPr>
          <w:sz w:val="26"/>
          <w:szCs w:val="26"/>
        </w:rPr>
        <w:t xml:space="preserve"> that he was unaware that the tenant </w:t>
      </w:r>
      <w:r w:rsidR="007F19ED">
        <w:rPr>
          <w:sz w:val="26"/>
          <w:szCs w:val="26"/>
        </w:rPr>
        <w:t>residing</w:t>
      </w:r>
      <w:r w:rsidR="008A1D9A">
        <w:rPr>
          <w:sz w:val="26"/>
          <w:szCs w:val="26"/>
        </w:rPr>
        <w:t xml:space="preserve"> at his service address was not paying for the billed gas service.  </w:t>
      </w:r>
      <w:r w:rsidR="007F19ED">
        <w:rPr>
          <w:sz w:val="26"/>
          <w:szCs w:val="26"/>
        </w:rPr>
        <w:t xml:space="preserve">According to the </w:t>
      </w:r>
      <w:r w:rsidR="005A6CAA">
        <w:rPr>
          <w:sz w:val="26"/>
          <w:szCs w:val="26"/>
        </w:rPr>
        <w:t>Complainant,</w:t>
      </w:r>
      <w:r w:rsidR="008A1D9A">
        <w:rPr>
          <w:sz w:val="26"/>
          <w:szCs w:val="26"/>
        </w:rPr>
        <w:t xml:space="preserve"> if he </w:t>
      </w:r>
      <w:r w:rsidR="007F19ED">
        <w:rPr>
          <w:sz w:val="26"/>
          <w:szCs w:val="26"/>
        </w:rPr>
        <w:t xml:space="preserve">had been </w:t>
      </w:r>
      <w:r w:rsidR="008A1D9A">
        <w:rPr>
          <w:sz w:val="26"/>
          <w:szCs w:val="26"/>
        </w:rPr>
        <w:t xml:space="preserve">aware of the situation, he would have evicted the tenant.  </w:t>
      </w:r>
      <w:r w:rsidR="005A6CAA">
        <w:rPr>
          <w:sz w:val="26"/>
          <w:szCs w:val="26"/>
        </w:rPr>
        <w:t>Mr. Fassett also</w:t>
      </w:r>
      <w:r w:rsidR="008A1D9A">
        <w:rPr>
          <w:sz w:val="26"/>
          <w:szCs w:val="26"/>
        </w:rPr>
        <w:t xml:space="preserve"> requested a payment arrangement.  Complaint at 3.</w:t>
      </w:r>
      <w:r w:rsidR="008841A6">
        <w:rPr>
          <w:sz w:val="26"/>
          <w:szCs w:val="26"/>
        </w:rPr>
        <w:t xml:space="preserve">  </w:t>
      </w:r>
    </w:p>
    <w:p w14:paraId="31FF4462" w14:textId="77777777" w:rsidR="00007417" w:rsidRPr="0045502C" w:rsidRDefault="00007417" w:rsidP="00653FDD">
      <w:pPr>
        <w:spacing w:line="360" w:lineRule="auto"/>
        <w:ind w:firstLine="1440"/>
        <w:rPr>
          <w:sz w:val="26"/>
          <w:szCs w:val="26"/>
        </w:rPr>
      </w:pPr>
    </w:p>
    <w:p w14:paraId="603D0327" w14:textId="2EDF7A1D" w:rsidR="00F9371E" w:rsidRDefault="00007417" w:rsidP="00004B32">
      <w:pPr>
        <w:spacing w:line="360" w:lineRule="auto"/>
        <w:ind w:firstLine="1440"/>
        <w:rPr>
          <w:sz w:val="26"/>
          <w:szCs w:val="26"/>
        </w:rPr>
      </w:pPr>
      <w:r w:rsidRPr="0045502C">
        <w:rPr>
          <w:sz w:val="26"/>
          <w:szCs w:val="26"/>
        </w:rPr>
        <w:t xml:space="preserve">On </w:t>
      </w:r>
      <w:r w:rsidR="008A1D9A">
        <w:rPr>
          <w:sz w:val="26"/>
          <w:szCs w:val="26"/>
        </w:rPr>
        <w:t>March 25, 2014</w:t>
      </w:r>
      <w:r w:rsidR="00004B32">
        <w:rPr>
          <w:sz w:val="26"/>
          <w:szCs w:val="26"/>
        </w:rPr>
        <w:t xml:space="preserve">, </w:t>
      </w:r>
      <w:r w:rsidR="008A1D9A">
        <w:rPr>
          <w:sz w:val="26"/>
          <w:szCs w:val="26"/>
        </w:rPr>
        <w:t>PGW</w:t>
      </w:r>
      <w:r w:rsidR="00004B32">
        <w:rPr>
          <w:sz w:val="26"/>
          <w:szCs w:val="26"/>
        </w:rPr>
        <w:t xml:space="preserve"> filed an Answer </w:t>
      </w:r>
      <w:r w:rsidR="005A6CAA">
        <w:rPr>
          <w:sz w:val="26"/>
          <w:szCs w:val="26"/>
        </w:rPr>
        <w:t>admitting that it shut off gas service at the service address</w:t>
      </w:r>
      <w:r w:rsidR="007F19ED">
        <w:rPr>
          <w:sz w:val="26"/>
          <w:szCs w:val="26"/>
        </w:rPr>
        <w:t xml:space="preserve"> and that it </w:t>
      </w:r>
      <w:r w:rsidR="00D35161">
        <w:rPr>
          <w:sz w:val="26"/>
          <w:szCs w:val="26"/>
        </w:rPr>
        <w:t xml:space="preserve">is </w:t>
      </w:r>
      <w:r w:rsidR="007F19ED">
        <w:rPr>
          <w:sz w:val="26"/>
          <w:szCs w:val="26"/>
        </w:rPr>
        <w:t xml:space="preserve">requiring the Complainant to pay approximately $5,000 for service restoration.  </w:t>
      </w:r>
      <w:r w:rsidR="00D35161">
        <w:rPr>
          <w:sz w:val="26"/>
          <w:szCs w:val="26"/>
        </w:rPr>
        <w:t xml:space="preserve">PGW averred that on March 23, 2002, it turned off the gas service for the service address at the curb box.  It further alleged that on March 13, 2013, PGW was at the service address to investigate a gas leak and discovered a flex connector bypass and the gas service was on.  The </w:t>
      </w:r>
      <w:r w:rsidR="001828B9">
        <w:rPr>
          <w:sz w:val="26"/>
          <w:szCs w:val="26"/>
        </w:rPr>
        <w:t xml:space="preserve">Respondent contended that it turned off the service and removed the gas meter.  Answer at 1.  </w:t>
      </w:r>
      <w:r w:rsidR="00004B32">
        <w:rPr>
          <w:sz w:val="26"/>
          <w:szCs w:val="26"/>
        </w:rPr>
        <w:t xml:space="preserve">  </w:t>
      </w:r>
      <w:r w:rsidR="00CC1E36">
        <w:rPr>
          <w:sz w:val="26"/>
          <w:szCs w:val="26"/>
        </w:rPr>
        <w:t xml:space="preserve"> </w:t>
      </w:r>
    </w:p>
    <w:p w14:paraId="4E5C6A60" w14:textId="77777777" w:rsidR="001828B9" w:rsidRDefault="001828B9" w:rsidP="00004B32">
      <w:pPr>
        <w:spacing w:line="360" w:lineRule="auto"/>
        <w:ind w:firstLine="1440"/>
        <w:rPr>
          <w:sz w:val="26"/>
          <w:szCs w:val="26"/>
        </w:rPr>
      </w:pPr>
    </w:p>
    <w:p w14:paraId="4A69B56C" w14:textId="48161B1D" w:rsidR="001828B9" w:rsidRPr="001828B9" w:rsidRDefault="001828B9" w:rsidP="00004B32">
      <w:pPr>
        <w:spacing w:line="360" w:lineRule="auto"/>
        <w:ind w:firstLine="1440"/>
        <w:rPr>
          <w:i/>
          <w:sz w:val="26"/>
          <w:szCs w:val="26"/>
        </w:rPr>
      </w:pPr>
      <w:r>
        <w:rPr>
          <w:sz w:val="26"/>
          <w:szCs w:val="26"/>
        </w:rPr>
        <w:t xml:space="preserve">PGW averred that on March 20, 2013, it billed the Complainant for the gas service bypass usage in the amount of $5,541 for usage from March 13, 2009, to March 13, 2013.  According to PGW, the billed usage was based on the capacity of the appliances found attached to the fuel line.  </w:t>
      </w:r>
      <w:r>
        <w:rPr>
          <w:i/>
          <w:sz w:val="26"/>
          <w:szCs w:val="26"/>
        </w:rPr>
        <w:t xml:space="preserve">Id.  </w:t>
      </w:r>
    </w:p>
    <w:p w14:paraId="0F902155" w14:textId="77777777" w:rsidR="00F9371E" w:rsidRDefault="00F9371E" w:rsidP="00653FDD">
      <w:pPr>
        <w:spacing w:line="360" w:lineRule="auto"/>
        <w:ind w:firstLine="1440"/>
        <w:rPr>
          <w:sz w:val="26"/>
          <w:szCs w:val="26"/>
        </w:rPr>
      </w:pPr>
    </w:p>
    <w:p w14:paraId="28EF2FF5" w14:textId="302F4E32" w:rsidR="00394402" w:rsidRDefault="00004B32" w:rsidP="00394402">
      <w:pPr>
        <w:spacing w:line="360" w:lineRule="auto"/>
        <w:ind w:firstLine="1440"/>
        <w:rPr>
          <w:sz w:val="26"/>
          <w:szCs w:val="26"/>
        </w:rPr>
      </w:pPr>
      <w:r>
        <w:rPr>
          <w:sz w:val="26"/>
        </w:rPr>
        <w:t xml:space="preserve">ALJ </w:t>
      </w:r>
      <w:r w:rsidR="00877619">
        <w:rPr>
          <w:sz w:val="26"/>
        </w:rPr>
        <w:t>Jones</w:t>
      </w:r>
      <w:r>
        <w:rPr>
          <w:sz w:val="26"/>
        </w:rPr>
        <w:t xml:space="preserve"> conducted an evidentiary hearing on </w:t>
      </w:r>
      <w:r w:rsidR="00877619">
        <w:rPr>
          <w:sz w:val="26"/>
        </w:rPr>
        <w:t>August 20, 2014</w:t>
      </w:r>
      <w:r>
        <w:rPr>
          <w:sz w:val="26"/>
        </w:rPr>
        <w:t xml:space="preserve">, at which the </w:t>
      </w:r>
      <w:r w:rsidRPr="0051475B">
        <w:rPr>
          <w:sz w:val="26"/>
        </w:rPr>
        <w:t xml:space="preserve">Complainant </w:t>
      </w:r>
      <w:r>
        <w:rPr>
          <w:sz w:val="26"/>
        </w:rPr>
        <w:t xml:space="preserve">appeared </w:t>
      </w:r>
      <w:r>
        <w:rPr>
          <w:i/>
          <w:sz w:val="26"/>
        </w:rPr>
        <w:t xml:space="preserve">pro se </w:t>
      </w:r>
      <w:r>
        <w:rPr>
          <w:sz w:val="26"/>
        </w:rPr>
        <w:t xml:space="preserve">and presented testimony.  </w:t>
      </w:r>
      <w:r w:rsidR="00877619">
        <w:rPr>
          <w:sz w:val="26"/>
        </w:rPr>
        <w:t>PGW</w:t>
      </w:r>
      <w:r>
        <w:rPr>
          <w:sz w:val="26"/>
        </w:rPr>
        <w:t xml:space="preserve"> was represented by </w:t>
      </w:r>
      <w:r>
        <w:rPr>
          <w:sz w:val="26"/>
        </w:rPr>
        <w:lastRenderedPageBreak/>
        <w:t>counsel</w:t>
      </w:r>
      <w:r w:rsidRPr="0051475B">
        <w:rPr>
          <w:sz w:val="26"/>
        </w:rPr>
        <w:t xml:space="preserve"> </w:t>
      </w:r>
      <w:r>
        <w:rPr>
          <w:sz w:val="26"/>
        </w:rPr>
        <w:t xml:space="preserve">and presented </w:t>
      </w:r>
      <w:r w:rsidR="00877619">
        <w:rPr>
          <w:sz w:val="26"/>
        </w:rPr>
        <w:t>two</w:t>
      </w:r>
      <w:r>
        <w:rPr>
          <w:sz w:val="26"/>
        </w:rPr>
        <w:t xml:space="preserve"> witnesses and </w:t>
      </w:r>
      <w:r w:rsidR="00877619">
        <w:rPr>
          <w:sz w:val="26"/>
        </w:rPr>
        <w:t>six</w:t>
      </w:r>
      <w:r>
        <w:rPr>
          <w:sz w:val="26"/>
        </w:rPr>
        <w:t xml:space="preserve"> exhibits, which were entered into the record</w:t>
      </w:r>
      <w:r w:rsidRPr="0051475B">
        <w:rPr>
          <w:sz w:val="26"/>
        </w:rPr>
        <w:t xml:space="preserve">.  </w:t>
      </w:r>
      <w:r>
        <w:rPr>
          <w:sz w:val="26"/>
        </w:rPr>
        <w:t xml:space="preserve">The hearing resulted in a transcript of </w:t>
      </w:r>
      <w:r w:rsidR="00877619">
        <w:rPr>
          <w:sz w:val="26"/>
        </w:rPr>
        <w:t>123</w:t>
      </w:r>
      <w:r>
        <w:rPr>
          <w:sz w:val="26"/>
        </w:rPr>
        <w:t xml:space="preserve"> pages.  </w:t>
      </w:r>
      <w:r w:rsidR="00012EE5">
        <w:rPr>
          <w:sz w:val="26"/>
          <w:szCs w:val="26"/>
        </w:rPr>
        <w:t>In</w:t>
      </w:r>
      <w:r w:rsidR="0072472D">
        <w:rPr>
          <w:sz w:val="26"/>
          <w:szCs w:val="26"/>
        </w:rPr>
        <w:t xml:space="preserve"> </w:t>
      </w:r>
      <w:r>
        <w:rPr>
          <w:sz w:val="26"/>
          <w:szCs w:val="26"/>
        </w:rPr>
        <w:t>h</w:t>
      </w:r>
      <w:r w:rsidR="008B431A">
        <w:rPr>
          <w:sz w:val="26"/>
          <w:szCs w:val="26"/>
        </w:rPr>
        <w:t>er</w:t>
      </w:r>
      <w:r w:rsidR="0072472D">
        <w:rPr>
          <w:sz w:val="26"/>
          <w:szCs w:val="26"/>
        </w:rPr>
        <w:t xml:space="preserve"> Initial Decision</w:t>
      </w:r>
      <w:r w:rsidR="00012EE5">
        <w:rPr>
          <w:sz w:val="26"/>
          <w:szCs w:val="26"/>
        </w:rPr>
        <w:t>, the ALJ</w:t>
      </w:r>
      <w:r>
        <w:rPr>
          <w:sz w:val="26"/>
          <w:szCs w:val="26"/>
        </w:rPr>
        <w:t xml:space="preserve"> </w:t>
      </w:r>
      <w:r w:rsidR="00FA6787">
        <w:rPr>
          <w:sz w:val="26"/>
          <w:szCs w:val="26"/>
        </w:rPr>
        <w:t xml:space="preserve">found that Mr. Fassett failed to satisfy his burden of proof about the amount back-billed by PGW for unauthorized usage of gas at the service address.  However, she </w:t>
      </w:r>
      <w:r>
        <w:rPr>
          <w:sz w:val="26"/>
          <w:szCs w:val="26"/>
        </w:rPr>
        <w:t xml:space="preserve">concluded that Mr. </w:t>
      </w:r>
      <w:r w:rsidR="008B431A">
        <w:rPr>
          <w:sz w:val="26"/>
          <w:szCs w:val="26"/>
        </w:rPr>
        <w:t xml:space="preserve">Fassett sustained his burden of proof regarding his request for a payment arrangement.  Accordingly, the ALJ </w:t>
      </w:r>
      <w:r w:rsidR="00FA6787">
        <w:rPr>
          <w:sz w:val="26"/>
          <w:szCs w:val="26"/>
        </w:rPr>
        <w:t>denied</w:t>
      </w:r>
      <w:r w:rsidR="008B431A">
        <w:rPr>
          <w:sz w:val="26"/>
          <w:szCs w:val="26"/>
        </w:rPr>
        <w:t xml:space="preserve"> the Complaint, in part, and </w:t>
      </w:r>
      <w:r w:rsidR="00FA6787">
        <w:rPr>
          <w:sz w:val="26"/>
          <w:szCs w:val="26"/>
        </w:rPr>
        <w:t>granted it</w:t>
      </w:r>
      <w:r w:rsidR="008B431A">
        <w:rPr>
          <w:sz w:val="26"/>
          <w:szCs w:val="26"/>
        </w:rPr>
        <w:t xml:space="preserve">, in part.  </w:t>
      </w:r>
      <w:r>
        <w:rPr>
          <w:sz w:val="26"/>
          <w:szCs w:val="26"/>
        </w:rPr>
        <w:t xml:space="preserve">I.D. at </w:t>
      </w:r>
      <w:r w:rsidR="008B431A">
        <w:rPr>
          <w:sz w:val="26"/>
          <w:szCs w:val="26"/>
        </w:rPr>
        <w:t>1</w:t>
      </w:r>
      <w:r>
        <w:rPr>
          <w:sz w:val="26"/>
          <w:szCs w:val="26"/>
        </w:rPr>
        <w:t>7-</w:t>
      </w:r>
      <w:r w:rsidR="008B431A">
        <w:rPr>
          <w:sz w:val="26"/>
          <w:szCs w:val="26"/>
        </w:rPr>
        <w:t>1</w:t>
      </w:r>
      <w:r>
        <w:rPr>
          <w:sz w:val="26"/>
          <w:szCs w:val="26"/>
        </w:rPr>
        <w:t>8</w:t>
      </w:r>
      <w:r w:rsidR="00394402">
        <w:rPr>
          <w:sz w:val="26"/>
          <w:szCs w:val="26"/>
        </w:rPr>
        <w:t>.</w:t>
      </w:r>
    </w:p>
    <w:p w14:paraId="73B2776D" w14:textId="77777777" w:rsidR="00394402" w:rsidRDefault="00394402" w:rsidP="00394402">
      <w:pPr>
        <w:spacing w:line="360" w:lineRule="auto"/>
        <w:ind w:firstLine="1440"/>
        <w:rPr>
          <w:sz w:val="26"/>
          <w:szCs w:val="26"/>
        </w:rPr>
      </w:pPr>
    </w:p>
    <w:p w14:paraId="2ECB387C" w14:textId="56F3CFCF" w:rsidR="00394402" w:rsidRPr="0045502C" w:rsidRDefault="00394402" w:rsidP="00394402">
      <w:pPr>
        <w:spacing w:line="360" w:lineRule="auto"/>
        <w:ind w:firstLine="1440"/>
        <w:rPr>
          <w:szCs w:val="26"/>
        </w:rPr>
      </w:pPr>
      <w:r>
        <w:rPr>
          <w:sz w:val="26"/>
          <w:szCs w:val="26"/>
        </w:rPr>
        <w:t xml:space="preserve">No Exceptions to the Initial Decision </w:t>
      </w:r>
      <w:r w:rsidR="00D76ACF">
        <w:rPr>
          <w:sz w:val="26"/>
          <w:szCs w:val="26"/>
        </w:rPr>
        <w:t>have been</w:t>
      </w:r>
      <w:r>
        <w:rPr>
          <w:sz w:val="26"/>
          <w:szCs w:val="26"/>
        </w:rPr>
        <w:t xml:space="preserve"> filed.  </w:t>
      </w:r>
    </w:p>
    <w:p w14:paraId="6E243159" w14:textId="77777777" w:rsidR="00A55E3E" w:rsidRDefault="00A55E3E" w:rsidP="00FE7087">
      <w:pPr>
        <w:pStyle w:val="BodyText"/>
        <w:tabs>
          <w:tab w:val="left" w:pos="0"/>
        </w:tabs>
        <w:rPr>
          <w:szCs w:val="26"/>
        </w:rPr>
      </w:pPr>
    </w:p>
    <w:p w14:paraId="7D860CAE" w14:textId="77777777" w:rsidR="001A1AD3" w:rsidRDefault="004419DA" w:rsidP="00F72C4A">
      <w:pPr>
        <w:spacing w:line="360" w:lineRule="auto"/>
        <w:jc w:val="center"/>
        <w:rPr>
          <w:b/>
          <w:sz w:val="26"/>
          <w:szCs w:val="26"/>
        </w:rPr>
      </w:pPr>
      <w:r w:rsidRPr="0045502C">
        <w:rPr>
          <w:b/>
          <w:sz w:val="26"/>
          <w:szCs w:val="26"/>
        </w:rPr>
        <w:t>Discussion</w:t>
      </w:r>
    </w:p>
    <w:p w14:paraId="1AA157E3" w14:textId="77777777" w:rsidR="00076A99" w:rsidRDefault="00076A99" w:rsidP="00F72C4A">
      <w:pPr>
        <w:spacing w:line="360" w:lineRule="auto"/>
        <w:jc w:val="center"/>
        <w:rPr>
          <w:b/>
          <w:sz w:val="26"/>
          <w:szCs w:val="26"/>
        </w:rPr>
      </w:pPr>
    </w:p>
    <w:p w14:paraId="3AB56FDD" w14:textId="77777777" w:rsidR="00076A99" w:rsidRPr="0045502C" w:rsidRDefault="00076A99" w:rsidP="00F72C4A">
      <w:pPr>
        <w:spacing w:line="360" w:lineRule="auto"/>
        <w:rPr>
          <w:b/>
          <w:sz w:val="26"/>
          <w:szCs w:val="26"/>
        </w:rPr>
      </w:pPr>
      <w:r>
        <w:rPr>
          <w:b/>
          <w:sz w:val="26"/>
          <w:szCs w:val="26"/>
        </w:rPr>
        <w:t>Legal Standards</w:t>
      </w:r>
    </w:p>
    <w:p w14:paraId="5D91474D" w14:textId="77777777" w:rsidR="00D5673B" w:rsidRPr="0045502C" w:rsidRDefault="00D5673B" w:rsidP="001A1AD3">
      <w:pPr>
        <w:spacing w:line="360" w:lineRule="auto"/>
        <w:jc w:val="center"/>
        <w:rPr>
          <w:color w:val="FF0000"/>
          <w:sz w:val="26"/>
          <w:szCs w:val="26"/>
        </w:rPr>
      </w:pPr>
    </w:p>
    <w:p w14:paraId="02AF5A80" w14:textId="6AEBCB9D" w:rsidR="00C7441C" w:rsidRDefault="00C7441C" w:rsidP="00C7441C">
      <w:pPr>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Pr>
          <w:sz w:val="26"/>
          <w:szCs w:val="26"/>
        </w:rPr>
        <w:t>Code,</w:t>
      </w:r>
      <w:r w:rsidRPr="00CA43A5">
        <w:rPr>
          <w:sz w:val="26"/>
          <w:szCs w:val="26"/>
        </w:rPr>
        <w:t xml:space="preserve"> 66 Pa. C.S. § 332(a).  To establish a sufficient case and satisfy the burden of proof, the Complainant must show that the </w:t>
      </w:r>
      <w:r>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Pr>
          <w:sz w:val="26"/>
          <w:szCs w:val="26"/>
        </w:rPr>
        <w:t>an that presented by the Respondent</w:t>
      </w:r>
      <w:r w:rsidRPr="00CA43A5">
        <w:rPr>
          <w:sz w:val="26"/>
          <w:szCs w:val="26"/>
        </w:rPr>
        <w:t xml:space="preserve">.  </w:t>
      </w:r>
      <w:r w:rsidRPr="00CA43A5">
        <w:rPr>
          <w:i/>
          <w:sz w:val="26"/>
          <w:szCs w:val="26"/>
        </w:rPr>
        <w:t>Se-Ling Hosiery</w:t>
      </w:r>
      <w:r>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14:paraId="1C2F7FF9" w14:textId="77777777" w:rsidR="00C7441C" w:rsidRPr="00CA43A5" w:rsidRDefault="00C7441C" w:rsidP="00C7441C">
      <w:pPr>
        <w:spacing w:line="360" w:lineRule="auto"/>
        <w:rPr>
          <w:sz w:val="26"/>
          <w:szCs w:val="26"/>
        </w:rPr>
      </w:pPr>
    </w:p>
    <w:p w14:paraId="654D3206" w14:textId="68D1B448" w:rsidR="00C7441C" w:rsidRDefault="00C7441C" w:rsidP="00C7441C">
      <w:pPr>
        <w:spacing w:line="360" w:lineRule="auto"/>
        <w:rPr>
          <w:i/>
          <w:sz w:val="26"/>
        </w:rPr>
      </w:pPr>
      <w:r>
        <w:rPr>
          <w:sz w:val="26"/>
        </w:rPr>
        <w:lastRenderedPageBreak/>
        <w:tab/>
      </w:r>
      <w:r>
        <w:rPr>
          <w:sz w:val="26"/>
        </w:rPr>
        <w:tab/>
        <w:t>Upon the presentation by the</w:t>
      </w:r>
      <w:r w:rsidRPr="00472547">
        <w:rPr>
          <w:sz w:val="26"/>
        </w:rPr>
        <w:t xml:space="preserve"> </w:t>
      </w:r>
      <w:r>
        <w:rPr>
          <w:sz w:val="26"/>
        </w:rPr>
        <w:t>C</w:t>
      </w:r>
      <w:r w:rsidRPr="00472547">
        <w:rPr>
          <w:sz w:val="26"/>
        </w:rPr>
        <w:t>omplainant of evidence sufficient to initially satisfy the</w:t>
      </w:r>
      <w:r>
        <w:rPr>
          <w:sz w:val="26"/>
        </w:rPr>
        <w:t xml:space="preserve"> burden of proof, the burden </w:t>
      </w:r>
      <w:r w:rsidRPr="00472547">
        <w:rPr>
          <w:sz w:val="26"/>
        </w:rPr>
        <w:t>of going forward with the evidence to re</w:t>
      </w:r>
      <w:r>
        <w:rPr>
          <w:sz w:val="26"/>
        </w:rPr>
        <w:t>but the evidence of the Complainant shifts to the R</w:t>
      </w:r>
      <w:r w:rsidRPr="00472547">
        <w:rPr>
          <w:sz w:val="26"/>
        </w:rPr>
        <w:t xml:space="preserve">espondent. </w:t>
      </w:r>
      <w:r>
        <w:rPr>
          <w:sz w:val="26"/>
        </w:rPr>
        <w:t xml:space="preserve"> </w:t>
      </w:r>
      <w:r w:rsidRPr="00472547">
        <w:rPr>
          <w:sz w:val="26"/>
        </w:rPr>
        <w:t>If</w:t>
      </w:r>
      <w:r>
        <w:rPr>
          <w:sz w:val="26"/>
        </w:rPr>
        <w:t xml:space="preserve"> the evidence presented by the R</w:t>
      </w:r>
      <w:r w:rsidRPr="00472547">
        <w:rPr>
          <w:sz w:val="26"/>
        </w:rPr>
        <w:t>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 xml:space="preserve">has not been satisfied. </w:t>
      </w:r>
      <w:r>
        <w:rPr>
          <w:sz w:val="26"/>
        </w:rPr>
        <w:t xml:space="preserve"> The C</w:t>
      </w:r>
      <w:r w:rsidRPr="00472547">
        <w:rPr>
          <w:sz w:val="26"/>
        </w:rPr>
        <w:t>omplainant now has to provide some additional</w:t>
      </w:r>
      <w:r>
        <w:rPr>
          <w:sz w:val="26"/>
        </w:rPr>
        <w:t xml:space="preserve"> evidence to rebut that of the R</w:t>
      </w:r>
      <w:r w:rsidRPr="00472547">
        <w:rPr>
          <w:sz w:val="26"/>
        </w:rPr>
        <w:t>espondent</w:t>
      </w:r>
      <w:r>
        <w:rPr>
          <w:sz w:val="26"/>
        </w:rPr>
        <w:t xml:space="preserve">.  </w:t>
      </w:r>
      <w:r>
        <w:rPr>
          <w:i/>
          <w:sz w:val="26"/>
        </w:rPr>
        <w:t>Burleson v. Pa. PUC</w:t>
      </w:r>
      <w:r>
        <w:rPr>
          <w:sz w:val="26"/>
        </w:rPr>
        <w:t xml:space="preserve">, 443 A.2d 1373 (Pa. Cmwlth. 1982), </w:t>
      </w:r>
      <w:r>
        <w:rPr>
          <w:i/>
          <w:sz w:val="26"/>
        </w:rPr>
        <w:t>aff’d</w:t>
      </w:r>
      <w:r>
        <w:rPr>
          <w:sz w:val="26"/>
        </w:rPr>
        <w:t xml:space="preserve">, 501 Pa. 433, 461 A.2d 1234 (1983).   </w:t>
      </w:r>
      <w:r w:rsidRPr="00182752">
        <w:rPr>
          <w:sz w:val="26"/>
        </w:rPr>
        <w:t xml:space="preserve">While the burden of persuasion </w:t>
      </w:r>
      <w:r w:rsidRPr="009968B6">
        <w:rPr>
          <w:sz w:val="26"/>
        </w:rPr>
        <w:t xml:space="preserve">may </w:t>
      </w:r>
      <w:r w:rsidRPr="00C7441C">
        <w:rPr>
          <w:rStyle w:val="term1"/>
          <w:b w:val="0"/>
          <w:sz w:val="26"/>
        </w:rPr>
        <w:t>shift</w:t>
      </w:r>
      <w:r w:rsidRPr="009968B6">
        <w:rPr>
          <w:sz w:val="26"/>
        </w:rPr>
        <w:t xml:space="preserve"> back</w:t>
      </w:r>
      <w:r w:rsidRPr="008F16A1">
        <w:rPr>
          <w:sz w:val="26"/>
        </w:rPr>
        <w:t xml:space="preserve"> and forth during a proceeding, the </w:t>
      </w:r>
      <w:r w:rsidRPr="00C7441C">
        <w:rPr>
          <w:rStyle w:val="term1"/>
          <w:b w:val="0"/>
          <w:sz w:val="26"/>
        </w:rPr>
        <w:t>burden of proof</w:t>
      </w:r>
      <w:r w:rsidRPr="008F16A1">
        <w:rPr>
          <w:sz w:val="26"/>
        </w:rPr>
        <w:t xml:space="preserve"> never </w:t>
      </w:r>
      <w:r w:rsidRPr="00C7441C">
        <w:rPr>
          <w:rStyle w:val="term1"/>
          <w:b w:val="0"/>
          <w:sz w:val="26"/>
        </w:rPr>
        <w:t>shifts.  The burden of proof</w:t>
      </w:r>
      <w:r w:rsidRPr="008F16A1">
        <w:rPr>
          <w:sz w:val="26"/>
        </w:rPr>
        <w:t xml:space="preserve"> always remains on the party seeking affirmative relief from the Commission.</w:t>
      </w:r>
      <w:r>
        <w:rPr>
          <w:sz w:val="26"/>
        </w:rPr>
        <w:t xml:space="preserve"> </w:t>
      </w:r>
      <w:r w:rsidRPr="008F16A1">
        <w:rPr>
          <w:sz w:val="26"/>
        </w:rPr>
        <w:t xml:space="preserve"> </w:t>
      </w:r>
      <w:r>
        <w:rPr>
          <w:i/>
          <w:sz w:val="26"/>
        </w:rPr>
        <w:t xml:space="preserve">Milkie v. Pa. PUC, </w:t>
      </w:r>
      <w:r>
        <w:rPr>
          <w:sz w:val="26"/>
        </w:rPr>
        <w:t>768 A.2d 1217 (Pa. Cmwlth. 2001).</w:t>
      </w:r>
    </w:p>
    <w:p w14:paraId="5D84F45B" w14:textId="77777777" w:rsidR="00C7441C" w:rsidRDefault="00C7441C" w:rsidP="00C7441C">
      <w:pPr>
        <w:spacing w:line="360" w:lineRule="auto"/>
        <w:rPr>
          <w:sz w:val="26"/>
          <w:szCs w:val="26"/>
        </w:rPr>
      </w:pPr>
    </w:p>
    <w:p w14:paraId="44670F89" w14:textId="7A3721F5" w:rsidR="0027458E" w:rsidRPr="00F70B64" w:rsidRDefault="00C7441C" w:rsidP="00C7441C">
      <w:pPr>
        <w:spacing w:line="360" w:lineRule="auto"/>
        <w:rPr>
          <w:sz w:val="26"/>
          <w:szCs w:val="26"/>
        </w:rPr>
      </w:pPr>
      <w:r>
        <w:rPr>
          <w:sz w:val="26"/>
          <w:szCs w:val="26"/>
        </w:rPr>
        <w:tab/>
      </w:r>
      <w:r>
        <w:rPr>
          <w:sz w:val="26"/>
          <w:szCs w:val="26"/>
        </w:rPr>
        <w:tab/>
      </w:r>
      <w:r w:rsidR="009542EE" w:rsidRPr="00F70B64">
        <w:rPr>
          <w:sz w:val="26"/>
          <w:szCs w:val="26"/>
        </w:rPr>
        <w:t xml:space="preserve">The ALJ </w:t>
      </w:r>
      <w:r w:rsidR="003440BD" w:rsidRPr="00F70B64">
        <w:rPr>
          <w:sz w:val="26"/>
          <w:szCs w:val="26"/>
        </w:rPr>
        <w:t xml:space="preserve">made </w:t>
      </w:r>
      <w:r w:rsidR="008B431A">
        <w:rPr>
          <w:sz w:val="26"/>
          <w:szCs w:val="26"/>
        </w:rPr>
        <w:t>thirty-seven</w:t>
      </w:r>
      <w:r w:rsidR="003440BD" w:rsidRPr="00F70B64">
        <w:rPr>
          <w:sz w:val="26"/>
          <w:szCs w:val="26"/>
        </w:rPr>
        <w:t xml:space="preserve"> Findings of Fact and </w:t>
      </w:r>
      <w:r w:rsidR="00400A4D" w:rsidRPr="00F70B64">
        <w:rPr>
          <w:sz w:val="26"/>
          <w:szCs w:val="26"/>
        </w:rPr>
        <w:t xml:space="preserve">reached </w:t>
      </w:r>
      <w:r w:rsidR="008B431A">
        <w:rPr>
          <w:sz w:val="26"/>
          <w:szCs w:val="26"/>
        </w:rPr>
        <w:t>five</w:t>
      </w:r>
      <w:r w:rsidR="003440BD" w:rsidRPr="00F70B64">
        <w:rPr>
          <w:sz w:val="26"/>
          <w:szCs w:val="26"/>
        </w:rPr>
        <w:t xml:space="preserve"> Conclusions of Law.  I.D. at </w:t>
      </w:r>
      <w:r w:rsidR="000746C5">
        <w:rPr>
          <w:sz w:val="26"/>
          <w:szCs w:val="26"/>
        </w:rPr>
        <w:t>4-9, 1</w:t>
      </w:r>
      <w:r>
        <w:rPr>
          <w:sz w:val="26"/>
          <w:szCs w:val="26"/>
        </w:rPr>
        <w:t>7</w:t>
      </w:r>
      <w:r w:rsidR="003440BD" w:rsidRPr="00F70B64">
        <w:rPr>
          <w:sz w:val="26"/>
          <w:szCs w:val="26"/>
        </w:rPr>
        <w:t>.  We shall adopt and incorporate herein by reference the ALJ’s Findings of Fact and Conclusions of Law, unless they are reversed or modified by this Opinion and Order, either express</w:t>
      </w:r>
      <w:r w:rsidR="00717AE2">
        <w:rPr>
          <w:sz w:val="26"/>
          <w:szCs w:val="26"/>
        </w:rPr>
        <w:t>ly or by necessary implication.</w:t>
      </w:r>
    </w:p>
    <w:p w14:paraId="40CBDA74" w14:textId="77777777" w:rsidR="008F4D6F" w:rsidRPr="00F70B64" w:rsidRDefault="008F4D6F" w:rsidP="00DA2CEC">
      <w:pPr>
        <w:spacing w:line="360" w:lineRule="auto"/>
        <w:ind w:firstLine="1440"/>
        <w:rPr>
          <w:sz w:val="26"/>
          <w:szCs w:val="26"/>
        </w:rPr>
      </w:pPr>
    </w:p>
    <w:p w14:paraId="67886C41" w14:textId="4D9E3D75" w:rsidR="008F4D6F" w:rsidRPr="00E25E67" w:rsidRDefault="008F4D6F" w:rsidP="00DA2CEC">
      <w:pPr>
        <w:spacing w:line="360" w:lineRule="auto"/>
        <w:ind w:firstLine="1440"/>
        <w:rPr>
          <w:sz w:val="26"/>
        </w:rPr>
      </w:pPr>
      <w:r w:rsidRPr="00F70B64">
        <w:rPr>
          <w:sz w:val="26"/>
          <w:szCs w:val="26"/>
        </w:rPr>
        <w:t xml:space="preserve">As a preliminary matter, we note that any issue that we do not specifically address has been duly considered and will be denied without further discussion.  It is well settled that we are not required to consider, expressly or at length, each contention or argument raised by the parties.  </w:t>
      </w:r>
      <w:r w:rsidR="00E25E67" w:rsidRPr="00F70B64">
        <w:rPr>
          <w:i/>
          <w:sz w:val="26"/>
          <w:szCs w:val="26"/>
        </w:rPr>
        <w:t>Consolidated</w:t>
      </w:r>
      <w:r w:rsidRPr="00F70B64">
        <w:rPr>
          <w:i/>
          <w:sz w:val="26"/>
          <w:szCs w:val="26"/>
        </w:rPr>
        <w:t xml:space="preserve"> Rail Corporation v. Pa. PUC, </w:t>
      </w:r>
      <w:r w:rsidRPr="00F70B64">
        <w:rPr>
          <w:sz w:val="26"/>
          <w:szCs w:val="26"/>
        </w:rPr>
        <w:t>6</w:t>
      </w:r>
      <w:r w:rsidR="009E7F5C">
        <w:rPr>
          <w:sz w:val="26"/>
          <w:szCs w:val="26"/>
        </w:rPr>
        <w:t>25 A.2d 741 (Pa. Cmwlth. 1993);</w:t>
      </w:r>
      <w:r w:rsidRPr="00F70B64">
        <w:rPr>
          <w:sz w:val="26"/>
          <w:szCs w:val="26"/>
        </w:rPr>
        <w:t xml:space="preserve"> </w:t>
      </w:r>
      <w:r w:rsidRPr="00F70B64">
        <w:rPr>
          <w:i/>
          <w:sz w:val="26"/>
          <w:szCs w:val="26"/>
        </w:rPr>
        <w:t>see also, generally, University of Pennsylvania v. Pa. PUC,</w:t>
      </w:r>
      <w:r w:rsidRPr="00F70B64">
        <w:rPr>
          <w:sz w:val="26"/>
          <w:szCs w:val="26"/>
        </w:rPr>
        <w:t xml:space="preserve"> 485 A.2.d 1217 (</w:t>
      </w:r>
      <w:r w:rsidR="00981EB5" w:rsidRPr="00F70B64">
        <w:rPr>
          <w:sz w:val="26"/>
          <w:szCs w:val="26"/>
        </w:rPr>
        <w:t>Pa. Cmwlth. 1984).</w:t>
      </w:r>
    </w:p>
    <w:p w14:paraId="1D52B14D" w14:textId="77777777" w:rsidR="00DC4276" w:rsidRDefault="00DC4276" w:rsidP="000E05DD">
      <w:pPr>
        <w:spacing w:line="360" w:lineRule="auto"/>
        <w:jc w:val="center"/>
        <w:rPr>
          <w:b/>
          <w:sz w:val="26"/>
          <w:szCs w:val="26"/>
        </w:rPr>
      </w:pPr>
    </w:p>
    <w:p w14:paraId="4797B063" w14:textId="7EF39E8A" w:rsidR="00E27560" w:rsidRDefault="00E27560" w:rsidP="00E25E67">
      <w:pPr>
        <w:spacing w:line="360" w:lineRule="auto"/>
        <w:rPr>
          <w:b/>
          <w:sz w:val="26"/>
          <w:szCs w:val="26"/>
        </w:rPr>
      </w:pPr>
      <w:r>
        <w:rPr>
          <w:b/>
          <w:sz w:val="26"/>
          <w:szCs w:val="26"/>
        </w:rPr>
        <w:t>ALJ’s Decision</w:t>
      </w:r>
    </w:p>
    <w:p w14:paraId="5DA63DB1" w14:textId="77777777" w:rsidR="00E27560" w:rsidRDefault="00E27560" w:rsidP="00E25E67">
      <w:pPr>
        <w:spacing w:line="360" w:lineRule="auto"/>
        <w:rPr>
          <w:b/>
          <w:sz w:val="26"/>
          <w:szCs w:val="26"/>
        </w:rPr>
      </w:pPr>
    </w:p>
    <w:p w14:paraId="61968D76" w14:textId="5C4EFC5A" w:rsidR="00B2244F" w:rsidRPr="00C72F81" w:rsidRDefault="00E27560" w:rsidP="00C81445">
      <w:pPr>
        <w:spacing w:line="360" w:lineRule="auto"/>
        <w:ind w:firstLine="1440"/>
        <w:rPr>
          <w:sz w:val="26"/>
          <w:szCs w:val="26"/>
        </w:rPr>
      </w:pPr>
      <w:r w:rsidRPr="00C72F81">
        <w:rPr>
          <w:sz w:val="26"/>
          <w:szCs w:val="26"/>
        </w:rPr>
        <w:t xml:space="preserve">In the Initial Decision, the ALJ </w:t>
      </w:r>
      <w:r w:rsidR="00C72F81" w:rsidRPr="00C72F81">
        <w:rPr>
          <w:sz w:val="26"/>
          <w:szCs w:val="26"/>
        </w:rPr>
        <w:t xml:space="preserve">concluded that the calculation for the back-billed gas usage over the four year period from March 13, 2009, to March 13, 2013, was reasonable.  </w:t>
      </w:r>
      <w:r w:rsidR="00686458">
        <w:rPr>
          <w:sz w:val="26"/>
          <w:szCs w:val="26"/>
        </w:rPr>
        <w:t xml:space="preserve">According to the ALJ, the </w:t>
      </w:r>
      <w:r w:rsidR="00C72F81" w:rsidRPr="00C72F81">
        <w:rPr>
          <w:sz w:val="26"/>
          <w:szCs w:val="26"/>
        </w:rPr>
        <w:t>Complainant failed to sustain his burden</w:t>
      </w:r>
      <w:r w:rsidR="00686458">
        <w:rPr>
          <w:sz w:val="26"/>
          <w:szCs w:val="26"/>
        </w:rPr>
        <w:t>,</w:t>
      </w:r>
      <w:r w:rsidR="00C72F81" w:rsidRPr="00C72F81">
        <w:rPr>
          <w:sz w:val="26"/>
          <w:szCs w:val="26"/>
        </w:rPr>
        <w:t xml:space="preserve"> </w:t>
      </w:r>
      <w:r w:rsidR="00686458">
        <w:rPr>
          <w:sz w:val="26"/>
          <w:szCs w:val="26"/>
        </w:rPr>
        <w:t xml:space="preserve">by </w:t>
      </w:r>
      <w:r w:rsidR="00C72F81" w:rsidRPr="00C72F81">
        <w:rPr>
          <w:sz w:val="26"/>
          <w:szCs w:val="26"/>
        </w:rPr>
        <w:t>verifiable evidence</w:t>
      </w:r>
      <w:r w:rsidR="00686458">
        <w:rPr>
          <w:sz w:val="26"/>
          <w:szCs w:val="26"/>
        </w:rPr>
        <w:t>,</w:t>
      </w:r>
      <w:r w:rsidR="00C72F81" w:rsidRPr="00C72F81">
        <w:rPr>
          <w:sz w:val="26"/>
          <w:szCs w:val="26"/>
        </w:rPr>
        <w:t xml:space="preserve"> </w:t>
      </w:r>
      <w:r w:rsidR="00686458">
        <w:rPr>
          <w:sz w:val="26"/>
          <w:szCs w:val="26"/>
        </w:rPr>
        <w:t xml:space="preserve">that there was </w:t>
      </w:r>
      <w:r w:rsidR="00C72F81" w:rsidRPr="00C72F81">
        <w:rPr>
          <w:sz w:val="26"/>
          <w:szCs w:val="26"/>
        </w:rPr>
        <w:t>a different period for the back-bill</w:t>
      </w:r>
      <w:r w:rsidR="00C73074">
        <w:rPr>
          <w:sz w:val="26"/>
          <w:szCs w:val="26"/>
        </w:rPr>
        <w:t xml:space="preserve">ing of the </w:t>
      </w:r>
      <w:r w:rsidR="00C72F81" w:rsidRPr="00C72F81">
        <w:rPr>
          <w:sz w:val="26"/>
          <w:szCs w:val="26"/>
        </w:rPr>
        <w:lastRenderedPageBreak/>
        <w:t xml:space="preserve">unauthorized gas usage at the service address.   </w:t>
      </w:r>
      <w:r w:rsidR="00686458">
        <w:rPr>
          <w:sz w:val="26"/>
          <w:szCs w:val="26"/>
        </w:rPr>
        <w:t>The</w:t>
      </w:r>
      <w:r w:rsidR="00C81445">
        <w:rPr>
          <w:sz w:val="26"/>
          <w:szCs w:val="26"/>
        </w:rPr>
        <w:t xml:space="preserve"> ALJ </w:t>
      </w:r>
      <w:r w:rsidR="00C73074">
        <w:rPr>
          <w:sz w:val="26"/>
          <w:szCs w:val="26"/>
        </w:rPr>
        <w:t>did not address whether the Complainant was culpable for the unauthorized gas usage, noting that Mr. Fassett did not di</w:t>
      </w:r>
      <w:r w:rsidR="00C72F81" w:rsidRPr="00C72F81">
        <w:rPr>
          <w:sz w:val="26"/>
          <w:szCs w:val="26"/>
        </w:rPr>
        <w:t xml:space="preserve">spute </w:t>
      </w:r>
      <w:r w:rsidR="00C73074">
        <w:rPr>
          <w:sz w:val="26"/>
          <w:szCs w:val="26"/>
        </w:rPr>
        <w:t xml:space="preserve">his </w:t>
      </w:r>
      <w:r w:rsidR="00C72F81" w:rsidRPr="00C72F81">
        <w:rPr>
          <w:sz w:val="26"/>
          <w:szCs w:val="26"/>
        </w:rPr>
        <w:t>responsib</w:t>
      </w:r>
      <w:r w:rsidR="00C73074">
        <w:rPr>
          <w:sz w:val="26"/>
          <w:szCs w:val="26"/>
        </w:rPr>
        <w:t>i</w:t>
      </w:r>
      <w:r w:rsidR="00C72F81" w:rsidRPr="00C72F81">
        <w:rPr>
          <w:sz w:val="26"/>
          <w:szCs w:val="26"/>
        </w:rPr>
        <w:t>l</w:t>
      </w:r>
      <w:r w:rsidR="00C73074">
        <w:rPr>
          <w:sz w:val="26"/>
          <w:szCs w:val="26"/>
        </w:rPr>
        <w:t>ity</w:t>
      </w:r>
      <w:r w:rsidR="00C72F81" w:rsidRPr="00C72F81">
        <w:rPr>
          <w:sz w:val="26"/>
          <w:szCs w:val="26"/>
        </w:rPr>
        <w:t xml:space="preserve"> for the unauthorized usage </w:t>
      </w:r>
      <w:r w:rsidR="00686458">
        <w:rPr>
          <w:sz w:val="26"/>
          <w:szCs w:val="26"/>
        </w:rPr>
        <w:t xml:space="preserve">at </w:t>
      </w:r>
      <w:r w:rsidR="00C72F81" w:rsidRPr="00C72F81">
        <w:rPr>
          <w:sz w:val="26"/>
          <w:szCs w:val="26"/>
        </w:rPr>
        <w:t xml:space="preserve">the service address.  </w:t>
      </w:r>
      <w:r w:rsidR="00B2244F" w:rsidRPr="00C72F81">
        <w:rPr>
          <w:sz w:val="26"/>
          <w:szCs w:val="26"/>
        </w:rPr>
        <w:t xml:space="preserve">Accordingly, the ALJ </w:t>
      </w:r>
      <w:r w:rsidR="00C73074">
        <w:rPr>
          <w:sz w:val="26"/>
          <w:szCs w:val="26"/>
        </w:rPr>
        <w:t xml:space="preserve">denied the Complaint regarding the dispute of the back-bill amount for the unauthorized gas service.  I.D. at 10-12.  </w:t>
      </w:r>
      <w:r w:rsidR="00B2244F" w:rsidRPr="00C72F81">
        <w:rPr>
          <w:i/>
          <w:sz w:val="26"/>
          <w:szCs w:val="26"/>
        </w:rPr>
        <w:t xml:space="preserve">  </w:t>
      </w:r>
    </w:p>
    <w:p w14:paraId="2156959E" w14:textId="77777777" w:rsidR="00E27560" w:rsidRDefault="00E27560" w:rsidP="00E25E67">
      <w:pPr>
        <w:spacing w:line="360" w:lineRule="auto"/>
        <w:rPr>
          <w:b/>
          <w:sz w:val="26"/>
          <w:szCs w:val="26"/>
        </w:rPr>
      </w:pPr>
    </w:p>
    <w:p w14:paraId="5D33FD48" w14:textId="4314BF64" w:rsidR="00C73074" w:rsidRDefault="00C73074" w:rsidP="00E25E67">
      <w:pPr>
        <w:spacing w:line="360" w:lineRule="auto"/>
        <w:rPr>
          <w:sz w:val="26"/>
          <w:szCs w:val="26"/>
        </w:rPr>
      </w:pPr>
      <w:r>
        <w:rPr>
          <w:b/>
          <w:sz w:val="26"/>
          <w:szCs w:val="26"/>
        </w:rPr>
        <w:tab/>
      </w:r>
      <w:r>
        <w:rPr>
          <w:b/>
          <w:sz w:val="26"/>
          <w:szCs w:val="26"/>
        </w:rPr>
        <w:tab/>
      </w:r>
      <w:r w:rsidR="00B213AB">
        <w:rPr>
          <w:sz w:val="26"/>
          <w:szCs w:val="26"/>
        </w:rPr>
        <w:t xml:space="preserve">Regarding the request for a payment arrangement, the ALJ noted the Commission’s authority to provide payment arrangements for customers and applicants pursuant to Section 1405(a) of the Code, 66 Pa. C.S. § 1405(a).  The ALJ determined that Mr. Fassett fit the definition of an applicant </w:t>
      </w:r>
      <w:r w:rsidR="005C0E15">
        <w:rPr>
          <w:sz w:val="26"/>
          <w:szCs w:val="26"/>
        </w:rPr>
        <w:t>and that the Commission has not issued a prior payment arrangement.</w:t>
      </w:r>
      <w:r w:rsidR="00362C4B">
        <w:rPr>
          <w:rStyle w:val="FootnoteReference"/>
        </w:rPr>
        <w:footnoteReference w:id="3"/>
      </w:r>
      <w:r w:rsidR="005C0E15">
        <w:rPr>
          <w:sz w:val="26"/>
          <w:szCs w:val="26"/>
        </w:rPr>
        <w:t xml:space="preserve">  </w:t>
      </w:r>
      <w:r w:rsidR="00470CC8">
        <w:rPr>
          <w:sz w:val="26"/>
          <w:szCs w:val="26"/>
        </w:rPr>
        <w:t>I.D. at 12-13.</w:t>
      </w:r>
    </w:p>
    <w:p w14:paraId="11C4B9B3" w14:textId="77777777" w:rsidR="00470CC8" w:rsidRDefault="00470CC8" w:rsidP="00E25E67">
      <w:pPr>
        <w:spacing w:line="360" w:lineRule="auto"/>
        <w:rPr>
          <w:sz w:val="26"/>
          <w:szCs w:val="26"/>
        </w:rPr>
      </w:pPr>
    </w:p>
    <w:p w14:paraId="3607952A" w14:textId="354F7EDA" w:rsidR="00566962" w:rsidRDefault="00470CC8" w:rsidP="00E25E67">
      <w:pPr>
        <w:spacing w:line="360" w:lineRule="auto"/>
        <w:rPr>
          <w:sz w:val="26"/>
          <w:szCs w:val="26"/>
        </w:rPr>
      </w:pPr>
      <w:r>
        <w:rPr>
          <w:sz w:val="26"/>
          <w:szCs w:val="26"/>
        </w:rPr>
        <w:tab/>
      </w:r>
      <w:r>
        <w:rPr>
          <w:sz w:val="26"/>
          <w:szCs w:val="26"/>
        </w:rPr>
        <w:tab/>
      </w:r>
      <w:r w:rsidR="0089213D">
        <w:rPr>
          <w:sz w:val="26"/>
          <w:szCs w:val="26"/>
        </w:rPr>
        <w:t xml:space="preserve">The Respondent noted that the Commission has the authority to issue </w:t>
      </w:r>
      <w:r>
        <w:rPr>
          <w:sz w:val="26"/>
          <w:szCs w:val="26"/>
        </w:rPr>
        <w:t xml:space="preserve">a payment arrangement </w:t>
      </w:r>
      <w:r w:rsidR="0089213D">
        <w:rPr>
          <w:sz w:val="26"/>
          <w:szCs w:val="26"/>
        </w:rPr>
        <w:t>regardless of whether a complainant is culpable of service theft.  However, PGW argued that the Commission exercises this ability judiciously</w:t>
      </w:r>
      <w:r>
        <w:rPr>
          <w:sz w:val="26"/>
          <w:szCs w:val="26"/>
        </w:rPr>
        <w:t xml:space="preserve"> </w:t>
      </w:r>
      <w:r w:rsidR="0089213D">
        <w:rPr>
          <w:sz w:val="26"/>
          <w:szCs w:val="26"/>
        </w:rPr>
        <w:t xml:space="preserve">and only in situations in which the complainant is not responsible for theft or unauthorized use.  PGW Brief at 5 (citing </w:t>
      </w:r>
      <w:r w:rsidR="0089213D">
        <w:rPr>
          <w:i/>
          <w:sz w:val="26"/>
          <w:szCs w:val="26"/>
        </w:rPr>
        <w:t>George Crawford v. National Fuel Gas</w:t>
      </w:r>
      <w:r w:rsidR="0089213D">
        <w:rPr>
          <w:sz w:val="26"/>
          <w:szCs w:val="26"/>
        </w:rPr>
        <w:t>, Docket No. C-20066348 (Order entered December 6, 2007)</w:t>
      </w:r>
      <w:r w:rsidR="0067587A">
        <w:rPr>
          <w:sz w:val="26"/>
          <w:szCs w:val="26"/>
        </w:rPr>
        <w:t xml:space="preserve"> (</w:t>
      </w:r>
      <w:r w:rsidR="0067587A">
        <w:rPr>
          <w:i/>
          <w:sz w:val="26"/>
          <w:szCs w:val="26"/>
        </w:rPr>
        <w:t>Crawford</w:t>
      </w:r>
      <w:r w:rsidR="0067587A">
        <w:rPr>
          <w:sz w:val="26"/>
          <w:szCs w:val="26"/>
        </w:rPr>
        <w:t>)</w:t>
      </w:r>
      <w:r w:rsidR="00F911E0">
        <w:rPr>
          <w:sz w:val="26"/>
          <w:szCs w:val="26"/>
        </w:rPr>
        <w:t>)</w:t>
      </w:r>
      <w:r w:rsidR="0089213D">
        <w:rPr>
          <w:sz w:val="26"/>
          <w:szCs w:val="26"/>
        </w:rPr>
        <w:t xml:space="preserve">.  PGW contended that Mr. Fassett had dominion and control over the service address and knew or should have known that the </w:t>
      </w:r>
      <w:r w:rsidR="0089213D">
        <w:rPr>
          <w:sz w:val="26"/>
          <w:szCs w:val="26"/>
        </w:rPr>
        <w:lastRenderedPageBreak/>
        <w:t xml:space="preserve">theft was occurring.  </w:t>
      </w:r>
      <w:r w:rsidR="0067587A">
        <w:rPr>
          <w:sz w:val="26"/>
          <w:szCs w:val="26"/>
        </w:rPr>
        <w:t>Thus</w:t>
      </w:r>
      <w:r w:rsidR="0089213D">
        <w:rPr>
          <w:sz w:val="26"/>
          <w:szCs w:val="26"/>
        </w:rPr>
        <w:t xml:space="preserve">, PGW requested the denial of a payment arrangement.  </w:t>
      </w:r>
      <w:r w:rsidR="00413872">
        <w:rPr>
          <w:sz w:val="26"/>
          <w:szCs w:val="26"/>
        </w:rPr>
        <w:t>PGW Brief a</w:t>
      </w:r>
      <w:r w:rsidR="00566962">
        <w:rPr>
          <w:sz w:val="26"/>
          <w:szCs w:val="26"/>
        </w:rPr>
        <w:t xml:space="preserve">t </w:t>
      </w:r>
      <w:r w:rsidR="005E12DC">
        <w:rPr>
          <w:sz w:val="26"/>
          <w:szCs w:val="26"/>
        </w:rPr>
        <w:t>5-</w:t>
      </w:r>
      <w:r w:rsidR="00566962">
        <w:rPr>
          <w:sz w:val="26"/>
          <w:szCs w:val="26"/>
        </w:rPr>
        <w:t>6.</w:t>
      </w:r>
      <w:r w:rsidR="00566962">
        <w:rPr>
          <w:rStyle w:val="FootnoteReference"/>
        </w:rPr>
        <w:footnoteReference w:id="4"/>
      </w:r>
      <w:r w:rsidR="00566962">
        <w:rPr>
          <w:sz w:val="26"/>
          <w:szCs w:val="26"/>
        </w:rPr>
        <w:t xml:space="preserve">  </w:t>
      </w:r>
    </w:p>
    <w:p w14:paraId="65E5CE80" w14:textId="09B191F3" w:rsidR="0089213D" w:rsidRDefault="0089213D" w:rsidP="00E25E67">
      <w:pPr>
        <w:spacing w:line="360" w:lineRule="auto"/>
        <w:rPr>
          <w:sz w:val="26"/>
          <w:szCs w:val="26"/>
        </w:rPr>
      </w:pPr>
      <w:r>
        <w:rPr>
          <w:sz w:val="26"/>
          <w:szCs w:val="26"/>
        </w:rPr>
        <w:tab/>
      </w:r>
      <w:r>
        <w:rPr>
          <w:sz w:val="26"/>
          <w:szCs w:val="26"/>
        </w:rPr>
        <w:tab/>
      </w:r>
    </w:p>
    <w:p w14:paraId="1F9DA688" w14:textId="77777777" w:rsidR="0067365B" w:rsidRDefault="0067587A" w:rsidP="00E25E67">
      <w:pPr>
        <w:spacing w:line="360" w:lineRule="auto"/>
        <w:rPr>
          <w:sz w:val="26"/>
          <w:szCs w:val="26"/>
        </w:rPr>
      </w:pPr>
      <w:r>
        <w:rPr>
          <w:sz w:val="26"/>
          <w:szCs w:val="26"/>
        </w:rPr>
        <w:tab/>
      </w:r>
      <w:r>
        <w:rPr>
          <w:sz w:val="26"/>
          <w:szCs w:val="26"/>
        </w:rPr>
        <w:tab/>
        <w:t xml:space="preserve">The ALJ distinguished </w:t>
      </w:r>
      <w:r>
        <w:rPr>
          <w:i/>
          <w:sz w:val="26"/>
          <w:szCs w:val="26"/>
        </w:rPr>
        <w:t>Crawford</w:t>
      </w:r>
      <w:r>
        <w:rPr>
          <w:sz w:val="26"/>
          <w:szCs w:val="26"/>
        </w:rPr>
        <w:t xml:space="preserve"> </w:t>
      </w:r>
      <w:r w:rsidR="00566962">
        <w:rPr>
          <w:sz w:val="26"/>
          <w:szCs w:val="26"/>
        </w:rPr>
        <w:t xml:space="preserve">because it concerned the actions or circumstances of a “customer.”  In contrast, this proceeding involved an “applicant,” which the ALJ considered to be a substantive and meaningful distinction.  Further, the ALJ </w:t>
      </w:r>
      <w:r w:rsidR="004C1D84">
        <w:rPr>
          <w:sz w:val="26"/>
          <w:szCs w:val="26"/>
        </w:rPr>
        <w:t xml:space="preserve">distinguished PGW’s citation to </w:t>
      </w:r>
      <w:r w:rsidR="009464BC">
        <w:rPr>
          <w:sz w:val="26"/>
          <w:szCs w:val="26"/>
        </w:rPr>
        <w:t>Section 56.98</w:t>
      </w:r>
      <w:r w:rsidR="0067365B">
        <w:rPr>
          <w:sz w:val="26"/>
          <w:szCs w:val="26"/>
        </w:rPr>
        <w:t xml:space="preserve"> of our Regulations</w:t>
      </w:r>
      <w:r w:rsidR="009464BC">
        <w:rPr>
          <w:sz w:val="26"/>
          <w:szCs w:val="26"/>
        </w:rPr>
        <w:t xml:space="preserve">, </w:t>
      </w:r>
      <w:r w:rsidR="004C1D84">
        <w:rPr>
          <w:sz w:val="26"/>
          <w:szCs w:val="26"/>
        </w:rPr>
        <w:t xml:space="preserve">52 Pa. Code </w:t>
      </w:r>
    </w:p>
    <w:p w14:paraId="55743B06" w14:textId="199E236B" w:rsidR="009464BC" w:rsidRDefault="004C1D84" w:rsidP="00E25E67">
      <w:pPr>
        <w:spacing w:line="360" w:lineRule="auto"/>
        <w:rPr>
          <w:sz w:val="26"/>
          <w:szCs w:val="26"/>
        </w:rPr>
      </w:pPr>
      <w:r>
        <w:rPr>
          <w:sz w:val="26"/>
          <w:szCs w:val="26"/>
        </w:rPr>
        <w:t>§ 56.98</w:t>
      </w:r>
      <w:r w:rsidR="009464BC">
        <w:rPr>
          <w:sz w:val="26"/>
          <w:szCs w:val="26"/>
        </w:rPr>
        <w:t>,</w:t>
      </w:r>
      <w:r>
        <w:rPr>
          <w:sz w:val="26"/>
          <w:szCs w:val="26"/>
        </w:rPr>
        <w:t xml:space="preserve"> </w:t>
      </w:r>
      <w:r w:rsidR="009464BC">
        <w:rPr>
          <w:sz w:val="26"/>
          <w:szCs w:val="26"/>
        </w:rPr>
        <w:t>as pertaining to a company’s authority to immediately terminate service for unauthorized use.  Th</w:t>
      </w:r>
      <w:r w:rsidR="0067365B">
        <w:rPr>
          <w:sz w:val="26"/>
          <w:szCs w:val="26"/>
        </w:rPr>
        <w:t xml:space="preserve">is </w:t>
      </w:r>
      <w:r w:rsidR="009464BC">
        <w:rPr>
          <w:sz w:val="26"/>
          <w:szCs w:val="26"/>
        </w:rPr>
        <w:t>regulation does not prohibit a payment arrangement to restore the terminated service.  I.D. at 14.</w:t>
      </w:r>
    </w:p>
    <w:p w14:paraId="653871AD" w14:textId="77777777" w:rsidR="009464BC" w:rsidRDefault="009464BC" w:rsidP="00E25E67">
      <w:pPr>
        <w:spacing w:line="360" w:lineRule="auto"/>
        <w:rPr>
          <w:sz w:val="26"/>
          <w:szCs w:val="26"/>
        </w:rPr>
      </w:pPr>
    </w:p>
    <w:p w14:paraId="555A8F7B" w14:textId="766E8CB1" w:rsidR="00F911E0" w:rsidRPr="00425D64" w:rsidRDefault="009464BC" w:rsidP="00E25E67">
      <w:pPr>
        <w:spacing w:line="360" w:lineRule="auto"/>
        <w:rPr>
          <w:sz w:val="26"/>
          <w:szCs w:val="26"/>
        </w:rPr>
      </w:pPr>
      <w:r>
        <w:rPr>
          <w:sz w:val="26"/>
          <w:szCs w:val="26"/>
        </w:rPr>
        <w:tab/>
      </w:r>
      <w:r>
        <w:rPr>
          <w:sz w:val="26"/>
          <w:szCs w:val="26"/>
        </w:rPr>
        <w:tab/>
        <w:t xml:space="preserve"> </w:t>
      </w:r>
      <w:r w:rsidR="00C1059C">
        <w:rPr>
          <w:sz w:val="26"/>
          <w:szCs w:val="26"/>
        </w:rPr>
        <w:t>Furt</w:t>
      </w:r>
      <w:r w:rsidR="00D36DE1">
        <w:rPr>
          <w:sz w:val="26"/>
          <w:szCs w:val="26"/>
        </w:rPr>
        <w:t xml:space="preserve">her, the ALJ found that neither PGW’s tariff nor industry standards support its policy that no payment arrangement can be implemented if unauthorized usage of gas service has occurred.  </w:t>
      </w:r>
      <w:r w:rsidR="00F911E0">
        <w:rPr>
          <w:sz w:val="26"/>
          <w:szCs w:val="26"/>
        </w:rPr>
        <w:t xml:space="preserve">Thus, the ALJ rejected </w:t>
      </w:r>
      <w:r w:rsidR="00425D64">
        <w:rPr>
          <w:sz w:val="26"/>
          <w:szCs w:val="26"/>
        </w:rPr>
        <w:t xml:space="preserve">PGW’s </w:t>
      </w:r>
      <w:r w:rsidR="00F911E0">
        <w:rPr>
          <w:sz w:val="26"/>
          <w:szCs w:val="26"/>
        </w:rPr>
        <w:t xml:space="preserve">argument that </w:t>
      </w:r>
      <w:r w:rsidR="00425D64">
        <w:rPr>
          <w:sz w:val="26"/>
          <w:szCs w:val="26"/>
        </w:rPr>
        <w:t>the Complainant is</w:t>
      </w:r>
      <w:r w:rsidR="00F911E0">
        <w:rPr>
          <w:sz w:val="26"/>
          <w:szCs w:val="26"/>
        </w:rPr>
        <w:t xml:space="preserve"> precluded from </w:t>
      </w:r>
      <w:r w:rsidR="00425D64">
        <w:rPr>
          <w:sz w:val="26"/>
          <w:szCs w:val="26"/>
        </w:rPr>
        <w:t xml:space="preserve">obtaining a payment arrangement in this proceeding.  </w:t>
      </w:r>
      <w:r w:rsidR="00425D64">
        <w:rPr>
          <w:i/>
          <w:sz w:val="26"/>
          <w:szCs w:val="26"/>
        </w:rPr>
        <w:t xml:space="preserve">Id. </w:t>
      </w:r>
      <w:r w:rsidR="00425D64">
        <w:rPr>
          <w:sz w:val="26"/>
          <w:szCs w:val="26"/>
        </w:rPr>
        <w:t xml:space="preserve">at 14-15.  </w:t>
      </w:r>
    </w:p>
    <w:p w14:paraId="2A629AC9" w14:textId="77777777" w:rsidR="00F911E0" w:rsidRDefault="00F911E0" w:rsidP="00E25E67">
      <w:pPr>
        <w:spacing w:line="360" w:lineRule="auto"/>
        <w:rPr>
          <w:i/>
          <w:sz w:val="26"/>
          <w:szCs w:val="26"/>
        </w:rPr>
      </w:pPr>
    </w:p>
    <w:p w14:paraId="73A85B8D" w14:textId="5D7AE3CA" w:rsidR="00650171" w:rsidRDefault="00425D64" w:rsidP="00425D64">
      <w:pPr>
        <w:spacing w:line="360" w:lineRule="auto"/>
        <w:ind w:firstLine="1440"/>
        <w:rPr>
          <w:sz w:val="26"/>
          <w:szCs w:val="26"/>
        </w:rPr>
      </w:pPr>
      <w:r>
        <w:rPr>
          <w:sz w:val="26"/>
          <w:szCs w:val="26"/>
        </w:rPr>
        <w:t>Next, the</w:t>
      </w:r>
      <w:r w:rsidR="00F911E0">
        <w:rPr>
          <w:sz w:val="26"/>
          <w:szCs w:val="26"/>
        </w:rPr>
        <w:t xml:space="preserve"> ALJ </w:t>
      </w:r>
      <w:r w:rsidR="0032716F">
        <w:rPr>
          <w:sz w:val="26"/>
          <w:szCs w:val="26"/>
        </w:rPr>
        <w:t xml:space="preserve">considered the Complainant’s monthly income of $671 and </w:t>
      </w:r>
      <w:r>
        <w:rPr>
          <w:sz w:val="26"/>
          <w:szCs w:val="26"/>
        </w:rPr>
        <w:t>applied</w:t>
      </w:r>
      <w:r w:rsidR="00F911E0">
        <w:rPr>
          <w:sz w:val="26"/>
          <w:szCs w:val="26"/>
        </w:rPr>
        <w:t xml:space="preserve"> Section</w:t>
      </w:r>
      <w:r w:rsidR="0032716F">
        <w:rPr>
          <w:sz w:val="26"/>
          <w:szCs w:val="26"/>
        </w:rPr>
        <w:t>s</w:t>
      </w:r>
      <w:r w:rsidR="00F911E0">
        <w:rPr>
          <w:sz w:val="26"/>
          <w:szCs w:val="26"/>
        </w:rPr>
        <w:t xml:space="preserve"> 1407</w:t>
      </w:r>
      <w:r w:rsidR="0032716F">
        <w:rPr>
          <w:sz w:val="26"/>
          <w:szCs w:val="26"/>
        </w:rPr>
        <w:t>(a) and 1407(c)(2)(iii) of the Code</w:t>
      </w:r>
      <w:r w:rsidR="00F911E0">
        <w:rPr>
          <w:sz w:val="26"/>
          <w:szCs w:val="26"/>
        </w:rPr>
        <w:t xml:space="preserve">, 66 Pa. C.S. </w:t>
      </w:r>
      <w:r>
        <w:rPr>
          <w:sz w:val="26"/>
          <w:szCs w:val="26"/>
        </w:rPr>
        <w:t>§</w:t>
      </w:r>
      <w:r w:rsidR="0067365B">
        <w:rPr>
          <w:sz w:val="26"/>
          <w:szCs w:val="26"/>
        </w:rPr>
        <w:t>§</w:t>
      </w:r>
      <w:r>
        <w:rPr>
          <w:sz w:val="26"/>
          <w:szCs w:val="26"/>
        </w:rPr>
        <w:t xml:space="preserve"> 1407</w:t>
      </w:r>
      <w:r w:rsidR="0032716F">
        <w:rPr>
          <w:sz w:val="26"/>
          <w:szCs w:val="26"/>
        </w:rPr>
        <w:t xml:space="preserve">(a) and </w:t>
      </w:r>
      <w:r w:rsidR="0032716F">
        <w:rPr>
          <w:sz w:val="26"/>
          <w:szCs w:val="26"/>
        </w:rPr>
        <w:lastRenderedPageBreak/>
        <w:t>1407(c)(2)(iii)</w:t>
      </w:r>
      <w:r>
        <w:rPr>
          <w:sz w:val="26"/>
          <w:szCs w:val="26"/>
        </w:rPr>
        <w:t>.</w:t>
      </w:r>
      <w:r>
        <w:rPr>
          <w:rStyle w:val="FootnoteReference"/>
        </w:rPr>
        <w:footnoteReference w:id="5"/>
      </w:r>
      <w:r>
        <w:rPr>
          <w:sz w:val="26"/>
          <w:szCs w:val="26"/>
        </w:rPr>
        <w:t xml:space="preserve">  </w:t>
      </w:r>
      <w:r w:rsidR="0032716F">
        <w:rPr>
          <w:sz w:val="26"/>
          <w:szCs w:val="26"/>
        </w:rPr>
        <w:t>The ALJ concluded that the Commission is authorize</w:t>
      </w:r>
      <w:r w:rsidR="00650171">
        <w:rPr>
          <w:sz w:val="26"/>
          <w:szCs w:val="26"/>
        </w:rPr>
        <w:t>d</w:t>
      </w:r>
      <w:r w:rsidR="0032716F">
        <w:rPr>
          <w:sz w:val="26"/>
          <w:szCs w:val="26"/>
        </w:rPr>
        <w:t xml:space="preserve"> to </w:t>
      </w:r>
      <w:r w:rsidR="00231600">
        <w:rPr>
          <w:sz w:val="26"/>
          <w:szCs w:val="26"/>
        </w:rPr>
        <w:t xml:space="preserve">require payment of a reconnection fee and to </w:t>
      </w:r>
      <w:r w:rsidR="0032716F">
        <w:rPr>
          <w:sz w:val="26"/>
          <w:szCs w:val="26"/>
        </w:rPr>
        <w:t xml:space="preserve">issue </w:t>
      </w:r>
      <w:r w:rsidR="00650171">
        <w:rPr>
          <w:sz w:val="26"/>
          <w:szCs w:val="26"/>
        </w:rPr>
        <w:t xml:space="preserve">up to a twenty-four month </w:t>
      </w:r>
      <w:r w:rsidR="0032716F">
        <w:rPr>
          <w:sz w:val="26"/>
          <w:szCs w:val="26"/>
        </w:rPr>
        <w:t xml:space="preserve">payment arrangement </w:t>
      </w:r>
      <w:r w:rsidR="00650171">
        <w:rPr>
          <w:sz w:val="26"/>
          <w:szCs w:val="26"/>
        </w:rPr>
        <w:t>for</w:t>
      </w:r>
      <w:r w:rsidR="0032716F">
        <w:rPr>
          <w:sz w:val="26"/>
          <w:szCs w:val="26"/>
        </w:rPr>
        <w:t xml:space="preserve"> the outstanding balance </w:t>
      </w:r>
      <w:r w:rsidR="00231600">
        <w:rPr>
          <w:sz w:val="26"/>
          <w:szCs w:val="26"/>
        </w:rPr>
        <w:t>owed</w:t>
      </w:r>
      <w:r w:rsidR="00650171">
        <w:rPr>
          <w:sz w:val="26"/>
          <w:szCs w:val="26"/>
        </w:rPr>
        <w:t xml:space="preserve">.  I.D. at 15-16.  </w:t>
      </w:r>
    </w:p>
    <w:p w14:paraId="0679FAC4" w14:textId="77777777" w:rsidR="00650171" w:rsidRDefault="00650171" w:rsidP="00425D64">
      <w:pPr>
        <w:spacing w:line="360" w:lineRule="auto"/>
        <w:ind w:firstLine="1440"/>
        <w:rPr>
          <w:sz w:val="26"/>
          <w:szCs w:val="26"/>
        </w:rPr>
      </w:pPr>
    </w:p>
    <w:p w14:paraId="7B8A4486" w14:textId="54B69219" w:rsidR="0067587A" w:rsidRDefault="00394AC2" w:rsidP="00425D64">
      <w:pPr>
        <w:spacing w:line="360" w:lineRule="auto"/>
        <w:ind w:firstLine="1440"/>
        <w:rPr>
          <w:sz w:val="26"/>
          <w:szCs w:val="26"/>
        </w:rPr>
      </w:pPr>
      <w:r>
        <w:rPr>
          <w:sz w:val="26"/>
          <w:szCs w:val="26"/>
        </w:rPr>
        <w:t>The</w:t>
      </w:r>
      <w:r w:rsidR="00650171">
        <w:rPr>
          <w:sz w:val="26"/>
          <w:szCs w:val="26"/>
        </w:rPr>
        <w:t xml:space="preserve"> ALJ </w:t>
      </w:r>
      <w:r>
        <w:rPr>
          <w:sz w:val="26"/>
          <w:szCs w:val="26"/>
        </w:rPr>
        <w:t xml:space="preserve">also </w:t>
      </w:r>
      <w:r w:rsidR="00650171">
        <w:rPr>
          <w:sz w:val="26"/>
          <w:szCs w:val="26"/>
        </w:rPr>
        <w:t>determined that, pursuant to 66 Pa. C.S</w:t>
      </w:r>
      <w:r w:rsidR="00650171" w:rsidRPr="00650171">
        <w:rPr>
          <w:sz w:val="26"/>
          <w:szCs w:val="26"/>
        </w:rPr>
        <w:t>. §</w:t>
      </w:r>
      <w:r w:rsidR="00CC4198">
        <w:rPr>
          <w:sz w:val="26"/>
          <w:szCs w:val="26"/>
        </w:rPr>
        <w:t xml:space="preserve"> </w:t>
      </w:r>
      <w:r w:rsidR="00650171" w:rsidRPr="00650171">
        <w:rPr>
          <w:sz w:val="26"/>
          <w:szCs w:val="26"/>
        </w:rPr>
        <w:t>1404(a.1),</w:t>
      </w:r>
      <w:r w:rsidR="00650171">
        <w:t xml:space="preserve"> </w:t>
      </w:r>
      <w:r w:rsidR="00650171">
        <w:rPr>
          <w:sz w:val="26"/>
          <w:szCs w:val="26"/>
        </w:rPr>
        <w:t>the Respondent is prohibited from requiring a security deposit because the Complainant is likely eligible for PGW’s customer assistance program</w:t>
      </w:r>
      <w:r>
        <w:rPr>
          <w:sz w:val="26"/>
          <w:szCs w:val="26"/>
        </w:rPr>
        <w:t xml:space="preserve"> (CAP)</w:t>
      </w:r>
      <w:r w:rsidR="00650171">
        <w:rPr>
          <w:sz w:val="26"/>
          <w:szCs w:val="26"/>
        </w:rPr>
        <w:t xml:space="preserve">.  I.D. at 16.  </w:t>
      </w:r>
    </w:p>
    <w:p w14:paraId="01B212C0" w14:textId="77777777" w:rsidR="00650171" w:rsidRDefault="00650171" w:rsidP="00425D64">
      <w:pPr>
        <w:spacing w:line="360" w:lineRule="auto"/>
        <w:ind w:firstLine="1440"/>
        <w:rPr>
          <w:sz w:val="26"/>
          <w:szCs w:val="26"/>
        </w:rPr>
      </w:pPr>
    </w:p>
    <w:p w14:paraId="5C280EE1" w14:textId="37E6B3A6" w:rsidR="00650171" w:rsidRDefault="00650171" w:rsidP="00425D64">
      <w:pPr>
        <w:spacing w:line="360" w:lineRule="auto"/>
        <w:ind w:firstLine="1440"/>
        <w:rPr>
          <w:sz w:val="26"/>
          <w:szCs w:val="26"/>
        </w:rPr>
      </w:pPr>
      <w:r>
        <w:rPr>
          <w:sz w:val="26"/>
          <w:szCs w:val="26"/>
        </w:rPr>
        <w:t xml:space="preserve">The ALJ calculated that the Complainant owes $5,541.01 for back-billed unauthorized usage, plus $123.23 for the restoration of service fee.  </w:t>
      </w:r>
      <w:r w:rsidR="00394AC2">
        <w:rPr>
          <w:sz w:val="26"/>
          <w:szCs w:val="26"/>
        </w:rPr>
        <w:t xml:space="preserve">The ALJ determined the monthly payment on the back-billed amount over the twenty-four month period to be $230.88 ($5,541.01/24 = $230.88).  However, the ALJ directed the Complainant to apply for PGW’s CAP in compliance with 66 Pa. C.S. § 1407(c)(2)(iii).  If the financial </w:t>
      </w:r>
      <w:r w:rsidR="00394AC2">
        <w:rPr>
          <w:sz w:val="26"/>
          <w:szCs w:val="26"/>
        </w:rPr>
        <w:lastRenderedPageBreak/>
        <w:t xml:space="preserve">benefits of PGW’s CAP are greater than the payment arrangement, the ALJ directed the Respondent to implement the CAP payment arrangement.  Otherwise, the ALJ granted the payment arrangement of a monthly budget bill for current usage plus $230.88 toward his arrears.  I.D. at 17.  </w:t>
      </w:r>
    </w:p>
    <w:p w14:paraId="11515E54" w14:textId="77777777" w:rsidR="00650171" w:rsidRPr="00F911E0" w:rsidRDefault="00650171" w:rsidP="00425D64">
      <w:pPr>
        <w:spacing w:line="360" w:lineRule="auto"/>
        <w:ind w:firstLine="1440"/>
        <w:rPr>
          <w:sz w:val="26"/>
          <w:szCs w:val="26"/>
        </w:rPr>
      </w:pPr>
    </w:p>
    <w:p w14:paraId="0868A8A6" w14:textId="79A53A8F" w:rsidR="000E05DD" w:rsidRDefault="00D76ACF" w:rsidP="00E25E67">
      <w:pPr>
        <w:spacing w:line="360" w:lineRule="auto"/>
        <w:rPr>
          <w:b/>
          <w:sz w:val="26"/>
          <w:szCs w:val="26"/>
        </w:rPr>
      </w:pPr>
      <w:r>
        <w:rPr>
          <w:b/>
          <w:sz w:val="26"/>
          <w:szCs w:val="26"/>
        </w:rPr>
        <w:t>Disposition</w:t>
      </w:r>
    </w:p>
    <w:p w14:paraId="365E4BF6" w14:textId="77777777" w:rsidR="002640BC" w:rsidRDefault="002640BC" w:rsidP="00E25E67">
      <w:pPr>
        <w:spacing w:line="360" w:lineRule="auto"/>
        <w:rPr>
          <w:b/>
          <w:sz w:val="26"/>
          <w:szCs w:val="26"/>
        </w:rPr>
      </w:pPr>
    </w:p>
    <w:p w14:paraId="5BCAD522" w14:textId="0A185F96" w:rsidR="002640BC" w:rsidRPr="002640BC" w:rsidRDefault="002640BC" w:rsidP="002640BC">
      <w:pPr>
        <w:spacing w:line="360" w:lineRule="auto"/>
        <w:ind w:firstLine="1440"/>
        <w:rPr>
          <w:sz w:val="26"/>
          <w:szCs w:val="26"/>
        </w:rPr>
      </w:pPr>
      <w:r>
        <w:rPr>
          <w:sz w:val="26"/>
          <w:szCs w:val="26"/>
        </w:rPr>
        <w:t>We</w:t>
      </w:r>
      <w:r w:rsidRPr="002640BC">
        <w:rPr>
          <w:sz w:val="26"/>
          <w:szCs w:val="26"/>
        </w:rPr>
        <w:t xml:space="preserve"> agree with the </w:t>
      </w:r>
      <w:r>
        <w:rPr>
          <w:sz w:val="26"/>
          <w:szCs w:val="26"/>
        </w:rPr>
        <w:t xml:space="preserve">ALJ’s </w:t>
      </w:r>
      <w:r w:rsidRPr="002640BC">
        <w:rPr>
          <w:sz w:val="26"/>
          <w:szCs w:val="26"/>
        </w:rPr>
        <w:t xml:space="preserve">decision to deny the Complaint regarding the back-billed amount.  The Complainant does not dispute that he is responsible for the unauthorized usage at the service location.  Tr. </w:t>
      </w:r>
      <w:r>
        <w:rPr>
          <w:sz w:val="26"/>
          <w:szCs w:val="26"/>
        </w:rPr>
        <w:t xml:space="preserve">at </w:t>
      </w:r>
      <w:r w:rsidRPr="002640BC">
        <w:rPr>
          <w:sz w:val="26"/>
          <w:szCs w:val="26"/>
        </w:rPr>
        <w:t>16.  Moreover, PGW’s calculation of the back bill was reasonable.  PGW used March 13, 2013, the date it discovered the unauthorized usage,</w:t>
      </w:r>
      <w:r w:rsidRPr="002640BC">
        <w:rPr>
          <w:sz w:val="26"/>
          <w:szCs w:val="26"/>
          <w:vertAlign w:val="superscript"/>
        </w:rPr>
        <w:footnoteReference w:id="6"/>
      </w:r>
      <w:r w:rsidRPr="002640BC">
        <w:rPr>
          <w:sz w:val="26"/>
          <w:szCs w:val="26"/>
        </w:rPr>
        <w:t xml:space="preserve"> as the start date of the back bill.  Tr. </w:t>
      </w:r>
      <w:r>
        <w:rPr>
          <w:sz w:val="26"/>
          <w:szCs w:val="26"/>
        </w:rPr>
        <w:t xml:space="preserve">at </w:t>
      </w:r>
      <w:r w:rsidRPr="002640BC">
        <w:rPr>
          <w:sz w:val="26"/>
          <w:szCs w:val="26"/>
        </w:rPr>
        <w:t xml:space="preserve">40, 69-70.  PGW could have back billed for the unauthorized usage back to May 20, 2002, the date gas service was disconnected at the service location.  Tr. </w:t>
      </w:r>
      <w:r>
        <w:rPr>
          <w:sz w:val="26"/>
          <w:szCs w:val="26"/>
        </w:rPr>
        <w:t xml:space="preserve">at </w:t>
      </w:r>
      <w:r w:rsidRPr="002640BC">
        <w:rPr>
          <w:sz w:val="26"/>
          <w:szCs w:val="26"/>
        </w:rPr>
        <w:t xml:space="preserve">43.  However, PGW opted to bill the customer just four years back in the interest of good customer relations.  Tr. </w:t>
      </w:r>
      <w:r>
        <w:rPr>
          <w:sz w:val="26"/>
          <w:szCs w:val="26"/>
        </w:rPr>
        <w:t xml:space="preserve">at </w:t>
      </w:r>
      <w:r w:rsidRPr="002640BC">
        <w:rPr>
          <w:sz w:val="26"/>
          <w:szCs w:val="26"/>
        </w:rPr>
        <w:t xml:space="preserve">63-64.  In addition, PGW’s calculation methodology was consistent with its usual practice of calculating a back bill for theft of service based on the capacity of the appliances connected to the gas line and the number of degree days during the relevant period.  Tr. </w:t>
      </w:r>
      <w:r>
        <w:rPr>
          <w:sz w:val="26"/>
          <w:szCs w:val="26"/>
        </w:rPr>
        <w:t xml:space="preserve">at </w:t>
      </w:r>
      <w:r w:rsidRPr="002640BC">
        <w:rPr>
          <w:sz w:val="26"/>
          <w:szCs w:val="26"/>
        </w:rPr>
        <w:t>46-49.  Therefore, the Complainant failed to meet his burden of proof regarding the amount of the back bill.</w:t>
      </w:r>
    </w:p>
    <w:p w14:paraId="0F5F597D" w14:textId="77777777" w:rsidR="002640BC" w:rsidRPr="002640BC" w:rsidRDefault="002640BC" w:rsidP="002640BC">
      <w:pPr>
        <w:spacing w:line="360" w:lineRule="auto"/>
        <w:ind w:firstLine="720"/>
        <w:rPr>
          <w:sz w:val="26"/>
          <w:szCs w:val="26"/>
        </w:rPr>
      </w:pPr>
    </w:p>
    <w:p w14:paraId="57F8C59C" w14:textId="593578AB" w:rsidR="002640BC" w:rsidRPr="002640BC" w:rsidRDefault="002640BC" w:rsidP="002640BC">
      <w:pPr>
        <w:spacing w:line="360" w:lineRule="auto"/>
        <w:ind w:firstLine="1440"/>
        <w:rPr>
          <w:sz w:val="26"/>
          <w:szCs w:val="26"/>
        </w:rPr>
      </w:pPr>
      <w:r>
        <w:rPr>
          <w:sz w:val="26"/>
          <w:szCs w:val="26"/>
        </w:rPr>
        <w:t>We</w:t>
      </w:r>
      <w:r w:rsidRPr="002640BC">
        <w:rPr>
          <w:sz w:val="26"/>
          <w:szCs w:val="26"/>
        </w:rPr>
        <w:t xml:space="preserve"> </w:t>
      </w:r>
      <w:r>
        <w:rPr>
          <w:sz w:val="26"/>
          <w:szCs w:val="26"/>
        </w:rPr>
        <w:t>dis</w:t>
      </w:r>
      <w:r w:rsidRPr="002640BC">
        <w:rPr>
          <w:sz w:val="26"/>
          <w:szCs w:val="26"/>
        </w:rPr>
        <w:t xml:space="preserve">agree, however, with the </w:t>
      </w:r>
      <w:r>
        <w:rPr>
          <w:sz w:val="26"/>
          <w:szCs w:val="26"/>
        </w:rPr>
        <w:t xml:space="preserve">ALJ’s </w:t>
      </w:r>
      <w:r w:rsidRPr="002640BC">
        <w:rPr>
          <w:sz w:val="26"/>
          <w:szCs w:val="26"/>
        </w:rPr>
        <w:t xml:space="preserve">decision to grant a payment arrangement here.  </w:t>
      </w:r>
      <w:r>
        <w:rPr>
          <w:sz w:val="26"/>
          <w:szCs w:val="26"/>
        </w:rPr>
        <w:t>We do</w:t>
      </w:r>
      <w:r w:rsidRPr="002640BC">
        <w:rPr>
          <w:sz w:val="26"/>
          <w:szCs w:val="26"/>
        </w:rPr>
        <w:t xml:space="preserve"> not believe a payment arrangement is appropriate when the person requesting the arrangement was involved in a theft of utility service while residing at the service location.  In this case, the theft of gas service was in the form of a meter bypass.  Tr. </w:t>
      </w:r>
      <w:r>
        <w:rPr>
          <w:sz w:val="26"/>
          <w:szCs w:val="26"/>
        </w:rPr>
        <w:t xml:space="preserve">at </w:t>
      </w:r>
      <w:r w:rsidRPr="002640BC">
        <w:rPr>
          <w:sz w:val="26"/>
          <w:szCs w:val="26"/>
        </w:rPr>
        <w:t xml:space="preserve">69-70.  </w:t>
      </w:r>
    </w:p>
    <w:p w14:paraId="2C88ABA5" w14:textId="77777777" w:rsidR="005F7159" w:rsidRDefault="002640BC" w:rsidP="002640BC">
      <w:pPr>
        <w:spacing w:line="360" w:lineRule="auto"/>
        <w:ind w:firstLine="1440"/>
        <w:rPr>
          <w:sz w:val="26"/>
          <w:szCs w:val="26"/>
        </w:rPr>
      </w:pPr>
      <w:r w:rsidRPr="002640BC">
        <w:rPr>
          <w:sz w:val="26"/>
          <w:szCs w:val="26"/>
        </w:rPr>
        <w:lastRenderedPageBreak/>
        <w:t xml:space="preserve">PGW is not required under applicable law to issue an amortization/payment </w:t>
      </w:r>
      <w:r>
        <w:rPr>
          <w:sz w:val="26"/>
          <w:szCs w:val="26"/>
        </w:rPr>
        <w:t>arrangement</w:t>
      </w:r>
      <w:r w:rsidRPr="002640BC">
        <w:rPr>
          <w:sz w:val="26"/>
          <w:szCs w:val="26"/>
        </w:rPr>
        <w:t xml:space="preserve"> on amounts owed resulting from fraud or theft.  When a public utility issues a make-up bill for previously unbilled service </w:t>
      </w:r>
      <w:r w:rsidRPr="002640BC">
        <w:rPr>
          <w:color w:val="000000"/>
          <w:sz w:val="26"/>
          <w:szCs w:val="26"/>
        </w:rPr>
        <w:t xml:space="preserve">due to a billing error, meter failure, or leakage, the utility is required under </w:t>
      </w:r>
      <w:r w:rsidRPr="002640BC">
        <w:rPr>
          <w:sz w:val="26"/>
          <w:szCs w:val="26"/>
        </w:rPr>
        <w:t xml:space="preserve">Section 56.14 of </w:t>
      </w:r>
      <w:r>
        <w:rPr>
          <w:sz w:val="26"/>
          <w:szCs w:val="26"/>
        </w:rPr>
        <w:t>our R</w:t>
      </w:r>
      <w:r w:rsidRPr="002640BC">
        <w:rPr>
          <w:sz w:val="26"/>
          <w:szCs w:val="26"/>
        </w:rPr>
        <w:t>egulations</w:t>
      </w:r>
      <w:r>
        <w:rPr>
          <w:sz w:val="26"/>
          <w:szCs w:val="26"/>
        </w:rPr>
        <w:t xml:space="preserve">, </w:t>
      </w:r>
      <w:r w:rsidRPr="002640BC">
        <w:rPr>
          <w:sz w:val="26"/>
          <w:szCs w:val="26"/>
        </w:rPr>
        <w:t xml:space="preserve">52 Pa. Code </w:t>
      </w:r>
    </w:p>
    <w:p w14:paraId="0E757498" w14:textId="122D9ACE" w:rsidR="002640BC" w:rsidRPr="002640BC" w:rsidRDefault="002640BC" w:rsidP="005F7159">
      <w:pPr>
        <w:spacing w:line="360" w:lineRule="auto"/>
        <w:rPr>
          <w:sz w:val="26"/>
          <w:szCs w:val="26"/>
        </w:rPr>
      </w:pPr>
      <w:r w:rsidRPr="002640BC">
        <w:rPr>
          <w:sz w:val="26"/>
          <w:szCs w:val="26"/>
        </w:rPr>
        <w:t>§ 56.14</w:t>
      </w:r>
      <w:r>
        <w:rPr>
          <w:sz w:val="26"/>
          <w:szCs w:val="26"/>
        </w:rPr>
        <w:t>,</w:t>
      </w:r>
      <w:r w:rsidRPr="002640BC">
        <w:rPr>
          <w:sz w:val="26"/>
          <w:szCs w:val="26"/>
        </w:rPr>
        <w:t xml:space="preserve"> to explain the bill and to make a reasonable attempt to amortize the bill.  </w:t>
      </w:r>
      <w:r>
        <w:rPr>
          <w:sz w:val="26"/>
          <w:szCs w:val="26"/>
        </w:rPr>
        <w:t xml:space="preserve">However, </w:t>
      </w:r>
      <w:r w:rsidRPr="002640BC">
        <w:rPr>
          <w:color w:val="000000"/>
          <w:sz w:val="26"/>
          <w:szCs w:val="26"/>
        </w:rPr>
        <w:t>Section 56.14, does not apply when the previously unbilled service is due to fraud or theft of service.</w:t>
      </w:r>
      <w:r w:rsidRPr="002640BC">
        <w:rPr>
          <w:color w:val="000000"/>
          <w:sz w:val="26"/>
          <w:szCs w:val="26"/>
          <w:vertAlign w:val="superscript"/>
        </w:rPr>
        <w:footnoteReference w:id="7"/>
      </w:r>
      <w:r w:rsidRPr="002640BC">
        <w:rPr>
          <w:color w:val="000000"/>
          <w:sz w:val="26"/>
          <w:szCs w:val="26"/>
        </w:rPr>
        <w:t xml:space="preserve">  Consequently, PGW is not obligated under Section 56.14 to make a reasonable attempt to amortize the back bill here.</w:t>
      </w:r>
    </w:p>
    <w:p w14:paraId="4B069BB2" w14:textId="77777777" w:rsidR="002640BC" w:rsidRPr="002640BC" w:rsidRDefault="002640BC" w:rsidP="002640BC">
      <w:pPr>
        <w:spacing w:line="360" w:lineRule="auto"/>
        <w:ind w:firstLine="720"/>
        <w:rPr>
          <w:sz w:val="26"/>
          <w:szCs w:val="26"/>
        </w:rPr>
      </w:pPr>
    </w:p>
    <w:p w14:paraId="578FE982" w14:textId="76CF029D" w:rsidR="002640BC" w:rsidRPr="002640BC" w:rsidRDefault="002640BC" w:rsidP="002640BC">
      <w:pPr>
        <w:spacing w:line="360" w:lineRule="auto"/>
        <w:ind w:firstLine="1440"/>
        <w:rPr>
          <w:sz w:val="26"/>
          <w:szCs w:val="26"/>
        </w:rPr>
      </w:pPr>
      <w:r w:rsidRPr="002640BC">
        <w:rPr>
          <w:sz w:val="26"/>
          <w:szCs w:val="26"/>
        </w:rPr>
        <w:t xml:space="preserve">Also, the facts in this case do not support a Commission-ordered payment arrangement.  The record indicates that the Complainant resided at the service location from 1988 until 2009.  Tr. </w:t>
      </w:r>
      <w:r>
        <w:rPr>
          <w:sz w:val="26"/>
          <w:szCs w:val="26"/>
        </w:rPr>
        <w:t xml:space="preserve">at </w:t>
      </w:r>
      <w:r w:rsidRPr="002640BC">
        <w:rPr>
          <w:sz w:val="26"/>
          <w:szCs w:val="26"/>
        </w:rPr>
        <w:t xml:space="preserve">10-11.  The record also indicates that PGW has no way of knowing when the theft of service actually began in this case.  Tr. </w:t>
      </w:r>
      <w:r w:rsidR="00783363">
        <w:rPr>
          <w:sz w:val="26"/>
          <w:szCs w:val="26"/>
        </w:rPr>
        <w:t xml:space="preserve">at </w:t>
      </w:r>
      <w:r w:rsidRPr="002640BC">
        <w:rPr>
          <w:sz w:val="26"/>
          <w:szCs w:val="26"/>
        </w:rPr>
        <w:t xml:space="preserve">63.  However, when asked whether the service location used gas service for the entire time that he has owned the property, the Complainant testified that it did.  This would include gas usage after service was disconnected in May 2002.  Tr. </w:t>
      </w:r>
      <w:r w:rsidR="00783363">
        <w:rPr>
          <w:sz w:val="26"/>
          <w:szCs w:val="26"/>
        </w:rPr>
        <w:t xml:space="preserve">at </w:t>
      </w:r>
      <w:r w:rsidRPr="002640BC">
        <w:rPr>
          <w:sz w:val="26"/>
          <w:szCs w:val="26"/>
        </w:rPr>
        <w:t xml:space="preserve">10.    </w:t>
      </w:r>
    </w:p>
    <w:p w14:paraId="46FE0501" w14:textId="77777777" w:rsidR="002640BC" w:rsidRPr="002640BC" w:rsidRDefault="002640BC" w:rsidP="002640BC">
      <w:pPr>
        <w:spacing w:line="360" w:lineRule="auto"/>
        <w:ind w:firstLine="720"/>
        <w:rPr>
          <w:sz w:val="26"/>
          <w:szCs w:val="26"/>
        </w:rPr>
      </w:pPr>
    </w:p>
    <w:p w14:paraId="1A12DCF8" w14:textId="51C15BA2" w:rsidR="002640BC" w:rsidRPr="002640BC" w:rsidRDefault="002640BC" w:rsidP="00783363">
      <w:pPr>
        <w:spacing w:line="360" w:lineRule="auto"/>
        <w:ind w:firstLine="1395"/>
        <w:rPr>
          <w:sz w:val="26"/>
          <w:szCs w:val="26"/>
        </w:rPr>
      </w:pPr>
      <w:r w:rsidRPr="002640BC">
        <w:rPr>
          <w:sz w:val="26"/>
          <w:szCs w:val="26"/>
        </w:rPr>
        <w:t xml:space="preserve">Meanwhile, other testimony from the Complainant asks us to believe that he lived at the service location without gas service from May 2002 until the summer of 2009, even though the house heater, hot water heater, and stove were all gas appliances.  Tr. </w:t>
      </w:r>
      <w:r w:rsidR="00783363">
        <w:rPr>
          <w:sz w:val="26"/>
          <w:szCs w:val="26"/>
        </w:rPr>
        <w:t xml:space="preserve">at </w:t>
      </w:r>
      <w:r w:rsidRPr="002640BC">
        <w:rPr>
          <w:sz w:val="26"/>
          <w:szCs w:val="26"/>
        </w:rPr>
        <w:t xml:space="preserve">16-17, 42.  Yet, the Complainant did not present any evidence showing how he managed to live at the premises for seven years without operational gas appliances.  </w:t>
      </w:r>
      <w:r w:rsidRPr="002640BC">
        <w:rPr>
          <w:sz w:val="26"/>
          <w:szCs w:val="26"/>
        </w:rPr>
        <w:lastRenderedPageBreak/>
        <w:t xml:space="preserve">Thus, </w:t>
      </w:r>
      <w:r w:rsidR="00783363">
        <w:rPr>
          <w:sz w:val="26"/>
          <w:szCs w:val="26"/>
        </w:rPr>
        <w:t xml:space="preserve">we </w:t>
      </w:r>
      <w:r w:rsidRPr="002640BC">
        <w:rPr>
          <w:sz w:val="26"/>
          <w:szCs w:val="26"/>
        </w:rPr>
        <w:t xml:space="preserve">do not find it credible that the Complainant lived at the service location for seven years without gas service, and </w:t>
      </w:r>
      <w:r w:rsidR="00783363">
        <w:rPr>
          <w:sz w:val="26"/>
          <w:szCs w:val="26"/>
        </w:rPr>
        <w:t xml:space="preserve">we </w:t>
      </w:r>
      <w:r w:rsidRPr="002640BC">
        <w:rPr>
          <w:sz w:val="26"/>
          <w:szCs w:val="26"/>
        </w:rPr>
        <w:t>believe it is reasonable to conclude that the meter bypass was installed at some point after May 2002</w:t>
      </w:r>
      <w:r w:rsidR="00783363">
        <w:rPr>
          <w:sz w:val="26"/>
          <w:szCs w:val="26"/>
        </w:rPr>
        <w:t>,</w:t>
      </w:r>
      <w:r w:rsidRPr="002640BC">
        <w:rPr>
          <w:sz w:val="26"/>
          <w:szCs w:val="26"/>
        </w:rPr>
        <w:t xml:space="preserve"> while the Complainant resided at the premises.  </w:t>
      </w:r>
    </w:p>
    <w:p w14:paraId="60B3D542" w14:textId="77777777" w:rsidR="002640BC" w:rsidRPr="002640BC" w:rsidRDefault="002640BC" w:rsidP="002640BC">
      <w:pPr>
        <w:spacing w:line="360" w:lineRule="auto"/>
        <w:rPr>
          <w:sz w:val="26"/>
          <w:szCs w:val="26"/>
        </w:rPr>
      </w:pPr>
    </w:p>
    <w:p w14:paraId="6E092389" w14:textId="2886BFDF" w:rsidR="002640BC" w:rsidRPr="002640BC" w:rsidRDefault="002640BC" w:rsidP="00783363">
      <w:pPr>
        <w:spacing w:line="360" w:lineRule="auto"/>
        <w:ind w:firstLine="1440"/>
        <w:rPr>
          <w:sz w:val="26"/>
          <w:szCs w:val="26"/>
        </w:rPr>
      </w:pPr>
      <w:r w:rsidRPr="002640BC">
        <w:rPr>
          <w:sz w:val="26"/>
          <w:szCs w:val="26"/>
        </w:rPr>
        <w:t xml:space="preserve">For these reasons, </w:t>
      </w:r>
      <w:r w:rsidR="00783363">
        <w:rPr>
          <w:sz w:val="26"/>
          <w:szCs w:val="26"/>
        </w:rPr>
        <w:t>we</w:t>
      </w:r>
      <w:r w:rsidRPr="002640BC">
        <w:rPr>
          <w:sz w:val="26"/>
          <w:szCs w:val="26"/>
        </w:rPr>
        <w:t xml:space="preserve"> believe the Complainant is responsible for the $5,541.01 back billed amount,</w:t>
      </w:r>
      <w:r w:rsidRPr="002640BC">
        <w:rPr>
          <w:sz w:val="26"/>
          <w:szCs w:val="26"/>
          <w:vertAlign w:val="superscript"/>
        </w:rPr>
        <w:footnoteReference w:id="8"/>
      </w:r>
      <w:r w:rsidRPr="002640BC">
        <w:rPr>
          <w:sz w:val="26"/>
          <w:szCs w:val="26"/>
        </w:rPr>
        <w:t xml:space="preserve"> should not receive a Commission-ordered payment arrangement for the back billed amount, and is required to pay the full </w:t>
      </w:r>
      <w:r w:rsidR="005F7159">
        <w:rPr>
          <w:sz w:val="26"/>
          <w:szCs w:val="26"/>
        </w:rPr>
        <w:t>back-</w:t>
      </w:r>
      <w:r w:rsidRPr="002640BC">
        <w:rPr>
          <w:sz w:val="26"/>
          <w:szCs w:val="26"/>
        </w:rPr>
        <w:t>billed</w:t>
      </w:r>
      <w:r w:rsidR="005F7159">
        <w:rPr>
          <w:sz w:val="26"/>
          <w:szCs w:val="26"/>
        </w:rPr>
        <w:t xml:space="preserve"> amount, plus the service restoration fee of $123.23, </w:t>
      </w:r>
      <w:r w:rsidRPr="002640BC">
        <w:rPr>
          <w:sz w:val="26"/>
          <w:szCs w:val="26"/>
        </w:rPr>
        <w:t xml:space="preserve">prior to restoration of gas service at the </w:t>
      </w:r>
      <w:r w:rsidR="005F7159">
        <w:rPr>
          <w:sz w:val="26"/>
          <w:szCs w:val="26"/>
        </w:rPr>
        <w:t>premises</w:t>
      </w:r>
      <w:r w:rsidRPr="002640BC">
        <w:rPr>
          <w:sz w:val="26"/>
          <w:szCs w:val="26"/>
        </w:rPr>
        <w:t xml:space="preserve">.  To do otherwise sends the wrong message to all other law abiding ratepayers that those who willfully misuse utility service can receive the benefit of a delayed repayment period at no interest to repay a debt arising from the misuse of service.  </w:t>
      </w:r>
    </w:p>
    <w:p w14:paraId="7865F182" w14:textId="77777777" w:rsidR="00EF35AA" w:rsidRPr="002640BC" w:rsidRDefault="00EF35AA" w:rsidP="00E25E67">
      <w:pPr>
        <w:spacing w:line="360" w:lineRule="auto"/>
        <w:rPr>
          <w:sz w:val="26"/>
          <w:szCs w:val="26"/>
        </w:rPr>
      </w:pPr>
    </w:p>
    <w:p w14:paraId="6A9B78B2" w14:textId="77777777" w:rsidR="00956972" w:rsidRPr="008618EB" w:rsidRDefault="00956972" w:rsidP="00B53E54">
      <w:pPr>
        <w:keepNext/>
        <w:spacing w:line="360" w:lineRule="auto"/>
        <w:jc w:val="center"/>
        <w:rPr>
          <w:b/>
          <w:sz w:val="26"/>
          <w:szCs w:val="26"/>
        </w:rPr>
      </w:pPr>
      <w:r w:rsidRPr="008618EB">
        <w:rPr>
          <w:b/>
          <w:sz w:val="26"/>
          <w:szCs w:val="26"/>
        </w:rPr>
        <w:t>Conclusion</w:t>
      </w:r>
    </w:p>
    <w:p w14:paraId="6972294A" w14:textId="77777777" w:rsidR="006C56A5" w:rsidRPr="008618EB" w:rsidRDefault="006C56A5" w:rsidP="00B53E54">
      <w:pPr>
        <w:keepNext/>
        <w:spacing w:line="360" w:lineRule="auto"/>
        <w:rPr>
          <w:sz w:val="26"/>
          <w:szCs w:val="26"/>
        </w:rPr>
      </w:pPr>
    </w:p>
    <w:p w14:paraId="5BA6F9E9" w14:textId="4BE68EC5" w:rsidR="00956972" w:rsidRPr="008618EB" w:rsidRDefault="006C56A5" w:rsidP="007E3501">
      <w:pPr>
        <w:spacing w:line="360" w:lineRule="auto"/>
        <w:rPr>
          <w:sz w:val="26"/>
          <w:szCs w:val="26"/>
        </w:rPr>
      </w:pPr>
      <w:r w:rsidRPr="008618EB">
        <w:rPr>
          <w:sz w:val="26"/>
          <w:szCs w:val="26"/>
        </w:rPr>
        <w:tab/>
      </w:r>
      <w:r w:rsidRPr="008618EB">
        <w:rPr>
          <w:sz w:val="26"/>
          <w:szCs w:val="26"/>
        </w:rPr>
        <w:tab/>
      </w:r>
      <w:r w:rsidR="0023377F" w:rsidRPr="008618EB">
        <w:rPr>
          <w:sz w:val="26"/>
          <w:szCs w:val="26"/>
        </w:rPr>
        <w:t xml:space="preserve">Based on our review of the </w:t>
      </w:r>
      <w:r w:rsidR="003928E1" w:rsidRPr="008618EB">
        <w:rPr>
          <w:sz w:val="26"/>
          <w:szCs w:val="26"/>
        </w:rPr>
        <w:t>ALJ’s Initial Decision</w:t>
      </w:r>
      <w:r w:rsidR="00700917">
        <w:rPr>
          <w:sz w:val="26"/>
          <w:szCs w:val="26"/>
        </w:rPr>
        <w:t>, the pleadings,</w:t>
      </w:r>
      <w:r w:rsidR="003928E1" w:rsidRPr="008618EB">
        <w:rPr>
          <w:sz w:val="26"/>
          <w:szCs w:val="26"/>
        </w:rPr>
        <w:t xml:space="preserve"> </w:t>
      </w:r>
      <w:r w:rsidR="0023377F" w:rsidRPr="008618EB">
        <w:rPr>
          <w:sz w:val="26"/>
          <w:szCs w:val="26"/>
        </w:rPr>
        <w:t>and the applicable</w:t>
      </w:r>
      <w:r w:rsidR="003928E1" w:rsidRPr="008618EB">
        <w:rPr>
          <w:sz w:val="26"/>
          <w:szCs w:val="26"/>
        </w:rPr>
        <w:t xml:space="preserve"> </w:t>
      </w:r>
      <w:r w:rsidR="0023377F" w:rsidRPr="008618EB">
        <w:rPr>
          <w:sz w:val="26"/>
          <w:szCs w:val="26"/>
        </w:rPr>
        <w:t>law,</w:t>
      </w:r>
      <w:r w:rsidR="00474DBB" w:rsidRPr="008618EB">
        <w:rPr>
          <w:sz w:val="26"/>
          <w:szCs w:val="26"/>
        </w:rPr>
        <w:t xml:space="preserve"> </w:t>
      </w:r>
      <w:r w:rsidR="00FD497B" w:rsidRPr="008618EB">
        <w:rPr>
          <w:sz w:val="26"/>
          <w:szCs w:val="26"/>
        </w:rPr>
        <w:t>w</w:t>
      </w:r>
      <w:r w:rsidR="00B265B1" w:rsidRPr="008618EB">
        <w:rPr>
          <w:sz w:val="26"/>
          <w:szCs w:val="26"/>
        </w:rPr>
        <w:t xml:space="preserve">e </w:t>
      </w:r>
      <w:r w:rsidR="00502D50" w:rsidRPr="008618EB">
        <w:rPr>
          <w:sz w:val="26"/>
          <w:szCs w:val="26"/>
        </w:rPr>
        <w:t>shall</w:t>
      </w:r>
      <w:r w:rsidR="0019318F" w:rsidRPr="008618EB">
        <w:rPr>
          <w:sz w:val="26"/>
          <w:szCs w:val="26"/>
        </w:rPr>
        <w:t xml:space="preserve"> </w:t>
      </w:r>
      <w:r w:rsidR="00564D12">
        <w:rPr>
          <w:sz w:val="26"/>
          <w:szCs w:val="26"/>
        </w:rPr>
        <w:t xml:space="preserve">modify </w:t>
      </w:r>
      <w:r w:rsidR="006652C6" w:rsidRPr="008618EB">
        <w:rPr>
          <w:sz w:val="26"/>
          <w:szCs w:val="26"/>
        </w:rPr>
        <w:t>the A</w:t>
      </w:r>
      <w:r w:rsidR="0023377F" w:rsidRPr="008618EB">
        <w:rPr>
          <w:sz w:val="26"/>
          <w:szCs w:val="26"/>
        </w:rPr>
        <w:t>LJ’s Initial Decision</w:t>
      </w:r>
      <w:r w:rsidR="00D9737F">
        <w:rPr>
          <w:sz w:val="26"/>
          <w:szCs w:val="26"/>
        </w:rPr>
        <w:t xml:space="preserve">, </w:t>
      </w:r>
      <w:r w:rsidR="006652C6" w:rsidRPr="008618EB">
        <w:rPr>
          <w:sz w:val="26"/>
          <w:szCs w:val="26"/>
        </w:rPr>
        <w:t>consistent with</w:t>
      </w:r>
      <w:r w:rsidR="007473AC" w:rsidRPr="008618EB">
        <w:rPr>
          <w:sz w:val="26"/>
          <w:szCs w:val="26"/>
        </w:rPr>
        <w:t xml:space="preserve"> </w:t>
      </w:r>
      <w:r w:rsidR="0019251E" w:rsidRPr="008618EB">
        <w:rPr>
          <w:sz w:val="26"/>
          <w:szCs w:val="26"/>
        </w:rPr>
        <w:t>this Opinion and Order</w:t>
      </w:r>
      <w:r w:rsidR="00905434" w:rsidRPr="008618EB">
        <w:rPr>
          <w:sz w:val="26"/>
          <w:szCs w:val="26"/>
        </w:rPr>
        <w:t>;</w:t>
      </w:r>
      <w:r w:rsidR="00956972" w:rsidRPr="008618EB">
        <w:rPr>
          <w:sz w:val="26"/>
          <w:szCs w:val="26"/>
        </w:rPr>
        <w:t xml:space="preserve"> </w:t>
      </w:r>
      <w:r w:rsidR="00956972" w:rsidRPr="008618EB">
        <w:rPr>
          <w:b/>
          <w:sz w:val="26"/>
          <w:szCs w:val="26"/>
        </w:rPr>
        <w:t>THEREFORE,</w:t>
      </w:r>
      <w:r w:rsidR="00956972" w:rsidRPr="008618EB">
        <w:rPr>
          <w:sz w:val="26"/>
          <w:szCs w:val="26"/>
        </w:rPr>
        <w:t xml:space="preserve"> </w:t>
      </w:r>
    </w:p>
    <w:p w14:paraId="75A8372A" w14:textId="77777777" w:rsidR="001546D8" w:rsidRDefault="001546D8" w:rsidP="001A1AD3">
      <w:pPr>
        <w:spacing w:line="360" w:lineRule="auto"/>
        <w:rPr>
          <w:sz w:val="26"/>
          <w:szCs w:val="26"/>
        </w:rPr>
      </w:pPr>
    </w:p>
    <w:p w14:paraId="41C83EFD" w14:textId="77777777" w:rsidR="005E12DC" w:rsidRDefault="00934A5A" w:rsidP="001A1AD3">
      <w:pPr>
        <w:spacing w:line="360" w:lineRule="auto"/>
        <w:rPr>
          <w:b/>
          <w:sz w:val="26"/>
          <w:szCs w:val="26"/>
        </w:rPr>
      </w:pPr>
      <w:r>
        <w:rPr>
          <w:b/>
          <w:sz w:val="26"/>
          <w:szCs w:val="26"/>
        </w:rPr>
        <w:tab/>
      </w:r>
      <w:r>
        <w:rPr>
          <w:b/>
          <w:sz w:val="26"/>
          <w:szCs w:val="26"/>
        </w:rPr>
        <w:tab/>
      </w:r>
    </w:p>
    <w:p w14:paraId="187CB952" w14:textId="785F66B1" w:rsidR="001A1AD3" w:rsidRPr="007A3463" w:rsidRDefault="005E12DC" w:rsidP="005E12DC">
      <w:pPr>
        <w:ind w:left="720" w:firstLine="720"/>
        <w:rPr>
          <w:b/>
          <w:sz w:val="26"/>
          <w:szCs w:val="26"/>
        </w:rPr>
      </w:pPr>
      <w:r>
        <w:rPr>
          <w:b/>
          <w:sz w:val="26"/>
          <w:szCs w:val="26"/>
        </w:rPr>
        <w:br w:type="page"/>
      </w:r>
      <w:r w:rsidR="001A1AD3" w:rsidRPr="007A3463">
        <w:rPr>
          <w:b/>
          <w:sz w:val="26"/>
          <w:szCs w:val="26"/>
        </w:rPr>
        <w:lastRenderedPageBreak/>
        <w:t>IT IS ORDERED:</w:t>
      </w:r>
    </w:p>
    <w:p w14:paraId="03DE4227" w14:textId="77777777" w:rsidR="001A1AD3" w:rsidRPr="007A3463" w:rsidRDefault="001A1AD3" w:rsidP="001A1AD3">
      <w:pPr>
        <w:spacing w:line="360" w:lineRule="auto"/>
        <w:rPr>
          <w:sz w:val="26"/>
          <w:szCs w:val="26"/>
        </w:rPr>
      </w:pPr>
    </w:p>
    <w:p w14:paraId="009C90F6" w14:textId="699AD748" w:rsidR="00F97807" w:rsidRDefault="001A1AD3" w:rsidP="00F97807">
      <w:pPr>
        <w:spacing w:line="360" w:lineRule="auto"/>
        <w:rPr>
          <w:sz w:val="26"/>
          <w:szCs w:val="26"/>
        </w:rPr>
      </w:pPr>
      <w:r w:rsidRPr="007A3463">
        <w:rPr>
          <w:sz w:val="26"/>
          <w:szCs w:val="26"/>
        </w:rPr>
        <w:tab/>
      </w:r>
      <w:r w:rsidRPr="007A3463">
        <w:rPr>
          <w:sz w:val="26"/>
          <w:szCs w:val="26"/>
        </w:rPr>
        <w:tab/>
      </w:r>
      <w:r w:rsidR="0019251E" w:rsidRPr="007A3463">
        <w:rPr>
          <w:sz w:val="26"/>
          <w:szCs w:val="26"/>
        </w:rPr>
        <w:t>1</w:t>
      </w:r>
      <w:r w:rsidR="00431F78" w:rsidRPr="007A3463">
        <w:rPr>
          <w:sz w:val="26"/>
          <w:szCs w:val="26"/>
        </w:rPr>
        <w:t>.</w:t>
      </w:r>
      <w:r w:rsidR="00431F78" w:rsidRPr="007A3463">
        <w:rPr>
          <w:b/>
          <w:sz w:val="26"/>
          <w:szCs w:val="26"/>
        </w:rPr>
        <w:tab/>
      </w:r>
      <w:r w:rsidR="00431F78" w:rsidRPr="007A3463">
        <w:rPr>
          <w:sz w:val="26"/>
          <w:szCs w:val="26"/>
        </w:rPr>
        <w:t xml:space="preserve">That the </w:t>
      </w:r>
      <w:r w:rsidR="00527A20" w:rsidRPr="007A3463">
        <w:rPr>
          <w:sz w:val="26"/>
          <w:szCs w:val="26"/>
        </w:rPr>
        <w:t xml:space="preserve">Initial Decision of </w:t>
      </w:r>
      <w:r w:rsidR="00DA4329" w:rsidRPr="0045502C">
        <w:rPr>
          <w:sz w:val="26"/>
          <w:szCs w:val="26"/>
        </w:rPr>
        <w:t xml:space="preserve">Administrative Law Judge </w:t>
      </w:r>
      <w:r w:rsidR="00DA4329">
        <w:rPr>
          <w:sz w:val="26"/>
          <w:szCs w:val="26"/>
        </w:rPr>
        <w:t>Angela T. Jones</w:t>
      </w:r>
      <w:r w:rsidR="00DA4329" w:rsidRPr="0045502C">
        <w:rPr>
          <w:sz w:val="26"/>
          <w:szCs w:val="26"/>
        </w:rPr>
        <w:t xml:space="preserve">, issued on </w:t>
      </w:r>
      <w:r w:rsidR="00DA4329">
        <w:rPr>
          <w:sz w:val="26"/>
          <w:szCs w:val="26"/>
        </w:rPr>
        <w:t>February 6, 2015</w:t>
      </w:r>
      <w:r w:rsidR="006652C6" w:rsidRPr="007A3463">
        <w:rPr>
          <w:sz w:val="26"/>
          <w:szCs w:val="26"/>
        </w:rPr>
        <w:t>,</w:t>
      </w:r>
      <w:r w:rsidR="008E45DB" w:rsidRPr="007A3463">
        <w:rPr>
          <w:sz w:val="26"/>
          <w:szCs w:val="26"/>
        </w:rPr>
        <w:t xml:space="preserve"> </w:t>
      </w:r>
      <w:r w:rsidR="005154BC" w:rsidRPr="007A3463">
        <w:rPr>
          <w:sz w:val="26"/>
          <w:szCs w:val="26"/>
        </w:rPr>
        <w:t xml:space="preserve">is </w:t>
      </w:r>
      <w:r w:rsidR="00564D12">
        <w:rPr>
          <w:sz w:val="26"/>
          <w:szCs w:val="26"/>
        </w:rPr>
        <w:t>modified, consistent with this Opinion and Order.</w:t>
      </w:r>
    </w:p>
    <w:p w14:paraId="1171E917" w14:textId="77777777" w:rsidR="008618EB" w:rsidRDefault="008618EB" w:rsidP="00F97807">
      <w:pPr>
        <w:spacing w:line="360" w:lineRule="auto"/>
        <w:rPr>
          <w:sz w:val="26"/>
          <w:szCs w:val="26"/>
        </w:rPr>
      </w:pPr>
    </w:p>
    <w:p w14:paraId="03B477D5" w14:textId="7602AD89" w:rsidR="00287EE2" w:rsidRDefault="008618EB">
      <w:pPr>
        <w:spacing w:line="360" w:lineRule="auto"/>
        <w:rPr>
          <w:sz w:val="26"/>
          <w:szCs w:val="26"/>
        </w:rPr>
      </w:pPr>
      <w:r>
        <w:rPr>
          <w:sz w:val="26"/>
          <w:szCs w:val="26"/>
        </w:rPr>
        <w:tab/>
      </w:r>
      <w:r>
        <w:rPr>
          <w:sz w:val="26"/>
          <w:szCs w:val="26"/>
        </w:rPr>
        <w:tab/>
        <w:t>2.</w:t>
      </w:r>
      <w:r>
        <w:rPr>
          <w:sz w:val="26"/>
          <w:szCs w:val="26"/>
        </w:rPr>
        <w:tab/>
      </w:r>
      <w:r w:rsidR="00287EE2">
        <w:rPr>
          <w:sz w:val="26"/>
          <w:szCs w:val="26"/>
        </w:rPr>
        <w:t xml:space="preserve">That the </w:t>
      </w:r>
      <w:r w:rsidR="004D2B3C">
        <w:rPr>
          <w:sz w:val="26"/>
          <w:szCs w:val="26"/>
        </w:rPr>
        <w:t xml:space="preserve">Formal </w:t>
      </w:r>
      <w:r w:rsidR="00287EE2">
        <w:rPr>
          <w:sz w:val="26"/>
          <w:szCs w:val="26"/>
        </w:rPr>
        <w:t xml:space="preserve">Complaint filed by </w:t>
      </w:r>
      <w:r w:rsidR="00DA4329">
        <w:rPr>
          <w:sz w:val="26"/>
          <w:szCs w:val="26"/>
        </w:rPr>
        <w:t>Darnell Fassett</w:t>
      </w:r>
      <w:r w:rsidR="00DA4329" w:rsidRPr="0045502C">
        <w:rPr>
          <w:sz w:val="26"/>
          <w:szCs w:val="26"/>
        </w:rPr>
        <w:t xml:space="preserve"> </w:t>
      </w:r>
      <w:r w:rsidR="00287EE2">
        <w:rPr>
          <w:sz w:val="26"/>
          <w:szCs w:val="26"/>
        </w:rPr>
        <w:t xml:space="preserve">against </w:t>
      </w:r>
      <w:r w:rsidR="00DA4329">
        <w:rPr>
          <w:sz w:val="26"/>
          <w:szCs w:val="26"/>
        </w:rPr>
        <w:t>Philadelphia Gas Works is</w:t>
      </w:r>
      <w:r w:rsidR="004D2B3C">
        <w:rPr>
          <w:sz w:val="26"/>
          <w:szCs w:val="26"/>
        </w:rPr>
        <w:t xml:space="preserve"> </w:t>
      </w:r>
      <w:r w:rsidR="00287EE2">
        <w:rPr>
          <w:sz w:val="26"/>
          <w:szCs w:val="26"/>
        </w:rPr>
        <w:t>dismissed.</w:t>
      </w:r>
    </w:p>
    <w:p w14:paraId="6AD356D1" w14:textId="77777777" w:rsidR="00287EE2" w:rsidRDefault="00287EE2">
      <w:pPr>
        <w:spacing w:line="360" w:lineRule="auto"/>
        <w:rPr>
          <w:sz w:val="26"/>
          <w:szCs w:val="26"/>
        </w:rPr>
      </w:pPr>
    </w:p>
    <w:p w14:paraId="21A1A0F9" w14:textId="7394C5A8" w:rsidR="004D2B3C" w:rsidRPr="004D2B3C" w:rsidRDefault="004D2B3C" w:rsidP="00DA4329">
      <w:pPr>
        <w:widowControl w:val="0"/>
        <w:spacing w:line="360" w:lineRule="auto"/>
        <w:ind w:firstLine="1440"/>
        <w:rPr>
          <w:sz w:val="26"/>
          <w:szCs w:val="26"/>
        </w:rPr>
      </w:pPr>
      <w:r>
        <w:rPr>
          <w:sz w:val="26"/>
          <w:szCs w:val="26"/>
        </w:rPr>
        <w:t>3</w:t>
      </w:r>
      <w:r w:rsidR="00287EE2">
        <w:rPr>
          <w:sz w:val="26"/>
          <w:szCs w:val="26"/>
        </w:rPr>
        <w:t>.</w:t>
      </w:r>
      <w:r w:rsidR="00287EE2">
        <w:rPr>
          <w:sz w:val="26"/>
          <w:szCs w:val="26"/>
        </w:rPr>
        <w:tab/>
      </w:r>
      <w:r w:rsidRPr="004D2B3C">
        <w:rPr>
          <w:sz w:val="26"/>
          <w:szCs w:val="26"/>
        </w:rPr>
        <w:t xml:space="preserve"> </w:t>
      </w:r>
      <w:r w:rsidR="00231600">
        <w:rPr>
          <w:sz w:val="26"/>
          <w:szCs w:val="26"/>
        </w:rPr>
        <w:t xml:space="preserve">That the proceeding docketed at F-2014-2408541 shall be marked closed. </w:t>
      </w:r>
    </w:p>
    <w:p w14:paraId="1B63CA37" w14:textId="4FF46C4D" w:rsidR="00F22792" w:rsidRPr="007A3463" w:rsidRDefault="00F22792" w:rsidP="004D2B3C">
      <w:pPr>
        <w:spacing w:line="360" w:lineRule="auto"/>
        <w:ind w:firstLine="1440"/>
        <w:rPr>
          <w:sz w:val="26"/>
          <w:szCs w:val="26"/>
        </w:rPr>
      </w:pPr>
    </w:p>
    <w:p w14:paraId="5E516A88" w14:textId="683BEC29" w:rsidR="00503B2F" w:rsidRPr="007A3463" w:rsidRDefault="009C2357" w:rsidP="00E25E67">
      <w:pPr>
        <w:keepNext/>
        <w:spacing w:line="360" w:lineRule="auto"/>
        <w:rPr>
          <w:sz w:val="26"/>
        </w:rPr>
      </w:pPr>
      <w:bookmarkStart w:id="0" w:name="_GoBack"/>
      <w:r>
        <w:rPr>
          <w:noProof/>
        </w:rPr>
        <w:drawing>
          <wp:anchor distT="0" distB="0" distL="114300" distR="114300" simplePos="0" relativeHeight="251659264" behindDoc="1" locked="0" layoutInCell="1" allowOverlap="1" wp14:anchorId="1BA51D7A" wp14:editId="5DDFDBC7">
            <wp:simplePos x="0" y="0"/>
            <wp:positionH relativeFrom="column">
              <wp:posOffset>3152775</wp:posOffset>
            </wp:positionH>
            <wp:positionV relativeFrom="paragraph">
              <wp:posOffset>140970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2E7206" w:rsidRPr="007A3463">
        <w:rPr>
          <w:sz w:val="26"/>
          <w:szCs w:val="26"/>
        </w:rPr>
        <w:tab/>
      </w:r>
      <w:r w:rsidR="002E7206" w:rsidRPr="007A3463">
        <w:rPr>
          <w:sz w:val="26"/>
          <w:szCs w:val="26"/>
        </w:rPr>
        <w:tab/>
      </w:r>
      <w:r w:rsidR="001A1AD3" w:rsidRPr="007A3463">
        <w:rPr>
          <w:sz w:val="26"/>
          <w:szCs w:val="26"/>
        </w:rPr>
        <w:tab/>
      </w:r>
      <w:r w:rsidR="001A1AD3" w:rsidRPr="007A3463">
        <w:rPr>
          <w:sz w:val="26"/>
          <w:szCs w:val="26"/>
        </w:rPr>
        <w:tab/>
      </w:r>
      <w:r w:rsidR="0019251E" w:rsidRPr="007A3463">
        <w:rPr>
          <w:sz w:val="26"/>
          <w:szCs w:val="26"/>
        </w:rPr>
        <w:tab/>
      </w:r>
      <w:r w:rsidR="001A1AD3" w:rsidRPr="007A3463">
        <w:rPr>
          <w:sz w:val="26"/>
          <w:szCs w:val="26"/>
        </w:rPr>
        <w:tab/>
      </w:r>
      <w:r w:rsidR="001A1AD3" w:rsidRPr="007A3463">
        <w:rPr>
          <w:sz w:val="26"/>
          <w:szCs w:val="26"/>
        </w:rPr>
        <w:tab/>
      </w:r>
      <w:r w:rsidR="00503B2F" w:rsidRPr="007A3463">
        <w:rPr>
          <w:b/>
          <w:sz w:val="26"/>
        </w:rPr>
        <w:t>BY THE COMMISSION,</w:t>
      </w:r>
    </w:p>
    <w:p w14:paraId="7470D957" w14:textId="3D0AF3E8" w:rsidR="00503B2F" w:rsidRPr="007A3463" w:rsidRDefault="00503B2F" w:rsidP="00E25E67">
      <w:pPr>
        <w:keepNext/>
        <w:tabs>
          <w:tab w:val="left" w:pos="-720"/>
        </w:tabs>
        <w:suppressAutoHyphens/>
        <w:rPr>
          <w:sz w:val="26"/>
        </w:rPr>
      </w:pPr>
    </w:p>
    <w:p w14:paraId="473D7458" w14:textId="21F17B1D" w:rsidR="009C2357" w:rsidRDefault="009C2357"/>
    <w:p w14:paraId="284EDB10" w14:textId="77777777" w:rsidR="00503B2F" w:rsidRPr="007A3463" w:rsidRDefault="00503B2F" w:rsidP="00E25E67">
      <w:pPr>
        <w:keepNext/>
        <w:tabs>
          <w:tab w:val="left" w:pos="-720"/>
        </w:tabs>
        <w:suppressAutoHyphens/>
        <w:rPr>
          <w:sz w:val="26"/>
        </w:rPr>
      </w:pPr>
    </w:p>
    <w:p w14:paraId="7436C369" w14:textId="77777777" w:rsidR="00503B2F" w:rsidRPr="007A3463" w:rsidRDefault="00503B2F" w:rsidP="00E25E67">
      <w:pPr>
        <w:keepNext/>
        <w:tabs>
          <w:tab w:val="left" w:pos="-720"/>
        </w:tabs>
        <w:suppressAutoHyphens/>
        <w:rPr>
          <w:sz w:val="26"/>
        </w:rPr>
      </w:pPr>
    </w:p>
    <w:p w14:paraId="73F381BC" w14:textId="77777777" w:rsidR="00503B2F" w:rsidRPr="007A3463" w:rsidRDefault="00503B2F" w:rsidP="00E25E67">
      <w:pPr>
        <w:keepNext/>
        <w:tabs>
          <w:tab w:val="left" w:pos="-720"/>
        </w:tabs>
        <w:suppressAutoHyphens/>
        <w:rPr>
          <w:sz w:val="26"/>
        </w:rPr>
      </w:pP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t>Rosemary Chiavetta</w:t>
      </w:r>
    </w:p>
    <w:p w14:paraId="5FC50D65" w14:textId="77777777" w:rsidR="00503B2F" w:rsidRPr="007A3463" w:rsidRDefault="00503B2F" w:rsidP="00E25E67">
      <w:pPr>
        <w:keepNext/>
        <w:tabs>
          <w:tab w:val="left" w:pos="-720"/>
        </w:tabs>
        <w:suppressAutoHyphens/>
        <w:rPr>
          <w:sz w:val="26"/>
        </w:rPr>
      </w:pP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t>Secretary</w:t>
      </w:r>
    </w:p>
    <w:p w14:paraId="259FBE86" w14:textId="77777777" w:rsidR="00503B2F" w:rsidRPr="007A3463" w:rsidRDefault="00503B2F" w:rsidP="00E25E67">
      <w:pPr>
        <w:keepNext/>
        <w:tabs>
          <w:tab w:val="left" w:pos="-720"/>
        </w:tabs>
        <w:suppressAutoHyphens/>
        <w:rPr>
          <w:sz w:val="26"/>
        </w:rPr>
      </w:pPr>
    </w:p>
    <w:p w14:paraId="7C5CE48E" w14:textId="77777777" w:rsidR="00503B2F" w:rsidRPr="007A3463" w:rsidRDefault="00503B2F" w:rsidP="00E25E67">
      <w:pPr>
        <w:keepNext/>
        <w:tabs>
          <w:tab w:val="left" w:pos="-720"/>
        </w:tabs>
        <w:suppressAutoHyphens/>
        <w:rPr>
          <w:sz w:val="26"/>
        </w:rPr>
      </w:pPr>
      <w:r w:rsidRPr="007A3463">
        <w:rPr>
          <w:sz w:val="26"/>
        </w:rPr>
        <w:t>(SEAL)</w:t>
      </w:r>
    </w:p>
    <w:p w14:paraId="12B91F8A" w14:textId="77777777" w:rsidR="00503B2F" w:rsidRPr="007A3463" w:rsidRDefault="00503B2F" w:rsidP="00E25E67">
      <w:pPr>
        <w:keepNext/>
        <w:tabs>
          <w:tab w:val="left" w:pos="-720"/>
        </w:tabs>
        <w:suppressAutoHyphens/>
        <w:rPr>
          <w:sz w:val="26"/>
        </w:rPr>
      </w:pPr>
    </w:p>
    <w:p w14:paraId="62FB9FA9" w14:textId="330FD37A" w:rsidR="00503B2F" w:rsidRPr="007A3463" w:rsidRDefault="00503B2F" w:rsidP="00E25E67">
      <w:pPr>
        <w:keepNext/>
        <w:tabs>
          <w:tab w:val="left" w:pos="-720"/>
        </w:tabs>
        <w:suppressAutoHyphens/>
        <w:rPr>
          <w:sz w:val="26"/>
        </w:rPr>
      </w:pPr>
      <w:r w:rsidRPr="007A3463">
        <w:rPr>
          <w:sz w:val="26"/>
        </w:rPr>
        <w:t>ORDER ADOPTED:</w:t>
      </w:r>
      <w:r w:rsidR="00FF14E7" w:rsidRPr="007A3463">
        <w:rPr>
          <w:sz w:val="26"/>
        </w:rPr>
        <w:t xml:space="preserve">  </w:t>
      </w:r>
      <w:r w:rsidR="00231600">
        <w:rPr>
          <w:sz w:val="26"/>
        </w:rPr>
        <w:t>March 26, 2015</w:t>
      </w:r>
    </w:p>
    <w:p w14:paraId="6A290EE1" w14:textId="77777777" w:rsidR="00503B2F" w:rsidRPr="007A3463" w:rsidRDefault="00503B2F" w:rsidP="00E25E67">
      <w:pPr>
        <w:keepNext/>
        <w:tabs>
          <w:tab w:val="left" w:pos="-720"/>
        </w:tabs>
        <w:suppressAutoHyphens/>
        <w:rPr>
          <w:sz w:val="26"/>
        </w:rPr>
      </w:pPr>
    </w:p>
    <w:p w14:paraId="442CAA93" w14:textId="6D4FD97A" w:rsidR="009304FE" w:rsidRPr="007A3463" w:rsidRDefault="00DD3119" w:rsidP="00E25E67">
      <w:pPr>
        <w:keepNext/>
        <w:tabs>
          <w:tab w:val="left" w:pos="-720"/>
        </w:tabs>
        <w:suppressAutoHyphens/>
      </w:pPr>
      <w:r w:rsidRPr="007A3463">
        <w:rPr>
          <w:sz w:val="26"/>
        </w:rPr>
        <w:t xml:space="preserve">ORDER ENTERED:  </w:t>
      </w:r>
      <w:r w:rsidR="009C2357">
        <w:rPr>
          <w:sz w:val="26"/>
        </w:rPr>
        <w:t>April 27, 2015</w:t>
      </w:r>
    </w:p>
    <w:sectPr w:rsidR="009304FE" w:rsidRPr="007A3463"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263D8" w14:textId="77777777" w:rsidR="008E78CF" w:rsidRDefault="008E78CF">
      <w:r>
        <w:separator/>
      </w:r>
    </w:p>
  </w:endnote>
  <w:endnote w:type="continuationSeparator" w:id="0">
    <w:p w14:paraId="0F223ACD" w14:textId="77777777" w:rsidR="008E78CF" w:rsidRDefault="008E78CF">
      <w:r>
        <w:continuationSeparator/>
      </w:r>
    </w:p>
  </w:endnote>
  <w:endnote w:type="continuationNotice" w:id="1">
    <w:p w14:paraId="5911BEDF" w14:textId="77777777" w:rsidR="008E78CF" w:rsidRDefault="008E7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75CD3" w14:textId="77777777" w:rsidR="00743716" w:rsidRDefault="00743716"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0E95D" w14:textId="77777777" w:rsidR="00743716" w:rsidRDefault="00743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BDCB2" w14:textId="77777777" w:rsidR="00743716" w:rsidRDefault="00743716"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2357">
      <w:rPr>
        <w:rStyle w:val="PageNumber"/>
        <w:noProof/>
      </w:rPr>
      <w:t>11</w:t>
    </w:r>
    <w:r>
      <w:rPr>
        <w:rStyle w:val="PageNumber"/>
      </w:rPr>
      <w:fldChar w:fldCharType="end"/>
    </w:r>
  </w:p>
  <w:p w14:paraId="753E7F3D" w14:textId="77777777" w:rsidR="00743716" w:rsidRDefault="00743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B65EA" w14:textId="77777777" w:rsidR="008E78CF" w:rsidRDefault="008E78CF">
      <w:r>
        <w:separator/>
      </w:r>
    </w:p>
  </w:footnote>
  <w:footnote w:type="continuationSeparator" w:id="0">
    <w:p w14:paraId="0FF64001" w14:textId="77777777" w:rsidR="008E78CF" w:rsidRDefault="008E78CF">
      <w:r>
        <w:continuationSeparator/>
      </w:r>
    </w:p>
  </w:footnote>
  <w:footnote w:type="continuationNotice" w:id="1">
    <w:p w14:paraId="6BB4A9A3" w14:textId="77777777" w:rsidR="008E78CF" w:rsidRDefault="008E78CF"/>
  </w:footnote>
  <w:footnote w:id="2">
    <w:p w14:paraId="6FDEFF88" w14:textId="61D4B074" w:rsidR="00D35161" w:rsidRPr="00877619" w:rsidRDefault="00D35161">
      <w:pPr>
        <w:pStyle w:val="FootnoteText"/>
        <w:rPr>
          <w:rFonts w:ascii="Times New Roman" w:hAnsi="Times New Roman"/>
          <w:sz w:val="26"/>
          <w:szCs w:val="26"/>
        </w:rPr>
      </w:pPr>
      <w:r>
        <w:tab/>
      </w:r>
      <w:r w:rsidRPr="00877619">
        <w:rPr>
          <w:rStyle w:val="FootnoteReference"/>
          <w:rFonts w:ascii="Times New Roman" w:hAnsi="Times New Roman"/>
        </w:rPr>
        <w:footnoteRef/>
      </w:r>
      <w:r w:rsidRPr="00877619">
        <w:rPr>
          <w:rFonts w:ascii="Times New Roman" w:hAnsi="Times New Roman"/>
          <w:sz w:val="26"/>
          <w:szCs w:val="26"/>
        </w:rPr>
        <w:t xml:space="preserve"> </w:t>
      </w:r>
      <w:r w:rsidRPr="00877619">
        <w:rPr>
          <w:rFonts w:ascii="Times New Roman" w:hAnsi="Times New Roman"/>
          <w:sz w:val="26"/>
          <w:szCs w:val="26"/>
        </w:rPr>
        <w:tab/>
      </w:r>
      <w:r w:rsidR="00877619" w:rsidRPr="00877619">
        <w:rPr>
          <w:rFonts w:ascii="Times New Roman" w:hAnsi="Times New Roman"/>
          <w:sz w:val="26"/>
          <w:szCs w:val="26"/>
        </w:rPr>
        <w:t xml:space="preserve">This Complaint was a timely appeal of an informal Bureau of Consumer Services </w:t>
      </w:r>
      <w:r w:rsidR="00877619">
        <w:rPr>
          <w:rFonts w:ascii="Times New Roman" w:hAnsi="Times New Roman"/>
          <w:sz w:val="26"/>
          <w:szCs w:val="26"/>
        </w:rPr>
        <w:t xml:space="preserve">(BCS) </w:t>
      </w:r>
      <w:r w:rsidR="00877619" w:rsidRPr="00877619">
        <w:rPr>
          <w:rFonts w:ascii="Times New Roman" w:hAnsi="Times New Roman"/>
          <w:sz w:val="26"/>
          <w:szCs w:val="26"/>
        </w:rPr>
        <w:t xml:space="preserve">decision, issued on February 19, 2014, at </w:t>
      </w:r>
      <w:r w:rsidR="00877619">
        <w:rPr>
          <w:rFonts w:ascii="Times New Roman" w:hAnsi="Times New Roman"/>
          <w:sz w:val="26"/>
          <w:szCs w:val="26"/>
        </w:rPr>
        <w:t>BCS Case No. 317387</w:t>
      </w:r>
      <w:r w:rsidR="00413872">
        <w:rPr>
          <w:rFonts w:ascii="Times New Roman" w:hAnsi="Times New Roman"/>
          <w:sz w:val="26"/>
          <w:szCs w:val="26"/>
        </w:rPr>
        <w:t>3</w:t>
      </w:r>
      <w:r w:rsidR="00877619">
        <w:rPr>
          <w:rFonts w:ascii="Times New Roman" w:hAnsi="Times New Roman"/>
          <w:sz w:val="26"/>
          <w:szCs w:val="26"/>
        </w:rPr>
        <w:t>.</w:t>
      </w:r>
      <w:r w:rsidR="00413872">
        <w:rPr>
          <w:rFonts w:ascii="Times New Roman" w:hAnsi="Times New Roman"/>
          <w:sz w:val="26"/>
          <w:szCs w:val="26"/>
        </w:rPr>
        <w:t xml:space="preserve">  </w:t>
      </w:r>
      <w:r w:rsidRPr="00877619">
        <w:rPr>
          <w:rFonts w:ascii="Times New Roman" w:hAnsi="Times New Roman"/>
          <w:sz w:val="26"/>
          <w:szCs w:val="26"/>
        </w:rPr>
        <w:tab/>
      </w:r>
    </w:p>
  </w:footnote>
  <w:footnote w:id="3">
    <w:p w14:paraId="33548F27" w14:textId="00DA491F" w:rsidR="00362C4B" w:rsidRDefault="00362C4B" w:rsidP="00362C4B">
      <w:pPr>
        <w:ind w:right="1440" w:firstLine="720"/>
        <w:rPr>
          <w:sz w:val="26"/>
          <w:szCs w:val="26"/>
        </w:rPr>
      </w:pPr>
      <w:r w:rsidRPr="00362C4B">
        <w:rPr>
          <w:rStyle w:val="FootnoteReference"/>
        </w:rPr>
        <w:footnoteRef/>
      </w:r>
      <w:r w:rsidRPr="00362C4B">
        <w:rPr>
          <w:sz w:val="26"/>
          <w:szCs w:val="26"/>
        </w:rPr>
        <w:t xml:space="preserve"> </w:t>
      </w:r>
      <w:r w:rsidRPr="00362C4B">
        <w:rPr>
          <w:sz w:val="26"/>
          <w:szCs w:val="26"/>
        </w:rPr>
        <w:tab/>
      </w:r>
      <w:r w:rsidR="0067365B">
        <w:rPr>
          <w:sz w:val="26"/>
          <w:szCs w:val="26"/>
        </w:rPr>
        <w:t xml:space="preserve">Under </w:t>
      </w:r>
      <w:r w:rsidR="0067365B">
        <w:t>66 Pa. C.S</w:t>
      </w:r>
      <w:r w:rsidR="0067365B" w:rsidRPr="0067365B">
        <w:rPr>
          <w:sz w:val="26"/>
          <w:szCs w:val="26"/>
        </w:rPr>
        <w:t>. § 1403, a</w:t>
      </w:r>
      <w:r w:rsidRPr="0067365B">
        <w:rPr>
          <w:sz w:val="26"/>
          <w:szCs w:val="26"/>
        </w:rPr>
        <w:t>n “</w:t>
      </w:r>
      <w:r>
        <w:rPr>
          <w:sz w:val="26"/>
          <w:szCs w:val="26"/>
        </w:rPr>
        <w:t>applicant” is defined as:</w:t>
      </w:r>
    </w:p>
    <w:p w14:paraId="22AB55DE" w14:textId="77777777" w:rsidR="00362C4B" w:rsidRDefault="00362C4B" w:rsidP="00362C4B">
      <w:pPr>
        <w:ind w:right="1440" w:firstLine="720"/>
        <w:rPr>
          <w:sz w:val="26"/>
          <w:szCs w:val="26"/>
        </w:rPr>
      </w:pPr>
    </w:p>
    <w:p w14:paraId="74ACB29D" w14:textId="4EBA22BA" w:rsidR="00362C4B" w:rsidRPr="0067365B" w:rsidRDefault="00362C4B" w:rsidP="0067365B">
      <w:pPr>
        <w:ind w:left="1440" w:right="1440" w:firstLine="60"/>
        <w:rPr>
          <w:sz w:val="26"/>
          <w:szCs w:val="26"/>
        </w:rPr>
      </w:pPr>
      <w:r w:rsidRPr="00362C4B">
        <w:rPr>
          <w:sz w:val="26"/>
          <w:szCs w:val="26"/>
        </w:rPr>
        <w:t>A natural person not currently receiving service who applies for residential service provided by a public utility or any adult occupant whose name appears on the mortgage, deed or lease of the property for which the residential utility service is requested.  The term does not include a person who, within 30 days after service termination or discontinuance of service, seeks to have service reconnected at the same location or transferred to another location within the service territory.</w:t>
      </w:r>
    </w:p>
  </w:footnote>
  <w:footnote w:id="4">
    <w:p w14:paraId="615C730F" w14:textId="002E4A70" w:rsidR="00566962" w:rsidRPr="009464BC" w:rsidRDefault="00566962">
      <w:pPr>
        <w:pStyle w:val="FootnoteText"/>
        <w:rPr>
          <w:rFonts w:ascii="Times New Roman" w:hAnsi="Times New Roman"/>
          <w:sz w:val="26"/>
          <w:szCs w:val="26"/>
        </w:rPr>
      </w:pPr>
      <w:r>
        <w:tab/>
      </w:r>
      <w:r w:rsidRPr="009464BC">
        <w:rPr>
          <w:rStyle w:val="FootnoteReference"/>
          <w:rFonts w:ascii="Times New Roman" w:hAnsi="Times New Roman"/>
        </w:rPr>
        <w:footnoteRef/>
      </w:r>
      <w:r w:rsidRPr="009464BC">
        <w:rPr>
          <w:rFonts w:ascii="Times New Roman" w:hAnsi="Times New Roman"/>
          <w:sz w:val="26"/>
          <w:szCs w:val="26"/>
        </w:rPr>
        <w:t xml:space="preserve"> </w:t>
      </w:r>
      <w:r w:rsidRPr="009464BC">
        <w:rPr>
          <w:rFonts w:ascii="Times New Roman" w:hAnsi="Times New Roman"/>
          <w:sz w:val="26"/>
          <w:szCs w:val="26"/>
        </w:rPr>
        <w:tab/>
        <w:t>PGW cited to 52 Pa. Code § 56.98</w:t>
      </w:r>
      <w:r w:rsidR="004C1D84" w:rsidRPr="009464BC">
        <w:rPr>
          <w:rFonts w:ascii="Times New Roman" w:hAnsi="Times New Roman"/>
          <w:sz w:val="26"/>
          <w:szCs w:val="26"/>
        </w:rPr>
        <w:t xml:space="preserve"> which provides, in part, that a public utility may immediately terminate service for unauthorized use.  After service termination for unauthorized use, it is PGW’s policy to require full payment of charges as a condition for service restoration.  PGW stated that it does not offer payment arrangements for balances resulting from unauthorized usage.  PGW Brief at 3.  </w:t>
      </w:r>
    </w:p>
  </w:footnote>
  <w:footnote w:id="5">
    <w:p w14:paraId="63699BFE" w14:textId="3981745A" w:rsidR="00425D64" w:rsidRPr="0032716F" w:rsidRDefault="00425D64" w:rsidP="0032716F">
      <w:pPr>
        <w:pStyle w:val="FootnoteText"/>
        <w:keepNext/>
        <w:keepLines/>
        <w:rPr>
          <w:rFonts w:ascii="Times New Roman" w:hAnsi="Times New Roman"/>
          <w:sz w:val="26"/>
          <w:szCs w:val="26"/>
        </w:rPr>
      </w:pPr>
      <w:r>
        <w:rPr>
          <w:rFonts w:ascii="Times New Roman" w:hAnsi="Times New Roman"/>
        </w:rPr>
        <w:tab/>
      </w:r>
      <w:r w:rsidRPr="0032716F">
        <w:rPr>
          <w:rStyle w:val="FootnoteReference"/>
          <w:rFonts w:ascii="Times New Roman" w:hAnsi="Times New Roman"/>
        </w:rPr>
        <w:footnoteRef/>
      </w:r>
      <w:r w:rsidRPr="0032716F">
        <w:rPr>
          <w:rFonts w:ascii="Times New Roman" w:hAnsi="Times New Roman"/>
          <w:sz w:val="26"/>
          <w:szCs w:val="26"/>
        </w:rPr>
        <w:t xml:space="preserve"> </w:t>
      </w:r>
      <w:r w:rsidRPr="0032716F">
        <w:rPr>
          <w:rFonts w:ascii="Times New Roman" w:hAnsi="Times New Roman"/>
          <w:sz w:val="26"/>
          <w:szCs w:val="26"/>
        </w:rPr>
        <w:tab/>
        <w:t>Section 1407</w:t>
      </w:r>
      <w:r w:rsidR="0032716F" w:rsidRPr="0032716F">
        <w:rPr>
          <w:rFonts w:ascii="Times New Roman" w:hAnsi="Times New Roman"/>
          <w:sz w:val="26"/>
          <w:szCs w:val="26"/>
        </w:rPr>
        <w:t>(a)</w:t>
      </w:r>
      <w:r w:rsidRPr="0032716F">
        <w:rPr>
          <w:rFonts w:ascii="Times New Roman" w:hAnsi="Times New Roman"/>
          <w:sz w:val="26"/>
          <w:szCs w:val="26"/>
        </w:rPr>
        <w:t xml:space="preserve"> provides: </w:t>
      </w:r>
    </w:p>
    <w:p w14:paraId="080CE9D5" w14:textId="107CB21E" w:rsidR="00425D64" w:rsidRPr="0032716F" w:rsidRDefault="0049083D" w:rsidP="0032716F">
      <w:pPr>
        <w:pStyle w:val="FootnoteText"/>
        <w:keepNext/>
        <w:keepLines/>
        <w:ind w:left="1440" w:right="1440"/>
        <w:rPr>
          <w:rFonts w:ascii="Times New Roman" w:hAnsi="Times New Roman"/>
          <w:sz w:val="26"/>
          <w:szCs w:val="26"/>
        </w:rPr>
      </w:pPr>
      <w:r>
        <w:rPr>
          <w:rFonts w:ascii="Times New Roman" w:hAnsi="Times New Roman"/>
          <w:sz w:val="26"/>
          <w:szCs w:val="26"/>
        </w:rPr>
        <w:t>A</w:t>
      </w:r>
      <w:r w:rsidR="00425D64" w:rsidRPr="0032716F">
        <w:rPr>
          <w:rFonts w:ascii="Times New Roman" w:hAnsi="Times New Roman"/>
          <w:sz w:val="26"/>
          <w:szCs w:val="26"/>
        </w:rPr>
        <w:t xml:space="preserve"> public utility may require a reconnection fee based upon the public utility’s cost as approved by the commission prior to reconnection of service following lawful termination of the service.</w:t>
      </w:r>
    </w:p>
    <w:p w14:paraId="1D4E675D" w14:textId="4E3E33CE" w:rsidR="00425D64" w:rsidRPr="0032716F" w:rsidRDefault="0032716F" w:rsidP="0032716F">
      <w:pPr>
        <w:pStyle w:val="FootnoteText"/>
        <w:keepNext/>
        <w:keepLines/>
        <w:ind w:left="1440"/>
        <w:rPr>
          <w:rFonts w:ascii="Times New Roman" w:hAnsi="Times New Roman"/>
          <w:sz w:val="26"/>
          <w:szCs w:val="26"/>
        </w:rPr>
      </w:pPr>
      <w:r w:rsidRPr="0032716F">
        <w:rPr>
          <w:sz w:val="26"/>
          <w:szCs w:val="26"/>
        </w:rPr>
        <w:t>Section 1407(c)(2)(iii)</w:t>
      </w:r>
      <w:r w:rsidRPr="0032716F">
        <w:rPr>
          <w:rFonts w:ascii="Times New Roman" w:hAnsi="Times New Roman"/>
          <w:sz w:val="26"/>
          <w:szCs w:val="26"/>
        </w:rPr>
        <w:t xml:space="preserve"> provides: </w:t>
      </w:r>
    </w:p>
    <w:p w14:paraId="7C7AB76C" w14:textId="25287BC9" w:rsidR="0032716F" w:rsidRPr="0032716F" w:rsidRDefault="0032716F" w:rsidP="0032716F">
      <w:pPr>
        <w:keepNext/>
        <w:keepLines/>
        <w:ind w:left="1440" w:right="1440"/>
        <w:rPr>
          <w:sz w:val="26"/>
          <w:szCs w:val="26"/>
        </w:rPr>
      </w:pPr>
      <w:r w:rsidRPr="0032716F">
        <w:rPr>
          <w:sz w:val="26"/>
          <w:szCs w:val="26"/>
        </w:rPr>
        <w:t>A public utility may require full payment of any reconnection fees together with payment over 24 months of any outstanding balance incurred by the customer or applicant if the customer o</w:t>
      </w:r>
      <w:r w:rsidR="00CC4198">
        <w:rPr>
          <w:sz w:val="26"/>
          <w:szCs w:val="26"/>
        </w:rPr>
        <w:t>r</w:t>
      </w:r>
      <w:r w:rsidRPr="0032716F">
        <w:rPr>
          <w:sz w:val="26"/>
          <w:szCs w:val="26"/>
        </w:rPr>
        <w:t xml:space="preserve"> applicant has an income not exceeding 150% of the Federal poverty level.  A customer or applicant of a city natural gas distribution operation whose household income does not exceed 135% of the Federal poverty level shall be reinstated pursuant to this subsection only if the customer or applicant enrolls in the customer assistance program of the city natural gas distribution operation except that this requirement shall not apply if the financial benefits to such customer or applicant are greater if served outside of that assistance program.</w:t>
      </w:r>
    </w:p>
    <w:p w14:paraId="5A8A08A6" w14:textId="77777777" w:rsidR="0032716F" w:rsidRPr="00425D64" w:rsidRDefault="0032716F" w:rsidP="00425D64">
      <w:pPr>
        <w:pStyle w:val="FootnoteText"/>
        <w:ind w:left="1440"/>
        <w:rPr>
          <w:rFonts w:ascii="Times New Roman" w:hAnsi="Times New Roman"/>
        </w:rPr>
      </w:pPr>
    </w:p>
  </w:footnote>
  <w:footnote w:id="6">
    <w:p w14:paraId="6FA52173" w14:textId="2E268D2C" w:rsidR="002640BC" w:rsidRPr="002640BC" w:rsidRDefault="005F7159" w:rsidP="002640BC">
      <w:pPr>
        <w:pStyle w:val="FootnoteText"/>
        <w:rPr>
          <w:rFonts w:ascii="Times New Roman" w:hAnsi="Times New Roman"/>
          <w:sz w:val="26"/>
          <w:szCs w:val="26"/>
        </w:rPr>
      </w:pPr>
      <w:r>
        <w:rPr>
          <w:rFonts w:ascii="Times New Roman" w:hAnsi="Times New Roman"/>
          <w:sz w:val="26"/>
          <w:szCs w:val="26"/>
        </w:rPr>
        <w:tab/>
      </w:r>
      <w:r w:rsidR="002640BC" w:rsidRPr="002640BC">
        <w:rPr>
          <w:rStyle w:val="FootnoteReference"/>
          <w:rFonts w:ascii="Times New Roman" w:hAnsi="Times New Roman"/>
        </w:rPr>
        <w:footnoteRef/>
      </w:r>
      <w:r w:rsidR="002640BC" w:rsidRPr="002640BC">
        <w:rPr>
          <w:rFonts w:ascii="Times New Roman" w:hAnsi="Times New Roman"/>
          <w:sz w:val="26"/>
          <w:szCs w:val="26"/>
        </w:rPr>
        <w:t xml:space="preserve"> </w:t>
      </w:r>
      <w:r>
        <w:rPr>
          <w:rFonts w:ascii="Times New Roman" w:hAnsi="Times New Roman"/>
          <w:sz w:val="26"/>
          <w:szCs w:val="26"/>
        </w:rPr>
        <w:tab/>
      </w:r>
      <w:r w:rsidR="002640BC" w:rsidRPr="002640BC">
        <w:rPr>
          <w:rFonts w:ascii="Times New Roman" w:hAnsi="Times New Roman"/>
          <w:sz w:val="26"/>
          <w:szCs w:val="26"/>
        </w:rPr>
        <w:t xml:space="preserve">PGW’s theft of service investigation revealed gas present at the property and that the residence had three gas appliances – the house heater, the water heater, and the stove – all of which were operational at the time.  Tr. </w:t>
      </w:r>
      <w:r w:rsidR="002640BC">
        <w:rPr>
          <w:rFonts w:ascii="Times New Roman" w:hAnsi="Times New Roman"/>
          <w:sz w:val="26"/>
          <w:szCs w:val="26"/>
        </w:rPr>
        <w:t xml:space="preserve">at </w:t>
      </w:r>
      <w:r w:rsidR="002640BC" w:rsidRPr="002640BC">
        <w:rPr>
          <w:rFonts w:ascii="Times New Roman" w:hAnsi="Times New Roman"/>
          <w:sz w:val="26"/>
          <w:szCs w:val="26"/>
        </w:rPr>
        <w:t>72-73.</w:t>
      </w:r>
    </w:p>
  </w:footnote>
  <w:footnote w:id="7">
    <w:p w14:paraId="0BAAD857" w14:textId="4E81B325" w:rsidR="002640BC" w:rsidRPr="002640BC" w:rsidRDefault="002640BC" w:rsidP="002640BC">
      <w:pPr>
        <w:ind w:firstLine="720"/>
        <w:rPr>
          <w:i/>
          <w:sz w:val="26"/>
          <w:szCs w:val="26"/>
        </w:rPr>
      </w:pPr>
      <w:r w:rsidRPr="002640BC">
        <w:rPr>
          <w:rStyle w:val="FootnoteReference"/>
        </w:rPr>
        <w:footnoteRef/>
      </w:r>
      <w:r w:rsidRPr="002640BC">
        <w:rPr>
          <w:sz w:val="26"/>
          <w:szCs w:val="26"/>
        </w:rPr>
        <w:t xml:space="preserve"> </w:t>
      </w:r>
      <w:r>
        <w:rPr>
          <w:sz w:val="26"/>
          <w:szCs w:val="26"/>
        </w:rPr>
        <w:tab/>
      </w:r>
      <w:r w:rsidRPr="002640BC">
        <w:rPr>
          <w:i/>
          <w:sz w:val="26"/>
          <w:szCs w:val="26"/>
        </w:rPr>
        <w:t xml:space="preserve">  </w:t>
      </w:r>
      <w:r w:rsidR="000770D9">
        <w:rPr>
          <w:sz w:val="26"/>
          <w:szCs w:val="26"/>
        </w:rPr>
        <w:t>“</w:t>
      </w:r>
      <w:r w:rsidR="000770D9">
        <w:rPr>
          <w:color w:val="000000"/>
          <w:sz w:val="26"/>
          <w:szCs w:val="26"/>
        </w:rPr>
        <w:t>[T]</w:t>
      </w:r>
      <w:r w:rsidRPr="002640BC">
        <w:rPr>
          <w:color w:val="000000"/>
          <w:sz w:val="26"/>
          <w:szCs w:val="26"/>
        </w:rPr>
        <w:t xml:space="preserve">he regulation [Section 56.14] as it is currently written and also proposed does not include fraud and theft as triggering events.  This means a bill seeking to recover amounts that were previously unbilled because of theft or fraud have never been considered make-up bills under § 56.14 and this will continue to be the case under the proposed revisions to this section.” </w:t>
      </w:r>
      <w:r w:rsidR="00D85488">
        <w:rPr>
          <w:color w:val="000000"/>
          <w:sz w:val="26"/>
          <w:szCs w:val="26"/>
        </w:rPr>
        <w:t xml:space="preserve"> </w:t>
      </w:r>
      <w:r w:rsidRPr="002640BC">
        <w:rPr>
          <w:i/>
          <w:sz w:val="26"/>
          <w:szCs w:val="26"/>
        </w:rPr>
        <w:t>Rulemaking to Amend the Provisions of 52 Pa. Code, Chapter 56 to Comply with the Provisions of 66 Pa.C.S., Chapter 14; General Review of Regulations</w:t>
      </w:r>
      <w:r w:rsidRPr="002640BC">
        <w:rPr>
          <w:sz w:val="26"/>
          <w:szCs w:val="26"/>
        </w:rPr>
        <w:t xml:space="preserve">, Docket No. L-00060182 </w:t>
      </w:r>
      <w:r w:rsidR="000770D9">
        <w:rPr>
          <w:sz w:val="26"/>
          <w:szCs w:val="26"/>
        </w:rPr>
        <w:t>(</w:t>
      </w:r>
      <w:r w:rsidR="00D85488">
        <w:rPr>
          <w:sz w:val="26"/>
          <w:szCs w:val="26"/>
        </w:rPr>
        <w:t xml:space="preserve">Revised Final Rulemaking </w:t>
      </w:r>
      <w:r w:rsidR="000770D9">
        <w:rPr>
          <w:sz w:val="26"/>
          <w:szCs w:val="26"/>
        </w:rPr>
        <w:t>Order entered June 13, 2011)</w:t>
      </w:r>
      <w:r w:rsidR="00D85488">
        <w:rPr>
          <w:sz w:val="26"/>
          <w:szCs w:val="26"/>
        </w:rPr>
        <w:t>,</w:t>
      </w:r>
      <w:r w:rsidRPr="002640BC">
        <w:rPr>
          <w:sz w:val="26"/>
          <w:szCs w:val="26"/>
        </w:rPr>
        <w:t xml:space="preserve"> Attachment One</w:t>
      </w:r>
      <w:r w:rsidR="000770D9">
        <w:rPr>
          <w:sz w:val="26"/>
          <w:szCs w:val="26"/>
        </w:rPr>
        <w:t xml:space="preserve"> at</w:t>
      </w:r>
      <w:r w:rsidRPr="002640BC">
        <w:rPr>
          <w:sz w:val="26"/>
          <w:szCs w:val="26"/>
        </w:rPr>
        <w:t xml:space="preserve"> 50.</w:t>
      </w:r>
    </w:p>
  </w:footnote>
  <w:footnote w:id="8">
    <w:p w14:paraId="343A29B1" w14:textId="2BEE7745" w:rsidR="002640BC" w:rsidRPr="00783363" w:rsidRDefault="00783363" w:rsidP="002640BC">
      <w:pPr>
        <w:pStyle w:val="FootnoteText"/>
        <w:rPr>
          <w:rFonts w:ascii="Times New Roman" w:hAnsi="Times New Roman"/>
          <w:sz w:val="26"/>
          <w:szCs w:val="26"/>
        </w:rPr>
      </w:pPr>
      <w:r>
        <w:rPr>
          <w:rFonts w:ascii="Times New Roman" w:hAnsi="Times New Roman"/>
          <w:sz w:val="26"/>
          <w:szCs w:val="26"/>
        </w:rPr>
        <w:tab/>
      </w:r>
      <w:r w:rsidR="002640BC" w:rsidRPr="00783363">
        <w:rPr>
          <w:rStyle w:val="FootnoteReference"/>
          <w:rFonts w:ascii="Times New Roman" w:hAnsi="Times New Roman"/>
        </w:rPr>
        <w:footnoteRef/>
      </w:r>
      <w:r>
        <w:rPr>
          <w:rFonts w:ascii="Times New Roman" w:hAnsi="Times New Roman"/>
          <w:sz w:val="26"/>
          <w:szCs w:val="26"/>
        </w:rPr>
        <w:tab/>
      </w:r>
      <w:r w:rsidR="002640BC" w:rsidRPr="00783363">
        <w:rPr>
          <w:rFonts w:ascii="Times New Roman" w:hAnsi="Times New Roman"/>
          <w:sz w:val="26"/>
          <w:szCs w:val="26"/>
        </w:rPr>
        <w:t xml:space="preserve"> The Complainant does not dispute that he is responsible for the service address, as the owner of the property, and does not dispute that his responsibility includes checking on the gas service.  However, </w:t>
      </w:r>
      <w:r>
        <w:rPr>
          <w:rFonts w:ascii="Times New Roman" w:hAnsi="Times New Roman"/>
          <w:sz w:val="26"/>
          <w:szCs w:val="26"/>
        </w:rPr>
        <w:t>we do not</w:t>
      </w:r>
      <w:r w:rsidR="002640BC" w:rsidRPr="00783363">
        <w:rPr>
          <w:rFonts w:ascii="Times New Roman" w:hAnsi="Times New Roman"/>
          <w:sz w:val="26"/>
          <w:szCs w:val="26"/>
        </w:rPr>
        <w:t xml:space="preserve"> find the Complainant responsible for unauthorized gas usage, based solely on his status as a property owner or a landlord.  Rather, </w:t>
      </w:r>
      <w:r>
        <w:rPr>
          <w:rFonts w:ascii="Times New Roman" w:hAnsi="Times New Roman"/>
          <w:sz w:val="26"/>
          <w:szCs w:val="26"/>
        </w:rPr>
        <w:t>we</w:t>
      </w:r>
      <w:r w:rsidR="002640BC" w:rsidRPr="00783363">
        <w:rPr>
          <w:rFonts w:ascii="Times New Roman" w:hAnsi="Times New Roman"/>
          <w:sz w:val="26"/>
          <w:szCs w:val="26"/>
        </w:rPr>
        <w:t xml:space="preserve"> find him responsible, based upon the credible record evidence, which includes evidence that he owns the property and resided there while unauthorized gas usage occurred.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14D6589"/>
    <w:multiLevelType w:val="hybridMultilevel"/>
    <w:tmpl w:val="54FEE6EC"/>
    <w:lvl w:ilvl="0" w:tplc="0A72F6A8">
      <w:start w:val="4"/>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2B5708C"/>
    <w:multiLevelType w:val="hybridMultilevel"/>
    <w:tmpl w:val="83AE09E0"/>
    <w:lvl w:ilvl="0" w:tplc="C88AEBC4">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D780B75"/>
    <w:multiLevelType w:val="hybridMultilevel"/>
    <w:tmpl w:val="A49EB976"/>
    <w:lvl w:ilvl="0" w:tplc="CDD85B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nsid w:val="6E020D67"/>
    <w:multiLevelType w:val="hybridMultilevel"/>
    <w:tmpl w:val="29D88B1C"/>
    <w:lvl w:ilvl="0" w:tplc="3C1208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2"/>
  </w:num>
  <w:num w:numId="3">
    <w:abstractNumId w:val="14"/>
  </w:num>
  <w:num w:numId="4">
    <w:abstractNumId w:val="4"/>
  </w:num>
  <w:num w:numId="5">
    <w:abstractNumId w:val="9"/>
  </w:num>
  <w:num w:numId="6">
    <w:abstractNumId w:val="7"/>
  </w:num>
  <w:num w:numId="7">
    <w:abstractNumId w:val="3"/>
  </w:num>
  <w:num w:numId="8">
    <w:abstractNumId w:val="8"/>
  </w:num>
  <w:num w:numId="9">
    <w:abstractNumId w:val="13"/>
  </w:num>
  <w:num w:numId="10">
    <w:abstractNumId w:val="1"/>
  </w:num>
  <w:num w:numId="11">
    <w:abstractNumId w:val="0"/>
  </w:num>
  <w:num w:numId="12">
    <w:abstractNumId w:val="15"/>
  </w:num>
  <w:num w:numId="13">
    <w:abstractNumId w:val="10"/>
  </w:num>
  <w:num w:numId="14">
    <w:abstractNumId w:val="5"/>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615"/>
    <w:rsid w:val="0000290A"/>
    <w:rsid w:val="00002F2A"/>
    <w:rsid w:val="00004B32"/>
    <w:rsid w:val="00004C36"/>
    <w:rsid w:val="000063E9"/>
    <w:rsid w:val="000064C2"/>
    <w:rsid w:val="00006E37"/>
    <w:rsid w:val="00007106"/>
    <w:rsid w:val="00007417"/>
    <w:rsid w:val="000074DC"/>
    <w:rsid w:val="00010322"/>
    <w:rsid w:val="0001099D"/>
    <w:rsid w:val="00011888"/>
    <w:rsid w:val="00012A95"/>
    <w:rsid w:val="00012EE5"/>
    <w:rsid w:val="00013B94"/>
    <w:rsid w:val="00013EBC"/>
    <w:rsid w:val="0001411C"/>
    <w:rsid w:val="0001414B"/>
    <w:rsid w:val="0001434C"/>
    <w:rsid w:val="000148F5"/>
    <w:rsid w:val="00015969"/>
    <w:rsid w:val="00015A01"/>
    <w:rsid w:val="00016CE0"/>
    <w:rsid w:val="00017033"/>
    <w:rsid w:val="00020B46"/>
    <w:rsid w:val="00020E43"/>
    <w:rsid w:val="00020F8F"/>
    <w:rsid w:val="000215B4"/>
    <w:rsid w:val="00021864"/>
    <w:rsid w:val="000234F5"/>
    <w:rsid w:val="00024987"/>
    <w:rsid w:val="00024DD1"/>
    <w:rsid w:val="00025686"/>
    <w:rsid w:val="0002585B"/>
    <w:rsid w:val="00025B28"/>
    <w:rsid w:val="000261D5"/>
    <w:rsid w:val="00026E4B"/>
    <w:rsid w:val="0002723A"/>
    <w:rsid w:val="0002744F"/>
    <w:rsid w:val="00027EE5"/>
    <w:rsid w:val="000310BE"/>
    <w:rsid w:val="00031A0A"/>
    <w:rsid w:val="00031E93"/>
    <w:rsid w:val="0003278B"/>
    <w:rsid w:val="00032D5F"/>
    <w:rsid w:val="00033CB2"/>
    <w:rsid w:val="00034474"/>
    <w:rsid w:val="0003588B"/>
    <w:rsid w:val="00035F25"/>
    <w:rsid w:val="000378DC"/>
    <w:rsid w:val="0004071F"/>
    <w:rsid w:val="00040A0A"/>
    <w:rsid w:val="000416A9"/>
    <w:rsid w:val="000416ED"/>
    <w:rsid w:val="00044438"/>
    <w:rsid w:val="0004679E"/>
    <w:rsid w:val="000472A4"/>
    <w:rsid w:val="000510D0"/>
    <w:rsid w:val="000510FD"/>
    <w:rsid w:val="000537BC"/>
    <w:rsid w:val="00053CED"/>
    <w:rsid w:val="000541A0"/>
    <w:rsid w:val="00054407"/>
    <w:rsid w:val="00054F7A"/>
    <w:rsid w:val="00055EF9"/>
    <w:rsid w:val="00057057"/>
    <w:rsid w:val="000573BD"/>
    <w:rsid w:val="000610F9"/>
    <w:rsid w:val="00061284"/>
    <w:rsid w:val="00061850"/>
    <w:rsid w:val="000629CD"/>
    <w:rsid w:val="000630AF"/>
    <w:rsid w:val="000634BD"/>
    <w:rsid w:val="0006405C"/>
    <w:rsid w:val="00065DB6"/>
    <w:rsid w:val="00066A92"/>
    <w:rsid w:val="00066E55"/>
    <w:rsid w:val="000673D1"/>
    <w:rsid w:val="00070FF8"/>
    <w:rsid w:val="00070FFD"/>
    <w:rsid w:val="000711D9"/>
    <w:rsid w:val="000716A0"/>
    <w:rsid w:val="00072883"/>
    <w:rsid w:val="0007305F"/>
    <w:rsid w:val="000731DA"/>
    <w:rsid w:val="00073C25"/>
    <w:rsid w:val="000746C5"/>
    <w:rsid w:val="00075161"/>
    <w:rsid w:val="00075677"/>
    <w:rsid w:val="0007596A"/>
    <w:rsid w:val="00076A99"/>
    <w:rsid w:val="00076F62"/>
    <w:rsid w:val="000770D9"/>
    <w:rsid w:val="000777D8"/>
    <w:rsid w:val="00077822"/>
    <w:rsid w:val="00080C6A"/>
    <w:rsid w:val="000820F1"/>
    <w:rsid w:val="0008251E"/>
    <w:rsid w:val="0008328F"/>
    <w:rsid w:val="0008445E"/>
    <w:rsid w:val="00085FFB"/>
    <w:rsid w:val="00086411"/>
    <w:rsid w:val="00086D0B"/>
    <w:rsid w:val="0008768F"/>
    <w:rsid w:val="000876C2"/>
    <w:rsid w:val="00087C06"/>
    <w:rsid w:val="00087D18"/>
    <w:rsid w:val="00091937"/>
    <w:rsid w:val="00092384"/>
    <w:rsid w:val="00092ABD"/>
    <w:rsid w:val="00094D6F"/>
    <w:rsid w:val="00096187"/>
    <w:rsid w:val="000966DC"/>
    <w:rsid w:val="0009781B"/>
    <w:rsid w:val="000A1364"/>
    <w:rsid w:val="000A2F11"/>
    <w:rsid w:val="000A35F4"/>
    <w:rsid w:val="000A4C46"/>
    <w:rsid w:val="000A6A49"/>
    <w:rsid w:val="000A6EB3"/>
    <w:rsid w:val="000A770A"/>
    <w:rsid w:val="000A7F96"/>
    <w:rsid w:val="000B2688"/>
    <w:rsid w:val="000B27B4"/>
    <w:rsid w:val="000B2A1C"/>
    <w:rsid w:val="000B2B80"/>
    <w:rsid w:val="000B3FB4"/>
    <w:rsid w:val="000B4F29"/>
    <w:rsid w:val="000B5487"/>
    <w:rsid w:val="000B5DF8"/>
    <w:rsid w:val="000B71E3"/>
    <w:rsid w:val="000B77E2"/>
    <w:rsid w:val="000B7E7F"/>
    <w:rsid w:val="000B7F8F"/>
    <w:rsid w:val="000C33A1"/>
    <w:rsid w:val="000C3E68"/>
    <w:rsid w:val="000C4BFD"/>
    <w:rsid w:val="000C608B"/>
    <w:rsid w:val="000C6C92"/>
    <w:rsid w:val="000C742F"/>
    <w:rsid w:val="000D0BAC"/>
    <w:rsid w:val="000D0D75"/>
    <w:rsid w:val="000D1965"/>
    <w:rsid w:val="000D1D97"/>
    <w:rsid w:val="000D3C0D"/>
    <w:rsid w:val="000D6482"/>
    <w:rsid w:val="000D6C35"/>
    <w:rsid w:val="000D761A"/>
    <w:rsid w:val="000E0050"/>
    <w:rsid w:val="000E0311"/>
    <w:rsid w:val="000E05DD"/>
    <w:rsid w:val="000E0705"/>
    <w:rsid w:val="000E09BE"/>
    <w:rsid w:val="000E24DE"/>
    <w:rsid w:val="000E3AA7"/>
    <w:rsid w:val="000E3FDA"/>
    <w:rsid w:val="000E492B"/>
    <w:rsid w:val="000E4BED"/>
    <w:rsid w:val="000E7110"/>
    <w:rsid w:val="000E7B48"/>
    <w:rsid w:val="000F2540"/>
    <w:rsid w:val="000F292B"/>
    <w:rsid w:val="000F34DC"/>
    <w:rsid w:val="000F34FC"/>
    <w:rsid w:val="000F4144"/>
    <w:rsid w:val="000F5A80"/>
    <w:rsid w:val="000F6D5A"/>
    <w:rsid w:val="000F7F57"/>
    <w:rsid w:val="0010013C"/>
    <w:rsid w:val="001006F0"/>
    <w:rsid w:val="00100B90"/>
    <w:rsid w:val="00100BF3"/>
    <w:rsid w:val="00101745"/>
    <w:rsid w:val="001026AA"/>
    <w:rsid w:val="00103A52"/>
    <w:rsid w:val="00103EBA"/>
    <w:rsid w:val="001048B3"/>
    <w:rsid w:val="001049B1"/>
    <w:rsid w:val="00104A93"/>
    <w:rsid w:val="00105084"/>
    <w:rsid w:val="001050C5"/>
    <w:rsid w:val="00105104"/>
    <w:rsid w:val="00105193"/>
    <w:rsid w:val="00106537"/>
    <w:rsid w:val="001112D8"/>
    <w:rsid w:val="0011244B"/>
    <w:rsid w:val="0011311C"/>
    <w:rsid w:val="001133C8"/>
    <w:rsid w:val="00114213"/>
    <w:rsid w:val="00114D80"/>
    <w:rsid w:val="00115BA2"/>
    <w:rsid w:val="00115FD9"/>
    <w:rsid w:val="001160BA"/>
    <w:rsid w:val="00116467"/>
    <w:rsid w:val="00116D79"/>
    <w:rsid w:val="00120C2F"/>
    <w:rsid w:val="00121038"/>
    <w:rsid w:val="00122E0F"/>
    <w:rsid w:val="00123068"/>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50BC"/>
    <w:rsid w:val="00135C86"/>
    <w:rsid w:val="00137A60"/>
    <w:rsid w:val="001401EC"/>
    <w:rsid w:val="00141877"/>
    <w:rsid w:val="00141882"/>
    <w:rsid w:val="00141DF0"/>
    <w:rsid w:val="0014205C"/>
    <w:rsid w:val="00142D3A"/>
    <w:rsid w:val="00143F43"/>
    <w:rsid w:val="00144166"/>
    <w:rsid w:val="001448EA"/>
    <w:rsid w:val="0014496C"/>
    <w:rsid w:val="00144E09"/>
    <w:rsid w:val="001457F2"/>
    <w:rsid w:val="00145EDC"/>
    <w:rsid w:val="00146E12"/>
    <w:rsid w:val="00147415"/>
    <w:rsid w:val="00150989"/>
    <w:rsid w:val="001509E0"/>
    <w:rsid w:val="00151536"/>
    <w:rsid w:val="001523CA"/>
    <w:rsid w:val="001546D8"/>
    <w:rsid w:val="0015662E"/>
    <w:rsid w:val="00156BCE"/>
    <w:rsid w:val="001572C5"/>
    <w:rsid w:val="00157EAD"/>
    <w:rsid w:val="0016005F"/>
    <w:rsid w:val="001606BC"/>
    <w:rsid w:val="00160F0A"/>
    <w:rsid w:val="0016115A"/>
    <w:rsid w:val="001617CB"/>
    <w:rsid w:val="00162A88"/>
    <w:rsid w:val="001636E2"/>
    <w:rsid w:val="00163AA3"/>
    <w:rsid w:val="00164012"/>
    <w:rsid w:val="0016441E"/>
    <w:rsid w:val="00164715"/>
    <w:rsid w:val="00164C98"/>
    <w:rsid w:val="00166006"/>
    <w:rsid w:val="001679F1"/>
    <w:rsid w:val="001701B3"/>
    <w:rsid w:val="001704F7"/>
    <w:rsid w:val="0017084A"/>
    <w:rsid w:val="00173EDA"/>
    <w:rsid w:val="0017591C"/>
    <w:rsid w:val="00175F2D"/>
    <w:rsid w:val="00177A43"/>
    <w:rsid w:val="00180E89"/>
    <w:rsid w:val="001811B8"/>
    <w:rsid w:val="001827DB"/>
    <w:rsid w:val="001828B9"/>
    <w:rsid w:val="00183D96"/>
    <w:rsid w:val="00185B5E"/>
    <w:rsid w:val="001865B9"/>
    <w:rsid w:val="001867FA"/>
    <w:rsid w:val="00186887"/>
    <w:rsid w:val="00187BC6"/>
    <w:rsid w:val="0019214E"/>
    <w:rsid w:val="0019251E"/>
    <w:rsid w:val="0019318F"/>
    <w:rsid w:val="00193EF0"/>
    <w:rsid w:val="001971AD"/>
    <w:rsid w:val="00197920"/>
    <w:rsid w:val="00197C2F"/>
    <w:rsid w:val="00197F3D"/>
    <w:rsid w:val="001A0516"/>
    <w:rsid w:val="001A18D5"/>
    <w:rsid w:val="001A1AD3"/>
    <w:rsid w:val="001A3C6A"/>
    <w:rsid w:val="001A4A0C"/>
    <w:rsid w:val="001A4C6C"/>
    <w:rsid w:val="001A53ED"/>
    <w:rsid w:val="001A5711"/>
    <w:rsid w:val="001A5756"/>
    <w:rsid w:val="001A5804"/>
    <w:rsid w:val="001A5B0A"/>
    <w:rsid w:val="001A5C12"/>
    <w:rsid w:val="001A657F"/>
    <w:rsid w:val="001A6E4B"/>
    <w:rsid w:val="001A6FD4"/>
    <w:rsid w:val="001A75AA"/>
    <w:rsid w:val="001B00D9"/>
    <w:rsid w:val="001B06FC"/>
    <w:rsid w:val="001B07E7"/>
    <w:rsid w:val="001B423C"/>
    <w:rsid w:val="001B5CD3"/>
    <w:rsid w:val="001B7A05"/>
    <w:rsid w:val="001C37DD"/>
    <w:rsid w:val="001C396E"/>
    <w:rsid w:val="001C42FD"/>
    <w:rsid w:val="001C4B37"/>
    <w:rsid w:val="001C4CAD"/>
    <w:rsid w:val="001C53B1"/>
    <w:rsid w:val="001C6B32"/>
    <w:rsid w:val="001C7C10"/>
    <w:rsid w:val="001C7E91"/>
    <w:rsid w:val="001C7F88"/>
    <w:rsid w:val="001D01F1"/>
    <w:rsid w:val="001D02A2"/>
    <w:rsid w:val="001D0E29"/>
    <w:rsid w:val="001D24BD"/>
    <w:rsid w:val="001D2BAD"/>
    <w:rsid w:val="001D491F"/>
    <w:rsid w:val="001D5345"/>
    <w:rsid w:val="001D70A6"/>
    <w:rsid w:val="001D7137"/>
    <w:rsid w:val="001E05C6"/>
    <w:rsid w:val="001E0B29"/>
    <w:rsid w:val="001E19BC"/>
    <w:rsid w:val="001E1A53"/>
    <w:rsid w:val="001E2CFB"/>
    <w:rsid w:val="001E3574"/>
    <w:rsid w:val="001E3854"/>
    <w:rsid w:val="001E3F31"/>
    <w:rsid w:val="001E4225"/>
    <w:rsid w:val="001E5B8E"/>
    <w:rsid w:val="001F0488"/>
    <w:rsid w:val="001F3BF4"/>
    <w:rsid w:val="001F3C68"/>
    <w:rsid w:val="001F4194"/>
    <w:rsid w:val="001F49F1"/>
    <w:rsid w:val="001F55D5"/>
    <w:rsid w:val="001F5F40"/>
    <w:rsid w:val="001F75D6"/>
    <w:rsid w:val="001F79C6"/>
    <w:rsid w:val="001F7B55"/>
    <w:rsid w:val="0020092D"/>
    <w:rsid w:val="00200D0C"/>
    <w:rsid w:val="00203F27"/>
    <w:rsid w:val="0020478B"/>
    <w:rsid w:val="00205242"/>
    <w:rsid w:val="00205B95"/>
    <w:rsid w:val="0020640C"/>
    <w:rsid w:val="00206D03"/>
    <w:rsid w:val="00207453"/>
    <w:rsid w:val="0020784E"/>
    <w:rsid w:val="00210868"/>
    <w:rsid w:val="00210BB0"/>
    <w:rsid w:val="00213B95"/>
    <w:rsid w:val="00214C25"/>
    <w:rsid w:val="00215192"/>
    <w:rsid w:val="002170BF"/>
    <w:rsid w:val="002174D8"/>
    <w:rsid w:val="00217C4E"/>
    <w:rsid w:val="00220E40"/>
    <w:rsid w:val="00223564"/>
    <w:rsid w:val="002242F7"/>
    <w:rsid w:val="002248B8"/>
    <w:rsid w:val="00225390"/>
    <w:rsid w:val="00225BD2"/>
    <w:rsid w:val="0022626D"/>
    <w:rsid w:val="00227759"/>
    <w:rsid w:val="002278A0"/>
    <w:rsid w:val="00230396"/>
    <w:rsid w:val="0023097E"/>
    <w:rsid w:val="00230BAB"/>
    <w:rsid w:val="00231600"/>
    <w:rsid w:val="00232A03"/>
    <w:rsid w:val="0023377F"/>
    <w:rsid w:val="00233A9F"/>
    <w:rsid w:val="0023535F"/>
    <w:rsid w:val="00237CE3"/>
    <w:rsid w:val="00241AA6"/>
    <w:rsid w:val="00243016"/>
    <w:rsid w:val="0024349F"/>
    <w:rsid w:val="00243BC7"/>
    <w:rsid w:val="00243CC9"/>
    <w:rsid w:val="00243D31"/>
    <w:rsid w:val="00244528"/>
    <w:rsid w:val="00244D32"/>
    <w:rsid w:val="002450F3"/>
    <w:rsid w:val="0024538D"/>
    <w:rsid w:val="00245B0C"/>
    <w:rsid w:val="002469C9"/>
    <w:rsid w:val="00247332"/>
    <w:rsid w:val="00250E63"/>
    <w:rsid w:val="00252313"/>
    <w:rsid w:val="00252626"/>
    <w:rsid w:val="00253CC7"/>
    <w:rsid w:val="00254560"/>
    <w:rsid w:val="00254840"/>
    <w:rsid w:val="00255125"/>
    <w:rsid w:val="002556E9"/>
    <w:rsid w:val="002564D7"/>
    <w:rsid w:val="00256A4C"/>
    <w:rsid w:val="0025718D"/>
    <w:rsid w:val="00260276"/>
    <w:rsid w:val="00260494"/>
    <w:rsid w:val="002618AC"/>
    <w:rsid w:val="0026312F"/>
    <w:rsid w:val="002640BC"/>
    <w:rsid w:val="00264ABB"/>
    <w:rsid w:val="002652DF"/>
    <w:rsid w:val="00265BD8"/>
    <w:rsid w:val="0026727E"/>
    <w:rsid w:val="00271322"/>
    <w:rsid w:val="00271DE6"/>
    <w:rsid w:val="002723CB"/>
    <w:rsid w:val="00273450"/>
    <w:rsid w:val="0027458E"/>
    <w:rsid w:val="00274EC0"/>
    <w:rsid w:val="00275533"/>
    <w:rsid w:val="00277BAB"/>
    <w:rsid w:val="00281587"/>
    <w:rsid w:val="00282019"/>
    <w:rsid w:val="002830F0"/>
    <w:rsid w:val="00283433"/>
    <w:rsid w:val="002838E3"/>
    <w:rsid w:val="002851CE"/>
    <w:rsid w:val="002854BF"/>
    <w:rsid w:val="00285856"/>
    <w:rsid w:val="00285EB1"/>
    <w:rsid w:val="00286C9A"/>
    <w:rsid w:val="00286DBE"/>
    <w:rsid w:val="00287BE6"/>
    <w:rsid w:val="00287EE2"/>
    <w:rsid w:val="00290876"/>
    <w:rsid w:val="002911A8"/>
    <w:rsid w:val="00291657"/>
    <w:rsid w:val="002916BB"/>
    <w:rsid w:val="002919FB"/>
    <w:rsid w:val="00293F54"/>
    <w:rsid w:val="00296493"/>
    <w:rsid w:val="00297040"/>
    <w:rsid w:val="00297213"/>
    <w:rsid w:val="002975FB"/>
    <w:rsid w:val="00297F40"/>
    <w:rsid w:val="002A0E82"/>
    <w:rsid w:val="002A17A4"/>
    <w:rsid w:val="002A3250"/>
    <w:rsid w:val="002A3A6E"/>
    <w:rsid w:val="002A3AC8"/>
    <w:rsid w:val="002A5223"/>
    <w:rsid w:val="002A5399"/>
    <w:rsid w:val="002A740E"/>
    <w:rsid w:val="002A782B"/>
    <w:rsid w:val="002B0089"/>
    <w:rsid w:val="002B03EA"/>
    <w:rsid w:val="002B121B"/>
    <w:rsid w:val="002B31AD"/>
    <w:rsid w:val="002B32CA"/>
    <w:rsid w:val="002B3767"/>
    <w:rsid w:val="002B4B0D"/>
    <w:rsid w:val="002B6B0C"/>
    <w:rsid w:val="002C011D"/>
    <w:rsid w:val="002C116F"/>
    <w:rsid w:val="002C2053"/>
    <w:rsid w:val="002C4014"/>
    <w:rsid w:val="002C4311"/>
    <w:rsid w:val="002C61A7"/>
    <w:rsid w:val="002C6681"/>
    <w:rsid w:val="002D0829"/>
    <w:rsid w:val="002D08E2"/>
    <w:rsid w:val="002D0BD9"/>
    <w:rsid w:val="002D13F6"/>
    <w:rsid w:val="002D1EFF"/>
    <w:rsid w:val="002D2B7F"/>
    <w:rsid w:val="002D331B"/>
    <w:rsid w:val="002D33E8"/>
    <w:rsid w:val="002D5216"/>
    <w:rsid w:val="002D5C5B"/>
    <w:rsid w:val="002D5D3F"/>
    <w:rsid w:val="002D650D"/>
    <w:rsid w:val="002D6769"/>
    <w:rsid w:val="002D6FE5"/>
    <w:rsid w:val="002D775A"/>
    <w:rsid w:val="002E00A3"/>
    <w:rsid w:val="002E0503"/>
    <w:rsid w:val="002E1CA7"/>
    <w:rsid w:val="002E3288"/>
    <w:rsid w:val="002E3BCA"/>
    <w:rsid w:val="002E4908"/>
    <w:rsid w:val="002E6F2D"/>
    <w:rsid w:val="002E7206"/>
    <w:rsid w:val="002F0238"/>
    <w:rsid w:val="002F1287"/>
    <w:rsid w:val="002F14FA"/>
    <w:rsid w:val="002F3B92"/>
    <w:rsid w:val="002F4D5E"/>
    <w:rsid w:val="002F50FB"/>
    <w:rsid w:val="002F6563"/>
    <w:rsid w:val="002F716A"/>
    <w:rsid w:val="00300C9D"/>
    <w:rsid w:val="00301735"/>
    <w:rsid w:val="00301857"/>
    <w:rsid w:val="00301E41"/>
    <w:rsid w:val="00302FC9"/>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1AF8"/>
    <w:rsid w:val="00322A65"/>
    <w:rsid w:val="0032388C"/>
    <w:rsid w:val="00324417"/>
    <w:rsid w:val="00324791"/>
    <w:rsid w:val="00324B2C"/>
    <w:rsid w:val="00324E5B"/>
    <w:rsid w:val="00325440"/>
    <w:rsid w:val="0032579A"/>
    <w:rsid w:val="0032615A"/>
    <w:rsid w:val="00326A17"/>
    <w:rsid w:val="0032716F"/>
    <w:rsid w:val="00327CBE"/>
    <w:rsid w:val="00330392"/>
    <w:rsid w:val="0033198B"/>
    <w:rsid w:val="0033589A"/>
    <w:rsid w:val="00335F88"/>
    <w:rsid w:val="0033666A"/>
    <w:rsid w:val="00337C48"/>
    <w:rsid w:val="00337DFD"/>
    <w:rsid w:val="00340164"/>
    <w:rsid w:val="00340B42"/>
    <w:rsid w:val="00342149"/>
    <w:rsid w:val="003428C1"/>
    <w:rsid w:val="003440BD"/>
    <w:rsid w:val="00344581"/>
    <w:rsid w:val="003459E2"/>
    <w:rsid w:val="00346964"/>
    <w:rsid w:val="003471B4"/>
    <w:rsid w:val="00350442"/>
    <w:rsid w:val="00350B3E"/>
    <w:rsid w:val="00352BC7"/>
    <w:rsid w:val="00353BBC"/>
    <w:rsid w:val="00353F42"/>
    <w:rsid w:val="0035474E"/>
    <w:rsid w:val="00354EEE"/>
    <w:rsid w:val="00356A26"/>
    <w:rsid w:val="003573EB"/>
    <w:rsid w:val="00357A93"/>
    <w:rsid w:val="00357B6E"/>
    <w:rsid w:val="00360EA4"/>
    <w:rsid w:val="00362AC9"/>
    <w:rsid w:val="00362C4B"/>
    <w:rsid w:val="003669C8"/>
    <w:rsid w:val="00366C32"/>
    <w:rsid w:val="00367224"/>
    <w:rsid w:val="00370193"/>
    <w:rsid w:val="003704B1"/>
    <w:rsid w:val="00370538"/>
    <w:rsid w:val="003708CD"/>
    <w:rsid w:val="00372E6D"/>
    <w:rsid w:val="00373021"/>
    <w:rsid w:val="00373918"/>
    <w:rsid w:val="003742CF"/>
    <w:rsid w:val="003745DB"/>
    <w:rsid w:val="0037549D"/>
    <w:rsid w:val="0037692B"/>
    <w:rsid w:val="003773AD"/>
    <w:rsid w:val="003807E7"/>
    <w:rsid w:val="0038091E"/>
    <w:rsid w:val="00381C7A"/>
    <w:rsid w:val="00383324"/>
    <w:rsid w:val="00383585"/>
    <w:rsid w:val="00384163"/>
    <w:rsid w:val="00384B25"/>
    <w:rsid w:val="00385898"/>
    <w:rsid w:val="00387E33"/>
    <w:rsid w:val="0039007A"/>
    <w:rsid w:val="00390A6D"/>
    <w:rsid w:val="00390D53"/>
    <w:rsid w:val="00390FB3"/>
    <w:rsid w:val="00391B6F"/>
    <w:rsid w:val="00391BFC"/>
    <w:rsid w:val="00392572"/>
    <w:rsid w:val="003928E1"/>
    <w:rsid w:val="00392B85"/>
    <w:rsid w:val="003943C4"/>
    <w:rsid w:val="00394402"/>
    <w:rsid w:val="00394901"/>
    <w:rsid w:val="00394AC2"/>
    <w:rsid w:val="00395F28"/>
    <w:rsid w:val="003967A2"/>
    <w:rsid w:val="00396C7A"/>
    <w:rsid w:val="00397F28"/>
    <w:rsid w:val="003A07CB"/>
    <w:rsid w:val="003A16F3"/>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6FE6"/>
    <w:rsid w:val="003B7522"/>
    <w:rsid w:val="003B7738"/>
    <w:rsid w:val="003B7B99"/>
    <w:rsid w:val="003C042A"/>
    <w:rsid w:val="003C0F72"/>
    <w:rsid w:val="003C31AF"/>
    <w:rsid w:val="003C384E"/>
    <w:rsid w:val="003C4355"/>
    <w:rsid w:val="003C446B"/>
    <w:rsid w:val="003C729B"/>
    <w:rsid w:val="003C75CF"/>
    <w:rsid w:val="003C7FAE"/>
    <w:rsid w:val="003D0F40"/>
    <w:rsid w:val="003D102F"/>
    <w:rsid w:val="003D1BB7"/>
    <w:rsid w:val="003D1CE4"/>
    <w:rsid w:val="003D283B"/>
    <w:rsid w:val="003D2936"/>
    <w:rsid w:val="003D3F4C"/>
    <w:rsid w:val="003D4446"/>
    <w:rsid w:val="003D4638"/>
    <w:rsid w:val="003D4D1D"/>
    <w:rsid w:val="003D6267"/>
    <w:rsid w:val="003D6E02"/>
    <w:rsid w:val="003D70DF"/>
    <w:rsid w:val="003D7753"/>
    <w:rsid w:val="003D7B97"/>
    <w:rsid w:val="003E0079"/>
    <w:rsid w:val="003E03BB"/>
    <w:rsid w:val="003E07E5"/>
    <w:rsid w:val="003E0C89"/>
    <w:rsid w:val="003E21F7"/>
    <w:rsid w:val="003E22D4"/>
    <w:rsid w:val="003E2B94"/>
    <w:rsid w:val="003E3157"/>
    <w:rsid w:val="003E3836"/>
    <w:rsid w:val="003E3E7D"/>
    <w:rsid w:val="003E441D"/>
    <w:rsid w:val="003E451B"/>
    <w:rsid w:val="003E4B1D"/>
    <w:rsid w:val="003E4CD9"/>
    <w:rsid w:val="003E5CB0"/>
    <w:rsid w:val="003E73BC"/>
    <w:rsid w:val="003F07AF"/>
    <w:rsid w:val="003F0ABA"/>
    <w:rsid w:val="003F0B58"/>
    <w:rsid w:val="003F12B4"/>
    <w:rsid w:val="003F1C7C"/>
    <w:rsid w:val="003F25E5"/>
    <w:rsid w:val="003F27D1"/>
    <w:rsid w:val="003F287E"/>
    <w:rsid w:val="003F3939"/>
    <w:rsid w:val="003F5CC4"/>
    <w:rsid w:val="00400A4D"/>
    <w:rsid w:val="0040233B"/>
    <w:rsid w:val="004023F4"/>
    <w:rsid w:val="00402479"/>
    <w:rsid w:val="00404C07"/>
    <w:rsid w:val="004051BE"/>
    <w:rsid w:val="00406D11"/>
    <w:rsid w:val="00411FED"/>
    <w:rsid w:val="00413872"/>
    <w:rsid w:val="004140BA"/>
    <w:rsid w:val="004144EB"/>
    <w:rsid w:val="004144EE"/>
    <w:rsid w:val="004146BE"/>
    <w:rsid w:val="00414855"/>
    <w:rsid w:val="00415460"/>
    <w:rsid w:val="00415483"/>
    <w:rsid w:val="00415A5E"/>
    <w:rsid w:val="0041704E"/>
    <w:rsid w:val="00417CCE"/>
    <w:rsid w:val="00417EA3"/>
    <w:rsid w:val="00421E3B"/>
    <w:rsid w:val="004246D3"/>
    <w:rsid w:val="00425651"/>
    <w:rsid w:val="00425C2F"/>
    <w:rsid w:val="00425D64"/>
    <w:rsid w:val="00426953"/>
    <w:rsid w:val="00427697"/>
    <w:rsid w:val="00427D2C"/>
    <w:rsid w:val="0043042D"/>
    <w:rsid w:val="00430570"/>
    <w:rsid w:val="00431621"/>
    <w:rsid w:val="00431969"/>
    <w:rsid w:val="00431F78"/>
    <w:rsid w:val="00433F60"/>
    <w:rsid w:val="00435582"/>
    <w:rsid w:val="004357F8"/>
    <w:rsid w:val="00436B64"/>
    <w:rsid w:val="00436BF5"/>
    <w:rsid w:val="0043795F"/>
    <w:rsid w:val="0044114D"/>
    <w:rsid w:val="00441920"/>
    <w:rsid w:val="004419DA"/>
    <w:rsid w:val="004427E2"/>
    <w:rsid w:val="00442945"/>
    <w:rsid w:val="00442F70"/>
    <w:rsid w:val="004430A9"/>
    <w:rsid w:val="00443198"/>
    <w:rsid w:val="0044366E"/>
    <w:rsid w:val="00443A90"/>
    <w:rsid w:val="00443DE7"/>
    <w:rsid w:val="00446BCB"/>
    <w:rsid w:val="00447592"/>
    <w:rsid w:val="0045502C"/>
    <w:rsid w:val="00455C99"/>
    <w:rsid w:val="004572B4"/>
    <w:rsid w:val="00457386"/>
    <w:rsid w:val="004610A5"/>
    <w:rsid w:val="00461752"/>
    <w:rsid w:val="00461AC0"/>
    <w:rsid w:val="00461E0C"/>
    <w:rsid w:val="004622AF"/>
    <w:rsid w:val="00463C5C"/>
    <w:rsid w:val="004659EF"/>
    <w:rsid w:val="00470CC8"/>
    <w:rsid w:val="004715B6"/>
    <w:rsid w:val="0047307A"/>
    <w:rsid w:val="00473696"/>
    <w:rsid w:val="00473CA5"/>
    <w:rsid w:val="00474DBB"/>
    <w:rsid w:val="00474F36"/>
    <w:rsid w:val="00474FC8"/>
    <w:rsid w:val="00475639"/>
    <w:rsid w:val="004760F2"/>
    <w:rsid w:val="004761B9"/>
    <w:rsid w:val="00476B76"/>
    <w:rsid w:val="004800E9"/>
    <w:rsid w:val="00482696"/>
    <w:rsid w:val="004854BF"/>
    <w:rsid w:val="0048674B"/>
    <w:rsid w:val="0048747D"/>
    <w:rsid w:val="0049083D"/>
    <w:rsid w:val="00492432"/>
    <w:rsid w:val="00492787"/>
    <w:rsid w:val="004938FA"/>
    <w:rsid w:val="00493959"/>
    <w:rsid w:val="004949D0"/>
    <w:rsid w:val="00495D41"/>
    <w:rsid w:val="0049771B"/>
    <w:rsid w:val="0049798B"/>
    <w:rsid w:val="00497BCA"/>
    <w:rsid w:val="004A0DC5"/>
    <w:rsid w:val="004A228E"/>
    <w:rsid w:val="004A2A28"/>
    <w:rsid w:val="004A35EA"/>
    <w:rsid w:val="004A41B7"/>
    <w:rsid w:val="004A5287"/>
    <w:rsid w:val="004A53EA"/>
    <w:rsid w:val="004A572B"/>
    <w:rsid w:val="004A6496"/>
    <w:rsid w:val="004A782C"/>
    <w:rsid w:val="004A7831"/>
    <w:rsid w:val="004B0A55"/>
    <w:rsid w:val="004B1011"/>
    <w:rsid w:val="004B14C4"/>
    <w:rsid w:val="004B1F17"/>
    <w:rsid w:val="004B30C3"/>
    <w:rsid w:val="004B35DC"/>
    <w:rsid w:val="004B3AEB"/>
    <w:rsid w:val="004C1D84"/>
    <w:rsid w:val="004C40E8"/>
    <w:rsid w:val="004C4AC9"/>
    <w:rsid w:val="004C4F45"/>
    <w:rsid w:val="004C54A0"/>
    <w:rsid w:val="004C5B03"/>
    <w:rsid w:val="004C749A"/>
    <w:rsid w:val="004C7AC4"/>
    <w:rsid w:val="004D08F5"/>
    <w:rsid w:val="004D12A1"/>
    <w:rsid w:val="004D2B3C"/>
    <w:rsid w:val="004D2C34"/>
    <w:rsid w:val="004D311C"/>
    <w:rsid w:val="004D34A0"/>
    <w:rsid w:val="004D362A"/>
    <w:rsid w:val="004D3C08"/>
    <w:rsid w:val="004D55FA"/>
    <w:rsid w:val="004D5A16"/>
    <w:rsid w:val="004D5B29"/>
    <w:rsid w:val="004D5D76"/>
    <w:rsid w:val="004D5E02"/>
    <w:rsid w:val="004D5F70"/>
    <w:rsid w:val="004D75C4"/>
    <w:rsid w:val="004D75D8"/>
    <w:rsid w:val="004E05E7"/>
    <w:rsid w:val="004E1757"/>
    <w:rsid w:val="004E2F35"/>
    <w:rsid w:val="004E3204"/>
    <w:rsid w:val="004E3FFF"/>
    <w:rsid w:val="004E58C3"/>
    <w:rsid w:val="004E65E9"/>
    <w:rsid w:val="004E66DA"/>
    <w:rsid w:val="004E75A8"/>
    <w:rsid w:val="004E7901"/>
    <w:rsid w:val="004E79BD"/>
    <w:rsid w:val="004F2383"/>
    <w:rsid w:val="004F23E9"/>
    <w:rsid w:val="004F2FF1"/>
    <w:rsid w:val="004F366A"/>
    <w:rsid w:val="004F3D3B"/>
    <w:rsid w:val="004F53C9"/>
    <w:rsid w:val="004F5854"/>
    <w:rsid w:val="004F72E9"/>
    <w:rsid w:val="00500EDA"/>
    <w:rsid w:val="00502D50"/>
    <w:rsid w:val="00503295"/>
    <w:rsid w:val="00503466"/>
    <w:rsid w:val="00503571"/>
    <w:rsid w:val="00503A81"/>
    <w:rsid w:val="00503B2F"/>
    <w:rsid w:val="00503E65"/>
    <w:rsid w:val="005045AE"/>
    <w:rsid w:val="00504CED"/>
    <w:rsid w:val="00504D5D"/>
    <w:rsid w:val="00505BA0"/>
    <w:rsid w:val="00505E50"/>
    <w:rsid w:val="00505FBC"/>
    <w:rsid w:val="005075B6"/>
    <w:rsid w:val="00512853"/>
    <w:rsid w:val="00512C92"/>
    <w:rsid w:val="00514497"/>
    <w:rsid w:val="00514988"/>
    <w:rsid w:val="00515110"/>
    <w:rsid w:val="005154BC"/>
    <w:rsid w:val="00516022"/>
    <w:rsid w:val="0051634A"/>
    <w:rsid w:val="0051662C"/>
    <w:rsid w:val="0051695D"/>
    <w:rsid w:val="00517704"/>
    <w:rsid w:val="00517839"/>
    <w:rsid w:val="00523193"/>
    <w:rsid w:val="005232A0"/>
    <w:rsid w:val="00523347"/>
    <w:rsid w:val="00523390"/>
    <w:rsid w:val="0052440C"/>
    <w:rsid w:val="00524898"/>
    <w:rsid w:val="005249F7"/>
    <w:rsid w:val="005250BF"/>
    <w:rsid w:val="00525620"/>
    <w:rsid w:val="00525715"/>
    <w:rsid w:val="00525DBB"/>
    <w:rsid w:val="005262C2"/>
    <w:rsid w:val="00526680"/>
    <w:rsid w:val="00527A20"/>
    <w:rsid w:val="005300C8"/>
    <w:rsid w:val="00530F5B"/>
    <w:rsid w:val="005310AE"/>
    <w:rsid w:val="005318B9"/>
    <w:rsid w:val="00531B5B"/>
    <w:rsid w:val="00531E07"/>
    <w:rsid w:val="005321F4"/>
    <w:rsid w:val="0053257C"/>
    <w:rsid w:val="0053271E"/>
    <w:rsid w:val="00533178"/>
    <w:rsid w:val="005332F5"/>
    <w:rsid w:val="00534585"/>
    <w:rsid w:val="0053478E"/>
    <w:rsid w:val="00534A1D"/>
    <w:rsid w:val="00535011"/>
    <w:rsid w:val="00535439"/>
    <w:rsid w:val="00536EE4"/>
    <w:rsid w:val="00540F72"/>
    <w:rsid w:val="00542F46"/>
    <w:rsid w:val="00543297"/>
    <w:rsid w:val="00543543"/>
    <w:rsid w:val="00543DB7"/>
    <w:rsid w:val="00545FB5"/>
    <w:rsid w:val="005460F4"/>
    <w:rsid w:val="005469D0"/>
    <w:rsid w:val="00550A92"/>
    <w:rsid w:val="005519BC"/>
    <w:rsid w:val="00551BEE"/>
    <w:rsid w:val="0055360E"/>
    <w:rsid w:val="005545BF"/>
    <w:rsid w:val="00554B81"/>
    <w:rsid w:val="00555069"/>
    <w:rsid w:val="00555A12"/>
    <w:rsid w:val="00555CA0"/>
    <w:rsid w:val="00557536"/>
    <w:rsid w:val="00557627"/>
    <w:rsid w:val="00560E96"/>
    <w:rsid w:val="005611AB"/>
    <w:rsid w:val="005618BC"/>
    <w:rsid w:val="00564D12"/>
    <w:rsid w:val="0056564F"/>
    <w:rsid w:val="00566962"/>
    <w:rsid w:val="005673FC"/>
    <w:rsid w:val="00567F85"/>
    <w:rsid w:val="005716DE"/>
    <w:rsid w:val="0057289E"/>
    <w:rsid w:val="00572F46"/>
    <w:rsid w:val="005777A9"/>
    <w:rsid w:val="00580871"/>
    <w:rsid w:val="0058183A"/>
    <w:rsid w:val="00584D1A"/>
    <w:rsid w:val="005850E9"/>
    <w:rsid w:val="00585605"/>
    <w:rsid w:val="00585FF4"/>
    <w:rsid w:val="00587D7D"/>
    <w:rsid w:val="00590A8E"/>
    <w:rsid w:val="005921ED"/>
    <w:rsid w:val="00592536"/>
    <w:rsid w:val="00592CAB"/>
    <w:rsid w:val="00593628"/>
    <w:rsid w:val="00593636"/>
    <w:rsid w:val="0059500A"/>
    <w:rsid w:val="00596A48"/>
    <w:rsid w:val="00597281"/>
    <w:rsid w:val="005A0588"/>
    <w:rsid w:val="005A08BE"/>
    <w:rsid w:val="005A098A"/>
    <w:rsid w:val="005A34F9"/>
    <w:rsid w:val="005A3BEF"/>
    <w:rsid w:val="005A3CB8"/>
    <w:rsid w:val="005A4358"/>
    <w:rsid w:val="005A4F7D"/>
    <w:rsid w:val="005A5F10"/>
    <w:rsid w:val="005A6378"/>
    <w:rsid w:val="005A69E2"/>
    <w:rsid w:val="005A6C7B"/>
    <w:rsid w:val="005A6CAA"/>
    <w:rsid w:val="005B01F2"/>
    <w:rsid w:val="005B4F29"/>
    <w:rsid w:val="005B5378"/>
    <w:rsid w:val="005B5F54"/>
    <w:rsid w:val="005C01C6"/>
    <w:rsid w:val="005C0E15"/>
    <w:rsid w:val="005C1345"/>
    <w:rsid w:val="005C3D9A"/>
    <w:rsid w:val="005C4A93"/>
    <w:rsid w:val="005C4FA1"/>
    <w:rsid w:val="005C5271"/>
    <w:rsid w:val="005C55BC"/>
    <w:rsid w:val="005D090E"/>
    <w:rsid w:val="005D33F7"/>
    <w:rsid w:val="005D40C7"/>
    <w:rsid w:val="005D436B"/>
    <w:rsid w:val="005D4382"/>
    <w:rsid w:val="005D4D4F"/>
    <w:rsid w:val="005D5B48"/>
    <w:rsid w:val="005D60FF"/>
    <w:rsid w:val="005D6922"/>
    <w:rsid w:val="005D6DBA"/>
    <w:rsid w:val="005D74D6"/>
    <w:rsid w:val="005D75C3"/>
    <w:rsid w:val="005E0C51"/>
    <w:rsid w:val="005E12DC"/>
    <w:rsid w:val="005E214B"/>
    <w:rsid w:val="005E24EC"/>
    <w:rsid w:val="005E50A3"/>
    <w:rsid w:val="005E5393"/>
    <w:rsid w:val="005E56CB"/>
    <w:rsid w:val="005E6754"/>
    <w:rsid w:val="005E7204"/>
    <w:rsid w:val="005F05CF"/>
    <w:rsid w:val="005F10BC"/>
    <w:rsid w:val="005F178B"/>
    <w:rsid w:val="005F2E90"/>
    <w:rsid w:val="005F3184"/>
    <w:rsid w:val="005F35E2"/>
    <w:rsid w:val="005F4702"/>
    <w:rsid w:val="005F4A9E"/>
    <w:rsid w:val="005F4C5B"/>
    <w:rsid w:val="005F5031"/>
    <w:rsid w:val="005F5398"/>
    <w:rsid w:val="005F6D05"/>
    <w:rsid w:val="005F7159"/>
    <w:rsid w:val="005F7940"/>
    <w:rsid w:val="006000EA"/>
    <w:rsid w:val="00600271"/>
    <w:rsid w:val="006015C3"/>
    <w:rsid w:val="0060192A"/>
    <w:rsid w:val="00601F67"/>
    <w:rsid w:val="00602E36"/>
    <w:rsid w:val="00603D1C"/>
    <w:rsid w:val="00603EE2"/>
    <w:rsid w:val="00604B46"/>
    <w:rsid w:val="00607554"/>
    <w:rsid w:val="00607CD1"/>
    <w:rsid w:val="00610F01"/>
    <w:rsid w:val="00611F5F"/>
    <w:rsid w:val="00613C23"/>
    <w:rsid w:val="00613EA0"/>
    <w:rsid w:val="00613F67"/>
    <w:rsid w:val="0061492A"/>
    <w:rsid w:val="0061524E"/>
    <w:rsid w:val="00615576"/>
    <w:rsid w:val="0061563D"/>
    <w:rsid w:val="006158BA"/>
    <w:rsid w:val="00615BEA"/>
    <w:rsid w:val="00617175"/>
    <w:rsid w:val="006172CD"/>
    <w:rsid w:val="006207F3"/>
    <w:rsid w:val="006212C0"/>
    <w:rsid w:val="006216D9"/>
    <w:rsid w:val="0062174A"/>
    <w:rsid w:val="00621F3C"/>
    <w:rsid w:val="00623C44"/>
    <w:rsid w:val="00625470"/>
    <w:rsid w:val="00625C7F"/>
    <w:rsid w:val="006301EB"/>
    <w:rsid w:val="006313B8"/>
    <w:rsid w:val="00631505"/>
    <w:rsid w:val="006327F5"/>
    <w:rsid w:val="0063491D"/>
    <w:rsid w:val="00635B90"/>
    <w:rsid w:val="00636992"/>
    <w:rsid w:val="00637857"/>
    <w:rsid w:val="00640D08"/>
    <w:rsid w:val="00640D3D"/>
    <w:rsid w:val="00642706"/>
    <w:rsid w:val="00642A13"/>
    <w:rsid w:val="00642A8F"/>
    <w:rsid w:val="006437DA"/>
    <w:rsid w:val="00643ECB"/>
    <w:rsid w:val="0064401B"/>
    <w:rsid w:val="0064422C"/>
    <w:rsid w:val="00644D7F"/>
    <w:rsid w:val="00645170"/>
    <w:rsid w:val="006451ED"/>
    <w:rsid w:val="00645E6F"/>
    <w:rsid w:val="00650171"/>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38B"/>
    <w:rsid w:val="00662E16"/>
    <w:rsid w:val="00662E83"/>
    <w:rsid w:val="006638DD"/>
    <w:rsid w:val="00663DDD"/>
    <w:rsid w:val="00664676"/>
    <w:rsid w:val="00664F45"/>
    <w:rsid w:val="006652C6"/>
    <w:rsid w:val="00665368"/>
    <w:rsid w:val="00666BF3"/>
    <w:rsid w:val="00667712"/>
    <w:rsid w:val="00667FDE"/>
    <w:rsid w:val="006706A5"/>
    <w:rsid w:val="006709E7"/>
    <w:rsid w:val="0067105F"/>
    <w:rsid w:val="00671138"/>
    <w:rsid w:val="0067116A"/>
    <w:rsid w:val="00671309"/>
    <w:rsid w:val="00671A52"/>
    <w:rsid w:val="00671D61"/>
    <w:rsid w:val="00672658"/>
    <w:rsid w:val="00672851"/>
    <w:rsid w:val="0067365B"/>
    <w:rsid w:val="00673BE6"/>
    <w:rsid w:val="0067587A"/>
    <w:rsid w:val="00676A37"/>
    <w:rsid w:val="00677D41"/>
    <w:rsid w:val="00680324"/>
    <w:rsid w:val="00680C89"/>
    <w:rsid w:val="006811E0"/>
    <w:rsid w:val="006836BF"/>
    <w:rsid w:val="0068534E"/>
    <w:rsid w:val="00685438"/>
    <w:rsid w:val="00685C47"/>
    <w:rsid w:val="00686195"/>
    <w:rsid w:val="00686458"/>
    <w:rsid w:val="0068734F"/>
    <w:rsid w:val="006873CB"/>
    <w:rsid w:val="006878D9"/>
    <w:rsid w:val="006906C5"/>
    <w:rsid w:val="00690B33"/>
    <w:rsid w:val="00690F25"/>
    <w:rsid w:val="00691CB9"/>
    <w:rsid w:val="00692A55"/>
    <w:rsid w:val="00693910"/>
    <w:rsid w:val="00693A68"/>
    <w:rsid w:val="00694864"/>
    <w:rsid w:val="00694B21"/>
    <w:rsid w:val="00694C5E"/>
    <w:rsid w:val="00695654"/>
    <w:rsid w:val="006A0461"/>
    <w:rsid w:val="006A0550"/>
    <w:rsid w:val="006A0B82"/>
    <w:rsid w:val="006A172E"/>
    <w:rsid w:val="006A2550"/>
    <w:rsid w:val="006A29BE"/>
    <w:rsid w:val="006A4113"/>
    <w:rsid w:val="006A4C05"/>
    <w:rsid w:val="006A5CFC"/>
    <w:rsid w:val="006A5DB1"/>
    <w:rsid w:val="006A780B"/>
    <w:rsid w:val="006A7DB6"/>
    <w:rsid w:val="006B1632"/>
    <w:rsid w:val="006B23FF"/>
    <w:rsid w:val="006B247F"/>
    <w:rsid w:val="006B3C0B"/>
    <w:rsid w:val="006B460D"/>
    <w:rsid w:val="006B59EF"/>
    <w:rsid w:val="006C0F2D"/>
    <w:rsid w:val="006C2D84"/>
    <w:rsid w:val="006C3710"/>
    <w:rsid w:val="006C49EB"/>
    <w:rsid w:val="006C56A5"/>
    <w:rsid w:val="006C58A2"/>
    <w:rsid w:val="006C5BFF"/>
    <w:rsid w:val="006C5D46"/>
    <w:rsid w:val="006C5DAF"/>
    <w:rsid w:val="006C65F1"/>
    <w:rsid w:val="006D0207"/>
    <w:rsid w:val="006D04EE"/>
    <w:rsid w:val="006D1519"/>
    <w:rsid w:val="006D250A"/>
    <w:rsid w:val="006D260C"/>
    <w:rsid w:val="006D3169"/>
    <w:rsid w:val="006D4E3D"/>
    <w:rsid w:val="006D590F"/>
    <w:rsid w:val="006D60A4"/>
    <w:rsid w:val="006D6E56"/>
    <w:rsid w:val="006E0ACD"/>
    <w:rsid w:val="006E19CA"/>
    <w:rsid w:val="006E270D"/>
    <w:rsid w:val="006E2F84"/>
    <w:rsid w:val="006E3777"/>
    <w:rsid w:val="006E3E10"/>
    <w:rsid w:val="006E50F1"/>
    <w:rsid w:val="006E7B1A"/>
    <w:rsid w:val="006F0018"/>
    <w:rsid w:val="006F32C7"/>
    <w:rsid w:val="006F381F"/>
    <w:rsid w:val="006F4482"/>
    <w:rsid w:val="006F45BC"/>
    <w:rsid w:val="006F472E"/>
    <w:rsid w:val="006F4D03"/>
    <w:rsid w:val="006F59DE"/>
    <w:rsid w:val="006F5C13"/>
    <w:rsid w:val="00700664"/>
    <w:rsid w:val="00700917"/>
    <w:rsid w:val="00700E59"/>
    <w:rsid w:val="00701FAC"/>
    <w:rsid w:val="00702EF7"/>
    <w:rsid w:val="00704460"/>
    <w:rsid w:val="007047B6"/>
    <w:rsid w:val="00704A66"/>
    <w:rsid w:val="007052E1"/>
    <w:rsid w:val="0070698C"/>
    <w:rsid w:val="00706A32"/>
    <w:rsid w:val="007078B7"/>
    <w:rsid w:val="00710EAE"/>
    <w:rsid w:val="007119DA"/>
    <w:rsid w:val="007132B5"/>
    <w:rsid w:val="0071440E"/>
    <w:rsid w:val="00714A09"/>
    <w:rsid w:val="00715A44"/>
    <w:rsid w:val="00715D19"/>
    <w:rsid w:val="00716C70"/>
    <w:rsid w:val="00716DBB"/>
    <w:rsid w:val="00717887"/>
    <w:rsid w:val="00717AA6"/>
    <w:rsid w:val="00717AE2"/>
    <w:rsid w:val="00720090"/>
    <w:rsid w:val="007227BD"/>
    <w:rsid w:val="00723F00"/>
    <w:rsid w:val="0072472D"/>
    <w:rsid w:val="0072487D"/>
    <w:rsid w:val="007258B9"/>
    <w:rsid w:val="007262BB"/>
    <w:rsid w:val="007302CD"/>
    <w:rsid w:val="00732C4E"/>
    <w:rsid w:val="00733D05"/>
    <w:rsid w:val="0073478E"/>
    <w:rsid w:val="00735921"/>
    <w:rsid w:val="00736CA8"/>
    <w:rsid w:val="00737C3A"/>
    <w:rsid w:val="00737D14"/>
    <w:rsid w:val="00737F05"/>
    <w:rsid w:val="007431F5"/>
    <w:rsid w:val="00743716"/>
    <w:rsid w:val="00745223"/>
    <w:rsid w:val="00745908"/>
    <w:rsid w:val="00747304"/>
    <w:rsid w:val="007473AC"/>
    <w:rsid w:val="007477F4"/>
    <w:rsid w:val="0075077E"/>
    <w:rsid w:val="00752178"/>
    <w:rsid w:val="0075282E"/>
    <w:rsid w:val="00752F02"/>
    <w:rsid w:val="00754881"/>
    <w:rsid w:val="00754AB5"/>
    <w:rsid w:val="0075617D"/>
    <w:rsid w:val="007564AB"/>
    <w:rsid w:val="00756930"/>
    <w:rsid w:val="00756975"/>
    <w:rsid w:val="00756DFA"/>
    <w:rsid w:val="00757C4B"/>
    <w:rsid w:val="007611CB"/>
    <w:rsid w:val="00761B0B"/>
    <w:rsid w:val="007631E0"/>
    <w:rsid w:val="00765781"/>
    <w:rsid w:val="00766353"/>
    <w:rsid w:val="00766448"/>
    <w:rsid w:val="00766FE8"/>
    <w:rsid w:val="00771098"/>
    <w:rsid w:val="00773BDD"/>
    <w:rsid w:val="00774460"/>
    <w:rsid w:val="00774707"/>
    <w:rsid w:val="00776EC9"/>
    <w:rsid w:val="00780296"/>
    <w:rsid w:val="00780707"/>
    <w:rsid w:val="00780972"/>
    <w:rsid w:val="00780E2F"/>
    <w:rsid w:val="00781C27"/>
    <w:rsid w:val="00783363"/>
    <w:rsid w:val="00784FC3"/>
    <w:rsid w:val="00787B2C"/>
    <w:rsid w:val="00787B36"/>
    <w:rsid w:val="00787D24"/>
    <w:rsid w:val="00791BEA"/>
    <w:rsid w:val="00791DBC"/>
    <w:rsid w:val="00791EEE"/>
    <w:rsid w:val="007946EB"/>
    <w:rsid w:val="0079543C"/>
    <w:rsid w:val="00795F8D"/>
    <w:rsid w:val="00796AEA"/>
    <w:rsid w:val="007A1316"/>
    <w:rsid w:val="007A1DC5"/>
    <w:rsid w:val="007A20AD"/>
    <w:rsid w:val="007A28CD"/>
    <w:rsid w:val="007A3463"/>
    <w:rsid w:val="007A5A18"/>
    <w:rsid w:val="007A5D05"/>
    <w:rsid w:val="007A5E2B"/>
    <w:rsid w:val="007A6BB9"/>
    <w:rsid w:val="007A7331"/>
    <w:rsid w:val="007A7415"/>
    <w:rsid w:val="007B0CB0"/>
    <w:rsid w:val="007B116D"/>
    <w:rsid w:val="007B1A13"/>
    <w:rsid w:val="007B1F99"/>
    <w:rsid w:val="007B27DF"/>
    <w:rsid w:val="007B3A86"/>
    <w:rsid w:val="007B3DF4"/>
    <w:rsid w:val="007B54ED"/>
    <w:rsid w:val="007B596C"/>
    <w:rsid w:val="007B63CE"/>
    <w:rsid w:val="007B6462"/>
    <w:rsid w:val="007B6EF3"/>
    <w:rsid w:val="007C1F95"/>
    <w:rsid w:val="007C2AE2"/>
    <w:rsid w:val="007C2F4E"/>
    <w:rsid w:val="007C31CC"/>
    <w:rsid w:val="007C32C3"/>
    <w:rsid w:val="007C3745"/>
    <w:rsid w:val="007C37E5"/>
    <w:rsid w:val="007C3E46"/>
    <w:rsid w:val="007C47D0"/>
    <w:rsid w:val="007C6751"/>
    <w:rsid w:val="007D0987"/>
    <w:rsid w:val="007D0E00"/>
    <w:rsid w:val="007D0FC5"/>
    <w:rsid w:val="007D16EA"/>
    <w:rsid w:val="007D1913"/>
    <w:rsid w:val="007D19CF"/>
    <w:rsid w:val="007D1DA4"/>
    <w:rsid w:val="007D20B0"/>
    <w:rsid w:val="007D2143"/>
    <w:rsid w:val="007D298C"/>
    <w:rsid w:val="007D2A4C"/>
    <w:rsid w:val="007D30DA"/>
    <w:rsid w:val="007D3420"/>
    <w:rsid w:val="007D5362"/>
    <w:rsid w:val="007D6110"/>
    <w:rsid w:val="007D6BBA"/>
    <w:rsid w:val="007D6C48"/>
    <w:rsid w:val="007D71F7"/>
    <w:rsid w:val="007E000F"/>
    <w:rsid w:val="007E156E"/>
    <w:rsid w:val="007E2E70"/>
    <w:rsid w:val="007E3501"/>
    <w:rsid w:val="007E4C3F"/>
    <w:rsid w:val="007E52B4"/>
    <w:rsid w:val="007E65B1"/>
    <w:rsid w:val="007F0FF4"/>
    <w:rsid w:val="007F19ED"/>
    <w:rsid w:val="007F2683"/>
    <w:rsid w:val="007F2956"/>
    <w:rsid w:val="007F2E32"/>
    <w:rsid w:val="007F44AF"/>
    <w:rsid w:val="007F6940"/>
    <w:rsid w:val="007F6A11"/>
    <w:rsid w:val="007F7D0F"/>
    <w:rsid w:val="008002AA"/>
    <w:rsid w:val="008015EA"/>
    <w:rsid w:val="008018EF"/>
    <w:rsid w:val="0080230D"/>
    <w:rsid w:val="0080261F"/>
    <w:rsid w:val="0080369A"/>
    <w:rsid w:val="008036FD"/>
    <w:rsid w:val="0080383D"/>
    <w:rsid w:val="00806744"/>
    <w:rsid w:val="00807429"/>
    <w:rsid w:val="00810827"/>
    <w:rsid w:val="008127D6"/>
    <w:rsid w:val="00814E45"/>
    <w:rsid w:val="00815360"/>
    <w:rsid w:val="008177BC"/>
    <w:rsid w:val="00817DA7"/>
    <w:rsid w:val="0082161C"/>
    <w:rsid w:val="00821B16"/>
    <w:rsid w:val="00823378"/>
    <w:rsid w:val="008243DF"/>
    <w:rsid w:val="0082459D"/>
    <w:rsid w:val="00824CEF"/>
    <w:rsid w:val="008254AB"/>
    <w:rsid w:val="00825D30"/>
    <w:rsid w:val="00826480"/>
    <w:rsid w:val="00830148"/>
    <w:rsid w:val="008316AD"/>
    <w:rsid w:val="00831855"/>
    <w:rsid w:val="00832D13"/>
    <w:rsid w:val="0083362F"/>
    <w:rsid w:val="00835315"/>
    <w:rsid w:val="00835AEB"/>
    <w:rsid w:val="00836BE5"/>
    <w:rsid w:val="00837A0A"/>
    <w:rsid w:val="00840D0F"/>
    <w:rsid w:val="0084200E"/>
    <w:rsid w:val="00842A84"/>
    <w:rsid w:val="00842FDE"/>
    <w:rsid w:val="0084347A"/>
    <w:rsid w:val="008445D4"/>
    <w:rsid w:val="008446F1"/>
    <w:rsid w:val="00846FF0"/>
    <w:rsid w:val="00847CD0"/>
    <w:rsid w:val="0085253F"/>
    <w:rsid w:val="00854B56"/>
    <w:rsid w:val="00855374"/>
    <w:rsid w:val="00856680"/>
    <w:rsid w:val="0085728C"/>
    <w:rsid w:val="00857A42"/>
    <w:rsid w:val="00857F65"/>
    <w:rsid w:val="00860737"/>
    <w:rsid w:val="008611A4"/>
    <w:rsid w:val="008618EB"/>
    <w:rsid w:val="00861FD7"/>
    <w:rsid w:val="00862B1B"/>
    <w:rsid w:val="00862B56"/>
    <w:rsid w:val="0086363F"/>
    <w:rsid w:val="008639C9"/>
    <w:rsid w:val="00864FF6"/>
    <w:rsid w:val="008667AD"/>
    <w:rsid w:val="00866D13"/>
    <w:rsid w:val="008703CA"/>
    <w:rsid w:val="008732A2"/>
    <w:rsid w:val="00874491"/>
    <w:rsid w:val="00874DEF"/>
    <w:rsid w:val="00876D09"/>
    <w:rsid w:val="008771FE"/>
    <w:rsid w:val="00877308"/>
    <w:rsid w:val="00877619"/>
    <w:rsid w:val="0088013C"/>
    <w:rsid w:val="00881882"/>
    <w:rsid w:val="00882AC7"/>
    <w:rsid w:val="00882CC5"/>
    <w:rsid w:val="008835E3"/>
    <w:rsid w:val="008841A6"/>
    <w:rsid w:val="00884452"/>
    <w:rsid w:val="008905D7"/>
    <w:rsid w:val="0089078C"/>
    <w:rsid w:val="0089213D"/>
    <w:rsid w:val="008934C7"/>
    <w:rsid w:val="008957C4"/>
    <w:rsid w:val="00895B87"/>
    <w:rsid w:val="00895EB5"/>
    <w:rsid w:val="008960B7"/>
    <w:rsid w:val="008962F2"/>
    <w:rsid w:val="0089636B"/>
    <w:rsid w:val="00896511"/>
    <w:rsid w:val="00896657"/>
    <w:rsid w:val="0089692A"/>
    <w:rsid w:val="00896F35"/>
    <w:rsid w:val="008975E7"/>
    <w:rsid w:val="008A08D2"/>
    <w:rsid w:val="008A0DE1"/>
    <w:rsid w:val="008A1D9A"/>
    <w:rsid w:val="008A2E7B"/>
    <w:rsid w:val="008A3967"/>
    <w:rsid w:val="008A3EA4"/>
    <w:rsid w:val="008A3FB1"/>
    <w:rsid w:val="008A7133"/>
    <w:rsid w:val="008A7AE9"/>
    <w:rsid w:val="008B0C5E"/>
    <w:rsid w:val="008B1D85"/>
    <w:rsid w:val="008B24E5"/>
    <w:rsid w:val="008B270A"/>
    <w:rsid w:val="008B3920"/>
    <w:rsid w:val="008B431A"/>
    <w:rsid w:val="008B496B"/>
    <w:rsid w:val="008B5813"/>
    <w:rsid w:val="008B5ADC"/>
    <w:rsid w:val="008B5B9D"/>
    <w:rsid w:val="008B68C6"/>
    <w:rsid w:val="008B6F16"/>
    <w:rsid w:val="008B6F4B"/>
    <w:rsid w:val="008C0156"/>
    <w:rsid w:val="008C0189"/>
    <w:rsid w:val="008C0257"/>
    <w:rsid w:val="008C0920"/>
    <w:rsid w:val="008C12FB"/>
    <w:rsid w:val="008C1B2A"/>
    <w:rsid w:val="008C2607"/>
    <w:rsid w:val="008C465E"/>
    <w:rsid w:val="008C4CE4"/>
    <w:rsid w:val="008C5AA7"/>
    <w:rsid w:val="008C6787"/>
    <w:rsid w:val="008C73D6"/>
    <w:rsid w:val="008D0C62"/>
    <w:rsid w:val="008D11D1"/>
    <w:rsid w:val="008D20C1"/>
    <w:rsid w:val="008D2CD6"/>
    <w:rsid w:val="008D4939"/>
    <w:rsid w:val="008D4E6C"/>
    <w:rsid w:val="008D50C8"/>
    <w:rsid w:val="008D790B"/>
    <w:rsid w:val="008D7FC7"/>
    <w:rsid w:val="008E0C04"/>
    <w:rsid w:val="008E0FE3"/>
    <w:rsid w:val="008E2737"/>
    <w:rsid w:val="008E3D60"/>
    <w:rsid w:val="008E45DB"/>
    <w:rsid w:val="008E4DCD"/>
    <w:rsid w:val="008E4E47"/>
    <w:rsid w:val="008E6098"/>
    <w:rsid w:val="008E60C9"/>
    <w:rsid w:val="008E7390"/>
    <w:rsid w:val="008E78CF"/>
    <w:rsid w:val="008E7B58"/>
    <w:rsid w:val="008F05C2"/>
    <w:rsid w:val="008F1D7A"/>
    <w:rsid w:val="008F1F00"/>
    <w:rsid w:val="008F41ED"/>
    <w:rsid w:val="008F42BB"/>
    <w:rsid w:val="008F47D1"/>
    <w:rsid w:val="008F4D6F"/>
    <w:rsid w:val="008F6D2B"/>
    <w:rsid w:val="008F7005"/>
    <w:rsid w:val="00901E6F"/>
    <w:rsid w:val="0090291C"/>
    <w:rsid w:val="009043BE"/>
    <w:rsid w:val="00905434"/>
    <w:rsid w:val="00905BBA"/>
    <w:rsid w:val="00905C39"/>
    <w:rsid w:val="00905E46"/>
    <w:rsid w:val="00906628"/>
    <w:rsid w:val="009072F6"/>
    <w:rsid w:val="00907697"/>
    <w:rsid w:val="00910B93"/>
    <w:rsid w:val="00910D1A"/>
    <w:rsid w:val="009113AE"/>
    <w:rsid w:val="009116CC"/>
    <w:rsid w:val="00911955"/>
    <w:rsid w:val="00911A3E"/>
    <w:rsid w:val="00912262"/>
    <w:rsid w:val="00912A52"/>
    <w:rsid w:val="00912BE1"/>
    <w:rsid w:val="00912F87"/>
    <w:rsid w:val="00913539"/>
    <w:rsid w:val="009160E0"/>
    <w:rsid w:val="00921B80"/>
    <w:rsid w:val="00921F3C"/>
    <w:rsid w:val="00922ACD"/>
    <w:rsid w:val="00923A05"/>
    <w:rsid w:val="00924F4A"/>
    <w:rsid w:val="009259EF"/>
    <w:rsid w:val="00926659"/>
    <w:rsid w:val="00927725"/>
    <w:rsid w:val="00927DC4"/>
    <w:rsid w:val="009304FE"/>
    <w:rsid w:val="00930782"/>
    <w:rsid w:val="009310F0"/>
    <w:rsid w:val="0093251E"/>
    <w:rsid w:val="009334C5"/>
    <w:rsid w:val="0093422B"/>
    <w:rsid w:val="00934A5A"/>
    <w:rsid w:val="009353DF"/>
    <w:rsid w:val="0093570A"/>
    <w:rsid w:val="00935F40"/>
    <w:rsid w:val="009363C8"/>
    <w:rsid w:val="00936C3C"/>
    <w:rsid w:val="00936EC8"/>
    <w:rsid w:val="00936FE7"/>
    <w:rsid w:val="009378D2"/>
    <w:rsid w:val="00941138"/>
    <w:rsid w:val="00942DAE"/>
    <w:rsid w:val="009438D8"/>
    <w:rsid w:val="00943F6E"/>
    <w:rsid w:val="00945CCD"/>
    <w:rsid w:val="00945D59"/>
    <w:rsid w:val="009464BC"/>
    <w:rsid w:val="00947F9D"/>
    <w:rsid w:val="00951D24"/>
    <w:rsid w:val="00952049"/>
    <w:rsid w:val="00952C86"/>
    <w:rsid w:val="00953BC2"/>
    <w:rsid w:val="009542EE"/>
    <w:rsid w:val="00954986"/>
    <w:rsid w:val="00955385"/>
    <w:rsid w:val="00955739"/>
    <w:rsid w:val="009559AF"/>
    <w:rsid w:val="009564F3"/>
    <w:rsid w:val="009565E3"/>
    <w:rsid w:val="00956972"/>
    <w:rsid w:val="00956DDF"/>
    <w:rsid w:val="0095714D"/>
    <w:rsid w:val="00957687"/>
    <w:rsid w:val="00957E20"/>
    <w:rsid w:val="00961E91"/>
    <w:rsid w:val="00963876"/>
    <w:rsid w:val="00964A74"/>
    <w:rsid w:val="00964CD3"/>
    <w:rsid w:val="00964F54"/>
    <w:rsid w:val="00966051"/>
    <w:rsid w:val="00970E28"/>
    <w:rsid w:val="00973088"/>
    <w:rsid w:val="00974428"/>
    <w:rsid w:val="00974568"/>
    <w:rsid w:val="0097493A"/>
    <w:rsid w:val="0097619C"/>
    <w:rsid w:val="009765DF"/>
    <w:rsid w:val="00977973"/>
    <w:rsid w:val="00981EB5"/>
    <w:rsid w:val="00981F79"/>
    <w:rsid w:val="009834E9"/>
    <w:rsid w:val="00983A72"/>
    <w:rsid w:val="009850EF"/>
    <w:rsid w:val="009868FC"/>
    <w:rsid w:val="00986D78"/>
    <w:rsid w:val="0098776F"/>
    <w:rsid w:val="00987FE0"/>
    <w:rsid w:val="00990566"/>
    <w:rsid w:val="00991A16"/>
    <w:rsid w:val="00991AA5"/>
    <w:rsid w:val="00993BEE"/>
    <w:rsid w:val="00995CC1"/>
    <w:rsid w:val="009961EE"/>
    <w:rsid w:val="0099682E"/>
    <w:rsid w:val="00996FC8"/>
    <w:rsid w:val="00997386"/>
    <w:rsid w:val="009A08CF"/>
    <w:rsid w:val="009A0BF1"/>
    <w:rsid w:val="009A23A4"/>
    <w:rsid w:val="009A2E64"/>
    <w:rsid w:val="009A34CB"/>
    <w:rsid w:val="009A3BAF"/>
    <w:rsid w:val="009A43AF"/>
    <w:rsid w:val="009A4914"/>
    <w:rsid w:val="009A4ED0"/>
    <w:rsid w:val="009A6EF9"/>
    <w:rsid w:val="009B0086"/>
    <w:rsid w:val="009B044D"/>
    <w:rsid w:val="009B0DF1"/>
    <w:rsid w:val="009B15CF"/>
    <w:rsid w:val="009B32BB"/>
    <w:rsid w:val="009B4416"/>
    <w:rsid w:val="009B4B28"/>
    <w:rsid w:val="009B4E8F"/>
    <w:rsid w:val="009B5E0E"/>
    <w:rsid w:val="009B75B8"/>
    <w:rsid w:val="009B7FCB"/>
    <w:rsid w:val="009C07DF"/>
    <w:rsid w:val="009C0E2E"/>
    <w:rsid w:val="009C1047"/>
    <w:rsid w:val="009C1908"/>
    <w:rsid w:val="009C190C"/>
    <w:rsid w:val="009C2357"/>
    <w:rsid w:val="009C2436"/>
    <w:rsid w:val="009C2FEF"/>
    <w:rsid w:val="009C302B"/>
    <w:rsid w:val="009C65B2"/>
    <w:rsid w:val="009C77A0"/>
    <w:rsid w:val="009C79CB"/>
    <w:rsid w:val="009C7C61"/>
    <w:rsid w:val="009D145F"/>
    <w:rsid w:val="009D1640"/>
    <w:rsid w:val="009D21D0"/>
    <w:rsid w:val="009D2D1D"/>
    <w:rsid w:val="009D2FBA"/>
    <w:rsid w:val="009D351E"/>
    <w:rsid w:val="009D5EAE"/>
    <w:rsid w:val="009D6D73"/>
    <w:rsid w:val="009D73AC"/>
    <w:rsid w:val="009D7787"/>
    <w:rsid w:val="009E02C9"/>
    <w:rsid w:val="009E1660"/>
    <w:rsid w:val="009E1F68"/>
    <w:rsid w:val="009E2A96"/>
    <w:rsid w:val="009E359F"/>
    <w:rsid w:val="009E39DC"/>
    <w:rsid w:val="009E3FC0"/>
    <w:rsid w:val="009E44D4"/>
    <w:rsid w:val="009E455F"/>
    <w:rsid w:val="009E5645"/>
    <w:rsid w:val="009E56B4"/>
    <w:rsid w:val="009E59A2"/>
    <w:rsid w:val="009E67DD"/>
    <w:rsid w:val="009E7F5C"/>
    <w:rsid w:val="009F00E2"/>
    <w:rsid w:val="009F43C3"/>
    <w:rsid w:val="009F4C44"/>
    <w:rsid w:val="009F61A9"/>
    <w:rsid w:val="009F61B8"/>
    <w:rsid w:val="009F6A19"/>
    <w:rsid w:val="00A00004"/>
    <w:rsid w:val="00A020B4"/>
    <w:rsid w:val="00A02F3C"/>
    <w:rsid w:val="00A03358"/>
    <w:rsid w:val="00A03F03"/>
    <w:rsid w:val="00A043FE"/>
    <w:rsid w:val="00A044A3"/>
    <w:rsid w:val="00A0471E"/>
    <w:rsid w:val="00A05520"/>
    <w:rsid w:val="00A05916"/>
    <w:rsid w:val="00A05AA6"/>
    <w:rsid w:val="00A06192"/>
    <w:rsid w:val="00A07065"/>
    <w:rsid w:val="00A071FE"/>
    <w:rsid w:val="00A10886"/>
    <w:rsid w:val="00A11861"/>
    <w:rsid w:val="00A1266A"/>
    <w:rsid w:val="00A1389B"/>
    <w:rsid w:val="00A1622A"/>
    <w:rsid w:val="00A16E6B"/>
    <w:rsid w:val="00A16EEB"/>
    <w:rsid w:val="00A20575"/>
    <w:rsid w:val="00A208EB"/>
    <w:rsid w:val="00A2114F"/>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46FE"/>
    <w:rsid w:val="00A3596C"/>
    <w:rsid w:val="00A36B1D"/>
    <w:rsid w:val="00A36E14"/>
    <w:rsid w:val="00A40446"/>
    <w:rsid w:val="00A40A8F"/>
    <w:rsid w:val="00A41B06"/>
    <w:rsid w:val="00A4277B"/>
    <w:rsid w:val="00A43468"/>
    <w:rsid w:val="00A437BB"/>
    <w:rsid w:val="00A4716C"/>
    <w:rsid w:val="00A50430"/>
    <w:rsid w:val="00A50DA6"/>
    <w:rsid w:val="00A511E6"/>
    <w:rsid w:val="00A51BBE"/>
    <w:rsid w:val="00A52978"/>
    <w:rsid w:val="00A52C86"/>
    <w:rsid w:val="00A52E94"/>
    <w:rsid w:val="00A53130"/>
    <w:rsid w:val="00A5412B"/>
    <w:rsid w:val="00A55158"/>
    <w:rsid w:val="00A55E3E"/>
    <w:rsid w:val="00A578A7"/>
    <w:rsid w:val="00A57DA5"/>
    <w:rsid w:val="00A6042C"/>
    <w:rsid w:val="00A628DE"/>
    <w:rsid w:val="00A63B97"/>
    <w:rsid w:val="00A64735"/>
    <w:rsid w:val="00A64AC6"/>
    <w:rsid w:val="00A66253"/>
    <w:rsid w:val="00A666B7"/>
    <w:rsid w:val="00A66B50"/>
    <w:rsid w:val="00A677C0"/>
    <w:rsid w:val="00A67D68"/>
    <w:rsid w:val="00A67FAE"/>
    <w:rsid w:val="00A72556"/>
    <w:rsid w:val="00A72AF8"/>
    <w:rsid w:val="00A7322E"/>
    <w:rsid w:val="00A73601"/>
    <w:rsid w:val="00A7422E"/>
    <w:rsid w:val="00A746B4"/>
    <w:rsid w:val="00A74F96"/>
    <w:rsid w:val="00A80B08"/>
    <w:rsid w:val="00A81805"/>
    <w:rsid w:val="00A81E64"/>
    <w:rsid w:val="00A82AD7"/>
    <w:rsid w:val="00A8326A"/>
    <w:rsid w:val="00A8367E"/>
    <w:rsid w:val="00A84536"/>
    <w:rsid w:val="00A84FC0"/>
    <w:rsid w:val="00A8510A"/>
    <w:rsid w:val="00A85226"/>
    <w:rsid w:val="00A856D8"/>
    <w:rsid w:val="00A857A7"/>
    <w:rsid w:val="00A85CF2"/>
    <w:rsid w:val="00A860D4"/>
    <w:rsid w:val="00A92240"/>
    <w:rsid w:val="00A92D24"/>
    <w:rsid w:val="00A9350D"/>
    <w:rsid w:val="00A940EA"/>
    <w:rsid w:val="00A94442"/>
    <w:rsid w:val="00A944A8"/>
    <w:rsid w:val="00A94FA2"/>
    <w:rsid w:val="00A973D1"/>
    <w:rsid w:val="00A97F64"/>
    <w:rsid w:val="00AA0D13"/>
    <w:rsid w:val="00AA2F56"/>
    <w:rsid w:val="00AA32F4"/>
    <w:rsid w:val="00AA3F68"/>
    <w:rsid w:val="00AA3FE6"/>
    <w:rsid w:val="00AA59A9"/>
    <w:rsid w:val="00AA5C5A"/>
    <w:rsid w:val="00AA650E"/>
    <w:rsid w:val="00AA6C4C"/>
    <w:rsid w:val="00AA72B5"/>
    <w:rsid w:val="00AB0EFE"/>
    <w:rsid w:val="00AB0F2F"/>
    <w:rsid w:val="00AB12D9"/>
    <w:rsid w:val="00AB195F"/>
    <w:rsid w:val="00AB1C09"/>
    <w:rsid w:val="00AB2C4F"/>
    <w:rsid w:val="00AB3848"/>
    <w:rsid w:val="00AB3ACA"/>
    <w:rsid w:val="00AB5020"/>
    <w:rsid w:val="00AB5F73"/>
    <w:rsid w:val="00AB6968"/>
    <w:rsid w:val="00AB699B"/>
    <w:rsid w:val="00AB6EAA"/>
    <w:rsid w:val="00AC042B"/>
    <w:rsid w:val="00AC0A37"/>
    <w:rsid w:val="00AC113A"/>
    <w:rsid w:val="00AC1E64"/>
    <w:rsid w:val="00AC275F"/>
    <w:rsid w:val="00AC2919"/>
    <w:rsid w:val="00AC3473"/>
    <w:rsid w:val="00AC3CC5"/>
    <w:rsid w:val="00AC4230"/>
    <w:rsid w:val="00AC4746"/>
    <w:rsid w:val="00AC5FB9"/>
    <w:rsid w:val="00AC6001"/>
    <w:rsid w:val="00AC6F04"/>
    <w:rsid w:val="00AC7080"/>
    <w:rsid w:val="00AC7204"/>
    <w:rsid w:val="00AC72DE"/>
    <w:rsid w:val="00AD07F3"/>
    <w:rsid w:val="00AD1FB6"/>
    <w:rsid w:val="00AD20E2"/>
    <w:rsid w:val="00AD22B6"/>
    <w:rsid w:val="00AD2ADC"/>
    <w:rsid w:val="00AD2B54"/>
    <w:rsid w:val="00AD46E9"/>
    <w:rsid w:val="00AD5C38"/>
    <w:rsid w:val="00AD76C7"/>
    <w:rsid w:val="00AE2494"/>
    <w:rsid w:val="00AE2B63"/>
    <w:rsid w:val="00AE2D37"/>
    <w:rsid w:val="00AE2D7B"/>
    <w:rsid w:val="00AE402B"/>
    <w:rsid w:val="00AE5CF9"/>
    <w:rsid w:val="00AE646E"/>
    <w:rsid w:val="00AE655A"/>
    <w:rsid w:val="00AE7C84"/>
    <w:rsid w:val="00AF08B5"/>
    <w:rsid w:val="00AF0AC1"/>
    <w:rsid w:val="00AF16AA"/>
    <w:rsid w:val="00AF41FA"/>
    <w:rsid w:val="00AF4B50"/>
    <w:rsid w:val="00AF4BB9"/>
    <w:rsid w:val="00AF4E66"/>
    <w:rsid w:val="00AF545D"/>
    <w:rsid w:val="00AF6DD9"/>
    <w:rsid w:val="00B001CE"/>
    <w:rsid w:val="00B01F47"/>
    <w:rsid w:val="00B021F9"/>
    <w:rsid w:val="00B03703"/>
    <w:rsid w:val="00B044F4"/>
    <w:rsid w:val="00B05C76"/>
    <w:rsid w:val="00B068F0"/>
    <w:rsid w:val="00B077A2"/>
    <w:rsid w:val="00B07E37"/>
    <w:rsid w:val="00B101A9"/>
    <w:rsid w:val="00B1022D"/>
    <w:rsid w:val="00B106F6"/>
    <w:rsid w:val="00B10A00"/>
    <w:rsid w:val="00B10F4E"/>
    <w:rsid w:val="00B10F6A"/>
    <w:rsid w:val="00B11E5B"/>
    <w:rsid w:val="00B14669"/>
    <w:rsid w:val="00B146AF"/>
    <w:rsid w:val="00B1511A"/>
    <w:rsid w:val="00B15D08"/>
    <w:rsid w:val="00B16E7E"/>
    <w:rsid w:val="00B17456"/>
    <w:rsid w:val="00B20655"/>
    <w:rsid w:val="00B206E5"/>
    <w:rsid w:val="00B20AC4"/>
    <w:rsid w:val="00B213AB"/>
    <w:rsid w:val="00B21FFE"/>
    <w:rsid w:val="00B2244F"/>
    <w:rsid w:val="00B229D6"/>
    <w:rsid w:val="00B24127"/>
    <w:rsid w:val="00B24658"/>
    <w:rsid w:val="00B2631A"/>
    <w:rsid w:val="00B265B1"/>
    <w:rsid w:val="00B26D8F"/>
    <w:rsid w:val="00B300F8"/>
    <w:rsid w:val="00B301A2"/>
    <w:rsid w:val="00B303F0"/>
    <w:rsid w:val="00B30A47"/>
    <w:rsid w:val="00B31173"/>
    <w:rsid w:val="00B312A4"/>
    <w:rsid w:val="00B320CE"/>
    <w:rsid w:val="00B323CA"/>
    <w:rsid w:val="00B32735"/>
    <w:rsid w:val="00B32D74"/>
    <w:rsid w:val="00B3348E"/>
    <w:rsid w:val="00B338A5"/>
    <w:rsid w:val="00B33BDB"/>
    <w:rsid w:val="00B35695"/>
    <w:rsid w:val="00B36B21"/>
    <w:rsid w:val="00B36B32"/>
    <w:rsid w:val="00B40231"/>
    <w:rsid w:val="00B40C7A"/>
    <w:rsid w:val="00B419E0"/>
    <w:rsid w:val="00B4266C"/>
    <w:rsid w:val="00B42A6D"/>
    <w:rsid w:val="00B42ABB"/>
    <w:rsid w:val="00B42F5F"/>
    <w:rsid w:val="00B43670"/>
    <w:rsid w:val="00B444FF"/>
    <w:rsid w:val="00B45042"/>
    <w:rsid w:val="00B45348"/>
    <w:rsid w:val="00B453FA"/>
    <w:rsid w:val="00B46895"/>
    <w:rsid w:val="00B508E9"/>
    <w:rsid w:val="00B50A01"/>
    <w:rsid w:val="00B50EFF"/>
    <w:rsid w:val="00B513A5"/>
    <w:rsid w:val="00B52B1B"/>
    <w:rsid w:val="00B531F1"/>
    <w:rsid w:val="00B53E54"/>
    <w:rsid w:val="00B547FB"/>
    <w:rsid w:val="00B555ED"/>
    <w:rsid w:val="00B55B97"/>
    <w:rsid w:val="00B56E5D"/>
    <w:rsid w:val="00B5729D"/>
    <w:rsid w:val="00B5735F"/>
    <w:rsid w:val="00B573B5"/>
    <w:rsid w:val="00B57E11"/>
    <w:rsid w:val="00B61727"/>
    <w:rsid w:val="00B6173F"/>
    <w:rsid w:val="00B6325D"/>
    <w:rsid w:val="00B64C58"/>
    <w:rsid w:val="00B66BAE"/>
    <w:rsid w:val="00B66CCF"/>
    <w:rsid w:val="00B67590"/>
    <w:rsid w:val="00B6764B"/>
    <w:rsid w:val="00B70517"/>
    <w:rsid w:val="00B7116C"/>
    <w:rsid w:val="00B7181E"/>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620"/>
    <w:rsid w:val="00B828BD"/>
    <w:rsid w:val="00B83C05"/>
    <w:rsid w:val="00B844F4"/>
    <w:rsid w:val="00B86396"/>
    <w:rsid w:val="00B866CA"/>
    <w:rsid w:val="00B9003F"/>
    <w:rsid w:val="00B902C9"/>
    <w:rsid w:val="00B903FE"/>
    <w:rsid w:val="00B912BF"/>
    <w:rsid w:val="00B9185F"/>
    <w:rsid w:val="00B918B1"/>
    <w:rsid w:val="00B91E89"/>
    <w:rsid w:val="00B92D56"/>
    <w:rsid w:val="00B934B4"/>
    <w:rsid w:val="00B93DAD"/>
    <w:rsid w:val="00B93E64"/>
    <w:rsid w:val="00B9411D"/>
    <w:rsid w:val="00B94551"/>
    <w:rsid w:val="00B94598"/>
    <w:rsid w:val="00B951C0"/>
    <w:rsid w:val="00B95A7D"/>
    <w:rsid w:val="00B96137"/>
    <w:rsid w:val="00B96A3D"/>
    <w:rsid w:val="00BA09E4"/>
    <w:rsid w:val="00BA188B"/>
    <w:rsid w:val="00BA4EA6"/>
    <w:rsid w:val="00BA657A"/>
    <w:rsid w:val="00BA7B9D"/>
    <w:rsid w:val="00BA7BD2"/>
    <w:rsid w:val="00BA7C42"/>
    <w:rsid w:val="00BB0832"/>
    <w:rsid w:val="00BB1257"/>
    <w:rsid w:val="00BB14EE"/>
    <w:rsid w:val="00BB25C7"/>
    <w:rsid w:val="00BB276B"/>
    <w:rsid w:val="00BB354F"/>
    <w:rsid w:val="00BB36A8"/>
    <w:rsid w:val="00BB3D84"/>
    <w:rsid w:val="00BB4228"/>
    <w:rsid w:val="00BB4825"/>
    <w:rsid w:val="00BB48C7"/>
    <w:rsid w:val="00BB5B0A"/>
    <w:rsid w:val="00BB700A"/>
    <w:rsid w:val="00BB7187"/>
    <w:rsid w:val="00BC0BCB"/>
    <w:rsid w:val="00BC108B"/>
    <w:rsid w:val="00BC12B6"/>
    <w:rsid w:val="00BC2DCC"/>
    <w:rsid w:val="00BC2DF0"/>
    <w:rsid w:val="00BC321A"/>
    <w:rsid w:val="00BC3F05"/>
    <w:rsid w:val="00BC45CB"/>
    <w:rsid w:val="00BC4D98"/>
    <w:rsid w:val="00BC5AB0"/>
    <w:rsid w:val="00BC5C7E"/>
    <w:rsid w:val="00BD074E"/>
    <w:rsid w:val="00BD1AD4"/>
    <w:rsid w:val="00BD1E93"/>
    <w:rsid w:val="00BD1F85"/>
    <w:rsid w:val="00BD223D"/>
    <w:rsid w:val="00BD27A4"/>
    <w:rsid w:val="00BD4D28"/>
    <w:rsid w:val="00BD57BE"/>
    <w:rsid w:val="00BD6587"/>
    <w:rsid w:val="00BD6AE9"/>
    <w:rsid w:val="00BD720D"/>
    <w:rsid w:val="00BE0162"/>
    <w:rsid w:val="00BE07AC"/>
    <w:rsid w:val="00BE0929"/>
    <w:rsid w:val="00BE1981"/>
    <w:rsid w:val="00BE1985"/>
    <w:rsid w:val="00BE2DFC"/>
    <w:rsid w:val="00BE33C9"/>
    <w:rsid w:val="00BE37E1"/>
    <w:rsid w:val="00BE448A"/>
    <w:rsid w:val="00BE62E8"/>
    <w:rsid w:val="00BE6B92"/>
    <w:rsid w:val="00BE6BBF"/>
    <w:rsid w:val="00BE7433"/>
    <w:rsid w:val="00BF0D7D"/>
    <w:rsid w:val="00BF335C"/>
    <w:rsid w:val="00BF3465"/>
    <w:rsid w:val="00BF3876"/>
    <w:rsid w:val="00BF4490"/>
    <w:rsid w:val="00BF48C1"/>
    <w:rsid w:val="00BF57E1"/>
    <w:rsid w:val="00BF5828"/>
    <w:rsid w:val="00BF6C75"/>
    <w:rsid w:val="00C00570"/>
    <w:rsid w:val="00C00AE5"/>
    <w:rsid w:val="00C00DDC"/>
    <w:rsid w:val="00C02DFA"/>
    <w:rsid w:val="00C03981"/>
    <w:rsid w:val="00C04218"/>
    <w:rsid w:val="00C04F43"/>
    <w:rsid w:val="00C05103"/>
    <w:rsid w:val="00C0704F"/>
    <w:rsid w:val="00C07844"/>
    <w:rsid w:val="00C07AD3"/>
    <w:rsid w:val="00C100E8"/>
    <w:rsid w:val="00C1059C"/>
    <w:rsid w:val="00C10BBC"/>
    <w:rsid w:val="00C12C16"/>
    <w:rsid w:val="00C1369E"/>
    <w:rsid w:val="00C13ED1"/>
    <w:rsid w:val="00C14024"/>
    <w:rsid w:val="00C1408E"/>
    <w:rsid w:val="00C14801"/>
    <w:rsid w:val="00C14D24"/>
    <w:rsid w:val="00C15225"/>
    <w:rsid w:val="00C152B8"/>
    <w:rsid w:val="00C16120"/>
    <w:rsid w:val="00C16966"/>
    <w:rsid w:val="00C16E1E"/>
    <w:rsid w:val="00C21F0C"/>
    <w:rsid w:val="00C22F84"/>
    <w:rsid w:val="00C2613F"/>
    <w:rsid w:val="00C26422"/>
    <w:rsid w:val="00C26763"/>
    <w:rsid w:val="00C267C0"/>
    <w:rsid w:val="00C26C7C"/>
    <w:rsid w:val="00C32484"/>
    <w:rsid w:val="00C3269F"/>
    <w:rsid w:val="00C32C00"/>
    <w:rsid w:val="00C334D7"/>
    <w:rsid w:val="00C33C89"/>
    <w:rsid w:val="00C33ED1"/>
    <w:rsid w:val="00C34D03"/>
    <w:rsid w:val="00C36E14"/>
    <w:rsid w:val="00C4047F"/>
    <w:rsid w:val="00C41F4A"/>
    <w:rsid w:val="00C45358"/>
    <w:rsid w:val="00C45513"/>
    <w:rsid w:val="00C4681F"/>
    <w:rsid w:val="00C51391"/>
    <w:rsid w:val="00C56CDC"/>
    <w:rsid w:val="00C56DC5"/>
    <w:rsid w:val="00C577BF"/>
    <w:rsid w:val="00C609DF"/>
    <w:rsid w:val="00C6107C"/>
    <w:rsid w:val="00C6111C"/>
    <w:rsid w:val="00C65A7D"/>
    <w:rsid w:val="00C65E9D"/>
    <w:rsid w:val="00C67EB5"/>
    <w:rsid w:val="00C70497"/>
    <w:rsid w:val="00C704B8"/>
    <w:rsid w:val="00C7149A"/>
    <w:rsid w:val="00C72CFB"/>
    <w:rsid w:val="00C72D10"/>
    <w:rsid w:val="00C72F81"/>
    <w:rsid w:val="00C73074"/>
    <w:rsid w:val="00C7441C"/>
    <w:rsid w:val="00C74E95"/>
    <w:rsid w:val="00C74FDD"/>
    <w:rsid w:val="00C760D9"/>
    <w:rsid w:val="00C81097"/>
    <w:rsid w:val="00C812A4"/>
    <w:rsid w:val="00C81445"/>
    <w:rsid w:val="00C81704"/>
    <w:rsid w:val="00C8216D"/>
    <w:rsid w:val="00C8399C"/>
    <w:rsid w:val="00C848D1"/>
    <w:rsid w:val="00C85B39"/>
    <w:rsid w:val="00C86351"/>
    <w:rsid w:val="00C869F3"/>
    <w:rsid w:val="00C86F0C"/>
    <w:rsid w:val="00C87880"/>
    <w:rsid w:val="00C918DF"/>
    <w:rsid w:val="00C93939"/>
    <w:rsid w:val="00C93C0C"/>
    <w:rsid w:val="00C95721"/>
    <w:rsid w:val="00C96027"/>
    <w:rsid w:val="00C96BC5"/>
    <w:rsid w:val="00C974C4"/>
    <w:rsid w:val="00C9797E"/>
    <w:rsid w:val="00C97BC9"/>
    <w:rsid w:val="00C97FC8"/>
    <w:rsid w:val="00CA0724"/>
    <w:rsid w:val="00CA0933"/>
    <w:rsid w:val="00CA1972"/>
    <w:rsid w:val="00CA1C47"/>
    <w:rsid w:val="00CA2E57"/>
    <w:rsid w:val="00CA3612"/>
    <w:rsid w:val="00CA372D"/>
    <w:rsid w:val="00CA3FCC"/>
    <w:rsid w:val="00CA4C2D"/>
    <w:rsid w:val="00CA574C"/>
    <w:rsid w:val="00CA630A"/>
    <w:rsid w:val="00CA63A8"/>
    <w:rsid w:val="00CA6536"/>
    <w:rsid w:val="00CA6891"/>
    <w:rsid w:val="00CA6B73"/>
    <w:rsid w:val="00CA6BAF"/>
    <w:rsid w:val="00CB0B66"/>
    <w:rsid w:val="00CB0FE1"/>
    <w:rsid w:val="00CB1C25"/>
    <w:rsid w:val="00CB3617"/>
    <w:rsid w:val="00CB6336"/>
    <w:rsid w:val="00CB7689"/>
    <w:rsid w:val="00CB7B1A"/>
    <w:rsid w:val="00CB7C08"/>
    <w:rsid w:val="00CC00F7"/>
    <w:rsid w:val="00CC0273"/>
    <w:rsid w:val="00CC044C"/>
    <w:rsid w:val="00CC14C4"/>
    <w:rsid w:val="00CC1E36"/>
    <w:rsid w:val="00CC3C93"/>
    <w:rsid w:val="00CC4198"/>
    <w:rsid w:val="00CC4EB1"/>
    <w:rsid w:val="00CC54C3"/>
    <w:rsid w:val="00CC5812"/>
    <w:rsid w:val="00CC6492"/>
    <w:rsid w:val="00CC6A7A"/>
    <w:rsid w:val="00CC6BD1"/>
    <w:rsid w:val="00CC714E"/>
    <w:rsid w:val="00CC7EF4"/>
    <w:rsid w:val="00CD0016"/>
    <w:rsid w:val="00CD1C84"/>
    <w:rsid w:val="00CD217E"/>
    <w:rsid w:val="00CD24A8"/>
    <w:rsid w:val="00CD2881"/>
    <w:rsid w:val="00CD2EDC"/>
    <w:rsid w:val="00CD32A8"/>
    <w:rsid w:val="00CD38B6"/>
    <w:rsid w:val="00CD5D7F"/>
    <w:rsid w:val="00CD7494"/>
    <w:rsid w:val="00CD7578"/>
    <w:rsid w:val="00CD7D3D"/>
    <w:rsid w:val="00CE025E"/>
    <w:rsid w:val="00CE0975"/>
    <w:rsid w:val="00CE186F"/>
    <w:rsid w:val="00CE1FF3"/>
    <w:rsid w:val="00CE200F"/>
    <w:rsid w:val="00CE23AA"/>
    <w:rsid w:val="00CE3041"/>
    <w:rsid w:val="00CE3475"/>
    <w:rsid w:val="00CE4799"/>
    <w:rsid w:val="00CE55DA"/>
    <w:rsid w:val="00CE61A3"/>
    <w:rsid w:val="00CE6615"/>
    <w:rsid w:val="00CE680F"/>
    <w:rsid w:val="00CE69C0"/>
    <w:rsid w:val="00CE799C"/>
    <w:rsid w:val="00CF0839"/>
    <w:rsid w:val="00CF0BAF"/>
    <w:rsid w:val="00CF1884"/>
    <w:rsid w:val="00CF1B89"/>
    <w:rsid w:val="00CF241F"/>
    <w:rsid w:val="00CF3380"/>
    <w:rsid w:val="00CF4910"/>
    <w:rsid w:val="00CF5A26"/>
    <w:rsid w:val="00CF5CE6"/>
    <w:rsid w:val="00CF6857"/>
    <w:rsid w:val="00CF6FAC"/>
    <w:rsid w:val="00D00F16"/>
    <w:rsid w:val="00D01C1F"/>
    <w:rsid w:val="00D025A0"/>
    <w:rsid w:val="00D03BD2"/>
    <w:rsid w:val="00D0441F"/>
    <w:rsid w:val="00D04F78"/>
    <w:rsid w:val="00D05208"/>
    <w:rsid w:val="00D05704"/>
    <w:rsid w:val="00D06C90"/>
    <w:rsid w:val="00D10B8D"/>
    <w:rsid w:val="00D11139"/>
    <w:rsid w:val="00D11D66"/>
    <w:rsid w:val="00D11EF2"/>
    <w:rsid w:val="00D12493"/>
    <w:rsid w:val="00D12E44"/>
    <w:rsid w:val="00D141F3"/>
    <w:rsid w:val="00D14BE7"/>
    <w:rsid w:val="00D14EF9"/>
    <w:rsid w:val="00D150E9"/>
    <w:rsid w:val="00D151DF"/>
    <w:rsid w:val="00D15AE9"/>
    <w:rsid w:val="00D21282"/>
    <w:rsid w:val="00D217EE"/>
    <w:rsid w:val="00D21CD0"/>
    <w:rsid w:val="00D222D0"/>
    <w:rsid w:val="00D2292C"/>
    <w:rsid w:val="00D229F9"/>
    <w:rsid w:val="00D2377A"/>
    <w:rsid w:val="00D23D51"/>
    <w:rsid w:val="00D24A7F"/>
    <w:rsid w:val="00D30E85"/>
    <w:rsid w:val="00D325CD"/>
    <w:rsid w:val="00D32B20"/>
    <w:rsid w:val="00D32E71"/>
    <w:rsid w:val="00D33BAD"/>
    <w:rsid w:val="00D33F51"/>
    <w:rsid w:val="00D3501F"/>
    <w:rsid w:val="00D35161"/>
    <w:rsid w:val="00D36224"/>
    <w:rsid w:val="00D36DE1"/>
    <w:rsid w:val="00D37CB2"/>
    <w:rsid w:val="00D40999"/>
    <w:rsid w:val="00D416AA"/>
    <w:rsid w:val="00D41FF6"/>
    <w:rsid w:val="00D4491E"/>
    <w:rsid w:val="00D45FDF"/>
    <w:rsid w:val="00D50742"/>
    <w:rsid w:val="00D50EE4"/>
    <w:rsid w:val="00D53BB6"/>
    <w:rsid w:val="00D540B2"/>
    <w:rsid w:val="00D54954"/>
    <w:rsid w:val="00D54BCD"/>
    <w:rsid w:val="00D55558"/>
    <w:rsid w:val="00D556A2"/>
    <w:rsid w:val="00D55FDF"/>
    <w:rsid w:val="00D5616B"/>
    <w:rsid w:val="00D5673B"/>
    <w:rsid w:val="00D56769"/>
    <w:rsid w:val="00D56F3D"/>
    <w:rsid w:val="00D57E6D"/>
    <w:rsid w:val="00D63483"/>
    <w:rsid w:val="00D63FC0"/>
    <w:rsid w:val="00D64655"/>
    <w:rsid w:val="00D65037"/>
    <w:rsid w:val="00D66349"/>
    <w:rsid w:val="00D66661"/>
    <w:rsid w:val="00D66F4D"/>
    <w:rsid w:val="00D74447"/>
    <w:rsid w:val="00D74833"/>
    <w:rsid w:val="00D7563C"/>
    <w:rsid w:val="00D75B68"/>
    <w:rsid w:val="00D75DD0"/>
    <w:rsid w:val="00D76810"/>
    <w:rsid w:val="00D76ACF"/>
    <w:rsid w:val="00D76EF3"/>
    <w:rsid w:val="00D80A47"/>
    <w:rsid w:val="00D81263"/>
    <w:rsid w:val="00D83927"/>
    <w:rsid w:val="00D848FA"/>
    <w:rsid w:val="00D85488"/>
    <w:rsid w:val="00D85E86"/>
    <w:rsid w:val="00D867A5"/>
    <w:rsid w:val="00D90AB8"/>
    <w:rsid w:val="00D923E5"/>
    <w:rsid w:val="00D92798"/>
    <w:rsid w:val="00D942D5"/>
    <w:rsid w:val="00D94DB6"/>
    <w:rsid w:val="00D964B5"/>
    <w:rsid w:val="00D9737F"/>
    <w:rsid w:val="00D97D9B"/>
    <w:rsid w:val="00DA11B1"/>
    <w:rsid w:val="00DA11D1"/>
    <w:rsid w:val="00DA1938"/>
    <w:rsid w:val="00DA2CEC"/>
    <w:rsid w:val="00DA3675"/>
    <w:rsid w:val="00DA3BAC"/>
    <w:rsid w:val="00DA4329"/>
    <w:rsid w:val="00DA4B4A"/>
    <w:rsid w:val="00DA5597"/>
    <w:rsid w:val="00DA6967"/>
    <w:rsid w:val="00DA7199"/>
    <w:rsid w:val="00DB07BF"/>
    <w:rsid w:val="00DB1610"/>
    <w:rsid w:val="00DB393B"/>
    <w:rsid w:val="00DB56B4"/>
    <w:rsid w:val="00DB61A8"/>
    <w:rsid w:val="00DB6E40"/>
    <w:rsid w:val="00DB75A7"/>
    <w:rsid w:val="00DC07A5"/>
    <w:rsid w:val="00DC0B14"/>
    <w:rsid w:val="00DC134F"/>
    <w:rsid w:val="00DC14DE"/>
    <w:rsid w:val="00DC1E0C"/>
    <w:rsid w:val="00DC29C4"/>
    <w:rsid w:val="00DC2DC4"/>
    <w:rsid w:val="00DC2FD3"/>
    <w:rsid w:val="00DC3A95"/>
    <w:rsid w:val="00DC3F16"/>
    <w:rsid w:val="00DC4276"/>
    <w:rsid w:val="00DC4F0E"/>
    <w:rsid w:val="00DC5992"/>
    <w:rsid w:val="00DC5F21"/>
    <w:rsid w:val="00DC6174"/>
    <w:rsid w:val="00DC6C80"/>
    <w:rsid w:val="00DD009F"/>
    <w:rsid w:val="00DD0EEF"/>
    <w:rsid w:val="00DD3119"/>
    <w:rsid w:val="00DD3E1A"/>
    <w:rsid w:val="00DD461A"/>
    <w:rsid w:val="00DD479B"/>
    <w:rsid w:val="00DD4AD2"/>
    <w:rsid w:val="00DD58FD"/>
    <w:rsid w:val="00DD5FC9"/>
    <w:rsid w:val="00DD6697"/>
    <w:rsid w:val="00DD6A5C"/>
    <w:rsid w:val="00DD6F0B"/>
    <w:rsid w:val="00DD7963"/>
    <w:rsid w:val="00DE06B7"/>
    <w:rsid w:val="00DE06E8"/>
    <w:rsid w:val="00DE0726"/>
    <w:rsid w:val="00DE0B22"/>
    <w:rsid w:val="00DE139F"/>
    <w:rsid w:val="00DE167F"/>
    <w:rsid w:val="00DE1F57"/>
    <w:rsid w:val="00DE3207"/>
    <w:rsid w:val="00DE4D90"/>
    <w:rsid w:val="00DE5D05"/>
    <w:rsid w:val="00DE6CE8"/>
    <w:rsid w:val="00DE6DAB"/>
    <w:rsid w:val="00DE7AB3"/>
    <w:rsid w:val="00DF0036"/>
    <w:rsid w:val="00DF04E0"/>
    <w:rsid w:val="00DF0724"/>
    <w:rsid w:val="00DF1A1E"/>
    <w:rsid w:val="00DF2BFF"/>
    <w:rsid w:val="00DF4141"/>
    <w:rsid w:val="00DF4AA9"/>
    <w:rsid w:val="00DF4B70"/>
    <w:rsid w:val="00DF6AC2"/>
    <w:rsid w:val="00DF7AAA"/>
    <w:rsid w:val="00E007AE"/>
    <w:rsid w:val="00E01407"/>
    <w:rsid w:val="00E01EC2"/>
    <w:rsid w:val="00E0249E"/>
    <w:rsid w:val="00E02C83"/>
    <w:rsid w:val="00E02E7F"/>
    <w:rsid w:val="00E04197"/>
    <w:rsid w:val="00E045C7"/>
    <w:rsid w:val="00E050C0"/>
    <w:rsid w:val="00E05189"/>
    <w:rsid w:val="00E055EC"/>
    <w:rsid w:val="00E05801"/>
    <w:rsid w:val="00E05C7D"/>
    <w:rsid w:val="00E06113"/>
    <w:rsid w:val="00E064FC"/>
    <w:rsid w:val="00E07E27"/>
    <w:rsid w:val="00E1053D"/>
    <w:rsid w:val="00E12301"/>
    <w:rsid w:val="00E12922"/>
    <w:rsid w:val="00E12E16"/>
    <w:rsid w:val="00E13204"/>
    <w:rsid w:val="00E139B4"/>
    <w:rsid w:val="00E13CEA"/>
    <w:rsid w:val="00E140A6"/>
    <w:rsid w:val="00E14272"/>
    <w:rsid w:val="00E148B8"/>
    <w:rsid w:val="00E14908"/>
    <w:rsid w:val="00E1561C"/>
    <w:rsid w:val="00E15FB5"/>
    <w:rsid w:val="00E1648B"/>
    <w:rsid w:val="00E16FE2"/>
    <w:rsid w:val="00E209D0"/>
    <w:rsid w:val="00E21E25"/>
    <w:rsid w:val="00E22AF2"/>
    <w:rsid w:val="00E22B89"/>
    <w:rsid w:val="00E231B1"/>
    <w:rsid w:val="00E235D2"/>
    <w:rsid w:val="00E23D74"/>
    <w:rsid w:val="00E240F1"/>
    <w:rsid w:val="00E245C5"/>
    <w:rsid w:val="00E25274"/>
    <w:rsid w:val="00E25E67"/>
    <w:rsid w:val="00E26111"/>
    <w:rsid w:val="00E2649B"/>
    <w:rsid w:val="00E266C1"/>
    <w:rsid w:val="00E26E0C"/>
    <w:rsid w:val="00E27560"/>
    <w:rsid w:val="00E302B8"/>
    <w:rsid w:val="00E31C44"/>
    <w:rsid w:val="00E32185"/>
    <w:rsid w:val="00E32765"/>
    <w:rsid w:val="00E34401"/>
    <w:rsid w:val="00E34836"/>
    <w:rsid w:val="00E34CCD"/>
    <w:rsid w:val="00E3553E"/>
    <w:rsid w:val="00E35C31"/>
    <w:rsid w:val="00E375A3"/>
    <w:rsid w:val="00E375EE"/>
    <w:rsid w:val="00E37A09"/>
    <w:rsid w:val="00E40E74"/>
    <w:rsid w:val="00E412C8"/>
    <w:rsid w:val="00E4139F"/>
    <w:rsid w:val="00E41FF0"/>
    <w:rsid w:val="00E42464"/>
    <w:rsid w:val="00E4269C"/>
    <w:rsid w:val="00E42B0D"/>
    <w:rsid w:val="00E44177"/>
    <w:rsid w:val="00E442D3"/>
    <w:rsid w:val="00E46795"/>
    <w:rsid w:val="00E46C3A"/>
    <w:rsid w:val="00E47B98"/>
    <w:rsid w:val="00E501E9"/>
    <w:rsid w:val="00E5059B"/>
    <w:rsid w:val="00E50CDF"/>
    <w:rsid w:val="00E53376"/>
    <w:rsid w:val="00E53916"/>
    <w:rsid w:val="00E54B68"/>
    <w:rsid w:val="00E54F24"/>
    <w:rsid w:val="00E55533"/>
    <w:rsid w:val="00E5737B"/>
    <w:rsid w:val="00E574E0"/>
    <w:rsid w:val="00E57997"/>
    <w:rsid w:val="00E60D4F"/>
    <w:rsid w:val="00E61152"/>
    <w:rsid w:val="00E614A7"/>
    <w:rsid w:val="00E61A14"/>
    <w:rsid w:val="00E61A27"/>
    <w:rsid w:val="00E629CF"/>
    <w:rsid w:val="00E62B3A"/>
    <w:rsid w:val="00E62BE3"/>
    <w:rsid w:val="00E631AE"/>
    <w:rsid w:val="00E63A60"/>
    <w:rsid w:val="00E64049"/>
    <w:rsid w:val="00E64CEB"/>
    <w:rsid w:val="00E64DB9"/>
    <w:rsid w:val="00E65353"/>
    <w:rsid w:val="00E6557C"/>
    <w:rsid w:val="00E724B4"/>
    <w:rsid w:val="00E72523"/>
    <w:rsid w:val="00E72AFC"/>
    <w:rsid w:val="00E73C65"/>
    <w:rsid w:val="00E741A1"/>
    <w:rsid w:val="00E743EC"/>
    <w:rsid w:val="00E74D5E"/>
    <w:rsid w:val="00E77ADD"/>
    <w:rsid w:val="00E83AD0"/>
    <w:rsid w:val="00E849FB"/>
    <w:rsid w:val="00E84A28"/>
    <w:rsid w:val="00E84AE9"/>
    <w:rsid w:val="00E865EA"/>
    <w:rsid w:val="00E912EB"/>
    <w:rsid w:val="00E91331"/>
    <w:rsid w:val="00E91896"/>
    <w:rsid w:val="00E9272A"/>
    <w:rsid w:val="00E93FDD"/>
    <w:rsid w:val="00E9423B"/>
    <w:rsid w:val="00E95165"/>
    <w:rsid w:val="00E966E3"/>
    <w:rsid w:val="00E968B2"/>
    <w:rsid w:val="00E97BC1"/>
    <w:rsid w:val="00EA086B"/>
    <w:rsid w:val="00EA1B47"/>
    <w:rsid w:val="00EA3B35"/>
    <w:rsid w:val="00EA4EBA"/>
    <w:rsid w:val="00EA5CCE"/>
    <w:rsid w:val="00EA7014"/>
    <w:rsid w:val="00EB0340"/>
    <w:rsid w:val="00EB3402"/>
    <w:rsid w:val="00EB3F2D"/>
    <w:rsid w:val="00EB41FD"/>
    <w:rsid w:val="00EB52D7"/>
    <w:rsid w:val="00EB5DBD"/>
    <w:rsid w:val="00EB6994"/>
    <w:rsid w:val="00EC0FE8"/>
    <w:rsid w:val="00EC2D4C"/>
    <w:rsid w:val="00EC3065"/>
    <w:rsid w:val="00EC3238"/>
    <w:rsid w:val="00EC3530"/>
    <w:rsid w:val="00EC3ED2"/>
    <w:rsid w:val="00EC46A8"/>
    <w:rsid w:val="00EC4AB0"/>
    <w:rsid w:val="00EC4D1C"/>
    <w:rsid w:val="00EC56D6"/>
    <w:rsid w:val="00EC5A64"/>
    <w:rsid w:val="00EC5EF0"/>
    <w:rsid w:val="00EC5F13"/>
    <w:rsid w:val="00EC6C58"/>
    <w:rsid w:val="00EC73B4"/>
    <w:rsid w:val="00EC7D98"/>
    <w:rsid w:val="00ED075D"/>
    <w:rsid w:val="00ED08E4"/>
    <w:rsid w:val="00ED114C"/>
    <w:rsid w:val="00ED1344"/>
    <w:rsid w:val="00ED1FAA"/>
    <w:rsid w:val="00ED249F"/>
    <w:rsid w:val="00ED3390"/>
    <w:rsid w:val="00ED3CE7"/>
    <w:rsid w:val="00ED64E6"/>
    <w:rsid w:val="00ED6560"/>
    <w:rsid w:val="00ED6C5C"/>
    <w:rsid w:val="00ED6EB2"/>
    <w:rsid w:val="00ED785A"/>
    <w:rsid w:val="00ED7F27"/>
    <w:rsid w:val="00EE0986"/>
    <w:rsid w:val="00EE1753"/>
    <w:rsid w:val="00EE21F4"/>
    <w:rsid w:val="00EE33DE"/>
    <w:rsid w:val="00EE37FC"/>
    <w:rsid w:val="00EE3C9B"/>
    <w:rsid w:val="00EE3F7C"/>
    <w:rsid w:val="00EE6603"/>
    <w:rsid w:val="00EF0212"/>
    <w:rsid w:val="00EF095C"/>
    <w:rsid w:val="00EF0F4B"/>
    <w:rsid w:val="00EF1579"/>
    <w:rsid w:val="00EF2791"/>
    <w:rsid w:val="00EF34E7"/>
    <w:rsid w:val="00EF35AA"/>
    <w:rsid w:val="00EF35F2"/>
    <w:rsid w:val="00EF3738"/>
    <w:rsid w:val="00EF782F"/>
    <w:rsid w:val="00EF79C5"/>
    <w:rsid w:val="00EF7CD6"/>
    <w:rsid w:val="00F00694"/>
    <w:rsid w:val="00F00C8E"/>
    <w:rsid w:val="00F00E17"/>
    <w:rsid w:val="00F02ACE"/>
    <w:rsid w:val="00F04D8F"/>
    <w:rsid w:val="00F0527F"/>
    <w:rsid w:val="00F06195"/>
    <w:rsid w:val="00F061E4"/>
    <w:rsid w:val="00F06524"/>
    <w:rsid w:val="00F0674E"/>
    <w:rsid w:val="00F06FD3"/>
    <w:rsid w:val="00F07424"/>
    <w:rsid w:val="00F07D5F"/>
    <w:rsid w:val="00F113F8"/>
    <w:rsid w:val="00F12408"/>
    <w:rsid w:val="00F12711"/>
    <w:rsid w:val="00F12DC2"/>
    <w:rsid w:val="00F139DD"/>
    <w:rsid w:val="00F13AE9"/>
    <w:rsid w:val="00F13EB8"/>
    <w:rsid w:val="00F147F9"/>
    <w:rsid w:val="00F1522A"/>
    <w:rsid w:val="00F1579D"/>
    <w:rsid w:val="00F15AA1"/>
    <w:rsid w:val="00F167EB"/>
    <w:rsid w:val="00F1720D"/>
    <w:rsid w:val="00F177E3"/>
    <w:rsid w:val="00F17C16"/>
    <w:rsid w:val="00F212CF"/>
    <w:rsid w:val="00F2175E"/>
    <w:rsid w:val="00F22792"/>
    <w:rsid w:val="00F23162"/>
    <w:rsid w:val="00F24526"/>
    <w:rsid w:val="00F24926"/>
    <w:rsid w:val="00F24C1C"/>
    <w:rsid w:val="00F26C41"/>
    <w:rsid w:val="00F30621"/>
    <w:rsid w:val="00F30A79"/>
    <w:rsid w:val="00F32D74"/>
    <w:rsid w:val="00F332CF"/>
    <w:rsid w:val="00F35F83"/>
    <w:rsid w:val="00F3684A"/>
    <w:rsid w:val="00F37123"/>
    <w:rsid w:val="00F37CE2"/>
    <w:rsid w:val="00F409F0"/>
    <w:rsid w:val="00F40A17"/>
    <w:rsid w:val="00F4111B"/>
    <w:rsid w:val="00F4141C"/>
    <w:rsid w:val="00F41CC2"/>
    <w:rsid w:val="00F42E0F"/>
    <w:rsid w:val="00F43DE6"/>
    <w:rsid w:val="00F44E4B"/>
    <w:rsid w:val="00F458CA"/>
    <w:rsid w:val="00F45B85"/>
    <w:rsid w:val="00F45B98"/>
    <w:rsid w:val="00F45C6F"/>
    <w:rsid w:val="00F45DB2"/>
    <w:rsid w:val="00F46751"/>
    <w:rsid w:val="00F46D6C"/>
    <w:rsid w:val="00F4770C"/>
    <w:rsid w:val="00F47CD9"/>
    <w:rsid w:val="00F50C10"/>
    <w:rsid w:val="00F50F89"/>
    <w:rsid w:val="00F52C7E"/>
    <w:rsid w:val="00F54ECE"/>
    <w:rsid w:val="00F550EA"/>
    <w:rsid w:val="00F55BED"/>
    <w:rsid w:val="00F5729E"/>
    <w:rsid w:val="00F57956"/>
    <w:rsid w:val="00F60783"/>
    <w:rsid w:val="00F60984"/>
    <w:rsid w:val="00F620AF"/>
    <w:rsid w:val="00F62172"/>
    <w:rsid w:val="00F64418"/>
    <w:rsid w:val="00F647C8"/>
    <w:rsid w:val="00F65036"/>
    <w:rsid w:val="00F65147"/>
    <w:rsid w:val="00F652BB"/>
    <w:rsid w:val="00F6694C"/>
    <w:rsid w:val="00F66AF2"/>
    <w:rsid w:val="00F66D93"/>
    <w:rsid w:val="00F6700A"/>
    <w:rsid w:val="00F70645"/>
    <w:rsid w:val="00F70B64"/>
    <w:rsid w:val="00F717AF"/>
    <w:rsid w:val="00F72C4A"/>
    <w:rsid w:val="00F74101"/>
    <w:rsid w:val="00F7447F"/>
    <w:rsid w:val="00F74D99"/>
    <w:rsid w:val="00F803E8"/>
    <w:rsid w:val="00F8097F"/>
    <w:rsid w:val="00F8178D"/>
    <w:rsid w:val="00F82D2E"/>
    <w:rsid w:val="00F83BAD"/>
    <w:rsid w:val="00F86732"/>
    <w:rsid w:val="00F86CD7"/>
    <w:rsid w:val="00F87775"/>
    <w:rsid w:val="00F911E0"/>
    <w:rsid w:val="00F923D8"/>
    <w:rsid w:val="00F93027"/>
    <w:rsid w:val="00F9371E"/>
    <w:rsid w:val="00F945B3"/>
    <w:rsid w:val="00F948A6"/>
    <w:rsid w:val="00F95BA3"/>
    <w:rsid w:val="00F96208"/>
    <w:rsid w:val="00F96664"/>
    <w:rsid w:val="00F97807"/>
    <w:rsid w:val="00FA1E4A"/>
    <w:rsid w:val="00FA2C64"/>
    <w:rsid w:val="00FA4F12"/>
    <w:rsid w:val="00FA5043"/>
    <w:rsid w:val="00FA6787"/>
    <w:rsid w:val="00FA6846"/>
    <w:rsid w:val="00FB0336"/>
    <w:rsid w:val="00FB0722"/>
    <w:rsid w:val="00FB1225"/>
    <w:rsid w:val="00FB1D58"/>
    <w:rsid w:val="00FB1E40"/>
    <w:rsid w:val="00FB25DE"/>
    <w:rsid w:val="00FB26F7"/>
    <w:rsid w:val="00FB2808"/>
    <w:rsid w:val="00FB29D2"/>
    <w:rsid w:val="00FB32B4"/>
    <w:rsid w:val="00FB37EA"/>
    <w:rsid w:val="00FB65AC"/>
    <w:rsid w:val="00FB6C98"/>
    <w:rsid w:val="00FB6CD4"/>
    <w:rsid w:val="00FB6F86"/>
    <w:rsid w:val="00FC21C6"/>
    <w:rsid w:val="00FC42E4"/>
    <w:rsid w:val="00FC4BD9"/>
    <w:rsid w:val="00FC4D9A"/>
    <w:rsid w:val="00FC501B"/>
    <w:rsid w:val="00FC5547"/>
    <w:rsid w:val="00FC5E5D"/>
    <w:rsid w:val="00FC71E8"/>
    <w:rsid w:val="00FD2521"/>
    <w:rsid w:val="00FD286B"/>
    <w:rsid w:val="00FD2B91"/>
    <w:rsid w:val="00FD3549"/>
    <w:rsid w:val="00FD4876"/>
    <w:rsid w:val="00FD497B"/>
    <w:rsid w:val="00FD5BB3"/>
    <w:rsid w:val="00FD601A"/>
    <w:rsid w:val="00FD7D6E"/>
    <w:rsid w:val="00FE0478"/>
    <w:rsid w:val="00FE0C89"/>
    <w:rsid w:val="00FE3446"/>
    <w:rsid w:val="00FE36D7"/>
    <w:rsid w:val="00FE3E56"/>
    <w:rsid w:val="00FE4072"/>
    <w:rsid w:val="00FE4512"/>
    <w:rsid w:val="00FE479B"/>
    <w:rsid w:val="00FE50D7"/>
    <w:rsid w:val="00FE63DF"/>
    <w:rsid w:val="00FE7087"/>
    <w:rsid w:val="00FE7460"/>
    <w:rsid w:val="00FE7B3B"/>
    <w:rsid w:val="00FF0555"/>
    <w:rsid w:val="00FF0F23"/>
    <w:rsid w:val="00FF14E7"/>
    <w:rsid w:val="00FF296D"/>
    <w:rsid w:val="00FF3335"/>
    <w:rsid w:val="00FF3F67"/>
    <w:rsid w:val="00FF4547"/>
    <w:rsid w:val="00FF48B7"/>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paragraph" w:styleId="Header">
    <w:name w:val="header"/>
    <w:basedOn w:val="Normal"/>
    <w:link w:val="HeaderChar"/>
    <w:rsid w:val="00694C5E"/>
    <w:pPr>
      <w:tabs>
        <w:tab w:val="center" w:pos="4680"/>
        <w:tab w:val="right" w:pos="9360"/>
      </w:tabs>
    </w:pPr>
  </w:style>
  <w:style w:type="character" w:customStyle="1" w:styleId="HeaderChar">
    <w:name w:val="Header Char"/>
    <w:basedOn w:val="DefaultParagraphFont"/>
    <w:link w:val="Header"/>
    <w:rsid w:val="00694C5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paragraph" w:styleId="Header">
    <w:name w:val="header"/>
    <w:basedOn w:val="Normal"/>
    <w:link w:val="HeaderChar"/>
    <w:rsid w:val="00694C5E"/>
    <w:pPr>
      <w:tabs>
        <w:tab w:val="center" w:pos="4680"/>
        <w:tab w:val="right" w:pos="9360"/>
      </w:tabs>
    </w:pPr>
  </w:style>
  <w:style w:type="character" w:customStyle="1" w:styleId="HeaderChar">
    <w:name w:val="Header Char"/>
    <w:basedOn w:val="DefaultParagraphFont"/>
    <w:link w:val="Header"/>
    <w:rsid w:val="00694C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D2294-DE0D-47BB-A4D5-6F9A3F427D64}">
  <ds:schemaRefs>
    <ds:schemaRef ds:uri="http://schemas.openxmlformats.org/officeDocument/2006/bibliography"/>
  </ds:schemaRefs>
</ds:datastoreItem>
</file>

<file path=customXml/itemProps2.xml><?xml version="1.0" encoding="utf-8"?>
<ds:datastoreItem xmlns:ds="http://schemas.openxmlformats.org/officeDocument/2006/customXml" ds:itemID="{06EFCF41-E116-45B4-93ED-A13DBCBDA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2169</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Reynolds, Doris</cp:lastModifiedBy>
  <cp:revision>5</cp:revision>
  <cp:lastPrinted>2015-04-22T15:23:00Z</cp:lastPrinted>
  <dcterms:created xsi:type="dcterms:W3CDTF">2015-04-23T18:11:00Z</dcterms:created>
  <dcterms:modified xsi:type="dcterms:W3CDTF">2015-04-27T15:08:00Z</dcterms:modified>
</cp:coreProperties>
</file>