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48" w:rsidRDefault="00BC7A48" w:rsidP="00782F95">
      <w:pPr>
        <w:contextualSpacing/>
        <w:jc w:val="center"/>
      </w:pPr>
      <w:r>
        <w:rPr>
          <w:b/>
        </w:rPr>
        <w:t>BEFORE THE</w:t>
      </w:r>
    </w:p>
    <w:p w:rsidR="00BC7A48" w:rsidRDefault="00BC7A48" w:rsidP="00782F95">
      <w:pPr>
        <w:contextualSpacing/>
        <w:jc w:val="center"/>
      </w:pPr>
      <w:r>
        <w:rPr>
          <w:b/>
        </w:rPr>
        <w:t>PENNSYLVANIA PUBLIC UTILITY COMMISSION</w:t>
      </w:r>
    </w:p>
    <w:p w:rsidR="00BC7A48" w:rsidRDefault="00BC7A48" w:rsidP="00782F95">
      <w:pPr>
        <w:contextualSpacing/>
        <w:jc w:val="center"/>
      </w:pPr>
    </w:p>
    <w:p w:rsidR="00BC7A48" w:rsidRDefault="00BC7A48" w:rsidP="00782F95">
      <w:pPr>
        <w:contextualSpacing/>
        <w:jc w:val="center"/>
        <w:rPr>
          <w:b/>
        </w:rPr>
      </w:pPr>
    </w:p>
    <w:p w:rsidR="009224E6" w:rsidRDefault="009224E6" w:rsidP="00782F95">
      <w:pPr>
        <w:contextualSpacing/>
        <w:jc w:val="center"/>
      </w:pPr>
    </w:p>
    <w:p w:rsidR="00BC7A48" w:rsidRDefault="00BC7A48" w:rsidP="00782F95">
      <w:pPr>
        <w:contextualSpacing/>
      </w:pPr>
      <w:r>
        <w:t xml:space="preserve">Wayne Vena </w:t>
      </w:r>
      <w:r>
        <w:tab/>
      </w:r>
      <w:r>
        <w:tab/>
      </w:r>
      <w:r>
        <w:tab/>
      </w:r>
      <w:r>
        <w:tab/>
      </w:r>
      <w:r>
        <w:tab/>
      </w:r>
      <w:r>
        <w:tab/>
        <w:t>:</w:t>
      </w:r>
    </w:p>
    <w:p w:rsidR="00BC7A48" w:rsidRDefault="00BC7A48" w:rsidP="00782F95">
      <w:pPr>
        <w:contextualSpacing/>
      </w:pPr>
      <w:r>
        <w:tab/>
      </w:r>
      <w:r>
        <w:tab/>
      </w:r>
      <w:r>
        <w:tab/>
      </w:r>
      <w:r>
        <w:tab/>
      </w:r>
      <w:r>
        <w:tab/>
      </w:r>
      <w:r>
        <w:tab/>
      </w:r>
      <w:r>
        <w:tab/>
        <w:t>:</w:t>
      </w:r>
    </w:p>
    <w:p w:rsidR="00BC7A48" w:rsidRDefault="00BC7A48" w:rsidP="00782F95">
      <w:pPr>
        <w:contextualSpacing/>
      </w:pPr>
      <w:r>
        <w:tab/>
        <w:t>v.</w:t>
      </w:r>
      <w:r>
        <w:tab/>
      </w:r>
      <w:r>
        <w:tab/>
      </w:r>
      <w:r>
        <w:tab/>
      </w:r>
      <w:r>
        <w:tab/>
      </w:r>
      <w:r>
        <w:tab/>
      </w:r>
      <w:r>
        <w:tab/>
        <w:t>:</w:t>
      </w:r>
      <w:r>
        <w:tab/>
      </w:r>
      <w:r>
        <w:tab/>
      </w:r>
      <w:r>
        <w:tab/>
        <w:t>C-2014-2444963</w:t>
      </w:r>
    </w:p>
    <w:p w:rsidR="00BC7A48" w:rsidRDefault="00BC7A48" w:rsidP="00782F95">
      <w:pPr>
        <w:contextualSpacing/>
      </w:pPr>
      <w:r>
        <w:tab/>
      </w:r>
      <w:r>
        <w:tab/>
      </w:r>
      <w:r>
        <w:tab/>
      </w:r>
      <w:r>
        <w:tab/>
      </w:r>
      <w:r>
        <w:tab/>
      </w:r>
      <w:r>
        <w:tab/>
      </w:r>
      <w:r>
        <w:tab/>
        <w:t>:</w:t>
      </w:r>
    </w:p>
    <w:p w:rsidR="00BC7A48" w:rsidRDefault="00BC7A48" w:rsidP="00782F95">
      <w:pPr>
        <w:contextualSpacing/>
      </w:pPr>
      <w:r>
        <w:t>Philadelphia Gas Works</w:t>
      </w:r>
      <w:r>
        <w:tab/>
      </w:r>
      <w:r>
        <w:tab/>
      </w:r>
      <w:r>
        <w:tab/>
      </w:r>
      <w:r>
        <w:tab/>
        <w:t>:</w:t>
      </w:r>
    </w:p>
    <w:p w:rsidR="00BC7A48" w:rsidRDefault="00BC7A48" w:rsidP="00782F95">
      <w:pPr>
        <w:contextualSpacing/>
      </w:pPr>
    </w:p>
    <w:p w:rsidR="009224E6" w:rsidRDefault="009224E6" w:rsidP="00782F95">
      <w:pPr>
        <w:contextualSpacing/>
      </w:pPr>
    </w:p>
    <w:p w:rsidR="00BC7A48" w:rsidRDefault="00BC7A48" w:rsidP="00782F95">
      <w:pPr>
        <w:contextualSpacing/>
      </w:pPr>
    </w:p>
    <w:p w:rsidR="00BC7A48" w:rsidRDefault="00BC7A48" w:rsidP="00782F95">
      <w:pPr>
        <w:contextualSpacing/>
        <w:jc w:val="center"/>
      </w:pPr>
      <w:r>
        <w:rPr>
          <w:b/>
          <w:u w:val="single"/>
        </w:rPr>
        <w:t>INITIAL DECISION</w:t>
      </w:r>
    </w:p>
    <w:p w:rsidR="00BC7A48" w:rsidRDefault="00BC7A48" w:rsidP="00782F95">
      <w:pPr>
        <w:contextualSpacing/>
        <w:jc w:val="center"/>
      </w:pPr>
    </w:p>
    <w:p w:rsidR="00F179E9" w:rsidRDefault="00F179E9" w:rsidP="00782F95">
      <w:pPr>
        <w:contextualSpacing/>
        <w:jc w:val="center"/>
      </w:pPr>
    </w:p>
    <w:p w:rsidR="00BC7A48" w:rsidRDefault="00BC7A48" w:rsidP="00782F95">
      <w:pPr>
        <w:contextualSpacing/>
        <w:jc w:val="center"/>
      </w:pPr>
      <w:r>
        <w:t>Before</w:t>
      </w:r>
    </w:p>
    <w:p w:rsidR="00BC7A48" w:rsidRDefault="00BC7A48" w:rsidP="00782F95">
      <w:pPr>
        <w:contextualSpacing/>
        <w:jc w:val="center"/>
      </w:pPr>
      <w:r>
        <w:t>Susan D. Colwell</w:t>
      </w:r>
    </w:p>
    <w:p w:rsidR="00BC7A48" w:rsidRDefault="00BC7A48" w:rsidP="00782F95">
      <w:pPr>
        <w:contextualSpacing/>
        <w:jc w:val="center"/>
      </w:pPr>
      <w:r>
        <w:t>Administrative Law Judge</w:t>
      </w:r>
    </w:p>
    <w:p w:rsidR="00BC7A48" w:rsidRDefault="00BC7A48" w:rsidP="00782F95">
      <w:pPr>
        <w:contextualSpacing/>
        <w:jc w:val="center"/>
      </w:pPr>
    </w:p>
    <w:p w:rsidR="00BC7A48" w:rsidRDefault="00BC7A48" w:rsidP="00782F95">
      <w:pPr>
        <w:contextualSpacing/>
        <w:jc w:val="center"/>
      </w:pPr>
    </w:p>
    <w:p w:rsidR="00BC7A48" w:rsidRDefault="00BC7A48" w:rsidP="00782F95">
      <w:pPr>
        <w:contextualSpacing/>
        <w:jc w:val="center"/>
        <w:rPr>
          <w:u w:val="single"/>
        </w:rPr>
      </w:pPr>
      <w:r>
        <w:rPr>
          <w:u w:val="single"/>
        </w:rPr>
        <w:t>INTRODUCTION</w:t>
      </w:r>
    </w:p>
    <w:p w:rsidR="00BC7A48" w:rsidRDefault="00BC7A48" w:rsidP="00782F95">
      <w:pPr>
        <w:spacing w:line="360" w:lineRule="auto"/>
        <w:contextualSpacing/>
        <w:jc w:val="center"/>
        <w:rPr>
          <w:u w:val="single"/>
        </w:rPr>
      </w:pPr>
    </w:p>
    <w:p w:rsidR="00BC7A48" w:rsidRPr="00BC7A48" w:rsidRDefault="00BC7A48" w:rsidP="00782F95">
      <w:pPr>
        <w:spacing w:line="360" w:lineRule="auto"/>
        <w:contextualSpacing/>
      </w:pPr>
      <w:r>
        <w:tab/>
      </w:r>
      <w:r>
        <w:tab/>
        <w:t xml:space="preserve">This Initial Decision </w:t>
      </w:r>
      <w:r w:rsidR="00F650F8">
        <w:t>sustains the Complaint of a gas service customer seeking a payment arrangement under Chapter 14 of the Public Utility Code.</w:t>
      </w:r>
    </w:p>
    <w:p w:rsidR="00BC7A48" w:rsidRDefault="00BC7A48" w:rsidP="00782F95">
      <w:pPr>
        <w:spacing w:line="360" w:lineRule="auto"/>
        <w:contextualSpacing/>
        <w:jc w:val="center"/>
      </w:pPr>
    </w:p>
    <w:p w:rsidR="00BC7A48" w:rsidRDefault="00BC7A48" w:rsidP="00782F95">
      <w:pPr>
        <w:spacing w:line="360" w:lineRule="auto"/>
        <w:contextualSpacing/>
        <w:jc w:val="center"/>
      </w:pPr>
      <w:r>
        <w:rPr>
          <w:u w:val="single"/>
        </w:rPr>
        <w:t>HISTORY OF THE PROCEEDING</w:t>
      </w:r>
    </w:p>
    <w:p w:rsidR="00BC7A48" w:rsidRDefault="00BC7A48" w:rsidP="00782F95">
      <w:pPr>
        <w:spacing w:line="360" w:lineRule="auto"/>
        <w:contextualSpacing/>
        <w:jc w:val="center"/>
      </w:pPr>
    </w:p>
    <w:p w:rsidR="00BC7A48" w:rsidRDefault="00BC7A48" w:rsidP="00782F95">
      <w:pPr>
        <w:spacing w:line="360" w:lineRule="auto"/>
        <w:contextualSpacing/>
      </w:pPr>
      <w:r>
        <w:tab/>
      </w:r>
      <w:r>
        <w:tab/>
        <w:t>On September 14, 2014, Wayne Vena (Complainant) filed a formal Complaint against Philadelphia Gas Works (PGW or Respondent or Company) alleging that PGW had increased Complainant’s monthly billing from $68 to $322 and now was demanding $296, which amounts to an increase of over 400%</w:t>
      </w:r>
      <w:r w:rsidR="003A6875">
        <w:t xml:space="preserve">, </w:t>
      </w:r>
      <w:r>
        <w:t xml:space="preserve">yet his income had increased only about 30%.  </w:t>
      </w:r>
      <w:r w:rsidR="00E933A0">
        <w:t>The Complaint is an appeal of a Bureau of Consumer Services (BCS</w:t>
      </w:r>
      <w:r w:rsidR="00782F95">
        <w:t>) informal decision issued July </w:t>
      </w:r>
      <w:r w:rsidR="00E933A0">
        <w:t>24, 2014, at BCS No. 3113646320 based on different information.</w:t>
      </w:r>
    </w:p>
    <w:p w:rsidR="00F179E9" w:rsidRDefault="00F179E9" w:rsidP="00782F95">
      <w:pPr>
        <w:spacing w:line="360" w:lineRule="auto"/>
        <w:contextualSpacing/>
      </w:pPr>
    </w:p>
    <w:p w:rsidR="00BC7A48" w:rsidRDefault="00BC7A48" w:rsidP="00782F95">
      <w:pPr>
        <w:spacing w:line="360" w:lineRule="auto"/>
        <w:contextualSpacing/>
      </w:pPr>
      <w:r>
        <w:lastRenderedPageBreak/>
        <w:tab/>
      </w:r>
      <w:r>
        <w:tab/>
        <w:t xml:space="preserve">The Complaint was served </w:t>
      </w:r>
      <w:r w:rsidR="00411459">
        <w:t xml:space="preserve">electronically </w:t>
      </w:r>
      <w:r>
        <w:t>by the Commission’s Secretary on September 29, 2014.</w:t>
      </w:r>
      <w:r w:rsidR="00411459">
        <w:rPr>
          <w:rStyle w:val="FootnoteReference"/>
        </w:rPr>
        <w:footnoteReference w:id="1"/>
      </w:r>
    </w:p>
    <w:p w:rsidR="00BC7A48" w:rsidRDefault="00BC7A48" w:rsidP="00782F95">
      <w:pPr>
        <w:spacing w:line="360" w:lineRule="auto"/>
        <w:contextualSpacing/>
      </w:pPr>
      <w:r>
        <w:t> </w:t>
      </w:r>
    </w:p>
    <w:p w:rsidR="00BC7A48" w:rsidRDefault="00BC7A48" w:rsidP="00782F95">
      <w:pPr>
        <w:spacing w:line="360" w:lineRule="auto"/>
        <w:contextualSpacing/>
      </w:pPr>
      <w:r>
        <w:tab/>
      </w:r>
      <w:r>
        <w:tab/>
        <w:t>On October 20, 2014, PGW filed its Answer, which admitted an increase in its bills after Complainant’s discount due to participation in the Company’s customer assistance program, CRP, was suspended on January 8, 2014 for</w:t>
      </w:r>
      <w:r w:rsidR="003A0422">
        <w:t xml:space="preserve"> Complainant's</w:t>
      </w:r>
      <w:r>
        <w:t xml:space="preserve"> failure to recertify.  The Company averred that on January 22, 2014, PGW mailed a CRP application to the Complainant.  On February 25, 2014, Complainant appeared at a PGW customer service center for re-certification and reported that his gross monthly income was $3,368</w:t>
      </w:r>
      <w:r w:rsidR="006524EF">
        <w:t>.00</w:t>
      </w:r>
      <w:r>
        <w:t xml:space="preserve"> and there were six people in the household.  PGW determined that the CRP payment would be $346.80 monthly, which was not beneficial to the Complainant.  Instead, Complainant was enrolled in a payment agreement with a monthly payment beginning at $322 based upon the income information provided by Complainant.</w:t>
      </w:r>
    </w:p>
    <w:p w:rsidR="00BC7A48" w:rsidRDefault="00BC7A48" w:rsidP="00782F95">
      <w:pPr>
        <w:spacing w:line="360" w:lineRule="auto"/>
        <w:contextualSpacing/>
      </w:pPr>
      <w:r>
        <w:t> </w:t>
      </w:r>
    </w:p>
    <w:p w:rsidR="00BC7A48" w:rsidRDefault="00BC7A48" w:rsidP="00782F95">
      <w:pPr>
        <w:spacing w:line="360" w:lineRule="auto"/>
        <w:contextualSpacing/>
      </w:pPr>
      <w:r>
        <w:tab/>
      </w:r>
      <w:r>
        <w:tab/>
        <w:t>As of October 10, 2014, Complainant’s total balance was $1,420.51, and the last payment of $322 had posted to the Complainant’s account on July 14, 2014.</w:t>
      </w:r>
    </w:p>
    <w:p w:rsidR="00BC7A48" w:rsidRDefault="00BC7A48" w:rsidP="00782F95">
      <w:pPr>
        <w:spacing w:line="360" w:lineRule="auto"/>
        <w:contextualSpacing/>
      </w:pPr>
      <w:r>
        <w:t> </w:t>
      </w:r>
    </w:p>
    <w:p w:rsidR="00BC7A48" w:rsidRDefault="00BC7A48" w:rsidP="00782F95">
      <w:pPr>
        <w:spacing w:line="360" w:lineRule="auto"/>
        <w:contextualSpacing/>
      </w:pPr>
      <w:r>
        <w:tab/>
      </w:r>
      <w:r>
        <w:tab/>
        <w:t xml:space="preserve">This is an appeal of BCS informal decision no. </w:t>
      </w:r>
      <w:r w:rsidR="00CA603F">
        <w:t>3266284,</w:t>
      </w:r>
      <w:r>
        <w:t xml:space="preserve"> which had been based on a different income and a household of two people.</w:t>
      </w:r>
    </w:p>
    <w:p w:rsidR="00BC7A48" w:rsidRDefault="00BC7A48" w:rsidP="00782F95">
      <w:pPr>
        <w:spacing w:line="360" w:lineRule="auto"/>
        <w:contextualSpacing/>
      </w:pPr>
      <w:r>
        <w:t> </w:t>
      </w:r>
    </w:p>
    <w:p w:rsidR="00BC7A48" w:rsidRDefault="00BC7A48" w:rsidP="00782F95">
      <w:pPr>
        <w:spacing w:line="360" w:lineRule="auto"/>
        <w:contextualSpacing/>
      </w:pPr>
      <w:r>
        <w:tab/>
      </w:r>
      <w:r>
        <w:tab/>
        <w:t>A telephone hearing notice was issued on November 21, 2014, which scheduled the hearing for Monday, January 12, 2015 and assigned the case to me.  I issued a prehearing order on December 2, 2014, which sets forth some of the requirements of a formal hearing before the Commission.</w:t>
      </w:r>
    </w:p>
    <w:p w:rsidR="00BC7A48" w:rsidRDefault="00BC7A48" w:rsidP="00782F95">
      <w:pPr>
        <w:spacing w:line="360" w:lineRule="auto"/>
        <w:contextualSpacing/>
      </w:pPr>
      <w:r>
        <w:t> </w:t>
      </w:r>
    </w:p>
    <w:p w:rsidR="00BC7A48" w:rsidRDefault="00BC7A48" w:rsidP="00782F95">
      <w:pPr>
        <w:spacing w:line="360" w:lineRule="auto"/>
        <w:contextualSpacing/>
      </w:pPr>
      <w:r>
        <w:tab/>
      </w:r>
      <w:r>
        <w:tab/>
        <w:t>The hearing was held as scheduled and Complainant appeared to testify on his own behalf. His father, Anthony Vena, also testified.  PGW was represented by Laureto Farina</w:t>
      </w:r>
      <w:r w:rsidR="00904030">
        <w:t>s</w:t>
      </w:r>
      <w:r>
        <w:t xml:space="preserve">, Esq., who presented one witness and six exhibits, </w:t>
      </w:r>
      <w:r w:rsidR="00411459">
        <w:t xml:space="preserve">all of </w:t>
      </w:r>
      <w:r>
        <w:t>which were admitted to the record.</w:t>
      </w:r>
    </w:p>
    <w:p w:rsidR="00BC7A48" w:rsidRDefault="00BC7A48" w:rsidP="00782F95">
      <w:pPr>
        <w:spacing w:line="360" w:lineRule="auto"/>
        <w:contextualSpacing/>
      </w:pPr>
      <w:r>
        <w:t> </w:t>
      </w:r>
      <w:r>
        <w:tab/>
      </w:r>
      <w:r>
        <w:tab/>
        <w:t>A transcript of 38 pages was generated and the record closed upon its receipt on February 5, 2015.  The matter is ripe for disposition.</w:t>
      </w:r>
    </w:p>
    <w:p w:rsidR="00F650F8" w:rsidRDefault="00F650F8" w:rsidP="00782F95">
      <w:pPr>
        <w:spacing w:line="360" w:lineRule="auto"/>
        <w:contextualSpacing/>
      </w:pPr>
    </w:p>
    <w:p w:rsidR="00BC7A48" w:rsidRDefault="00BC7A48" w:rsidP="00782F95">
      <w:pPr>
        <w:spacing w:line="360" w:lineRule="auto"/>
        <w:jc w:val="center"/>
        <w:rPr>
          <w:u w:val="single"/>
        </w:rPr>
      </w:pPr>
      <w:r>
        <w:rPr>
          <w:u w:val="single"/>
        </w:rPr>
        <w:t>FINDINGS OF FACT</w:t>
      </w:r>
    </w:p>
    <w:p w:rsidR="00782F95" w:rsidRDefault="00782F95" w:rsidP="00782F95">
      <w:pPr>
        <w:spacing w:line="360" w:lineRule="auto"/>
        <w:jc w:val="center"/>
      </w:pPr>
    </w:p>
    <w:p w:rsidR="00BC7A48" w:rsidRDefault="00BC7A48" w:rsidP="00782F95">
      <w:pPr>
        <w:spacing w:line="360" w:lineRule="auto"/>
      </w:pPr>
      <w:r>
        <w:t> </w:t>
      </w:r>
      <w:r>
        <w:tab/>
      </w:r>
      <w:r>
        <w:tab/>
      </w:r>
      <w:r w:rsidR="00904030">
        <w:t>1.</w:t>
      </w:r>
      <w:r w:rsidR="00904030">
        <w:tab/>
      </w:r>
      <w:r>
        <w:t>Complainant is Wayne Vena, 5516 Lancaster Avenue, Philadelphia PA 19131.  Tr. 7.</w:t>
      </w:r>
    </w:p>
    <w:p w:rsidR="00782F95" w:rsidRDefault="00782F95" w:rsidP="00782F95">
      <w:pPr>
        <w:spacing w:line="360" w:lineRule="auto"/>
      </w:pPr>
    </w:p>
    <w:p w:rsidR="00BC7A48" w:rsidRDefault="00BC7A48" w:rsidP="00782F95">
      <w:pPr>
        <w:spacing w:line="360" w:lineRule="auto"/>
        <w:contextualSpacing/>
      </w:pPr>
      <w:r>
        <w:t> </w:t>
      </w:r>
      <w:r>
        <w:tab/>
      </w:r>
      <w:r>
        <w:tab/>
      </w:r>
      <w:r w:rsidR="00904030">
        <w:t>2.</w:t>
      </w:r>
      <w:r w:rsidR="00904030">
        <w:tab/>
      </w:r>
      <w:r>
        <w:t xml:space="preserve">Respondent is Philadelphia Gas Works, a jurisdictional public utility providing residential gas service in the Commonwealth of Pennsylvania.  </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904030">
        <w:t>3.</w:t>
      </w:r>
      <w:r w:rsidR="00904030">
        <w:tab/>
      </w:r>
      <w:r>
        <w:t>Complainant had been paying about $68 monthly to PGW as a participant in the CRP program.  Tr. 8.</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904030">
        <w:t>4.</w:t>
      </w:r>
      <w:r w:rsidR="00904030">
        <w:tab/>
      </w:r>
      <w:r>
        <w:t>Friends who had nowhere else to go were staying with him and providing him with an additional $260 monthly.  Tr. 8.</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904030">
        <w:t>5.</w:t>
      </w:r>
      <w:r w:rsidR="00904030">
        <w:tab/>
      </w:r>
      <w:r>
        <w:t>He receives $740 monthly in disability payments.  Tr. 8.</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904030">
        <w:t>6.</w:t>
      </w:r>
      <w:r w:rsidR="00904030">
        <w:tab/>
      </w:r>
      <w:r>
        <w:t>Complainant’s father lives with him.  Tr. 8.</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7.</w:t>
      </w:r>
      <w:r w:rsidR="007B3C81">
        <w:tab/>
      </w:r>
      <w:r>
        <w:t>The household income at the time of the hearing was:</w:t>
      </w:r>
    </w:p>
    <w:p w:rsidR="00782F95" w:rsidRDefault="00782F95" w:rsidP="00782F95">
      <w:pPr>
        <w:spacing w:line="360" w:lineRule="auto"/>
        <w:contextualSpacing/>
      </w:pPr>
    </w:p>
    <w:p w:rsidR="00BC7A48" w:rsidRDefault="00BC7A48" w:rsidP="00782F95">
      <w:pPr>
        <w:spacing w:line="276" w:lineRule="auto"/>
        <w:ind w:left="1440" w:firstLine="1440"/>
        <w:contextualSpacing/>
      </w:pPr>
      <w:r>
        <w:t>Wayne Vena’s disability income</w:t>
      </w:r>
      <w:r>
        <w:tab/>
        <w:t>$740</w:t>
      </w:r>
    </w:p>
    <w:p w:rsidR="00BC7A48" w:rsidRDefault="00BC7A48" w:rsidP="00782F95">
      <w:pPr>
        <w:spacing w:line="276" w:lineRule="auto"/>
        <w:ind w:left="1440" w:firstLine="1440"/>
        <w:contextualSpacing/>
      </w:pPr>
      <w:r>
        <w:t>Anthony Vena’s check</w:t>
      </w:r>
      <w:r>
        <w:tab/>
      </w:r>
      <w:r>
        <w:tab/>
        <w:t>$1200</w:t>
      </w:r>
    </w:p>
    <w:p w:rsidR="00BC7A48" w:rsidRDefault="00BC7A48" w:rsidP="00782F95">
      <w:pPr>
        <w:spacing w:line="276" w:lineRule="auto"/>
        <w:ind w:left="1440" w:firstLine="1440"/>
        <w:contextualSpacing/>
      </w:pPr>
      <w:r>
        <w:t>Rent</w:t>
      </w:r>
      <w:r>
        <w:tab/>
      </w:r>
      <w:r>
        <w:tab/>
      </w:r>
      <w:r>
        <w:tab/>
      </w:r>
      <w:r>
        <w:tab/>
      </w:r>
      <w:r>
        <w:tab/>
        <w:t>$260</w:t>
      </w:r>
    </w:p>
    <w:p w:rsidR="00BC7A48" w:rsidRDefault="00BC7A48" w:rsidP="00782F95">
      <w:pPr>
        <w:spacing w:line="276" w:lineRule="auto"/>
        <w:ind w:left="1440" w:firstLine="1440"/>
        <w:contextualSpacing/>
      </w:pPr>
      <w:r>
        <w:t>Other folks’ income</w:t>
      </w:r>
      <w:r>
        <w:tab/>
      </w:r>
      <w:r>
        <w:tab/>
      </w:r>
      <w:r>
        <w:tab/>
        <w:t>$1500</w:t>
      </w:r>
    </w:p>
    <w:p w:rsidR="00BC7A48" w:rsidRDefault="00BC7A48" w:rsidP="00782F95">
      <w:pPr>
        <w:spacing w:line="276" w:lineRule="auto"/>
        <w:ind w:left="1440" w:firstLine="1440"/>
        <w:contextualSpacing/>
      </w:pPr>
      <w:r>
        <w:t>Monthly income for household</w:t>
      </w:r>
      <w:r>
        <w:tab/>
        <w:t>$3,450</w:t>
      </w:r>
    </w:p>
    <w:p w:rsidR="00BC7A48" w:rsidRDefault="00BC7A48" w:rsidP="00782F95">
      <w:pPr>
        <w:spacing w:line="276" w:lineRule="auto"/>
        <w:ind w:left="1440" w:firstLine="1440"/>
        <w:contextualSpacing/>
      </w:pPr>
      <w:r>
        <w:t>Tr. 24.</w:t>
      </w:r>
    </w:p>
    <w:p w:rsidR="00BC7A48" w:rsidRDefault="00BC7A48" w:rsidP="00782F95">
      <w:pPr>
        <w:spacing w:line="360" w:lineRule="auto"/>
        <w:contextualSpacing/>
      </w:pPr>
      <w:r>
        <w:t> </w:t>
      </w:r>
    </w:p>
    <w:p w:rsidR="00782F95" w:rsidRDefault="00BC7A48" w:rsidP="00782F95">
      <w:pPr>
        <w:spacing w:line="360" w:lineRule="auto"/>
        <w:contextualSpacing/>
      </w:pPr>
      <w:r>
        <w:tab/>
      </w:r>
      <w:r>
        <w:tab/>
      </w:r>
      <w:r w:rsidR="007B3C81">
        <w:t>8.</w:t>
      </w:r>
      <w:r w:rsidR="007B3C81">
        <w:tab/>
      </w:r>
      <w:r>
        <w:t>The household has seven people.  Tr. 20-21.</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9.</w:t>
      </w:r>
      <w:r w:rsidR="007B3C81">
        <w:tab/>
      </w:r>
      <w:r>
        <w:t>Jack Irizarry, customer review officer, appeared and testified on behalf of PGW.  Tr. 24, 28.</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10.</w:t>
      </w:r>
      <w:r w:rsidR="007B3C81">
        <w:tab/>
      </w:r>
      <w:r>
        <w:t>PGW Exhibit 1 is the Specific Service Agreement Statement of Account for this account.  Tr. 25.</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11.</w:t>
      </w:r>
      <w:r w:rsidR="007B3C81">
        <w:tab/>
      </w:r>
      <w:r>
        <w:t>PGW Exhibit 2 is entitled Contacts for Account, Vena, Wayne A.  Tr. 25.</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12.</w:t>
      </w:r>
      <w:r w:rsidR="007B3C81">
        <w:tab/>
      </w:r>
      <w:r>
        <w:t>PGW Exhibit 3 is a four-page document entitled Search for Negotiated Payment Arrangements.  Tr. 26.</w:t>
      </w:r>
    </w:p>
    <w:p w:rsidR="00BC7A48" w:rsidRDefault="00BC7A48" w:rsidP="00782F95">
      <w:pPr>
        <w:spacing w:line="360" w:lineRule="auto"/>
        <w:contextualSpacing/>
      </w:pPr>
      <w:r>
        <w:t> </w:t>
      </w:r>
    </w:p>
    <w:p w:rsidR="007B3C81" w:rsidRDefault="00BC7A48" w:rsidP="00782F95">
      <w:pPr>
        <w:spacing w:line="360" w:lineRule="auto"/>
        <w:contextualSpacing/>
      </w:pPr>
      <w:r>
        <w:tab/>
      </w:r>
      <w:r>
        <w:tab/>
      </w:r>
      <w:r w:rsidR="007B3C81">
        <w:t>13.</w:t>
      </w:r>
      <w:r w:rsidR="007B3C81">
        <w:tab/>
      </w:r>
      <w:r>
        <w:t>PGW Exhibit 4 is a single-page document entitled Gas Usage Analysis.  Tr. 26.</w:t>
      </w:r>
    </w:p>
    <w:p w:rsidR="007B3C81" w:rsidRDefault="007B3C81" w:rsidP="00782F95">
      <w:pPr>
        <w:spacing w:line="360" w:lineRule="auto"/>
        <w:contextualSpacing/>
      </w:pPr>
    </w:p>
    <w:p w:rsidR="00BC7A48" w:rsidRDefault="007B3C81" w:rsidP="00782F95">
      <w:pPr>
        <w:spacing w:line="360" w:lineRule="auto"/>
        <w:contextualSpacing/>
      </w:pPr>
      <w:r>
        <w:tab/>
      </w:r>
      <w:r>
        <w:tab/>
        <w:t>14.</w:t>
      </w:r>
      <w:r>
        <w:tab/>
      </w:r>
      <w:r w:rsidR="00BC7A48">
        <w:t>PGW Exhibit 5 is a single-page document which is the BCS informal decision.  Tr. 26.</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15.</w:t>
      </w:r>
      <w:r w:rsidR="007B3C81">
        <w:tab/>
      </w:r>
      <w:r>
        <w:t>PGW Exhibit 2 shows a conversation between PGW and Complainant denoting that Complainant had reported a monthly income of $3,530 for seven in the household on October 15, 2014, which was noted as a Level 1 income for three adults.  Tr. 28-29.</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16.</w:t>
      </w:r>
      <w:r w:rsidR="007B3C81">
        <w:tab/>
      </w:r>
      <w:r>
        <w:t>On October 15, 2014, Complainant was advised that to enter into a payment arrangement</w:t>
      </w:r>
      <w:r w:rsidR="003A6875">
        <w:t xml:space="preserve"> (PAR)</w:t>
      </w:r>
      <w:r>
        <w:t xml:space="preserve"> or to reinstate the PAR, he needed $879 or he could apply for CRP, which did not need a catch-up amount.  Tr. 29; PGW Exhibit 2.</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17.</w:t>
      </w:r>
      <w:r w:rsidR="007B3C81">
        <w:tab/>
      </w:r>
      <w:r>
        <w:t>Complainant was advised that he had exhausted his medical exemptions and he did not have a shut-off pending.  Tr. 29; PGW Exhibit 2.</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18.</w:t>
      </w:r>
      <w:r w:rsidR="007B3C81">
        <w:tab/>
      </w:r>
      <w:r>
        <w:t>A non-CRP payment arrangement would be $29</w:t>
      </w:r>
      <w:r w:rsidR="008B657F">
        <w:t>3</w:t>
      </w:r>
      <w:r>
        <w:t xml:space="preserve"> monthly.  Tr. 29.</w:t>
      </w:r>
    </w:p>
    <w:p w:rsidR="00BC7A48" w:rsidRDefault="00BC7A48" w:rsidP="00782F95">
      <w:pPr>
        <w:spacing w:line="360" w:lineRule="auto"/>
        <w:contextualSpacing/>
      </w:pPr>
      <w:r>
        <w:t> </w:t>
      </w:r>
    </w:p>
    <w:p w:rsidR="006524EF" w:rsidRDefault="00BC7A48" w:rsidP="00782F95">
      <w:pPr>
        <w:spacing w:line="360" w:lineRule="auto"/>
        <w:contextualSpacing/>
      </w:pPr>
      <w:r>
        <w:tab/>
      </w:r>
      <w:r>
        <w:tab/>
      </w:r>
      <w:r w:rsidR="007B3C81">
        <w:t>19.</w:t>
      </w:r>
      <w:r w:rsidR="007B3C81">
        <w:tab/>
      </w:r>
      <w:r w:rsidR="006524EF">
        <w:t xml:space="preserve">Under PGW's belief that the Complaint was late-filed, </w:t>
      </w:r>
      <w:r>
        <w:t>Complainant would need $1,065 to catch up on the previous PUC payment arrangement</w:t>
      </w:r>
      <w:r w:rsidR="006524EF">
        <w:t xml:space="preserve"> at the time of the hearing</w:t>
      </w:r>
      <w:r>
        <w:t xml:space="preserve">, and thereafter, his monthly payment would be $240.  </w:t>
      </w:r>
    </w:p>
    <w:p w:rsidR="00BC7A48" w:rsidRDefault="00BC7A48" w:rsidP="00782F95">
      <w:pPr>
        <w:spacing w:line="360" w:lineRule="auto"/>
        <w:contextualSpacing/>
      </w:pPr>
      <w:r>
        <w:t>Tr. 30.</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20.</w:t>
      </w:r>
      <w:r w:rsidR="007B3C81">
        <w:tab/>
      </w:r>
      <w:r>
        <w:t>PGW Exhibit 1 shows seven payments on the account in the 12 months</w:t>
      </w:r>
      <w:r w:rsidR="006524EF">
        <w:t xml:space="preserve"> prior to the hearing</w:t>
      </w:r>
      <w:r>
        <w:t>, plus a $400</w:t>
      </w:r>
      <w:r w:rsidR="006524EF">
        <w:t>.00</w:t>
      </w:r>
      <w:r>
        <w:t xml:space="preserve"> payment made after this exhibit was prepared.  Tr. 31.</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21.</w:t>
      </w:r>
      <w:r w:rsidR="007B3C81">
        <w:tab/>
      </w:r>
      <w:r>
        <w:t>Complainant was on CRP beginning in January 2009 until suspension in January 2014</w:t>
      </w:r>
      <w:r w:rsidR="006524EF">
        <w:t>, when he was removed</w:t>
      </w:r>
      <w:r>
        <w:t xml:space="preserve"> due to failure to recertify.  Tr. 31.</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22.</w:t>
      </w:r>
      <w:r w:rsidR="007B3C81">
        <w:tab/>
      </w:r>
      <w:r w:rsidR="006524EF">
        <w:t>Complainant's</w:t>
      </w:r>
      <w:r>
        <w:t xml:space="preserve"> prior CRP bill was based on Complainant’s disability income of $701.40 monthly for one member of his household.  Tr. 32.</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23.</w:t>
      </w:r>
      <w:r w:rsidR="007B3C81">
        <w:tab/>
      </w:r>
      <w:r>
        <w:t xml:space="preserve">Complainant is still eligible for CRP but based on an income of $3,500 for seven people, </w:t>
      </w:r>
      <w:r w:rsidR="006524EF">
        <w:t>h</w:t>
      </w:r>
      <w:r>
        <w:t>is monthly bill would be approximately $358</w:t>
      </w:r>
      <w:r w:rsidR="006524EF">
        <w:t>.00</w:t>
      </w:r>
      <w:r>
        <w:t xml:space="preserve"> monthly.  Tr. 32.</w:t>
      </w:r>
    </w:p>
    <w:p w:rsidR="00BC7A48" w:rsidRDefault="00BC7A48" w:rsidP="00782F95">
      <w:pPr>
        <w:spacing w:line="360" w:lineRule="auto"/>
        <w:contextualSpacing/>
      </w:pPr>
      <w:r>
        <w:t> </w:t>
      </w:r>
    </w:p>
    <w:p w:rsidR="00BC7A48" w:rsidRDefault="00BC7A48" w:rsidP="00782F95">
      <w:pPr>
        <w:spacing w:line="360" w:lineRule="auto"/>
        <w:contextualSpacing/>
      </w:pPr>
      <w:r>
        <w:tab/>
      </w:r>
      <w:r>
        <w:tab/>
      </w:r>
      <w:r w:rsidR="007B3C81">
        <w:t>24.</w:t>
      </w:r>
      <w:r w:rsidR="007B3C81">
        <w:tab/>
      </w:r>
      <w:r>
        <w:t xml:space="preserve">The BCS informal decision granted a payment arrangement on </w:t>
      </w:r>
      <w:r w:rsidR="003A0422">
        <w:t>July</w:t>
      </w:r>
      <w:r>
        <w:t xml:space="preserve"> 2</w:t>
      </w:r>
      <w:r w:rsidR="003A0422">
        <w:t>3</w:t>
      </w:r>
      <w:r>
        <w:t>, 2014, based on a</w:t>
      </w:r>
      <w:r w:rsidR="002943B0">
        <w:t>n</w:t>
      </w:r>
      <w:r>
        <w:t xml:space="preserve"> income </w:t>
      </w:r>
      <w:r w:rsidR="002943B0">
        <w:t xml:space="preserve">Level I </w:t>
      </w:r>
      <w:r>
        <w:t>household</w:t>
      </w:r>
      <w:r w:rsidR="002943B0">
        <w:t xml:space="preserve"> and an account balance of $1,317.01</w:t>
      </w:r>
      <w:r>
        <w:t>.  Tr. 33.</w:t>
      </w:r>
    </w:p>
    <w:p w:rsidR="00764547" w:rsidRDefault="00764547" w:rsidP="00782F95">
      <w:pPr>
        <w:spacing w:line="360" w:lineRule="auto"/>
        <w:contextualSpacing/>
      </w:pPr>
    </w:p>
    <w:p w:rsidR="007B3C81" w:rsidRDefault="007B3C81" w:rsidP="00782F95">
      <w:pPr>
        <w:spacing w:line="360" w:lineRule="auto"/>
        <w:contextualSpacing/>
        <w:jc w:val="center"/>
        <w:rPr>
          <w:u w:val="single"/>
        </w:rPr>
      </w:pPr>
      <w:r>
        <w:rPr>
          <w:u w:val="single"/>
        </w:rPr>
        <w:t>DISCUSSION</w:t>
      </w:r>
    </w:p>
    <w:p w:rsidR="007B3C81" w:rsidRDefault="007B3C81" w:rsidP="00782F95">
      <w:pPr>
        <w:spacing w:line="360" w:lineRule="auto"/>
        <w:contextualSpacing/>
        <w:jc w:val="center"/>
        <w:rPr>
          <w:u w:val="single"/>
        </w:rPr>
      </w:pPr>
    </w:p>
    <w:p w:rsidR="007B3C81" w:rsidRDefault="007B3C81" w:rsidP="00782F95">
      <w:pPr>
        <w:spacing w:line="360" w:lineRule="auto"/>
        <w:contextualSpacing/>
      </w:pPr>
      <w:r>
        <w:tab/>
      </w:r>
      <w:r>
        <w:tab/>
        <w:t>Complainant objects to the increase in his gas bill after his income increased</w:t>
      </w:r>
      <w:r w:rsidR="003A6875">
        <w:t>,</w:t>
      </w:r>
      <w:r w:rsidR="000978DB">
        <w:t xml:space="preserve"> which he avers is not proportionate.  He believes that the increase in his personal income is what should be considered, not the total income of the residents in his home.  </w:t>
      </w:r>
    </w:p>
    <w:p w:rsidR="000978DB" w:rsidRDefault="000978DB" w:rsidP="00782F95">
      <w:pPr>
        <w:spacing w:line="360" w:lineRule="auto"/>
        <w:contextualSpacing/>
      </w:pPr>
    </w:p>
    <w:p w:rsidR="000978DB" w:rsidRPr="0084264F" w:rsidRDefault="000978DB" w:rsidP="00782F95">
      <w:pPr>
        <w:spacing w:line="360" w:lineRule="auto"/>
      </w:pPr>
      <w:r>
        <w:tab/>
      </w:r>
      <w:r>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This must be shown by a preponderance of the evidence.   </w:t>
      </w:r>
      <w:r>
        <w:rPr>
          <w:i/>
        </w:rPr>
        <w:t>Samuel</w:t>
      </w:r>
      <w:r w:rsidR="00072859">
        <w:rPr>
          <w:i/>
        </w:rPr>
        <w:t> </w:t>
      </w:r>
      <w:r>
        <w:rPr>
          <w:i/>
        </w:rPr>
        <w:t xml:space="preserve">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sidRPr="0084264F">
        <w:rPr>
          <w:color w:val="333333"/>
        </w:rPr>
        <w:t>364 Pa. 45, 70 A.2d 854, 1950 Pa. LEXIS 316 (1950)</w:t>
      </w:r>
      <w:r w:rsidRPr="0084264F">
        <w:t>.</w:t>
      </w:r>
    </w:p>
    <w:p w:rsidR="000978DB" w:rsidRDefault="000978DB" w:rsidP="00782F95">
      <w:pPr>
        <w:spacing w:line="360" w:lineRule="auto"/>
      </w:pPr>
    </w:p>
    <w:p w:rsidR="000978DB" w:rsidRDefault="000978DB" w:rsidP="00782F95">
      <w:pPr>
        <w:spacing w:line="360" w:lineRule="auto"/>
      </w:pPr>
      <w:r>
        <w:tab/>
      </w:r>
      <w:r>
        <w:tab/>
        <w:t xml:space="preserve">Additionally, 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rsidRPr="004913C4">
        <w:t>489 Pa. 109, 413 A.2d</w:t>
      </w:r>
      <w:r>
        <w:t xml:space="preserve"> 1037 (1980); </w:t>
      </w:r>
      <w:r>
        <w:rPr>
          <w:i/>
        </w:rPr>
        <w:t xml:space="preserve">Erie Resistor Corp. v. Unemployment Compensation Bd. Of Review, </w:t>
      </w:r>
      <w:r>
        <w:t xml:space="preserve">166 A.2d 96 (Pa.Super. 1960); </w:t>
      </w:r>
      <w:r>
        <w:rPr>
          <w:i/>
        </w:rPr>
        <w:t xml:space="preserve">Murphy v. Dep't. </w:t>
      </w:r>
      <w:proofErr w:type="gramStart"/>
      <w:r>
        <w:rPr>
          <w:i/>
        </w:rPr>
        <w:t>of</w:t>
      </w:r>
      <w:proofErr w:type="gramEnd"/>
      <w:r>
        <w:rPr>
          <w:i/>
        </w:rPr>
        <w:t xml:space="preserve"> Public Welfare, White Haven Center, </w:t>
      </w:r>
      <w:r>
        <w:t>480 A.2d 382 (Pa.Cmwlth. 1984).</w:t>
      </w:r>
    </w:p>
    <w:p w:rsidR="000978DB" w:rsidRDefault="000978DB" w:rsidP="00782F95">
      <w:pPr>
        <w:spacing w:line="360" w:lineRule="auto"/>
      </w:pPr>
    </w:p>
    <w:p w:rsidR="000978DB" w:rsidRDefault="000978DB" w:rsidP="00782F95">
      <w:pPr>
        <w:spacing w:line="360" w:lineRule="auto"/>
      </w:pPr>
      <w:r>
        <w:tab/>
      </w:r>
      <w:r>
        <w:tab/>
        <w:t>The offense must be a violation of the Public Utility Code, the Commission's regulations, or an outstanding order of the Commission.  66 Pa.C.S. § 701.</w:t>
      </w:r>
    </w:p>
    <w:p w:rsidR="000978DB" w:rsidRDefault="000978DB" w:rsidP="00782F95">
      <w:pPr>
        <w:spacing w:line="360" w:lineRule="auto"/>
      </w:pPr>
    </w:p>
    <w:p w:rsidR="000978DB" w:rsidRDefault="000978DB" w:rsidP="00782F95">
      <w:pPr>
        <w:spacing w:line="360" w:lineRule="auto"/>
        <w:ind w:firstLine="1440"/>
      </w:pPr>
      <w:r>
        <w:t>As the proponent of a Commission order, complainant has the burden of proof in this case.  66 Pa.C.S.A. § 332(a).</w:t>
      </w:r>
    </w:p>
    <w:p w:rsidR="000978DB" w:rsidRDefault="000978DB" w:rsidP="00782F95">
      <w:pPr>
        <w:spacing w:line="360" w:lineRule="auto"/>
        <w:ind w:firstLine="1440"/>
      </w:pPr>
    </w:p>
    <w:p w:rsidR="000978DB" w:rsidRDefault="000978DB" w:rsidP="00782F95">
      <w:pPr>
        <w:tabs>
          <w:tab w:val="left" w:pos="-1440"/>
          <w:tab w:val="left" w:pos="-720"/>
        </w:tabs>
        <w:suppressAutoHyphens/>
        <w:spacing w:line="360" w:lineRule="auto"/>
        <w:ind w:firstLine="1440"/>
        <w:rPr>
          <w:spacing w:val="-3"/>
        </w:rPr>
      </w:pPr>
      <w:r>
        <w:rPr>
          <w:spacing w:val="-3"/>
        </w:rPr>
        <w:t>Complainant states that his gas bill had been $68</w:t>
      </w:r>
      <w:r w:rsidR="006524EF">
        <w:rPr>
          <w:spacing w:val="-3"/>
        </w:rPr>
        <w:t>.00</w:t>
      </w:r>
      <w:r>
        <w:rPr>
          <w:spacing w:val="-3"/>
        </w:rPr>
        <w:t xml:space="preserve"> per month and now PGW wants to increase it by 400%.  He receives a disability check of $740</w:t>
      </w:r>
      <w:r w:rsidR="006524EF">
        <w:rPr>
          <w:spacing w:val="-3"/>
        </w:rPr>
        <w:t>.00</w:t>
      </w:r>
      <w:r>
        <w:rPr>
          <w:spacing w:val="-3"/>
        </w:rPr>
        <w:t>, and his father receives a monthly check of $1,200</w:t>
      </w:r>
      <w:r w:rsidR="006524EF">
        <w:rPr>
          <w:spacing w:val="-3"/>
        </w:rPr>
        <w:t>.00</w:t>
      </w:r>
      <w:r>
        <w:rPr>
          <w:spacing w:val="-3"/>
        </w:rPr>
        <w:t>, and he has a family of five staying with them right now who gives him $240</w:t>
      </w:r>
      <w:r w:rsidR="006524EF">
        <w:rPr>
          <w:spacing w:val="-3"/>
        </w:rPr>
        <w:t>.00</w:t>
      </w:r>
      <w:r>
        <w:rPr>
          <w:spacing w:val="-3"/>
        </w:rPr>
        <w:t xml:space="preserve"> monthly but receives a total of $1,500</w:t>
      </w:r>
      <w:r w:rsidR="006524EF">
        <w:rPr>
          <w:spacing w:val="-3"/>
        </w:rPr>
        <w:t>.00</w:t>
      </w:r>
      <w:r>
        <w:rPr>
          <w:spacing w:val="-3"/>
        </w:rPr>
        <w:t xml:space="preserve">.    </w:t>
      </w:r>
      <w:r>
        <w:rPr>
          <w:spacing w:val="-3"/>
        </w:rPr>
        <w:tab/>
      </w:r>
    </w:p>
    <w:p w:rsidR="000978DB" w:rsidRPr="007B3C81" w:rsidRDefault="000978DB" w:rsidP="00782F95">
      <w:pPr>
        <w:spacing w:line="360" w:lineRule="auto"/>
        <w:contextualSpacing/>
      </w:pPr>
    </w:p>
    <w:p w:rsidR="00CA603F" w:rsidRDefault="000978DB" w:rsidP="00782F95">
      <w:pPr>
        <w:spacing w:line="360" w:lineRule="auto"/>
        <w:contextualSpacing/>
      </w:pPr>
      <w:r>
        <w:tab/>
      </w:r>
      <w:r>
        <w:tab/>
      </w:r>
      <w:r w:rsidR="00CA603F">
        <w:t xml:space="preserve">PGW Witness Irizarry testified that Complainant was on CRP </w:t>
      </w:r>
      <w:r w:rsidR="004848C6">
        <w:t xml:space="preserve">(PGW's customer assistance program) </w:t>
      </w:r>
      <w:r w:rsidR="00CA603F">
        <w:t>beginning in January 2009 until suspension in January 2014 due to failure to recertify.  Tr. 31.  His prior CRP bill was based on Complainant’s disability income of $701.40 monthly for one member of his household.  Tr. 32.</w:t>
      </w:r>
    </w:p>
    <w:p w:rsidR="00CA603F" w:rsidRDefault="00CA603F" w:rsidP="00782F95">
      <w:pPr>
        <w:spacing w:line="360" w:lineRule="auto"/>
        <w:contextualSpacing/>
      </w:pPr>
      <w:r>
        <w:t> </w:t>
      </w:r>
    </w:p>
    <w:p w:rsidR="004848C6" w:rsidRDefault="00CA603F" w:rsidP="00782F95">
      <w:pPr>
        <w:spacing w:line="360" w:lineRule="auto"/>
        <w:contextualSpacing/>
      </w:pPr>
      <w:r>
        <w:tab/>
      </w:r>
      <w:r>
        <w:tab/>
        <w:t xml:space="preserve">Complainant is still eligible for CRP but based on an income of $3,500 for seven people, his monthly bill would be approximately $358 monthly.  Tr. 32.  The BCS informal decision granted a </w:t>
      </w:r>
      <w:r w:rsidR="003A6875">
        <w:t>PAR</w:t>
      </w:r>
      <w:r>
        <w:t xml:space="preserve"> on February 24, 2014, based on a household income of $1,922 for two people in the household.  Tr. 33.</w:t>
      </w:r>
      <w:r w:rsidR="007E09E9">
        <w:t xml:space="preserve">  The payment plan called for the regular budget amount and $22 monthly towards an arrearage of $1,317.01.  </w:t>
      </w:r>
    </w:p>
    <w:p w:rsidR="004848C6" w:rsidRDefault="004848C6" w:rsidP="00782F95">
      <w:pPr>
        <w:spacing w:line="360" w:lineRule="auto"/>
        <w:contextualSpacing/>
      </w:pPr>
    </w:p>
    <w:p w:rsidR="0023275E" w:rsidRDefault="004848C6" w:rsidP="00782F95">
      <w:pPr>
        <w:spacing w:line="360" w:lineRule="auto"/>
        <w:contextualSpacing/>
      </w:pPr>
      <w:r>
        <w:tab/>
      </w:r>
      <w:r>
        <w:tab/>
        <w:t>According t</w:t>
      </w:r>
      <w:r w:rsidR="00E47299">
        <w:t xml:space="preserve">o PGW records, the February BCS-issued PAR was canceled, PGW Ex. 3.  </w:t>
      </w:r>
      <w:r w:rsidR="007E09E9">
        <w:t xml:space="preserve">The BCS database states that </w:t>
      </w:r>
      <w:r w:rsidR="00E47299">
        <w:t xml:space="preserve">the PAR issued on July 24, 2014, </w:t>
      </w:r>
      <w:r w:rsidR="007E09E9">
        <w:t>is a</w:t>
      </w:r>
      <w:r w:rsidR="00E47299">
        <w:t xml:space="preserve"> first-time payment arrangement</w:t>
      </w:r>
      <w:r w:rsidR="007E09E9">
        <w:t>.</w:t>
      </w:r>
      <w:r w:rsidR="00E47299">
        <w:t xml:space="preserve">  I note that PGW Exhibit 3 lists the July 24, 2014, PAR as "broken."  PGW Exhibit 1 shows that Complainant made only one payment in the latter half of 2014, in the amount of $322.00) on July 14, 2014.  </w:t>
      </w:r>
    </w:p>
    <w:p w:rsidR="0023275E" w:rsidRDefault="0023275E" w:rsidP="00782F95">
      <w:pPr>
        <w:spacing w:line="360" w:lineRule="auto"/>
        <w:contextualSpacing/>
      </w:pPr>
    </w:p>
    <w:p w:rsidR="00DD1BFD" w:rsidRDefault="0023275E" w:rsidP="00782F95">
      <w:pPr>
        <w:spacing w:line="360" w:lineRule="auto"/>
        <w:contextualSpacing/>
      </w:pPr>
      <w:r>
        <w:tab/>
      </w:r>
      <w:r>
        <w:tab/>
        <w:t xml:space="preserve">However, whether or not this PAR was broken depends upon whether it was appealed timely.  The record has no documentation to support a finding </w:t>
      </w:r>
      <w:r w:rsidR="00DD1BFD">
        <w:t>of either timely or untimely.  Commission regulations provide</w:t>
      </w:r>
      <w:r w:rsidR="002F2099">
        <w:t xml:space="preserve"> an unwieldy process which </w:t>
      </w:r>
      <w:r w:rsidR="008B657F">
        <w:t>is the cause of</w:t>
      </w:r>
      <w:r w:rsidR="002F2099">
        <w:t xml:space="preserve"> the uncertainty present in this case</w:t>
      </w:r>
      <w:r w:rsidR="00DD1BFD">
        <w:t>:</w:t>
      </w:r>
    </w:p>
    <w:p w:rsidR="00DD1BFD" w:rsidRDefault="00DD1BFD" w:rsidP="00782F95">
      <w:pPr>
        <w:spacing w:line="360" w:lineRule="auto"/>
        <w:contextualSpacing/>
      </w:pPr>
    </w:p>
    <w:p w:rsidR="00DD1BFD" w:rsidRPr="00DD1BFD" w:rsidRDefault="00DD1BFD" w:rsidP="00782F95">
      <w:pPr>
        <w:ind w:left="1440" w:right="1440"/>
        <w:outlineLvl w:val="3"/>
        <w:rPr>
          <w:rFonts w:eastAsia="Times New Roman"/>
          <w:b/>
          <w:bCs/>
        </w:rPr>
      </w:pPr>
      <w:bookmarkStart w:id="0" w:name="56.172."/>
      <w:r w:rsidRPr="00DD1BFD">
        <w:rPr>
          <w:rFonts w:eastAsia="Times New Roman"/>
          <w:b/>
          <w:bCs/>
          <w:sz w:val="27"/>
          <w:szCs w:val="27"/>
        </w:rPr>
        <w:t xml:space="preserve">§ 56.172. </w:t>
      </w:r>
      <w:r w:rsidRPr="00DD1BFD">
        <w:rPr>
          <w:rFonts w:eastAsia="Times New Roman"/>
          <w:b/>
          <w:bCs/>
        </w:rPr>
        <w:t>Filing.</w:t>
      </w:r>
    </w:p>
    <w:p w:rsidR="00DD1BFD" w:rsidRPr="00DD1BFD" w:rsidRDefault="00DD1BFD" w:rsidP="00782F95">
      <w:pPr>
        <w:ind w:left="1440" w:right="1440"/>
        <w:rPr>
          <w:rFonts w:eastAsia="Times New Roman"/>
        </w:rPr>
      </w:pPr>
      <w:r w:rsidRPr="00DD1BFD">
        <w:rPr>
          <w:rFonts w:eastAsia="Times New Roman"/>
        </w:rPr>
        <w:t xml:space="preserve">(a) A request for review of the decision of the Bureau of Consumer Services (BCS) shall be initiated in writing within 20 days of issuance. </w:t>
      </w:r>
    </w:p>
    <w:p w:rsidR="00DD1BFD" w:rsidRPr="00DD1BFD" w:rsidRDefault="00DD1BFD" w:rsidP="00782F95">
      <w:pPr>
        <w:ind w:left="1440" w:right="1440"/>
        <w:rPr>
          <w:rFonts w:eastAsia="Times New Roman"/>
        </w:rPr>
      </w:pPr>
      <w:r w:rsidRPr="00DD1BFD">
        <w:rPr>
          <w:rFonts w:eastAsia="Times New Roman"/>
        </w:rPr>
        <w:t xml:space="preserve">(b) Upon receipt of a request for review of the decision of the BCS, the Secretary of the Commission will mail a formal complaint form to the requesting person. </w:t>
      </w:r>
    </w:p>
    <w:p w:rsidR="00DD1BFD" w:rsidRPr="00DD1BFD" w:rsidRDefault="00DD1BFD" w:rsidP="00782F95">
      <w:pPr>
        <w:ind w:left="1440" w:right="1440"/>
        <w:rPr>
          <w:rFonts w:eastAsia="Times New Roman"/>
        </w:rPr>
      </w:pPr>
      <w:r w:rsidRPr="00DD1BFD">
        <w:rPr>
          <w:rFonts w:eastAsia="Times New Roman"/>
        </w:rPr>
        <w:t xml:space="preserve">(c) Within 30 days of the mailing of the formal complaint form, the party requesting review of the decision of the BCS shall file the completed complaint form with the Secretary. </w:t>
      </w:r>
    </w:p>
    <w:p w:rsidR="00DD1BFD" w:rsidRPr="00DD1BFD" w:rsidRDefault="00DD1BFD" w:rsidP="00782F95">
      <w:pPr>
        <w:ind w:left="1440" w:right="1440"/>
        <w:rPr>
          <w:rFonts w:eastAsia="Times New Roman"/>
        </w:rPr>
      </w:pPr>
      <w:r w:rsidRPr="00DD1BFD">
        <w:rPr>
          <w:rFonts w:eastAsia="Times New Roman"/>
        </w:rPr>
        <w:t xml:space="preserve">(d) Upon the filing of a formal complaint within the 30-day period and not thereafter except for good cause shown, there will be an automatic stay of the informal complaint decision. </w:t>
      </w:r>
    </w:p>
    <w:p w:rsidR="00DD1BFD" w:rsidRPr="00DD1BFD" w:rsidRDefault="00DD1BFD" w:rsidP="00782F95">
      <w:pPr>
        <w:ind w:left="1440" w:right="1440"/>
        <w:rPr>
          <w:rFonts w:eastAsia="Times New Roman"/>
        </w:rPr>
      </w:pPr>
      <w:r w:rsidRPr="00DD1BFD">
        <w:rPr>
          <w:rFonts w:eastAsia="Times New Roman"/>
        </w:rPr>
        <w:t>(e) The failure to request review of the BCS decision by filing a formal complaint within the 30-day period does not foreclose a party from filing a formal complaint at a later time except as otherwise may be provided in 66 Pa.C.S. (relating to Public Utility Code).</w:t>
      </w:r>
    </w:p>
    <w:bookmarkEnd w:id="0"/>
    <w:p w:rsidR="00CA603F" w:rsidRDefault="00DD1BFD" w:rsidP="00782F95">
      <w:pPr>
        <w:spacing w:line="360" w:lineRule="auto"/>
        <w:contextualSpacing/>
      </w:pPr>
      <w:r>
        <w:t>52 Pa.Code § 56.172.</w:t>
      </w:r>
      <w:r w:rsidR="007E09E9">
        <w:t xml:space="preserve">  </w:t>
      </w:r>
    </w:p>
    <w:p w:rsidR="00CA603F" w:rsidRDefault="00CA603F" w:rsidP="00782F95">
      <w:pPr>
        <w:spacing w:line="360" w:lineRule="auto"/>
        <w:contextualSpacing/>
      </w:pPr>
    </w:p>
    <w:p w:rsidR="002F2099" w:rsidRDefault="00817B7F" w:rsidP="00782F95">
      <w:pPr>
        <w:spacing w:line="360" w:lineRule="auto"/>
        <w:contextualSpacing/>
      </w:pPr>
      <w:r>
        <w:tab/>
      </w:r>
      <w:r>
        <w:tab/>
        <w:t>As the BCS decision was dated July 24, 2014, with an implementation date of September, 2014 (PGW Ex. 5), it was mailed</w:t>
      </w:r>
      <w:r w:rsidR="002F2099">
        <w:t xml:space="preserve"> on that date or within a few days</w:t>
      </w:r>
      <w:r>
        <w:t xml:space="preserve"> to Complainant with a form </w:t>
      </w:r>
      <w:r w:rsidR="004C4900">
        <w:t>entitled "Notification of Intent to Appeal," which</w:t>
      </w:r>
      <w:r>
        <w:t xml:space="preserve"> is the request for review from subsection (a), above.  The </w:t>
      </w:r>
      <w:r w:rsidR="002F2099">
        <w:t xml:space="preserve">BCS decision and the accompanying </w:t>
      </w:r>
      <w:r>
        <w:t xml:space="preserve">form would have arrived within a few days, with the direction to return it within 20 days if Complainant wanted to proceed. </w:t>
      </w:r>
      <w:r w:rsidR="002F2099">
        <w:rPr>
          <w:i/>
        </w:rPr>
        <w:t xml:space="preserve">See </w:t>
      </w:r>
      <w:r w:rsidR="002F2099">
        <w:t xml:space="preserve">subsection (b), above.  </w:t>
      </w:r>
      <w:r>
        <w:t xml:space="preserve">The due date would have been </w:t>
      </w:r>
      <w:r w:rsidR="002F2099">
        <w:t xml:space="preserve">roughly </w:t>
      </w:r>
      <w:r>
        <w:t>mid-August</w:t>
      </w:r>
      <w:r w:rsidR="002F2099">
        <w:t>.</w:t>
      </w:r>
    </w:p>
    <w:p w:rsidR="002F2099" w:rsidRDefault="002F2099" w:rsidP="00782F95">
      <w:pPr>
        <w:spacing w:line="360" w:lineRule="auto"/>
        <w:contextualSpacing/>
      </w:pPr>
    </w:p>
    <w:p w:rsidR="002F2099" w:rsidRDefault="002F2099" w:rsidP="00782F95">
      <w:pPr>
        <w:spacing w:line="360" w:lineRule="auto"/>
        <w:contextualSpacing/>
      </w:pPr>
      <w:r>
        <w:tab/>
      </w:r>
      <w:r>
        <w:tab/>
        <w:t>U</w:t>
      </w:r>
      <w:r w:rsidR="00817B7F">
        <w:t>pon receipt</w:t>
      </w:r>
      <w:r>
        <w:t xml:space="preserve"> of the</w:t>
      </w:r>
      <w:r w:rsidR="004C4900">
        <w:t xml:space="preserve"> completed Notification of Intent to Appeal</w:t>
      </w:r>
      <w:r>
        <w:t xml:space="preserve"> form</w:t>
      </w:r>
      <w:r w:rsidR="00817B7F">
        <w:t>, the Secretary would</w:t>
      </w:r>
      <w:r>
        <w:t xml:space="preserve"> have</w:t>
      </w:r>
      <w:r w:rsidR="00817B7F">
        <w:t xml:space="preserve"> mail</w:t>
      </w:r>
      <w:r>
        <w:t>ed</w:t>
      </w:r>
      <w:r w:rsidR="00817B7F">
        <w:t xml:space="preserve"> a formal complaint form to the Complainant with the direction that it be completed</w:t>
      </w:r>
      <w:r>
        <w:t xml:space="preserve"> and returned</w:t>
      </w:r>
      <w:r w:rsidR="00817B7F">
        <w:t xml:space="preserve"> within 30 days.  </w:t>
      </w:r>
      <w:r>
        <w:t>That 30 day</w:t>
      </w:r>
      <w:r w:rsidR="004C4900">
        <w:t xml:space="preserve"> period</w:t>
      </w:r>
      <w:r>
        <w:t xml:space="preserve"> would have run to </w:t>
      </w:r>
      <w:r w:rsidR="00817B7F">
        <w:t>mid-September</w:t>
      </w:r>
      <w:r>
        <w:t>.  T</w:t>
      </w:r>
      <w:r w:rsidR="00817B7F">
        <w:t xml:space="preserve">his </w:t>
      </w:r>
      <w:r>
        <w:t xml:space="preserve">formal Complaint </w:t>
      </w:r>
      <w:r w:rsidR="00817B7F">
        <w:t xml:space="preserve">was filed September 14, 2014.  </w:t>
      </w:r>
    </w:p>
    <w:p w:rsidR="002F2099" w:rsidRDefault="002F2099" w:rsidP="00782F95">
      <w:pPr>
        <w:spacing w:line="360" w:lineRule="auto"/>
        <w:contextualSpacing/>
      </w:pPr>
    </w:p>
    <w:p w:rsidR="008B657F" w:rsidRDefault="002F2099" w:rsidP="00782F95">
      <w:pPr>
        <w:spacing w:line="360" w:lineRule="auto"/>
        <w:contextualSpacing/>
      </w:pPr>
      <w:r>
        <w:tab/>
      </w:r>
      <w:r>
        <w:tab/>
      </w:r>
      <w:r w:rsidR="00817B7F">
        <w:t>I note that the Secretary</w:t>
      </w:r>
      <w:r>
        <w:t>'s Bureau</w:t>
      </w:r>
      <w:r w:rsidR="00817B7F">
        <w:t xml:space="preserve"> will designate the filing of the formal Complaint form to be timely if the Complainant uses the form provided, and then labels the Complaint with an "F" rather than a "C" docket number such as the one used in this case.  </w:t>
      </w:r>
      <w:r>
        <w:t xml:space="preserve">The "C" dockets are used for complaints which are either not appeals from the BCS determinations, or are untimely appeals, in which case the filing office marks the complaint "untimely" at the top of the form.  </w:t>
      </w:r>
      <w:r w:rsidR="00E30D31">
        <w:t>However, t</w:t>
      </w:r>
      <w:r w:rsidR="00817B7F">
        <w:t>here is also the possibility that the Complainant printed a formal Complaint form from the Commission's website and mailed that one instead of the one supplied by the Secretary's Bureau</w:t>
      </w:r>
      <w:r w:rsidR="008B657F">
        <w:t>.  This</w:t>
      </w:r>
      <w:r>
        <w:t xml:space="preserve"> "C" docket is an appeal from the BCS determination </w:t>
      </w:r>
      <w:r w:rsidR="008B657F">
        <w:t>but</w:t>
      </w:r>
      <w:r>
        <w:t xml:space="preserve"> does not have the "untimely" designation</w:t>
      </w:r>
      <w:r w:rsidR="00817B7F">
        <w:t>.  Without the forms or any record of the issuances, there is no way to determine whether this Complaint was timely</w:t>
      </w:r>
      <w:r>
        <w:t xml:space="preserve">.  There was no evidence presented regarding this issue at the hearing.  </w:t>
      </w:r>
      <w:r w:rsidR="008B657F">
        <w:t>With no evidence presented to support a finding of untimely, due process requires that I give the Complainant the benefit of the doubt.   Accordingly, this Complaint will be reviewed as a timely appeal from a BCS grant of a PAR.</w:t>
      </w:r>
    </w:p>
    <w:p w:rsidR="002F2099" w:rsidRDefault="002F2099" w:rsidP="00782F95">
      <w:pPr>
        <w:spacing w:line="360" w:lineRule="auto"/>
        <w:contextualSpacing/>
      </w:pPr>
    </w:p>
    <w:p w:rsidR="00303C6C" w:rsidRDefault="002F2099" w:rsidP="00782F95">
      <w:pPr>
        <w:spacing w:line="360" w:lineRule="auto"/>
        <w:contextualSpacing/>
      </w:pPr>
      <w:r>
        <w:tab/>
      </w:r>
      <w:r w:rsidR="00121206">
        <w:tab/>
      </w:r>
      <w:r w:rsidR="00303C6C">
        <w:t xml:space="preserve">I note further that the Complainant has the obligation to pay the undisputed portion of his bills during the evaluation of his informal dispute, 52 Pa.Code § 1.181, that the informal decision is not stayed until the filing of the formal complaint, 52 Pa.Code § 56.172(d), and that no payments were made during this time.  However, the PAR granted by BCS did not take effect until September 2014.  Therefore, I cannot conclude that the PAR which had been granted by the BCS was not timely appealed, nor can I conclude that it was "broken."  </w:t>
      </w:r>
    </w:p>
    <w:p w:rsidR="008E79AD" w:rsidRDefault="008E79AD" w:rsidP="00782F95">
      <w:pPr>
        <w:spacing w:line="360" w:lineRule="auto"/>
        <w:contextualSpacing/>
      </w:pPr>
    </w:p>
    <w:p w:rsidR="000978DB" w:rsidRDefault="008E79AD" w:rsidP="00782F95">
      <w:pPr>
        <w:spacing w:line="360" w:lineRule="auto"/>
        <w:contextualSpacing/>
      </w:pPr>
      <w:r>
        <w:tab/>
      </w:r>
      <w:r>
        <w:tab/>
      </w:r>
      <w:r w:rsidR="00DA3722">
        <w:t>O</w:t>
      </w:r>
      <w:r w:rsidR="00CA603F">
        <w:t xml:space="preserve">n October 14, 2014, </w:t>
      </w:r>
      <w:r w:rsidR="000978DB">
        <w:t>PGW Exhibit 2 shows a conversation between PGW and Complainant denoting that Complainant had reported a monthly income of $3,530 for seven in the household on October 15, 2014, which was noted as a Level 1 income for three adults.  Tr. 28-29.</w:t>
      </w:r>
    </w:p>
    <w:p w:rsidR="000978DB" w:rsidRDefault="000978DB" w:rsidP="00782F95">
      <w:pPr>
        <w:spacing w:line="360" w:lineRule="auto"/>
        <w:contextualSpacing/>
      </w:pPr>
      <w:r>
        <w:t> </w:t>
      </w:r>
    </w:p>
    <w:p w:rsidR="000978DB" w:rsidRDefault="000978DB" w:rsidP="00782F95">
      <w:pPr>
        <w:spacing w:line="360" w:lineRule="auto"/>
        <w:contextualSpacing/>
      </w:pPr>
      <w:r>
        <w:tab/>
      </w:r>
      <w:r>
        <w:tab/>
      </w:r>
      <w:r w:rsidR="00C7785F">
        <w:t xml:space="preserve">At the time of the hearing, </w:t>
      </w:r>
      <w:r w:rsidR="008B657F">
        <w:t xml:space="preserve">PGW </w:t>
      </w:r>
      <w:r w:rsidR="00C7785F">
        <w:t xml:space="preserve">testified </w:t>
      </w:r>
      <w:r>
        <w:t>that</w:t>
      </w:r>
      <w:r w:rsidR="008B657F">
        <w:t>,</w:t>
      </w:r>
      <w:r>
        <w:t xml:space="preserve"> to enter into a payment arrangement or to reinstate the PAR, he needed $</w:t>
      </w:r>
      <w:r w:rsidR="00C7785F">
        <w:t xml:space="preserve">1,065 </w:t>
      </w:r>
      <w:r>
        <w:t>or he could apply for CRP, which did not need a catch-up amount.  Tr. 29</w:t>
      </w:r>
      <w:r w:rsidR="00C7785F">
        <w:t>-30</w:t>
      </w:r>
      <w:r>
        <w:t>; PGW Exhibit 2.</w:t>
      </w:r>
    </w:p>
    <w:p w:rsidR="000978DB" w:rsidRDefault="000978DB" w:rsidP="00782F95">
      <w:pPr>
        <w:spacing w:line="360" w:lineRule="auto"/>
        <w:contextualSpacing/>
      </w:pPr>
    </w:p>
    <w:p w:rsidR="000978DB" w:rsidRDefault="000978DB" w:rsidP="00782F95">
      <w:pPr>
        <w:spacing w:line="360" w:lineRule="auto"/>
        <w:contextualSpacing/>
      </w:pPr>
      <w:r>
        <w:tab/>
      </w:r>
      <w:r>
        <w:tab/>
      </w:r>
      <w:r w:rsidR="00ED6203">
        <w:t>I have found that the appeal is timely</w:t>
      </w:r>
      <w:r w:rsidR="00236234">
        <w:t xml:space="preserve">.  </w:t>
      </w:r>
      <w:r w:rsidR="00ED6203">
        <w:t>Commission regulations provide that a timely appeal result</w:t>
      </w:r>
      <w:r w:rsidR="00236234">
        <w:t>s</w:t>
      </w:r>
      <w:r w:rsidR="00ED6203">
        <w:t xml:space="preserve"> in a stay of the BCS decision pending the outcome of the formal proceeding.  52 Pa.Code § 56.172(e).  Therefore, the BCS decision granting the payment </w:t>
      </w:r>
      <w:r w:rsidR="00236234">
        <w:t>arrangement is stayed, and the Complainant has not defaulted or broken the BCS decision</w:t>
      </w:r>
      <w:r w:rsidR="00ED6203">
        <w:t xml:space="preserve">.  </w:t>
      </w:r>
    </w:p>
    <w:p w:rsidR="00ED6203" w:rsidRDefault="00ED6203" w:rsidP="00782F95">
      <w:pPr>
        <w:spacing w:line="360" w:lineRule="auto"/>
        <w:contextualSpacing/>
      </w:pPr>
    </w:p>
    <w:p w:rsidR="00236234" w:rsidRDefault="00ED6203" w:rsidP="00782F95">
      <w:pPr>
        <w:spacing w:line="360" w:lineRule="auto"/>
        <w:contextualSpacing/>
      </w:pPr>
      <w:r>
        <w:tab/>
      </w:r>
      <w:r w:rsidR="00236234">
        <w:tab/>
        <w:t xml:space="preserve">According to the 2015 Federal Poverty Level Guidelines, </w:t>
      </w:r>
      <w:r w:rsidR="00236234">
        <w:rPr>
          <w:i/>
        </w:rPr>
        <w:t>Federal Register</w:t>
      </w:r>
      <w:r w:rsidR="00236234">
        <w:t>, Vol. 80, No. 15, January 22, 2015 at pp. 3236-3237, the Complainant's household income of $3,450.00 for seven people is more than 100% of the FPL but less than 150%.  This means that the Complainant can be given the maximum amount of time available under the Public Utility Code to repay the arrearage:</w:t>
      </w:r>
    </w:p>
    <w:p w:rsidR="00236234" w:rsidRDefault="00236234" w:rsidP="00782F95">
      <w:pPr>
        <w:spacing w:line="360" w:lineRule="auto"/>
        <w:contextualSpacing/>
      </w:pPr>
    </w:p>
    <w:p w:rsidR="00236234" w:rsidRDefault="00236234" w:rsidP="00782F95">
      <w:pPr>
        <w:ind w:left="1440" w:right="1440"/>
        <w:contextualSpacing/>
      </w:pPr>
      <w:r w:rsidRPr="00F17802">
        <w:rPr>
          <w:b/>
        </w:rPr>
        <w:t>(b)</w:t>
      </w:r>
      <w:r w:rsidRPr="00F17802">
        <w:rPr>
          <w:b/>
        </w:rPr>
        <w:tab/>
        <w:t xml:space="preserve">Length of payment </w:t>
      </w:r>
      <w:r w:rsidR="00A27A8C" w:rsidRPr="00F17802">
        <w:rPr>
          <w:b/>
        </w:rPr>
        <w:t>agreements</w:t>
      </w:r>
      <w:r w:rsidR="00A27A8C">
        <w:t>. – The length of time for a customer to resolve an unpaid balance on an account that is subject to a payment agreement that is investigated by the commission and is entered into by a public utility and a customer shall not extend beyond:</w:t>
      </w:r>
    </w:p>
    <w:p w:rsidR="00A27A8C" w:rsidRDefault="00A27A8C" w:rsidP="00782F95">
      <w:pPr>
        <w:ind w:left="2160" w:right="1440"/>
        <w:contextualSpacing/>
      </w:pPr>
      <w:r>
        <w:tab/>
        <w:t>(1)</w:t>
      </w:r>
      <w:r>
        <w:tab/>
        <w:t>Five years for customers with a gross monthly household income level not exceeding 150% of the Federal poverty level.</w:t>
      </w:r>
    </w:p>
    <w:p w:rsidR="00A27A8C" w:rsidRDefault="00A27A8C" w:rsidP="00782F95">
      <w:pPr>
        <w:spacing w:line="360" w:lineRule="auto"/>
        <w:contextualSpacing/>
        <w:jc w:val="center"/>
      </w:pPr>
      <w:r>
        <w:t>* * *</w:t>
      </w:r>
    </w:p>
    <w:p w:rsidR="00A27A8C" w:rsidRDefault="00A27A8C" w:rsidP="00782F95">
      <w:pPr>
        <w:spacing w:line="360" w:lineRule="auto"/>
        <w:contextualSpacing/>
      </w:pPr>
      <w:proofErr w:type="gramStart"/>
      <w:r>
        <w:t>66 Pa.C.S.</w:t>
      </w:r>
      <w:proofErr w:type="gramEnd"/>
      <w:r>
        <w:t xml:space="preserve"> § 1405(b</w:t>
      </w:r>
      <w:proofErr w:type="gramStart"/>
      <w:r>
        <w:t>)(</w:t>
      </w:r>
      <w:proofErr w:type="gramEnd"/>
      <w:r>
        <w:t>in pertinent part)</w:t>
      </w:r>
      <w:r w:rsidR="001B6DEA">
        <w:t>.</w:t>
      </w:r>
    </w:p>
    <w:p w:rsidR="00A27A8C" w:rsidRDefault="00A27A8C" w:rsidP="00782F95">
      <w:pPr>
        <w:spacing w:line="360" w:lineRule="auto"/>
        <w:contextualSpacing/>
      </w:pPr>
      <w:r>
        <w:tab/>
      </w:r>
      <w:r>
        <w:tab/>
      </w:r>
      <w:r w:rsidR="00DE73F7">
        <w:t xml:space="preserve">A review of Complainant's payment history shows that his balance was at zero as recently as December 2013, showing </w:t>
      </w:r>
      <w:r w:rsidR="00695DF8">
        <w:t xml:space="preserve">a good payment history.  PGW Exhibit 1 also shows </w:t>
      </w:r>
      <w:r w:rsidR="00DE73F7">
        <w:t xml:space="preserve">that </w:t>
      </w:r>
      <w:r w:rsidR="00695DF8">
        <w:t>Complainant's</w:t>
      </w:r>
      <w:r w:rsidR="00DE73F7">
        <w:t xml:space="preserve"> removal from CRP, which is part of this Co</w:t>
      </w:r>
      <w:bookmarkStart w:id="1" w:name="_GoBack"/>
      <w:bookmarkEnd w:id="1"/>
      <w:r w:rsidR="00DE73F7">
        <w:t xml:space="preserve">mplaint, played a role in his accumulating an arrearage.  </w:t>
      </w:r>
      <w:r w:rsidR="00695DF8">
        <w:t>Return to CRP, however, at the higher income level would result in a monthly bill of $358.00.  Tr. 29.  Complainant's bill under the PAR will be his monthly budget billing plus 1/60</w:t>
      </w:r>
      <w:r w:rsidR="00695DF8" w:rsidRPr="00695DF8">
        <w:rPr>
          <w:vertAlign w:val="superscript"/>
        </w:rPr>
        <w:t>th</w:t>
      </w:r>
      <w:r w:rsidR="00695DF8">
        <w:t xml:space="preserve"> of his arrearage.  </w:t>
      </w:r>
    </w:p>
    <w:p w:rsidR="00BF0769" w:rsidRDefault="00BF0769" w:rsidP="00782F95">
      <w:pPr>
        <w:spacing w:line="360" w:lineRule="auto"/>
        <w:contextualSpacing/>
      </w:pPr>
    </w:p>
    <w:p w:rsidR="00BF0769" w:rsidRDefault="00BF0769" w:rsidP="00782F95">
      <w:pPr>
        <w:spacing w:line="360" w:lineRule="auto"/>
        <w:contextualSpacing/>
      </w:pPr>
      <w:r>
        <w:tab/>
      </w:r>
      <w:r>
        <w:tab/>
        <w:t>I note that, even if there is a finding that the formal Complaint was untimely filed, there exists a "significant change in circumstances" under Section 1403 because of the increase in the customer's number of dependents in the household.  66 Pa.C.S. § 1403(definitions).  This term appears in Section 1405(e):</w:t>
      </w:r>
    </w:p>
    <w:p w:rsidR="00BF0769" w:rsidRDefault="00BF0769" w:rsidP="00782F95">
      <w:pPr>
        <w:spacing w:line="360" w:lineRule="auto"/>
        <w:contextualSpacing/>
      </w:pPr>
    </w:p>
    <w:p w:rsidR="00BF0769" w:rsidRDefault="00BF0769" w:rsidP="00782F95">
      <w:pPr>
        <w:ind w:left="1440" w:right="1440"/>
        <w:contextualSpacing/>
      </w:pPr>
      <w:r>
        <w:rPr>
          <w:b/>
        </w:rPr>
        <w:t>(e)  Extension of payment agreements.—</w:t>
      </w:r>
      <w:r>
        <w:t>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 for good cause shown.</w:t>
      </w:r>
    </w:p>
    <w:p w:rsidR="00BF0769" w:rsidRDefault="00BF0769" w:rsidP="00782F95">
      <w:pPr>
        <w:spacing w:line="360" w:lineRule="auto"/>
        <w:contextualSpacing/>
      </w:pPr>
      <w:r>
        <w:t>66 Pa.C.S. § 1405 (e).</w:t>
      </w:r>
    </w:p>
    <w:p w:rsidR="00BF0769" w:rsidRPr="00BF0769" w:rsidRDefault="00BF0769" w:rsidP="00782F95">
      <w:pPr>
        <w:spacing w:line="360" w:lineRule="auto"/>
        <w:contextualSpacing/>
      </w:pPr>
    </w:p>
    <w:p w:rsidR="00F47B07" w:rsidRDefault="00BF0769" w:rsidP="00782F95">
      <w:pPr>
        <w:spacing w:line="360" w:lineRule="auto"/>
        <w:contextualSpacing/>
      </w:pPr>
      <w:r>
        <w:tab/>
      </w:r>
      <w:r>
        <w:tab/>
        <w:t>Under this section, the addition of the five additional persons in the household who are dependent upon Complainant for utility service may be construed to provide the reinstatement of the original BCS payment arrangement, which is, in fact, the same payment arrangement that is granted under this initial decision.</w:t>
      </w:r>
    </w:p>
    <w:p w:rsidR="00BF0769" w:rsidRDefault="00BF0769" w:rsidP="00782F95">
      <w:pPr>
        <w:spacing w:line="360" w:lineRule="auto"/>
        <w:contextualSpacing/>
      </w:pPr>
    </w:p>
    <w:p w:rsidR="00F47B07" w:rsidRDefault="00F47B07" w:rsidP="00782F95">
      <w:pPr>
        <w:spacing w:line="360" w:lineRule="auto"/>
        <w:contextualSpacing/>
      </w:pPr>
      <w:r>
        <w:tab/>
      </w:r>
      <w:r>
        <w:tab/>
        <w:t>Accordingly, Complainant has sustained his burden of proving entitlement to a PUC PAR and the utility shall be directed to apply the PAR to Complainant's arrearage.</w:t>
      </w:r>
    </w:p>
    <w:p w:rsidR="00F47B07" w:rsidRDefault="00F47B07" w:rsidP="00782F95">
      <w:pPr>
        <w:spacing w:line="360" w:lineRule="auto"/>
        <w:contextualSpacing/>
      </w:pPr>
    </w:p>
    <w:p w:rsidR="00F47B07" w:rsidRDefault="00F47B07" w:rsidP="00782F95">
      <w:pPr>
        <w:spacing w:line="360" w:lineRule="auto"/>
        <w:contextualSpacing/>
        <w:jc w:val="center"/>
        <w:rPr>
          <w:u w:val="single"/>
        </w:rPr>
      </w:pPr>
      <w:r>
        <w:rPr>
          <w:u w:val="single"/>
        </w:rPr>
        <w:t>CONCLUSIONS OF LAW</w:t>
      </w:r>
    </w:p>
    <w:p w:rsidR="00F47B07" w:rsidRDefault="00F47B07" w:rsidP="00782F95">
      <w:pPr>
        <w:spacing w:line="360" w:lineRule="auto"/>
        <w:contextualSpacing/>
        <w:jc w:val="center"/>
        <w:rPr>
          <w:u w:val="single"/>
        </w:rPr>
      </w:pPr>
    </w:p>
    <w:p w:rsidR="00F47B07" w:rsidRDefault="00F47B07" w:rsidP="00782F95">
      <w:pPr>
        <w:spacing w:line="360" w:lineRule="auto"/>
        <w:contextualSpacing/>
      </w:pPr>
      <w:r>
        <w:tab/>
      </w:r>
      <w:r>
        <w:tab/>
        <w:t>1.</w:t>
      </w:r>
      <w:r>
        <w:tab/>
        <w:t>The Commission has jurisdiction over this matter.  66 Pa.C.S. §§ 703, 1405.</w:t>
      </w:r>
    </w:p>
    <w:p w:rsidR="00F47B07" w:rsidRDefault="00F47B07" w:rsidP="00782F95">
      <w:pPr>
        <w:spacing w:line="360" w:lineRule="auto"/>
      </w:pPr>
      <w:r>
        <w:tab/>
      </w:r>
      <w:r>
        <w:tab/>
        <w:t>2.</w:t>
      </w:r>
      <w:r>
        <w:tab/>
        <w:t xml:space="preserve">The party seeking affirmative relief from the Commission bears the burden of proof.  66 Pa.C.S. § 332(a).  </w:t>
      </w:r>
    </w:p>
    <w:p w:rsidR="00F47B07" w:rsidRDefault="00F47B07" w:rsidP="00782F95">
      <w:pPr>
        <w:spacing w:line="360" w:lineRule="auto"/>
      </w:pPr>
    </w:p>
    <w:p w:rsidR="00F47B07" w:rsidRDefault="00F47B07" w:rsidP="00782F95">
      <w:pPr>
        <w:spacing w:line="360" w:lineRule="auto"/>
      </w:pPr>
      <w:r>
        <w:tab/>
      </w:r>
      <w:r>
        <w:tab/>
        <w:t>3.</w:t>
      </w:r>
      <w:r>
        <w:tab/>
        <w:t xml:space="preserve">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w:t>
      </w:r>
    </w:p>
    <w:p w:rsidR="00F47B07" w:rsidRDefault="00F47B07" w:rsidP="00782F95">
      <w:pPr>
        <w:spacing w:line="360" w:lineRule="auto"/>
      </w:pPr>
    </w:p>
    <w:p w:rsidR="00F47B07" w:rsidRPr="0084264F" w:rsidRDefault="00F47B07" w:rsidP="00782F95">
      <w:pPr>
        <w:spacing w:line="360" w:lineRule="auto"/>
      </w:pPr>
      <w:r>
        <w:tab/>
      </w:r>
      <w:r>
        <w:tab/>
        <w:t>4.</w:t>
      </w:r>
      <w:r>
        <w:tab/>
        <w:t xml:space="preserve">The burden of proof must be carried by a preponderance of the evidence.   </w:t>
      </w:r>
      <w:r>
        <w:rPr>
          <w:i/>
        </w:rPr>
        <w:t xml:space="preserve">Samuel 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sidRPr="0084264F">
        <w:rPr>
          <w:color w:val="333333"/>
        </w:rPr>
        <w:t>364 Pa. 45, 70 A.2d 854, 1950 Pa. LEXIS 316 (1950)</w:t>
      </w:r>
      <w:r w:rsidRPr="0084264F">
        <w:t>.</w:t>
      </w:r>
    </w:p>
    <w:p w:rsidR="00F47B07" w:rsidRDefault="00F47B07" w:rsidP="00782F95">
      <w:pPr>
        <w:spacing w:line="360" w:lineRule="auto"/>
      </w:pPr>
    </w:p>
    <w:p w:rsidR="00F47B07" w:rsidRDefault="00F47B07" w:rsidP="00782F95">
      <w:pPr>
        <w:spacing w:line="360" w:lineRule="auto"/>
      </w:pPr>
      <w:r>
        <w:tab/>
      </w:r>
      <w:r>
        <w:tab/>
        <w:t>5.</w:t>
      </w:r>
      <w:r>
        <w:tab/>
        <w:t xml:space="preserve">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rsidRPr="004913C4">
        <w:t>489 Pa. 109, 413 A.2d</w:t>
      </w:r>
      <w:r>
        <w:t xml:space="preserve"> 1037 (1980); </w:t>
      </w:r>
      <w:r>
        <w:rPr>
          <w:i/>
        </w:rPr>
        <w:t xml:space="preserve">Erie Resistor Corp. v. Unemployment Compensation Bd. Of Review, </w:t>
      </w:r>
      <w:r>
        <w:t xml:space="preserve">166 A.2d 96 (Pa.Super. 1960); </w:t>
      </w:r>
      <w:r>
        <w:rPr>
          <w:i/>
        </w:rPr>
        <w:t xml:space="preserve">Murphy v. Dep't. </w:t>
      </w:r>
      <w:proofErr w:type="gramStart"/>
      <w:r>
        <w:rPr>
          <w:i/>
        </w:rPr>
        <w:t>of</w:t>
      </w:r>
      <w:proofErr w:type="gramEnd"/>
      <w:r>
        <w:rPr>
          <w:i/>
        </w:rPr>
        <w:t xml:space="preserve"> Public Welfare, White Haven Center, </w:t>
      </w:r>
      <w:r>
        <w:t>480 A.2d 382 (Pa.Cmwlth. 1984).</w:t>
      </w:r>
    </w:p>
    <w:p w:rsidR="00F47B07" w:rsidRDefault="00F47B07" w:rsidP="00782F95">
      <w:pPr>
        <w:spacing w:line="360" w:lineRule="auto"/>
      </w:pPr>
    </w:p>
    <w:p w:rsidR="00F47B07" w:rsidRDefault="00F47B07" w:rsidP="00782F95">
      <w:pPr>
        <w:spacing w:line="360" w:lineRule="auto"/>
      </w:pPr>
      <w:r>
        <w:tab/>
      </w:r>
      <w:r>
        <w:tab/>
        <w:t>6.</w:t>
      </w:r>
      <w:r>
        <w:tab/>
        <w:t>The offense must be a violation of the Public Utility Code, the Commission's regulations, or an outstanding order of the Commission.  66 Pa.C.S. § 701.</w:t>
      </w:r>
    </w:p>
    <w:p w:rsidR="00F47B07" w:rsidRDefault="00F47B07" w:rsidP="00782F95">
      <w:pPr>
        <w:spacing w:line="360" w:lineRule="auto"/>
      </w:pPr>
    </w:p>
    <w:p w:rsidR="00F47B07" w:rsidRDefault="00F47B07" w:rsidP="00782F95">
      <w:pPr>
        <w:spacing w:line="360" w:lineRule="auto"/>
        <w:ind w:firstLine="1440"/>
      </w:pPr>
      <w:r>
        <w:t>7.</w:t>
      </w:r>
      <w:r>
        <w:tab/>
        <w:t>As the proponent of a Commission order, complainant has the burden of proof in this case.  66 Pa.C.S.A. § 332(a).</w:t>
      </w:r>
    </w:p>
    <w:p w:rsidR="00F47B07" w:rsidRDefault="00F47B07" w:rsidP="00782F95">
      <w:pPr>
        <w:spacing w:line="360" w:lineRule="auto"/>
        <w:contextualSpacing/>
      </w:pPr>
    </w:p>
    <w:p w:rsidR="00F47B07" w:rsidRDefault="00F47B07" w:rsidP="00782F95">
      <w:pPr>
        <w:spacing w:line="360" w:lineRule="auto"/>
        <w:contextualSpacing/>
      </w:pPr>
      <w:r>
        <w:tab/>
      </w:r>
      <w:r>
        <w:tab/>
        <w:t>8.</w:t>
      </w:r>
      <w:r>
        <w:tab/>
        <w:t xml:space="preserve">Commission regulations spell out the </w:t>
      </w:r>
      <w:r w:rsidR="00764547">
        <w:t>process for a timely appeal from an informal decision of the Commission's BCS.  52 Pa.Code § 56.172.</w:t>
      </w:r>
    </w:p>
    <w:p w:rsidR="00764547" w:rsidRDefault="00764547" w:rsidP="00782F95">
      <w:pPr>
        <w:spacing w:line="360" w:lineRule="auto"/>
        <w:contextualSpacing/>
      </w:pPr>
      <w:r>
        <w:tab/>
      </w:r>
      <w:r>
        <w:tab/>
        <w:t>9.</w:t>
      </w:r>
      <w:r>
        <w:tab/>
        <w:t xml:space="preserve">A BCS decision is mailed on that date with a form entitled "Notification of Intent to Appeal," which is the request for review from subsection (a), above.  </w:t>
      </w:r>
    </w:p>
    <w:p w:rsidR="00764547" w:rsidRDefault="00764547" w:rsidP="00782F95">
      <w:pPr>
        <w:spacing w:line="360" w:lineRule="auto"/>
        <w:contextualSpacing/>
      </w:pPr>
    </w:p>
    <w:p w:rsidR="009C441E" w:rsidRDefault="00764547" w:rsidP="00782F95">
      <w:pPr>
        <w:spacing w:line="360" w:lineRule="auto"/>
        <w:contextualSpacing/>
      </w:pPr>
      <w:r>
        <w:tab/>
      </w:r>
      <w:r>
        <w:tab/>
        <w:t>10.</w:t>
      </w:r>
      <w:r>
        <w:tab/>
        <w:t xml:space="preserve">Without the forms or any record of the issuances, there is no way to determine whether this </w:t>
      </w:r>
      <w:r w:rsidR="009C441E">
        <w:t xml:space="preserve">appeal from a BCS informal determination </w:t>
      </w:r>
      <w:r>
        <w:t xml:space="preserve">was timely.  </w:t>
      </w:r>
    </w:p>
    <w:p w:rsidR="009C441E" w:rsidRDefault="009C441E" w:rsidP="00782F95">
      <w:pPr>
        <w:spacing w:line="360" w:lineRule="auto"/>
        <w:contextualSpacing/>
      </w:pPr>
    </w:p>
    <w:p w:rsidR="00764547" w:rsidRDefault="009C441E" w:rsidP="00782F95">
      <w:pPr>
        <w:spacing w:line="360" w:lineRule="auto"/>
        <w:contextualSpacing/>
      </w:pPr>
      <w:r>
        <w:tab/>
      </w:r>
      <w:r>
        <w:tab/>
        <w:t>11.</w:t>
      </w:r>
      <w:r>
        <w:tab/>
      </w:r>
      <w:r w:rsidR="00764547">
        <w:t>With no evidence presented to support a finding of untimely, due process requires that this Complaint be reviewed as a timely appeal from a BCS grant of a PAR.</w:t>
      </w:r>
    </w:p>
    <w:p w:rsidR="00764547" w:rsidRDefault="00764547" w:rsidP="00782F95">
      <w:pPr>
        <w:spacing w:line="360" w:lineRule="auto"/>
        <w:contextualSpacing/>
      </w:pPr>
    </w:p>
    <w:p w:rsidR="009C441E" w:rsidRDefault="00764547" w:rsidP="00782F95">
      <w:pPr>
        <w:spacing w:line="360" w:lineRule="auto"/>
        <w:contextualSpacing/>
      </w:pPr>
      <w:r>
        <w:tab/>
      </w:r>
      <w:r>
        <w:tab/>
      </w:r>
      <w:r w:rsidR="009C441E">
        <w:t>12.</w:t>
      </w:r>
      <w:r w:rsidR="009C441E">
        <w:tab/>
      </w:r>
      <w:r>
        <w:t>Complainant has the obligation to pay the undisputed portion of his bills during the evaluation of his informal dispute, 52 Pa.Code § 1.181</w:t>
      </w:r>
      <w:r w:rsidR="009C441E">
        <w:t>.</w:t>
      </w:r>
    </w:p>
    <w:p w:rsidR="009C441E" w:rsidRDefault="009C441E" w:rsidP="00782F95">
      <w:pPr>
        <w:spacing w:line="360" w:lineRule="auto"/>
        <w:contextualSpacing/>
      </w:pPr>
    </w:p>
    <w:p w:rsidR="009C441E" w:rsidRDefault="009C441E" w:rsidP="00782F95">
      <w:pPr>
        <w:spacing w:line="360" w:lineRule="auto"/>
        <w:contextualSpacing/>
      </w:pPr>
      <w:r>
        <w:tab/>
      </w:r>
      <w:r>
        <w:tab/>
        <w:t>13.</w:t>
      </w:r>
      <w:r>
        <w:tab/>
        <w:t>T</w:t>
      </w:r>
      <w:r w:rsidR="00764547">
        <w:t>he informal decision is not stayed until the filing of the formal complaint, 52 Pa.Code § 56.172(d)</w:t>
      </w:r>
      <w:r>
        <w:t>.</w:t>
      </w:r>
    </w:p>
    <w:p w:rsidR="009C441E" w:rsidRDefault="009C441E" w:rsidP="00782F95">
      <w:pPr>
        <w:spacing w:line="360" w:lineRule="auto"/>
        <w:contextualSpacing/>
      </w:pPr>
    </w:p>
    <w:p w:rsidR="009C441E" w:rsidRDefault="009C441E" w:rsidP="00782F95">
      <w:pPr>
        <w:spacing w:line="360" w:lineRule="auto"/>
        <w:contextualSpacing/>
      </w:pPr>
      <w:r>
        <w:tab/>
      </w:r>
      <w:r>
        <w:tab/>
        <w:t>14.</w:t>
      </w:r>
      <w:r>
        <w:tab/>
      </w:r>
      <w:r w:rsidR="00F47B07">
        <w:t xml:space="preserve">According to the 2015 Federal Poverty Level Guidelines, </w:t>
      </w:r>
      <w:r w:rsidR="00F47B07">
        <w:rPr>
          <w:i/>
        </w:rPr>
        <w:t>Federal Register</w:t>
      </w:r>
      <w:r w:rsidR="00F47B07">
        <w:t xml:space="preserve">, Vol. 80, No. 15, January 22, 2015 at pp. 3236-3237, the Complainant's household income of $3,450.00 for seven people is more than 100% of the FPL but less than 150%.  </w:t>
      </w:r>
    </w:p>
    <w:p w:rsidR="009C441E" w:rsidRDefault="009C441E" w:rsidP="00782F95">
      <w:pPr>
        <w:spacing w:line="360" w:lineRule="auto"/>
        <w:contextualSpacing/>
      </w:pPr>
    </w:p>
    <w:p w:rsidR="00F47B07" w:rsidRDefault="009C441E" w:rsidP="00782F95">
      <w:pPr>
        <w:spacing w:line="360" w:lineRule="auto"/>
        <w:contextualSpacing/>
      </w:pPr>
      <w:r>
        <w:tab/>
      </w:r>
      <w:r>
        <w:tab/>
        <w:t>15.</w:t>
      </w:r>
      <w:r>
        <w:tab/>
      </w:r>
      <w:r w:rsidR="00F47B07">
        <w:t>Complainant can be given the maximum amount of time available under the Public Utility Code</w:t>
      </w:r>
      <w:r w:rsidR="00F650F8">
        <w:t>, five years,</w:t>
      </w:r>
      <w:r w:rsidR="00F47B07">
        <w:t xml:space="preserve"> to repay the arrearage</w:t>
      </w:r>
      <w:r w:rsidR="00F650F8">
        <w:t>.  66 Pa.C.S. § 1405(b).</w:t>
      </w:r>
    </w:p>
    <w:p w:rsidR="00BF0769" w:rsidRDefault="00BF0769" w:rsidP="00782F95">
      <w:pPr>
        <w:spacing w:line="360" w:lineRule="auto"/>
        <w:contextualSpacing/>
      </w:pPr>
    </w:p>
    <w:p w:rsidR="00BF0769" w:rsidRDefault="00BF0769" w:rsidP="00782F95">
      <w:pPr>
        <w:spacing w:line="360" w:lineRule="auto"/>
        <w:contextualSpacing/>
      </w:pPr>
      <w:r>
        <w:tab/>
      </w:r>
      <w:r>
        <w:tab/>
        <w:t>16.</w:t>
      </w:r>
      <w:r>
        <w:tab/>
        <w:t xml:space="preserve">Complainant has experienced a "significant change in circumstances" under Section 1403 because of the increase in the customer's number of dependents in the household.  66 Pa.C.S. § 1403(definitions).  </w:t>
      </w:r>
    </w:p>
    <w:p w:rsidR="00F34BF9" w:rsidRDefault="00F34BF9" w:rsidP="00782F95">
      <w:pPr>
        <w:spacing w:line="360" w:lineRule="auto"/>
        <w:contextualSpacing/>
      </w:pPr>
    </w:p>
    <w:p w:rsidR="00BF0769" w:rsidRDefault="00F34BF9" w:rsidP="00782F95">
      <w:pPr>
        <w:spacing w:line="360" w:lineRule="auto"/>
        <w:contextualSpacing/>
      </w:pPr>
      <w:r>
        <w:tab/>
      </w:r>
      <w:r>
        <w:tab/>
        <w:t>17.</w:t>
      </w:r>
      <w:r>
        <w:tab/>
        <w:t xml:space="preserve">The Commission may reinstate the payment arrangement and extend its length for an initial period of six months if the customer experiences a significant change in circumstances.  </w:t>
      </w:r>
      <w:r w:rsidR="00BF0769">
        <w:t>66 Pa.C.S. § 1405 (e).</w:t>
      </w:r>
    </w:p>
    <w:p w:rsidR="00BF0769" w:rsidRPr="00BF0769" w:rsidRDefault="00BF0769" w:rsidP="00782F95">
      <w:pPr>
        <w:spacing w:line="360" w:lineRule="auto"/>
        <w:contextualSpacing/>
      </w:pPr>
    </w:p>
    <w:p w:rsidR="00782F95" w:rsidRDefault="00782F95" w:rsidP="00782F95">
      <w:pPr>
        <w:spacing w:line="360" w:lineRule="auto"/>
        <w:contextualSpacing/>
        <w:jc w:val="center"/>
        <w:rPr>
          <w:u w:val="single"/>
        </w:rPr>
      </w:pPr>
      <w:r>
        <w:rPr>
          <w:u w:val="single"/>
        </w:rPr>
        <w:br w:type="page"/>
      </w:r>
    </w:p>
    <w:p w:rsidR="000978DB" w:rsidRDefault="00F650F8" w:rsidP="00782F95">
      <w:pPr>
        <w:spacing w:line="360" w:lineRule="auto"/>
        <w:contextualSpacing/>
        <w:jc w:val="center"/>
        <w:rPr>
          <w:u w:val="single"/>
        </w:rPr>
      </w:pPr>
      <w:r>
        <w:rPr>
          <w:u w:val="single"/>
        </w:rPr>
        <w:t>ORDER</w:t>
      </w:r>
    </w:p>
    <w:p w:rsidR="00F650F8" w:rsidRDefault="00F650F8" w:rsidP="00782F95">
      <w:pPr>
        <w:spacing w:line="360" w:lineRule="auto"/>
        <w:contextualSpacing/>
        <w:jc w:val="center"/>
        <w:rPr>
          <w:u w:val="single"/>
        </w:rPr>
      </w:pPr>
    </w:p>
    <w:p w:rsidR="00F650F8" w:rsidRDefault="00F650F8" w:rsidP="00782F95">
      <w:pPr>
        <w:spacing w:line="360" w:lineRule="auto"/>
        <w:contextualSpacing/>
      </w:pPr>
      <w:r>
        <w:tab/>
      </w:r>
      <w:r>
        <w:tab/>
        <w:t>THEREFORE,</w:t>
      </w:r>
    </w:p>
    <w:p w:rsidR="00F650F8" w:rsidRDefault="00F650F8" w:rsidP="00782F95">
      <w:pPr>
        <w:spacing w:line="360" w:lineRule="auto"/>
        <w:contextualSpacing/>
      </w:pPr>
    </w:p>
    <w:p w:rsidR="00F650F8" w:rsidRDefault="00F650F8" w:rsidP="00782F95">
      <w:pPr>
        <w:spacing w:line="360" w:lineRule="auto"/>
        <w:contextualSpacing/>
      </w:pPr>
      <w:r>
        <w:tab/>
      </w:r>
      <w:r>
        <w:tab/>
        <w:t>IT IS ORDERED:</w:t>
      </w:r>
    </w:p>
    <w:p w:rsidR="00F650F8" w:rsidRDefault="00F650F8" w:rsidP="00782F95">
      <w:pPr>
        <w:spacing w:line="360" w:lineRule="auto"/>
        <w:contextualSpacing/>
      </w:pPr>
    </w:p>
    <w:p w:rsidR="00F650F8" w:rsidRDefault="00F650F8" w:rsidP="00782F95">
      <w:pPr>
        <w:spacing w:line="360" w:lineRule="auto"/>
        <w:contextualSpacing/>
      </w:pPr>
      <w:r>
        <w:tab/>
      </w:r>
      <w:r>
        <w:tab/>
        <w:t>1.</w:t>
      </w:r>
      <w:r>
        <w:tab/>
        <w:t>That the Complaint filed by Wayne Vena against Philadelphia Gas Works at Docket No. C-2014-244496</w:t>
      </w:r>
      <w:r w:rsidR="003A6875">
        <w:t>3</w:t>
      </w:r>
      <w:r>
        <w:t>, is sustained.</w:t>
      </w:r>
    </w:p>
    <w:p w:rsidR="00F650F8" w:rsidRDefault="00F650F8" w:rsidP="00782F95">
      <w:pPr>
        <w:spacing w:line="360" w:lineRule="auto"/>
        <w:contextualSpacing/>
      </w:pPr>
    </w:p>
    <w:p w:rsidR="00F650F8" w:rsidRDefault="00F650F8" w:rsidP="00782F95">
      <w:pPr>
        <w:spacing w:line="360" w:lineRule="auto"/>
        <w:contextualSpacing/>
      </w:pPr>
      <w:r>
        <w:tab/>
      </w:r>
      <w:r>
        <w:tab/>
        <w:t>2.</w:t>
      </w:r>
      <w:r>
        <w:tab/>
        <w:t>That Philadelphia Gas Works shall bill Wayne Vena by adding 1/60</w:t>
      </w:r>
      <w:r w:rsidRPr="00F650F8">
        <w:rPr>
          <w:vertAlign w:val="superscript"/>
        </w:rPr>
        <w:t>th</w:t>
      </w:r>
      <w:r>
        <w:t xml:space="preserve"> of his arrearage to his monthly budget billing until his arrearage is paid in full or is superseded by: (a) his placement on the customer assistance program; or (2) another payment arrangement between Wayne Vena and Philadelphia Gas Works.</w:t>
      </w:r>
    </w:p>
    <w:p w:rsidR="00F650F8" w:rsidRDefault="00F650F8" w:rsidP="00782F95">
      <w:pPr>
        <w:spacing w:line="360" w:lineRule="auto"/>
        <w:contextualSpacing/>
      </w:pPr>
    </w:p>
    <w:p w:rsidR="00F650F8" w:rsidRDefault="00F650F8" w:rsidP="00782F95">
      <w:pPr>
        <w:spacing w:line="360" w:lineRule="auto"/>
        <w:contextualSpacing/>
      </w:pPr>
      <w:r>
        <w:tab/>
      </w:r>
      <w:r>
        <w:tab/>
        <w:t>3.</w:t>
      </w:r>
      <w:r>
        <w:tab/>
        <w:t>That as long as Wayne Vena makes his monthly payments on time and in full, Philadelphia Gas Works shall not terminate service based on his arrearage.</w:t>
      </w:r>
    </w:p>
    <w:p w:rsidR="00F650F8" w:rsidRDefault="00F650F8" w:rsidP="00782F95">
      <w:pPr>
        <w:spacing w:line="360" w:lineRule="auto"/>
        <w:contextualSpacing/>
      </w:pPr>
    </w:p>
    <w:p w:rsidR="00F650F8" w:rsidRDefault="00F650F8" w:rsidP="00782F95">
      <w:pPr>
        <w:spacing w:line="360" w:lineRule="auto"/>
        <w:contextualSpacing/>
      </w:pPr>
      <w:r>
        <w:tab/>
      </w:r>
      <w:r>
        <w:tab/>
        <w:t>4.</w:t>
      </w:r>
      <w:r>
        <w:tab/>
        <w:t>That the Secretary mark this docket closed.</w:t>
      </w:r>
    </w:p>
    <w:p w:rsidR="00F650F8" w:rsidRDefault="00F650F8" w:rsidP="00782F95">
      <w:pPr>
        <w:spacing w:line="360" w:lineRule="auto"/>
        <w:contextualSpacing/>
      </w:pPr>
    </w:p>
    <w:p w:rsidR="00782F95" w:rsidRDefault="00782F95" w:rsidP="00782F95">
      <w:pPr>
        <w:spacing w:line="360" w:lineRule="auto"/>
        <w:contextualSpacing/>
      </w:pPr>
    </w:p>
    <w:p w:rsidR="00F650F8" w:rsidRPr="00782F95" w:rsidRDefault="00F650F8" w:rsidP="00782F95">
      <w:pPr>
        <w:contextualSpacing/>
        <w:rPr>
          <w:u w:val="single"/>
        </w:rPr>
      </w:pPr>
      <w:r>
        <w:t>Dated:</w:t>
      </w:r>
      <w:r>
        <w:tab/>
      </w:r>
      <w:r>
        <w:rPr>
          <w:u w:val="single"/>
        </w:rPr>
        <w:t>April 20, 2015</w:t>
      </w:r>
      <w:r>
        <w:tab/>
      </w:r>
      <w:r>
        <w:tab/>
      </w:r>
      <w:r>
        <w:tab/>
      </w:r>
      <w:r>
        <w:tab/>
      </w:r>
      <w:r>
        <w:tab/>
      </w:r>
      <w:r w:rsidR="00782F95">
        <w:rPr>
          <w:u w:val="single"/>
        </w:rPr>
        <w:tab/>
        <w:t>/s/</w:t>
      </w:r>
      <w:r w:rsidR="00782F95">
        <w:rPr>
          <w:u w:val="single"/>
        </w:rPr>
        <w:tab/>
      </w:r>
      <w:r w:rsidR="00782F95">
        <w:rPr>
          <w:u w:val="single"/>
        </w:rPr>
        <w:tab/>
      </w:r>
      <w:r w:rsidR="00782F95">
        <w:rPr>
          <w:u w:val="single"/>
        </w:rPr>
        <w:tab/>
      </w:r>
      <w:r w:rsidR="00782F95">
        <w:rPr>
          <w:u w:val="single"/>
        </w:rPr>
        <w:tab/>
      </w:r>
    </w:p>
    <w:p w:rsidR="00F650F8" w:rsidRDefault="00F650F8" w:rsidP="00782F95">
      <w:pPr>
        <w:contextualSpacing/>
      </w:pPr>
      <w:r>
        <w:tab/>
      </w:r>
      <w:r>
        <w:tab/>
      </w:r>
      <w:r>
        <w:tab/>
      </w:r>
      <w:r>
        <w:tab/>
      </w:r>
      <w:r>
        <w:tab/>
      </w:r>
      <w:r>
        <w:tab/>
      </w:r>
      <w:r>
        <w:tab/>
        <w:t>Susan D. Colwell</w:t>
      </w:r>
      <w:r w:rsidR="00782F95">
        <w:tab/>
      </w:r>
    </w:p>
    <w:p w:rsidR="00F650F8" w:rsidRPr="00F650F8" w:rsidRDefault="00F650F8" w:rsidP="00782F95">
      <w:pPr>
        <w:contextualSpacing/>
      </w:pPr>
      <w:r>
        <w:tab/>
      </w:r>
      <w:r>
        <w:tab/>
      </w:r>
      <w:r>
        <w:tab/>
      </w:r>
      <w:r>
        <w:tab/>
      </w:r>
      <w:r>
        <w:tab/>
      </w:r>
      <w:r>
        <w:tab/>
      </w:r>
      <w:r>
        <w:tab/>
        <w:t>Administrative Law Judge</w:t>
      </w:r>
      <w:r>
        <w:tab/>
      </w:r>
      <w:r>
        <w:tab/>
      </w:r>
    </w:p>
    <w:sectPr w:rsidR="00F650F8" w:rsidRPr="00F650F8" w:rsidSect="00333D5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12" w:rsidRDefault="00FD2F12" w:rsidP="00333D5E">
      <w:r>
        <w:separator/>
      </w:r>
    </w:p>
  </w:endnote>
  <w:endnote w:type="continuationSeparator" w:id="0">
    <w:p w:rsidR="00FD2F12" w:rsidRDefault="00FD2F12" w:rsidP="0033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72409"/>
      <w:docPartObj>
        <w:docPartGallery w:val="Page Numbers (Bottom of Page)"/>
        <w:docPartUnique/>
      </w:docPartObj>
    </w:sdtPr>
    <w:sdtEndPr>
      <w:rPr>
        <w:noProof/>
      </w:rPr>
    </w:sdtEndPr>
    <w:sdtContent>
      <w:p w:rsidR="00F650F8" w:rsidRDefault="00F650F8">
        <w:pPr>
          <w:pStyle w:val="Footer"/>
          <w:jc w:val="center"/>
        </w:pPr>
        <w:r w:rsidRPr="00782F95">
          <w:rPr>
            <w:sz w:val="20"/>
            <w:szCs w:val="20"/>
          </w:rPr>
          <w:fldChar w:fldCharType="begin"/>
        </w:r>
        <w:r w:rsidRPr="00782F95">
          <w:rPr>
            <w:sz w:val="20"/>
            <w:szCs w:val="20"/>
          </w:rPr>
          <w:instrText xml:space="preserve"> PAGE   \* MERGEFORMAT </w:instrText>
        </w:r>
        <w:r w:rsidRPr="00782F95">
          <w:rPr>
            <w:sz w:val="20"/>
            <w:szCs w:val="20"/>
          </w:rPr>
          <w:fldChar w:fldCharType="separate"/>
        </w:r>
        <w:r w:rsidR="001B6DEA">
          <w:rPr>
            <w:noProof/>
            <w:sz w:val="20"/>
            <w:szCs w:val="20"/>
          </w:rPr>
          <w:t>9</w:t>
        </w:r>
        <w:r w:rsidRPr="00782F9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12" w:rsidRDefault="00FD2F12" w:rsidP="00333D5E">
      <w:r>
        <w:separator/>
      </w:r>
    </w:p>
  </w:footnote>
  <w:footnote w:type="continuationSeparator" w:id="0">
    <w:p w:rsidR="00FD2F12" w:rsidRDefault="00FD2F12" w:rsidP="00333D5E">
      <w:r>
        <w:continuationSeparator/>
      </w:r>
    </w:p>
  </w:footnote>
  <w:footnote w:id="1">
    <w:p w:rsidR="00411459" w:rsidRPr="00411459" w:rsidRDefault="00411459" w:rsidP="00411459">
      <w:pPr>
        <w:rPr>
          <w:rFonts w:eastAsia="Times New Roman"/>
          <w:sz w:val="20"/>
          <w:szCs w:val="20"/>
        </w:rPr>
      </w:pPr>
      <w:r>
        <w:rPr>
          <w:rStyle w:val="FootnoteReference"/>
        </w:rPr>
        <w:footnoteRef/>
      </w:r>
      <w:r>
        <w:t xml:space="preserve"> </w:t>
      </w:r>
      <w:r w:rsidR="00782F95">
        <w:tab/>
      </w:r>
      <w:r w:rsidRPr="00411459">
        <w:rPr>
          <w:rFonts w:eastAsia="Times New Roman"/>
          <w:sz w:val="20"/>
          <w:szCs w:val="20"/>
        </w:rPr>
        <w:t xml:space="preserve">PECO has signed a waiver of the Section 702 requirements for service of formal complaints, 66 Pa.C.S.  702, and has agreed to electronic service instead under the Commission’s Waiver of 702 program.   Service is listed in the Audit History of the case as having been effected on </w:t>
      </w:r>
      <w:r>
        <w:rPr>
          <w:rFonts w:eastAsia="Times New Roman"/>
          <w:sz w:val="20"/>
          <w:szCs w:val="20"/>
        </w:rPr>
        <w:t>September 29</w:t>
      </w:r>
      <w:r w:rsidRPr="00411459">
        <w:rPr>
          <w:rFonts w:eastAsia="Times New Roman"/>
          <w:sz w:val="20"/>
          <w:szCs w:val="20"/>
        </w:rPr>
        <w:t>, 2014.</w:t>
      </w:r>
    </w:p>
    <w:p w:rsidR="00411459" w:rsidRPr="00411459" w:rsidRDefault="00411459" w:rsidP="0041145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4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859"/>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DB"/>
    <w:rsid w:val="00097D77"/>
    <w:rsid w:val="000A2192"/>
    <w:rsid w:val="000A4551"/>
    <w:rsid w:val="000A4E7A"/>
    <w:rsid w:val="000A5DEA"/>
    <w:rsid w:val="000A652E"/>
    <w:rsid w:val="000A770B"/>
    <w:rsid w:val="000B1BFC"/>
    <w:rsid w:val="000B2D0C"/>
    <w:rsid w:val="000B339A"/>
    <w:rsid w:val="000B5662"/>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06"/>
    <w:rsid w:val="00121291"/>
    <w:rsid w:val="001219A5"/>
    <w:rsid w:val="0012343C"/>
    <w:rsid w:val="00124101"/>
    <w:rsid w:val="00124D49"/>
    <w:rsid w:val="00126739"/>
    <w:rsid w:val="0012770C"/>
    <w:rsid w:val="0013068D"/>
    <w:rsid w:val="00130A2C"/>
    <w:rsid w:val="00134EFE"/>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6DEA"/>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275E"/>
    <w:rsid w:val="002337D7"/>
    <w:rsid w:val="00234DEB"/>
    <w:rsid w:val="0023584A"/>
    <w:rsid w:val="00236234"/>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43B0"/>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099"/>
    <w:rsid w:val="002F21B6"/>
    <w:rsid w:val="002F222D"/>
    <w:rsid w:val="002F2A4A"/>
    <w:rsid w:val="002F42FC"/>
    <w:rsid w:val="002F5C03"/>
    <w:rsid w:val="002F6F4F"/>
    <w:rsid w:val="002F75DA"/>
    <w:rsid w:val="00303526"/>
    <w:rsid w:val="00303761"/>
    <w:rsid w:val="00303C6C"/>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3D5E"/>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422"/>
    <w:rsid w:val="003A0B9C"/>
    <w:rsid w:val="003A0E5A"/>
    <w:rsid w:val="003A0F8D"/>
    <w:rsid w:val="003A5E83"/>
    <w:rsid w:val="003A645E"/>
    <w:rsid w:val="003A6875"/>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1459"/>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916"/>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8C6"/>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900"/>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1F8"/>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62CF"/>
    <w:rsid w:val="005B78C4"/>
    <w:rsid w:val="005C373B"/>
    <w:rsid w:val="005C3DD2"/>
    <w:rsid w:val="005C4AAA"/>
    <w:rsid w:val="005C610A"/>
    <w:rsid w:val="005D0A17"/>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1F20"/>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4EF"/>
    <w:rsid w:val="006540C5"/>
    <w:rsid w:val="006543FB"/>
    <w:rsid w:val="006549F5"/>
    <w:rsid w:val="00655505"/>
    <w:rsid w:val="00655AA7"/>
    <w:rsid w:val="00655F80"/>
    <w:rsid w:val="00656541"/>
    <w:rsid w:val="00660216"/>
    <w:rsid w:val="006621E9"/>
    <w:rsid w:val="00662904"/>
    <w:rsid w:val="00664A57"/>
    <w:rsid w:val="00664C73"/>
    <w:rsid w:val="00671999"/>
    <w:rsid w:val="006757F8"/>
    <w:rsid w:val="006764EA"/>
    <w:rsid w:val="00677DDE"/>
    <w:rsid w:val="00680B65"/>
    <w:rsid w:val="00681287"/>
    <w:rsid w:val="006815A6"/>
    <w:rsid w:val="00681FD9"/>
    <w:rsid w:val="0068285E"/>
    <w:rsid w:val="00684EF6"/>
    <w:rsid w:val="006856E2"/>
    <w:rsid w:val="00690CB6"/>
    <w:rsid w:val="00690E46"/>
    <w:rsid w:val="00693743"/>
    <w:rsid w:val="00693995"/>
    <w:rsid w:val="00693C61"/>
    <w:rsid w:val="00695397"/>
    <w:rsid w:val="0069562F"/>
    <w:rsid w:val="00695DF8"/>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C7526"/>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547"/>
    <w:rsid w:val="00772458"/>
    <w:rsid w:val="00775812"/>
    <w:rsid w:val="00781AFB"/>
    <w:rsid w:val="00782461"/>
    <w:rsid w:val="0078261F"/>
    <w:rsid w:val="00782F95"/>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3E"/>
    <w:rsid w:val="007A3440"/>
    <w:rsid w:val="007A34B3"/>
    <w:rsid w:val="007B1039"/>
    <w:rsid w:val="007B1644"/>
    <w:rsid w:val="007B33F8"/>
    <w:rsid w:val="007B3B6F"/>
    <w:rsid w:val="007B3C81"/>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9E9"/>
    <w:rsid w:val="007E0ADA"/>
    <w:rsid w:val="007E15CF"/>
    <w:rsid w:val="007E1DB4"/>
    <w:rsid w:val="007E5866"/>
    <w:rsid w:val="007F07AF"/>
    <w:rsid w:val="007F099C"/>
    <w:rsid w:val="007F2A44"/>
    <w:rsid w:val="007F6E2B"/>
    <w:rsid w:val="007F7699"/>
    <w:rsid w:val="007F773D"/>
    <w:rsid w:val="008003C8"/>
    <w:rsid w:val="00802118"/>
    <w:rsid w:val="00804065"/>
    <w:rsid w:val="008047DD"/>
    <w:rsid w:val="0080611B"/>
    <w:rsid w:val="00806213"/>
    <w:rsid w:val="008121D7"/>
    <w:rsid w:val="00812B80"/>
    <w:rsid w:val="008168A2"/>
    <w:rsid w:val="00817B7F"/>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0A9D"/>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657F"/>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FF3"/>
    <w:rsid w:val="008E1BF6"/>
    <w:rsid w:val="008E44FF"/>
    <w:rsid w:val="008E5A58"/>
    <w:rsid w:val="008E5F96"/>
    <w:rsid w:val="008E6FB7"/>
    <w:rsid w:val="008E7557"/>
    <w:rsid w:val="008E79AD"/>
    <w:rsid w:val="008E7FE5"/>
    <w:rsid w:val="008F1874"/>
    <w:rsid w:val="008F25DF"/>
    <w:rsid w:val="008F29E0"/>
    <w:rsid w:val="008F4FCE"/>
    <w:rsid w:val="008F63E4"/>
    <w:rsid w:val="008F7E50"/>
    <w:rsid w:val="00900008"/>
    <w:rsid w:val="00900E6A"/>
    <w:rsid w:val="00902EB1"/>
    <w:rsid w:val="00904030"/>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4E6"/>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2D7"/>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41E"/>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A8C"/>
    <w:rsid w:val="00A321F9"/>
    <w:rsid w:val="00A34AEC"/>
    <w:rsid w:val="00A35AFD"/>
    <w:rsid w:val="00A3659B"/>
    <w:rsid w:val="00A3777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47F"/>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C7A48"/>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769"/>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7785F"/>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1B16"/>
    <w:rsid w:val="00CA27F9"/>
    <w:rsid w:val="00CA28AD"/>
    <w:rsid w:val="00CA4F28"/>
    <w:rsid w:val="00CA603F"/>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22"/>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1BFD"/>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3F7"/>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0464"/>
    <w:rsid w:val="00E12954"/>
    <w:rsid w:val="00E12A2F"/>
    <w:rsid w:val="00E12D9F"/>
    <w:rsid w:val="00E12FAE"/>
    <w:rsid w:val="00E13468"/>
    <w:rsid w:val="00E1638A"/>
    <w:rsid w:val="00E24543"/>
    <w:rsid w:val="00E2457B"/>
    <w:rsid w:val="00E247DE"/>
    <w:rsid w:val="00E257AB"/>
    <w:rsid w:val="00E30D31"/>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299"/>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3A0"/>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6203"/>
    <w:rsid w:val="00ED7658"/>
    <w:rsid w:val="00ED7746"/>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17802"/>
    <w:rsid w:val="00F179E9"/>
    <w:rsid w:val="00F21CA5"/>
    <w:rsid w:val="00F255B6"/>
    <w:rsid w:val="00F25D9F"/>
    <w:rsid w:val="00F26ED7"/>
    <w:rsid w:val="00F31625"/>
    <w:rsid w:val="00F31BDC"/>
    <w:rsid w:val="00F32232"/>
    <w:rsid w:val="00F32242"/>
    <w:rsid w:val="00F34BF9"/>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47B07"/>
    <w:rsid w:val="00F5046F"/>
    <w:rsid w:val="00F5088C"/>
    <w:rsid w:val="00F510AC"/>
    <w:rsid w:val="00F5374F"/>
    <w:rsid w:val="00F545DD"/>
    <w:rsid w:val="00F55E69"/>
    <w:rsid w:val="00F579BE"/>
    <w:rsid w:val="00F606F4"/>
    <w:rsid w:val="00F60DF6"/>
    <w:rsid w:val="00F61E12"/>
    <w:rsid w:val="00F626E7"/>
    <w:rsid w:val="00F62D04"/>
    <w:rsid w:val="00F6434A"/>
    <w:rsid w:val="00F650F8"/>
    <w:rsid w:val="00F70887"/>
    <w:rsid w:val="00F70A7D"/>
    <w:rsid w:val="00F748DD"/>
    <w:rsid w:val="00F76633"/>
    <w:rsid w:val="00F77EEC"/>
    <w:rsid w:val="00F81710"/>
    <w:rsid w:val="00F81FF7"/>
    <w:rsid w:val="00F83E64"/>
    <w:rsid w:val="00F86EF9"/>
    <w:rsid w:val="00F86FB1"/>
    <w:rsid w:val="00F87468"/>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2F12"/>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48"/>
    <w:pPr>
      <w:spacing w:line="240" w:lineRule="auto"/>
      <w:jc w:val="left"/>
    </w:pPr>
  </w:style>
  <w:style w:type="paragraph" w:styleId="Heading4">
    <w:name w:val="heading 4"/>
    <w:basedOn w:val="Normal"/>
    <w:link w:val="Heading4Char"/>
    <w:uiPriority w:val="9"/>
    <w:qFormat/>
    <w:rsid w:val="00DD1BFD"/>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D5E"/>
    <w:pPr>
      <w:tabs>
        <w:tab w:val="center" w:pos="4680"/>
        <w:tab w:val="right" w:pos="9360"/>
      </w:tabs>
    </w:pPr>
  </w:style>
  <w:style w:type="character" w:customStyle="1" w:styleId="HeaderChar">
    <w:name w:val="Header Char"/>
    <w:basedOn w:val="DefaultParagraphFont"/>
    <w:link w:val="Header"/>
    <w:uiPriority w:val="99"/>
    <w:rsid w:val="00333D5E"/>
  </w:style>
  <w:style w:type="paragraph" w:styleId="Footer">
    <w:name w:val="footer"/>
    <w:basedOn w:val="Normal"/>
    <w:link w:val="FooterChar"/>
    <w:uiPriority w:val="99"/>
    <w:unhideWhenUsed/>
    <w:rsid w:val="00333D5E"/>
    <w:pPr>
      <w:tabs>
        <w:tab w:val="center" w:pos="4680"/>
        <w:tab w:val="right" w:pos="9360"/>
      </w:tabs>
    </w:pPr>
  </w:style>
  <w:style w:type="character" w:customStyle="1" w:styleId="FooterChar">
    <w:name w:val="Footer Char"/>
    <w:basedOn w:val="DefaultParagraphFont"/>
    <w:link w:val="Footer"/>
    <w:uiPriority w:val="99"/>
    <w:rsid w:val="00333D5E"/>
  </w:style>
  <w:style w:type="paragraph" w:styleId="ListParagraph">
    <w:name w:val="List Paragraph"/>
    <w:basedOn w:val="Normal"/>
    <w:uiPriority w:val="34"/>
    <w:qFormat/>
    <w:rsid w:val="00333D5E"/>
    <w:pPr>
      <w:ind w:left="720"/>
      <w:contextualSpacing/>
    </w:pPr>
  </w:style>
  <w:style w:type="paragraph" w:styleId="FootnoteText">
    <w:name w:val="footnote text"/>
    <w:basedOn w:val="Normal"/>
    <w:link w:val="FootnoteTextChar"/>
    <w:uiPriority w:val="99"/>
    <w:semiHidden/>
    <w:unhideWhenUsed/>
    <w:rsid w:val="00411459"/>
    <w:rPr>
      <w:sz w:val="20"/>
      <w:szCs w:val="20"/>
    </w:rPr>
  </w:style>
  <w:style w:type="character" w:customStyle="1" w:styleId="FootnoteTextChar">
    <w:name w:val="Footnote Text Char"/>
    <w:basedOn w:val="DefaultParagraphFont"/>
    <w:link w:val="FootnoteText"/>
    <w:uiPriority w:val="99"/>
    <w:semiHidden/>
    <w:rsid w:val="00411459"/>
    <w:rPr>
      <w:sz w:val="20"/>
      <w:szCs w:val="20"/>
    </w:rPr>
  </w:style>
  <w:style w:type="character" w:styleId="FootnoteReference">
    <w:name w:val="footnote reference"/>
    <w:basedOn w:val="DefaultParagraphFont"/>
    <w:uiPriority w:val="99"/>
    <w:semiHidden/>
    <w:unhideWhenUsed/>
    <w:rsid w:val="00411459"/>
    <w:rPr>
      <w:vertAlign w:val="superscript"/>
    </w:rPr>
  </w:style>
  <w:style w:type="character" w:customStyle="1" w:styleId="Heading4Char">
    <w:name w:val="Heading 4 Char"/>
    <w:basedOn w:val="DefaultParagraphFont"/>
    <w:link w:val="Heading4"/>
    <w:uiPriority w:val="9"/>
    <w:rsid w:val="00DD1BFD"/>
    <w:rPr>
      <w:rFonts w:eastAsia="Times New Roman"/>
      <w:b/>
      <w:bCs/>
    </w:rPr>
  </w:style>
  <w:style w:type="paragraph" w:styleId="NormalWeb">
    <w:name w:val="Normal (Web)"/>
    <w:basedOn w:val="Normal"/>
    <w:uiPriority w:val="99"/>
    <w:semiHidden/>
    <w:unhideWhenUsed/>
    <w:rsid w:val="00DD1BFD"/>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48"/>
    <w:pPr>
      <w:spacing w:line="240" w:lineRule="auto"/>
      <w:jc w:val="left"/>
    </w:pPr>
  </w:style>
  <w:style w:type="paragraph" w:styleId="Heading4">
    <w:name w:val="heading 4"/>
    <w:basedOn w:val="Normal"/>
    <w:link w:val="Heading4Char"/>
    <w:uiPriority w:val="9"/>
    <w:qFormat/>
    <w:rsid w:val="00DD1BFD"/>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D5E"/>
    <w:pPr>
      <w:tabs>
        <w:tab w:val="center" w:pos="4680"/>
        <w:tab w:val="right" w:pos="9360"/>
      </w:tabs>
    </w:pPr>
  </w:style>
  <w:style w:type="character" w:customStyle="1" w:styleId="HeaderChar">
    <w:name w:val="Header Char"/>
    <w:basedOn w:val="DefaultParagraphFont"/>
    <w:link w:val="Header"/>
    <w:uiPriority w:val="99"/>
    <w:rsid w:val="00333D5E"/>
  </w:style>
  <w:style w:type="paragraph" w:styleId="Footer">
    <w:name w:val="footer"/>
    <w:basedOn w:val="Normal"/>
    <w:link w:val="FooterChar"/>
    <w:uiPriority w:val="99"/>
    <w:unhideWhenUsed/>
    <w:rsid w:val="00333D5E"/>
    <w:pPr>
      <w:tabs>
        <w:tab w:val="center" w:pos="4680"/>
        <w:tab w:val="right" w:pos="9360"/>
      </w:tabs>
    </w:pPr>
  </w:style>
  <w:style w:type="character" w:customStyle="1" w:styleId="FooterChar">
    <w:name w:val="Footer Char"/>
    <w:basedOn w:val="DefaultParagraphFont"/>
    <w:link w:val="Footer"/>
    <w:uiPriority w:val="99"/>
    <w:rsid w:val="00333D5E"/>
  </w:style>
  <w:style w:type="paragraph" w:styleId="ListParagraph">
    <w:name w:val="List Paragraph"/>
    <w:basedOn w:val="Normal"/>
    <w:uiPriority w:val="34"/>
    <w:qFormat/>
    <w:rsid w:val="00333D5E"/>
    <w:pPr>
      <w:ind w:left="720"/>
      <w:contextualSpacing/>
    </w:pPr>
  </w:style>
  <w:style w:type="paragraph" w:styleId="FootnoteText">
    <w:name w:val="footnote text"/>
    <w:basedOn w:val="Normal"/>
    <w:link w:val="FootnoteTextChar"/>
    <w:uiPriority w:val="99"/>
    <w:semiHidden/>
    <w:unhideWhenUsed/>
    <w:rsid w:val="00411459"/>
    <w:rPr>
      <w:sz w:val="20"/>
      <w:szCs w:val="20"/>
    </w:rPr>
  </w:style>
  <w:style w:type="character" w:customStyle="1" w:styleId="FootnoteTextChar">
    <w:name w:val="Footnote Text Char"/>
    <w:basedOn w:val="DefaultParagraphFont"/>
    <w:link w:val="FootnoteText"/>
    <w:uiPriority w:val="99"/>
    <w:semiHidden/>
    <w:rsid w:val="00411459"/>
    <w:rPr>
      <w:sz w:val="20"/>
      <w:szCs w:val="20"/>
    </w:rPr>
  </w:style>
  <w:style w:type="character" w:styleId="FootnoteReference">
    <w:name w:val="footnote reference"/>
    <w:basedOn w:val="DefaultParagraphFont"/>
    <w:uiPriority w:val="99"/>
    <w:semiHidden/>
    <w:unhideWhenUsed/>
    <w:rsid w:val="00411459"/>
    <w:rPr>
      <w:vertAlign w:val="superscript"/>
    </w:rPr>
  </w:style>
  <w:style w:type="character" w:customStyle="1" w:styleId="Heading4Char">
    <w:name w:val="Heading 4 Char"/>
    <w:basedOn w:val="DefaultParagraphFont"/>
    <w:link w:val="Heading4"/>
    <w:uiPriority w:val="9"/>
    <w:rsid w:val="00DD1BFD"/>
    <w:rPr>
      <w:rFonts w:eastAsia="Times New Roman"/>
      <w:b/>
      <w:bCs/>
    </w:rPr>
  </w:style>
  <w:style w:type="paragraph" w:styleId="NormalWeb">
    <w:name w:val="Normal (Web)"/>
    <w:basedOn w:val="Normal"/>
    <w:uiPriority w:val="99"/>
    <w:semiHidden/>
    <w:unhideWhenUsed/>
    <w:rsid w:val="00DD1BF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94721">
      <w:bodyDiv w:val="1"/>
      <w:marLeft w:val="0"/>
      <w:marRight w:val="0"/>
      <w:marTop w:val="0"/>
      <w:marBottom w:val="0"/>
      <w:divBdr>
        <w:top w:val="none" w:sz="0" w:space="0" w:color="auto"/>
        <w:left w:val="none" w:sz="0" w:space="0" w:color="auto"/>
        <w:bottom w:val="none" w:sz="0" w:space="0" w:color="auto"/>
        <w:right w:val="none" w:sz="0" w:space="0" w:color="auto"/>
      </w:divBdr>
      <w:divsChild>
        <w:div w:id="18438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82B8-F918-411E-ACA9-B1F11CDF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dcterms:created xsi:type="dcterms:W3CDTF">2015-04-28T17:08:00Z</dcterms:created>
  <dcterms:modified xsi:type="dcterms:W3CDTF">2015-04-28T17:10:00Z</dcterms:modified>
</cp:coreProperties>
</file>